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8B27BE" w:rsidRPr="008B2CC1" w14:paraId="6948D474" w14:textId="77777777" w:rsidTr="00C94629">
        <w:tc>
          <w:tcPr>
            <w:tcW w:w="4513" w:type="dxa"/>
            <w:tcBorders>
              <w:bottom w:val="single" w:sz="4" w:space="0" w:color="auto"/>
            </w:tcBorders>
            <w:tcMar>
              <w:bottom w:w="170" w:type="dxa"/>
            </w:tcMar>
          </w:tcPr>
          <w:p w14:paraId="393178E9" w14:textId="77777777" w:rsidR="008B27BE" w:rsidRPr="008B2CC1" w:rsidRDefault="008B27BE" w:rsidP="00916EE2">
            <w:bookmarkStart w:id="0" w:name="_Toc367350572"/>
          </w:p>
        </w:tc>
        <w:tc>
          <w:tcPr>
            <w:tcW w:w="4337" w:type="dxa"/>
            <w:tcBorders>
              <w:bottom w:val="single" w:sz="4" w:space="0" w:color="auto"/>
            </w:tcBorders>
            <w:tcMar>
              <w:left w:w="0" w:type="dxa"/>
              <w:right w:w="0" w:type="dxa"/>
            </w:tcMar>
          </w:tcPr>
          <w:p w14:paraId="39F865ED" w14:textId="77777777" w:rsidR="008B27BE" w:rsidRPr="008B2CC1" w:rsidRDefault="008B27BE" w:rsidP="00916EE2">
            <w:r>
              <w:rPr>
                <w:noProof/>
                <w:lang w:eastAsia="en-US"/>
              </w:rPr>
              <w:drawing>
                <wp:inline distT="0" distB="0" distL="0" distR="0" wp14:anchorId="427880BB" wp14:editId="23EF6A6A">
                  <wp:extent cx="1857375" cy="1323975"/>
                  <wp:effectExtent l="0" t="0" r="9525" b="9525"/>
                  <wp:docPr id="840" name="Picture 84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096B026D" w14:textId="77777777" w:rsidR="008B27BE" w:rsidRPr="008B2CC1" w:rsidRDefault="008B27BE" w:rsidP="00916EE2">
            <w:pPr>
              <w:jc w:val="right"/>
            </w:pPr>
            <w:r w:rsidRPr="00605827">
              <w:rPr>
                <w:b/>
                <w:sz w:val="40"/>
                <w:szCs w:val="40"/>
              </w:rPr>
              <w:t>E</w:t>
            </w:r>
          </w:p>
        </w:tc>
      </w:tr>
      <w:tr w:rsidR="008B27BE" w:rsidRPr="001832A6" w14:paraId="11F7B46E" w14:textId="77777777" w:rsidTr="00916EE2">
        <w:trPr>
          <w:trHeight w:hRule="exact" w:val="340"/>
        </w:trPr>
        <w:tc>
          <w:tcPr>
            <w:tcW w:w="9356" w:type="dxa"/>
            <w:gridSpan w:val="3"/>
            <w:tcBorders>
              <w:top w:val="single" w:sz="4" w:space="0" w:color="auto"/>
            </w:tcBorders>
            <w:tcMar>
              <w:top w:w="170" w:type="dxa"/>
              <w:left w:w="0" w:type="dxa"/>
              <w:right w:w="0" w:type="dxa"/>
            </w:tcMar>
            <w:vAlign w:val="bottom"/>
          </w:tcPr>
          <w:p w14:paraId="2A0B6392" w14:textId="77777777" w:rsidR="008B27BE" w:rsidRPr="0090731E" w:rsidRDefault="008B27BE" w:rsidP="00916EE2">
            <w:pPr>
              <w:jc w:val="right"/>
              <w:rPr>
                <w:rFonts w:ascii="Arial Black" w:hAnsi="Arial Black"/>
                <w:caps/>
                <w:sz w:val="15"/>
              </w:rPr>
            </w:pPr>
            <w:r>
              <w:rPr>
                <w:rFonts w:ascii="Arial Black" w:hAnsi="Arial Black"/>
                <w:caps/>
                <w:sz w:val="15"/>
              </w:rPr>
              <w:t>A/55/</w:t>
            </w:r>
            <w:bookmarkStart w:id="1" w:name="Code"/>
            <w:bookmarkEnd w:id="1"/>
            <w:r>
              <w:rPr>
                <w:rFonts w:ascii="Arial Black" w:hAnsi="Arial Black"/>
                <w:caps/>
                <w:sz w:val="15"/>
              </w:rPr>
              <w:t xml:space="preserve">5 REV. </w:t>
            </w:r>
            <w:r w:rsidRPr="0090731E">
              <w:rPr>
                <w:rFonts w:ascii="Arial Black" w:hAnsi="Arial Black"/>
                <w:caps/>
                <w:sz w:val="15"/>
              </w:rPr>
              <w:t xml:space="preserve">   </w:t>
            </w:r>
          </w:p>
        </w:tc>
      </w:tr>
      <w:tr w:rsidR="008B27BE" w:rsidRPr="001832A6" w14:paraId="10DB63D2" w14:textId="77777777" w:rsidTr="00916EE2">
        <w:trPr>
          <w:trHeight w:hRule="exact" w:val="170"/>
        </w:trPr>
        <w:tc>
          <w:tcPr>
            <w:tcW w:w="9356" w:type="dxa"/>
            <w:gridSpan w:val="3"/>
            <w:noWrap/>
            <w:tcMar>
              <w:left w:w="0" w:type="dxa"/>
              <w:right w:w="0" w:type="dxa"/>
            </w:tcMar>
            <w:vAlign w:val="bottom"/>
          </w:tcPr>
          <w:p w14:paraId="66D19203" w14:textId="77777777" w:rsidR="008B27BE" w:rsidRPr="0090731E" w:rsidRDefault="008B27BE" w:rsidP="00916EE2">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2" w:name="Original"/>
            <w:bookmarkEnd w:id="2"/>
            <w:r>
              <w:rPr>
                <w:rFonts w:ascii="Arial Black" w:hAnsi="Arial Black"/>
                <w:caps/>
                <w:sz w:val="15"/>
              </w:rPr>
              <w:t>ENGLISH</w:t>
            </w:r>
          </w:p>
        </w:tc>
      </w:tr>
      <w:tr w:rsidR="008B27BE" w:rsidRPr="001832A6" w14:paraId="1A1AA8F0" w14:textId="77777777" w:rsidTr="00916EE2">
        <w:trPr>
          <w:trHeight w:hRule="exact" w:val="198"/>
        </w:trPr>
        <w:tc>
          <w:tcPr>
            <w:tcW w:w="9356" w:type="dxa"/>
            <w:gridSpan w:val="3"/>
            <w:tcMar>
              <w:left w:w="0" w:type="dxa"/>
              <w:right w:w="0" w:type="dxa"/>
            </w:tcMar>
            <w:vAlign w:val="bottom"/>
          </w:tcPr>
          <w:p w14:paraId="4B9123E3" w14:textId="7FD94BE0" w:rsidR="008B27BE" w:rsidRPr="0090731E" w:rsidRDefault="008B27BE" w:rsidP="00A41611">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3" w:name="Date"/>
            <w:bookmarkEnd w:id="3"/>
            <w:r w:rsidR="00A41611">
              <w:rPr>
                <w:rFonts w:ascii="Arial Black" w:hAnsi="Arial Black"/>
                <w:caps/>
                <w:sz w:val="15"/>
              </w:rPr>
              <w:t>OCTOBER 2</w:t>
            </w:r>
            <w:r>
              <w:rPr>
                <w:rFonts w:ascii="Arial Black" w:hAnsi="Arial Black"/>
                <w:caps/>
                <w:sz w:val="15"/>
              </w:rPr>
              <w:t>, 2015</w:t>
            </w:r>
          </w:p>
        </w:tc>
      </w:tr>
    </w:tbl>
    <w:p w14:paraId="0BCFC121" w14:textId="77777777" w:rsidR="008B27BE" w:rsidRPr="008B2CC1" w:rsidRDefault="008B27BE" w:rsidP="008B2CC1"/>
    <w:p w14:paraId="3C30BC78" w14:textId="77777777" w:rsidR="008B27BE" w:rsidRPr="008B2CC1" w:rsidRDefault="008B27BE" w:rsidP="008B2CC1"/>
    <w:p w14:paraId="34BB2B40" w14:textId="77777777" w:rsidR="008B27BE" w:rsidRPr="008B2CC1" w:rsidRDefault="008B27BE" w:rsidP="008B2CC1"/>
    <w:p w14:paraId="0B77000F" w14:textId="77777777" w:rsidR="008B27BE" w:rsidRPr="008B2CC1" w:rsidRDefault="008B27BE" w:rsidP="008B2CC1"/>
    <w:p w14:paraId="6F49EFB3" w14:textId="77777777" w:rsidR="008B27BE" w:rsidRPr="008B2CC1" w:rsidRDefault="008B27BE" w:rsidP="008B2CC1"/>
    <w:p w14:paraId="027DA556" w14:textId="77777777" w:rsidR="008B27BE" w:rsidRPr="008B27BE" w:rsidRDefault="008B27BE" w:rsidP="003845C1">
      <w:pPr>
        <w:rPr>
          <w:rFonts w:ascii="Arial" w:hAnsi="Arial" w:cs="Arial"/>
        </w:rPr>
      </w:pPr>
      <w:r w:rsidRPr="008B27BE">
        <w:rPr>
          <w:rFonts w:ascii="Arial" w:hAnsi="Arial" w:cs="Arial"/>
          <w:b/>
          <w:sz w:val="28"/>
          <w:szCs w:val="28"/>
        </w:rPr>
        <w:t>Assemblies of the Member States of WIPO</w:t>
      </w:r>
    </w:p>
    <w:p w14:paraId="293C78BC" w14:textId="77777777" w:rsidR="008B27BE" w:rsidRPr="008B27BE" w:rsidRDefault="008B27BE" w:rsidP="003845C1">
      <w:pPr>
        <w:rPr>
          <w:rFonts w:ascii="Arial" w:hAnsi="Arial" w:cs="Arial"/>
        </w:rPr>
      </w:pPr>
    </w:p>
    <w:p w14:paraId="0FF08963" w14:textId="77777777" w:rsidR="008B27BE" w:rsidRPr="008B27BE" w:rsidRDefault="008B27BE" w:rsidP="003845C1">
      <w:pPr>
        <w:rPr>
          <w:rFonts w:ascii="Arial" w:hAnsi="Arial" w:cs="Arial"/>
        </w:rPr>
      </w:pPr>
    </w:p>
    <w:p w14:paraId="19D35137" w14:textId="77777777" w:rsidR="008B27BE" w:rsidRPr="008B27BE" w:rsidRDefault="008B27BE" w:rsidP="006C5F8B">
      <w:pPr>
        <w:rPr>
          <w:rFonts w:ascii="Arial" w:hAnsi="Arial" w:cs="Arial"/>
          <w:b/>
          <w:sz w:val="24"/>
          <w:szCs w:val="24"/>
        </w:rPr>
      </w:pPr>
      <w:r w:rsidRPr="008B27BE">
        <w:rPr>
          <w:rFonts w:ascii="Arial" w:hAnsi="Arial" w:cs="Arial"/>
          <w:b/>
          <w:sz w:val="24"/>
          <w:szCs w:val="24"/>
        </w:rPr>
        <w:t>Fifty-Fifth Series of Meetings</w:t>
      </w:r>
    </w:p>
    <w:p w14:paraId="5ADF71F0" w14:textId="77777777" w:rsidR="008B27BE" w:rsidRPr="008B27BE" w:rsidRDefault="008B27BE" w:rsidP="006C5F8B">
      <w:pPr>
        <w:rPr>
          <w:rFonts w:ascii="Arial" w:hAnsi="Arial" w:cs="Arial"/>
        </w:rPr>
      </w:pPr>
      <w:r w:rsidRPr="008B27BE">
        <w:rPr>
          <w:rFonts w:ascii="Arial" w:hAnsi="Arial" w:cs="Arial"/>
          <w:b/>
          <w:sz w:val="24"/>
          <w:szCs w:val="24"/>
        </w:rPr>
        <w:t>Geneva, October 5 to 14, 2015</w:t>
      </w:r>
    </w:p>
    <w:p w14:paraId="4922DE8D" w14:textId="77777777" w:rsidR="008B27BE" w:rsidRPr="008B27BE" w:rsidRDefault="008B27BE" w:rsidP="008B2CC1">
      <w:pPr>
        <w:rPr>
          <w:rFonts w:ascii="Arial" w:hAnsi="Arial" w:cs="Arial"/>
        </w:rPr>
      </w:pPr>
    </w:p>
    <w:p w14:paraId="59C0A34F" w14:textId="77777777" w:rsidR="008B27BE" w:rsidRPr="008B27BE" w:rsidRDefault="008B27BE" w:rsidP="008B2CC1">
      <w:pPr>
        <w:rPr>
          <w:rFonts w:ascii="Arial" w:hAnsi="Arial" w:cs="Arial"/>
        </w:rPr>
      </w:pPr>
    </w:p>
    <w:p w14:paraId="4E45F09B" w14:textId="77777777" w:rsidR="008B27BE" w:rsidRPr="008B27BE" w:rsidRDefault="008B27BE" w:rsidP="005E33BB">
      <w:pPr>
        <w:rPr>
          <w:rFonts w:ascii="Arial" w:hAnsi="Arial" w:cs="Arial"/>
          <w:caps/>
          <w:sz w:val="24"/>
        </w:rPr>
      </w:pPr>
      <w:bookmarkStart w:id="4" w:name="TitleOfDoc"/>
      <w:bookmarkEnd w:id="4"/>
      <w:r w:rsidRPr="008B27BE">
        <w:rPr>
          <w:rFonts w:ascii="Arial" w:hAnsi="Arial" w:cs="Arial"/>
          <w:caps/>
          <w:sz w:val="24"/>
        </w:rPr>
        <w:t>PROPOSED PROGRAM AND BUDGET FOR THE 2016/17 BIENNIUM</w:t>
      </w:r>
    </w:p>
    <w:p w14:paraId="6C2C3B27" w14:textId="77777777" w:rsidR="008B27BE" w:rsidRPr="008B27BE" w:rsidRDefault="008B27BE" w:rsidP="005E33BB">
      <w:pPr>
        <w:rPr>
          <w:rFonts w:ascii="Arial" w:hAnsi="Arial" w:cs="Arial"/>
        </w:rPr>
      </w:pPr>
    </w:p>
    <w:p w14:paraId="77E646FE" w14:textId="77777777" w:rsidR="008B27BE" w:rsidRPr="008B27BE" w:rsidRDefault="008B27BE" w:rsidP="005E33BB">
      <w:pPr>
        <w:rPr>
          <w:rFonts w:ascii="Arial" w:hAnsi="Arial" w:cs="Arial"/>
          <w:i/>
        </w:rPr>
      </w:pPr>
      <w:r w:rsidRPr="008B27BE">
        <w:rPr>
          <w:rFonts w:ascii="Arial" w:hAnsi="Arial" w:cs="Arial"/>
          <w:i/>
        </w:rPr>
        <w:t>Document prepared by the Secretariat</w:t>
      </w:r>
    </w:p>
    <w:p w14:paraId="583E79D4" w14:textId="77777777" w:rsidR="008B27BE" w:rsidRPr="008B27BE" w:rsidRDefault="008B27BE" w:rsidP="005E33BB">
      <w:pPr>
        <w:rPr>
          <w:rFonts w:ascii="Arial" w:hAnsi="Arial" w:cs="Arial"/>
        </w:rPr>
      </w:pPr>
    </w:p>
    <w:p w14:paraId="6FD4A815" w14:textId="77777777" w:rsidR="008B27BE" w:rsidRPr="008B27BE" w:rsidRDefault="008B27BE" w:rsidP="005E33BB">
      <w:pPr>
        <w:rPr>
          <w:rFonts w:ascii="Arial" w:hAnsi="Arial" w:cs="Arial"/>
        </w:rPr>
      </w:pPr>
    </w:p>
    <w:p w14:paraId="4C412750" w14:textId="77777777" w:rsidR="008B27BE" w:rsidRPr="008B27BE" w:rsidRDefault="008B27BE" w:rsidP="005E33BB">
      <w:pPr>
        <w:rPr>
          <w:rFonts w:ascii="Arial" w:hAnsi="Arial" w:cs="Arial"/>
        </w:rPr>
      </w:pPr>
    </w:p>
    <w:p w14:paraId="7A8E014D" w14:textId="77777777" w:rsidR="008B27BE" w:rsidRPr="008B27BE" w:rsidRDefault="008B27BE" w:rsidP="005E33BB">
      <w:pPr>
        <w:rPr>
          <w:rFonts w:ascii="Arial" w:hAnsi="Arial" w:cs="Arial"/>
        </w:rPr>
      </w:pPr>
    </w:p>
    <w:p w14:paraId="34D4CDA0" w14:textId="77777777" w:rsidR="008B27BE" w:rsidRPr="002026B1" w:rsidRDefault="008B27BE" w:rsidP="005E33BB">
      <w:pPr>
        <w:rPr>
          <w:rFonts w:ascii="Arial" w:hAnsi="Arial" w:cs="Arial"/>
        </w:rPr>
      </w:pPr>
    </w:p>
    <w:p w14:paraId="62E1471E" w14:textId="7BFEEEC3" w:rsidR="008B27BE" w:rsidRPr="002026B1" w:rsidRDefault="008B27BE" w:rsidP="008B27BE">
      <w:pPr>
        <w:pStyle w:val="ONUME"/>
        <w:numPr>
          <w:ilvl w:val="0"/>
          <w:numId w:val="87"/>
        </w:numPr>
        <w:spacing w:after="220"/>
        <w:rPr>
          <w:rFonts w:ascii="Arial" w:hAnsi="Arial" w:cs="Arial"/>
          <w:sz w:val="22"/>
          <w:szCs w:val="22"/>
          <w:shd w:val="clear" w:color="auto" w:fill="FFFF00"/>
        </w:rPr>
      </w:pPr>
      <w:r w:rsidRPr="002026B1">
        <w:rPr>
          <w:rFonts w:ascii="Arial" w:hAnsi="Arial" w:cs="Arial"/>
          <w:sz w:val="22"/>
          <w:szCs w:val="22"/>
        </w:rPr>
        <w:t>This revised Proposed Program and Budget for the 2016/17 Biennium contains the modifications agreed to at the twenty-fourth session of the Program and Budget Committee (September 14 to 18, 2015) (see document A/55/4, “Decisions Taken by the Program and Budget Committee</w:t>
      </w:r>
      <w:r w:rsidR="002026B1">
        <w:rPr>
          <w:rFonts w:ascii="Arial" w:hAnsi="Arial" w:cs="Arial"/>
          <w:sz w:val="22"/>
          <w:szCs w:val="22"/>
        </w:rPr>
        <w:t>”</w:t>
      </w:r>
      <w:r w:rsidRPr="002026B1">
        <w:rPr>
          <w:rFonts w:ascii="Arial" w:hAnsi="Arial" w:cs="Arial"/>
          <w:sz w:val="22"/>
          <w:szCs w:val="22"/>
        </w:rPr>
        <w:t>).</w:t>
      </w:r>
    </w:p>
    <w:p w14:paraId="77723B7D" w14:textId="77777777" w:rsidR="008B27BE" w:rsidRPr="002026B1" w:rsidRDefault="008B27BE" w:rsidP="008B27BE">
      <w:pPr>
        <w:pStyle w:val="ONUME"/>
        <w:numPr>
          <w:ilvl w:val="0"/>
          <w:numId w:val="87"/>
        </w:numPr>
        <w:tabs>
          <w:tab w:val="left" w:pos="6096"/>
        </w:tabs>
        <w:spacing w:after="220"/>
        <w:ind w:left="5533"/>
        <w:rPr>
          <w:rFonts w:ascii="Arial" w:hAnsi="Arial" w:cs="Arial"/>
          <w:i/>
          <w:sz w:val="22"/>
          <w:szCs w:val="22"/>
          <w:shd w:val="clear" w:color="auto" w:fill="FFFF00"/>
        </w:rPr>
      </w:pPr>
      <w:r w:rsidRPr="002026B1">
        <w:rPr>
          <w:rFonts w:ascii="Arial" w:hAnsi="Arial" w:cs="Arial"/>
          <w:i/>
          <w:sz w:val="22"/>
          <w:szCs w:val="22"/>
        </w:rPr>
        <w:t>The Assemblies of the Member States of WIPO and of the Unions, each as far as it is concerned, are invited to approve the Program and Budget for the 2016/17 Biennium (document A/55/5 Rev.).</w:t>
      </w:r>
    </w:p>
    <w:p w14:paraId="74611255" w14:textId="77777777" w:rsidR="008B27BE" w:rsidRPr="002026B1" w:rsidRDefault="008B27BE">
      <w:pPr>
        <w:rPr>
          <w:rFonts w:ascii="Arial" w:hAnsi="Arial" w:cs="Arial"/>
        </w:rPr>
      </w:pPr>
    </w:p>
    <w:p w14:paraId="4B0944AF" w14:textId="77777777" w:rsidR="008B27BE" w:rsidRPr="002026B1" w:rsidRDefault="008B27BE">
      <w:pPr>
        <w:rPr>
          <w:rFonts w:ascii="Arial" w:hAnsi="Arial" w:cs="Arial"/>
        </w:rPr>
      </w:pPr>
    </w:p>
    <w:p w14:paraId="3D9CC684" w14:textId="77777777" w:rsidR="008B27BE" w:rsidRPr="002026B1" w:rsidRDefault="008B27BE" w:rsidP="00303F27">
      <w:pPr>
        <w:pStyle w:val="Endofdocument-Annex"/>
        <w:rPr>
          <w:szCs w:val="22"/>
        </w:rPr>
      </w:pPr>
      <w:r w:rsidRPr="002026B1">
        <w:rPr>
          <w:szCs w:val="22"/>
        </w:rPr>
        <w:t>[Proposed Program and Budget for the 2016/17 Biennium follows]</w:t>
      </w:r>
    </w:p>
    <w:p w14:paraId="4F56D0C2" w14:textId="66D30DCD" w:rsidR="008B27BE" w:rsidRPr="002026B1" w:rsidRDefault="008B27BE">
      <w:pPr>
        <w:rPr>
          <w:rFonts w:ascii="Arial" w:hAnsi="Arial" w:cs="Arial"/>
        </w:rPr>
      </w:pPr>
      <w:r w:rsidRPr="002026B1">
        <w:rPr>
          <w:rFonts w:ascii="Arial" w:hAnsi="Arial" w:cs="Arial"/>
        </w:rPr>
        <w:br w:type="page"/>
      </w:r>
    </w:p>
    <w:p w14:paraId="49C5672F" w14:textId="77777777" w:rsidR="008B27BE" w:rsidRDefault="008B27BE">
      <w:pPr>
        <w:rPr>
          <w:rFonts w:ascii="Arial" w:hAnsi="Arial" w:cs="Arial"/>
          <w:szCs w:val="24"/>
        </w:rPr>
      </w:pPr>
    </w:p>
    <w:p w14:paraId="151EFDCB" w14:textId="77777777" w:rsidR="00414DB1" w:rsidRDefault="00414DB1" w:rsidP="00414DB1">
      <w:pPr>
        <w:jc w:val="center"/>
        <w:rPr>
          <w:rFonts w:ascii="Arial" w:hAnsi="Arial" w:cs="Arial"/>
          <w:szCs w:val="24"/>
        </w:rPr>
      </w:pPr>
    </w:p>
    <w:p w14:paraId="0362FC36" w14:textId="77777777" w:rsidR="008B27BE" w:rsidRDefault="008B27BE" w:rsidP="00414DB1">
      <w:pPr>
        <w:jc w:val="center"/>
        <w:rPr>
          <w:rFonts w:ascii="Arial" w:hAnsi="Arial" w:cs="Arial"/>
          <w:szCs w:val="24"/>
        </w:rPr>
        <w:sectPr w:rsidR="008B27BE" w:rsidSect="006B1E69">
          <w:headerReference w:type="even" r:id="rId10"/>
          <w:headerReference w:type="default" r:id="rId11"/>
          <w:footerReference w:type="even" r:id="rId12"/>
          <w:footerReference w:type="default" r:id="rId13"/>
          <w:pgSz w:w="11907" w:h="16839" w:code="9"/>
          <w:pgMar w:top="624" w:right="1418" w:bottom="1361" w:left="1418" w:header="567" w:footer="851" w:gutter="0"/>
          <w:pgNumType w:start="1"/>
          <w:cols w:space="720"/>
          <w:titlePg/>
          <w:docGrid w:linePitch="360"/>
        </w:sectPr>
      </w:pPr>
    </w:p>
    <w:p w14:paraId="50938621" w14:textId="11765336" w:rsidR="00414DB1" w:rsidRDefault="00414DB1" w:rsidP="00414DB1">
      <w:pPr>
        <w:jc w:val="center"/>
        <w:rPr>
          <w:rFonts w:ascii="Arial" w:hAnsi="Arial" w:cs="Arial"/>
          <w:szCs w:val="24"/>
        </w:rPr>
      </w:pPr>
    </w:p>
    <w:p w14:paraId="468D9028" w14:textId="77777777" w:rsidR="00414DB1" w:rsidRDefault="00414DB1" w:rsidP="00414DB1">
      <w:pPr>
        <w:jc w:val="center"/>
        <w:rPr>
          <w:rFonts w:ascii="Arial" w:hAnsi="Arial" w:cs="Arial"/>
          <w:szCs w:val="24"/>
        </w:rPr>
      </w:pPr>
    </w:p>
    <w:p w14:paraId="3FE02526" w14:textId="77777777" w:rsidR="00414DB1" w:rsidRDefault="00414DB1" w:rsidP="00414DB1">
      <w:pPr>
        <w:jc w:val="center"/>
        <w:rPr>
          <w:rFonts w:ascii="Arial" w:hAnsi="Arial" w:cs="Arial"/>
          <w:szCs w:val="24"/>
        </w:rPr>
      </w:pPr>
    </w:p>
    <w:p w14:paraId="14FDFBBF" w14:textId="77777777" w:rsidR="00414DB1" w:rsidRDefault="00414DB1" w:rsidP="00414DB1">
      <w:pPr>
        <w:jc w:val="center"/>
        <w:rPr>
          <w:rFonts w:ascii="Arial" w:hAnsi="Arial" w:cs="Arial"/>
          <w:szCs w:val="24"/>
        </w:rPr>
      </w:pPr>
    </w:p>
    <w:p w14:paraId="6EAF992A" w14:textId="77777777" w:rsidR="00414DB1" w:rsidRDefault="00414DB1" w:rsidP="00414DB1">
      <w:pPr>
        <w:jc w:val="center"/>
        <w:rPr>
          <w:rFonts w:ascii="Arial" w:hAnsi="Arial" w:cs="Arial"/>
          <w:szCs w:val="24"/>
        </w:rPr>
      </w:pPr>
    </w:p>
    <w:p w14:paraId="6193C4BC" w14:textId="77777777" w:rsidR="00414DB1" w:rsidRDefault="00414DB1" w:rsidP="00414DB1">
      <w:pPr>
        <w:jc w:val="center"/>
        <w:rPr>
          <w:rFonts w:ascii="Arial" w:hAnsi="Arial" w:cs="Arial"/>
          <w:szCs w:val="24"/>
        </w:rPr>
      </w:pPr>
    </w:p>
    <w:p w14:paraId="7CEF5076" w14:textId="77777777" w:rsidR="00414DB1" w:rsidRDefault="00414DB1" w:rsidP="00414DB1">
      <w:pPr>
        <w:jc w:val="center"/>
        <w:rPr>
          <w:rFonts w:ascii="Arial" w:hAnsi="Arial" w:cs="Arial"/>
          <w:szCs w:val="24"/>
        </w:rPr>
      </w:pPr>
    </w:p>
    <w:p w14:paraId="03EEBBDA" w14:textId="77777777" w:rsidR="00414DB1" w:rsidRDefault="00414DB1" w:rsidP="00414DB1">
      <w:pPr>
        <w:jc w:val="center"/>
        <w:rPr>
          <w:rFonts w:ascii="Arial" w:hAnsi="Arial" w:cs="Arial"/>
          <w:szCs w:val="24"/>
        </w:rPr>
      </w:pPr>
    </w:p>
    <w:p w14:paraId="78A94CC5" w14:textId="77777777" w:rsidR="00414DB1" w:rsidRDefault="00414DB1" w:rsidP="00414DB1">
      <w:pPr>
        <w:jc w:val="center"/>
        <w:rPr>
          <w:rFonts w:ascii="Arial" w:hAnsi="Arial" w:cs="Arial"/>
          <w:szCs w:val="24"/>
        </w:rPr>
      </w:pPr>
    </w:p>
    <w:p w14:paraId="11F312B6" w14:textId="77777777" w:rsidR="00414DB1" w:rsidRPr="009E41F7" w:rsidRDefault="00414DB1" w:rsidP="00414DB1">
      <w:pPr>
        <w:jc w:val="center"/>
        <w:rPr>
          <w:rFonts w:ascii="Arial" w:hAnsi="Arial" w:cs="Arial"/>
          <w:b/>
          <w:szCs w:val="24"/>
        </w:rPr>
      </w:pPr>
      <w:r w:rsidRPr="009E41F7">
        <w:rPr>
          <w:rFonts w:ascii="Arial" w:hAnsi="Arial" w:cs="Arial"/>
          <w:b/>
          <w:szCs w:val="24"/>
        </w:rPr>
        <w:t>WORLD INTELLECTUAL PROPERTY ORGANIZATION</w:t>
      </w:r>
    </w:p>
    <w:p w14:paraId="35218E3C" w14:textId="77777777" w:rsidR="00414DB1" w:rsidRDefault="00414DB1" w:rsidP="00414DB1">
      <w:pPr>
        <w:jc w:val="center"/>
        <w:rPr>
          <w:rFonts w:ascii="Arial" w:hAnsi="Arial" w:cs="Arial"/>
          <w:szCs w:val="24"/>
        </w:rPr>
      </w:pPr>
    </w:p>
    <w:p w14:paraId="635A5D86" w14:textId="77777777" w:rsidR="00414DB1" w:rsidRDefault="00414DB1" w:rsidP="00414DB1">
      <w:pPr>
        <w:jc w:val="center"/>
        <w:rPr>
          <w:rFonts w:ascii="Arial" w:hAnsi="Arial" w:cs="Arial"/>
          <w:szCs w:val="24"/>
        </w:rPr>
      </w:pPr>
    </w:p>
    <w:p w14:paraId="1CC2D3B2" w14:textId="77777777" w:rsidR="00414DB1" w:rsidRDefault="00414DB1" w:rsidP="00414DB1">
      <w:pPr>
        <w:jc w:val="center"/>
        <w:rPr>
          <w:rFonts w:ascii="Arial" w:hAnsi="Arial" w:cs="Arial"/>
          <w:szCs w:val="24"/>
        </w:rPr>
      </w:pPr>
    </w:p>
    <w:p w14:paraId="79400A5C" w14:textId="77777777" w:rsidR="00414DB1" w:rsidRDefault="00414DB1" w:rsidP="00414DB1">
      <w:pPr>
        <w:jc w:val="center"/>
        <w:rPr>
          <w:rFonts w:ascii="Arial" w:hAnsi="Arial" w:cs="Arial"/>
          <w:szCs w:val="24"/>
        </w:rPr>
      </w:pPr>
    </w:p>
    <w:p w14:paraId="28DA5C31" w14:textId="7D2D849B" w:rsidR="00414DB1" w:rsidRDefault="00414DB1" w:rsidP="00414DB1">
      <w:pPr>
        <w:jc w:val="center"/>
        <w:rPr>
          <w:rFonts w:ascii="Arial" w:hAnsi="Arial" w:cs="Arial"/>
          <w:b/>
          <w:bCs/>
          <w:szCs w:val="24"/>
        </w:rPr>
      </w:pPr>
      <w:r>
        <w:rPr>
          <w:rFonts w:ascii="Arial" w:hAnsi="Arial" w:cs="Arial"/>
          <w:b/>
          <w:bCs/>
          <w:szCs w:val="24"/>
        </w:rPr>
        <w:t>PR</w:t>
      </w:r>
      <w:r w:rsidR="00DD22EC">
        <w:rPr>
          <w:rFonts w:ascii="Arial" w:hAnsi="Arial" w:cs="Arial"/>
          <w:b/>
          <w:bCs/>
          <w:szCs w:val="24"/>
        </w:rPr>
        <w:t>O</w:t>
      </w:r>
      <w:r>
        <w:rPr>
          <w:rFonts w:ascii="Arial" w:hAnsi="Arial" w:cs="Arial"/>
          <w:b/>
          <w:bCs/>
          <w:szCs w:val="24"/>
        </w:rPr>
        <w:t xml:space="preserve">POSED </w:t>
      </w:r>
      <w:r w:rsidRPr="000366DE">
        <w:rPr>
          <w:rFonts w:ascii="Arial" w:hAnsi="Arial" w:cs="Arial"/>
          <w:b/>
          <w:bCs/>
          <w:szCs w:val="24"/>
        </w:rPr>
        <w:t>PROGRAM AND BUDGET FOR THE 201</w:t>
      </w:r>
      <w:r>
        <w:rPr>
          <w:rFonts w:ascii="Arial" w:hAnsi="Arial" w:cs="Arial"/>
          <w:b/>
          <w:bCs/>
          <w:szCs w:val="24"/>
        </w:rPr>
        <w:t>6</w:t>
      </w:r>
      <w:r w:rsidRPr="000366DE">
        <w:rPr>
          <w:rFonts w:ascii="Arial" w:hAnsi="Arial" w:cs="Arial"/>
          <w:b/>
          <w:bCs/>
          <w:szCs w:val="24"/>
        </w:rPr>
        <w:t>/1</w:t>
      </w:r>
      <w:r>
        <w:rPr>
          <w:rFonts w:ascii="Arial" w:hAnsi="Arial" w:cs="Arial"/>
          <w:b/>
          <w:bCs/>
          <w:szCs w:val="24"/>
        </w:rPr>
        <w:t>7</w:t>
      </w:r>
      <w:r w:rsidRPr="000366DE">
        <w:rPr>
          <w:rFonts w:ascii="Arial" w:hAnsi="Arial" w:cs="Arial"/>
          <w:b/>
          <w:bCs/>
          <w:szCs w:val="24"/>
        </w:rPr>
        <w:t xml:space="preserve"> BIENNIUM</w:t>
      </w:r>
    </w:p>
    <w:p w14:paraId="5C0F8583" w14:textId="77777777" w:rsidR="00414DB1" w:rsidRDefault="00414DB1" w:rsidP="00414DB1">
      <w:pPr>
        <w:jc w:val="center"/>
        <w:rPr>
          <w:rFonts w:ascii="Arial" w:hAnsi="Arial" w:cs="Arial"/>
          <w:b/>
          <w:bCs/>
          <w:szCs w:val="24"/>
        </w:rPr>
      </w:pPr>
    </w:p>
    <w:p w14:paraId="007579E9" w14:textId="3177D384" w:rsidR="00015BFF" w:rsidRDefault="00015BFF">
      <w:pPr>
        <w:rPr>
          <w:rFonts w:ascii="Arial" w:hAnsi="Arial" w:cs="Arial"/>
          <w:b/>
          <w:bCs/>
        </w:rPr>
      </w:pPr>
      <w:r>
        <w:rPr>
          <w:rFonts w:ascii="Arial" w:hAnsi="Arial" w:cs="Arial"/>
          <w:b/>
          <w:bCs/>
        </w:rPr>
        <w:br w:type="page"/>
      </w:r>
    </w:p>
    <w:p w14:paraId="5CFA3C81" w14:textId="77777777" w:rsidR="00B64DA0" w:rsidRDefault="00B64DA0">
      <w:pPr>
        <w:rPr>
          <w:rFonts w:ascii="Arial" w:hAnsi="Arial" w:cs="Arial"/>
          <w:b/>
          <w:bCs/>
        </w:rPr>
      </w:pPr>
    </w:p>
    <w:p w14:paraId="35D284A9" w14:textId="77777777" w:rsidR="00B64DA0" w:rsidRDefault="00B64DA0">
      <w:pPr>
        <w:rPr>
          <w:rFonts w:ascii="Arial" w:hAnsi="Arial" w:cs="Arial"/>
          <w:b/>
          <w:bCs/>
        </w:rPr>
      </w:pPr>
    </w:p>
    <w:p w14:paraId="060A3DAB" w14:textId="5638FCE6" w:rsidR="0012156E" w:rsidRDefault="0012156E">
      <w:pPr>
        <w:rPr>
          <w:rFonts w:ascii="Arial" w:hAnsi="Arial" w:cs="Arial"/>
          <w:b/>
          <w:bCs/>
        </w:rPr>
      </w:pPr>
    </w:p>
    <w:p w14:paraId="3DEB9D75" w14:textId="77777777" w:rsidR="0012156E" w:rsidRPr="0012156E" w:rsidRDefault="0012156E" w:rsidP="0012156E">
      <w:pPr>
        <w:rPr>
          <w:rFonts w:ascii="Arial" w:hAnsi="Arial" w:cs="Arial"/>
        </w:rPr>
      </w:pPr>
    </w:p>
    <w:p w14:paraId="2A4C6685" w14:textId="77777777" w:rsidR="0012156E" w:rsidRPr="0012156E" w:rsidRDefault="0012156E" w:rsidP="0012156E">
      <w:pPr>
        <w:rPr>
          <w:rFonts w:ascii="Arial" w:hAnsi="Arial" w:cs="Arial"/>
        </w:rPr>
      </w:pPr>
    </w:p>
    <w:p w14:paraId="05D10970" w14:textId="77777777" w:rsidR="0012156E" w:rsidRPr="0012156E" w:rsidRDefault="0012156E" w:rsidP="0012156E">
      <w:pPr>
        <w:rPr>
          <w:rFonts w:ascii="Arial" w:hAnsi="Arial" w:cs="Arial"/>
        </w:rPr>
      </w:pPr>
    </w:p>
    <w:p w14:paraId="720A2D83" w14:textId="77777777" w:rsidR="0012156E" w:rsidRPr="0012156E" w:rsidRDefault="0012156E" w:rsidP="0012156E">
      <w:pPr>
        <w:rPr>
          <w:rFonts w:ascii="Arial" w:hAnsi="Arial" w:cs="Arial"/>
        </w:rPr>
      </w:pPr>
    </w:p>
    <w:p w14:paraId="6C44E4F5" w14:textId="77777777" w:rsidR="0012156E" w:rsidRPr="0012156E" w:rsidRDefault="0012156E" w:rsidP="0012156E">
      <w:pPr>
        <w:rPr>
          <w:rFonts w:ascii="Arial" w:hAnsi="Arial" w:cs="Arial"/>
        </w:rPr>
      </w:pPr>
    </w:p>
    <w:p w14:paraId="57BC21CC" w14:textId="77777777" w:rsidR="0012156E" w:rsidRPr="0012156E" w:rsidRDefault="0012156E" w:rsidP="0012156E">
      <w:pPr>
        <w:rPr>
          <w:rFonts w:ascii="Arial" w:hAnsi="Arial" w:cs="Arial"/>
        </w:rPr>
      </w:pPr>
    </w:p>
    <w:p w14:paraId="513CABD6" w14:textId="77777777" w:rsidR="0012156E" w:rsidRPr="0012156E" w:rsidRDefault="0012156E" w:rsidP="0012156E">
      <w:pPr>
        <w:rPr>
          <w:rFonts w:ascii="Arial" w:hAnsi="Arial" w:cs="Arial"/>
        </w:rPr>
      </w:pPr>
    </w:p>
    <w:p w14:paraId="505403FA" w14:textId="77777777" w:rsidR="0012156E" w:rsidRPr="0012156E" w:rsidRDefault="0012156E" w:rsidP="0012156E">
      <w:pPr>
        <w:rPr>
          <w:rFonts w:ascii="Arial" w:hAnsi="Arial" w:cs="Arial"/>
        </w:rPr>
      </w:pPr>
    </w:p>
    <w:p w14:paraId="4AD0A0AD" w14:textId="77777777" w:rsidR="0012156E" w:rsidRPr="0012156E" w:rsidRDefault="0012156E" w:rsidP="0012156E">
      <w:pPr>
        <w:rPr>
          <w:rFonts w:ascii="Arial" w:hAnsi="Arial" w:cs="Arial"/>
        </w:rPr>
      </w:pPr>
    </w:p>
    <w:p w14:paraId="5EBC9207" w14:textId="77777777" w:rsidR="0012156E" w:rsidRPr="0012156E" w:rsidRDefault="0012156E" w:rsidP="0012156E">
      <w:pPr>
        <w:rPr>
          <w:rFonts w:ascii="Arial" w:hAnsi="Arial" w:cs="Arial"/>
        </w:rPr>
      </w:pPr>
    </w:p>
    <w:p w14:paraId="0B382255" w14:textId="77777777" w:rsidR="0012156E" w:rsidRPr="0012156E" w:rsidRDefault="0012156E" w:rsidP="0012156E">
      <w:pPr>
        <w:rPr>
          <w:rFonts w:ascii="Arial" w:hAnsi="Arial" w:cs="Arial"/>
        </w:rPr>
      </w:pPr>
    </w:p>
    <w:p w14:paraId="581C4E1C" w14:textId="77777777" w:rsidR="0012156E" w:rsidRPr="0012156E" w:rsidRDefault="0012156E" w:rsidP="0012156E">
      <w:pPr>
        <w:rPr>
          <w:rFonts w:ascii="Arial" w:hAnsi="Arial" w:cs="Arial"/>
        </w:rPr>
      </w:pPr>
    </w:p>
    <w:p w14:paraId="41B985FA" w14:textId="77777777" w:rsidR="0012156E" w:rsidRPr="0012156E" w:rsidRDefault="0012156E" w:rsidP="0012156E">
      <w:pPr>
        <w:rPr>
          <w:rFonts w:ascii="Arial" w:hAnsi="Arial" w:cs="Arial"/>
        </w:rPr>
      </w:pPr>
    </w:p>
    <w:p w14:paraId="40054F21" w14:textId="77777777" w:rsidR="0012156E" w:rsidRPr="0012156E" w:rsidRDefault="0012156E" w:rsidP="0012156E">
      <w:pPr>
        <w:rPr>
          <w:rFonts w:ascii="Arial" w:hAnsi="Arial" w:cs="Arial"/>
        </w:rPr>
      </w:pPr>
    </w:p>
    <w:p w14:paraId="3454C76C" w14:textId="77777777" w:rsidR="0012156E" w:rsidRPr="0012156E" w:rsidRDefault="0012156E" w:rsidP="0012156E">
      <w:pPr>
        <w:rPr>
          <w:rFonts w:ascii="Arial" w:hAnsi="Arial" w:cs="Arial"/>
        </w:rPr>
      </w:pPr>
    </w:p>
    <w:p w14:paraId="69E054E9" w14:textId="77777777" w:rsidR="0012156E" w:rsidRPr="0012156E" w:rsidRDefault="0012156E" w:rsidP="0012156E">
      <w:pPr>
        <w:rPr>
          <w:rFonts w:ascii="Arial" w:hAnsi="Arial" w:cs="Arial"/>
        </w:rPr>
      </w:pPr>
    </w:p>
    <w:p w14:paraId="7F2A5E08" w14:textId="77777777" w:rsidR="0012156E" w:rsidRPr="0012156E" w:rsidRDefault="0012156E" w:rsidP="0012156E">
      <w:pPr>
        <w:rPr>
          <w:rFonts w:ascii="Arial" w:hAnsi="Arial" w:cs="Arial"/>
        </w:rPr>
      </w:pPr>
    </w:p>
    <w:p w14:paraId="4D35F02E" w14:textId="77777777" w:rsidR="0012156E" w:rsidRPr="0012156E" w:rsidRDefault="0012156E" w:rsidP="0012156E">
      <w:pPr>
        <w:rPr>
          <w:rFonts w:ascii="Arial" w:hAnsi="Arial" w:cs="Arial"/>
        </w:rPr>
      </w:pPr>
    </w:p>
    <w:p w14:paraId="5FD7D6BB" w14:textId="77777777" w:rsidR="0012156E" w:rsidRPr="0012156E" w:rsidRDefault="0012156E" w:rsidP="0012156E">
      <w:pPr>
        <w:rPr>
          <w:rFonts w:ascii="Arial" w:hAnsi="Arial" w:cs="Arial"/>
        </w:rPr>
      </w:pPr>
    </w:p>
    <w:p w14:paraId="505886A8" w14:textId="77777777" w:rsidR="0012156E" w:rsidRPr="0012156E" w:rsidRDefault="0012156E" w:rsidP="0012156E">
      <w:pPr>
        <w:rPr>
          <w:rFonts w:ascii="Arial" w:hAnsi="Arial" w:cs="Arial"/>
        </w:rPr>
      </w:pPr>
    </w:p>
    <w:p w14:paraId="09F2426D" w14:textId="77777777" w:rsidR="0012156E" w:rsidRPr="0012156E" w:rsidRDefault="0012156E" w:rsidP="0012156E">
      <w:pPr>
        <w:rPr>
          <w:rFonts w:ascii="Arial" w:hAnsi="Arial" w:cs="Arial"/>
        </w:rPr>
      </w:pPr>
    </w:p>
    <w:p w14:paraId="2B074B68" w14:textId="77777777" w:rsidR="0012156E" w:rsidRPr="0012156E" w:rsidRDefault="0012156E" w:rsidP="0012156E">
      <w:pPr>
        <w:rPr>
          <w:rFonts w:ascii="Arial" w:hAnsi="Arial" w:cs="Arial"/>
        </w:rPr>
      </w:pPr>
    </w:p>
    <w:p w14:paraId="482C5390" w14:textId="77777777" w:rsidR="0012156E" w:rsidRPr="0012156E" w:rsidRDefault="0012156E" w:rsidP="0012156E">
      <w:pPr>
        <w:rPr>
          <w:rFonts w:ascii="Arial" w:hAnsi="Arial" w:cs="Arial"/>
        </w:rPr>
      </w:pPr>
    </w:p>
    <w:p w14:paraId="61BDE4B4" w14:textId="77777777" w:rsidR="0012156E" w:rsidRPr="0012156E" w:rsidRDefault="0012156E" w:rsidP="0012156E">
      <w:pPr>
        <w:rPr>
          <w:rFonts w:ascii="Arial" w:hAnsi="Arial" w:cs="Arial"/>
        </w:rPr>
      </w:pPr>
    </w:p>
    <w:p w14:paraId="7002F4CE" w14:textId="77777777" w:rsidR="0012156E" w:rsidRPr="0012156E" w:rsidRDefault="0012156E" w:rsidP="0012156E">
      <w:pPr>
        <w:rPr>
          <w:rFonts w:ascii="Arial" w:hAnsi="Arial" w:cs="Arial"/>
        </w:rPr>
      </w:pPr>
    </w:p>
    <w:p w14:paraId="298268E6" w14:textId="77777777" w:rsidR="0012156E" w:rsidRPr="0012156E" w:rsidRDefault="0012156E" w:rsidP="0012156E">
      <w:pPr>
        <w:rPr>
          <w:rFonts w:ascii="Arial" w:hAnsi="Arial" w:cs="Arial"/>
        </w:rPr>
      </w:pPr>
    </w:p>
    <w:p w14:paraId="7530C3DF" w14:textId="77777777" w:rsidR="0012156E" w:rsidRPr="0012156E" w:rsidRDefault="0012156E" w:rsidP="0012156E">
      <w:pPr>
        <w:rPr>
          <w:rFonts w:ascii="Arial" w:hAnsi="Arial" w:cs="Arial"/>
        </w:rPr>
      </w:pPr>
    </w:p>
    <w:p w14:paraId="5F226901" w14:textId="77777777" w:rsidR="0012156E" w:rsidRPr="0012156E" w:rsidRDefault="0012156E" w:rsidP="0012156E">
      <w:pPr>
        <w:rPr>
          <w:rFonts w:ascii="Arial" w:hAnsi="Arial" w:cs="Arial"/>
        </w:rPr>
      </w:pPr>
    </w:p>
    <w:p w14:paraId="4FF1EF8F" w14:textId="77777777" w:rsidR="0012156E" w:rsidRPr="0012156E" w:rsidRDefault="0012156E" w:rsidP="0012156E">
      <w:pPr>
        <w:rPr>
          <w:rFonts w:ascii="Arial" w:hAnsi="Arial" w:cs="Arial"/>
        </w:rPr>
      </w:pPr>
    </w:p>
    <w:p w14:paraId="40F244A8" w14:textId="77777777" w:rsidR="0012156E" w:rsidRPr="0012156E" w:rsidRDefault="0012156E" w:rsidP="0012156E">
      <w:pPr>
        <w:rPr>
          <w:rFonts w:ascii="Arial" w:hAnsi="Arial" w:cs="Arial"/>
        </w:rPr>
      </w:pPr>
    </w:p>
    <w:p w14:paraId="353C3871" w14:textId="77777777" w:rsidR="0012156E" w:rsidRPr="0012156E" w:rsidRDefault="0012156E" w:rsidP="0012156E">
      <w:pPr>
        <w:rPr>
          <w:rFonts w:ascii="Arial" w:hAnsi="Arial" w:cs="Arial"/>
        </w:rPr>
      </w:pPr>
    </w:p>
    <w:p w14:paraId="6781FCD4" w14:textId="77777777" w:rsidR="0012156E" w:rsidRPr="0012156E" w:rsidRDefault="0012156E" w:rsidP="0012156E">
      <w:pPr>
        <w:rPr>
          <w:rFonts w:ascii="Arial" w:hAnsi="Arial" w:cs="Arial"/>
        </w:rPr>
      </w:pPr>
    </w:p>
    <w:p w14:paraId="5ECBAD5C" w14:textId="77777777" w:rsidR="0012156E" w:rsidRPr="0012156E" w:rsidRDefault="0012156E" w:rsidP="0012156E">
      <w:pPr>
        <w:rPr>
          <w:rFonts w:ascii="Arial" w:hAnsi="Arial" w:cs="Arial"/>
        </w:rPr>
      </w:pPr>
    </w:p>
    <w:p w14:paraId="4AF28CF0" w14:textId="77777777" w:rsidR="0012156E" w:rsidRPr="0012156E" w:rsidRDefault="0012156E" w:rsidP="0012156E">
      <w:pPr>
        <w:rPr>
          <w:rFonts w:ascii="Arial" w:hAnsi="Arial" w:cs="Arial"/>
        </w:rPr>
      </w:pPr>
    </w:p>
    <w:p w14:paraId="1745A69B" w14:textId="77777777" w:rsidR="0012156E" w:rsidRPr="0012156E" w:rsidRDefault="0012156E" w:rsidP="0012156E">
      <w:pPr>
        <w:rPr>
          <w:rFonts w:ascii="Arial" w:hAnsi="Arial" w:cs="Arial"/>
        </w:rPr>
      </w:pPr>
    </w:p>
    <w:p w14:paraId="5C12CC9B" w14:textId="77777777" w:rsidR="0012156E" w:rsidRPr="0012156E" w:rsidRDefault="0012156E" w:rsidP="0012156E">
      <w:pPr>
        <w:rPr>
          <w:rFonts w:ascii="Arial" w:hAnsi="Arial" w:cs="Arial"/>
        </w:rPr>
      </w:pPr>
    </w:p>
    <w:p w14:paraId="34B72E9F" w14:textId="77777777" w:rsidR="0012156E" w:rsidRPr="0012156E" w:rsidRDefault="0012156E" w:rsidP="0012156E">
      <w:pPr>
        <w:rPr>
          <w:rFonts w:ascii="Arial" w:hAnsi="Arial" w:cs="Arial"/>
        </w:rPr>
      </w:pPr>
    </w:p>
    <w:p w14:paraId="58532621" w14:textId="77777777" w:rsidR="0012156E" w:rsidRPr="0012156E" w:rsidRDefault="0012156E" w:rsidP="0012156E">
      <w:pPr>
        <w:rPr>
          <w:rFonts w:ascii="Arial" w:hAnsi="Arial" w:cs="Arial"/>
        </w:rPr>
      </w:pPr>
    </w:p>
    <w:p w14:paraId="2DD3CC64" w14:textId="77777777" w:rsidR="0012156E" w:rsidRPr="0012156E" w:rsidRDefault="0012156E" w:rsidP="0012156E">
      <w:pPr>
        <w:rPr>
          <w:rFonts w:ascii="Arial" w:hAnsi="Arial" w:cs="Arial"/>
        </w:rPr>
      </w:pPr>
    </w:p>
    <w:p w14:paraId="22CFADD0" w14:textId="77777777" w:rsidR="0012156E" w:rsidRPr="0012156E" w:rsidRDefault="0012156E" w:rsidP="0012156E">
      <w:pPr>
        <w:rPr>
          <w:rFonts w:ascii="Arial" w:hAnsi="Arial" w:cs="Arial"/>
        </w:rPr>
      </w:pPr>
    </w:p>
    <w:p w14:paraId="3A474DA1" w14:textId="77777777" w:rsidR="0012156E" w:rsidRPr="0012156E" w:rsidRDefault="0012156E" w:rsidP="0012156E">
      <w:pPr>
        <w:rPr>
          <w:rFonts w:ascii="Arial" w:hAnsi="Arial" w:cs="Arial"/>
        </w:rPr>
      </w:pPr>
    </w:p>
    <w:p w14:paraId="4D78AF30" w14:textId="77777777" w:rsidR="0012156E" w:rsidRPr="0012156E" w:rsidRDefault="0012156E" w:rsidP="0012156E">
      <w:pPr>
        <w:rPr>
          <w:rFonts w:ascii="Arial" w:hAnsi="Arial" w:cs="Arial"/>
        </w:rPr>
      </w:pPr>
    </w:p>
    <w:p w14:paraId="68E49C3D" w14:textId="77777777" w:rsidR="0012156E" w:rsidRPr="0012156E" w:rsidRDefault="0012156E" w:rsidP="0012156E">
      <w:pPr>
        <w:rPr>
          <w:rFonts w:ascii="Arial" w:hAnsi="Arial" w:cs="Arial"/>
        </w:rPr>
      </w:pPr>
    </w:p>
    <w:p w14:paraId="400BE9C5" w14:textId="77777777" w:rsidR="0012156E" w:rsidRPr="0012156E" w:rsidRDefault="0012156E" w:rsidP="0012156E">
      <w:pPr>
        <w:rPr>
          <w:rFonts w:ascii="Arial" w:hAnsi="Arial" w:cs="Arial"/>
        </w:rPr>
      </w:pPr>
    </w:p>
    <w:p w14:paraId="30080F4C" w14:textId="77777777" w:rsidR="0012156E" w:rsidRPr="0012156E" w:rsidRDefault="0012156E" w:rsidP="0012156E">
      <w:pPr>
        <w:rPr>
          <w:rFonts w:ascii="Arial" w:hAnsi="Arial" w:cs="Arial"/>
        </w:rPr>
      </w:pPr>
    </w:p>
    <w:p w14:paraId="65C004B0" w14:textId="77777777" w:rsidR="0012156E" w:rsidRPr="0012156E" w:rsidRDefault="0012156E" w:rsidP="0012156E">
      <w:pPr>
        <w:rPr>
          <w:rFonts w:ascii="Arial" w:hAnsi="Arial" w:cs="Arial"/>
        </w:rPr>
      </w:pPr>
    </w:p>
    <w:p w14:paraId="735CFA7D" w14:textId="77777777" w:rsidR="0012156E" w:rsidRPr="0012156E" w:rsidRDefault="0012156E" w:rsidP="0012156E">
      <w:pPr>
        <w:rPr>
          <w:rFonts w:ascii="Arial" w:hAnsi="Arial" w:cs="Arial"/>
        </w:rPr>
      </w:pPr>
    </w:p>
    <w:p w14:paraId="68B220C8" w14:textId="77777777" w:rsidR="0012156E" w:rsidRPr="0012156E" w:rsidRDefault="0012156E" w:rsidP="0012156E">
      <w:pPr>
        <w:rPr>
          <w:rFonts w:ascii="Arial" w:hAnsi="Arial" w:cs="Arial"/>
        </w:rPr>
      </w:pPr>
    </w:p>
    <w:p w14:paraId="6DF5BA09" w14:textId="77777777" w:rsidR="0012156E" w:rsidRPr="0012156E" w:rsidRDefault="0012156E" w:rsidP="0012156E">
      <w:pPr>
        <w:rPr>
          <w:rFonts w:ascii="Arial" w:hAnsi="Arial" w:cs="Arial"/>
        </w:rPr>
      </w:pPr>
    </w:p>
    <w:p w14:paraId="12B8E194" w14:textId="77777777" w:rsidR="0012156E" w:rsidRPr="0012156E" w:rsidRDefault="0012156E" w:rsidP="0012156E">
      <w:pPr>
        <w:rPr>
          <w:rFonts w:ascii="Arial" w:hAnsi="Arial" w:cs="Arial"/>
        </w:rPr>
      </w:pPr>
    </w:p>
    <w:p w14:paraId="634AE93B" w14:textId="59B29D91" w:rsidR="0012156E" w:rsidRDefault="0012156E" w:rsidP="0012156E">
      <w:pPr>
        <w:rPr>
          <w:rFonts w:ascii="Arial" w:hAnsi="Arial" w:cs="Arial"/>
        </w:rPr>
      </w:pPr>
    </w:p>
    <w:p w14:paraId="3453A35C" w14:textId="33EADEFF" w:rsidR="0012156E" w:rsidRDefault="0012156E" w:rsidP="0012156E">
      <w:pPr>
        <w:jc w:val="right"/>
        <w:rPr>
          <w:rFonts w:ascii="Arial" w:hAnsi="Arial" w:cs="Arial"/>
        </w:rPr>
      </w:pPr>
    </w:p>
    <w:p w14:paraId="5479A23F" w14:textId="372E853D" w:rsidR="0012156E" w:rsidRDefault="0012156E" w:rsidP="0012156E">
      <w:pPr>
        <w:rPr>
          <w:rFonts w:ascii="Arial" w:hAnsi="Arial" w:cs="Arial"/>
        </w:rPr>
      </w:pPr>
    </w:p>
    <w:p w14:paraId="0EBA38AD" w14:textId="77777777" w:rsidR="00414DB1" w:rsidRPr="0012156E" w:rsidRDefault="00414DB1" w:rsidP="0012156E">
      <w:pPr>
        <w:rPr>
          <w:rFonts w:ascii="Arial" w:hAnsi="Arial" w:cs="Arial"/>
        </w:rPr>
        <w:sectPr w:rsidR="00414DB1" w:rsidRPr="0012156E" w:rsidSect="006B1E69">
          <w:footerReference w:type="even" r:id="rId14"/>
          <w:footerReference w:type="first" r:id="rId15"/>
          <w:pgSz w:w="11907" w:h="16839" w:code="9"/>
          <w:pgMar w:top="624" w:right="1418" w:bottom="1361" w:left="1418" w:header="567" w:footer="851" w:gutter="0"/>
          <w:pgNumType w:start="1"/>
          <w:cols w:space="720"/>
          <w:titlePg/>
          <w:docGrid w:linePitch="360"/>
        </w:sectPr>
      </w:pPr>
    </w:p>
    <w:sdt>
      <w:sdtPr>
        <w:rPr>
          <w:rFonts w:ascii="Arial" w:eastAsiaTheme="minorEastAsia" w:hAnsi="Arial" w:cs="Arial"/>
          <w:b w:val="0"/>
          <w:bCs w:val="0"/>
          <w:color w:val="auto"/>
          <w:sz w:val="22"/>
          <w:szCs w:val="22"/>
        </w:rPr>
        <w:id w:val="-338315031"/>
        <w:docPartObj>
          <w:docPartGallery w:val="Table of Contents"/>
          <w:docPartUnique/>
        </w:docPartObj>
      </w:sdtPr>
      <w:sdtEndPr>
        <w:rPr>
          <w:noProof/>
          <w:sz w:val="18"/>
        </w:rPr>
      </w:sdtEndPr>
      <w:sdtContent>
        <w:p w14:paraId="49230ED8" w14:textId="278E483E" w:rsidR="00D656E4" w:rsidRDefault="00F27148" w:rsidP="003F7D3D">
          <w:pPr>
            <w:pStyle w:val="TOCHeading"/>
            <w:spacing w:before="240" w:line="240" w:lineRule="auto"/>
            <w:jc w:val="center"/>
            <w:rPr>
              <w:rFonts w:ascii="Arial" w:eastAsiaTheme="minorEastAsia" w:hAnsi="Arial" w:cs="Arial"/>
              <w:bCs w:val="0"/>
              <w:color w:val="auto"/>
              <w:sz w:val="24"/>
              <w:szCs w:val="24"/>
            </w:rPr>
          </w:pPr>
          <w:r>
            <w:rPr>
              <w:rFonts w:ascii="Arial" w:eastAsiaTheme="minorEastAsia" w:hAnsi="Arial" w:cs="Arial"/>
              <w:bCs w:val="0"/>
              <w:color w:val="auto"/>
              <w:sz w:val="24"/>
              <w:szCs w:val="24"/>
            </w:rPr>
            <w:t>TABLE OF CONTENTS</w:t>
          </w:r>
        </w:p>
        <w:p w14:paraId="15254C50" w14:textId="77777777" w:rsidR="00F27148" w:rsidRPr="00F27148" w:rsidRDefault="00F27148" w:rsidP="003F7D3D"/>
        <w:p w14:paraId="2C4BD94E" w14:textId="77777777" w:rsidR="003F0305" w:rsidRDefault="00D42529">
          <w:pPr>
            <w:pStyle w:val="TOC1"/>
            <w:rPr>
              <w:rFonts w:asciiTheme="minorHAnsi" w:hAnsiTheme="minorHAnsi"/>
              <w:b w:val="0"/>
              <w:lang w:eastAsia="en-US"/>
            </w:rPr>
          </w:pPr>
          <w:r>
            <w:rPr>
              <w:rFonts w:cs="Arial"/>
              <w:b w:val="0"/>
            </w:rPr>
            <w:fldChar w:fldCharType="begin"/>
          </w:r>
          <w:r>
            <w:rPr>
              <w:rFonts w:cs="Arial"/>
              <w:b w:val="0"/>
            </w:rPr>
            <w:instrText xml:space="preserve"> TOC \o "1-3" \h \z \u </w:instrText>
          </w:r>
          <w:r>
            <w:rPr>
              <w:rFonts w:cs="Arial"/>
              <w:b w:val="0"/>
            </w:rPr>
            <w:fldChar w:fldCharType="separate"/>
          </w:r>
          <w:hyperlink w:anchor="_Toc431221396" w:history="1">
            <w:r w:rsidR="003F0305" w:rsidRPr="0017711C">
              <w:rPr>
                <w:rStyle w:val="Hyperlink"/>
              </w:rPr>
              <w:t>FOREWORD BY THE DIRECTOR GENERAL</w:t>
            </w:r>
            <w:r w:rsidR="003F0305">
              <w:rPr>
                <w:webHidden/>
              </w:rPr>
              <w:tab/>
            </w:r>
            <w:r w:rsidR="003F0305">
              <w:rPr>
                <w:webHidden/>
              </w:rPr>
              <w:fldChar w:fldCharType="begin"/>
            </w:r>
            <w:r w:rsidR="003F0305">
              <w:rPr>
                <w:webHidden/>
              </w:rPr>
              <w:instrText xml:space="preserve"> PAGEREF _Toc431221396 \h </w:instrText>
            </w:r>
            <w:r w:rsidR="003F0305">
              <w:rPr>
                <w:webHidden/>
              </w:rPr>
            </w:r>
            <w:r w:rsidR="003F0305">
              <w:rPr>
                <w:webHidden/>
              </w:rPr>
              <w:fldChar w:fldCharType="separate"/>
            </w:r>
            <w:r w:rsidR="006D6DD1">
              <w:rPr>
                <w:webHidden/>
              </w:rPr>
              <w:t>5</w:t>
            </w:r>
            <w:r w:rsidR="003F0305">
              <w:rPr>
                <w:webHidden/>
              </w:rPr>
              <w:fldChar w:fldCharType="end"/>
            </w:r>
          </w:hyperlink>
        </w:p>
        <w:p w14:paraId="74DC5CD9" w14:textId="77777777" w:rsidR="003F0305" w:rsidRDefault="006D6DD1">
          <w:pPr>
            <w:pStyle w:val="TOC1"/>
            <w:rPr>
              <w:rFonts w:asciiTheme="minorHAnsi" w:hAnsiTheme="minorHAnsi"/>
              <w:b w:val="0"/>
              <w:lang w:eastAsia="en-US"/>
            </w:rPr>
          </w:pPr>
          <w:hyperlink w:anchor="_Toc431221397" w:history="1">
            <w:r w:rsidR="003F0305" w:rsidRPr="0017711C">
              <w:rPr>
                <w:rStyle w:val="Hyperlink"/>
              </w:rPr>
              <w:t>I.</w:t>
            </w:r>
            <w:r w:rsidR="003F0305">
              <w:rPr>
                <w:rFonts w:asciiTheme="minorHAnsi" w:hAnsiTheme="minorHAnsi"/>
                <w:b w:val="0"/>
                <w:lang w:eastAsia="en-US"/>
              </w:rPr>
              <w:tab/>
            </w:r>
            <w:r w:rsidR="003F0305" w:rsidRPr="0017711C">
              <w:rPr>
                <w:rStyle w:val="Hyperlink"/>
              </w:rPr>
              <w:t>FINANCIAL AND RESULTS OVERVIEW</w:t>
            </w:r>
            <w:r w:rsidR="003F0305">
              <w:rPr>
                <w:webHidden/>
              </w:rPr>
              <w:tab/>
            </w:r>
            <w:r w:rsidR="003F0305">
              <w:rPr>
                <w:webHidden/>
              </w:rPr>
              <w:fldChar w:fldCharType="begin"/>
            </w:r>
            <w:r w:rsidR="003F0305">
              <w:rPr>
                <w:webHidden/>
              </w:rPr>
              <w:instrText xml:space="preserve"> PAGEREF _Toc431221397 \h </w:instrText>
            </w:r>
            <w:r w:rsidR="003F0305">
              <w:rPr>
                <w:webHidden/>
              </w:rPr>
            </w:r>
            <w:r w:rsidR="003F0305">
              <w:rPr>
                <w:webHidden/>
              </w:rPr>
              <w:fldChar w:fldCharType="separate"/>
            </w:r>
            <w:r>
              <w:rPr>
                <w:webHidden/>
              </w:rPr>
              <w:t>7</w:t>
            </w:r>
            <w:r w:rsidR="003F0305">
              <w:rPr>
                <w:webHidden/>
              </w:rPr>
              <w:fldChar w:fldCharType="end"/>
            </w:r>
          </w:hyperlink>
        </w:p>
        <w:p w14:paraId="44E2F707" w14:textId="77777777" w:rsidR="003F0305" w:rsidRDefault="006D6DD1">
          <w:pPr>
            <w:pStyle w:val="TOC3"/>
            <w:rPr>
              <w:rFonts w:asciiTheme="minorHAnsi" w:eastAsiaTheme="minorEastAsia" w:hAnsiTheme="minorHAnsi"/>
              <w:smallCaps w:val="0"/>
              <w:sz w:val="22"/>
              <w:lang w:eastAsia="en-US"/>
            </w:rPr>
          </w:pPr>
          <w:hyperlink w:anchor="_Toc431221398" w:history="1">
            <w:r w:rsidR="003F0305" w:rsidRPr="0017711C">
              <w:rPr>
                <w:rStyle w:val="Hyperlink"/>
              </w:rPr>
              <w:t>INCOME</w:t>
            </w:r>
            <w:r w:rsidR="003F0305">
              <w:rPr>
                <w:webHidden/>
              </w:rPr>
              <w:tab/>
            </w:r>
            <w:r w:rsidR="003F0305">
              <w:rPr>
                <w:webHidden/>
              </w:rPr>
              <w:fldChar w:fldCharType="begin"/>
            </w:r>
            <w:r w:rsidR="003F0305">
              <w:rPr>
                <w:webHidden/>
              </w:rPr>
              <w:instrText xml:space="preserve"> PAGEREF _Toc431221398 \h </w:instrText>
            </w:r>
            <w:r w:rsidR="003F0305">
              <w:rPr>
                <w:webHidden/>
              </w:rPr>
            </w:r>
            <w:r w:rsidR="003F0305">
              <w:rPr>
                <w:webHidden/>
              </w:rPr>
              <w:fldChar w:fldCharType="separate"/>
            </w:r>
            <w:r>
              <w:rPr>
                <w:webHidden/>
              </w:rPr>
              <w:t>7</w:t>
            </w:r>
            <w:r w:rsidR="003F0305">
              <w:rPr>
                <w:webHidden/>
              </w:rPr>
              <w:fldChar w:fldCharType="end"/>
            </w:r>
          </w:hyperlink>
        </w:p>
        <w:p w14:paraId="522BADAB" w14:textId="77777777" w:rsidR="003F0305" w:rsidRDefault="006D6DD1">
          <w:pPr>
            <w:pStyle w:val="TOC3"/>
            <w:rPr>
              <w:rFonts w:asciiTheme="minorHAnsi" w:eastAsiaTheme="minorEastAsia" w:hAnsiTheme="minorHAnsi"/>
              <w:smallCaps w:val="0"/>
              <w:sz w:val="22"/>
              <w:lang w:eastAsia="en-US"/>
            </w:rPr>
          </w:pPr>
          <w:hyperlink w:anchor="_Toc431221399" w:history="1">
            <w:r w:rsidR="003F0305" w:rsidRPr="0017711C">
              <w:rPr>
                <w:rStyle w:val="Hyperlink"/>
              </w:rPr>
              <w:t>RESULTS AND RESOURCES</w:t>
            </w:r>
            <w:r w:rsidR="003F0305">
              <w:rPr>
                <w:webHidden/>
              </w:rPr>
              <w:tab/>
            </w:r>
            <w:r w:rsidR="003F0305">
              <w:rPr>
                <w:webHidden/>
              </w:rPr>
              <w:fldChar w:fldCharType="begin"/>
            </w:r>
            <w:r w:rsidR="003F0305">
              <w:rPr>
                <w:webHidden/>
              </w:rPr>
              <w:instrText xml:space="preserve"> PAGEREF _Toc431221399 \h </w:instrText>
            </w:r>
            <w:r w:rsidR="003F0305">
              <w:rPr>
                <w:webHidden/>
              </w:rPr>
            </w:r>
            <w:r w:rsidR="003F0305">
              <w:rPr>
                <w:webHidden/>
              </w:rPr>
              <w:fldChar w:fldCharType="separate"/>
            </w:r>
            <w:r>
              <w:rPr>
                <w:webHidden/>
              </w:rPr>
              <w:t>13</w:t>
            </w:r>
            <w:r w:rsidR="003F0305">
              <w:rPr>
                <w:webHidden/>
              </w:rPr>
              <w:fldChar w:fldCharType="end"/>
            </w:r>
          </w:hyperlink>
        </w:p>
        <w:p w14:paraId="70B26910" w14:textId="77777777" w:rsidR="003F0305" w:rsidRDefault="006D6DD1">
          <w:pPr>
            <w:pStyle w:val="TOC3"/>
            <w:rPr>
              <w:rFonts w:asciiTheme="minorHAnsi" w:eastAsiaTheme="minorEastAsia" w:hAnsiTheme="minorHAnsi"/>
              <w:smallCaps w:val="0"/>
              <w:sz w:val="22"/>
              <w:lang w:eastAsia="en-US"/>
            </w:rPr>
          </w:pPr>
          <w:hyperlink w:anchor="_Toc431221400" w:history="1">
            <w:r w:rsidR="003F0305" w:rsidRPr="0017711C">
              <w:rPr>
                <w:rStyle w:val="Hyperlink"/>
              </w:rPr>
              <w:t>NON-PERSONNEL RESOURCES</w:t>
            </w:r>
            <w:r w:rsidR="003F0305">
              <w:rPr>
                <w:webHidden/>
              </w:rPr>
              <w:tab/>
            </w:r>
            <w:r w:rsidR="003F0305">
              <w:rPr>
                <w:webHidden/>
              </w:rPr>
              <w:fldChar w:fldCharType="begin"/>
            </w:r>
            <w:r w:rsidR="003F0305">
              <w:rPr>
                <w:webHidden/>
              </w:rPr>
              <w:instrText xml:space="preserve"> PAGEREF _Toc431221400 \h </w:instrText>
            </w:r>
            <w:r w:rsidR="003F0305">
              <w:rPr>
                <w:webHidden/>
              </w:rPr>
            </w:r>
            <w:r w:rsidR="003F0305">
              <w:rPr>
                <w:webHidden/>
              </w:rPr>
              <w:fldChar w:fldCharType="separate"/>
            </w:r>
            <w:r>
              <w:rPr>
                <w:webHidden/>
              </w:rPr>
              <w:t>20</w:t>
            </w:r>
            <w:r w:rsidR="003F0305">
              <w:rPr>
                <w:webHidden/>
              </w:rPr>
              <w:fldChar w:fldCharType="end"/>
            </w:r>
          </w:hyperlink>
        </w:p>
        <w:p w14:paraId="077572E4" w14:textId="77777777" w:rsidR="003F0305" w:rsidRDefault="006D6DD1">
          <w:pPr>
            <w:pStyle w:val="TOC3"/>
            <w:rPr>
              <w:rFonts w:asciiTheme="minorHAnsi" w:eastAsiaTheme="minorEastAsia" w:hAnsiTheme="minorHAnsi"/>
              <w:smallCaps w:val="0"/>
              <w:sz w:val="22"/>
              <w:lang w:eastAsia="en-US"/>
            </w:rPr>
          </w:pPr>
          <w:hyperlink w:anchor="_Toc431221401" w:history="1">
            <w:r w:rsidR="003F0305" w:rsidRPr="0017711C">
              <w:rPr>
                <w:rStyle w:val="Hyperlink"/>
              </w:rPr>
              <w:t>PERSONNEL COSTS</w:t>
            </w:r>
            <w:r w:rsidR="003F0305">
              <w:rPr>
                <w:webHidden/>
              </w:rPr>
              <w:tab/>
            </w:r>
            <w:r w:rsidR="003F0305">
              <w:rPr>
                <w:webHidden/>
              </w:rPr>
              <w:fldChar w:fldCharType="begin"/>
            </w:r>
            <w:r w:rsidR="003F0305">
              <w:rPr>
                <w:webHidden/>
              </w:rPr>
              <w:instrText xml:space="preserve"> PAGEREF _Toc431221401 \h </w:instrText>
            </w:r>
            <w:r w:rsidR="003F0305">
              <w:rPr>
                <w:webHidden/>
              </w:rPr>
            </w:r>
            <w:r w:rsidR="003F0305">
              <w:rPr>
                <w:webHidden/>
              </w:rPr>
              <w:fldChar w:fldCharType="separate"/>
            </w:r>
            <w:r>
              <w:rPr>
                <w:webHidden/>
              </w:rPr>
              <w:t>21</w:t>
            </w:r>
            <w:r w:rsidR="003F0305">
              <w:rPr>
                <w:webHidden/>
              </w:rPr>
              <w:fldChar w:fldCharType="end"/>
            </w:r>
          </w:hyperlink>
        </w:p>
        <w:p w14:paraId="3FC553D8" w14:textId="77777777" w:rsidR="003F0305" w:rsidRDefault="006D6DD1">
          <w:pPr>
            <w:pStyle w:val="TOC3"/>
            <w:rPr>
              <w:rFonts w:asciiTheme="minorHAnsi" w:eastAsiaTheme="minorEastAsia" w:hAnsiTheme="minorHAnsi"/>
              <w:smallCaps w:val="0"/>
              <w:sz w:val="22"/>
              <w:lang w:eastAsia="en-US"/>
            </w:rPr>
          </w:pPr>
          <w:hyperlink w:anchor="_Toc431221402" w:history="1">
            <w:r w:rsidR="003F0305" w:rsidRPr="0017711C">
              <w:rPr>
                <w:rStyle w:val="Hyperlink"/>
              </w:rPr>
              <w:t>DEVELOPMENT ACTIVITIES AND DEVELOPMENT AGENDA RESOURCES</w:t>
            </w:r>
            <w:r w:rsidR="003F0305">
              <w:rPr>
                <w:webHidden/>
              </w:rPr>
              <w:tab/>
            </w:r>
            <w:r w:rsidR="003F0305">
              <w:rPr>
                <w:webHidden/>
              </w:rPr>
              <w:fldChar w:fldCharType="begin"/>
            </w:r>
            <w:r w:rsidR="003F0305">
              <w:rPr>
                <w:webHidden/>
              </w:rPr>
              <w:instrText xml:space="preserve"> PAGEREF _Toc431221402 \h </w:instrText>
            </w:r>
            <w:r w:rsidR="003F0305">
              <w:rPr>
                <w:webHidden/>
              </w:rPr>
            </w:r>
            <w:r w:rsidR="003F0305">
              <w:rPr>
                <w:webHidden/>
              </w:rPr>
              <w:fldChar w:fldCharType="separate"/>
            </w:r>
            <w:r>
              <w:rPr>
                <w:webHidden/>
              </w:rPr>
              <w:t>23</w:t>
            </w:r>
            <w:r w:rsidR="003F0305">
              <w:rPr>
                <w:webHidden/>
              </w:rPr>
              <w:fldChar w:fldCharType="end"/>
            </w:r>
          </w:hyperlink>
        </w:p>
        <w:p w14:paraId="102E5618" w14:textId="77777777" w:rsidR="003F0305" w:rsidRDefault="006D6DD1">
          <w:pPr>
            <w:pStyle w:val="TOC1"/>
            <w:rPr>
              <w:rFonts w:asciiTheme="minorHAnsi" w:hAnsiTheme="minorHAnsi"/>
              <w:b w:val="0"/>
              <w:lang w:eastAsia="en-US"/>
            </w:rPr>
          </w:pPr>
          <w:hyperlink w:anchor="_Toc431221403" w:history="1">
            <w:r w:rsidR="003F0305" w:rsidRPr="0017711C">
              <w:rPr>
                <w:rStyle w:val="Hyperlink"/>
              </w:rPr>
              <w:t>II.</w:t>
            </w:r>
            <w:r w:rsidR="003F0305">
              <w:rPr>
                <w:rFonts w:asciiTheme="minorHAnsi" w:hAnsiTheme="minorHAnsi"/>
                <w:b w:val="0"/>
                <w:lang w:eastAsia="en-US"/>
              </w:rPr>
              <w:tab/>
            </w:r>
            <w:r w:rsidR="003F0305" w:rsidRPr="0017711C">
              <w:rPr>
                <w:rStyle w:val="Hyperlink"/>
              </w:rPr>
              <w:t>PROGRAM NARRATIVES BY STRATEGIC GOAL</w:t>
            </w:r>
            <w:r w:rsidR="003F0305">
              <w:rPr>
                <w:webHidden/>
              </w:rPr>
              <w:tab/>
            </w:r>
            <w:r w:rsidR="003F0305">
              <w:rPr>
                <w:webHidden/>
              </w:rPr>
              <w:fldChar w:fldCharType="begin"/>
            </w:r>
            <w:r w:rsidR="003F0305">
              <w:rPr>
                <w:webHidden/>
              </w:rPr>
              <w:instrText xml:space="preserve"> PAGEREF _Toc431221403 \h </w:instrText>
            </w:r>
            <w:r w:rsidR="003F0305">
              <w:rPr>
                <w:webHidden/>
              </w:rPr>
            </w:r>
            <w:r w:rsidR="003F0305">
              <w:rPr>
                <w:webHidden/>
              </w:rPr>
              <w:fldChar w:fldCharType="separate"/>
            </w:r>
            <w:r>
              <w:rPr>
                <w:webHidden/>
              </w:rPr>
              <w:t>25</w:t>
            </w:r>
            <w:r w:rsidR="003F0305">
              <w:rPr>
                <w:webHidden/>
              </w:rPr>
              <w:fldChar w:fldCharType="end"/>
            </w:r>
          </w:hyperlink>
        </w:p>
        <w:p w14:paraId="5CA99B47" w14:textId="77777777" w:rsidR="003F0305" w:rsidRPr="00AC4500" w:rsidRDefault="006D6DD1">
          <w:pPr>
            <w:pStyle w:val="TOC3"/>
            <w:tabs>
              <w:tab w:val="left" w:pos="2505"/>
            </w:tabs>
            <w:rPr>
              <w:rFonts w:asciiTheme="minorHAnsi" w:eastAsiaTheme="minorEastAsia" w:hAnsiTheme="minorHAnsi"/>
              <w:b/>
              <w:smallCaps w:val="0"/>
              <w:sz w:val="22"/>
              <w:lang w:eastAsia="en-US"/>
            </w:rPr>
          </w:pPr>
          <w:hyperlink w:anchor="_Toc431221404" w:history="1">
            <w:r w:rsidR="003F0305" w:rsidRPr="00AC4500">
              <w:rPr>
                <w:rStyle w:val="Hyperlink"/>
                <w:b/>
              </w:rPr>
              <w:t>STRATEGIC GOAL I</w:t>
            </w:r>
            <w:r w:rsidR="003F0305" w:rsidRPr="00AC4500">
              <w:rPr>
                <w:rFonts w:asciiTheme="minorHAnsi" w:eastAsiaTheme="minorEastAsia" w:hAnsiTheme="minorHAnsi"/>
                <w:b/>
                <w:smallCaps w:val="0"/>
                <w:sz w:val="22"/>
                <w:lang w:eastAsia="en-US"/>
              </w:rPr>
              <w:tab/>
            </w:r>
            <w:r w:rsidR="003F0305" w:rsidRPr="00AC4500">
              <w:rPr>
                <w:rStyle w:val="Hyperlink"/>
                <w:b/>
              </w:rPr>
              <w:t>BALANCED EVOLUTION OF THE INTERNATIONAL NORMATIVE FRAMEWORK FOR IP</w:t>
            </w:r>
            <w:r w:rsidR="003F0305" w:rsidRPr="00AC4500">
              <w:rPr>
                <w:b/>
                <w:webHidden/>
              </w:rPr>
              <w:tab/>
            </w:r>
            <w:r w:rsidR="003F0305" w:rsidRPr="00AC4500">
              <w:rPr>
                <w:b/>
                <w:webHidden/>
              </w:rPr>
              <w:fldChar w:fldCharType="begin"/>
            </w:r>
            <w:r w:rsidR="003F0305" w:rsidRPr="00AC4500">
              <w:rPr>
                <w:b/>
                <w:webHidden/>
              </w:rPr>
              <w:instrText xml:space="preserve"> PAGEREF _Toc431221404 \h </w:instrText>
            </w:r>
            <w:r w:rsidR="003F0305" w:rsidRPr="00AC4500">
              <w:rPr>
                <w:b/>
                <w:webHidden/>
              </w:rPr>
            </w:r>
            <w:r w:rsidR="003F0305" w:rsidRPr="00AC4500">
              <w:rPr>
                <w:b/>
                <w:webHidden/>
              </w:rPr>
              <w:fldChar w:fldCharType="separate"/>
            </w:r>
            <w:r>
              <w:rPr>
                <w:b/>
                <w:webHidden/>
              </w:rPr>
              <w:t>25</w:t>
            </w:r>
            <w:r w:rsidR="003F0305" w:rsidRPr="00AC4500">
              <w:rPr>
                <w:b/>
                <w:webHidden/>
              </w:rPr>
              <w:fldChar w:fldCharType="end"/>
            </w:r>
          </w:hyperlink>
        </w:p>
        <w:p w14:paraId="71B6D459" w14:textId="77777777" w:rsidR="003F0305" w:rsidRDefault="006D6DD1">
          <w:pPr>
            <w:pStyle w:val="TOC3"/>
            <w:rPr>
              <w:rFonts w:asciiTheme="minorHAnsi" w:eastAsiaTheme="minorEastAsia" w:hAnsiTheme="minorHAnsi"/>
              <w:smallCaps w:val="0"/>
              <w:sz w:val="22"/>
              <w:lang w:eastAsia="en-US"/>
            </w:rPr>
          </w:pPr>
          <w:hyperlink w:anchor="_Toc431221405" w:history="1">
            <w:r w:rsidR="003F0305" w:rsidRPr="0017711C">
              <w:rPr>
                <w:rStyle w:val="Hyperlink"/>
              </w:rPr>
              <w:t>PROGRAM 1</w:t>
            </w:r>
            <w:r w:rsidR="003F0305">
              <w:rPr>
                <w:rFonts w:asciiTheme="minorHAnsi" w:eastAsiaTheme="minorEastAsia" w:hAnsiTheme="minorHAnsi"/>
                <w:smallCaps w:val="0"/>
                <w:sz w:val="22"/>
                <w:lang w:eastAsia="en-US"/>
              </w:rPr>
              <w:tab/>
            </w:r>
            <w:r w:rsidR="003F0305" w:rsidRPr="0017711C">
              <w:rPr>
                <w:rStyle w:val="Hyperlink"/>
              </w:rPr>
              <w:t>PATENT LAW</w:t>
            </w:r>
            <w:r w:rsidR="003F0305">
              <w:rPr>
                <w:webHidden/>
              </w:rPr>
              <w:tab/>
            </w:r>
            <w:r w:rsidR="003F0305">
              <w:rPr>
                <w:webHidden/>
              </w:rPr>
              <w:fldChar w:fldCharType="begin"/>
            </w:r>
            <w:r w:rsidR="003F0305">
              <w:rPr>
                <w:webHidden/>
              </w:rPr>
              <w:instrText xml:space="preserve"> PAGEREF _Toc431221405 \h </w:instrText>
            </w:r>
            <w:r w:rsidR="003F0305">
              <w:rPr>
                <w:webHidden/>
              </w:rPr>
            </w:r>
            <w:r w:rsidR="003F0305">
              <w:rPr>
                <w:webHidden/>
              </w:rPr>
              <w:fldChar w:fldCharType="separate"/>
            </w:r>
            <w:r>
              <w:rPr>
                <w:webHidden/>
              </w:rPr>
              <w:t>27</w:t>
            </w:r>
            <w:r w:rsidR="003F0305">
              <w:rPr>
                <w:webHidden/>
              </w:rPr>
              <w:fldChar w:fldCharType="end"/>
            </w:r>
          </w:hyperlink>
        </w:p>
        <w:p w14:paraId="0DFD4735" w14:textId="77777777" w:rsidR="003F0305" w:rsidRDefault="006D6DD1">
          <w:pPr>
            <w:pStyle w:val="TOC3"/>
            <w:rPr>
              <w:rFonts w:asciiTheme="minorHAnsi" w:eastAsiaTheme="minorEastAsia" w:hAnsiTheme="minorHAnsi"/>
              <w:smallCaps w:val="0"/>
              <w:sz w:val="22"/>
              <w:lang w:eastAsia="en-US"/>
            </w:rPr>
          </w:pPr>
          <w:hyperlink w:anchor="_Toc431221406" w:history="1">
            <w:r w:rsidR="003F0305" w:rsidRPr="0017711C">
              <w:rPr>
                <w:rStyle w:val="Hyperlink"/>
              </w:rPr>
              <w:t>PROGRAM 2</w:t>
            </w:r>
            <w:r w:rsidR="003F0305">
              <w:rPr>
                <w:rFonts w:asciiTheme="minorHAnsi" w:eastAsiaTheme="minorEastAsia" w:hAnsiTheme="minorHAnsi"/>
                <w:smallCaps w:val="0"/>
                <w:sz w:val="22"/>
                <w:lang w:eastAsia="en-US"/>
              </w:rPr>
              <w:tab/>
            </w:r>
            <w:r w:rsidR="003F0305" w:rsidRPr="0017711C">
              <w:rPr>
                <w:rStyle w:val="Hyperlink"/>
              </w:rPr>
              <w:t>TRADEMARKS, INDUSTRIAL DESIGNS AND GEOGRAPHICAL INDICATIONS</w:t>
            </w:r>
            <w:r w:rsidR="003F0305">
              <w:rPr>
                <w:webHidden/>
              </w:rPr>
              <w:tab/>
            </w:r>
            <w:r w:rsidR="003F0305">
              <w:rPr>
                <w:webHidden/>
              </w:rPr>
              <w:fldChar w:fldCharType="begin"/>
            </w:r>
            <w:r w:rsidR="003F0305">
              <w:rPr>
                <w:webHidden/>
              </w:rPr>
              <w:instrText xml:space="preserve"> PAGEREF _Toc431221406 \h </w:instrText>
            </w:r>
            <w:r w:rsidR="003F0305">
              <w:rPr>
                <w:webHidden/>
              </w:rPr>
            </w:r>
            <w:r w:rsidR="003F0305">
              <w:rPr>
                <w:webHidden/>
              </w:rPr>
              <w:fldChar w:fldCharType="separate"/>
            </w:r>
            <w:r>
              <w:rPr>
                <w:webHidden/>
              </w:rPr>
              <w:t>31</w:t>
            </w:r>
            <w:r w:rsidR="003F0305">
              <w:rPr>
                <w:webHidden/>
              </w:rPr>
              <w:fldChar w:fldCharType="end"/>
            </w:r>
          </w:hyperlink>
        </w:p>
        <w:p w14:paraId="48A16CE2" w14:textId="77777777" w:rsidR="003F0305" w:rsidRDefault="006D6DD1">
          <w:pPr>
            <w:pStyle w:val="TOC3"/>
            <w:rPr>
              <w:rFonts w:asciiTheme="minorHAnsi" w:eastAsiaTheme="minorEastAsia" w:hAnsiTheme="minorHAnsi"/>
              <w:smallCaps w:val="0"/>
              <w:sz w:val="22"/>
              <w:lang w:eastAsia="en-US"/>
            </w:rPr>
          </w:pPr>
          <w:hyperlink w:anchor="_Toc431221407" w:history="1">
            <w:r w:rsidR="003F0305" w:rsidRPr="0017711C">
              <w:rPr>
                <w:rStyle w:val="Hyperlink"/>
              </w:rPr>
              <w:t>PROGRAM 3</w:t>
            </w:r>
            <w:r w:rsidR="003F0305">
              <w:rPr>
                <w:rFonts w:asciiTheme="minorHAnsi" w:eastAsiaTheme="minorEastAsia" w:hAnsiTheme="minorHAnsi"/>
                <w:smallCaps w:val="0"/>
                <w:sz w:val="22"/>
                <w:lang w:eastAsia="en-US"/>
              </w:rPr>
              <w:tab/>
            </w:r>
            <w:r w:rsidR="003F0305" w:rsidRPr="0017711C">
              <w:rPr>
                <w:rStyle w:val="Hyperlink"/>
              </w:rPr>
              <w:t>COPYRIGHT AND RELATED RIGHTS</w:t>
            </w:r>
            <w:r w:rsidR="003F0305">
              <w:rPr>
                <w:webHidden/>
              </w:rPr>
              <w:tab/>
            </w:r>
            <w:r w:rsidR="003F0305">
              <w:rPr>
                <w:webHidden/>
              </w:rPr>
              <w:fldChar w:fldCharType="begin"/>
            </w:r>
            <w:r w:rsidR="003F0305">
              <w:rPr>
                <w:webHidden/>
              </w:rPr>
              <w:instrText xml:space="preserve"> PAGEREF _Toc431221407 \h </w:instrText>
            </w:r>
            <w:r w:rsidR="003F0305">
              <w:rPr>
                <w:webHidden/>
              </w:rPr>
            </w:r>
            <w:r w:rsidR="003F0305">
              <w:rPr>
                <w:webHidden/>
              </w:rPr>
              <w:fldChar w:fldCharType="separate"/>
            </w:r>
            <w:r>
              <w:rPr>
                <w:webHidden/>
              </w:rPr>
              <w:t>35</w:t>
            </w:r>
            <w:r w:rsidR="003F0305">
              <w:rPr>
                <w:webHidden/>
              </w:rPr>
              <w:fldChar w:fldCharType="end"/>
            </w:r>
          </w:hyperlink>
        </w:p>
        <w:p w14:paraId="73DAEF84" w14:textId="77777777" w:rsidR="003F0305" w:rsidRDefault="006D6DD1">
          <w:pPr>
            <w:pStyle w:val="TOC3"/>
            <w:rPr>
              <w:rFonts w:asciiTheme="minorHAnsi" w:eastAsiaTheme="minorEastAsia" w:hAnsiTheme="minorHAnsi"/>
              <w:smallCaps w:val="0"/>
              <w:sz w:val="22"/>
              <w:lang w:eastAsia="en-US"/>
            </w:rPr>
          </w:pPr>
          <w:hyperlink w:anchor="_Toc431221408" w:history="1">
            <w:r w:rsidR="003F0305" w:rsidRPr="0017711C">
              <w:rPr>
                <w:rStyle w:val="Hyperlink"/>
              </w:rPr>
              <w:t>PROGRAM 4:</w:t>
            </w:r>
            <w:r w:rsidR="003F0305">
              <w:rPr>
                <w:rFonts w:asciiTheme="minorHAnsi" w:eastAsiaTheme="minorEastAsia" w:hAnsiTheme="minorHAnsi"/>
                <w:smallCaps w:val="0"/>
                <w:sz w:val="22"/>
                <w:lang w:eastAsia="en-US"/>
              </w:rPr>
              <w:tab/>
            </w:r>
            <w:r w:rsidR="003F0305" w:rsidRPr="0017711C">
              <w:rPr>
                <w:rStyle w:val="Hyperlink"/>
              </w:rPr>
              <w:t>TRADITIONAL KNOWLEDGE, TRADITIONAL CULTURAL EXPRESSIONS AND GENETIC RESOURCES</w:t>
            </w:r>
            <w:r w:rsidR="003F0305">
              <w:rPr>
                <w:webHidden/>
              </w:rPr>
              <w:tab/>
            </w:r>
            <w:r w:rsidR="003F0305">
              <w:rPr>
                <w:webHidden/>
              </w:rPr>
              <w:fldChar w:fldCharType="begin"/>
            </w:r>
            <w:r w:rsidR="003F0305">
              <w:rPr>
                <w:webHidden/>
              </w:rPr>
              <w:instrText xml:space="preserve"> PAGEREF _Toc431221408 \h </w:instrText>
            </w:r>
            <w:r w:rsidR="003F0305">
              <w:rPr>
                <w:webHidden/>
              </w:rPr>
            </w:r>
            <w:r w:rsidR="003F0305">
              <w:rPr>
                <w:webHidden/>
              </w:rPr>
              <w:fldChar w:fldCharType="separate"/>
            </w:r>
            <w:r>
              <w:rPr>
                <w:webHidden/>
              </w:rPr>
              <w:t>40</w:t>
            </w:r>
            <w:r w:rsidR="003F0305">
              <w:rPr>
                <w:webHidden/>
              </w:rPr>
              <w:fldChar w:fldCharType="end"/>
            </w:r>
          </w:hyperlink>
        </w:p>
        <w:p w14:paraId="31239DDB" w14:textId="77777777" w:rsidR="003F0305" w:rsidRPr="00AC4500" w:rsidRDefault="006D6DD1">
          <w:pPr>
            <w:pStyle w:val="TOC3"/>
            <w:tabs>
              <w:tab w:val="left" w:pos="2560"/>
            </w:tabs>
            <w:rPr>
              <w:rFonts w:asciiTheme="minorHAnsi" w:eastAsiaTheme="minorEastAsia" w:hAnsiTheme="minorHAnsi"/>
              <w:b/>
              <w:smallCaps w:val="0"/>
              <w:sz w:val="22"/>
              <w:lang w:eastAsia="en-US"/>
            </w:rPr>
          </w:pPr>
          <w:hyperlink w:anchor="_Toc431221409" w:history="1">
            <w:r w:rsidR="003F0305" w:rsidRPr="00AC4500">
              <w:rPr>
                <w:rStyle w:val="Hyperlink"/>
                <w:b/>
              </w:rPr>
              <w:t>STRATEGIC GOAL II</w:t>
            </w:r>
            <w:r w:rsidR="003F0305" w:rsidRPr="00AC4500">
              <w:rPr>
                <w:rFonts w:asciiTheme="minorHAnsi" w:eastAsiaTheme="minorEastAsia" w:hAnsiTheme="minorHAnsi"/>
                <w:b/>
                <w:smallCaps w:val="0"/>
                <w:sz w:val="22"/>
                <w:lang w:eastAsia="en-US"/>
              </w:rPr>
              <w:tab/>
            </w:r>
            <w:r w:rsidR="003F0305" w:rsidRPr="00AC4500">
              <w:rPr>
                <w:rStyle w:val="Hyperlink"/>
                <w:b/>
              </w:rPr>
              <w:t>PROVISION OF PREMIER GLOBAL IP SERVICES</w:t>
            </w:r>
            <w:r w:rsidR="003F0305" w:rsidRPr="00AC4500">
              <w:rPr>
                <w:b/>
                <w:webHidden/>
              </w:rPr>
              <w:tab/>
            </w:r>
            <w:r w:rsidR="003F0305" w:rsidRPr="00AC4500">
              <w:rPr>
                <w:b/>
                <w:webHidden/>
              </w:rPr>
              <w:fldChar w:fldCharType="begin"/>
            </w:r>
            <w:r w:rsidR="003F0305" w:rsidRPr="00AC4500">
              <w:rPr>
                <w:b/>
                <w:webHidden/>
              </w:rPr>
              <w:instrText xml:space="preserve"> PAGEREF _Toc431221409 \h </w:instrText>
            </w:r>
            <w:r w:rsidR="003F0305" w:rsidRPr="00AC4500">
              <w:rPr>
                <w:b/>
                <w:webHidden/>
              </w:rPr>
            </w:r>
            <w:r w:rsidR="003F0305" w:rsidRPr="00AC4500">
              <w:rPr>
                <w:b/>
                <w:webHidden/>
              </w:rPr>
              <w:fldChar w:fldCharType="separate"/>
            </w:r>
            <w:r>
              <w:rPr>
                <w:b/>
                <w:webHidden/>
              </w:rPr>
              <w:t>44</w:t>
            </w:r>
            <w:r w:rsidR="003F0305" w:rsidRPr="00AC4500">
              <w:rPr>
                <w:b/>
                <w:webHidden/>
              </w:rPr>
              <w:fldChar w:fldCharType="end"/>
            </w:r>
          </w:hyperlink>
        </w:p>
        <w:p w14:paraId="3E6B9A9F" w14:textId="77777777" w:rsidR="003F0305" w:rsidRDefault="006D6DD1">
          <w:pPr>
            <w:pStyle w:val="TOC3"/>
            <w:rPr>
              <w:rFonts w:asciiTheme="minorHAnsi" w:eastAsiaTheme="minorEastAsia" w:hAnsiTheme="minorHAnsi"/>
              <w:smallCaps w:val="0"/>
              <w:sz w:val="22"/>
              <w:lang w:eastAsia="en-US"/>
            </w:rPr>
          </w:pPr>
          <w:hyperlink w:anchor="_Toc431221410" w:history="1">
            <w:r w:rsidR="003F0305" w:rsidRPr="0017711C">
              <w:rPr>
                <w:rStyle w:val="Hyperlink"/>
              </w:rPr>
              <w:t>PROGRAM 5</w:t>
            </w:r>
            <w:r w:rsidR="003F0305">
              <w:rPr>
                <w:rFonts w:asciiTheme="minorHAnsi" w:eastAsiaTheme="minorEastAsia" w:hAnsiTheme="minorHAnsi"/>
                <w:smallCaps w:val="0"/>
                <w:sz w:val="22"/>
                <w:lang w:eastAsia="en-US"/>
              </w:rPr>
              <w:tab/>
            </w:r>
            <w:r w:rsidR="003F0305" w:rsidRPr="0017711C">
              <w:rPr>
                <w:rStyle w:val="Hyperlink"/>
              </w:rPr>
              <w:t>THE PCT SYSTEM</w:t>
            </w:r>
            <w:r w:rsidR="003F0305">
              <w:rPr>
                <w:webHidden/>
              </w:rPr>
              <w:tab/>
            </w:r>
            <w:r w:rsidR="003F0305">
              <w:rPr>
                <w:webHidden/>
              </w:rPr>
              <w:fldChar w:fldCharType="begin"/>
            </w:r>
            <w:r w:rsidR="003F0305">
              <w:rPr>
                <w:webHidden/>
              </w:rPr>
              <w:instrText xml:space="preserve"> PAGEREF _Toc431221410 \h </w:instrText>
            </w:r>
            <w:r w:rsidR="003F0305">
              <w:rPr>
                <w:webHidden/>
              </w:rPr>
            </w:r>
            <w:r w:rsidR="003F0305">
              <w:rPr>
                <w:webHidden/>
              </w:rPr>
              <w:fldChar w:fldCharType="separate"/>
            </w:r>
            <w:r>
              <w:rPr>
                <w:webHidden/>
              </w:rPr>
              <w:t>47</w:t>
            </w:r>
            <w:r w:rsidR="003F0305">
              <w:rPr>
                <w:webHidden/>
              </w:rPr>
              <w:fldChar w:fldCharType="end"/>
            </w:r>
          </w:hyperlink>
        </w:p>
        <w:p w14:paraId="4117AB37" w14:textId="77777777" w:rsidR="003F0305" w:rsidRDefault="006D6DD1">
          <w:pPr>
            <w:pStyle w:val="TOC3"/>
            <w:rPr>
              <w:rFonts w:asciiTheme="minorHAnsi" w:eastAsiaTheme="minorEastAsia" w:hAnsiTheme="minorHAnsi"/>
              <w:smallCaps w:val="0"/>
              <w:sz w:val="22"/>
              <w:lang w:eastAsia="en-US"/>
            </w:rPr>
          </w:pPr>
          <w:hyperlink w:anchor="_Toc431221411" w:history="1">
            <w:r w:rsidR="003F0305" w:rsidRPr="0017711C">
              <w:rPr>
                <w:rStyle w:val="Hyperlink"/>
              </w:rPr>
              <w:t>PROGRAM 6</w:t>
            </w:r>
            <w:r w:rsidR="003F0305">
              <w:rPr>
                <w:rFonts w:asciiTheme="minorHAnsi" w:eastAsiaTheme="minorEastAsia" w:hAnsiTheme="minorHAnsi"/>
                <w:smallCaps w:val="0"/>
                <w:sz w:val="22"/>
                <w:lang w:eastAsia="en-US"/>
              </w:rPr>
              <w:tab/>
            </w:r>
            <w:r w:rsidR="003F0305" w:rsidRPr="0017711C">
              <w:rPr>
                <w:rStyle w:val="Hyperlink"/>
              </w:rPr>
              <w:t>MADRID SYSTEM</w:t>
            </w:r>
            <w:r w:rsidR="003F0305">
              <w:rPr>
                <w:webHidden/>
              </w:rPr>
              <w:tab/>
            </w:r>
            <w:r w:rsidR="003F0305">
              <w:rPr>
                <w:webHidden/>
              </w:rPr>
              <w:fldChar w:fldCharType="begin"/>
            </w:r>
            <w:r w:rsidR="003F0305">
              <w:rPr>
                <w:webHidden/>
              </w:rPr>
              <w:instrText xml:space="preserve"> PAGEREF _Toc431221411 \h </w:instrText>
            </w:r>
            <w:r w:rsidR="003F0305">
              <w:rPr>
                <w:webHidden/>
              </w:rPr>
            </w:r>
            <w:r w:rsidR="003F0305">
              <w:rPr>
                <w:webHidden/>
              </w:rPr>
              <w:fldChar w:fldCharType="separate"/>
            </w:r>
            <w:r>
              <w:rPr>
                <w:webHidden/>
              </w:rPr>
              <w:t>51</w:t>
            </w:r>
            <w:r w:rsidR="003F0305">
              <w:rPr>
                <w:webHidden/>
              </w:rPr>
              <w:fldChar w:fldCharType="end"/>
            </w:r>
          </w:hyperlink>
        </w:p>
        <w:p w14:paraId="44103492" w14:textId="77777777" w:rsidR="003F0305" w:rsidRDefault="006D6DD1">
          <w:pPr>
            <w:pStyle w:val="TOC3"/>
            <w:rPr>
              <w:rFonts w:asciiTheme="minorHAnsi" w:eastAsiaTheme="minorEastAsia" w:hAnsiTheme="minorHAnsi"/>
              <w:smallCaps w:val="0"/>
              <w:sz w:val="22"/>
              <w:lang w:eastAsia="en-US"/>
            </w:rPr>
          </w:pPr>
          <w:hyperlink w:anchor="_Toc431221412" w:history="1">
            <w:r w:rsidR="003F0305" w:rsidRPr="0017711C">
              <w:rPr>
                <w:rStyle w:val="Hyperlink"/>
              </w:rPr>
              <w:t>PROGRAM 31</w:t>
            </w:r>
            <w:r w:rsidR="003F0305">
              <w:rPr>
                <w:rFonts w:asciiTheme="minorHAnsi" w:eastAsiaTheme="minorEastAsia" w:hAnsiTheme="minorHAnsi"/>
                <w:smallCaps w:val="0"/>
                <w:sz w:val="22"/>
                <w:lang w:eastAsia="en-US"/>
              </w:rPr>
              <w:tab/>
            </w:r>
            <w:r w:rsidR="003F0305" w:rsidRPr="0017711C">
              <w:rPr>
                <w:rStyle w:val="Hyperlink"/>
              </w:rPr>
              <w:t>THE HAGUE SYSTEM</w:t>
            </w:r>
            <w:r w:rsidR="003F0305">
              <w:rPr>
                <w:webHidden/>
              </w:rPr>
              <w:tab/>
            </w:r>
            <w:r w:rsidR="003F0305">
              <w:rPr>
                <w:webHidden/>
              </w:rPr>
              <w:fldChar w:fldCharType="begin"/>
            </w:r>
            <w:r w:rsidR="003F0305">
              <w:rPr>
                <w:webHidden/>
              </w:rPr>
              <w:instrText xml:space="preserve"> PAGEREF _Toc431221412 \h </w:instrText>
            </w:r>
            <w:r w:rsidR="003F0305">
              <w:rPr>
                <w:webHidden/>
              </w:rPr>
            </w:r>
            <w:r w:rsidR="003F0305">
              <w:rPr>
                <w:webHidden/>
              </w:rPr>
              <w:fldChar w:fldCharType="separate"/>
            </w:r>
            <w:r>
              <w:rPr>
                <w:webHidden/>
              </w:rPr>
              <w:t>55</w:t>
            </w:r>
            <w:r w:rsidR="003F0305">
              <w:rPr>
                <w:webHidden/>
              </w:rPr>
              <w:fldChar w:fldCharType="end"/>
            </w:r>
          </w:hyperlink>
        </w:p>
        <w:p w14:paraId="3CBDABD7" w14:textId="77777777" w:rsidR="003F0305" w:rsidRDefault="006D6DD1">
          <w:pPr>
            <w:pStyle w:val="TOC3"/>
            <w:rPr>
              <w:rFonts w:asciiTheme="minorHAnsi" w:eastAsiaTheme="minorEastAsia" w:hAnsiTheme="minorHAnsi"/>
              <w:smallCaps w:val="0"/>
              <w:sz w:val="22"/>
              <w:lang w:eastAsia="en-US"/>
            </w:rPr>
          </w:pPr>
          <w:hyperlink w:anchor="_Toc431221413" w:history="1">
            <w:r w:rsidR="003F0305" w:rsidRPr="0017711C">
              <w:rPr>
                <w:rStyle w:val="Hyperlink"/>
              </w:rPr>
              <w:t>PROGRAM 32</w:t>
            </w:r>
            <w:r w:rsidR="003F0305">
              <w:rPr>
                <w:rFonts w:asciiTheme="minorHAnsi" w:eastAsiaTheme="minorEastAsia" w:hAnsiTheme="minorHAnsi"/>
                <w:smallCaps w:val="0"/>
                <w:sz w:val="22"/>
                <w:lang w:eastAsia="en-US"/>
              </w:rPr>
              <w:tab/>
            </w:r>
            <w:r w:rsidR="003F0305" w:rsidRPr="0017711C">
              <w:rPr>
                <w:rStyle w:val="Hyperlink"/>
              </w:rPr>
              <w:t>LISBON SYSTEM</w:t>
            </w:r>
            <w:r w:rsidR="003F0305">
              <w:rPr>
                <w:webHidden/>
              </w:rPr>
              <w:tab/>
            </w:r>
            <w:r w:rsidR="003F0305">
              <w:rPr>
                <w:webHidden/>
              </w:rPr>
              <w:fldChar w:fldCharType="begin"/>
            </w:r>
            <w:r w:rsidR="003F0305">
              <w:rPr>
                <w:webHidden/>
              </w:rPr>
              <w:instrText xml:space="preserve"> PAGEREF _Toc431221413 \h </w:instrText>
            </w:r>
            <w:r w:rsidR="003F0305">
              <w:rPr>
                <w:webHidden/>
              </w:rPr>
            </w:r>
            <w:r w:rsidR="003F0305">
              <w:rPr>
                <w:webHidden/>
              </w:rPr>
              <w:fldChar w:fldCharType="separate"/>
            </w:r>
            <w:r>
              <w:rPr>
                <w:webHidden/>
              </w:rPr>
              <w:t>59</w:t>
            </w:r>
            <w:r w:rsidR="003F0305">
              <w:rPr>
                <w:webHidden/>
              </w:rPr>
              <w:fldChar w:fldCharType="end"/>
            </w:r>
          </w:hyperlink>
        </w:p>
        <w:p w14:paraId="53763909" w14:textId="77777777" w:rsidR="003F0305" w:rsidRDefault="006D6DD1">
          <w:pPr>
            <w:pStyle w:val="TOC3"/>
            <w:rPr>
              <w:rFonts w:asciiTheme="minorHAnsi" w:eastAsiaTheme="minorEastAsia" w:hAnsiTheme="minorHAnsi"/>
              <w:smallCaps w:val="0"/>
              <w:sz w:val="22"/>
              <w:lang w:eastAsia="en-US"/>
            </w:rPr>
          </w:pPr>
          <w:hyperlink w:anchor="_Toc431221414" w:history="1">
            <w:r w:rsidR="003F0305" w:rsidRPr="0017711C">
              <w:rPr>
                <w:rStyle w:val="Hyperlink"/>
              </w:rPr>
              <w:t>PROGRAM 7</w:t>
            </w:r>
            <w:r w:rsidR="003F0305">
              <w:rPr>
                <w:rFonts w:asciiTheme="minorHAnsi" w:eastAsiaTheme="minorEastAsia" w:hAnsiTheme="minorHAnsi"/>
                <w:smallCaps w:val="0"/>
                <w:sz w:val="22"/>
                <w:lang w:eastAsia="en-US"/>
              </w:rPr>
              <w:tab/>
            </w:r>
            <w:r w:rsidR="003F0305" w:rsidRPr="0017711C">
              <w:rPr>
                <w:rStyle w:val="Hyperlink"/>
              </w:rPr>
              <w:t>WIPO ARBITRATION AND MEDIATION CENTER</w:t>
            </w:r>
            <w:r w:rsidR="003F0305">
              <w:rPr>
                <w:webHidden/>
              </w:rPr>
              <w:tab/>
            </w:r>
            <w:r w:rsidR="003F0305">
              <w:rPr>
                <w:webHidden/>
              </w:rPr>
              <w:fldChar w:fldCharType="begin"/>
            </w:r>
            <w:r w:rsidR="003F0305">
              <w:rPr>
                <w:webHidden/>
              </w:rPr>
              <w:instrText xml:space="preserve"> PAGEREF _Toc431221414 \h </w:instrText>
            </w:r>
            <w:r w:rsidR="003F0305">
              <w:rPr>
                <w:webHidden/>
              </w:rPr>
            </w:r>
            <w:r w:rsidR="003F0305">
              <w:rPr>
                <w:webHidden/>
              </w:rPr>
              <w:fldChar w:fldCharType="separate"/>
            </w:r>
            <w:r>
              <w:rPr>
                <w:webHidden/>
              </w:rPr>
              <w:t>62</w:t>
            </w:r>
            <w:r w:rsidR="003F0305">
              <w:rPr>
                <w:webHidden/>
              </w:rPr>
              <w:fldChar w:fldCharType="end"/>
            </w:r>
          </w:hyperlink>
        </w:p>
        <w:p w14:paraId="7976F79E" w14:textId="77777777" w:rsidR="003F0305" w:rsidRDefault="006D6DD1">
          <w:pPr>
            <w:pStyle w:val="TOC3"/>
            <w:tabs>
              <w:tab w:val="left" w:pos="2616"/>
            </w:tabs>
            <w:rPr>
              <w:rFonts w:asciiTheme="minorHAnsi" w:eastAsiaTheme="minorEastAsia" w:hAnsiTheme="minorHAnsi"/>
              <w:smallCaps w:val="0"/>
              <w:sz w:val="22"/>
              <w:lang w:eastAsia="en-US"/>
            </w:rPr>
          </w:pPr>
          <w:hyperlink w:anchor="_Toc431221415" w:history="1">
            <w:r w:rsidR="003F0305" w:rsidRPr="00AC4500">
              <w:rPr>
                <w:rStyle w:val="Hyperlink"/>
                <w:b/>
              </w:rPr>
              <w:t>STRATEGIC GOAL III</w:t>
            </w:r>
            <w:r w:rsidR="003F0305" w:rsidRPr="00AC4500">
              <w:rPr>
                <w:rFonts w:asciiTheme="minorHAnsi" w:eastAsiaTheme="minorEastAsia" w:hAnsiTheme="minorHAnsi"/>
                <w:b/>
                <w:smallCaps w:val="0"/>
                <w:sz w:val="22"/>
                <w:lang w:eastAsia="en-US"/>
              </w:rPr>
              <w:tab/>
            </w:r>
            <w:r w:rsidR="003F0305" w:rsidRPr="00AC4500">
              <w:rPr>
                <w:rStyle w:val="Hyperlink"/>
                <w:b/>
              </w:rPr>
              <w:t>FACILITATING THE USE OF IP FOR DEVELOPMENT</w:t>
            </w:r>
            <w:r w:rsidR="003F0305">
              <w:rPr>
                <w:webHidden/>
              </w:rPr>
              <w:tab/>
            </w:r>
            <w:r w:rsidR="003F0305">
              <w:rPr>
                <w:webHidden/>
              </w:rPr>
              <w:fldChar w:fldCharType="begin"/>
            </w:r>
            <w:r w:rsidR="003F0305">
              <w:rPr>
                <w:webHidden/>
              </w:rPr>
              <w:instrText xml:space="preserve"> PAGEREF _Toc431221415 \h </w:instrText>
            </w:r>
            <w:r w:rsidR="003F0305">
              <w:rPr>
                <w:webHidden/>
              </w:rPr>
            </w:r>
            <w:r w:rsidR="003F0305">
              <w:rPr>
                <w:webHidden/>
              </w:rPr>
              <w:fldChar w:fldCharType="separate"/>
            </w:r>
            <w:r>
              <w:rPr>
                <w:webHidden/>
              </w:rPr>
              <w:t>66</w:t>
            </w:r>
            <w:r w:rsidR="003F0305">
              <w:rPr>
                <w:webHidden/>
              </w:rPr>
              <w:fldChar w:fldCharType="end"/>
            </w:r>
          </w:hyperlink>
        </w:p>
        <w:p w14:paraId="64065112" w14:textId="77777777" w:rsidR="003F0305" w:rsidRDefault="006D6DD1">
          <w:pPr>
            <w:pStyle w:val="TOC3"/>
            <w:rPr>
              <w:rFonts w:asciiTheme="minorHAnsi" w:eastAsiaTheme="minorEastAsia" w:hAnsiTheme="minorHAnsi"/>
              <w:smallCaps w:val="0"/>
              <w:sz w:val="22"/>
              <w:lang w:eastAsia="en-US"/>
            </w:rPr>
          </w:pPr>
          <w:hyperlink w:anchor="_Toc431221416" w:history="1">
            <w:r w:rsidR="003F0305" w:rsidRPr="0017711C">
              <w:rPr>
                <w:rStyle w:val="Hyperlink"/>
              </w:rPr>
              <w:t>PROGRAM 8</w:t>
            </w:r>
            <w:r w:rsidR="003F0305">
              <w:rPr>
                <w:rFonts w:asciiTheme="minorHAnsi" w:eastAsiaTheme="minorEastAsia" w:hAnsiTheme="minorHAnsi"/>
                <w:smallCaps w:val="0"/>
                <w:sz w:val="22"/>
                <w:lang w:eastAsia="en-US"/>
              </w:rPr>
              <w:tab/>
            </w:r>
            <w:r w:rsidR="003F0305" w:rsidRPr="0017711C">
              <w:rPr>
                <w:rStyle w:val="Hyperlink"/>
              </w:rPr>
              <w:t>DEVELOPMENT AGENDA COORDINATION</w:t>
            </w:r>
            <w:r w:rsidR="003F0305">
              <w:rPr>
                <w:webHidden/>
              </w:rPr>
              <w:tab/>
            </w:r>
            <w:r w:rsidR="003F0305">
              <w:rPr>
                <w:webHidden/>
              </w:rPr>
              <w:fldChar w:fldCharType="begin"/>
            </w:r>
            <w:r w:rsidR="003F0305">
              <w:rPr>
                <w:webHidden/>
              </w:rPr>
              <w:instrText xml:space="preserve"> PAGEREF _Toc431221416 \h </w:instrText>
            </w:r>
            <w:r w:rsidR="003F0305">
              <w:rPr>
                <w:webHidden/>
              </w:rPr>
            </w:r>
            <w:r w:rsidR="003F0305">
              <w:rPr>
                <w:webHidden/>
              </w:rPr>
              <w:fldChar w:fldCharType="separate"/>
            </w:r>
            <w:r>
              <w:rPr>
                <w:webHidden/>
              </w:rPr>
              <w:t>69</w:t>
            </w:r>
            <w:r w:rsidR="003F0305">
              <w:rPr>
                <w:webHidden/>
              </w:rPr>
              <w:fldChar w:fldCharType="end"/>
            </w:r>
          </w:hyperlink>
        </w:p>
        <w:p w14:paraId="6161164C" w14:textId="77777777" w:rsidR="003F0305" w:rsidRDefault="006D6DD1">
          <w:pPr>
            <w:pStyle w:val="TOC3"/>
            <w:rPr>
              <w:rFonts w:asciiTheme="minorHAnsi" w:eastAsiaTheme="minorEastAsia" w:hAnsiTheme="minorHAnsi"/>
              <w:smallCaps w:val="0"/>
              <w:sz w:val="22"/>
              <w:lang w:eastAsia="en-US"/>
            </w:rPr>
          </w:pPr>
          <w:hyperlink w:anchor="_Toc431221417" w:history="1">
            <w:r w:rsidR="003F0305" w:rsidRPr="0017711C">
              <w:rPr>
                <w:rStyle w:val="Hyperlink"/>
              </w:rPr>
              <w:t>PROGRAM 9</w:t>
            </w:r>
            <w:r w:rsidR="003F0305">
              <w:rPr>
                <w:rFonts w:asciiTheme="minorHAnsi" w:eastAsiaTheme="minorEastAsia" w:hAnsiTheme="minorHAnsi"/>
                <w:smallCaps w:val="0"/>
                <w:sz w:val="22"/>
                <w:lang w:eastAsia="en-US"/>
              </w:rPr>
              <w:tab/>
            </w:r>
            <w:r w:rsidR="003F0305" w:rsidRPr="0017711C">
              <w:rPr>
                <w:rStyle w:val="Hyperlink"/>
              </w:rPr>
              <w:t>AFRICA, ARAB, ASIA AND THE PACIFIC, LATIN AMERICA AND THE CARIBBEAN COUNTRIES, LEAST DEVELOPED COUNTRIES</w:t>
            </w:r>
            <w:r w:rsidR="003F0305">
              <w:rPr>
                <w:webHidden/>
              </w:rPr>
              <w:tab/>
            </w:r>
            <w:r w:rsidR="003F0305">
              <w:rPr>
                <w:webHidden/>
              </w:rPr>
              <w:fldChar w:fldCharType="begin"/>
            </w:r>
            <w:r w:rsidR="003F0305">
              <w:rPr>
                <w:webHidden/>
              </w:rPr>
              <w:instrText xml:space="preserve"> PAGEREF _Toc431221417 \h </w:instrText>
            </w:r>
            <w:r w:rsidR="003F0305">
              <w:rPr>
                <w:webHidden/>
              </w:rPr>
            </w:r>
            <w:r w:rsidR="003F0305">
              <w:rPr>
                <w:webHidden/>
              </w:rPr>
              <w:fldChar w:fldCharType="separate"/>
            </w:r>
            <w:r>
              <w:rPr>
                <w:webHidden/>
              </w:rPr>
              <w:t>72</w:t>
            </w:r>
            <w:r w:rsidR="003F0305">
              <w:rPr>
                <w:webHidden/>
              </w:rPr>
              <w:fldChar w:fldCharType="end"/>
            </w:r>
          </w:hyperlink>
        </w:p>
        <w:p w14:paraId="64A15DFD" w14:textId="77777777" w:rsidR="003F0305" w:rsidRDefault="006D6DD1">
          <w:pPr>
            <w:pStyle w:val="TOC3"/>
            <w:rPr>
              <w:rFonts w:asciiTheme="minorHAnsi" w:eastAsiaTheme="minorEastAsia" w:hAnsiTheme="minorHAnsi"/>
              <w:smallCaps w:val="0"/>
              <w:sz w:val="22"/>
              <w:lang w:eastAsia="en-US"/>
            </w:rPr>
          </w:pPr>
          <w:hyperlink w:anchor="_Toc431221418" w:history="1">
            <w:r w:rsidR="003F0305" w:rsidRPr="0017711C">
              <w:rPr>
                <w:rStyle w:val="Hyperlink"/>
              </w:rPr>
              <w:t>PROGRAM 10</w:t>
            </w:r>
            <w:r w:rsidR="003F0305">
              <w:rPr>
                <w:rFonts w:asciiTheme="minorHAnsi" w:eastAsiaTheme="minorEastAsia" w:hAnsiTheme="minorHAnsi"/>
                <w:smallCaps w:val="0"/>
                <w:sz w:val="22"/>
                <w:lang w:eastAsia="en-US"/>
              </w:rPr>
              <w:tab/>
            </w:r>
            <w:r w:rsidR="003F0305" w:rsidRPr="0017711C">
              <w:rPr>
                <w:rStyle w:val="Hyperlink"/>
              </w:rPr>
              <w:t xml:space="preserve"> TRANSITION AND DEVELOPED COUNTRIES</w:t>
            </w:r>
            <w:r w:rsidR="003F0305">
              <w:rPr>
                <w:webHidden/>
              </w:rPr>
              <w:tab/>
            </w:r>
            <w:r w:rsidR="003F0305">
              <w:rPr>
                <w:webHidden/>
              </w:rPr>
              <w:fldChar w:fldCharType="begin"/>
            </w:r>
            <w:r w:rsidR="003F0305">
              <w:rPr>
                <w:webHidden/>
              </w:rPr>
              <w:instrText xml:space="preserve"> PAGEREF _Toc431221418 \h </w:instrText>
            </w:r>
            <w:r w:rsidR="003F0305">
              <w:rPr>
                <w:webHidden/>
              </w:rPr>
            </w:r>
            <w:r w:rsidR="003F0305">
              <w:rPr>
                <w:webHidden/>
              </w:rPr>
              <w:fldChar w:fldCharType="separate"/>
            </w:r>
            <w:r>
              <w:rPr>
                <w:webHidden/>
              </w:rPr>
              <w:t>79</w:t>
            </w:r>
            <w:r w:rsidR="003F0305">
              <w:rPr>
                <w:webHidden/>
              </w:rPr>
              <w:fldChar w:fldCharType="end"/>
            </w:r>
          </w:hyperlink>
        </w:p>
        <w:p w14:paraId="1D9FA0D5" w14:textId="77777777" w:rsidR="003F0305" w:rsidRDefault="006D6DD1">
          <w:pPr>
            <w:pStyle w:val="TOC3"/>
            <w:rPr>
              <w:rFonts w:asciiTheme="minorHAnsi" w:eastAsiaTheme="minorEastAsia" w:hAnsiTheme="minorHAnsi"/>
              <w:smallCaps w:val="0"/>
              <w:sz w:val="22"/>
              <w:lang w:eastAsia="en-US"/>
            </w:rPr>
          </w:pPr>
          <w:hyperlink w:anchor="_Toc431221419" w:history="1">
            <w:r w:rsidR="003F0305" w:rsidRPr="0017711C">
              <w:rPr>
                <w:rStyle w:val="Hyperlink"/>
              </w:rPr>
              <w:t>PROGRAM 11</w:t>
            </w:r>
            <w:r w:rsidR="003F0305">
              <w:rPr>
                <w:rFonts w:asciiTheme="minorHAnsi" w:eastAsiaTheme="minorEastAsia" w:hAnsiTheme="minorHAnsi"/>
                <w:smallCaps w:val="0"/>
                <w:sz w:val="22"/>
                <w:lang w:eastAsia="en-US"/>
              </w:rPr>
              <w:tab/>
            </w:r>
            <w:r w:rsidR="003F0305" w:rsidRPr="0017711C">
              <w:rPr>
                <w:rStyle w:val="Hyperlink"/>
              </w:rPr>
              <w:t>THE WIPO ACADEMY</w:t>
            </w:r>
            <w:r w:rsidR="003F0305">
              <w:rPr>
                <w:webHidden/>
              </w:rPr>
              <w:tab/>
            </w:r>
            <w:r w:rsidR="003F0305">
              <w:rPr>
                <w:webHidden/>
              </w:rPr>
              <w:fldChar w:fldCharType="begin"/>
            </w:r>
            <w:r w:rsidR="003F0305">
              <w:rPr>
                <w:webHidden/>
              </w:rPr>
              <w:instrText xml:space="preserve"> PAGEREF _Toc431221419 \h </w:instrText>
            </w:r>
            <w:r w:rsidR="003F0305">
              <w:rPr>
                <w:webHidden/>
              </w:rPr>
            </w:r>
            <w:r w:rsidR="003F0305">
              <w:rPr>
                <w:webHidden/>
              </w:rPr>
              <w:fldChar w:fldCharType="separate"/>
            </w:r>
            <w:r>
              <w:rPr>
                <w:webHidden/>
              </w:rPr>
              <w:t>85</w:t>
            </w:r>
            <w:r w:rsidR="003F0305">
              <w:rPr>
                <w:webHidden/>
              </w:rPr>
              <w:fldChar w:fldCharType="end"/>
            </w:r>
          </w:hyperlink>
        </w:p>
        <w:p w14:paraId="0FE9D0C4" w14:textId="77777777" w:rsidR="003F0305" w:rsidRDefault="006D6DD1">
          <w:pPr>
            <w:pStyle w:val="TOC3"/>
            <w:rPr>
              <w:rFonts w:asciiTheme="minorHAnsi" w:eastAsiaTheme="minorEastAsia" w:hAnsiTheme="minorHAnsi"/>
              <w:smallCaps w:val="0"/>
              <w:sz w:val="22"/>
              <w:lang w:eastAsia="en-US"/>
            </w:rPr>
          </w:pPr>
          <w:hyperlink w:anchor="_Toc431221420" w:history="1">
            <w:r w:rsidR="003F0305" w:rsidRPr="0017711C">
              <w:rPr>
                <w:rStyle w:val="Hyperlink"/>
                <w:rFonts w:eastAsia="Arial"/>
              </w:rPr>
              <w:t xml:space="preserve">PROGRAM 30 </w:t>
            </w:r>
            <w:r w:rsidR="003F0305">
              <w:rPr>
                <w:rFonts w:asciiTheme="minorHAnsi" w:eastAsiaTheme="minorEastAsia" w:hAnsiTheme="minorHAnsi"/>
                <w:smallCaps w:val="0"/>
                <w:sz w:val="22"/>
                <w:lang w:eastAsia="en-US"/>
              </w:rPr>
              <w:tab/>
            </w:r>
            <w:r w:rsidR="003F0305" w:rsidRPr="0017711C">
              <w:rPr>
                <w:rStyle w:val="Hyperlink"/>
                <w:rFonts w:eastAsia="Arial"/>
              </w:rPr>
              <w:t>SMALL AND MEDIUM-SIZED ENTERPRISES (SMES) AND ENTREPRENEURSHIP SUPPORT</w:t>
            </w:r>
            <w:r w:rsidR="003F0305">
              <w:rPr>
                <w:webHidden/>
              </w:rPr>
              <w:tab/>
            </w:r>
            <w:r w:rsidR="003F0305">
              <w:rPr>
                <w:webHidden/>
              </w:rPr>
              <w:fldChar w:fldCharType="begin"/>
            </w:r>
            <w:r w:rsidR="003F0305">
              <w:rPr>
                <w:webHidden/>
              </w:rPr>
              <w:instrText xml:space="preserve"> PAGEREF _Toc431221420 \h </w:instrText>
            </w:r>
            <w:r w:rsidR="003F0305">
              <w:rPr>
                <w:webHidden/>
              </w:rPr>
            </w:r>
            <w:r w:rsidR="003F0305">
              <w:rPr>
                <w:webHidden/>
              </w:rPr>
              <w:fldChar w:fldCharType="separate"/>
            </w:r>
            <w:r>
              <w:rPr>
                <w:webHidden/>
              </w:rPr>
              <w:t>90</w:t>
            </w:r>
            <w:r w:rsidR="003F0305">
              <w:rPr>
                <w:webHidden/>
              </w:rPr>
              <w:fldChar w:fldCharType="end"/>
            </w:r>
          </w:hyperlink>
        </w:p>
        <w:p w14:paraId="17FAAA53" w14:textId="77777777" w:rsidR="003F0305" w:rsidRDefault="006D6DD1">
          <w:pPr>
            <w:pStyle w:val="TOC3"/>
            <w:tabs>
              <w:tab w:val="left" w:pos="2638"/>
            </w:tabs>
            <w:rPr>
              <w:rFonts w:asciiTheme="minorHAnsi" w:eastAsiaTheme="minorEastAsia" w:hAnsiTheme="minorHAnsi"/>
              <w:smallCaps w:val="0"/>
              <w:sz w:val="22"/>
              <w:lang w:eastAsia="en-US"/>
            </w:rPr>
          </w:pPr>
          <w:hyperlink w:anchor="_Toc431221421" w:history="1">
            <w:r w:rsidR="003F0305" w:rsidRPr="00AC4500">
              <w:rPr>
                <w:rStyle w:val="Hyperlink"/>
                <w:b/>
              </w:rPr>
              <w:t>STRATEGIC GOAL IV</w:t>
            </w:r>
            <w:r w:rsidR="003F0305" w:rsidRPr="00AC4500">
              <w:rPr>
                <w:rFonts w:asciiTheme="minorHAnsi" w:eastAsiaTheme="minorEastAsia" w:hAnsiTheme="minorHAnsi"/>
                <w:b/>
                <w:smallCaps w:val="0"/>
                <w:sz w:val="22"/>
                <w:lang w:eastAsia="en-US"/>
              </w:rPr>
              <w:tab/>
            </w:r>
            <w:r w:rsidR="003F0305" w:rsidRPr="00AC4500">
              <w:rPr>
                <w:rStyle w:val="Hyperlink"/>
                <w:b/>
              </w:rPr>
              <w:t>COORDINATION AND DEVELOPMENT OF GLOBAL IP INFRASTRUCTURE</w:t>
            </w:r>
            <w:r w:rsidR="003F0305">
              <w:rPr>
                <w:webHidden/>
              </w:rPr>
              <w:tab/>
            </w:r>
            <w:r w:rsidR="003F0305">
              <w:rPr>
                <w:webHidden/>
              </w:rPr>
              <w:fldChar w:fldCharType="begin"/>
            </w:r>
            <w:r w:rsidR="003F0305">
              <w:rPr>
                <w:webHidden/>
              </w:rPr>
              <w:instrText xml:space="preserve"> PAGEREF _Toc431221421 \h </w:instrText>
            </w:r>
            <w:r w:rsidR="003F0305">
              <w:rPr>
                <w:webHidden/>
              </w:rPr>
            </w:r>
            <w:r w:rsidR="003F0305">
              <w:rPr>
                <w:webHidden/>
              </w:rPr>
              <w:fldChar w:fldCharType="separate"/>
            </w:r>
            <w:r>
              <w:rPr>
                <w:webHidden/>
              </w:rPr>
              <w:t>95</w:t>
            </w:r>
            <w:r w:rsidR="003F0305">
              <w:rPr>
                <w:webHidden/>
              </w:rPr>
              <w:fldChar w:fldCharType="end"/>
            </w:r>
          </w:hyperlink>
        </w:p>
        <w:p w14:paraId="0664F1B2" w14:textId="77777777" w:rsidR="003F0305" w:rsidRDefault="006D6DD1">
          <w:pPr>
            <w:pStyle w:val="TOC3"/>
            <w:rPr>
              <w:rFonts w:asciiTheme="minorHAnsi" w:eastAsiaTheme="minorEastAsia" w:hAnsiTheme="minorHAnsi"/>
              <w:smallCaps w:val="0"/>
              <w:sz w:val="22"/>
              <w:lang w:eastAsia="en-US"/>
            </w:rPr>
          </w:pPr>
          <w:hyperlink w:anchor="_Toc431221422" w:history="1">
            <w:r w:rsidR="003F0305" w:rsidRPr="0017711C">
              <w:rPr>
                <w:rStyle w:val="Hyperlink"/>
              </w:rPr>
              <w:t xml:space="preserve">PROGRAM 12 </w:t>
            </w:r>
            <w:r w:rsidR="003F0305">
              <w:rPr>
                <w:rFonts w:asciiTheme="minorHAnsi" w:eastAsiaTheme="minorEastAsia" w:hAnsiTheme="minorHAnsi"/>
                <w:smallCaps w:val="0"/>
                <w:sz w:val="22"/>
                <w:lang w:eastAsia="en-US"/>
              </w:rPr>
              <w:tab/>
            </w:r>
            <w:r w:rsidR="003F0305" w:rsidRPr="0017711C">
              <w:rPr>
                <w:rStyle w:val="Hyperlink"/>
              </w:rPr>
              <w:t>INTERNATIONAL CLASSIFICATIONS AND STANDARDS</w:t>
            </w:r>
            <w:r w:rsidR="003F0305">
              <w:rPr>
                <w:webHidden/>
              </w:rPr>
              <w:tab/>
            </w:r>
            <w:r w:rsidR="003F0305">
              <w:rPr>
                <w:webHidden/>
              </w:rPr>
              <w:fldChar w:fldCharType="begin"/>
            </w:r>
            <w:r w:rsidR="003F0305">
              <w:rPr>
                <w:webHidden/>
              </w:rPr>
              <w:instrText xml:space="preserve"> PAGEREF _Toc431221422 \h </w:instrText>
            </w:r>
            <w:r w:rsidR="003F0305">
              <w:rPr>
                <w:webHidden/>
              </w:rPr>
            </w:r>
            <w:r w:rsidR="003F0305">
              <w:rPr>
                <w:webHidden/>
              </w:rPr>
              <w:fldChar w:fldCharType="separate"/>
            </w:r>
            <w:r>
              <w:rPr>
                <w:webHidden/>
              </w:rPr>
              <w:t>98</w:t>
            </w:r>
            <w:r w:rsidR="003F0305">
              <w:rPr>
                <w:webHidden/>
              </w:rPr>
              <w:fldChar w:fldCharType="end"/>
            </w:r>
          </w:hyperlink>
        </w:p>
        <w:p w14:paraId="6998EE56" w14:textId="77777777" w:rsidR="003F0305" w:rsidRDefault="006D6DD1">
          <w:pPr>
            <w:pStyle w:val="TOC3"/>
            <w:rPr>
              <w:rFonts w:asciiTheme="minorHAnsi" w:eastAsiaTheme="minorEastAsia" w:hAnsiTheme="minorHAnsi"/>
              <w:smallCaps w:val="0"/>
              <w:sz w:val="22"/>
              <w:lang w:eastAsia="en-US"/>
            </w:rPr>
          </w:pPr>
          <w:hyperlink w:anchor="_Toc431221423" w:history="1">
            <w:r w:rsidR="003F0305" w:rsidRPr="0017711C">
              <w:rPr>
                <w:rStyle w:val="Hyperlink"/>
              </w:rPr>
              <w:t>PROGRAM 13</w:t>
            </w:r>
            <w:r w:rsidR="003F0305">
              <w:rPr>
                <w:rFonts w:asciiTheme="minorHAnsi" w:eastAsiaTheme="minorEastAsia" w:hAnsiTheme="minorHAnsi"/>
                <w:smallCaps w:val="0"/>
                <w:sz w:val="22"/>
                <w:lang w:eastAsia="en-US"/>
              </w:rPr>
              <w:tab/>
            </w:r>
            <w:r w:rsidR="003F0305" w:rsidRPr="0017711C">
              <w:rPr>
                <w:rStyle w:val="Hyperlink"/>
              </w:rPr>
              <w:t>GLOBAL DATABASES SERVICE</w:t>
            </w:r>
            <w:r w:rsidR="003F0305">
              <w:rPr>
                <w:webHidden/>
              </w:rPr>
              <w:tab/>
            </w:r>
            <w:r w:rsidR="003F0305">
              <w:rPr>
                <w:webHidden/>
              </w:rPr>
              <w:fldChar w:fldCharType="begin"/>
            </w:r>
            <w:r w:rsidR="003F0305">
              <w:rPr>
                <w:webHidden/>
              </w:rPr>
              <w:instrText xml:space="preserve"> PAGEREF _Toc431221423 \h </w:instrText>
            </w:r>
            <w:r w:rsidR="003F0305">
              <w:rPr>
                <w:webHidden/>
              </w:rPr>
            </w:r>
            <w:r w:rsidR="003F0305">
              <w:rPr>
                <w:webHidden/>
              </w:rPr>
              <w:fldChar w:fldCharType="separate"/>
            </w:r>
            <w:r>
              <w:rPr>
                <w:webHidden/>
              </w:rPr>
              <w:t>102</w:t>
            </w:r>
            <w:r w:rsidR="003F0305">
              <w:rPr>
                <w:webHidden/>
              </w:rPr>
              <w:fldChar w:fldCharType="end"/>
            </w:r>
          </w:hyperlink>
        </w:p>
        <w:p w14:paraId="2AFC4DAF" w14:textId="77777777" w:rsidR="003F0305" w:rsidRDefault="006D6DD1">
          <w:pPr>
            <w:pStyle w:val="TOC3"/>
            <w:rPr>
              <w:rFonts w:asciiTheme="minorHAnsi" w:eastAsiaTheme="minorEastAsia" w:hAnsiTheme="minorHAnsi"/>
              <w:smallCaps w:val="0"/>
              <w:sz w:val="22"/>
              <w:lang w:eastAsia="en-US"/>
            </w:rPr>
          </w:pPr>
          <w:hyperlink w:anchor="_Toc431221424" w:history="1">
            <w:r w:rsidR="003F0305" w:rsidRPr="0017711C">
              <w:rPr>
                <w:rStyle w:val="Hyperlink"/>
              </w:rPr>
              <w:t>PROGRAM 14</w:t>
            </w:r>
            <w:r w:rsidR="003F0305">
              <w:rPr>
                <w:rFonts w:asciiTheme="minorHAnsi" w:eastAsiaTheme="minorEastAsia" w:hAnsiTheme="minorHAnsi"/>
                <w:smallCaps w:val="0"/>
                <w:sz w:val="22"/>
                <w:lang w:eastAsia="en-US"/>
              </w:rPr>
              <w:tab/>
            </w:r>
            <w:r w:rsidR="003F0305" w:rsidRPr="0017711C">
              <w:rPr>
                <w:rStyle w:val="Hyperlink"/>
              </w:rPr>
              <w:t>SERVICES FOR ACCESS TO INFORMATION AND KNOWLEDGE</w:t>
            </w:r>
            <w:r w:rsidR="003F0305">
              <w:rPr>
                <w:webHidden/>
              </w:rPr>
              <w:tab/>
            </w:r>
            <w:r w:rsidR="003F0305">
              <w:rPr>
                <w:webHidden/>
              </w:rPr>
              <w:fldChar w:fldCharType="begin"/>
            </w:r>
            <w:r w:rsidR="003F0305">
              <w:rPr>
                <w:webHidden/>
              </w:rPr>
              <w:instrText xml:space="preserve"> PAGEREF _Toc431221424 \h </w:instrText>
            </w:r>
            <w:r w:rsidR="003F0305">
              <w:rPr>
                <w:webHidden/>
              </w:rPr>
            </w:r>
            <w:r w:rsidR="003F0305">
              <w:rPr>
                <w:webHidden/>
              </w:rPr>
              <w:fldChar w:fldCharType="separate"/>
            </w:r>
            <w:r>
              <w:rPr>
                <w:webHidden/>
              </w:rPr>
              <w:t>105</w:t>
            </w:r>
            <w:r w:rsidR="003F0305">
              <w:rPr>
                <w:webHidden/>
              </w:rPr>
              <w:fldChar w:fldCharType="end"/>
            </w:r>
          </w:hyperlink>
        </w:p>
        <w:p w14:paraId="2C3CF064" w14:textId="77777777" w:rsidR="003F0305" w:rsidRDefault="006D6DD1">
          <w:pPr>
            <w:pStyle w:val="TOC3"/>
            <w:rPr>
              <w:rFonts w:asciiTheme="minorHAnsi" w:eastAsiaTheme="minorEastAsia" w:hAnsiTheme="minorHAnsi"/>
              <w:smallCaps w:val="0"/>
              <w:sz w:val="22"/>
              <w:lang w:eastAsia="en-US"/>
            </w:rPr>
          </w:pPr>
          <w:hyperlink w:anchor="_Toc431221425" w:history="1">
            <w:r w:rsidR="003F0305" w:rsidRPr="0017711C">
              <w:rPr>
                <w:rStyle w:val="Hyperlink"/>
              </w:rPr>
              <w:t>PROGRAM 15</w:t>
            </w:r>
            <w:r w:rsidR="003F0305">
              <w:rPr>
                <w:rFonts w:asciiTheme="minorHAnsi" w:eastAsiaTheme="minorEastAsia" w:hAnsiTheme="minorHAnsi"/>
                <w:smallCaps w:val="0"/>
                <w:sz w:val="22"/>
                <w:lang w:eastAsia="en-US"/>
              </w:rPr>
              <w:tab/>
            </w:r>
            <w:r w:rsidR="003F0305" w:rsidRPr="0017711C">
              <w:rPr>
                <w:rStyle w:val="Hyperlink"/>
              </w:rPr>
              <w:t>BUSINESS SOLUTIONS FOR IP OFFICES</w:t>
            </w:r>
            <w:r w:rsidR="003F0305">
              <w:rPr>
                <w:webHidden/>
              </w:rPr>
              <w:tab/>
            </w:r>
            <w:r w:rsidR="003F0305">
              <w:rPr>
                <w:webHidden/>
              </w:rPr>
              <w:fldChar w:fldCharType="begin"/>
            </w:r>
            <w:r w:rsidR="003F0305">
              <w:rPr>
                <w:webHidden/>
              </w:rPr>
              <w:instrText xml:space="preserve"> PAGEREF _Toc431221425 \h </w:instrText>
            </w:r>
            <w:r w:rsidR="003F0305">
              <w:rPr>
                <w:webHidden/>
              </w:rPr>
            </w:r>
            <w:r w:rsidR="003F0305">
              <w:rPr>
                <w:webHidden/>
              </w:rPr>
              <w:fldChar w:fldCharType="separate"/>
            </w:r>
            <w:r>
              <w:rPr>
                <w:webHidden/>
              </w:rPr>
              <w:t>109</w:t>
            </w:r>
            <w:r w:rsidR="003F0305">
              <w:rPr>
                <w:webHidden/>
              </w:rPr>
              <w:fldChar w:fldCharType="end"/>
            </w:r>
          </w:hyperlink>
        </w:p>
        <w:p w14:paraId="38DF008C" w14:textId="77777777" w:rsidR="003F0305" w:rsidRDefault="006D6DD1">
          <w:pPr>
            <w:pStyle w:val="TOC3"/>
            <w:tabs>
              <w:tab w:val="left" w:pos="2583"/>
            </w:tabs>
            <w:rPr>
              <w:rFonts w:asciiTheme="minorHAnsi" w:eastAsiaTheme="minorEastAsia" w:hAnsiTheme="minorHAnsi"/>
              <w:smallCaps w:val="0"/>
              <w:sz w:val="22"/>
              <w:lang w:eastAsia="en-US"/>
            </w:rPr>
          </w:pPr>
          <w:hyperlink w:anchor="_Toc431221426" w:history="1">
            <w:r w:rsidR="003F0305" w:rsidRPr="00AC4500">
              <w:rPr>
                <w:rStyle w:val="Hyperlink"/>
                <w:b/>
              </w:rPr>
              <w:t>STRATEGIC GOAL V</w:t>
            </w:r>
            <w:r w:rsidR="003F0305" w:rsidRPr="00AC4500">
              <w:rPr>
                <w:rFonts w:asciiTheme="minorHAnsi" w:eastAsiaTheme="minorEastAsia" w:hAnsiTheme="minorHAnsi"/>
                <w:b/>
                <w:smallCaps w:val="0"/>
                <w:sz w:val="22"/>
                <w:lang w:eastAsia="en-US"/>
              </w:rPr>
              <w:tab/>
            </w:r>
            <w:r w:rsidR="003F0305" w:rsidRPr="00AC4500">
              <w:rPr>
                <w:rStyle w:val="Hyperlink"/>
                <w:b/>
              </w:rPr>
              <w:t>WORLD REFERENCE SOURCE FOR IP INFORMATION AND ANALYSIS</w:t>
            </w:r>
            <w:r w:rsidR="003F0305">
              <w:rPr>
                <w:webHidden/>
              </w:rPr>
              <w:tab/>
            </w:r>
            <w:r w:rsidR="003F0305">
              <w:rPr>
                <w:webHidden/>
              </w:rPr>
              <w:fldChar w:fldCharType="begin"/>
            </w:r>
            <w:r w:rsidR="003F0305">
              <w:rPr>
                <w:webHidden/>
              </w:rPr>
              <w:instrText xml:space="preserve"> PAGEREF _Toc431221426 \h </w:instrText>
            </w:r>
            <w:r w:rsidR="003F0305">
              <w:rPr>
                <w:webHidden/>
              </w:rPr>
            </w:r>
            <w:r w:rsidR="003F0305">
              <w:rPr>
                <w:webHidden/>
              </w:rPr>
              <w:fldChar w:fldCharType="separate"/>
            </w:r>
            <w:r>
              <w:rPr>
                <w:webHidden/>
              </w:rPr>
              <w:t>113</w:t>
            </w:r>
            <w:r w:rsidR="003F0305">
              <w:rPr>
                <w:webHidden/>
              </w:rPr>
              <w:fldChar w:fldCharType="end"/>
            </w:r>
          </w:hyperlink>
        </w:p>
        <w:p w14:paraId="5E24DAFE" w14:textId="77777777" w:rsidR="003F0305" w:rsidRDefault="006D6DD1">
          <w:pPr>
            <w:pStyle w:val="TOC3"/>
            <w:rPr>
              <w:rFonts w:asciiTheme="minorHAnsi" w:eastAsiaTheme="minorEastAsia" w:hAnsiTheme="minorHAnsi"/>
              <w:smallCaps w:val="0"/>
              <w:sz w:val="22"/>
              <w:lang w:eastAsia="en-US"/>
            </w:rPr>
          </w:pPr>
          <w:hyperlink w:anchor="_Toc431221427" w:history="1">
            <w:r w:rsidR="003F0305" w:rsidRPr="0017711C">
              <w:rPr>
                <w:rStyle w:val="Hyperlink"/>
              </w:rPr>
              <w:t>PROGRAM 16</w:t>
            </w:r>
            <w:r w:rsidR="003F0305">
              <w:rPr>
                <w:rFonts w:asciiTheme="minorHAnsi" w:eastAsiaTheme="minorEastAsia" w:hAnsiTheme="minorHAnsi"/>
                <w:smallCaps w:val="0"/>
                <w:sz w:val="22"/>
                <w:lang w:eastAsia="en-US"/>
              </w:rPr>
              <w:tab/>
            </w:r>
            <w:r w:rsidR="003F0305" w:rsidRPr="0017711C">
              <w:rPr>
                <w:rStyle w:val="Hyperlink"/>
              </w:rPr>
              <w:t>ECONOMICS AND STATISTICS</w:t>
            </w:r>
            <w:r w:rsidR="003F0305">
              <w:rPr>
                <w:webHidden/>
              </w:rPr>
              <w:tab/>
            </w:r>
            <w:r w:rsidR="003F0305">
              <w:rPr>
                <w:webHidden/>
              </w:rPr>
              <w:fldChar w:fldCharType="begin"/>
            </w:r>
            <w:r w:rsidR="003F0305">
              <w:rPr>
                <w:webHidden/>
              </w:rPr>
              <w:instrText xml:space="preserve"> PAGEREF _Toc431221427 \h </w:instrText>
            </w:r>
            <w:r w:rsidR="003F0305">
              <w:rPr>
                <w:webHidden/>
              </w:rPr>
            </w:r>
            <w:r w:rsidR="003F0305">
              <w:rPr>
                <w:webHidden/>
              </w:rPr>
              <w:fldChar w:fldCharType="separate"/>
            </w:r>
            <w:r>
              <w:rPr>
                <w:webHidden/>
              </w:rPr>
              <w:t>114</w:t>
            </w:r>
            <w:r w:rsidR="003F0305">
              <w:rPr>
                <w:webHidden/>
              </w:rPr>
              <w:fldChar w:fldCharType="end"/>
            </w:r>
          </w:hyperlink>
        </w:p>
        <w:p w14:paraId="46F21DD6" w14:textId="77777777" w:rsidR="003F0305" w:rsidRDefault="006D6DD1">
          <w:pPr>
            <w:pStyle w:val="TOC3"/>
            <w:tabs>
              <w:tab w:val="left" w:pos="2638"/>
            </w:tabs>
            <w:rPr>
              <w:rFonts w:asciiTheme="minorHAnsi" w:eastAsiaTheme="minorEastAsia" w:hAnsiTheme="minorHAnsi"/>
              <w:smallCaps w:val="0"/>
              <w:sz w:val="22"/>
              <w:lang w:eastAsia="en-US"/>
            </w:rPr>
          </w:pPr>
          <w:hyperlink w:anchor="_Toc431221428" w:history="1">
            <w:r w:rsidR="003F0305" w:rsidRPr="00AC4500">
              <w:rPr>
                <w:rStyle w:val="Hyperlink"/>
                <w:b/>
              </w:rPr>
              <w:t>STRATEGIC GOAL VI</w:t>
            </w:r>
            <w:r w:rsidR="003F0305" w:rsidRPr="00AC4500">
              <w:rPr>
                <w:rFonts w:asciiTheme="minorHAnsi" w:eastAsiaTheme="minorEastAsia" w:hAnsiTheme="minorHAnsi"/>
                <w:b/>
                <w:smallCaps w:val="0"/>
                <w:sz w:val="22"/>
                <w:lang w:eastAsia="en-US"/>
              </w:rPr>
              <w:tab/>
            </w:r>
            <w:r w:rsidR="003F0305" w:rsidRPr="00AC4500">
              <w:rPr>
                <w:rStyle w:val="Hyperlink"/>
                <w:b/>
              </w:rPr>
              <w:t>INTERNATIONAL COOPERATION ON BUILDING RESPECT FOR IP</w:t>
            </w:r>
            <w:r w:rsidR="003F0305">
              <w:rPr>
                <w:webHidden/>
              </w:rPr>
              <w:tab/>
            </w:r>
            <w:r w:rsidR="003F0305">
              <w:rPr>
                <w:webHidden/>
              </w:rPr>
              <w:fldChar w:fldCharType="begin"/>
            </w:r>
            <w:r w:rsidR="003F0305">
              <w:rPr>
                <w:webHidden/>
              </w:rPr>
              <w:instrText xml:space="preserve"> PAGEREF _Toc431221428 \h </w:instrText>
            </w:r>
            <w:r w:rsidR="003F0305">
              <w:rPr>
                <w:webHidden/>
              </w:rPr>
            </w:r>
            <w:r w:rsidR="003F0305">
              <w:rPr>
                <w:webHidden/>
              </w:rPr>
              <w:fldChar w:fldCharType="separate"/>
            </w:r>
            <w:r>
              <w:rPr>
                <w:webHidden/>
              </w:rPr>
              <w:t>117</w:t>
            </w:r>
            <w:r w:rsidR="003F0305">
              <w:rPr>
                <w:webHidden/>
              </w:rPr>
              <w:fldChar w:fldCharType="end"/>
            </w:r>
          </w:hyperlink>
        </w:p>
        <w:p w14:paraId="516F733B" w14:textId="77777777" w:rsidR="003F0305" w:rsidRDefault="006D6DD1">
          <w:pPr>
            <w:pStyle w:val="TOC3"/>
            <w:rPr>
              <w:rFonts w:asciiTheme="minorHAnsi" w:eastAsiaTheme="minorEastAsia" w:hAnsiTheme="minorHAnsi"/>
              <w:smallCaps w:val="0"/>
              <w:sz w:val="22"/>
              <w:lang w:eastAsia="en-US"/>
            </w:rPr>
          </w:pPr>
          <w:hyperlink w:anchor="_Toc431221429" w:history="1">
            <w:r w:rsidR="003F0305" w:rsidRPr="0017711C">
              <w:rPr>
                <w:rStyle w:val="Hyperlink"/>
              </w:rPr>
              <w:t>PROGRAM 17</w:t>
            </w:r>
            <w:r w:rsidR="003F0305">
              <w:rPr>
                <w:rFonts w:asciiTheme="minorHAnsi" w:eastAsiaTheme="minorEastAsia" w:hAnsiTheme="minorHAnsi"/>
                <w:smallCaps w:val="0"/>
                <w:sz w:val="22"/>
                <w:lang w:eastAsia="en-US"/>
              </w:rPr>
              <w:tab/>
            </w:r>
            <w:r w:rsidR="003F0305" w:rsidRPr="0017711C">
              <w:rPr>
                <w:rStyle w:val="Hyperlink"/>
              </w:rPr>
              <w:t>BUILDING RESPECT FOR IP</w:t>
            </w:r>
            <w:r w:rsidR="003F0305">
              <w:rPr>
                <w:webHidden/>
              </w:rPr>
              <w:tab/>
            </w:r>
            <w:r w:rsidR="003F0305">
              <w:rPr>
                <w:webHidden/>
              </w:rPr>
              <w:fldChar w:fldCharType="begin"/>
            </w:r>
            <w:r w:rsidR="003F0305">
              <w:rPr>
                <w:webHidden/>
              </w:rPr>
              <w:instrText xml:space="preserve"> PAGEREF _Toc431221429 \h </w:instrText>
            </w:r>
            <w:r w:rsidR="003F0305">
              <w:rPr>
                <w:webHidden/>
              </w:rPr>
            </w:r>
            <w:r w:rsidR="003F0305">
              <w:rPr>
                <w:webHidden/>
              </w:rPr>
              <w:fldChar w:fldCharType="separate"/>
            </w:r>
            <w:r>
              <w:rPr>
                <w:webHidden/>
              </w:rPr>
              <w:t>118</w:t>
            </w:r>
            <w:r w:rsidR="003F0305">
              <w:rPr>
                <w:webHidden/>
              </w:rPr>
              <w:fldChar w:fldCharType="end"/>
            </w:r>
          </w:hyperlink>
        </w:p>
        <w:p w14:paraId="3BA48C21" w14:textId="77777777" w:rsidR="003F0305" w:rsidRPr="00AC4500" w:rsidRDefault="006D6DD1">
          <w:pPr>
            <w:pStyle w:val="TOC3"/>
            <w:tabs>
              <w:tab w:val="left" w:pos="2738"/>
            </w:tabs>
            <w:rPr>
              <w:rFonts w:asciiTheme="minorHAnsi" w:eastAsiaTheme="minorEastAsia" w:hAnsiTheme="minorHAnsi"/>
              <w:b/>
              <w:smallCaps w:val="0"/>
              <w:sz w:val="22"/>
              <w:lang w:eastAsia="en-US"/>
            </w:rPr>
          </w:pPr>
          <w:hyperlink w:anchor="_Toc431221430" w:history="1">
            <w:r w:rsidR="003F0305" w:rsidRPr="00AC4500">
              <w:rPr>
                <w:rStyle w:val="Hyperlink"/>
                <w:b/>
              </w:rPr>
              <w:t xml:space="preserve">STRATEGIC GOAL VII </w:t>
            </w:r>
            <w:r w:rsidR="003F0305" w:rsidRPr="00AC4500">
              <w:rPr>
                <w:rFonts w:asciiTheme="minorHAnsi" w:eastAsiaTheme="minorEastAsia" w:hAnsiTheme="minorHAnsi"/>
                <w:b/>
                <w:smallCaps w:val="0"/>
                <w:sz w:val="22"/>
                <w:lang w:eastAsia="en-US"/>
              </w:rPr>
              <w:tab/>
            </w:r>
            <w:r w:rsidR="003F0305" w:rsidRPr="00AC4500">
              <w:rPr>
                <w:rStyle w:val="Hyperlink"/>
                <w:b/>
              </w:rPr>
              <w:t>ADDRESSING IP IN RELATION TO GLOBAL POLICY ISSUES</w:t>
            </w:r>
            <w:r w:rsidR="003F0305" w:rsidRPr="00AC4500">
              <w:rPr>
                <w:b/>
                <w:webHidden/>
              </w:rPr>
              <w:tab/>
            </w:r>
            <w:r w:rsidR="003F0305" w:rsidRPr="00AC4500">
              <w:rPr>
                <w:b/>
                <w:webHidden/>
              </w:rPr>
              <w:fldChar w:fldCharType="begin"/>
            </w:r>
            <w:r w:rsidR="003F0305" w:rsidRPr="00AC4500">
              <w:rPr>
                <w:b/>
                <w:webHidden/>
              </w:rPr>
              <w:instrText xml:space="preserve"> PAGEREF _Toc431221430 \h </w:instrText>
            </w:r>
            <w:r w:rsidR="003F0305" w:rsidRPr="00AC4500">
              <w:rPr>
                <w:b/>
                <w:webHidden/>
              </w:rPr>
            </w:r>
            <w:r w:rsidR="003F0305" w:rsidRPr="00AC4500">
              <w:rPr>
                <w:b/>
                <w:webHidden/>
              </w:rPr>
              <w:fldChar w:fldCharType="separate"/>
            </w:r>
            <w:r>
              <w:rPr>
                <w:b/>
                <w:webHidden/>
              </w:rPr>
              <w:t>123</w:t>
            </w:r>
            <w:r w:rsidR="003F0305" w:rsidRPr="00AC4500">
              <w:rPr>
                <w:b/>
                <w:webHidden/>
              </w:rPr>
              <w:fldChar w:fldCharType="end"/>
            </w:r>
          </w:hyperlink>
        </w:p>
        <w:p w14:paraId="32A0A4D5" w14:textId="77777777" w:rsidR="003F0305" w:rsidRDefault="006D6DD1">
          <w:pPr>
            <w:pStyle w:val="TOC3"/>
            <w:rPr>
              <w:rFonts w:asciiTheme="minorHAnsi" w:eastAsiaTheme="minorEastAsia" w:hAnsiTheme="minorHAnsi"/>
              <w:smallCaps w:val="0"/>
              <w:sz w:val="22"/>
              <w:lang w:eastAsia="en-US"/>
            </w:rPr>
          </w:pPr>
          <w:hyperlink w:anchor="_Toc431221431" w:history="1">
            <w:r w:rsidR="003F0305" w:rsidRPr="0017711C">
              <w:rPr>
                <w:rStyle w:val="Hyperlink"/>
              </w:rPr>
              <w:t>PROGRAM 18</w:t>
            </w:r>
            <w:r w:rsidR="003F0305">
              <w:rPr>
                <w:rFonts w:asciiTheme="minorHAnsi" w:eastAsiaTheme="minorEastAsia" w:hAnsiTheme="minorHAnsi"/>
                <w:smallCaps w:val="0"/>
                <w:sz w:val="22"/>
                <w:lang w:eastAsia="en-US"/>
              </w:rPr>
              <w:tab/>
            </w:r>
            <w:r w:rsidR="003F0305" w:rsidRPr="0017711C">
              <w:rPr>
                <w:rStyle w:val="Hyperlink"/>
              </w:rPr>
              <w:t>IP AND GLOBAL CHALLENGES</w:t>
            </w:r>
            <w:r w:rsidR="003F0305">
              <w:rPr>
                <w:webHidden/>
              </w:rPr>
              <w:tab/>
            </w:r>
            <w:r w:rsidR="003F0305">
              <w:rPr>
                <w:webHidden/>
              </w:rPr>
              <w:fldChar w:fldCharType="begin"/>
            </w:r>
            <w:r w:rsidR="003F0305">
              <w:rPr>
                <w:webHidden/>
              </w:rPr>
              <w:instrText xml:space="preserve"> PAGEREF _Toc431221431 \h </w:instrText>
            </w:r>
            <w:r w:rsidR="003F0305">
              <w:rPr>
                <w:webHidden/>
              </w:rPr>
            </w:r>
            <w:r w:rsidR="003F0305">
              <w:rPr>
                <w:webHidden/>
              </w:rPr>
              <w:fldChar w:fldCharType="separate"/>
            </w:r>
            <w:r>
              <w:rPr>
                <w:webHidden/>
              </w:rPr>
              <w:t>124</w:t>
            </w:r>
            <w:r w:rsidR="003F0305">
              <w:rPr>
                <w:webHidden/>
              </w:rPr>
              <w:fldChar w:fldCharType="end"/>
            </w:r>
          </w:hyperlink>
        </w:p>
        <w:p w14:paraId="57E046DC" w14:textId="77777777" w:rsidR="003F0305" w:rsidRDefault="006D6DD1">
          <w:pPr>
            <w:pStyle w:val="TOC3"/>
            <w:tabs>
              <w:tab w:val="left" w:pos="2749"/>
            </w:tabs>
            <w:rPr>
              <w:rFonts w:asciiTheme="minorHAnsi" w:eastAsiaTheme="minorEastAsia" w:hAnsiTheme="minorHAnsi"/>
              <w:smallCaps w:val="0"/>
              <w:sz w:val="22"/>
              <w:lang w:eastAsia="en-US"/>
            </w:rPr>
          </w:pPr>
          <w:hyperlink w:anchor="_Toc431221432" w:history="1">
            <w:r w:rsidR="003F0305" w:rsidRPr="00AC4500">
              <w:rPr>
                <w:rStyle w:val="Hyperlink"/>
                <w:b/>
              </w:rPr>
              <w:t>STRATEGIC GOAL VIII</w:t>
            </w:r>
            <w:r w:rsidR="003F0305" w:rsidRPr="00AC4500">
              <w:rPr>
                <w:rFonts w:asciiTheme="minorHAnsi" w:eastAsiaTheme="minorEastAsia" w:hAnsiTheme="minorHAnsi"/>
                <w:b/>
                <w:smallCaps w:val="0"/>
                <w:sz w:val="22"/>
                <w:lang w:eastAsia="en-US"/>
              </w:rPr>
              <w:tab/>
            </w:r>
            <w:r w:rsidR="003F0305" w:rsidRPr="00AC4500">
              <w:rPr>
                <w:rStyle w:val="Hyperlink"/>
                <w:b/>
              </w:rPr>
              <w:t>A RESPONSIVE COMMUNICATIONS INTERFACE BETWEEN WIPO, ITS MEMBERS AND ALL STAKEHOLDERS</w:t>
            </w:r>
            <w:r w:rsidR="003F0305">
              <w:rPr>
                <w:webHidden/>
              </w:rPr>
              <w:tab/>
            </w:r>
            <w:r w:rsidR="003F0305">
              <w:rPr>
                <w:webHidden/>
              </w:rPr>
              <w:fldChar w:fldCharType="begin"/>
            </w:r>
            <w:r w:rsidR="003F0305">
              <w:rPr>
                <w:webHidden/>
              </w:rPr>
              <w:instrText xml:space="preserve"> PAGEREF _Toc431221432 \h </w:instrText>
            </w:r>
            <w:r w:rsidR="003F0305">
              <w:rPr>
                <w:webHidden/>
              </w:rPr>
            </w:r>
            <w:r w:rsidR="003F0305">
              <w:rPr>
                <w:webHidden/>
              </w:rPr>
              <w:fldChar w:fldCharType="separate"/>
            </w:r>
            <w:r>
              <w:rPr>
                <w:webHidden/>
              </w:rPr>
              <w:t>130</w:t>
            </w:r>
            <w:r w:rsidR="003F0305">
              <w:rPr>
                <w:webHidden/>
              </w:rPr>
              <w:fldChar w:fldCharType="end"/>
            </w:r>
          </w:hyperlink>
        </w:p>
        <w:p w14:paraId="520B4AB3" w14:textId="77777777" w:rsidR="003F0305" w:rsidRDefault="006D6DD1">
          <w:pPr>
            <w:pStyle w:val="TOC3"/>
            <w:rPr>
              <w:rFonts w:asciiTheme="minorHAnsi" w:eastAsiaTheme="minorEastAsia" w:hAnsiTheme="minorHAnsi"/>
              <w:smallCaps w:val="0"/>
              <w:sz w:val="22"/>
              <w:lang w:eastAsia="en-US"/>
            </w:rPr>
          </w:pPr>
          <w:hyperlink w:anchor="_Toc431221433" w:history="1">
            <w:r w:rsidR="003F0305" w:rsidRPr="0017711C">
              <w:rPr>
                <w:rStyle w:val="Hyperlink"/>
              </w:rPr>
              <w:t xml:space="preserve">PROGRAM 19 </w:t>
            </w:r>
            <w:r w:rsidR="003F0305">
              <w:rPr>
                <w:rFonts w:asciiTheme="minorHAnsi" w:eastAsiaTheme="minorEastAsia" w:hAnsiTheme="minorHAnsi"/>
                <w:smallCaps w:val="0"/>
                <w:sz w:val="22"/>
                <w:lang w:eastAsia="en-US"/>
              </w:rPr>
              <w:tab/>
            </w:r>
            <w:r w:rsidR="003F0305" w:rsidRPr="0017711C">
              <w:rPr>
                <w:rStyle w:val="Hyperlink"/>
              </w:rPr>
              <w:t>COMMUNICATIONS</w:t>
            </w:r>
            <w:r w:rsidR="003F0305">
              <w:rPr>
                <w:webHidden/>
              </w:rPr>
              <w:tab/>
            </w:r>
            <w:r w:rsidR="003F0305">
              <w:rPr>
                <w:webHidden/>
              </w:rPr>
              <w:fldChar w:fldCharType="begin"/>
            </w:r>
            <w:r w:rsidR="003F0305">
              <w:rPr>
                <w:webHidden/>
              </w:rPr>
              <w:instrText xml:space="preserve"> PAGEREF _Toc431221433 \h </w:instrText>
            </w:r>
            <w:r w:rsidR="003F0305">
              <w:rPr>
                <w:webHidden/>
              </w:rPr>
            </w:r>
            <w:r w:rsidR="003F0305">
              <w:rPr>
                <w:webHidden/>
              </w:rPr>
              <w:fldChar w:fldCharType="separate"/>
            </w:r>
            <w:r>
              <w:rPr>
                <w:webHidden/>
              </w:rPr>
              <w:t>132</w:t>
            </w:r>
            <w:r w:rsidR="003F0305">
              <w:rPr>
                <w:webHidden/>
              </w:rPr>
              <w:fldChar w:fldCharType="end"/>
            </w:r>
          </w:hyperlink>
        </w:p>
        <w:p w14:paraId="163D9AA2" w14:textId="77777777" w:rsidR="003F0305" w:rsidRDefault="006D6DD1">
          <w:pPr>
            <w:pStyle w:val="TOC3"/>
            <w:rPr>
              <w:rFonts w:asciiTheme="minorHAnsi" w:eastAsiaTheme="minorEastAsia" w:hAnsiTheme="minorHAnsi"/>
              <w:smallCaps w:val="0"/>
              <w:sz w:val="22"/>
              <w:lang w:eastAsia="en-US"/>
            </w:rPr>
          </w:pPr>
          <w:hyperlink w:anchor="_Toc431221434" w:history="1">
            <w:r w:rsidR="003F0305" w:rsidRPr="0017711C">
              <w:rPr>
                <w:rStyle w:val="Hyperlink"/>
              </w:rPr>
              <w:t>PROGRAM 20</w:t>
            </w:r>
            <w:r w:rsidR="003F0305">
              <w:rPr>
                <w:rFonts w:asciiTheme="minorHAnsi" w:eastAsiaTheme="minorEastAsia" w:hAnsiTheme="minorHAnsi"/>
                <w:smallCaps w:val="0"/>
                <w:sz w:val="22"/>
                <w:lang w:eastAsia="en-US"/>
              </w:rPr>
              <w:tab/>
            </w:r>
            <w:r w:rsidR="003F0305" w:rsidRPr="0017711C">
              <w:rPr>
                <w:rStyle w:val="Hyperlink"/>
              </w:rPr>
              <w:t>EXTERNAL RELATIONS, PARTNERSHIPS AND EXTERNAL OFFICES</w:t>
            </w:r>
            <w:r w:rsidR="003F0305">
              <w:rPr>
                <w:webHidden/>
              </w:rPr>
              <w:tab/>
            </w:r>
            <w:r w:rsidR="003F0305">
              <w:rPr>
                <w:webHidden/>
              </w:rPr>
              <w:fldChar w:fldCharType="begin"/>
            </w:r>
            <w:r w:rsidR="003F0305">
              <w:rPr>
                <w:webHidden/>
              </w:rPr>
              <w:instrText xml:space="preserve"> PAGEREF _Toc431221434 \h </w:instrText>
            </w:r>
            <w:r w:rsidR="003F0305">
              <w:rPr>
                <w:webHidden/>
              </w:rPr>
            </w:r>
            <w:r w:rsidR="003F0305">
              <w:rPr>
                <w:webHidden/>
              </w:rPr>
              <w:fldChar w:fldCharType="separate"/>
            </w:r>
            <w:r>
              <w:rPr>
                <w:webHidden/>
              </w:rPr>
              <w:t>137</w:t>
            </w:r>
            <w:r w:rsidR="003F0305">
              <w:rPr>
                <w:webHidden/>
              </w:rPr>
              <w:fldChar w:fldCharType="end"/>
            </w:r>
          </w:hyperlink>
        </w:p>
        <w:p w14:paraId="5461F804" w14:textId="77777777" w:rsidR="003F0305" w:rsidRPr="00AC4500" w:rsidRDefault="006D6DD1">
          <w:pPr>
            <w:pStyle w:val="TOC3"/>
            <w:tabs>
              <w:tab w:val="left" w:pos="2683"/>
            </w:tabs>
            <w:rPr>
              <w:rFonts w:asciiTheme="minorHAnsi" w:eastAsiaTheme="minorEastAsia" w:hAnsiTheme="minorHAnsi"/>
              <w:b/>
              <w:smallCaps w:val="0"/>
              <w:sz w:val="22"/>
              <w:lang w:eastAsia="en-US"/>
            </w:rPr>
          </w:pPr>
          <w:hyperlink w:anchor="_Toc431221435" w:history="1">
            <w:r w:rsidR="003F0305" w:rsidRPr="00AC4500">
              <w:rPr>
                <w:rStyle w:val="Hyperlink"/>
                <w:b/>
              </w:rPr>
              <w:t xml:space="preserve">STRATEGIC GOAL IX </w:t>
            </w:r>
            <w:r w:rsidR="003F0305" w:rsidRPr="00AC4500">
              <w:rPr>
                <w:rFonts w:asciiTheme="minorHAnsi" w:eastAsiaTheme="minorEastAsia" w:hAnsiTheme="minorHAnsi"/>
                <w:b/>
                <w:smallCaps w:val="0"/>
                <w:sz w:val="22"/>
                <w:lang w:eastAsia="en-US"/>
              </w:rPr>
              <w:tab/>
            </w:r>
            <w:r w:rsidR="003F0305" w:rsidRPr="00AC4500">
              <w:rPr>
                <w:rStyle w:val="Hyperlink"/>
                <w:b/>
              </w:rPr>
              <w:t>EFFICIENT ADMINISTRATIVE AND FINANCIAL SUPPORT</w:t>
            </w:r>
            <w:r w:rsidR="003F0305" w:rsidRPr="00AC4500">
              <w:rPr>
                <w:b/>
                <w:webHidden/>
              </w:rPr>
              <w:tab/>
            </w:r>
            <w:r w:rsidR="003F0305" w:rsidRPr="00AC4500">
              <w:rPr>
                <w:b/>
                <w:webHidden/>
              </w:rPr>
              <w:fldChar w:fldCharType="begin"/>
            </w:r>
            <w:r w:rsidR="003F0305" w:rsidRPr="00AC4500">
              <w:rPr>
                <w:b/>
                <w:webHidden/>
              </w:rPr>
              <w:instrText xml:space="preserve"> PAGEREF _Toc431221435 \h </w:instrText>
            </w:r>
            <w:r w:rsidR="003F0305" w:rsidRPr="00AC4500">
              <w:rPr>
                <w:b/>
                <w:webHidden/>
              </w:rPr>
            </w:r>
            <w:r w:rsidR="003F0305" w:rsidRPr="00AC4500">
              <w:rPr>
                <w:b/>
                <w:webHidden/>
              </w:rPr>
              <w:fldChar w:fldCharType="separate"/>
            </w:r>
            <w:r>
              <w:rPr>
                <w:b/>
                <w:webHidden/>
              </w:rPr>
              <w:t>147</w:t>
            </w:r>
            <w:r w:rsidR="003F0305" w:rsidRPr="00AC4500">
              <w:rPr>
                <w:b/>
                <w:webHidden/>
              </w:rPr>
              <w:fldChar w:fldCharType="end"/>
            </w:r>
          </w:hyperlink>
        </w:p>
        <w:p w14:paraId="4D749003" w14:textId="77777777" w:rsidR="003F0305" w:rsidRDefault="006D6DD1">
          <w:pPr>
            <w:pStyle w:val="TOC3"/>
            <w:rPr>
              <w:rFonts w:asciiTheme="minorHAnsi" w:eastAsiaTheme="minorEastAsia" w:hAnsiTheme="minorHAnsi"/>
              <w:smallCaps w:val="0"/>
              <w:sz w:val="22"/>
              <w:lang w:eastAsia="en-US"/>
            </w:rPr>
          </w:pPr>
          <w:hyperlink w:anchor="_Toc431221436" w:history="1">
            <w:r w:rsidR="003F0305" w:rsidRPr="0017711C">
              <w:rPr>
                <w:rStyle w:val="Hyperlink"/>
                <w:bCs/>
              </w:rPr>
              <w:t>PROGRAM 21</w:t>
            </w:r>
            <w:r w:rsidR="003F0305">
              <w:rPr>
                <w:rFonts w:asciiTheme="minorHAnsi" w:eastAsiaTheme="minorEastAsia" w:hAnsiTheme="minorHAnsi"/>
                <w:smallCaps w:val="0"/>
                <w:sz w:val="22"/>
                <w:lang w:eastAsia="en-US"/>
              </w:rPr>
              <w:tab/>
            </w:r>
            <w:r w:rsidR="003F0305" w:rsidRPr="0017711C">
              <w:rPr>
                <w:rStyle w:val="Hyperlink"/>
                <w:bCs/>
              </w:rPr>
              <w:t>EXECUTIVE MANAGEMENT</w:t>
            </w:r>
            <w:r w:rsidR="003F0305">
              <w:rPr>
                <w:webHidden/>
              </w:rPr>
              <w:tab/>
            </w:r>
            <w:r w:rsidR="003F0305">
              <w:rPr>
                <w:webHidden/>
              </w:rPr>
              <w:fldChar w:fldCharType="begin"/>
            </w:r>
            <w:r w:rsidR="003F0305">
              <w:rPr>
                <w:webHidden/>
              </w:rPr>
              <w:instrText xml:space="preserve"> PAGEREF _Toc431221436 \h </w:instrText>
            </w:r>
            <w:r w:rsidR="003F0305">
              <w:rPr>
                <w:webHidden/>
              </w:rPr>
            </w:r>
            <w:r w:rsidR="003F0305">
              <w:rPr>
                <w:webHidden/>
              </w:rPr>
              <w:fldChar w:fldCharType="separate"/>
            </w:r>
            <w:r>
              <w:rPr>
                <w:webHidden/>
              </w:rPr>
              <w:t>151</w:t>
            </w:r>
            <w:r w:rsidR="003F0305">
              <w:rPr>
                <w:webHidden/>
              </w:rPr>
              <w:fldChar w:fldCharType="end"/>
            </w:r>
          </w:hyperlink>
        </w:p>
        <w:p w14:paraId="0BC5A5C6" w14:textId="77777777" w:rsidR="003F0305" w:rsidRDefault="006D6DD1">
          <w:pPr>
            <w:pStyle w:val="TOC3"/>
            <w:rPr>
              <w:rFonts w:asciiTheme="minorHAnsi" w:eastAsiaTheme="minorEastAsia" w:hAnsiTheme="minorHAnsi"/>
              <w:smallCaps w:val="0"/>
              <w:sz w:val="22"/>
              <w:lang w:eastAsia="en-US"/>
            </w:rPr>
          </w:pPr>
          <w:hyperlink w:anchor="_Toc431221437" w:history="1">
            <w:r w:rsidR="003F0305" w:rsidRPr="0017711C">
              <w:rPr>
                <w:rStyle w:val="Hyperlink"/>
              </w:rPr>
              <w:t>PROGRAM 22</w:t>
            </w:r>
            <w:r w:rsidR="003F0305">
              <w:rPr>
                <w:rFonts w:asciiTheme="minorHAnsi" w:eastAsiaTheme="minorEastAsia" w:hAnsiTheme="minorHAnsi"/>
                <w:smallCaps w:val="0"/>
                <w:sz w:val="22"/>
                <w:lang w:eastAsia="en-US"/>
              </w:rPr>
              <w:tab/>
            </w:r>
            <w:r w:rsidR="003F0305" w:rsidRPr="0017711C">
              <w:rPr>
                <w:rStyle w:val="Hyperlink"/>
              </w:rPr>
              <w:t>PROGRAM AND RESOURCE MANAGEMENT</w:t>
            </w:r>
            <w:r w:rsidR="003F0305">
              <w:rPr>
                <w:webHidden/>
              </w:rPr>
              <w:tab/>
            </w:r>
            <w:r w:rsidR="003F0305">
              <w:rPr>
                <w:webHidden/>
              </w:rPr>
              <w:fldChar w:fldCharType="begin"/>
            </w:r>
            <w:r w:rsidR="003F0305">
              <w:rPr>
                <w:webHidden/>
              </w:rPr>
              <w:instrText xml:space="preserve"> PAGEREF _Toc431221437 \h </w:instrText>
            </w:r>
            <w:r w:rsidR="003F0305">
              <w:rPr>
                <w:webHidden/>
              </w:rPr>
            </w:r>
            <w:r w:rsidR="003F0305">
              <w:rPr>
                <w:webHidden/>
              </w:rPr>
              <w:fldChar w:fldCharType="separate"/>
            </w:r>
            <w:r>
              <w:rPr>
                <w:webHidden/>
              </w:rPr>
              <w:t>156</w:t>
            </w:r>
            <w:r w:rsidR="003F0305">
              <w:rPr>
                <w:webHidden/>
              </w:rPr>
              <w:fldChar w:fldCharType="end"/>
            </w:r>
          </w:hyperlink>
        </w:p>
        <w:p w14:paraId="387558E0" w14:textId="77777777" w:rsidR="003F0305" w:rsidRDefault="006D6DD1">
          <w:pPr>
            <w:pStyle w:val="TOC3"/>
            <w:rPr>
              <w:rFonts w:asciiTheme="minorHAnsi" w:eastAsiaTheme="minorEastAsia" w:hAnsiTheme="minorHAnsi"/>
              <w:smallCaps w:val="0"/>
              <w:sz w:val="22"/>
              <w:lang w:eastAsia="en-US"/>
            </w:rPr>
          </w:pPr>
          <w:hyperlink w:anchor="_Toc431221438" w:history="1">
            <w:r w:rsidR="003F0305" w:rsidRPr="0017711C">
              <w:rPr>
                <w:rStyle w:val="Hyperlink"/>
              </w:rPr>
              <w:t xml:space="preserve">PROGRAM 23 </w:t>
            </w:r>
            <w:r w:rsidR="003F0305">
              <w:rPr>
                <w:rFonts w:asciiTheme="minorHAnsi" w:eastAsiaTheme="minorEastAsia" w:hAnsiTheme="minorHAnsi"/>
                <w:smallCaps w:val="0"/>
                <w:sz w:val="22"/>
                <w:lang w:eastAsia="en-US"/>
              </w:rPr>
              <w:tab/>
            </w:r>
            <w:r w:rsidR="003F0305" w:rsidRPr="0017711C">
              <w:rPr>
                <w:rStyle w:val="Hyperlink"/>
              </w:rPr>
              <w:t>HUMAN RESOURCES MANAGEMENT AND DEVELOPMENT</w:t>
            </w:r>
            <w:r w:rsidR="003F0305">
              <w:rPr>
                <w:webHidden/>
              </w:rPr>
              <w:tab/>
            </w:r>
            <w:r w:rsidR="003F0305">
              <w:rPr>
                <w:webHidden/>
              </w:rPr>
              <w:fldChar w:fldCharType="begin"/>
            </w:r>
            <w:r w:rsidR="003F0305">
              <w:rPr>
                <w:webHidden/>
              </w:rPr>
              <w:instrText xml:space="preserve"> PAGEREF _Toc431221438 \h </w:instrText>
            </w:r>
            <w:r w:rsidR="003F0305">
              <w:rPr>
                <w:webHidden/>
              </w:rPr>
            </w:r>
            <w:r w:rsidR="003F0305">
              <w:rPr>
                <w:webHidden/>
              </w:rPr>
              <w:fldChar w:fldCharType="separate"/>
            </w:r>
            <w:r>
              <w:rPr>
                <w:webHidden/>
              </w:rPr>
              <w:t>161</w:t>
            </w:r>
            <w:r w:rsidR="003F0305">
              <w:rPr>
                <w:webHidden/>
              </w:rPr>
              <w:fldChar w:fldCharType="end"/>
            </w:r>
          </w:hyperlink>
        </w:p>
        <w:p w14:paraId="08DF48D8" w14:textId="77777777" w:rsidR="003F0305" w:rsidRDefault="006D6DD1">
          <w:pPr>
            <w:pStyle w:val="TOC3"/>
            <w:rPr>
              <w:rFonts w:asciiTheme="minorHAnsi" w:eastAsiaTheme="minorEastAsia" w:hAnsiTheme="minorHAnsi"/>
              <w:smallCaps w:val="0"/>
              <w:sz w:val="22"/>
              <w:lang w:eastAsia="en-US"/>
            </w:rPr>
          </w:pPr>
          <w:hyperlink w:anchor="_Toc431221439" w:history="1">
            <w:r w:rsidR="003F0305" w:rsidRPr="0017711C">
              <w:rPr>
                <w:rStyle w:val="Hyperlink"/>
              </w:rPr>
              <w:t>PROGRAM 24</w:t>
            </w:r>
            <w:r w:rsidR="003F0305">
              <w:rPr>
                <w:rFonts w:asciiTheme="minorHAnsi" w:eastAsiaTheme="minorEastAsia" w:hAnsiTheme="minorHAnsi"/>
                <w:smallCaps w:val="0"/>
                <w:sz w:val="22"/>
                <w:lang w:eastAsia="en-US"/>
              </w:rPr>
              <w:tab/>
            </w:r>
            <w:r w:rsidR="003F0305" w:rsidRPr="0017711C">
              <w:rPr>
                <w:rStyle w:val="Hyperlink"/>
              </w:rPr>
              <w:t>GENERAL SUPPORT SERVICES</w:t>
            </w:r>
            <w:r w:rsidR="003F0305">
              <w:rPr>
                <w:webHidden/>
              </w:rPr>
              <w:tab/>
            </w:r>
            <w:r w:rsidR="003F0305">
              <w:rPr>
                <w:webHidden/>
              </w:rPr>
              <w:fldChar w:fldCharType="begin"/>
            </w:r>
            <w:r w:rsidR="003F0305">
              <w:rPr>
                <w:webHidden/>
              </w:rPr>
              <w:instrText xml:space="preserve"> PAGEREF _Toc431221439 \h </w:instrText>
            </w:r>
            <w:r w:rsidR="003F0305">
              <w:rPr>
                <w:webHidden/>
              </w:rPr>
            </w:r>
            <w:r w:rsidR="003F0305">
              <w:rPr>
                <w:webHidden/>
              </w:rPr>
              <w:fldChar w:fldCharType="separate"/>
            </w:r>
            <w:r>
              <w:rPr>
                <w:webHidden/>
              </w:rPr>
              <w:t>165</w:t>
            </w:r>
            <w:r w:rsidR="003F0305">
              <w:rPr>
                <w:webHidden/>
              </w:rPr>
              <w:fldChar w:fldCharType="end"/>
            </w:r>
          </w:hyperlink>
        </w:p>
        <w:p w14:paraId="78FA342C" w14:textId="77777777" w:rsidR="003F0305" w:rsidRDefault="006D6DD1">
          <w:pPr>
            <w:pStyle w:val="TOC3"/>
            <w:rPr>
              <w:rFonts w:asciiTheme="minorHAnsi" w:eastAsiaTheme="minorEastAsia" w:hAnsiTheme="minorHAnsi"/>
              <w:smallCaps w:val="0"/>
              <w:sz w:val="22"/>
              <w:lang w:eastAsia="en-US"/>
            </w:rPr>
          </w:pPr>
          <w:hyperlink w:anchor="_Toc431221440" w:history="1">
            <w:r w:rsidR="003F0305" w:rsidRPr="0017711C">
              <w:rPr>
                <w:rStyle w:val="Hyperlink"/>
              </w:rPr>
              <w:t>PROGRAM 25</w:t>
            </w:r>
            <w:r w:rsidR="003F0305">
              <w:rPr>
                <w:rFonts w:asciiTheme="minorHAnsi" w:eastAsiaTheme="minorEastAsia" w:hAnsiTheme="minorHAnsi"/>
                <w:smallCaps w:val="0"/>
                <w:sz w:val="22"/>
                <w:lang w:eastAsia="en-US"/>
              </w:rPr>
              <w:tab/>
            </w:r>
            <w:r w:rsidR="003F0305" w:rsidRPr="0017711C">
              <w:rPr>
                <w:rStyle w:val="Hyperlink"/>
              </w:rPr>
              <w:t>INFORMATION AND COMMUNICATION TECHNOLOGY</w:t>
            </w:r>
            <w:r w:rsidR="003F0305">
              <w:rPr>
                <w:webHidden/>
              </w:rPr>
              <w:tab/>
            </w:r>
            <w:r w:rsidR="003F0305">
              <w:rPr>
                <w:webHidden/>
              </w:rPr>
              <w:fldChar w:fldCharType="begin"/>
            </w:r>
            <w:r w:rsidR="003F0305">
              <w:rPr>
                <w:webHidden/>
              </w:rPr>
              <w:instrText xml:space="preserve"> PAGEREF _Toc431221440 \h </w:instrText>
            </w:r>
            <w:r w:rsidR="003F0305">
              <w:rPr>
                <w:webHidden/>
              </w:rPr>
            </w:r>
            <w:r w:rsidR="003F0305">
              <w:rPr>
                <w:webHidden/>
              </w:rPr>
              <w:fldChar w:fldCharType="separate"/>
            </w:r>
            <w:r>
              <w:rPr>
                <w:webHidden/>
              </w:rPr>
              <w:t>169</w:t>
            </w:r>
            <w:r w:rsidR="003F0305">
              <w:rPr>
                <w:webHidden/>
              </w:rPr>
              <w:fldChar w:fldCharType="end"/>
            </w:r>
          </w:hyperlink>
        </w:p>
        <w:p w14:paraId="31B0748C" w14:textId="77777777" w:rsidR="003F0305" w:rsidRDefault="006D6DD1">
          <w:pPr>
            <w:pStyle w:val="TOC3"/>
            <w:rPr>
              <w:rFonts w:asciiTheme="minorHAnsi" w:eastAsiaTheme="minorEastAsia" w:hAnsiTheme="minorHAnsi"/>
              <w:smallCaps w:val="0"/>
              <w:sz w:val="22"/>
              <w:lang w:eastAsia="en-US"/>
            </w:rPr>
          </w:pPr>
          <w:hyperlink w:anchor="_Toc431221441" w:history="1">
            <w:r w:rsidR="003F0305" w:rsidRPr="0017711C">
              <w:rPr>
                <w:rStyle w:val="Hyperlink"/>
              </w:rPr>
              <w:t>PROGRAM 26</w:t>
            </w:r>
            <w:r w:rsidR="003F0305">
              <w:rPr>
                <w:rFonts w:asciiTheme="minorHAnsi" w:eastAsiaTheme="minorEastAsia" w:hAnsiTheme="minorHAnsi"/>
                <w:smallCaps w:val="0"/>
                <w:sz w:val="22"/>
                <w:lang w:eastAsia="en-US"/>
              </w:rPr>
              <w:tab/>
            </w:r>
            <w:r w:rsidR="003F0305" w:rsidRPr="0017711C">
              <w:rPr>
                <w:rStyle w:val="Hyperlink"/>
              </w:rPr>
              <w:t>INTERNAL OVERSIGHT</w:t>
            </w:r>
            <w:r w:rsidR="003F0305">
              <w:rPr>
                <w:webHidden/>
              </w:rPr>
              <w:tab/>
            </w:r>
            <w:r w:rsidR="003F0305">
              <w:rPr>
                <w:webHidden/>
              </w:rPr>
              <w:fldChar w:fldCharType="begin"/>
            </w:r>
            <w:r w:rsidR="003F0305">
              <w:rPr>
                <w:webHidden/>
              </w:rPr>
              <w:instrText xml:space="preserve"> PAGEREF _Toc431221441 \h </w:instrText>
            </w:r>
            <w:r w:rsidR="003F0305">
              <w:rPr>
                <w:webHidden/>
              </w:rPr>
            </w:r>
            <w:r w:rsidR="003F0305">
              <w:rPr>
                <w:webHidden/>
              </w:rPr>
              <w:fldChar w:fldCharType="separate"/>
            </w:r>
            <w:r>
              <w:rPr>
                <w:webHidden/>
              </w:rPr>
              <w:t>172</w:t>
            </w:r>
            <w:r w:rsidR="003F0305">
              <w:rPr>
                <w:webHidden/>
              </w:rPr>
              <w:fldChar w:fldCharType="end"/>
            </w:r>
          </w:hyperlink>
        </w:p>
        <w:p w14:paraId="5973DC60" w14:textId="77777777" w:rsidR="003F0305" w:rsidRDefault="006D6DD1">
          <w:pPr>
            <w:pStyle w:val="TOC3"/>
            <w:rPr>
              <w:rFonts w:asciiTheme="minorHAnsi" w:eastAsiaTheme="minorEastAsia" w:hAnsiTheme="minorHAnsi"/>
              <w:smallCaps w:val="0"/>
              <w:sz w:val="22"/>
              <w:lang w:eastAsia="en-US"/>
            </w:rPr>
          </w:pPr>
          <w:hyperlink w:anchor="_Toc431221442" w:history="1">
            <w:r w:rsidR="003F0305" w:rsidRPr="0017711C">
              <w:rPr>
                <w:rStyle w:val="Hyperlink"/>
              </w:rPr>
              <w:t>PROGRAM 27</w:t>
            </w:r>
            <w:r w:rsidR="003F0305">
              <w:rPr>
                <w:rFonts w:asciiTheme="minorHAnsi" w:eastAsiaTheme="minorEastAsia" w:hAnsiTheme="minorHAnsi"/>
                <w:smallCaps w:val="0"/>
                <w:sz w:val="22"/>
                <w:lang w:eastAsia="en-US"/>
              </w:rPr>
              <w:tab/>
            </w:r>
            <w:r w:rsidR="003F0305" w:rsidRPr="0017711C">
              <w:rPr>
                <w:rStyle w:val="Hyperlink"/>
              </w:rPr>
              <w:t>CONFERENCE AND LANGUAGE SERVICES</w:t>
            </w:r>
            <w:r w:rsidR="003F0305">
              <w:rPr>
                <w:webHidden/>
              </w:rPr>
              <w:tab/>
            </w:r>
            <w:r w:rsidR="003F0305">
              <w:rPr>
                <w:webHidden/>
              </w:rPr>
              <w:fldChar w:fldCharType="begin"/>
            </w:r>
            <w:r w:rsidR="003F0305">
              <w:rPr>
                <w:webHidden/>
              </w:rPr>
              <w:instrText xml:space="preserve"> PAGEREF _Toc431221442 \h </w:instrText>
            </w:r>
            <w:r w:rsidR="003F0305">
              <w:rPr>
                <w:webHidden/>
              </w:rPr>
            </w:r>
            <w:r w:rsidR="003F0305">
              <w:rPr>
                <w:webHidden/>
              </w:rPr>
              <w:fldChar w:fldCharType="separate"/>
            </w:r>
            <w:r>
              <w:rPr>
                <w:webHidden/>
              </w:rPr>
              <w:t>175</w:t>
            </w:r>
            <w:r w:rsidR="003F0305">
              <w:rPr>
                <w:webHidden/>
              </w:rPr>
              <w:fldChar w:fldCharType="end"/>
            </w:r>
          </w:hyperlink>
        </w:p>
        <w:p w14:paraId="4CDA2D95" w14:textId="77777777" w:rsidR="003F0305" w:rsidRDefault="006D6DD1">
          <w:pPr>
            <w:pStyle w:val="TOC3"/>
            <w:rPr>
              <w:rFonts w:asciiTheme="minorHAnsi" w:eastAsiaTheme="minorEastAsia" w:hAnsiTheme="minorHAnsi"/>
              <w:smallCaps w:val="0"/>
              <w:sz w:val="22"/>
              <w:lang w:eastAsia="en-US"/>
            </w:rPr>
          </w:pPr>
          <w:hyperlink w:anchor="_Toc431221443" w:history="1">
            <w:r w:rsidR="003F0305" w:rsidRPr="0017711C">
              <w:rPr>
                <w:rStyle w:val="Hyperlink"/>
              </w:rPr>
              <w:t>PROGRAM 28</w:t>
            </w:r>
            <w:r w:rsidR="003F0305">
              <w:rPr>
                <w:rFonts w:asciiTheme="minorHAnsi" w:eastAsiaTheme="minorEastAsia" w:hAnsiTheme="minorHAnsi"/>
                <w:smallCaps w:val="0"/>
                <w:sz w:val="22"/>
                <w:lang w:eastAsia="en-US"/>
              </w:rPr>
              <w:tab/>
            </w:r>
            <w:r w:rsidR="003F0305" w:rsidRPr="0017711C">
              <w:rPr>
                <w:rStyle w:val="Hyperlink"/>
              </w:rPr>
              <w:t>INFORMATION ASSURANCE, SAFETY AND SECURITY</w:t>
            </w:r>
            <w:r w:rsidR="003F0305">
              <w:rPr>
                <w:webHidden/>
              </w:rPr>
              <w:tab/>
            </w:r>
            <w:r w:rsidR="003F0305">
              <w:rPr>
                <w:webHidden/>
              </w:rPr>
              <w:fldChar w:fldCharType="begin"/>
            </w:r>
            <w:r w:rsidR="003F0305">
              <w:rPr>
                <w:webHidden/>
              </w:rPr>
              <w:instrText xml:space="preserve"> PAGEREF _Toc431221443 \h </w:instrText>
            </w:r>
            <w:r w:rsidR="003F0305">
              <w:rPr>
                <w:webHidden/>
              </w:rPr>
            </w:r>
            <w:r w:rsidR="003F0305">
              <w:rPr>
                <w:webHidden/>
              </w:rPr>
              <w:fldChar w:fldCharType="separate"/>
            </w:r>
            <w:r>
              <w:rPr>
                <w:webHidden/>
              </w:rPr>
              <w:t>178</w:t>
            </w:r>
            <w:r w:rsidR="003F0305">
              <w:rPr>
                <w:webHidden/>
              </w:rPr>
              <w:fldChar w:fldCharType="end"/>
            </w:r>
          </w:hyperlink>
        </w:p>
        <w:p w14:paraId="69139DBE" w14:textId="77777777" w:rsidR="003F0305" w:rsidRDefault="006D6DD1">
          <w:pPr>
            <w:pStyle w:val="TOC1"/>
            <w:rPr>
              <w:rFonts w:asciiTheme="minorHAnsi" w:hAnsiTheme="minorHAnsi"/>
              <w:b w:val="0"/>
              <w:lang w:eastAsia="en-US"/>
            </w:rPr>
          </w:pPr>
          <w:hyperlink w:anchor="_Toc431221444" w:history="1">
            <w:r w:rsidR="003F0305" w:rsidRPr="0017711C">
              <w:rPr>
                <w:rStyle w:val="Hyperlink"/>
              </w:rPr>
              <w:t>III.</w:t>
            </w:r>
            <w:r w:rsidR="003F0305">
              <w:rPr>
                <w:rFonts w:asciiTheme="minorHAnsi" w:hAnsiTheme="minorHAnsi"/>
                <w:b w:val="0"/>
                <w:lang w:eastAsia="en-US"/>
              </w:rPr>
              <w:tab/>
            </w:r>
            <w:r w:rsidR="003F0305" w:rsidRPr="0017711C">
              <w:rPr>
                <w:rStyle w:val="Hyperlink"/>
              </w:rPr>
              <w:t>ANNEXES</w:t>
            </w:r>
            <w:r w:rsidR="003F0305">
              <w:rPr>
                <w:webHidden/>
              </w:rPr>
              <w:tab/>
            </w:r>
            <w:r w:rsidR="003F0305">
              <w:rPr>
                <w:webHidden/>
              </w:rPr>
              <w:fldChar w:fldCharType="begin"/>
            </w:r>
            <w:r w:rsidR="003F0305">
              <w:rPr>
                <w:webHidden/>
              </w:rPr>
              <w:instrText xml:space="preserve"> PAGEREF _Toc431221444 \h </w:instrText>
            </w:r>
            <w:r w:rsidR="003F0305">
              <w:rPr>
                <w:webHidden/>
              </w:rPr>
            </w:r>
            <w:r w:rsidR="003F0305">
              <w:rPr>
                <w:webHidden/>
              </w:rPr>
              <w:fldChar w:fldCharType="separate"/>
            </w:r>
            <w:r>
              <w:rPr>
                <w:webHidden/>
              </w:rPr>
              <w:t>182</w:t>
            </w:r>
            <w:r w:rsidR="003F0305">
              <w:rPr>
                <w:webHidden/>
              </w:rPr>
              <w:fldChar w:fldCharType="end"/>
            </w:r>
          </w:hyperlink>
        </w:p>
        <w:p w14:paraId="30978274" w14:textId="77777777" w:rsidR="003F0305" w:rsidRDefault="006D6DD1">
          <w:pPr>
            <w:pStyle w:val="TOC3"/>
            <w:rPr>
              <w:rFonts w:asciiTheme="minorHAnsi" w:eastAsiaTheme="minorEastAsia" w:hAnsiTheme="minorHAnsi"/>
              <w:smallCaps w:val="0"/>
              <w:sz w:val="22"/>
              <w:lang w:eastAsia="en-US"/>
            </w:rPr>
          </w:pPr>
          <w:hyperlink w:anchor="_Toc431221445" w:history="1">
            <w:r w:rsidR="003F0305" w:rsidRPr="0017711C">
              <w:rPr>
                <w:rStyle w:val="Hyperlink"/>
              </w:rPr>
              <w:t>ANNEX I</w:t>
            </w:r>
            <w:r w:rsidR="003F0305">
              <w:rPr>
                <w:rFonts w:asciiTheme="minorHAnsi" w:eastAsiaTheme="minorEastAsia" w:hAnsiTheme="minorHAnsi"/>
                <w:smallCaps w:val="0"/>
                <w:sz w:val="22"/>
                <w:lang w:eastAsia="en-US"/>
              </w:rPr>
              <w:tab/>
            </w:r>
            <w:r w:rsidR="003F0305" w:rsidRPr="0017711C">
              <w:rPr>
                <w:rStyle w:val="Hyperlink"/>
              </w:rPr>
              <w:t>2014/15 BUDGET AFTER TRANSFERS BY PROGRAM</w:t>
            </w:r>
            <w:r w:rsidR="003F0305">
              <w:rPr>
                <w:webHidden/>
              </w:rPr>
              <w:tab/>
            </w:r>
            <w:r w:rsidR="003F0305">
              <w:rPr>
                <w:webHidden/>
              </w:rPr>
              <w:fldChar w:fldCharType="begin"/>
            </w:r>
            <w:r w:rsidR="003F0305">
              <w:rPr>
                <w:webHidden/>
              </w:rPr>
              <w:instrText xml:space="preserve"> PAGEREF _Toc431221445 \h </w:instrText>
            </w:r>
            <w:r w:rsidR="003F0305">
              <w:rPr>
                <w:webHidden/>
              </w:rPr>
            </w:r>
            <w:r w:rsidR="003F0305">
              <w:rPr>
                <w:webHidden/>
              </w:rPr>
              <w:fldChar w:fldCharType="separate"/>
            </w:r>
            <w:r>
              <w:rPr>
                <w:webHidden/>
              </w:rPr>
              <w:t>182</w:t>
            </w:r>
            <w:r w:rsidR="003F0305">
              <w:rPr>
                <w:webHidden/>
              </w:rPr>
              <w:fldChar w:fldCharType="end"/>
            </w:r>
          </w:hyperlink>
        </w:p>
        <w:p w14:paraId="3F745C5B" w14:textId="77777777" w:rsidR="003F0305" w:rsidRDefault="006D6DD1">
          <w:pPr>
            <w:pStyle w:val="TOC3"/>
            <w:rPr>
              <w:rFonts w:asciiTheme="minorHAnsi" w:eastAsiaTheme="minorEastAsia" w:hAnsiTheme="minorHAnsi"/>
              <w:smallCaps w:val="0"/>
              <w:sz w:val="22"/>
              <w:lang w:eastAsia="en-US"/>
            </w:rPr>
          </w:pPr>
          <w:hyperlink w:anchor="_Toc431221446" w:history="1">
            <w:r w:rsidR="003F0305" w:rsidRPr="0017711C">
              <w:rPr>
                <w:rStyle w:val="Hyperlink"/>
              </w:rPr>
              <w:t>ANNEX II</w:t>
            </w:r>
            <w:r w:rsidR="003F0305">
              <w:rPr>
                <w:rFonts w:asciiTheme="minorHAnsi" w:eastAsiaTheme="minorEastAsia" w:hAnsiTheme="minorHAnsi"/>
                <w:smallCaps w:val="0"/>
                <w:sz w:val="22"/>
                <w:lang w:eastAsia="en-US"/>
              </w:rPr>
              <w:tab/>
            </w:r>
            <w:r w:rsidR="003F0305" w:rsidRPr="0017711C">
              <w:rPr>
                <w:rStyle w:val="Hyperlink"/>
              </w:rPr>
              <w:t>2016/17 PROPOSED RESOURCES BY PROGRAM</w:t>
            </w:r>
            <w:r w:rsidR="003F0305">
              <w:rPr>
                <w:webHidden/>
              </w:rPr>
              <w:tab/>
            </w:r>
            <w:r w:rsidR="003F0305">
              <w:rPr>
                <w:webHidden/>
              </w:rPr>
              <w:fldChar w:fldCharType="begin"/>
            </w:r>
            <w:r w:rsidR="003F0305">
              <w:rPr>
                <w:webHidden/>
              </w:rPr>
              <w:instrText xml:space="preserve"> PAGEREF _Toc431221446 \h </w:instrText>
            </w:r>
            <w:r w:rsidR="003F0305">
              <w:rPr>
                <w:webHidden/>
              </w:rPr>
            </w:r>
            <w:r w:rsidR="003F0305">
              <w:rPr>
                <w:webHidden/>
              </w:rPr>
              <w:fldChar w:fldCharType="separate"/>
            </w:r>
            <w:r>
              <w:rPr>
                <w:webHidden/>
              </w:rPr>
              <w:t>183</w:t>
            </w:r>
            <w:r w:rsidR="003F0305">
              <w:rPr>
                <w:webHidden/>
              </w:rPr>
              <w:fldChar w:fldCharType="end"/>
            </w:r>
          </w:hyperlink>
        </w:p>
        <w:p w14:paraId="6E07DC15" w14:textId="77777777" w:rsidR="003F0305" w:rsidRDefault="006D6DD1">
          <w:pPr>
            <w:pStyle w:val="TOC3"/>
            <w:rPr>
              <w:rFonts w:asciiTheme="minorHAnsi" w:eastAsiaTheme="minorEastAsia" w:hAnsiTheme="minorHAnsi"/>
              <w:smallCaps w:val="0"/>
              <w:sz w:val="22"/>
              <w:lang w:eastAsia="en-US"/>
            </w:rPr>
          </w:pPr>
          <w:hyperlink w:anchor="_Toc431221447" w:history="1">
            <w:r w:rsidR="003F0305" w:rsidRPr="0017711C">
              <w:rPr>
                <w:rStyle w:val="Hyperlink"/>
              </w:rPr>
              <w:t>ANNEX III</w:t>
            </w:r>
            <w:r w:rsidR="003F0305">
              <w:rPr>
                <w:rFonts w:asciiTheme="minorHAnsi" w:eastAsiaTheme="minorEastAsia" w:hAnsiTheme="minorHAnsi"/>
                <w:smallCaps w:val="0"/>
                <w:sz w:val="22"/>
                <w:lang w:eastAsia="en-US"/>
              </w:rPr>
              <w:tab/>
            </w:r>
            <w:r w:rsidR="003F0305" w:rsidRPr="0017711C">
              <w:rPr>
                <w:rStyle w:val="Hyperlink"/>
              </w:rPr>
              <w:t>ALLOCATION OF PROJECTED INCOME AND BUDGET BY UNION</w:t>
            </w:r>
            <w:r w:rsidR="003F0305">
              <w:rPr>
                <w:webHidden/>
              </w:rPr>
              <w:tab/>
            </w:r>
            <w:r w:rsidR="003F0305">
              <w:rPr>
                <w:webHidden/>
              </w:rPr>
              <w:fldChar w:fldCharType="begin"/>
            </w:r>
            <w:r w:rsidR="003F0305">
              <w:rPr>
                <w:webHidden/>
              </w:rPr>
              <w:instrText xml:space="preserve"> PAGEREF _Toc431221447 \h </w:instrText>
            </w:r>
            <w:r w:rsidR="003F0305">
              <w:rPr>
                <w:webHidden/>
              </w:rPr>
            </w:r>
            <w:r w:rsidR="003F0305">
              <w:rPr>
                <w:webHidden/>
              </w:rPr>
              <w:fldChar w:fldCharType="separate"/>
            </w:r>
            <w:r>
              <w:rPr>
                <w:webHidden/>
              </w:rPr>
              <w:t>185</w:t>
            </w:r>
            <w:r w:rsidR="003F0305">
              <w:rPr>
                <w:webHidden/>
              </w:rPr>
              <w:fldChar w:fldCharType="end"/>
            </w:r>
          </w:hyperlink>
        </w:p>
        <w:p w14:paraId="3E930757" w14:textId="77777777" w:rsidR="003F0305" w:rsidRDefault="006D6DD1">
          <w:pPr>
            <w:pStyle w:val="TOC3"/>
            <w:rPr>
              <w:rFonts w:asciiTheme="minorHAnsi" w:eastAsiaTheme="minorEastAsia" w:hAnsiTheme="minorHAnsi"/>
              <w:smallCaps w:val="0"/>
              <w:sz w:val="22"/>
              <w:lang w:eastAsia="en-US"/>
            </w:rPr>
          </w:pPr>
          <w:hyperlink w:anchor="_Toc431221448" w:history="1">
            <w:r w:rsidR="003F0305" w:rsidRPr="0017711C">
              <w:rPr>
                <w:rStyle w:val="Hyperlink"/>
              </w:rPr>
              <w:t>ANNEX IV</w:t>
            </w:r>
            <w:r w:rsidR="003F0305">
              <w:rPr>
                <w:rFonts w:asciiTheme="minorHAnsi" w:eastAsiaTheme="minorEastAsia" w:hAnsiTheme="minorHAnsi"/>
                <w:smallCaps w:val="0"/>
                <w:sz w:val="22"/>
                <w:lang w:eastAsia="en-US"/>
              </w:rPr>
              <w:tab/>
            </w:r>
            <w:r w:rsidR="003F0305" w:rsidRPr="0017711C">
              <w:rPr>
                <w:rStyle w:val="Hyperlink"/>
              </w:rPr>
              <w:t>EVOLUTION AND DEMAND FOR SERVICES UNDER THE PCT, MADRID AND THE HAGUE SYSTEMS IN THE MEDIUM TERM</w:t>
            </w:r>
            <w:r w:rsidR="003F0305">
              <w:rPr>
                <w:webHidden/>
              </w:rPr>
              <w:tab/>
            </w:r>
            <w:r w:rsidR="003F0305">
              <w:rPr>
                <w:webHidden/>
              </w:rPr>
              <w:fldChar w:fldCharType="begin"/>
            </w:r>
            <w:r w:rsidR="003F0305">
              <w:rPr>
                <w:webHidden/>
              </w:rPr>
              <w:instrText xml:space="preserve"> PAGEREF _Toc431221448 \h </w:instrText>
            </w:r>
            <w:r w:rsidR="003F0305">
              <w:rPr>
                <w:webHidden/>
              </w:rPr>
            </w:r>
            <w:r w:rsidR="003F0305">
              <w:rPr>
                <w:webHidden/>
              </w:rPr>
              <w:fldChar w:fldCharType="separate"/>
            </w:r>
            <w:r>
              <w:rPr>
                <w:webHidden/>
              </w:rPr>
              <w:t>189</w:t>
            </w:r>
            <w:r w:rsidR="003F0305">
              <w:rPr>
                <w:webHidden/>
              </w:rPr>
              <w:fldChar w:fldCharType="end"/>
            </w:r>
          </w:hyperlink>
        </w:p>
        <w:p w14:paraId="298D7C3C" w14:textId="77777777" w:rsidR="003F0305" w:rsidRDefault="006D6DD1">
          <w:pPr>
            <w:pStyle w:val="TOC3"/>
            <w:rPr>
              <w:rFonts w:asciiTheme="minorHAnsi" w:eastAsiaTheme="minorEastAsia" w:hAnsiTheme="minorHAnsi"/>
              <w:smallCaps w:val="0"/>
              <w:sz w:val="22"/>
              <w:lang w:eastAsia="en-US"/>
            </w:rPr>
          </w:pPr>
          <w:hyperlink w:anchor="_Toc431221449" w:history="1">
            <w:r w:rsidR="003F0305" w:rsidRPr="0017711C">
              <w:rPr>
                <w:rStyle w:val="Hyperlink"/>
              </w:rPr>
              <w:t>ANNEX V</w:t>
            </w:r>
            <w:r w:rsidR="003F0305">
              <w:rPr>
                <w:rFonts w:asciiTheme="minorHAnsi" w:eastAsiaTheme="minorEastAsia" w:hAnsiTheme="minorHAnsi"/>
                <w:smallCaps w:val="0"/>
                <w:sz w:val="22"/>
                <w:lang w:eastAsia="en-US"/>
              </w:rPr>
              <w:tab/>
            </w:r>
            <w:r w:rsidR="003F0305" w:rsidRPr="0017711C">
              <w:rPr>
                <w:rStyle w:val="Hyperlink"/>
              </w:rPr>
              <w:t>INDICATORS OF PCT OPERATIONS</w:t>
            </w:r>
            <w:r w:rsidR="003F0305">
              <w:rPr>
                <w:webHidden/>
              </w:rPr>
              <w:tab/>
            </w:r>
            <w:r w:rsidR="003F0305">
              <w:rPr>
                <w:webHidden/>
              </w:rPr>
              <w:fldChar w:fldCharType="begin"/>
            </w:r>
            <w:r w:rsidR="003F0305">
              <w:rPr>
                <w:webHidden/>
              </w:rPr>
              <w:instrText xml:space="preserve"> PAGEREF _Toc431221449 \h </w:instrText>
            </w:r>
            <w:r w:rsidR="003F0305">
              <w:rPr>
                <w:webHidden/>
              </w:rPr>
            </w:r>
            <w:r w:rsidR="003F0305">
              <w:rPr>
                <w:webHidden/>
              </w:rPr>
              <w:fldChar w:fldCharType="separate"/>
            </w:r>
            <w:r>
              <w:rPr>
                <w:webHidden/>
              </w:rPr>
              <w:t>206</w:t>
            </w:r>
            <w:r w:rsidR="003F0305">
              <w:rPr>
                <w:webHidden/>
              </w:rPr>
              <w:fldChar w:fldCharType="end"/>
            </w:r>
          </w:hyperlink>
        </w:p>
        <w:p w14:paraId="33E3C54A" w14:textId="77777777" w:rsidR="003F0305" w:rsidRDefault="006D6DD1">
          <w:pPr>
            <w:pStyle w:val="TOC3"/>
            <w:rPr>
              <w:rFonts w:asciiTheme="minorHAnsi" w:eastAsiaTheme="minorEastAsia" w:hAnsiTheme="minorHAnsi"/>
              <w:smallCaps w:val="0"/>
              <w:sz w:val="22"/>
              <w:lang w:eastAsia="en-US"/>
            </w:rPr>
          </w:pPr>
          <w:hyperlink w:anchor="_Toc431221450" w:history="1">
            <w:r w:rsidR="003F0305" w:rsidRPr="0017711C">
              <w:rPr>
                <w:rStyle w:val="Hyperlink"/>
              </w:rPr>
              <w:t>ANNEX VI</w:t>
            </w:r>
            <w:r w:rsidR="003F0305">
              <w:rPr>
                <w:rFonts w:asciiTheme="minorHAnsi" w:eastAsiaTheme="minorEastAsia" w:hAnsiTheme="minorHAnsi"/>
                <w:smallCaps w:val="0"/>
                <w:sz w:val="22"/>
                <w:lang w:eastAsia="en-US"/>
              </w:rPr>
              <w:tab/>
            </w:r>
            <w:r w:rsidR="003F0305" w:rsidRPr="0017711C">
              <w:rPr>
                <w:rStyle w:val="Hyperlink"/>
              </w:rPr>
              <w:t>INDICATORS OF MADRID OPERATIONS</w:t>
            </w:r>
            <w:r w:rsidR="003F0305">
              <w:rPr>
                <w:webHidden/>
              </w:rPr>
              <w:tab/>
            </w:r>
            <w:r w:rsidR="003F0305">
              <w:rPr>
                <w:webHidden/>
              </w:rPr>
              <w:fldChar w:fldCharType="begin"/>
            </w:r>
            <w:r w:rsidR="003F0305">
              <w:rPr>
                <w:webHidden/>
              </w:rPr>
              <w:instrText xml:space="preserve"> PAGEREF _Toc431221450 \h </w:instrText>
            </w:r>
            <w:r w:rsidR="003F0305">
              <w:rPr>
                <w:webHidden/>
              </w:rPr>
            </w:r>
            <w:r w:rsidR="003F0305">
              <w:rPr>
                <w:webHidden/>
              </w:rPr>
              <w:fldChar w:fldCharType="separate"/>
            </w:r>
            <w:r>
              <w:rPr>
                <w:webHidden/>
              </w:rPr>
              <w:t>216</w:t>
            </w:r>
            <w:r w:rsidR="003F0305">
              <w:rPr>
                <w:webHidden/>
              </w:rPr>
              <w:fldChar w:fldCharType="end"/>
            </w:r>
          </w:hyperlink>
        </w:p>
        <w:p w14:paraId="44148A44" w14:textId="77777777" w:rsidR="003F0305" w:rsidRDefault="006D6DD1">
          <w:pPr>
            <w:pStyle w:val="TOC3"/>
            <w:rPr>
              <w:rFonts w:asciiTheme="minorHAnsi" w:eastAsiaTheme="minorEastAsia" w:hAnsiTheme="minorHAnsi"/>
              <w:smallCaps w:val="0"/>
              <w:sz w:val="22"/>
              <w:lang w:eastAsia="en-US"/>
            </w:rPr>
          </w:pPr>
          <w:hyperlink w:anchor="_Toc431221451" w:history="1">
            <w:r w:rsidR="003F0305" w:rsidRPr="0017711C">
              <w:rPr>
                <w:rStyle w:val="Hyperlink"/>
              </w:rPr>
              <w:t>ANNEX VII</w:t>
            </w:r>
            <w:r w:rsidR="003F0305">
              <w:rPr>
                <w:rFonts w:asciiTheme="minorHAnsi" w:eastAsiaTheme="minorEastAsia" w:hAnsiTheme="minorHAnsi"/>
                <w:smallCaps w:val="0"/>
                <w:sz w:val="22"/>
                <w:lang w:eastAsia="en-US"/>
              </w:rPr>
              <w:tab/>
            </w:r>
            <w:r w:rsidR="003F0305" w:rsidRPr="0017711C">
              <w:rPr>
                <w:rStyle w:val="Hyperlink"/>
              </w:rPr>
              <w:t>INDICATORS OF THE HAGUE SYSTEM OPERATIONS</w:t>
            </w:r>
            <w:r w:rsidR="003F0305">
              <w:rPr>
                <w:webHidden/>
              </w:rPr>
              <w:tab/>
            </w:r>
            <w:r w:rsidR="003F0305">
              <w:rPr>
                <w:webHidden/>
              </w:rPr>
              <w:fldChar w:fldCharType="begin"/>
            </w:r>
            <w:r w:rsidR="003F0305">
              <w:rPr>
                <w:webHidden/>
              </w:rPr>
              <w:instrText xml:space="preserve"> PAGEREF _Toc431221451 \h </w:instrText>
            </w:r>
            <w:r w:rsidR="003F0305">
              <w:rPr>
                <w:webHidden/>
              </w:rPr>
            </w:r>
            <w:r w:rsidR="003F0305">
              <w:rPr>
                <w:webHidden/>
              </w:rPr>
              <w:fldChar w:fldCharType="separate"/>
            </w:r>
            <w:r>
              <w:rPr>
                <w:webHidden/>
              </w:rPr>
              <w:t>227</w:t>
            </w:r>
            <w:r w:rsidR="003F0305">
              <w:rPr>
                <w:webHidden/>
              </w:rPr>
              <w:fldChar w:fldCharType="end"/>
            </w:r>
          </w:hyperlink>
        </w:p>
        <w:p w14:paraId="63091922" w14:textId="77777777" w:rsidR="003F0305" w:rsidRDefault="006D6DD1">
          <w:pPr>
            <w:pStyle w:val="TOC3"/>
            <w:rPr>
              <w:rFonts w:asciiTheme="minorHAnsi" w:eastAsiaTheme="minorEastAsia" w:hAnsiTheme="minorHAnsi"/>
              <w:smallCaps w:val="0"/>
              <w:sz w:val="22"/>
              <w:lang w:eastAsia="en-US"/>
            </w:rPr>
          </w:pPr>
          <w:hyperlink w:anchor="_Toc431221452" w:history="1">
            <w:r w:rsidR="003F0305" w:rsidRPr="0017711C">
              <w:rPr>
                <w:rStyle w:val="Hyperlink"/>
              </w:rPr>
              <w:t>ANNEX VIII</w:t>
            </w:r>
            <w:r w:rsidR="003F0305">
              <w:rPr>
                <w:rFonts w:asciiTheme="minorHAnsi" w:eastAsiaTheme="minorEastAsia" w:hAnsiTheme="minorHAnsi"/>
                <w:smallCaps w:val="0"/>
                <w:sz w:val="22"/>
                <w:lang w:eastAsia="en-US"/>
              </w:rPr>
              <w:tab/>
            </w:r>
            <w:r w:rsidR="003F0305" w:rsidRPr="0017711C">
              <w:rPr>
                <w:rStyle w:val="Hyperlink"/>
              </w:rPr>
              <w:t>FUNDS IN TRUST RESOURCES POTENTIALLY AVAILABLE FOR PROGRAMMING</w:t>
            </w:r>
            <w:r w:rsidR="003F0305">
              <w:rPr>
                <w:webHidden/>
              </w:rPr>
              <w:tab/>
            </w:r>
            <w:r w:rsidR="003F0305">
              <w:rPr>
                <w:webHidden/>
              </w:rPr>
              <w:fldChar w:fldCharType="begin"/>
            </w:r>
            <w:r w:rsidR="003F0305">
              <w:rPr>
                <w:webHidden/>
              </w:rPr>
              <w:instrText xml:space="preserve"> PAGEREF _Toc431221452 \h </w:instrText>
            </w:r>
            <w:r w:rsidR="003F0305">
              <w:rPr>
                <w:webHidden/>
              </w:rPr>
            </w:r>
            <w:r w:rsidR="003F0305">
              <w:rPr>
                <w:webHidden/>
              </w:rPr>
              <w:fldChar w:fldCharType="separate"/>
            </w:r>
            <w:r>
              <w:rPr>
                <w:webHidden/>
              </w:rPr>
              <w:t>235</w:t>
            </w:r>
            <w:r w:rsidR="003F0305">
              <w:rPr>
                <w:webHidden/>
              </w:rPr>
              <w:fldChar w:fldCharType="end"/>
            </w:r>
          </w:hyperlink>
        </w:p>
        <w:p w14:paraId="6F1623A9" w14:textId="77777777" w:rsidR="003F0305" w:rsidRDefault="006D6DD1">
          <w:pPr>
            <w:pStyle w:val="TOC3"/>
            <w:rPr>
              <w:rFonts w:asciiTheme="minorHAnsi" w:eastAsiaTheme="minorEastAsia" w:hAnsiTheme="minorHAnsi"/>
              <w:smallCaps w:val="0"/>
              <w:sz w:val="22"/>
              <w:lang w:eastAsia="en-US"/>
            </w:rPr>
          </w:pPr>
          <w:hyperlink w:anchor="_Toc431221453" w:history="1">
            <w:r w:rsidR="003F0305" w:rsidRPr="0017711C">
              <w:rPr>
                <w:rStyle w:val="Hyperlink"/>
              </w:rPr>
              <w:t>ANNEX IX</w:t>
            </w:r>
            <w:r w:rsidR="003F0305">
              <w:rPr>
                <w:rFonts w:asciiTheme="minorHAnsi" w:eastAsiaTheme="minorEastAsia" w:hAnsiTheme="minorHAnsi"/>
                <w:smallCaps w:val="0"/>
                <w:sz w:val="22"/>
                <w:lang w:eastAsia="en-US"/>
              </w:rPr>
              <w:tab/>
            </w:r>
            <w:r w:rsidR="003F0305" w:rsidRPr="0017711C">
              <w:rPr>
                <w:rStyle w:val="Hyperlink"/>
              </w:rPr>
              <w:t>ANNUAL BUDGET TABLES FOR IPSAS REPORTING</w:t>
            </w:r>
            <w:r w:rsidR="003F0305">
              <w:rPr>
                <w:webHidden/>
              </w:rPr>
              <w:tab/>
            </w:r>
            <w:r w:rsidR="003F0305">
              <w:rPr>
                <w:webHidden/>
              </w:rPr>
              <w:fldChar w:fldCharType="begin"/>
            </w:r>
            <w:r w:rsidR="003F0305">
              <w:rPr>
                <w:webHidden/>
              </w:rPr>
              <w:instrText xml:space="preserve"> PAGEREF _Toc431221453 \h </w:instrText>
            </w:r>
            <w:r w:rsidR="003F0305">
              <w:rPr>
                <w:webHidden/>
              </w:rPr>
            </w:r>
            <w:r w:rsidR="003F0305">
              <w:rPr>
                <w:webHidden/>
              </w:rPr>
              <w:fldChar w:fldCharType="separate"/>
            </w:r>
            <w:r>
              <w:rPr>
                <w:webHidden/>
              </w:rPr>
              <w:t>236</w:t>
            </w:r>
            <w:r w:rsidR="003F0305">
              <w:rPr>
                <w:webHidden/>
              </w:rPr>
              <w:fldChar w:fldCharType="end"/>
            </w:r>
          </w:hyperlink>
        </w:p>
        <w:p w14:paraId="3F630354" w14:textId="77777777" w:rsidR="003F0305" w:rsidRDefault="006D6DD1">
          <w:pPr>
            <w:pStyle w:val="TOC3"/>
            <w:rPr>
              <w:rFonts w:asciiTheme="minorHAnsi" w:eastAsiaTheme="minorEastAsia" w:hAnsiTheme="minorHAnsi"/>
              <w:smallCaps w:val="0"/>
              <w:sz w:val="22"/>
              <w:lang w:eastAsia="en-US"/>
            </w:rPr>
          </w:pPr>
          <w:hyperlink w:anchor="_Toc431221454" w:history="1">
            <w:r w:rsidR="003F0305" w:rsidRPr="0017711C">
              <w:rPr>
                <w:rStyle w:val="Hyperlink"/>
              </w:rPr>
              <w:t>ANNEX X</w:t>
            </w:r>
            <w:r w:rsidR="003F0305">
              <w:rPr>
                <w:rFonts w:asciiTheme="minorHAnsi" w:eastAsiaTheme="minorEastAsia" w:hAnsiTheme="minorHAnsi"/>
                <w:smallCaps w:val="0"/>
                <w:sz w:val="22"/>
                <w:lang w:eastAsia="en-US"/>
              </w:rPr>
              <w:tab/>
            </w:r>
            <w:r w:rsidR="003F0305" w:rsidRPr="0017711C">
              <w:rPr>
                <w:rStyle w:val="Hyperlink"/>
              </w:rPr>
              <w:t>2016/17 BUDGET BY EXPECTED RESULT AND PROGRAM</w:t>
            </w:r>
            <w:r w:rsidR="003F0305">
              <w:rPr>
                <w:webHidden/>
              </w:rPr>
              <w:tab/>
            </w:r>
            <w:r w:rsidR="003F0305">
              <w:rPr>
                <w:webHidden/>
              </w:rPr>
              <w:fldChar w:fldCharType="begin"/>
            </w:r>
            <w:r w:rsidR="003F0305">
              <w:rPr>
                <w:webHidden/>
              </w:rPr>
              <w:instrText xml:space="preserve"> PAGEREF _Toc431221454 \h </w:instrText>
            </w:r>
            <w:r w:rsidR="003F0305">
              <w:rPr>
                <w:webHidden/>
              </w:rPr>
            </w:r>
            <w:r w:rsidR="003F0305">
              <w:rPr>
                <w:webHidden/>
              </w:rPr>
              <w:fldChar w:fldCharType="separate"/>
            </w:r>
            <w:r>
              <w:rPr>
                <w:webHidden/>
              </w:rPr>
              <w:t>238</w:t>
            </w:r>
            <w:r w:rsidR="003F0305">
              <w:rPr>
                <w:webHidden/>
              </w:rPr>
              <w:fldChar w:fldCharType="end"/>
            </w:r>
          </w:hyperlink>
        </w:p>
        <w:p w14:paraId="54838DCC" w14:textId="77777777" w:rsidR="003F0305" w:rsidRDefault="006D6DD1">
          <w:pPr>
            <w:pStyle w:val="TOC3"/>
            <w:rPr>
              <w:rFonts w:asciiTheme="minorHAnsi" w:eastAsiaTheme="minorEastAsia" w:hAnsiTheme="minorHAnsi"/>
              <w:smallCaps w:val="0"/>
              <w:sz w:val="22"/>
              <w:lang w:eastAsia="en-US"/>
            </w:rPr>
          </w:pPr>
          <w:hyperlink w:anchor="_Toc431221455" w:history="1">
            <w:r w:rsidR="003F0305" w:rsidRPr="0017711C">
              <w:rPr>
                <w:rStyle w:val="Hyperlink"/>
              </w:rPr>
              <w:t>ANNEX XI</w:t>
            </w:r>
            <w:r w:rsidR="003F0305">
              <w:rPr>
                <w:rFonts w:asciiTheme="minorHAnsi" w:eastAsiaTheme="minorEastAsia" w:hAnsiTheme="minorHAnsi"/>
                <w:smallCaps w:val="0"/>
                <w:sz w:val="22"/>
                <w:lang w:eastAsia="en-US"/>
              </w:rPr>
              <w:tab/>
            </w:r>
            <w:r w:rsidR="003F0305" w:rsidRPr="0017711C">
              <w:rPr>
                <w:rStyle w:val="Hyperlink"/>
              </w:rPr>
              <w:t>2016/17 BUDGET BY EXPECTED RESULT</w:t>
            </w:r>
            <w:r w:rsidR="003F0305">
              <w:rPr>
                <w:webHidden/>
              </w:rPr>
              <w:tab/>
            </w:r>
            <w:r w:rsidR="003F0305">
              <w:rPr>
                <w:webHidden/>
              </w:rPr>
              <w:fldChar w:fldCharType="begin"/>
            </w:r>
            <w:r w:rsidR="003F0305">
              <w:rPr>
                <w:webHidden/>
              </w:rPr>
              <w:instrText xml:space="preserve"> PAGEREF _Toc431221455 \h </w:instrText>
            </w:r>
            <w:r w:rsidR="003F0305">
              <w:rPr>
                <w:webHidden/>
              </w:rPr>
            </w:r>
            <w:r w:rsidR="003F0305">
              <w:rPr>
                <w:webHidden/>
              </w:rPr>
              <w:fldChar w:fldCharType="separate"/>
            </w:r>
            <w:r>
              <w:rPr>
                <w:webHidden/>
              </w:rPr>
              <w:t>240</w:t>
            </w:r>
            <w:r w:rsidR="003F0305">
              <w:rPr>
                <w:webHidden/>
              </w:rPr>
              <w:fldChar w:fldCharType="end"/>
            </w:r>
          </w:hyperlink>
        </w:p>
        <w:p w14:paraId="55E3B49B" w14:textId="77777777" w:rsidR="003F0305" w:rsidRDefault="006D6DD1">
          <w:pPr>
            <w:pStyle w:val="TOC3"/>
            <w:rPr>
              <w:rFonts w:asciiTheme="minorHAnsi" w:eastAsiaTheme="minorEastAsia" w:hAnsiTheme="minorHAnsi"/>
              <w:smallCaps w:val="0"/>
              <w:sz w:val="22"/>
              <w:lang w:eastAsia="en-US"/>
            </w:rPr>
          </w:pPr>
          <w:hyperlink w:anchor="_Toc431221456" w:history="1">
            <w:r w:rsidR="003F0305" w:rsidRPr="0017711C">
              <w:rPr>
                <w:rStyle w:val="Hyperlink"/>
              </w:rPr>
              <w:t>ANNEX XII</w:t>
            </w:r>
            <w:r w:rsidR="003F0305">
              <w:rPr>
                <w:rFonts w:asciiTheme="minorHAnsi" w:eastAsiaTheme="minorEastAsia" w:hAnsiTheme="minorHAnsi"/>
                <w:smallCaps w:val="0"/>
                <w:sz w:val="22"/>
                <w:lang w:eastAsia="en-US"/>
              </w:rPr>
              <w:tab/>
            </w:r>
            <w:r w:rsidR="003F0305" w:rsidRPr="0017711C">
              <w:rPr>
                <w:rStyle w:val="Hyperlink"/>
              </w:rPr>
              <w:t>WIPO ORGANIGRAM</w:t>
            </w:r>
            <w:r w:rsidR="003F0305">
              <w:rPr>
                <w:webHidden/>
              </w:rPr>
              <w:tab/>
            </w:r>
            <w:r w:rsidR="003F0305">
              <w:rPr>
                <w:webHidden/>
              </w:rPr>
              <w:fldChar w:fldCharType="begin"/>
            </w:r>
            <w:r w:rsidR="003F0305">
              <w:rPr>
                <w:webHidden/>
              </w:rPr>
              <w:instrText xml:space="preserve"> PAGEREF _Toc431221456 \h </w:instrText>
            </w:r>
            <w:r w:rsidR="003F0305">
              <w:rPr>
                <w:webHidden/>
              </w:rPr>
            </w:r>
            <w:r w:rsidR="003F0305">
              <w:rPr>
                <w:webHidden/>
              </w:rPr>
              <w:fldChar w:fldCharType="separate"/>
            </w:r>
            <w:r>
              <w:rPr>
                <w:webHidden/>
              </w:rPr>
              <w:t>243</w:t>
            </w:r>
            <w:r w:rsidR="003F0305">
              <w:rPr>
                <w:webHidden/>
              </w:rPr>
              <w:fldChar w:fldCharType="end"/>
            </w:r>
          </w:hyperlink>
        </w:p>
        <w:p w14:paraId="1B9494EC" w14:textId="77777777" w:rsidR="003F0305" w:rsidRDefault="006D6DD1">
          <w:pPr>
            <w:pStyle w:val="TOC1"/>
            <w:rPr>
              <w:rFonts w:asciiTheme="minorHAnsi" w:hAnsiTheme="minorHAnsi"/>
              <w:b w:val="0"/>
              <w:lang w:eastAsia="en-US"/>
            </w:rPr>
          </w:pPr>
          <w:hyperlink w:anchor="_Toc431221457" w:history="1">
            <w:r w:rsidR="003F0305" w:rsidRPr="0017711C">
              <w:rPr>
                <w:rStyle w:val="Hyperlink"/>
              </w:rPr>
              <w:t>IV.</w:t>
            </w:r>
            <w:r w:rsidR="003F0305">
              <w:rPr>
                <w:rFonts w:asciiTheme="minorHAnsi" w:hAnsiTheme="minorHAnsi"/>
                <w:b w:val="0"/>
                <w:lang w:eastAsia="en-US"/>
              </w:rPr>
              <w:tab/>
            </w:r>
            <w:r w:rsidR="003F0305" w:rsidRPr="0017711C">
              <w:rPr>
                <w:rStyle w:val="Hyperlink"/>
              </w:rPr>
              <w:t>APPENDICES</w:t>
            </w:r>
            <w:r w:rsidR="003F0305">
              <w:rPr>
                <w:webHidden/>
              </w:rPr>
              <w:tab/>
            </w:r>
            <w:r w:rsidR="003F0305">
              <w:rPr>
                <w:webHidden/>
              </w:rPr>
              <w:fldChar w:fldCharType="begin"/>
            </w:r>
            <w:r w:rsidR="003F0305">
              <w:rPr>
                <w:webHidden/>
              </w:rPr>
              <w:instrText xml:space="preserve"> PAGEREF _Toc431221457 \h </w:instrText>
            </w:r>
            <w:r w:rsidR="003F0305">
              <w:rPr>
                <w:webHidden/>
              </w:rPr>
            </w:r>
            <w:r w:rsidR="003F0305">
              <w:rPr>
                <w:webHidden/>
              </w:rPr>
              <w:fldChar w:fldCharType="separate"/>
            </w:r>
            <w:r>
              <w:rPr>
                <w:webHidden/>
              </w:rPr>
              <w:t>244</w:t>
            </w:r>
            <w:r w:rsidR="003F0305">
              <w:rPr>
                <w:webHidden/>
              </w:rPr>
              <w:fldChar w:fldCharType="end"/>
            </w:r>
          </w:hyperlink>
        </w:p>
        <w:p w14:paraId="2E21E9D1" w14:textId="77777777" w:rsidR="003F0305" w:rsidRDefault="006D6DD1">
          <w:pPr>
            <w:pStyle w:val="TOC3"/>
            <w:rPr>
              <w:rFonts w:asciiTheme="minorHAnsi" w:eastAsiaTheme="minorEastAsia" w:hAnsiTheme="minorHAnsi"/>
              <w:smallCaps w:val="0"/>
              <w:sz w:val="22"/>
              <w:lang w:eastAsia="en-US"/>
            </w:rPr>
          </w:pPr>
          <w:hyperlink w:anchor="_Toc431221458" w:history="1">
            <w:r w:rsidR="003F0305" w:rsidRPr="0017711C">
              <w:rPr>
                <w:rStyle w:val="Hyperlink"/>
              </w:rPr>
              <w:t xml:space="preserve">APPENDIX A     </w:t>
            </w:r>
            <w:r w:rsidR="003F0305" w:rsidRPr="0017711C">
              <w:rPr>
                <w:rStyle w:val="Hyperlink"/>
                <w:bCs/>
              </w:rPr>
              <w:t>MEMBER STATES’ CONTRIBUTIONS</w:t>
            </w:r>
            <w:r w:rsidR="003F0305">
              <w:rPr>
                <w:webHidden/>
              </w:rPr>
              <w:tab/>
            </w:r>
            <w:r w:rsidR="003F0305">
              <w:rPr>
                <w:webHidden/>
              </w:rPr>
              <w:fldChar w:fldCharType="begin"/>
            </w:r>
            <w:r w:rsidR="003F0305">
              <w:rPr>
                <w:webHidden/>
              </w:rPr>
              <w:instrText xml:space="preserve"> PAGEREF _Toc431221458 \h </w:instrText>
            </w:r>
            <w:r w:rsidR="003F0305">
              <w:rPr>
                <w:webHidden/>
              </w:rPr>
            </w:r>
            <w:r w:rsidR="003F0305">
              <w:rPr>
                <w:webHidden/>
              </w:rPr>
              <w:fldChar w:fldCharType="separate"/>
            </w:r>
            <w:r>
              <w:rPr>
                <w:webHidden/>
              </w:rPr>
              <w:t>244</w:t>
            </w:r>
            <w:r w:rsidR="003F0305">
              <w:rPr>
                <w:webHidden/>
              </w:rPr>
              <w:fldChar w:fldCharType="end"/>
            </w:r>
          </w:hyperlink>
        </w:p>
        <w:p w14:paraId="6613C6B9" w14:textId="77777777" w:rsidR="003F0305" w:rsidRDefault="006D6DD1">
          <w:pPr>
            <w:pStyle w:val="TOC3"/>
            <w:rPr>
              <w:rFonts w:asciiTheme="minorHAnsi" w:eastAsiaTheme="minorEastAsia" w:hAnsiTheme="minorHAnsi"/>
              <w:smallCaps w:val="0"/>
              <w:sz w:val="22"/>
              <w:lang w:eastAsia="en-US"/>
            </w:rPr>
          </w:pPr>
          <w:hyperlink w:anchor="_Toc431221459" w:history="1">
            <w:r w:rsidR="003F0305" w:rsidRPr="0017711C">
              <w:rPr>
                <w:rStyle w:val="Hyperlink"/>
              </w:rPr>
              <w:t>APPENDIX B     DEFINITION OF COST CATEGORIES</w:t>
            </w:r>
            <w:r w:rsidR="003F0305">
              <w:rPr>
                <w:webHidden/>
              </w:rPr>
              <w:tab/>
            </w:r>
            <w:r w:rsidR="003F0305">
              <w:rPr>
                <w:webHidden/>
              </w:rPr>
              <w:fldChar w:fldCharType="begin"/>
            </w:r>
            <w:r w:rsidR="003F0305">
              <w:rPr>
                <w:webHidden/>
              </w:rPr>
              <w:instrText xml:space="preserve"> PAGEREF _Toc431221459 \h </w:instrText>
            </w:r>
            <w:r w:rsidR="003F0305">
              <w:rPr>
                <w:webHidden/>
              </w:rPr>
            </w:r>
            <w:r w:rsidR="003F0305">
              <w:rPr>
                <w:webHidden/>
              </w:rPr>
              <w:fldChar w:fldCharType="separate"/>
            </w:r>
            <w:r>
              <w:rPr>
                <w:webHidden/>
              </w:rPr>
              <w:t>248</w:t>
            </w:r>
            <w:r w:rsidR="003F0305">
              <w:rPr>
                <w:webHidden/>
              </w:rPr>
              <w:fldChar w:fldCharType="end"/>
            </w:r>
          </w:hyperlink>
        </w:p>
        <w:p w14:paraId="1FBB9235" w14:textId="77777777" w:rsidR="003F0305" w:rsidRDefault="006D6DD1">
          <w:pPr>
            <w:pStyle w:val="TOC3"/>
            <w:rPr>
              <w:rFonts w:asciiTheme="minorHAnsi" w:eastAsiaTheme="minorEastAsia" w:hAnsiTheme="minorHAnsi"/>
              <w:smallCaps w:val="0"/>
              <w:sz w:val="22"/>
              <w:lang w:eastAsia="en-US"/>
            </w:rPr>
          </w:pPr>
          <w:hyperlink w:anchor="_Toc431221460" w:history="1">
            <w:r w:rsidR="003F0305" w:rsidRPr="0017711C">
              <w:rPr>
                <w:rStyle w:val="Hyperlink"/>
              </w:rPr>
              <w:t>APPENDIX C     COSTING FOR PERSONNEL</w:t>
            </w:r>
            <w:r w:rsidR="003F0305">
              <w:rPr>
                <w:webHidden/>
              </w:rPr>
              <w:tab/>
            </w:r>
            <w:r w:rsidR="003F0305">
              <w:rPr>
                <w:webHidden/>
              </w:rPr>
              <w:fldChar w:fldCharType="begin"/>
            </w:r>
            <w:r w:rsidR="003F0305">
              <w:rPr>
                <w:webHidden/>
              </w:rPr>
              <w:instrText xml:space="preserve"> PAGEREF _Toc431221460 \h </w:instrText>
            </w:r>
            <w:r w:rsidR="003F0305">
              <w:rPr>
                <w:webHidden/>
              </w:rPr>
            </w:r>
            <w:r w:rsidR="003F0305">
              <w:rPr>
                <w:webHidden/>
              </w:rPr>
              <w:fldChar w:fldCharType="separate"/>
            </w:r>
            <w:r>
              <w:rPr>
                <w:webHidden/>
              </w:rPr>
              <w:t>250</w:t>
            </w:r>
            <w:r w:rsidR="003F0305">
              <w:rPr>
                <w:webHidden/>
              </w:rPr>
              <w:fldChar w:fldCharType="end"/>
            </w:r>
          </w:hyperlink>
        </w:p>
        <w:p w14:paraId="79E4BD6A" w14:textId="77777777" w:rsidR="003F0305" w:rsidRDefault="006D6DD1">
          <w:pPr>
            <w:pStyle w:val="TOC3"/>
            <w:rPr>
              <w:rFonts w:asciiTheme="minorHAnsi" w:eastAsiaTheme="minorEastAsia" w:hAnsiTheme="minorHAnsi"/>
              <w:smallCaps w:val="0"/>
              <w:sz w:val="22"/>
              <w:lang w:eastAsia="en-US"/>
            </w:rPr>
          </w:pPr>
          <w:hyperlink w:anchor="_Toc431221461" w:history="1">
            <w:r w:rsidR="003F0305" w:rsidRPr="0017711C">
              <w:rPr>
                <w:rStyle w:val="Hyperlink"/>
              </w:rPr>
              <w:t>APPENDIX D     FLEXIBILITY FORMULAS</w:t>
            </w:r>
            <w:r w:rsidR="003F0305">
              <w:rPr>
                <w:webHidden/>
              </w:rPr>
              <w:tab/>
            </w:r>
            <w:r w:rsidR="003F0305">
              <w:rPr>
                <w:webHidden/>
              </w:rPr>
              <w:fldChar w:fldCharType="begin"/>
            </w:r>
            <w:r w:rsidR="003F0305">
              <w:rPr>
                <w:webHidden/>
              </w:rPr>
              <w:instrText xml:space="preserve"> PAGEREF _Toc431221461 \h </w:instrText>
            </w:r>
            <w:r w:rsidR="003F0305">
              <w:rPr>
                <w:webHidden/>
              </w:rPr>
            </w:r>
            <w:r w:rsidR="003F0305">
              <w:rPr>
                <w:webHidden/>
              </w:rPr>
              <w:fldChar w:fldCharType="separate"/>
            </w:r>
            <w:r>
              <w:rPr>
                <w:webHidden/>
              </w:rPr>
              <w:t>251</w:t>
            </w:r>
            <w:r w:rsidR="003F0305">
              <w:rPr>
                <w:webHidden/>
              </w:rPr>
              <w:fldChar w:fldCharType="end"/>
            </w:r>
          </w:hyperlink>
        </w:p>
        <w:p w14:paraId="57437442" w14:textId="77777777" w:rsidR="003F0305" w:rsidRDefault="006D6DD1">
          <w:pPr>
            <w:pStyle w:val="TOC3"/>
            <w:rPr>
              <w:rFonts w:asciiTheme="minorHAnsi" w:eastAsiaTheme="minorEastAsia" w:hAnsiTheme="minorHAnsi"/>
              <w:smallCaps w:val="0"/>
              <w:sz w:val="22"/>
              <w:lang w:eastAsia="en-US"/>
            </w:rPr>
          </w:pPr>
          <w:hyperlink w:anchor="_Toc431221462" w:history="1">
            <w:r w:rsidR="003F0305" w:rsidRPr="0017711C">
              <w:rPr>
                <w:rStyle w:val="Hyperlink"/>
              </w:rPr>
              <w:t xml:space="preserve">APPENDIX E  </w:t>
            </w:r>
            <w:r w:rsidR="003F0305" w:rsidRPr="0017711C">
              <w:rPr>
                <w:rStyle w:val="Hyperlink"/>
                <w:bCs/>
              </w:rPr>
              <w:t xml:space="preserve">  </w:t>
            </w:r>
            <w:r w:rsidR="003F0305" w:rsidRPr="0017711C">
              <w:rPr>
                <w:rStyle w:val="Hyperlink"/>
              </w:rPr>
              <w:t>ACRONYMS</w:t>
            </w:r>
            <w:r w:rsidR="003F0305" w:rsidRPr="0017711C">
              <w:rPr>
                <w:rStyle w:val="Hyperlink"/>
                <w:bCs/>
              </w:rPr>
              <w:t xml:space="preserve"> </w:t>
            </w:r>
            <w:r w:rsidR="003F0305" w:rsidRPr="0017711C">
              <w:rPr>
                <w:rStyle w:val="Hyperlink"/>
              </w:rPr>
              <w:t>AND</w:t>
            </w:r>
            <w:r w:rsidR="003F0305" w:rsidRPr="0017711C">
              <w:rPr>
                <w:rStyle w:val="Hyperlink"/>
                <w:bCs/>
              </w:rPr>
              <w:t xml:space="preserve"> </w:t>
            </w:r>
            <w:r w:rsidR="003F0305" w:rsidRPr="0017711C">
              <w:rPr>
                <w:rStyle w:val="Hyperlink"/>
              </w:rPr>
              <w:t>ABBREVIATIONS</w:t>
            </w:r>
            <w:r w:rsidR="003F0305" w:rsidRPr="0017711C">
              <w:rPr>
                <w:rStyle w:val="Hyperlink"/>
                <w:bCs/>
              </w:rPr>
              <w:t xml:space="preserve"> </w:t>
            </w:r>
            <w:r w:rsidR="003F0305" w:rsidRPr="0017711C">
              <w:rPr>
                <w:rStyle w:val="Hyperlink"/>
              </w:rPr>
              <w:t>USED</w:t>
            </w:r>
            <w:r w:rsidR="003F0305" w:rsidRPr="0017711C">
              <w:rPr>
                <w:rStyle w:val="Hyperlink"/>
                <w:bCs/>
              </w:rPr>
              <w:t xml:space="preserve"> </w:t>
            </w:r>
            <w:r w:rsidR="003F0305" w:rsidRPr="0017711C">
              <w:rPr>
                <w:rStyle w:val="Hyperlink"/>
              </w:rPr>
              <w:t>IN THE PRESENT</w:t>
            </w:r>
            <w:r w:rsidR="003F0305" w:rsidRPr="0017711C">
              <w:rPr>
                <w:rStyle w:val="Hyperlink"/>
                <w:bCs/>
              </w:rPr>
              <w:t xml:space="preserve"> </w:t>
            </w:r>
            <w:r w:rsidR="003F0305" w:rsidRPr="0017711C">
              <w:rPr>
                <w:rStyle w:val="Hyperlink"/>
              </w:rPr>
              <w:t>DOCUMENT</w:t>
            </w:r>
            <w:r w:rsidR="003F0305">
              <w:rPr>
                <w:webHidden/>
              </w:rPr>
              <w:tab/>
            </w:r>
            <w:r w:rsidR="003F0305">
              <w:rPr>
                <w:webHidden/>
              </w:rPr>
              <w:fldChar w:fldCharType="begin"/>
            </w:r>
            <w:r w:rsidR="003F0305">
              <w:rPr>
                <w:webHidden/>
              </w:rPr>
              <w:instrText xml:space="preserve"> PAGEREF _Toc431221462 \h </w:instrText>
            </w:r>
            <w:r w:rsidR="003F0305">
              <w:rPr>
                <w:webHidden/>
              </w:rPr>
            </w:r>
            <w:r w:rsidR="003F0305">
              <w:rPr>
                <w:webHidden/>
              </w:rPr>
              <w:fldChar w:fldCharType="separate"/>
            </w:r>
            <w:r>
              <w:rPr>
                <w:webHidden/>
              </w:rPr>
              <w:t>252</w:t>
            </w:r>
            <w:r w:rsidR="003F0305">
              <w:rPr>
                <w:webHidden/>
              </w:rPr>
              <w:fldChar w:fldCharType="end"/>
            </w:r>
          </w:hyperlink>
        </w:p>
        <w:p w14:paraId="60FD5859" w14:textId="39748229" w:rsidR="00D656E4" w:rsidRPr="003F7D3D" w:rsidRDefault="00D42529" w:rsidP="003F7D3D">
          <w:pPr>
            <w:rPr>
              <w:rFonts w:ascii="Arial" w:hAnsi="Arial" w:cs="Arial"/>
              <w:sz w:val="18"/>
            </w:rPr>
          </w:pPr>
          <w:r>
            <w:rPr>
              <w:rFonts w:ascii="Arial" w:hAnsi="Arial" w:cs="Arial"/>
              <w:b/>
              <w:noProof/>
            </w:rPr>
            <w:fldChar w:fldCharType="end"/>
          </w:r>
        </w:p>
      </w:sdtContent>
    </w:sdt>
    <w:p w14:paraId="21F6A849" w14:textId="0EA2CF11" w:rsidR="00B64DA0" w:rsidRDefault="00B64DA0">
      <w:pPr>
        <w:rPr>
          <w:rFonts w:ascii="Arial" w:hAnsi="Arial" w:cs="Arial"/>
        </w:rPr>
      </w:pPr>
      <w:r>
        <w:rPr>
          <w:rFonts w:ascii="Arial" w:hAnsi="Arial" w:cs="Arial"/>
        </w:rPr>
        <w:br w:type="page"/>
      </w:r>
    </w:p>
    <w:p w14:paraId="53836FEB" w14:textId="77777777" w:rsidR="00B64DA0" w:rsidRPr="0058691D" w:rsidRDefault="00B64DA0" w:rsidP="00B64DA0">
      <w:pPr>
        <w:pStyle w:val="Heading1"/>
        <w:rPr>
          <w:szCs w:val="20"/>
        </w:rPr>
      </w:pPr>
      <w:bookmarkStart w:id="5" w:name="_Toc367350561"/>
      <w:bookmarkStart w:id="6" w:name="_Toc431221396"/>
      <w:r w:rsidRPr="0058691D">
        <w:rPr>
          <w:szCs w:val="20"/>
        </w:rPr>
        <w:lastRenderedPageBreak/>
        <w:t>FOREWORD BY THE DIRECTOR GENERAL</w:t>
      </w:r>
      <w:bookmarkEnd w:id="5"/>
      <w:bookmarkEnd w:id="6"/>
    </w:p>
    <w:p w14:paraId="74696E79" w14:textId="77777777" w:rsidR="00B64DA0" w:rsidRDefault="00B64DA0" w:rsidP="00B64DA0">
      <w:pPr>
        <w:jc w:val="both"/>
        <w:rPr>
          <w:rFonts w:ascii="Arial" w:hAnsi="Arial" w:cs="Arial"/>
          <w:i/>
          <w:iCs/>
          <w:sz w:val="20"/>
        </w:rPr>
      </w:pPr>
    </w:p>
    <w:p w14:paraId="768B988A" w14:textId="77777777" w:rsidR="00EE5E86" w:rsidRDefault="00EE5E86" w:rsidP="00EE5E86">
      <w:pPr>
        <w:spacing w:line="360" w:lineRule="auto"/>
        <w:rPr>
          <w:rFonts w:ascii="Arial" w:hAnsi="Arial" w:cs="Arial"/>
          <w:sz w:val="20"/>
          <w:szCs w:val="20"/>
        </w:rPr>
      </w:pPr>
    </w:p>
    <w:p w14:paraId="6467E955"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The Program and Budget provides an opportunity for the Member States to fix the results that they wish the Organization to achieve in the next biennium and for the Organization to design the programs that will enable those results to be delivered.</w:t>
      </w:r>
    </w:p>
    <w:p w14:paraId="016F3DD2" w14:textId="77777777" w:rsidR="00EE5E86" w:rsidRPr="00AB228F" w:rsidRDefault="00EE5E86" w:rsidP="00B30215">
      <w:pPr>
        <w:jc w:val="both"/>
        <w:rPr>
          <w:rFonts w:ascii="Arial" w:hAnsi="Arial" w:cs="Arial"/>
          <w:sz w:val="20"/>
          <w:szCs w:val="20"/>
        </w:rPr>
      </w:pPr>
    </w:p>
    <w:p w14:paraId="23A34FE6" w14:textId="339657B0" w:rsidR="00EE5E86" w:rsidRPr="00AB228F" w:rsidRDefault="00EE5E86" w:rsidP="00B30215">
      <w:pPr>
        <w:jc w:val="both"/>
        <w:rPr>
          <w:rFonts w:ascii="Arial" w:hAnsi="Arial" w:cs="Arial"/>
          <w:sz w:val="20"/>
          <w:szCs w:val="20"/>
        </w:rPr>
      </w:pPr>
      <w:r w:rsidRPr="00AB228F">
        <w:rPr>
          <w:rFonts w:ascii="Arial" w:hAnsi="Arial" w:cs="Arial"/>
          <w:sz w:val="20"/>
          <w:szCs w:val="20"/>
        </w:rPr>
        <w:t>The Organization is fortunate to enjoy a sound financial basis on which to plan and execute this process of defining results and designing programs for the delivery of the results.  We expect to complete the current biennium (2014-2015) with a moderate surplus.  Income over the next biennium (2016-2017) is expected to rise by 6</w:t>
      </w:r>
      <w:r w:rsidR="00633448">
        <w:rPr>
          <w:rFonts w:ascii="Arial" w:hAnsi="Arial" w:cs="Arial"/>
          <w:sz w:val="20"/>
          <w:szCs w:val="20"/>
        </w:rPr>
        <w:t xml:space="preserve"> per cent</w:t>
      </w:r>
      <w:r w:rsidRPr="00AB228F">
        <w:rPr>
          <w:rFonts w:ascii="Arial" w:hAnsi="Arial" w:cs="Arial"/>
          <w:sz w:val="20"/>
          <w:szCs w:val="20"/>
        </w:rPr>
        <w:t xml:space="preserve"> to 756.3 million </w:t>
      </w:r>
      <w:r w:rsidR="00633448">
        <w:rPr>
          <w:rFonts w:ascii="Arial" w:hAnsi="Arial" w:cs="Arial"/>
          <w:sz w:val="20"/>
          <w:szCs w:val="20"/>
        </w:rPr>
        <w:t xml:space="preserve">Swiss francs </w:t>
      </w:r>
      <w:r w:rsidRPr="00AB228F">
        <w:rPr>
          <w:rFonts w:ascii="Arial" w:hAnsi="Arial" w:cs="Arial"/>
          <w:sz w:val="20"/>
          <w:szCs w:val="20"/>
        </w:rPr>
        <w:t>as a result of growth in demand under the Global IP Systems (principally, the Patent Cooperation Treaty (PCT), the Madrid System for trademarks and the Hague System for designs).  We propose that expenditure should rise by 4.9</w:t>
      </w:r>
      <w:r w:rsidR="00633448">
        <w:rPr>
          <w:rFonts w:ascii="Arial" w:hAnsi="Arial" w:cs="Arial"/>
          <w:sz w:val="20"/>
          <w:szCs w:val="20"/>
        </w:rPr>
        <w:t xml:space="preserve"> per cent</w:t>
      </w:r>
      <w:r w:rsidRPr="00AB228F">
        <w:rPr>
          <w:rFonts w:ascii="Arial" w:hAnsi="Arial" w:cs="Arial"/>
          <w:sz w:val="20"/>
          <w:szCs w:val="20"/>
        </w:rPr>
        <w:t xml:space="preserve"> to 707 million</w:t>
      </w:r>
      <w:r w:rsidR="00633448">
        <w:rPr>
          <w:rFonts w:ascii="Arial" w:hAnsi="Arial" w:cs="Arial"/>
          <w:sz w:val="20"/>
          <w:szCs w:val="20"/>
        </w:rPr>
        <w:t xml:space="preserve"> Swiss francs</w:t>
      </w:r>
      <w:r w:rsidRPr="00AB228F">
        <w:rPr>
          <w:rFonts w:ascii="Arial" w:hAnsi="Arial" w:cs="Arial"/>
          <w:sz w:val="20"/>
          <w:szCs w:val="20"/>
        </w:rPr>
        <w:t>, delivering a projected surplus, after estimated adjustments for International Public Sector Accounting Standards (IPSAS), of 20.8 million</w:t>
      </w:r>
      <w:r w:rsidR="00633448">
        <w:rPr>
          <w:rFonts w:ascii="Arial" w:hAnsi="Arial" w:cs="Arial"/>
          <w:sz w:val="20"/>
          <w:szCs w:val="20"/>
        </w:rPr>
        <w:t xml:space="preserve"> Swiss francs</w:t>
      </w:r>
      <w:r w:rsidRPr="00AB228F">
        <w:rPr>
          <w:rFonts w:ascii="Arial" w:hAnsi="Arial" w:cs="Arial"/>
          <w:sz w:val="20"/>
          <w:szCs w:val="20"/>
        </w:rPr>
        <w:t>, which it is proposed would be used primarily for building the reserves to a more secure level.</w:t>
      </w:r>
    </w:p>
    <w:p w14:paraId="4B3CDD48" w14:textId="77777777" w:rsidR="00EE5E86" w:rsidRPr="00AB228F" w:rsidRDefault="00EE5E86" w:rsidP="00B30215">
      <w:pPr>
        <w:jc w:val="both"/>
        <w:rPr>
          <w:rFonts w:ascii="Arial" w:hAnsi="Arial" w:cs="Arial"/>
          <w:sz w:val="20"/>
          <w:szCs w:val="20"/>
        </w:rPr>
      </w:pPr>
    </w:p>
    <w:p w14:paraId="7901F75F" w14:textId="5FE198DE"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The healthy financial position of the Organization should not be taken for granted.  It has been underpinned by the expansion of the Global IP Systems.  While we expect both the Madrid System and </w:t>
      </w:r>
      <w:proofErr w:type="gramStart"/>
      <w:r w:rsidRPr="00AB228F">
        <w:rPr>
          <w:rFonts w:ascii="Arial" w:hAnsi="Arial" w:cs="Arial"/>
          <w:sz w:val="20"/>
          <w:szCs w:val="20"/>
        </w:rPr>
        <w:t>the</w:t>
      </w:r>
      <w:proofErr w:type="gramEnd"/>
      <w:r w:rsidRPr="00AB228F">
        <w:rPr>
          <w:rFonts w:ascii="Arial" w:hAnsi="Arial" w:cs="Arial"/>
          <w:sz w:val="20"/>
          <w:szCs w:val="20"/>
        </w:rPr>
        <w:t xml:space="preserve"> Hague System to expand quite rapidly in the coming years, the principal source of revenue remains the PCT (around 76</w:t>
      </w:r>
      <w:r w:rsidR="00633448">
        <w:rPr>
          <w:rFonts w:ascii="Arial" w:hAnsi="Arial" w:cs="Arial"/>
          <w:sz w:val="20"/>
          <w:szCs w:val="20"/>
        </w:rPr>
        <w:t xml:space="preserve"> per cent</w:t>
      </w:r>
      <w:r w:rsidRPr="00AB228F">
        <w:rPr>
          <w:rFonts w:ascii="Arial" w:hAnsi="Arial" w:cs="Arial"/>
          <w:sz w:val="20"/>
          <w:szCs w:val="20"/>
        </w:rPr>
        <w:t xml:space="preserve"> of total revenue).  Increase in demand under the PCT is influenced by a variety of factors, some of which suggest that the increase in demand experienced over recent years may not continue at the same level in the medium term.</w:t>
      </w:r>
    </w:p>
    <w:p w14:paraId="5B7BE26F" w14:textId="77777777" w:rsidR="00EE5E86" w:rsidRPr="00AB228F" w:rsidRDefault="00EE5E86" w:rsidP="00B30215">
      <w:pPr>
        <w:jc w:val="both"/>
        <w:rPr>
          <w:rFonts w:ascii="Arial" w:hAnsi="Arial" w:cs="Arial"/>
          <w:sz w:val="20"/>
          <w:szCs w:val="20"/>
        </w:rPr>
      </w:pPr>
    </w:p>
    <w:p w14:paraId="3AAA9DF5"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At the same time, the Organization is facing several major investment requirements.  The Global IP Systems rely for their income on high-quality and cost-effective services increasingly delivered through sophisticated IT platforms.  These IT platforms have enabled significant productivity gains and the containment of staff costs, but they require constant improvement and development.  In addition, like all other organizations and enterprises in the contemporary networked world, the Organization is exposed to the vulnerability of the online environment.  The mitigation of that vulnerability requires major investments in IT security and in business continuity and organizational resilience.</w:t>
      </w:r>
    </w:p>
    <w:p w14:paraId="3E7A8D7B" w14:textId="77777777" w:rsidR="00EE5E86" w:rsidRPr="00AB228F" w:rsidRDefault="00EE5E86" w:rsidP="00B30215">
      <w:pPr>
        <w:jc w:val="both"/>
        <w:rPr>
          <w:rFonts w:ascii="Arial" w:hAnsi="Arial" w:cs="Arial"/>
          <w:sz w:val="20"/>
          <w:szCs w:val="20"/>
        </w:rPr>
      </w:pPr>
    </w:p>
    <w:p w14:paraId="7E927A7A"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We are proposing that these additional major investments be absorbed in the next biennium without any fee increases in the Global IP Systems.  This continues the outstanding record of the past seven years of no fee increases.  This record is, however, unprecedented when compared to fee increases in national and regional IP offices and the time will come in the future, naturally, when reasonable fee increases will be needed.</w:t>
      </w:r>
    </w:p>
    <w:p w14:paraId="54718F82" w14:textId="77777777" w:rsidR="00EE5E86" w:rsidRPr="00AB228F" w:rsidRDefault="00EE5E86" w:rsidP="00B30215">
      <w:pPr>
        <w:jc w:val="both"/>
        <w:rPr>
          <w:rFonts w:ascii="Arial" w:hAnsi="Arial" w:cs="Arial"/>
          <w:sz w:val="20"/>
          <w:szCs w:val="20"/>
        </w:rPr>
      </w:pPr>
    </w:p>
    <w:p w14:paraId="239B4B5D" w14:textId="38297D82"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An additional financial challenge arises from the current volatile global economic environment and, in particular, from the incidence of negative interest rates.  Negative interest rates have arrived at the same time as the Organization is required to move from its traditional secure investment resource of the </w:t>
      </w:r>
      <w:r w:rsidRPr="00B30215">
        <w:rPr>
          <w:rFonts w:ascii="Arial" w:hAnsi="Arial" w:cs="Arial"/>
          <w:sz w:val="20"/>
          <w:szCs w:val="20"/>
        </w:rPr>
        <w:t xml:space="preserve">Federal </w:t>
      </w:r>
      <w:r w:rsidR="003714BA" w:rsidRPr="00B30215">
        <w:rPr>
          <w:rFonts w:ascii="Arial" w:hAnsi="Arial" w:cs="Arial"/>
          <w:sz w:val="20"/>
          <w:szCs w:val="20"/>
        </w:rPr>
        <w:t xml:space="preserve">Department of </w:t>
      </w:r>
      <w:r w:rsidRPr="00B30215">
        <w:rPr>
          <w:rFonts w:ascii="Arial" w:hAnsi="Arial" w:cs="Arial"/>
          <w:sz w:val="20"/>
          <w:szCs w:val="20"/>
        </w:rPr>
        <w:t>Finance of the Swiss Confederation.</w:t>
      </w:r>
      <w:r w:rsidRPr="00AB228F">
        <w:rPr>
          <w:rFonts w:ascii="Arial" w:hAnsi="Arial" w:cs="Arial"/>
          <w:sz w:val="20"/>
          <w:szCs w:val="20"/>
        </w:rPr>
        <w:t xml:space="preserve">  These factors will necessitate the adoption of a prudent and responsible investment policy that will enable the Organization to conserve capital, as well as the adoption of a prudent hedging policy in respect of the currency exposures engendered by the system of payment of PCT fees.</w:t>
      </w:r>
    </w:p>
    <w:p w14:paraId="17A70029" w14:textId="77777777" w:rsidR="00EE5E86" w:rsidRPr="00AB228F" w:rsidRDefault="00EE5E86" w:rsidP="00B30215">
      <w:pPr>
        <w:jc w:val="both"/>
        <w:rPr>
          <w:rFonts w:ascii="Arial" w:hAnsi="Arial" w:cs="Arial"/>
          <w:sz w:val="20"/>
          <w:szCs w:val="20"/>
        </w:rPr>
      </w:pPr>
    </w:p>
    <w:p w14:paraId="7CBDE268"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The key program priorities proposed for the next biennium are set out in paragraphs 17 to 39.  Please allow me to comment on four areas, in particular, in a larger perspective than the coming biennium.</w:t>
      </w:r>
    </w:p>
    <w:p w14:paraId="1BA3B4DB" w14:textId="77777777" w:rsidR="00EE5E86" w:rsidRPr="00AB228F" w:rsidRDefault="00EE5E86" w:rsidP="00B30215">
      <w:pPr>
        <w:jc w:val="both"/>
        <w:rPr>
          <w:rFonts w:ascii="Arial" w:hAnsi="Arial" w:cs="Arial"/>
          <w:sz w:val="20"/>
          <w:szCs w:val="20"/>
        </w:rPr>
      </w:pPr>
    </w:p>
    <w:p w14:paraId="725DFFCF"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The first area is the Organization’s normative agenda (Strategic Goal I).  Member States have concluded three international agreements in the past four years – the Beijing Treaty on Audiovisual Performances, the Marrakesh Treaty on Facilitating Access to Published Works for Person who are Blind, Visually Impaired or Otherwise Print Disabled and the Geneva Act of the Lisbon Agreement on Appellations of Origin and Geographical Indications.  The effect and legitimacy of these agreements will depend on their speedy and widespread ratification by Member States.  Important subjects on the normative agenda, including some that are very long-standing, remain unresolved.  In addition, in a globalized and complex world, characterized by very rapid and fundamental technological change, in which intellectual property plays an increasingly prominent role, it is timely that a dialogue commence about the future normative agenda of the Organization as the multilateral venue for the development of international intellectual property policy.   These issues and the questions that they raise lie within the preserve of the Member States.  They require commitment to multilateralism, engagement and </w:t>
      </w:r>
      <w:r w:rsidRPr="00AB228F">
        <w:rPr>
          <w:rFonts w:ascii="Arial" w:hAnsi="Arial" w:cs="Arial"/>
          <w:sz w:val="20"/>
          <w:szCs w:val="20"/>
        </w:rPr>
        <w:lastRenderedPageBreak/>
        <w:t xml:space="preserve">appropriate compromise from the Member States.  Without that, we can expect a static multilateral framework without any advancement. </w:t>
      </w:r>
    </w:p>
    <w:p w14:paraId="1B2BA8A1" w14:textId="77777777" w:rsidR="00EE5E86" w:rsidRPr="00AB228F" w:rsidRDefault="00EE5E86" w:rsidP="00B30215">
      <w:pPr>
        <w:jc w:val="both"/>
        <w:rPr>
          <w:rFonts w:ascii="Arial" w:hAnsi="Arial" w:cs="Arial"/>
          <w:sz w:val="20"/>
          <w:szCs w:val="20"/>
        </w:rPr>
      </w:pPr>
    </w:p>
    <w:p w14:paraId="74F0E8B3" w14:textId="117EA1A5" w:rsidR="00EE5E86" w:rsidRPr="00AB228F" w:rsidRDefault="00EE5E86" w:rsidP="00B30215">
      <w:pPr>
        <w:jc w:val="both"/>
        <w:rPr>
          <w:rFonts w:ascii="Arial" w:hAnsi="Arial" w:cs="Arial"/>
          <w:sz w:val="20"/>
          <w:szCs w:val="20"/>
        </w:rPr>
      </w:pPr>
      <w:r w:rsidRPr="00AB228F">
        <w:rPr>
          <w:rFonts w:ascii="Arial" w:hAnsi="Arial" w:cs="Arial"/>
          <w:sz w:val="20"/>
          <w:szCs w:val="20"/>
        </w:rPr>
        <w:t>The second area is the Organization’s Global IP Systems (Strategic Goal II).   They form the basis of the Organization’s revenue, accounting for about 95</w:t>
      </w:r>
      <w:r w:rsidR="00633448">
        <w:rPr>
          <w:rFonts w:ascii="Arial" w:hAnsi="Arial" w:cs="Arial"/>
          <w:sz w:val="20"/>
          <w:szCs w:val="20"/>
        </w:rPr>
        <w:t xml:space="preserve"> per cent</w:t>
      </w:r>
      <w:r w:rsidRPr="00AB228F">
        <w:rPr>
          <w:rFonts w:ascii="Arial" w:hAnsi="Arial" w:cs="Arial"/>
          <w:sz w:val="20"/>
          <w:szCs w:val="20"/>
        </w:rPr>
        <w:t xml:space="preserve"> of total revenue.  The membership of these Systems, particularly the Madrid System and the Hague System, is undergoing rapid geographical expansion from relatively limited bases (at present, 95 Contracting Parties for the Madrid System and 49 Contracting Parties for the latest Act of the Hague System).  It is important for the legitimacy and sustainability of these systems that they continue to expand and be embraced by an increasingly wide geographical participation.  It is also important that they continue to be modernized, work which is carried out in Working Groups of Member States convened under the respective treaties.  </w:t>
      </w:r>
    </w:p>
    <w:p w14:paraId="591C0E6A" w14:textId="77777777" w:rsidR="00EE5E86" w:rsidRPr="00AB228F" w:rsidRDefault="00EE5E86" w:rsidP="00B30215">
      <w:pPr>
        <w:jc w:val="both"/>
        <w:rPr>
          <w:rFonts w:ascii="Arial" w:hAnsi="Arial" w:cs="Arial"/>
          <w:sz w:val="20"/>
          <w:szCs w:val="20"/>
        </w:rPr>
      </w:pPr>
    </w:p>
    <w:p w14:paraId="2461EE39" w14:textId="2F8E288D"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A third area is the rich array of IT platforms that are managed by the Organization (Strategic Goal IV) and that underlie the operation of the intellectual property system worldwide.  Enormous progress had been made in this area in recent years.  With the IT platforms of the PCT, the Madrid System and the Hague System, together with the Global IP Databases </w:t>
      </w:r>
      <w:r w:rsidRPr="00B30215">
        <w:rPr>
          <w:rFonts w:ascii="Arial" w:hAnsi="Arial" w:cs="Arial"/>
          <w:sz w:val="20"/>
          <w:szCs w:val="20"/>
        </w:rPr>
        <w:t>(</w:t>
      </w:r>
      <w:r w:rsidR="001E6F3B" w:rsidRPr="00B30215">
        <w:rPr>
          <w:rFonts w:ascii="Arial" w:hAnsi="Arial" w:cs="Arial"/>
          <w:sz w:val="20"/>
          <w:szCs w:val="20"/>
        </w:rPr>
        <w:t>PATENTSCOPE</w:t>
      </w:r>
      <w:r w:rsidRPr="00AB228F">
        <w:rPr>
          <w:rFonts w:ascii="Arial" w:hAnsi="Arial" w:cs="Arial"/>
          <w:sz w:val="20"/>
          <w:szCs w:val="20"/>
        </w:rPr>
        <w:t>, the Global Brands Database and the Global Designs Database) and platforms such as the Digital Access Service (DAS), WIPO</w:t>
      </w:r>
      <w:r w:rsidR="001E6F3B">
        <w:rPr>
          <w:rFonts w:ascii="Arial" w:hAnsi="Arial" w:cs="Arial"/>
          <w:sz w:val="20"/>
          <w:szCs w:val="20"/>
        </w:rPr>
        <w:t> </w:t>
      </w:r>
      <w:r w:rsidRPr="00AB228F">
        <w:rPr>
          <w:rFonts w:ascii="Arial" w:hAnsi="Arial" w:cs="Arial"/>
          <w:sz w:val="20"/>
          <w:szCs w:val="20"/>
        </w:rPr>
        <w:t>CASE (Centralized Access to Search and Examination) and IPAS (Intellectual Property Automation System), which is used in over 80 countries, many of the elements of a true global IP infrastructure exist.  All these platforms enjoy widespread use throughout the developed and developing world, and extensive buy-in from diverse communities, whether IP Offices, industry, NGOs or the general public.  We hope to see these various platforms increasingly form part of an integrated global IP platform.</w:t>
      </w:r>
    </w:p>
    <w:p w14:paraId="5BFCC1E5" w14:textId="77777777" w:rsidR="00EE5E86" w:rsidRPr="00AB228F" w:rsidRDefault="00EE5E86" w:rsidP="00B30215">
      <w:pPr>
        <w:jc w:val="both"/>
        <w:rPr>
          <w:rFonts w:ascii="Arial" w:hAnsi="Arial" w:cs="Arial"/>
          <w:sz w:val="20"/>
          <w:szCs w:val="20"/>
        </w:rPr>
      </w:pPr>
    </w:p>
    <w:p w14:paraId="0AA74915" w14:textId="0BC0431B" w:rsidR="00EE5E86" w:rsidRPr="00AB228F" w:rsidRDefault="00EE5E86" w:rsidP="00B30215">
      <w:pPr>
        <w:jc w:val="both"/>
        <w:rPr>
          <w:rFonts w:ascii="Arial" w:hAnsi="Arial" w:cs="Arial"/>
          <w:sz w:val="20"/>
          <w:szCs w:val="20"/>
        </w:rPr>
      </w:pPr>
      <w:r w:rsidRPr="00AB228F">
        <w:rPr>
          <w:rFonts w:ascii="Arial" w:hAnsi="Arial" w:cs="Arial"/>
          <w:sz w:val="20"/>
          <w:szCs w:val="20"/>
        </w:rPr>
        <w:t>Finally, there is the area of the extensive programs of the Organization in respect of development.  Following the direction of the member States, development has been main-streamed in all substantive Strategic Goals of the Organization.  The programs dedicated exclusively to development, notably the regional bureau</w:t>
      </w:r>
      <w:r w:rsidR="00331368">
        <w:rPr>
          <w:rFonts w:ascii="Arial" w:hAnsi="Arial" w:cs="Arial"/>
          <w:sz w:val="20"/>
          <w:szCs w:val="20"/>
        </w:rPr>
        <w:t>s</w:t>
      </w:r>
      <w:r w:rsidR="001E6F3B" w:rsidRPr="00AB228F">
        <w:rPr>
          <w:rFonts w:ascii="Arial" w:hAnsi="Arial" w:cs="Arial"/>
          <w:sz w:val="20"/>
          <w:szCs w:val="20"/>
        </w:rPr>
        <w:t xml:space="preserve">, </w:t>
      </w:r>
      <w:r w:rsidRPr="00AB228F">
        <w:rPr>
          <w:rFonts w:ascii="Arial" w:hAnsi="Arial" w:cs="Arial"/>
          <w:sz w:val="20"/>
          <w:szCs w:val="20"/>
        </w:rPr>
        <w:t>the Academy and  Development Agenda Coordination, face increasing challenges in meeting the rise in demand for services that is a natural consequence of the increased prominence of intellectual property in the economy.  Part of the response to this challenge that we continue to work on is the achievement of greater coherence in the allocation of responsibilities for capacity building, which now permeates the whole program of the Organization.</w:t>
      </w:r>
    </w:p>
    <w:p w14:paraId="4EAB6AC4" w14:textId="77777777" w:rsidR="00EE5E86" w:rsidRPr="00AB228F" w:rsidRDefault="00EE5E86" w:rsidP="00B30215">
      <w:pPr>
        <w:jc w:val="both"/>
        <w:rPr>
          <w:rFonts w:ascii="Arial" w:hAnsi="Arial" w:cs="Arial"/>
          <w:sz w:val="20"/>
          <w:szCs w:val="20"/>
        </w:rPr>
      </w:pPr>
    </w:p>
    <w:p w14:paraId="56E22C4E" w14:textId="6EF33C2A" w:rsidR="00B64DA0" w:rsidRPr="00FB68E0" w:rsidRDefault="00B64DA0" w:rsidP="00B30215">
      <w:pPr>
        <w:jc w:val="both"/>
        <w:rPr>
          <w:rFonts w:ascii="Arial" w:hAnsi="Arial" w:cs="Arial"/>
          <w:sz w:val="20"/>
          <w:szCs w:val="20"/>
        </w:rPr>
      </w:pPr>
    </w:p>
    <w:p w14:paraId="6840C9F4" w14:textId="77777777" w:rsidR="004F2AD1" w:rsidRPr="00B038A3" w:rsidRDefault="004F2AD1" w:rsidP="004F2AD1">
      <w:pPr>
        <w:ind w:left="5387"/>
        <w:jc w:val="both"/>
        <w:rPr>
          <w:rFonts w:ascii="Arial" w:hAnsi="Arial" w:cs="Arial"/>
          <w:sz w:val="20"/>
        </w:rPr>
      </w:pPr>
    </w:p>
    <w:p w14:paraId="18907600" w14:textId="0735CF64" w:rsidR="004F2AD1" w:rsidRPr="00B30215" w:rsidRDefault="004F2AD1" w:rsidP="00B30215">
      <w:pPr>
        <w:ind w:left="5670"/>
        <w:rPr>
          <w:rFonts w:ascii="Arial" w:hAnsi="Arial" w:cs="Arial"/>
          <w:sz w:val="20"/>
          <w:szCs w:val="20"/>
          <w:lang w:val="en"/>
        </w:rPr>
      </w:pPr>
      <w:r>
        <w:rPr>
          <w:noProof/>
          <w:lang w:eastAsia="en-US"/>
        </w:rPr>
        <w:drawing>
          <wp:inline distT="0" distB="0" distL="0" distR="0" wp14:anchorId="15974BBA" wp14:editId="2F7BE870">
            <wp:extent cx="1598295"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33DE6199" w14:textId="77777777" w:rsidR="004F2AD1" w:rsidRPr="00B30215" w:rsidRDefault="004F2AD1" w:rsidP="00B30215">
      <w:pPr>
        <w:ind w:left="5387"/>
        <w:jc w:val="right"/>
        <w:rPr>
          <w:rFonts w:ascii="Arial" w:hAnsi="Arial" w:cs="Arial"/>
          <w:sz w:val="20"/>
          <w:szCs w:val="20"/>
          <w:lang w:val="en"/>
        </w:rPr>
      </w:pPr>
    </w:p>
    <w:p w14:paraId="790BA81A" w14:textId="618A6884" w:rsidR="004F2AD1" w:rsidRPr="00B30215" w:rsidRDefault="004F2AD1" w:rsidP="004F2AD1">
      <w:pPr>
        <w:pStyle w:val="NormalWeb"/>
        <w:shd w:val="clear" w:color="auto" w:fill="FFFFFF"/>
        <w:rPr>
          <w:rFonts w:ascii="Arial" w:hAnsi="Arial" w:cs="Arial"/>
          <w:sz w:val="20"/>
          <w:szCs w:val="20"/>
          <w:lang w:val="en"/>
        </w:rPr>
      </w:pP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006748A0">
        <w:rPr>
          <w:rFonts w:ascii="Arial" w:hAnsi="Arial" w:cs="Arial"/>
          <w:sz w:val="20"/>
          <w:szCs w:val="20"/>
          <w:lang w:val="en"/>
        </w:rPr>
        <w:t xml:space="preserve">      </w:t>
      </w:r>
      <w:r w:rsidRPr="00B30215">
        <w:rPr>
          <w:rFonts w:ascii="Arial" w:hAnsi="Arial" w:cs="Arial"/>
          <w:sz w:val="20"/>
          <w:szCs w:val="20"/>
          <w:lang w:val="en"/>
        </w:rPr>
        <w:t>Francis Gurry</w:t>
      </w:r>
    </w:p>
    <w:p w14:paraId="063F9714" w14:textId="77777777" w:rsidR="004F2AD1" w:rsidRPr="00B30215" w:rsidRDefault="004F2AD1" w:rsidP="004F2AD1">
      <w:pPr>
        <w:pStyle w:val="NormalWeb"/>
        <w:shd w:val="clear" w:color="auto" w:fill="FFFFFF"/>
        <w:rPr>
          <w:rFonts w:ascii="Arial" w:hAnsi="Arial" w:cs="Arial"/>
          <w:sz w:val="20"/>
          <w:szCs w:val="20"/>
          <w:lang w:val="en"/>
        </w:rPr>
      </w:pPr>
    </w:p>
    <w:p w14:paraId="4F3CDFEF" w14:textId="5CE53E0D" w:rsidR="004F2AD1" w:rsidRPr="00B30215" w:rsidRDefault="004F2AD1" w:rsidP="004F2AD1">
      <w:pPr>
        <w:pStyle w:val="NormalWeb"/>
        <w:rPr>
          <w:rFonts w:ascii="Arial" w:hAnsi="Arial" w:cs="Arial"/>
          <w:sz w:val="20"/>
          <w:szCs w:val="20"/>
          <w:lang w:val="en"/>
        </w:rPr>
      </w:pP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006748A0">
        <w:rPr>
          <w:rFonts w:ascii="Arial" w:hAnsi="Arial" w:cs="Arial"/>
          <w:sz w:val="20"/>
          <w:szCs w:val="20"/>
          <w:lang w:val="en"/>
        </w:rPr>
        <w:t xml:space="preserve">      </w:t>
      </w:r>
      <w:r w:rsidRPr="00B30215">
        <w:rPr>
          <w:rFonts w:ascii="Arial" w:hAnsi="Arial" w:cs="Arial"/>
          <w:sz w:val="20"/>
          <w:szCs w:val="20"/>
          <w:lang w:val="en"/>
        </w:rPr>
        <w:t>Director General</w:t>
      </w:r>
    </w:p>
    <w:p w14:paraId="5411B473" w14:textId="77777777" w:rsidR="00824636" w:rsidRPr="00FB68E0" w:rsidRDefault="00824636" w:rsidP="00B64DA0">
      <w:pPr>
        <w:jc w:val="both"/>
        <w:rPr>
          <w:rFonts w:ascii="Arial" w:hAnsi="Arial" w:cs="Arial"/>
          <w:sz w:val="20"/>
          <w:szCs w:val="20"/>
        </w:rPr>
      </w:pPr>
    </w:p>
    <w:p w14:paraId="46447AF7" w14:textId="77777777" w:rsidR="00824636" w:rsidRPr="00FB68E0" w:rsidRDefault="00824636" w:rsidP="00B64DA0">
      <w:pPr>
        <w:jc w:val="both"/>
        <w:rPr>
          <w:rFonts w:ascii="Arial" w:hAnsi="Arial" w:cs="Arial"/>
          <w:sz w:val="20"/>
          <w:szCs w:val="20"/>
        </w:rPr>
      </w:pPr>
    </w:p>
    <w:p w14:paraId="4C2E31BE" w14:textId="77777777" w:rsidR="00824636" w:rsidRPr="00FB68E0" w:rsidRDefault="00824636" w:rsidP="00B64DA0">
      <w:pPr>
        <w:jc w:val="both"/>
        <w:rPr>
          <w:rFonts w:ascii="Arial" w:hAnsi="Arial" w:cs="Arial"/>
          <w:sz w:val="20"/>
          <w:szCs w:val="20"/>
        </w:rPr>
      </w:pPr>
    </w:p>
    <w:p w14:paraId="16EE6AC9" w14:textId="62A3630B" w:rsidR="00B64DA0" w:rsidRPr="00FB68E0" w:rsidRDefault="00B64DA0">
      <w:pPr>
        <w:rPr>
          <w:rFonts w:ascii="Arial" w:hAnsi="Arial" w:cs="Arial"/>
        </w:rPr>
      </w:pPr>
      <w:r w:rsidRPr="00FB68E0">
        <w:rPr>
          <w:rFonts w:ascii="Arial" w:hAnsi="Arial" w:cs="Arial"/>
        </w:rPr>
        <w:br w:type="page"/>
      </w:r>
    </w:p>
    <w:p w14:paraId="7C18EC8B" w14:textId="3022B612" w:rsidR="00B67D0A" w:rsidRPr="00B30215" w:rsidRDefault="00B64DA0" w:rsidP="00B67D0A">
      <w:pPr>
        <w:pStyle w:val="Heading1"/>
        <w:keepLines/>
        <w:rPr>
          <w:szCs w:val="20"/>
        </w:rPr>
      </w:pPr>
      <w:bookmarkStart w:id="7" w:name="_Toc367350562"/>
      <w:bookmarkStart w:id="8" w:name="_Toc431221397"/>
      <w:r w:rsidRPr="00B30215">
        <w:rPr>
          <w:szCs w:val="20"/>
        </w:rPr>
        <w:lastRenderedPageBreak/>
        <w:t>I.</w:t>
      </w:r>
      <w:r w:rsidRPr="00B30215">
        <w:rPr>
          <w:szCs w:val="20"/>
        </w:rPr>
        <w:tab/>
      </w:r>
      <w:r w:rsidR="00B67D0A" w:rsidRPr="00B30215">
        <w:rPr>
          <w:szCs w:val="20"/>
        </w:rPr>
        <w:t>FINANCIAL</w:t>
      </w:r>
      <w:r w:rsidRPr="00B30215">
        <w:rPr>
          <w:szCs w:val="20"/>
        </w:rPr>
        <w:t xml:space="preserve"> </w:t>
      </w:r>
      <w:r w:rsidR="00B67D0A" w:rsidRPr="00B30215">
        <w:rPr>
          <w:szCs w:val="20"/>
        </w:rPr>
        <w:t xml:space="preserve">AND RESULTS </w:t>
      </w:r>
      <w:r w:rsidRPr="00B30215">
        <w:rPr>
          <w:szCs w:val="20"/>
        </w:rPr>
        <w:t>OVERVIEW</w:t>
      </w:r>
      <w:bookmarkEnd w:id="7"/>
      <w:bookmarkEnd w:id="8"/>
    </w:p>
    <w:p w14:paraId="3EAFAFC6" w14:textId="77777777" w:rsidR="00B67D0A" w:rsidRDefault="00B67D0A" w:rsidP="00F02301">
      <w:pPr>
        <w:widowControl w:val="0"/>
        <w:jc w:val="both"/>
        <w:rPr>
          <w:rFonts w:ascii="Arial" w:hAnsi="Arial"/>
          <w:sz w:val="20"/>
        </w:rPr>
      </w:pPr>
    </w:p>
    <w:p w14:paraId="74F71399" w14:textId="77777777" w:rsidR="00B67D0A" w:rsidRDefault="00B67D0A" w:rsidP="00F02301">
      <w:pPr>
        <w:widowControl w:val="0"/>
        <w:jc w:val="both"/>
        <w:rPr>
          <w:rFonts w:ascii="Arial" w:hAnsi="Arial"/>
          <w:sz w:val="20"/>
        </w:rPr>
      </w:pPr>
    </w:p>
    <w:p w14:paraId="633795DE" w14:textId="77777777" w:rsidR="00B67D0A" w:rsidRPr="00B67D0A"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B67D0A">
        <w:rPr>
          <w:rFonts w:ascii="Arial" w:hAnsi="Arial"/>
          <w:sz w:val="20"/>
        </w:rPr>
        <w:t xml:space="preserve">This Program and Budget provides the planning for the biennium 2016/17 guided by the inputs received from Member States.  </w:t>
      </w:r>
      <w:r w:rsidRPr="00B67D0A">
        <w:rPr>
          <w:rFonts w:ascii="Arial" w:hAnsi="Arial" w:cs="Arial"/>
          <w:sz w:val="20"/>
          <w:lang w:val="en-GB"/>
        </w:rPr>
        <w:t xml:space="preserve">Table 1 below provides an overview of the key financial planning parameters for 2016/17. </w:t>
      </w:r>
    </w:p>
    <w:p w14:paraId="667D4BC6" w14:textId="77777777" w:rsidR="00B67D0A" w:rsidRPr="00FA3F50" w:rsidRDefault="00B67D0A" w:rsidP="00F02301">
      <w:pPr>
        <w:widowControl w:val="0"/>
        <w:jc w:val="both"/>
        <w:rPr>
          <w:rFonts w:ascii="Arial" w:hAnsi="Arial" w:cs="Arial"/>
          <w:bCs/>
          <w:sz w:val="20"/>
        </w:rPr>
      </w:pPr>
    </w:p>
    <w:p w14:paraId="6FD0DADF" w14:textId="686E87AB" w:rsidR="00B67D0A" w:rsidRPr="00EA41D2" w:rsidRDefault="00B67D0A" w:rsidP="00B66A4A">
      <w:pPr>
        <w:pStyle w:val="ListParagraph"/>
        <w:widowControl w:val="0"/>
        <w:numPr>
          <w:ilvl w:val="0"/>
          <w:numId w:val="33"/>
        </w:numPr>
        <w:tabs>
          <w:tab w:val="left" w:pos="567"/>
        </w:tabs>
        <w:ind w:left="0" w:firstLine="0"/>
        <w:jc w:val="both"/>
        <w:rPr>
          <w:rFonts w:ascii="Arial" w:hAnsi="Arial" w:cs="Arial"/>
          <w:bCs/>
          <w:sz w:val="20"/>
        </w:rPr>
      </w:pPr>
      <w:r>
        <w:rPr>
          <w:rFonts w:ascii="Arial" w:hAnsi="Arial" w:cs="Arial"/>
          <w:sz w:val="20"/>
          <w:lang w:val="en-GB"/>
        </w:rPr>
        <w:t>Income in the biennium 2016/17 is estimated at 756.</w:t>
      </w:r>
      <w:r w:rsidR="009D7A18">
        <w:rPr>
          <w:rFonts w:ascii="Arial" w:hAnsi="Arial" w:cs="Arial"/>
          <w:sz w:val="20"/>
          <w:lang w:val="en-GB"/>
        </w:rPr>
        <w:t xml:space="preserve">3 </w:t>
      </w:r>
      <w:r>
        <w:rPr>
          <w:rFonts w:ascii="Arial" w:hAnsi="Arial" w:cs="Arial"/>
          <w:sz w:val="20"/>
          <w:lang w:val="en-GB"/>
        </w:rPr>
        <w:t xml:space="preserve">million Swiss francs with </w:t>
      </w:r>
      <w:r w:rsidR="00BE4112">
        <w:rPr>
          <w:rFonts w:ascii="Arial" w:hAnsi="Arial" w:cs="Arial"/>
          <w:sz w:val="20"/>
          <w:lang w:val="en-GB"/>
        </w:rPr>
        <w:t xml:space="preserve">the </w:t>
      </w:r>
      <w:r w:rsidRPr="00EA41D2">
        <w:rPr>
          <w:rFonts w:ascii="Arial" w:hAnsi="Arial" w:cs="Arial"/>
          <w:bCs/>
          <w:sz w:val="20"/>
        </w:rPr>
        <w:t xml:space="preserve">proposed </w:t>
      </w:r>
      <w:r w:rsidR="00BE4112">
        <w:rPr>
          <w:rFonts w:ascii="Arial" w:hAnsi="Arial" w:cs="Arial"/>
          <w:bCs/>
          <w:sz w:val="20"/>
        </w:rPr>
        <w:t xml:space="preserve">expenditure </w:t>
      </w:r>
      <w:r w:rsidRPr="00EA41D2">
        <w:rPr>
          <w:rFonts w:ascii="Arial" w:hAnsi="Arial" w:cs="Arial"/>
          <w:bCs/>
          <w:sz w:val="20"/>
        </w:rPr>
        <w:t xml:space="preserve">budget for the biennium at </w:t>
      </w:r>
      <w:r>
        <w:rPr>
          <w:rFonts w:ascii="Arial" w:hAnsi="Arial" w:cs="Arial"/>
          <w:bCs/>
          <w:sz w:val="20"/>
        </w:rPr>
        <w:t>707.0</w:t>
      </w:r>
      <w:r w:rsidRPr="00EA41D2">
        <w:rPr>
          <w:rFonts w:ascii="Arial" w:hAnsi="Arial" w:cs="Arial"/>
          <w:bCs/>
          <w:sz w:val="20"/>
        </w:rPr>
        <w:t xml:space="preserve"> million Swiss francs</w:t>
      </w:r>
      <w:r>
        <w:rPr>
          <w:rFonts w:ascii="Arial" w:hAnsi="Arial" w:cs="Arial"/>
          <w:bCs/>
          <w:sz w:val="20"/>
        </w:rPr>
        <w:t xml:space="preserve">.  After </w:t>
      </w:r>
      <w:r w:rsidRPr="00AE288C">
        <w:rPr>
          <w:rFonts w:ascii="Arial" w:hAnsi="Arial" w:cs="Arial"/>
          <w:bCs/>
          <w:sz w:val="20"/>
        </w:rPr>
        <w:t xml:space="preserve">estimated </w:t>
      </w:r>
      <w:r w:rsidR="00AE288C" w:rsidRPr="00DA3F93">
        <w:rPr>
          <w:rFonts w:ascii="Arial" w:hAnsi="Arial" w:cs="Arial"/>
          <w:bCs/>
          <w:sz w:val="20"/>
        </w:rPr>
        <w:t xml:space="preserve">International Public Sector Accounting Standards </w:t>
      </w:r>
      <w:r w:rsidR="00AE288C">
        <w:rPr>
          <w:rFonts w:ascii="Arial" w:hAnsi="Arial" w:cs="Arial"/>
          <w:bCs/>
          <w:sz w:val="20"/>
        </w:rPr>
        <w:t>(</w:t>
      </w:r>
      <w:r w:rsidRPr="00AE288C">
        <w:rPr>
          <w:rFonts w:ascii="Arial" w:hAnsi="Arial" w:cs="Arial"/>
          <w:bCs/>
          <w:sz w:val="20"/>
        </w:rPr>
        <w:t>IPSAS</w:t>
      </w:r>
      <w:r w:rsidR="00AE288C">
        <w:rPr>
          <w:rFonts w:ascii="Arial" w:hAnsi="Arial" w:cs="Arial"/>
          <w:bCs/>
          <w:sz w:val="20"/>
        </w:rPr>
        <w:t>)</w:t>
      </w:r>
      <w:r w:rsidRPr="00AE288C">
        <w:rPr>
          <w:rFonts w:ascii="Arial" w:hAnsi="Arial" w:cs="Arial"/>
          <w:bCs/>
          <w:sz w:val="20"/>
        </w:rPr>
        <w:t xml:space="preserve"> adjustments on both income a</w:t>
      </w:r>
      <w:r w:rsidRPr="00EA41D2">
        <w:rPr>
          <w:rFonts w:ascii="Arial" w:hAnsi="Arial" w:cs="Arial"/>
          <w:bCs/>
          <w:sz w:val="20"/>
        </w:rPr>
        <w:t xml:space="preserve">nd expenditure, </w:t>
      </w:r>
      <w:r>
        <w:rPr>
          <w:rFonts w:ascii="Arial" w:hAnsi="Arial" w:cs="Arial"/>
          <w:bCs/>
          <w:sz w:val="20"/>
        </w:rPr>
        <w:t xml:space="preserve">a </w:t>
      </w:r>
      <w:r w:rsidRPr="00EA41D2">
        <w:rPr>
          <w:rFonts w:ascii="Arial" w:hAnsi="Arial" w:cs="Arial"/>
          <w:bCs/>
          <w:sz w:val="20"/>
        </w:rPr>
        <w:t xml:space="preserve">surplus of approximately </w:t>
      </w:r>
      <w:r w:rsidR="009D7A18">
        <w:rPr>
          <w:rFonts w:ascii="Arial" w:hAnsi="Arial" w:cs="Arial"/>
          <w:bCs/>
          <w:sz w:val="20"/>
        </w:rPr>
        <w:t>20.8</w:t>
      </w:r>
      <w:r w:rsidRPr="00EA41D2">
        <w:rPr>
          <w:rFonts w:ascii="Arial" w:hAnsi="Arial" w:cs="Arial"/>
          <w:bCs/>
          <w:sz w:val="20"/>
        </w:rPr>
        <w:t xml:space="preserve"> million Swiss francs</w:t>
      </w:r>
      <w:r>
        <w:rPr>
          <w:rFonts w:ascii="Arial" w:hAnsi="Arial" w:cs="Arial"/>
          <w:bCs/>
          <w:sz w:val="20"/>
        </w:rPr>
        <w:t xml:space="preserve"> is predicted at the end of the biennium</w:t>
      </w:r>
      <w:r w:rsidRPr="00EA41D2">
        <w:rPr>
          <w:rFonts w:ascii="Arial" w:hAnsi="Arial" w:cs="Arial"/>
          <w:bCs/>
          <w:sz w:val="20"/>
        </w:rPr>
        <w:t xml:space="preserve">.  </w:t>
      </w:r>
    </w:p>
    <w:p w14:paraId="3A698516" w14:textId="77777777" w:rsidR="00B67D0A" w:rsidRPr="00751EA6" w:rsidRDefault="00B67D0A" w:rsidP="00F51335">
      <w:pPr>
        <w:pStyle w:val="Body1"/>
        <w:jc w:val="center"/>
        <w:rPr>
          <w:rFonts w:ascii="Arial" w:hAnsi="Arial" w:cs="Arial"/>
          <w:sz w:val="20"/>
        </w:rPr>
      </w:pPr>
    </w:p>
    <w:p w14:paraId="7D23825E" w14:textId="77777777" w:rsidR="00B67D0A" w:rsidRPr="00751EA6" w:rsidRDefault="00B67D0A" w:rsidP="00F51335">
      <w:pPr>
        <w:pStyle w:val="Body1"/>
        <w:jc w:val="center"/>
        <w:rPr>
          <w:rFonts w:ascii="Arial" w:hAnsi="Arial" w:cs="Arial"/>
          <w:b/>
          <w:sz w:val="20"/>
        </w:rPr>
      </w:pPr>
      <w:proofErr w:type="gramStart"/>
      <w:r w:rsidRPr="00751EA6">
        <w:rPr>
          <w:rFonts w:ascii="Arial" w:hAnsi="Arial" w:cs="Arial"/>
          <w:b/>
          <w:sz w:val="20"/>
        </w:rPr>
        <w:t>Table 1.</w:t>
      </w:r>
      <w:proofErr w:type="gramEnd"/>
      <w:r w:rsidRPr="00751EA6">
        <w:rPr>
          <w:rFonts w:ascii="Arial" w:hAnsi="Arial" w:cs="Arial"/>
          <w:b/>
          <w:sz w:val="20"/>
        </w:rPr>
        <w:t xml:space="preserve">  Proposed Budget for 2016/17 and Key Planning Parameters</w:t>
      </w:r>
    </w:p>
    <w:p w14:paraId="564D4722" w14:textId="77777777" w:rsidR="00B67D0A" w:rsidRPr="00751EA6" w:rsidRDefault="00B67D0A" w:rsidP="00F51335">
      <w:pPr>
        <w:pStyle w:val="Body1"/>
        <w:jc w:val="center"/>
        <w:rPr>
          <w:rFonts w:ascii="Arial" w:hAnsi="Arial" w:cs="Arial"/>
          <w:i/>
          <w:sz w:val="20"/>
        </w:rPr>
      </w:pPr>
      <w:r w:rsidRPr="00751EA6">
        <w:rPr>
          <w:rFonts w:ascii="Arial" w:hAnsi="Arial" w:cs="Arial"/>
          <w:i/>
          <w:sz w:val="20"/>
        </w:rPr>
        <w:t>(</w:t>
      </w:r>
      <w:proofErr w:type="gramStart"/>
      <w:r w:rsidRPr="00751EA6">
        <w:rPr>
          <w:rFonts w:ascii="Arial" w:hAnsi="Arial" w:cs="Arial"/>
          <w:i/>
          <w:sz w:val="20"/>
        </w:rPr>
        <w:t>in</w:t>
      </w:r>
      <w:proofErr w:type="gramEnd"/>
      <w:r w:rsidRPr="00751EA6">
        <w:rPr>
          <w:rFonts w:ascii="Arial" w:hAnsi="Arial" w:cs="Arial"/>
          <w:i/>
          <w:sz w:val="20"/>
        </w:rPr>
        <w:t xml:space="preserve"> millions of Swiss francs)</w:t>
      </w:r>
    </w:p>
    <w:p w14:paraId="6DAECE46" w14:textId="77777777" w:rsidR="00B67D0A" w:rsidRPr="00751EA6" w:rsidRDefault="00B67D0A" w:rsidP="00F51335">
      <w:pPr>
        <w:pStyle w:val="Body1"/>
        <w:jc w:val="center"/>
        <w:rPr>
          <w:rFonts w:ascii="Arial" w:hAnsi="Arial" w:cs="Arial"/>
          <w:sz w:val="20"/>
        </w:rPr>
      </w:pPr>
    </w:p>
    <w:p w14:paraId="662C34FC" w14:textId="6323D3C9" w:rsidR="00B67D0A" w:rsidRPr="00F51335" w:rsidRDefault="00AD1FB5" w:rsidP="00F51335">
      <w:pPr>
        <w:pStyle w:val="Body1"/>
        <w:jc w:val="center"/>
      </w:pPr>
      <w:r w:rsidRPr="00AD1FB5">
        <w:rPr>
          <w:noProof/>
        </w:rPr>
        <w:drawing>
          <wp:inline distT="0" distB="0" distL="0" distR="0" wp14:anchorId="2DF56D0F" wp14:editId="3BC9DC28">
            <wp:extent cx="4257675" cy="2363159"/>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2363159"/>
                    </a:xfrm>
                    <a:prstGeom prst="rect">
                      <a:avLst/>
                    </a:prstGeom>
                    <a:noFill/>
                    <a:ln>
                      <a:noFill/>
                    </a:ln>
                  </pic:spPr>
                </pic:pic>
              </a:graphicData>
            </a:graphic>
          </wp:inline>
        </w:drawing>
      </w:r>
    </w:p>
    <w:p w14:paraId="37FB4AD5" w14:textId="77777777" w:rsidR="00B67D0A" w:rsidRPr="00751EA6" w:rsidRDefault="00B67D0A" w:rsidP="00F51335">
      <w:pPr>
        <w:pStyle w:val="Body1"/>
        <w:jc w:val="center"/>
        <w:rPr>
          <w:rFonts w:ascii="Arial" w:hAnsi="Arial" w:cs="Arial"/>
          <w:sz w:val="20"/>
        </w:rPr>
      </w:pPr>
    </w:p>
    <w:p w14:paraId="0608DC7A" w14:textId="77777777" w:rsidR="00B67D0A" w:rsidRPr="00751EA6" w:rsidRDefault="00B67D0A" w:rsidP="00F51335">
      <w:pPr>
        <w:pStyle w:val="Body1"/>
        <w:jc w:val="center"/>
        <w:rPr>
          <w:rFonts w:ascii="Arial" w:hAnsi="Arial" w:cs="Arial"/>
          <w:sz w:val="20"/>
        </w:rPr>
      </w:pPr>
    </w:p>
    <w:p w14:paraId="1F9E6890" w14:textId="5BA28D05" w:rsidR="00B67D0A" w:rsidRPr="00B67D0A" w:rsidRDefault="00B67D0A" w:rsidP="00B67D0A">
      <w:pPr>
        <w:pStyle w:val="StyleHeading3ComplexItalic"/>
        <w:tabs>
          <w:tab w:val="clear" w:pos="1985"/>
          <w:tab w:val="left" w:pos="1843"/>
        </w:tabs>
        <w:ind w:left="1843" w:hanging="1843"/>
        <w:rPr>
          <w:sz w:val="20"/>
        </w:rPr>
      </w:pPr>
      <w:bookmarkStart w:id="9" w:name="_Toc431221398"/>
      <w:r>
        <w:rPr>
          <w:sz w:val="20"/>
        </w:rPr>
        <w:t>INCOME</w:t>
      </w:r>
      <w:bookmarkEnd w:id="9"/>
    </w:p>
    <w:p w14:paraId="1B1E1A48" w14:textId="77777777" w:rsidR="00B67D0A" w:rsidRPr="00B67D0A" w:rsidRDefault="00B67D0A" w:rsidP="00B67D0A">
      <w:pPr>
        <w:pStyle w:val="ListParagraph"/>
        <w:widowControl w:val="0"/>
        <w:ind w:left="0"/>
        <w:rPr>
          <w:rFonts w:ascii="Arial" w:hAnsi="Arial" w:cs="Arial"/>
          <w:sz w:val="20"/>
        </w:rPr>
      </w:pPr>
    </w:p>
    <w:p w14:paraId="3E72AE09" w14:textId="77777777" w:rsidR="00B67D0A" w:rsidRPr="00490F0D"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A61970">
        <w:rPr>
          <w:rFonts w:ascii="Arial" w:hAnsi="Arial"/>
          <w:sz w:val="20"/>
          <w:lang w:val="en-CA"/>
        </w:rPr>
        <w:t>The demand for the Organization’s international registration services is expected to continue to increase</w:t>
      </w:r>
      <w:r>
        <w:rPr>
          <w:rFonts w:ascii="Arial" w:hAnsi="Arial"/>
          <w:sz w:val="20"/>
          <w:lang w:val="en-CA"/>
        </w:rPr>
        <w:t>.</w:t>
      </w:r>
      <w:r w:rsidRPr="00A61970">
        <w:rPr>
          <w:rFonts w:ascii="Arial" w:hAnsi="Arial"/>
          <w:sz w:val="20"/>
        </w:rPr>
        <w:t xml:space="preserve"> </w:t>
      </w:r>
      <w:r>
        <w:rPr>
          <w:rFonts w:ascii="Arial" w:hAnsi="Arial"/>
          <w:sz w:val="20"/>
        </w:rPr>
        <w:t>T</w:t>
      </w:r>
      <w:r w:rsidRPr="00A61970">
        <w:rPr>
          <w:rFonts w:ascii="Arial" w:hAnsi="Arial" w:cs="Arial"/>
          <w:bCs/>
          <w:sz w:val="20"/>
        </w:rPr>
        <w:t xml:space="preserve">he </w:t>
      </w:r>
      <w:r>
        <w:rPr>
          <w:rFonts w:ascii="Arial" w:hAnsi="Arial" w:cs="Arial"/>
          <w:bCs/>
          <w:sz w:val="20"/>
        </w:rPr>
        <w:t xml:space="preserve">registration volume </w:t>
      </w:r>
      <w:r w:rsidRPr="00A61970">
        <w:rPr>
          <w:rFonts w:ascii="Arial" w:hAnsi="Arial" w:cs="Arial"/>
          <w:bCs/>
          <w:sz w:val="20"/>
        </w:rPr>
        <w:t>planning parameters for the 201</w:t>
      </w:r>
      <w:r>
        <w:rPr>
          <w:rFonts w:ascii="Arial" w:hAnsi="Arial" w:cs="Arial"/>
          <w:bCs/>
          <w:sz w:val="20"/>
        </w:rPr>
        <w:t>6</w:t>
      </w:r>
      <w:r w:rsidRPr="00A61970">
        <w:rPr>
          <w:rFonts w:ascii="Arial" w:hAnsi="Arial" w:cs="Arial"/>
          <w:bCs/>
          <w:sz w:val="20"/>
        </w:rPr>
        <w:t>/1</w:t>
      </w:r>
      <w:r>
        <w:rPr>
          <w:rFonts w:ascii="Arial" w:hAnsi="Arial" w:cs="Arial"/>
          <w:bCs/>
          <w:sz w:val="20"/>
        </w:rPr>
        <w:t>7</w:t>
      </w:r>
      <w:r w:rsidRPr="00A61970">
        <w:rPr>
          <w:rFonts w:ascii="Arial" w:hAnsi="Arial" w:cs="Arial"/>
          <w:bCs/>
          <w:sz w:val="20"/>
        </w:rPr>
        <w:t> budget</w:t>
      </w:r>
      <w:r w:rsidRPr="00A61970">
        <w:rPr>
          <w:rFonts w:ascii="Arial" w:hAnsi="Arial"/>
          <w:sz w:val="20"/>
        </w:rPr>
        <w:t xml:space="preserve"> </w:t>
      </w:r>
      <w:r>
        <w:rPr>
          <w:rFonts w:ascii="Arial" w:hAnsi="Arial"/>
          <w:sz w:val="20"/>
        </w:rPr>
        <w:t>are</w:t>
      </w:r>
      <w:r w:rsidRPr="00A61970">
        <w:rPr>
          <w:rFonts w:ascii="Arial" w:hAnsi="Arial"/>
          <w:sz w:val="20"/>
        </w:rPr>
        <w:t xml:space="preserve"> summarized in </w:t>
      </w:r>
      <w:r>
        <w:rPr>
          <w:rFonts w:ascii="Arial" w:hAnsi="Arial"/>
          <w:sz w:val="20"/>
        </w:rPr>
        <w:t>T</w:t>
      </w:r>
      <w:r w:rsidRPr="00A61970">
        <w:rPr>
          <w:rFonts w:ascii="Arial" w:hAnsi="Arial"/>
          <w:sz w:val="20"/>
        </w:rPr>
        <w:t xml:space="preserve">able 2.  </w:t>
      </w:r>
    </w:p>
    <w:p w14:paraId="508B753F" w14:textId="77777777" w:rsidR="00B67D0A" w:rsidRPr="00490F0D" w:rsidRDefault="00B67D0A" w:rsidP="00F02301">
      <w:pPr>
        <w:tabs>
          <w:tab w:val="left" w:pos="567"/>
        </w:tabs>
        <w:jc w:val="both"/>
        <w:rPr>
          <w:rFonts w:ascii="Arial" w:hAnsi="Arial" w:cs="Arial"/>
          <w:bCs/>
          <w:sz w:val="20"/>
        </w:rPr>
      </w:pPr>
    </w:p>
    <w:p w14:paraId="111DD3E5" w14:textId="5D22C9CC" w:rsidR="00B67D0A" w:rsidRPr="00A61970"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A61970">
        <w:rPr>
          <w:rFonts w:ascii="Arial" w:hAnsi="Arial"/>
          <w:sz w:val="20"/>
        </w:rPr>
        <w:t>Projections for 2016/17 are, as in previous biennia, established based on the Chief Economist’s forecasts</w:t>
      </w:r>
      <w:r>
        <w:rPr>
          <w:rStyle w:val="FootnoteReference"/>
          <w:rFonts w:ascii="Arial" w:hAnsi="Arial"/>
        </w:rPr>
        <w:footnoteReference w:id="1"/>
      </w:r>
      <w:r w:rsidRPr="00A61970">
        <w:rPr>
          <w:rFonts w:ascii="Arial" w:hAnsi="Arial"/>
          <w:sz w:val="20"/>
        </w:rPr>
        <w:t xml:space="preserve">. </w:t>
      </w:r>
      <w:r>
        <w:rPr>
          <w:rFonts w:ascii="Arial" w:hAnsi="Arial" w:cs="Arial"/>
          <w:bCs/>
          <w:sz w:val="20"/>
        </w:rPr>
        <w:t>T</w:t>
      </w:r>
      <w:r w:rsidRPr="00A61970">
        <w:rPr>
          <w:rFonts w:ascii="Arial" w:hAnsi="Arial" w:cs="Arial"/>
          <w:bCs/>
          <w:sz w:val="20"/>
        </w:rPr>
        <w:t xml:space="preserve">he </w:t>
      </w:r>
      <w:r>
        <w:rPr>
          <w:rFonts w:ascii="Arial" w:hAnsi="Arial" w:cs="Arial"/>
          <w:bCs/>
          <w:sz w:val="20"/>
        </w:rPr>
        <w:t xml:space="preserve">Chief Economist’s </w:t>
      </w:r>
      <w:r w:rsidRPr="00A61970">
        <w:rPr>
          <w:rFonts w:ascii="Arial" w:hAnsi="Arial" w:cs="Arial"/>
          <w:bCs/>
          <w:sz w:val="20"/>
        </w:rPr>
        <w:t xml:space="preserve">base case </w:t>
      </w:r>
      <w:r>
        <w:rPr>
          <w:rFonts w:ascii="Arial" w:hAnsi="Arial" w:cs="Arial"/>
          <w:bCs/>
          <w:sz w:val="20"/>
        </w:rPr>
        <w:t xml:space="preserve">registration </w:t>
      </w:r>
      <w:r w:rsidRPr="00A61970">
        <w:rPr>
          <w:rFonts w:ascii="Arial" w:hAnsi="Arial" w:cs="Arial"/>
          <w:bCs/>
          <w:sz w:val="20"/>
        </w:rPr>
        <w:t xml:space="preserve">figures </w:t>
      </w:r>
      <w:r>
        <w:rPr>
          <w:rFonts w:ascii="Arial" w:hAnsi="Arial" w:cs="Arial"/>
          <w:bCs/>
          <w:sz w:val="20"/>
        </w:rPr>
        <w:t>serve as the planning parameter</w:t>
      </w:r>
      <w:r w:rsidR="003866D2">
        <w:rPr>
          <w:rFonts w:ascii="Arial" w:hAnsi="Arial" w:cs="Arial"/>
          <w:bCs/>
          <w:sz w:val="20"/>
        </w:rPr>
        <w:t>s</w:t>
      </w:r>
      <w:r>
        <w:rPr>
          <w:rFonts w:ascii="Arial" w:hAnsi="Arial" w:cs="Arial"/>
          <w:bCs/>
          <w:sz w:val="20"/>
        </w:rPr>
        <w:t xml:space="preserve"> </w:t>
      </w:r>
      <w:r w:rsidRPr="00A61970">
        <w:rPr>
          <w:rFonts w:ascii="Arial" w:hAnsi="Arial" w:cs="Arial"/>
          <w:bCs/>
          <w:sz w:val="20"/>
        </w:rPr>
        <w:t>for the PCT</w:t>
      </w:r>
      <w:r>
        <w:rPr>
          <w:rFonts w:ascii="Arial" w:hAnsi="Arial" w:cs="Arial"/>
          <w:bCs/>
          <w:sz w:val="20"/>
        </w:rPr>
        <w:t xml:space="preserve"> and Hague registration systems</w:t>
      </w:r>
      <w:r>
        <w:rPr>
          <w:rFonts w:ascii="Arial" w:hAnsi="Arial"/>
          <w:sz w:val="20"/>
        </w:rPr>
        <w:t xml:space="preserve"> in 2016/17.  T</w:t>
      </w:r>
      <w:r>
        <w:rPr>
          <w:rFonts w:ascii="Arial" w:hAnsi="Arial" w:cs="Arial"/>
          <w:bCs/>
          <w:sz w:val="20"/>
        </w:rPr>
        <w:t xml:space="preserve">he planning assumptions for the Madrid registration system are established </w:t>
      </w:r>
      <w:r w:rsidRPr="00A61970">
        <w:rPr>
          <w:rFonts w:ascii="Arial" w:hAnsi="Arial" w:cs="Arial"/>
          <w:bCs/>
          <w:sz w:val="20"/>
        </w:rPr>
        <w:t xml:space="preserve">slightly below the base case projected by the models.  </w:t>
      </w:r>
      <w:r>
        <w:rPr>
          <w:rFonts w:ascii="Arial" w:hAnsi="Arial" w:cs="Arial"/>
          <w:bCs/>
          <w:sz w:val="20"/>
        </w:rPr>
        <w:t xml:space="preserve">This takes into consideration multiple factors, including uncertainties as regards the application volumes from new members of those systems. </w:t>
      </w:r>
    </w:p>
    <w:p w14:paraId="4056C225" w14:textId="77777777" w:rsidR="00B67D0A" w:rsidRDefault="00B67D0A" w:rsidP="00F02301">
      <w:pPr>
        <w:tabs>
          <w:tab w:val="left" w:pos="567"/>
        </w:tabs>
        <w:jc w:val="center"/>
        <w:rPr>
          <w:rFonts w:ascii="Arial" w:hAnsi="Arial"/>
          <w:b/>
          <w:sz w:val="18"/>
          <w:szCs w:val="18"/>
        </w:rPr>
      </w:pPr>
    </w:p>
    <w:p w14:paraId="53BDA0F6" w14:textId="77777777" w:rsidR="00F51335" w:rsidRDefault="00F51335">
      <w:pPr>
        <w:rPr>
          <w:rFonts w:ascii="Arial" w:eastAsia="Times New Roman" w:hAnsi="Arial" w:cs="Arial"/>
          <w:b/>
          <w:sz w:val="20"/>
          <w:szCs w:val="20"/>
          <w:lang w:eastAsia="en-US"/>
        </w:rPr>
      </w:pPr>
      <w:r>
        <w:rPr>
          <w:b/>
          <w:sz w:val="20"/>
        </w:rPr>
        <w:br w:type="page"/>
      </w:r>
    </w:p>
    <w:p w14:paraId="5B62E9FE" w14:textId="3879980B" w:rsidR="00B67D0A" w:rsidRPr="00F51335" w:rsidRDefault="00B67D0A" w:rsidP="00F51335">
      <w:pPr>
        <w:pStyle w:val="BodyText"/>
        <w:jc w:val="center"/>
        <w:rPr>
          <w:b/>
        </w:rPr>
      </w:pPr>
      <w:proofErr w:type="gramStart"/>
      <w:r w:rsidRPr="00F51335">
        <w:rPr>
          <w:b/>
          <w:sz w:val="20"/>
        </w:rPr>
        <w:lastRenderedPageBreak/>
        <w:t>Table 2</w:t>
      </w:r>
      <w:r w:rsidR="003866D2">
        <w:rPr>
          <w:b/>
          <w:sz w:val="20"/>
        </w:rPr>
        <w:t>.</w:t>
      </w:r>
      <w:proofErr w:type="gramEnd"/>
      <w:r w:rsidRPr="00F51335">
        <w:rPr>
          <w:b/>
          <w:sz w:val="20"/>
        </w:rPr>
        <w:t xml:space="preserve"> </w:t>
      </w:r>
      <w:r w:rsidR="00D54BE8">
        <w:rPr>
          <w:b/>
          <w:sz w:val="20"/>
        </w:rPr>
        <w:t xml:space="preserve"> </w:t>
      </w:r>
      <w:r w:rsidRPr="00F51335">
        <w:rPr>
          <w:b/>
          <w:sz w:val="20"/>
        </w:rPr>
        <w:t>Estimates for Demand for Services under the PCT, Madrid and Hague Systems</w:t>
      </w:r>
    </w:p>
    <w:p w14:paraId="2D5B2AC5" w14:textId="77777777" w:rsidR="00B67D0A" w:rsidRDefault="00A41611" w:rsidP="00F51335">
      <w:pPr>
        <w:pStyle w:val="BodyText"/>
        <w:rPr>
          <w:caps/>
        </w:rPr>
      </w:pPr>
      <w:bookmarkStart w:id="10" w:name="_Toc310950754"/>
      <w:bookmarkStart w:id="11" w:name="_Toc367350564"/>
      <w:r>
        <w:pict w14:anchorId="0A112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78.5pt">
            <v:imagedata r:id="rId18" o:title=""/>
          </v:shape>
        </w:pict>
      </w:r>
    </w:p>
    <w:bookmarkEnd w:id="10"/>
    <w:bookmarkEnd w:id="11"/>
    <w:p w14:paraId="5DC12571" w14:textId="77777777" w:rsidR="00B67D0A" w:rsidRDefault="00B67D0A" w:rsidP="00F02301">
      <w:pPr>
        <w:jc w:val="both"/>
        <w:rPr>
          <w:rFonts w:ascii="Arial" w:hAnsi="Arial" w:cs="Arial"/>
          <w:sz w:val="20"/>
        </w:rPr>
      </w:pPr>
    </w:p>
    <w:p w14:paraId="1D84A501" w14:textId="012127D5" w:rsidR="00B67D0A" w:rsidRPr="00253056"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C324E1">
        <w:rPr>
          <w:rFonts w:ascii="Arial" w:hAnsi="Arial" w:cs="Arial"/>
          <w:sz w:val="20"/>
        </w:rPr>
        <w:t>Overall income in 201</w:t>
      </w:r>
      <w:r>
        <w:rPr>
          <w:rFonts w:ascii="Arial" w:hAnsi="Arial" w:cs="Arial"/>
          <w:sz w:val="20"/>
        </w:rPr>
        <w:t>6</w:t>
      </w:r>
      <w:r w:rsidRPr="00C324E1">
        <w:rPr>
          <w:rFonts w:ascii="Arial" w:hAnsi="Arial" w:cs="Arial"/>
          <w:sz w:val="20"/>
        </w:rPr>
        <w:t>/1</w:t>
      </w:r>
      <w:r>
        <w:rPr>
          <w:rFonts w:ascii="Arial" w:hAnsi="Arial" w:cs="Arial"/>
          <w:sz w:val="20"/>
        </w:rPr>
        <w:t>7</w:t>
      </w:r>
      <w:r w:rsidR="00BE4112">
        <w:rPr>
          <w:rFonts w:ascii="Arial" w:hAnsi="Arial" w:cs="Arial"/>
          <w:sz w:val="20"/>
        </w:rPr>
        <w:t>,</w:t>
      </w:r>
      <w:r w:rsidRPr="00C324E1">
        <w:rPr>
          <w:rFonts w:ascii="Arial" w:hAnsi="Arial" w:cs="Arial"/>
          <w:sz w:val="20"/>
        </w:rPr>
        <w:t xml:space="preserve"> projected at the level of </w:t>
      </w:r>
      <w:r>
        <w:rPr>
          <w:rFonts w:ascii="Arial" w:hAnsi="Arial" w:cs="Arial"/>
          <w:sz w:val="20"/>
        </w:rPr>
        <w:t>756.</w:t>
      </w:r>
      <w:r w:rsidR="009D7A18">
        <w:rPr>
          <w:rFonts w:ascii="Arial" w:hAnsi="Arial" w:cs="Arial"/>
          <w:sz w:val="20"/>
        </w:rPr>
        <w:t>3</w:t>
      </w:r>
      <w:r w:rsidR="009D7A18" w:rsidRPr="00C324E1">
        <w:rPr>
          <w:rFonts w:ascii="Arial" w:hAnsi="Arial" w:cs="Arial"/>
          <w:sz w:val="20"/>
        </w:rPr>
        <w:t xml:space="preserve"> </w:t>
      </w:r>
      <w:r w:rsidRPr="00C324E1">
        <w:rPr>
          <w:rFonts w:ascii="Arial" w:hAnsi="Arial" w:cs="Arial"/>
          <w:sz w:val="20"/>
        </w:rPr>
        <w:t xml:space="preserve">million Swiss francs, </w:t>
      </w:r>
      <w:r w:rsidR="00BE4112" w:rsidRPr="00C324E1">
        <w:rPr>
          <w:rFonts w:ascii="Arial" w:hAnsi="Arial" w:cs="Arial"/>
          <w:sz w:val="20"/>
        </w:rPr>
        <w:t>represent</w:t>
      </w:r>
      <w:r w:rsidR="00BE4112">
        <w:rPr>
          <w:rFonts w:ascii="Arial" w:hAnsi="Arial" w:cs="Arial"/>
          <w:sz w:val="20"/>
        </w:rPr>
        <w:t>s</w:t>
      </w:r>
      <w:r w:rsidR="00BE4112" w:rsidRPr="00C324E1">
        <w:rPr>
          <w:rFonts w:ascii="Arial" w:hAnsi="Arial" w:cs="Arial"/>
          <w:sz w:val="20"/>
        </w:rPr>
        <w:t xml:space="preserve"> </w:t>
      </w:r>
      <w:r w:rsidRPr="00C324E1">
        <w:rPr>
          <w:rFonts w:ascii="Arial" w:hAnsi="Arial" w:cs="Arial"/>
          <w:sz w:val="20"/>
        </w:rPr>
        <w:t xml:space="preserve">an increase of </w:t>
      </w:r>
      <w:r>
        <w:rPr>
          <w:rFonts w:ascii="Arial" w:hAnsi="Arial" w:cs="Arial"/>
          <w:sz w:val="20"/>
        </w:rPr>
        <w:t>6.</w:t>
      </w:r>
      <w:r w:rsidR="009D7A18">
        <w:rPr>
          <w:rFonts w:ascii="Arial" w:hAnsi="Arial" w:cs="Arial"/>
          <w:sz w:val="20"/>
        </w:rPr>
        <w:t>0</w:t>
      </w:r>
      <w:r w:rsidR="009D7A18" w:rsidRPr="00C324E1">
        <w:rPr>
          <w:rFonts w:ascii="Arial" w:hAnsi="Arial" w:cs="Arial"/>
          <w:sz w:val="20"/>
        </w:rPr>
        <w:t xml:space="preserve"> </w:t>
      </w:r>
      <w:r w:rsidRPr="00C324E1">
        <w:rPr>
          <w:rFonts w:ascii="Arial" w:hAnsi="Arial" w:cs="Arial"/>
          <w:sz w:val="20"/>
        </w:rPr>
        <w:t xml:space="preserve">per cent over the </w:t>
      </w:r>
      <w:r>
        <w:rPr>
          <w:rFonts w:ascii="Arial" w:hAnsi="Arial" w:cs="Arial"/>
          <w:sz w:val="20"/>
        </w:rPr>
        <w:t>budgeted income in 2014/15</w:t>
      </w:r>
      <w:r w:rsidRPr="00253056">
        <w:rPr>
          <w:rFonts w:ascii="Arial" w:hAnsi="Arial" w:cs="Arial"/>
          <w:sz w:val="20"/>
        </w:rPr>
        <w:t xml:space="preserve">. </w:t>
      </w:r>
      <w:r>
        <w:rPr>
          <w:rFonts w:ascii="Arial" w:hAnsi="Arial" w:cs="Arial"/>
          <w:sz w:val="20"/>
        </w:rPr>
        <w:t xml:space="preserve"> </w:t>
      </w:r>
      <w:r w:rsidRPr="00253056">
        <w:rPr>
          <w:rFonts w:ascii="Arial" w:hAnsi="Arial" w:cs="Arial"/>
          <w:sz w:val="20"/>
        </w:rPr>
        <w:t xml:space="preserve">Compared to the updated income forecasts for 2014/15 (as at April 2015) this represents an increase of </w:t>
      </w:r>
      <w:r>
        <w:rPr>
          <w:rFonts w:ascii="Arial" w:hAnsi="Arial" w:cs="Arial"/>
          <w:sz w:val="20"/>
        </w:rPr>
        <w:t>2.1</w:t>
      </w:r>
      <w:r w:rsidRPr="00253056">
        <w:rPr>
          <w:rFonts w:ascii="Arial" w:hAnsi="Arial" w:cs="Arial"/>
          <w:sz w:val="20"/>
        </w:rPr>
        <w:t xml:space="preserve"> per cent</w:t>
      </w:r>
      <w:r>
        <w:rPr>
          <w:rFonts w:ascii="Arial" w:hAnsi="Arial" w:cs="Arial"/>
          <w:sz w:val="20"/>
        </w:rPr>
        <w:t>.</w:t>
      </w:r>
    </w:p>
    <w:p w14:paraId="04BADE40" w14:textId="77777777" w:rsidR="00B67D0A" w:rsidRDefault="00B67D0A" w:rsidP="00F02301">
      <w:pPr>
        <w:jc w:val="both"/>
        <w:rPr>
          <w:rFonts w:ascii="Arial" w:hAnsi="Arial" w:cs="Arial"/>
          <w:sz w:val="20"/>
        </w:rPr>
      </w:pPr>
    </w:p>
    <w:p w14:paraId="0FECEA49" w14:textId="77777777" w:rsidR="00B67D0A" w:rsidRDefault="00B67D0A" w:rsidP="00F02301">
      <w:pPr>
        <w:jc w:val="both"/>
        <w:rPr>
          <w:rFonts w:ascii="Arial" w:hAnsi="Arial" w:cs="Arial"/>
          <w:sz w:val="20"/>
        </w:rPr>
      </w:pPr>
    </w:p>
    <w:p w14:paraId="0EE4AC5E" w14:textId="2BCABA29" w:rsidR="00B67D0A" w:rsidRPr="00B67D0A" w:rsidRDefault="00B67D0A" w:rsidP="00F02301">
      <w:pPr>
        <w:keepNext/>
        <w:keepLines/>
        <w:jc w:val="center"/>
        <w:rPr>
          <w:rFonts w:ascii="Arial" w:hAnsi="Arial" w:cs="Arial"/>
          <w:b/>
          <w:sz w:val="20"/>
          <w:szCs w:val="20"/>
        </w:rPr>
      </w:pPr>
      <w:r w:rsidRPr="00B67D0A">
        <w:rPr>
          <w:rFonts w:ascii="Arial" w:hAnsi="Arial" w:cs="Arial"/>
          <w:b/>
          <w:sz w:val="20"/>
          <w:szCs w:val="20"/>
        </w:rPr>
        <w:t>Table 3.</w:t>
      </w:r>
      <w:r w:rsidR="00D54BE8">
        <w:rPr>
          <w:rFonts w:ascii="Arial" w:hAnsi="Arial" w:cs="Arial"/>
          <w:b/>
          <w:sz w:val="20"/>
          <w:szCs w:val="20"/>
        </w:rPr>
        <w:t xml:space="preserve"> </w:t>
      </w:r>
      <w:r w:rsidRPr="00B67D0A">
        <w:rPr>
          <w:rFonts w:ascii="Arial" w:hAnsi="Arial" w:cs="Arial"/>
          <w:b/>
          <w:sz w:val="20"/>
          <w:szCs w:val="20"/>
        </w:rPr>
        <w:t xml:space="preserve"> Evolution of the Income of the Organization from 2006/07 to 2016/17</w:t>
      </w:r>
    </w:p>
    <w:p w14:paraId="75B54E50" w14:textId="77777777" w:rsidR="00B67D0A" w:rsidRPr="00B67D0A" w:rsidRDefault="00B67D0A" w:rsidP="00F02301">
      <w:pPr>
        <w:keepNext/>
        <w:keepLines/>
        <w:jc w:val="center"/>
        <w:rPr>
          <w:rFonts w:ascii="Arial" w:hAnsi="Arial" w:cs="Arial"/>
          <w:i/>
          <w:sz w:val="20"/>
          <w:szCs w:val="20"/>
        </w:rPr>
      </w:pPr>
      <w:r w:rsidRPr="00B67D0A">
        <w:rPr>
          <w:rFonts w:ascii="Arial" w:hAnsi="Arial" w:cs="Arial"/>
          <w:i/>
          <w:sz w:val="20"/>
          <w:szCs w:val="20"/>
        </w:rPr>
        <w:t>(in millions of Swiss francs)</w:t>
      </w:r>
    </w:p>
    <w:p w14:paraId="478A4DCB" w14:textId="77777777" w:rsidR="00B67D0A" w:rsidRPr="0065308A" w:rsidRDefault="00B67D0A" w:rsidP="00F02301">
      <w:pPr>
        <w:keepNext/>
        <w:keepLines/>
        <w:jc w:val="center"/>
        <w:rPr>
          <w:rFonts w:ascii="Arial" w:hAnsi="Arial" w:cs="Arial"/>
          <w:i/>
          <w:sz w:val="18"/>
          <w:szCs w:val="18"/>
        </w:rPr>
      </w:pPr>
    </w:p>
    <w:p w14:paraId="1FD752D1" w14:textId="2B3DE0B6" w:rsidR="00B67D0A" w:rsidRDefault="00C1764C" w:rsidP="00F02301">
      <w:pPr>
        <w:jc w:val="center"/>
        <w:rPr>
          <w:rFonts w:ascii="Arial" w:hAnsi="Arial"/>
          <w:sz w:val="20"/>
          <w:lang w:val="en-CA"/>
        </w:rPr>
      </w:pPr>
      <w:r w:rsidRPr="00C1764C">
        <w:rPr>
          <w:noProof/>
          <w:lang w:eastAsia="en-US"/>
        </w:rPr>
        <w:drawing>
          <wp:inline distT="0" distB="0" distL="0" distR="0" wp14:anchorId="3379C80C" wp14:editId="71901156">
            <wp:extent cx="5900468" cy="2438176"/>
            <wp:effectExtent l="0" t="0" r="5080" b="63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8674" cy="2437435"/>
                    </a:xfrm>
                    <a:prstGeom prst="rect">
                      <a:avLst/>
                    </a:prstGeom>
                    <a:noFill/>
                    <a:ln>
                      <a:noFill/>
                    </a:ln>
                  </pic:spPr>
                </pic:pic>
              </a:graphicData>
            </a:graphic>
          </wp:inline>
        </w:drawing>
      </w:r>
    </w:p>
    <w:p w14:paraId="2290EF40" w14:textId="2688CEC0" w:rsidR="00B67D0A" w:rsidRPr="006459EA" w:rsidRDefault="00B67D0A" w:rsidP="00F02301">
      <w:pPr>
        <w:widowControl w:val="0"/>
        <w:shd w:val="clear" w:color="auto" w:fill="FFFFFF"/>
        <w:jc w:val="both"/>
        <w:rPr>
          <w:rFonts w:ascii="Arial" w:hAnsi="Arial" w:cs="Arial"/>
          <w:i/>
          <w:sz w:val="16"/>
          <w:szCs w:val="16"/>
        </w:rPr>
      </w:pPr>
      <w:r w:rsidRPr="006459EA">
        <w:rPr>
          <w:rFonts w:ascii="Arial" w:hAnsi="Arial" w:cs="Arial"/>
          <w:i/>
          <w:sz w:val="16"/>
          <w:szCs w:val="16"/>
        </w:rPr>
        <w:t xml:space="preserve">*Note: Lisbon fee income (2014/15 budgeted </w:t>
      </w:r>
      <w:r w:rsidRPr="00104E6F">
        <w:rPr>
          <w:rFonts w:ascii="Arial" w:hAnsi="Arial" w:cs="Arial"/>
          <w:i/>
          <w:sz w:val="16"/>
          <w:szCs w:val="16"/>
        </w:rPr>
        <w:t>estimate:</w:t>
      </w:r>
      <w:r w:rsidRPr="006459EA">
        <w:rPr>
          <w:rFonts w:ascii="Arial" w:hAnsi="Arial" w:cs="Arial"/>
          <w:i/>
          <w:sz w:val="16"/>
          <w:szCs w:val="16"/>
        </w:rPr>
        <w:t xml:space="preserve"> 8,000 </w:t>
      </w:r>
      <w:r w:rsidR="003736E0">
        <w:rPr>
          <w:rFonts w:ascii="Arial" w:hAnsi="Arial" w:cs="Arial"/>
          <w:i/>
          <w:sz w:val="16"/>
          <w:szCs w:val="16"/>
        </w:rPr>
        <w:t>Swiss francs</w:t>
      </w:r>
      <w:r w:rsidRPr="006459EA">
        <w:rPr>
          <w:rFonts w:ascii="Arial" w:hAnsi="Arial" w:cs="Arial"/>
          <w:i/>
          <w:sz w:val="16"/>
          <w:szCs w:val="16"/>
        </w:rPr>
        <w:t xml:space="preserve">; 2016/17: 30,000 </w:t>
      </w:r>
      <w:r w:rsidR="003736E0">
        <w:rPr>
          <w:rFonts w:ascii="Arial" w:hAnsi="Arial" w:cs="Arial"/>
          <w:i/>
          <w:sz w:val="16"/>
          <w:szCs w:val="16"/>
        </w:rPr>
        <w:t>Swiss francs</w:t>
      </w:r>
      <w:r w:rsidRPr="006459EA">
        <w:rPr>
          <w:rFonts w:ascii="Arial" w:hAnsi="Arial" w:cs="Arial"/>
          <w:i/>
          <w:sz w:val="16"/>
          <w:szCs w:val="16"/>
        </w:rPr>
        <w:t>)</w:t>
      </w:r>
    </w:p>
    <w:p w14:paraId="2D371D21" w14:textId="77777777" w:rsidR="00B67D0A" w:rsidRDefault="00B67D0A" w:rsidP="00F02301">
      <w:pPr>
        <w:widowControl w:val="0"/>
        <w:shd w:val="clear" w:color="auto" w:fill="FFFFFF"/>
        <w:jc w:val="both"/>
        <w:rPr>
          <w:rFonts w:ascii="Arial" w:hAnsi="Arial" w:cs="Arial"/>
          <w:sz w:val="20"/>
        </w:rPr>
      </w:pPr>
    </w:p>
    <w:p w14:paraId="36653B47"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C06BE9">
        <w:rPr>
          <w:rFonts w:ascii="Arial" w:hAnsi="Arial" w:cs="Arial"/>
          <w:sz w:val="20"/>
        </w:rPr>
        <w:t xml:space="preserve">Income in 2016/17 is estimated to increase for all registration systems, with an increase of </w:t>
      </w:r>
      <w:r>
        <w:rPr>
          <w:rFonts w:ascii="Arial" w:hAnsi="Arial" w:cs="Arial"/>
          <w:sz w:val="20"/>
        </w:rPr>
        <w:t>5.5</w:t>
      </w:r>
      <w:r w:rsidRPr="00C06BE9">
        <w:rPr>
          <w:rFonts w:ascii="Arial" w:hAnsi="Arial" w:cs="Arial"/>
          <w:sz w:val="20"/>
        </w:rPr>
        <w:t xml:space="preserve"> per cent, 1</w:t>
      </w:r>
      <w:r>
        <w:rPr>
          <w:rFonts w:ascii="Arial" w:hAnsi="Arial" w:cs="Arial"/>
          <w:sz w:val="20"/>
        </w:rPr>
        <w:t>2</w:t>
      </w:r>
      <w:r w:rsidRPr="00C06BE9">
        <w:rPr>
          <w:rFonts w:ascii="Arial" w:hAnsi="Arial" w:cs="Arial"/>
          <w:sz w:val="20"/>
        </w:rPr>
        <w:t>.</w:t>
      </w:r>
      <w:r>
        <w:rPr>
          <w:rFonts w:ascii="Arial" w:hAnsi="Arial" w:cs="Arial"/>
          <w:sz w:val="20"/>
        </w:rPr>
        <w:t>3</w:t>
      </w:r>
      <w:r w:rsidRPr="00C06BE9">
        <w:rPr>
          <w:rFonts w:ascii="Arial" w:hAnsi="Arial" w:cs="Arial"/>
          <w:sz w:val="20"/>
        </w:rPr>
        <w:t xml:space="preserve"> per cent and </w:t>
      </w:r>
      <w:r>
        <w:rPr>
          <w:rFonts w:ascii="Arial" w:hAnsi="Arial" w:cs="Arial"/>
          <w:sz w:val="20"/>
        </w:rPr>
        <w:t>20.3</w:t>
      </w:r>
      <w:r w:rsidRPr="00C06BE9">
        <w:rPr>
          <w:rFonts w:ascii="Arial" w:hAnsi="Arial" w:cs="Arial"/>
          <w:sz w:val="20"/>
        </w:rPr>
        <w:t xml:space="preserve"> per cent respectively for the PCT, Madrid and the Hague Systems as compared to the </w:t>
      </w:r>
      <w:r>
        <w:rPr>
          <w:rFonts w:ascii="Arial" w:hAnsi="Arial" w:cs="Arial"/>
          <w:sz w:val="20"/>
        </w:rPr>
        <w:t>2014/15 budget</w:t>
      </w:r>
      <w:r w:rsidRPr="00B67D0A">
        <w:rPr>
          <w:rStyle w:val="FootnoteReference"/>
          <w:rFonts w:ascii="Arial" w:hAnsi="Arial" w:cs="Arial"/>
          <w:sz w:val="20"/>
          <w:szCs w:val="20"/>
        </w:rPr>
        <w:footnoteReference w:id="2"/>
      </w:r>
      <w:r w:rsidRPr="00B67D0A">
        <w:rPr>
          <w:rFonts w:ascii="Arial" w:hAnsi="Arial" w:cs="Arial"/>
          <w:sz w:val="20"/>
          <w:szCs w:val="20"/>
        </w:rPr>
        <w:t>.</w:t>
      </w:r>
      <w:r>
        <w:rPr>
          <w:rFonts w:ascii="Arial" w:hAnsi="Arial" w:cs="Arial"/>
          <w:sz w:val="20"/>
        </w:rPr>
        <w:t xml:space="preserve"> </w:t>
      </w:r>
    </w:p>
    <w:p w14:paraId="649FE6C9" w14:textId="77777777" w:rsidR="00B67D0A" w:rsidRDefault="00B67D0A" w:rsidP="00F02301">
      <w:pPr>
        <w:widowControl w:val="0"/>
        <w:shd w:val="clear" w:color="auto" w:fill="FFFFFF"/>
        <w:jc w:val="both"/>
        <w:rPr>
          <w:rFonts w:ascii="Arial" w:hAnsi="Arial" w:cs="Arial"/>
          <w:sz w:val="20"/>
        </w:rPr>
      </w:pPr>
    </w:p>
    <w:p w14:paraId="65659E9C" w14:textId="09A26D12" w:rsidR="00B67D0A" w:rsidRDefault="00B67D0A" w:rsidP="00B66A4A">
      <w:pPr>
        <w:pStyle w:val="ListParagraph"/>
        <w:widowControl w:val="0"/>
        <w:numPr>
          <w:ilvl w:val="0"/>
          <w:numId w:val="33"/>
        </w:numPr>
        <w:tabs>
          <w:tab w:val="left" w:pos="567"/>
        </w:tabs>
        <w:ind w:left="0" w:firstLine="0"/>
        <w:jc w:val="both"/>
        <w:rPr>
          <w:rFonts w:ascii="Arial" w:hAnsi="Arial" w:cs="Arial"/>
          <w:bCs/>
          <w:sz w:val="20"/>
        </w:rPr>
      </w:pPr>
      <w:r>
        <w:rPr>
          <w:rFonts w:ascii="Arial" w:hAnsi="Arial" w:cs="Arial"/>
          <w:bCs/>
          <w:sz w:val="20"/>
        </w:rPr>
        <w:t xml:space="preserve">Income from </w:t>
      </w:r>
      <w:r w:rsidRPr="00396718">
        <w:rPr>
          <w:rFonts w:ascii="Arial" w:hAnsi="Arial" w:cs="Arial"/>
          <w:bCs/>
          <w:sz w:val="20"/>
        </w:rPr>
        <w:t xml:space="preserve">Contributions of Member States </w:t>
      </w:r>
      <w:r w:rsidR="00097BBE">
        <w:rPr>
          <w:rFonts w:ascii="Arial" w:hAnsi="Arial" w:cs="Arial"/>
          <w:bCs/>
          <w:sz w:val="20"/>
        </w:rPr>
        <w:t>amounts to</w:t>
      </w:r>
      <w:r w:rsidRPr="00396718">
        <w:rPr>
          <w:rFonts w:ascii="Arial" w:hAnsi="Arial" w:cs="Arial"/>
          <w:bCs/>
          <w:sz w:val="20"/>
        </w:rPr>
        <w:t xml:space="preserve"> </w:t>
      </w:r>
      <w:r w:rsidR="00097BBE">
        <w:rPr>
          <w:rFonts w:ascii="Arial" w:hAnsi="Arial" w:cs="Arial"/>
          <w:bCs/>
          <w:sz w:val="20"/>
        </w:rPr>
        <w:t>34.7</w:t>
      </w:r>
      <w:r w:rsidRPr="00396718">
        <w:rPr>
          <w:rFonts w:ascii="Arial" w:hAnsi="Arial" w:cs="Arial"/>
          <w:bCs/>
          <w:sz w:val="20"/>
        </w:rPr>
        <w:t xml:space="preserve"> million Swiss francs for the 201</w:t>
      </w:r>
      <w:r>
        <w:rPr>
          <w:rFonts w:ascii="Arial" w:hAnsi="Arial" w:cs="Arial"/>
          <w:bCs/>
          <w:sz w:val="20"/>
        </w:rPr>
        <w:t>6</w:t>
      </w:r>
      <w:r w:rsidRPr="00396718">
        <w:rPr>
          <w:rFonts w:ascii="Arial" w:hAnsi="Arial" w:cs="Arial"/>
          <w:bCs/>
          <w:sz w:val="20"/>
        </w:rPr>
        <w:t>/1</w:t>
      </w:r>
      <w:r>
        <w:rPr>
          <w:rFonts w:ascii="Arial" w:hAnsi="Arial" w:cs="Arial"/>
          <w:bCs/>
          <w:sz w:val="20"/>
        </w:rPr>
        <w:t>7</w:t>
      </w:r>
      <w:r w:rsidRPr="00396718">
        <w:rPr>
          <w:rFonts w:ascii="Arial" w:hAnsi="Arial" w:cs="Arial"/>
          <w:bCs/>
          <w:sz w:val="20"/>
        </w:rPr>
        <w:t xml:space="preserve"> biennium</w:t>
      </w:r>
      <w:r w:rsidR="00097BBE">
        <w:rPr>
          <w:rFonts w:ascii="Arial" w:hAnsi="Arial" w:cs="Arial"/>
          <w:bCs/>
          <w:sz w:val="20"/>
        </w:rPr>
        <w:t>, a slight decrease as</w:t>
      </w:r>
      <w:r w:rsidRPr="00396718">
        <w:rPr>
          <w:rFonts w:ascii="Arial" w:hAnsi="Arial" w:cs="Arial"/>
          <w:bCs/>
          <w:sz w:val="20"/>
        </w:rPr>
        <w:t xml:space="preserve"> compared to 201</w:t>
      </w:r>
      <w:r>
        <w:rPr>
          <w:rFonts w:ascii="Arial" w:hAnsi="Arial" w:cs="Arial"/>
          <w:bCs/>
          <w:sz w:val="20"/>
        </w:rPr>
        <w:t>4</w:t>
      </w:r>
      <w:r w:rsidRPr="00396718">
        <w:rPr>
          <w:rFonts w:ascii="Arial" w:hAnsi="Arial" w:cs="Arial"/>
          <w:bCs/>
          <w:sz w:val="20"/>
        </w:rPr>
        <w:t>/1</w:t>
      </w:r>
      <w:r>
        <w:rPr>
          <w:rFonts w:ascii="Arial" w:hAnsi="Arial" w:cs="Arial"/>
          <w:bCs/>
          <w:sz w:val="20"/>
        </w:rPr>
        <w:t>5</w:t>
      </w:r>
      <w:r w:rsidRPr="00396718">
        <w:rPr>
          <w:rFonts w:ascii="Arial" w:hAnsi="Arial" w:cs="Arial"/>
          <w:bCs/>
          <w:sz w:val="20"/>
        </w:rPr>
        <w:t xml:space="preserve">. </w:t>
      </w:r>
      <w:r w:rsidR="00BE4112">
        <w:rPr>
          <w:rFonts w:ascii="Arial" w:hAnsi="Arial" w:cs="Arial"/>
          <w:bCs/>
          <w:sz w:val="20"/>
        </w:rPr>
        <w:t>The value of one unit of Member States’ contribution remains unchanged for 2016 and 2017</w:t>
      </w:r>
      <w:r w:rsidR="00BE4112">
        <w:rPr>
          <w:rStyle w:val="FootnoteReference"/>
          <w:rFonts w:ascii="Arial" w:hAnsi="Arial" w:cs="Arial"/>
          <w:bCs/>
          <w:sz w:val="20"/>
        </w:rPr>
        <w:footnoteReference w:id="3"/>
      </w:r>
      <w:r w:rsidR="00BE4112">
        <w:rPr>
          <w:rFonts w:ascii="Arial" w:hAnsi="Arial" w:cs="Arial"/>
          <w:bCs/>
          <w:sz w:val="20"/>
        </w:rPr>
        <w:t xml:space="preserve"> as compared to 2014 and 2015. </w:t>
      </w:r>
      <w:r w:rsidRPr="00396718">
        <w:rPr>
          <w:rFonts w:ascii="Arial" w:hAnsi="Arial" w:cs="Arial"/>
          <w:bCs/>
          <w:sz w:val="20"/>
        </w:rPr>
        <w:t xml:space="preserve"> </w:t>
      </w:r>
    </w:p>
    <w:p w14:paraId="0682AE9A" w14:textId="77777777" w:rsidR="00B67D0A" w:rsidRDefault="00B67D0A" w:rsidP="00F02301">
      <w:pPr>
        <w:widowControl w:val="0"/>
        <w:shd w:val="clear" w:color="auto" w:fill="FFFFFF"/>
        <w:jc w:val="both"/>
        <w:rPr>
          <w:rFonts w:ascii="Arial" w:hAnsi="Arial" w:cs="Arial"/>
          <w:sz w:val="20"/>
        </w:rPr>
      </w:pPr>
    </w:p>
    <w:p w14:paraId="5E70FAF2" w14:textId="373EF340"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Pr>
          <w:rFonts w:ascii="Arial" w:hAnsi="Arial" w:cs="Arial"/>
          <w:sz w:val="20"/>
        </w:rPr>
        <w:t xml:space="preserve">Income </w:t>
      </w:r>
      <w:r w:rsidR="001B3D70">
        <w:rPr>
          <w:rFonts w:ascii="Arial" w:hAnsi="Arial" w:cs="Arial"/>
          <w:sz w:val="20"/>
        </w:rPr>
        <w:t xml:space="preserve">from </w:t>
      </w:r>
      <w:r>
        <w:rPr>
          <w:rFonts w:ascii="Arial" w:hAnsi="Arial" w:cs="Arial"/>
          <w:sz w:val="20"/>
        </w:rPr>
        <w:t>other revenue streams</w:t>
      </w:r>
      <w:r w:rsidR="001B3D70">
        <w:rPr>
          <w:rStyle w:val="FootnoteReference"/>
          <w:rFonts w:ascii="Arial" w:hAnsi="Arial" w:cs="Arial"/>
          <w:sz w:val="20"/>
        </w:rPr>
        <w:footnoteReference w:id="4"/>
      </w:r>
      <w:r>
        <w:rPr>
          <w:rFonts w:ascii="Arial" w:hAnsi="Arial" w:cs="Arial"/>
          <w:sz w:val="20"/>
        </w:rPr>
        <w:t xml:space="preserve"> - </w:t>
      </w:r>
      <w:r w:rsidRPr="00396718">
        <w:rPr>
          <w:rFonts w:ascii="Arial" w:hAnsi="Arial" w:cs="Arial"/>
          <w:bCs/>
          <w:sz w:val="20"/>
        </w:rPr>
        <w:t>services provided by the Arbitration and Mediation Center</w:t>
      </w:r>
      <w:r>
        <w:rPr>
          <w:rFonts w:ascii="Arial" w:hAnsi="Arial" w:cs="Arial"/>
          <w:bCs/>
          <w:sz w:val="20"/>
        </w:rPr>
        <w:t xml:space="preserve"> (AMC), publications, and interest income -</w:t>
      </w:r>
      <w:r>
        <w:rPr>
          <w:rFonts w:ascii="Arial" w:hAnsi="Arial" w:cs="Arial"/>
          <w:sz w:val="20"/>
        </w:rPr>
        <w:t xml:space="preserve"> is estimated to decrease by 10.7 per cent, 74.2 per cent and 100 per cent respectively compared to the 2014/15 budget. </w:t>
      </w:r>
      <w:r>
        <w:rPr>
          <w:rFonts w:ascii="Arial" w:hAnsi="Arial" w:cs="Arial"/>
          <w:bCs/>
          <w:sz w:val="20"/>
        </w:rPr>
        <w:t>Miscellaneous income is expected to remain stable.</w:t>
      </w:r>
      <w:r>
        <w:rPr>
          <w:rFonts w:ascii="Arial" w:hAnsi="Arial" w:cs="Arial"/>
          <w:sz w:val="20"/>
        </w:rPr>
        <w:t xml:space="preserve">  </w:t>
      </w:r>
    </w:p>
    <w:p w14:paraId="60249C47" w14:textId="122531E2" w:rsidR="00B67D0A" w:rsidRPr="006459EA"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197F86">
        <w:rPr>
          <w:rFonts w:ascii="Arial" w:hAnsi="Arial" w:cs="Arial"/>
          <w:bCs/>
          <w:sz w:val="20"/>
        </w:rPr>
        <w:lastRenderedPageBreak/>
        <w:t>The</w:t>
      </w:r>
      <w:r>
        <w:rPr>
          <w:rFonts w:ascii="Arial" w:hAnsi="Arial" w:cs="Arial"/>
          <w:bCs/>
          <w:sz w:val="20"/>
        </w:rPr>
        <w:t xml:space="preserve"> </w:t>
      </w:r>
      <w:r w:rsidRPr="00197F86">
        <w:rPr>
          <w:rFonts w:ascii="Arial" w:hAnsi="Arial" w:cs="Arial"/>
          <w:bCs/>
          <w:sz w:val="20"/>
        </w:rPr>
        <w:t>decrease in revenue</w:t>
      </w:r>
      <w:r>
        <w:rPr>
          <w:rFonts w:ascii="Arial" w:hAnsi="Arial" w:cs="Arial"/>
          <w:bCs/>
          <w:sz w:val="20"/>
        </w:rPr>
        <w:t xml:space="preserve"> estimates</w:t>
      </w:r>
      <w:r w:rsidRPr="00197F86">
        <w:rPr>
          <w:rFonts w:ascii="Arial" w:hAnsi="Arial" w:cs="Arial"/>
          <w:bCs/>
          <w:sz w:val="20"/>
        </w:rPr>
        <w:t xml:space="preserve"> from the AMC is primarily </w:t>
      </w:r>
      <w:r>
        <w:rPr>
          <w:rFonts w:ascii="Arial" w:hAnsi="Arial" w:cs="Arial"/>
          <w:bCs/>
          <w:sz w:val="20"/>
        </w:rPr>
        <w:t xml:space="preserve">related to the potential negative impact of increased market competition on the number of WIPO UDRP cases.  </w:t>
      </w:r>
      <w:r w:rsidRPr="006459EA">
        <w:rPr>
          <w:rFonts w:ascii="Arial" w:hAnsi="Arial" w:cs="Arial"/>
          <w:bCs/>
          <w:sz w:val="20"/>
        </w:rPr>
        <w:t xml:space="preserve">The income from </w:t>
      </w:r>
      <w:r w:rsidR="00457C73">
        <w:rPr>
          <w:rFonts w:ascii="Arial" w:hAnsi="Arial" w:cs="Arial"/>
          <w:bCs/>
          <w:sz w:val="20"/>
        </w:rPr>
        <w:t xml:space="preserve">sale of </w:t>
      </w:r>
      <w:r w:rsidRPr="006459EA">
        <w:rPr>
          <w:rFonts w:ascii="Arial" w:hAnsi="Arial" w:cs="Arial"/>
          <w:bCs/>
          <w:sz w:val="20"/>
        </w:rPr>
        <w:t xml:space="preserve">publications is expected to decrease </w:t>
      </w:r>
      <w:r>
        <w:rPr>
          <w:rFonts w:ascii="Arial" w:hAnsi="Arial" w:cs="Arial"/>
          <w:bCs/>
          <w:sz w:val="20"/>
        </w:rPr>
        <w:t xml:space="preserve">following the new data dissemination policy whereby WIPO publications will become available to the wider public at little or no cost.  </w:t>
      </w:r>
      <w:r w:rsidRPr="006459EA">
        <w:rPr>
          <w:rFonts w:ascii="Arial" w:hAnsi="Arial" w:cs="Arial"/>
          <w:bCs/>
          <w:sz w:val="20"/>
        </w:rPr>
        <w:t xml:space="preserve">The negative interest rates on the Swiss franc </w:t>
      </w:r>
      <w:r>
        <w:rPr>
          <w:rFonts w:ascii="Arial" w:hAnsi="Arial" w:cs="Arial"/>
          <w:bCs/>
          <w:sz w:val="20"/>
        </w:rPr>
        <w:t>are</w:t>
      </w:r>
      <w:r w:rsidRPr="006459EA">
        <w:rPr>
          <w:rFonts w:ascii="Arial" w:hAnsi="Arial" w:cs="Arial"/>
          <w:bCs/>
          <w:sz w:val="20"/>
        </w:rPr>
        <w:t xml:space="preserve"> expected to </w:t>
      </w:r>
      <w:r>
        <w:rPr>
          <w:rFonts w:ascii="Arial" w:hAnsi="Arial" w:cs="Arial"/>
          <w:bCs/>
          <w:sz w:val="20"/>
        </w:rPr>
        <w:t>potentially bring WIPO</w:t>
      </w:r>
      <w:r w:rsidRPr="006459EA">
        <w:rPr>
          <w:rFonts w:ascii="Arial" w:hAnsi="Arial" w:cs="Arial"/>
          <w:bCs/>
          <w:sz w:val="20"/>
        </w:rPr>
        <w:t xml:space="preserve"> interest income </w:t>
      </w:r>
      <w:r>
        <w:rPr>
          <w:rFonts w:ascii="Arial" w:hAnsi="Arial" w:cs="Arial"/>
          <w:bCs/>
          <w:sz w:val="20"/>
        </w:rPr>
        <w:t>t</w:t>
      </w:r>
      <w:r w:rsidRPr="006459EA">
        <w:rPr>
          <w:rFonts w:ascii="Arial" w:hAnsi="Arial" w:cs="Arial"/>
          <w:bCs/>
          <w:sz w:val="20"/>
        </w:rPr>
        <w:t>o zero</w:t>
      </w:r>
      <w:r>
        <w:rPr>
          <w:rFonts w:ascii="Arial" w:hAnsi="Arial" w:cs="Arial"/>
          <w:bCs/>
          <w:sz w:val="20"/>
        </w:rPr>
        <w:t xml:space="preserve">.  </w:t>
      </w:r>
      <w:r w:rsidRPr="006459EA">
        <w:rPr>
          <w:rFonts w:ascii="Arial" w:hAnsi="Arial" w:cs="Arial"/>
          <w:bCs/>
          <w:sz w:val="20"/>
        </w:rPr>
        <w:t>Miscellaneous income</w:t>
      </w:r>
      <w:r>
        <w:rPr>
          <w:rFonts w:ascii="Arial" w:hAnsi="Arial" w:cs="Arial"/>
          <w:bCs/>
          <w:sz w:val="20"/>
        </w:rPr>
        <w:t xml:space="preserve"> is budgeted in the next biennium at the same level as the 2014/15 Approved Budget.</w:t>
      </w:r>
    </w:p>
    <w:p w14:paraId="778C3804" w14:textId="77777777" w:rsidR="00B67D0A" w:rsidRPr="00197F86" w:rsidRDefault="00B67D0A" w:rsidP="00F02301">
      <w:pPr>
        <w:jc w:val="both"/>
        <w:rPr>
          <w:rFonts w:ascii="Arial" w:hAnsi="Arial" w:cs="Arial"/>
          <w:bCs/>
          <w:sz w:val="20"/>
        </w:rPr>
      </w:pPr>
    </w:p>
    <w:p w14:paraId="594DE4B1" w14:textId="112CBF41" w:rsidR="00B67D0A" w:rsidRDefault="00C614B4" w:rsidP="00B66A4A">
      <w:pPr>
        <w:pStyle w:val="ListParagraph"/>
        <w:widowControl w:val="0"/>
        <w:numPr>
          <w:ilvl w:val="0"/>
          <w:numId w:val="33"/>
        </w:numPr>
        <w:tabs>
          <w:tab w:val="left" w:pos="567"/>
        </w:tabs>
        <w:ind w:left="0" w:firstLine="0"/>
        <w:jc w:val="both"/>
        <w:rPr>
          <w:rFonts w:ascii="Arial" w:hAnsi="Arial" w:cs="Arial"/>
          <w:bCs/>
          <w:sz w:val="20"/>
        </w:rPr>
      </w:pPr>
      <w:r>
        <w:rPr>
          <w:rFonts w:ascii="Arial" w:hAnsi="Arial" w:cs="Arial"/>
          <w:bCs/>
          <w:sz w:val="20"/>
        </w:rPr>
        <w:t>O</w:t>
      </w:r>
      <w:r w:rsidR="00B67D0A" w:rsidRPr="002D7C1A">
        <w:rPr>
          <w:rFonts w:ascii="Arial" w:hAnsi="Arial" w:cs="Arial"/>
          <w:bCs/>
          <w:sz w:val="20"/>
        </w:rPr>
        <w:t>verall income levels have continued to increas</w:t>
      </w:r>
      <w:r w:rsidR="00B67D0A">
        <w:rPr>
          <w:rFonts w:ascii="Arial" w:hAnsi="Arial" w:cs="Arial"/>
          <w:bCs/>
          <w:sz w:val="20"/>
        </w:rPr>
        <w:t>e steadily over the past decade as illustrated in Chart 1 below.</w:t>
      </w:r>
    </w:p>
    <w:p w14:paraId="0E32C2B3" w14:textId="77777777" w:rsidR="00B67D0A" w:rsidRPr="00DE3C44" w:rsidRDefault="00B67D0A" w:rsidP="00F02301">
      <w:pPr>
        <w:jc w:val="center"/>
        <w:rPr>
          <w:rFonts w:ascii="Arial" w:hAnsi="Arial"/>
          <w:sz w:val="20"/>
        </w:rPr>
      </w:pPr>
    </w:p>
    <w:p w14:paraId="4C6400CD" w14:textId="340592D9" w:rsidR="00B67D0A" w:rsidRPr="00B67D0A" w:rsidRDefault="005412E8" w:rsidP="00F02301">
      <w:pPr>
        <w:keepNext/>
        <w:keepLines/>
        <w:jc w:val="center"/>
        <w:rPr>
          <w:rFonts w:ascii="Arial" w:hAnsi="Arial" w:cs="Arial"/>
          <w:b/>
          <w:sz w:val="20"/>
          <w:szCs w:val="16"/>
        </w:rPr>
      </w:pPr>
      <w:r>
        <w:rPr>
          <w:rFonts w:ascii="Arial" w:hAnsi="Arial" w:cs="Arial"/>
          <w:b/>
          <w:sz w:val="20"/>
          <w:szCs w:val="16"/>
        </w:rPr>
        <w:t xml:space="preserve">Chart 1.  </w:t>
      </w:r>
      <w:r w:rsidR="00B67D0A" w:rsidRPr="00B67D0A">
        <w:rPr>
          <w:rFonts w:ascii="Arial" w:hAnsi="Arial" w:cs="Arial"/>
          <w:b/>
          <w:sz w:val="20"/>
          <w:szCs w:val="16"/>
        </w:rPr>
        <w:t>Evolution of Income from 1990/91 to 2016/17*</w:t>
      </w:r>
    </w:p>
    <w:p w14:paraId="337FA605" w14:textId="77777777" w:rsidR="00B67D0A" w:rsidRDefault="00B67D0A" w:rsidP="00F02301">
      <w:pPr>
        <w:keepNext/>
        <w:keepLines/>
        <w:jc w:val="center"/>
        <w:rPr>
          <w:rFonts w:ascii="Arial" w:hAnsi="Arial" w:cs="Arial"/>
          <w:sz w:val="18"/>
          <w:szCs w:val="18"/>
        </w:rPr>
      </w:pPr>
    </w:p>
    <w:p w14:paraId="4310D6B9" w14:textId="485100AC" w:rsidR="00B67D0A" w:rsidRPr="00287707" w:rsidRDefault="00AE1093" w:rsidP="009D5750">
      <w:pPr>
        <w:keepNext/>
        <w:keepLines/>
        <w:rPr>
          <w:rFonts w:ascii="Arial" w:hAnsi="Arial" w:cs="Arial"/>
          <w:bCs/>
          <w:sz w:val="20"/>
        </w:rPr>
      </w:pPr>
      <w:r>
        <w:rPr>
          <w:rFonts w:ascii="Arial" w:hAnsi="Arial" w:cs="Arial"/>
          <w:bCs/>
          <w:noProof/>
          <w:sz w:val="20"/>
          <w:lang w:eastAsia="en-US"/>
        </w:rPr>
        <w:drawing>
          <wp:inline distT="0" distB="0" distL="0" distR="0" wp14:anchorId="67722740" wp14:editId="459E2FE8">
            <wp:extent cx="5676405" cy="3409529"/>
            <wp:effectExtent l="0" t="0" r="635" b="63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1790" cy="3412763"/>
                    </a:xfrm>
                    <a:prstGeom prst="rect">
                      <a:avLst/>
                    </a:prstGeom>
                    <a:noFill/>
                  </pic:spPr>
                </pic:pic>
              </a:graphicData>
            </a:graphic>
          </wp:inline>
        </w:drawing>
      </w:r>
    </w:p>
    <w:p w14:paraId="780A46ED" w14:textId="77777777" w:rsidR="00B67D0A" w:rsidRPr="000F2480" w:rsidRDefault="00B67D0A" w:rsidP="00F02301">
      <w:pPr>
        <w:keepNext/>
        <w:keepLines/>
        <w:widowControl w:val="0"/>
        <w:rPr>
          <w:rFonts w:ascii="Arial" w:hAnsi="Arial" w:cs="Arial"/>
          <w:i/>
          <w:sz w:val="16"/>
          <w:szCs w:val="16"/>
        </w:rPr>
      </w:pPr>
      <w:r>
        <w:rPr>
          <w:rFonts w:ascii="Arial" w:hAnsi="Arial" w:cs="Arial"/>
          <w:i/>
          <w:sz w:val="16"/>
          <w:szCs w:val="16"/>
        </w:rPr>
        <w:tab/>
      </w:r>
      <w:r w:rsidRPr="000F2480">
        <w:rPr>
          <w:rFonts w:ascii="Arial" w:hAnsi="Arial" w:cs="Arial"/>
          <w:i/>
          <w:sz w:val="16"/>
          <w:szCs w:val="16"/>
        </w:rPr>
        <w:t>*Figures for 201</w:t>
      </w:r>
      <w:r>
        <w:rPr>
          <w:rFonts w:ascii="Arial" w:hAnsi="Arial" w:cs="Arial"/>
          <w:i/>
          <w:sz w:val="16"/>
          <w:szCs w:val="16"/>
        </w:rPr>
        <w:t>4</w:t>
      </w:r>
      <w:r w:rsidRPr="000F2480">
        <w:rPr>
          <w:rFonts w:ascii="Arial" w:hAnsi="Arial" w:cs="Arial"/>
          <w:i/>
          <w:sz w:val="16"/>
          <w:szCs w:val="16"/>
        </w:rPr>
        <w:t>/1</w:t>
      </w:r>
      <w:r>
        <w:rPr>
          <w:rFonts w:ascii="Arial" w:hAnsi="Arial" w:cs="Arial"/>
          <w:i/>
          <w:sz w:val="16"/>
          <w:szCs w:val="16"/>
        </w:rPr>
        <w:t>5</w:t>
      </w:r>
      <w:r w:rsidRPr="000F2480">
        <w:rPr>
          <w:rFonts w:ascii="Arial" w:hAnsi="Arial" w:cs="Arial"/>
          <w:i/>
          <w:sz w:val="16"/>
          <w:szCs w:val="16"/>
        </w:rPr>
        <w:t xml:space="preserve"> and 201</w:t>
      </w:r>
      <w:r>
        <w:rPr>
          <w:rFonts w:ascii="Arial" w:hAnsi="Arial" w:cs="Arial"/>
          <w:i/>
          <w:sz w:val="16"/>
          <w:szCs w:val="16"/>
        </w:rPr>
        <w:t>6</w:t>
      </w:r>
      <w:r w:rsidRPr="000F2480">
        <w:rPr>
          <w:rFonts w:ascii="Arial" w:hAnsi="Arial" w:cs="Arial"/>
          <w:i/>
          <w:sz w:val="16"/>
          <w:szCs w:val="16"/>
        </w:rPr>
        <w:t>/1</w:t>
      </w:r>
      <w:r>
        <w:rPr>
          <w:rFonts w:ascii="Arial" w:hAnsi="Arial" w:cs="Arial"/>
          <w:i/>
          <w:sz w:val="16"/>
          <w:szCs w:val="16"/>
        </w:rPr>
        <w:t>7</w:t>
      </w:r>
      <w:r w:rsidRPr="000F2480">
        <w:rPr>
          <w:rFonts w:ascii="Arial" w:hAnsi="Arial" w:cs="Arial"/>
          <w:i/>
          <w:sz w:val="16"/>
          <w:szCs w:val="16"/>
        </w:rPr>
        <w:t xml:space="preserve"> are </w:t>
      </w:r>
      <w:r>
        <w:rPr>
          <w:rFonts w:ascii="Arial" w:hAnsi="Arial" w:cs="Arial"/>
          <w:i/>
          <w:sz w:val="16"/>
          <w:szCs w:val="16"/>
        </w:rPr>
        <w:t>budgeted income estimates</w:t>
      </w:r>
    </w:p>
    <w:p w14:paraId="3D4FFC7E" w14:textId="77777777" w:rsidR="00B67D0A" w:rsidRDefault="00B67D0A" w:rsidP="00F02301">
      <w:pPr>
        <w:widowControl w:val="0"/>
        <w:rPr>
          <w:rFonts w:ascii="Arial" w:hAnsi="Arial" w:cs="Arial"/>
        </w:rPr>
      </w:pPr>
    </w:p>
    <w:p w14:paraId="40963422" w14:textId="739D0931" w:rsidR="00B67D0A" w:rsidRDefault="00B67D0A" w:rsidP="00B66A4A">
      <w:pPr>
        <w:pStyle w:val="ListParagraph"/>
        <w:widowControl w:val="0"/>
        <w:numPr>
          <w:ilvl w:val="0"/>
          <w:numId w:val="33"/>
        </w:numPr>
        <w:tabs>
          <w:tab w:val="left" w:pos="567"/>
        </w:tabs>
        <w:ind w:left="0" w:firstLine="0"/>
        <w:jc w:val="both"/>
        <w:rPr>
          <w:rFonts w:ascii="Arial" w:hAnsi="Arial" w:cs="Arial"/>
          <w:bCs/>
          <w:sz w:val="20"/>
        </w:rPr>
      </w:pPr>
      <w:r w:rsidRPr="002D7C1A">
        <w:rPr>
          <w:rFonts w:ascii="Arial" w:hAnsi="Arial" w:cs="Arial"/>
          <w:bCs/>
          <w:sz w:val="20"/>
        </w:rPr>
        <w:t>The main source of income for the Organization remains fee</w:t>
      </w:r>
      <w:r>
        <w:rPr>
          <w:rFonts w:ascii="Arial" w:hAnsi="Arial" w:cs="Arial"/>
          <w:bCs/>
          <w:sz w:val="20"/>
        </w:rPr>
        <w:t xml:space="preserve"> income</w:t>
      </w:r>
      <w:r w:rsidRPr="002D7C1A">
        <w:rPr>
          <w:rFonts w:ascii="Arial" w:hAnsi="Arial" w:cs="Arial"/>
          <w:bCs/>
          <w:sz w:val="20"/>
        </w:rPr>
        <w:t xml:space="preserve"> from </w:t>
      </w:r>
      <w:r>
        <w:rPr>
          <w:rFonts w:ascii="Arial" w:hAnsi="Arial" w:cs="Arial"/>
          <w:bCs/>
          <w:sz w:val="20"/>
        </w:rPr>
        <w:t>its international registration services. T</w:t>
      </w:r>
      <w:r w:rsidRPr="002D7C1A">
        <w:rPr>
          <w:rFonts w:ascii="Arial" w:hAnsi="Arial" w:cs="Arial"/>
          <w:bCs/>
          <w:sz w:val="20"/>
        </w:rPr>
        <w:t xml:space="preserve">he share of fee income </w:t>
      </w:r>
      <w:r>
        <w:rPr>
          <w:rFonts w:ascii="Arial" w:hAnsi="Arial" w:cs="Arial"/>
          <w:bCs/>
          <w:sz w:val="20"/>
        </w:rPr>
        <w:t xml:space="preserve">of the Organization’s total income </w:t>
      </w:r>
      <w:r w:rsidRPr="002D7C1A">
        <w:rPr>
          <w:rFonts w:ascii="Arial" w:hAnsi="Arial" w:cs="Arial"/>
          <w:bCs/>
          <w:sz w:val="20"/>
        </w:rPr>
        <w:t xml:space="preserve">has continued to grow </w:t>
      </w:r>
      <w:r>
        <w:rPr>
          <w:rFonts w:ascii="Arial" w:hAnsi="Arial" w:cs="Arial"/>
          <w:bCs/>
          <w:sz w:val="20"/>
        </w:rPr>
        <w:t xml:space="preserve">and is estimated at </w:t>
      </w:r>
      <w:r w:rsidR="0098497F">
        <w:rPr>
          <w:rFonts w:ascii="Arial" w:hAnsi="Arial" w:cs="Arial"/>
          <w:bCs/>
          <w:sz w:val="20"/>
        </w:rPr>
        <w:t>94.5</w:t>
      </w:r>
      <w:r w:rsidR="00D123FF" w:rsidRPr="002D7C1A">
        <w:rPr>
          <w:rFonts w:ascii="Arial" w:hAnsi="Arial" w:cs="Arial"/>
          <w:bCs/>
          <w:sz w:val="20"/>
        </w:rPr>
        <w:t xml:space="preserve"> </w:t>
      </w:r>
      <w:r w:rsidRPr="002D7C1A">
        <w:rPr>
          <w:rFonts w:ascii="Arial" w:hAnsi="Arial" w:cs="Arial"/>
          <w:bCs/>
          <w:sz w:val="20"/>
        </w:rPr>
        <w:t xml:space="preserve">per cent </w:t>
      </w:r>
      <w:r>
        <w:rPr>
          <w:rFonts w:ascii="Arial" w:hAnsi="Arial" w:cs="Arial"/>
          <w:bCs/>
          <w:sz w:val="20"/>
        </w:rPr>
        <w:t>in 2016/17</w:t>
      </w:r>
      <w:r w:rsidRPr="002D7C1A">
        <w:rPr>
          <w:rFonts w:ascii="Arial" w:hAnsi="Arial" w:cs="Arial"/>
          <w:bCs/>
          <w:sz w:val="20"/>
        </w:rPr>
        <w:t xml:space="preserve"> as </w:t>
      </w:r>
      <w:r>
        <w:rPr>
          <w:rFonts w:ascii="Arial" w:hAnsi="Arial" w:cs="Arial"/>
          <w:bCs/>
          <w:sz w:val="20"/>
        </w:rPr>
        <w:t xml:space="preserve">illustrated in the </w:t>
      </w:r>
      <w:r w:rsidRPr="002D7C1A">
        <w:rPr>
          <w:rFonts w:ascii="Arial" w:hAnsi="Arial" w:cs="Arial"/>
          <w:bCs/>
          <w:sz w:val="20"/>
        </w:rPr>
        <w:t xml:space="preserve">chart below.  </w:t>
      </w:r>
    </w:p>
    <w:p w14:paraId="5D5AC555" w14:textId="77777777" w:rsidR="00B67D0A" w:rsidRDefault="00B67D0A" w:rsidP="00F02301">
      <w:pPr>
        <w:jc w:val="both"/>
        <w:rPr>
          <w:rFonts w:ascii="Arial" w:hAnsi="Arial"/>
          <w:sz w:val="20"/>
        </w:rPr>
      </w:pPr>
    </w:p>
    <w:p w14:paraId="7E512491" w14:textId="19AE20EF" w:rsidR="00B67D0A" w:rsidRPr="00B67D0A" w:rsidRDefault="005412E8" w:rsidP="00F02301">
      <w:pPr>
        <w:keepNext/>
        <w:keepLines/>
        <w:jc w:val="center"/>
        <w:rPr>
          <w:rFonts w:ascii="Arial" w:hAnsi="Arial" w:cs="Arial"/>
          <w:b/>
          <w:sz w:val="20"/>
          <w:szCs w:val="16"/>
        </w:rPr>
      </w:pPr>
      <w:r>
        <w:rPr>
          <w:rFonts w:ascii="Arial" w:hAnsi="Arial" w:cs="Arial"/>
          <w:b/>
          <w:sz w:val="20"/>
          <w:szCs w:val="16"/>
        </w:rPr>
        <w:t xml:space="preserve">Chart 2.  </w:t>
      </w:r>
      <w:r w:rsidR="00B67D0A" w:rsidRPr="00B67D0A">
        <w:rPr>
          <w:rFonts w:ascii="Arial" w:hAnsi="Arial" w:cs="Arial"/>
          <w:b/>
          <w:sz w:val="20"/>
          <w:szCs w:val="16"/>
        </w:rPr>
        <w:t>Share of Fee Income / Total Income from 2004/05 to 2016/17</w:t>
      </w:r>
    </w:p>
    <w:p w14:paraId="09F4D4F3" w14:textId="77777777" w:rsidR="00B67D0A" w:rsidRDefault="00B67D0A" w:rsidP="00F02301">
      <w:pPr>
        <w:keepNext/>
        <w:keepLines/>
        <w:jc w:val="both"/>
        <w:rPr>
          <w:rFonts w:ascii="Arial" w:hAnsi="Arial"/>
          <w:sz w:val="20"/>
        </w:rPr>
      </w:pPr>
    </w:p>
    <w:p w14:paraId="06ED99AE" w14:textId="243F695C" w:rsidR="00B67D0A" w:rsidRPr="00DE3C44" w:rsidRDefault="00544380" w:rsidP="00B30215">
      <w:pPr>
        <w:rPr>
          <w:rFonts w:ascii="Arial" w:hAnsi="Arial"/>
          <w:sz w:val="20"/>
        </w:rPr>
      </w:pPr>
      <w:r>
        <w:rPr>
          <w:rFonts w:ascii="Arial" w:hAnsi="Arial"/>
          <w:noProof/>
          <w:sz w:val="20"/>
          <w:lang w:eastAsia="en-US"/>
        </w:rPr>
        <w:drawing>
          <wp:inline distT="0" distB="0" distL="0" distR="0" wp14:anchorId="76D27E6D" wp14:editId="3EB5B953">
            <wp:extent cx="4610765" cy="2755075"/>
            <wp:effectExtent l="0" t="0" r="0" b="762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9487" t="7516" r="10475" b="9811"/>
                    <a:stretch/>
                  </pic:blipFill>
                  <pic:spPr bwMode="auto">
                    <a:xfrm>
                      <a:off x="0" y="0"/>
                      <a:ext cx="4622454" cy="2762059"/>
                    </a:xfrm>
                    <a:prstGeom prst="rect">
                      <a:avLst/>
                    </a:prstGeom>
                    <a:noFill/>
                    <a:ln>
                      <a:noFill/>
                    </a:ln>
                    <a:extLst>
                      <a:ext uri="{53640926-AAD7-44D8-BBD7-CCE9431645EC}">
                        <a14:shadowObscured xmlns:a14="http://schemas.microsoft.com/office/drawing/2010/main"/>
                      </a:ext>
                    </a:extLst>
                  </pic:spPr>
                </pic:pic>
              </a:graphicData>
            </a:graphic>
          </wp:inline>
        </w:drawing>
      </w:r>
    </w:p>
    <w:p w14:paraId="642D6E6B" w14:textId="6D0FA914" w:rsidR="00B67D0A" w:rsidRDefault="00B67D0A" w:rsidP="00B66A4A">
      <w:pPr>
        <w:pStyle w:val="ListParagraph"/>
        <w:widowControl w:val="0"/>
        <w:numPr>
          <w:ilvl w:val="0"/>
          <w:numId w:val="33"/>
        </w:numPr>
        <w:tabs>
          <w:tab w:val="left" w:pos="567"/>
        </w:tabs>
        <w:ind w:left="0" w:firstLine="0"/>
        <w:jc w:val="both"/>
        <w:rPr>
          <w:rFonts w:ascii="Arial" w:hAnsi="Arial" w:cs="Arial"/>
          <w:sz w:val="18"/>
          <w:szCs w:val="18"/>
        </w:rPr>
      </w:pPr>
      <w:r w:rsidRPr="00A63A75">
        <w:rPr>
          <w:rFonts w:ascii="Arial" w:hAnsi="Arial"/>
          <w:sz w:val="20"/>
          <w:lang w:val="en-CA"/>
        </w:rPr>
        <w:lastRenderedPageBreak/>
        <w:t>The Organization continues to rely on the PCT fees for approximately</w:t>
      </w:r>
      <w:r>
        <w:rPr>
          <w:rFonts w:ascii="Arial" w:hAnsi="Arial"/>
          <w:sz w:val="20"/>
          <w:lang w:val="en-CA"/>
        </w:rPr>
        <w:t xml:space="preserve"> 76</w:t>
      </w:r>
      <w:r w:rsidR="00466359">
        <w:rPr>
          <w:rFonts w:ascii="Arial" w:hAnsi="Arial"/>
          <w:sz w:val="20"/>
          <w:lang w:val="en-CA"/>
        </w:rPr>
        <w:t xml:space="preserve"> per cent</w:t>
      </w:r>
      <w:r>
        <w:rPr>
          <w:rFonts w:ascii="Arial" w:hAnsi="Arial"/>
          <w:sz w:val="20"/>
          <w:lang w:val="en-CA"/>
        </w:rPr>
        <w:t xml:space="preserve"> of its revenue (in</w:t>
      </w:r>
      <w:r w:rsidR="00466359">
        <w:rPr>
          <w:rFonts w:ascii="Arial" w:hAnsi="Arial"/>
          <w:sz w:val="20"/>
          <w:lang w:val="en-CA"/>
        </w:rPr>
        <w:t> </w:t>
      </w:r>
      <w:r>
        <w:rPr>
          <w:rFonts w:ascii="Arial" w:hAnsi="Arial"/>
          <w:sz w:val="20"/>
          <w:lang w:val="en-CA"/>
        </w:rPr>
        <w:t xml:space="preserve">2016/17), which is a </w:t>
      </w:r>
      <w:r w:rsidRPr="00A63A75">
        <w:rPr>
          <w:rFonts w:ascii="Arial" w:hAnsi="Arial"/>
          <w:sz w:val="20"/>
          <w:lang w:val="en-CA"/>
        </w:rPr>
        <w:t xml:space="preserve">high dependence on one income stream.  In response to this strategic risk, the Organization will continue to explore opportunities to improve financial sustainability through </w:t>
      </w:r>
      <w:r>
        <w:rPr>
          <w:rFonts w:ascii="Arial" w:hAnsi="Arial"/>
          <w:sz w:val="20"/>
          <w:lang w:val="en-CA"/>
        </w:rPr>
        <w:t xml:space="preserve">the </w:t>
      </w:r>
      <w:r w:rsidRPr="00A63A75">
        <w:rPr>
          <w:rFonts w:ascii="Arial" w:hAnsi="Arial"/>
          <w:sz w:val="20"/>
          <w:lang w:val="en-CA"/>
        </w:rPr>
        <w:t>expan</w:t>
      </w:r>
      <w:r>
        <w:rPr>
          <w:rFonts w:ascii="Arial" w:hAnsi="Arial"/>
          <w:sz w:val="20"/>
          <w:lang w:val="en-CA"/>
        </w:rPr>
        <w:t>sion</w:t>
      </w:r>
      <w:r w:rsidRPr="00A63A75">
        <w:rPr>
          <w:rFonts w:ascii="Arial" w:hAnsi="Arial"/>
          <w:sz w:val="20"/>
          <w:lang w:val="en-CA"/>
        </w:rPr>
        <w:t xml:space="preserve"> </w:t>
      </w:r>
      <w:r>
        <w:rPr>
          <w:rFonts w:ascii="Arial" w:hAnsi="Arial"/>
          <w:sz w:val="20"/>
          <w:lang w:val="en-CA"/>
        </w:rPr>
        <w:t xml:space="preserve">of </w:t>
      </w:r>
      <w:r w:rsidRPr="00A63A75">
        <w:rPr>
          <w:rFonts w:ascii="Arial" w:hAnsi="Arial"/>
          <w:sz w:val="20"/>
          <w:lang w:val="en-CA"/>
        </w:rPr>
        <w:t>other revenue streams</w:t>
      </w:r>
      <w:r>
        <w:rPr>
          <w:rFonts w:ascii="Arial" w:hAnsi="Arial"/>
          <w:sz w:val="20"/>
          <w:lang w:val="en-CA"/>
        </w:rPr>
        <w:t>, including cost recovery opportunities.</w:t>
      </w:r>
    </w:p>
    <w:p w14:paraId="3DF1E047" w14:textId="77777777" w:rsidR="00B67D0A" w:rsidRDefault="00B67D0A">
      <w:pPr>
        <w:widowControl w:val="0"/>
        <w:rPr>
          <w:rFonts w:ascii="Arial" w:hAnsi="Arial" w:cs="Arial"/>
        </w:rPr>
      </w:pPr>
    </w:p>
    <w:p w14:paraId="0335E2BB" w14:textId="4A4AC5BE" w:rsidR="00B67D0A" w:rsidRPr="00466359" w:rsidRDefault="005412E8" w:rsidP="00B30215">
      <w:pPr>
        <w:jc w:val="center"/>
        <w:rPr>
          <w:rFonts w:ascii="Arial" w:hAnsi="Arial" w:cs="Arial"/>
          <w:b/>
          <w:sz w:val="20"/>
          <w:szCs w:val="16"/>
        </w:rPr>
      </w:pPr>
      <w:r>
        <w:rPr>
          <w:rFonts w:ascii="Arial" w:hAnsi="Arial" w:cs="Arial"/>
          <w:b/>
          <w:sz w:val="20"/>
          <w:szCs w:val="16"/>
        </w:rPr>
        <w:t xml:space="preserve">Chart 3.  </w:t>
      </w:r>
      <w:r w:rsidR="00B67D0A" w:rsidRPr="00466359">
        <w:rPr>
          <w:rFonts w:ascii="Arial" w:hAnsi="Arial" w:cs="Arial"/>
          <w:b/>
          <w:sz w:val="20"/>
          <w:szCs w:val="16"/>
        </w:rPr>
        <w:t>Share of PCT Fee Income / Total Income from 2004/05 to 2016/17</w:t>
      </w:r>
    </w:p>
    <w:p w14:paraId="4547D8BB" w14:textId="77777777" w:rsidR="00B67D0A" w:rsidRPr="00851CC8" w:rsidRDefault="00B67D0A" w:rsidP="00B30215">
      <w:pPr>
        <w:widowControl w:val="0"/>
        <w:rPr>
          <w:rFonts w:ascii="Arial" w:hAnsi="Arial" w:cs="Arial"/>
          <w:sz w:val="20"/>
        </w:rPr>
      </w:pPr>
    </w:p>
    <w:p w14:paraId="70524BA2" w14:textId="1C5599B2" w:rsidR="00B67D0A" w:rsidRPr="00851CC8" w:rsidRDefault="00544380" w:rsidP="00B30215">
      <w:pPr>
        <w:keepNext/>
        <w:keepLines/>
        <w:widowControl w:val="0"/>
        <w:jc w:val="center"/>
        <w:rPr>
          <w:rFonts w:ascii="Arial" w:hAnsi="Arial" w:cs="Arial"/>
          <w:sz w:val="18"/>
        </w:rPr>
      </w:pPr>
      <w:r>
        <w:rPr>
          <w:rFonts w:ascii="Arial" w:hAnsi="Arial" w:cs="Arial"/>
          <w:noProof/>
          <w:sz w:val="18"/>
          <w:lang w:eastAsia="en-US"/>
        </w:rPr>
        <w:drawing>
          <wp:inline distT="0" distB="0" distL="0" distR="0" wp14:anchorId="38C1B348" wp14:editId="6FCD7572">
            <wp:extent cx="5035138" cy="3063833"/>
            <wp:effectExtent l="0" t="0" r="0" b="381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10421" t="6804" r="6213" b="5442"/>
                    <a:stretch/>
                  </pic:blipFill>
                  <pic:spPr bwMode="auto">
                    <a:xfrm>
                      <a:off x="0" y="0"/>
                      <a:ext cx="5039686" cy="3066601"/>
                    </a:xfrm>
                    <a:prstGeom prst="rect">
                      <a:avLst/>
                    </a:prstGeom>
                    <a:noFill/>
                    <a:ln>
                      <a:noFill/>
                    </a:ln>
                    <a:extLst>
                      <a:ext uri="{53640926-AAD7-44D8-BBD7-CCE9431645EC}">
                        <a14:shadowObscured xmlns:a14="http://schemas.microsoft.com/office/drawing/2010/main"/>
                      </a:ext>
                    </a:extLst>
                  </pic:spPr>
                </pic:pic>
              </a:graphicData>
            </a:graphic>
          </wp:inline>
        </w:drawing>
      </w:r>
    </w:p>
    <w:p w14:paraId="202C848F" w14:textId="77777777" w:rsidR="00B67D0A" w:rsidRDefault="00B67D0A" w:rsidP="00466359">
      <w:pPr>
        <w:keepNext/>
        <w:keepLines/>
        <w:widowControl w:val="0"/>
        <w:rPr>
          <w:rFonts w:ascii="Arial" w:hAnsi="Arial" w:cs="Arial"/>
        </w:rPr>
      </w:pPr>
    </w:p>
    <w:p w14:paraId="67EFAC05" w14:textId="0192B285" w:rsidR="000404F6" w:rsidRDefault="00B67D0A" w:rsidP="00F02301">
      <w:pPr>
        <w:widowControl w:val="0"/>
        <w:tabs>
          <w:tab w:val="num" w:pos="690"/>
        </w:tabs>
        <w:rPr>
          <w:rFonts w:ascii="Arial" w:hAnsi="Arial"/>
          <w:caps/>
          <w:sz w:val="20"/>
        </w:rPr>
      </w:pPr>
      <w:bookmarkStart w:id="12" w:name="_Toc310950755"/>
      <w:bookmarkStart w:id="13" w:name="_Toc367350565"/>
      <w:r w:rsidRPr="00F310F2">
        <w:rPr>
          <w:rFonts w:ascii="Arial" w:hAnsi="Arial"/>
          <w:sz w:val="20"/>
        </w:rPr>
        <w:t xml:space="preserve">The income estimates by Union </w:t>
      </w:r>
      <w:r w:rsidR="00D123FF">
        <w:rPr>
          <w:rFonts w:ascii="Arial" w:hAnsi="Arial"/>
          <w:sz w:val="20"/>
        </w:rPr>
        <w:t>are</w:t>
      </w:r>
      <w:r w:rsidR="00D123FF" w:rsidRPr="00F310F2">
        <w:rPr>
          <w:rFonts w:ascii="Arial" w:hAnsi="Arial"/>
          <w:sz w:val="20"/>
        </w:rPr>
        <w:t xml:space="preserve"> </w:t>
      </w:r>
      <w:r w:rsidRPr="00F310F2">
        <w:rPr>
          <w:rFonts w:ascii="Arial" w:hAnsi="Arial"/>
          <w:sz w:val="20"/>
        </w:rPr>
        <w:t xml:space="preserve">contained in </w:t>
      </w:r>
      <w:r>
        <w:rPr>
          <w:rFonts w:ascii="Arial" w:hAnsi="Arial"/>
          <w:sz w:val="20"/>
        </w:rPr>
        <w:t>A</w:t>
      </w:r>
      <w:r w:rsidRPr="00F310F2">
        <w:rPr>
          <w:rFonts w:ascii="Arial" w:hAnsi="Arial"/>
          <w:sz w:val="20"/>
        </w:rPr>
        <w:t>nnex</w:t>
      </w:r>
      <w:r w:rsidRPr="00F310F2">
        <w:rPr>
          <w:rFonts w:ascii="Arial" w:hAnsi="Arial"/>
          <w:caps/>
          <w:sz w:val="20"/>
        </w:rPr>
        <w:t xml:space="preserve"> </w:t>
      </w:r>
      <w:r w:rsidR="00BD5F3D">
        <w:rPr>
          <w:rFonts w:ascii="Arial" w:hAnsi="Arial"/>
          <w:caps/>
          <w:sz w:val="20"/>
        </w:rPr>
        <w:t>III</w:t>
      </w:r>
      <w:r w:rsidR="00A1518B">
        <w:rPr>
          <w:rFonts w:ascii="Arial" w:hAnsi="Arial"/>
          <w:caps/>
          <w:sz w:val="20"/>
        </w:rPr>
        <w:t>.</w:t>
      </w:r>
    </w:p>
    <w:p w14:paraId="73D75694" w14:textId="64D929D2" w:rsidR="000404F6" w:rsidRDefault="000404F6">
      <w:pPr>
        <w:rPr>
          <w:rFonts w:ascii="Arial" w:hAnsi="Arial"/>
          <w:caps/>
          <w:sz w:val="20"/>
        </w:rPr>
      </w:pPr>
    </w:p>
    <w:p w14:paraId="4659E428" w14:textId="77777777" w:rsidR="00466359" w:rsidRDefault="00466359" w:rsidP="00F02301">
      <w:pPr>
        <w:widowControl w:val="0"/>
        <w:tabs>
          <w:tab w:val="num" w:pos="690"/>
        </w:tabs>
        <w:rPr>
          <w:rFonts w:ascii="Arial" w:hAnsi="Arial"/>
          <w:caps/>
          <w:sz w:val="20"/>
        </w:rPr>
      </w:pPr>
    </w:p>
    <w:p w14:paraId="5DC81764" w14:textId="77777777" w:rsidR="00F5497C" w:rsidRDefault="00F5497C" w:rsidP="00F02301">
      <w:pPr>
        <w:widowControl w:val="0"/>
        <w:tabs>
          <w:tab w:val="num" w:pos="690"/>
        </w:tabs>
        <w:rPr>
          <w:rFonts w:ascii="Arial" w:eastAsia="SimSun" w:hAnsi="Arial" w:cs="Arial"/>
          <w:b/>
          <w:color w:val="000000"/>
          <w:sz w:val="20"/>
          <w:highlight w:val="yellow"/>
          <w:lang w:eastAsia="zh-CN"/>
        </w:rPr>
        <w:sectPr w:rsidR="00F5497C" w:rsidSect="00160A9E">
          <w:headerReference w:type="even" r:id="rId23"/>
          <w:pgSz w:w="11907" w:h="16839" w:code="9"/>
          <w:pgMar w:top="624" w:right="1418" w:bottom="1361" w:left="1418" w:header="567" w:footer="851" w:gutter="0"/>
          <w:pgNumType w:start="3"/>
          <w:cols w:space="720"/>
          <w:docGrid w:linePitch="360"/>
        </w:sectPr>
      </w:pPr>
    </w:p>
    <w:p w14:paraId="66DC0292" w14:textId="2BF657B3" w:rsidR="00F5497C" w:rsidRPr="00F5497C" w:rsidRDefault="00F5497C" w:rsidP="00F5497C">
      <w:pPr>
        <w:widowControl w:val="0"/>
        <w:tabs>
          <w:tab w:val="num" w:pos="690"/>
        </w:tabs>
        <w:jc w:val="center"/>
        <w:rPr>
          <w:rFonts w:ascii="Arial" w:eastAsia="SimSun" w:hAnsi="Arial" w:cs="Arial"/>
          <w:b/>
          <w:color w:val="000000"/>
          <w:sz w:val="18"/>
          <w:lang w:eastAsia="zh-CN"/>
        </w:rPr>
      </w:pPr>
      <w:r w:rsidRPr="00F5497C">
        <w:rPr>
          <w:rFonts w:ascii="Arial" w:eastAsia="SimSun" w:hAnsi="Arial" w:cs="Arial"/>
          <w:b/>
          <w:color w:val="000000"/>
          <w:sz w:val="20"/>
          <w:lang w:eastAsia="zh-CN"/>
        </w:rPr>
        <w:lastRenderedPageBreak/>
        <w:t>RESULTS FRAMEWORK AND PROGRAM AND BUDGET 2016/17 INCLUDING DEVELOPMENT SHARE BY RESULT</w:t>
      </w:r>
      <w:r>
        <w:rPr>
          <w:rFonts w:ascii="Arial" w:eastAsia="SimSun" w:hAnsi="Arial" w:cs="Arial"/>
          <w:b/>
          <w:color w:val="000000"/>
          <w:sz w:val="20"/>
          <w:lang w:eastAsia="zh-CN"/>
        </w:rPr>
        <w:br/>
      </w:r>
      <w:r w:rsidRPr="00F5497C">
        <w:rPr>
          <w:rFonts w:ascii="Arial" w:eastAsia="SimSun" w:hAnsi="Arial" w:cs="Arial"/>
          <w:b/>
          <w:color w:val="000000"/>
          <w:sz w:val="18"/>
          <w:lang w:eastAsia="zh-CN"/>
        </w:rPr>
        <w:t xml:space="preserve"> (in thousands of Swiss francs)</w:t>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5497C" w:rsidRPr="0006760A" w14:paraId="23DB4BBF" w14:textId="77777777" w:rsidTr="009D7A18">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14:paraId="2384E062"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Mainstreaming Strategic Goal III - Facilitating the Use of IP for Development &amp; Development Agenda</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3BA0D36A" w14:textId="2904AED7" w:rsidR="00F5497C" w:rsidRPr="0006760A" w:rsidRDefault="00F5497C" w:rsidP="00A74116">
            <w:pPr>
              <w:tabs>
                <w:tab w:val="right" w:pos="2835"/>
              </w:tabs>
              <w:jc w:val="center"/>
              <w:rPr>
                <w:rFonts w:ascii="Arial" w:hAnsi="Arial" w:cs="Arial"/>
                <w:b/>
                <w:bCs/>
                <w:sz w:val="16"/>
                <w:szCs w:val="16"/>
              </w:rPr>
            </w:pPr>
            <w:r w:rsidRPr="0006760A">
              <w:rPr>
                <w:rFonts w:ascii="Arial" w:hAnsi="Arial" w:cs="Arial"/>
                <w:b/>
                <w:bCs/>
                <w:sz w:val="16"/>
                <w:szCs w:val="16"/>
              </w:rPr>
              <w:t>Strategic Goal VIII</w:t>
            </w:r>
            <w:r w:rsidR="00A74116">
              <w:rPr>
                <w:rFonts w:ascii="Arial" w:hAnsi="Arial" w:cs="Arial"/>
                <w:b/>
                <w:bCs/>
                <w:sz w:val="16"/>
                <w:szCs w:val="16"/>
              </w:rPr>
              <w:t>:</w:t>
            </w:r>
            <w:r w:rsidRPr="0006760A">
              <w:rPr>
                <w:rFonts w:ascii="Arial" w:hAnsi="Arial" w:cs="Arial"/>
                <w:b/>
                <w:bCs/>
                <w:sz w:val="16"/>
                <w:szCs w:val="16"/>
              </w:rPr>
              <w:t xml:space="preserve"> A Responsive Communications Interface between WIPO, its Member States and All Stakeholders</w:t>
            </w:r>
          </w:p>
        </w:tc>
      </w:tr>
      <w:tr w:rsidR="00F5497C" w:rsidRPr="0006760A" w14:paraId="6A6815D2"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2EF5A7BE"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vAlign w:val="center"/>
          </w:tcPr>
          <w:p w14:paraId="2130F732" w14:textId="77777777" w:rsidR="00F5497C" w:rsidRPr="0006760A" w:rsidRDefault="00F5497C" w:rsidP="009D7A18">
            <w:pPr>
              <w:tabs>
                <w:tab w:val="right" w:pos="2835"/>
              </w:tabs>
              <w:jc w:val="center"/>
              <w:rPr>
                <w:rFonts w:ascii="Arial" w:hAnsi="Arial" w:cs="Arial"/>
                <w:sz w:val="15"/>
                <w:szCs w:val="15"/>
              </w:rPr>
            </w:pPr>
            <w:r w:rsidRPr="0006760A">
              <w:rPr>
                <w:rFonts w:ascii="Arial" w:hAnsi="Arial" w:cs="Arial"/>
                <w:sz w:val="15"/>
                <w:szCs w:val="15"/>
              </w:rPr>
              <w:t> </w:t>
            </w:r>
          </w:p>
        </w:tc>
        <w:tc>
          <w:tcPr>
            <w:tcW w:w="3041" w:type="dxa"/>
            <w:tcBorders>
              <w:top w:val="nil"/>
              <w:left w:val="nil"/>
              <w:bottom w:val="nil"/>
              <w:right w:val="nil"/>
            </w:tcBorders>
            <w:shd w:val="clear" w:color="auto" w:fill="auto"/>
            <w:vAlign w:val="center"/>
          </w:tcPr>
          <w:p w14:paraId="6E880477" w14:textId="77777777" w:rsidR="00F5497C" w:rsidRPr="0006760A" w:rsidRDefault="00F5497C" w:rsidP="009D7A18">
            <w:pPr>
              <w:tabs>
                <w:tab w:val="right" w:pos="2835"/>
              </w:tabs>
              <w:rPr>
                <w:rFonts w:ascii="Arial" w:hAnsi="Arial" w:cs="Arial"/>
                <w:sz w:val="14"/>
                <w:szCs w:val="14"/>
              </w:rPr>
            </w:pPr>
          </w:p>
          <w:p w14:paraId="7320381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VIII.1. More effective communication to a broad public about intellectual property and WIPO’s role</w:t>
            </w:r>
          </w:p>
          <w:p w14:paraId="3615F6DF" w14:textId="77777777" w:rsidR="00F5497C" w:rsidRPr="0006760A" w:rsidRDefault="00F5497C" w:rsidP="009D7A18">
            <w:pPr>
              <w:tabs>
                <w:tab w:val="left" w:pos="335"/>
                <w:tab w:val="right" w:pos="2173"/>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 xml:space="preserve">:   </w:t>
            </w:r>
            <w:r w:rsidRPr="0006760A">
              <w:rPr>
                <w:rFonts w:ascii="Arial" w:hAnsi="Arial" w:cs="Arial"/>
                <w:i/>
                <w:iCs/>
                <w:sz w:val="14"/>
                <w:szCs w:val="14"/>
              </w:rPr>
              <w:tab/>
            </w:r>
            <w:r>
              <w:rPr>
                <w:rFonts w:ascii="Arial" w:hAnsi="Arial" w:cs="Arial"/>
                <w:i/>
                <w:iCs/>
                <w:sz w:val="14"/>
                <w:szCs w:val="14"/>
              </w:rPr>
              <w:t>12,033</w:t>
            </w:r>
          </w:p>
          <w:p w14:paraId="03AC9B5D" w14:textId="77777777" w:rsidR="00F5497C" w:rsidRPr="0006760A" w:rsidRDefault="00F5497C" w:rsidP="009D7A18">
            <w:pPr>
              <w:tabs>
                <w:tab w:val="left" w:pos="348"/>
                <w:tab w:val="right" w:pos="2173"/>
              </w:tabs>
              <w:rPr>
                <w:rFonts w:ascii="Arial" w:hAnsi="Arial" w:cs="Arial"/>
                <w:i/>
                <w:iCs/>
                <w:color w:val="0000FF"/>
                <w:sz w:val="14"/>
                <w:szCs w:val="14"/>
              </w:rPr>
            </w:pPr>
            <w:r>
              <w:rPr>
                <w:rFonts w:ascii="Arial" w:hAnsi="Arial" w:cs="Arial"/>
                <w:i/>
                <w:iCs/>
                <w:color w:val="0000FF"/>
                <w:sz w:val="14"/>
                <w:szCs w:val="14"/>
              </w:rPr>
              <w:tab/>
              <w:t>Development share:           4,268</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p w14:paraId="0FD0E3CE" w14:textId="77777777" w:rsidR="00F5497C" w:rsidRPr="0006760A" w:rsidRDefault="00F5497C" w:rsidP="009D7A18">
            <w:pPr>
              <w:tabs>
                <w:tab w:val="right" w:pos="2835"/>
              </w:tabs>
              <w:rPr>
                <w:rFonts w:ascii="Arial" w:hAnsi="Arial" w:cs="Arial"/>
                <w:sz w:val="14"/>
                <w:szCs w:val="14"/>
              </w:rPr>
            </w:pPr>
          </w:p>
        </w:tc>
        <w:tc>
          <w:tcPr>
            <w:tcW w:w="3042" w:type="dxa"/>
            <w:tcBorders>
              <w:top w:val="nil"/>
              <w:left w:val="nil"/>
              <w:bottom w:val="nil"/>
              <w:right w:val="nil"/>
            </w:tcBorders>
            <w:shd w:val="clear" w:color="auto" w:fill="auto"/>
          </w:tcPr>
          <w:p w14:paraId="5BBFFEF8" w14:textId="77777777" w:rsidR="00F5497C" w:rsidRPr="0006760A" w:rsidRDefault="00F5497C" w:rsidP="009D7A18">
            <w:pPr>
              <w:tabs>
                <w:tab w:val="right" w:pos="2835"/>
              </w:tabs>
              <w:rPr>
                <w:rFonts w:ascii="Arial" w:hAnsi="Arial" w:cs="Arial"/>
                <w:sz w:val="14"/>
                <w:szCs w:val="14"/>
              </w:rPr>
            </w:pPr>
          </w:p>
          <w:p w14:paraId="6FA56594"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VIII.2. Improved service orientation and responsiveness to inquiries</w:t>
            </w:r>
          </w:p>
          <w:p w14:paraId="3736D7C7" w14:textId="77777777" w:rsidR="00F5497C" w:rsidRPr="0006760A" w:rsidRDefault="00F5497C" w:rsidP="009D7A18">
            <w:pPr>
              <w:tabs>
                <w:tab w:val="left" w:pos="325"/>
                <w:tab w:val="right" w:pos="2040"/>
              </w:tabs>
              <w:rPr>
                <w:rFonts w:ascii="Arial" w:hAnsi="Arial" w:cs="Arial"/>
                <w:i/>
                <w:iCs/>
                <w:sz w:val="14"/>
                <w:szCs w:val="14"/>
              </w:rPr>
            </w:pPr>
            <w:r w:rsidRPr="0006760A">
              <w:rPr>
                <w:rFonts w:ascii="Arial" w:hAnsi="Arial" w:cs="Arial"/>
                <w:i/>
                <w:iCs/>
                <w:sz w:val="14"/>
                <w:szCs w:val="14"/>
              </w:rPr>
              <w:tab/>
            </w:r>
          </w:p>
          <w:p w14:paraId="4E00AE41" w14:textId="77777777" w:rsidR="00F5497C" w:rsidRPr="0006760A" w:rsidRDefault="00F5497C" w:rsidP="009D7A18">
            <w:pPr>
              <w:tabs>
                <w:tab w:val="left" w:pos="325"/>
                <w:tab w:val="right" w:pos="2189"/>
              </w:tabs>
              <w:rPr>
                <w:rFonts w:ascii="Arial" w:hAnsi="Arial" w:cs="Arial"/>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 xml:space="preserve">:  </w:t>
            </w:r>
            <w:r w:rsidRPr="0006760A">
              <w:rPr>
                <w:rFonts w:ascii="Arial" w:hAnsi="Arial" w:cs="Arial"/>
                <w:i/>
                <w:iCs/>
                <w:sz w:val="14"/>
                <w:szCs w:val="14"/>
              </w:rPr>
              <w:tab/>
            </w:r>
            <w:r>
              <w:rPr>
                <w:rFonts w:ascii="Arial" w:hAnsi="Arial" w:cs="Arial"/>
                <w:i/>
                <w:iCs/>
                <w:sz w:val="14"/>
                <w:szCs w:val="14"/>
              </w:rPr>
              <w:t>6,219</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2,779</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tc>
        <w:tc>
          <w:tcPr>
            <w:tcW w:w="3041" w:type="dxa"/>
            <w:tcBorders>
              <w:top w:val="nil"/>
              <w:left w:val="nil"/>
              <w:bottom w:val="nil"/>
              <w:right w:val="nil"/>
            </w:tcBorders>
            <w:shd w:val="clear" w:color="auto" w:fill="auto"/>
          </w:tcPr>
          <w:p w14:paraId="0B29DFF7" w14:textId="77777777" w:rsidR="00F5497C" w:rsidRPr="0006760A" w:rsidRDefault="00F5497C" w:rsidP="009D7A18">
            <w:pPr>
              <w:tabs>
                <w:tab w:val="right" w:pos="2835"/>
              </w:tabs>
              <w:rPr>
                <w:rFonts w:ascii="Arial" w:hAnsi="Arial" w:cs="Arial"/>
                <w:sz w:val="14"/>
                <w:szCs w:val="14"/>
              </w:rPr>
            </w:pPr>
          </w:p>
          <w:p w14:paraId="6081ACDE"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VIII.3. Effective engagement with Member States</w:t>
            </w:r>
          </w:p>
          <w:p w14:paraId="69D1ABF2" w14:textId="77777777" w:rsidR="00F5497C" w:rsidRPr="0006760A" w:rsidRDefault="00F5497C" w:rsidP="009D7A18">
            <w:pPr>
              <w:tabs>
                <w:tab w:val="left" w:pos="378"/>
                <w:tab w:val="right" w:pos="2040"/>
              </w:tabs>
              <w:rPr>
                <w:rFonts w:ascii="Arial" w:hAnsi="Arial" w:cs="Arial"/>
                <w:i/>
                <w:iCs/>
                <w:sz w:val="14"/>
                <w:szCs w:val="14"/>
              </w:rPr>
            </w:pPr>
            <w:r w:rsidRPr="0006760A">
              <w:rPr>
                <w:rFonts w:ascii="Arial" w:hAnsi="Arial" w:cs="Arial"/>
                <w:i/>
                <w:iCs/>
                <w:sz w:val="14"/>
                <w:szCs w:val="14"/>
              </w:rPr>
              <w:tab/>
            </w:r>
          </w:p>
          <w:p w14:paraId="2BBE40F3" w14:textId="77777777" w:rsidR="00F5497C" w:rsidRPr="0006760A" w:rsidRDefault="00F5497C" w:rsidP="009D7A18">
            <w:pPr>
              <w:tabs>
                <w:tab w:val="left" w:pos="378"/>
                <w:tab w:val="right" w:pos="2040"/>
              </w:tabs>
              <w:rPr>
                <w:rFonts w:ascii="Arial" w:hAnsi="Arial" w:cs="Arial"/>
                <w:i/>
                <w:iCs/>
                <w:sz w:val="14"/>
                <w:szCs w:val="14"/>
              </w:rPr>
            </w:pPr>
            <w:r w:rsidRPr="0006760A">
              <w:rPr>
                <w:rFonts w:ascii="Arial" w:hAnsi="Arial" w:cs="Arial"/>
                <w:i/>
                <w:iCs/>
                <w:sz w:val="14"/>
                <w:szCs w:val="14"/>
              </w:rPr>
              <w:tab/>
            </w:r>
          </w:p>
          <w:p w14:paraId="3CCE828B" w14:textId="77777777" w:rsidR="00F5497C" w:rsidRPr="0006760A" w:rsidRDefault="00F5497C" w:rsidP="009D7A18">
            <w:pPr>
              <w:tabs>
                <w:tab w:val="left" w:pos="378"/>
                <w:tab w:val="right" w:pos="220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 xml:space="preserve">16/17: </w:t>
            </w:r>
            <w:r>
              <w:rPr>
                <w:rFonts w:ascii="Arial" w:hAnsi="Arial" w:cs="Arial"/>
                <w:i/>
                <w:iCs/>
                <w:sz w:val="14"/>
                <w:szCs w:val="14"/>
              </w:rPr>
              <w:tab/>
              <w:t>7,099</w:t>
            </w:r>
            <w:r>
              <w:rPr>
                <w:rFonts w:ascii="Arial" w:hAnsi="Arial" w:cs="Arial"/>
                <w:i/>
                <w:iCs/>
                <w:sz w:val="14"/>
                <w:szCs w:val="14"/>
              </w:rPr>
              <w:tab/>
            </w:r>
          </w:p>
          <w:p w14:paraId="5972E749" w14:textId="77777777" w:rsidR="00F5497C" w:rsidRPr="0006760A" w:rsidRDefault="00F5497C" w:rsidP="009D7A18">
            <w:pPr>
              <w:tabs>
                <w:tab w:val="left" w:pos="353"/>
                <w:tab w:val="right" w:pos="1938"/>
              </w:tabs>
              <w:rPr>
                <w:rFonts w:ascii="Arial" w:hAnsi="Arial" w:cs="Arial"/>
                <w:color w:val="000000"/>
                <w:sz w:val="14"/>
                <w:szCs w:val="14"/>
              </w:rPr>
            </w:pPr>
            <w:r w:rsidRPr="0006760A">
              <w:rPr>
                <w:rFonts w:ascii="Arial" w:hAnsi="Arial" w:cs="Arial"/>
                <w:i/>
                <w:iCs/>
                <w:color w:val="0000FF"/>
                <w:sz w:val="14"/>
                <w:szCs w:val="14"/>
              </w:rPr>
              <w:tab/>
              <w:t xml:space="preserve">Development share : </w:t>
            </w:r>
            <w:r w:rsidRPr="0006760A">
              <w:rPr>
                <w:rFonts w:ascii="Arial" w:hAnsi="Arial" w:cs="Arial"/>
                <w:i/>
                <w:iCs/>
                <w:color w:val="0000FF"/>
                <w:sz w:val="14"/>
                <w:szCs w:val="14"/>
              </w:rPr>
              <w:tab/>
            </w:r>
            <w:r>
              <w:rPr>
                <w:rFonts w:ascii="Arial" w:hAnsi="Arial" w:cs="Arial"/>
                <w:i/>
                <w:iCs/>
                <w:color w:val="0000FF"/>
                <w:sz w:val="14"/>
                <w:szCs w:val="14"/>
              </w:rPr>
              <w:t xml:space="preserve">            </w:t>
            </w:r>
            <w:r w:rsidRPr="0006760A">
              <w:rPr>
                <w:rFonts w:ascii="Arial" w:hAnsi="Arial" w:cs="Arial"/>
                <w:i/>
                <w:iCs/>
                <w:color w:val="0000FF"/>
                <w:sz w:val="14"/>
                <w:szCs w:val="14"/>
              </w:rPr>
              <w:t xml:space="preserve"> </w:t>
            </w:r>
            <w:r>
              <w:rPr>
                <w:rFonts w:ascii="Arial" w:hAnsi="Arial" w:cs="Arial"/>
                <w:i/>
                <w:iCs/>
                <w:color w:val="0000FF"/>
                <w:sz w:val="14"/>
                <w:szCs w:val="14"/>
              </w:rPr>
              <w:t>-</w:t>
            </w:r>
            <w:r w:rsidRPr="0006760A">
              <w:rPr>
                <w:rFonts w:ascii="Arial" w:hAnsi="Arial" w:cs="Arial"/>
                <w:i/>
                <w:iCs/>
                <w:color w:val="0000FF"/>
                <w:sz w:val="14"/>
                <w:szCs w:val="14"/>
              </w:rPr>
              <w:t xml:space="preserve">               </w:t>
            </w:r>
          </w:p>
        </w:tc>
        <w:tc>
          <w:tcPr>
            <w:tcW w:w="3040" w:type="dxa"/>
            <w:tcBorders>
              <w:top w:val="nil"/>
              <w:left w:val="nil"/>
              <w:bottom w:val="nil"/>
              <w:right w:val="nil"/>
            </w:tcBorders>
            <w:shd w:val="clear" w:color="auto" w:fill="auto"/>
          </w:tcPr>
          <w:p w14:paraId="281FBEBA" w14:textId="77777777" w:rsidR="00F5497C" w:rsidRPr="0006760A" w:rsidRDefault="00F5497C" w:rsidP="009D7A18">
            <w:pPr>
              <w:tabs>
                <w:tab w:val="right" w:pos="2835"/>
              </w:tabs>
              <w:rPr>
                <w:rFonts w:ascii="Arial" w:hAnsi="Arial" w:cs="Arial"/>
                <w:sz w:val="14"/>
                <w:szCs w:val="14"/>
              </w:rPr>
            </w:pPr>
          </w:p>
          <w:p w14:paraId="64E4ABED"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VIII.4. Open, transparent and responsive interaction with non-governmental stakeholders</w:t>
            </w:r>
          </w:p>
          <w:p w14:paraId="33A49271" w14:textId="77777777" w:rsidR="00F5497C" w:rsidRPr="0006760A" w:rsidRDefault="00F5497C" w:rsidP="009D7A18">
            <w:pPr>
              <w:tabs>
                <w:tab w:val="left" w:pos="368"/>
                <w:tab w:val="right" w:pos="2040"/>
              </w:tabs>
              <w:rPr>
                <w:rFonts w:ascii="Arial" w:hAnsi="Arial" w:cs="Arial"/>
                <w:i/>
                <w:iCs/>
                <w:sz w:val="14"/>
                <w:szCs w:val="14"/>
              </w:rPr>
            </w:pPr>
            <w:r w:rsidRPr="0006760A">
              <w:rPr>
                <w:rFonts w:ascii="Arial" w:hAnsi="Arial" w:cs="Arial"/>
                <w:i/>
                <w:iCs/>
                <w:sz w:val="14"/>
                <w:szCs w:val="14"/>
              </w:rPr>
              <w:tab/>
            </w:r>
          </w:p>
          <w:p w14:paraId="4B92CFBE" w14:textId="77777777" w:rsidR="00F5497C" w:rsidRPr="0006760A" w:rsidRDefault="00F5497C" w:rsidP="009D7A18">
            <w:pPr>
              <w:tabs>
                <w:tab w:val="left" w:pos="368"/>
                <w:tab w:val="right" w:pos="2221"/>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 xml:space="preserve">16/17:  </w:t>
            </w:r>
            <w:r>
              <w:rPr>
                <w:rFonts w:ascii="Arial" w:hAnsi="Arial" w:cs="Arial"/>
                <w:i/>
                <w:iCs/>
                <w:sz w:val="14"/>
                <w:szCs w:val="14"/>
              </w:rPr>
              <w:tab/>
              <w:t>1,128</w:t>
            </w:r>
          </w:p>
          <w:p w14:paraId="5A388BEE" w14:textId="77777777" w:rsidR="00F5497C" w:rsidRPr="0006760A" w:rsidRDefault="00F5497C" w:rsidP="009D7A18">
            <w:pPr>
              <w:tabs>
                <w:tab w:val="left" w:pos="368"/>
                <w:tab w:val="right" w:pos="1955"/>
              </w:tabs>
              <w:rPr>
                <w:rFonts w:ascii="Arial" w:hAnsi="Arial" w:cs="Arial"/>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w:t>
            </w:r>
          </w:p>
        </w:tc>
        <w:tc>
          <w:tcPr>
            <w:tcW w:w="3041" w:type="dxa"/>
            <w:tcBorders>
              <w:top w:val="nil"/>
              <w:left w:val="nil"/>
              <w:bottom w:val="nil"/>
              <w:right w:val="nil"/>
            </w:tcBorders>
            <w:shd w:val="clear" w:color="auto" w:fill="auto"/>
          </w:tcPr>
          <w:p w14:paraId="465D167B" w14:textId="77777777" w:rsidR="00F5497C" w:rsidRPr="0006760A" w:rsidRDefault="00F5497C" w:rsidP="009D7A18">
            <w:pPr>
              <w:tabs>
                <w:tab w:val="right" w:pos="2835"/>
              </w:tabs>
              <w:rPr>
                <w:rFonts w:ascii="Arial" w:hAnsi="Arial" w:cs="Arial"/>
                <w:color w:val="000000"/>
                <w:sz w:val="14"/>
                <w:szCs w:val="14"/>
              </w:rPr>
            </w:pPr>
          </w:p>
          <w:p w14:paraId="7C345189" w14:textId="77777777" w:rsidR="00F5497C" w:rsidRPr="0006760A" w:rsidRDefault="00F5497C" w:rsidP="009D7A18">
            <w:pPr>
              <w:tabs>
                <w:tab w:val="right" w:pos="2835"/>
              </w:tabs>
              <w:spacing w:after="60"/>
              <w:rPr>
                <w:rFonts w:ascii="Arial" w:hAnsi="Arial" w:cs="Arial"/>
                <w:color w:val="000000"/>
                <w:sz w:val="14"/>
                <w:szCs w:val="14"/>
              </w:rPr>
            </w:pPr>
            <w:r w:rsidRPr="0006760A">
              <w:rPr>
                <w:rFonts w:ascii="Arial" w:hAnsi="Arial" w:cs="Arial"/>
                <w:sz w:val="14"/>
                <w:szCs w:val="14"/>
              </w:rPr>
              <w:t xml:space="preserve">VIII.5. </w:t>
            </w:r>
            <w:r w:rsidRPr="0006760A">
              <w:rPr>
                <w:rFonts w:ascii="Arial" w:hAnsi="Arial" w:cs="Arial"/>
                <w:color w:val="000000"/>
                <w:sz w:val="14"/>
                <w:szCs w:val="14"/>
              </w:rPr>
              <w:t>WIPO effectively interacts and partners with UN and other IGO processes and negotiations</w:t>
            </w:r>
          </w:p>
          <w:p w14:paraId="7E28E156" w14:textId="77777777" w:rsidR="00F5497C" w:rsidRPr="0006760A" w:rsidRDefault="00F5497C" w:rsidP="009D7A18">
            <w:pPr>
              <w:tabs>
                <w:tab w:val="left" w:pos="397"/>
                <w:tab w:val="right" w:pos="2237"/>
              </w:tabs>
              <w:rPr>
                <w:rFonts w:ascii="Arial" w:hAnsi="Arial" w:cs="Arial"/>
                <w:i/>
                <w:iCs/>
                <w:color w:val="000000"/>
                <w:sz w:val="14"/>
                <w:szCs w:val="14"/>
              </w:rPr>
            </w:pPr>
            <w:r w:rsidRPr="0006760A">
              <w:rPr>
                <w:rFonts w:ascii="Arial" w:hAnsi="Arial" w:cs="Arial"/>
                <w:i/>
                <w:iCs/>
                <w:color w:val="000000"/>
                <w:sz w:val="14"/>
                <w:szCs w:val="14"/>
              </w:rPr>
              <w:tab/>
              <w:t xml:space="preserve">Proposed Budget </w:t>
            </w:r>
            <w:r>
              <w:rPr>
                <w:rFonts w:ascii="Arial" w:hAnsi="Arial" w:cs="Arial"/>
                <w:i/>
                <w:iCs/>
                <w:sz w:val="14"/>
                <w:szCs w:val="14"/>
              </w:rPr>
              <w:t>16/17</w:t>
            </w:r>
            <w:r>
              <w:rPr>
                <w:rFonts w:ascii="Arial" w:hAnsi="Arial" w:cs="Arial"/>
                <w:i/>
                <w:iCs/>
                <w:color w:val="000000"/>
                <w:sz w:val="14"/>
                <w:szCs w:val="14"/>
              </w:rPr>
              <w:t xml:space="preserve">:  </w:t>
            </w:r>
            <w:r>
              <w:rPr>
                <w:rFonts w:ascii="Arial" w:hAnsi="Arial" w:cs="Arial"/>
                <w:i/>
                <w:iCs/>
                <w:color w:val="000000"/>
                <w:sz w:val="14"/>
                <w:szCs w:val="14"/>
              </w:rPr>
              <w:tab/>
              <w:t>6,196</w:t>
            </w:r>
          </w:p>
          <w:p w14:paraId="0159A817" w14:textId="77777777" w:rsidR="00F5497C" w:rsidRPr="0006760A" w:rsidRDefault="00F5497C" w:rsidP="009D7A18">
            <w:pPr>
              <w:tabs>
                <w:tab w:val="left" w:pos="409"/>
                <w:tab w:val="right" w:pos="2093"/>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3,784</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tc>
        <w:tc>
          <w:tcPr>
            <w:tcW w:w="3044" w:type="dxa"/>
            <w:tcBorders>
              <w:top w:val="nil"/>
              <w:left w:val="nil"/>
              <w:bottom w:val="nil"/>
              <w:right w:val="single" w:sz="4" w:space="0" w:color="auto"/>
            </w:tcBorders>
            <w:shd w:val="clear" w:color="auto" w:fill="auto"/>
            <w:vAlign w:val="bottom"/>
          </w:tcPr>
          <w:p w14:paraId="679239F8" w14:textId="77777777" w:rsidR="00F5497C" w:rsidRPr="0006760A" w:rsidRDefault="00F5497C" w:rsidP="009D7A18">
            <w:pPr>
              <w:tabs>
                <w:tab w:val="right" w:pos="2253"/>
              </w:tabs>
              <w:rPr>
                <w:rFonts w:ascii="Arial" w:hAnsi="Arial" w:cs="Arial"/>
                <w:i/>
                <w:iCs/>
                <w:sz w:val="14"/>
                <w:szCs w:val="14"/>
              </w:rPr>
            </w:pPr>
            <w:r w:rsidRPr="0006760A">
              <w:rPr>
                <w:rFonts w:ascii="Arial" w:hAnsi="Arial" w:cs="Arial"/>
                <w:i/>
                <w:iCs/>
                <w:sz w:val="14"/>
                <w:szCs w:val="14"/>
              </w:rPr>
              <w:t>Total proposed budget SG VIII:</w:t>
            </w:r>
            <w:r w:rsidRPr="0006760A">
              <w:rPr>
                <w:rFonts w:ascii="Arial" w:hAnsi="Arial" w:cs="Arial"/>
                <w:i/>
                <w:iCs/>
                <w:sz w:val="14"/>
                <w:szCs w:val="14"/>
              </w:rPr>
              <w:tab/>
              <w:t xml:space="preserve">  </w:t>
            </w:r>
            <w:r>
              <w:rPr>
                <w:rFonts w:ascii="Arial" w:hAnsi="Arial" w:cs="Arial"/>
                <w:i/>
                <w:iCs/>
                <w:sz w:val="14"/>
                <w:szCs w:val="14"/>
              </w:rPr>
              <w:t xml:space="preserve">      32,675</w:t>
            </w:r>
            <w:r w:rsidRPr="0006760A">
              <w:rPr>
                <w:rFonts w:ascii="Arial" w:hAnsi="Arial" w:cs="Arial"/>
                <w:i/>
                <w:iCs/>
                <w:sz w:val="14"/>
                <w:szCs w:val="14"/>
              </w:rPr>
              <w:t xml:space="preserve">     </w:t>
            </w:r>
            <w:r w:rsidRPr="0006760A">
              <w:rPr>
                <w:rFonts w:ascii="Arial" w:hAnsi="Arial" w:cs="Arial"/>
                <w:i/>
                <w:iCs/>
                <w:sz w:val="14"/>
                <w:szCs w:val="14"/>
              </w:rPr>
              <w:tab/>
              <w:t xml:space="preserve">   </w:t>
            </w:r>
          </w:p>
          <w:p w14:paraId="6FC6C119" w14:textId="77777777" w:rsidR="00F5497C" w:rsidRPr="0006760A" w:rsidRDefault="00F5497C" w:rsidP="009D7A18">
            <w:pPr>
              <w:tabs>
                <w:tab w:val="right" w:pos="2350"/>
              </w:tabs>
              <w:rPr>
                <w:rFonts w:ascii="Arial" w:hAnsi="Arial" w:cs="Arial"/>
                <w:i/>
                <w:iCs/>
                <w:color w:val="0000FF"/>
                <w:sz w:val="14"/>
                <w:szCs w:val="14"/>
              </w:rPr>
            </w:pPr>
            <w:r w:rsidRPr="0006760A">
              <w:rPr>
                <w:rFonts w:ascii="Arial" w:hAnsi="Arial" w:cs="Arial"/>
                <w:i/>
                <w:iCs/>
                <w:color w:val="0000FF"/>
                <w:sz w:val="14"/>
                <w:szCs w:val="14"/>
              </w:rPr>
              <w:t>Total development share SG VIII:</w:t>
            </w:r>
            <w:r w:rsidRPr="0006760A">
              <w:rPr>
                <w:rFonts w:ascii="Arial" w:hAnsi="Arial" w:cs="Arial"/>
                <w:i/>
                <w:iCs/>
                <w:color w:val="0000FF"/>
                <w:sz w:val="14"/>
                <w:szCs w:val="14"/>
              </w:rPr>
              <w:tab/>
              <w:t xml:space="preserve">    </w:t>
            </w:r>
            <w:r>
              <w:rPr>
                <w:rFonts w:ascii="Arial" w:hAnsi="Arial" w:cs="Arial"/>
                <w:i/>
                <w:iCs/>
                <w:color w:val="0000FF"/>
                <w:sz w:val="14"/>
                <w:szCs w:val="14"/>
              </w:rPr>
              <w:t>10,831</w:t>
            </w:r>
          </w:p>
          <w:p w14:paraId="36EAD7DD" w14:textId="77777777" w:rsidR="00F5497C" w:rsidRPr="0006760A" w:rsidRDefault="00F5497C" w:rsidP="009D7A18">
            <w:pPr>
              <w:tabs>
                <w:tab w:val="right" w:pos="2350"/>
              </w:tabs>
              <w:rPr>
                <w:rFonts w:ascii="Arial" w:hAnsi="Arial" w:cs="Arial"/>
                <w:i/>
                <w:iCs/>
                <w:sz w:val="14"/>
                <w:szCs w:val="14"/>
              </w:rPr>
            </w:pPr>
          </w:p>
        </w:tc>
      </w:tr>
      <w:tr w:rsidR="00F5497C" w:rsidRPr="0006760A" w14:paraId="7A76E20F" w14:textId="77777777" w:rsidTr="009D7A18">
        <w:trPr>
          <w:trHeight w:val="559"/>
        </w:trPr>
        <w:tc>
          <w:tcPr>
            <w:tcW w:w="387" w:type="dxa"/>
            <w:vMerge/>
            <w:tcBorders>
              <w:top w:val="single" w:sz="8" w:space="0" w:color="auto"/>
              <w:left w:val="single" w:sz="8" w:space="0" w:color="auto"/>
              <w:bottom w:val="single" w:sz="4" w:space="0" w:color="000000"/>
              <w:right w:val="nil"/>
            </w:tcBorders>
            <w:vAlign w:val="center"/>
          </w:tcPr>
          <w:p w14:paraId="3619FFA4" w14:textId="77777777" w:rsidR="00F5497C" w:rsidRPr="0018132B" w:rsidRDefault="00F5497C" w:rsidP="009D7A18">
            <w:pPr>
              <w:tabs>
                <w:tab w:val="right" w:pos="2835"/>
              </w:tabs>
              <w:rPr>
                <w:rFonts w:cs="Arial"/>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14:paraId="1E711511"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w:t>
            </w:r>
          </w:p>
          <w:p w14:paraId="7341E286"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Balanced Evolution of the International Normative</w:t>
            </w:r>
          </w:p>
          <w:p w14:paraId="419C151B"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Framework for IP</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1BE2925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II:</w:t>
            </w:r>
          </w:p>
          <w:p w14:paraId="5E14CBCD"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Provision of Premier</w:t>
            </w:r>
          </w:p>
          <w:p w14:paraId="5EDB5A2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Global IP Services</w:t>
            </w:r>
          </w:p>
        </w:tc>
        <w:tc>
          <w:tcPr>
            <w:tcW w:w="3042" w:type="dxa"/>
            <w:tcBorders>
              <w:top w:val="single" w:sz="4" w:space="0" w:color="auto"/>
              <w:left w:val="nil"/>
              <w:bottom w:val="single" w:sz="4" w:space="0" w:color="auto"/>
              <w:right w:val="single" w:sz="4" w:space="0" w:color="auto"/>
            </w:tcBorders>
            <w:shd w:val="clear" w:color="auto" w:fill="CCFFFF"/>
            <w:vAlign w:val="center"/>
          </w:tcPr>
          <w:p w14:paraId="201E6C7A"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III:</w:t>
            </w:r>
          </w:p>
          <w:p w14:paraId="4A3443C9"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 xml:space="preserve">Facilitating the Use of </w:t>
            </w:r>
          </w:p>
          <w:p w14:paraId="52194A1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IP for Development</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2F3C268E"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IV:</w:t>
            </w:r>
          </w:p>
          <w:p w14:paraId="319FD30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Coordination and Development of</w:t>
            </w:r>
          </w:p>
          <w:p w14:paraId="5B6F8B48"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Global IP Infrastructure</w:t>
            </w:r>
          </w:p>
        </w:tc>
        <w:tc>
          <w:tcPr>
            <w:tcW w:w="3040" w:type="dxa"/>
            <w:tcBorders>
              <w:top w:val="single" w:sz="4" w:space="0" w:color="auto"/>
              <w:left w:val="nil"/>
              <w:bottom w:val="single" w:sz="4" w:space="0" w:color="auto"/>
              <w:right w:val="single" w:sz="4" w:space="0" w:color="auto"/>
            </w:tcBorders>
            <w:shd w:val="clear" w:color="auto" w:fill="CCFFFF"/>
            <w:vAlign w:val="center"/>
          </w:tcPr>
          <w:p w14:paraId="613F3DE5"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w:t>
            </w:r>
          </w:p>
          <w:p w14:paraId="523653E1"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 xml:space="preserve">World Reference Source for </w:t>
            </w:r>
          </w:p>
          <w:p w14:paraId="093CC8D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IP Information and Analysis</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7BF19B5F"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VI:</w:t>
            </w:r>
          </w:p>
          <w:p w14:paraId="7EE27F59"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International Cooperation on</w:t>
            </w:r>
          </w:p>
          <w:p w14:paraId="523C727E"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Building Respect for IP</w:t>
            </w:r>
          </w:p>
        </w:tc>
        <w:tc>
          <w:tcPr>
            <w:tcW w:w="3044" w:type="dxa"/>
            <w:tcBorders>
              <w:top w:val="single" w:sz="4" w:space="0" w:color="auto"/>
              <w:left w:val="nil"/>
              <w:bottom w:val="single" w:sz="4" w:space="0" w:color="auto"/>
              <w:right w:val="single" w:sz="4" w:space="0" w:color="auto"/>
            </w:tcBorders>
            <w:shd w:val="clear" w:color="auto" w:fill="CCFFFF"/>
            <w:vAlign w:val="center"/>
          </w:tcPr>
          <w:p w14:paraId="74011AAC"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VII:</w:t>
            </w:r>
          </w:p>
          <w:p w14:paraId="69691C96"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Addressing IP in Relation</w:t>
            </w:r>
          </w:p>
          <w:p w14:paraId="007A9A1C"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to Global Policy Issues</w:t>
            </w:r>
          </w:p>
        </w:tc>
      </w:tr>
      <w:tr w:rsidR="00F5497C" w:rsidRPr="0006760A" w14:paraId="76D96B19" w14:textId="77777777" w:rsidTr="00D74F86">
        <w:trPr>
          <w:trHeight w:val="145"/>
        </w:trPr>
        <w:tc>
          <w:tcPr>
            <w:tcW w:w="387" w:type="dxa"/>
            <w:vMerge/>
            <w:tcBorders>
              <w:top w:val="single" w:sz="8" w:space="0" w:color="auto"/>
              <w:left w:val="single" w:sz="8" w:space="0" w:color="auto"/>
              <w:bottom w:val="single" w:sz="4" w:space="0" w:color="000000"/>
              <w:right w:val="nil"/>
            </w:tcBorders>
            <w:vAlign w:val="center"/>
          </w:tcPr>
          <w:p w14:paraId="3DCB5B00"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right w:val="nil"/>
            </w:tcBorders>
            <w:shd w:val="clear" w:color="auto" w:fill="auto"/>
          </w:tcPr>
          <w:p w14:paraId="3D6EF67A"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I.1.  Enhanced cooperation among Member States on development of balanced international normative frameworks for IP </w:t>
            </w:r>
          </w:p>
          <w:p w14:paraId="64F27A3D"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13,976</w:t>
            </w:r>
            <w:r w:rsidRPr="0006760A">
              <w:rPr>
                <w:rFonts w:ascii="Arial" w:hAnsi="Arial" w:cs="Arial"/>
                <w:i/>
                <w:iCs/>
                <w:sz w:val="14"/>
                <w:szCs w:val="14"/>
              </w:rPr>
              <w:tab/>
            </w:r>
          </w:p>
          <w:p w14:paraId="454860C8" w14:textId="77777777" w:rsidR="00F5497C" w:rsidRPr="0006760A" w:rsidRDefault="00F5497C" w:rsidP="009D7A18">
            <w:pPr>
              <w:tabs>
                <w:tab w:val="left" w:pos="319"/>
                <w:tab w:val="left" w:pos="2157"/>
                <w:tab w:val="right" w:pos="2835"/>
              </w:tabs>
              <w:rPr>
                <w:rFonts w:ascii="Arial" w:hAnsi="Arial" w:cs="Arial"/>
                <w:i/>
                <w:iCs/>
                <w:color w:val="0000FF"/>
                <w:sz w:val="14"/>
                <w:szCs w:val="14"/>
              </w:rPr>
            </w:pPr>
            <w:r>
              <w:rPr>
                <w:rFonts w:ascii="Arial" w:hAnsi="Arial" w:cs="Arial"/>
                <w:i/>
                <w:iCs/>
                <w:color w:val="0000FF"/>
                <w:sz w:val="14"/>
                <w:szCs w:val="14"/>
              </w:rPr>
              <w:tab/>
              <w:t>Development share:</w:t>
            </w:r>
            <w:r>
              <w:rPr>
                <w:rFonts w:ascii="Arial" w:hAnsi="Arial" w:cs="Arial"/>
                <w:i/>
                <w:iCs/>
                <w:color w:val="0000FF"/>
                <w:sz w:val="14"/>
                <w:szCs w:val="14"/>
              </w:rPr>
              <w:tab/>
              <w:t>8,712</w:t>
            </w:r>
            <w:r w:rsidRPr="0006760A">
              <w:rPr>
                <w:rFonts w:ascii="Arial" w:hAnsi="Arial" w:cs="Arial"/>
                <w:i/>
                <w:iCs/>
                <w:color w:val="0000FF"/>
                <w:sz w:val="14"/>
                <w:szCs w:val="14"/>
              </w:rPr>
              <w:tab/>
            </w:r>
          </w:p>
          <w:p w14:paraId="04B5C4B5" w14:textId="77777777" w:rsidR="00F5497C" w:rsidRPr="0006760A" w:rsidRDefault="00F5497C" w:rsidP="009D7A18">
            <w:pPr>
              <w:tabs>
                <w:tab w:val="right" w:pos="2835"/>
              </w:tabs>
              <w:rPr>
                <w:rFonts w:ascii="Arial" w:hAnsi="Arial" w:cs="Arial"/>
                <w:sz w:val="14"/>
                <w:szCs w:val="14"/>
              </w:rPr>
            </w:pPr>
          </w:p>
          <w:p w14:paraId="4C480462" w14:textId="77777777" w:rsidR="00F5497C" w:rsidRPr="0006760A" w:rsidRDefault="00F5497C" w:rsidP="009D7A18">
            <w:pPr>
              <w:tabs>
                <w:tab w:val="right" w:pos="2835"/>
              </w:tabs>
              <w:rPr>
                <w:rFonts w:ascii="Arial" w:hAnsi="Arial" w:cs="Arial"/>
                <w:sz w:val="14"/>
                <w:szCs w:val="14"/>
              </w:rPr>
            </w:pPr>
          </w:p>
          <w:p w14:paraId="01DCF906"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I.2.  Tailored and balanced IP legislative, regulatory and policy frameworks</w:t>
            </w:r>
          </w:p>
          <w:p w14:paraId="154A115B"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9,748</w:t>
            </w:r>
            <w:r w:rsidRPr="0006760A">
              <w:rPr>
                <w:rFonts w:ascii="Arial" w:hAnsi="Arial" w:cs="Arial"/>
                <w:i/>
                <w:iCs/>
                <w:sz w:val="14"/>
                <w:szCs w:val="14"/>
              </w:rPr>
              <w:tab/>
            </w:r>
          </w:p>
          <w:p w14:paraId="5588900C" w14:textId="77777777" w:rsidR="00F5497C" w:rsidRPr="0006760A" w:rsidRDefault="00F5497C" w:rsidP="009D7A18">
            <w:pPr>
              <w:tabs>
                <w:tab w:val="left" w:pos="307"/>
                <w:tab w:val="left" w:pos="215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8,292</w:t>
            </w:r>
            <w:r w:rsidRPr="0006760A">
              <w:rPr>
                <w:rFonts w:ascii="Arial" w:hAnsi="Arial" w:cs="Arial"/>
                <w:i/>
                <w:iCs/>
                <w:color w:val="0000FF"/>
                <w:sz w:val="14"/>
                <w:szCs w:val="14"/>
              </w:rPr>
              <w:tab/>
            </w:r>
          </w:p>
          <w:p w14:paraId="730B11D8" w14:textId="77777777" w:rsidR="00F5497C" w:rsidRPr="0006760A" w:rsidRDefault="00F5497C" w:rsidP="009D7A18">
            <w:pPr>
              <w:tabs>
                <w:tab w:val="right" w:pos="2835"/>
              </w:tabs>
              <w:rPr>
                <w:rFonts w:ascii="Arial" w:hAnsi="Arial" w:cs="Arial"/>
                <w:sz w:val="14"/>
                <w:szCs w:val="14"/>
              </w:rPr>
            </w:pPr>
          </w:p>
          <w:p w14:paraId="0AB8847B" w14:textId="77777777" w:rsidR="00F5497C" w:rsidRPr="0006760A" w:rsidRDefault="00F5497C" w:rsidP="009D7A18">
            <w:pPr>
              <w:tabs>
                <w:tab w:val="right" w:pos="2835"/>
              </w:tabs>
              <w:rPr>
                <w:rFonts w:ascii="Arial" w:hAnsi="Arial" w:cs="Arial"/>
                <w:sz w:val="14"/>
                <w:szCs w:val="14"/>
              </w:rPr>
            </w:pPr>
          </w:p>
          <w:p w14:paraId="63BF23A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I.3.  Increased protection of State emblems and names and emblems of International Intergovernmental Organizations</w:t>
            </w:r>
          </w:p>
          <w:p w14:paraId="36C75D4A"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544</w:t>
            </w:r>
            <w:r w:rsidRPr="0006760A">
              <w:rPr>
                <w:rFonts w:ascii="Arial" w:hAnsi="Arial" w:cs="Arial"/>
                <w:i/>
                <w:iCs/>
                <w:sz w:val="14"/>
                <w:szCs w:val="14"/>
              </w:rPr>
              <w:tab/>
            </w:r>
          </w:p>
          <w:p w14:paraId="1952AC63" w14:textId="77777777" w:rsidR="00F5497C" w:rsidRPr="0006760A" w:rsidRDefault="00F5497C" w:rsidP="009D7A18">
            <w:pPr>
              <w:tabs>
                <w:tab w:val="left" w:pos="307"/>
                <w:tab w:val="left" w:pos="215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r w:rsidRPr="0006760A">
              <w:rPr>
                <w:rFonts w:ascii="Arial" w:hAnsi="Arial" w:cs="Arial"/>
                <w:i/>
                <w:iCs/>
                <w:color w:val="0000FF"/>
                <w:sz w:val="14"/>
                <w:szCs w:val="14"/>
              </w:rPr>
              <w:tab/>
              <w:t xml:space="preserve">  </w:t>
            </w:r>
          </w:p>
          <w:p w14:paraId="13AC16E7" w14:textId="77777777" w:rsidR="00F5497C" w:rsidRDefault="00F5497C" w:rsidP="009D7A18">
            <w:pPr>
              <w:tabs>
                <w:tab w:val="right" w:pos="2835"/>
              </w:tabs>
              <w:rPr>
                <w:rFonts w:ascii="Arial" w:hAnsi="Arial" w:cs="Arial"/>
                <w:color w:val="000000"/>
                <w:sz w:val="14"/>
                <w:szCs w:val="14"/>
              </w:rPr>
            </w:pPr>
            <w:r w:rsidRPr="0006760A">
              <w:rPr>
                <w:rFonts w:ascii="Arial" w:hAnsi="Arial" w:cs="Arial"/>
                <w:color w:val="000000"/>
                <w:sz w:val="14"/>
                <w:szCs w:val="14"/>
              </w:rPr>
              <w:t> </w:t>
            </w:r>
          </w:p>
          <w:p w14:paraId="4BF75397" w14:textId="5E54E38A" w:rsidR="00F5497C" w:rsidRDefault="00F5497C" w:rsidP="009D7A18">
            <w:pPr>
              <w:tabs>
                <w:tab w:val="left" w:pos="307"/>
                <w:tab w:val="left" w:pos="2157"/>
                <w:tab w:val="right" w:pos="2835"/>
              </w:tabs>
              <w:spacing w:after="80"/>
              <w:rPr>
                <w:rFonts w:ascii="Arial" w:hAnsi="Arial" w:cs="Arial"/>
                <w:sz w:val="14"/>
                <w:szCs w:val="14"/>
              </w:rPr>
            </w:pPr>
            <w:r w:rsidRPr="00E821AC">
              <w:rPr>
                <w:rFonts w:ascii="Arial" w:hAnsi="Arial" w:cs="Arial"/>
                <w:sz w:val="14"/>
                <w:szCs w:val="14"/>
              </w:rPr>
              <w:t xml:space="preserve">I.4 </w:t>
            </w:r>
            <w:r>
              <w:rPr>
                <w:rFonts w:ascii="Arial" w:hAnsi="Arial" w:cs="Arial"/>
                <w:sz w:val="14"/>
                <w:szCs w:val="14"/>
              </w:rPr>
              <w:t xml:space="preserve"> </w:t>
            </w:r>
            <w:r w:rsidRPr="00E821AC">
              <w:rPr>
                <w:rFonts w:ascii="Arial" w:hAnsi="Arial" w:cs="Arial"/>
                <w:sz w:val="14"/>
                <w:szCs w:val="14"/>
              </w:rPr>
              <w:t xml:space="preserve">Growing interest in WIPO as a forum for analysis of issues in relation to the international protection of </w:t>
            </w:r>
            <w:r w:rsidR="00FB0B18" w:rsidRPr="00FB0B18">
              <w:rPr>
                <w:rFonts w:ascii="Arial" w:hAnsi="Arial" w:cs="Arial"/>
                <w:sz w:val="14"/>
                <w:szCs w:val="14"/>
              </w:rPr>
              <w:t xml:space="preserve">patents, utility models, layout designs (topographies) of integrated circuits and </w:t>
            </w:r>
            <w:r w:rsidRPr="00E821AC">
              <w:rPr>
                <w:rFonts w:ascii="Arial" w:hAnsi="Arial" w:cs="Arial"/>
                <w:sz w:val="14"/>
                <w:szCs w:val="14"/>
              </w:rPr>
              <w:t>confidential information</w:t>
            </w:r>
          </w:p>
          <w:p w14:paraId="6A4EA01E"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494</w:t>
            </w:r>
            <w:r w:rsidRPr="0006760A">
              <w:rPr>
                <w:rFonts w:ascii="Arial" w:hAnsi="Arial" w:cs="Arial"/>
                <w:i/>
                <w:iCs/>
                <w:sz w:val="14"/>
                <w:szCs w:val="14"/>
              </w:rPr>
              <w:tab/>
            </w:r>
          </w:p>
          <w:p w14:paraId="65619E0D" w14:textId="77777777" w:rsidR="00F5497C" w:rsidRPr="0006760A" w:rsidRDefault="00F5497C" w:rsidP="009D7A18">
            <w:pPr>
              <w:tabs>
                <w:tab w:val="left" w:pos="2157"/>
              </w:tabs>
              <w:rPr>
                <w:rFonts w:ascii="Arial" w:hAnsi="Arial" w:cs="Arial"/>
                <w:sz w:val="14"/>
                <w:szCs w:val="14"/>
              </w:rPr>
            </w:pPr>
            <w:r>
              <w:rPr>
                <w:rFonts w:ascii="Arial" w:hAnsi="Arial" w:cs="Arial"/>
                <w:i/>
                <w:iCs/>
                <w:color w:val="0000FF"/>
                <w:sz w:val="14"/>
                <w:szCs w:val="14"/>
              </w:rPr>
              <w:t xml:space="preserve">       </w:t>
            </w:r>
            <w:r w:rsidRPr="0006760A">
              <w:rPr>
                <w:rFonts w:ascii="Arial" w:hAnsi="Arial" w:cs="Arial"/>
                <w:i/>
                <w:iCs/>
                <w:color w:val="0000FF"/>
                <w:sz w:val="14"/>
                <w:szCs w:val="14"/>
              </w:rPr>
              <w:t>Development share:</w:t>
            </w:r>
            <w:r>
              <w:rPr>
                <w:rFonts w:ascii="Arial" w:hAnsi="Arial" w:cs="Arial"/>
                <w:i/>
                <w:iCs/>
                <w:color w:val="0000FF"/>
                <w:sz w:val="14"/>
                <w:szCs w:val="14"/>
              </w:rPr>
              <w:tab/>
              <w:t>-</w:t>
            </w:r>
          </w:p>
        </w:tc>
        <w:tc>
          <w:tcPr>
            <w:tcW w:w="3041" w:type="dxa"/>
            <w:tcBorders>
              <w:top w:val="nil"/>
              <w:left w:val="nil"/>
              <w:right w:val="nil"/>
            </w:tcBorders>
            <w:shd w:val="clear" w:color="auto" w:fill="auto"/>
          </w:tcPr>
          <w:p w14:paraId="6CF93BE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II.1. </w:t>
            </w:r>
            <w:r>
              <w:rPr>
                <w:rFonts w:ascii="Arial" w:hAnsi="Arial" w:cs="Arial"/>
                <w:sz w:val="14"/>
                <w:szCs w:val="14"/>
              </w:rPr>
              <w:t xml:space="preserve">Wider and more effective use </w:t>
            </w:r>
            <w:r w:rsidRPr="0006760A">
              <w:rPr>
                <w:rFonts w:ascii="Arial" w:hAnsi="Arial" w:cs="Arial"/>
                <w:sz w:val="14"/>
                <w:szCs w:val="14"/>
              </w:rPr>
              <w:t xml:space="preserve">of the PCT </w:t>
            </w:r>
            <w:r>
              <w:rPr>
                <w:rFonts w:ascii="Arial" w:hAnsi="Arial" w:cs="Arial"/>
                <w:sz w:val="14"/>
                <w:szCs w:val="14"/>
              </w:rPr>
              <w:t>system</w:t>
            </w:r>
            <w:r w:rsidRPr="0006760A">
              <w:rPr>
                <w:rFonts w:ascii="Arial" w:hAnsi="Arial" w:cs="Arial"/>
                <w:sz w:val="14"/>
                <w:szCs w:val="14"/>
              </w:rPr>
              <w:t xml:space="preserve"> for filing international patent applications </w:t>
            </w:r>
          </w:p>
          <w:p w14:paraId="307CDFD2" w14:textId="77777777" w:rsidR="00F5497C" w:rsidRPr="0006760A" w:rsidRDefault="00F5497C" w:rsidP="009D7A18">
            <w:pPr>
              <w:tabs>
                <w:tab w:val="left" w:pos="348"/>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29,156</w:t>
            </w:r>
            <w:r w:rsidRPr="0006760A">
              <w:rPr>
                <w:rFonts w:ascii="Arial" w:hAnsi="Arial" w:cs="Arial"/>
                <w:i/>
                <w:iCs/>
                <w:sz w:val="14"/>
                <w:szCs w:val="14"/>
              </w:rPr>
              <w:tab/>
            </w:r>
          </w:p>
          <w:p w14:paraId="41A34458" w14:textId="77777777" w:rsidR="00F5497C" w:rsidRPr="0006760A" w:rsidRDefault="00F5497C" w:rsidP="009D7A18">
            <w:pPr>
              <w:tabs>
                <w:tab w:val="left" w:pos="348"/>
                <w:tab w:val="left" w:pos="2173"/>
                <w:tab w:val="right" w:pos="2835"/>
              </w:tabs>
              <w:rPr>
                <w:rFonts w:ascii="Arial" w:hAnsi="Arial" w:cs="Arial"/>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w:t>
            </w:r>
            <w:r w:rsidRPr="0006760A">
              <w:rPr>
                <w:rFonts w:ascii="Arial" w:hAnsi="Arial" w:cs="Arial"/>
                <w:sz w:val="14"/>
                <w:szCs w:val="14"/>
              </w:rPr>
              <w:tab/>
            </w:r>
            <w:r w:rsidRPr="00A51607">
              <w:rPr>
                <w:rFonts w:ascii="Arial" w:hAnsi="Arial" w:cs="Arial"/>
                <w:i/>
                <w:iCs/>
                <w:color w:val="0000FF"/>
                <w:sz w:val="14"/>
                <w:szCs w:val="14"/>
              </w:rPr>
              <w:t>7,002</w:t>
            </w:r>
            <w:r w:rsidRPr="0006760A">
              <w:rPr>
                <w:rFonts w:ascii="Arial" w:hAnsi="Arial" w:cs="Arial"/>
                <w:i/>
                <w:iCs/>
                <w:color w:val="0000FF"/>
                <w:sz w:val="14"/>
                <w:szCs w:val="14"/>
              </w:rPr>
              <w:t xml:space="preserve">  </w:t>
            </w:r>
            <w:r w:rsidRPr="0006760A">
              <w:rPr>
                <w:rFonts w:ascii="Arial" w:hAnsi="Arial" w:cs="Arial"/>
                <w:sz w:val="14"/>
                <w:szCs w:val="14"/>
              </w:rPr>
              <w:t xml:space="preserve">  </w:t>
            </w:r>
            <w:r w:rsidRPr="0006760A">
              <w:rPr>
                <w:rFonts w:ascii="Arial" w:hAnsi="Arial" w:cs="Arial"/>
                <w:color w:val="0000FF"/>
                <w:sz w:val="14"/>
                <w:szCs w:val="14"/>
              </w:rPr>
              <w:t xml:space="preserve">   </w:t>
            </w:r>
          </w:p>
          <w:p w14:paraId="2F81C1A1" w14:textId="77777777" w:rsidR="00F5497C" w:rsidRPr="0006760A" w:rsidRDefault="00F5497C" w:rsidP="009D7A18">
            <w:pPr>
              <w:tabs>
                <w:tab w:val="right" w:pos="2835"/>
              </w:tabs>
              <w:rPr>
                <w:rFonts w:ascii="Arial" w:hAnsi="Arial" w:cs="Arial"/>
                <w:sz w:val="14"/>
                <w:szCs w:val="14"/>
              </w:rPr>
            </w:pPr>
          </w:p>
          <w:p w14:paraId="1FEE1947" w14:textId="77777777" w:rsidR="00F5497C" w:rsidRPr="0006760A" w:rsidRDefault="00F5497C" w:rsidP="009D7A18">
            <w:pPr>
              <w:autoSpaceDE w:val="0"/>
              <w:autoSpaceDN w:val="0"/>
              <w:adjustRightInd w:val="0"/>
              <w:rPr>
                <w:rFonts w:ascii="Arial" w:hAnsi="Arial" w:cs="Arial"/>
                <w:sz w:val="14"/>
                <w:szCs w:val="14"/>
                <w:lang w:eastAsia="zh-CN" w:bidi="th-TH"/>
              </w:rPr>
            </w:pPr>
            <w:r w:rsidRPr="0006760A">
              <w:rPr>
                <w:rFonts w:ascii="Arial" w:hAnsi="Arial" w:cs="Arial"/>
                <w:sz w:val="14"/>
                <w:szCs w:val="14"/>
              </w:rPr>
              <w:t xml:space="preserve">II.3. </w:t>
            </w:r>
            <w:r w:rsidRPr="0006760A">
              <w:rPr>
                <w:rFonts w:ascii="Arial" w:hAnsi="Arial" w:cs="Arial"/>
                <w:sz w:val="14"/>
                <w:szCs w:val="14"/>
                <w:lang w:eastAsia="zh-CN" w:bidi="th-TH"/>
              </w:rPr>
              <w:t>Improved productivity and service quality of PCT operations</w:t>
            </w:r>
          </w:p>
          <w:p w14:paraId="0C4C7FD4"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181,080</w:t>
            </w:r>
            <w:r w:rsidRPr="0006760A">
              <w:rPr>
                <w:rFonts w:ascii="Arial" w:hAnsi="Arial" w:cs="Arial"/>
                <w:i/>
                <w:iCs/>
                <w:sz w:val="14"/>
                <w:szCs w:val="14"/>
              </w:rPr>
              <w:tab/>
            </w:r>
          </w:p>
          <w:p w14:paraId="6DD0A2FB" w14:textId="77777777" w:rsidR="00F5497C" w:rsidRPr="00A51607" w:rsidRDefault="00F5497C" w:rsidP="009D7A18">
            <w:pPr>
              <w:tabs>
                <w:tab w:val="left" w:pos="335"/>
                <w:tab w:val="left" w:pos="2315"/>
                <w:tab w:val="right" w:pos="2835"/>
              </w:tabs>
              <w:rPr>
                <w:rFonts w:ascii="Arial" w:hAnsi="Arial" w:cs="Arial"/>
                <w:i/>
                <w:iCs/>
                <w:color w:val="0000FF"/>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 xml:space="preserve">: </w:t>
            </w:r>
            <w:r w:rsidRPr="0006760A">
              <w:rPr>
                <w:rFonts w:ascii="Arial" w:hAnsi="Arial" w:cs="Arial"/>
                <w:sz w:val="14"/>
                <w:szCs w:val="14"/>
              </w:rPr>
              <w:tab/>
            </w:r>
            <w:r w:rsidRPr="00A51607">
              <w:rPr>
                <w:rFonts w:ascii="Arial" w:hAnsi="Arial" w:cs="Arial"/>
                <w:i/>
                <w:iCs/>
                <w:color w:val="0000FF"/>
                <w:sz w:val="14"/>
                <w:szCs w:val="14"/>
              </w:rPr>
              <w:t xml:space="preserve">-  </w:t>
            </w:r>
          </w:p>
          <w:p w14:paraId="78097582" w14:textId="77777777" w:rsidR="00F5497C" w:rsidRPr="0006760A" w:rsidRDefault="00F5497C" w:rsidP="009D7A18">
            <w:pPr>
              <w:tabs>
                <w:tab w:val="right" w:pos="2835"/>
              </w:tabs>
              <w:rPr>
                <w:rFonts w:ascii="Arial" w:hAnsi="Arial" w:cs="Arial"/>
                <w:sz w:val="14"/>
                <w:szCs w:val="14"/>
              </w:rPr>
            </w:pPr>
          </w:p>
          <w:p w14:paraId="1DEE05D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II.4. Wider and </w:t>
            </w:r>
            <w:r>
              <w:rPr>
                <w:rFonts w:ascii="Arial" w:hAnsi="Arial" w:cs="Arial"/>
                <w:sz w:val="14"/>
                <w:szCs w:val="14"/>
              </w:rPr>
              <w:t>more effective</w:t>
            </w:r>
            <w:r w:rsidRPr="0006760A">
              <w:rPr>
                <w:rFonts w:ascii="Arial" w:hAnsi="Arial" w:cs="Arial"/>
                <w:sz w:val="14"/>
                <w:szCs w:val="14"/>
              </w:rPr>
              <w:t xml:space="preserve"> use of the Hague system, including by developing countries and LDCs</w:t>
            </w:r>
          </w:p>
          <w:p w14:paraId="4F640969" w14:textId="77777777" w:rsidR="00F5497C" w:rsidRPr="0006760A" w:rsidRDefault="00F5497C" w:rsidP="009D7A18">
            <w:pPr>
              <w:tabs>
                <w:tab w:val="left" w:pos="323"/>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6,617</w:t>
            </w:r>
            <w:r w:rsidRPr="0006760A">
              <w:rPr>
                <w:rFonts w:ascii="Arial" w:hAnsi="Arial" w:cs="Arial"/>
                <w:i/>
                <w:iCs/>
                <w:sz w:val="14"/>
                <w:szCs w:val="14"/>
              </w:rPr>
              <w:tab/>
              <w:t xml:space="preserve"> </w:t>
            </w:r>
          </w:p>
          <w:p w14:paraId="4BC9F356" w14:textId="77777777" w:rsidR="00F5497C" w:rsidRPr="0006760A" w:rsidRDefault="00F5497C" w:rsidP="009D7A18">
            <w:pPr>
              <w:tabs>
                <w:tab w:val="left" w:pos="323"/>
                <w:tab w:val="left" w:pos="2315"/>
                <w:tab w:val="right" w:pos="2835"/>
              </w:tabs>
              <w:rPr>
                <w:rFonts w:ascii="Arial" w:hAnsi="Arial" w:cs="Arial"/>
                <w:i/>
                <w:iCs/>
                <w:color w:val="0000FF"/>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Pr>
                <w:rFonts w:ascii="Arial" w:hAnsi="Arial" w:cs="Arial"/>
                <w:sz w:val="14"/>
                <w:szCs w:val="14"/>
              </w:rPr>
              <w:t xml:space="preserve">:               </w:t>
            </w:r>
            <w:r w:rsidRPr="00A51607">
              <w:rPr>
                <w:rFonts w:ascii="Arial" w:hAnsi="Arial" w:cs="Arial"/>
                <w:i/>
                <w:iCs/>
                <w:color w:val="0000FF"/>
                <w:sz w:val="14"/>
                <w:szCs w:val="14"/>
              </w:rPr>
              <w:t>1,085</w:t>
            </w:r>
            <w:r w:rsidRPr="0006760A">
              <w:rPr>
                <w:rFonts w:ascii="Arial" w:hAnsi="Arial" w:cs="Arial"/>
                <w:i/>
                <w:iCs/>
                <w:color w:val="0000FF"/>
                <w:sz w:val="14"/>
                <w:szCs w:val="14"/>
              </w:rPr>
              <w:t xml:space="preserve"> </w:t>
            </w:r>
          </w:p>
          <w:p w14:paraId="1D88FD31" w14:textId="77777777" w:rsidR="00F5497C" w:rsidRPr="0006760A" w:rsidRDefault="00F5497C" w:rsidP="009D7A18">
            <w:pPr>
              <w:tabs>
                <w:tab w:val="left" w:pos="1525"/>
                <w:tab w:val="right" w:pos="2835"/>
              </w:tabs>
              <w:rPr>
                <w:rFonts w:ascii="Arial" w:hAnsi="Arial" w:cs="Arial"/>
                <w:sz w:val="14"/>
                <w:szCs w:val="14"/>
              </w:rPr>
            </w:pPr>
          </w:p>
          <w:p w14:paraId="2B65F733"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II.5. </w:t>
            </w:r>
            <w:r w:rsidRPr="0006760A">
              <w:rPr>
                <w:rFonts w:ascii="Arial" w:hAnsi="Arial" w:cs="Arial"/>
                <w:sz w:val="14"/>
                <w:szCs w:val="14"/>
                <w:lang w:eastAsia="zh-CN" w:bidi="th-TH"/>
              </w:rPr>
              <w:t>Improved productivity and service quality of</w:t>
            </w:r>
            <w:r w:rsidRPr="0006760A">
              <w:rPr>
                <w:rFonts w:ascii="Arial" w:hAnsi="Arial" w:cs="Arial"/>
                <w:sz w:val="14"/>
                <w:szCs w:val="14"/>
              </w:rPr>
              <w:t xml:space="preserve"> the Hague operations</w:t>
            </w:r>
          </w:p>
          <w:p w14:paraId="01C9346D" w14:textId="77777777" w:rsidR="00F5497C" w:rsidRPr="0006760A" w:rsidRDefault="00F5497C" w:rsidP="009D7A18">
            <w:pPr>
              <w:tabs>
                <w:tab w:val="left" w:pos="360"/>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2,234</w:t>
            </w:r>
            <w:r w:rsidRPr="0006760A">
              <w:rPr>
                <w:rFonts w:ascii="Arial" w:hAnsi="Arial" w:cs="Arial"/>
                <w:i/>
                <w:iCs/>
                <w:sz w:val="14"/>
                <w:szCs w:val="14"/>
              </w:rPr>
              <w:tab/>
            </w:r>
          </w:p>
          <w:p w14:paraId="1EECE55C" w14:textId="77777777" w:rsidR="00F5497C" w:rsidRPr="0006760A" w:rsidRDefault="00F5497C" w:rsidP="009D7A18">
            <w:pPr>
              <w:tabs>
                <w:tab w:val="left" w:pos="360"/>
                <w:tab w:val="left" w:pos="2315"/>
                <w:tab w:val="right" w:pos="2835"/>
              </w:tabs>
              <w:rPr>
                <w:rFonts w:ascii="Arial" w:hAnsi="Arial" w:cs="Arial"/>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w:t>
            </w:r>
            <w:r w:rsidRPr="0006760A">
              <w:rPr>
                <w:rFonts w:ascii="Arial" w:hAnsi="Arial" w:cs="Arial"/>
                <w:sz w:val="14"/>
                <w:szCs w:val="14"/>
              </w:rPr>
              <w:tab/>
            </w:r>
            <w:r w:rsidRPr="00A51607">
              <w:rPr>
                <w:rFonts w:ascii="Arial" w:hAnsi="Arial" w:cs="Arial"/>
                <w:i/>
                <w:iCs/>
                <w:color w:val="0000FF"/>
                <w:sz w:val="14"/>
                <w:szCs w:val="14"/>
              </w:rPr>
              <w:t xml:space="preserve">- </w:t>
            </w:r>
          </w:p>
          <w:p w14:paraId="0127B0E7" w14:textId="77777777" w:rsidR="00F5497C" w:rsidRPr="0006760A" w:rsidRDefault="00F5497C" w:rsidP="009D7A18">
            <w:pPr>
              <w:tabs>
                <w:tab w:val="left" w:pos="1525"/>
                <w:tab w:val="right" w:pos="2835"/>
              </w:tabs>
              <w:rPr>
                <w:rFonts w:ascii="Arial" w:hAnsi="Arial" w:cs="Arial"/>
                <w:sz w:val="14"/>
                <w:szCs w:val="14"/>
              </w:rPr>
            </w:pPr>
          </w:p>
          <w:p w14:paraId="6ABA340E" w14:textId="6DAC7363"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 xml:space="preserve">II.6. Wider and </w:t>
            </w:r>
            <w:r>
              <w:rPr>
                <w:rFonts w:ascii="Arial" w:hAnsi="Arial" w:cs="Arial"/>
                <w:sz w:val="14"/>
                <w:szCs w:val="14"/>
              </w:rPr>
              <w:t>more effective</w:t>
            </w:r>
            <w:r w:rsidRPr="0006760A">
              <w:rPr>
                <w:rFonts w:ascii="Arial" w:hAnsi="Arial" w:cs="Arial"/>
                <w:sz w:val="14"/>
                <w:szCs w:val="14"/>
              </w:rPr>
              <w:t xml:space="preserve"> use of the Madrid  </w:t>
            </w:r>
            <w:r w:rsidR="003238A0">
              <w:rPr>
                <w:rFonts w:ascii="Arial" w:hAnsi="Arial" w:cs="Arial"/>
                <w:sz w:val="14"/>
                <w:szCs w:val="14"/>
              </w:rPr>
              <w:t>S</w:t>
            </w:r>
            <w:r w:rsidRPr="0006760A">
              <w:rPr>
                <w:rFonts w:ascii="Arial" w:hAnsi="Arial" w:cs="Arial"/>
                <w:sz w:val="14"/>
                <w:szCs w:val="14"/>
              </w:rPr>
              <w:t>ystem, including by developing countries and LDCs</w:t>
            </w:r>
          </w:p>
          <w:p w14:paraId="046BE863" w14:textId="0BD380FF"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sidR="00301DB2">
              <w:rPr>
                <w:rFonts w:ascii="Arial" w:hAnsi="Arial" w:cs="Arial"/>
                <w:i/>
                <w:iCs/>
                <w:sz w:val="14"/>
                <w:szCs w:val="14"/>
              </w:rPr>
              <w:t>17,069</w:t>
            </w:r>
            <w:r w:rsidRPr="0006760A">
              <w:rPr>
                <w:rFonts w:ascii="Arial" w:hAnsi="Arial" w:cs="Arial"/>
                <w:i/>
                <w:iCs/>
                <w:sz w:val="14"/>
                <w:szCs w:val="14"/>
              </w:rPr>
              <w:tab/>
            </w:r>
          </w:p>
          <w:p w14:paraId="3ABEE11A" w14:textId="7CB00B9D" w:rsidR="00F5497C" w:rsidRPr="0006760A"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sidR="00F85ED0">
              <w:rPr>
                <w:rFonts w:ascii="Arial" w:hAnsi="Arial" w:cs="Arial"/>
                <w:i/>
                <w:iCs/>
                <w:color w:val="0000FF"/>
                <w:sz w:val="14"/>
                <w:szCs w:val="14"/>
              </w:rPr>
              <w:t>11,</w:t>
            </w:r>
            <w:r w:rsidR="00490F07">
              <w:rPr>
                <w:rFonts w:ascii="Arial" w:hAnsi="Arial" w:cs="Arial"/>
                <w:i/>
                <w:iCs/>
                <w:color w:val="0000FF"/>
                <w:sz w:val="14"/>
                <w:szCs w:val="14"/>
              </w:rPr>
              <w:t>188</w:t>
            </w:r>
            <w:r w:rsidR="00490F07" w:rsidRPr="0006760A">
              <w:rPr>
                <w:rFonts w:ascii="Arial" w:hAnsi="Arial" w:cs="Arial"/>
                <w:i/>
                <w:iCs/>
                <w:color w:val="0000FF"/>
                <w:sz w:val="14"/>
                <w:szCs w:val="14"/>
              </w:rPr>
              <w:t xml:space="preserve"> </w:t>
            </w:r>
          </w:p>
          <w:p w14:paraId="47CE72B2" w14:textId="77777777" w:rsidR="00F5497C" w:rsidRPr="0006760A" w:rsidRDefault="00F5497C" w:rsidP="009D7A18">
            <w:pPr>
              <w:tabs>
                <w:tab w:val="left" w:pos="1525"/>
                <w:tab w:val="right" w:pos="2835"/>
              </w:tabs>
              <w:rPr>
                <w:rFonts w:ascii="Arial" w:hAnsi="Arial" w:cs="Arial"/>
                <w:sz w:val="14"/>
                <w:szCs w:val="14"/>
              </w:rPr>
            </w:pPr>
          </w:p>
          <w:p w14:paraId="5612DEBE" w14:textId="08BA8318"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 xml:space="preserve">II.7. </w:t>
            </w:r>
            <w:r w:rsidRPr="0006760A">
              <w:rPr>
                <w:rFonts w:ascii="Arial" w:hAnsi="Arial" w:cs="Arial"/>
                <w:sz w:val="14"/>
                <w:szCs w:val="14"/>
                <w:lang w:eastAsia="zh-CN" w:bidi="th-TH"/>
              </w:rPr>
              <w:t>Improved productivity and service quality of</w:t>
            </w:r>
            <w:r w:rsidRPr="0006760A">
              <w:rPr>
                <w:rFonts w:ascii="Arial" w:hAnsi="Arial" w:cs="Arial"/>
                <w:sz w:val="14"/>
                <w:szCs w:val="14"/>
              </w:rPr>
              <w:t xml:space="preserve"> Madrid operations</w:t>
            </w:r>
          </w:p>
          <w:p w14:paraId="2CF81530" w14:textId="7643E956" w:rsidR="00F5497C" w:rsidRPr="0006760A" w:rsidRDefault="00F5497C" w:rsidP="009D7A18">
            <w:pPr>
              <w:tabs>
                <w:tab w:val="left" w:pos="331"/>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sidR="00301DB2">
              <w:rPr>
                <w:rFonts w:ascii="Arial" w:hAnsi="Arial" w:cs="Arial"/>
                <w:i/>
                <w:iCs/>
                <w:sz w:val="14"/>
                <w:szCs w:val="14"/>
              </w:rPr>
              <w:t>42,253</w:t>
            </w:r>
            <w:r w:rsidRPr="0006760A">
              <w:rPr>
                <w:rFonts w:ascii="Arial" w:hAnsi="Arial" w:cs="Arial"/>
                <w:i/>
                <w:iCs/>
                <w:sz w:val="14"/>
                <w:szCs w:val="14"/>
              </w:rPr>
              <w:tab/>
            </w:r>
          </w:p>
          <w:p w14:paraId="44519712" w14:textId="59345972" w:rsidR="00F5497C" w:rsidRPr="0006760A" w:rsidRDefault="00F5497C" w:rsidP="009D7A18">
            <w:pPr>
              <w:tabs>
                <w:tab w:val="left" w:pos="331"/>
                <w:tab w:val="left" w:pos="2173"/>
                <w:tab w:val="right" w:pos="2835"/>
              </w:tabs>
              <w:rPr>
                <w:rFonts w:ascii="Arial" w:hAnsi="Arial" w:cs="Arial"/>
                <w:i/>
                <w:iCs/>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sidR="007120C6">
              <w:rPr>
                <w:rFonts w:ascii="Arial" w:hAnsi="Arial" w:cs="Arial"/>
                <w:i/>
                <w:iCs/>
                <w:color w:val="0000FF"/>
                <w:sz w:val="14"/>
                <w:szCs w:val="14"/>
              </w:rPr>
              <w:t>893</w:t>
            </w:r>
            <w:r w:rsidRPr="0006760A">
              <w:rPr>
                <w:rFonts w:ascii="Arial" w:hAnsi="Arial" w:cs="Arial"/>
                <w:i/>
                <w:iCs/>
                <w:color w:val="0000FF"/>
                <w:sz w:val="14"/>
                <w:szCs w:val="14"/>
              </w:rPr>
              <w:t xml:space="preserve">        </w:t>
            </w:r>
          </w:p>
          <w:p w14:paraId="091D7611" w14:textId="77777777" w:rsidR="00F5497C" w:rsidRPr="0006760A" w:rsidRDefault="00F5497C" w:rsidP="009D7A18">
            <w:pPr>
              <w:tabs>
                <w:tab w:val="left" w:pos="1525"/>
                <w:tab w:val="right" w:pos="2835"/>
              </w:tabs>
              <w:rPr>
                <w:rFonts w:ascii="Arial" w:hAnsi="Arial" w:cs="Arial"/>
                <w:i/>
                <w:iCs/>
                <w:sz w:val="14"/>
                <w:szCs w:val="14"/>
              </w:rPr>
            </w:pPr>
          </w:p>
          <w:p w14:paraId="4A472C90"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II.8. International and domestic intellectual property disputes are increasingly prevented or resolved through WIPO mediation, arbitration and other alternative dispute resolution methods</w:t>
            </w:r>
          </w:p>
          <w:p w14:paraId="2785679B" w14:textId="77777777" w:rsidR="00F5497C" w:rsidRPr="0006760A" w:rsidRDefault="00F5497C" w:rsidP="009D7A18">
            <w:pPr>
              <w:tabs>
                <w:tab w:val="left" w:pos="348"/>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4,802</w:t>
            </w:r>
            <w:r w:rsidRPr="0006760A">
              <w:rPr>
                <w:rFonts w:ascii="Arial" w:hAnsi="Arial" w:cs="Arial"/>
                <w:i/>
                <w:iCs/>
                <w:sz w:val="14"/>
                <w:szCs w:val="14"/>
              </w:rPr>
              <w:tab/>
            </w:r>
          </w:p>
          <w:p w14:paraId="43E4703D" w14:textId="77777777" w:rsidR="00F5497C" w:rsidRPr="0006760A"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661</w:t>
            </w:r>
            <w:r w:rsidRPr="0006760A">
              <w:rPr>
                <w:rFonts w:ascii="Arial" w:hAnsi="Arial" w:cs="Arial"/>
                <w:i/>
                <w:iCs/>
                <w:color w:val="0000FF"/>
                <w:sz w:val="14"/>
                <w:szCs w:val="14"/>
              </w:rPr>
              <w:t xml:space="preserve">        </w:t>
            </w:r>
          </w:p>
          <w:p w14:paraId="2DB2A037" w14:textId="77777777" w:rsidR="00F5497C" w:rsidRPr="0006760A" w:rsidRDefault="00F5497C" w:rsidP="009D7A18">
            <w:pPr>
              <w:tabs>
                <w:tab w:val="left" w:pos="1525"/>
                <w:tab w:val="right" w:pos="2835"/>
              </w:tabs>
              <w:rPr>
                <w:rFonts w:ascii="Arial" w:hAnsi="Arial" w:cs="Arial"/>
                <w:i/>
                <w:iCs/>
                <w:color w:val="0000FF"/>
                <w:sz w:val="14"/>
                <w:szCs w:val="14"/>
              </w:rPr>
            </w:pPr>
          </w:p>
          <w:p w14:paraId="38B91F78"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 xml:space="preserve">II.9. Effective intellectual property protection in the </w:t>
            </w:r>
            <w:proofErr w:type="spellStart"/>
            <w:r w:rsidRPr="0006760A">
              <w:rPr>
                <w:rFonts w:ascii="Arial" w:hAnsi="Arial" w:cs="Arial"/>
                <w:sz w:val="14"/>
                <w:szCs w:val="14"/>
              </w:rPr>
              <w:t>gTLDs</w:t>
            </w:r>
            <w:proofErr w:type="spellEnd"/>
            <w:r w:rsidRPr="0006760A">
              <w:rPr>
                <w:rFonts w:ascii="Arial" w:hAnsi="Arial" w:cs="Arial"/>
                <w:sz w:val="14"/>
                <w:szCs w:val="14"/>
              </w:rPr>
              <w:t xml:space="preserve"> and the </w:t>
            </w:r>
            <w:proofErr w:type="spellStart"/>
            <w:r w:rsidRPr="0006760A">
              <w:rPr>
                <w:rFonts w:ascii="Arial" w:hAnsi="Arial" w:cs="Arial"/>
                <w:sz w:val="14"/>
                <w:szCs w:val="14"/>
              </w:rPr>
              <w:t>ccTLDs</w:t>
            </w:r>
            <w:proofErr w:type="spellEnd"/>
          </w:p>
          <w:p w14:paraId="30F90EFE"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6,899</w:t>
            </w:r>
            <w:r w:rsidRPr="0006760A">
              <w:rPr>
                <w:rFonts w:ascii="Arial" w:hAnsi="Arial" w:cs="Arial"/>
                <w:i/>
                <w:iCs/>
                <w:sz w:val="14"/>
                <w:szCs w:val="14"/>
              </w:rPr>
              <w:tab/>
            </w:r>
          </w:p>
          <w:p w14:paraId="35DABC1A" w14:textId="77777777" w:rsidR="003238A0"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101</w:t>
            </w:r>
          </w:p>
          <w:p w14:paraId="72846A0E" w14:textId="77777777" w:rsidR="003238A0" w:rsidRDefault="003238A0" w:rsidP="009D7A18">
            <w:pPr>
              <w:tabs>
                <w:tab w:val="left" w:pos="335"/>
                <w:tab w:val="left" w:pos="2173"/>
                <w:tab w:val="right" w:pos="2835"/>
              </w:tabs>
              <w:rPr>
                <w:rFonts w:ascii="Arial" w:hAnsi="Arial" w:cs="Arial"/>
                <w:i/>
                <w:iCs/>
                <w:color w:val="0000FF"/>
                <w:sz w:val="14"/>
                <w:szCs w:val="14"/>
              </w:rPr>
            </w:pPr>
          </w:p>
          <w:p w14:paraId="0919B8EB" w14:textId="77777777" w:rsidR="003238A0" w:rsidRDefault="003238A0" w:rsidP="00AC4500">
            <w:pPr>
              <w:tabs>
                <w:tab w:val="left" w:pos="1525"/>
                <w:tab w:val="right" w:pos="2835"/>
              </w:tabs>
              <w:spacing w:after="60"/>
              <w:rPr>
                <w:rFonts w:ascii="Arial" w:hAnsi="Arial" w:cs="Arial"/>
                <w:sz w:val="14"/>
                <w:szCs w:val="14"/>
              </w:rPr>
            </w:pPr>
            <w:r w:rsidRPr="00AC4500">
              <w:rPr>
                <w:rFonts w:ascii="Arial" w:hAnsi="Arial" w:cs="Arial"/>
                <w:sz w:val="14"/>
                <w:szCs w:val="14"/>
              </w:rPr>
              <w:t>II.10 Wider and more effective use of the  Lisbon system, including by developing countries and LDCs</w:t>
            </w:r>
          </w:p>
          <w:p w14:paraId="551CA9B6" w14:textId="64EBDD12" w:rsidR="003238A0" w:rsidRPr="0006760A" w:rsidRDefault="003238A0" w:rsidP="003238A0">
            <w:pPr>
              <w:tabs>
                <w:tab w:val="left" w:pos="335"/>
                <w:tab w:val="left" w:pos="2173"/>
                <w:tab w:val="right" w:pos="2835"/>
              </w:tabs>
              <w:rPr>
                <w:rFonts w:ascii="Arial" w:hAnsi="Arial" w:cs="Arial"/>
                <w:i/>
                <w:iCs/>
                <w:sz w:val="14"/>
                <w:szCs w:val="14"/>
              </w:rPr>
            </w:pPr>
            <w:r>
              <w:rPr>
                <w:rFonts w:ascii="Arial" w:hAnsi="Arial" w:cs="Arial"/>
                <w:i/>
                <w:iCs/>
                <w:sz w:val="14"/>
                <w:szCs w:val="14"/>
              </w:rPr>
              <w:t xml:space="preserve">         </w:t>
            </w:r>
            <w:r w:rsidRPr="0006760A">
              <w:rPr>
                <w:rFonts w:ascii="Arial" w:hAnsi="Arial" w:cs="Arial"/>
                <w:i/>
                <w:iCs/>
                <w:sz w:val="14"/>
                <w:szCs w:val="14"/>
              </w:rPr>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sidR="00301DB2">
              <w:rPr>
                <w:rFonts w:ascii="Arial" w:hAnsi="Arial" w:cs="Arial"/>
                <w:i/>
                <w:iCs/>
                <w:sz w:val="14"/>
                <w:szCs w:val="14"/>
              </w:rPr>
              <w:t>896</w:t>
            </w:r>
            <w:r w:rsidRPr="0006760A">
              <w:rPr>
                <w:rFonts w:ascii="Arial" w:hAnsi="Arial" w:cs="Arial"/>
                <w:i/>
                <w:iCs/>
                <w:sz w:val="14"/>
                <w:szCs w:val="14"/>
              </w:rPr>
              <w:tab/>
            </w:r>
          </w:p>
          <w:p w14:paraId="47A79DAF" w14:textId="6F22A496" w:rsidR="003238A0" w:rsidRDefault="003238A0" w:rsidP="003238A0">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sidR="009967B0">
              <w:rPr>
                <w:rFonts w:ascii="Arial" w:hAnsi="Arial" w:cs="Arial"/>
                <w:i/>
                <w:iCs/>
                <w:color w:val="0000FF"/>
                <w:sz w:val="14"/>
                <w:szCs w:val="14"/>
              </w:rPr>
              <w:t>5</w:t>
            </w:r>
            <w:r w:rsidR="0021601F">
              <w:rPr>
                <w:rFonts w:ascii="Arial" w:hAnsi="Arial" w:cs="Arial"/>
                <w:i/>
                <w:iCs/>
                <w:color w:val="0000FF"/>
                <w:sz w:val="14"/>
                <w:szCs w:val="14"/>
              </w:rPr>
              <w:t>97</w:t>
            </w:r>
          </w:p>
          <w:p w14:paraId="03212796" w14:textId="77777777" w:rsidR="003238A0" w:rsidRDefault="003238A0" w:rsidP="00AC4500">
            <w:pPr>
              <w:tabs>
                <w:tab w:val="left" w:pos="1525"/>
                <w:tab w:val="right" w:pos="2835"/>
              </w:tabs>
              <w:spacing w:after="60"/>
              <w:rPr>
                <w:rFonts w:ascii="Arial" w:hAnsi="Arial" w:cs="Arial"/>
                <w:sz w:val="14"/>
                <w:szCs w:val="14"/>
              </w:rPr>
            </w:pPr>
          </w:p>
          <w:p w14:paraId="5931B559" w14:textId="6E88EA3F" w:rsidR="003238A0" w:rsidRDefault="003238A0" w:rsidP="00AC4500">
            <w:pPr>
              <w:tabs>
                <w:tab w:val="left" w:pos="1525"/>
                <w:tab w:val="right" w:pos="2835"/>
              </w:tabs>
              <w:spacing w:after="60"/>
              <w:rPr>
                <w:rFonts w:ascii="Arial" w:hAnsi="Arial" w:cs="Arial"/>
                <w:sz w:val="14"/>
                <w:szCs w:val="14"/>
              </w:rPr>
            </w:pPr>
            <w:r w:rsidRPr="00AC4500">
              <w:rPr>
                <w:rFonts w:ascii="Arial" w:hAnsi="Arial" w:cs="Arial"/>
                <w:sz w:val="14"/>
                <w:szCs w:val="14"/>
              </w:rPr>
              <w:t>II.11 Improved productivity and service quality of Lisbon operations</w:t>
            </w:r>
            <w:r w:rsidR="00F5497C" w:rsidRPr="00AC4500">
              <w:rPr>
                <w:rFonts w:ascii="Arial" w:hAnsi="Arial" w:cs="Arial"/>
                <w:sz w:val="14"/>
                <w:szCs w:val="14"/>
              </w:rPr>
              <w:tab/>
            </w:r>
          </w:p>
          <w:p w14:paraId="6306EE8C" w14:textId="640FD5F0" w:rsidR="003238A0" w:rsidRPr="0006760A" w:rsidRDefault="003238A0" w:rsidP="003238A0">
            <w:pPr>
              <w:tabs>
                <w:tab w:val="left" w:pos="335"/>
                <w:tab w:val="left" w:pos="2173"/>
                <w:tab w:val="right" w:pos="2835"/>
              </w:tabs>
              <w:rPr>
                <w:rFonts w:ascii="Arial" w:hAnsi="Arial" w:cs="Arial"/>
                <w:i/>
                <w:iCs/>
                <w:sz w:val="14"/>
                <w:szCs w:val="14"/>
              </w:rPr>
            </w:pPr>
            <w:r>
              <w:rPr>
                <w:rFonts w:ascii="Arial" w:hAnsi="Arial" w:cs="Arial"/>
                <w:i/>
                <w:iCs/>
                <w:sz w:val="14"/>
                <w:szCs w:val="14"/>
              </w:rPr>
              <w:t xml:space="preserve">         </w:t>
            </w:r>
            <w:r w:rsidRPr="0006760A">
              <w:rPr>
                <w:rFonts w:ascii="Arial" w:hAnsi="Arial" w:cs="Arial"/>
                <w:i/>
                <w:iCs/>
                <w:sz w:val="14"/>
                <w:szCs w:val="14"/>
              </w:rPr>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sidR="00301DB2">
              <w:rPr>
                <w:rFonts w:ascii="Arial" w:hAnsi="Arial" w:cs="Arial"/>
                <w:i/>
                <w:iCs/>
                <w:sz w:val="14"/>
                <w:szCs w:val="14"/>
              </w:rPr>
              <w:t>648</w:t>
            </w:r>
            <w:r w:rsidRPr="0006760A">
              <w:rPr>
                <w:rFonts w:ascii="Arial" w:hAnsi="Arial" w:cs="Arial"/>
                <w:i/>
                <w:iCs/>
                <w:sz w:val="14"/>
                <w:szCs w:val="14"/>
              </w:rPr>
              <w:tab/>
            </w:r>
          </w:p>
          <w:p w14:paraId="1BFA5B2F" w14:textId="77777777" w:rsidR="003238A0" w:rsidRDefault="003238A0" w:rsidP="003238A0">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p>
          <w:p w14:paraId="5DC0FC4A" w14:textId="0826F27F" w:rsidR="00F5497C" w:rsidRPr="0006760A" w:rsidRDefault="00F5497C" w:rsidP="00AC4500">
            <w:pPr>
              <w:tabs>
                <w:tab w:val="left" w:pos="1525"/>
                <w:tab w:val="right" w:pos="2835"/>
              </w:tabs>
              <w:spacing w:after="60"/>
              <w:rPr>
                <w:rFonts w:ascii="Arial" w:hAnsi="Arial" w:cs="Arial"/>
                <w:i/>
                <w:iCs/>
                <w:color w:val="0000FF"/>
                <w:sz w:val="14"/>
                <w:szCs w:val="14"/>
              </w:rPr>
            </w:pPr>
            <w:r w:rsidRPr="0006760A">
              <w:rPr>
                <w:rFonts w:ascii="Arial" w:hAnsi="Arial" w:cs="Arial"/>
                <w:i/>
                <w:iCs/>
                <w:color w:val="0000FF"/>
                <w:sz w:val="14"/>
                <w:szCs w:val="14"/>
              </w:rPr>
              <w:t xml:space="preserve">   </w:t>
            </w:r>
          </w:p>
          <w:p w14:paraId="4F9B90CD" w14:textId="77777777" w:rsidR="00F5497C" w:rsidRPr="0006760A" w:rsidRDefault="00F5497C" w:rsidP="009D7A18">
            <w:pPr>
              <w:tabs>
                <w:tab w:val="left" w:pos="1525"/>
                <w:tab w:val="right" w:pos="2835"/>
              </w:tabs>
              <w:rPr>
                <w:rFonts w:ascii="Arial" w:hAnsi="Arial" w:cs="Arial"/>
                <w:i/>
                <w:iCs/>
                <w:color w:val="0000FF"/>
                <w:sz w:val="14"/>
                <w:szCs w:val="14"/>
              </w:rPr>
            </w:pPr>
          </w:p>
        </w:tc>
        <w:tc>
          <w:tcPr>
            <w:tcW w:w="3042" w:type="dxa"/>
            <w:tcBorders>
              <w:top w:val="nil"/>
              <w:left w:val="nil"/>
              <w:right w:val="nil"/>
            </w:tcBorders>
            <w:shd w:val="clear" w:color="auto" w:fill="auto"/>
          </w:tcPr>
          <w:p w14:paraId="1E0EF439"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III.1. National innovation and IP strategies and plans consistent with national development objectives </w:t>
            </w:r>
          </w:p>
          <w:p w14:paraId="3EBBE9D3" w14:textId="77777777" w:rsidR="00F5497C" w:rsidRPr="0006760A" w:rsidRDefault="00F5497C" w:rsidP="009D7A18">
            <w:pPr>
              <w:tabs>
                <w:tab w:val="left" w:pos="346"/>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10,957</w:t>
            </w:r>
            <w:r w:rsidRPr="0006760A">
              <w:rPr>
                <w:rFonts w:ascii="Arial" w:hAnsi="Arial" w:cs="Arial"/>
                <w:i/>
                <w:iCs/>
                <w:sz w:val="14"/>
                <w:szCs w:val="14"/>
              </w:rPr>
              <w:tab/>
            </w:r>
          </w:p>
          <w:p w14:paraId="4A06298E" w14:textId="77777777" w:rsidR="00F5497C" w:rsidRPr="0006760A" w:rsidRDefault="00F5497C" w:rsidP="009D7A18">
            <w:pPr>
              <w:tabs>
                <w:tab w:val="left" w:pos="350"/>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10,957</w:t>
            </w:r>
            <w:r w:rsidRPr="0006760A">
              <w:rPr>
                <w:rFonts w:ascii="Arial" w:hAnsi="Arial" w:cs="Arial"/>
                <w:i/>
                <w:iCs/>
                <w:color w:val="0000FF"/>
                <w:sz w:val="14"/>
                <w:szCs w:val="14"/>
              </w:rPr>
              <w:tab/>
            </w:r>
          </w:p>
          <w:p w14:paraId="6975079F" w14:textId="77777777" w:rsidR="00F5497C" w:rsidRPr="0006760A" w:rsidRDefault="00F5497C" w:rsidP="009D7A18">
            <w:pPr>
              <w:tabs>
                <w:tab w:val="right" w:pos="2835"/>
              </w:tabs>
              <w:rPr>
                <w:rFonts w:ascii="Arial" w:hAnsi="Arial" w:cs="Arial"/>
                <w:sz w:val="14"/>
                <w:szCs w:val="14"/>
              </w:rPr>
            </w:pPr>
          </w:p>
          <w:p w14:paraId="49B25333" w14:textId="77777777" w:rsidR="00F5497C" w:rsidRPr="0006760A" w:rsidRDefault="00F5497C" w:rsidP="009D7A18">
            <w:pPr>
              <w:tabs>
                <w:tab w:val="right" w:pos="2835"/>
              </w:tabs>
              <w:rPr>
                <w:rFonts w:ascii="Arial" w:hAnsi="Arial" w:cs="Arial"/>
                <w:sz w:val="14"/>
                <w:szCs w:val="14"/>
              </w:rPr>
            </w:pPr>
          </w:p>
          <w:p w14:paraId="592EAFB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III.2. Enhanced human resource capacities able to deal with the broad range of requirements for the effective use of IP for development in developing countries, LDCs and countries with economies in transition</w:t>
            </w:r>
          </w:p>
          <w:p w14:paraId="6F1786F9"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39,734</w:t>
            </w:r>
            <w:r w:rsidRPr="0006760A">
              <w:rPr>
                <w:rFonts w:ascii="Arial" w:hAnsi="Arial" w:cs="Arial"/>
                <w:i/>
                <w:iCs/>
                <w:sz w:val="14"/>
                <w:szCs w:val="14"/>
              </w:rPr>
              <w:tab/>
            </w:r>
          </w:p>
          <w:p w14:paraId="74A1DE96" w14:textId="6A9802DC" w:rsidR="00F5497C" w:rsidRPr="0006760A" w:rsidRDefault="00F5497C" w:rsidP="009D7A18">
            <w:pPr>
              <w:tabs>
                <w:tab w:val="left" w:pos="350"/>
                <w:tab w:val="left" w:pos="2189"/>
                <w:tab w:val="right" w:pos="2835"/>
              </w:tabs>
              <w:rPr>
                <w:rFonts w:ascii="Arial" w:hAnsi="Arial" w:cs="Arial"/>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39,</w:t>
            </w:r>
            <w:r w:rsidR="00893F56">
              <w:rPr>
                <w:rFonts w:ascii="Arial" w:hAnsi="Arial" w:cs="Arial"/>
                <w:i/>
                <w:iCs/>
                <w:color w:val="0000FF"/>
                <w:sz w:val="14"/>
                <w:szCs w:val="14"/>
              </w:rPr>
              <w:t>322</w:t>
            </w:r>
            <w:r w:rsidRPr="0006760A">
              <w:rPr>
                <w:rFonts w:ascii="Arial" w:hAnsi="Arial" w:cs="Arial"/>
                <w:i/>
                <w:iCs/>
                <w:color w:val="0000FF"/>
                <w:sz w:val="14"/>
                <w:szCs w:val="14"/>
              </w:rPr>
              <w:tab/>
            </w:r>
          </w:p>
          <w:p w14:paraId="00E5227F" w14:textId="77777777" w:rsidR="00F5497C" w:rsidRPr="0006760A" w:rsidRDefault="00F5497C" w:rsidP="009D7A18">
            <w:pPr>
              <w:tabs>
                <w:tab w:val="right" w:pos="2835"/>
              </w:tabs>
              <w:rPr>
                <w:rFonts w:ascii="Arial" w:hAnsi="Arial" w:cs="Arial"/>
                <w:sz w:val="14"/>
                <w:szCs w:val="14"/>
              </w:rPr>
            </w:pPr>
          </w:p>
          <w:p w14:paraId="71691B4E"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III.3. Mainstreaming of </w:t>
            </w:r>
            <w:r>
              <w:rPr>
                <w:rFonts w:ascii="Arial" w:hAnsi="Arial" w:cs="Arial"/>
                <w:sz w:val="14"/>
                <w:szCs w:val="14"/>
              </w:rPr>
              <w:t xml:space="preserve">the </w:t>
            </w:r>
            <w:r w:rsidRPr="0006760A">
              <w:rPr>
                <w:rFonts w:ascii="Arial" w:hAnsi="Arial" w:cs="Arial"/>
                <w:sz w:val="14"/>
                <w:szCs w:val="14"/>
              </w:rPr>
              <w:t xml:space="preserve">DA </w:t>
            </w:r>
            <w:r>
              <w:rPr>
                <w:rFonts w:ascii="Arial" w:hAnsi="Arial" w:cs="Arial"/>
                <w:sz w:val="14"/>
                <w:szCs w:val="14"/>
              </w:rPr>
              <w:t>r</w:t>
            </w:r>
            <w:r w:rsidRPr="0006760A">
              <w:rPr>
                <w:rFonts w:ascii="Arial" w:hAnsi="Arial" w:cs="Arial"/>
                <w:sz w:val="14"/>
                <w:szCs w:val="14"/>
              </w:rPr>
              <w:t>ecommendations in the work of WIPO</w:t>
            </w:r>
          </w:p>
          <w:p w14:paraId="68496FE1"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2,492</w:t>
            </w:r>
            <w:r w:rsidRPr="0006760A">
              <w:rPr>
                <w:rFonts w:ascii="Arial" w:hAnsi="Arial" w:cs="Arial"/>
                <w:i/>
                <w:iCs/>
                <w:sz w:val="14"/>
                <w:szCs w:val="14"/>
              </w:rPr>
              <w:tab/>
            </w:r>
          </w:p>
          <w:p w14:paraId="6455E95F" w14:textId="77777777" w:rsidR="00F5497C" w:rsidRPr="0006760A" w:rsidRDefault="00F5497C" w:rsidP="009D7A18">
            <w:pPr>
              <w:tabs>
                <w:tab w:val="left" w:pos="325"/>
                <w:tab w:val="left" w:pos="2189"/>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2,492</w:t>
            </w:r>
          </w:p>
          <w:p w14:paraId="4EE6CB29" w14:textId="77777777" w:rsidR="00F5497C" w:rsidRPr="00BA7A47" w:rsidRDefault="00F5497C" w:rsidP="009D7A18">
            <w:pPr>
              <w:tabs>
                <w:tab w:val="right" w:pos="2835"/>
              </w:tabs>
              <w:rPr>
                <w:rFonts w:ascii="Arial" w:hAnsi="Arial" w:cs="Arial"/>
                <w:color w:val="999999"/>
                <w:sz w:val="14"/>
                <w:szCs w:val="14"/>
              </w:rPr>
            </w:pPr>
          </w:p>
          <w:p w14:paraId="070CC215" w14:textId="77777777" w:rsidR="00F5497C" w:rsidRPr="00BA7A47" w:rsidRDefault="00F5497C" w:rsidP="009D7A18">
            <w:pPr>
              <w:tabs>
                <w:tab w:val="right" w:pos="2835"/>
              </w:tabs>
              <w:rPr>
                <w:rFonts w:ascii="Arial" w:hAnsi="Arial" w:cs="Arial"/>
                <w:color w:val="999999"/>
                <w:sz w:val="14"/>
                <w:szCs w:val="14"/>
              </w:rPr>
            </w:pPr>
          </w:p>
          <w:p w14:paraId="0F7E5F79" w14:textId="00EB3900"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III.4. Strengthened cooperation mechanisms and programs tailored to the needs of developing countries</w:t>
            </w:r>
            <w:r w:rsidR="000D3DC0">
              <w:rPr>
                <w:rFonts w:ascii="Arial" w:hAnsi="Arial" w:cs="Arial"/>
                <w:sz w:val="14"/>
                <w:szCs w:val="14"/>
              </w:rPr>
              <w:t xml:space="preserve">, </w:t>
            </w:r>
            <w:r w:rsidR="00B26CA4" w:rsidRPr="0006760A">
              <w:rPr>
                <w:rFonts w:ascii="Arial" w:hAnsi="Arial" w:cs="Arial"/>
                <w:sz w:val="14"/>
                <w:szCs w:val="14"/>
              </w:rPr>
              <w:t>LDCs</w:t>
            </w:r>
            <w:r w:rsidR="00B26CA4">
              <w:rPr>
                <w:rFonts w:ascii="Arial" w:hAnsi="Arial" w:cs="Arial"/>
                <w:sz w:val="14"/>
                <w:szCs w:val="14"/>
              </w:rPr>
              <w:t xml:space="preserve"> and countries with economies in transition</w:t>
            </w:r>
          </w:p>
          <w:p w14:paraId="7E214F23" w14:textId="77777777" w:rsidR="00F5497C" w:rsidRPr="0006760A" w:rsidRDefault="00F5497C" w:rsidP="009D7A18">
            <w:pPr>
              <w:tabs>
                <w:tab w:val="left" w:pos="338"/>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6,273</w:t>
            </w:r>
            <w:r w:rsidRPr="0006760A">
              <w:rPr>
                <w:rFonts w:ascii="Arial" w:hAnsi="Arial" w:cs="Arial"/>
                <w:i/>
                <w:iCs/>
                <w:sz w:val="14"/>
                <w:szCs w:val="14"/>
              </w:rPr>
              <w:tab/>
            </w:r>
          </w:p>
          <w:p w14:paraId="5EE5FC08" w14:textId="77777777" w:rsidR="00F5497C" w:rsidRPr="0006760A" w:rsidRDefault="00F5497C" w:rsidP="009D7A18">
            <w:pPr>
              <w:tabs>
                <w:tab w:val="left" w:pos="338"/>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5,853</w:t>
            </w:r>
          </w:p>
          <w:p w14:paraId="3802A496" w14:textId="77777777" w:rsidR="00F5497C" w:rsidRDefault="00F5497C" w:rsidP="009D7A18">
            <w:pPr>
              <w:tabs>
                <w:tab w:val="left" w:pos="1525"/>
                <w:tab w:val="right" w:pos="2835"/>
              </w:tabs>
              <w:rPr>
                <w:rFonts w:ascii="Arial" w:hAnsi="Arial" w:cs="Arial"/>
                <w:color w:val="0000FF"/>
                <w:sz w:val="14"/>
                <w:szCs w:val="14"/>
              </w:rPr>
            </w:pPr>
          </w:p>
          <w:p w14:paraId="5870D4A0" w14:textId="77777777" w:rsidR="00F5497C" w:rsidRPr="0006760A" w:rsidRDefault="00F5497C" w:rsidP="009D7A18">
            <w:pPr>
              <w:tabs>
                <w:tab w:val="left" w:pos="1525"/>
                <w:tab w:val="right" w:pos="2835"/>
              </w:tabs>
              <w:rPr>
                <w:rFonts w:ascii="Arial" w:hAnsi="Arial" w:cs="Arial"/>
                <w:color w:val="0000FF"/>
                <w:sz w:val="14"/>
                <w:szCs w:val="14"/>
              </w:rPr>
            </w:pPr>
          </w:p>
          <w:p w14:paraId="7B99D88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w:t>
            </w:r>
            <w:r>
              <w:rPr>
                <w:rFonts w:ascii="Arial" w:hAnsi="Arial" w:cs="Arial"/>
                <w:sz w:val="14"/>
                <w:szCs w:val="14"/>
              </w:rPr>
              <w:t>5</w:t>
            </w:r>
            <w:r w:rsidRPr="0006760A">
              <w:rPr>
                <w:rFonts w:ascii="Arial" w:hAnsi="Arial" w:cs="Arial"/>
                <w:sz w:val="14"/>
                <w:szCs w:val="14"/>
              </w:rPr>
              <w:t xml:space="preserve">. </w:t>
            </w:r>
            <w:r>
              <w:rPr>
                <w:rFonts w:ascii="Arial" w:hAnsi="Arial" w:cs="Arial"/>
                <w:sz w:val="14"/>
                <w:szCs w:val="14"/>
              </w:rPr>
              <w:t>Enhanced understanding of the DA by Member States, IGOs, civil society and other stakeholders</w:t>
            </w:r>
          </w:p>
          <w:p w14:paraId="5815EF5E" w14:textId="77777777" w:rsidR="00F5497C" w:rsidRPr="0006760A" w:rsidRDefault="00F5497C" w:rsidP="009D7A18">
            <w:pPr>
              <w:tabs>
                <w:tab w:val="left" w:pos="338"/>
                <w:tab w:val="left" w:pos="2189"/>
                <w:tab w:val="right" w:pos="2835"/>
              </w:tabs>
              <w:rPr>
                <w:rFonts w:ascii="Arial" w:hAnsi="Arial" w:cs="Arial"/>
                <w:i/>
                <w:iCs/>
                <w:sz w:val="14"/>
                <w:szCs w:val="14"/>
              </w:rPr>
            </w:pPr>
            <w:r>
              <w:rPr>
                <w:rFonts w:ascii="Arial" w:hAnsi="Arial" w:cs="Arial"/>
                <w:i/>
                <w:iCs/>
                <w:sz w:val="14"/>
                <w:szCs w:val="14"/>
              </w:rPr>
              <w:tab/>
              <w:t xml:space="preserve">Proposed Budget 16/17:          1,393 </w:t>
            </w:r>
          </w:p>
          <w:p w14:paraId="5C8CC7EE" w14:textId="77777777" w:rsidR="00F5497C" w:rsidRPr="0006760A" w:rsidRDefault="00F5497C" w:rsidP="009D7A18">
            <w:pPr>
              <w:tabs>
                <w:tab w:val="left" w:pos="338"/>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1,393</w:t>
            </w:r>
          </w:p>
          <w:p w14:paraId="1FDEED0C" w14:textId="77777777" w:rsidR="00F5497C" w:rsidRDefault="00F5497C" w:rsidP="009D7A18">
            <w:pPr>
              <w:tabs>
                <w:tab w:val="right" w:pos="2835"/>
              </w:tabs>
              <w:spacing w:after="60"/>
              <w:rPr>
                <w:rFonts w:ascii="Arial" w:hAnsi="Arial" w:cs="Arial"/>
                <w:sz w:val="14"/>
                <w:szCs w:val="14"/>
              </w:rPr>
            </w:pPr>
          </w:p>
          <w:p w14:paraId="4638BB4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w:t>
            </w:r>
            <w:r>
              <w:rPr>
                <w:rFonts w:ascii="Arial" w:hAnsi="Arial" w:cs="Arial"/>
                <w:sz w:val="14"/>
                <w:szCs w:val="14"/>
              </w:rPr>
              <w:t>6</w:t>
            </w:r>
            <w:r w:rsidRPr="0006760A">
              <w:rPr>
                <w:rFonts w:ascii="Arial" w:hAnsi="Arial" w:cs="Arial"/>
                <w:sz w:val="14"/>
                <w:szCs w:val="14"/>
              </w:rPr>
              <w:t xml:space="preserve">. </w:t>
            </w:r>
            <w:r>
              <w:rPr>
                <w:rFonts w:ascii="Arial" w:hAnsi="Arial" w:cs="Arial"/>
                <w:sz w:val="14"/>
                <w:szCs w:val="14"/>
              </w:rPr>
              <w:t>Increased capacity of SMEs to successfully use IP to support innovation</w:t>
            </w:r>
          </w:p>
          <w:p w14:paraId="09765FEE" w14:textId="64B2A263" w:rsidR="00F5497C" w:rsidRPr="0006760A" w:rsidRDefault="00F5497C" w:rsidP="009D7A18">
            <w:pPr>
              <w:tabs>
                <w:tab w:val="left" w:pos="338"/>
                <w:tab w:val="left" w:pos="2189"/>
                <w:tab w:val="right" w:pos="2835"/>
              </w:tabs>
              <w:rPr>
                <w:rFonts w:ascii="Arial" w:hAnsi="Arial" w:cs="Arial"/>
                <w:i/>
                <w:iCs/>
                <w:color w:val="0000FF"/>
                <w:sz w:val="14"/>
                <w:szCs w:val="14"/>
              </w:rPr>
            </w:pPr>
            <w:r>
              <w:rPr>
                <w:rFonts w:ascii="Arial" w:hAnsi="Arial" w:cs="Arial"/>
                <w:i/>
                <w:iCs/>
                <w:sz w:val="14"/>
                <w:szCs w:val="14"/>
              </w:rPr>
              <w:tab/>
              <w:t>Proposed Budget 16/17:           3,125</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3,</w:t>
            </w:r>
            <w:r w:rsidR="00893F56">
              <w:rPr>
                <w:rFonts w:ascii="Arial" w:hAnsi="Arial" w:cs="Arial"/>
                <w:i/>
                <w:iCs/>
                <w:color w:val="0000FF"/>
                <w:sz w:val="14"/>
                <w:szCs w:val="14"/>
              </w:rPr>
              <w:t>125</w:t>
            </w:r>
          </w:p>
          <w:p w14:paraId="1D4AD09B" w14:textId="77777777" w:rsidR="00F5497C" w:rsidRPr="0006760A" w:rsidRDefault="00F5497C" w:rsidP="009D7A18">
            <w:pPr>
              <w:tabs>
                <w:tab w:val="left" w:pos="346"/>
                <w:tab w:val="left" w:pos="1525"/>
                <w:tab w:val="right" w:pos="2835"/>
              </w:tabs>
              <w:rPr>
                <w:rFonts w:ascii="Arial" w:hAnsi="Arial" w:cs="Arial"/>
                <w:sz w:val="14"/>
                <w:szCs w:val="14"/>
              </w:rPr>
            </w:pPr>
          </w:p>
        </w:tc>
        <w:tc>
          <w:tcPr>
            <w:tcW w:w="3041" w:type="dxa"/>
            <w:tcBorders>
              <w:top w:val="nil"/>
              <w:left w:val="nil"/>
              <w:right w:val="nil"/>
            </w:tcBorders>
            <w:shd w:val="clear" w:color="auto" w:fill="auto"/>
          </w:tcPr>
          <w:p w14:paraId="5A31850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IV.1. Updated and globally accepted system of international classifications and WIPO standards to facilitate access, use and dissemination of IP information among stakeholders in the world</w:t>
            </w:r>
          </w:p>
          <w:p w14:paraId="38CA2D26"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7,070</w:t>
            </w:r>
            <w:r w:rsidRPr="0006760A">
              <w:rPr>
                <w:rFonts w:ascii="Arial" w:hAnsi="Arial" w:cs="Arial"/>
                <w:i/>
                <w:iCs/>
                <w:sz w:val="14"/>
                <w:szCs w:val="14"/>
              </w:rPr>
              <w:tab/>
            </w:r>
          </w:p>
          <w:p w14:paraId="3F32D416" w14:textId="77777777" w:rsidR="00F5497C" w:rsidRPr="0006760A" w:rsidRDefault="00F5497C" w:rsidP="009D7A18">
            <w:pPr>
              <w:tabs>
                <w:tab w:val="left" w:pos="378"/>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1,078</w:t>
            </w:r>
            <w:r w:rsidRPr="0006760A">
              <w:rPr>
                <w:rFonts w:ascii="Arial" w:hAnsi="Arial" w:cs="Arial"/>
                <w:i/>
                <w:iCs/>
                <w:color w:val="0000FF"/>
                <w:sz w:val="14"/>
                <w:szCs w:val="14"/>
              </w:rPr>
              <w:tab/>
              <w:t> </w:t>
            </w:r>
          </w:p>
          <w:p w14:paraId="1BFF1C32" w14:textId="77777777" w:rsidR="00F5497C" w:rsidRPr="0006760A" w:rsidRDefault="00F5497C" w:rsidP="009D7A18">
            <w:pPr>
              <w:tabs>
                <w:tab w:val="right" w:pos="2835"/>
              </w:tabs>
              <w:rPr>
                <w:rFonts w:ascii="Arial" w:hAnsi="Arial" w:cs="Arial"/>
                <w:sz w:val="14"/>
                <w:szCs w:val="14"/>
              </w:rPr>
            </w:pPr>
            <w:r>
              <w:rPr>
                <w:noProof/>
                <w:lang w:eastAsia="en-US"/>
              </w:rPr>
              <mc:AlternateContent>
                <mc:Choice Requires="wps">
                  <w:drawing>
                    <wp:anchor distT="4294967295" distB="4294967295" distL="114299" distR="114299" simplePos="0" relativeHeight="251671552" behindDoc="0" locked="0" layoutInCell="0" allowOverlap="1" wp14:anchorId="504F476F" wp14:editId="0C743BDA">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14:paraId="24E9799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IV.2. Enhanced access to, and use of, IP information by IP institutions and the public to promote innovation and creativity </w:t>
            </w:r>
          </w:p>
          <w:p w14:paraId="2BEA5E03"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22,539</w:t>
            </w:r>
          </w:p>
          <w:p w14:paraId="59256FDB" w14:textId="77777777" w:rsidR="00F5497C" w:rsidRPr="0006760A" w:rsidRDefault="00F5497C" w:rsidP="009D7A18">
            <w:pPr>
              <w:tabs>
                <w:tab w:val="left" w:pos="366"/>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16,937</w:t>
            </w:r>
            <w:r w:rsidRPr="0006760A">
              <w:rPr>
                <w:rFonts w:ascii="Arial" w:hAnsi="Arial" w:cs="Arial"/>
                <w:i/>
                <w:iCs/>
                <w:color w:val="0000FF"/>
                <w:sz w:val="14"/>
                <w:szCs w:val="14"/>
              </w:rPr>
              <w:tab/>
            </w:r>
          </w:p>
          <w:p w14:paraId="0C410B70" w14:textId="77777777" w:rsidR="00F5497C" w:rsidRPr="0006760A" w:rsidRDefault="00F5497C" w:rsidP="009D7A18">
            <w:pPr>
              <w:tabs>
                <w:tab w:val="right" w:pos="2835"/>
              </w:tabs>
              <w:rPr>
                <w:rFonts w:ascii="Arial" w:hAnsi="Arial" w:cs="Arial"/>
                <w:sz w:val="14"/>
                <w:szCs w:val="14"/>
              </w:rPr>
            </w:pPr>
          </w:p>
          <w:p w14:paraId="36608A3A" w14:textId="77777777" w:rsidR="00F5497C" w:rsidRPr="0006760A" w:rsidRDefault="00F5497C" w:rsidP="009D7A18">
            <w:pPr>
              <w:tabs>
                <w:tab w:val="right" w:pos="2835"/>
              </w:tabs>
              <w:rPr>
                <w:rFonts w:ascii="Arial" w:hAnsi="Arial" w:cs="Arial"/>
                <w:sz w:val="14"/>
                <w:szCs w:val="14"/>
              </w:rPr>
            </w:pPr>
          </w:p>
          <w:p w14:paraId="30A391F0"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IV.3. Broad geographical coverage of the content and use of WIPO Global IP Databases </w:t>
            </w:r>
          </w:p>
          <w:p w14:paraId="0E2266E1" w14:textId="77777777" w:rsidR="00F5497C" w:rsidRPr="0006760A" w:rsidRDefault="00F5497C" w:rsidP="009D7A18">
            <w:pPr>
              <w:tabs>
                <w:tab w:val="left" w:pos="366"/>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1,956</w:t>
            </w:r>
            <w:r w:rsidRPr="0006760A">
              <w:rPr>
                <w:rFonts w:ascii="Arial" w:hAnsi="Arial" w:cs="Arial"/>
                <w:i/>
                <w:iCs/>
                <w:sz w:val="14"/>
                <w:szCs w:val="14"/>
              </w:rPr>
              <w:tab/>
            </w:r>
          </w:p>
          <w:p w14:paraId="58D16C2D" w14:textId="77777777" w:rsidR="00F5497C" w:rsidRPr="0006760A" w:rsidRDefault="00F5497C" w:rsidP="009D7A18">
            <w:pPr>
              <w:tabs>
                <w:tab w:val="left" w:pos="378"/>
                <w:tab w:val="left" w:pos="234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489</w:t>
            </w:r>
            <w:r w:rsidRPr="0006760A">
              <w:rPr>
                <w:rFonts w:ascii="Arial" w:hAnsi="Arial" w:cs="Arial"/>
                <w:i/>
                <w:iCs/>
                <w:color w:val="0000FF"/>
                <w:sz w:val="14"/>
                <w:szCs w:val="14"/>
              </w:rPr>
              <w:tab/>
              <w:t xml:space="preserve">   </w:t>
            </w:r>
          </w:p>
          <w:p w14:paraId="752FDB27" w14:textId="77777777" w:rsidR="00F5497C" w:rsidRPr="0006760A" w:rsidRDefault="00F5497C" w:rsidP="009D7A18">
            <w:pPr>
              <w:tabs>
                <w:tab w:val="right" w:pos="2835"/>
              </w:tabs>
              <w:rPr>
                <w:rFonts w:ascii="Arial" w:hAnsi="Arial" w:cs="Arial"/>
                <w:sz w:val="14"/>
                <w:szCs w:val="14"/>
              </w:rPr>
            </w:pPr>
          </w:p>
          <w:p w14:paraId="47F75B1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IV.4. Enhanced technical and knowledge infrastructure for IP Offices and other IP institutions leading to better services (cheaper, faster, higher quality) to their stakeholders</w:t>
            </w:r>
            <w:r>
              <w:rPr>
                <w:rFonts w:ascii="Arial" w:hAnsi="Arial" w:cs="Arial"/>
                <w:sz w:val="14"/>
                <w:szCs w:val="14"/>
              </w:rPr>
              <w:t xml:space="preserve"> and better outcome of IP administration</w:t>
            </w:r>
          </w:p>
          <w:p w14:paraId="776E0E77" w14:textId="77777777" w:rsidR="00F5497C" w:rsidRPr="0006760A" w:rsidRDefault="00F5497C" w:rsidP="009D7A18">
            <w:pPr>
              <w:tabs>
                <w:tab w:val="left" w:pos="353"/>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15,409</w:t>
            </w:r>
            <w:r w:rsidRPr="0006760A">
              <w:rPr>
                <w:rFonts w:ascii="Arial" w:hAnsi="Arial" w:cs="Arial"/>
                <w:i/>
                <w:iCs/>
                <w:sz w:val="14"/>
                <w:szCs w:val="14"/>
              </w:rPr>
              <w:tab/>
            </w:r>
          </w:p>
          <w:p w14:paraId="542DE344" w14:textId="77777777" w:rsidR="00F5497C" w:rsidRPr="0006760A" w:rsidRDefault="00F5497C" w:rsidP="009D7A18">
            <w:pPr>
              <w:tabs>
                <w:tab w:val="left" w:pos="366"/>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13,499</w:t>
            </w:r>
          </w:p>
        </w:tc>
        <w:tc>
          <w:tcPr>
            <w:tcW w:w="3040" w:type="dxa"/>
            <w:tcBorders>
              <w:top w:val="nil"/>
              <w:left w:val="nil"/>
              <w:right w:val="nil"/>
            </w:tcBorders>
            <w:shd w:val="clear" w:color="auto" w:fill="auto"/>
          </w:tcPr>
          <w:p w14:paraId="7F74811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V.1. Wider and better use of WIPO IP statistical information </w:t>
            </w:r>
          </w:p>
          <w:p w14:paraId="338943F2" w14:textId="77777777" w:rsidR="00F5497C" w:rsidRPr="0006760A" w:rsidRDefault="00F5497C" w:rsidP="009D7A18">
            <w:pPr>
              <w:tabs>
                <w:tab w:val="left" w:pos="381"/>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2,677</w:t>
            </w:r>
            <w:r w:rsidRPr="0006760A">
              <w:rPr>
                <w:rFonts w:ascii="Arial" w:hAnsi="Arial" w:cs="Arial"/>
                <w:i/>
                <w:iCs/>
                <w:sz w:val="14"/>
                <w:szCs w:val="14"/>
              </w:rPr>
              <w:tab/>
            </w:r>
          </w:p>
          <w:p w14:paraId="340066AB" w14:textId="77777777" w:rsidR="00F5497C" w:rsidRPr="0006760A" w:rsidRDefault="00F5497C" w:rsidP="009D7A18">
            <w:pPr>
              <w:tabs>
                <w:tab w:val="left" w:pos="368"/>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p>
          <w:p w14:paraId="0E6F7A1A" w14:textId="77777777" w:rsidR="00F5497C" w:rsidRPr="0006760A" w:rsidRDefault="00F5497C" w:rsidP="009D7A18">
            <w:pPr>
              <w:tabs>
                <w:tab w:val="right" w:pos="2835"/>
              </w:tabs>
              <w:rPr>
                <w:rFonts w:ascii="Arial" w:hAnsi="Arial" w:cs="Arial"/>
                <w:sz w:val="14"/>
                <w:szCs w:val="14"/>
              </w:rPr>
            </w:pPr>
          </w:p>
          <w:p w14:paraId="65ABF1F6" w14:textId="77777777" w:rsidR="00F5497C" w:rsidRPr="0006760A" w:rsidRDefault="00F5497C" w:rsidP="009D7A18">
            <w:pPr>
              <w:tabs>
                <w:tab w:val="right" w:pos="2835"/>
              </w:tabs>
              <w:rPr>
                <w:rFonts w:ascii="Arial" w:hAnsi="Arial" w:cs="Arial"/>
                <w:sz w:val="14"/>
                <w:szCs w:val="14"/>
              </w:rPr>
            </w:pPr>
          </w:p>
          <w:p w14:paraId="106E6541" w14:textId="77777777" w:rsidR="00F5497C" w:rsidRPr="0006760A" w:rsidRDefault="00F5497C" w:rsidP="009D7A18">
            <w:pPr>
              <w:tabs>
                <w:tab w:val="right" w:pos="2835"/>
              </w:tabs>
              <w:rPr>
                <w:rFonts w:ascii="Arial" w:hAnsi="Arial" w:cs="Arial"/>
                <w:sz w:val="14"/>
                <w:szCs w:val="14"/>
              </w:rPr>
            </w:pPr>
          </w:p>
          <w:p w14:paraId="762F1DE4"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V.2. Wider and better use of WIPO economic analysis in policy formulation </w:t>
            </w:r>
          </w:p>
          <w:p w14:paraId="089AA546" w14:textId="77777777" w:rsidR="00F5497C" w:rsidRPr="0006760A" w:rsidRDefault="00F5497C" w:rsidP="009D7A18">
            <w:pPr>
              <w:tabs>
                <w:tab w:val="left" w:pos="381"/>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3,395</w:t>
            </w:r>
            <w:r w:rsidRPr="0006760A">
              <w:rPr>
                <w:rFonts w:ascii="Arial" w:hAnsi="Arial" w:cs="Arial"/>
                <w:i/>
                <w:iCs/>
                <w:sz w:val="14"/>
                <w:szCs w:val="14"/>
              </w:rPr>
              <w:tab/>
            </w:r>
          </w:p>
          <w:p w14:paraId="2FC3220E" w14:textId="77777777" w:rsidR="00F5497C" w:rsidRPr="0006760A" w:rsidRDefault="00F5497C" w:rsidP="009D7A18">
            <w:pPr>
              <w:tabs>
                <w:tab w:val="left" w:pos="381"/>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1,525</w:t>
            </w:r>
            <w:r w:rsidRPr="0006760A">
              <w:rPr>
                <w:rFonts w:ascii="Arial" w:hAnsi="Arial" w:cs="Arial"/>
                <w:i/>
                <w:iCs/>
                <w:color w:val="0000FF"/>
                <w:sz w:val="14"/>
                <w:szCs w:val="14"/>
              </w:rPr>
              <w:tab/>
            </w:r>
          </w:p>
          <w:p w14:paraId="6BFE52B1" w14:textId="77777777" w:rsidR="00F5497C" w:rsidRPr="0006760A" w:rsidRDefault="00F5497C" w:rsidP="009D7A18">
            <w:pPr>
              <w:tabs>
                <w:tab w:val="right" w:pos="2835"/>
              </w:tabs>
              <w:rPr>
                <w:rFonts w:ascii="Arial" w:hAnsi="Arial" w:cs="Arial"/>
                <w:sz w:val="14"/>
                <w:szCs w:val="14"/>
              </w:rPr>
            </w:pPr>
          </w:p>
          <w:p w14:paraId="16B747D0" w14:textId="77777777" w:rsidR="00F5497C" w:rsidRPr="0006760A" w:rsidRDefault="00F5497C" w:rsidP="009D7A18">
            <w:pPr>
              <w:tabs>
                <w:tab w:val="left" w:pos="1525"/>
                <w:tab w:val="right" w:pos="2835"/>
              </w:tabs>
              <w:rPr>
                <w:rFonts w:ascii="Arial" w:hAnsi="Arial" w:cs="Arial"/>
                <w:color w:val="0000FF"/>
                <w:sz w:val="14"/>
                <w:szCs w:val="14"/>
              </w:rPr>
            </w:pPr>
          </w:p>
        </w:tc>
        <w:tc>
          <w:tcPr>
            <w:tcW w:w="3041" w:type="dxa"/>
            <w:tcBorders>
              <w:top w:val="nil"/>
              <w:left w:val="nil"/>
              <w:right w:val="nil"/>
            </w:tcBorders>
            <w:shd w:val="clear" w:color="auto" w:fill="auto"/>
          </w:tcPr>
          <w:p w14:paraId="104AC59D" w14:textId="77777777" w:rsidR="00F5497C" w:rsidRPr="0006760A" w:rsidRDefault="00F5497C" w:rsidP="009D7A18">
            <w:pPr>
              <w:tabs>
                <w:tab w:val="left" w:pos="395"/>
                <w:tab w:val="right" w:pos="2835"/>
              </w:tabs>
              <w:spacing w:after="60"/>
              <w:rPr>
                <w:rFonts w:ascii="Arial" w:hAnsi="Arial" w:cs="Arial"/>
                <w:sz w:val="14"/>
                <w:szCs w:val="14"/>
              </w:rPr>
            </w:pPr>
            <w:r w:rsidRPr="0006760A">
              <w:rPr>
                <w:rFonts w:ascii="Arial" w:hAnsi="Arial" w:cs="Arial"/>
                <w:sz w:val="14"/>
                <w:szCs w:val="14"/>
              </w:rPr>
              <w:br/>
              <w:t>VI.1. Progress in the international policy dialogue among WIPO Member States on building respect for IP, guided by Recommendation 45 of the WIPO Development Agenda</w:t>
            </w:r>
          </w:p>
          <w:p w14:paraId="1F8BE3B7" w14:textId="77777777" w:rsidR="00F5497C" w:rsidRPr="0006760A" w:rsidRDefault="00F5497C" w:rsidP="009D7A18">
            <w:pPr>
              <w:tabs>
                <w:tab w:val="left" w:pos="384"/>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756</w:t>
            </w:r>
            <w:r w:rsidRPr="0006760A">
              <w:rPr>
                <w:rFonts w:ascii="Arial" w:hAnsi="Arial" w:cs="Arial"/>
                <w:i/>
                <w:iCs/>
                <w:sz w:val="14"/>
                <w:szCs w:val="14"/>
              </w:rPr>
              <w:tab/>
            </w:r>
          </w:p>
          <w:p w14:paraId="54ABA87D" w14:textId="77777777" w:rsidR="00F5497C" w:rsidRPr="0006760A" w:rsidRDefault="00F5497C" w:rsidP="009D7A18">
            <w:pPr>
              <w:tabs>
                <w:tab w:val="left" w:pos="395"/>
                <w:tab w:val="left" w:pos="2237"/>
                <w:tab w:val="right" w:pos="2835"/>
              </w:tabs>
              <w:rPr>
                <w:rFonts w:ascii="Arial" w:hAnsi="Arial" w:cs="Arial"/>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507</w:t>
            </w:r>
          </w:p>
          <w:p w14:paraId="586BA86A" w14:textId="77777777" w:rsidR="00F5497C" w:rsidRPr="0006760A" w:rsidRDefault="00F5497C" w:rsidP="009D7A18">
            <w:pPr>
              <w:tabs>
                <w:tab w:val="right" w:pos="2835"/>
              </w:tabs>
              <w:rPr>
                <w:rFonts w:ascii="Arial" w:hAnsi="Arial" w:cs="Arial"/>
                <w:sz w:val="14"/>
                <w:szCs w:val="14"/>
              </w:rPr>
            </w:pPr>
          </w:p>
          <w:p w14:paraId="3528BEA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VI.2. Systematic</w:t>
            </w:r>
            <w:r>
              <w:rPr>
                <w:rFonts w:ascii="Arial" w:hAnsi="Arial" w:cs="Arial"/>
                <w:sz w:val="14"/>
                <w:szCs w:val="14"/>
              </w:rPr>
              <w:t xml:space="preserve">, </w:t>
            </w:r>
            <w:r w:rsidRPr="0006760A">
              <w:rPr>
                <w:rFonts w:ascii="Arial" w:hAnsi="Arial" w:cs="Arial"/>
                <w:sz w:val="14"/>
                <w:szCs w:val="14"/>
              </w:rPr>
              <w:t>effective</w:t>
            </w:r>
            <w:r>
              <w:rPr>
                <w:rFonts w:ascii="Arial" w:hAnsi="Arial" w:cs="Arial"/>
                <w:sz w:val="14"/>
                <w:szCs w:val="14"/>
              </w:rPr>
              <w:t xml:space="preserve"> and transparent</w:t>
            </w:r>
            <w:r w:rsidRPr="0006760A">
              <w:rPr>
                <w:rFonts w:ascii="Arial" w:hAnsi="Arial" w:cs="Arial"/>
                <w:sz w:val="14"/>
                <w:szCs w:val="14"/>
              </w:rPr>
              <w:t xml:space="preserve"> cooperation and coordination between the work of WIPO and other international organizations in the field of building respect for IP</w:t>
            </w:r>
          </w:p>
          <w:p w14:paraId="7726E5D4" w14:textId="77777777" w:rsidR="00F5497C" w:rsidRPr="0006760A" w:rsidRDefault="00F5497C" w:rsidP="009D7A18">
            <w:pPr>
              <w:tabs>
                <w:tab w:val="left" w:pos="397"/>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1,308</w:t>
            </w:r>
            <w:r w:rsidRPr="0006760A">
              <w:rPr>
                <w:rFonts w:ascii="Arial" w:hAnsi="Arial" w:cs="Arial"/>
                <w:i/>
                <w:iCs/>
                <w:sz w:val="14"/>
                <w:szCs w:val="14"/>
              </w:rPr>
              <w:tab/>
            </w:r>
          </w:p>
          <w:p w14:paraId="2A4BFC10" w14:textId="77777777" w:rsidR="00F5497C" w:rsidRPr="0006760A" w:rsidRDefault="00F5497C" w:rsidP="009D7A18">
            <w:pPr>
              <w:tabs>
                <w:tab w:val="left" w:pos="384"/>
                <w:tab w:val="left" w:pos="2237"/>
                <w:tab w:val="right" w:pos="2835"/>
              </w:tabs>
              <w:rPr>
                <w:rFonts w:ascii="Arial" w:hAnsi="Arial" w:cs="Arial"/>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981</w:t>
            </w:r>
            <w:r w:rsidRPr="0006760A">
              <w:rPr>
                <w:rFonts w:ascii="Arial" w:hAnsi="Arial" w:cs="Arial"/>
                <w:i/>
                <w:iCs/>
                <w:color w:val="0000FF"/>
                <w:sz w:val="14"/>
                <w:szCs w:val="14"/>
              </w:rPr>
              <w:t xml:space="preserve">   </w:t>
            </w:r>
          </w:p>
        </w:tc>
        <w:tc>
          <w:tcPr>
            <w:tcW w:w="3044" w:type="dxa"/>
            <w:tcBorders>
              <w:top w:val="nil"/>
              <w:left w:val="nil"/>
              <w:right w:val="single" w:sz="4" w:space="0" w:color="auto"/>
            </w:tcBorders>
            <w:shd w:val="clear" w:color="auto" w:fill="auto"/>
          </w:tcPr>
          <w:p w14:paraId="4011CA01"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 </w:t>
            </w:r>
          </w:p>
          <w:p w14:paraId="057F5A30"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VII.2. </w:t>
            </w:r>
            <w:r>
              <w:rPr>
                <w:rFonts w:ascii="Arial" w:hAnsi="Arial" w:cs="Arial"/>
                <w:sz w:val="14"/>
                <w:szCs w:val="14"/>
              </w:rPr>
              <w:t>IP-based platforms and tools for knowledge transfer, technology adaptation and diffusion from developed to developing countries, particularly least developed countries, to address global challenges</w:t>
            </w:r>
            <w:r w:rsidRPr="0006760A">
              <w:rPr>
                <w:rFonts w:ascii="Arial" w:hAnsi="Arial" w:cs="Arial"/>
                <w:sz w:val="14"/>
                <w:szCs w:val="14"/>
              </w:rPr>
              <w:t xml:space="preserve"> </w:t>
            </w:r>
          </w:p>
          <w:p w14:paraId="01B3A468" w14:textId="77777777" w:rsidR="00F5497C" w:rsidRPr="0006760A" w:rsidRDefault="00F5497C" w:rsidP="009D7A18">
            <w:pPr>
              <w:tabs>
                <w:tab w:val="left" w:pos="424"/>
                <w:tab w:val="left" w:pos="225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3,950</w:t>
            </w:r>
            <w:r w:rsidRPr="0006760A">
              <w:rPr>
                <w:rFonts w:ascii="Arial" w:hAnsi="Arial" w:cs="Arial"/>
                <w:i/>
                <w:iCs/>
                <w:sz w:val="14"/>
                <w:szCs w:val="14"/>
              </w:rPr>
              <w:tab/>
            </w:r>
          </w:p>
          <w:p w14:paraId="63B6C966" w14:textId="77777777" w:rsidR="00F5497C" w:rsidRPr="0006760A" w:rsidRDefault="00F5497C" w:rsidP="009D7A18">
            <w:pPr>
              <w:tabs>
                <w:tab w:val="left" w:pos="399"/>
                <w:tab w:val="left" w:pos="225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3,016</w:t>
            </w:r>
            <w:r w:rsidRPr="0006760A">
              <w:rPr>
                <w:rFonts w:ascii="Arial" w:hAnsi="Arial" w:cs="Arial"/>
                <w:i/>
                <w:iCs/>
                <w:color w:val="0000FF"/>
                <w:sz w:val="14"/>
                <w:szCs w:val="14"/>
              </w:rPr>
              <w:tab/>
            </w:r>
          </w:p>
          <w:p w14:paraId="765940EB" w14:textId="77777777" w:rsidR="00F5497C" w:rsidRPr="0006760A" w:rsidRDefault="00F5497C" w:rsidP="009D7A18">
            <w:pPr>
              <w:tabs>
                <w:tab w:val="right" w:pos="2835"/>
              </w:tabs>
              <w:rPr>
                <w:rFonts w:ascii="Arial" w:hAnsi="Arial" w:cs="Arial"/>
                <w:sz w:val="14"/>
                <w:szCs w:val="14"/>
              </w:rPr>
            </w:pPr>
          </w:p>
          <w:p w14:paraId="591C79AC" w14:textId="77777777" w:rsidR="00F5497C" w:rsidRPr="0006760A" w:rsidRDefault="00F5497C" w:rsidP="009D7A18">
            <w:pPr>
              <w:tabs>
                <w:tab w:val="right" w:pos="2835"/>
              </w:tabs>
              <w:rPr>
                <w:rFonts w:ascii="Arial" w:hAnsi="Arial" w:cs="Arial"/>
                <w:sz w:val="14"/>
                <w:szCs w:val="14"/>
              </w:rPr>
            </w:pPr>
          </w:p>
          <w:p w14:paraId="34749087" w14:textId="77777777" w:rsidR="00F5497C" w:rsidRPr="0006760A" w:rsidRDefault="00F5497C" w:rsidP="009D7A18">
            <w:pPr>
              <w:tabs>
                <w:tab w:val="left" w:pos="424"/>
                <w:tab w:val="left" w:pos="2253"/>
                <w:tab w:val="right" w:pos="2835"/>
              </w:tabs>
              <w:rPr>
                <w:rFonts w:ascii="Arial" w:hAnsi="Arial" w:cs="Arial"/>
                <w:color w:val="0000FF"/>
                <w:sz w:val="14"/>
                <w:szCs w:val="14"/>
              </w:rPr>
            </w:pPr>
            <w:r w:rsidRPr="0006760A">
              <w:rPr>
                <w:rFonts w:ascii="Arial" w:hAnsi="Arial" w:cs="Arial"/>
                <w:i/>
                <w:iCs/>
                <w:color w:val="0000FF"/>
                <w:sz w:val="14"/>
                <w:szCs w:val="14"/>
              </w:rPr>
              <w:tab/>
            </w:r>
            <w:r w:rsidRPr="0006760A">
              <w:rPr>
                <w:rFonts w:ascii="Arial" w:hAnsi="Arial" w:cs="Arial"/>
                <w:i/>
                <w:iCs/>
                <w:color w:val="0000FF"/>
                <w:sz w:val="14"/>
                <w:szCs w:val="14"/>
              </w:rPr>
              <w:tab/>
            </w:r>
          </w:p>
        </w:tc>
      </w:tr>
      <w:tr w:rsidR="00F5497C" w:rsidRPr="0006760A" w14:paraId="350DC59E" w14:textId="77777777" w:rsidTr="00D74F86">
        <w:trPr>
          <w:trHeight w:val="145"/>
        </w:trPr>
        <w:tc>
          <w:tcPr>
            <w:tcW w:w="387" w:type="dxa"/>
            <w:vMerge/>
            <w:tcBorders>
              <w:top w:val="single" w:sz="8" w:space="0" w:color="auto"/>
              <w:left w:val="single" w:sz="8" w:space="0" w:color="auto"/>
              <w:bottom w:val="single" w:sz="4" w:space="0" w:color="000000"/>
              <w:right w:val="nil"/>
            </w:tcBorders>
            <w:vAlign w:val="center"/>
          </w:tcPr>
          <w:p w14:paraId="0DEE990B"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single" w:sz="4" w:space="0" w:color="auto"/>
              <w:right w:val="nil"/>
            </w:tcBorders>
            <w:shd w:val="clear" w:color="auto" w:fill="auto"/>
          </w:tcPr>
          <w:p w14:paraId="1571F152" w14:textId="77777777" w:rsidR="00F5497C" w:rsidRPr="0006760A" w:rsidRDefault="00F5497C" w:rsidP="009D7A18">
            <w:pPr>
              <w:tabs>
                <w:tab w:val="left" w:pos="2157"/>
                <w:tab w:val="right" w:pos="2835"/>
              </w:tabs>
              <w:rPr>
                <w:rFonts w:ascii="Arial" w:hAnsi="Arial" w:cs="Arial"/>
                <w:i/>
                <w:iCs/>
                <w:sz w:val="14"/>
                <w:szCs w:val="14"/>
              </w:rPr>
            </w:pPr>
            <w:r w:rsidRPr="0006760A">
              <w:rPr>
                <w:rFonts w:ascii="Arial" w:hAnsi="Arial" w:cs="Arial"/>
                <w:i/>
                <w:iCs/>
                <w:sz w:val="14"/>
                <w:szCs w:val="14"/>
              </w:rPr>
              <w:t>Total proposed budget SG I:</w:t>
            </w:r>
            <w:r w:rsidRPr="0006760A">
              <w:rPr>
                <w:rFonts w:ascii="Arial" w:hAnsi="Arial" w:cs="Arial"/>
                <w:i/>
                <w:iCs/>
                <w:sz w:val="14"/>
                <w:szCs w:val="14"/>
              </w:rPr>
              <w:tab/>
            </w:r>
            <w:r>
              <w:rPr>
                <w:rFonts w:ascii="Arial" w:hAnsi="Arial" w:cs="Arial"/>
                <w:i/>
                <w:iCs/>
                <w:sz w:val="14"/>
                <w:szCs w:val="14"/>
              </w:rPr>
              <w:t>24,762</w:t>
            </w:r>
          </w:p>
          <w:p w14:paraId="51DF2BC8" w14:textId="77777777" w:rsidR="00E62F61" w:rsidRDefault="00F5497C" w:rsidP="009D7A18">
            <w:pPr>
              <w:tabs>
                <w:tab w:val="left" w:pos="2157"/>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I:</w:t>
            </w:r>
            <w:r w:rsidRPr="0006760A">
              <w:rPr>
                <w:rFonts w:ascii="Arial" w:hAnsi="Arial" w:cs="Arial"/>
                <w:i/>
                <w:iCs/>
                <w:color w:val="0000FF"/>
                <w:sz w:val="14"/>
                <w:szCs w:val="14"/>
              </w:rPr>
              <w:tab/>
            </w:r>
            <w:r>
              <w:rPr>
                <w:rFonts w:ascii="Arial" w:hAnsi="Arial" w:cs="Arial"/>
                <w:i/>
                <w:iCs/>
                <w:color w:val="0000FF"/>
                <w:sz w:val="14"/>
                <w:szCs w:val="14"/>
              </w:rPr>
              <w:t>17,005</w:t>
            </w:r>
          </w:p>
          <w:p w14:paraId="78B47A0F" w14:textId="77777777" w:rsidR="00E62F61" w:rsidRDefault="00E62F61" w:rsidP="009D7A18">
            <w:pPr>
              <w:tabs>
                <w:tab w:val="left" w:pos="2157"/>
                <w:tab w:val="right" w:pos="2835"/>
              </w:tabs>
              <w:rPr>
                <w:rFonts w:ascii="Arial" w:hAnsi="Arial" w:cs="Arial"/>
                <w:i/>
                <w:iCs/>
                <w:color w:val="0000FF"/>
                <w:sz w:val="14"/>
                <w:szCs w:val="14"/>
              </w:rPr>
            </w:pPr>
          </w:p>
          <w:p w14:paraId="3EBB8AC2" w14:textId="77777777" w:rsidR="00E62F61" w:rsidRDefault="00E62F61" w:rsidP="009D7A18">
            <w:pPr>
              <w:tabs>
                <w:tab w:val="left" w:pos="2157"/>
                <w:tab w:val="right" w:pos="2835"/>
              </w:tabs>
              <w:rPr>
                <w:rFonts w:ascii="Arial" w:hAnsi="Arial" w:cs="Arial"/>
                <w:i/>
                <w:iCs/>
                <w:color w:val="0000FF"/>
                <w:sz w:val="14"/>
                <w:szCs w:val="14"/>
              </w:rPr>
            </w:pPr>
          </w:p>
          <w:p w14:paraId="3BC71150" w14:textId="77777777" w:rsidR="00E62F61" w:rsidRDefault="00E62F61" w:rsidP="009D7A18">
            <w:pPr>
              <w:tabs>
                <w:tab w:val="left" w:pos="2157"/>
                <w:tab w:val="right" w:pos="2835"/>
              </w:tabs>
              <w:rPr>
                <w:rFonts w:ascii="Arial" w:hAnsi="Arial" w:cs="Arial"/>
                <w:i/>
                <w:iCs/>
                <w:color w:val="0000FF"/>
                <w:sz w:val="14"/>
                <w:szCs w:val="14"/>
              </w:rPr>
            </w:pPr>
          </w:p>
          <w:p w14:paraId="5EF005EC" w14:textId="77777777" w:rsidR="00E62F61" w:rsidRDefault="00E62F61" w:rsidP="009D7A18">
            <w:pPr>
              <w:tabs>
                <w:tab w:val="left" w:pos="2157"/>
                <w:tab w:val="right" w:pos="2835"/>
              </w:tabs>
              <w:rPr>
                <w:rFonts w:ascii="Arial" w:hAnsi="Arial" w:cs="Arial"/>
                <w:i/>
                <w:iCs/>
                <w:color w:val="0000FF"/>
                <w:sz w:val="14"/>
                <w:szCs w:val="14"/>
              </w:rPr>
            </w:pPr>
          </w:p>
          <w:p w14:paraId="39202319" w14:textId="77777777" w:rsidR="00E62F61" w:rsidRDefault="00E62F61" w:rsidP="009D7A18">
            <w:pPr>
              <w:tabs>
                <w:tab w:val="left" w:pos="2157"/>
                <w:tab w:val="right" w:pos="2835"/>
              </w:tabs>
              <w:rPr>
                <w:rFonts w:ascii="Arial" w:hAnsi="Arial" w:cs="Arial"/>
                <w:i/>
                <w:iCs/>
                <w:color w:val="0000FF"/>
                <w:sz w:val="14"/>
                <w:szCs w:val="14"/>
              </w:rPr>
            </w:pPr>
          </w:p>
          <w:p w14:paraId="20EF534C" w14:textId="77777777" w:rsidR="00E62F61" w:rsidRDefault="00E62F61" w:rsidP="009D7A18">
            <w:pPr>
              <w:tabs>
                <w:tab w:val="left" w:pos="2157"/>
                <w:tab w:val="right" w:pos="2835"/>
              </w:tabs>
              <w:rPr>
                <w:rFonts w:ascii="Arial" w:hAnsi="Arial" w:cs="Arial"/>
                <w:i/>
                <w:iCs/>
                <w:color w:val="0000FF"/>
                <w:sz w:val="14"/>
                <w:szCs w:val="14"/>
              </w:rPr>
            </w:pPr>
          </w:p>
          <w:p w14:paraId="4F43A4B7" w14:textId="799F8B6B" w:rsidR="00F5497C" w:rsidRPr="0006760A" w:rsidRDefault="00F5497C" w:rsidP="009D7A18">
            <w:pPr>
              <w:tabs>
                <w:tab w:val="left" w:pos="2157"/>
                <w:tab w:val="right" w:pos="2835"/>
              </w:tabs>
              <w:rPr>
                <w:rFonts w:ascii="Arial" w:hAnsi="Arial" w:cs="Arial"/>
                <w:i/>
                <w:iCs/>
                <w:sz w:val="14"/>
                <w:szCs w:val="14"/>
              </w:rPr>
            </w:pPr>
            <w:r w:rsidRPr="0006760A">
              <w:rPr>
                <w:rFonts w:ascii="Arial" w:hAnsi="Arial" w:cs="Arial"/>
                <w:i/>
                <w:iCs/>
                <w:color w:val="0000FF"/>
                <w:sz w:val="14"/>
                <w:szCs w:val="14"/>
              </w:rPr>
              <w:br/>
            </w:r>
          </w:p>
        </w:tc>
        <w:tc>
          <w:tcPr>
            <w:tcW w:w="3041" w:type="dxa"/>
            <w:tcBorders>
              <w:top w:val="nil"/>
              <w:left w:val="nil"/>
              <w:bottom w:val="single" w:sz="4" w:space="0" w:color="auto"/>
              <w:right w:val="nil"/>
            </w:tcBorders>
            <w:shd w:val="clear" w:color="auto" w:fill="auto"/>
          </w:tcPr>
          <w:p w14:paraId="7112D6B8" w14:textId="77777777" w:rsidR="00F5497C" w:rsidRPr="0006760A" w:rsidRDefault="00F5497C" w:rsidP="009D7A18">
            <w:pPr>
              <w:tabs>
                <w:tab w:val="left" w:pos="2173"/>
                <w:tab w:val="right" w:pos="2835"/>
              </w:tabs>
              <w:rPr>
                <w:rFonts w:ascii="Arial" w:hAnsi="Arial" w:cs="Arial"/>
                <w:i/>
                <w:iCs/>
                <w:sz w:val="14"/>
                <w:szCs w:val="14"/>
              </w:rPr>
            </w:pPr>
            <w:r w:rsidRPr="0006760A">
              <w:rPr>
                <w:rFonts w:ascii="Arial" w:hAnsi="Arial" w:cs="Arial"/>
                <w:i/>
                <w:iCs/>
                <w:sz w:val="14"/>
                <w:szCs w:val="14"/>
              </w:rPr>
              <w:t>Total proposed budget SG II:</w:t>
            </w:r>
            <w:r w:rsidRPr="0006760A">
              <w:rPr>
                <w:rFonts w:ascii="Arial" w:hAnsi="Arial" w:cs="Arial"/>
                <w:i/>
                <w:iCs/>
                <w:sz w:val="14"/>
                <w:szCs w:val="14"/>
              </w:rPr>
              <w:tab/>
            </w:r>
            <w:r>
              <w:rPr>
                <w:rFonts w:ascii="Arial" w:hAnsi="Arial" w:cs="Arial"/>
                <w:i/>
                <w:iCs/>
                <w:sz w:val="14"/>
                <w:szCs w:val="14"/>
              </w:rPr>
              <w:t>291,655</w:t>
            </w:r>
          </w:p>
          <w:p w14:paraId="7AC453AA" w14:textId="0AB823CE" w:rsidR="00F5497C" w:rsidRPr="0006760A" w:rsidRDefault="00F5497C">
            <w:pPr>
              <w:tabs>
                <w:tab w:val="left" w:pos="2173"/>
                <w:tab w:val="right" w:pos="2835"/>
              </w:tabs>
              <w:rPr>
                <w:rFonts w:ascii="Arial" w:hAnsi="Arial" w:cs="Arial"/>
                <w:i/>
                <w:iCs/>
                <w:sz w:val="14"/>
                <w:szCs w:val="14"/>
              </w:rPr>
            </w:pPr>
            <w:r w:rsidRPr="0006760A">
              <w:rPr>
                <w:rFonts w:ascii="Arial" w:hAnsi="Arial" w:cs="Arial"/>
                <w:i/>
                <w:iCs/>
                <w:color w:val="0000FF"/>
                <w:sz w:val="14"/>
                <w:szCs w:val="14"/>
              </w:rPr>
              <w:t>Total</w:t>
            </w:r>
            <w:r w:rsidRPr="004A1497">
              <w:rPr>
                <w:rFonts w:ascii="Arial" w:hAnsi="Arial" w:cs="Arial"/>
                <w:i/>
                <w:iCs/>
                <w:color w:val="0000FF"/>
                <w:sz w:val="14"/>
                <w:szCs w:val="14"/>
              </w:rPr>
              <w:t xml:space="preserve"> d</w:t>
            </w:r>
            <w:r w:rsidRPr="0006760A">
              <w:rPr>
                <w:rFonts w:ascii="Arial" w:hAnsi="Arial" w:cs="Arial"/>
                <w:i/>
                <w:iCs/>
                <w:color w:val="0000FF"/>
                <w:sz w:val="14"/>
                <w:szCs w:val="14"/>
              </w:rPr>
              <w:t>evelopment share SG II:</w:t>
            </w:r>
            <w:r w:rsidRPr="0006760A">
              <w:rPr>
                <w:rFonts w:ascii="Arial" w:hAnsi="Arial" w:cs="Arial"/>
                <w:i/>
                <w:iCs/>
                <w:color w:val="0000FF"/>
                <w:sz w:val="14"/>
                <w:szCs w:val="14"/>
              </w:rPr>
              <w:tab/>
            </w:r>
            <w:r w:rsidR="00C71CBF">
              <w:rPr>
                <w:rFonts w:ascii="Arial" w:hAnsi="Arial" w:cs="Arial"/>
                <w:i/>
                <w:iCs/>
                <w:color w:val="0000FF"/>
                <w:sz w:val="14"/>
                <w:szCs w:val="14"/>
              </w:rPr>
              <w:t>21</w:t>
            </w:r>
            <w:r>
              <w:rPr>
                <w:rFonts w:ascii="Arial" w:hAnsi="Arial" w:cs="Arial"/>
                <w:i/>
                <w:iCs/>
                <w:color w:val="0000FF"/>
                <w:sz w:val="14"/>
                <w:szCs w:val="14"/>
              </w:rPr>
              <w:t>,</w:t>
            </w:r>
            <w:r w:rsidR="00C71CBF">
              <w:rPr>
                <w:rFonts w:ascii="Arial" w:hAnsi="Arial" w:cs="Arial"/>
                <w:i/>
                <w:iCs/>
                <w:color w:val="0000FF"/>
                <w:sz w:val="14"/>
                <w:szCs w:val="14"/>
              </w:rPr>
              <w:t>527</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t xml:space="preserve"> </w:t>
            </w:r>
          </w:p>
        </w:tc>
        <w:tc>
          <w:tcPr>
            <w:tcW w:w="3042" w:type="dxa"/>
            <w:tcBorders>
              <w:top w:val="nil"/>
              <w:left w:val="nil"/>
              <w:bottom w:val="single" w:sz="4" w:space="0" w:color="auto"/>
              <w:right w:val="nil"/>
            </w:tcBorders>
            <w:shd w:val="clear" w:color="auto" w:fill="auto"/>
          </w:tcPr>
          <w:p w14:paraId="58CAA681" w14:textId="77777777" w:rsidR="00F5497C" w:rsidRPr="0006760A" w:rsidRDefault="00F5497C" w:rsidP="009D7A18">
            <w:pPr>
              <w:tabs>
                <w:tab w:val="left" w:pos="2189"/>
                <w:tab w:val="right" w:pos="2835"/>
              </w:tabs>
              <w:rPr>
                <w:rFonts w:ascii="Arial" w:hAnsi="Arial" w:cs="Arial"/>
                <w:i/>
                <w:iCs/>
                <w:sz w:val="14"/>
                <w:szCs w:val="14"/>
              </w:rPr>
            </w:pPr>
            <w:r w:rsidRPr="0006760A">
              <w:rPr>
                <w:rFonts w:ascii="Arial" w:hAnsi="Arial" w:cs="Arial"/>
                <w:i/>
                <w:iCs/>
                <w:sz w:val="14"/>
                <w:szCs w:val="14"/>
              </w:rPr>
              <w:t>Total proposed budget SG III:</w:t>
            </w:r>
            <w:r w:rsidRPr="0006760A">
              <w:rPr>
                <w:rFonts w:ascii="Arial" w:hAnsi="Arial" w:cs="Arial"/>
                <w:i/>
                <w:iCs/>
                <w:sz w:val="14"/>
                <w:szCs w:val="14"/>
              </w:rPr>
              <w:tab/>
            </w:r>
            <w:r>
              <w:rPr>
                <w:rFonts w:ascii="Arial" w:hAnsi="Arial" w:cs="Arial"/>
                <w:i/>
                <w:iCs/>
                <w:sz w:val="14"/>
                <w:szCs w:val="14"/>
              </w:rPr>
              <w:t>63,974</w:t>
            </w:r>
          </w:p>
          <w:p w14:paraId="7162858B" w14:textId="77777777" w:rsidR="00F5497C" w:rsidRPr="0006760A" w:rsidRDefault="00F5497C" w:rsidP="009D7A18">
            <w:pPr>
              <w:tabs>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 xml:space="preserve">Total development share SG III: </w:t>
            </w:r>
            <w:r w:rsidRPr="0006760A">
              <w:rPr>
                <w:rFonts w:ascii="Arial" w:hAnsi="Arial" w:cs="Arial"/>
                <w:i/>
                <w:iCs/>
                <w:color w:val="0000FF"/>
                <w:sz w:val="14"/>
                <w:szCs w:val="14"/>
              </w:rPr>
              <w:tab/>
            </w:r>
            <w:r>
              <w:rPr>
                <w:rFonts w:ascii="Arial" w:hAnsi="Arial" w:cs="Arial"/>
                <w:i/>
                <w:iCs/>
                <w:color w:val="0000FF"/>
                <w:sz w:val="14"/>
                <w:szCs w:val="14"/>
              </w:rPr>
              <w:t>63,142</w:t>
            </w:r>
          </w:p>
        </w:tc>
        <w:tc>
          <w:tcPr>
            <w:tcW w:w="3041" w:type="dxa"/>
            <w:tcBorders>
              <w:top w:val="nil"/>
              <w:left w:val="nil"/>
              <w:bottom w:val="single" w:sz="4" w:space="0" w:color="auto"/>
              <w:right w:val="nil"/>
            </w:tcBorders>
            <w:shd w:val="clear" w:color="auto" w:fill="auto"/>
          </w:tcPr>
          <w:p w14:paraId="6BAA07CD" w14:textId="77777777" w:rsidR="00F5497C" w:rsidRPr="0006760A" w:rsidRDefault="00F5497C" w:rsidP="009D7A18">
            <w:pPr>
              <w:tabs>
                <w:tab w:val="left" w:pos="2205"/>
                <w:tab w:val="right" w:pos="2835"/>
              </w:tabs>
              <w:rPr>
                <w:rFonts w:ascii="Arial" w:hAnsi="Arial" w:cs="Arial"/>
                <w:i/>
                <w:iCs/>
                <w:sz w:val="14"/>
                <w:szCs w:val="14"/>
              </w:rPr>
            </w:pPr>
            <w:r w:rsidRPr="0006760A">
              <w:rPr>
                <w:rFonts w:ascii="Arial" w:hAnsi="Arial" w:cs="Arial"/>
                <w:i/>
                <w:iCs/>
                <w:sz w:val="14"/>
                <w:szCs w:val="14"/>
              </w:rPr>
              <w:t>Total proposed budget SG IV:</w:t>
            </w:r>
            <w:r w:rsidRPr="0006760A">
              <w:rPr>
                <w:rFonts w:ascii="Arial" w:hAnsi="Arial" w:cs="Arial"/>
                <w:i/>
                <w:iCs/>
                <w:sz w:val="14"/>
                <w:szCs w:val="14"/>
              </w:rPr>
              <w:tab/>
            </w:r>
            <w:r>
              <w:rPr>
                <w:rFonts w:ascii="Arial" w:hAnsi="Arial" w:cs="Arial"/>
                <w:i/>
                <w:iCs/>
                <w:sz w:val="14"/>
                <w:szCs w:val="14"/>
              </w:rPr>
              <w:t>46,974</w:t>
            </w:r>
          </w:p>
          <w:p w14:paraId="74FA294C" w14:textId="77777777" w:rsidR="00F5497C" w:rsidRPr="0006760A" w:rsidRDefault="00F5497C" w:rsidP="009D7A18">
            <w:pPr>
              <w:tabs>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IV:</w:t>
            </w:r>
            <w:r w:rsidRPr="0006760A">
              <w:rPr>
                <w:rFonts w:ascii="Arial" w:hAnsi="Arial" w:cs="Arial"/>
                <w:i/>
                <w:iCs/>
                <w:color w:val="0000FF"/>
                <w:sz w:val="14"/>
                <w:szCs w:val="14"/>
              </w:rPr>
              <w:tab/>
            </w:r>
            <w:r>
              <w:rPr>
                <w:rFonts w:ascii="Arial" w:hAnsi="Arial" w:cs="Arial"/>
                <w:i/>
                <w:iCs/>
                <w:color w:val="0000FF"/>
                <w:sz w:val="14"/>
                <w:szCs w:val="14"/>
              </w:rPr>
              <w:t>32,003</w:t>
            </w:r>
            <w:r w:rsidRPr="0006760A">
              <w:rPr>
                <w:rFonts w:ascii="Arial" w:hAnsi="Arial" w:cs="Arial"/>
                <w:i/>
                <w:iCs/>
                <w:color w:val="0000FF"/>
                <w:sz w:val="14"/>
                <w:szCs w:val="14"/>
              </w:rPr>
              <w:tab/>
            </w:r>
          </w:p>
        </w:tc>
        <w:tc>
          <w:tcPr>
            <w:tcW w:w="3040" w:type="dxa"/>
            <w:tcBorders>
              <w:top w:val="nil"/>
              <w:left w:val="nil"/>
              <w:bottom w:val="single" w:sz="4" w:space="0" w:color="auto"/>
              <w:right w:val="nil"/>
            </w:tcBorders>
            <w:shd w:val="clear" w:color="auto" w:fill="auto"/>
          </w:tcPr>
          <w:p w14:paraId="3C0F431E" w14:textId="77777777" w:rsidR="00F5497C" w:rsidRPr="0006760A" w:rsidRDefault="00F5497C" w:rsidP="009D7A18">
            <w:pPr>
              <w:tabs>
                <w:tab w:val="left" w:pos="2221"/>
                <w:tab w:val="right" w:pos="2835"/>
              </w:tabs>
              <w:rPr>
                <w:rFonts w:ascii="Arial" w:hAnsi="Arial" w:cs="Arial"/>
                <w:i/>
                <w:iCs/>
                <w:sz w:val="14"/>
                <w:szCs w:val="14"/>
              </w:rPr>
            </w:pPr>
            <w:r w:rsidRPr="0006760A">
              <w:rPr>
                <w:rFonts w:ascii="Arial" w:hAnsi="Arial" w:cs="Arial"/>
                <w:i/>
                <w:iCs/>
                <w:sz w:val="14"/>
                <w:szCs w:val="14"/>
              </w:rPr>
              <w:t>Total proposed budget SG V:</w:t>
            </w:r>
            <w:r w:rsidRPr="0006760A">
              <w:rPr>
                <w:rFonts w:ascii="Arial" w:hAnsi="Arial" w:cs="Arial"/>
                <w:i/>
                <w:iCs/>
                <w:sz w:val="14"/>
                <w:szCs w:val="14"/>
              </w:rPr>
              <w:tab/>
            </w:r>
            <w:r>
              <w:rPr>
                <w:rFonts w:ascii="Arial" w:hAnsi="Arial" w:cs="Arial"/>
                <w:i/>
                <w:iCs/>
                <w:sz w:val="14"/>
                <w:szCs w:val="14"/>
              </w:rPr>
              <w:t>6,072</w:t>
            </w:r>
          </w:p>
          <w:p w14:paraId="308EAF24" w14:textId="77777777" w:rsidR="00F5497C" w:rsidRPr="0006760A" w:rsidRDefault="00F5497C" w:rsidP="009D7A18">
            <w:pPr>
              <w:tabs>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w:t>
            </w:r>
            <w:r w:rsidRPr="0006760A">
              <w:rPr>
                <w:rFonts w:ascii="Arial" w:hAnsi="Arial" w:cs="Arial"/>
                <w:i/>
                <w:iCs/>
                <w:color w:val="0000FF"/>
                <w:sz w:val="14"/>
                <w:szCs w:val="14"/>
              </w:rPr>
              <w:tab/>
            </w:r>
            <w:r>
              <w:rPr>
                <w:rFonts w:ascii="Arial" w:hAnsi="Arial" w:cs="Arial"/>
                <w:i/>
                <w:iCs/>
                <w:color w:val="0000FF"/>
                <w:sz w:val="14"/>
                <w:szCs w:val="14"/>
              </w:rPr>
              <w:t>1,525</w:t>
            </w:r>
            <w:r w:rsidRPr="0006760A">
              <w:rPr>
                <w:rFonts w:ascii="Arial" w:hAnsi="Arial" w:cs="Arial"/>
                <w:i/>
                <w:iCs/>
                <w:color w:val="0000FF"/>
                <w:sz w:val="14"/>
                <w:szCs w:val="14"/>
              </w:rPr>
              <w:tab/>
            </w:r>
          </w:p>
        </w:tc>
        <w:tc>
          <w:tcPr>
            <w:tcW w:w="3041" w:type="dxa"/>
            <w:tcBorders>
              <w:top w:val="nil"/>
              <w:left w:val="nil"/>
              <w:bottom w:val="single" w:sz="4" w:space="0" w:color="auto"/>
              <w:right w:val="nil"/>
            </w:tcBorders>
            <w:shd w:val="clear" w:color="auto" w:fill="auto"/>
          </w:tcPr>
          <w:p w14:paraId="6CE1B85D" w14:textId="77777777" w:rsidR="00F5497C" w:rsidRPr="0006760A" w:rsidRDefault="00F5497C" w:rsidP="009D7A18">
            <w:pPr>
              <w:tabs>
                <w:tab w:val="left" w:pos="2237"/>
                <w:tab w:val="right" w:pos="2835"/>
              </w:tabs>
              <w:rPr>
                <w:rFonts w:ascii="Arial" w:hAnsi="Arial" w:cs="Arial"/>
                <w:i/>
                <w:iCs/>
                <w:sz w:val="14"/>
                <w:szCs w:val="14"/>
              </w:rPr>
            </w:pPr>
            <w:r w:rsidRPr="0006760A">
              <w:rPr>
                <w:rFonts w:ascii="Arial" w:hAnsi="Arial" w:cs="Arial"/>
                <w:i/>
                <w:iCs/>
                <w:sz w:val="14"/>
                <w:szCs w:val="14"/>
              </w:rPr>
              <w:t>Total proposed budget SG VI:</w:t>
            </w:r>
            <w:r w:rsidRPr="0006760A">
              <w:rPr>
                <w:rFonts w:ascii="Arial" w:hAnsi="Arial" w:cs="Arial"/>
                <w:i/>
                <w:iCs/>
                <w:sz w:val="14"/>
                <w:szCs w:val="14"/>
              </w:rPr>
              <w:tab/>
            </w:r>
            <w:r>
              <w:rPr>
                <w:rFonts w:ascii="Arial" w:hAnsi="Arial" w:cs="Arial"/>
                <w:i/>
                <w:iCs/>
                <w:sz w:val="14"/>
                <w:szCs w:val="14"/>
              </w:rPr>
              <w:t>2,064</w:t>
            </w:r>
          </w:p>
          <w:p w14:paraId="2A6AC225" w14:textId="77777777" w:rsidR="00F5497C" w:rsidRPr="0006760A" w:rsidRDefault="00F5497C" w:rsidP="009D7A18">
            <w:pPr>
              <w:tabs>
                <w:tab w:val="left" w:pos="2237"/>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VI:</w:t>
            </w:r>
            <w:r w:rsidRPr="0006760A">
              <w:rPr>
                <w:rFonts w:ascii="Arial" w:hAnsi="Arial" w:cs="Arial"/>
                <w:i/>
                <w:iCs/>
                <w:color w:val="0000FF"/>
                <w:sz w:val="14"/>
                <w:szCs w:val="14"/>
              </w:rPr>
              <w:tab/>
            </w:r>
            <w:r>
              <w:rPr>
                <w:rFonts w:ascii="Arial" w:hAnsi="Arial" w:cs="Arial"/>
                <w:i/>
                <w:iCs/>
                <w:color w:val="0000FF"/>
                <w:sz w:val="14"/>
                <w:szCs w:val="14"/>
              </w:rPr>
              <w:t>1,488</w:t>
            </w:r>
            <w:r w:rsidRPr="0006760A">
              <w:rPr>
                <w:rFonts w:ascii="Arial" w:hAnsi="Arial" w:cs="Arial"/>
                <w:i/>
                <w:iCs/>
                <w:color w:val="0000FF"/>
                <w:sz w:val="14"/>
                <w:szCs w:val="14"/>
              </w:rPr>
              <w:tab/>
              <w:t xml:space="preserve">   </w:t>
            </w:r>
          </w:p>
        </w:tc>
        <w:tc>
          <w:tcPr>
            <w:tcW w:w="3044" w:type="dxa"/>
            <w:tcBorders>
              <w:top w:val="nil"/>
              <w:left w:val="nil"/>
              <w:bottom w:val="single" w:sz="4" w:space="0" w:color="auto"/>
              <w:right w:val="single" w:sz="4" w:space="0" w:color="auto"/>
            </w:tcBorders>
            <w:shd w:val="clear" w:color="auto" w:fill="auto"/>
          </w:tcPr>
          <w:p w14:paraId="5CA6D0BE" w14:textId="77777777" w:rsidR="00F5497C" w:rsidRPr="0006760A" w:rsidRDefault="00F5497C" w:rsidP="009D7A18">
            <w:pPr>
              <w:tabs>
                <w:tab w:val="left" w:pos="2253"/>
                <w:tab w:val="right" w:pos="2835"/>
              </w:tabs>
              <w:rPr>
                <w:rFonts w:ascii="Arial" w:hAnsi="Arial" w:cs="Arial"/>
                <w:i/>
                <w:iCs/>
                <w:sz w:val="14"/>
                <w:szCs w:val="14"/>
              </w:rPr>
            </w:pPr>
            <w:r w:rsidRPr="0006760A">
              <w:rPr>
                <w:rFonts w:ascii="Arial" w:hAnsi="Arial" w:cs="Arial"/>
                <w:i/>
                <w:iCs/>
                <w:sz w:val="14"/>
                <w:szCs w:val="14"/>
              </w:rPr>
              <w:t>Total proposed budget SG VII:</w:t>
            </w:r>
            <w:r w:rsidRPr="0006760A">
              <w:rPr>
                <w:rFonts w:ascii="Arial" w:hAnsi="Arial" w:cs="Arial"/>
                <w:i/>
                <w:iCs/>
                <w:sz w:val="14"/>
                <w:szCs w:val="14"/>
              </w:rPr>
              <w:tab/>
            </w:r>
            <w:r>
              <w:rPr>
                <w:rFonts w:ascii="Arial" w:hAnsi="Arial" w:cs="Arial"/>
                <w:i/>
                <w:iCs/>
                <w:sz w:val="14"/>
                <w:szCs w:val="14"/>
              </w:rPr>
              <w:t>3,950</w:t>
            </w:r>
          </w:p>
          <w:p w14:paraId="06A2F7EC" w14:textId="77777777" w:rsidR="00F5497C" w:rsidRPr="0006760A" w:rsidRDefault="00F5497C" w:rsidP="009D7A18">
            <w:pPr>
              <w:tabs>
                <w:tab w:val="left" w:pos="2253"/>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VII:</w:t>
            </w:r>
            <w:r w:rsidRPr="0006760A">
              <w:rPr>
                <w:rFonts w:ascii="Arial" w:hAnsi="Arial" w:cs="Arial"/>
                <w:i/>
                <w:iCs/>
                <w:color w:val="0000FF"/>
                <w:sz w:val="14"/>
                <w:szCs w:val="14"/>
              </w:rPr>
              <w:tab/>
            </w:r>
            <w:r>
              <w:rPr>
                <w:rFonts w:ascii="Arial" w:hAnsi="Arial" w:cs="Arial"/>
                <w:i/>
                <w:iCs/>
                <w:color w:val="0000FF"/>
                <w:sz w:val="14"/>
                <w:szCs w:val="14"/>
              </w:rPr>
              <w:t>3,016</w:t>
            </w:r>
            <w:r w:rsidRPr="0006760A">
              <w:rPr>
                <w:rFonts w:ascii="Arial" w:hAnsi="Arial" w:cs="Arial"/>
                <w:i/>
                <w:iCs/>
                <w:color w:val="0000FF"/>
                <w:sz w:val="14"/>
                <w:szCs w:val="14"/>
              </w:rPr>
              <w:tab/>
            </w:r>
          </w:p>
        </w:tc>
      </w:tr>
      <w:tr w:rsidR="00F5497C" w:rsidRPr="0006760A" w14:paraId="5D42D6E3" w14:textId="77777777" w:rsidTr="00D74F86">
        <w:trPr>
          <w:trHeight w:val="294"/>
        </w:trPr>
        <w:tc>
          <w:tcPr>
            <w:tcW w:w="387" w:type="dxa"/>
            <w:vMerge/>
            <w:tcBorders>
              <w:top w:val="single" w:sz="8" w:space="0" w:color="auto"/>
              <w:left w:val="single" w:sz="8" w:space="0" w:color="auto"/>
              <w:bottom w:val="single" w:sz="4" w:space="0" w:color="000000"/>
              <w:right w:val="nil"/>
            </w:tcBorders>
            <w:vAlign w:val="center"/>
          </w:tcPr>
          <w:p w14:paraId="6C6310AB" w14:textId="77777777" w:rsidR="00F5497C" w:rsidRPr="0018132B" w:rsidRDefault="00F5497C" w:rsidP="009D7A18">
            <w:pPr>
              <w:tabs>
                <w:tab w:val="right" w:pos="2835"/>
              </w:tabs>
              <w:rPr>
                <w:rFonts w:cs="Arial"/>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2F835AE5" w14:textId="773FC185" w:rsidR="00F5497C" w:rsidRPr="0006760A" w:rsidRDefault="00A74116" w:rsidP="009D7A18">
            <w:pPr>
              <w:tabs>
                <w:tab w:val="right" w:pos="2835"/>
              </w:tabs>
              <w:jc w:val="center"/>
              <w:rPr>
                <w:rFonts w:ascii="Arial" w:hAnsi="Arial" w:cs="Arial"/>
                <w:b/>
                <w:bCs/>
                <w:sz w:val="16"/>
                <w:szCs w:val="16"/>
              </w:rPr>
            </w:pPr>
            <w:r>
              <w:rPr>
                <w:rFonts w:ascii="Arial" w:hAnsi="Arial" w:cs="Arial"/>
                <w:b/>
                <w:bCs/>
                <w:sz w:val="16"/>
                <w:szCs w:val="16"/>
              </w:rPr>
              <w:t>Strategic Goal IX:</w:t>
            </w:r>
            <w:r w:rsidR="00F5497C" w:rsidRPr="0006760A">
              <w:rPr>
                <w:rFonts w:ascii="Arial" w:hAnsi="Arial" w:cs="Arial"/>
                <w:b/>
                <w:bCs/>
                <w:sz w:val="16"/>
                <w:szCs w:val="16"/>
              </w:rPr>
              <w:t xml:space="preserve"> Efficient Administrative and Financial Support Structure to enable WIPO to Deliver its Programs</w:t>
            </w:r>
          </w:p>
        </w:tc>
      </w:tr>
      <w:tr w:rsidR="00F5497C" w:rsidRPr="0006760A" w14:paraId="783D6AEA" w14:textId="77777777" w:rsidTr="009D7A18">
        <w:trPr>
          <w:trHeight w:val="1695"/>
        </w:trPr>
        <w:tc>
          <w:tcPr>
            <w:tcW w:w="387" w:type="dxa"/>
            <w:vMerge/>
            <w:tcBorders>
              <w:top w:val="single" w:sz="8" w:space="0" w:color="auto"/>
              <w:left w:val="single" w:sz="8" w:space="0" w:color="auto"/>
              <w:bottom w:val="single" w:sz="4" w:space="0" w:color="000000"/>
              <w:right w:val="nil"/>
            </w:tcBorders>
            <w:vAlign w:val="center"/>
          </w:tcPr>
          <w:p w14:paraId="683A982E"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single" w:sz="4" w:space="0" w:color="auto"/>
              <w:right w:val="nil"/>
            </w:tcBorders>
            <w:shd w:val="clear" w:color="auto" w:fill="auto"/>
          </w:tcPr>
          <w:p w14:paraId="2AED151F" w14:textId="77777777" w:rsidR="00F5497C" w:rsidRPr="0006760A" w:rsidRDefault="00F5497C" w:rsidP="009D7A18">
            <w:pPr>
              <w:tabs>
                <w:tab w:val="left" w:pos="1525"/>
                <w:tab w:val="right" w:pos="2835"/>
              </w:tabs>
              <w:rPr>
                <w:rFonts w:ascii="Arial" w:hAnsi="Arial" w:cs="Arial"/>
                <w:color w:val="0000FF"/>
                <w:sz w:val="15"/>
                <w:szCs w:val="15"/>
              </w:rPr>
            </w:pPr>
            <w:r w:rsidRPr="0006760A">
              <w:rPr>
                <w:rFonts w:ascii="Arial" w:hAnsi="Arial" w:cs="Arial"/>
                <w:sz w:val="15"/>
                <w:szCs w:val="15"/>
              </w:rPr>
              <w:br/>
            </w:r>
          </w:p>
        </w:tc>
        <w:tc>
          <w:tcPr>
            <w:tcW w:w="3041" w:type="dxa"/>
            <w:tcBorders>
              <w:top w:val="nil"/>
              <w:left w:val="nil"/>
              <w:bottom w:val="single" w:sz="4" w:space="0" w:color="auto"/>
              <w:right w:val="nil"/>
            </w:tcBorders>
            <w:shd w:val="clear" w:color="auto" w:fill="auto"/>
          </w:tcPr>
          <w:p w14:paraId="64501C21" w14:textId="54A7FF03"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IX.1. Effective, efficient, quality and customer-oriented support services both to internal clients and </w:t>
            </w:r>
            <w:r w:rsidR="003751B8">
              <w:rPr>
                <w:rFonts w:ascii="Arial" w:hAnsi="Arial" w:cs="Arial"/>
                <w:sz w:val="14"/>
                <w:szCs w:val="14"/>
              </w:rPr>
              <w:t xml:space="preserve">to </w:t>
            </w:r>
            <w:r w:rsidRPr="0006760A">
              <w:rPr>
                <w:rFonts w:ascii="Arial" w:hAnsi="Arial" w:cs="Arial"/>
                <w:sz w:val="14"/>
                <w:szCs w:val="14"/>
              </w:rPr>
              <w:t xml:space="preserve">external stakeholders </w:t>
            </w:r>
          </w:p>
          <w:p w14:paraId="7053FDF8"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r>
          </w:p>
          <w:p w14:paraId="61430715"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r>
          </w:p>
          <w:p w14:paraId="6373915C"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165,356</w:t>
            </w:r>
          </w:p>
          <w:p w14:paraId="639C635E" w14:textId="77777777" w:rsidR="00F5497C" w:rsidRPr="0006760A" w:rsidRDefault="00F5497C" w:rsidP="009D7A18">
            <w:pPr>
              <w:tabs>
                <w:tab w:val="left" w:pos="335"/>
                <w:tab w:val="left" w:pos="1525"/>
                <w:tab w:val="right" w:pos="2835"/>
              </w:tabs>
              <w:rPr>
                <w:rFonts w:ascii="Arial" w:hAnsi="Arial" w:cs="Arial"/>
                <w:color w:val="0000FF"/>
                <w:sz w:val="14"/>
                <w:szCs w:val="14"/>
              </w:rPr>
            </w:pPr>
            <w:r>
              <w:rPr>
                <w:rFonts w:ascii="Arial" w:hAnsi="Arial" w:cs="Arial"/>
                <w:i/>
                <w:iCs/>
                <w:color w:val="0000FF"/>
                <w:sz w:val="14"/>
                <w:szCs w:val="14"/>
              </w:rPr>
              <w:tab/>
              <w:t>Development share:                         -</w:t>
            </w:r>
            <w:r w:rsidRPr="0006760A">
              <w:rPr>
                <w:rFonts w:ascii="Arial" w:hAnsi="Arial" w:cs="Arial"/>
                <w:i/>
                <w:iCs/>
                <w:color w:val="0000FF"/>
                <w:sz w:val="14"/>
                <w:szCs w:val="14"/>
              </w:rPr>
              <w:t xml:space="preserve">   </w:t>
            </w:r>
          </w:p>
          <w:p w14:paraId="019CEB0A" w14:textId="77777777" w:rsidR="00F5497C" w:rsidRPr="0006760A" w:rsidRDefault="00F5497C" w:rsidP="009D7A18">
            <w:pPr>
              <w:tabs>
                <w:tab w:val="left" w:pos="1525"/>
                <w:tab w:val="right" w:pos="2835"/>
              </w:tabs>
              <w:rPr>
                <w:rFonts w:ascii="Arial" w:hAnsi="Arial" w:cs="Arial"/>
                <w:color w:val="0000FF"/>
                <w:sz w:val="14"/>
                <w:szCs w:val="14"/>
              </w:rPr>
            </w:pPr>
          </w:p>
        </w:tc>
        <w:tc>
          <w:tcPr>
            <w:tcW w:w="3042" w:type="dxa"/>
            <w:tcBorders>
              <w:top w:val="nil"/>
              <w:left w:val="nil"/>
              <w:bottom w:val="single" w:sz="4" w:space="0" w:color="auto"/>
              <w:right w:val="nil"/>
            </w:tcBorders>
            <w:shd w:val="clear" w:color="auto" w:fill="auto"/>
          </w:tcPr>
          <w:p w14:paraId="7BF18298"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IX.2. An agile and smooth functioning Secretariat with a </w:t>
            </w:r>
            <w:proofErr w:type="spellStart"/>
            <w:r w:rsidRPr="0006760A">
              <w:rPr>
                <w:rFonts w:ascii="Arial" w:hAnsi="Arial" w:cs="Arial"/>
                <w:sz w:val="14"/>
                <w:szCs w:val="14"/>
              </w:rPr>
              <w:t>well managed</w:t>
            </w:r>
            <w:proofErr w:type="spellEnd"/>
            <w:r w:rsidRPr="0006760A">
              <w:rPr>
                <w:rFonts w:ascii="Arial" w:hAnsi="Arial" w:cs="Arial"/>
                <w:sz w:val="14"/>
                <w:szCs w:val="14"/>
              </w:rPr>
              <w:t xml:space="preserve"> and appropriately skilled workforce which is effectively delivering results </w:t>
            </w:r>
          </w:p>
          <w:p w14:paraId="7B2C089D"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r>
          </w:p>
          <w:p w14:paraId="63535CF4" w14:textId="77777777" w:rsidR="00F5497C" w:rsidRPr="0006760A" w:rsidRDefault="00F5497C" w:rsidP="009D7A18">
            <w:pPr>
              <w:tabs>
                <w:tab w:val="left" w:pos="338"/>
                <w:tab w:val="left" w:pos="1525"/>
                <w:tab w:val="right" w:pos="2835"/>
              </w:tabs>
              <w:rPr>
                <w:rFonts w:ascii="Arial" w:hAnsi="Arial" w:cs="Arial"/>
                <w:color w:val="0000FF"/>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35,257</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r w:rsidRPr="0006760A">
              <w:rPr>
                <w:rFonts w:ascii="Arial" w:hAnsi="Arial" w:cs="Arial"/>
                <w:i/>
                <w:iCs/>
                <w:color w:val="0000FF"/>
                <w:sz w:val="14"/>
                <w:szCs w:val="14"/>
              </w:rPr>
              <w:t xml:space="preserve">     </w:t>
            </w:r>
          </w:p>
        </w:tc>
        <w:tc>
          <w:tcPr>
            <w:tcW w:w="3041" w:type="dxa"/>
            <w:tcBorders>
              <w:top w:val="nil"/>
              <w:left w:val="nil"/>
              <w:bottom w:val="single" w:sz="4" w:space="0" w:color="auto"/>
              <w:right w:val="nil"/>
            </w:tcBorders>
            <w:shd w:val="clear" w:color="auto" w:fill="auto"/>
          </w:tcPr>
          <w:p w14:paraId="1021E877"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br/>
              <w:t>IX.3. An enabling working environment supported by an effective regulatory framework and appropriate channels to address staff concerns</w:t>
            </w:r>
          </w:p>
          <w:p w14:paraId="7FDFDF50"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r>
          </w:p>
          <w:p w14:paraId="4A870835"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2,540</w:t>
            </w:r>
            <w:r w:rsidRPr="0006760A">
              <w:rPr>
                <w:rFonts w:ascii="Arial" w:hAnsi="Arial" w:cs="Arial"/>
                <w:i/>
                <w:iCs/>
                <w:sz w:val="14"/>
                <w:szCs w:val="14"/>
              </w:rPr>
              <w:tab/>
            </w:r>
          </w:p>
          <w:p w14:paraId="3952B4BE" w14:textId="77777777" w:rsidR="00F5497C" w:rsidRPr="0006760A" w:rsidRDefault="00F5497C" w:rsidP="009D7A18">
            <w:pPr>
              <w:tabs>
                <w:tab w:val="left" w:pos="366"/>
                <w:tab w:val="right" w:pos="2835"/>
              </w:tabs>
              <w:rPr>
                <w:rFonts w:ascii="Arial" w:hAnsi="Arial" w:cs="Arial"/>
                <w:i/>
                <w:iCs/>
                <w:color w:val="0000FF"/>
                <w:sz w:val="14"/>
                <w:szCs w:val="14"/>
              </w:rPr>
            </w:pPr>
            <w:r w:rsidRPr="0006760A">
              <w:rPr>
                <w:rFonts w:ascii="Arial" w:hAnsi="Arial" w:cs="Arial"/>
                <w:i/>
                <w:iCs/>
                <w:color w:val="0000FF"/>
                <w:sz w:val="14"/>
                <w:szCs w:val="14"/>
              </w:rPr>
              <w:tab/>
              <w:t xml:space="preserve">Development share:                  </w:t>
            </w:r>
            <w:r>
              <w:rPr>
                <w:rFonts w:ascii="Arial" w:hAnsi="Arial" w:cs="Arial"/>
                <w:i/>
                <w:iCs/>
                <w:color w:val="0000FF"/>
                <w:sz w:val="14"/>
                <w:szCs w:val="14"/>
              </w:rPr>
              <w:t>-</w:t>
            </w:r>
          </w:p>
          <w:p w14:paraId="34ECAE8C" w14:textId="77777777" w:rsidR="00F5497C" w:rsidRPr="0006760A" w:rsidRDefault="00F5497C" w:rsidP="009D7A18">
            <w:pPr>
              <w:tabs>
                <w:tab w:val="left" w:pos="1525"/>
                <w:tab w:val="right" w:pos="2835"/>
              </w:tabs>
              <w:rPr>
                <w:rFonts w:ascii="Arial" w:hAnsi="Arial" w:cs="Arial"/>
                <w:i/>
                <w:iCs/>
                <w:color w:val="0000FF"/>
                <w:sz w:val="14"/>
                <w:szCs w:val="14"/>
              </w:rPr>
            </w:pPr>
          </w:p>
        </w:tc>
        <w:tc>
          <w:tcPr>
            <w:tcW w:w="3040" w:type="dxa"/>
            <w:tcBorders>
              <w:top w:val="nil"/>
              <w:left w:val="nil"/>
              <w:bottom w:val="single" w:sz="4" w:space="0" w:color="auto"/>
              <w:right w:val="nil"/>
            </w:tcBorders>
            <w:shd w:val="clear" w:color="auto" w:fill="auto"/>
          </w:tcPr>
          <w:p w14:paraId="76F0FC4F" w14:textId="340CA275" w:rsidR="00F5497C" w:rsidRPr="0006760A" w:rsidRDefault="00F5497C" w:rsidP="009D7A18">
            <w:pPr>
              <w:tabs>
                <w:tab w:val="right" w:pos="2835"/>
              </w:tabs>
              <w:spacing w:after="60"/>
              <w:rPr>
                <w:rFonts w:ascii="Arial" w:hAnsi="Arial" w:cs="Arial"/>
                <w:sz w:val="14"/>
                <w:szCs w:val="14"/>
              </w:rPr>
            </w:pPr>
            <w:r w:rsidRPr="00BA7A47">
              <w:rPr>
                <w:rFonts w:ascii="Arial" w:hAnsi="Arial" w:cs="Arial"/>
                <w:color w:val="999999"/>
                <w:sz w:val="14"/>
                <w:szCs w:val="14"/>
              </w:rPr>
              <w:br/>
            </w:r>
            <w:r w:rsidRPr="0006760A">
              <w:rPr>
                <w:rFonts w:ascii="Arial" w:hAnsi="Arial" w:cs="Arial"/>
                <w:sz w:val="14"/>
                <w:szCs w:val="14"/>
              </w:rPr>
              <w:t xml:space="preserve">IX.4. An environmentally and socially responsible </w:t>
            </w:r>
            <w:r w:rsidR="00356514">
              <w:rPr>
                <w:rFonts w:ascii="Arial" w:hAnsi="Arial" w:cs="Arial"/>
                <w:sz w:val="14"/>
                <w:szCs w:val="14"/>
              </w:rPr>
              <w:t>O</w:t>
            </w:r>
            <w:r w:rsidRPr="0006760A">
              <w:rPr>
                <w:rFonts w:ascii="Arial" w:hAnsi="Arial" w:cs="Arial"/>
                <w:sz w:val="14"/>
                <w:szCs w:val="14"/>
              </w:rPr>
              <w:t>rganization in which WIPO staff, delegates, visitors and information and physical assets are safe and secure</w:t>
            </w:r>
          </w:p>
          <w:p w14:paraId="160C5F88" w14:textId="77777777" w:rsidR="00F5497C" w:rsidRPr="0006760A" w:rsidRDefault="00F5497C" w:rsidP="009D7A18">
            <w:pPr>
              <w:tabs>
                <w:tab w:val="left" w:pos="368"/>
                <w:tab w:val="left" w:pos="2221"/>
                <w:tab w:val="right" w:pos="2835"/>
              </w:tabs>
              <w:rPr>
                <w:rFonts w:ascii="Arial" w:hAnsi="Arial" w:cs="Arial"/>
                <w:i/>
                <w:iCs/>
                <w:sz w:val="14"/>
                <w:szCs w:val="14"/>
              </w:rPr>
            </w:pPr>
            <w:r w:rsidRPr="0006760A">
              <w:rPr>
                <w:rFonts w:ascii="Arial" w:hAnsi="Arial" w:cs="Arial"/>
                <w:i/>
                <w:iCs/>
                <w:sz w:val="14"/>
                <w:szCs w:val="14"/>
              </w:rPr>
              <w:tab/>
            </w:r>
          </w:p>
          <w:p w14:paraId="73B9AF68" w14:textId="77777777" w:rsidR="00F5497C" w:rsidRPr="0006760A" w:rsidRDefault="00F5497C" w:rsidP="009D7A18">
            <w:pPr>
              <w:tabs>
                <w:tab w:val="left" w:pos="368"/>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Pr>
                <w:rFonts w:ascii="Arial" w:hAnsi="Arial" w:cs="Arial"/>
                <w:i/>
                <w:iCs/>
                <w:sz w:val="14"/>
                <w:szCs w:val="14"/>
              </w:rPr>
              <w:tab/>
              <w:t>18,403</w:t>
            </w:r>
            <w:r w:rsidRPr="0006760A">
              <w:rPr>
                <w:rFonts w:ascii="Arial" w:hAnsi="Arial" w:cs="Arial"/>
                <w:i/>
                <w:iCs/>
                <w:sz w:val="14"/>
                <w:szCs w:val="14"/>
              </w:rPr>
              <w:tab/>
            </w:r>
          </w:p>
          <w:p w14:paraId="358B222B" w14:textId="77777777" w:rsidR="00F5497C" w:rsidRPr="0006760A" w:rsidRDefault="00F5497C" w:rsidP="009D7A18">
            <w:pPr>
              <w:tabs>
                <w:tab w:val="left" w:pos="356"/>
                <w:tab w:val="left" w:pos="1525"/>
                <w:tab w:val="right" w:pos="2835"/>
              </w:tabs>
              <w:rPr>
                <w:rFonts w:ascii="Arial" w:hAnsi="Arial" w:cs="Arial"/>
                <w:color w:val="0000FF"/>
                <w:sz w:val="14"/>
                <w:szCs w:val="14"/>
              </w:rPr>
            </w:pPr>
            <w:r w:rsidRPr="0006760A">
              <w:rPr>
                <w:rFonts w:ascii="Arial" w:hAnsi="Arial" w:cs="Arial"/>
                <w:i/>
                <w:iCs/>
                <w:color w:val="0000FF"/>
                <w:sz w:val="14"/>
                <w:szCs w:val="14"/>
              </w:rPr>
              <w:tab/>
              <w:t>Development</w:t>
            </w:r>
            <w:r w:rsidRPr="0006760A">
              <w:rPr>
                <w:rFonts w:ascii="Arial" w:hAnsi="Arial" w:cs="Arial"/>
                <w:color w:val="0000FF"/>
                <w:sz w:val="14"/>
                <w:szCs w:val="14"/>
              </w:rPr>
              <w:t xml:space="preserve"> share:</w:t>
            </w:r>
            <w:r w:rsidRPr="0006760A">
              <w:rPr>
                <w:rFonts w:ascii="Arial" w:hAnsi="Arial" w:cs="Arial"/>
                <w:color w:val="0000FF"/>
                <w:sz w:val="14"/>
                <w:szCs w:val="14"/>
              </w:rPr>
              <w:tab/>
            </w:r>
            <w:r w:rsidRPr="00290EC9">
              <w:rPr>
                <w:rFonts w:ascii="Arial" w:hAnsi="Arial" w:cs="Arial"/>
                <w:i/>
                <w:iCs/>
                <w:color w:val="0000FF"/>
                <w:sz w:val="14"/>
                <w:szCs w:val="14"/>
              </w:rPr>
              <w:t xml:space="preserve">-  </w:t>
            </w:r>
            <w:r w:rsidRPr="0006760A">
              <w:rPr>
                <w:rFonts w:ascii="Arial" w:hAnsi="Arial" w:cs="Arial"/>
                <w:color w:val="0000FF"/>
                <w:sz w:val="14"/>
                <w:szCs w:val="14"/>
              </w:rPr>
              <w:t xml:space="preserve">  </w:t>
            </w:r>
          </w:p>
          <w:p w14:paraId="35AA88FD" w14:textId="77777777" w:rsidR="00F5497C" w:rsidRPr="0006760A" w:rsidRDefault="00F5497C" w:rsidP="009D7A18">
            <w:pPr>
              <w:tabs>
                <w:tab w:val="left" w:pos="381"/>
                <w:tab w:val="left" w:pos="1525"/>
                <w:tab w:val="right" w:pos="2835"/>
              </w:tabs>
              <w:rPr>
                <w:rFonts w:ascii="Arial" w:hAnsi="Arial" w:cs="Arial"/>
                <w:i/>
                <w:iCs/>
                <w:color w:val="0000FF"/>
                <w:sz w:val="14"/>
                <w:szCs w:val="14"/>
              </w:rPr>
            </w:pPr>
          </w:p>
        </w:tc>
        <w:tc>
          <w:tcPr>
            <w:tcW w:w="3041" w:type="dxa"/>
            <w:tcBorders>
              <w:top w:val="nil"/>
              <w:left w:val="nil"/>
              <w:bottom w:val="single" w:sz="4" w:space="0" w:color="auto"/>
              <w:right w:val="nil"/>
            </w:tcBorders>
            <w:shd w:val="clear" w:color="auto" w:fill="auto"/>
          </w:tcPr>
          <w:p w14:paraId="6A5622AE" w14:textId="77777777" w:rsidR="00F5497C" w:rsidRPr="00BA7A47" w:rsidRDefault="00F5497C" w:rsidP="009D7A18">
            <w:pPr>
              <w:tabs>
                <w:tab w:val="left" w:pos="1525"/>
                <w:tab w:val="right" w:pos="2835"/>
              </w:tabs>
              <w:rPr>
                <w:rFonts w:ascii="Arial" w:hAnsi="Arial" w:cs="Arial"/>
                <w:i/>
                <w:iCs/>
                <w:color w:val="999999"/>
                <w:sz w:val="14"/>
                <w:szCs w:val="14"/>
              </w:rPr>
            </w:pPr>
          </w:p>
          <w:p w14:paraId="057D6613" w14:textId="77777777" w:rsidR="00F5497C" w:rsidRPr="0006760A" w:rsidRDefault="00F5497C" w:rsidP="009D7A18">
            <w:pPr>
              <w:spacing w:after="60"/>
              <w:rPr>
                <w:rFonts w:ascii="Arial" w:hAnsi="Arial" w:cs="Arial"/>
                <w:sz w:val="14"/>
                <w:szCs w:val="14"/>
                <w:lang w:eastAsia="zh-CN" w:bidi="th-TH"/>
              </w:rPr>
            </w:pPr>
            <w:r w:rsidRPr="0006760A">
              <w:rPr>
                <w:rFonts w:ascii="Arial" w:hAnsi="Arial" w:cs="Arial"/>
                <w:sz w:val="14"/>
                <w:szCs w:val="14"/>
              </w:rPr>
              <w:t xml:space="preserve">IX.8. </w:t>
            </w:r>
            <w:r w:rsidRPr="0006760A">
              <w:rPr>
                <w:rFonts w:ascii="Arial" w:hAnsi="Arial" w:cs="Arial"/>
                <w:sz w:val="14"/>
                <w:szCs w:val="14"/>
                <w:lang w:eastAsia="zh-CN" w:bidi="th-TH"/>
              </w:rPr>
              <w:t>Improved accountability, organizational learning, value for money, stewardship, internal control and corporate governance through assistance from effective and independent oversight</w:t>
            </w:r>
          </w:p>
          <w:p w14:paraId="36C199DB" w14:textId="77777777" w:rsidR="00F5497C" w:rsidRPr="0006760A" w:rsidRDefault="00F5497C" w:rsidP="009D7A18">
            <w:pPr>
              <w:tabs>
                <w:tab w:val="left" w:pos="412"/>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7,035</w:t>
            </w:r>
            <w:r w:rsidRPr="0006760A">
              <w:rPr>
                <w:rFonts w:ascii="Arial" w:hAnsi="Arial" w:cs="Arial"/>
                <w:i/>
                <w:iCs/>
                <w:sz w:val="14"/>
                <w:szCs w:val="14"/>
              </w:rPr>
              <w:tab/>
            </w:r>
          </w:p>
          <w:p w14:paraId="3C382DD1" w14:textId="77777777" w:rsidR="00F5497C" w:rsidRPr="0006760A" w:rsidRDefault="00F5497C" w:rsidP="009D7A18">
            <w:pPr>
              <w:tabs>
                <w:tab w:val="left" w:pos="424"/>
                <w:tab w:val="left" w:pos="223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t xml:space="preserve">  </w:t>
            </w:r>
            <w:r>
              <w:rPr>
                <w:rFonts w:ascii="Arial" w:hAnsi="Arial" w:cs="Arial"/>
                <w:i/>
                <w:iCs/>
                <w:color w:val="0000FF"/>
                <w:sz w:val="14"/>
                <w:szCs w:val="14"/>
              </w:rPr>
              <w:t>963</w:t>
            </w:r>
          </w:p>
          <w:p w14:paraId="52427ACC" w14:textId="77777777" w:rsidR="00F5497C" w:rsidRPr="0006760A" w:rsidRDefault="00F5497C" w:rsidP="009D7A18">
            <w:pPr>
              <w:tabs>
                <w:tab w:val="left" w:pos="397"/>
                <w:tab w:val="right" w:pos="2835"/>
              </w:tabs>
              <w:rPr>
                <w:rFonts w:ascii="Arial" w:hAnsi="Arial" w:cs="Arial"/>
                <w:color w:val="0000FF"/>
                <w:sz w:val="14"/>
                <w:szCs w:val="14"/>
              </w:rPr>
            </w:pPr>
          </w:p>
        </w:tc>
        <w:tc>
          <w:tcPr>
            <w:tcW w:w="3044" w:type="dxa"/>
            <w:tcBorders>
              <w:top w:val="nil"/>
              <w:left w:val="nil"/>
              <w:bottom w:val="single" w:sz="4" w:space="0" w:color="auto"/>
              <w:right w:val="single" w:sz="4" w:space="0" w:color="auto"/>
            </w:tcBorders>
            <w:shd w:val="clear" w:color="auto" w:fill="auto"/>
          </w:tcPr>
          <w:p w14:paraId="5B6DD613" w14:textId="77777777" w:rsidR="00F5497C" w:rsidRPr="00BA7A47" w:rsidRDefault="00F5497C" w:rsidP="009D7A18">
            <w:pPr>
              <w:tabs>
                <w:tab w:val="right" w:pos="2835"/>
              </w:tabs>
              <w:rPr>
                <w:rFonts w:ascii="Arial" w:hAnsi="Arial" w:cs="Arial"/>
                <w:i/>
                <w:iCs/>
                <w:color w:val="999999"/>
                <w:sz w:val="14"/>
                <w:szCs w:val="14"/>
              </w:rPr>
            </w:pPr>
            <w:r w:rsidRPr="0006760A">
              <w:rPr>
                <w:rFonts w:ascii="Arial" w:hAnsi="Arial" w:cs="Arial"/>
                <w:sz w:val="14"/>
                <w:szCs w:val="14"/>
              </w:rPr>
              <w:br/>
            </w:r>
          </w:p>
          <w:p w14:paraId="1FBA7B4F" w14:textId="77777777" w:rsidR="00F5497C" w:rsidRPr="0006760A" w:rsidRDefault="00F5497C" w:rsidP="009D7A18">
            <w:pPr>
              <w:tabs>
                <w:tab w:val="left" w:pos="2040"/>
                <w:tab w:val="right" w:pos="2835"/>
              </w:tabs>
              <w:rPr>
                <w:rFonts w:ascii="Arial" w:hAnsi="Arial" w:cs="Arial"/>
                <w:i/>
                <w:iCs/>
                <w:sz w:val="14"/>
                <w:szCs w:val="14"/>
              </w:rPr>
            </w:pPr>
          </w:p>
          <w:p w14:paraId="50194876" w14:textId="77777777" w:rsidR="00F5497C" w:rsidRPr="0006760A" w:rsidRDefault="00F5497C" w:rsidP="009D7A18">
            <w:pPr>
              <w:tabs>
                <w:tab w:val="left" w:pos="2040"/>
                <w:tab w:val="right" w:pos="2835"/>
              </w:tabs>
              <w:rPr>
                <w:rFonts w:ascii="Arial" w:hAnsi="Arial" w:cs="Arial"/>
                <w:i/>
                <w:iCs/>
                <w:sz w:val="14"/>
                <w:szCs w:val="14"/>
              </w:rPr>
            </w:pPr>
          </w:p>
          <w:p w14:paraId="74FDAAA2" w14:textId="77777777" w:rsidR="00F5497C" w:rsidRPr="0006760A" w:rsidRDefault="00F5497C" w:rsidP="009D7A18">
            <w:pPr>
              <w:tabs>
                <w:tab w:val="left" w:pos="2253"/>
                <w:tab w:val="right" w:pos="2835"/>
              </w:tabs>
              <w:rPr>
                <w:rFonts w:ascii="Arial" w:hAnsi="Arial" w:cs="Arial"/>
                <w:i/>
                <w:iCs/>
                <w:sz w:val="14"/>
                <w:szCs w:val="14"/>
              </w:rPr>
            </w:pPr>
            <w:r>
              <w:rPr>
                <w:rFonts w:ascii="Arial" w:hAnsi="Arial" w:cs="Arial"/>
                <w:i/>
                <w:iCs/>
                <w:sz w:val="14"/>
                <w:szCs w:val="14"/>
              </w:rPr>
              <w:t>Total proposed budget SG IX:</w:t>
            </w:r>
            <w:r>
              <w:rPr>
                <w:rFonts w:ascii="Arial" w:hAnsi="Arial" w:cs="Arial"/>
                <w:i/>
                <w:iCs/>
                <w:sz w:val="14"/>
                <w:szCs w:val="14"/>
              </w:rPr>
              <w:tab/>
              <w:t xml:space="preserve"> </w:t>
            </w:r>
            <w:r w:rsidRPr="0006760A">
              <w:rPr>
                <w:rFonts w:ascii="Arial" w:hAnsi="Arial" w:cs="Arial"/>
                <w:i/>
                <w:iCs/>
                <w:sz w:val="14"/>
                <w:szCs w:val="14"/>
              </w:rPr>
              <w:t xml:space="preserve"> </w:t>
            </w:r>
            <w:r>
              <w:rPr>
                <w:rFonts w:ascii="Arial" w:hAnsi="Arial" w:cs="Arial"/>
                <w:i/>
                <w:iCs/>
                <w:sz w:val="14"/>
                <w:szCs w:val="14"/>
              </w:rPr>
              <w:t>228,591</w:t>
            </w:r>
          </w:p>
          <w:p w14:paraId="42880BE7" w14:textId="77777777" w:rsidR="00F5497C" w:rsidRPr="0006760A" w:rsidRDefault="00F5497C" w:rsidP="009D7A18">
            <w:pPr>
              <w:tabs>
                <w:tab w:val="left" w:pos="2040"/>
                <w:tab w:val="right" w:pos="2835"/>
              </w:tabs>
              <w:rPr>
                <w:rFonts w:ascii="Arial" w:hAnsi="Arial" w:cs="Arial"/>
                <w:color w:val="0000FF"/>
                <w:sz w:val="14"/>
                <w:szCs w:val="14"/>
              </w:rPr>
            </w:pPr>
            <w:r w:rsidRPr="0006760A">
              <w:rPr>
                <w:rFonts w:ascii="Arial" w:hAnsi="Arial" w:cs="Arial"/>
                <w:i/>
                <w:iCs/>
                <w:color w:val="0000FF"/>
                <w:sz w:val="14"/>
                <w:szCs w:val="14"/>
              </w:rPr>
              <w:t xml:space="preserve">Total development share SG IX:         </w:t>
            </w:r>
            <w:r>
              <w:rPr>
                <w:rFonts w:ascii="Arial" w:hAnsi="Arial" w:cs="Arial"/>
                <w:i/>
                <w:iCs/>
                <w:color w:val="0000FF"/>
                <w:sz w:val="14"/>
                <w:szCs w:val="14"/>
              </w:rPr>
              <w:t xml:space="preserve">    </w:t>
            </w:r>
            <w:r w:rsidRPr="0006760A">
              <w:rPr>
                <w:rFonts w:ascii="Arial" w:hAnsi="Arial" w:cs="Arial"/>
                <w:i/>
                <w:iCs/>
                <w:color w:val="0000FF"/>
                <w:sz w:val="14"/>
                <w:szCs w:val="14"/>
              </w:rPr>
              <w:t xml:space="preserve"> </w:t>
            </w:r>
            <w:r>
              <w:rPr>
                <w:rFonts w:ascii="Arial" w:hAnsi="Arial" w:cs="Arial"/>
                <w:i/>
                <w:iCs/>
                <w:color w:val="0000FF"/>
                <w:sz w:val="14"/>
                <w:szCs w:val="14"/>
              </w:rPr>
              <w:t>963</w:t>
            </w:r>
          </w:p>
        </w:tc>
      </w:tr>
      <w:tr w:rsidR="00F5497C" w:rsidRPr="0006760A" w14:paraId="26E59343" w14:textId="77777777" w:rsidTr="009D7A18">
        <w:trPr>
          <w:trHeight w:val="684"/>
        </w:trPr>
        <w:tc>
          <w:tcPr>
            <w:tcW w:w="387" w:type="dxa"/>
            <w:tcBorders>
              <w:top w:val="nil"/>
              <w:left w:val="nil"/>
              <w:bottom w:val="nil"/>
              <w:right w:val="nil"/>
            </w:tcBorders>
            <w:shd w:val="clear" w:color="auto" w:fill="auto"/>
            <w:noWrap/>
            <w:vAlign w:val="bottom"/>
          </w:tcPr>
          <w:p w14:paraId="673B9694" w14:textId="77777777" w:rsidR="00F5497C" w:rsidRPr="0018132B" w:rsidRDefault="00F5497C" w:rsidP="009D7A18">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14:paraId="740CAA77" w14:textId="63EFF75C"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1</w:t>
            </w:r>
            <w:r w:rsidRPr="0006760A">
              <w:rPr>
                <w:rFonts w:ascii="Arial" w:hAnsi="Arial" w:cs="Arial"/>
                <w:i/>
                <w:iCs/>
                <w:sz w:val="12"/>
                <w:szCs w:val="12"/>
              </w:rPr>
              <w:t xml:space="preserve"> The proposed budget by results does not include the proposed budget for unallocated: </w:t>
            </w:r>
            <w:r w:rsidR="00A74116">
              <w:rPr>
                <w:rFonts w:ascii="Arial" w:hAnsi="Arial" w:cs="Arial"/>
                <w:i/>
                <w:iCs/>
                <w:sz w:val="12"/>
                <w:szCs w:val="12"/>
              </w:rPr>
              <w:t>6.319 million Swiss francs</w:t>
            </w:r>
          </w:p>
          <w:p w14:paraId="24F49D5B"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2</w:t>
            </w:r>
            <w:r w:rsidRPr="0006760A">
              <w:rPr>
                <w:rFonts w:ascii="Arial" w:hAnsi="Arial" w:cs="Arial"/>
                <w:i/>
                <w:iCs/>
                <w:sz w:val="12"/>
                <w:szCs w:val="12"/>
              </w:rPr>
              <w:t xml:space="preserve"> Development share: Expenditure is qualified as development expenditure only where the beneficiary is a developing country and the equivalent expenditure is not available for developed countries (consistent with past practice, countries with economies in transition are included for the purposes of the Program and Budget)</w:t>
            </w:r>
          </w:p>
          <w:p w14:paraId="574564C7"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 xml:space="preserve">3 </w:t>
            </w:r>
            <w:r w:rsidRPr="0006760A">
              <w:rPr>
                <w:rFonts w:ascii="Arial" w:hAnsi="Arial" w:cs="Arial"/>
                <w:i/>
                <w:iCs/>
                <w:sz w:val="12"/>
                <w:szCs w:val="12"/>
              </w:rPr>
              <w:t>The figures for Development Share include Development Agenda project resources</w:t>
            </w:r>
          </w:p>
          <w:p w14:paraId="1C381364"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 xml:space="preserve">4 </w:t>
            </w:r>
            <w:r w:rsidRPr="0006760A">
              <w:rPr>
                <w:rFonts w:ascii="Arial" w:hAnsi="Arial" w:cs="Arial"/>
                <w:i/>
                <w:iCs/>
                <w:sz w:val="12"/>
                <w:szCs w:val="12"/>
              </w:rPr>
              <w:t>Figures might not add up to total budget due to rounding</w:t>
            </w:r>
          </w:p>
        </w:tc>
        <w:tc>
          <w:tcPr>
            <w:tcW w:w="3041" w:type="dxa"/>
            <w:tcBorders>
              <w:top w:val="nil"/>
              <w:left w:val="nil"/>
              <w:bottom w:val="nil"/>
              <w:right w:val="nil"/>
            </w:tcBorders>
            <w:shd w:val="clear" w:color="auto" w:fill="auto"/>
            <w:noWrap/>
            <w:vAlign w:val="bottom"/>
          </w:tcPr>
          <w:p w14:paraId="2E4CA8CA" w14:textId="77777777" w:rsidR="00F5497C" w:rsidRPr="0006760A" w:rsidRDefault="00F5497C" w:rsidP="009D7A18">
            <w:pPr>
              <w:tabs>
                <w:tab w:val="right" w:pos="2835"/>
              </w:tabs>
              <w:rPr>
                <w:rFonts w:ascii="Arial" w:hAnsi="Arial" w:cs="Arial"/>
                <w:sz w:val="16"/>
                <w:szCs w:val="16"/>
              </w:rPr>
            </w:pPr>
          </w:p>
        </w:tc>
        <w:tc>
          <w:tcPr>
            <w:tcW w:w="3040" w:type="dxa"/>
            <w:tcBorders>
              <w:top w:val="nil"/>
              <w:left w:val="nil"/>
              <w:bottom w:val="nil"/>
              <w:right w:val="nil"/>
            </w:tcBorders>
            <w:shd w:val="clear" w:color="auto" w:fill="auto"/>
            <w:noWrap/>
            <w:vAlign w:val="bottom"/>
          </w:tcPr>
          <w:p w14:paraId="4DF40F78" w14:textId="77777777" w:rsidR="00F5497C" w:rsidRPr="0006760A" w:rsidRDefault="00F5497C" w:rsidP="009D7A18">
            <w:pPr>
              <w:tabs>
                <w:tab w:val="right" w:pos="2835"/>
              </w:tabs>
              <w:rPr>
                <w:rFonts w:ascii="Arial" w:hAnsi="Arial" w:cs="Arial"/>
                <w:sz w:val="16"/>
                <w:szCs w:val="16"/>
              </w:rPr>
            </w:pPr>
          </w:p>
        </w:tc>
        <w:tc>
          <w:tcPr>
            <w:tcW w:w="6086" w:type="dxa"/>
            <w:gridSpan w:val="2"/>
            <w:tcBorders>
              <w:top w:val="nil"/>
              <w:left w:val="nil"/>
              <w:bottom w:val="nil"/>
              <w:right w:val="nil"/>
            </w:tcBorders>
            <w:shd w:val="clear" w:color="auto" w:fill="auto"/>
            <w:noWrap/>
          </w:tcPr>
          <w:p w14:paraId="27025061" w14:textId="77777777" w:rsidR="00F5497C" w:rsidRPr="0006760A" w:rsidRDefault="00F5497C" w:rsidP="009D7A18">
            <w:pPr>
              <w:tabs>
                <w:tab w:val="right" w:pos="2835"/>
              </w:tabs>
              <w:rPr>
                <w:rFonts w:ascii="Arial" w:hAnsi="Arial" w:cs="Arial"/>
                <w:b/>
                <w:bCs/>
                <w:i/>
                <w:iCs/>
                <w:sz w:val="16"/>
                <w:szCs w:val="16"/>
              </w:rPr>
            </w:pPr>
          </w:p>
          <w:p w14:paraId="1ED24E4A" w14:textId="77777777" w:rsidR="00F5497C" w:rsidRPr="0006760A" w:rsidRDefault="00F5497C" w:rsidP="009D7A18">
            <w:pPr>
              <w:tabs>
                <w:tab w:val="right" w:pos="2835"/>
              </w:tabs>
              <w:rPr>
                <w:rFonts w:ascii="Arial" w:hAnsi="Arial" w:cs="Arial"/>
                <w:b/>
                <w:bCs/>
                <w:i/>
                <w:iCs/>
                <w:sz w:val="16"/>
                <w:szCs w:val="16"/>
              </w:rPr>
            </w:pPr>
            <w:r w:rsidRPr="0006760A">
              <w:rPr>
                <w:rFonts w:ascii="Arial" w:hAnsi="Arial" w:cs="Arial"/>
                <w:b/>
                <w:bCs/>
                <w:i/>
                <w:iCs/>
                <w:sz w:val="16"/>
                <w:szCs w:val="16"/>
              </w:rPr>
              <w:t>Total proposed budget 20</w:t>
            </w:r>
            <w:r>
              <w:rPr>
                <w:rFonts w:ascii="Arial" w:hAnsi="Arial" w:cs="Arial"/>
                <w:b/>
                <w:bCs/>
                <w:i/>
                <w:iCs/>
                <w:sz w:val="16"/>
                <w:szCs w:val="16"/>
              </w:rPr>
              <w:t>16/17</w:t>
            </w:r>
            <w:r w:rsidRPr="0006760A">
              <w:rPr>
                <w:rFonts w:ascii="Arial" w:hAnsi="Arial" w:cs="Arial"/>
                <w:b/>
                <w:bCs/>
                <w:i/>
                <w:iCs/>
                <w:sz w:val="16"/>
                <w:szCs w:val="16"/>
              </w:rPr>
              <w:t xml:space="preserve">: </w:t>
            </w:r>
            <w:r>
              <w:rPr>
                <w:rFonts w:ascii="Arial" w:hAnsi="Arial" w:cs="Arial"/>
                <w:b/>
                <w:bCs/>
                <w:i/>
                <w:iCs/>
                <w:sz w:val="16"/>
                <w:szCs w:val="16"/>
              </w:rPr>
              <w:t>707,036</w:t>
            </w:r>
            <w:r w:rsidRPr="0006760A">
              <w:rPr>
                <w:rFonts w:ascii="Arial" w:hAnsi="Arial" w:cs="Arial"/>
                <w:b/>
                <w:bCs/>
                <w:i/>
                <w:iCs/>
                <w:sz w:val="16"/>
                <w:szCs w:val="16"/>
              </w:rPr>
              <w:t xml:space="preserve">  </w:t>
            </w:r>
            <w:r w:rsidRPr="0006760A">
              <w:rPr>
                <w:rFonts w:ascii="Arial" w:hAnsi="Arial" w:cs="Arial"/>
                <w:b/>
                <w:bCs/>
                <w:i/>
                <w:iCs/>
                <w:sz w:val="16"/>
                <w:szCs w:val="16"/>
              </w:rPr>
              <w:tab/>
            </w:r>
            <w:r w:rsidRPr="0006760A">
              <w:rPr>
                <w:rFonts w:ascii="Arial" w:hAnsi="Arial" w:cs="Arial"/>
                <w:b/>
                <w:bCs/>
                <w:i/>
                <w:iCs/>
                <w:sz w:val="16"/>
                <w:szCs w:val="16"/>
              </w:rPr>
              <w:tab/>
              <w:t xml:space="preserve"> </w:t>
            </w:r>
          </w:p>
          <w:p w14:paraId="05123771" w14:textId="695FA69D" w:rsidR="00F5497C" w:rsidRPr="0006760A" w:rsidRDefault="00F5497C">
            <w:pPr>
              <w:tabs>
                <w:tab w:val="right" w:pos="2663"/>
              </w:tabs>
              <w:rPr>
                <w:rFonts w:ascii="Arial" w:hAnsi="Arial" w:cs="Arial"/>
                <w:b/>
                <w:bCs/>
                <w:i/>
                <w:iCs/>
                <w:color w:val="0000FF"/>
                <w:sz w:val="16"/>
                <w:szCs w:val="16"/>
              </w:rPr>
            </w:pPr>
            <w:r w:rsidRPr="0006760A">
              <w:rPr>
                <w:rFonts w:ascii="Arial" w:hAnsi="Arial" w:cs="Arial"/>
                <w:b/>
                <w:bCs/>
                <w:i/>
                <w:iCs/>
                <w:color w:val="0000FF"/>
                <w:sz w:val="16"/>
                <w:szCs w:val="16"/>
              </w:rPr>
              <w:t xml:space="preserve">Total development share:      </w:t>
            </w:r>
            <w:r w:rsidRPr="0006760A">
              <w:rPr>
                <w:rFonts w:ascii="Arial" w:hAnsi="Arial" w:cs="Arial"/>
                <w:b/>
                <w:bCs/>
                <w:i/>
                <w:iCs/>
                <w:color w:val="0000FF"/>
                <w:sz w:val="16"/>
                <w:szCs w:val="16"/>
              </w:rPr>
              <w:tab/>
            </w:r>
            <w:r>
              <w:rPr>
                <w:rFonts w:ascii="Arial" w:hAnsi="Arial" w:cs="Arial"/>
                <w:b/>
                <w:bCs/>
                <w:i/>
                <w:iCs/>
                <w:color w:val="0000FF"/>
                <w:sz w:val="16"/>
                <w:szCs w:val="16"/>
              </w:rPr>
              <w:t>15</w:t>
            </w:r>
            <w:r w:rsidR="00F85ED0">
              <w:rPr>
                <w:rFonts w:ascii="Arial" w:hAnsi="Arial" w:cs="Arial"/>
                <w:b/>
                <w:bCs/>
                <w:i/>
                <w:iCs/>
                <w:color w:val="0000FF"/>
                <w:sz w:val="16"/>
                <w:szCs w:val="16"/>
              </w:rPr>
              <w:t>1,500</w:t>
            </w:r>
            <w:r w:rsidRPr="0006760A">
              <w:rPr>
                <w:rFonts w:ascii="Arial" w:hAnsi="Arial" w:cs="Arial"/>
                <w:b/>
                <w:bCs/>
                <w:i/>
                <w:iCs/>
                <w:color w:val="0000FF"/>
                <w:sz w:val="16"/>
                <w:szCs w:val="16"/>
              </w:rPr>
              <w:t xml:space="preserve">  </w:t>
            </w:r>
            <w:r w:rsidRPr="0006760A">
              <w:rPr>
                <w:rFonts w:ascii="Arial" w:hAnsi="Arial" w:cs="Arial"/>
                <w:b/>
                <w:bCs/>
                <w:i/>
                <w:iCs/>
                <w:color w:val="0000FF"/>
                <w:sz w:val="16"/>
                <w:szCs w:val="16"/>
              </w:rPr>
              <w:tab/>
            </w:r>
            <w:r w:rsidRPr="0006760A">
              <w:rPr>
                <w:rFonts w:ascii="Arial" w:hAnsi="Arial" w:cs="Arial"/>
                <w:b/>
                <w:bCs/>
                <w:i/>
                <w:iCs/>
                <w:color w:val="0000FF"/>
                <w:sz w:val="16"/>
                <w:szCs w:val="16"/>
              </w:rPr>
              <w:tab/>
            </w:r>
          </w:p>
        </w:tc>
      </w:tr>
    </w:tbl>
    <w:p w14:paraId="5B7BCD35" w14:textId="108EA4BA" w:rsidR="00357038" w:rsidRDefault="00357038" w:rsidP="00F02301">
      <w:pPr>
        <w:widowControl w:val="0"/>
        <w:tabs>
          <w:tab w:val="num" w:pos="690"/>
        </w:tabs>
        <w:rPr>
          <w:rFonts w:ascii="Arial" w:eastAsia="SimSun" w:hAnsi="Arial" w:cs="Arial"/>
          <w:b/>
          <w:color w:val="000000"/>
          <w:sz w:val="20"/>
          <w:highlight w:val="yellow"/>
          <w:lang w:eastAsia="zh-CN"/>
        </w:rPr>
      </w:pPr>
    </w:p>
    <w:p w14:paraId="6228DB75" w14:textId="1EB9C42B" w:rsidR="00F5497C" w:rsidRDefault="00F5497C" w:rsidP="00AC4500">
      <w:pPr>
        <w:rPr>
          <w:rFonts w:ascii="Arial" w:eastAsia="SimSun" w:hAnsi="Arial" w:cs="Arial"/>
          <w:b/>
          <w:color w:val="000000"/>
          <w:sz w:val="20"/>
          <w:highlight w:val="yellow"/>
          <w:lang w:eastAsia="zh-CN"/>
        </w:rPr>
        <w:sectPr w:rsidR="00F5497C" w:rsidSect="00357038">
          <w:pgSz w:w="23814" w:h="16839" w:orient="landscape" w:code="8"/>
          <w:pgMar w:top="1077" w:right="624" w:bottom="964" w:left="1134" w:header="567" w:footer="851" w:gutter="0"/>
          <w:cols w:space="720"/>
          <w:docGrid w:linePitch="360"/>
        </w:sectPr>
      </w:pPr>
    </w:p>
    <w:p w14:paraId="6618DEF3" w14:textId="6CE5935A" w:rsidR="00B67D0A" w:rsidRPr="00F51335" w:rsidRDefault="00B67D0A" w:rsidP="00F51335">
      <w:pPr>
        <w:pStyle w:val="StyleHeading3ComplexItalic"/>
        <w:tabs>
          <w:tab w:val="clear" w:pos="1985"/>
          <w:tab w:val="left" w:pos="1843"/>
        </w:tabs>
        <w:ind w:left="1843" w:hanging="1843"/>
        <w:rPr>
          <w:sz w:val="20"/>
        </w:rPr>
      </w:pPr>
      <w:bookmarkStart w:id="14" w:name="_Toc431221399"/>
      <w:r w:rsidRPr="00F51335">
        <w:rPr>
          <w:sz w:val="20"/>
        </w:rPr>
        <w:lastRenderedPageBreak/>
        <w:t xml:space="preserve">RESULTS AND </w:t>
      </w:r>
      <w:bookmarkEnd w:id="12"/>
      <w:bookmarkEnd w:id="13"/>
      <w:r w:rsidRPr="00F51335">
        <w:rPr>
          <w:sz w:val="20"/>
        </w:rPr>
        <w:t>RESOURCES</w:t>
      </w:r>
      <w:bookmarkEnd w:id="14"/>
    </w:p>
    <w:p w14:paraId="3E52C2DB" w14:textId="77777777" w:rsidR="00466359" w:rsidRDefault="00466359" w:rsidP="00F02301">
      <w:pPr>
        <w:jc w:val="both"/>
        <w:rPr>
          <w:rFonts w:ascii="Arial" w:hAnsi="Arial"/>
          <w:sz w:val="20"/>
        </w:rPr>
      </w:pPr>
    </w:p>
    <w:p w14:paraId="080A1943" w14:textId="77777777" w:rsidR="00466359" w:rsidRDefault="00466359" w:rsidP="00F02301">
      <w:pPr>
        <w:jc w:val="both"/>
        <w:rPr>
          <w:rFonts w:ascii="Arial" w:hAnsi="Arial"/>
          <w:sz w:val="20"/>
        </w:rPr>
      </w:pPr>
    </w:p>
    <w:p w14:paraId="632DF534" w14:textId="053B6AED" w:rsidR="00B67D0A" w:rsidRPr="00F310F2" w:rsidRDefault="00B67D0A" w:rsidP="00B66A4A">
      <w:pPr>
        <w:pStyle w:val="ListParagraph"/>
        <w:widowControl w:val="0"/>
        <w:numPr>
          <w:ilvl w:val="0"/>
          <w:numId w:val="33"/>
        </w:numPr>
        <w:tabs>
          <w:tab w:val="left" w:pos="567"/>
        </w:tabs>
        <w:ind w:left="0" w:firstLine="0"/>
        <w:jc w:val="both"/>
        <w:rPr>
          <w:rFonts w:ascii="Arial" w:hAnsi="Arial"/>
          <w:sz w:val="20"/>
        </w:rPr>
      </w:pPr>
      <w:r w:rsidRPr="004E06D4">
        <w:rPr>
          <w:rFonts w:ascii="Arial" w:hAnsi="Arial"/>
          <w:sz w:val="20"/>
        </w:rPr>
        <w:t xml:space="preserve">The proposal for the biennium 2016/17 ensures that the Organization’s resources continue to be deployed towards the achievement of results that are of highest value to our Member States and stakeholders.  </w:t>
      </w:r>
      <w:r w:rsidRPr="004E06D4">
        <w:rPr>
          <w:rFonts w:ascii="Arial" w:eastAsia="SimSun" w:hAnsi="Arial" w:cs="Arial"/>
          <w:color w:val="000000"/>
          <w:sz w:val="20"/>
          <w:lang w:eastAsia="zh-CN"/>
        </w:rPr>
        <w:t>The total proposed expenditure for the 2016/17 biennium amount</w:t>
      </w:r>
      <w:r w:rsidR="003866D2">
        <w:rPr>
          <w:rFonts w:ascii="Arial" w:eastAsia="SimSun" w:hAnsi="Arial" w:cs="Arial"/>
          <w:color w:val="000000"/>
          <w:sz w:val="20"/>
          <w:lang w:eastAsia="zh-CN"/>
        </w:rPr>
        <w:t>s</w:t>
      </w:r>
      <w:r w:rsidRPr="004E06D4">
        <w:rPr>
          <w:rFonts w:ascii="Arial" w:eastAsia="SimSun" w:hAnsi="Arial" w:cs="Arial"/>
          <w:color w:val="000000"/>
          <w:sz w:val="20"/>
          <w:lang w:eastAsia="zh-CN"/>
        </w:rPr>
        <w:t xml:space="preserve"> to 707.0 million Swiss francs, representing an increase of 33 million Swiss francs or 4.9 per cent over the 2014/15 </w:t>
      </w:r>
      <w:r w:rsidR="003866D2">
        <w:rPr>
          <w:rFonts w:ascii="Arial" w:eastAsia="SimSun" w:hAnsi="Arial" w:cs="Arial"/>
          <w:color w:val="000000"/>
          <w:sz w:val="20"/>
          <w:lang w:eastAsia="zh-CN"/>
        </w:rPr>
        <w:t>A</w:t>
      </w:r>
      <w:r w:rsidR="003866D2" w:rsidRPr="004E06D4">
        <w:rPr>
          <w:rFonts w:ascii="Arial" w:eastAsia="SimSun" w:hAnsi="Arial" w:cs="Arial"/>
          <w:color w:val="000000"/>
          <w:sz w:val="20"/>
          <w:lang w:eastAsia="zh-CN"/>
        </w:rPr>
        <w:t xml:space="preserve">pproved </w:t>
      </w:r>
      <w:r w:rsidR="003866D2">
        <w:rPr>
          <w:rFonts w:ascii="Arial" w:eastAsia="SimSun" w:hAnsi="Arial" w:cs="Arial"/>
          <w:color w:val="000000"/>
          <w:sz w:val="20"/>
          <w:lang w:eastAsia="zh-CN"/>
        </w:rPr>
        <w:t>B</w:t>
      </w:r>
      <w:r w:rsidR="003866D2" w:rsidRPr="004E06D4">
        <w:rPr>
          <w:rFonts w:ascii="Arial" w:eastAsia="SimSun" w:hAnsi="Arial" w:cs="Arial"/>
          <w:color w:val="000000"/>
          <w:sz w:val="20"/>
          <w:lang w:eastAsia="zh-CN"/>
        </w:rPr>
        <w:t>udget</w:t>
      </w:r>
      <w:r w:rsidR="003866D2">
        <w:rPr>
          <w:rFonts w:ascii="Arial" w:eastAsia="SimSun" w:hAnsi="Arial" w:cs="Arial"/>
          <w:color w:val="000000"/>
          <w:sz w:val="20"/>
          <w:lang w:eastAsia="zh-CN"/>
        </w:rPr>
        <w:t xml:space="preserve"> of 674 million Swiss francs</w:t>
      </w:r>
      <w:r w:rsidRPr="004E06D4">
        <w:rPr>
          <w:rFonts w:ascii="Arial" w:eastAsia="SimSun" w:hAnsi="Arial" w:cs="Arial"/>
          <w:color w:val="000000"/>
          <w:sz w:val="20"/>
          <w:lang w:eastAsia="zh-CN"/>
        </w:rPr>
        <w:t xml:space="preserve">.  </w:t>
      </w:r>
      <w:r>
        <w:rPr>
          <w:rFonts w:ascii="Arial" w:eastAsia="SimSun" w:hAnsi="Arial" w:cs="Arial"/>
          <w:color w:val="000000"/>
          <w:sz w:val="20"/>
          <w:lang w:eastAsia="zh-CN"/>
        </w:rPr>
        <w:t>This should be seen in the context of an estimated increase in income of 6.</w:t>
      </w:r>
      <w:r w:rsidR="00123A82">
        <w:rPr>
          <w:rFonts w:ascii="Arial" w:eastAsia="SimSun" w:hAnsi="Arial" w:cs="Arial"/>
          <w:color w:val="000000"/>
          <w:sz w:val="20"/>
          <w:lang w:eastAsia="zh-CN"/>
        </w:rPr>
        <w:t xml:space="preserve">0 </w:t>
      </w:r>
      <w:r>
        <w:rPr>
          <w:rFonts w:ascii="Arial" w:eastAsia="SimSun" w:hAnsi="Arial" w:cs="Arial"/>
          <w:color w:val="000000"/>
          <w:sz w:val="20"/>
          <w:lang w:eastAsia="zh-CN"/>
        </w:rPr>
        <w:t xml:space="preserve">per cent compared to the 2014/15 Approved Budget. This illustrates the Secretariat’s efforts to contain costs in spite of increasing demands for its services. </w:t>
      </w:r>
    </w:p>
    <w:p w14:paraId="7524BF6D" w14:textId="77777777" w:rsidR="00B67D0A" w:rsidRPr="00F310F2" w:rsidRDefault="00B67D0A" w:rsidP="00F02301">
      <w:pPr>
        <w:jc w:val="both"/>
        <w:rPr>
          <w:rFonts w:ascii="Arial" w:hAnsi="Arial"/>
          <w:sz w:val="20"/>
        </w:rPr>
      </w:pPr>
    </w:p>
    <w:p w14:paraId="1DD0BC40" w14:textId="77777777" w:rsidR="00B67D0A" w:rsidRPr="00696159" w:rsidRDefault="00B67D0A" w:rsidP="00B66A4A">
      <w:pPr>
        <w:pStyle w:val="ListParagraph"/>
        <w:widowControl w:val="0"/>
        <w:numPr>
          <w:ilvl w:val="0"/>
          <w:numId w:val="33"/>
        </w:numPr>
        <w:tabs>
          <w:tab w:val="left" w:pos="567"/>
        </w:tabs>
        <w:ind w:left="0" w:firstLine="0"/>
        <w:jc w:val="both"/>
        <w:rPr>
          <w:rFonts w:ascii="Arial" w:hAnsi="Arial"/>
          <w:sz w:val="20"/>
        </w:rPr>
      </w:pPr>
      <w:r w:rsidRPr="00466359">
        <w:rPr>
          <w:rFonts w:ascii="Arial" w:hAnsi="Arial"/>
          <w:sz w:val="20"/>
          <w:lang w:val="en-CA"/>
        </w:rPr>
        <w:t>The</w:t>
      </w:r>
      <w:r w:rsidRPr="008754A4">
        <w:rPr>
          <w:rFonts w:ascii="Arial" w:hAnsi="Arial"/>
          <w:sz w:val="20"/>
        </w:rPr>
        <w:t xml:space="preserve"> </w:t>
      </w:r>
      <w:r>
        <w:rPr>
          <w:rFonts w:ascii="Arial" w:hAnsi="Arial"/>
          <w:sz w:val="20"/>
        </w:rPr>
        <w:t>Results Framework Chart</w:t>
      </w:r>
      <w:r w:rsidRPr="008754A4">
        <w:rPr>
          <w:rFonts w:ascii="Arial" w:hAnsi="Arial"/>
          <w:sz w:val="20"/>
        </w:rPr>
        <w:t xml:space="preserve"> </w:t>
      </w:r>
      <w:r>
        <w:rPr>
          <w:rFonts w:ascii="Arial" w:hAnsi="Arial"/>
          <w:sz w:val="20"/>
        </w:rPr>
        <w:t xml:space="preserve">sets out the 37 organizational Expected Results for the 2016/17 biennium providing the mandate for the Programs contributing to these results. The Chart also </w:t>
      </w:r>
      <w:r w:rsidRPr="008754A4">
        <w:rPr>
          <w:rFonts w:ascii="Arial" w:hAnsi="Arial"/>
          <w:sz w:val="20"/>
        </w:rPr>
        <w:t xml:space="preserve">provides the results-based view of the budget </w:t>
      </w:r>
      <w:r>
        <w:rPr>
          <w:rFonts w:ascii="Arial" w:hAnsi="Arial"/>
          <w:sz w:val="20"/>
        </w:rPr>
        <w:t xml:space="preserve">for the biennium </w:t>
      </w:r>
      <w:r w:rsidRPr="008754A4">
        <w:rPr>
          <w:rFonts w:ascii="Arial" w:hAnsi="Arial"/>
          <w:sz w:val="20"/>
        </w:rPr>
        <w:t>201</w:t>
      </w:r>
      <w:r>
        <w:rPr>
          <w:rFonts w:ascii="Arial" w:hAnsi="Arial"/>
          <w:sz w:val="20"/>
        </w:rPr>
        <w:t>6</w:t>
      </w:r>
      <w:r w:rsidRPr="008754A4">
        <w:rPr>
          <w:rFonts w:ascii="Arial" w:hAnsi="Arial"/>
          <w:sz w:val="20"/>
        </w:rPr>
        <w:t>/1</w:t>
      </w:r>
      <w:r>
        <w:rPr>
          <w:rFonts w:ascii="Arial" w:hAnsi="Arial"/>
          <w:sz w:val="20"/>
        </w:rPr>
        <w:t>7 and the development share of resources for each result</w:t>
      </w:r>
      <w:r w:rsidRPr="008754A4">
        <w:rPr>
          <w:rFonts w:ascii="Arial" w:hAnsi="Arial"/>
          <w:sz w:val="20"/>
        </w:rPr>
        <w:t>.</w:t>
      </w:r>
      <w:r>
        <w:rPr>
          <w:rFonts w:ascii="Arial" w:hAnsi="Arial"/>
          <w:sz w:val="20"/>
        </w:rPr>
        <w:t xml:space="preserve">  Furthermore, a breakdown of the extra-budgetary resources potentially available under each Program is reflected at the program level and in </w:t>
      </w:r>
      <w:r w:rsidRPr="00696159">
        <w:rPr>
          <w:rFonts w:ascii="Arial" w:hAnsi="Arial"/>
          <w:sz w:val="20"/>
        </w:rPr>
        <w:t xml:space="preserve">Annex </w:t>
      </w:r>
      <w:r w:rsidRPr="00DA3F93">
        <w:rPr>
          <w:rFonts w:ascii="Arial" w:hAnsi="Arial"/>
          <w:sz w:val="20"/>
        </w:rPr>
        <w:t>VIII</w:t>
      </w:r>
      <w:r w:rsidRPr="00696159">
        <w:rPr>
          <w:rFonts w:ascii="Arial" w:hAnsi="Arial"/>
          <w:sz w:val="20"/>
        </w:rPr>
        <w:t>.</w:t>
      </w:r>
    </w:p>
    <w:p w14:paraId="6BD29C45" w14:textId="77777777" w:rsidR="00B67D0A" w:rsidRDefault="00B67D0A" w:rsidP="00F02301">
      <w:pPr>
        <w:jc w:val="both"/>
        <w:rPr>
          <w:rFonts w:ascii="Arial" w:hAnsi="Arial"/>
          <w:sz w:val="20"/>
        </w:rPr>
      </w:pPr>
    </w:p>
    <w:p w14:paraId="09C1E5AD" w14:textId="022201AC" w:rsidR="00B67D0A" w:rsidRPr="00696159" w:rsidRDefault="00B67D0A" w:rsidP="00B66A4A">
      <w:pPr>
        <w:pStyle w:val="ListParagraph"/>
        <w:widowControl w:val="0"/>
        <w:numPr>
          <w:ilvl w:val="0"/>
          <w:numId w:val="33"/>
        </w:numPr>
        <w:tabs>
          <w:tab w:val="left" w:pos="567"/>
        </w:tabs>
        <w:ind w:left="0" w:firstLine="0"/>
        <w:jc w:val="both"/>
        <w:rPr>
          <w:rFonts w:ascii="Arial" w:hAnsi="Arial" w:cs="Arial"/>
          <w:sz w:val="20"/>
        </w:rPr>
      </w:pPr>
      <w:r>
        <w:rPr>
          <w:rFonts w:ascii="Arial" w:eastAsia="SimSun" w:hAnsi="Arial" w:cs="Arial"/>
          <w:color w:val="000000"/>
          <w:sz w:val="20"/>
          <w:lang w:eastAsia="zh-CN"/>
        </w:rPr>
        <w:t xml:space="preserve">The </w:t>
      </w:r>
      <w:r w:rsidRPr="00EA0FFC">
        <w:rPr>
          <w:rFonts w:ascii="Arial" w:eastAsia="SimSun" w:hAnsi="Arial" w:cs="Arial"/>
          <w:color w:val="000000"/>
          <w:sz w:val="20"/>
          <w:lang w:eastAsia="zh-CN"/>
        </w:rPr>
        <w:t>201</w:t>
      </w:r>
      <w:r>
        <w:rPr>
          <w:rFonts w:ascii="Arial" w:eastAsia="SimSun" w:hAnsi="Arial" w:cs="Arial"/>
          <w:color w:val="000000"/>
          <w:sz w:val="20"/>
          <w:lang w:eastAsia="zh-CN"/>
        </w:rPr>
        <w:t>6</w:t>
      </w:r>
      <w:r w:rsidRPr="00EA0FFC">
        <w:rPr>
          <w:rFonts w:ascii="Arial" w:eastAsia="SimSun" w:hAnsi="Arial" w:cs="Arial"/>
          <w:color w:val="000000"/>
          <w:sz w:val="20"/>
          <w:lang w:eastAsia="zh-CN"/>
        </w:rPr>
        <w:t>/1</w:t>
      </w:r>
      <w:r>
        <w:rPr>
          <w:rFonts w:ascii="Arial" w:eastAsia="SimSun" w:hAnsi="Arial" w:cs="Arial"/>
          <w:color w:val="000000"/>
          <w:sz w:val="20"/>
          <w:lang w:eastAsia="zh-CN"/>
        </w:rPr>
        <w:t>7</w:t>
      </w:r>
      <w:r w:rsidRPr="00EA0FFC">
        <w:rPr>
          <w:rFonts w:ascii="Arial" w:eastAsia="SimSun" w:hAnsi="Arial" w:cs="Arial"/>
          <w:color w:val="000000"/>
          <w:sz w:val="20"/>
          <w:lang w:eastAsia="zh-CN"/>
        </w:rPr>
        <w:t xml:space="preserve"> budget by </w:t>
      </w:r>
      <w:r>
        <w:rPr>
          <w:rFonts w:ascii="Arial" w:eastAsia="SimSun" w:hAnsi="Arial" w:cs="Arial"/>
          <w:color w:val="000000"/>
          <w:sz w:val="20"/>
          <w:lang w:eastAsia="zh-CN"/>
        </w:rPr>
        <w:t xml:space="preserve">Program and by </w:t>
      </w:r>
      <w:r w:rsidRPr="00EA0FFC">
        <w:rPr>
          <w:rFonts w:ascii="Arial" w:eastAsia="SimSun" w:hAnsi="Arial" w:cs="Arial"/>
          <w:color w:val="000000"/>
          <w:sz w:val="20"/>
          <w:lang w:eastAsia="zh-CN"/>
        </w:rPr>
        <w:t xml:space="preserve">cost </w:t>
      </w:r>
      <w:r w:rsidR="003866D2" w:rsidRPr="00EA0FFC">
        <w:rPr>
          <w:rFonts w:ascii="Arial" w:eastAsia="SimSun" w:hAnsi="Arial" w:cs="Arial"/>
          <w:color w:val="000000"/>
          <w:sz w:val="20"/>
          <w:lang w:eastAsia="zh-CN"/>
        </w:rPr>
        <w:t>categor</w:t>
      </w:r>
      <w:r w:rsidR="003866D2">
        <w:rPr>
          <w:rFonts w:ascii="Arial" w:eastAsia="SimSun" w:hAnsi="Arial" w:cs="Arial"/>
          <w:color w:val="000000"/>
          <w:sz w:val="20"/>
          <w:lang w:eastAsia="zh-CN"/>
        </w:rPr>
        <w:t xml:space="preserve">y is </w:t>
      </w:r>
      <w:r>
        <w:rPr>
          <w:rFonts w:ascii="Arial" w:eastAsia="SimSun" w:hAnsi="Arial" w:cs="Arial"/>
          <w:color w:val="000000"/>
          <w:sz w:val="20"/>
          <w:lang w:eastAsia="zh-CN"/>
        </w:rPr>
        <w:t xml:space="preserve">summarized in tables 4 and 5 below. </w:t>
      </w:r>
      <w:r w:rsidRPr="00EA0FFC">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The program structure remains the same as in the biennium 2014/15, </w:t>
      </w:r>
      <w:r w:rsidR="00B1536A">
        <w:rPr>
          <w:rFonts w:ascii="Arial" w:eastAsia="SimSun" w:hAnsi="Arial" w:cs="Arial"/>
          <w:color w:val="000000"/>
          <w:sz w:val="20"/>
          <w:lang w:eastAsia="zh-CN"/>
        </w:rPr>
        <w:t xml:space="preserve">except </w:t>
      </w:r>
      <w:r>
        <w:rPr>
          <w:rFonts w:ascii="Arial" w:eastAsia="SimSun" w:hAnsi="Arial" w:cs="Arial"/>
          <w:color w:val="000000"/>
          <w:sz w:val="20"/>
          <w:lang w:eastAsia="zh-CN"/>
        </w:rPr>
        <w:t>for</w:t>
      </w:r>
      <w:r w:rsidR="00696159">
        <w:rPr>
          <w:rFonts w:ascii="Arial" w:eastAsia="SimSun" w:hAnsi="Arial" w:cs="Arial"/>
          <w:color w:val="000000"/>
          <w:sz w:val="20"/>
          <w:lang w:eastAsia="zh-CN"/>
        </w:rPr>
        <w:t xml:space="preserve"> (</w:t>
      </w:r>
      <w:proofErr w:type="spellStart"/>
      <w:r w:rsidR="00696159">
        <w:rPr>
          <w:rFonts w:ascii="Arial" w:eastAsia="SimSun" w:hAnsi="Arial" w:cs="Arial"/>
          <w:color w:val="000000"/>
          <w:sz w:val="20"/>
          <w:lang w:eastAsia="zh-CN"/>
        </w:rPr>
        <w:t>i</w:t>
      </w:r>
      <w:proofErr w:type="spellEnd"/>
      <w:r w:rsidR="00696159">
        <w:rPr>
          <w:rFonts w:ascii="Arial" w:eastAsia="SimSun" w:hAnsi="Arial" w:cs="Arial"/>
          <w:color w:val="000000"/>
          <w:sz w:val="20"/>
          <w:lang w:eastAsia="zh-CN"/>
        </w:rPr>
        <w:t>)</w:t>
      </w:r>
      <w:r>
        <w:rPr>
          <w:rFonts w:ascii="Arial" w:eastAsia="SimSun" w:hAnsi="Arial" w:cs="Arial"/>
          <w:color w:val="000000"/>
          <w:sz w:val="20"/>
          <w:lang w:eastAsia="zh-CN"/>
        </w:rPr>
        <w:t xml:space="preserve"> Program 29 (New Conference Hall) which, following the completion of the construction, is not required in the biennium 2016/17</w:t>
      </w:r>
      <w:r w:rsidR="00696159">
        <w:rPr>
          <w:rFonts w:ascii="Arial" w:eastAsia="SimSun" w:hAnsi="Arial" w:cs="Arial"/>
          <w:color w:val="000000"/>
          <w:sz w:val="20"/>
          <w:lang w:eastAsia="zh-CN"/>
        </w:rPr>
        <w:t xml:space="preserve">, and (ii) Program 28 which now comprises </w:t>
      </w:r>
      <w:r w:rsidR="00696159" w:rsidRPr="00DA3F93">
        <w:rPr>
          <w:rFonts w:ascii="Arial" w:hAnsi="Arial" w:cs="Arial"/>
          <w:sz w:val="20"/>
          <w:lang w:val="en-GB"/>
        </w:rPr>
        <w:t xml:space="preserve">Information Assurance </w:t>
      </w:r>
      <w:r w:rsidR="00696159">
        <w:rPr>
          <w:rFonts w:ascii="Arial" w:hAnsi="Arial" w:cs="Arial"/>
          <w:sz w:val="20"/>
          <w:lang w:val="en-GB"/>
        </w:rPr>
        <w:t xml:space="preserve">(moved </w:t>
      </w:r>
      <w:r w:rsidR="00696159">
        <w:rPr>
          <w:rFonts w:ascii="Arial" w:hAnsi="Arial" w:cs="Arial"/>
          <w:sz w:val="20"/>
        </w:rPr>
        <w:t>from Program 25 (</w:t>
      </w:r>
      <w:r w:rsidR="00696159" w:rsidRPr="00DA3F93">
        <w:rPr>
          <w:rFonts w:ascii="Arial" w:hAnsi="Arial" w:cs="Arial"/>
          <w:sz w:val="20"/>
          <w:lang w:val="en-GB"/>
        </w:rPr>
        <w:t>Information and Communication Technology</w:t>
      </w:r>
      <w:r w:rsidR="00696159">
        <w:rPr>
          <w:rFonts w:ascii="Arial" w:hAnsi="Arial" w:cs="Arial"/>
          <w:sz w:val="20"/>
        </w:rPr>
        <w:t>)) as well as Safety and Security</w:t>
      </w:r>
      <w:r w:rsidR="00696159">
        <w:rPr>
          <w:rFonts w:ascii="Arial" w:hAnsi="Arial" w:cs="Arial"/>
          <w:sz w:val="20"/>
          <w:lang w:val="en-GB"/>
        </w:rPr>
        <w:t>.</w:t>
      </w:r>
      <w:r w:rsidR="00696159">
        <w:rPr>
          <w:rFonts w:ascii="Arial" w:eastAsia="SimSun" w:hAnsi="Arial" w:cs="Arial"/>
          <w:color w:val="000000"/>
          <w:sz w:val="20"/>
          <w:lang w:eastAsia="zh-CN"/>
        </w:rPr>
        <w:t xml:space="preserve"> </w:t>
      </w:r>
      <w:r>
        <w:rPr>
          <w:rFonts w:ascii="Arial" w:eastAsia="SimSun" w:hAnsi="Arial" w:cs="Arial"/>
          <w:color w:val="000000"/>
          <w:sz w:val="20"/>
          <w:lang w:eastAsia="zh-CN"/>
        </w:rPr>
        <w:t>T</w:t>
      </w:r>
      <w:r w:rsidRPr="00EA0FFC">
        <w:rPr>
          <w:rFonts w:ascii="Arial" w:eastAsia="SimSun" w:hAnsi="Arial" w:cs="Arial"/>
          <w:color w:val="000000"/>
          <w:sz w:val="20"/>
          <w:lang w:eastAsia="zh-CN"/>
        </w:rPr>
        <w:t xml:space="preserve">he comparison of the </w:t>
      </w:r>
      <w:r>
        <w:rPr>
          <w:rFonts w:ascii="Arial" w:eastAsia="SimSun" w:hAnsi="Arial" w:cs="Arial"/>
          <w:color w:val="000000"/>
          <w:sz w:val="20"/>
          <w:lang w:eastAsia="zh-CN"/>
        </w:rPr>
        <w:t xml:space="preserve">2016/17 budget by Program with the </w:t>
      </w:r>
      <w:r w:rsidRPr="00EA0FFC">
        <w:rPr>
          <w:rFonts w:ascii="Arial" w:eastAsia="SimSun" w:hAnsi="Arial" w:cs="Arial"/>
          <w:color w:val="000000"/>
          <w:sz w:val="20"/>
          <w:lang w:eastAsia="zh-CN"/>
        </w:rPr>
        <w:t>201</w:t>
      </w:r>
      <w:r>
        <w:rPr>
          <w:rFonts w:ascii="Arial" w:eastAsia="SimSun" w:hAnsi="Arial" w:cs="Arial"/>
          <w:color w:val="000000"/>
          <w:sz w:val="20"/>
          <w:lang w:eastAsia="zh-CN"/>
        </w:rPr>
        <w:t>4</w:t>
      </w:r>
      <w:r w:rsidRPr="00EA0FFC">
        <w:rPr>
          <w:rFonts w:ascii="Arial" w:eastAsia="SimSun" w:hAnsi="Arial" w:cs="Arial"/>
          <w:color w:val="000000"/>
          <w:sz w:val="20"/>
          <w:lang w:eastAsia="zh-CN"/>
        </w:rPr>
        <w:t>/1</w:t>
      </w:r>
      <w:r>
        <w:rPr>
          <w:rFonts w:ascii="Arial" w:eastAsia="SimSun" w:hAnsi="Arial" w:cs="Arial"/>
          <w:color w:val="000000"/>
          <w:sz w:val="20"/>
          <w:lang w:eastAsia="zh-CN"/>
        </w:rPr>
        <w:t>5</w:t>
      </w:r>
      <w:r w:rsidRPr="00EA0FFC">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Approved </w:t>
      </w:r>
      <w:r w:rsidR="00BF5C6B">
        <w:rPr>
          <w:rFonts w:ascii="Arial" w:eastAsia="SimSun" w:hAnsi="Arial" w:cs="Arial"/>
          <w:color w:val="000000"/>
          <w:sz w:val="20"/>
          <w:lang w:eastAsia="zh-CN"/>
        </w:rPr>
        <w:t xml:space="preserve">Budget </w:t>
      </w:r>
      <w:r>
        <w:rPr>
          <w:rFonts w:ascii="Arial" w:eastAsia="SimSun" w:hAnsi="Arial" w:cs="Arial"/>
          <w:color w:val="000000"/>
          <w:sz w:val="20"/>
          <w:lang w:eastAsia="zh-CN"/>
        </w:rPr>
        <w:t>and B</w:t>
      </w:r>
      <w:r w:rsidRPr="00EA0FFC">
        <w:rPr>
          <w:rFonts w:ascii="Arial" w:eastAsia="SimSun" w:hAnsi="Arial" w:cs="Arial"/>
          <w:color w:val="000000"/>
          <w:sz w:val="20"/>
          <w:lang w:eastAsia="zh-CN"/>
        </w:rPr>
        <w:t xml:space="preserve">udget after </w:t>
      </w:r>
      <w:r w:rsidR="00BF5C6B">
        <w:rPr>
          <w:rFonts w:ascii="Arial" w:eastAsia="SimSun" w:hAnsi="Arial" w:cs="Arial"/>
          <w:color w:val="000000"/>
          <w:sz w:val="20"/>
          <w:lang w:eastAsia="zh-CN"/>
        </w:rPr>
        <w:t>T</w:t>
      </w:r>
      <w:r w:rsidR="00BF5C6B" w:rsidRPr="00EA0FFC">
        <w:rPr>
          <w:rFonts w:ascii="Arial" w:eastAsia="SimSun" w:hAnsi="Arial" w:cs="Arial"/>
          <w:color w:val="000000"/>
          <w:sz w:val="20"/>
          <w:lang w:eastAsia="zh-CN"/>
        </w:rPr>
        <w:t xml:space="preserve">ransfers </w:t>
      </w:r>
      <w:r w:rsidRPr="00EA0FFC">
        <w:rPr>
          <w:rFonts w:ascii="Arial" w:eastAsia="SimSun" w:hAnsi="Arial" w:cs="Arial"/>
          <w:color w:val="000000"/>
          <w:sz w:val="20"/>
          <w:lang w:eastAsia="zh-CN"/>
        </w:rPr>
        <w:t xml:space="preserve">is </w:t>
      </w:r>
      <w:r w:rsidRPr="00696159">
        <w:rPr>
          <w:rFonts w:ascii="Arial" w:eastAsia="SimSun" w:hAnsi="Arial" w:cs="Arial"/>
          <w:color w:val="000000"/>
          <w:sz w:val="20"/>
          <w:lang w:eastAsia="zh-CN"/>
        </w:rPr>
        <w:t xml:space="preserve">provided in </w:t>
      </w:r>
      <w:r w:rsidRPr="00DA3F93">
        <w:rPr>
          <w:rFonts w:ascii="Arial" w:eastAsia="SimSun" w:hAnsi="Arial" w:cs="Arial"/>
          <w:color w:val="000000"/>
          <w:sz w:val="20"/>
          <w:lang w:eastAsia="zh-CN"/>
        </w:rPr>
        <w:t>Annex I</w:t>
      </w:r>
      <w:r w:rsidRPr="00696159">
        <w:rPr>
          <w:rFonts w:ascii="Arial" w:eastAsia="SimSun" w:hAnsi="Arial" w:cs="Arial"/>
          <w:color w:val="000000"/>
          <w:sz w:val="20"/>
          <w:lang w:eastAsia="zh-CN"/>
        </w:rPr>
        <w:t>.</w:t>
      </w:r>
      <w:r w:rsidRPr="00696159">
        <w:rPr>
          <w:rFonts w:ascii="Arial" w:hAnsi="Arial" w:cs="Arial"/>
          <w:sz w:val="20"/>
        </w:rPr>
        <w:t xml:space="preserve"> </w:t>
      </w:r>
      <w:r w:rsidR="002F070A" w:rsidRPr="00696159">
        <w:rPr>
          <w:rFonts w:ascii="Arial" w:hAnsi="Arial" w:cs="Arial"/>
          <w:sz w:val="20"/>
        </w:rPr>
        <w:t xml:space="preserve"> </w:t>
      </w:r>
      <w:r w:rsidRPr="00696159">
        <w:rPr>
          <w:rFonts w:ascii="Arial" w:hAnsi="Arial" w:cs="Arial"/>
          <w:sz w:val="20"/>
        </w:rPr>
        <w:t xml:space="preserve">Annex </w:t>
      </w:r>
      <w:r w:rsidR="00851CC8" w:rsidRPr="00696159">
        <w:rPr>
          <w:rFonts w:ascii="Arial" w:hAnsi="Arial" w:cs="Arial"/>
          <w:sz w:val="20"/>
        </w:rPr>
        <w:t>III</w:t>
      </w:r>
      <w:r w:rsidR="00B1536A">
        <w:rPr>
          <w:rFonts w:ascii="Arial" w:hAnsi="Arial" w:cs="Arial"/>
          <w:sz w:val="20"/>
        </w:rPr>
        <w:t>, Table 1</w:t>
      </w:r>
      <w:r w:rsidR="00BF5C6B">
        <w:rPr>
          <w:rFonts w:ascii="Arial" w:hAnsi="Arial" w:cs="Arial"/>
          <w:sz w:val="20"/>
        </w:rPr>
        <w:t>3</w:t>
      </w:r>
      <w:r w:rsidR="00851CC8" w:rsidRPr="00696159">
        <w:rPr>
          <w:rFonts w:ascii="Arial" w:hAnsi="Arial" w:cs="Arial"/>
          <w:sz w:val="20"/>
        </w:rPr>
        <w:t xml:space="preserve"> </w:t>
      </w:r>
      <w:r w:rsidRPr="00696159">
        <w:rPr>
          <w:rFonts w:ascii="Arial" w:hAnsi="Arial" w:cs="Arial"/>
          <w:sz w:val="20"/>
        </w:rPr>
        <w:t xml:space="preserve">contains the 2016/17 Budget by Program and Union. </w:t>
      </w:r>
    </w:p>
    <w:p w14:paraId="6E94D2D2" w14:textId="77777777" w:rsidR="00B67D0A" w:rsidRPr="009C165B" w:rsidRDefault="00B67D0A" w:rsidP="002F070A">
      <w:pPr>
        <w:widowControl w:val="0"/>
        <w:tabs>
          <w:tab w:val="num" w:pos="690"/>
        </w:tabs>
        <w:jc w:val="both"/>
        <w:rPr>
          <w:rFonts w:ascii="Arial" w:hAnsi="Arial" w:cs="Arial"/>
          <w:sz w:val="20"/>
        </w:rPr>
      </w:pPr>
    </w:p>
    <w:p w14:paraId="5E68AC3C" w14:textId="6DA6D862" w:rsidR="00B67D0A" w:rsidRPr="00696159"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CD75A8">
        <w:rPr>
          <w:rFonts w:ascii="Arial" w:eastAsia="SimSun" w:hAnsi="Arial" w:cs="Arial"/>
          <w:color w:val="000000"/>
          <w:sz w:val="20"/>
          <w:lang w:eastAsia="zh-CN"/>
        </w:rPr>
        <w:t xml:space="preserve">The budget is prepared </w:t>
      </w:r>
      <w:r w:rsidRPr="004F09D6">
        <w:rPr>
          <w:rFonts w:ascii="Arial" w:hAnsi="Arial" w:cs="Arial"/>
          <w:sz w:val="20"/>
        </w:rPr>
        <w:t>on a modified accrual basis</w:t>
      </w:r>
      <w:r w:rsidR="00AE288C" w:rsidRPr="004F09D6">
        <w:rPr>
          <w:rStyle w:val="FootnoteReference"/>
          <w:rFonts w:ascii="Arial" w:hAnsi="Arial" w:cs="Arial"/>
        </w:rPr>
        <w:footnoteReference w:id="5"/>
      </w:r>
      <w:r w:rsidRPr="004F09D6">
        <w:rPr>
          <w:rFonts w:ascii="Arial" w:hAnsi="Arial" w:cs="Arial"/>
          <w:sz w:val="20"/>
        </w:rPr>
        <w:t xml:space="preserve"> in accordance with the Organization’s Financial Regulations and Rules.  WIPO’s budget continues to be presented and adopted by the Assemblies on a biennial basis.  </w:t>
      </w:r>
      <w:r w:rsidRPr="00350AA3">
        <w:rPr>
          <w:rFonts w:ascii="Arial" w:hAnsi="Arial" w:cs="Arial"/>
          <w:sz w:val="20"/>
        </w:rPr>
        <w:t>T</w:t>
      </w:r>
      <w:r w:rsidRPr="007A12FA">
        <w:rPr>
          <w:rFonts w:ascii="Arial" w:hAnsi="Arial" w:cs="Arial"/>
          <w:sz w:val="20"/>
        </w:rPr>
        <w:t xml:space="preserve">he IPSAS requirement for annual reporting </w:t>
      </w:r>
      <w:r w:rsidRPr="00B50DBE">
        <w:rPr>
          <w:rFonts w:ascii="Arial" w:hAnsi="Arial" w:cs="Arial"/>
          <w:sz w:val="20"/>
        </w:rPr>
        <w:t xml:space="preserve">of the Organization’s financial statements </w:t>
      </w:r>
      <w:r w:rsidRPr="00696159">
        <w:rPr>
          <w:rFonts w:ascii="Arial" w:hAnsi="Arial" w:cs="Arial"/>
          <w:sz w:val="20"/>
        </w:rPr>
        <w:t xml:space="preserve">also requires the Organization to present its budget on an annual basis.  For this purpose, annual budget figures are provided for both income and expenditure in Annex IX of this document. </w:t>
      </w:r>
    </w:p>
    <w:p w14:paraId="70A473DA" w14:textId="77777777" w:rsidR="00B67D0A" w:rsidRDefault="00B67D0A" w:rsidP="002F070A">
      <w:pPr>
        <w:widowControl w:val="0"/>
        <w:tabs>
          <w:tab w:val="num" w:pos="690"/>
        </w:tabs>
        <w:jc w:val="both"/>
        <w:rPr>
          <w:rFonts w:ascii="Arial" w:hAnsi="Arial" w:cs="Arial"/>
          <w:sz w:val="20"/>
        </w:rPr>
      </w:pPr>
    </w:p>
    <w:p w14:paraId="6FFD6E46" w14:textId="1F909ACD" w:rsidR="00B67D0A" w:rsidRPr="002F070A" w:rsidRDefault="005412E8" w:rsidP="002F070A">
      <w:pPr>
        <w:keepNext/>
        <w:keepLines/>
        <w:jc w:val="center"/>
        <w:rPr>
          <w:rFonts w:ascii="Arial" w:hAnsi="Arial" w:cs="Arial"/>
          <w:b/>
          <w:sz w:val="20"/>
          <w:szCs w:val="20"/>
        </w:rPr>
      </w:pPr>
      <w:r w:rsidRPr="00DD6638">
        <w:rPr>
          <w:rFonts w:ascii="Arial" w:hAnsi="Arial" w:cs="Arial"/>
          <w:b/>
          <w:sz w:val="20"/>
          <w:szCs w:val="20"/>
        </w:rPr>
        <w:lastRenderedPageBreak/>
        <w:t xml:space="preserve">Table 4.  </w:t>
      </w:r>
      <w:r w:rsidR="00B67D0A" w:rsidRPr="00DD6638">
        <w:rPr>
          <w:rFonts w:ascii="Arial" w:hAnsi="Arial" w:cs="Arial"/>
          <w:b/>
          <w:sz w:val="20"/>
          <w:szCs w:val="20"/>
        </w:rPr>
        <w:t>2016/17 Proposed Budget by Program</w:t>
      </w:r>
    </w:p>
    <w:p w14:paraId="687C6BD6" w14:textId="77777777" w:rsidR="00B67D0A" w:rsidRDefault="00B67D0A" w:rsidP="002F070A">
      <w:pPr>
        <w:keepNext/>
        <w:keepLines/>
        <w:jc w:val="center"/>
        <w:rPr>
          <w:rFonts w:ascii="Arial" w:hAnsi="Arial" w:cs="Arial"/>
          <w:i/>
          <w:sz w:val="20"/>
          <w:szCs w:val="20"/>
        </w:rPr>
      </w:pPr>
      <w:r w:rsidRPr="002F070A">
        <w:rPr>
          <w:rFonts w:ascii="Arial" w:hAnsi="Arial" w:cs="Arial"/>
          <w:i/>
          <w:sz w:val="20"/>
          <w:szCs w:val="20"/>
        </w:rPr>
        <w:t>(in thousands of Swiss francs)</w:t>
      </w:r>
    </w:p>
    <w:p w14:paraId="5B3DDCBB" w14:textId="77777777" w:rsidR="00DD6638" w:rsidRDefault="00DD6638" w:rsidP="002F070A">
      <w:pPr>
        <w:keepNext/>
        <w:keepLines/>
        <w:jc w:val="center"/>
        <w:rPr>
          <w:rFonts w:ascii="Arial" w:hAnsi="Arial" w:cs="Arial"/>
          <w:i/>
          <w:sz w:val="20"/>
          <w:szCs w:val="20"/>
        </w:rPr>
      </w:pPr>
    </w:p>
    <w:p w14:paraId="6F49DEF4" w14:textId="2F4D0286" w:rsidR="00DD6638" w:rsidRPr="002F070A" w:rsidRDefault="00DD6638" w:rsidP="002F070A">
      <w:pPr>
        <w:keepNext/>
        <w:keepLines/>
        <w:jc w:val="center"/>
        <w:rPr>
          <w:rFonts w:ascii="Arial" w:hAnsi="Arial" w:cs="Arial"/>
          <w:i/>
          <w:sz w:val="20"/>
          <w:szCs w:val="20"/>
        </w:rPr>
      </w:pPr>
      <w:r w:rsidRPr="00DD6638">
        <w:rPr>
          <w:noProof/>
          <w:lang w:eastAsia="en-US"/>
        </w:rPr>
        <w:drawing>
          <wp:inline distT="0" distB="0" distL="0" distR="0" wp14:anchorId="08E7E311" wp14:editId="484DB0CC">
            <wp:extent cx="5458968" cy="5650073"/>
            <wp:effectExtent l="0" t="0" r="889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8968" cy="5650073"/>
                    </a:xfrm>
                    <a:prstGeom prst="rect">
                      <a:avLst/>
                    </a:prstGeom>
                    <a:noFill/>
                    <a:ln>
                      <a:noFill/>
                    </a:ln>
                  </pic:spPr>
                </pic:pic>
              </a:graphicData>
            </a:graphic>
          </wp:inline>
        </w:drawing>
      </w:r>
    </w:p>
    <w:p w14:paraId="0841ED0D" w14:textId="77777777" w:rsidR="00B67D0A" w:rsidRPr="002F070A" w:rsidRDefault="00B67D0A" w:rsidP="002F070A">
      <w:pPr>
        <w:keepNext/>
        <w:keepLines/>
        <w:widowControl w:val="0"/>
        <w:tabs>
          <w:tab w:val="num" w:pos="690"/>
        </w:tabs>
        <w:jc w:val="both"/>
        <w:rPr>
          <w:rFonts w:ascii="Arial" w:hAnsi="Arial" w:cs="Arial"/>
          <w:sz w:val="20"/>
          <w:szCs w:val="20"/>
        </w:rPr>
      </w:pPr>
    </w:p>
    <w:p w14:paraId="642FCC4F" w14:textId="57A76C34" w:rsidR="00B67D0A" w:rsidRDefault="00B67D0A" w:rsidP="002F070A">
      <w:pPr>
        <w:keepNext/>
        <w:keepLines/>
        <w:widowControl w:val="0"/>
        <w:tabs>
          <w:tab w:val="num" w:pos="690"/>
        </w:tabs>
        <w:jc w:val="center"/>
      </w:pPr>
    </w:p>
    <w:p w14:paraId="18BDE292" w14:textId="77777777" w:rsidR="00B67D0A" w:rsidRDefault="00B67D0A" w:rsidP="00F02301">
      <w:pPr>
        <w:widowControl w:val="0"/>
        <w:tabs>
          <w:tab w:val="num" w:pos="690"/>
        </w:tabs>
        <w:jc w:val="both"/>
        <w:rPr>
          <w:rFonts w:ascii="Arial" w:eastAsia="SimSun" w:hAnsi="Arial" w:cs="Arial"/>
          <w:b/>
          <w:color w:val="000000"/>
          <w:sz w:val="20"/>
          <w:lang w:eastAsia="zh-CN"/>
        </w:rPr>
      </w:pPr>
    </w:p>
    <w:p w14:paraId="47A9B5C8" w14:textId="77777777" w:rsidR="00B67D0A" w:rsidRDefault="00B67D0A" w:rsidP="00F02301">
      <w:pPr>
        <w:widowControl w:val="0"/>
        <w:tabs>
          <w:tab w:val="num" w:pos="690"/>
        </w:tabs>
        <w:jc w:val="both"/>
        <w:rPr>
          <w:rFonts w:ascii="Arial" w:eastAsia="SimSun" w:hAnsi="Arial" w:cs="Arial"/>
          <w:b/>
          <w:color w:val="000000"/>
          <w:sz w:val="20"/>
          <w:lang w:eastAsia="zh-CN"/>
        </w:rPr>
      </w:pPr>
    </w:p>
    <w:p w14:paraId="54AFA314" w14:textId="77777777" w:rsidR="00B67D0A" w:rsidRPr="00B874B8" w:rsidRDefault="00B67D0A" w:rsidP="00F02301">
      <w:pPr>
        <w:widowControl w:val="0"/>
        <w:tabs>
          <w:tab w:val="num" w:pos="690"/>
        </w:tabs>
        <w:jc w:val="both"/>
        <w:rPr>
          <w:rFonts w:ascii="Arial" w:eastAsia="SimSun" w:hAnsi="Arial" w:cs="Arial"/>
          <w:b/>
          <w:color w:val="000000"/>
          <w:sz w:val="20"/>
          <w:lang w:eastAsia="zh-CN"/>
        </w:rPr>
      </w:pPr>
      <w:r w:rsidRPr="00B874B8">
        <w:rPr>
          <w:rFonts w:ascii="Arial" w:eastAsia="SimSun" w:hAnsi="Arial" w:cs="Arial"/>
          <w:b/>
          <w:color w:val="000000"/>
          <w:sz w:val="20"/>
          <w:lang w:eastAsia="zh-CN"/>
        </w:rPr>
        <w:t>Key priorities in the biennium</w:t>
      </w:r>
    </w:p>
    <w:p w14:paraId="711025E8" w14:textId="77777777" w:rsidR="00B67D0A" w:rsidRDefault="00B67D0A" w:rsidP="00F02301">
      <w:pPr>
        <w:widowControl w:val="0"/>
        <w:tabs>
          <w:tab w:val="num" w:pos="690"/>
        </w:tabs>
        <w:jc w:val="both"/>
        <w:rPr>
          <w:rFonts w:ascii="Arial" w:eastAsia="SimSun" w:hAnsi="Arial" w:cs="Arial"/>
          <w:color w:val="000000"/>
          <w:sz w:val="20"/>
          <w:lang w:eastAsia="zh-CN"/>
        </w:rPr>
      </w:pPr>
    </w:p>
    <w:p w14:paraId="138B27DA" w14:textId="34C80A96" w:rsidR="00B67D0A" w:rsidRDefault="00B67D0A" w:rsidP="00B66A4A">
      <w:pPr>
        <w:pStyle w:val="ListParagraph"/>
        <w:widowControl w:val="0"/>
        <w:numPr>
          <w:ilvl w:val="0"/>
          <w:numId w:val="33"/>
        </w:numPr>
        <w:tabs>
          <w:tab w:val="left" w:pos="567"/>
        </w:tabs>
        <w:ind w:left="0" w:firstLine="0"/>
        <w:jc w:val="both"/>
        <w:rPr>
          <w:rFonts w:ascii="Arial" w:hAnsi="Arial"/>
          <w:sz w:val="20"/>
        </w:rPr>
      </w:pPr>
      <w:r w:rsidRPr="001D5533">
        <w:rPr>
          <w:rFonts w:ascii="Arial" w:hAnsi="Arial"/>
          <w:sz w:val="20"/>
        </w:rPr>
        <w:t>Ensuring a more widespread and better use of the services provided by WIPO’s global registration systems, in particular, the PCT, Madrid and the Hague, remains a key priority in 2016/17</w:t>
      </w:r>
      <w:r>
        <w:rPr>
          <w:rFonts w:ascii="Arial" w:hAnsi="Arial"/>
          <w:sz w:val="20"/>
        </w:rPr>
        <w:t>. Appropriate and adequate resourcing of the Programs that deliver registration services,</w:t>
      </w:r>
      <w:r w:rsidRPr="001D5533">
        <w:rPr>
          <w:rFonts w:ascii="Arial" w:hAnsi="Arial"/>
          <w:sz w:val="20"/>
        </w:rPr>
        <w:t xml:space="preserve"> being the main foundation for the Organization’s long term financial sustainability</w:t>
      </w:r>
      <w:r>
        <w:rPr>
          <w:rFonts w:ascii="Arial" w:hAnsi="Arial"/>
          <w:sz w:val="20"/>
        </w:rPr>
        <w:t>, is key to ensuring that WIPO meets its treaty obligations and continue</w:t>
      </w:r>
      <w:r w:rsidR="003866D2">
        <w:rPr>
          <w:rFonts w:ascii="Arial" w:hAnsi="Arial"/>
          <w:sz w:val="20"/>
        </w:rPr>
        <w:t>s</w:t>
      </w:r>
      <w:r>
        <w:rPr>
          <w:rFonts w:ascii="Arial" w:hAnsi="Arial"/>
          <w:sz w:val="20"/>
        </w:rPr>
        <w:t xml:space="preserve"> to satisfy applicants through high quality services.</w:t>
      </w:r>
      <w:r w:rsidRPr="001D5533">
        <w:rPr>
          <w:rFonts w:ascii="Arial" w:hAnsi="Arial"/>
          <w:sz w:val="20"/>
        </w:rPr>
        <w:t xml:space="preserve">  This will require meeting the challenges of the changing geographical composition of demand for such services, including the associated language skills requirements, and of the rapidly expanding membership of, in particular, the Madrid and the Hague System</w:t>
      </w:r>
      <w:r w:rsidR="003866D2">
        <w:rPr>
          <w:rFonts w:ascii="Arial" w:hAnsi="Arial"/>
          <w:sz w:val="20"/>
        </w:rPr>
        <w:t>s</w:t>
      </w:r>
      <w:r w:rsidRPr="001D5533">
        <w:rPr>
          <w:rFonts w:ascii="Arial" w:hAnsi="Arial"/>
          <w:sz w:val="20"/>
        </w:rPr>
        <w:t xml:space="preserve">.  Operational efficiency of the registration systems will also continue to be a priority </w:t>
      </w:r>
      <w:r w:rsidR="00457C73">
        <w:rPr>
          <w:rFonts w:ascii="Arial" w:hAnsi="Arial"/>
          <w:sz w:val="20"/>
        </w:rPr>
        <w:t xml:space="preserve">as WIPO continues </w:t>
      </w:r>
      <w:r w:rsidRPr="001D5533">
        <w:rPr>
          <w:rFonts w:ascii="Arial" w:hAnsi="Arial"/>
          <w:sz w:val="20"/>
        </w:rPr>
        <w:t xml:space="preserve">to move towards a fully electronic environment for the PCT, Madrid and the Hague.  </w:t>
      </w:r>
    </w:p>
    <w:p w14:paraId="2C98ABE8" w14:textId="77777777" w:rsidR="002F070A" w:rsidRDefault="002F070A" w:rsidP="002F070A">
      <w:pPr>
        <w:pStyle w:val="ListParagraph"/>
        <w:widowControl w:val="0"/>
        <w:tabs>
          <w:tab w:val="left" w:pos="567"/>
        </w:tabs>
        <w:ind w:left="0"/>
        <w:jc w:val="both"/>
        <w:rPr>
          <w:rFonts w:ascii="Arial" w:hAnsi="Arial"/>
          <w:sz w:val="20"/>
        </w:rPr>
      </w:pPr>
    </w:p>
    <w:p w14:paraId="5C847F54" w14:textId="03CB70A0" w:rsidR="00B67D0A" w:rsidRPr="002F070A" w:rsidRDefault="00B67D0A" w:rsidP="00B66A4A">
      <w:pPr>
        <w:pStyle w:val="ListParagraph"/>
        <w:numPr>
          <w:ilvl w:val="0"/>
          <w:numId w:val="34"/>
        </w:numPr>
        <w:tabs>
          <w:tab w:val="right" w:pos="1134"/>
        </w:tabs>
        <w:ind w:left="1134" w:hanging="567"/>
        <w:jc w:val="both"/>
        <w:rPr>
          <w:rFonts w:ascii="Arial" w:hAnsi="Arial"/>
          <w:i/>
          <w:sz w:val="20"/>
        </w:rPr>
      </w:pPr>
      <w:r w:rsidRPr="002F070A">
        <w:rPr>
          <w:rFonts w:ascii="Arial" w:hAnsi="Arial"/>
          <w:i/>
          <w:sz w:val="20"/>
        </w:rPr>
        <w:t xml:space="preserve">The associated </w:t>
      </w:r>
      <w:r w:rsidR="00CB7861">
        <w:rPr>
          <w:rFonts w:ascii="Arial" w:hAnsi="Arial"/>
          <w:i/>
          <w:sz w:val="20"/>
        </w:rPr>
        <w:t xml:space="preserve">total resources for the Hague System are reflected in Program 31 </w:t>
      </w:r>
      <w:r w:rsidR="00CB7861" w:rsidRPr="002F070A">
        <w:rPr>
          <w:rFonts w:ascii="Arial" w:hAnsi="Arial"/>
          <w:i/>
          <w:sz w:val="20"/>
        </w:rPr>
        <w:t>(The Hague System)</w:t>
      </w:r>
      <w:r w:rsidR="00CB7861">
        <w:rPr>
          <w:rFonts w:ascii="Arial" w:hAnsi="Arial"/>
          <w:i/>
          <w:sz w:val="20"/>
        </w:rPr>
        <w:t xml:space="preserve"> and the associated </w:t>
      </w:r>
      <w:r w:rsidRPr="002F070A">
        <w:rPr>
          <w:rFonts w:ascii="Arial" w:hAnsi="Arial"/>
          <w:i/>
          <w:sz w:val="20"/>
        </w:rPr>
        <w:t xml:space="preserve">increases </w:t>
      </w:r>
      <w:r w:rsidR="00CB7861">
        <w:rPr>
          <w:rFonts w:ascii="Arial" w:hAnsi="Arial"/>
          <w:i/>
          <w:sz w:val="20"/>
        </w:rPr>
        <w:t>for the PCT and the Madrid Systems are</w:t>
      </w:r>
      <w:r w:rsidRPr="002F070A">
        <w:rPr>
          <w:rFonts w:ascii="Arial" w:hAnsi="Arial"/>
          <w:i/>
          <w:sz w:val="20"/>
        </w:rPr>
        <w:t xml:space="preserve"> reflected in Program 5 (PCT</w:t>
      </w:r>
      <w:r w:rsidR="00CB7861" w:rsidRPr="002F070A">
        <w:rPr>
          <w:rFonts w:ascii="Arial" w:hAnsi="Arial"/>
          <w:i/>
          <w:sz w:val="20"/>
        </w:rPr>
        <w:t>)</w:t>
      </w:r>
      <w:r w:rsidR="00CB7861">
        <w:rPr>
          <w:rFonts w:ascii="Arial" w:hAnsi="Arial"/>
          <w:i/>
          <w:sz w:val="20"/>
        </w:rPr>
        <w:t xml:space="preserve"> and</w:t>
      </w:r>
      <w:r w:rsidR="00CB7861" w:rsidRPr="002F070A">
        <w:rPr>
          <w:rFonts w:ascii="Arial" w:hAnsi="Arial"/>
          <w:i/>
          <w:sz w:val="20"/>
        </w:rPr>
        <w:t xml:space="preserve"> </w:t>
      </w:r>
      <w:r w:rsidRPr="002F070A">
        <w:rPr>
          <w:rFonts w:ascii="Arial" w:hAnsi="Arial"/>
          <w:i/>
          <w:sz w:val="20"/>
        </w:rPr>
        <w:t xml:space="preserve">Program 6 (Madrid System). </w:t>
      </w:r>
    </w:p>
    <w:p w14:paraId="6215AF00" w14:textId="77777777" w:rsidR="00B67D0A" w:rsidRDefault="00B67D0A" w:rsidP="00F02301">
      <w:pPr>
        <w:tabs>
          <w:tab w:val="left" w:pos="567"/>
        </w:tabs>
        <w:jc w:val="both"/>
        <w:rPr>
          <w:rFonts w:ascii="Arial" w:hAnsi="Arial"/>
          <w:sz w:val="20"/>
        </w:rPr>
      </w:pPr>
    </w:p>
    <w:p w14:paraId="2699FCBF" w14:textId="77777777" w:rsidR="00B70B7D" w:rsidRDefault="00B70B7D" w:rsidP="00F02301">
      <w:pPr>
        <w:tabs>
          <w:tab w:val="left" w:pos="567"/>
        </w:tabs>
        <w:jc w:val="both"/>
        <w:rPr>
          <w:rFonts w:ascii="Arial" w:hAnsi="Arial"/>
          <w:sz w:val="20"/>
        </w:rPr>
      </w:pPr>
    </w:p>
    <w:p w14:paraId="7C81F02B" w14:textId="77777777" w:rsidR="00B70B7D" w:rsidRPr="001D5533" w:rsidRDefault="00B70B7D" w:rsidP="00F02301">
      <w:pPr>
        <w:tabs>
          <w:tab w:val="left" w:pos="567"/>
        </w:tabs>
        <w:jc w:val="both"/>
        <w:rPr>
          <w:rFonts w:ascii="Arial" w:hAnsi="Arial"/>
          <w:sz w:val="20"/>
        </w:rPr>
      </w:pPr>
    </w:p>
    <w:p w14:paraId="50DF95B7" w14:textId="77777777" w:rsidR="005C0E4A" w:rsidRPr="006E3C1D" w:rsidRDefault="00B70B7D" w:rsidP="00B66A4A">
      <w:pPr>
        <w:pStyle w:val="ListParagraph"/>
        <w:widowControl w:val="0"/>
        <w:numPr>
          <w:ilvl w:val="0"/>
          <w:numId w:val="33"/>
        </w:numPr>
        <w:tabs>
          <w:tab w:val="left" w:pos="567"/>
        </w:tabs>
        <w:ind w:left="0" w:firstLine="0"/>
        <w:jc w:val="both"/>
        <w:rPr>
          <w:rFonts w:ascii="Arial" w:hAnsi="Arial"/>
          <w:sz w:val="20"/>
        </w:rPr>
      </w:pPr>
      <w:r w:rsidRPr="001D5533">
        <w:rPr>
          <w:rFonts w:ascii="Arial" w:hAnsi="Arial" w:cs="Arial"/>
          <w:bCs/>
          <w:sz w:val="20"/>
        </w:rPr>
        <w:t>As the external environment increasingly presents threats to WIPO’s operations</w:t>
      </w:r>
      <w:r>
        <w:rPr>
          <w:rFonts w:ascii="Arial" w:hAnsi="Arial" w:cs="Arial"/>
          <w:sz w:val="20"/>
        </w:rPr>
        <w:t xml:space="preserve">, </w:t>
      </w:r>
      <w:r w:rsidRPr="005F226D">
        <w:rPr>
          <w:rFonts w:ascii="Arial" w:hAnsi="Arial" w:cs="Arial"/>
          <w:sz w:val="20"/>
        </w:rPr>
        <w:t xml:space="preserve">WIPO’s contingency planning capabilities will be </w:t>
      </w:r>
      <w:r w:rsidRPr="006E3C1D">
        <w:rPr>
          <w:rFonts w:ascii="Arial" w:hAnsi="Arial" w:cs="Arial"/>
          <w:sz w:val="20"/>
        </w:rPr>
        <w:t>enhanced</w:t>
      </w:r>
      <w:r w:rsidRPr="00BF5C6B">
        <w:rPr>
          <w:rFonts w:ascii="Arial" w:hAnsi="Arial" w:cs="Arial"/>
          <w:i/>
          <w:sz w:val="20"/>
        </w:rPr>
        <w:t xml:space="preserve"> </w:t>
      </w:r>
      <w:r w:rsidRPr="00DA3F93">
        <w:rPr>
          <w:rFonts w:ascii="Arial" w:hAnsi="Arial" w:cs="Arial"/>
          <w:sz w:val="20"/>
        </w:rPr>
        <w:t xml:space="preserve">through the </w:t>
      </w:r>
      <w:r w:rsidRPr="006E3C1D">
        <w:rPr>
          <w:rFonts w:ascii="Arial" w:hAnsi="Arial" w:cs="Arial"/>
          <w:sz w:val="20"/>
        </w:rPr>
        <w:t>e</w:t>
      </w:r>
      <w:r w:rsidRPr="00DA3F93">
        <w:rPr>
          <w:rFonts w:ascii="Arial" w:hAnsi="Arial" w:cs="Arial"/>
          <w:sz w:val="20"/>
        </w:rPr>
        <w:t>stablish</w:t>
      </w:r>
      <w:r w:rsidRPr="006E3C1D">
        <w:rPr>
          <w:rFonts w:ascii="Arial" w:hAnsi="Arial" w:cs="Arial"/>
          <w:sz w:val="20"/>
        </w:rPr>
        <w:t>men</w:t>
      </w:r>
      <w:r w:rsidRPr="00BF5C6B">
        <w:rPr>
          <w:rFonts w:ascii="Arial" w:hAnsi="Arial" w:cs="Arial"/>
          <w:sz w:val="20"/>
        </w:rPr>
        <w:t>t</w:t>
      </w:r>
      <w:r>
        <w:rPr>
          <w:rFonts w:ascii="Arial" w:hAnsi="Arial" w:cs="Arial"/>
          <w:sz w:val="20"/>
        </w:rPr>
        <w:t xml:space="preserve"> of </w:t>
      </w:r>
      <w:r w:rsidRPr="00DA3F93">
        <w:rPr>
          <w:rFonts w:ascii="Arial" w:hAnsi="Arial" w:cs="Arial"/>
          <w:sz w:val="20"/>
        </w:rPr>
        <w:t>an Organizational Resilience Framework</w:t>
      </w:r>
      <w:r>
        <w:rPr>
          <w:rFonts w:ascii="Arial" w:hAnsi="Arial" w:cs="Arial"/>
          <w:sz w:val="20"/>
        </w:rPr>
        <w:t xml:space="preserve"> </w:t>
      </w:r>
      <w:r w:rsidRPr="005F226D">
        <w:rPr>
          <w:rFonts w:ascii="Arial" w:hAnsi="Arial" w:cs="Arial"/>
          <w:sz w:val="20"/>
        </w:rPr>
        <w:t>with a view to mitigating or minimizing, to the extent possible, the impact of disruptions to the Organization’s critical operations.</w:t>
      </w:r>
    </w:p>
    <w:p w14:paraId="28275ADB" w14:textId="2C7F66B9" w:rsidR="00B70B7D" w:rsidRPr="00B70B7D" w:rsidRDefault="00B70B7D" w:rsidP="00DA3F93">
      <w:pPr>
        <w:pStyle w:val="ListParagraph"/>
        <w:widowControl w:val="0"/>
        <w:tabs>
          <w:tab w:val="left" w:pos="567"/>
        </w:tabs>
        <w:ind w:left="0"/>
        <w:jc w:val="both"/>
        <w:rPr>
          <w:rFonts w:ascii="Arial" w:hAnsi="Arial"/>
          <w:sz w:val="20"/>
        </w:rPr>
      </w:pPr>
      <w:r w:rsidRPr="005F226D">
        <w:rPr>
          <w:rFonts w:ascii="Arial" w:hAnsi="Arial" w:cs="Arial"/>
          <w:sz w:val="20"/>
        </w:rPr>
        <w:t xml:space="preserve">  </w:t>
      </w:r>
    </w:p>
    <w:p w14:paraId="7443FC6F" w14:textId="02776798" w:rsidR="00B70B7D" w:rsidRPr="00DA3F93" w:rsidRDefault="00B70B7D" w:rsidP="00B66A4A">
      <w:pPr>
        <w:pStyle w:val="ListParagraph"/>
        <w:widowControl w:val="0"/>
        <w:numPr>
          <w:ilvl w:val="0"/>
          <w:numId w:val="34"/>
        </w:numPr>
        <w:tabs>
          <w:tab w:val="left" w:pos="567"/>
        </w:tabs>
        <w:ind w:left="1170" w:hanging="630"/>
        <w:jc w:val="both"/>
        <w:rPr>
          <w:rFonts w:ascii="Arial" w:hAnsi="Arial"/>
          <w:i/>
          <w:sz w:val="20"/>
        </w:rPr>
      </w:pPr>
      <w:r w:rsidRPr="00DA3F93">
        <w:rPr>
          <w:rFonts w:ascii="Arial" w:hAnsi="Arial"/>
          <w:i/>
          <w:sz w:val="20"/>
        </w:rPr>
        <w:t>The associated total resources are reflected in Program 21 (Executive Management)</w:t>
      </w:r>
    </w:p>
    <w:p w14:paraId="7B533066" w14:textId="77777777" w:rsidR="00B70B7D" w:rsidRPr="00B70B7D" w:rsidRDefault="00B70B7D" w:rsidP="00DA3F93">
      <w:pPr>
        <w:pStyle w:val="ListParagraph"/>
        <w:widowControl w:val="0"/>
        <w:tabs>
          <w:tab w:val="left" w:pos="567"/>
        </w:tabs>
        <w:ind w:left="0"/>
        <w:jc w:val="both"/>
        <w:rPr>
          <w:rFonts w:ascii="Arial" w:hAnsi="Arial"/>
          <w:sz w:val="20"/>
        </w:rPr>
      </w:pPr>
    </w:p>
    <w:p w14:paraId="1ED413EA" w14:textId="6481BB07" w:rsidR="00C87FF1" w:rsidRPr="00DA3F93" w:rsidRDefault="00B70B7D" w:rsidP="00B66A4A">
      <w:pPr>
        <w:pStyle w:val="ListParagraph"/>
        <w:widowControl w:val="0"/>
        <w:numPr>
          <w:ilvl w:val="0"/>
          <w:numId w:val="33"/>
        </w:numPr>
        <w:tabs>
          <w:tab w:val="left" w:pos="567"/>
        </w:tabs>
        <w:ind w:left="0" w:firstLine="0"/>
        <w:jc w:val="both"/>
        <w:rPr>
          <w:rFonts w:ascii="Arial" w:hAnsi="Arial"/>
          <w:sz w:val="20"/>
        </w:rPr>
      </w:pPr>
      <w:r>
        <w:rPr>
          <w:rFonts w:ascii="Arial" w:hAnsi="Arial" w:cs="Arial"/>
          <w:bCs/>
          <w:sz w:val="20"/>
        </w:rPr>
        <w:t>T</w:t>
      </w:r>
      <w:r w:rsidR="00B67D0A" w:rsidRPr="001D5533">
        <w:rPr>
          <w:rFonts w:ascii="Arial" w:hAnsi="Arial" w:cs="Arial"/>
          <w:bCs/>
          <w:sz w:val="20"/>
        </w:rPr>
        <w:t xml:space="preserve">he Organization is ever more dependent on reliable and effective ICT infrastructure and services. Global clients expect WIPO’s ICT services to be more responsive to their needs </w:t>
      </w:r>
      <w:r w:rsidR="00AD5F2C">
        <w:rPr>
          <w:rFonts w:ascii="Arial" w:hAnsi="Arial" w:cs="Arial"/>
          <w:bCs/>
          <w:sz w:val="20"/>
        </w:rPr>
        <w:t xml:space="preserve">and </w:t>
      </w:r>
      <w:r w:rsidR="00B67D0A" w:rsidRPr="001D5533">
        <w:rPr>
          <w:rFonts w:ascii="Arial" w:hAnsi="Arial" w:cs="Arial"/>
          <w:bCs/>
          <w:sz w:val="20"/>
        </w:rPr>
        <w:t xml:space="preserve">increasingly reliable, accessible and secure against </w:t>
      </w:r>
      <w:r w:rsidR="003866D2" w:rsidRPr="001D5533">
        <w:rPr>
          <w:rFonts w:ascii="Arial" w:hAnsi="Arial" w:cs="Arial"/>
          <w:bCs/>
          <w:sz w:val="20"/>
        </w:rPr>
        <w:t>natur</w:t>
      </w:r>
      <w:r w:rsidR="003866D2">
        <w:rPr>
          <w:rFonts w:ascii="Arial" w:hAnsi="Arial" w:cs="Arial"/>
          <w:bCs/>
          <w:sz w:val="20"/>
        </w:rPr>
        <w:t>al</w:t>
      </w:r>
      <w:r w:rsidR="003866D2" w:rsidRPr="001D5533">
        <w:rPr>
          <w:rFonts w:ascii="Arial" w:hAnsi="Arial" w:cs="Arial"/>
          <w:bCs/>
          <w:sz w:val="20"/>
        </w:rPr>
        <w:t xml:space="preserve"> </w:t>
      </w:r>
      <w:r w:rsidR="00B67D0A" w:rsidRPr="001D5533">
        <w:rPr>
          <w:rFonts w:ascii="Arial" w:hAnsi="Arial" w:cs="Arial"/>
          <w:bCs/>
          <w:sz w:val="20"/>
        </w:rPr>
        <w:t xml:space="preserve">and man-made disasters including </w:t>
      </w:r>
      <w:proofErr w:type="spellStart"/>
      <w:r w:rsidR="00B67D0A" w:rsidRPr="001D5533">
        <w:rPr>
          <w:rFonts w:ascii="Arial" w:hAnsi="Arial" w:cs="Arial"/>
          <w:bCs/>
          <w:sz w:val="20"/>
        </w:rPr>
        <w:t>cyber attacks</w:t>
      </w:r>
      <w:proofErr w:type="spellEnd"/>
      <w:r w:rsidR="00B67D0A" w:rsidRPr="001D5533">
        <w:rPr>
          <w:rFonts w:ascii="Arial" w:hAnsi="Arial" w:cs="Arial"/>
          <w:bCs/>
          <w:sz w:val="20"/>
        </w:rPr>
        <w:t xml:space="preserve">. </w:t>
      </w:r>
      <w:r w:rsidR="00B67D0A" w:rsidRPr="001D5533">
        <w:rPr>
          <w:rFonts w:ascii="Arial" w:hAnsi="Arial"/>
          <w:sz w:val="20"/>
          <w:lang w:val="en-CA"/>
        </w:rPr>
        <w:t xml:space="preserve">Information security and business continuity therefore takes highest priority and will be the focus throughout the </w:t>
      </w:r>
      <w:r w:rsidR="00B67D0A" w:rsidRPr="001E593C">
        <w:rPr>
          <w:rFonts w:ascii="Arial" w:hAnsi="Arial"/>
          <w:sz w:val="20"/>
          <w:lang w:val="en-CA"/>
        </w:rPr>
        <w:t>next biennium.</w:t>
      </w:r>
    </w:p>
    <w:p w14:paraId="74E78C02" w14:textId="490CB96C" w:rsidR="00B67D0A" w:rsidRPr="004B3372" w:rsidRDefault="00B67D0A" w:rsidP="00DA3F93">
      <w:pPr>
        <w:pStyle w:val="ListParagraph"/>
        <w:widowControl w:val="0"/>
        <w:tabs>
          <w:tab w:val="left" w:pos="567"/>
        </w:tabs>
        <w:ind w:left="0"/>
        <w:jc w:val="both"/>
        <w:rPr>
          <w:rFonts w:ascii="Arial" w:hAnsi="Arial"/>
          <w:sz w:val="20"/>
        </w:rPr>
      </w:pPr>
      <w:r w:rsidRPr="001E593C">
        <w:rPr>
          <w:rFonts w:ascii="Arial" w:hAnsi="Arial"/>
          <w:sz w:val="20"/>
          <w:lang w:val="en-CA"/>
        </w:rPr>
        <w:t xml:space="preserve">  </w:t>
      </w:r>
    </w:p>
    <w:p w14:paraId="71F30FFA" w14:textId="77777777" w:rsidR="00B67D0A" w:rsidRPr="004B3372" w:rsidRDefault="00B67D0A" w:rsidP="00B66A4A">
      <w:pPr>
        <w:pStyle w:val="ListParagraph"/>
        <w:numPr>
          <w:ilvl w:val="0"/>
          <w:numId w:val="34"/>
        </w:numPr>
        <w:tabs>
          <w:tab w:val="right" w:pos="1134"/>
        </w:tabs>
        <w:ind w:left="1134" w:hanging="567"/>
        <w:jc w:val="both"/>
        <w:rPr>
          <w:rFonts w:ascii="Arial" w:hAnsi="Arial"/>
          <w:i/>
          <w:sz w:val="20"/>
        </w:rPr>
      </w:pPr>
      <w:r w:rsidRPr="002F070A">
        <w:rPr>
          <w:rFonts w:ascii="Arial" w:hAnsi="Arial"/>
          <w:i/>
          <w:sz w:val="20"/>
        </w:rPr>
        <w:t>The</w:t>
      </w:r>
      <w:r w:rsidRPr="004B3372">
        <w:rPr>
          <w:rFonts w:ascii="Arial" w:hAnsi="Arial"/>
          <w:i/>
          <w:sz w:val="20"/>
          <w:lang w:val="en-CA"/>
        </w:rPr>
        <w:t xml:space="preserve"> associated increases in </w:t>
      </w:r>
      <w:r>
        <w:rPr>
          <w:rFonts w:ascii="Arial" w:hAnsi="Arial"/>
          <w:i/>
          <w:sz w:val="20"/>
          <w:lang w:val="en-CA"/>
        </w:rPr>
        <w:t xml:space="preserve">total </w:t>
      </w:r>
      <w:r w:rsidRPr="004B3372">
        <w:rPr>
          <w:rFonts w:ascii="Arial" w:hAnsi="Arial"/>
          <w:i/>
          <w:sz w:val="20"/>
          <w:lang w:val="en-CA"/>
        </w:rPr>
        <w:t xml:space="preserve">resources are reflected in Programs 5 (PCT), Program 25 (ICTD) and 28 (Information Assurance, Safety and Security). </w:t>
      </w:r>
    </w:p>
    <w:p w14:paraId="14B8CF34" w14:textId="77777777" w:rsidR="00B67D0A" w:rsidRPr="004B3372" w:rsidRDefault="00B67D0A" w:rsidP="00F02301">
      <w:pPr>
        <w:tabs>
          <w:tab w:val="left" w:pos="567"/>
        </w:tabs>
        <w:jc w:val="both"/>
        <w:rPr>
          <w:rFonts w:ascii="Arial" w:hAnsi="Arial"/>
          <w:i/>
          <w:sz w:val="20"/>
        </w:rPr>
      </w:pPr>
    </w:p>
    <w:p w14:paraId="10F1A83A" w14:textId="7305CC9B" w:rsidR="00B67D0A" w:rsidRDefault="00B67D0A" w:rsidP="00B66A4A">
      <w:pPr>
        <w:pStyle w:val="ListParagraph"/>
        <w:widowControl w:val="0"/>
        <w:numPr>
          <w:ilvl w:val="0"/>
          <w:numId w:val="33"/>
        </w:numPr>
        <w:tabs>
          <w:tab w:val="left" w:pos="567"/>
        </w:tabs>
        <w:ind w:left="0" w:firstLine="0"/>
        <w:jc w:val="both"/>
        <w:rPr>
          <w:rFonts w:ascii="Arial" w:hAnsi="Arial"/>
          <w:sz w:val="20"/>
        </w:rPr>
      </w:pPr>
      <w:r w:rsidRPr="005331AC">
        <w:rPr>
          <w:rFonts w:ascii="Arial" w:hAnsi="Arial"/>
          <w:sz w:val="20"/>
        </w:rPr>
        <w:t xml:space="preserve">Facilitating enhanced cooperation and agreement among Member States on the further development of a balanced international normative framework for IP will </w:t>
      </w:r>
      <w:r>
        <w:rPr>
          <w:rFonts w:ascii="Arial" w:hAnsi="Arial"/>
          <w:sz w:val="20"/>
        </w:rPr>
        <w:t xml:space="preserve">continue </w:t>
      </w:r>
      <w:r w:rsidRPr="005331AC">
        <w:rPr>
          <w:rFonts w:ascii="Arial" w:hAnsi="Arial"/>
          <w:sz w:val="20"/>
        </w:rPr>
        <w:t>in 201</w:t>
      </w:r>
      <w:r>
        <w:rPr>
          <w:rFonts w:ascii="Arial" w:hAnsi="Arial"/>
          <w:sz w:val="20"/>
        </w:rPr>
        <w:t>6</w:t>
      </w:r>
      <w:r w:rsidRPr="005331AC">
        <w:rPr>
          <w:rFonts w:ascii="Arial" w:hAnsi="Arial"/>
          <w:sz w:val="20"/>
        </w:rPr>
        <w:t>/1</w:t>
      </w:r>
      <w:r>
        <w:rPr>
          <w:rFonts w:ascii="Arial" w:hAnsi="Arial"/>
          <w:sz w:val="20"/>
        </w:rPr>
        <w:t>7 based on the decisions by Member States.  The planning assumption for 2016/17 includes up to three sessions of the S</w:t>
      </w:r>
      <w:r w:rsidR="00BF5C6B">
        <w:rPr>
          <w:rFonts w:ascii="Arial" w:hAnsi="Arial"/>
          <w:sz w:val="20"/>
        </w:rPr>
        <w:t xml:space="preserve">tanding </w:t>
      </w:r>
      <w:r>
        <w:rPr>
          <w:rFonts w:ascii="Arial" w:hAnsi="Arial"/>
          <w:sz w:val="20"/>
        </w:rPr>
        <w:t>C</w:t>
      </w:r>
      <w:r w:rsidR="00BF5C6B">
        <w:rPr>
          <w:rFonts w:ascii="Arial" w:hAnsi="Arial"/>
          <w:sz w:val="20"/>
        </w:rPr>
        <w:t xml:space="preserve">ommittee on the Law of </w:t>
      </w:r>
      <w:r>
        <w:rPr>
          <w:rFonts w:ascii="Arial" w:hAnsi="Arial"/>
          <w:sz w:val="20"/>
        </w:rPr>
        <w:t>P</w:t>
      </w:r>
      <w:r w:rsidR="00BF5C6B">
        <w:rPr>
          <w:rFonts w:ascii="Arial" w:hAnsi="Arial"/>
          <w:sz w:val="20"/>
        </w:rPr>
        <w:t>atents (SCP)</w:t>
      </w:r>
      <w:r>
        <w:rPr>
          <w:rFonts w:ascii="Arial" w:hAnsi="Arial"/>
          <w:sz w:val="20"/>
        </w:rPr>
        <w:t xml:space="preserve"> and the </w:t>
      </w:r>
      <w:r w:rsidR="00BF5C6B">
        <w:rPr>
          <w:rFonts w:ascii="Arial" w:hAnsi="Arial"/>
          <w:sz w:val="20"/>
        </w:rPr>
        <w:t>Standing Committee on the Law of Trademarks, Industrial Designs and Geographical Indications (</w:t>
      </w:r>
      <w:r>
        <w:rPr>
          <w:rFonts w:ascii="Arial" w:hAnsi="Arial"/>
          <w:sz w:val="20"/>
        </w:rPr>
        <w:t>SCT</w:t>
      </w:r>
      <w:r w:rsidR="00BF5C6B">
        <w:rPr>
          <w:rFonts w:ascii="Arial" w:hAnsi="Arial"/>
          <w:sz w:val="20"/>
        </w:rPr>
        <w:t>)</w:t>
      </w:r>
      <w:r>
        <w:rPr>
          <w:rFonts w:ascii="Arial" w:hAnsi="Arial"/>
          <w:sz w:val="20"/>
        </w:rPr>
        <w:t xml:space="preserve"> and up to four sessions of the </w:t>
      </w:r>
      <w:r w:rsidR="00BF5C6B">
        <w:rPr>
          <w:rFonts w:ascii="Arial" w:hAnsi="Arial"/>
          <w:sz w:val="20"/>
        </w:rPr>
        <w:t xml:space="preserve">Standing Committee </w:t>
      </w:r>
      <w:r w:rsidR="000C4B20">
        <w:rPr>
          <w:rFonts w:ascii="Arial" w:hAnsi="Arial"/>
          <w:sz w:val="20"/>
        </w:rPr>
        <w:t>on Copyright and Related Rights (</w:t>
      </w:r>
      <w:r>
        <w:rPr>
          <w:rFonts w:ascii="Arial" w:hAnsi="Arial"/>
          <w:sz w:val="20"/>
        </w:rPr>
        <w:t>SCCR</w:t>
      </w:r>
      <w:r w:rsidR="000C4B20">
        <w:rPr>
          <w:rFonts w:ascii="Arial" w:hAnsi="Arial"/>
          <w:sz w:val="20"/>
        </w:rPr>
        <w:t>)</w:t>
      </w:r>
      <w:r>
        <w:rPr>
          <w:rFonts w:ascii="Arial" w:hAnsi="Arial"/>
          <w:sz w:val="20"/>
        </w:rPr>
        <w:t xml:space="preserve"> and the </w:t>
      </w:r>
      <w:r w:rsidR="000C4B20">
        <w:rPr>
          <w:rFonts w:ascii="Arial" w:hAnsi="Arial"/>
          <w:sz w:val="20"/>
        </w:rPr>
        <w:t>Intergovernmental Committee on Intellectual Property and Genetic Resources, Traditional Knowledge and Folklore (</w:t>
      </w:r>
      <w:r>
        <w:rPr>
          <w:rFonts w:ascii="Arial" w:hAnsi="Arial"/>
          <w:sz w:val="20"/>
        </w:rPr>
        <w:t>IGC</w:t>
      </w:r>
      <w:r w:rsidR="000C4B20">
        <w:rPr>
          <w:rFonts w:ascii="Arial" w:hAnsi="Arial"/>
          <w:sz w:val="20"/>
        </w:rPr>
        <w:t>)</w:t>
      </w:r>
      <w:r>
        <w:rPr>
          <w:rFonts w:ascii="Arial" w:hAnsi="Arial"/>
          <w:sz w:val="20"/>
        </w:rPr>
        <w:t>, reflected in Programs 1 (Patent Law), Program 2 (Trademark Law), Program 3 (Copyright and Related Rights) and 4 (Traditional Knowledge, Traditional Cultural Expressions and Genetic Resources).</w:t>
      </w:r>
      <w:r w:rsidRPr="005331AC">
        <w:rPr>
          <w:rFonts w:ascii="Arial" w:hAnsi="Arial"/>
          <w:sz w:val="20"/>
        </w:rPr>
        <w:t xml:space="preserve"> </w:t>
      </w:r>
      <w:r>
        <w:rPr>
          <w:rFonts w:ascii="Arial" w:hAnsi="Arial"/>
          <w:sz w:val="20"/>
        </w:rPr>
        <w:t xml:space="preserve"> </w:t>
      </w:r>
    </w:p>
    <w:p w14:paraId="43877E48" w14:textId="77777777" w:rsidR="002F070A" w:rsidRDefault="002F070A" w:rsidP="002F070A">
      <w:pPr>
        <w:pStyle w:val="ListParagraph"/>
        <w:widowControl w:val="0"/>
        <w:tabs>
          <w:tab w:val="left" w:pos="567"/>
        </w:tabs>
        <w:ind w:left="0"/>
        <w:jc w:val="both"/>
        <w:rPr>
          <w:rFonts w:ascii="Arial" w:hAnsi="Arial"/>
          <w:sz w:val="20"/>
        </w:rPr>
      </w:pPr>
    </w:p>
    <w:p w14:paraId="21CF849A" w14:textId="2E407187" w:rsidR="00B67D0A" w:rsidRPr="004B3372" w:rsidRDefault="00B67D0A" w:rsidP="00B66A4A">
      <w:pPr>
        <w:pStyle w:val="ListParagraph"/>
        <w:numPr>
          <w:ilvl w:val="0"/>
          <w:numId w:val="34"/>
        </w:numPr>
        <w:tabs>
          <w:tab w:val="right" w:pos="1134"/>
        </w:tabs>
        <w:ind w:left="1134" w:hanging="567"/>
        <w:jc w:val="both"/>
        <w:rPr>
          <w:rFonts w:ascii="Arial" w:hAnsi="Arial"/>
          <w:i/>
          <w:sz w:val="20"/>
        </w:rPr>
      </w:pPr>
      <w:r>
        <w:rPr>
          <w:rFonts w:ascii="Arial" w:hAnsi="Arial"/>
          <w:i/>
          <w:sz w:val="20"/>
        </w:rPr>
        <w:t>A p</w:t>
      </w:r>
      <w:r w:rsidRPr="004B3372">
        <w:rPr>
          <w:rFonts w:ascii="Arial" w:hAnsi="Arial"/>
          <w:i/>
          <w:sz w:val="20"/>
        </w:rPr>
        <w:t xml:space="preserve">rovision </w:t>
      </w:r>
      <w:r>
        <w:rPr>
          <w:rFonts w:ascii="Arial" w:hAnsi="Arial"/>
          <w:i/>
          <w:sz w:val="20"/>
        </w:rPr>
        <w:t xml:space="preserve">of 1 million Swiss francs </w:t>
      </w:r>
      <w:r w:rsidRPr="004B3372">
        <w:rPr>
          <w:rFonts w:ascii="Arial" w:hAnsi="Arial"/>
          <w:i/>
          <w:sz w:val="20"/>
        </w:rPr>
        <w:t>has been made in the budget for the possibility of a Diplomatic Conference should Member States decide to convene one in the biennium</w:t>
      </w:r>
      <w:r w:rsidR="00851CC8">
        <w:rPr>
          <w:rFonts w:ascii="Arial" w:hAnsi="Arial"/>
          <w:i/>
          <w:sz w:val="20"/>
        </w:rPr>
        <w:t> </w:t>
      </w:r>
      <w:r w:rsidRPr="004B3372">
        <w:rPr>
          <w:rFonts w:ascii="Arial" w:hAnsi="Arial"/>
          <w:i/>
          <w:sz w:val="20"/>
        </w:rPr>
        <w:t xml:space="preserve">2016/17. The provision is reflected in “Unallocated”.  </w:t>
      </w:r>
    </w:p>
    <w:p w14:paraId="311EBF05" w14:textId="77777777" w:rsidR="00B67D0A" w:rsidRDefault="00B67D0A" w:rsidP="00F02301">
      <w:pPr>
        <w:tabs>
          <w:tab w:val="left" w:pos="567"/>
        </w:tabs>
        <w:jc w:val="both"/>
        <w:rPr>
          <w:rFonts w:ascii="Arial" w:hAnsi="Arial"/>
          <w:sz w:val="20"/>
        </w:rPr>
      </w:pPr>
    </w:p>
    <w:p w14:paraId="0392E9B4" w14:textId="387E3C83" w:rsidR="00B67D0A" w:rsidRPr="004B3372" w:rsidRDefault="00B67D0A" w:rsidP="00B66A4A">
      <w:pPr>
        <w:pStyle w:val="ListParagraph"/>
        <w:widowControl w:val="0"/>
        <w:numPr>
          <w:ilvl w:val="0"/>
          <w:numId w:val="33"/>
        </w:numPr>
        <w:tabs>
          <w:tab w:val="left" w:pos="567"/>
        </w:tabs>
        <w:ind w:left="0" w:firstLine="0"/>
        <w:jc w:val="both"/>
        <w:rPr>
          <w:rFonts w:ascii="Arial" w:hAnsi="Arial"/>
          <w:sz w:val="20"/>
        </w:rPr>
      </w:pPr>
      <w:r w:rsidRPr="004B3372">
        <w:rPr>
          <w:rFonts w:ascii="Arial" w:hAnsi="Arial" w:cs="Arial"/>
          <w:sz w:val="20"/>
        </w:rPr>
        <w:t xml:space="preserve">Work will continue to encourage accession to and implementation of WIPO treaties, in particular, the Beijing Treaty, the Marrakesh Treaty, the WIPO Internet Treaties, the Singapore Treaty and the Patent Law Treaty. </w:t>
      </w:r>
      <w:r w:rsidRPr="004B3372">
        <w:rPr>
          <w:rFonts w:ascii="Arial" w:hAnsi="Arial"/>
          <w:sz w:val="20"/>
        </w:rPr>
        <w:t xml:space="preserve"> </w:t>
      </w:r>
    </w:p>
    <w:p w14:paraId="361C4B6C" w14:textId="77777777" w:rsidR="00B67D0A" w:rsidRPr="00B30856" w:rsidRDefault="00B67D0A" w:rsidP="00B66A4A">
      <w:pPr>
        <w:pStyle w:val="ListParagraph"/>
        <w:numPr>
          <w:ilvl w:val="0"/>
          <w:numId w:val="34"/>
        </w:numPr>
        <w:tabs>
          <w:tab w:val="right" w:pos="1134"/>
        </w:tabs>
        <w:ind w:left="1134" w:hanging="567"/>
        <w:jc w:val="both"/>
        <w:rPr>
          <w:rFonts w:ascii="Arial" w:hAnsi="Arial"/>
          <w:i/>
          <w:sz w:val="20"/>
        </w:rPr>
      </w:pPr>
      <w:r w:rsidRPr="002F070A">
        <w:rPr>
          <w:rFonts w:ascii="Arial" w:hAnsi="Arial"/>
          <w:i/>
          <w:sz w:val="20"/>
        </w:rPr>
        <w:t>The</w:t>
      </w:r>
      <w:r w:rsidRPr="004B3372">
        <w:rPr>
          <w:rFonts w:ascii="Arial" w:hAnsi="Arial"/>
          <w:i/>
          <w:sz w:val="20"/>
          <w:lang w:val="en-CA"/>
        </w:rPr>
        <w:t xml:space="preserve"> associated </w:t>
      </w:r>
      <w:r>
        <w:rPr>
          <w:rFonts w:ascii="Arial" w:hAnsi="Arial"/>
          <w:i/>
          <w:sz w:val="20"/>
          <w:lang w:val="en-CA"/>
        </w:rPr>
        <w:t xml:space="preserve">total </w:t>
      </w:r>
      <w:r w:rsidRPr="004B3372">
        <w:rPr>
          <w:rFonts w:ascii="Arial" w:hAnsi="Arial"/>
          <w:i/>
          <w:sz w:val="20"/>
          <w:lang w:val="en-CA"/>
        </w:rPr>
        <w:t xml:space="preserve">resources are reflected in Programs </w:t>
      </w:r>
      <w:r>
        <w:rPr>
          <w:rFonts w:ascii="Arial" w:hAnsi="Arial"/>
          <w:i/>
          <w:sz w:val="20"/>
          <w:lang w:val="en-CA"/>
        </w:rPr>
        <w:t>1</w:t>
      </w:r>
      <w:r w:rsidRPr="004B3372">
        <w:rPr>
          <w:rFonts w:ascii="Arial" w:hAnsi="Arial"/>
          <w:i/>
          <w:sz w:val="20"/>
          <w:lang w:val="en-CA"/>
        </w:rPr>
        <w:t xml:space="preserve"> (P</w:t>
      </w:r>
      <w:r>
        <w:rPr>
          <w:rFonts w:ascii="Arial" w:hAnsi="Arial"/>
          <w:i/>
          <w:sz w:val="20"/>
          <w:lang w:val="en-CA"/>
        </w:rPr>
        <w:t>atent Law</w:t>
      </w:r>
      <w:r w:rsidRPr="004B3372">
        <w:rPr>
          <w:rFonts w:ascii="Arial" w:hAnsi="Arial"/>
          <w:i/>
          <w:sz w:val="20"/>
          <w:lang w:val="en-CA"/>
        </w:rPr>
        <w:t>), Program 2 (</w:t>
      </w:r>
      <w:r>
        <w:rPr>
          <w:rFonts w:ascii="Arial" w:hAnsi="Arial"/>
          <w:i/>
          <w:sz w:val="20"/>
          <w:lang w:val="en-CA"/>
        </w:rPr>
        <w:t>Trademarks, Industrial designs and Geographical Indications</w:t>
      </w:r>
      <w:r w:rsidRPr="004B3372">
        <w:rPr>
          <w:rFonts w:ascii="Arial" w:hAnsi="Arial"/>
          <w:i/>
          <w:sz w:val="20"/>
          <w:lang w:val="en-CA"/>
        </w:rPr>
        <w:t xml:space="preserve">) and </w:t>
      </w:r>
      <w:r>
        <w:rPr>
          <w:rFonts w:ascii="Arial" w:hAnsi="Arial"/>
          <w:i/>
          <w:sz w:val="20"/>
          <w:lang w:val="en-CA"/>
        </w:rPr>
        <w:t>Program 3</w:t>
      </w:r>
      <w:r w:rsidRPr="004B3372">
        <w:rPr>
          <w:rFonts w:ascii="Arial" w:hAnsi="Arial"/>
          <w:i/>
          <w:sz w:val="20"/>
          <w:lang w:val="en-CA"/>
        </w:rPr>
        <w:t xml:space="preserve"> (</w:t>
      </w:r>
      <w:r>
        <w:rPr>
          <w:rFonts w:ascii="Arial" w:hAnsi="Arial"/>
          <w:i/>
          <w:sz w:val="20"/>
          <w:lang w:val="en-CA"/>
        </w:rPr>
        <w:t>Copyright and Related Rights</w:t>
      </w:r>
      <w:r w:rsidRPr="004B3372">
        <w:rPr>
          <w:rFonts w:ascii="Arial" w:hAnsi="Arial"/>
          <w:i/>
          <w:sz w:val="20"/>
          <w:lang w:val="en-CA"/>
        </w:rPr>
        <w:t xml:space="preserve">). </w:t>
      </w:r>
    </w:p>
    <w:p w14:paraId="76864E70" w14:textId="77777777" w:rsidR="00B67D0A" w:rsidRPr="004B3372" w:rsidRDefault="00B67D0A" w:rsidP="00F02301">
      <w:pPr>
        <w:tabs>
          <w:tab w:val="left" w:pos="567"/>
        </w:tabs>
        <w:ind w:left="1080"/>
        <w:jc w:val="both"/>
        <w:rPr>
          <w:rFonts w:ascii="Arial" w:hAnsi="Arial"/>
          <w:i/>
          <w:sz w:val="20"/>
        </w:rPr>
      </w:pPr>
    </w:p>
    <w:p w14:paraId="197C2796" w14:textId="7EC9F9FD"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rPr>
      </w:pPr>
      <w:r w:rsidRPr="00813D5D">
        <w:rPr>
          <w:rFonts w:ascii="Arial" w:hAnsi="Arial" w:cs="Arial"/>
          <w:sz w:val="20"/>
          <w:lang w:val="en-SG"/>
        </w:rPr>
        <w:t xml:space="preserve">The IP Statistics Data </w:t>
      </w:r>
      <w:proofErr w:type="spellStart"/>
      <w:r w:rsidRPr="00813D5D">
        <w:rPr>
          <w:rFonts w:ascii="Arial" w:hAnsi="Arial" w:cs="Arial"/>
          <w:sz w:val="20"/>
          <w:lang w:val="en-SG"/>
        </w:rPr>
        <w:t>Center</w:t>
      </w:r>
      <w:proofErr w:type="spellEnd"/>
      <w:r w:rsidRPr="00813D5D">
        <w:rPr>
          <w:rFonts w:ascii="Arial" w:hAnsi="Arial" w:cs="Arial"/>
          <w:sz w:val="20"/>
          <w:lang w:val="en-SG"/>
        </w:rPr>
        <w:t xml:space="preserve"> will continue to make available all statistics to users worldwide. Special efforts will be made to collect and report new statistics on geographical indications and copyright-related activities and to further improve the user-friendliness of WIPO statistics. In the area of economic analysis, WIPO will continue to be a co-publisher of the Global Innovation Index (GII), seeking to contribute to the measurement of innovation and providing policymakers with a tool to benchmark innovation performance.  WIPO’s World Intellectual Property Report series will equally continue, seeking to explore new themes and deepen the analysis on global IP topics provided to date.  In addition, a new line of research on policy and performance in copyright- related industries w</w:t>
      </w:r>
      <w:r w:rsidR="002F070A">
        <w:rPr>
          <w:rFonts w:ascii="Arial" w:hAnsi="Arial" w:cs="Arial"/>
          <w:sz w:val="20"/>
          <w:lang w:val="en-SG"/>
        </w:rPr>
        <w:t xml:space="preserve">ill be established in 2016/17. </w:t>
      </w:r>
    </w:p>
    <w:p w14:paraId="2588573F" w14:textId="77777777" w:rsidR="002F070A" w:rsidRPr="00813D5D" w:rsidRDefault="002F070A" w:rsidP="002F070A">
      <w:pPr>
        <w:pStyle w:val="ListParagraph"/>
        <w:widowControl w:val="0"/>
        <w:tabs>
          <w:tab w:val="left" w:pos="567"/>
        </w:tabs>
        <w:ind w:left="0"/>
        <w:jc w:val="both"/>
        <w:rPr>
          <w:rFonts w:ascii="Arial" w:hAnsi="Arial"/>
          <w:sz w:val="20"/>
        </w:rPr>
      </w:pPr>
    </w:p>
    <w:p w14:paraId="4B075393" w14:textId="77777777" w:rsidR="00B67D0A" w:rsidRDefault="00B67D0A" w:rsidP="00B66A4A">
      <w:pPr>
        <w:pStyle w:val="ListParagraph"/>
        <w:numPr>
          <w:ilvl w:val="0"/>
          <w:numId w:val="34"/>
        </w:numPr>
        <w:tabs>
          <w:tab w:val="right" w:pos="1134"/>
        </w:tabs>
        <w:ind w:left="1134" w:hanging="567"/>
        <w:jc w:val="both"/>
        <w:rPr>
          <w:rFonts w:ascii="Arial" w:hAnsi="Arial"/>
          <w:i/>
          <w:sz w:val="20"/>
        </w:rPr>
      </w:pPr>
      <w:r w:rsidRPr="00813D5D">
        <w:rPr>
          <w:rFonts w:ascii="Arial" w:hAnsi="Arial"/>
          <w:i/>
          <w:sz w:val="20"/>
        </w:rPr>
        <w:t xml:space="preserve">The associated increase in </w:t>
      </w:r>
      <w:r>
        <w:rPr>
          <w:rFonts w:ascii="Arial" w:hAnsi="Arial"/>
          <w:i/>
          <w:sz w:val="20"/>
        </w:rPr>
        <w:t xml:space="preserve">total </w:t>
      </w:r>
      <w:r w:rsidRPr="00813D5D">
        <w:rPr>
          <w:rFonts w:ascii="Arial" w:hAnsi="Arial"/>
          <w:i/>
          <w:sz w:val="20"/>
        </w:rPr>
        <w:t xml:space="preserve">resources is reflected in Program 16 (Economics and Statistics). </w:t>
      </w:r>
    </w:p>
    <w:p w14:paraId="731DFD13" w14:textId="77777777" w:rsidR="00B67D0A" w:rsidRPr="00813D5D" w:rsidRDefault="00B67D0A" w:rsidP="00F02301">
      <w:pPr>
        <w:tabs>
          <w:tab w:val="left" w:pos="567"/>
        </w:tabs>
        <w:ind w:left="1080"/>
        <w:jc w:val="both"/>
        <w:rPr>
          <w:rFonts w:ascii="Arial" w:hAnsi="Arial"/>
          <w:i/>
          <w:sz w:val="20"/>
        </w:rPr>
      </w:pPr>
    </w:p>
    <w:p w14:paraId="3A930B3A" w14:textId="71368522" w:rsidR="00B67D0A" w:rsidRDefault="00B67D0A" w:rsidP="00B66A4A">
      <w:pPr>
        <w:pStyle w:val="ListParagraph"/>
        <w:widowControl w:val="0"/>
        <w:numPr>
          <w:ilvl w:val="0"/>
          <w:numId w:val="33"/>
        </w:numPr>
        <w:tabs>
          <w:tab w:val="left" w:pos="567"/>
        </w:tabs>
        <w:ind w:left="0" w:firstLine="0"/>
        <w:jc w:val="both"/>
        <w:rPr>
          <w:rFonts w:ascii="Arial" w:hAnsi="Arial"/>
          <w:sz w:val="20"/>
        </w:rPr>
      </w:pPr>
      <w:r w:rsidRPr="00BE7822">
        <w:rPr>
          <w:rFonts w:ascii="Arial" w:hAnsi="Arial"/>
          <w:sz w:val="20"/>
        </w:rPr>
        <w:t xml:space="preserve">Development continues to be a priority in the biennium 2016/17. This </w:t>
      </w:r>
      <w:r w:rsidR="008B26BE">
        <w:rPr>
          <w:rFonts w:ascii="Arial" w:hAnsi="Arial"/>
          <w:sz w:val="20"/>
        </w:rPr>
        <w:t>has resulted in the</w:t>
      </w:r>
      <w:r w:rsidRPr="00BE7822">
        <w:rPr>
          <w:rFonts w:ascii="Arial" w:hAnsi="Arial"/>
          <w:sz w:val="20"/>
        </w:rPr>
        <w:t xml:space="preserve"> development share </w:t>
      </w:r>
      <w:r w:rsidR="008B26BE">
        <w:rPr>
          <w:rFonts w:ascii="Arial" w:hAnsi="Arial"/>
          <w:sz w:val="20"/>
        </w:rPr>
        <w:t>remaining stable at</w:t>
      </w:r>
      <w:r w:rsidR="008B26BE" w:rsidRPr="00BE7822">
        <w:rPr>
          <w:rFonts w:ascii="Arial" w:hAnsi="Arial"/>
          <w:sz w:val="20"/>
        </w:rPr>
        <w:t xml:space="preserve"> </w:t>
      </w:r>
      <w:r>
        <w:rPr>
          <w:rFonts w:ascii="Arial" w:hAnsi="Arial"/>
          <w:sz w:val="20"/>
        </w:rPr>
        <w:t>21.</w:t>
      </w:r>
      <w:r w:rsidR="00C71CBF">
        <w:rPr>
          <w:rFonts w:ascii="Arial" w:hAnsi="Arial"/>
          <w:sz w:val="20"/>
        </w:rPr>
        <w:t xml:space="preserve">1 </w:t>
      </w:r>
      <w:r>
        <w:rPr>
          <w:rFonts w:ascii="Arial" w:hAnsi="Arial"/>
          <w:sz w:val="20"/>
        </w:rPr>
        <w:t>per cent</w:t>
      </w:r>
      <w:r w:rsidRPr="00BE7822">
        <w:rPr>
          <w:rFonts w:ascii="Arial" w:hAnsi="Arial"/>
          <w:sz w:val="20"/>
        </w:rPr>
        <w:t xml:space="preserve"> </w:t>
      </w:r>
      <w:r w:rsidR="008B26BE">
        <w:rPr>
          <w:rFonts w:ascii="Arial" w:hAnsi="Arial"/>
          <w:sz w:val="20"/>
        </w:rPr>
        <w:t>for</w:t>
      </w:r>
      <w:r w:rsidR="008B26BE" w:rsidRPr="00BE7822">
        <w:rPr>
          <w:rFonts w:ascii="Arial" w:hAnsi="Arial"/>
          <w:sz w:val="20"/>
        </w:rPr>
        <w:t xml:space="preserve"> </w:t>
      </w:r>
      <w:r w:rsidRPr="00BE7822">
        <w:rPr>
          <w:rFonts w:ascii="Arial" w:hAnsi="Arial"/>
          <w:sz w:val="20"/>
        </w:rPr>
        <w:t>the next biennium</w:t>
      </w:r>
      <w:r w:rsidR="000C4B20">
        <w:rPr>
          <w:rStyle w:val="FootnoteReference"/>
          <w:rFonts w:ascii="Arial" w:hAnsi="Arial"/>
          <w:sz w:val="20"/>
        </w:rPr>
        <w:footnoteReference w:id="6"/>
      </w:r>
      <w:r w:rsidRPr="00851CC8">
        <w:rPr>
          <w:rFonts w:ascii="Arial" w:hAnsi="Arial"/>
          <w:sz w:val="20"/>
        </w:rPr>
        <w:t>.</w:t>
      </w:r>
      <w:r w:rsidRPr="00BE7822">
        <w:rPr>
          <w:rFonts w:ascii="Arial" w:hAnsi="Arial"/>
          <w:sz w:val="20"/>
        </w:rPr>
        <w:t xml:space="preserve"> </w:t>
      </w:r>
    </w:p>
    <w:p w14:paraId="15164AA2" w14:textId="77777777" w:rsidR="002F070A" w:rsidRDefault="002F070A" w:rsidP="002F070A">
      <w:pPr>
        <w:pStyle w:val="ListParagraph"/>
        <w:widowControl w:val="0"/>
        <w:tabs>
          <w:tab w:val="left" w:pos="567"/>
        </w:tabs>
        <w:ind w:left="0"/>
        <w:jc w:val="both"/>
        <w:rPr>
          <w:rFonts w:ascii="Arial" w:hAnsi="Arial"/>
          <w:sz w:val="20"/>
        </w:rPr>
      </w:pPr>
    </w:p>
    <w:p w14:paraId="36227D8C" w14:textId="7F979A81" w:rsidR="00B67D0A" w:rsidRPr="0059096A" w:rsidRDefault="00B67D0A" w:rsidP="00B66A4A">
      <w:pPr>
        <w:pStyle w:val="ListParagraph"/>
        <w:numPr>
          <w:ilvl w:val="0"/>
          <w:numId w:val="34"/>
        </w:numPr>
        <w:tabs>
          <w:tab w:val="right" w:pos="1134"/>
        </w:tabs>
        <w:ind w:left="1134" w:hanging="567"/>
        <w:jc w:val="both"/>
        <w:rPr>
          <w:rFonts w:ascii="Arial" w:hAnsi="Arial"/>
          <w:i/>
          <w:sz w:val="20"/>
        </w:rPr>
      </w:pPr>
      <w:r>
        <w:rPr>
          <w:rFonts w:ascii="Arial" w:hAnsi="Arial"/>
          <w:i/>
          <w:sz w:val="20"/>
        </w:rPr>
        <w:t xml:space="preserve">This represents </w:t>
      </w:r>
      <w:r w:rsidRPr="0059096A">
        <w:rPr>
          <w:rFonts w:ascii="Arial" w:hAnsi="Arial"/>
          <w:i/>
          <w:sz w:val="20"/>
        </w:rPr>
        <w:t xml:space="preserve">an absolute increase in estimated development expenditure of </w:t>
      </w:r>
      <w:r w:rsidR="006342AC">
        <w:rPr>
          <w:rFonts w:ascii="Arial" w:hAnsi="Arial"/>
          <w:i/>
          <w:sz w:val="20"/>
        </w:rPr>
        <w:t>4</w:t>
      </w:r>
      <w:r w:rsidRPr="0059096A">
        <w:rPr>
          <w:rFonts w:ascii="Arial" w:hAnsi="Arial"/>
          <w:i/>
          <w:sz w:val="20"/>
        </w:rPr>
        <w:t xml:space="preserve"> per cent compared to the </w:t>
      </w:r>
      <w:r w:rsidR="009C165B">
        <w:rPr>
          <w:rFonts w:ascii="Arial" w:hAnsi="Arial"/>
          <w:i/>
          <w:sz w:val="20"/>
        </w:rPr>
        <w:t>2014/15 A</w:t>
      </w:r>
      <w:r w:rsidR="009C165B" w:rsidRPr="0059096A">
        <w:rPr>
          <w:rFonts w:ascii="Arial" w:hAnsi="Arial"/>
          <w:i/>
          <w:sz w:val="20"/>
        </w:rPr>
        <w:t xml:space="preserve">pproved </w:t>
      </w:r>
      <w:r w:rsidR="009C165B">
        <w:rPr>
          <w:rFonts w:ascii="Arial" w:hAnsi="Arial"/>
          <w:i/>
          <w:sz w:val="20"/>
        </w:rPr>
        <w:t>B</w:t>
      </w:r>
      <w:r w:rsidR="009C165B" w:rsidRPr="0059096A">
        <w:rPr>
          <w:rFonts w:ascii="Arial" w:hAnsi="Arial"/>
          <w:i/>
          <w:sz w:val="20"/>
        </w:rPr>
        <w:t>udget</w:t>
      </w:r>
      <w:r w:rsidRPr="0059096A">
        <w:rPr>
          <w:rFonts w:ascii="Arial" w:hAnsi="Arial"/>
          <w:i/>
          <w:sz w:val="20"/>
        </w:rPr>
        <w:t xml:space="preserve">. </w:t>
      </w:r>
    </w:p>
    <w:p w14:paraId="643736A7" w14:textId="77777777" w:rsidR="00B67D0A" w:rsidRDefault="00B67D0A" w:rsidP="00F02301">
      <w:pPr>
        <w:jc w:val="both"/>
        <w:rPr>
          <w:rFonts w:ascii="Arial" w:hAnsi="Arial"/>
          <w:sz w:val="20"/>
        </w:rPr>
      </w:pPr>
    </w:p>
    <w:p w14:paraId="353899DB" w14:textId="77777777" w:rsidR="00B67D0A" w:rsidRPr="002F070A" w:rsidRDefault="00B67D0A" w:rsidP="00B66A4A">
      <w:pPr>
        <w:pStyle w:val="ListParagraph"/>
        <w:widowControl w:val="0"/>
        <w:numPr>
          <w:ilvl w:val="0"/>
          <w:numId w:val="33"/>
        </w:numPr>
        <w:tabs>
          <w:tab w:val="left" w:pos="567"/>
        </w:tabs>
        <w:ind w:left="0" w:firstLine="0"/>
        <w:jc w:val="both"/>
        <w:rPr>
          <w:rFonts w:ascii="Arial" w:hAnsi="Arial" w:cs="Arial"/>
          <w:bCs/>
          <w:color w:val="000000"/>
          <w:sz w:val="20"/>
        </w:rPr>
      </w:pPr>
      <w:r w:rsidRPr="00D01CA6">
        <w:rPr>
          <w:rFonts w:ascii="Arial" w:hAnsi="Arial"/>
          <w:sz w:val="20"/>
        </w:rPr>
        <w:lastRenderedPageBreak/>
        <w:t>The DA recommendations continue to guide WIPO development activities.  Program linkages to the DA recommendations continue to be substantively reflected in each relevant Program narrative.  DA projects have been mainstreamed, both in terms of substance and resources, in each Program in line with the Budgetary Process for Projects Proposed by the Committee on Development and Intellectual Property (CDIP) for the Implementation of the DA recommendations approved by the WIPO Assemblies in 2010</w:t>
      </w:r>
      <w:r w:rsidRPr="00320DE7">
        <w:rPr>
          <w:rStyle w:val="FootnoteReference"/>
          <w:rFonts w:ascii="Arial" w:hAnsi="Arial"/>
        </w:rPr>
        <w:footnoteReference w:id="7"/>
      </w:r>
      <w:r w:rsidRPr="00D01CA6">
        <w:rPr>
          <w:rFonts w:ascii="Arial" w:hAnsi="Arial"/>
          <w:sz w:val="20"/>
        </w:rPr>
        <w:t xml:space="preserve">. </w:t>
      </w:r>
    </w:p>
    <w:p w14:paraId="1A8A4E3F" w14:textId="77777777" w:rsidR="002F070A" w:rsidRPr="003B1A5B" w:rsidRDefault="002F070A" w:rsidP="002F070A">
      <w:pPr>
        <w:pStyle w:val="ListParagraph"/>
        <w:widowControl w:val="0"/>
        <w:tabs>
          <w:tab w:val="left" w:pos="567"/>
        </w:tabs>
        <w:ind w:left="0"/>
        <w:jc w:val="both"/>
        <w:rPr>
          <w:rFonts w:ascii="Arial" w:hAnsi="Arial" w:cs="Arial"/>
          <w:bCs/>
          <w:color w:val="000000"/>
          <w:sz w:val="20"/>
        </w:rPr>
      </w:pPr>
    </w:p>
    <w:p w14:paraId="577343B1" w14:textId="2CC68954" w:rsidR="00B67D0A" w:rsidRPr="003B1A5B" w:rsidRDefault="00B67D0A" w:rsidP="00B66A4A">
      <w:pPr>
        <w:pStyle w:val="ListParagraph"/>
        <w:numPr>
          <w:ilvl w:val="0"/>
          <w:numId w:val="34"/>
        </w:numPr>
        <w:tabs>
          <w:tab w:val="right" w:pos="1134"/>
        </w:tabs>
        <w:ind w:left="1134" w:hanging="567"/>
        <w:jc w:val="both"/>
        <w:rPr>
          <w:rFonts w:ascii="Arial" w:hAnsi="Arial" w:cs="Arial"/>
          <w:bCs/>
          <w:i/>
          <w:color w:val="000000"/>
          <w:sz w:val="20"/>
        </w:rPr>
      </w:pPr>
      <w:r w:rsidRPr="003B1A5B">
        <w:rPr>
          <w:rFonts w:ascii="Arial" w:hAnsi="Arial"/>
          <w:i/>
          <w:sz w:val="20"/>
        </w:rPr>
        <w:t>A total of six DA Projects are proposed in the biennium 2016/17</w:t>
      </w:r>
      <w:r w:rsidRPr="00851CC8">
        <w:rPr>
          <w:rStyle w:val="FootnoteReference"/>
          <w:rFonts w:ascii="Arial" w:hAnsi="Arial"/>
          <w:i/>
          <w:sz w:val="20"/>
        </w:rPr>
        <w:footnoteReference w:id="8"/>
      </w:r>
      <w:r w:rsidR="008B26BE">
        <w:rPr>
          <w:rFonts w:ascii="Arial" w:hAnsi="Arial"/>
          <w:i/>
          <w:sz w:val="20"/>
        </w:rPr>
        <w:t>, subject to approval by the CDIP,</w:t>
      </w:r>
      <w:r w:rsidRPr="00851CC8">
        <w:rPr>
          <w:rFonts w:ascii="Arial" w:hAnsi="Arial"/>
          <w:i/>
          <w:sz w:val="18"/>
        </w:rPr>
        <w:t xml:space="preserve"> </w:t>
      </w:r>
      <w:r w:rsidRPr="003B1A5B">
        <w:rPr>
          <w:rFonts w:ascii="Arial" w:hAnsi="Arial"/>
          <w:i/>
          <w:sz w:val="20"/>
        </w:rPr>
        <w:t xml:space="preserve">with an associated </w:t>
      </w:r>
      <w:r>
        <w:rPr>
          <w:rFonts w:ascii="Arial" w:hAnsi="Arial"/>
          <w:i/>
          <w:sz w:val="20"/>
        </w:rPr>
        <w:t xml:space="preserve">total </w:t>
      </w:r>
      <w:r w:rsidRPr="003B1A5B">
        <w:rPr>
          <w:rFonts w:ascii="Arial" w:hAnsi="Arial"/>
          <w:i/>
          <w:sz w:val="20"/>
        </w:rPr>
        <w:t>resource envelope of 2.5 million Swiss francs</w:t>
      </w:r>
      <w:r w:rsidR="009C165B">
        <w:rPr>
          <w:rStyle w:val="FootnoteReference"/>
          <w:rFonts w:ascii="Arial" w:hAnsi="Arial"/>
          <w:i/>
          <w:sz w:val="20"/>
        </w:rPr>
        <w:footnoteReference w:id="9"/>
      </w:r>
      <w:r w:rsidRPr="003B1A5B">
        <w:rPr>
          <w:rFonts w:ascii="Arial" w:hAnsi="Arial"/>
          <w:i/>
          <w:sz w:val="20"/>
        </w:rPr>
        <w:t xml:space="preserve">.  </w:t>
      </w:r>
    </w:p>
    <w:p w14:paraId="7BF8D508" w14:textId="77777777" w:rsidR="00B67D0A" w:rsidRPr="003B1A5B" w:rsidRDefault="00B67D0A" w:rsidP="00F02301">
      <w:pPr>
        <w:jc w:val="both"/>
        <w:rPr>
          <w:rFonts w:ascii="Arial" w:hAnsi="Arial"/>
          <w:i/>
          <w:sz w:val="20"/>
        </w:rPr>
      </w:pPr>
    </w:p>
    <w:p w14:paraId="14119E27"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2F070A">
        <w:rPr>
          <w:rFonts w:ascii="Arial" w:hAnsi="Arial"/>
          <w:sz w:val="20"/>
        </w:rPr>
        <w:t>With</w:t>
      </w:r>
      <w:r>
        <w:rPr>
          <w:rFonts w:ascii="Arial" w:hAnsi="Arial" w:cs="Arial"/>
          <w:sz w:val="20"/>
        </w:rPr>
        <w:t xml:space="preserve"> the anticipated adoption by UN Member States of the Post 2015 Development Agenda and a new international climate change agreement, the UN is set to shift from negotiation to action. WIPO as a strongly committed member of the UN family, and embracing both the spirit and recommendations of the WIPO Development Agenda, will play its full part in the Global Partnership for Development to support implementation of all elements of the post 2015 Development Agenda.</w:t>
      </w:r>
    </w:p>
    <w:p w14:paraId="1B8CE3E6" w14:textId="77777777" w:rsidR="002F070A" w:rsidRDefault="002F070A" w:rsidP="002F070A">
      <w:pPr>
        <w:pStyle w:val="ListParagraph"/>
        <w:widowControl w:val="0"/>
        <w:tabs>
          <w:tab w:val="left" w:pos="567"/>
        </w:tabs>
        <w:ind w:left="0"/>
        <w:jc w:val="both"/>
        <w:rPr>
          <w:rFonts w:ascii="Arial" w:hAnsi="Arial" w:cs="Arial"/>
          <w:sz w:val="20"/>
        </w:rPr>
      </w:pPr>
    </w:p>
    <w:p w14:paraId="02ECF698" w14:textId="5B5B07AB" w:rsidR="00B67D0A" w:rsidRPr="0069662E" w:rsidRDefault="00B67D0A" w:rsidP="00B66A4A">
      <w:pPr>
        <w:pStyle w:val="ListParagraph"/>
        <w:numPr>
          <w:ilvl w:val="0"/>
          <w:numId w:val="34"/>
        </w:numPr>
        <w:tabs>
          <w:tab w:val="right" w:pos="1134"/>
        </w:tabs>
        <w:ind w:left="1134" w:hanging="567"/>
        <w:jc w:val="both"/>
        <w:rPr>
          <w:rFonts w:ascii="Arial" w:hAnsi="Arial" w:cs="Arial"/>
          <w:sz w:val="20"/>
        </w:rPr>
      </w:pPr>
      <w:r w:rsidRPr="002F070A">
        <w:rPr>
          <w:rFonts w:ascii="Arial" w:hAnsi="Arial"/>
          <w:i/>
          <w:sz w:val="20"/>
        </w:rPr>
        <w:t>The</w:t>
      </w:r>
      <w:r w:rsidRPr="00D2204A">
        <w:rPr>
          <w:rFonts w:ascii="Arial" w:hAnsi="Arial" w:cs="Arial"/>
          <w:i/>
          <w:sz w:val="20"/>
        </w:rPr>
        <w:t xml:space="preserve"> associated </w:t>
      </w:r>
      <w:r>
        <w:rPr>
          <w:rFonts w:ascii="Arial" w:hAnsi="Arial" w:cs="Arial"/>
          <w:i/>
          <w:sz w:val="20"/>
        </w:rPr>
        <w:t xml:space="preserve">total </w:t>
      </w:r>
      <w:r w:rsidRPr="00D2204A">
        <w:rPr>
          <w:rFonts w:ascii="Arial" w:hAnsi="Arial" w:cs="Arial"/>
          <w:i/>
          <w:sz w:val="20"/>
        </w:rPr>
        <w:t>resources are</w:t>
      </w:r>
      <w:r>
        <w:rPr>
          <w:rFonts w:ascii="Arial" w:hAnsi="Arial" w:cs="Arial"/>
          <w:i/>
          <w:sz w:val="20"/>
        </w:rPr>
        <w:t>, primarily,</w:t>
      </w:r>
      <w:r w:rsidRPr="00D2204A">
        <w:rPr>
          <w:rFonts w:ascii="Arial" w:hAnsi="Arial" w:cs="Arial"/>
          <w:i/>
          <w:sz w:val="20"/>
        </w:rPr>
        <w:t xml:space="preserve"> reflected in </w:t>
      </w:r>
      <w:r w:rsidRPr="00D2204A">
        <w:rPr>
          <w:rFonts w:ascii="Arial" w:hAnsi="Arial"/>
          <w:i/>
          <w:sz w:val="20"/>
        </w:rPr>
        <w:t>Program</w:t>
      </w:r>
      <w:r>
        <w:rPr>
          <w:rFonts w:ascii="Arial" w:hAnsi="Arial"/>
          <w:i/>
          <w:sz w:val="20"/>
        </w:rPr>
        <w:t>s 9 (</w:t>
      </w:r>
      <w:r w:rsidRPr="00D2204A">
        <w:rPr>
          <w:rFonts w:ascii="Arial" w:hAnsi="Arial"/>
          <w:i/>
          <w:sz w:val="20"/>
        </w:rPr>
        <w:t>Africa, Arab, Asia and the Pacific, Latin America and the Caribbean Countries, Least Developed Countries)</w:t>
      </w:r>
      <w:r>
        <w:rPr>
          <w:rFonts w:ascii="Arial" w:hAnsi="Arial"/>
          <w:i/>
          <w:sz w:val="20"/>
        </w:rPr>
        <w:t xml:space="preserve">, 10 </w:t>
      </w:r>
      <w:r w:rsidRPr="00D2204A">
        <w:rPr>
          <w:rFonts w:ascii="Arial" w:hAnsi="Arial"/>
          <w:i/>
          <w:sz w:val="20"/>
        </w:rPr>
        <w:t>(Tran</w:t>
      </w:r>
      <w:r>
        <w:rPr>
          <w:rFonts w:ascii="Arial" w:hAnsi="Arial"/>
          <w:i/>
          <w:sz w:val="20"/>
        </w:rPr>
        <w:t>sition and Developed Countries), 18 (IP and Global Challenges) and 20</w:t>
      </w:r>
      <w:r w:rsidRPr="00D2204A">
        <w:rPr>
          <w:rFonts w:ascii="Arial" w:hAnsi="Arial"/>
          <w:i/>
          <w:sz w:val="20"/>
        </w:rPr>
        <w:t xml:space="preserve"> (</w:t>
      </w:r>
      <w:r>
        <w:rPr>
          <w:rFonts w:ascii="Arial" w:hAnsi="Arial"/>
          <w:i/>
          <w:sz w:val="20"/>
        </w:rPr>
        <w:t>External Relations, Partnerships and External Offices)</w:t>
      </w:r>
      <w:r w:rsidR="000C4B20">
        <w:rPr>
          <w:rFonts w:ascii="Arial" w:hAnsi="Arial"/>
          <w:i/>
          <w:sz w:val="20"/>
        </w:rPr>
        <w:t>.</w:t>
      </w:r>
      <w:r>
        <w:rPr>
          <w:rFonts w:ascii="Arial" w:hAnsi="Arial"/>
          <w:i/>
          <w:sz w:val="20"/>
        </w:rPr>
        <w:t xml:space="preserve"> </w:t>
      </w:r>
    </w:p>
    <w:p w14:paraId="57BCD014" w14:textId="77777777" w:rsidR="00B67D0A" w:rsidRDefault="00B67D0A" w:rsidP="00F02301">
      <w:pPr>
        <w:tabs>
          <w:tab w:val="left" w:pos="567"/>
        </w:tabs>
        <w:jc w:val="both"/>
        <w:rPr>
          <w:rFonts w:ascii="Arial" w:hAnsi="Arial"/>
          <w:sz w:val="20"/>
        </w:rPr>
      </w:pPr>
    </w:p>
    <w:p w14:paraId="01876537" w14:textId="77777777"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rPr>
      </w:pPr>
      <w:r w:rsidRPr="00881C7F">
        <w:rPr>
          <w:rFonts w:ascii="Arial" w:hAnsi="Arial"/>
          <w:sz w:val="20"/>
        </w:rPr>
        <w:t>Enhancing access to, and use of, IP information by IP institutions and the public to promote innovation and creativity</w:t>
      </w:r>
      <w:r>
        <w:rPr>
          <w:rFonts w:ascii="Arial" w:hAnsi="Arial"/>
          <w:sz w:val="20"/>
        </w:rPr>
        <w:t xml:space="preserve"> will continue</w:t>
      </w:r>
      <w:r w:rsidRPr="00881C7F">
        <w:rPr>
          <w:rFonts w:ascii="Arial" w:hAnsi="Arial"/>
          <w:sz w:val="20"/>
        </w:rPr>
        <w:t xml:space="preserve">.  </w:t>
      </w:r>
      <w:r>
        <w:rPr>
          <w:rFonts w:ascii="Arial" w:hAnsi="Arial"/>
          <w:sz w:val="20"/>
        </w:rPr>
        <w:t>The</w:t>
      </w:r>
      <w:r w:rsidRPr="00881C7F">
        <w:rPr>
          <w:rFonts w:ascii="Arial" w:hAnsi="Arial" w:cs="Arial"/>
          <w:color w:val="000000"/>
          <w:sz w:val="20"/>
        </w:rPr>
        <w:t xml:space="preserve"> global databases </w:t>
      </w:r>
      <w:r>
        <w:rPr>
          <w:rFonts w:ascii="Arial" w:hAnsi="Arial" w:cs="Arial"/>
          <w:color w:val="000000"/>
          <w:sz w:val="20"/>
        </w:rPr>
        <w:t xml:space="preserve">will be expanded </w:t>
      </w:r>
      <w:r w:rsidRPr="00881C7F">
        <w:rPr>
          <w:rFonts w:ascii="Arial" w:hAnsi="Arial" w:cs="Arial"/>
          <w:color w:val="000000"/>
          <w:sz w:val="20"/>
        </w:rPr>
        <w:t>in terms of their geographical coverage of national data collections</w:t>
      </w:r>
      <w:r>
        <w:rPr>
          <w:rFonts w:ascii="Arial" w:hAnsi="Arial" w:cs="Arial"/>
          <w:color w:val="000000"/>
          <w:sz w:val="20"/>
        </w:rPr>
        <w:t>, including for the G</w:t>
      </w:r>
      <w:r w:rsidRPr="00881C7F">
        <w:rPr>
          <w:rFonts w:ascii="Arial" w:hAnsi="Arial" w:cs="Arial"/>
          <w:color w:val="000000"/>
          <w:sz w:val="20"/>
        </w:rPr>
        <w:t xml:space="preserve">lobal </w:t>
      </w:r>
      <w:r>
        <w:rPr>
          <w:rFonts w:ascii="Arial" w:hAnsi="Arial" w:cs="Arial"/>
          <w:color w:val="000000"/>
          <w:sz w:val="20"/>
        </w:rPr>
        <w:t>Designs D</w:t>
      </w:r>
      <w:r w:rsidRPr="00881C7F">
        <w:rPr>
          <w:rFonts w:ascii="Arial" w:hAnsi="Arial" w:cs="Arial"/>
          <w:color w:val="000000"/>
          <w:sz w:val="20"/>
        </w:rPr>
        <w:t xml:space="preserve">atabase </w:t>
      </w:r>
      <w:r>
        <w:rPr>
          <w:rFonts w:ascii="Arial" w:hAnsi="Arial" w:cs="Arial"/>
          <w:color w:val="000000"/>
          <w:sz w:val="20"/>
        </w:rPr>
        <w:t xml:space="preserve">developed in the biennium 2014/15. </w:t>
      </w:r>
    </w:p>
    <w:p w14:paraId="070FA75B" w14:textId="77777777" w:rsidR="002F070A" w:rsidRPr="004B3372" w:rsidRDefault="002F070A" w:rsidP="002F070A">
      <w:pPr>
        <w:pStyle w:val="ListParagraph"/>
        <w:widowControl w:val="0"/>
        <w:tabs>
          <w:tab w:val="left" w:pos="567"/>
        </w:tabs>
        <w:ind w:left="0"/>
        <w:jc w:val="both"/>
        <w:rPr>
          <w:rFonts w:ascii="Arial" w:hAnsi="Arial"/>
          <w:sz w:val="20"/>
        </w:rPr>
      </w:pPr>
    </w:p>
    <w:p w14:paraId="4242A035" w14:textId="77777777" w:rsidR="00B67D0A" w:rsidRPr="004F5E83" w:rsidRDefault="00B67D0A" w:rsidP="00B66A4A">
      <w:pPr>
        <w:pStyle w:val="ListParagraph"/>
        <w:numPr>
          <w:ilvl w:val="0"/>
          <w:numId w:val="34"/>
        </w:numPr>
        <w:tabs>
          <w:tab w:val="right" w:pos="1134"/>
        </w:tabs>
        <w:ind w:left="1134" w:hanging="567"/>
        <w:jc w:val="both"/>
        <w:rPr>
          <w:rFonts w:ascii="Arial" w:hAnsi="Arial"/>
          <w:sz w:val="20"/>
        </w:rPr>
      </w:pPr>
      <w:r>
        <w:rPr>
          <w:rFonts w:ascii="Arial" w:hAnsi="Arial"/>
          <w:i/>
          <w:sz w:val="20"/>
          <w:lang w:val="en-CA"/>
        </w:rPr>
        <w:t>The associated increase</w:t>
      </w:r>
      <w:r w:rsidRPr="004B3372">
        <w:rPr>
          <w:rFonts w:ascii="Arial" w:hAnsi="Arial"/>
          <w:i/>
          <w:sz w:val="20"/>
          <w:lang w:val="en-CA"/>
        </w:rPr>
        <w:t xml:space="preserve"> in </w:t>
      </w:r>
      <w:r>
        <w:rPr>
          <w:rFonts w:ascii="Arial" w:hAnsi="Arial"/>
          <w:i/>
          <w:sz w:val="20"/>
          <w:lang w:val="en-CA"/>
        </w:rPr>
        <w:t xml:space="preserve">total </w:t>
      </w:r>
      <w:r w:rsidRPr="004B3372">
        <w:rPr>
          <w:rFonts w:ascii="Arial" w:hAnsi="Arial"/>
          <w:i/>
          <w:sz w:val="20"/>
          <w:lang w:val="en-CA"/>
        </w:rPr>
        <w:t xml:space="preserve">resources </w:t>
      </w:r>
      <w:r>
        <w:rPr>
          <w:rFonts w:ascii="Arial" w:hAnsi="Arial"/>
          <w:i/>
          <w:sz w:val="20"/>
          <w:lang w:val="en-CA"/>
        </w:rPr>
        <w:t>is</w:t>
      </w:r>
      <w:r w:rsidRPr="004B3372">
        <w:rPr>
          <w:rFonts w:ascii="Arial" w:hAnsi="Arial"/>
          <w:i/>
          <w:sz w:val="20"/>
          <w:lang w:val="en-CA"/>
        </w:rPr>
        <w:t xml:space="preserve"> reflected in Program 13</w:t>
      </w:r>
      <w:r>
        <w:rPr>
          <w:rFonts w:ascii="Arial" w:hAnsi="Arial"/>
          <w:i/>
          <w:sz w:val="20"/>
          <w:lang w:val="en-CA"/>
        </w:rPr>
        <w:t xml:space="preserve"> (Global databases)</w:t>
      </w:r>
      <w:r>
        <w:rPr>
          <w:rFonts w:ascii="Arial" w:hAnsi="Arial"/>
          <w:sz w:val="20"/>
          <w:lang w:val="en-CA"/>
        </w:rPr>
        <w:t xml:space="preserve">. </w:t>
      </w:r>
    </w:p>
    <w:p w14:paraId="1108F80F" w14:textId="77777777" w:rsidR="00B67D0A" w:rsidRDefault="00B67D0A" w:rsidP="00F02301">
      <w:pPr>
        <w:tabs>
          <w:tab w:val="left" w:pos="567"/>
        </w:tabs>
        <w:jc w:val="both"/>
        <w:rPr>
          <w:rFonts w:ascii="Arial" w:hAnsi="Arial"/>
          <w:sz w:val="20"/>
        </w:rPr>
      </w:pPr>
    </w:p>
    <w:p w14:paraId="65E2D940" w14:textId="43AEE36B" w:rsidR="008B26BE" w:rsidRDefault="008B26BE" w:rsidP="00B66A4A">
      <w:pPr>
        <w:pStyle w:val="ListParagraph"/>
        <w:widowControl w:val="0"/>
        <w:numPr>
          <w:ilvl w:val="0"/>
          <w:numId w:val="33"/>
        </w:numPr>
        <w:tabs>
          <w:tab w:val="left" w:pos="567"/>
        </w:tabs>
        <w:ind w:left="0" w:firstLine="0"/>
        <w:jc w:val="both"/>
        <w:rPr>
          <w:rFonts w:ascii="Arial" w:hAnsi="Arial"/>
          <w:sz w:val="20"/>
        </w:rPr>
      </w:pPr>
      <w:r>
        <w:rPr>
          <w:rFonts w:ascii="Arial" w:hAnsi="Arial"/>
          <w:sz w:val="20"/>
        </w:rPr>
        <w:t xml:space="preserve">Enhanced access to IP knowledge content will continue to be facilitated through the creation and/or strengthening of sustainable Technology Innovation Support Center (TICS) networks and special projects facilitating access to commercial databases. </w:t>
      </w:r>
    </w:p>
    <w:p w14:paraId="27576002" w14:textId="77777777" w:rsidR="008B26BE" w:rsidRDefault="008B26BE" w:rsidP="00DA3F93">
      <w:pPr>
        <w:pStyle w:val="ListParagraph"/>
        <w:widowControl w:val="0"/>
        <w:tabs>
          <w:tab w:val="left" w:pos="567"/>
        </w:tabs>
        <w:ind w:left="0"/>
        <w:jc w:val="both"/>
        <w:rPr>
          <w:rFonts w:ascii="Arial" w:hAnsi="Arial"/>
          <w:sz w:val="20"/>
        </w:rPr>
      </w:pPr>
    </w:p>
    <w:p w14:paraId="21EF969C" w14:textId="4C700764" w:rsidR="008B26BE" w:rsidRPr="004F5E83" w:rsidRDefault="008B26BE" w:rsidP="00B66A4A">
      <w:pPr>
        <w:pStyle w:val="ListParagraph"/>
        <w:numPr>
          <w:ilvl w:val="0"/>
          <w:numId w:val="34"/>
        </w:numPr>
        <w:tabs>
          <w:tab w:val="right" w:pos="1134"/>
        </w:tabs>
        <w:ind w:left="1134" w:hanging="567"/>
        <w:jc w:val="both"/>
        <w:rPr>
          <w:rFonts w:ascii="Arial" w:hAnsi="Arial"/>
          <w:sz w:val="20"/>
        </w:rPr>
      </w:pPr>
      <w:r>
        <w:rPr>
          <w:rFonts w:ascii="Arial" w:hAnsi="Arial"/>
          <w:i/>
          <w:sz w:val="20"/>
          <w:lang w:val="en-CA"/>
        </w:rPr>
        <w:t xml:space="preserve">The associated total </w:t>
      </w:r>
      <w:r w:rsidRPr="004B3372">
        <w:rPr>
          <w:rFonts w:ascii="Arial" w:hAnsi="Arial"/>
          <w:i/>
          <w:sz w:val="20"/>
          <w:lang w:val="en-CA"/>
        </w:rPr>
        <w:t xml:space="preserve">resources </w:t>
      </w:r>
      <w:r>
        <w:rPr>
          <w:rFonts w:ascii="Arial" w:hAnsi="Arial"/>
          <w:i/>
          <w:sz w:val="20"/>
          <w:lang w:val="en-CA"/>
        </w:rPr>
        <w:t>are</w:t>
      </w:r>
      <w:r w:rsidRPr="004B3372">
        <w:rPr>
          <w:rFonts w:ascii="Arial" w:hAnsi="Arial"/>
          <w:i/>
          <w:sz w:val="20"/>
          <w:lang w:val="en-CA"/>
        </w:rPr>
        <w:t xml:space="preserve"> reflected in Program 1</w:t>
      </w:r>
      <w:r w:rsidR="00DA0D82">
        <w:rPr>
          <w:rFonts w:ascii="Arial" w:hAnsi="Arial"/>
          <w:i/>
          <w:sz w:val="20"/>
          <w:lang w:val="en-CA"/>
        </w:rPr>
        <w:t>4</w:t>
      </w:r>
      <w:r>
        <w:rPr>
          <w:rFonts w:ascii="Arial" w:hAnsi="Arial"/>
          <w:i/>
          <w:sz w:val="20"/>
          <w:lang w:val="en-CA"/>
        </w:rPr>
        <w:t xml:space="preserve"> (</w:t>
      </w:r>
      <w:r w:rsidR="00DA0D82">
        <w:rPr>
          <w:rFonts w:ascii="Arial" w:hAnsi="Arial"/>
          <w:i/>
          <w:sz w:val="20"/>
          <w:lang w:val="en-CA"/>
        </w:rPr>
        <w:t>Services for Access to Information and Knowledge</w:t>
      </w:r>
      <w:r>
        <w:rPr>
          <w:rFonts w:ascii="Arial" w:hAnsi="Arial"/>
          <w:i/>
          <w:sz w:val="20"/>
          <w:lang w:val="en-CA"/>
        </w:rPr>
        <w:t>)</w:t>
      </w:r>
      <w:r>
        <w:rPr>
          <w:rFonts w:ascii="Arial" w:hAnsi="Arial"/>
          <w:sz w:val="20"/>
          <w:lang w:val="en-CA"/>
        </w:rPr>
        <w:t xml:space="preserve">. </w:t>
      </w:r>
    </w:p>
    <w:p w14:paraId="578F21F2" w14:textId="481A8192" w:rsidR="008B26BE" w:rsidRDefault="008B26BE" w:rsidP="00DA3F93">
      <w:pPr>
        <w:pStyle w:val="ListParagraph"/>
        <w:widowControl w:val="0"/>
        <w:tabs>
          <w:tab w:val="left" w:pos="567"/>
        </w:tabs>
        <w:ind w:left="0"/>
        <w:jc w:val="both"/>
        <w:rPr>
          <w:rFonts w:ascii="Arial" w:hAnsi="Arial"/>
          <w:sz w:val="20"/>
        </w:rPr>
      </w:pPr>
      <w:r>
        <w:rPr>
          <w:rFonts w:ascii="Arial" w:hAnsi="Arial"/>
          <w:sz w:val="20"/>
        </w:rPr>
        <w:t xml:space="preserve"> </w:t>
      </w:r>
    </w:p>
    <w:p w14:paraId="20211E7C" w14:textId="55608790"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rPr>
      </w:pPr>
      <w:r w:rsidRPr="004F5E83">
        <w:rPr>
          <w:rFonts w:ascii="Arial" w:hAnsi="Arial"/>
          <w:sz w:val="20"/>
        </w:rPr>
        <w:t>T</w:t>
      </w:r>
      <w:r w:rsidRPr="004F5E83">
        <w:rPr>
          <w:rFonts w:ascii="Arial" w:hAnsi="Arial"/>
          <w:color w:val="000000"/>
          <w:sz w:val="20"/>
        </w:rPr>
        <w:t xml:space="preserve">he strengthening of the technical infrastructure of IP offices through the </w:t>
      </w:r>
      <w:r w:rsidRPr="004F5E83">
        <w:rPr>
          <w:rFonts w:ascii="Arial" w:hAnsi="Arial" w:cs="Arial"/>
          <w:sz w:val="20"/>
          <w:lang w:val="en-SG"/>
        </w:rPr>
        <w:t xml:space="preserve">revised technical assistance model, focusing on sustainable results at the country level, will continue in 2016/17. </w:t>
      </w:r>
      <w:r>
        <w:rPr>
          <w:rFonts w:ascii="Arial" w:hAnsi="Arial" w:cs="Arial"/>
          <w:sz w:val="20"/>
          <w:lang w:val="en-SG"/>
        </w:rPr>
        <w:t xml:space="preserve">In addition, </w:t>
      </w:r>
      <w:r>
        <w:rPr>
          <w:rFonts w:ascii="Arial" w:hAnsi="Arial" w:cs="Arial"/>
          <w:color w:val="000000"/>
          <w:sz w:val="20"/>
          <w:szCs w:val="21"/>
        </w:rPr>
        <w:t>a</w:t>
      </w:r>
      <w:r w:rsidRPr="004F5E83">
        <w:rPr>
          <w:rFonts w:ascii="Arial" w:hAnsi="Arial" w:cs="Arial"/>
          <w:color w:val="000000"/>
          <w:sz w:val="20"/>
          <w:szCs w:val="21"/>
        </w:rPr>
        <w:t xml:space="preserve"> first version of the WCC (WIPO Copyright Connection) system will be made available to a first group of </w:t>
      </w:r>
      <w:r w:rsidRPr="00B30856">
        <w:rPr>
          <w:rFonts w:ascii="Arial" w:hAnsi="Arial" w:cs="Arial"/>
          <w:sz w:val="20"/>
        </w:rPr>
        <w:t>collective management organizations</w:t>
      </w:r>
      <w:r w:rsidRPr="004F5E83">
        <w:rPr>
          <w:rFonts w:ascii="Arial" w:hAnsi="Arial" w:cs="Arial"/>
          <w:color w:val="000000"/>
          <w:sz w:val="20"/>
          <w:szCs w:val="21"/>
        </w:rPr>
        <w:t xml:space="preserve"> CMOs in developing countries or LDCs</w:t>
      </w:r>
      <w:r>
        <w:rPr>
          <w:rFonts w:ascii="Arial" w:hAnsi="Arial" w:cs="Arial"/>
          <w:color w:val="000000"/>
          <w:sz w:val="20"/>
          <w:szCs w:val="21"/>
        </w:rPr>
        <w:t xml:space="preserve">. </w:t>
      </w:r>
    </w:p>
    <w:p w14:paraId="7E93F564" w14:textId="77777777" w:rsidR="002F070A" w:rsidRPr="004B3372" w:rsidRDefault="002F070A" w:rsidP="002F070A">
      <w:pPr>
        <w:pStyle w:val="ListParagraph"/>
        <w:widowControl w:val="0"/>
        <w:tabs>
          <w:tab w:val="left" w:pos="567"/>
        </w:tabs>
        <w:ind w:left="0"/>
        <w:jc w:val="both"/>
        <w:rPr>
          <w:rFonts w:ascii="Arial" w:hAnsi="Arial"/>
          <w:sz w:val="20"/>
        </w:rPr>
      </w:pPr>
    </w:p>
    <w:p w14:paraId="319B3604" w14:textId="77777777" w:rsidR="00B67D0A" w:rsidRPr="004B3372" w:rsidRDefault="00B67D0A" w:rsidP="00B66A4A">
      <w:pPr>
        <w:pStyle w:val="ListParagraph"/>
        <w:numPr>
          <w:ilvl w:val="0"/>
          <w:numId w:val="34"/>
        </w:numPr>
        <w:tabs>
          <w:tab w:val="right" w:pos="1134"/>
        </w:tabs>
        <w:ind w:left="1134" w:hanging="567"/>
        <w:jc w:val="both"/>
        <w:rPr>
          <w:rFonts w:ascii="Arial" w:hAnsi="Arial"/>
          <w:i/>
          <w:sz w:val="20"/>
        </w:rPr>
      </w:pPr>
      <w:r w:rsidRPr="004B3372">
        <w:rPr>
          <w:rFonts w:ascii="Arial" w:hAnsi="Arial"/>
          <w:i/>
          <w:sz w:val="20"/>
          <w:lang w:val="en-CA"/>
        </w:rPr>
        <w:t xml:space="preserve">The associated increase in </w:t>
      </w:r>
      <w:r>
        <w:rPr>
          <w:rFonts w:ascii="Arial" w:hAnsi="Arial"/>
          <w:i/>
          <w:sz w:val="20"/>
          <w:lang w:val="en-CA"/>
        </w:rPr>
        <w:t xml:space="preserve">total </w:t>
      </w:r>
      <w:r w:rsidRPr="004B3372">
        <w:rPr>
          <w:rFonts w:ascii="Arial" w:hAnsi="Arial"/>
          <w:i/>
          <w:sz w:val="20"/>
          <w:lang w:val="en-CA"/>
        </w:rPr>
        <w:t xml:space="preserve">resources </w:t>
      </w:r>
      <w:r>
        <w:rPr>
          <w:rFonts w:ascii="Arial" w:hAnsi="Arial"/>
          <w:i/>
          <w:sz w:val="20"/>
          <w:lang w:val="en-CA"/>
        </w:rPr>
        <w:t>is</w:t>
      </w:r>
      <w:r w:rsidRPr="004B3372">
        <w:rPr>
          <w:rFonts w:ascii="Arial" w:hAnsi="Arial"/>
          <w:i/>
          <w:sz w:val="20"/>
          <w:lang w:val="en-CA"/>
        </w:rPr>
        <w:t xml:space="preserve"> reflected in Program 15</w:t>
      </w:r>
      <w:r>
        <w:rPr>
          <w:rFonts w:ascii="Arial" w:hAnsi="Arial"/>
          <w:i/>
          <w:sz w:val="20"/>
          <w:lang w:val="en-CA"/>
        </w:rPr>
        <w:t xml:space="preserve"> (Business Solutions for IP Offices)</w:t>
      </w:r>
      <w:r w:rsidRPr="004B3372">
        <w:rPr>
          <w:rFonts w:ascii="Arial" w:hAnsi="Arial"/>
          <w:i/>
          <w:sz w:val="20"/>
          <w:lang w:val="en-CA"/>
        </w:rPr>
        <w:t>.</w:t>
      </w:r>
      <w:r w:rsidRPr="004B3372">
        <w:rPr>
          <w:rFonts w:ascii="Arial" w:hAnsi="Arial" w:cs="Arial"/>
          <w:i/>
          <w:color w:val="000000"/>
          <w:sz w:val="20"/>
          <w:szCs w:val="21"/>
        </w:rPr>
        <w:t xml:space="preserve"> </w:t>
      </w:r>
    </w:p>
    <w:p w14:paraId="2A740F6C" w14:textId="77777777" w:rsidR="00B67D0A" w:rsidRPr="004B3372" w:rsidRDefault="00B67D0A" w:rsidP="00F02301">
      <w:pPr>
        <w:tabs>
          <w:tab w:val="left" w:pos="567"/>
        </w:tabs>
        <w:jc w:val="both"/>
        <w:rPr>
          <w:rFonts w:ascii="Arial" w:hAnsi="Arial" w:cs="Arial"/>
          <w:sz w:val="20"/>
        </w:rPr>
      </w:pPr>
    </w:p>
    <w:p w14:paraId="41805F27" w14:textId="0D450B42"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B30856">
        <w:rPr>
          <w:rFonts w:ascii="Arial" w:hAnsi="Arial" w:cs="Arial"/>
          <w:sz w:val="20"/>
        </w:rPr>
        <w:t xml:space="preserve">Work in the area of copyright and related rights infrastructure, </w:t>
      </w:r>
      <w:r w:rsidRPr="00B30856">
        <w:rPr>
          <w:rFonts w:ascii="Arial" w:eastAsia="Calibri" w:hAnsi="Arial" w:cs="Arial"/>
          <w:sz w:val="20"/>
        </w:rPr>
        <w:t xml:space="preserve">will focus on </w:t>
      </w:r>
      <w:r w:rsidRPr="00B30856">
        <w:rPr>
          <w:rFonts w:ascii="Arial" w:hAnsi="Arial" w:cs="Arial"/>
          <w:sz w:val="20"/>
        </w:rPr>
        <w:t xml:space="preserve">establishing the </w:t>
      </w:r>
      <w:r w:rsidRPr="00B30856">
        <w:rPr>
          <w:rFonts w:ascii="Arial" w:hAnsi="Arial" w:cs="Arial"/>
          <w:i/>
          <w:sz w:val="20"/>
        </w:rPr>
        <w:t xml:space="preserve">TAG of Excellence </w:t>
      </w:r>
      <w:r w:rsidRPr="00B30856">
        <w:rPr>
          <w:rFonts w:ascii="Arial" w:hAnsi="Arial" w:cs="Arial"/>
          <w:sz w:val="20"/>
        </w:rPr>
        <w:t xml:space="preserve">international quality assurance standard for (CMOs) as well as a </w:t>
      </w:r>
      <w:r w:rsidRPr="00B30856">
        <w:rPr>
          <w:rFonts w:ascii="Arial" w:hAnsi="Arial" w:cs="Arial"/>
          <w:i/>
          <w:sz w:val="20"/>
        </w:rPr>
        <w:t>TAG</w:t>
      </w:r>
      <w:r w:rsidRPr="00B30856">
        <w:rPr>
          <w:rFonts w:ascii="Arial" w:hAnsi="Arial" w:cs="Arial"/>
          <w:sz w:val="20"/>
        </w:rPr>
        <w:t xml:space="preserve"> education program on the transparency, accountability and governance of CMOs. To complement the TAG-related activities, a new portal will be designed and developed to deliver many of WIPO’s copyright infrastructure projects via the Internet and in partnership with third parties. </w:t>
      </w:r>
      <w:r w:rsidR="005D60B3">
        <w:rPr>
          <w:rFonts w:ascii="Arial" w:hAnsi="Arial" w:cs="Arial"/>
          <w:sz w:val="20"/>
        </w:rPr>
        <w:t xml:space="preserve"> </w:t>
      </w:r>
      <w:r w:rsidRPr="00B30856">
        <w:rPr>
          <w:rFonts w:ascii="Arial" w:hAnsi="Arial" w:cs="Arial"/>
          <w:sz w:val="20"/>
        </w:rPr>
        <w:t xml:space="preserve">Work will also continue towards making the Accessible Books Consortium (ABC) the premier global entity for facilitating access to books by the print disabled around the world. </w:t>
      </w:r>
    </w:p>
    <w:p w14:paraId="0D3A0B65" w14:textId="77777777" w:rsidR="002F070A" w:rsidRDefault="002F070A" w:rsidP="002F070A">
      <w:pPr>
        <w:pStyle w:val="ListParagraph"/>
        <w:widowControl w:val="0"/>
        <w:tabs>
          <w:tab w:val="left" w:pos="567"/>
        </w:tabs>
        <w:ind w:left="0"/>
        <w:jc w:val="both"/>
        <w:rPr>
          <w:rFonts w:ascii="Arial" w:hAnsi="Arial" w:cs="Arial"/>
          <w:sz w:val="20"/>
        </w:rPr>
      </w:pPr>
    </w:p>
    <w:p w14:paraId="74CF287E" w14:textId="77777777" w:rsidR="00B67D0A" w:rsidRPr="00B30856" w:rsidRDefault="00B67D0A" w:rsidP="00B66A4A">
      <w:pPr>
        <w:pStyle w:val="ListParagraph"/>
        <w:numPr>
          <w:ilvl w:val="0"/>
          <w:numId w:val="34"/>
        </w:numPr>
        <w:tabs>
          <w:tab w:val="right" w:pos="1134"/>
        </w:tabs>
        <w:ind w:left="1134" w:hanging="567"/>
        <w:jc w:val="both"/>
        <w:rPr>
          <w:rFonts w:ascii="Arial" w:hAnsi="Arial" w:cs="Arial"/>
          <w:i/>
          <w:sz w:val="20"/>
        </w:rPr>
      </w:pPr>
      <w:r w:rsidRPr="00B30856">
        <w:rPr>
          <w:rFonts w:ascii="Arial" w:hAnsi="Arial" w:cs="Arial"/>
          <w:i/>
          <w:sz w:val="20"/>
        </w:rPr>
        <w:t xml:space="preserve">The associated </w:t>
      </w:r>
      <w:r>
        <w:rPr>
          <w:rFonts w:ascii="Arial" w:hAnsi="Arial" w:cs="Arial"/>
          <w:i/>
          <w:sz w:val="20"/>
        </w:rPr>
        <w:t xml:space="preserve">total </w:t>
      </w:r>
      <w:r w:rsidRPr="00B30856">
        <w:rPr>
          <w:rFonts w:ascii="Arial" w:hAnsi="Arial" w:cs="Arial"/>
          <w:i/>
          <w:sz w:val="20"/>
        </w:rPr>
        <w:t>resources are reflected in Program 3</w:t>
      </w:r>
      <w:r>
        <w:rPr>
          <w:rFonts w:ascii="Arial" w:hAnsi="Arial" w:cs="Arial"/>
          <w:i/>
          <w:sz w:val="20"/>
        </w:rPr>
        <w:t xml:space="preserve"> (Copyright and Related Rights)</w:t>
      </w:r>
      <w:r w:rsidRPr="00B30856">
        <w:rPr>
          <w:rFonts w:ascii="Arial" w:hAnsi="Arial" w:cs="Arial"/>
          <w:i/>
          <w:sz w:val="20"/>
        </w:rPr>
        <w:t>.</w:t>
      </w:r>
    </w:p>
    <w:p w14:paraId="4A5154FF" w14:textId="77777777" w:rsidR="00B67D0A" w:rsidRPr="00DF1376" w:rsidRDefault="00B67D0A" w:rsidP="00F02301">
      <w:pPr>
        <w:autoSpaceDE w:val="0"/>
        <w:autoSpaceDN w:val="0"/>
        <w:adjustRightInd w:val="0"/>
        <w:jc w:val="both"/>
        <w:rPr>
          <w:rFonts w:ascii="Arial" w:hAnsi="Arial" w:cs="Arial"/>
          <w:sz w:val="20"/>
        </w:rPr>
      </w:pPr>
    </w:p>
    <w:p w14:paraId="2D3691C8" w14:textId="3ACB6EBF" w:rsidR="00B67D0A"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1"/>
        </w:rPr>
      </w:pPr>
      <w:r w:rsidRPr="002F070A">
        <w:rPr>
          <w:rFonts w:ascii="Arial" w:hAnsi="Arial"/>
          <w:sz w:val="20"/>
        </w:rPr>
        <w:t>Improved</w:t>
      </w:r>
      <w:r w:rsidRPr="006B66A9">
        <w:rPr>
          <w:rFonts w:ascii="Arial" w:hAnsi="Arial" w:cs="Arial"/>
          <w:color w:val="000000"/>
          <w:sz w:val="20"/>
          <w:szCs w:val="21"/>
        </w:rPr>
        <w:t xml:space="preserve"> delivery and coherence of WIPO’s technical cooperation </w:t>
      </w:r>
      <w:r w:rsidRPr="006B66A9">
        <w:rPr>
          <w:rFonts w:ascii="Arial" w:hAnsi="Arial"/>
          <w:sz w:val="20"/>
        </w:rPr>
        <w:t>in developing countries, least developed countries (LDCs) and countries with economies in transition</w:t>
      </w:r>
      <w:r w:rsidRPr="006B66A9">
        <w:rPr>
          <w:rFonts w:ascii="Arial" w:hAnsi="Arial" w:cs="Arial"/>
          <w:color w:val="000000"/>
          <w:sz w:val="20"/>
          <w:szCs w:val="21"/>
        </w:rPr>
        <w:t xml:space="preserve"> will receive particular attention in 2016/17</w:t>
      </w:r>
      <w:r w:rsidR="000C4B20">
        <w:rPr>
          <w:rFonts w:ascii="Arial" w:hAnsi="Arial" w:cs="Arial"/>
          <w:color w:val="000000"/>
          <w:sz w:val="20"/>
          <w:szCs w:val="21"/>
        </w:rPr>
        <w:t>,</w:t>
      </w:r>
      <w:r w:rsidRPr="006B66A9">
        <w:rPr>
          <w:rFonts w:ascii="Arial" w:hAnsi="Arial" w:cs="Arial"/>
          <w:color w:val="000000"/>
          <w:sz w:val="20"/>
          <w:szCs w:val="21"/>
        </w:rPr>
        <w:t xml:space="preserve"> building on progress made in developing national IP strategies in 2014/15.  To this end, </w:t>
      </w:r>
      <w:r w:rsidRPr="006B66A9">
        <w:rPr>
          <w:rFonts w:ascii="Arial" w:hAnsi="Arial" w:cs="Arial"/>
          <w:color w:val="000000"/>
          <w:sz w:val="20"/>
          <w:szCs w:val="21"/>
        </w:rPr>
        <w:lastRenderedPageBreak/>
        <w:t>country plans, developed and maintained by the Regional Bureaus on the basis of the needs and realities of the recipient countries, and containing all projects and activities that will take place in each country, will be institutionalized. Technical cooperation will also increasingly be delivered through project-based approaches, leveraging the experience gained in recent years through the implementation of DA and other special development projects.</w:t>
      </w:r>
      <w:r w:rsidRPr="00D2204A">
        <w:rPr>
          <w:rFonts w:ascii="Arial" w:hAnsi="Arial" w:cs="Arial"/>
          <w:color w:val="000000"/>
          <w:sz w:val="20"/>
          <w:szCs w:val="21"/>
        </w:rPr>
        <w:t xml:space="preserve"> A coherent planning and reporting of South-South activities at the Organizational level and interface with all internal and external stakeholders</w:t>
      </w:r>
      <w:r>
        <w:rPr>
          <w:rFonts w:ascii="Arial" w:hAnsi="Arial" w:cs="Arial"/>
          <w:color w:val="000000"/>
          <w:sz w:val="20"/>
          <w:szCs w:val="21"/>
        </w:rPr>
        <w:t xml:space="preserve"> will also be ensured. </w:t>
      </w:r>
    </w:p>
    <w:p w14:paraId="0F0FE06A" w14:textId="77777777" w:rsidR="002F070A" w:rsidRPr="00D2204A" w:rsidRDefault="002F070A" w:rsidP="002F070A">
      <w:pPr>
        <w:pStyle w:val="ListParagraph"/>
        <w:widowControl w:val="0"/>
        <w:tabs>
          <w:tab w:val="left" w:pos="567"/>
        </w:tabs>
        <w:ind w:left="0"/>
        <w:jc w:val="both"/>
        <w:rPr>
          <w:rFonts w:ascii="Arial" w:hAnsi="Arial" w:cs="Arial"/>
          <w:color w:val="000000"/>
          <w:sz w:val="20"/>
          <w:szCs w:val="21"/>
        </w:rPr>
      </w:pPr>
    </w:p>
    <w:p w14:paraId="218362A6" w14:textId="77777777" w:rsidR="00B67D0A" w:rsidRPr="00D2204A" w:rsidRDefault="00B67D0A" w:rsidP="00B66A4A">
      <w:pPr>
        <w:pStyle w:val="ListParagraph"/>
        <w:numPr>
          <w:ilvl w:val="0"/>
          <w:numId w:val="34"/>
        </w:numPr>
        <w:tabs>
          <w:tab w:val="right" w:pos="1134"/>
        </w:tabs>
        <w:ind w:left="1134" w:hanging="567"/>
        <w:jc w:val="both"/>
        <w:rPr>
          <w:rFonts w:ascii="Arial" w:hAnsi="Arial" w:cs="Arial"/>
          <w:i/>
          <w:sz w:val="20"/>
        </w:rPr>
      </w:pPr>
      <w:r w:rsidRPr="00D2204A">
        <w:rPr>
          <w:rFonts w:ascii="Arial" w:hAnsi="Arial" w:cs="Arial"/>
          <w:i/>
          <w:sz w:val="20"/>
        </w:rPr>
        <w:t xml:space="preserve">The associated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Programs 9 (Africa, Arab, Asia and the Pacific, Latin America and the Caribbean Countries, Least Developed Countries) and 10 (Tran</w:t>
      </w:r>
      <w:r>
        <w:rPr>
          <w:rFonts w:ascii="Arial" w:hAnsi="Arial"/>
          <w:i/>
          <w:sz w:val="20"/>
        </w:rPr>
        <w:t>sition and Developed Countries)</w:t>
      </w:r>
      <w:r w:rsidRPr="00D2204A">
        <w:rPr>
          <w:rFonts w:ascii="Arial" w:hAnsi="Arial"/>
          <w:i/>
          <w:sz w:val="20"/>
        </w:rPr>
        <w:t xml:space="preserve">. </w:t>
      </w:r>
    </w:p>
    <w:p w14:paraId="486C4E99" w14:textId="77777777" w:rsidR="00B67D0A" w:rsidRPr="00DB00E8" w:rsidRDefault="00B67D0A" w:rsidP="00F02301">
      <w:pPr>
        <w:tabs>
          <w:tab w:val="left" w:pos="567"/>
        </w:tabs>
        <w:jc w:val="both"/>
        <w:rPr>
          <w:rFonts w:ascii="Arial" w:hAnsi="Arial" w:cs="Arial"/>
          <w:color w:val="000000"/>
          <w:sz w:val="20"/>
          <w:szCs w:val="21"/>
          <w:highlight w:val="yellow"/>
        </w:rPr>
      </w:pPr>
    </w:p>
    <w:p w14:paraId="7E102AAE" w14:textId="2DB81F10" w:rsidR="00B67D0A" w:rsidRPr="002F070A"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1"/>
        </w:rPr>
      </w:pPr>
      <w:r w:rsidRPr="00726E37">
        <w:rPr>
          <w:rFonts w:ascii="Arial" w:hAnsi="Arial"/>
          <w:sz w:val="20"/>
        </w:rPr>
        <w:t xml:space="preserve">The special focus on LDCs will be reinforced in order to respond to increasing individual and common needs. </w:t>
      </w:r>
      <w:r w:rsidR="003866D2">
        <w:rPr>
          <w:rFonts w:ascii="Arial" w:hAnsi="Arial"/>
          <w:sz w:val="20"/>
        </w:rPr>
        <w:t>S</w:t>
      </w:r>
      <w:r w:rsidR="003866D2" w:rsidRPr="00726E37">
        <w:rPr>
          <w:rFonts w:ascii="Arial" w:hAnsi="Arial"/>
          <w:sz w:val="20"/>
        </w:rPr>
        <w:t xml:space="preserve">pecial </w:t>
      </w:r>
      <w:r w:rsidRPr="00726E37">
        <w:rPr>
          <w:rFonts w:ascii="Arial" w:hAnsi="Arial"/>
          <w:sz w:val="20"/>
        </w:rPr>
        <w:t xml:space="preserve">emphasis will be given to develop their national and technological IP capacity to assist in their main goals such </w:t>
      </w:r>
      <w:r w:rsidR="00D337E0">
        <w:rPr>
          <w:rFonts w:ascii="Arial" w:hAnsi="Arial"/>
          <w:sz w:val="20"/>
        </w:rPr>
        <w:t xml:space="preserve">as </w:t>
      </w:r>
      <w:r w:rsidRPr="00726E37">
        <w:rPr>
          <w:rFonts w:ascii="Arial" w:hAnsi="Arial"/>
          <w:sz w:val="20"/>
        </w:rPr>
        <w:t xml:space="preserve">poverty alleviation and economic growth and other development policies. The DA project on </w:t>
      </w:r>
      <w:r w:rsidR="000C4B20">
        <w:rPr>
          <w:rFonts w:ascii="Arial" w:hAnsi="Arial"/>
          <w:sz w:val="20"/>
        </w:rPr>
        <w:t>C</w:t>
      </w:r>
      <w:r w:rsidR="000C4B20" w:rsidRPr="00726E37">
        <w:rPr>
          <w:rFonts w:ascii="Arial" w:hAnsi="Arial"/>
          <w:sz w:val="20"/>
        </w:rPr>
        <w:t>apacity</w:t>
      </w:r>
      <w:r w:rsidRPr="00726E37">
        <w:rPr>
          <w:rFonts w:ascii="Arial" w:hAnsi="Arial"/>
          <w:sz w:val="20"/>
        </w:rPr>
        <w:t xml:space="preserve">-building in the </w:t>
      </w:r>
      <w:r w:rsidR="000C4B20">
        <w:rPr>
          <w:rFonts w:ascii="Arial" w:hAnsi="Arial"/>
          <w:sz w:val="20"/>
        </w:rPr>
        <w:t>U</w:t>
      </w:r>
      <w:r w:rsidR="000C4B20" w:rsidRPr="00726E37">
        <w:rPr>
          <w:rFonts w:ascii="Arial" w:hAnsi="Arial"/>
          <w:sz w:val="20"/>
        </w:rPr>
        <w:t xml:space="preserve">se </w:t>
      </w:r>
      <w:r w:rsidRPr="00726E37">
        <w:rPr>
          <w:rFonts w:ascii="Arial" w:hAnsi="Arial"/>
          <w:sz w:val="20"/>
        </w:rPr>
        <w:t xml:space="preserve">of </w:t>
      </w:r>
      <w:r w:rsidR="000C4B20">
        <w:rPr>
          <w:rFonts w:ascii="Arial" w:hAnsi="Arial"/>
          <w:sz w:val="20"/>
        </w:rPr>
        <w:t>A</w:t>
      </w:r>
      <w:r w:rsidR="000C4B20" w:rsidRPr="00726E37">
        <w:rPr>
          <w:rFonts w:ascii="Arial" w:hAnsi="Arial"/>
          <w:sz w:val="20"/>
        </w:rPr>
        <w:t xml:space="preserve">ppropriate </w:t>
      </w:r>
      <w:r w:rsidR="000C4B20">
        <w:rPr>
          <w:rFonts w:ascii="Arial" w:hAnsi="Arial"/>
          <w:sz w:val="20"/>
        </w:rPr>
        <w:t>T</w:t>
      </w:r>
      <w:r w:rsidR="000C4B20" w:rsidRPr="00726E37">
        <w:rPr>
          <w:rFonts w:ascii="Arial" w:hAnsi="Arial"/>
          <w:sz w:val="20"/>
        </w:rPr>
        <w:t>echnology</w:t>
      </w:r>
      <w:r w:rsidRPr="00726E37">
        <w:rPr>
          <w:rFonts w:ascii="Arial" w:hAnsi="Arial"/>
          <w:sz w:val="20"/>
        </w:rPr>
        <w:t xml:space="preserve">-specific </w:t>
      </w:r>
      <w:r w:rsidR="000C4B20">
        <w:rPr>
          <w:rFonts w:ascii="Arial" w:hAnsi="Arial"/>
          <w:sz w:val="20"/>
        </w:rPr>
        <w:t>T</w:t>
      </w:r>
      <w:r w:rsidR="000C4B20" w:rsidRPr="00726E37">
        <w:rPr>
          <w:rFonts w:ascii="Arial" w:hAnsi="Arial"/>
          <w:sz w:val="20"/>
        </w:rPr>
        <w:t xml:space="preserve">echnical </w:t>
      </w:r>
      <w:r w:rsidRPr="00726E37">
        <w:rPr>
          <w:rFonts w:ascii="Arial" w:hAnsi="Arial"/>
          <w:sz w:val="20"/>
        </w:rPr>
        <w:t xml:space="preserve">and </w:t>
      </w:r>
      <w:r w:rsidR="000C4B20">
        <w:rPr>
          <w:rFonts w:ascii="Arial" w:hAnsi="Arial"/>
          <w:sz w:val="20"/>
        </w:rPr>
        <w:t>S</w:t>
      </w:r>
      <w:r w:rsidR="000C4B20" w:rsidRPr="00726E37">
        <w:rPr>
          <w:rFonts w:ascii="Arial" w:hAnsi="Arial"/>
          <w:sz w:val="20"/>
        </w:rPr>
        <w:t xml:space="preserve">cientific </w:t>
      </w:r>
      <w:r w:rsidR="000C4B20">
        <w:rPr>
          <w:rFonts w:ascii="Arial" w:hAnsi="Arial"/>
          <w:sz w:val="20"/>
        </w:rPr>
        <w:t>I</w:t>
      </w:r>
      <w:r w:rsidR="000C4B20" w:rsidRPr="00726E37">
        <w:rPr>
          <w:rFonts w:ascii="Arial" w:hAnsi="Arial"/>
          <w:sz w:val="20"/>
        </w:rPr>
        <w:t xml:space="preserve">nformation </w:t>
      </w:r>
      <w:r w:rsidRPr="00726E37">
        <w:rPr>
          <w:rFonts w:ascii="Arial" w:hAnsi="Arial"/>
          <w:sz w:val="20"/>
        </w:rPr>
        <w:t xml:space="preserve">as a solution for identified development challenges is the main vehicle of support in this area. Furthermore, WIPO will, in particular, continue supporting activities within the priority areas identified in the WIPO Deliverables, adopted on the occasion of the Fourth United Nations Conference on the LDCs (LDC IV) and designed to contribute towards the implementation of the Istanbul </w:t>
      </w:r>
      <w:proofErr w:type="spellStart"/>
      <w:r w:rsidRPr="00726E37">
        <w:rPr>
          <w:rFonts w:ascii="Arial" w:hAnsi="Arial"/>
          <w:sz w:val="20"/>
        </w:rPr>
        <w:t>Programme</w:t>
      </w:r>
      <w:proofErr w:type="spellEnd"/>
      <w:r w:rsidRPr="00726E37">
        <w:rPr>
          <w:rFonts w:ascii="Arial" w:hAnsi="Arial"/>
          <w:sz w:val="20"/>
        </w:rPr>
        <w:t xml:space="preserve"> of Action (</w:t>
      </w:r>
      <w:proofErr w:type="spellStart"/>
      <w:r w:rsidRPr="00726E37">
        <w:rPr>
          <w:rFonts w:ascii="Arial" w:hAnsi="Arial"/>
          <w:sz w:val="20"/>
        </w:rPr>
        <w:t>IPoA</w:t>
      </w:r>
      <w:proofErr w:type="spellEnd"/>
      <w:r w:rsidRPr="00726E37">
        <w:rPr>
          <w:rFonts w:ascii="Arial" w:hAnsi="Arial"/>
          <w:sz w:val="20"/>
        </w:rPr>
        <w:t xml:space="preserve">). </w:t>
      </w:r>
    </w:p>
    <w:p w14:paraId="62AFD875" w14:textId="77777777" w:rsidR="002F070A" w:rsidRPr="00D2204A" w:rsidRDefault="002F070A" w:rsidP="002F070A">
      <w:pPr>
        <w:pStyle w:val="ListParagraph"/>
        <w:widowControl w:val="0"/>
        <w:tabs>
          <w:tab w:val="left" w:pos="567"/>
        </w:tabs>
        <w:ind w:left="0"/>
        <w:jc w:val="both"/>
        <w:rPr>
          <w:rFonts w:ascii="Arial" w:hAnsi="Arial" w:cs="Arial"/>
          <w:color w:val="000000"/>
          <w:sz w:val="20"/>
          <w:szCs w:val="21"/>
        </w:rPr>
      </w:pPr>
    </w:p>
    <w:p w14:paraId="4D425304" w14:textId="77777777" w:rsidR="00B67D0A" w:rsidRDefault="00B67D0A" w:rsidP="00B66A4A">
      <w:pPr>
        <w:pStyle w:val="ListParagraph"/>
        <w:numPr>
          <w:ilvl w:val="0"/>
          <w:numId w:val="34"/>
        </w:numPr>
        <w:tabs>
          <w:tab w:val="right" w:pos="1134"/>
        </w:tabs>
        <w:ind w:left="1134" w:hanging="567"/>
        <w:jc w:val="both"/>
        <w:rPr>
          <w:rFonts w:ascii="Arial" w:hAnsi="Arial" w:cs="Arial"/>
          <w:color w:val="000000"/>
          <w:sz w:val="20"/>
          <w:szCs w:val="21"/>
        </w:rPr>
      </w:pPr>
      <w:r w:rsidRPr="00D2204A">
        <w:rPr>
          <w:rFonts w:ascii="Arial" w:hAnsi="Arial" w:cs="Arial"/>
          <w:i/>
          <w:sz w:val="20"/>
        </w:rPr>
        <w:t xml:space="preserve">The </w:t>
      </w:r>
      <w:r w:rsidRPr="002F070A">
        <w:rPr>
          <w:rFonts w:ascii="Arial" w:hAnsi="Arial"/>
          <w:i/>
          <w:sz w:val="20"/>
        </w:rPr>
        <w:t>associated</w:t>
      </w:r>
      <w:r w:rsidRPr="00D2204A">
        <w:rPr>
          <w:rFonts w:ascii="Arial" w:hAnsi="Arial" w:cs="Arial"/>
          <w:i/>
          <w:sz w:val="20"/>
        </w:rPr>
        <w:t xml:space="preserve">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Programs 9 (Africa, Arab, Asia and the Pacific, Latin America and the Caribbean Countries, Least Developed Countries)</w:t>
      </w:r>
      <w:r>
        <w:rPr>
          <w:rFonts w:ascii="Arial" w:hAnsi="Arial"/>
          <w:i/>
          <w:sz w:val="20"/>
        </w:rPr>
        <w:t>.</w:t>
      </w:r>
    </w:p>
    <w:p w14:paraId="04779966" w14:textId="77777777" w:rsidR="00B67D0A" w:rsidRDefault="00B67D0A" w:rsidP="00F02301">
      <w:pPr>
        <w:pStyle w:val="ListParagraph"/>
        <w:tabs>
          <w:tab w:val="left" w:pos="567"/>
          <w:tab w:val="left" w:pos="709"/>
        </w:tabs>
        <w:ind w:left="0"/>
        <w:jc w:val="both"/>
        <w:rPr>
          <w:rFonts w:ascii="Arial" w:hAnsi="Arial"/>
          <w:sz w:val="20"/>
        </w:rPr>
      </w:pPr>
    </w:p>
    <w:p w14:paraId="7B448277" w14:textId="797131F0" w:rsidR="00B67D0A" w:rsidRPr="002F07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6221AA">
        <w:rPr>
          <w:rFonts w:ascii="Arial" w:hAnsi="Arial"/>
          <w:sz w:val="20"/>
        </w:rPr>
        <w:t xml:space="preserve">In order to </w:t>
      </w:r>
      <w:r w:rsidRPr="006221AA">
        <w:rPr>
          <w:rFonts w:ascii="Arial" w:hAnsi="Arial" w:cs="Arial"/>
          <w:sz w:val="20"/>
        </w:rPr>
        <w:t xml:space="preserve">achieve a more integrated planning and delivery of WIPO training and capacity building activities, </w:t>
      </w:r>
      <w:r w:rsidR="00B07684">
        <w:rPr>
          <w:rFonts w:ascii="Arial" w:hAnsi="Arial" w:cs="Arial"/>
          <w:sz w:val="20"/>
        </w:rPr>
        <w:t xml:space="preserve">and to </w:t>
      </w:r>
      <w:r w:rsidRPr="006221AA">
        <w:rPr>
          <w:rFonts w:ascii="Arial" w:hAnsi="Arial" w:cs="Arial"/>
          <w:sz w:val="20"/>
        </w:rPr>
        <w:t xml:space="preserve">enhance quality and </w:t>
      </w:r>
      <w:r w:rsidRPr="006221AA">
        <w:rPr>
          <w:rFonts w:ascii="Arial" w:hAnsi="Arial"/>
          <w:sz w:val="20"/>
        </w:rPr>
        <w:t>cost-effectiveness</w:t>
      </w:r>
      <w:r w:rsidRPr="006221AA">
        <w:rPr>
          <w:rFonts w:ascii="Arial" w:hAnsi="Arial" w:cs="Arial"/>
          <w:sz w:val="20"/>
        </w:rPr>
        <w:t xml:space="preserve">, the WIPO Academy </w:t>
      </w:r>
      <w:r w:rsidRPr="006221AA">
        <w:rPr>
          <w:rFonts w:ascii="Arial" w:hAnsi="Arial" w:cs="Arial"/>
          <w:sz w:val="20"/>
          <w:szCs w:val="20"/>
        </w:rPr>
        <w:t>embarked, in 2014/15, on a gradual and consistent reform process to reposition the Academy as the organization-wide vehicle for professional training and capacity-building.  This process will continue in 2016/17.</w:t>
      </w:r>
    </w:p>
    <w:p w14:paraId="1F42E857" w14:textId="77777777" w:rsidR="002F070A" w:rsidRPr="00D2204A" w:rsidRDefault="002F070A" w:rsidP="002F070A">
      <w:pPr>
        <w:pStyle w:val="ListParagraph"/>
        <w:widowControl w:val="0"/>
        <w:tabs>
          <w:tab w:val="left" w:pos="567"/>
        </w:tabs>
        <w:ind w:left="0"/>
        <w:jc w:val="both"/>
        <w:rPr>
          <w:rFonts w:ascii="Arial" w:hAnsi="Arial" w:cs="Arial"/>
          <w:sz w:val="20"/>
        </w:rPr>
      </w:pPr>
    </w:p>
    <w:p w14:paraId="0E4E1A13" w14:textId="77777777" w:rsidR="00B67D0A" w:rsidRPr="00EB438B" w:rsidRDefault="00B67D0A" w:rsidP="00B66A4A">
      <w:pPr>
        <w:pStyle w:val="ListParagraph"/>
        <w:numPr>
          <w:ilvl w:val="0"/>
          <w:numId w:val="34"/>
        </w:numPr>
        <w:tabs>
          <w:tab w:val="right" w:pos="1134"/>
        </w:tabs>
        <w:ind w:left="1134" w:hanging="567"/>
        <w:jc w:val="both"/>
        <w:rPr>
          <w:rFonts w:ascii="Arial" w:hAnsi="Arial" w:cs="Arial"/>
          <w:sz w:val="20"/>
        </w:rPr>
      </w:pPr>
      <w:r w:rsidRPr="00D2204A">
        <w:rPr>
          <w:rFonts w:ascii="Arial" w:hAnsi="Arial" w:cs="Arial"/>
          <w:i/>
          <w:sz w:val="20"/>
        </w:rPr>
        <w:t xml:space="preserve">The associated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 xml:space="preserve">Program </w:t>
      </w:r>
      <w:r>
        <w:rPr>
          <w:rFonts w:ascii="Arial" w:hAnsi="Arial"/>
          <w:i/>
          <w:sz w:val="20"/>
        </w:rPr>
        <w:t>11</w:t>
      </w:r>
      <w:r w:rsidRPr="00D2204A">
        <w:rPr>
          <w:rFonts w:ascii="Arial" w:hAnsi="Arial"/>
          <w:i/>
          <w:sz w:val="20"/>
        </w:rPr>
        <w:t xml:space="preserve"> (</w:t>
      </w:r>
      <w:r>
        <w:rPr>
          <w:rFonts w:ascii="Arial" w:hAnsi="Arial"/>
          <w:i/>
          <w:sz w:val="20"/>
        </w:rPr>
        <w:t>The WIPO Academy).</w:t>
      </w:r>
    </w:p>
    <w:p w14:paraId="654B14B4" w14:textId="77777777" w:rsidR="00B67D0A" w:rsidRDefault="00B67D0A" w:rsidP="00F02301">
      <w:pPr>
        <w:pStyle w:val="ListParagraph"/>
        <w:tabs>
          <w:tab w:val="left" w:pos="567"/>
          <w:tab w:val="left" w:pos="709"/>
        </w:tabs>
        <w:ind w:left="0"/>
        <w:jc w:val="both"/>
        <w:rPr>
          <w:rFonts w:ascii="Arial" w:hAnsi="Arial" w:cs="Arial"/>
          <w:sz w:val="20"/>
          <w:szCs w:val="20"/>
        </w:rPr>
      </w:pPr>
    </w:p>
    <w:p w14:paraId="3542CE67" w14:textId="1AE3F55E" w:rsidR="00F968FD" w:rsidRDefault="00F968FD" w:rsidP="00B66A4A">
      <w:pPr>
        <w:pStyle w:val="ListParagraph"/>
        <w:widowControl w:val="0"/>
        <w:numPr>
          <w:ilvl w:val="0"/>
          <w:numId w:val="33"/>
        </w:numPr>
        <w:tabs>
          <w:tab w:val="left" w:pos="567"/>
        </w:tabs>
        <w:ind w:left="0" w:firstLine="0"/>
        <w:jc w:val="both"/>
        <w:rPr>
          <w:rFonts w:ascii="Arial" w:hAnsi="Arial" w:cs="Arial"/>
          <w:sz w:val="20"/>
        </w:rPr>
      </w:pPr>
      <w:r w:rsidRPr="00785BEE">
        <w:rPr>
          <w:rFonts w:ascii="Arial" w:hAnsi="Arial" w:cs="Arial"/>
          <w:sz w:val="20"/>
        </w:rPr>
        <w:t>Building upon initiatives</w:t>
      </w:r>
      <w:r>
        <w:rPr>
          <w:rFonts w:ascii="Arial" w:hAnsi="Arial" w:cs="Arial"/>
          <w:sz w:val="20"/>
        </w:rPr>
        <w:t xml:space="preserve"> launched in 2014/15 to </w:t>
      </w:r>
      <w:r w:rsidR="00DA0D82">
        <w:rPr>
          <w:rFonts w:ascii="Arial" w:hAnsi="Arial" w:cs="Arial"/>
          <w:sz w:val="20"/>
        </w:rPr>
        <w:t xml:space="preserve">enhance the </w:t>
      </w:r>
      <w:r w:rsidR="00A84144">
        <w:rPr>
          <w:rFonts w:ascii="Arial" w:hAnsi="Arial" w:cs="Arial"/>
          <w:sz w:val="20"/>
        </w:rPr>
        <w:t>added value</w:t>
      </w:r>
      <w:r w:rsidR="00DA0D82">
        <w:rPr>
          <w:rFonts w:ascii="Arial" w:hAnsi="Arial" w:cs="Arial"/>
          <w:sz w:val="20"/>
        </w:rPr>
        <w:t xml:space="preserve"> and </w:t>
      </w:r>
      <w:r w:rsidRPr="00785BEE">
        <w:rPr>
          <w:rFonts w:ascii="Arial" w:hAnsi="Arial" w:cs="Arial"/>
          <w:sz w:val="20"/>
        </w:rPr>
        <w:t xml:space="preserve">further improve the productivity and efficiency of the External Offices, efforts </w:t>
      </w:r>
      <w:r>
        <w:rPr>
          <w:rFonts w:ascii="Arial" w:hAnsi="Arial" w:cs="Arial"/>
          <w:sz w:val="20"/>
        </w:rPr>
        <w:t xml:space="preserve">will continue in 2016/17 </w:t>
      </w:r>
      <w:r w:rsidRPr="00785BEE">
        <w:rPr>
          <w:rFonts w:ascii="Arial" w:hAnsi="Arial" w:cs="Arial"/>
          <w:sz w:val="20"/>
        </w:rPr>
        <w:t xml:space="preserve">to </w:t>
      </w:r>
      <w:r>
        <w:rPr>
          <w:rFonts w:ascii="Arial" w:hAnsi="Arial" w:cs="Arial"/>
          <w:sz w:val="20"/>
        </w:rPr>
        <w:t>enhance</w:t>
      </w:r>
      <w:r w:rsidRPr="00785BEE">
        <w:rPr>
          <w:rFonts w:ascii="Arial" w:hAnsi="Arial" w:cs="Arial"/>
          <w:sz w:val="20"/>
        </w:rPr>
        <w:t xml:space="preserve"> the seamless integration of </w:t>
      </w:r>
      <w:r>
        <w:rPr>
          <w:rFonts w:ascii="Arial" w:hAnsi="Arial" w:cs="Arial"/>
          <w:sz w:val="20"/>
        </w:rPr>
        <w:t xml:space="preserve">existing </w:t>
      </w:r>
      <w:r w:rsidRPr="00785BEE">
        <w:rPr>
          <w:rFonts w:ascii="Arial" w:hAnsi="Arial" w:cs="Arial"/>
          <w:sz w:val="20"/>
        </w:rPr>
        <w:t xml:space="preserve">External Offices into all </w:t>
      </w:r>
      <w:r w:rsidR="002239E1">
        <w:rPr>
          <w:rFonts w:ascii="Arial" w:hAnsi="Arial" w:cs="Arial"/>
          <w:sz w:val="20"/>
        </w:rPr>
        <w:t xml:space="preserve">relevant </w:t>
      </w:r>
      <w:r w:rsidRPr="00785BEE">
        <w:rPr>
          <w:rFonts w:ascii="Arial" w:hAnsi="Arial" w:cs="Arial"/>
          <w:sz w:val="20"/>
        </w:rPr>
        <w:t>aspects of the functioning of the Organization.</w:t>
      </w:r>
      <w:r w:rsidR="00DA0D82">
        <w:rPr>
          <w:rFonts w:ascii="Arial" w:hAnsi="Arial" w:cs="Arial"/>
          <w:sz w:val="20"/>
        </w:rPr>
        <w:t xml:space="preserve"> This will be supported by the roll-out of a standard Global Office system and architecture. </w:t>
      </w:r>
      <w:r w:rsidRPr="00785BEE">
        <w:rPr>
          <w:rFonts w:ascii="Arial" w:hAnsi="Arial" w:cs="Arial"/>
          <w:sz w:val="20"/>
        </w:rPr>
        <w:t>This will be critical to ensuring that WIPO continues to evolve as a truly global Organization that is responsive to its Member States and stakeholders and is able to reali</w:t>
      </w:r>
      <w:r>
        <w:rPr>
          <w:rFonts w:ascii="Arial" w:hAnsi="Arial" w:cs="Arial"/>
          <w:sz w:val="20"/>
        </w:rPr>
        <w:t>z</w:t>
      </w:r>
      <w:r w:rsidRPr="00785BEE">
        <w:rPr>
          <w:rFonts w:ascii="Arial" w:hAnsi="Arial" w:cs="Arial"/>
          <w:sz w:val="20"/>
        </w:rPr>
        <w:t xml:space="preserve">e its ambitious goals of delivering its services more efficiently through closer co-operation.  </w:t>
      </w:r>
    </w:p>
    <w:p w14:paraId="42BF0580" w14:textId="77777777" w:rsidR="00F968FD" w:rsidRPr="00E10842" w:rsidRDefault="00F968FD" w:rsidP="002F070A">
      <w:pPr>
        <w:pStyle w:val="ListParagraph"/>
        <w:widowControl w:val="0"/>
        <w:tabs>
          <w:tab w:val="left" w:pos="567"/>
        </w:tabs>
        <w:ind w:left="0"/>
        <w:jc w:val="both"/>
        <w:rPr>
          <w:rFonts w:ascii="Arial" w:hAnsi="Arial" w:cs="Arial"/>
          <w:sz w:val="20"/>
        </w:rPr>
      </w:pPr>
    </w:p>
    <w:p w14:paraId="48DA2774" w14:textId="5F270F15" w:rsidR="00B67D0A" w:rsidRPr="00F968FD" w:rsidRDefault="00F968FD" w:rsidP="00B66A4A">
      <w:pPr>
        <w:pStyle w:val="ListParagraph"/>
        <w:numPr>
          <w:ilvl w:val="0"/>
          <w:numId w:val="34"/>
        </w:numPr>
        <w:tabs>
          <w:tab w:val="right" w:pos="1134"/>
        </w:tabs>
        <w:ind w:left="1134" w:hanging="567"/>
        <w:jc w:val="both"/>
        <w:rPr>
          <w:rFonts w:ascii="Arial" w:hAnsi="Arial" w:cs="Arial"/>
          <w:i/>
          <w:sz w:val="20"/>
        </w:rPr>
      </w:pPr>
      <w:r w:rsidRPr="00F968FD">
        <w:rPr>
          <w:rFonts w:ascii="Arial" w:hAnsi="Arial"/>
          <w:i/>
          <w:sz w:val="20"/>
        </w:rPr>
        <w:t>The associated total resources are reflected in Program 20 (External Relations, Partnerships and External Offices</w:t>
      </w:r>
      <w:r w:rsidRPr="00632222">
        <w:rPr>
          <w:rFonts w:ascii="Arial" w:hAnsi="Arial"/>
          <w:i/>
          <w:sz w:val="20"/>
        </w:rPr>
        <w:t xml:space="preserve">). </w:t>
      </w:r>
      <w:r w:rsidR="00B67D0A" w:rsidRPr="00F968FD">
        <w:rPr>
          <w:rFonts w:ascii="Arial" w:hAnsi="Arial" w:cs="Arial"/>
          <w:i/>
          <w:sz w:val="20"/>
        </w:rPr>
        <w:t>Should Member States agree on the opening of new External Offices in 2016/17, these could be funded from the provision of 1 million Swiss francs under non-personnel resources in “Unallocated”</w:t>
      </w:r>
      <w:r w:rsidR="00994F76">
        <w:rPr>
          <w:rFonts w:ascii="Arial" w:hAnsi="Arial" w:cs="Arial"/>
          <w:i/>
          <w:sz w:val="20"/>
        </w:rPr>
        <w:t>.</w:t>
      </w:r>
      <w:r w:rsidR="00D537BC">
        <w:rPr>
          <w:rFonts w:ascii="Arial" w:hAnsi="Arial" w:cs="Arial"/>
          <w:i/>
          <w:sz w:val="20"/>
        </w:rPr>
        <w:t xml:space="preserve"> </w:t>
      </w:r>
    </w:p>
    <w:p w14:paraId="742857EB" w14:textId="77777777" w:rsidR="00B67D0A" w:rsidRPr="00EB438B" w:rsidRDefault="00B67D0A" w:rsidP="00F02301">
      <w:pPr>
        <w:pStyle w:val="ListParagraph"/>
        <w:tabs>
          <w:tab w:val="left" w:pos="567"/>
          <w:tab w:val="left" w:pos="709"/>
        </w:tabs>
        <w:ind w:left="0"/>
        <w:jc w:val="both"/>
        <w:rPr>
          <w:rFonts w:ascii="Arial" w:hAnsi="Arial" w:cs="Arial"/>
          <w:sz w:val="20"/>
        </w:rPr>
      </w:pPr>
    </w:p>
    <w:p w14:paraId="4AC1B6D9" w14:textId="77777777" w:rsidR="00B67D0A" w:rsidRPr="002F07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36691E">
        <w:rPr>
          <w:rFonts w:ascii="Arial" w:hAnsi="Arial"/>
          <w:sz w:val="20"/>
        </w:rPr>
        <w:t xml:space="preserve">Efforts to achieve an agile and smooth functioning Secretariat with a well-managed and appropriately skilled workforce which is effectively delivering results will continue to be pursued under Strategic Goal IX.  Gender balance and geographical diversity will receive particular attention in the biennium.  Further efforts will be made to develop managerial and leadership skills of women in the Organization, with a view to enabling them to take up positions at higher levels, while continuing the outreach to potential women candidates.  As regards geographical diversity, proactive and increased efforts will be made, with support from Member States, to reach out to potential candidates from countries that are not well represented among staff in the professional and higher categories. Following the implementation of the revised Staff Regulations and Rules (SRR), approved by the Coordination Committee in 2012 and 2013, including the strengthening of the internal justice system, an important focus area in 2016/17 will be conflict prevention and mitigation and the effective management of cases through the internal justice system.  The Organization will also continue to engage with the Review of the UN common system compensation package.  </w:t>
      </w:r>
    </w:p>
    <w:p w14:paraId="5E91E59A" w14:textId="77777777" w:rsidR="002F070A" w:rsidRPr="00713CE6" w:rsidRDefault="002F070A" w:rsidP="002F070A">
      <w:pPr>
        <w:pStyle w:val="ListParagraph"/>
        <w:widowControl w:val="0"/>
        <w:tabs>
          <w:tab w:val="left" w:pos="567"/>
        </w:tabs>
        <w:ind w:left="0"/>
        <w:jc w:val="both"/>
        <w:rPr>
          <w:rFonts w:ascii="Arial" w:hAnsi="Arial" w:cs="Arial"/>
          <w:sz w:val="20"/>
        </w:rPr>
      </w:pPr>
    </w:p>
    <w:p w14:paraId="04909301" w14:textId="77777777" w:rsidR="00B67D0A" w:rsidRPr="00713CE6" w:rsidRDefault="00B67D0A" w:rsidP="00B66A4A">
      <w:pPr>
        <w:pStyle w:val="ListParagraph"/>
        <w:numPr>
          <w:ilvl w:val="0"/>
          <w:numId w:val="34"/>
        </w:numPr>
        <w:tabs>
          <w:tab w:val="right" w:pos="1134"/>
        </w:tabs>
        <w:ind w:left="1134" w:hanging="567"/>
        <w:jc w:val="both"/>
        <w:rPr>
          <w:rFonts w:ascii="Arial" w:hAnsi="Arial" w:cs="Arial"/>
          <w:sz w:val="20"/>
        </w:rPr>
      </w:pPr>
      <w:r w:rsidRPr="00713CE6">
        <w:rPr>
          <w:rFonts w:ascii="Arial" w:hAnsi="Arial" w:cs="Arial"/>
          <w:i/>
          <w:sz w:val="20"/>
        </w:rPr>
        <w:t xml:space="preserve">The associated </w:t>
      </w:r>
      <w:r>
        <w:rPr>
          <w:rFonts w:ascii="Arial" w:hAnsi="Arial" w:cs="Arial"/>
          <w:i/>
          <w:sz w:val="20"/>
        </w:rPr>
        <w:t xml:space="preserve">total </w:t>
      </w:r>
      <w:r w:rsidRPr="00713CE6">
        <w:rPr>
          <w:rFonts w:ascii="Arial" w:hAnsi="Arial" w:cs="Arial"/>
          <w:i/>
          <w:sz w:val="20"/>
        </w:rPr>
        <w:t xml:space="preserve">resources are reflected in </w:t>
      </w:r>
      <w:r w:rsidRPr="00713CE6">
        <w:rPr>
          <w:rFonts w:ascii="Arial" w:hAnsi="Arial"/>
          <w:i/>
          <w:sz w:val="20"/>
        </w:rPr>
        <w:t>Program 23 (Human Resources Management and Development)</w:t>
      </w:r>
      <w:r>
        <w:rPr>
          <w:rFonts w:ascii="Arial" w:hAnsi="Arial"/>
          <w:i/>
          <w:sz w:val="20"/>
        </w:rPr>
        <w:t>.</w:t>
      </w:r>
      <w:r w:rsidRPr="00713CE6">
        <w:rPr>
          <w:rFonts w:ascii="Arial" w:hAnsi="Arial"/>
          <w:i/>
          <w:sz w:val="20"/>
        </w:rPr>
        <w:t xml:space="preserve"> </w:t>
      </w:r>
    </w:p>
    <w:p w14:paraId="39643D9E" w14:textId="77777777" w:rsidR="00B67D0A" w:rsidRDefault="00B67D0A" w:rsidP="00F02301">
      <w:pPr>
        <w:pStyle w:val="ListParagraph"/>
        <w:tabs>
          <w:tab w:val="left" w:pos="567"/>
          <w:tab w:val="left" w:pos="709"/>
        </w:tabs>
        <w:ind w:left="0"/>
        <w:jc w:val="both"/>
        <w:rPr>
          <w:rFonts w:ascii="Arial" w:hAnsi="Arial" w:cs="Arial"/>
          <w:sz w:val="20"/>
        </w:rPr>
      </w:pPr>
    </w:p>
    <w:p w14:paraId="559CAF56" w14:textId="70987804" w:rsidR="00B67D0A" w:rsidRDefault="00B67D0A" w:rsidP="00B66A4A">
      <w:pPr>
        <w:pStyle w:val="ListParagraph"/>
        <w:keepNext/>
        <w:keepLines/>
        <w:numPr>
          <w:ilvl w:val="0"/>
          <w:numId w:val="33"/>
        </w:numPr>
        <w:tabs>
          <w:tab w:val="left" w:pos="567"/>
        </w:tabs>
        <w:ind w:left="0" w:firstLine="0"/>
        <w:jc w:val="both"/>
        <w:rPr>
          <w:rFonts w:ascii="Arial" w:hAnsi="Arial" w:cs="Arial"/>
          <w:sz w:val="20"/>
          <w:lang w:val="en-GB"/>
        </w:rPr>
      </w:pPr>
      <w:r w:rsidRPr="002F070A">
        <w:rPr>
          <w:rFonts w:ascii="Arial" w:hAnsi="Arial"/>
          <w:sz w:val="20"/>
        </w:rPr>
        <w:lastRenderedPageBreak/>
        <w:t>With</w:t>
      </w:r>
      <w:r w:rsidRPr="00F21AC6">
        <w:rPr>
          <w:rFonts w:ascii="Arial" w:hAnsi="Arial" w:cs="Arial"/>
          <w:sz w:val="20"/>
          <w:lang w:val="en-GB"/>
        </w:rPr>
        <w:t xml:space="preserve"> the adoption of the Language Policy by Member States in 2011, and the extension of the six-language cover to all documentation for WIPO Committees and Main Bodies in the 2012/13 biennium, similar coverage was extended to </w:t>
      </w:r>
      <w:r w:rsidR="000C4B20">
        <w:rPr>
          <w:rFonts w:ascii="Arial" w:hAnsi="Arial" w:cs="Arial"/>
          <w:sz w:val="20"/>
          <w:lang w:val="en-GB"/>
        </w:rPr>
        <w:t>several</w:t>
      </w:r>
      <w:r w:rsidRPr="00F21AC6">
        <w:rPr>
          <w:rFonts w:ascii="Arial" w:hAnsi="Arial" w:cs="Arial"/>
          <w:sz w:val="20"/>
          <w:lang w:val="en-GB"/>
        </w:rPr>
        <w:t xml:space="preserve"> Working Groups in the 2014/15 biennium.  It is expected that the remaining Working Groups will be covered in the 2016/17 biennium.  </w:t>
      </w:r>
      <w:r>
        <w:rPr>
          <w:rFonts w:ascii="Arial" w:hAnsi="Arial" w:cs="Arial"/>
          <w:sz w:val="20"/>
          <w:lang w:val="en-GB"/>
        </w:rPr>
        <w:t xml:space="preserve">In order to contain translation costs, </w:t>
      </w:r>
      <w:r w:rsidRPr="00F21AC6">
        <w:rPr>
          <w:rFonts w:ascii="Arial" w:hAnsi="Arial" w:cs="Arial"/>
          <w:sz w:val="20"/>
          <w:lang w:val="en-GB"/>
        </w:rPr>
        <w:t xml:space="preserve">the network of external individual translators and translation companies has been strengthened to ensure the ‘right-sourcing’ of translation work and new </w:t>
      </w:r>
      <w:r>
        <w:rPr>
          <w:rFonts w:ascii="Arial" w:hAnsi="Arial" w:cs="Arial"/>
          <w:sz w:val="20"/>
          <w:lang w:val="en-GB"/>
        </w:rPr>
        <w:t>technology</w:t>
      </w:r>
      <w:r w:rsidRPr="00F21AC6">
        <w:rPr>
          <w:rFonts w:ascii="Arial" w:hAnsi="Arial" w:cs="Arial"/>
          <w:sz w:val="20"/>
          <w:lang w:val="en-GB"/>
        </w:rPr>
        <w:t xml:space="preserve"> tools have been deployed to improve the translation environment, build terminology databases and ensure quality control. </w:t>
      </w:r>
      <w:r>
        <w:rPr>
          <w:rFonts w:ascii="Arial" w:hAnsi="Arial" w:cs="Arial"/>
          <w:sz w:val="20"/>
          <w:lang w:val="en-GB"/>
        </w:rPr>
        <w:t xml:space="preserve">The length and number of documents will also continue to be closely monitored. These rationalization measures have resulted in a containment of translation costs. </w:t>
      </w:r>
    </w:p>
    <w:p w14:paraId="5E97AB05" w14:textId="77777777" w:rsidR="002F070A" w:rsidRDefault="002F070A" w:rsidP="002F070A">
      <w:pPr>
        <w:pStyle w:val="ListParagraph"/>
        <w:widowControl w:val="0"/>
        <w:tabs>
          <w:tab w:val="left" w:pos="567"/>
        </w:tabs>
        <w:ind w:left="0"/>
        <w:jc w:val="both"/>
        <w:rPr>
          <w:rFonts w:ascii="Arial" w:hAnsi="Arial" w:cs="Arial"/>
          <w:sz w:val="20"/>
          <w:lang w:val="en-GB"/>
        </w:rPr>
      </w:pPr>
    </w:p>
    <w:p w14:paraId="76FF6762" w14:textId="1B715DD8" w:rsidR="00B67D0A" w:rsidRPr="00FC7B2B" w:rsidRDefault="00B67D0A" w:rsidP="00B66A4A">
      <w:pPr>
        <w:pStyle w:val="ListParagraph"/>
        <w:numPr>
          <w:ilvl w:val="0"/>
          <w:numId w:val="34"/>
        </w:numPr>
        <w:tabs>
          <w:tab w:val="right" w:pos="1134"/>
        </w:tabs>
        <w:ind w:left="1134" w:hanging="567"/>
        <w:jc w:val="both"/>
        <w:rPr>
          <w:rFonts w:ascii="Arial" w:hAnsi="Arial" w:cs="Arial"/>
          <w:i/>
          <w:sz w:val="20"/>
          <w:lang w:val="en-GB"/>
        </w:rPr>
      </w:pPr>
      <w:r w:rsidRPr="00713CE6">
        <w:rPr>
          <w:rFonts w:ascii="Arial" w:hAnsi="Arial" w:cs="Arial"/>
          <w:i/>
          <w:sz w:val="20"/>
        </w:rPr>
        <w:t xml:space="preserve">The associated </w:t>
      </w:r>
      <w:r>
        <w:rPr>
          <w:rFonts w:ascii="Arial" w:hAnsi="Arial" w:cs="Arial"/>
          <w:i/>
          <w:sz w:val="20"/>
        </w:rPr>
        <w:t xml:space="preserve">total </w:t>
      </w:r>
      <w:r w:rsidRPr="00713CE6">
        <w:rPr>
          <w:rFonts w:ascii="Arial" w:hAnsi="Arial" w:cs="Arial"/>
          <w:i/>
          <w:sz w:val="20"/>
        </w:rPr>
        <w:t xml:space="preserve">resources are reflected in </w:t>
      </w:r>
      <w:r w:rsidRPr="00713CE6">
        <w:rPr>
          <w:rFonts w:ascii="Arial" w:hAnsi="Arial"/>
          <w:i/>
          <w:sz w:val="20"/>
        </w:rPr>
        <w:t xml:space="preserve">Program </w:t>
      </w:r>
      <w:r>
        <w:rPr>
          <w:rFonts w:ascii="Arial" w:hAnsi="Arial"/>
          <w:i/>
          <w:sz w:val="20"/>
        </w:rPr>
        <w:t>27</w:t>
      </w:r>
      <w:r w:rsidR="000C4B20">
        <w:rPr>
          <w:rFonts w:ascii="Arial" w:hAnsi="Arial"/>
          <w:i/>
          <w:sz w:val="20"/>
        </w:rPr>
        <w:t xml:space="preserve"> (Conference and Language Services)</w:t>
      </w:r>
      <w:r>
        <w:rPr>
          <w:rFonts w:ascii="Arial" w:hAnsi="Arial"/>
          <w:i/>
          <w:sz w:val="20"/>
        </w:rPr>
        <w:t xml:space="preserve">. </w:t>
      </w:r>
      <w:r w:rsidRPr="00FC7B2B">
        <w:rPr>
          <w:rFonts w:ascii="Arial" w:hAnsi="Arial" w:cs="Arial"/>
          <w:i/>
          <w:sz w:val="20"/>
          <w:lang w:val="en-GB"/>
        </w:rPr>
        <w:t>Part of the increase in the non-</w:t>
      </w:r>
      <w:r w:rsidRPr="002F070A">
        <w:rPr>
          <w:rFonts w:ascii="Arial" w:hAnsi="Arial" w:cs="Arial"/>
          <w:i/>
          <w:sz w:val="20"/>
        </w:rPr>
        <w:t>personnel</w:t>
      </w:r>
      <w:r w:rsidRPr="00FC7B2B">
        <w:rPr>
          <w:rFonts w:ascii="Arial" w:hAnsi="Arial" w:cs="Arial"/>
          <w:i/>
          <w:sz w:val="20"/>
          <w:lang w:val="en-GB"/>
        </w:rPr>
        <w:t xml:space="preserve"> budget approved for </w:t>
      </w:r>
      <w:r>
        <w:rPr>
          <w:rFonts w:ascii="Arial" w:hAnsi="Arial" w:cs="Arial"/>
          <w:i/>
          <w:sz w:val="20"/>
          <w:lang w:val="en-GB"/>
        </w:rPr>
        <w:t>the Program</w:t>
      </w:r>
      <w:r w:rsidRPr="00FC7B2B">
        <w:rPr>
          <w:rFonts w:ascii="Arial" w:hAnsi="Arial" w:cs="Arial"/>
          <w:i/>
          <w:sz w:val="20"/>
          <w:lang w:val="en-GB"/>
        </w:rPr>
        <w:t xml:space="preserve"> in the 2014/15 biennium, is therefore estimated not to be required in 2016/17. </w:t>
      </w:r>
    </w:p>
    <w:p w14:paraId="3F2DFF15" w14:textId="77777777" w:rsidR="00B67D0A" w:rsidRDefault="00B67D0A" w:rsidP="00F02301">
      <w:pPr>
        <w:pStyle w:val="ListParagraph"/>
        <w:tabs>
          <w:tab w:val="left" w:pos="709"/>
        </w:tabs>
        <w:autoSpaceDE w:val="0"/>
        <w:autoSpaceDN w:val="0"/>
        <w:adjustRightInd w:val="0"/>
        <w:ind w:left="0"/>
        <w:jc w:val="both"/>
        <w:rPr>
          <w:rFonts w:ascii="Arial" w:hAnsi="Arial" w:cs="Arial"/>
          <w:sz w:val="20"/>
          <w:lang w:val="en-GB"/>
        </w:rPr>
      </w:pPr>
    </w:p>
    <w:p w14:paraId="629F926E"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lang w:val="en-GB"/>
        </w:rPr>
      </w:pPr>
      <w:r w:rsidRPr="00713CE6">
        <w:rPr>
          <w:rFonts w:ascii="Arial" w:hAnsi="Arial" w:cs="Arial"/>
          <w:sz w:val="20"/>
          <w:lang w:val="en-GB"/>
        </w:rPr>
        <w:t xml:space="preserve">The </w:t>
      </w:r>
      <w:r w:rsidRPr="002F070A">
        <w:rPr>
          <w:rFonts w:ascii="Arial" w:hAnsi="Arial"/>
          <w:sz w:val="20"/>
        </w:rPr>
        <w:t>next</w:t>
      </w:r>
      <w:r w:rsidRPr="00713CE6">
        <w:rPr>
          <w:rFonts w:ascii="Arial" w:hAnsi="Arial" w:cs="Arial"/>
          <w:sz w:val="20"/>
          <w:lang w:val="en-GB"/>
        </w:rPr>
        <w:t xml:space="preserve"> biennium will be characterized by several changes in the banking and investment domain on account of the current advantageous banking facility provided to WIPO by the Swiss Federal Department of Finance coming to an end in December 2015 and the introduction of negative interest rates on Swiss franc deposits.  There will therefore be a need to ensure a more active and yet prudent investment planning and management approach guided by a revised investment policy approved by Member States. </w:t>
      </w:r>
    </w:p>
    <w:p w14:paraId="7B88B55B" w14:textId="77777777" w:rsidR="002F070A" w:rsidRDefault="002F070A" w:rsidP="002F070A">
      <w:pPr>
        <w:pStyle w:val="ListParagraph"/>
        <w:widowControl w:val="0"/>
        <w:tabs>
          <w:tab w:val="left" w:pos="567"/>
        </w:tabs>
        <w:ind w:left="0"/>
        <w:jc w:val="both"/>
        <w:rPr>
          <w:rFonts w:ascii="Arial" w:hAnsi="Arial" w:cs="Arial"/>
          <w:sz w:val="20"/>
          <w:lang w:val="en-GB"/>
        </w:rPr>
      </w:pPr>
    </w:p>
    <w:p w14:paraId="1EC182F2" w14:textId="244119FB" w:rsidR="00B67D0A" w:rsidRPr="00FC7B2B" w:rsidRDefault="00B67D0A" w:rsidP="00B66A4A">
      <w:pPr>
        <w:pStyle w:val="ListParagraph"/>
        <w:numPr>
          <w:ilvl w:val="0"/>
          <w:numId w:val="34"/>
        </w:numPr>
        <w:tabs>
          <w:tab w:val="right" w:pos="1134"/>
        </w:tabs>
        <w:ind w:left="1134" w:hanging="567"/>
        <w:jc w:val="both"/>
        <w:rPr>
          <w:rFonts w:ascii="Arial" w:hAnsi="Arial" w:cs="Arial"/>
          <w:i/>
          <w:sz w:val="20"/>
          <w:lang w:val="en-GB"/>
        </w:rPr>
      </w:pPr>
      <w:r w:rsidRPr="00FC7B2B">
        <w:rPr>
          <w:rFonts w:ascii="Arial" w:hAnsi="Arial" w:cs="Arial"/>
          <w:i/>
          <w:sz w:val="20"/>
          <w:lang w:val="en-GB"/>
        </w:rPr>
        <w:t xml:space="preserve">A </w:t>
      </w:r>
      <w:r w:rsidRPr="002F070A">
        <w:rPr>
          <w:rFonts w:ascii="Arial" w:hAnsi="Arial" w:cs="Arial"/>
          <w:i/>
          <w:sz w:val="20"/>
        </w:rPr>
        <w:t>provision</w:t>
      </w:r>
      <w:r w:rsidRPr="00FC7B2B">
        <w:rPr>
          <w:rFonts w:ascii="Arial" w:hAnsi="Arial" w:cs="Arial"/>
          <w:i/>
          <w:sz w:val="20"/>
          <w:lang w:val="en-GB"/>
        </w:rPr>
        <w:t xml:space="preserve"> of 2.4 million Swiss francs has been made in the </w:t>
      </w:r>
      <w:r>
        <w:rPr>
          <w:rFonts w:ascii="Arial" w:hAnsi="Arial" w:cs="Arial"/>
          <w:i/>
          <w:sz w:val="20"/>
          <w:lang w:val="en-GB"/>
        </w:rPr>
        <w:t xml:space="preserve">non-personnel </w:t>
      </w:r>
      <w:r w:rsidRPr="00FC7B2B">
        <w:rPr>
          <w:rFonts w:ascii="Arial" w:hAnsi="Arial" w:cs="Arial"/>
          <w:i/>
          <w:sz w:val="20"/>
          <w:lang w:val="en-GB"/>
        </w:rPr>
        <w:t>budget for the payment of the negative interest rates on WIPO deposits.</w:t>
      </w:r>
    </w:p>
    <w:p w14:paraId="00C9307F" w14:textId="77777777" w:rsidR="00B67D0A" w:rsidRPr="00713CE6" w:rsidRDefault="00B67D0A" w:rsidP="00F02301">
      <w:pPr>
        <w:pStyle w:val="ListParagraph"/>
        <w:tabs>
          <w:tab w:val="left" w:pos="567"/>
          <w:tab w:val="left" w:pos="709"/>
        </w:tabs>
        <w:ind w:left="0"/>
        <w:jc w:val="both"/>
        <w:rPr>
          <w:rFonts w:ascii="Arial" w:hAnsi="Arial" w:cs="Arial"/>
          <w:sz w:val="20"/>
        </w:rPr>
      </w:pPr>
    </w:p>
    <w:p w14:paraId="41561C8D" w14:textId="708E74A4"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2F070A">
        <w:rPr>
          <w:rFonts w:ascii="Arial" w:hAnsi="Arial"/>
          <w:sz w:val="20"/>
        </w:rPr>
        <w:t>Absorption</w:t>
      </w:r>
      <w:r>
        <w:rPr>
          <w:rFonts w:ascii="Arial" w:hAnsi="Arial" w:cs="Arial"/>
          <w:sz w:val="20"/>
        </w:rPr>
        <w:t xml:space="preserve"> into operations of the new modules and capabilities of the ERP system will intensify in 2016/17, resulting in the need to support and sustain a complex and fully integrated ERP system in a cost-effective and service–oriented manner.  Outsourcing of support, maintenance and technical development under a robust management and quality assurance framework will remain a key strategy. </w:t>
      </w:r>
    </w:p>
    <w:p w14:paraId="46A25C65" w14:textId="77777777" w:rsidR="002F070A" w:rsidRDefault="002F070A" w:rsidP="002F070A">
      <w:pPr>
        <w:pStyle w:val="ListParagraph"/>
        <w:widowControl w:val="0"/>
        <w:tabs>
          <w:tab w:val="left" w:pos="567"/>
        </w:tabs>
        <w:ind w:left="0"/>
        <w:jc w:val="both"/>
        <w:rPr>
          <w:rFonts w:ascii="Arial" w:hAnsi="Arial" w:cs="Arial"/>
          <w:sz w:val="20"/>
        </w:rPr>
      </w:pPr>
    </w:p>
    <w:p w14:paraId="1F9231B4" w14:textId="241DBC34" w:rsidR="00B67D0A" w:rsidRPr="00FC7B2B" w:rsidRDefault="00B67D0A" w:rsidP="00B66A4A">
      <w:pPr>
        <w:pStyle w:val="ListParagraph"/>
        <w:numPr>
          <w:ilvl w:val="0"/>
          <w:numId w:val="34"/>
        </w:numPr>
        <w:tabs>
          <w:tab w:val="right" w:pos="1134"/>
        </w:tabs>
        <w:ind w:left="1134" w:hanging="567"/>
        <w:jc w:val="both"/>
        <w:rPr>
          <w:rFonts w:ascii="Arial" w:hAnsi="Arial" w:cs="Arial"/>
          <w:i/>
          <w:sz w:val="20"/>
        </w:rPr>
      </w:pPr>
      <w:r w:rsidRPr="00FC7B2B">
        <w:rPr>
          <w:rFonts w:ascii="Arial" w:hAnsi="Arial" w:cs="Arial"/>
          <w:i/>
          <w:sz w:val="20"/>
        </w:rPr>
        <w:t xml:space="preserve">A provision of 1.6 million Swiss francs has been made for the increased </w:t>
      </w:r>
      <w:r w:rsidR="00D337E0">
        <w:rPr>
          <w:rFonts w:ascii="Arial" w:hAnsi="Arial" w:cs="Arial"/>
          <w:i/>
          <w:sz w:val="20"/>
        </w:rPr>
        <w:t xml:space="preserve">ERP </w:t>
      </w:r>
      <w:r w:rsidRPr="00FC7B2B">
        <w:rPr>
          <w:rFonts w:ascii="Arial" w:hAnsi="Arial" w:cs="Arial"/>
          <w:i/>
          <w:sz w:val="20"/>
        </w:rPr>
        <w:t xml:space="preserve">footprint under the </w:t>
      </w:r>
      <w:r>
        <w:rPr>
          <w:rFonts w:ascii="Arial" w:hAnsi="Arial" w:cs="Arial"/>
          <w:i/>
          <w:sz w:val="20"/>
        </w:rPr>
        <w:t xml:space="preserve">non-personnel </w:t>
      </w:r>
      <w:r w:rsidRPr="00FC7B2B">
        <w:rPr>
          <w:rFonts w:ascii="Arial" w:hAnsi="Arial" w:cs="Arial"/>
          <w:i/>
          <w:sz w:val="20"/>
        </w:rPr>
        <w:t>budget of Program 22</w:t>
      </w:r>
      <w:r w:rsidR="000C4B20">
        <w:rPr>
          <w:rFonts w:ascii="Arial" w:hAnsi="Arial" w:cs="Arial"/>
          <w:i/>
          <w:sz w:val="20"/>
        </w:rPr>
        <w:t xml:space="preserve"> (Program and Resource Management)</w:t>
      </w:r>
      <w:r w:rsidRPr="00FC7B2B">
        <w:rPr>
          <w:rFonts w:ascii="Arial" w:hAnsi="Arial" w:cs="Arial"/>
          <w:i/>
          <w:sz w:val="20"/>
        </w:rPr>
        <w:t xml:space="preserve">. </w:t>
      </w:r>
    </w:p>
    <w:p w14:paraId="46899B96" w14:textId="77777777" w:rsidR="00B67D0A" w:rsidRPr="00FC7B2B" w:rsidRDefault="00B67D0A" w:rsidP="00F02301">
      <w:pPr>
        <w:pStyle w:val="ListParagraph"/>
        <w:tabs>
          <w:tab w:val="left" w:pos="567"/>
          <w:tab w:val="left" w:pos="709"/>
        </w:tabs>
        <w:ind w:left="0"/>
        <w:jc w:val="both"/>
        <w:rPr>
          <w:rFonts w:ascii="Arial" w:hAnsi="Arial" w:cs="Arial"/>
          <w:i/>
          <w:sz w:val="20"/>
        </w:rPr>
      </w:pPr>
    </w:p>
    <w:p w14:paraId="28229120" w14:textId="359A73C0" w:rsidR="00B67D0A" w:rsidRPr="004E2E48" w:rsidRDefault="00B67D0A" w:rsidP="00B66A4A">
      <w:pPr>
        <w:pStyle w:val="ListParagraph"/>
        <w:widowControl w:val="0"/>
        <w:numPr>
          <w:ilvl w:val="0"/>
          <w:numId w:val="33"/>
        </w:numPr>
        <w:tabs>
          <w:tab w:val="left" w:pos="567"/>
        </w:tabs>
        <w:ind w:left="0" w:firstLine="0"/>
        <w:jc w:val="both"/>
        <w:rPr>
          <w:rFonts w:ascii="Arial" w:hAnsi="Arial"/>
          <w:sz w:val="20"/>
        </w:rPr>
      </w:pPr>
      <w:r w:rsidRPr="002F070A">
        <w:rPr>
          <w:rFonts w:ascii="Arial" w:hAnsi="Arial"/>
          <w:sz w:val="20"/>
        </w:rPr>
        <w:t>Further</w:t>
      </w:r>
      <w:r>
        <w:rPr>
          <w:rFonts w:ascii="Arial" w:hAnsi="Arial" w:cs="Arial"/>
          <w:bCs/>
          <w:color w:val="000000"/>
          <w:sz w:val="20"/>
        </w:rPr>
        <w:t xml:space="preserve"> improvements have been made to the measurements metrics, i.e. </w:t>
      </w:r>
      <w:r w:rsidRPr="000267E5">
        <w:rPr>
          <w:rFonts w:ascii="Arial" w:hAnsi="Arial"/>
          <w:sz w:val="20"/>
        </w:rPr>
        <w:t>performance indicators</w:t>
      </w:r>
      <w:r>
        <w:rPr>
          <w:rFonts w:ascii="Arial" w:hAnsi="Arial"/>
          <w:sz w:val="20"/>
        </w:rPr>
        <w:t>,</w:t>
      </w:r>
      <w:r w:rsidRPr="000267E5">
        <w:rPr>
          <w:rFonts w:ascii="Arial" w:hAnsi="Arial"/>
          <w:sz w:val="20"/>
        </w:rPr>
        <w:t xml:space="preserve"> baselines and targets </w:t>
      </w:r>
      <w:r>
        <w:rPr>
          <w:rFonts w:ascii="Arial" w:hAnsi="Arial"/>
          <w:sz w:val="20"/>
        </w:rPr>
        <w:t xml:space="preserve">in line with the recommendations made by the independent validation carried out by </w:t>
      </w:r>
      <w:r w:rsidR="000C4B20">
        <w:rPr>
          <w:rFonts w:ascii="Arial" w:hAnsi="Arial"/>
          <w:sz w:val="20"/>
        </w:rPr>
        <w:t xml:space="preserve">the </w:t>
      </w:r>
      <w:r>
        <w:rPr>
          <w:rFonts w:ascii="Arial" w:hAnsi="Arial"/>
          <w:sz w:val="20"/>
        </w:rPr>
        <w:t xml:space="preserve">Internal Oversight Division (IOD) and the call for improvements made by Member States in respect of the Program Performance Report (PPR). Baselines in the Program and Budget have, to the extent possible, been aligned with the performance data in the </w:t>
      </w:r>
      <w:r w:rsidR="00D337E0">
        <w:rPr>
          <w:rFonts w:ascii="Arial" w:hAnsi="Arial"/>
          <w:sz w:val="20"/>
        </w:rPr>
        <w:t xml:space="preserve">2014 </w:t>
      </w:r>
      <w:r>
        <w:rPr>
          <w:rFonts w:ascii="Arial" w:hAnsi="Arial"/>
          <w:sz w:val="20"/>
        </w:rPr>
        <w:t>PPR.</w:t>
      </w:r>
      <w:r>
        <w:rPr>
          <w:rStyle w:val="FootnoteReference"/>
          <w:rFonts w:ascii="Arial" w:hAnsi="Arial"/>
        </w:rPr>
        <w:footnoteReference w:id="10"/>
      </w:r>
      <w:r>
        <w:rPr>
          <w:rFonts w:ascii="Arial" w:hAnsi="Arial"/>
          <w:sz w:val="20"/>
        </w:rPr>
        <w:t xml:space="preserve"> </w:t>
      </w:r>
    </w:p>
    <w:p w14:paraId="512644FA" w14:textId="77777777" w:rsidR="00B67D0A" w:rsidRDefault="00B67D0A" w:rsidP="00F02301"/>
    <w:p w14:paraId="4431082E" w14:textId="77777777"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DB43C0">
        <w:rPr>
          <w:rFonts w:ascii="Arial" w:hAnsi="Arial"/>
          <w:sz w:val="20"/>
          <w:lang w:val="en-CA"/>
        </w:rPr>
        <w:t xml:space="preserve">The </w:t>
      </w:r>
      <w:r w:rsidRPr="002F070A">
        <w:rPr>
          <w:rFonts w:ascii="Arial" w:hAnsi="Arial"/>
          <w:sz w:val="20"/>
        </w:rPr>
        <w:t>implementation</w:t>
      </w:r>
      <w:r w:rsidRPr="00DB43C0">
        <w:rPr>
          <w:rFonts w:ascii="Arial" w:hAnsi="Arial"/>
          <w:sz w:val="20"/>
          <w:lang w:val="en-CA"/>
        </w:rPr>
        <w:t xml:space="preserve"> of a structured and periodical Risk Management process across the Organization has resulted in improved planning and understanding of events that could hinder the achievement of Expected Results.  All Programs now undertake risk assessments as part of biennial planning and annual work planning.  Throughout this document, the key risks and mitigation strategies for each Program are detailed at the end of each Program narrative.</w:t>
      </w:r>
    </w:p>
    <w:p w14:paraId="2813B2FD" w14:textId="77777777" w:rsidR="00B67D0A" w:rsidRDefault="00B67D0A" w:rsidP="00F02301">
      <w:pPr>
        <w:widowControl w:val="0"/>
        <w:tabs>
          <w:tab w:val="num" w:pos="690"/>
        </w:tabs>
        <w:jc w:val="center"/>
        <w:rPr>
          <w:rFonts w:ascii="Arial" w:hAnsi="Arial" w:cs="Arial"/>
          <w:b/>
          <w:sz w:val="18"/>
          <w:szCs w:val="18"/>
        </w:rPr>
      </w:pPr>
    </w:p>
    <w:p w14:paraId="11764DF6" w14:textId="77777777" w:rsidR="002F070A" w:rsidRDefault="002F070A">
      <w:pPr>
        <w:rPr>
          <w:rFonts w:ascii="Arial" w:hAnsi="Arial" w:cs="Arial"/>
          <w:b/>
          <w:sz w:val="16"/>
          <w:szCs w:val="16"/>
        </w:rPr>
      </w:pPr>
      <w:r>
        <w:rPr>
          <w:rFonts w:ascii="Arial" w:hAnsi="Arial" w:cs="Arial"/>
          <w:b/>
          <w:sz w:val="16"/>
          <w:szCs w:val="16"/>
        </w:rPr>
        <w:br w:type="page"/>
      </w:r>
    </w:p>
    <w:p w14:paraId="16C66B6E" w14:textId="0C580732" w:rsidR="00B67D0A" w:rsidRPr="002F070A" w:rsidRDefault="00B67D0A" w:rsidP="00F02301">
      <w:pPr>
        <w:widowControl w:val="0"/>
        <w:tabs>
          <w:tab w:val="num" w:pos="690"/>
        </w:tabs>
        <w:jc w:val="center"/>
        <w:rPr>
          <w:rFonts w:ascii="Arial" w:hAnsi="Arial" w:cs="Arial"/>
          <w:b/>
          <w:sz w:val="20"/>
          <w:szCs w:val="16"/>
        </w:rPr>
      </w:pPr>
      <w:r w:rsidRPr="002F070A">
        <w:rPr>
          <w:rFonts w:ascii="Arial" w:hAnsi="Arial" w:cs="Arial"/>
          <w:b/>
          <w:sz w:val="20"/>
          <w:szCs w:val="16"/>
        </w:rPr>
        <w:lastRenderedPageBreak/>
        <w:t>Table 5.</w:t>
      </w:r>
      <w:r w:rsidR="00972CF5">
        <w:rPr>
          <w:rFonts w:ascii="Arial" w:hAnsi="Arial" w:cs="Arial"/>
          <w:b/>
          <w:sz w:val="20"/>
          <w:szCs w:val="16"/>
        </w:rPr>
        <w:t xml:space="preserve"> </w:t>
      </w:r>
      <w:r w:rsidRPr="002F070A">
        <w:rPr>
          <w:rFonts w:ascii="Arial" w:hAnsi="Arial" w:cs="Arial"/>
          <w:b/>
          <w:sz w:val="20"/>
          <w:szCs w:val="16"/>
        </w:rPr>
        <w:t xml:space="preserve"> 2016/17 Proposed Budget by Object of Expenditure</w:t>
      </w:r>
    </w:p>
    <w:p w14:paraId="5514146E" w14:textId="77777777" w:rsidR="00B67D0A" w:rsidRPr="002F070A" w:rsidRDefault="00B67D0A" w:rsidP="00F02301">
      <w:pPr>
        <w:widowControl w:val="0"/>
        <w:tabs>
          <w:tab w:val="num" w:pos="690"/>
        </w:tabs>
        <w:jc w:val="center"/>
        <w:rPr>
          <w:rFonts w:ascii="Arial" w:hAnsi="Arial" w:cs="Arial"/>
          <w:i/>
          <w:sz w:val="20"/>
          <w:szCs w:val="16"/>
        </w:rPr>
      </w:pPr>
      <w:r w:rsidRPr="002F070A">
        <w:rPr>
          <w:rFonts w:ascii="Arial" w:hAnsi="Arial" w:cs="Arial"/>
          <w:i/>
          <w:sz w:val="20"/>
          <w:szCs w:val="16"/>
        </w:rPr>
        <w:t>(in thousands of Swiss francs)</w:t>
      </w:r>
    </w:p>
    <w:p w14:paraId="7E60A603" w14:textId="77777777" w:rsidR="00B67D0A" w:rsidRDefault="00B67D0A" w:rsidP="00F02301">
      <w:pPr>
        <w:widowControl w:val="0"/>
        <w:tabs>
          <w:tab w:val="num" w:pos="690"/>
        </w:tabs>
        <w:jc w:val="both"/>
        <w:rPr>
          <w:rFonts w:ascii="Arial" w:eastAsia="SimSun" w:hAnsi="Arial" w:cs="Arial"/>
          <w:color w:val="000000"/>
          <w:sz w:val="20"/>
          <w:lang w:eastAsia="zh-CN"/>
        </w:rPr>
      </w:pPr>
    </w:p>
    <w:p w14:paraId="5CCDAA10" w14:textId="19C90842" w:rsidR="00B67D0A" w:rsidRDefault="00420790" w:rsidP="00F02301">
      <w:pPr>
        <w:widowControl w:val="0"/>
        <w:tabs>
          <w:tab w:val="num" w:pos="690"/>
        </w:tabs>
        <w:jc w:val="center"/>
        <w:rPr>
          <w:rFonts w:eastAsia="SimSun"/>
        </w:rPr>
      </w:pPr>
      <w:r w:rsidRPr="00420790">
        <w:rPr>
          <w:noProof/>
          <w:lang w:eastAsia="en-US"/>
        </w:rPr>
        <w:drawing>
          <wp:inline distT="0" distB="0" distL="0" distR="0" wp14:anchorId="5A3813A1" wp14:editId="67AC73BE">
            <wp:extent cx="5233933" cy="6392173"/>
            <wp:effectExtent l="0" t="0" r="5080" b="889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4553" cy="6392930"/>
                    </a:xfrm>
                    <a:prstGeom prst="rect">
                      <a:avLst/>
                    </a:prstGeom>
                    <a:noFill/>
                    <a:ln>
                      <a:noFill/>
                    </a:ln>
                  </pic:spPr>
                </pic:pic>
              </a:graphicData>
            </a:graphic>
          </wp:inline>
        </w:drawing>
      </w:r>
    </w:p>
    <w:p w14:paraId="59021415" w14:textId="77777777" w:rsidR="00B67D0A" w:rsidRPr="00584485" w:rsidRDefault="00B67D0A" w:rsidP="00F02301">
      <w:pPr>
        <w:widowControl w:val="0"/>
        <w:tabs>
          <w:tab w:val="num" w:pos="690"/>
        </w:tabs>
        <w:rPr>
          <w:rFonts w:ascii="Arial" w:eastAsia="SimSun" w:hAnsi="Arial" w:cs="Arial"/>
          <w:i/>
          <w:sz w:val="16"/>
          <w:szCs w:val="14"/>
        </w:rPr>
      </w:pPr>
      <w:r w:rsidRPr="00584485">
        <w:rPr>
          <w:rFonts w:ascii="Arial" w:eastAsia="SimSun" w:hAnsi="Arial" w:cs="Arial"/>
          <w:i/>
          <w:sz w:val="16"/>
          <w:szCs w:val="14"/>
        </w:rPr>
        <w:t xml:space="preserve">Notes: </w:t>
      </w:r>
    </w:p>
    <w:p w14:paraId="526BA6F9" w14:textId="10BCC3E5" w:rsidR="00CD75A8" w:rsidRDefault="00B67D0A" w:rsidP="00B66A4A">
      <w:pPr>
        <w:pStyle w:val="ListParagraph"/>
        <w:widowControl w:val="0"/>
        <w:numPr>
          <w:ilvl w:val="0"/>
          <w:numId w:val="71"/>
        </w:numPr>
        <w:spacing w:after="60"/>
        <w:ind w:left="181" w:hanging="181"/>
        <w:rPr>
          <w:rFonts w:ascii="Arial" w:eastAsia="SimSun" w:hAnsi="Arial" w:cs="Arial"/>
          <w:i/>
          <w:sz w:val="16"/>
          <w:szCs w:val="14"/>
        </w:rPr>
      </w:pPr>
      <w:r w:rsidRPr="00DA3F93">
        <w:rPr>
          <w:rFonts w:ascii="Arial" w:eastAsia="SimSun" w:hAnsi="Arial" w:cs="Arial"/>
          <w:i/>
          <w:sz w:val="16"/>
          <w:szCs w:val="14"/>
        </w:rPr>
        <w:t xml:space="preserve">The 2014/15 Budget after Transfers reflects transfers </w:t>
      </w:r>
      <w:r w:rsidR="00744022">
        <w:rPr>
          <w:rFonts w:ascii="Arial" w:eastAsia="SimSun" w:hAnsi="Arial" w:cs="Arial"/>
          <w:i/>
          <w:sz w:val="16"/>
          <w:szCs w:val="14"/>
        </w:rPr>
        <w:t xml:space="preserve">to address needs </w:t>
      </w:r>
      <w:r w:rsidRPr="00DA3F93">
        <w:rPr>
          <w:rFonts w:ascii="Arial" w:eastAsia="SimSun" w:hAnsi="Arial" w:cs="Arial"/>
          <w:i/>
          <w:sz w:val="16"/>
          <w:szCs w:val="14"/>
        </w:rPr>
        <w:t>during the 2014/15 biennium in line with Financial Regulation 5.5</w:t>
      </w:r>
      <w:r w:rsidR="007737CF">
        <w:rPr>
          <w:rFonts w:ascii="Arial" w:eastAsia="SimSun" w:hAnsi="Arial" w:cs="Arial"/>
          <w:i/>
          <w:sz w:val="16"/>
          <w:szCs w:val="14"/>
        </w:rPr>
        <w:t>:</w:t>
      </w:r>
      <w:r w:rsidRPr="00DA3F93">
        <w:rPr>
          <w:rFonts w:ascii="Arial" w:eastAsia="SimSun" w:hAnsi="Arial" w:cs="Arial"/>
          <w:i/>
          <w:sz w:val="16"/>
          <w:szCs w:val="14"/>
        </w:rPr>
        <w:t xml:space="preserve"> </w:t>
      </w:r>
      <w:r w:rsidR="007737CF">
        <w:rPr>
          <w:rFonts w:ascii="Arial" w:eastAsia="SimSun" w:hAnsi="Arial" w:cs="Arial"/>
          <w:i/>
          <w:sz w:val="16"/>
          <w:szCs w:val="14"/>
        </w:rPr>
        <w:t>“</w:t>
      </w:r>
      <w:r w:rsidRPr="00DA3F93">
        <w:rPr>
          <w:rFonts w:ascii="Arial" w:eastAsia="SimSun" w:hAnsi="Arial" w:cs="Arial"/>
          <w:i/>
          <w:sz w:val="16"/>
          <w:szCs w:val="14"/>
        </w:rPr>
        <w:t>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w:t>
      </w:r>
      <w:r w:rsidR="007737CF">
        <w:rPr>
          <w:rFonts w:ascii="Arial" w:eastAsia="SimSun" w:hAnsi="Arial" w:cs="Arial"/>
          <w:i/>
          <w:sz w:val="16"/>
          <w:szCs w:val="14"/>
        </w:rPr>
        <w:t>”</w:t>
      </w:r>
      <w:r w:rsidR="007737CF" w:rsidRPr="00DA3F93">
        <w:rPr>
          <w:rFonts w:ascii="Arial" w:eastAsia="SimSun" w:hAnsi="Arial" w:cs="Arial"/>
          <w:i/>
          <w:sz w:val="16"/>
          <w:szCs w:val="14"/>
        </w:rPr>
        <w:t>.</w:t>
      </w:r>
      <w:r w:rsidR="00AE1093">
        <w:rPr>
          <w:rFonts w:ascii="Arial" w:eastAsia="SimSun" w:hAnsi="Arial" w:cs="Arial"/>
          <w:i/>
          <w:sz w:val="16"/>
          <w:szCs w:val="14"/>
        </w:rPr>
        <w:t xml:space="preserve">  The 2014/15 Budget after Transfers is as of March 31, 2015.</w:t>
      </w:r>
    </w:p>
    <w:p w14:paraId="3FC95587" w14:textId="3149E171" w:rsidR="00B67D0A" w:rsidRPr="00DA3F93" w:rsidRDefault="00CD75A8" w:rsidP="00B66A4A">
      <w:pPr>
        <w:pStyle w:val="ListParagraph"/>
        <w:widowControl w:val="0"/>
        <w:numPr>
          <w:ilvl w:val="0"/>
          <w:numId w:val="71"/>
        </w:numPr>
        <w:ind w:left="180" w:hanging="180"/>
        <w:rPr>
          <w:rFonts w:ascii="Arial" w:eastAsia="SimSun" w:hAnsi="Arial" w:cs="Arial"/>
          <w:i/>
          <w:sz w:val="16"/>
          <w:szCs w:val="14"/>
        </w:rPr>
      </w:pPr>
      <w:r>
        <w:rPr>
          <w:rFonts w:ascii="Arial" w:eastAsia="SimSun" w:hAnsi="Arial" w:cs="Arial"/>
          <w:i/>
          <w:sz w:val="16"/>
          <w:szCs w:val="14"/>
        </w:rPr>
        <w:t xml:space="preserve">Changes in cost categories between the biennium 2014/15 and 2016/17are explained in the section “Cost Category Changes” below.  </w:t>
      </w:r>
      <w:r w:rsidR="00B67D0A" w:rsidRPr="00DA3F93">
        <w:rPr>
          <w:rFonts w:ascii="Arial" w:eastAsia="SimSun" w:hAnsi="Arial" w:cs="Arial"/>
          <w:i/>
          <w:sz w:val="16"/>
          <w:szCs w:val="14"/>
        </w:rPr>
        <w:t xml:space="preserve">    </w:t>
      </w:r>
    </w:p>
    <w:p w14:paraId="2DF9064E" w14:textId="77777777" w:rsidR="00584485" w:rsidRPr="00584485" w:rsidRDefault="00584485" w:rsidP="00F02301">
      <w:pPr>
        <w:widowControl w:val="0"/>
        <w:tabs>
          <w:tab w:val="num" w:pos="690"/>
        </w:tabs>
        <w:rPr>
          <w:rFonts w:ascii="Arial" w:eastAsia="SimSun" w:hAnsi="Arial" w:cs="Arial"/>
          <w:i/>
          <w:sz w:val="20"/>
          <w:szCs w:val="14"/>
        </w:rPr>
      </w:pPr>
    </w:p>
    <w:p w14:paraId="1E2754E6" w14:textId="77777777" w:rsidR="00CB11FC" w:rsidRPr="00584485" w:rsidRDefault="00CB11FC" w:rsidP="00F02301">
      <w:pPr>
        <w:widowControl w:val="0"/>
        <w:tabs>
          <w:tab w:val="num" w:pos="690"/>
        </w:tabs>
        <w:rPr>
          <w:rFonts w:ascii="Arial" w:eastAsia="SimSun" w:hAnsi="Arial" w:cs="Arial"/>
          <w:i/>
          <w:sz w:val="20"/>
          <w:szCs w:val="14"/>
        </w:rPr>
      </w:pPr>
    </w:p>
    <w:p w14:paraId="007BCDBF" w14:textId="34B3D347" w:rsidR="00B67D0A" w:rsidRPr="00F66122" w:rsidRDefault="00744022" w:rsidP="00972CF5">
      <w:pPr>
        <w:pStyle w:val="StyleHeading3ComplexItalic"/>
        <w:keepLines/>
        <w:tabs>
          <w:tab w:val="clear" w:pos="1985"/>
          <w:tab w:val="left" w:pos="1843"/>
        </w:tabs>
        <w:ind w:left="1843" w:hanging="1843"/>
        <w:rPr>
          <w:sz w:val="20"/>
        </w:rPr>
      </w:pPr>
      <w:bookmarkStart w:id="15" w:name="_Toc431221400"/>
      <w:r w:rsidRPr="00F66122">
        <w:rPr>
          <w:sz w:val="20"/>
        </w:rPr>
        <w:lastRenderedPageBreak/>
        <w:t>NON</w:t>
      </w:r>
      <w:r>
        <w:rPr>
          <w:sz w:val="20"/>
        </w:rPr>
        <w:t>-</w:t>
      </w:r>
      <w:r w:rsidR="00B67D0A" w:rsidRPr="00F66122">
        <w:rPr>
          <w:sz w:val="20"/>
        </w:rPr>
        <w:t>PERSONNEL RESOURCES</w:t>
      </w:r>
      <w:bookmarkEnd w:id="15"/>
    </w:p>
    <w:p w14:paraId="2890CDD0" w14:textId="77777777" w:rsidR="00B67D0A" w:rsidRDefault="00B67D0A" w:rsidP="00972CF5">
      <w:pPr>
        <w:keepNext/>
        <w:keepLines/>
        <w:widowControl w:val="0"/>
        <w:tabs>
          <w:tab w:val="num" w:pos="690"/>
        </w:tabs>
        <w:autoSpaceDE w:val="0"/>
        <w:autoSpaceDN w:val="0"/>
        <w:adjustRightInd w:val="0"/>
        <w:jc w:val="both"/>
        <w:rPr>
          <w:rFonts w:ascii="Arial" w:eastAsia="SimSun" w:hAnsi="Arial" w:cs="Arial"/>
          <w:b/>
          <w:color w:val="000000"/>
          <w:sz w:val="20"/>
          <w:lang w:eastAsia="zh-CN"/>
        </w:rPr>
      </w:pPr>
    </w:p>
    <w:p w14:paraId="56346B98" w14:textId="2FB9A472" w:rsidR="00B67D0A" w:rsidRDefault="00B67D0A" w:rsidP="00B66A4A">
      <w:pPr>
        <w:pStyle w:val="ListParagraph"/>
        <w:keepNext/>
        <w:keepLines/>
        <w:widowControl w:val="0"/>
        <w:numPr>
          <w:ilvl w:val="0"/>
          <w:numId w:val="33"/>
        </w:numPr>
        <w:tabs>
          <w:tab w:val="left" w:pos="567"/>
        </w:tabs>
        <w:ind w:left="0" w:firstLine="0"/>
        <w:jc w:val="both"/>
        <w:rPr>
          <w:rFonts w:ascii="Arial" w:eastAsia="SimSun" w:hAnsi="Arial" w:cs="Arial"/>
          <w:color w:val="000000"/>
          <w:sz w:val="20"/>
          <w:lang w:eastAsia="zh-CN"/>
        </w:rPr>
      </w:pPr>
      <w:r w:rsidRPr="00292FCD">
        <w:rPr>
          <w:rFonts w:ascii="Arial" w:hAnsi="Arial"/>
          <w:sz w:val="20"/>
          <w:lang w:val="en-CA"/>
        </w:rPr>
        <w:t>The</w:t>
      </w:r>
      <w:r w:rsidRPr="00C25744">
        <w:rPr>
          <w:rFonts w:ascii="Arial" w:eastAsia="SimSun" w:hAnsi="Arial" w:cs="Arial"/>
          <w:color w:val="000000"/>
          <w:sz w:val="20"/>
          <w:lang w:eastAsia="zh-CN"/>
        </w:rPr>
        <w:t xml:space="preserve"> increase in non-personnel </w:t>
      </w:r>
      <w:r>
        <w:rPr>
          <w:rFonts w:ascii="Arial" w:eastAsia="SimSun" w:hAnsi="Arial" w:cs="Arial"/>
          <w:color w:val="000000"/>
          <w:sz w:val="20"/>
          <w:lang w:eastAsia="zh-CN"/>
        </w:rPr>
        <w:t>resources</w:t>
      </w:r>
      <w:r w:rsidRPr="00C25744">
        <w:rPr>
          <w:rFonts w:ascii="Arial" w:eastAsia="SimSun" w:hAnsi="Arial" w:cs="Arial"/>
          <w:color w:val="000000"/>
          <w:sz w:val="20"/>
          <w:lang w:eastAsia="zh-CN"/>
        </w:rPr>
        <w:t xml:space="preserve"> in 2016/17 </w:t>
      </w:r>
      <w:r>
        <w:rPr>
          <w:rFonts w:ascii="Arial" w:eastAsia="SimSun" w:hAnsi="Arial" w:cs="Arial"/>
          <w:color w:val="000000"/>
          <w:sz w:val="20"/>
          <w:lang w:eastAsia="zh-CN"/>
        </w:rPr>
        <w:t xml:space="preserve">amounts to 22.8 million Swiss francs, </w:t>
      </w:r>
      <w:r w:rsidRPr="00C25744">
        <w:rPr>
          <w:rFonts w:ascii="Arial" w:eastAsia="SimSun" w:hAnsi="Arial" w:cs="Arial"/>
          <w:color w:val="000000"/>
          <w:sz w:val="20"/>
          <w:lang w:eastAsia="zh-CN"/>
        </w:rPr>
        <w:t>or 10</w:t>
      </w:r>
      <w:r w:rsidR="00C2153C">
        <w:rPr>
          <w:rFonts w:ascii="Arial" w:eastAsia="SimSun" w:hAnsi="Arial" w:cs="Arial"/>
          <w:color w:val="000000"/>
          <w:sz w:val="20"/>
          <w:lang w:eastAsia="zh-CN"/>
        </w:rPr>
        <w:t> </w:t>
      </w:r>
      <w:r w:rsidRPr="00C25744">
        <w:rPr>
          <w:rFonts w:ascii="Arial" w:eastAsia="SimSun" w:hAnsi="Arial" w:cs="Arial"/>
          <w:color w:val="000000"/>
          <w:sz w:val="20"/>
          <w:lang w:eastAsia="zh-CN"/>
        </w:rPr>
        <w:t>per cent</w:t>
      </w:r>
      <w:r>
        <w:rPr>
          <w:rFonts w:ascii="Arial" w:eastAsia="SimSun" w:hAnsi="Arial" w:cs="Arial"/>
          <w:color w:val="000000"/>
          <w:sz w:val="20"/>
          <w:lang w:eastAsia="zh-CN"/>
        </w:rPr>
        <w:t>,</w:t>
      </w:r>
      <w:r w:rsidRPr="00C25744">
        <w:rPr>
          <w:rFonts w:ascii="Arial" w:eastAsia="SimSun" w:hAnsi="Arial" w:cs="Arial"/>
          <w:color w:val="000000"/>
          <w:sz w:val="20"/>
          <w:lang w:eastAsia="zh-CN"/>
        </w:rPr>
        <w:t xml:space="preserve"> compared to the </w:t>
      </w:r>
      <w:r w:rsidR="008E7FF2">
        <w:rPr>
          <w:rFonts w:ascii="Arial" w:eastAsia="SimSun" w:hAnsi="Arial" w:cs="Arial"/>
          <w:color w:val="000000"/>
          <w:sz w:val="20"/>
          <w:lang w:eastAsia="zh-CN"/>
        </w:rPr>
        <w:t xml:space="preserve">Approved </w:t>
      </w:r>
      <w:r>
        <w:rPr>
          <w:rFonts w:ascii="Arial" w:eastAsia="SimSun" w:hAnsi="Arial" w:cs="Arial"/>
          <w:color w:val="000000"/>
          <w:sz w:val="20"/>
          <w:lang w:eastAsia="zh-CN"/>
        </w:rPr>
        <w:t>B</w:t>
      </w:r>
      <w:r w:rsidRPr="00C25744">
        <w:rPr>
          <w:rFonts w:ascii="Arial" w:eastAsia="SimSun" w:hAnsi="Arial" w:cs="Arial"/>
          <w:color w:val="000000"/>
          <w:sz w:val="20"/>
          <w:lang w:eastAsia="zh-CN"/>
        </w:rPr>
        <w:t xml:space="preserve">udget for 2014/15. </w:t>
      </w:r>
      <w:r>
        <w:rPr>
          <w:rFonts w:ascii="Arial" w:eastAsia="SimSun" w:hAnsi="Arial" w:cs="Arial"/>
          <w:color w:val="000000"/>
          <w:sz w:val="20"/>
          <w:lang w:eastAsia="zh-CN"/>
        </w:rPr>
        <w:t xml:space="preserve">However, compared to </w:t>
      </w:r>
      <w:r w:rsidRPr="00C25744">
        <w:rPr>
          <w:rFonts w:ascii="Arial" w:eastAsia="SimSun" w:hAnsi="Arial" w:cs="Arial"/>
          <w:color w:val="000000"/>
          <w:sz w:val="20"/>
          <w:lang w:eastAsia="zh-CN"/>
        </w:rPr>
        <w:t>the</w:t>
      </w:r>
      <w:r>
        <w:rPr>
          <w:rFonts w:ascii="Arial" w:eastAsia="SimSun" w:hAnsi="Arial" w:cs="Arial"/>
          <w:color w:val="000000"/>
          <w:sz w:val="20"/>
          <w:lang w:eastAsia="zh-CN"/>
        </w:rPr>
        <w:t xml:space="preserve"> 2012/13 non-personnel Approved Budget</w:t>
      </w:r>
      <w:r w:rsidR="004F09D6">
        <w:rPr>
          <w:rStyle w:val="FootnoteReference"/>
          <w:rFonts w:ascii="Arial" w:eastAsia="SimSun" w:hAnsi="Arial" w:cs="Arial"/>
          <w:color w:val="000000"/>
          <w:sz w:val="20"/>
          <w:lang w:eastAsia="zh-CN"/>
        </w:rPr>
        <w:footnoteReference w:id="11"/>
      </w:r>
      <w:r>
        <w:rPr>
          <w:rFonts w:ascii="Arial" w:eastAsia="SimSun" w:hAnsi="Arial" w:cs="Arial"/>
          <w:color w:val="000000"/>
          <w:sz w:val="20"/>
          <w:lang w:eastAsia="zh-CN"/>
        </w:rPr>
        <w:t xml:space="preserve">, </w:t>
      </w:r>
      <w:r w:rsidRPr="00C25744">
        <w:rPr>
          <w:rFonts w:ascii="Arial" w:eastAsia="SimSun" w:hAnsi="Arial" w:cs="Arial"/>
          <w:color w:val="000000"/>
          <w:sz w:val="20"/>
          <w:lang w:eastAsia="zh-CN"/>
        </w:rPr>
        <w:t xml:space="preserve">the </w:t>
      </w:r>
      <w:r>
        <w:rPr>
          <w:rFonts w:ascii="Arial" w:eastAsia="SimSun" w:hAnsi="Arial" w:cs="Arial"/>
          <w:color w:val="000000"/>
          <w:sz w:val="20"/>
          <w:lang w:eastAsia="zh-CN"/>
        </w:rPr>
        <w:t>n</w:t>
      </w:r>
      <w:r w:rsidRPr="00C25744">
        <w:rPr>
          <w:rFonts w:ascii="Arial" w:eastAsia="SimSun" w:hAnsi="Arial" w:cs="Arial"/>
          <w:color w:val="000000"/>
          <w:sz w:val="20"/>
          <w:lang w:eastAsia="zh-CN"/>
        </w:rPr>
        <w:t xml:space="preserve">on-personnel budget </w:t>
      </w:r>
      <w:r>
        <w:rPr>
          <w:rFonts w:ascii="Arial" w:eastAsia="SimSun" w:hAnsi="Arial" w:cs="Arial"/>
          <w:color w:val="000000"/>
          <w:sz w:val="20"/>
          <w:lang w:eastAsia="zh-CN"/>
        </w:rPr>
        <w:t xml:space="preserve">for 2016/17 </w:t>
      </w:r>
      <w:r w:rsidRPr="00C25744">
        <w:rPr>
          <w:rFonts w:ascii="Arial" w:eastAsia="SimSun" w:hAnsi="Arial" w:cs="Arial"/>
          <w:color w:val="000000"/>
          <w:sz w:val="20"/>
          <w:lang w:eastAsia="zh-CN"/>
        </w:rPr>
        <w:t xml:space="preserve">represents an increase of </w:t>
      </w:r>
      <w:r>
        <w:rPr>
          <w:rFonts w:ascii="Arial" w:eastAsia="SimSun" w:hAnsi="Arial" w:cs="Arial"/>
          <w:color w:val="000000"/>
          <w:sz w:val="20"/>
          <w:lang w:eastAsia="zh-CN"/>
        </w:rPr>
        <w:t>4.9</w:t>
      </w:r>
      <w:r w:rsidR="00C2153C">
        <w:rPr>
          <w:rFonts w:ascii="Arial" w:eastAsia="SimSun" w:hAnsi="Arial" w:cs="Arial"/>
          <w:color w:val="000000"/>
          <w:sz w:val="20"/>
          <w:lang w:eastAsia="zh-CN"/>
        </w:rPr>
        <w:t> </w:t>
      </w:r>
      <w:r>
        <w:rPr>
          <w:rFonts w:ascii="Arial" w:eastAsia="SimSun" w:hAnsi="Arial" w:cs="Arial"/>
          <w:color w:val="000000"/>
          <w:sz w:val="20"/>
          <w:lang w:eastAsia="zh-CN"/>
        </w:rPr>
        <w:t>per cent</w:t>
      </w:r>
      <w:r w:rsidR="00632222">
        <w:rPr>
          <w:rFonts w:ascii="Arial" w:eastAsia="SimSun" w:hAnsi="Arial" w:cs="Arial"/>
          <w:color w:val="000000"/>
          <w:sz w:val="20"/>
          <w:lang w:eastAsia="zh-CN"/>
        </w:rPr>
        <w:t xml:space="preserve"> only. </w:t>
      </w:r>
    </w:p>
    <w:p w14:paraId="3410930E" w14:textId="77777777" w:rsidR="00B67D0A" w:rsidRDefault="00B67D0A" w:rsidP="00BB4CB0">
      <w:pPr>
        <w:widowControl w:val="0"/>
        <w:tabs>
          <w:tab w:val="num" w:pos="690"/>
        </w:tabs>
        <w:autoSpaceDE w:val="0"/>
        <w:autoSpaceDN w:val="0"/>
        <w:adjustRightInd w:val="0"/>
        <w:jc w:val="both"/>
        <w:rPr>
          <w:rFonts w:ascii="Arial" w:eastAsia="SimSun" w:hAnsi="Arial" w:cs="Arial"/>
          <w:color w:val="000000"/>
          <w:sz w:val="20"/>
          <w:lang w:eastAsia="zh-CN"/>
        </w:rPr>
      </w:pPr>
    </w:p>
    <w:p w14:paraId="06F90B5F" w14:textId="77777777" w:rsidR="00744022" w:rsidRDefault="00744022" w:rsidP="00B66A4A">
      <w:pPr>
        <w:pStyle w:val="ListParagraph"/>
        <w:widowControl w:val="0"/>
        <w:numPr>
          <w:ilvl w:val="0"/>
          <w:numId w:val="33"/>
        </w:numPr>
        <w:tabs>
          <w:tab w:val="left" w:pos="567"/>
        </w:tabs>
        <w:ind w:left="0" w:firstLine="0"/>
        <w:jc w:val="both"/>
        <w:rPr>
          <w:rFonts w:ascii="Arial" w:eastAsia="SimSun" w:hAnsi="Arial" w:cs="Arial"/>
          <w:color w:val="000000"/>
          <w:sz w:val="20"/>
          <w:lang w:eastAsia="zh-CN"/>
        </w:rPr>
      </w:pPr>
      <w:r w:rsidRPr="009F6D10">
        <w:rPr>
          <w:rFonts w:ascii="Arial" w:eastAsia="SimSun" w:hAnsi="Arial" w:cs="Arial"/>
          <w:color w:val="000000"/>
          <w:sz w:val="20"/>
          <w:lang w:eastAsia="zh-CN"/>
        </w:rPr>
        <w:t>The i</w:t>
      </w:r>
      <w:r>
        <w:rPr>
          <w:rFonts w:ascii="Arial" w:eastAsia="SimSun" w:hAnsi="Arial" w:cs="Arial"/>
          <w:color w:val="000000"/>
          <w:sz w:val="20"/>
          <w:lang w:eastAsia="zh-CN"/>
        </w:rPr>
        <w:t>ncrease in non-personnel costs has been enabled through a c</w:t>
      </w:r>
      <w:r w:rsidRPr="009F6D10">
        <w:rPr>
          <w:rFonts w:ascii="Arial" w:eastAsia="SimSun" w:hAnsi="Arial" w:cs="Arial"/>
          <w:color w:val="000000"/>
          <w:sz w:val="20"/>
          <w:lang w:eastAsia="zh-CN"/>
        </w:rPr>
        <w:t xml:space="preserve">onscious strategy of moving to </w:t>
      </w:r>
      <w:r>
        <w:rPr>
          <w:rFonts w:ascii="Arial" w:eastAsia="SimSun" w:hAnsi="Arial" w:cs="Arial"/>
          <w:color w:val="000000"/>
          <w:sz w:val="20"/>
          <w:lang w:eastAsia="zh-CN"/>
        </w:rPr>
        <w:t xml:space="preserve">a </w:t>
      </w:r>
      <w:r w:rsidRPr="009F6D10">
        <w:rPr>
          <w:rFonts w:ascii="Arial" w:eastAsia="SimSun" w:hAnsi="Arial" w:cs="Arial"/>
          <w:color w:val="000000"/>
          <w:sz w:val="20"/>
          <w:lang w:eastAsia="zh-CN"/>
        </w:rPr>
        <w:t xml:space="preserve">more flexible resourcing </w:t>
      </w:r>
      <w:r>
        <w:rPr>
          <w:rFonts w:ascii="Arial" w:eastAsia="SimSun" w:hAnsi="Arial" w:cs="Arial"/>
          <w:color w:val="000000"/>
          <w:sz w:val="20"/>
          <w:lang w:eastAsia="zh-CN"/>
        </w:rPr>
        <w:t xml:space="preserve">model resulting in a </w:t>
      </w:r>
      <w:r w:rsidRPr="009F6D10">
        <w:rPr>
          <w:rFonts w:ascii="Arial" w:eastAsia="SimSun" w:hAnsi="Arial" w:cs="Arial"/>
          <w:color w:val="000000"/>
          <w:sz w:val="20"/>
          <w:lang w:eastAsia="zh-CN"/>
        </w:rPr>
        <w:t>contain</w:t>
      </w:r>
      <w:r>
        <w:rPr>
          <w:rFonts w:ascii="Arial" w:eastAsia="SimSun" w:hAnsi="Arial" w:cs="Arial"/>
          <w:color w:val="000000"/>
          <w:sz w:val="20"/>
          <w:lang w:eastAsia="zh-CN"/>
        </w:rPr>
        <w:t xml:space="preserve">ment of </w:t>
      </w:r>
      <w:r w:rsidRPr="009F6D10">
        <w:rPr>
          <w:rFonts w:ascii="Arial" w:eastAsia="SimSun" w:hAnsi="Arial" w:cs="Arial"/>
          <w:color w:val="000000"/>
          <w:sz w:val="20"/>
          <w:lang w:eastAsia="zh-CN"/>
        </w:rPr>
        <w:t>personnel costs</w:t>
      </w:r>
      <w:r>
        <w:rPr>
          <w:rFonts w:ascii="Arial" w:eastAsia="SimSun" w:hAnsi="Arial" w:cs="Arial"/>
          <w:color w:val="000000"/>
          <w:sz w:val="20"/>
          <w:lang w:eastAsia="zh-CN"/>
        </w:rPr>
        <w:t xml:space="preserve">. </w:t>
      </w:r>
    </w:p>
    <w:p w14:paraId="7CE07B5D" w14:textId="77777777" w:rsidR="000F6BE2" w:rsidRPr="00B30215" w:rsidRDefault="000F6BE2" w:rsidP="00B30215">
      <w:pPr>
        <w:pStyle w:val="ListParagraph"/>
        <w:rPr>
          <w:rFonts w:ascii="Arial" w:eastAsia="SimSun" w:hAnsi="Arial" w:cs="Arial"/>
          <w:color w:val="000000"/>
          <w:sz w:val="20"/>
          <w:lang w:eastAsia="zh-CN"/>
        </w:rPr>
      </w:pPr>
    </w:p>
    <w:p w14:paraId="00CC934C" w14:textId="77777777" w:rsidR="00B67D0A" w:rsidRDefault="00B67D0A" w:rsidP="00B66A4A">
      <w:pPr>
        <w:pStyle w:val="ListParagraph"/>
        <w:widowControl w:val="0"/>
        <w:numPr>
          <w:ilvl w:val="0"/>
          <w:numId w:val="33"/>
        </w:numPr>
        <w:tabs>
          <w:tab w:val="left" w:pos="567"/>
        </w:tabs>
        <w:ind w:left="0" w:firstLine="0"/>
        <w:jc w:val="both"/>
        <w:rPr>
          <w:rFonts w:ascii="Arial" w:eastAsia="SimSun" w:hAnsi="Arial" w:cs="Arial"/>
          <w:color w:val="000000"/>
          <w:sz w:val="20"/>
          <w:lang w:eastAsia="zh-CN"/>
        </w:rPr>
      </w:pPr>
      <w:r>
        <w:rPr>
          <w:rFonts w:ascii="Arial" w:eastAsia="SimSun" w:hAnsi="Arial" w:cs="Arial"/>
          <w:color w:val="000000"/>
          <w:sz w:val="20"/>
          <w:lang w:eastAsia="zh-CN"/>
        </w:rPr>
        <w:t>The increase in non-personnel costs is driven primarily by:</w:t>
      </w:r>
    </w:p>
    <w:p w14:paraId="433B7458" w14:textId="77777777" w:rsidR="00B67D0A" w:rsidRDefault="00B67D0A" w:rsidP="00F02301">
      <w:pPr>
        <w:pStyle w:val="ListParagraph"/>
        <w:rPr>
          <w:rFonts w:ascii="Arial" w:eastAsia="SimSun" w:hAnsi="Arial" w:cs="Arial"/>
          <w:color w:val="000000"/>
          <w:sz w:val="20"/>
          <w:lang w:eastAsia="zh-CN"/>
        </w:rPr>
      </w:pPr>
    </w:p>
    <w:p w14:paraId="5AEB347A" w14:textId="77777777" w:rsidR="00B67D0A" w:rsidRDefault="00B67D0A" w:rsidP="00B66A4A">
      <w:pPr>
        <w:pStyle w:val="ListParagraph"/>
        <w:widowControl w:val="0"/>
        <w:numPr>
          <w:ilvl w:val="0"/>
          <w:numId w:val="34"/>
        </w:numPr>
        <w:tabs>
          <w:tab w:val="right" w:pos="1134"/>
        </w:tabs>
        <w:spacing w:after="240"/>
        <w:ind w:left="1134" w:hanging="567"/>
        <w:jc w:val="both"/>
        <w:rPr>
          <w:rFonts w:ascii="Arial" w:eastAsia="SimSun" w:hAnsi="Arial" w:cs="Arial"/>
          <w:color w:val="000000"/>
          <w:sz w:val="20"/>
          <w:lang w:eastAsia="zh-CN"/>
        </w:rPr>
      </w:pPr>
      <w:r w:rsidRPr="0099282B">
        <w:rPr>
          <w:rFonts w:ascii="Arial" w:eastAsia="SimSun" w:hAnsi="Arial" w:cs="Arial"/>
          <w:color w:val="000000"/>
          <w:sz w:val="20"/>
          <w:lang w:eastAsia="zh-CN"/>
        </w:rPr>
        <w:t xml:space="preserve">Increase in the PCT translation volumes </w:t>
      </w:r>
    </w:p>
    <w:p w14:paraId="1B5D9183" w14:textId="77777777" w:rsidR="0099282B" w:rsidRPr="0099282B"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0C490FD4" w14:textId="382B55CE" w:rsidR="00B67D0A" w:rsidRDefault="00B67D0A" w:rsidP="00B66A4A">
      <w:pPr>
        <w:pStyle w:val="ListParagraph"/>
        <w:widowControl w:val="0"/>
        <w:numPr>
          <w:ilvl w:val="0"/>
          <w:numId w:val="35"/>
        </w:numPr>
        <w:spacing w:after="120"/>
        <w:ind w:left="1985" w:hanging="425"/>
        <w:jc w:val="both"/>
        <w:rPr>
          <w:rFonts w:ascii="Arial" w:eastAsia="SimSun" w:hAnsi="Arial" w:cs="Arial"/>
          <w:i/>
          <w:color w:val="000000"/>
          <w:sz w:val="20"/>
          <w:lang w:eastAsia="zh-CN"/>
        </w:rPr>
      </w:pPr>
      <w:r w:rsidRPr="0099282B">
        <w:rPr>
          <w:rFonts w:ascii="Arial" w:eastAsia="SimSun" w:hAnsi="Arial" w:cs="Arial"/>
          <w:i/>
          <w:color w:val="000000"/>
          <w:sz w:val="20"/>
          <w:lang w:eastAsia="zh-CN"/>
        </w:rPr>
        <w:t>Additional estimated translation costs of 4.2 million Swiss francs (reflected in Program 5</w:t>
      </w:r>
      <w:r w:rsidR="007737CF">
        <w:rPr>
          <w:rFonts w:ascii="Arial" w:eastAsia="SimSun" w:hAnsi="Arial" w:cs="Arial"/>
          <w:i/>
          <w:color w:val="000000"/>
          <w:sz w:val="20"/>
          <w:lang w:eastAsia="zh-CN"/>
        </w:rPr>
        <w:t xml:space="preserve"> – The PCT System</w:t>
      </w:r>
      <w:r w:rsidRPr="0099282B">
        <w:rPr>
          <w:rFonts w:ascii="Arial" w:eastAsia="SimSun" w:hAnsi="Arial" w:cs="Arial"/>
          <w:i/>
          <w:color w:val="000000"/>
          <w:sz w:val="20"/>
          <w:lang w:eastAsia="zh-CN"/>
        </w:rPr>
        <w:t>)</w:t>
      </w:r>
    </w:p>
    <w:p w14:paraId="28CEE90F" w14:textId="77777777" w:rsidR="0099282B" w:rsidRPr="0099282B" w:rsidRDefault="0099282B" w:rsidP="0099282B">
      <w:pPr>
        <w:pStyle w:val="ListParagraph"/>
        <w:widowControl w:val="0"/>
        <w:spacing w:after="120"/>
        <w:ind w:left="1985"/>
        <w:jc w:val="both"/>
        <w:rPr>
          <w:rFonts w:ascii="Arial" w:eastAsia="SimSun" w:hAnsi="Arial" w:cs="Arial"/>
          <w:i/>
          <w:color w:val="000000"/>
          <w:sz w:val="20"/>
          <w:lang w:eastAsia="zh-CN"/>
        </w:rPr>
      </w:pPr>
    </w:p>
    <w:p w14:paraId="5BC903F6" w14:textId="77777777" w:rsidR="00B67D0A" w:rsidRDefault="00B67D0A" w:rsidP="00B66A4A">
      <w:pPr>
        <w:pStyle w:val="ListParagraph"/>
        <w:widowControl w:val="0"/>
        <w:numPr>
          <w:ilvl w:val="0"/>
          <w:numId w:val="34"/>
        </w:numPr>
        <w:tabs>
          <w:tab w:val="right" w:pos="1134"/>
        </w:tabs>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 xml:space="preserve">Expanding membership of the Madrid System and enhancement of the operational efficiencies of the system </w:t>
      </w:r>
    </w:p>
    <w:p w14:paraId="24CFA873"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49A9CC8F" w14:textId="6E92724A" w:rsidR="00B67D0A" w:rsidRDefault="00B67D0A" w:rsidP="00B66A4A">
      <w:pPr>
        <w:pStyle w:val="ListParagraph"/>
        <w:widowControl w:val="0"/>
        <w:numPr>
          <w:ilvl w:val="0"/>
          <w:numId w:val="35"/>
        </w:numPr>
        <w:spacing w:after="120"/>
        <w:ind w:left="1985" w:hanging="425"/>
        <w:jc w:val="both"/>
        <w:rPr>
          <w:rFonts w:ascii="Arial" w:eastAsia="SimSun" w:hAnsi="Arial" w:cs="Arial"/>
          <w:i/>
          <w:color w:val="000000"/>
          <w:sz w:val="20"/>
          <w:lang w:eastAsia="zh-CN"/>
        </w:rPr>
      </w:pPr>
      <w:r w:rsidRPr="00BE49CE">
        <w:rPr>
          <w:rFonts w:ascii="Arial" w:eastAsia="SimSun" w:hAnsi="Arial" w:cs="Arial"/>
          <w:i/>
          <w:color w:val="000000"/>
          <w:sz w:val="20"/>
          <w:lang w:eastAsia="zh-CN"/>
        </w:rPr>
        <w:t>Additional estimated non-personnel resources requirements for the Madrid System of 2.5 million Swiss francs (reflected in Program 6</w:t>
      </w:r>
      <w:r w:rsidR="007737CF">
        <w:rPr>
          <w:rFonts w:ascii="Arial" w:eastAsia="SimSun" w:hAnsi="Arial" w:cs="Arial"/>
          <w:i/>
          <w:color w:val="000000"/>
          <w:sz w:val="20"/>
          <w:lang w:eastAsia="zh-CN"/>
        </w:rPr>
        <w:t xml:space="preserve"> – Madrid System</w:t>
      </w:r>
      <w:r w:rsidRPr="00BE49CE">
        <w:rPr>
          <w:rFonts w:ascii="Arial" w:eastAsia="SimSun" w:hAnsi="Arial" w:cs="Arial"/>
          <w:i/>
          <w:color w:val="000000"/>
          <w:sz w:val="20"/>
          <w:lang w:eastAsia="zh-CN"/>
        </w:rPr>
        <w:t>)</w:t>
      </w:r>
    </w:p>
    <w:p w14:paraId="4D7E0441" w14:textId="77777777" w:rsidR="0099282B" w:rsidRPr="00BE49CE" w:rsidRDefault="0099282B" w:rsidP="0099282B">
      <w:pPr>
        <w:pStyle w:val="ListParagraph"/>
        <w:widowControl w:val="0"/>
        <w:spacing w:after="120"/>
        <w:ind w:left="1985"/>
        <w:jc w:val="both"/>
        <w:rPr>
          <w:rFonts w:ascii="Arial" w:eastAsia="SimSun" w:hAnsi="Arial" w:cs="Arial"/>
          <w:i/>
          <w:color w:val="000000"/>
          <w:sz w:val="20"/>
          <w:lang w:eastAsia="zh-CN"/>
        </w:rPr>
      </w:pPr>
    </w:p>
    <w:p w14:paraId="71E27BE4" w14:textId="77777777" w:rsidR="00B67D0A" w:rsidRDefault="00B67D0A" w:rsidP="00B66A4A">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Increased dependencies on Information and Communication Technologies, and need for enhanced PCT resilience and ICT security</w:t>
      </w:r>
    </w:p>
    <w:p w14:paraId="767603D8"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18B7C62D" w14:textId="0A915229" w:rsidR="00B67D0A" w:rsidRPr="0099282B" w:rsidRDefault="00B67D0A" w:rsidP="00B66A4A">
      <w:pPr>
        <w:pStyle w:val="ListParagraph"/>
        <w:widowControl w:val="0"/>
        <w:numPr>
          <w:ilvl w:val="0"/>
          <w:numId w:val="35"/>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Additional estimated non-personnel resources requirements of 1.4 million Swiss francs (reflected under Program 5</w:t>
      </w:r>
      <w:r w:rsidR="007737CF">
        <w:rPr>
          <w:rFonts w:ascii="Arial" w:eastAsia="SimSun" w:hAnsi="Arial" w:cs="Arial"/>
          <w:i/>
          <w:color w:val="000000"/>
          <w:sz w:val="20"/>
          <w:lang w:eastAsia="zh-CN"/>
        </w:rPr>
        <w:t xml:space="preserve"> – The PCT System</w:t>
      </w:r>
      <w:r w:rsidRPr="00BE49CE">
        <w:rPr>
          <w:rFonts w:ascii="Arial" w:eastAsia="SimSun" w:hAnsi="Arial" w:cs="Arial"/>
          <w:i/>
          <w:color w:val="000000"/>
          <w:sz w:val="20"/>
          <w:lang w:eastAsia="zh-CN"/>
        </w:rPr>
        <w:t>), 6.9 million Swiss francs (reflected in Program 25</w:t>
      </w:r>
      <w:r w:rsidR="007737CF">
        <w:rPr>
          <w:rFonts w:ascii="Arial" w:eastAsia="SimSun" w:hAnsi="Arial" w:cs="Arial"/>
          <w:i/>
          <w:color w:val="000000"/>
          <w:sz w:val="20"/>
          <w:lang w:eastAsia="zh-CN"/>
        </w:rPr>
        <w:t xml:space="preserve"> – Information and Communication Technology</w:t>
      </w:r>
      <w:r w:rsidRPr="00BE49CE">
        <w:rPr>
          <w:rFonts w:ascii="Arial" w:eastAsia="SimSun" w:hAnsi="Arial" w:cs="Arial"/>
          <w:i/>
          <w:color w:val="000000"/>
          <w:sz w:val="20"/>
          <w:lang w:eastAsia="zh-CN"/>
        </w:rPr>
        <w:t>) and 3.9 million Swiss francs (reflected in Program 28</w:t>
      </w:r>
      <w:r w:rsidR="007737CF">
        <w:rPr>
          <w:rFonts w:ascii="Arial" w:eastAsia="SimSun" w:hAnsi="Arial" w:cs="Arial"/>
          <w:i/>
          <w:color w:val="000000"/>
          <w:sz w:val="20"/>
          <w:lang w:eastAsia="zh-CN"/>
        </w:rPr>
        <w:t xml:space="preserve"> – Information Assurance, Safety and Security</w:t>
      </w:r>
      <w:r w:rsidRPr="00BE49CE">
        <w:rPr>
          <w:rFonts w:ascii="Arial" w:eastAsia="SimSun" w:hAnsi="Arial" w:cs="Arial"/>
          <w:i/>
          <w:color w:val="000000"/>
          <w:sz w:val="20"/>
          <w:lang w:eastAsia="zh-CN"/>
        </w:rPr>
        <w:t xml:space="preserve">) </w:t>
      </w:r>
    </w:p>
    <w:p w14:paraId="287E6FFA" w14:textId="77777777" w:rsidR="0099282B" w:rsidRPr="00BE49CE" w:rsidRDefault="0099282B" w:rsidP="0099282B">
      <w:pPr>
        <w:pStyle w:val="ListParagraph"/>
        <w:widowControl w:val="0"/>
        <w:spacing w:after="120"/>
        <w:ind w:left="1985"/>
        <w:jc w:val="both"/>
        <w:rPr>
          <w:rFonts w:ascii="Arial" w:eastAsia="SimSun" w:hAnsi="Arial" w:cs="Arial"/>
          <w:color w:val="000000"/>
          <w:sz w:val="20"/>
          <w:lang w:eastAsia="zh-CN"/>
        </w:rPr>
      </w:pPr>
    </w:p>
    <w:p w14:paraId="273B0822" w14:textId="77777777" w:rsidR="00B67D0A" w:rsidRDefault="00B67D0A" w:rsidP="00B66A4A">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 xml:space="preserve">Increased ERP footprint in operations </w:t>
      </w:r>
    </w:p>
    <w:p w14:paraId="159AA310"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1EB3B807" w14:textId="0EFA3F9E" w:rsidR="00B67D0A" w:rsidRPr="0099282B" w:rsidRDefault="00B67D0A" w:rsidP="00B66A4A">
      <w:pPr>
        <w:pStyle w:val="ListParagraph"/>
        <w:widowControl w:val="0"/>
        <w:numPr>
          <w:ilvl w:val="0"/>
          <w:numId w:val="35"/>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Additional estimated non-personnel resources requirements of 1.6 million Swiss francs (reflected under Program 22</w:t>
      </w:r>
      <w:r w:rsidR="007737CF">
        <w:rPr>
          <w:rFonts w:ascii="Arial" w:eastAsia="SimSun" w:hAnsi="Arial" w:cs="Arial"/>
          <w:i/>
          <w:color w:val="000000"/>
          <w:sz w:val="20"/>
          <w:lang w:eastAsia="zh-CN"/>
        </w:rPr>
        <w:t xml:space="preserve"> – Program and Resource Management</w:t>
      </w:r>
      <w:r w:rsidRPr="00BE49CE">
        <w:rPr>
          <w:rFonts w:ascii="Arial" w:eastAsia="SimSun" w:hAnsi="Arial" w:cs="Arial"/>
          <w:i/>
          <w:color w:val="000000"/>
          <w:sz w:val="20"/>
          <w:lang w:eastAsia="zh-CN"/>
        </w:rPr>
        <w:t>)</w:t>
      </w:r>
    </w:p>
    <w:p w14:paraId="686E5D19" w14:textId="77777777" w:rsidR="0099282B" w:rsidRPr="00BE49CE" w:rsidRDefault="0099282B" w:rsidP="0099282B">
      <w:pPr>
        <w:pStyle w:val="ListParagraph"/>
        <w:widowControl w:val="0"/>
        <w:spacing w:after="120"/>
        <w:ind w:left="1985"/>
        <w:jc w:val="both"/>
        <w:rPr>
          <w:rFonts w:ascii="Arial" w:eastAsia="SimSun" w:hAnsi="Arial" w:cs="Arial"/>
          <w:color w:val="000000"/>
          <w:sz w:val="20"/>
          <w:lang w:eastAsia="zh-CN"/>
        </w:rPr>
      </w:pPr>
    </w:p>
    <w:p w14:paraId="0B436C35" w14:textId="77777777" w:rsidR="00B67D0A" w:rsidRDefault="00B67D0A" w:rsidP="00B66A4A">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Negative interest rates on Swiss franc deposits</w:t>
      </w:r>
    </w:p>
    <w:p w14:paraId="6CF68270"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349AEA2C" w14:textId="765DB77D" w:rsidR="00B67D0A" w:rsidRPr="00BE49CE" w:rsidRDefault="00B67D0A" w:rsidP="00B66A4A">
      <w:pPr>
        <w:pStyle w:val="ListParagraph"/>
        <w:widowControl w:val="0"/>
        <w:numPr>
          <w:ilvl w:val="0"/>
          <w:numId w:val="35"/>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Estimated non-personnel resources requirements of 2.4 million Swiss francs (reflected under Program 22</w:t>
      </w:r>
      <w:r w:rsidR="007737CF">
        <w:rPr>
          <w:rFonts w:ascii="Arial" w:eastAsia="SimSun" w:hAnsi="Arial" w:cs="Arial"/>
          <w:i/>
          <w:color w:val="000000"/>
          <w:sz w:val="20"/>
          <w:lang w:eastAsia="zh-CN"/>
        </w:rPr>
        <w:t xml:space="preserve"> – Program and Resource Management</w:t>
      </w:r>
      <w:r w:rsidRPr="00BE49CE">
        <w:rPr>
          <w:rFonts w:ascii="Arial" w:eastAsia="SimSun" w:hAnsi="Arial" w:cs="Arial"/>
          <w:i/>
          <w:color w:val="000000"/>
          <w:sz w:val="20"/>
          <w:lang w:eastAsia="zh-CN"/>
        </w:rPr>
        <w:t>)</w:t>
      </w:r>
    </w:p>
    <w:p w14:paraId="3B18FCE4" w14:textId="77777777" w:rsidR="005925B1" w:rsidRDefault="005925B1" w:rsidP="00DA3F93">
      <w:pPr>
        <w:pStyle w:val="ListParagraph"/>
        <w:keepNext/>
        <w:keepLines/>
        <w:widowControl w:val="0"/>
        <w:tabs>
          <w:tab w:val="left" w:pos="567"/>
        </w:tabs>
        <w:ind w:left="0"/>
        <w:jc w:val="both"/>
        <w:rPr>
          <w:rFonts w:ascii="Arial" w:eastAsia="SimSun" w:hAnsi="Arial" w:cs="Arial"/>
          <w:color w:val="000000"/>
          <w:sz w:val="20"/>
          <w:lang w:eastAsia="zh-CN"/>
        </w:rPr>
      </w:pPr>
    </w:p>
    <w:p w14:paraId="20E26409" w14:textId="4A8180C4" w:rsidR="0048537A" w:rsidRDefault="0048537A" w:rsidP="00B66A4A">
      <w:pPr>
        <w:pStyle w:val="ListParagraph"/>
        <w:widowControl w:val="0"/>
        <w:numPr>
          <w:ilvl w:val="0"/>
          <w:numId w:val="33"/>
        </w:numPr>
        <w:tabs>
          <w:tab w:val="left" w:pos="567"/>
        </w:tabs>
        <w:ind w:left="0" w:firstLine="0"/>
        <w:jc w:val="both"/>
        <w:rPr>
          <w:rFonts w:ascii="Arial" w:eastAsia="SimSun" w:hAnsi="Arial" w:cs="Arial"/>
          <w:color w:val="000000"/>
          <w:sz w:val="20"/>
          <w:lang w:eastAsia="zh-CN"/>
        </w:rPr>
      </w:pPr>
      <w:r>
        <w:rPr>
          <w:rFonts w:ascii="Arial" w:hAnsi="Arial"/>
          <w:sz w:val="20"/>
          <w:lang w:val="en-CA"/>
        </w:rPr>
        <w:t>T</w:t>
      </w:r>
      <w:r w:rsidRPr="00FF2ABC">
        <w:rPr>
          <w:rFonts w:ascii="Arial" w:hAnsi="Arial" w:cs="Arial"/>
          <w:sz w:val="20"/>
        </w:rPr>
        <w:t xml:space="preserve">he Secretariat has budgeted for </w:t>
      </w:r>
      <w:r>
        <w:rPr>
          <w:rFonts w:ascii="Arial" w:hAnsi="Arial" w:cs="Arial"/>
          <w:sz w:val="20"/>
        </w:rPr>
        <w:t>requirements</w:t>
      </w:r>
      <w:r w:rsidRPr="00FF2ABC">
        <w:rPr>
          <w:rFonts w:ascii="Arial" w:hAnsi="Arial" w:cs="Arial"/>
          <w:sz w:val="20"/>
        </w:rPr>
        <w:t xml:space="preserve"> </w:t>
      </w:r>
      <w:r>
        <w:rPr>
          <w:rFonts w:ascii="Arial" w:hAnsi="Arial" w:cs="Arial"/>
          <w:sz w:val="20"/>
        </w:rPr>
        <w:t xml:space="preserve">related to </w:t>
      </w:r>
      <w:r w:rsidRPr="00774682">
        <w:rPr>
          <w:rFonts w:ascii="Arial" w:hAnsi="Arial" w:cs="Arial"/>
          <w:sz w:val="20"/>
        </w:rPr>
        <w:t>renovations, transformations and/or modernization of premises</w:t>
      </w:r>
      <w:r>
        <w:rPr>
          <w:rFonts w:ascii="Arial" w:hAnsi="Arial" w:cs="Arial"/>
          <w:sz w:val="20"/>
        </w:rPr>
        <w:t xml:space="preserve"> </w:t>
      </w:r>
      <w:r w:rsidRPr="00FF2ABC">
        <w:rPr>
          <w:rFonts w:ascii="Arial" w:hAnsi="Arial" w:cs="Arial"/>
          <w:sz w:val="20"/>
        </w:rPr>
        <w:t>within the regular budget</w:t>
      </w:r>
      <w:r>
        <w:rPr>
          <w:rFonts w:ascii="Arial" w:hAnsi="Arial" w:cs="Arial"/>
          <w:sz w:val="20"/>
        </w:rPr>
        <w:t xml:space="preserve"> of Program 24 (General Support Services). </w:t>
      </w:r>
    </w:p>
    <w:p w14:paraId="282479A0" w14:textId="77777777" w:rsidR="0048537A" w:rsidRDefault="0048537A" w:rsidP="0048537A">
      <w:pPr>
        <w:widowControl w:val="0"/>
        <w:tabs>
          <w:tab w:val="num" w:pos="690"/>
        </w:tabs>
        <w:jc w:val="both"/>
        <w:rPr>
          <w:rFonts w:ascii="Arial" w:eastAsia="SimSun" w:hAnsi="Arial" w:cs="Arial"/>
          <w:color w:val="000000"/>
          <w:sz w:val="20"/>
          <w:lang w:eastAsia="zh-CN"/>
        </w:rPr>
      </w:pPr>
    </w:p>
    <w:p w14:paraId="7738CD25" w14:textId="7DBE9223" w:rsidR="00744022" w:rsidRDefault="00744022" w:rsidP="00B66A4A">
      <w:pPr>
        <w:pStyle w:val="ListParagraph"/>
        <w:keepNext/>
        <w:keepLines/>
        <w:widowControl w:val="0"/>
        <w:numPr>
          <w:ilvl w:val="0"/>
          <w:numId w:val="33"/>
        </w:numPr>
        <w:tabs>
          <w:tab w:val="left" w:pos="567"/>
        </w:tabs>
        <w:ind w:left="0" w:firstLine="0"/>
        <w:jc w:val="both"/>
        <w:rPr>
          <w:rFonts w:ascii="Arial" w:eastAsia="SimSun" w:hAnsi="Arial" w:cs="Arial"/>
          <w:color w:val="000000"/>
          <w:sz w:val="20"/>
          <w:lang w:eastAsia="zh-CN"/>
        </w:rPr>
      </w:pPr>
      <w:r w:rsidRPr="00C25744">
        <w:rPr>
          <w:rFonts w:ascii="Arial" w:eastAsia="SimSun" w:hAnsi="Arial" w:cs="Arial"/>
          <w:color w:val="000000"/>
          <w:sz w:val="20"/>
          <w:lang w:eastAsia="zh-CN"/>
        </w:rPr>
        <w:t xml:space="preserve">Cost efficiency measures identified in the biennium 2014/15 are baselined into the </w:t>
      </w:r>
      <w:r>
        <w:rPr>
          <w:rFonts w:ascii="Arial" w:eastAsia="SimSun" w:hAnsi="Arial" w:cs="Arial"/>
          <w:color w:val="000000"/>
          <w:sz w:val="20"/>
          <w:lang w:eastAsia="zh-CN"/>
        </w:rPr>
        <w:t>P</w:t>
      </w:r>
      <w:r w:rsidRPr="00C25744">
        <w:rPr>
          <w:rFonts w:ascii="Arial" w:eastAsia="SimSun" w:hAnsi="Arial" w:cs="Arial"/>
          <w:color w:val="000000"/>
          <w:sz w:val="20"/>
          <w:lang w:eastAsia="zh-CN"/>
        </w:rPr>
        <w:t xml:space="preserve">rogram and </w:t>
      </w:r>
      <w:r>
        <w:rPr>
          <w:rFonts w:ascii="Arial" w:eastAsia="SimSun" w:hAnsi="Arial" w:cs="Arial"/>
          <w:color w:val="000000"/>
          <w:sz w:val="20"/>
          <w:lang w:eastAsia="zh-CN"/>
        </w:rPr>
        <w:t>B</w:t>
      </w:r>
      <w:r w:rsidRPr="00C25744">
        <w:rPr>
          <w:rFonts w:ascii="Arial" w:eastAsia="SimSun" w:hAnsi="Arial" w:cs="Arial"/>
          <w:color w:val="000000"/>
          <w:sz w:val="20"/>
          <w:lang w:eastAsia="zh-CN"/>
        </w:rPr>
        <w:t>udget 2016/17 (i.e. travel cost</w:t>
      </w:r>
      <w:r>
        <w:rPr>
          <w:rFonts w:ascii="Arial" w:eastAsia="SimSun" w:hAnsi="Arial" w:cs="Arial"/>
          <w:color w:val="000000"/>
          <w:sz w:val="20"/>
          <w:lang w:eastAsia="zh-CN"/>
        </w:rPr>
        <w:t xml:space="preserve"> and </w:t>
      </w:r>
      <w:r w:rsidRPr="00C25744">
        <w:rPr>
          <w:rFonts w:ascii="Arial" w:eastAsia="SimSun" w:hAnsi="Arial" w:cs="Arial"/>
          <w:color w:val="000000"/>
          <w:sz w:val="20"/>
          <w:lang w:eastAsia="zh-CN"/>
        </w:rPr>
        <w:t>contract efficiencies, reduction in printing costs, right sourcing of translation,</w:t>
      </w:r>
      <w:r w:rsidR="007737CF">
        <w:rPr>
          <w:rFonts w:ascii="Arial" w:eastAsia="SimSun" w:hAnsi="Arial" w:cs="Arial"/>
          <w:color w:val="000000"/>
          <w:sz w:val="20"/>
          <w:lang w:eastAsia="zh-CN"/>
        </w:rPr>
        <w:t xml:space="preserve"> </w:t>
      </w:r>
      <w:proofErr w:type="spellStart"/>
      <w:r w:rsidR="007737CF">
        <w:rPr>
          <w:rFonts w:ascii="Arial" w:eastAsia="SimSun" w:hAnsi="Arial" w:cs="Arial"/>
          <w:color w:val="000000"/>
          <w:sz w:val="20"/>
          <w:lang w:eastAsia="zh-CN"/>
        </w:rPr>
        <w:t>etc</w:t>
      </w:r>
      <w:proofErr w:type="spellEnd"/>
      <w:r w:rsidR="007737CF">
        <w:rPr>
          <w:rFonts w:ascii="Arial" w:eastAsia="SimSun" w:hAnsi="Arial" w:cs="Arial"/>
          <w:color w:val="000000"/>
          <w:sz w:val="20"/>
          <w:lang w:eastAsia="zh-CN"/>
        </w:rPr>
        <w:t>). Further cost efficiency</w:t>
      </w:r>
      <w:r w:rsidRPr="00C25744">
        <w:rPr>
          <w:rFonts w:ascii="Arial" w:eastAsia="SimSun" w:hAnsi="Arial" w:cs="Arial"/>
          <w:color w:val="000000"/>
          <w:sz w:val="20"/>
          <w:lang w:eastAsia="zh-CN"/>
        </w:rPr>
        <w:t xml:space="preserve"> measures will continue to be identified and implemented during the biennium</w:t>
      </w:r>
      <w:r>
        <w:rPr>
          <w:rFonts w:ascii="Arial" w:eastAsia="SimSun" w:hAnsi="Arial" w:cs="Arial"/>
          <w:color w:val="000000"/>
          <w:sz w:val="20"/>
          <w:lang w:eastAsia="zh-CN"/>
        </w:rPr>
        <w:t>,</w:t>
      </w:r>
      <w:r w:rsidRPr="00C25744">
        <w:rPr>
          <w:rFonts w:ascii="Arial" w:eastAsia="SimSun" w:hAnsi="Arial" w:cs="Arial"/>
          <w:color w:val="000000"/>
          <w:sz w:val="20"/>
          <w:lang w:eastAsia="zh-CN"/>
        </w:rPr>
        <w:t xml:space="preserve"> including through the Geneva International Collaboration Group, an informal group of Geneva-based international organizations established in 2014. The Group aims at achieving economies of scale in areas including insurance, conference and printing services and host country services.  </w:t>
      </w:r>
    </w:p>
    <w:p w14:paraId="5E6F8471" w14:textId="77777777" w:rsidR="00744022" w:rsidRDefault="00744022" w:rsidP="00292FCD">
      <w:pPr>
        <w:widowControl w:val="0"/>
        <w:tabs>
          <w:tab w:val="num" w:pos="690"/>
        </w:tabs>
        <w:jc w:val="both"/>
        <w:rPr>
          <w:rFonts w:ascii="Arial" w:hAnsi="Arial" w:cs="Arial"/>
          <w:sz w:val="20"/>
        </w:rPr>
      </w:pPr>
    </w:p>
    <w:p w14:paraId="59230C6F" w14:textId="77777777" w:rsidR="00744022" w:rsidRPr="00C25744" w:rsidRDefault="00744022" w:rsidP="00292FCD">
      <w:pPr>
        <w:widowControl w:val="0"/>
        <w:tabs>
          <w:tab w:val="num" w:pos="690"/>
        </w:tabs>
        <w:jc w:val="both"/>
        <w:rPr>
          <w:rFonts w:ascii="Arial" w:hAnsi="Arial" w:cs="Arial"/>
          <w:sz w:val="20"/>
        </w:rPr>
      </w:pPr>
    </w:p>
    <w:p w14:paraId="14862CED" w14:textId="77777777" w:rsidR="00B67D0A" w:rsidRPr="0012075E" w:rsidRDefault="00B67D0A" w:rsidP="00972CF5">
      <w:pPr>
        <w:keepNext/>
        <w:keepLines/>
        <w:jc w:val="both"/>
        <w:rPr>
          <w:rFonts w:ascii="Arial" w:hAnsi="Arial"/>
          <w:b/>
          <w:sz w:val="20"/>
          <w:lang w:val="en-CA"/>
        </w:rPr>
      </w:pPr>
      <w:r w:rsidRPr="0012075E">
        <w:rPr>
          <w:rFonts w:ascii="Arial" w:hAnsi="Arial"/>
          <w:b/>
          <w:sz w:val="20"/>
          <w:lang w:val="en-CA"/>
        </w:rPr>
        <w:lastRenderedPageBreak/>
        <w:t>Cost category changes</w:t>
      </w:r>
    </w:p>
    <w:p w14:paraId="7A7630CC" w14:textId="77777777" w:rsidR="00B67D0A" w:rsidRDefault="00B67D0A" w:rsidP="00972CF5">
      <w:pPr>
        <w:keepNext/>
        <w:keepLines/>
        <w:jc w:val="both"/>
        <w:rPr>
          <w:rFonts w:ascii="Arial" w:hAnsi="Arial"/>
          <w:sz w:val="20"/>
          <w:lang w:val="en-CA"/>
        </w:rPr>
      </w:pPr>
    </w:p>
    <w:p w14:paraId="233B04DD" w14:textId="77777777" w:rsidR="00B67D0A" w:rsidRDefault="00B67D0A" w:rsidP="00B66A4A">
      <w:pPr>
        <w:pStyle w:val="ListParagraph"/>
        <w:keepNext/>
        <w:keepLines/>
        <w:widowControl w:val="0"/>
        <w:numPr>
          <w:ilvl w:val="0"/>
          <w:numId w:val="33"/>
        </w:numPr>
        <w:tabs>
          <w:tab w:val="left" w:pos="567"/>
        </w:tabs>
        <w:ind w:left="0" w:firstLine="0"/>
        <w:jc w:val="both"/>
        <w:rPr>
          <w:rFonts w:ascii="Arial" w:hAnsi="Arial"/>
          <w:sz w:val="20"/>
          <w:lang w:val="en-CA"/>
        </w:rPr>
      </w:pPr>
      <w:r>
        <w:rPr>
          <w:rFonts w:ascii="Arial" w:hAnsi="Arial"/>
          <w:sz w:val="20"/>
          <w:lang w:val="en-CA"/>
        </w:rPr>
        <w:t>The changes in cost categories for 2016/17</w:t>
      </w:r>
      <w:r w:rsidRPr="00292FCD">
        <w:rPr>
          <w:rStyle w:val="FootnoteReference"/>
          <w:rFonts w:ascii="Arial" w:hAnsi="Arial"/>
          <w:sz w:val="20"/>
          <w:lang w:val="en-CA"/>
        </w:rPr>
        <w:footnoteReference w:id="12"/>
      </w:r>
      <w:r>
        <w:rPr>
          <w:rFonts w:ascii="Arial" w:hAnsi="Arial"/>
          <w:sz w:val="20"/>
          <w:lang w:val="en-CA"/>
        </w:rPr>
        <w:t xml:space="preserve"> are as follows:</w:t>
      </w:r>
    </w:p>
    <w:p w14:paraId="2A36446A" w14:textId="77777777" w:rsidR="00B67D0A" w:rsidRDefault="00B67D0A" w:rsidP="00972CF5">
      <w:pPr>
        <w:keepNext/>
        <w:keepLines/>
        <w:jc w:val="both"/>
        <w:rPr>
          <w:rFonts w:ascii="Arial" w:hAnsi="Arial"/>
          <w:sz w:val="20"/>
          <w:lang w:val="en-CA"/>
        </w:rPr>
      </w:pPr>
    </w:p>
    <w:p w14:paraId="7EEB5DD6" w14:textId="04099962"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A new cost category “Finance Cost” has been created following the recommendation of the External Auditor to report separately the interest payments on the loan on the New Building (budgeted in Program</w:t>
      </w:r>
      <w:r w:rsidR="00292FCD">
        <w:rPr>
          <w:rFonts w:ascii="Arial" w:hAnsi="Arial"/>
          <w:sz w:val="20"/>
          <w:lang w:val="en-CA"/>
        </w:rPr>
        <w:t> </w:t>
      </w:r>
      <w:r>
        <w:rPr>
          <w:rFonts w:ascii="Arial" w:hAnsi="Arial"/>
          <w:sz w:val="20"/>
          <w:lang w:val="en-CA"/>
        </w:rPr>
        <w:t>24) and bank charges, including the payment of negative interest rates on Swiss franc deposits (budgeted in Program 22). As a result, an increase of 6.4 million Swiss francs can be observed under “Finance Costs” partially offset by a decrease of 3.5 million Swiss francs under “Premises and Maintenance” (the interest payments on the loan w</w:t>
      </w:r>
      <w:r w:rsidR="003E0261">
        <w:rPr>
          <w:rFonts w:ascii="Arial" w:hAnsi="Arial"/>
          <w:sz w:val="20"/>
          <w:lang w:val="en-CA"/>
        </w:rPr>
        <w:t>ere</w:t>
      </w:r>
      <w:r>
        <w:rPr>
          <w:rFonts w:ascii="Arial" w:hAnsi="Arial"/>
          <w:sz w:val="20"/>
          <w:lang w:val="en-CA"/>
        </w:rPr>
        <w:t xml:space="preserve"> previously budgeted under the latter cost category).  In 2016 /17, the former “Admin and Bank Charges” cost category is therefore replaced by “Finance Costs”. </w:t>
      </w:r>
    </w:p>
    <w:p w14:paraId="267BD7F3" w14:textId="77777777" w:rsidR="00B67D0A" w:rsidRDefault="00B67D0A" w:rsidP="00F02301">
      <w:pPr>
        <w:jc w:val="both"/>
        <w:rPr>
          <w:rFonts w:ascii="Arial" w:hAnsi="Arial"/>
          <w:sz w:val="20"/>
          <w:lang w:val="en-CA"/>
        </w:rPr>
      </w:pPr>
    </w:p>
    <w:p w14:paraId="78184CD5" w14:textId="48220EF0"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The new cost category “Representation and other operating expenses”, groups representation cost</w:t>
      </w:r>
      <w:r w:rsidR="003E0261">
        <w:rPr>
          <w:rFonts w:ascii="Arial" w:hAnsi="Arial"/>
          <w:sz w:val="20"/>
          <w:lang w:val="en-CA"/>
        </w:rPr>
        <w:t>s</w:t>
      </w:r>
      <w:r>
        <w:rPr>
          <w:rFonts w:ascii="Arial" w:hAnsi="Arial"/>
          <w:sz w:val="20"/>
          <w:lang w:val="en-CA"/>
        </w:rPr>
        <w:t xml:space="preserve"> and other operating expenses (budgeted in 2014/15 under “Admin and Bank Charges”). This results in an increase of 0.3 million Swiss francs for 2016/17.</w:t>
      </w:r>
    </w:p>
    <w:p w14:paraId="57487320" w14:textId="77777777" w:rsidR="00B67D0A" w:rsidRDefault="00B67D0A" w:rsidP="00F02301">
      <w:pPr>
        <w:jc w:val="both"/>
        <w:rPr>
          <w:rFonts w:ascii="Arial" w:hAnsi="Arial"/>
          <w:sz w:val="20"/>
          <w:lang w:val="en-CA"/>
        </w:rPr>
      </w:pPr>
    </w:p>
    <w:p w14:paraId="1175741C" w14:textId="77777777"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 xml:space="preserve">The former cost category “Course Fellowships” has been renamed “Training and related travel grants” to better distinguish the nature of this expenditure from the “WIPO Fellowships”. Although the decrease in this category compared to the 2014/15 Budget after Transfers amounts to 0.8 million Swiss francs, the decrease compared to the 2014/15 Approved Budget amounts only to 0.2 million </w:t>
      </w:r>
      <w:r w:rsidRPr="000647AC">
        <w:rPr>
          <w:rFonts w:ascii="Arial" w:hAnsi="Arial"/>
          <w:sz w:val="20"/>
          <w:lang w:val="en-CA"/>
        </w:rPr>
        <w:t>Swiss francs. The observed changes reflect a redistribution of resources within the WIPO Academy and Program 3 (Copyright and Related Rights).</w:t>
      </w:r>
    </w:p>
    <w:p w14:paraId="61F415B6" w14:textId="77777777" w:rsidR="00B67D0A" w:rsidRDefault="00B67D0A" w:rsidP="00F02301">
      <w:pPr>
        <w:jc w:val="both"/>
        <w:rPr>
          <w:rFonts w:ascii="Arial" w:hAnsi="Arial"/>
          <w:sz w:val="20"/>
          <w:lang w:val="en-CA"/>
        </w:rPr>
      </w:pPr>
    </w:p>
    <w:p w14:paraId="6BF1C227" w14:textId="0DAF4CFE"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The increase in “Other Contractual Services” of 21.4 million, or 21.6 per cent, compared to the 2014/15 Budget after Transfers primarily relate</w:t>
      </w:r>
      <w:r w:rsidR="003866D2">
        <w:rPr>
          <w:rFonts w:ascii="Arial" w:hAnsi="Arial"/>
          <w:sz w:val="20"/>
          <w:lang w:val="en-CA"/>
        </w:rPr>
        <w:t>s</w:t>
      </w:r>
      <w:r>
        <w:rPr>
          <w:rFonts w:ascii="Arial" w:hAnsi="Arial"/>
          <w:sz w:val="20"/>
          <w:lang w:val="en-CA"/>
        </w:rPr>
        <w:t xml:space="preserve"> to the increase in PCT translation volumes, the need for enhanced PCT resilience, increased dependencies on ICT and information security. The latter also results in an increase in “Supplies and Materials” (notably the increased cost of software and licenses). </w:t>
      </w:r>
    </w:p>
    <w:p w14:paraId="34B2469C" w14:textId="77777777" w:rsidR="00B67D0A" w:rsidRDefault="00B67D0A" w:rsidP="00F02301">
      <w:pPr>
        <w:jc w:val="both"/>
        <w:rPr>
          <w:rFonts w:ascii="Arial" w:hAnsi="Arial"/>
          <w:sz w:val="20"/>
          <w:lang w:val="en-CA"/>
        </w:rPr>
      </w:pPr>
    </w:p>
    <w:p w14:paraId="364B8C7D" w14:textId="77777777" w:rsidR="00B67D0A" w:rsidRPr="00EB73D7"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 xml:space="preserve">Increased operational needs under the international registration systems result in increased resources of 0.7 million Swiss francs budgeted for “WIPO Fellowships” in 2016/17 compared to the 2014/15 Budget after Transfers. </w:t>
      </w:r>
    </w:p>
    <w:p w14:paraId="0B596BA2" w14:textId="77777777" w:rsidR="00B67D0A" w:rsidRDefault="00B67D0A" w:rsidP="00F02301">
      <w:pPr>
        <w:jc w:val="both"/>
        <w:rPr>
          <w:rFonts w:ascii="Arial" w:hAnsi="Arial"/>
          <w:b/>
          <w:sz w:val="20"/>
          <w:lang w:val="en-CA"/>
        </w:rPr>
      </w:pPr>
    </w:p>
    <w:p w14:paraId="0082DFA0" w14:textId="77777777"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651456">
        <w:rPr>
          <w:rFonts w:ascii="Arial" w:hAnsi="Arial"/>
          <w:sz w:val="20"/>
          <w:lang w:val="en-CA"/>
        </w:rPr>
        <w:t xml:space="preserve">The decrease of 0.5 million in budgeted resources under “Conferences” is due to the provision for two diplomatic conferences in 2014/15 </w:t>
      </w:r>
      <w:r>
        <w:rPr>
          <w:rFonts w:ascii="Arial" w:hAnsi="Arial"/>
          <w:sz w:val="20"/>
          <w:lang w:val="en-CA"/>
        </w:rPr>
        <w:t xml:space="preserve">under Programs 2 and 4, </w:t>
      </w:r>
      <w:r w:rsidRPr="00651456">
        <w:rPr>
          <w:rFonts w:ascii="Arial" w:hAnsi="Arial"/>
          <w:sz w:val="20"/>
          <w:lang w:val="en-CA"/>
        </w:rPr>
        <w:t xml:space="preserve">as compared to a provision for one </w:t>
      </w:r>
      <w:r>
        <w:rPr>
          <w:rFonts w:ascii="Arial" w:hAnsi="Arial"/>
          <w:sz w:val="20"/>
          <w:lang w:val="en-CA"/>
        </w:rPr>
        <w:t xml:space="preserve">possible </w:t>
      </w:r>
      <w:r w:rsidRPr="00651456">
        <w:rPr>
          <w:rFonts w:ascii="Arial" w:hAnsi="Arial"/>
          <w:sz w:val="20"/>
          <w:lang w:val="en-CA"/>
        </w:rPr>
        <w:t>diplomatic conference</w:t>
      </w:r>
      <w:r>
        <w:rPr>
          <w:rFonts w:ascii="Arial" w:hAnsi="Arial"/>
          <w:sz w:val="20"/>
          <w:lang w:val="en-CA"/>
        </w:rPr>
        <w:t xml:space="preserve"> in 2016/17 budgeted under “Unallocated Non-personnel”.   </w:t>
      </w:r>
    </w:p>
    <w:p w14:paraId="37C9B253" w14:textId="77777777" w:rsidR="00B67D0A" w:rsidRPr="00DD778D" w:rsidRDefault="00B67D0A" w:rsidP="00F02301">
      <w:pPr>
        <w:jc w:val="both"/>
        <w:rPr>
          <w:rFonts w:ascii="Arial" w:hAnsi="Arial"/>
          <w:sz w:val="20"/>
          <w:lang w:val="en-CA"/>
        </w:rPr>
      </w:pPr>
    </w:p>
    <w:p w14:paraId="4FCAF2A5" w14:textId="77777777" w:rsidR="00B67D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Pr>
          <w:rFonts w:ascii="Arial" w:hAnsi="Arial"/>
          <w:sz w:val="20"/>
          <w:lang w:val="en-CA"/>
        </w:rPr>
        <w:t>In the biennium 2016/17 i</w:t>
      </w:r>
      <w:r w:rsidRPr="00AD61C7">
        <w:rPr>
          <w:rFonts w:ascii="Arial" w:hAnsi="Arial"/>
          <w:sz w:val="20"/>
          <w:lang w:val="en-CA"/>
        </w:rPr>
        <w:t>nternships</w:t>
      </w:r>
      <w:r>
        <w:rPr>
          <w:rFonts w:ascii="Arial" w:hAnsi="Arial"/>
          <w:sz w:val="20"/>
          <w:lang w:val="en-CA"/>
        </w:rPr>
        <w:t xml:space="preserve"> are no longer budgeted centrally in Program 23 (Human Resources Management and Development) but have been decentralized to Programs. The budgeted provision for 2016/17 represents an increase of 0.1 million Swiss francs compared to the 2014/15 Approved Budget which reflects a more realistic planning assumption based on expected needs.</w:t>
      </w:r>
    </w:p>
    <w:p w14:paraId="1396FF7D" w14:textId="77777777" w:rsidR="00B67D0A" w:rsidRPr="00AD61C7" w:rsidRDefault="00B67D0A" w:rsidP="00F02301">
      <w:pPr>
        <w:jc w:val="both"/>
        <w:rPr>
          <w:rFonts w:ascii="Arial" w:hAnsi="Arial"/>
          <w:sz w:val="20"/>
          <w:lang w:val="en-CA"/>
        </w:rPr>
      </w:pPr>
      <w:r>
        <w:rPr>
          <w:rFonts w:ascii="Arial" w:hAnsi="Arial"/>
          <w:sz w:val="20"/>
          <w:lang w:val="en-CA"/>
        </w:rPr>
        <w:t xml:space="preserve"> </w:t>
      </w:r>
    </w:p>
    <w:p w14:paraId="22D4152F" w14:textId="77777777" w:rsidR="00B67D0A" w:rsidRDefault="00B67D0A" w:rsidP="00F02301">
      <w:pPr>
        <w:jc w:val="both"/>
        <w:rPr>
          <w:rFonts w:ascii="Arial" w:hAnsi="Arial"/>
          <w:b/>
          <w:sz w:val="20"/>
          <w:lang w:val="en-CA"/>
        </w:rPr>
      </w:pPr>
    </w:p>
    <w:p w14:paraId="7B02624A" w14:textId="1D7B489E" w:rsidR="00B67D0A" w:rsidRPr="005546DD" w:rsidRDefault="00B67D0A" w:rsidP="005546DD">
      <w:pPr>
        <w:pStyle w:val="StyleHeading3ComplexItalic"/>
        <w:tabs>
          <w:tab w:val="clear" w:pos="1985"/>
          <w:tab w:val="left" w:pos="1843"/>
        </w:tabs>
        <w:ind w:left="1843" w:hanging="1843"/>
        <w:rPr>
          <w:sz w:val="20"/>
        </w:rPr>
      </w:pPr>
      <w:bookmarkStart w:id="16" w:name="_Toc431221401"/>
      <w:r w:rsidRPr="00F66122">
        <w:rPr>
          <w:sz w:val="20"/>
        </w:rPr>
        <w:t>PERSONNEL COSTS</w:t>
      </w:r>
      <w:bookmarkEnd w:id="16"/>
    </w:p>
    <w:p w14:paraId="1D9DA546" w14:textId="77777777" w:rsidR="005546DD" w:rsidRDefault="005546DD" w:rsidP="00F02301">
      <w:pPr>
        <w:pStyle w:val="NormalWeb"/>
        <w:shd w:val="clear" w:color="auto" w:fill="FFFFFF"/>
        <w:jc w:val="both"/>
        <w:rPr>
          <w:rFonts w:ascii="Arial" w:hAnsi="Arial" w:cs="Arial"/>
          <w:b/>
          <w:color w:val="000000"/>
          <w:sz w:val="20"/>
          <w:szCs w:val="20"/>
        </w:rPr>
      </w:pPr>
    </w:p>
    <w:p w14:paraId="2581B5F5" w14:textId="77777777" w:rsidR="00B67D0A" w:rsidRDefault="00B67D0A" w:rsidP="00F02301">
      <w:pPr>
        <w:pStyle w:val="NormalWeb"/>
        <w:shd w:val="clear" w:color="auto" w:fill="FFFFFF"/>
        <w:jc w:val="both"/>
        <w:rPr>
          <w:rFonts w:ascii="Arial" w:hAnsi="Arial" w:cs="Arial"/>
          <w:b/>
          <w:color w:val="000000"/>
          <w:sz w:val="20"/>
          <w:szCs w:val="20"/>
        </w:rPr>
      </w:pPr>
      <w:r w:rsidRPr="00F51335">
        <w:rPr>
          <w:rFonts w:ascii="Arial" w:hAnsi="Arial" w:cs="Arial"/>
          <w:b/>
          <w:color w:val="000000"/>
          <w:sz w:val="20"/>
          <w:szCs w:val="20"/>
        </w:rPr>
        <w:t xml:space="preserve">Methodology </w:t>
      </w:r>
    </w:p>
    <w:p w14:paraId="5F8C7A32" w14:textId="77777777" w:rsidR="00F51335" w:rsidRPr="00F51335" w:rsidRDefault="00F51335" w:rsidP="00F02301">
      <w:pPr>
        <w:pStyle w:val="NormalWeb"/>
        <w:shd w:val="clear" w:color="auto" w:fill="FFFFFF"/>
        <w:jc w:val="both"/>
        <w:rPr>
          <w:rFonts w:ascii="Arial" w:hAnsi="Arial" w:cs="Arial"/>
          <w:b/>
          <w:color w:val="000000"/>
          <w:sz w:val="20"/>
          <w:szCs w:val="20"/>
        </w:rPr>
      </w:pPr>
    </w:p>
    <w:p w14:paraId="7C2E4241" w14:textId="5DA3F902" w:rsidR="00B67D0A"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0"/>
        </w:rPr>
      </w:pPr>
      <w:r w:rsidRPr="00F51335">
        <w:rPr>
          <w:rFonts w:ascii="Arial" w:hAnsi="Arial" w:cs="Arial"/>
          <w:color w:val="000000"/>
          <w:sz w:val="20"/>
          <w:szCs w:val="20"/>
        </w:rPr>
        <w:t xml:space="preserve">A change in the costing methodology has been adopted for the personnel resources budget by moving from a methodology based on average standard costs to actuals based costing.  The new methodology is aimed at enhancing the solidity of personnel cost assumptions based on </w:t>
      </w:r>
      <w:r w:rsidR="003E0261">
        <w:rPr>
          <w:rFonts w:ascii="Arial" w:hAnsi="Arial" w:cs="Arial"/>
          <w:color w:val="000000"/>
          <w:sz w:val="20"/>
          <w:szCs w:val="20"/>
        </w:rPr>
        <w:t xml:space="preserve">the </w:t>
      </w:r>
      <w:r w:rsidRPr="00F51335">
        <w:rPr>
          <w:rFonts w:ascii="Arial" w:hAnsi="Arial" w:cs="Arial"/>
          <w:color w:val="000000"/>
          <w:sz w:val="20"/>
          <w:szCs w:val="20"/>
        </w:rPr>
        <w:t xml:space="preserve">actual entitlements of incumbents on board.  </w:t>
      </w:r>
    </w:p>
    <w:p w14:paraId="7D916B7F" w14:textId="77777777" w:rsidR="00F51335" w:rsidRPr="00F51335" w:rsidRDefault="00F51335" w:rsidP="00F51335">
      <w:pPr>
        <w:pStyle w:val="ListParagraph"/>
        <w:widowControl w:val="0"/>
        <w:tabs>
          <w:tab w:val="left" w:pos="567"/>
        </w:tabs>
        <w:ind w:left="0"/>
        <w:jc w:val="both"/>
        <w:rPr>
          <w:rFonts w:ascii="Arial" w:hAnsi="Arial" w:cs="Arial"/>
          <w:color w:val="000000"/>
          <w:sz w:val="20"/>
          <w:szCs w:val="20"/>
        </w:rPr>
      </w:pPr>
    </w:p>
    <w:p w14:paraId="71EAB6D6" w14:textId="7F4DF7B3" w:rsidR="00F51335"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0"/>
        </w:rPr>
      </w:pPr>
      <w:r w:rsidRPr="00292FCD">
        <w:rPr>
          <w:rFonts w:ascii="Arial" w:hAnsi="Arial"/>
          <w:sz w:val="20"/>
          <w:lang w:val="en-CA"/>
        </w:rPr>
        <w:t>While</w:t>
      </w:r>
      <w:r w:rsidRPr="00F51335">
        <w:rPr>
          <w:rFonts w:ascii="Arial" w:hAnsi="Arial" w:cs="Arial"/>
          <w:color w:val="000000"/>
          <w:sz w:val="20"/>
          <w:szCs w:val="20"/>
        </w:rPr>
        <w:t xml:space="preserve"> costs for occupied positions are based on the latest available UN salary and pensionable remuneration scales</w:t>
      </w:r>
      <w:r w:rsidR="00632222">
        <w:rPr>
          <w:rFonts w:ascii="Arial" w:hAnsi="Arial" w:cs="Arial"/>
          <w:color w:val="000000"/>
          <w:sz w:val="20"/>
          <w:szCs w:val="20"/>
        </w:rPr>
        <w:t xml:space="preserve">, </w:t>
      </w:r>
      <w:r w:rsidRPr="00F51335">
        <w:rPr>
          <w:rFonts w:ascii="Arial" w:hAnsi="Arial" w:cs="Arial"/>
          <w:color w:val="000000"/>
          <w:sz w:val="20"/>
          <w:szCs w:val="20"/>
        </w:rPr>
        <w:t>benefits and entitlements (in line with the applicable policies and applicable entitlements), the cost for positions that are vacant is based on average standard costs.</w:t>
      </w:r>
    </w:p>
    <w:p w14:paraId="15B0B80B" w14:textId="5475132C" w:rsidR="00B67D0A" w:rsidRPr="00F51335" w:rsidRDefault="00B67D0A" w:rsidP="00F51335">
      <w:pPr>
        <w:pStyle w:val="ListParagraph"/>
        <w:widowControl w:val="0"/>
        <w:tabs>
          <w:tab w:val="left" w:pos="567"/>
        </w:tabs>
        <w:ind w:left="0"/>
        <w:jc w:val="both"/>
        <w:rPr>
          <w:rFonts w:ascii="Arial" w:hAnsi="Arial" w:cs="Arial"/>
          <w:color w:val="000000"/>
          <w:sz w:val="20"/>
          <w:szCs w:val="20"/>
        </w:rPr>
      </w:pPr>
      <w:r w:rsidRPr="00F51335">
        <w:rPr>
          <w:rFonts w:ascii="Arial" w:hAnsi="Arial" w:cs="Arial"/>
          <w:color w:val="000000"/>
          <w:sz w:val="20"/>
          <w:szCs w:val="20"/>
        </w:rPr>
        <w:t xml:space="preserve"> </w:t>
      </w:r>
    </w:p>
    <w:p w14:paraId="37913E36" w14:textId="77777777" w:rsidR="00B67D0A" w:rsidRPr="00F51335" w:rsidRDefault="00B67D0A" w:rsidP="00B66A4A">
      <w:pPr>
        <w:pStyle w:val="ListParagraph"/>
        <w:widowControl w:val="0"/>
        <w:numPr>
          <w:ilvl w:val="0"/>
          <w:numId w:val="33"/>
        </w:numPr>
        <w:tabs>
          <w:tab w:val="left" w:pos="567"/>
        </w:tabs>
        <w:ind w:left="0" w:firstLine="0"/>
        <w:jc w:val="both"/>
        <w:rPr>
          <w:rFonts w:ascii="Arial" w:hAnsi="Arial" w:cs="Arial"/>
          <w:color w:val="000000"/>
          <w:sz w:val="20"/>
          <w:szCs w:val="20"/>
        </w:rPr>
      </w:pPr>
      <w:r w:rsidRPr="00292FCD">
        <w:rPr>
          <w:rFonts w:ascii="Arial" w:hAnsi="Arial"/>
          <w:sz w:val="20"/>
          <w:lang w:val="en-CA"/>
        </w:rPr>
        <w:t>The</w:t>
      </w:r>
      <w:r w:rsidRPr="00F51335">
        <w:rPr>
          <w:rFonts w:ascii="Arial" w:hAnsi="Arial" w:cs="Arial"/>
          <w:color w:val="000000"/>
          <w:sz w:val="20"/>
          <w:szCs w:val="20"/>
        </w:rPr>
        <w:t xml:space="preserve"> implementation of the new methodology has been facilitated by the ERP at the planning stage and will enable the Secretariat to better monitor actual personnel expenditure at position level during implementation. </w:t>
      </w:r>
    </w:p>
    <w:p w14:paraId="5A0C6AA4" w14:textId="77777777" w:rsidR="00B67D0A" w:rsidRPr="00F51335" w:rsidRDefault="00B67D0A" w:rsidP="00F02301">
      <w:pPr>
        <w:pStyle w:val="NormalWeb"/>
        <w:shd w:val="clear" w:color="auto" w:fill="FFFFFF"/>
        <w:jc w:val="both"/>
        <w:rPr>
          <w:rFonts w:ascii="Arial" w:hAnsi="Arial" w:cs="Arial"/>
          <w:b/>
          <w:color w:val="000000"/>
          <w:sz w:val="20"/>
          <w:szCs w:val="20"/>
          <w:u w:val="single"/>
        </w:rPr>
      </w:pPr>
    </w:p>
    <w:p w14:paraId="29640B4B" w14:textId="77777777" w:rsidR="00B67D0A" w:rsidRDefault="00B67D0A" w:rsidP="00292FCD">
      <w:pPr>
        <w:pStyle w:val="NormalWeb"/>
        <w:keepNext/>
        <w:keepLines/>
        <w:shd w:val="clear" w:color="auto" w:fill="FFFFFF"/>
        <w:jc w:val="both"/>
        <w:rPr>
          <w:rFonts w:ascii="Arial" w:hAnsi="Arial" w:cs="Arial"/>
          <w:b/>
          <w:color w:val="000000"/>
          <w:sz w:val="20"/>
          <w:szCs w:val="20"/>
        </w:rPr>
      </w:pPr>
      <w:r w:rsidRPr="00F51335">
        <w:rPr>
          <w:rFonts w:ascii="Arial" w:hAnsi="Arial" w:cs="Arial"/>
          <w:b/>
          <w:color w:val="000000"/>
          <w:sz w:val="20"/>
          <w:szCs w:val="20"/>
        </w:rPr>
        <w:lastRenderedPageBreak/>
        <w:t>Planning Assumptions</w:t>
      </w:r>
    </w:p>
    <w:p w14:paraId="2B38AC2D" w14:textId="77777777" w:rsidR="00F51335" w:rsidRPr="00F51335" w:rsidRDefault="00F51335" w:rsidP="00292FCD">
      <w:pPr>
        <w:pStyle w:val="NormalWeb"/>
        <w:keepNext/>
        <w:keepLines/>
        <w:shd w:val="clear" w:color="auto" w:fill="FFFFFF"/>
        <w:jc w:val="both"/>
        <w:rPr>
          <w:rFonts w:ascii="Arial" w:hAnsi="Arial" w:cs="Arial"/>
          <w:b/>
          <w:color w:val="000000"/>
          <w:sz w:val="20"/>
          <w:szCs w:val="20"/>
        </w:rPr>
      </w:pPr>
    </w:p>
    <w:p w14:paraId="7E11FD6E" w14:textId="0D2E677B" w:rsidR="00B67D0A" w:rsidRDefault="00B67D0A" w:rsidP="00B66A4A">
      <w:pPr>
        <w:keepNext/>
        <w:keepLines/>
        <w:numPr>
          <w:ilvl w:val="0"/>
          <w:numId w:val="32"/>
        </w:numPr>
        <w:shd w:val="clear" w:color="auto" w:fill="FFFFFF"/>
        <w:ind w:left="714" w:hanging="357"/>
        <w:jc w:val="both"/>
        <w:rPr>
          <w:rFonts w:ascii="Arial" w:hAnsi="Arial" w:cs="Arial"/>
          <w:color w:val="000000"/>
          <w:sz w:val="20"/>
        </w:rPr>
      </w:pPr>
      <w:r>
        <w:rPr>
          <w:rFonts w:ascii="Arial" w:hAnsi="Arial" w:cs="Arial"/>
          <w:color w:val="000000"/>
          <w:sz w:val="20"/>
        </w:rPr>
        <w:t>F</w:t>
      </w:r>
      <w:r w:rsidRPr="00C74EEF">
        <w:rPr>
          <w:rFonts w:ascii="Arial" w:hAnsi="Arial" w:cs="Arial"/>
          <w:color w:val="000000"/>
          <w:sz w:val="20"/>
        </w:rPr>
        <w:t xml:space="preserve">or occupied positions </w:t>
      </w:r>
      <w:r>
        <w:rPr>
          <w:rFonts w:ascii="Arial" w:hAnsi="Arial" w:cs="Arial"/>
          <w:color w:val="000000"/>
          <w:sz w:val="20"/>
        </w:rPr>
        <w:t>t</w:t>
      </w:r>
      <w:r w:rsidRPr="00C74EEF">
        <w:rPr>
          <w:rFonts w:ascii="Arial" w:hAnsi="Arial" w:cs="Arial"/>
          <w:color w:val="000000"/>
          <w:sz w:val="20"/>
        </w:rPr>
        <w:t xml:space="preserve">he costing </w:t>
      </w:r>
      <w:r>
        <w:rPr>
          <w:rFonts w:ascii="Arial" w:hAnsi="Arial" w:cs="Arial"/>
          <w:color w:val="000000"/>
          <w:sz w:val="20"/>
        </w:rPr>
        <w:t xml:space="preserve">of salaries </w:t>
      </w:r>
      <w:r w:rsidRPr="00C74EEF">
        <w:rPr>
          <w:rFonts w:ascii="Arial" w:hAnsi="Arial" w:cs="Arial"/>
          <w:color w:val="000000"/>
          <w:sz w:val="20"/>
        </w:rPr>
        <w:t xml:space="preserve">for 2016/17 takes into account the step increment (within grade) as per </w:t>
      </w:r>
      <w:r>
        <w:rPr>
          <w:rFonts w:ascii="Arial" w:hAnsi="Arial" w:cs="Arial"/>
          <w:color w:val="000000"/>
          <w:sz w:val="20"/>
        </w:rPr>
        <w:t xml:space="preserve">the applicable </w:t>
      </w:r>
      <w:r w:rsidR="003E0261">
        <w:rPr>
          <w:rFonts w:ascii="Arial" w:hAnsi="Arial" w:cs="Arial"/>
          <w:color w:val="000000"/>
          <w:sz w:val="20"/>
        </w:rPr>
        <w:t>International Civil Service Commission (</w:t>
      </w:r>
      <w:r>
        <w:rPr>
          <w:rFonts w:ascii="Arial" w:hAnsi="Arial" w:cs="Arial"/>
          <w:color w:val="000000"/>
          <w:sz w:val="20"/>
        </w:rPr>
        <w:t>ICSC</w:t>
      </w:r>
      <w:r w:rsidR="003E0261">
        <w:rPr>
          <w:rFonts w:ascii="Arial" w:hAnsi="Arial" w:cs="Arial"/>
          <w:color w:val="000000"/>
          <w:sz w:val="20"/>
        </w:rPr>
        <w:t>)</w:t>
      </w:r>
      <w:r>
        <w:rPr>
          <w:rFonts w:ascii="Arial" w:hAnsi="Arial" w:cs="Arial"/>
          <w:color w:val="000000"/>
          <w:sz w:val="20"/>
        </w:rPr>
        <w:t xml:space="preserve"> salary scale at the time of costing and the </w:t>
      </w:r>
      <w:r w:rsidRPr="00C74EEF">
        <w:rPr>
          <w:rFonts w:ascii="Arial" w:hAnsi="Arial" w:cs="Arial"/>
          <w:color w:val="000000"/>
          <w:sz w:val="20"/>
        </w:rPr>
        <w:t>Staff Regulation</w:t>
      </w:r>
      <w:r w:rsidR="003E0261">
        <w:rPr>
          <w:rFonts w:ascii="Arial" w:hAnsi="Arial" w:cs="Arial"/>
          <w:color w:val="000000"/>
          <w:sz w:val="20"/>
        </w:rPr>
        <w:t>s</w:t>
      </w:r>
      <w:r w:rsidRPr="00C74EEF">
        <w:rPr>
          <w:rFonts w:ascii="Arial" w:hAnsi="Arial" w:cs="Arial"/>
          <w:color w:val="000000"/>
          <w:sz w:val="20"/>
        </w:rPr>
        <w:t xml:space="preserve"> and Rules</w:t>
      </w:r>
      <w:r>
        <w:rPr>
          <w:rFonts w:ascii="Arial" w:hAnsi="Arial" w:cs="Arial"/>
          <w:color w:val="000000"/>
          <w:sz w:val="20"/>
        </w:rPr>
        <w:t xml:space="preserve"> (SRR);</w:t>
      </w:r>
    </w:p>
    <w:p w14:paraId="09254FD7" w14:textId="77777777" w:rsidR="00F51335" w:rsidRPr="00C74EEF" w:rsidRDefault="00F51335" w:rsidP="00F51335">
      <w:pPr>
        <w:shd w:val="clear" w:color="auto" w:fill="FFFFFF"/>
        <w:ind w:left="714"/>
        <w:jc w:val="both"/>
        <w:rPr>
          <w:rFonts w:ascii="Arial" w:hAnsi="Arial" w:cs="Arial"/>
          <w:color w:val="000000"/>
          <w:sz w:val="20"/>
        </w:rPr>
      </w:pPr>
    </w:p>
    <w:p w14:paraId="13346637" w14:textId="2DBF0733" w:rsidR="00B67D0A" w:rsidRDefault="00632222" w:rsidP="00B66A4A">
      <w:pPr>
        <w:numPr>
          <w:ilvl w:val="0"/>
          <w:numId w:val="32"/>
        </w:numPr>
        <w:shd w:val="clear" w:color="auto" w:fill="FFFFFF"/>
        <w:ind w:left="714" w:hanging="357"/>
        <w:jc w:val="both"/>
        <w:rPr>
          <w:rFonts w:ascii="Arial" w:hAnsi="Arial" w:cs="Arial"/>
          <w:color w:val="000000"/>
          <w:sz w:val="20"/>
        </w:rPr>
      </w:pPr>
      <w:r>
        <w:rPr>
          <w:rFonts w:ascii="Arial" w:hAnsi="Arial" w:cs="Arial"/>
          <w:color w:val="000000"/>
          <w:sz w:val="20"/>
        </w:rPr>
        <w:t>The e</w:t>
      </w:r>
      <w:r w:rsidR="00B67D0A" w:rsidRPr="00C74EEF">
        <w:rPr>
          <w:rFonts w:ascii="Arial" w:hAnsi="Arial" w:cs="Arial"/>
          <w:color w:val="000000"/>
          <w:sz w:val="20"/>
        </w:rPr>
        <w:t xml:space="preserve">xchange rate and </w:t>
      </w:r>
      <w:r w:rsidR="00B67D0A">
        <w:rPr>
          <w:rFonts w:ascii="Arial" w:hAnsi="Arial" w:cs="Arial"/>
          <w:color w:val="000000"/>
          <w:sz w:val="20"/>
        </w:rPr>
        <w:t>p</w:t>
      </w:r>
      <w:r w:rsidR="00B67D0A" w:rsidRPr="00C74EEF">
        <w:rPr>
          <w:rFonts w:ascii="Arial" w:hAnsi="Arial" w:cs="Arial"/>
          <w:color w:val="000000"/>
          <w:sz w:val="20"/>
        </w:rPr>
        <w:t xml:space="preserve">ost adjustment multiplier (PAM) </w:t>
      </w:r>
      <w:r w:rsidR="00B67D0A">
        <w:rPr>
          <w:rFonts w:ascii="Arial" w:hAnsi="Arial" w:cs="Arial"/>
          <w:color w:val="000000"/>
          <w:sz w:val="20"/>
        </w:rPr>
        <w:t xml:space="preserve">are </w:t>
      </w:r>
      <w:r w:rsidR="00B67D0A" w:rsidRPr="00C74EEF">
        <w:rPr>
          <w:rFonts w:ascii="Arial" w:hAnsi="Arial" w:cs="Arial"/>
          <w:color w:val="000000"/>
          <w:sz w:val="20"/>
        </w:rPr>
        <w:t>applied as of February 2015, where applicable (for salaries of professional and higher categories)</w:t>
      </w:r>
      <w:r w:rsidR="00B67D0A">
        <w:rPr>
          <w:rFonts w:ascii="Arial" w:hAnsi="Arial" w:cs="Arial"/>
          <w:color w:val="000000"/>
          <w:sz w:val="20"/>
        </w:rPr>
        <w:t>;</w:t>
      </w:r>
    </w:p>
    <w:p w14:paraId="52531083" w14:textId="77777777" w:rsidR="00F51335" w:rsidRDefault="00F51335" w:rsidP="00F51335">
      <w:pPr>
        <w:pStyle w:val="ListParagraph"/>
        <w:rPr>
          <w:rFonts w:ascii="Arial" w:hAnsi="Arial" w:cs="Arial"/>
          <w:color w:val="000000"/>
          <w:sz w:val="20"/>
        </w:rPr>
      </w:pPr>
    </w:p>
    <w:p w14:paraId="5C420C31" w14:textId="7FA47BFC" w:rsidR="00B67D0A" w:rsidRPr="00125302" w:rsidRDefault="00B67D0A" w:rsidP="00B66A4A">
      <w:pPr>
        <w:numPr>
          <w:ilvl w:val="0"/>
          <w:numId w:val="32"/>
        </w:numPr>
        <w:shd w:val="clear" w:color="auto" w:fill="FFFFFF"/>
        <w:ind w:left="714" w:hanging="357"/>
        <w:jc w:val="both"/>
        <w:rPr>
          <w:rFonts w:ascii="Arial" w:hAnsi="Arial" w:cs="Arial"/>
          <w:color w:val="000000"/>
          <w:sz w:val="20"/>
        </w:rPr>
      </w:pPr>
      <w:r w:rsidRPr="00C74EEF">
        <w:rPr>
          <w:rFonts w:ascii="Arial" w:hAnsi="Arial" w:cs="Arial"/>
          <w:color w:val="000000"/>
          <w:sz w:val="20"/>
        </w:rPr>
        <w:t xml:space="preserve">USD/CHF is applied at </w:t>
      </w:r>
      <w:r w:rsidR="00632222">
        <w:rPr>
          <w:rFonts w:ascii="Arial" w:hAnsi="Arial" w:cs="Arial"/>
          <w:color w:val="000000"/>
          <w:sz w:val="20"/>
        </w:rPr>
        <w:t xml:space="preserve">a </w:t>
      </w:r>
      <w:r w:rsidRPr="00C74EEF">
        <w:rPr>
          <w:rFonts w:ascii="Arial" w:hAnsi="Arial" w:cs="Arial"/>
          <w:color w:val="000000"/>
          <w:sz w:val="20"/>
        </w:rPr>
        <w:t xml:space="preserve">1:1 </w:t>
      </w:r>
      <w:r w:rsidR="00632222">
        <w:rPr>
          <w:rFonts w:ascii="Arial" w:hAnsi="Arial" w:cs="Arial"/>
          <w:color w:val="000000"/>
          <w:sz w:val="20"/>
        </w:rPr>
        <w:t xml:space="preserve">ratio </w:t>
      </w:r>
      <w:r w:rsidRPr="00C74EEF">
        <w:rPr>
          <w:rFonts w:ascii="Arial" w:hAnsi="Arial" w:cs="Arial"/>
          <w:color w:val="000000"/>
          <w:sz w:val="20"/>
        </w:rPr>
        <w:t>for pensionable remuneration</w:t>
      </w:r>
      <w:r>
        <w:rPr>
          <w:rFonts w:ascii="Arial" w:hAnsi="Arial" w:cs="Arial"/>
          <w:color w:val="000000"/>
          <w:sz w:val="20"/>
        </w:rPr>
        <w:t>s at the applicable ICSC</w:t>
      </w:r>
      <w:r w:rsidRPr="00C74EEF">
        <w:rPr>
          <w:rFonts w:ascii="Arial" w:hAnsi="Arial" w:cs="Arial"/>
          <w:color w:val="000000"/>
          <w:sz w:val="20"/>
        </w:rPr>
        <w:t xml:space="preserve"> </w:t>
      </w:r>
      <w:r w:rsidR="00632222">
        <w:rPr>
          <w:rFonts w:ascii="Arial" w:hAnsi="Arial" w:cs="Arial"/>
          <w:color w:val="000000"/>
          <w:sz w:val="20"/>
        </w:rPr>
        <w:t xml:space="preserve">salary </w:t>
      </w:r>
      <w:r w:rsidRPr="00125302">
        <w:rPr>
          <w:rFonts w:ascii="Arial" w:hAnsi="Arial" w:cs="Arial"/>
          <w:color w:val="000000"/>
          <w:sz w:val="20"/>
        </w:rPr>
        <w:t xml:space="preserve">scale at the time of costing; </w:t>
      </w:r>
    </w:p>
    <w:p w14:paraId="3010B72A" w14:textId="77777777" w:rsidR="00F51335" w:rsidRDefault="00F51335" w:rsidP="00F51335">
      <w:pPr>
        <w:pStyle w:val="ListParagraph"/>
        <w:rPr>
          <w:rFonts w:ascii="Arial" w:hAnsi="Arial" w:cs="Arial"/>
          <w:color w:val="000000"/>
          <w:sz w:val="20"/>
        </w:rPr>
      </w:pPr>
    </w:p>
    <w:p w14:paraId="6CDAA730" w14:textId="77777777" w:rsidR="00B67D0A" w:rsidRDefault="00B67D0A" w:rsidP="00B66A4A">
      <w:pPr>
        <w:numPr>
          <w:ilvl w:val="0"/>
          <w:numId w:val="32"/>
        </w:numPr>
        <w:shd w:val="clear" w:color="auto" w:fill="FFFFFF"/>
        <w:ind w:left="714" w:hanging="357"/>
        <w:jc w:val="both"/>
        <w:rPr>
          <w:rFonts w:ascii="Arial" w:hAnsi="Arial" w:cs="Arial"/>
          <w:color w:val="000000"/>
          <w:sz w:val="20"/>
        </w:rPr>
      </w:pPr>
      <w:r w:rsidRPr="00C74EEF">
        <w:rPr>
          <w:rFonts w:ascii="Arial" w:hAnsi="Arial" w:cs="Arial"/>
          <w:color w:val="000000"/>
          <w:sz w:val="20"/>
        </w:rPr>
        <w:t>Benefits and entitlements are estimated at position level as per latest payroll information for occupied positions</w:t>
      </w:r>
      <w:r>
        <w:rPr>
          <w:rFonts w:ascii="Arial" w:hAnsi="Arial" w:cs="Arial"/>
          <w:color w:val="000000"/>
          <w:sz w:val="20"/>
        </w:rPr>
        <w:t>.</w:t>
      </w:r>
      <w:r w:rsidRPr="00C74EEF">
        <w:rPr>
          <w:rFonts w:ascii="Arial" w:hAnsi="Arial" w:cs="Arial"/>
          <w:color w:val="000000"/>
          <w:sz w:val="20"/>
        </w:rPr>
        <w:t xml:space="preserve"> </w:t>
      </w:r>
      <w:r>
        <w:rPr>
          <w:rFonts w:ascii="Arial" w:hAnsi="Arial" w:cs="Arial"/>
          <w:color w:val="000000"/>
          <w:sz w:val="20"/>
        </w:rPr>
        <w:t>A</w:t>
      </w:r>
      <w:r w:rsidRPr="00C74EEF">
        <w:rPr>
          <w:rFonts w:ascii="Arial" w:hAnsi="Arial" w:cs="Arial"/>
          <w:color w:val="000000"/>
          <w:sz w:val="20"/>
        </w:rPr>
        <w:t>n average cost has been determined</w:t>
      </w:r>
      <w:r>
        <w:rPr>
          <w:rFonts w:ascii="Arial" w:hAnsi="Arial" w:cs="Arial"/>
          <w:color w:val="000000"/>
          <w:sz w:val="20"/>
        </w:rPr>
        <w:t xml:space="preserve"> f</w:t>
      </w:r>
      <w:r w:rsidRPr="00C74EEF">
        <w:rPr>
          <w:rFonts w:ascii="Arial" w:hAnsi="Arial" w:cs="Arial"/>
          <w:color w:val="000000"/>
          <w:sz w:val="20"/>
        </w:rPr>
        <w:t>or vacant positions</w:t>
      </w:r>
      <w:r>
        <w:rPr>
          <w:rFonts w:ascii="Arial" w:hAnsi="Arial" w:cs="Arial"/>
          <w:color w:val="000000"/>
          <w:sz w:val="20"/>
        </w:rPr>
        <w:t>;</w:t>
      </w:r>
    </w:p>
    <w:p w14:paraId="66A3A668" w14:textId="77777777" w:rsidR="00F51335" w:rsidRDefault="00F51335" w:rsidP="00F51335">
      <w:pPr>
        <w:pStyle w:val="ListParagraph"/>
        <w:rPr>
          <w:rFonts w:ascii="Arial" w:hAnsi="Arial" w:cs="Arial"/>
          <w:color w:val="000000"/>
          <w:sz w:val="20"/>
        </w:rPr>
      </w:pPr>
    </w:p>
    <w:p w14:paraId="1B4CD227" w14:textId="77777777" w:rsidR="00B67D0A" w:rsidRDefault="00B67D0A" w:rsidP="00B66A4A">
      <w:pPr>
        <w:numPr>
          <w:ilvl w:val="0"/>
          <w:numId w:val="32"/>
        </w:numPr>
        <w:shd w:val="clear" w:color="auto" w:fill="FFFFFF"/>
        <w:ind w:left="714" w:hanging="357"/>
        <w:jc w:val="both"/>
        <w:rPr>
          <w:rFonts w:ascii="Arial" w:hAnsi="Arial" w:cs="Arial"/>
          <w:color w:val="000000"/>
          <w:sz w:val="20"/>
        </w:rPr>
      </w:pPr>
      <w:r w:rsidRPr="00C74EEF">
        <w:rPr>
          <w:rFonts w:ascii="Arial" w:hAnsi="Arial" w:cs="Arial"/>
          <w:color w:val="000000"/>
          <w:sz w:val="20"/>
        </w:rPr>
        <w:t>Provisions for home leave have been decreased to take into account the estimated savings of approximately 4</w:t>
      </w:r>
      <w:r>
        <w:rPr>
          <w:rFonts w:ascii="Arial" w:hAnsi="Arial" w:cs="Arial"/>
          <w:color w:val="000000"/>
          <w:sz w:val="20"/>
        </w:rPr>
        <w:t xml:space="preserve"> </w:t>
      </w:r>
      <w:r w:rsidRPr="00C74EEF">
        <w:rPr>
          <w:rFonts w:ascii="Arial" w:hAnsi="Arial" w:cs="Arial"/>
          <w:color w:val="000000"/>
          <w:sz w:val="20"/>
        </w:rPr>
        <w:t xml:space="preserve">million Swiss francs for the biennium resulting from the </w:t>
      </w:r>
      <w:r>
        <w:rPr>
          <w:rFonts w:ascii="Arial" w:hAnsi="Arial" w:cs="Arial"/>
          <w:color w:val="000000"/>
          <w:sz w:val="20"/>
        </w:rPr>
        <w:t xml:space="preserve">full </w:t>
      </w:r>
      <w:r w:rsidRPr="00C74EEF">
        <w:rPr>
          <w:rFonts w:ascii="Arial" w:hAnsi="Arial" w:cs="Arial"/>
          <w:color w:val="000000"/>
          <w:sz w:val="20"/>
        </w:rPr>
        <w:t xml:space="preserve">implementation of </w:t>
      </w:r>
      <w:r>
        <w:rPr>
          <w:rFonts w:ascii="Arial" w:hAnsi="Arial" w:cs="Arial"/>
          <w:color w:val="000000"/>
          <w:sz w:val="20"/>
        </w:rPr>
        <w:t xml:space="preserve">the </w:t>
      </w:r>
      <w:r w:rsidRPr="00C74EEF">
        <w:rPr>
          <w:rFonts w:ascii="Arial" w:hAnsi="Arial" w:cs="Arial"/>
          <w:color w:val="000000"/>
          <w:sz w:val="20"/>
        </w:rPr>
        <w:t>new policy on home leave</w:t>
      </w:r>
      <w:r>
        <w:rPr>
          <w:rFonts w:ascii="Arial" w:hAnsi="Arial" w:cs="Arial"/>
          <w:color w:val="000000"/>
          <w:sz w:val="20"/>
        </w:rPr>
        <w:t>;</w:t>
      </w:r>
    </w:p>
    <w:p w14:paraId="7BBF6392" w14:textId="77777777" w:rsidR="00350AA3" w:rsidRDefault="00350AA3" w:rsidP="00DA3F93">
      <w:pPr>
        <w:pStyle w:val="ListParagraph"/>
        <w:rPr>
          <w:rFonts w:ascii="Arial" w:hAnsi="Arial" w:cs="Arial"/>
          <w:color w:val="000000"/>
          <w:sz w:val="20"/>
        </w:rPr>
      </w:pPr>
    </w:p>
    <w:p w14:paraId="6D26E36E" w14:textId="148402ED" w:rsidR="00B67D0A" w:rsidRDefault="00B67D0A" w:rsidP="00B66A4A">
      <w:pPr>
        <w:numPr>
          <w:ilvl w:val="0"/>
          <w:numId w:val="32"/>
        </w:numPr>
        <w:shd w:val="clear" w:color="auto" w:fill="FFFFFF"/>
        <w:ind w:left="714" w:hanging="357"/>
        <w:jc w:val="both"/>
        <w:rPr>
          <w:rFonts w:ascii="Arial" w:hAnsi="Arial" w:cs="Arial"/>
          <w:color w:val="000000"/>
          <w:sz w:val="20"/>
        </w:rPr>
      </w:pPr>
      <w:r>
        <w:rPr>
          <w:rFonts w:ascii="Arial" w:hAnsi="Arial" w:cs="Arial"/>
          <w:color w:val="000000"/>
          <w:sz w:val="20"/>
        </w:rPr>
        <w:t xml:space="preserve">No new positions are foreseen in 2016/17. </w:t>
      </w:r>
      <w:r w:rsidRPr="00C74EEF">
        <w:rPr>
          <w:rFonts w:ascii="Arial" w:hAnsi="Arial" w:cs="Arial"/>
          <w:color w:val="000000"/>
          <w:sz w:val="20"/>
        </w:rPr>
        <w:t xml:space="preserve">An overall vacancy rate of </w:t>
      </w:r>
      <w:r>
        <w:rPr>
          <w:rFonts w:ascii="Arial" w:hAnsi="Arial" w:cs="Arial"/>
          <w:color w:val="000000"/>
          <w:sz w:val="20"/>
        </w:rPr>
        <w:t>3 per cent</w:t>
      </w:r>
      <w:r w:rsidRPr="00C74EEF">
        <w:rPr>
          <w:rFonts w:ascii="Arial" w:hAnsi="Arial" w:cs="Arial"/>
          <w:color w:val="000000"/>
          <w:sz w:val="20"/>
        </w:rPr>
        <w:t xml:space="preserve"> has been applied to the overall costing</w:t>
      </w:r>
      <w:r>
        <w:rPr>
          <w:rFonts w:ascii="Arial" w:hAnsi="Arial" w:cs="Arial"/>
          <w:color w:val="000000"/>
          <w:sz w:val="20"/>
        </w:rPr>
        <w:t xml:space="preserve"> based on the assumption that </w:t>
      </w:r>
      <w:r w:rsidRPr="00C74EEF">
        <w:rPr>
          <w:rFonts w:ascii="Arial" w:hAnsi="Arial" w:cs="Arial"/>
          <w:color w:val="000000"/>
          <w:sz w:val="20"/>
        </w:rPr>
        <w:t xml:space="preserve">productivity improvements and automation will result in </w:t>
      </w:r>
      <w:r>
        <w:rPr>
          <w:rFonts w:ascii="Arial" w:hAnsi="Arial" w:cs="Arial"/>
          <w:color w:val="000000"/>
          <w:sz w:val="20"/>
        </w:rPr>
        <w:t xml:space="preserve">the </w:t>
      </w:r>
      <w:r w:rsidRPr="00C74EEF">
        <w:rPr>
          <w:rFonts w:ascii="Arial" w:hAnsi="Arial" w:cs="Arial"/>
          <w:color w:val="000000"/>
          <w:sz w:val="20"/>
        </w:rPr>
        <w:t>non-filling of 20 posts during the biennium</w:t>
      </w:r>
      <w:r>
        <w:rPr>
          <w:rFonts w:ascii="Arial" w:hAnsi="Arial" w:cs="Arial"/>
          <w:color w:val="000000"/>
          <w:sz w:val="20"/>
        </w:rPr>
        <w:t xml:space="preserve"> without affecting the achievement of Expected Results.</w:t>
      </w:r>
      <w:r w:rsidRPr="00C74EEF">
        <w:rPr>
          <w:rFonts w:ascii="Arial" w:hAnsi="Arial" w:cs="Arial"/>
          <w:color w:val="000000"/>
          <w:sz w:val="20"/>
        </w:rPr>
        <w:t xml:space="preserve"> </w:t>
      </w:r>
      <w:r>
        <w:rPr>
          <w:rFonts w:ascii="Arial" w:hAnsi="Arial" w:cs="Arial"/>
          <w:color w:val="000000"/>
          <w:sz w:val="20"/>
        </w:rPr>
        <w:t xml:space="preserve"> Recruitments will also be prudently managed to ensure that an additional 10 positions remain vacant at any point in time</w:t>
      </w:r>
      <w:r w:rsidR="003E0261">
        <w:rPr>
          <w:rFonts w:ascii="Arial" w:hAnsi="Arial" w:cs="Arial"/>
          <w:color w:val="000000"/>
          <w:sz w:val="20"/>
        </w:rPr>
        <w:t>;</w:t>
      </w:r>
      <w:r>
        <w:rPr>
          <w:rFonts w:ascii="Arial" w:hAnsi="Arial" w:cs="Arial"/>
          <w:color w:val="000000"/>
          <w:sz w:val="20"/>
        </w:rPr>
        <w:t xml:space="preserve"> </w:t>
      </w:r>
    </w:p>
    <w:p w14:paraId="2F33CCC2" w14:textId="77777777" w:rsidR="00F51335" w:rsidRPr="00C74EEF" w:rsidRDefault="00F51335" w:rsidP="00F51335">
      <w:pPr>
        <w:shd w:val="clear" w:color="auto" w:fill="FFFFFF"/>
        <w:ind w:left="714"/>
        <w:jc w:val="both"/>
        <w:rPr>
          <w:rFonts w:ascii="Arial" w:hAnsi="Arial" w:cs="Arial"/>
          <w:color w:val="000000"/>
          <w:sz w:val="20"/>
        </w:rPr>
      </w:pPr>
    </w:p>
    <w:p w14:paraId="07EFD4D2" w14:textId="2770F7F2" w:rsidR="00B67D0A" w:rsidRDefault="00B67D0A" w:rsidP="00B66A4A">
      <w:pPr>
        <w:numPr>
          <w:ilvl w:val="0"/>
          <w:numId w:val="32"/>
        </w:numPr>
        <w:shd w:val="clear" w:color="auto" w:fill="FFFFFF"/>
        <w:jc w:val="both"/>
        <w:rPr>
          <w:rFonts w:ascii="Arial" w:hAnsi="Arial" w:cs="Arial"/>
          <w:color w:val="000000"/>
          <w:sz w:val="20"/>
        </w:rPr>
      </w:pPr>
      <w:r w:rsidRPr="00C74EEF">
        <w:rPr>
          <w:rFonts w:ascii="Arial" w:hAnsi="Arial" w:cs="Arial"/>
          <w:color w:val="000000"/>
          <w:sz w:val="20"/>
        </w:rPr>
        <w:t>Provisions for ASHI have been maintained at 6</w:t>
      </w:r>
      <w:r w:rsidR="00125302">
        <w:rPr>
          <w:rFonts w:ascii="Arial" w:hAnsi="Arial" w:cs="Arial"/>
          <w:color w:val="000000"/>
          <w:sz w:val="20"/>
        </w:rPr>
        <w:t>.0</w:t>
      </w:r>
      <w:r>
        <w:rPr>
          <w:rFonts w:ascii="Arial" w:hAnsi="Arial" w:cs="Arial"/>
          <w:color w:val="000000"/>
          <w:sz w:val="20"/>
        </w:rPr>
        <w:t xml:space="preserve"> per cent</w:t>
      </w:r>
      <w:r w:rsidRPr="00C74EEF">
        <w:rPr>
          <w:rFonts w:ascii="Arial" w:hAnsi="Arial" w:cs="Arial"/>
          <w:color w:val="000000"/>
          <w:sz w:val="20"/>
        </w:rPr>
        <w:t xml:space="preserve"> for fixed term and continuing positions</w:t>
      </w:r>
      <w:r w:rsidR="003E0261">
        <w:rPr>
          <w:rFonts w:ascii="Arial" w:hAnsi="Arial" w:cs="Arial"/>
          <w:color w:val="000000"/>
          <w:sz w:val="20"/>
        </w:rPr>
        <w:t>;</w:t>
      </w:r>
      <w:r w:rsidR="003E0261" w:rsidRPr="00C74EEF">
        <w:rPr>
          <w:rFonts w:ascii="Arial" w:hAnsi="Arial" w:cs="Arial"/>
          <w:color w:val="000000"/>
          <w:sz w:val="20"/>
        </w:rPr>
        <w:t xml:space="preserve"> </w:t>
      </w:r>
    </w:p>
    <w:p w14:paraId="6BB6B30C" w14:textId="77777777" w:rsidR="00F51335" w:rsidRPr="00C74EEF" w:rsidRDefault="00F51335" w:rsidP="00F51335">
      <w:pPr>
        <w:shd w:val="clear" w:color="auto" w:fill="FFFFFF"/>
        <w:ind w:left="720"/>
        <w:jc w:val="both"/>
        <w:rPr>
          <w:rFonts w:ascii="Arial" w:hAnsi="Arial" w:cs="Arial"/>
          <w:color w:val="000000"/>
          <w:sz w:val="20"/>
        </w:rPr>
      </w:pPr>
    </w:p>
    <w:p w14:paraId="16C4384F" w14:textId="323F75DD" w:rsidR="00B67D0A" w:rsidRPr="00F51335" w:rsidRDefault="00B67D0A" w:rsidP="00B66A4A">
      <w:pPr>
        <w:numPr>
          <w:ilvl w:val="0"/>
          <w:numId w:val="32"/>
        </w:numPr>
        <w:shd w:val="clear" w:color="auto" w:fill="FFFFFF"/>
        <w:jc w:val="both"/>
        <w:rPr>
          <w:rFonts w:ascii="Arial" w:hAnsi="Arial" w:cs="Arial"/>
          <w:color w:val="000000"/>
          <w:sz w:val="20"/>
        </w:rPr>
      </w:pPr>
      <w:r w:rsidRPr="00C74EEF">
        <w:rPr>
          <w:rFonts w:ascii="Arial" w:eastAsia="SimSun" w:hAnsi="Arial" w:cs="Arial"/>
          <w:color w:val="000000"/>
          <w:sz w:val="20"/>
          <w:lang w:eastAsia="zh-CN"/>
        </w:rPr>
        <w:t xml:space="preserve">Other Staff Costs include the budgeted </w:t>
      </w:r>
      <w:r w:rsidR="00125302">
        <w:rPr>
          <w:rFonts w:ascii="Arial" w:eastAsia="SimSun" w:hAnsi="Arial" w:cs="Arial"/>
          <w:color w:val="000000"/>
          <w:sz w:val="20"/>
          <w:lang w:eastAsia="zh-CN"/>
        </w:rPr>
        <w:t xml:space="preserve">biennial </w:t>
      </w:r>
      <w:r w:rsidRPr="00C74EEF">
        <w:rPr>
          <w:rFonts w:ascii="Arial" w:eastAsia="SimSun" w:hAnsi="Arial" w:cs="Arial"/>
          <w:color w:val="000000"/>
          <w:sz w:val="20"/>
          <w:lang w:eastAsia="zh-CN"/>
        </w:rPr>
        <w:t xml:space="preserve">provisions for </w:t>
      </w:r>
      <w:r>
        <w:rPr>
          <w:rFonts w:ascii="Arial" w:eastAsia="SimSun" w:hAnsi="Arial" w:cs="Arial"/>
          <w:color w:val="000000"/>
          <w:sz w:val="20"/>
          <w:lang w:eastAsia="zh-CN"/>
        </w:rPr>
        <w:t>P</w:t>
      </w:r>
      <w:r w:rsidRPr="00C74EEF">
        <w:rPr>
          <w:rFonts w:ascii="Arial" w:eastAsia="SimSun" w:hAnsi="Arial" w:cs="Arial"/>
          <w:color w:val="000000"/>
          <w:sz w:val="20"/>
          <w:lang w:eastAsia="zh-CN"/>
        </w:rPr>
        <w:t xml:space="preserve">rofessional </w:t>
      </w:r>
      <w:r>
        <w:rPr>
          <w:rFonts w:ascii="Arial" w:eastAsia="SimSun" w:hAnsi="Arial" w:cs="Arial"/>
          <w:color w:val="000000"/>
          <w:sz w:val="20"/>
          <w:lang w:eastAsia="zh-CN"/>
        </w:rPr>
        <w:t>A</w:t>
      </w:r>
      <w:r w:rsidRPr="00C74EEF">
        <w:rPr>
          <w:rFonts w:ascii="Arial" w:eastAsia="SimSun" w:hAnsi="Arial" w:cs="Arial"/>
          <w:color w:val="000000"/>
          <w:sz w:val="20"/>
          <w:lang w:eastAsia="zh-CN"/>
        </w:rPr>
        <w:t xml:space="preserve">ccident </w:t>
      </w:r>
      <w:r>
        <w:rPr>
          <w:rFonts w:ascii="Arial" w:eastAsia="SimSun" w:hAnsi="Arial" w:cs="Arial"/>
          <w:color w:val="000000"/>
          <w:sz w:val="20"/>
          <w:lang w:eastAsia="zh-CN"/>
        </w:rPr>
        <w:t>I</w:t>
      </w:r>
      <w:r w:rsidRPr="00C74EEF">
        <w:rPr>
          <w:rFonts w:ascii="Arial" w:eastAsia="SimSun" w:hAnsi="Arial" w:cs="Arial"/>
          <w:color w:val="000000"/>
          <w:sz w:val="20"/>
          <w:lang w:eastAsia="zh-CN"/>
        </w:rPr>
        <w:t>nsurance (PAI)</w:t>
      </w:r>
      <w:r>
        <w:rPr>
          <w:rFonts w:ascii="Arial" w:eastAsia="SimSun" w:hAnsi="Arial" w:cs="Arial"/>
          <w:color w:val="000000"/>
          <w:sz w:val="20"/>
          <w:lang w:eastAsia="zh-CN"/>
        </w:rPr>
        <w:t xml:space="preserve"> (</w:t>
      </w:r>
      <w:r w:rsidRPr="00A64BD7">
        <w:rPr>
          <w:rFonts w:ascii="Arial" w:eastAsia="SimSun" w:hAnsi="Arial" w:cs="Arial"/>
          <w:color w:val="000000"/>
          <w:sz w:val="20"/>
          <w:lang w:eastAsia="zh-CN"/>
        </w:rPr>
        <w:t>900,000</w:t>
      </w:r>
      <w:r>
        <w:rPr>
          <w:rFonts w:ascii="Arial" w:eastAsia="SimSun" w:hAnsi="Arial" w:cs="Arial"/>
          <w:color w:val="000000"/>
          <w:sz w:val="20"/>
          <w:lang w:eastAsia="zh-CN"/>
        </w:rPr>
        <w:t xml:space="preserve"> Swiss francs)</w:t>
      </w:r>
      <w:r w:rsidRPr="00C74EEF">
        <w:rPr>
          <w:rFonts w:ascii="Arial" w:eastAsia="SimSun" w:hAnsi="Arial" w:cs="Arial"/>
          <w:color w:val="000000"/>
          <w:sz w:val="20"/>
          <w:lang w:eastAsia="zh-CN"/>
        </w:rPr>
        <w:t>, the Closed Pension Fund</w:t>
      </w:r>
      <w:r>
        <w:rPr>
          <w:rFonts w:ascii="Arial" w:eastAsia="SimSun" w:hAnsi="Arial" w:cs="Arial"/>
          <w:color w:val="000000"/>
          <w:sz w:val="20"/>
          <w:lang w:eastAsia="zh-CN"/>
        </w:rPr>
        <w:t xml:space="preserve"> (</w:t>
      </w:r>
      <w:r w:rsidRPr="00A64BD7">
        <w:rPr>
          <w:rFonts w:ascii="Arial" w:eastAsia="SimSun" w:hAnsi="Arial" w:cs="Arial"/>
          <w:color w:val="000000"/>
          <w:sz w:val="20"/>
          <w:lang w:eastAsia="zh-CN"/>
        </w:rPr>
        <w:t>700,000 Sw</w:t>
      </w:r>
      <w:r>
        <w:rPr>
          <w:rFonts w:ascii="Arial" w:eastAsia="SimSun" w:hAnsi="Arial" w:cs="Arial"/>
          <w:color w:val="000000"/>
          <w:sz w:val="20"/>
          <w:lang w:eastAsia="zh-CN"/>
        </w:rPr>
        <w:t>iss francs)</w:t>
      </w:r>
      <w:r w:rsidRPr="00C74EEF">
        <w:rPr>
          <w:rFonts w:ascii="Arial" w:eastAsia="SimSun" w:hAnsi="Arial" w:cs="Arial"/>
          <w:color w:val="000000"/>
          <w:sz w:val="20"/>
          <w:lang w:eastAsia="zh-CN"/>
        </w:rPr>
        <w:t xml:space="preserve">, litigation costs </w:t>
      </w:r>
      <w:r>
        <w:rPr>
          <w:rFonts w:ascii="Arial" w:eastAsia="SimSun" w:hAnsi="Arial" w:cs="Arial"/>
          <w:color w:val="000000"/>
          <w:sz w:val="20"/>
          <w:lang w:eastAsia="zh-CN"/>
        </w:rPr>
        <w:t xml:space="preserve">(400,000 Swiss francs) </w:t>
      </w:r>
      <w:r w:rsidRPr="00C74EEF">
        <w:rPr>
          <w:rFonts w:ascii="Arial" w:eastAsia="SimSun" w:hAnsi="Arial" w:cs="Arial"/>
          <w:color w:val="000000"/>
          <w:sz w:val="20"/>
          <w:lang w:eastAsia="zh-CN"/>
        </w:rPr>
        <w:t>and the WIPO Rewards and Recognition Program</w:t>
      </w:r>
      <w:r>
        <w:rPr>
          <w:rFonts w:ascii="Arial" w:eastAsia="SimSun" w:hAnsi="Arial" w:cs="Arial"/>
          <w:color w:val="000000"/>
          <w:sz w:val="20"/>
          <w:lang w:eastAsia="zh-CN"/>
        </w:rPr>
        <w:t xml:space="preserve"> (120,000 Swiss francs)</w:t>
      </w:r>
      <w:r w:rsidR="00125302">
        <w:rPr>
          <w:rFonts w:ascii="Arial" w:eastAsia="SimSun" w:hAnsi="Arial" w:cs="Arial"/>
          <w:color w:val="000000"/>
          <w:sz w:val="20"/>
          <w:lang w:eastAsia="zh-CN"/>
        </w:rPr>
        <w:t>;</w:t>
      </w:r>
      <w:r w:rsidRPr="00C74EEF">
        <w:rPr>
          <w:rFonts w:ascii="Arial" w:eastAsia="SimSun" w:hAnsi="Arial" w:cs="Arial"/>
          <w:color w:val="000000"/>
          <w:sz w:val="20"/>
          <w:lang w:eastAsia="zh-CN"/>
        </w:rPr>
        <w:t xml:space="preserve"> </w:t>
      </w:r>
      <w:r w:rsidR="00125302">
        <w:rPr>
          <w:rFonts w:ascii="Arial" w:eastAsia="SimSun" w:hAnsi="Arial" w:cs="Arial"/>
          <w:color w:val="000000"/>
          <w:sz w:val="20"/>
          <w:lang w:eastAsia="zh-CN"/>
        </w:rPr>
        <w:t xml:space="preserve">the latter </w:t>
      </w:r>
      <w:r>
        <w:rPr>
          <w:rFonts w:ascii="Arial" w:eastAsia="SimSun" w:hAnsi="Arial" w:cs="Arial"/>
          <w:color w:val="000000"/>
          <w:sz w:val="20"/>
          <w:lang w:eastAsia="zh-CN"/>
        </w:rPr>
        <w:t>w</w:t>
      </w:r>
      <w:r w:rsidRPr="00C74EEF">
        <w:rPr>
          <w:rFonts w:ascii="Arial" w:eastAsia="SimSun" w:hAnsi="Arial" w:cs="Arial"/>
          <w:color w:val="000000"/>
          <w:sz w:val="20"/>
          <w:lang w:eastAsia="zh-CN"/>
        </w:rPr>
        <w:t xml:space="preserve">as introduced </w:t>
      </w:r>
      <w:r>
        <w:rPr>
          <w:rFonts w:ascii="Arial" w:eastAsia="SimSun" w:hAnsi="Arial" w:cs="Arial"/>
          <w:color w:val="000000"/>
          <w:sz w:val="20"/>
          <w:lang w:eastAsia="zh-CN"/>
        </w:rPr>
        <w:t>in</w:t>
      </w:r>
      <w:r w:rsidRPr="00C74EEF">
        <w:rPr>
          <w:rFonts w:ascii="Arial" w:eastAsia="SimSun" w:hAnsi="Arial" w:cs="Arial"/>
          <w:color w:val="000000"/>
          <w:sz w:val="20"/>
          <w:lang w:eastAsia="zh-CN"/>
        </w:rPr>
        <w:t xml:space="preserve"> 2014</w:t>
      </w:r>
      <w:r w:rsidR="003E0261">
        <w:rPr>
          <w:rFonts w:ascii="Arial" w:eastAsia="SimSun" w:hAnsi="Arial" w:cs="Arial"/>
          <w:color w:val="000000"/>
          <w:sz w:val="20"/>
          <w:lang w:eastAsia="zh-CN"/>
        </w:rPr>
        <w:t>;</w:t>
      </w:r>
      <w:r w:rsidR="003E0261" w:rsidRPr="00C74EEF">
        <w:rPr>
          <w:rFonts w:ascii="Arial" w:eastAsia="SimSun" w:hAnsi="Arial" w:cs="Arial"/>
          <w:color w:val="000000"/>
          <w:sz w:val="20"/>
          <w:lang w:eastAsia="zh-CN"/>
        </w:rPr>
        <w:t xml:space="preserve"> </w:t>
      </w:r>
    </w:p>
    <w:p w14:paraId="2F384C34" w14:textId="77777777" w:rsidR="00F51335" w:rsidRPr="00F51335" w:rsidRDefault="00F51335" w:rsidP="00F51335">
      <w:pPr>
        <w:shd w:val="clear" w:color="auto" w:fill="FFFFFF"/>
        <w:ind w:left="720"/>
        <w:jc w:val="both"/>
        <w:rPr>
          <w:rFonts w:ascii="Arial" w:hAnsi="Arial" w:cs="Arial"/>
          <w:color w:val="000000"/>
          <w:sz w:val="20"/>
        </w:rPr>
      </w:pPr>
    </w:p>
    <w:p w14:paraId="00B0F523" w14:textId="479976A7" w:rsidR="00B67D0A" w:rsidRPr="00C74EEF" w:rsidRDefault="00B67D0A" w:rsidP="00B66A4A">
      <w:pPr>
        <w:numPr>
          <w:ilvl w:val="0"/>
          <w:numId w:val="32"/>
        </w:numPr>
        <w:shd w:val="clear" w:color="auto" w:fill="FFFFFF"/>
        <w:jc w:val="both"/>
        <w:rPr>
          <w:rFonts w:ascii="Arial" w:hAnsi="Arial" w:cs="Arial"/>
          <w:color w:val="000000"/>
          <w:sz w:val="20"/>
        </w:rPr>
      </w:pPr>
      <w:r w:rsidRPr="00C74EEF">
        <w:rPr>
          <w:rFonts w:ascii="Arial" w:hAnsi="Arial" w:cs="Arial"/>
          <w:color w:val="000000"/>
          <w:sz w:val="20"/>
        </w:rPr>
        <w:t xml:space="preserve">Provisions for reclassification </w:t>
      </w:r>
      <w:r>
        <w:rPr>
          <w:rFonts w:ascii="Arial" w:hAnsi="Arial" w:cs="Arial"/>
          <w:color w:val="000000"/>
          <w:sz w:val="20"/>
        </w:rPr>
        <w:t xml:space="preserve">are budgeted at the </w:t>
      </w:r>
      <w:r w:rsidRPr="00C74EEF">
        <w:rPr>
          <w:rFonts w:ascii="Arial" w:hAnsi="Arial" w:cs="Arial"/>
          <w:color w:val="000000"/>
          <w:sz w:val="20"/>
        </w:rPr>
        <w:t xml:space="preserve">level of </w:t>
      </w:r>
      <w:r>
        <w:rPr>
          <w:rFonts w:ascii="Arial" w:hAnsi="Arial" w:cs="Arial"/>
          <w:color w:val="000000"/>
          <w:sz w:val="20"/>
        </w:rPr>
        <w:t>1.5</w:t>
      </w:r>
      <w:r w:rsidRPr="00C74EEF">
        <w:rPr>
          <w:rFonts w:ascii="Arial" w:hAnsi="Arial" w:cs="Arial"/>
          <w:color w:val="000000"/>
          <w:sz w:val="20"/>
        </w:rPr>
        <w:t xml:space="preserve"> million Swiss francs </w:t>
      </w:r>
      <w:r>
        <w:rPr>
          <w:rFonts w:ascii="Arial" w:eastAsia="SimSun" w:hAnsi="Arial" w:cs="Arial"/>
          <w:color w:val="000000"/>
          <w:sz w:val="20"/>
          <w:lang w:eastAsia="zh-CN"/>
        </w:rPr>
        <w:t>in “Unallocated (Personnel)”</w:t>
      </w:r>
      <w:r>
        <w:rPr>
          <w:rFonts w:ascii="Arial" w:hAnsi="Arial" w:cs="Arial"/>
          <w:color w:val="000000"/>
          <w:sz w:val="20"/>
        </w:rPr>
        <w:t xml:space="preserve"> based on actual reclassification costs in 2014/15</w:t>
      </w:r>
      <w:r w:rsidR="003E0261">
        <w:rPr>
          <w:rFonts w:ascii="Arial" w:hAnsi="Arial" w:cs="Arial"/>
          <w:color w:val="000000"/>
          <w:sz w:val="20"/>
        </w:rPr>
        <w:t>;</w:t>
      </w:r>
    </w:p>
    <w:p w14:paraId="1FB8E94D" w14:textId="77777777" w:rsidR="00B67D0A" w:rsidRDefault="00B67D0A" w:rsidP="00F02301">
      <w:pPr>
        <w:widowControl w:val="0"/>
        <w:ind w:left="720"/>
        <w:jc w:val="both"/>
        <w:rPr>
          <w:rFonts w:ascii="Arial" w:eastAsia="SimSun" w:hAnsi="Arial" w:cs="Arial"/>
          <w:color w:val="000000"/>
          <w:sz w:val="20"/>
          <w:lang w:eastAsia="zh-CN"/>
        </w:rPr>
      </w:pPr>
    </w:p>
    <w:p w14:paraId="13DB018C" w14:textId="6569B690" w:rsidR="00B67D0A" w:rsidRPr="000A7A1B" w:rsidRDefault="00B67D0A" w:rsidP="00B66A4A">
      <w:pPr>
        <w:widowControl w:val="0"/>
        <w:numPr>
          <w:ilvl w:val="0"/>
          <w:numId w:val="32"/>
        </w:numPr>
        <w:tabs>
          <w:tab w:val="num" w:pos="690"/>
        </w:tabs>
        <w:jc w:val="both"/>
        <w:rPr>
          <w:rFonts w:ascii="Arial" w:eastAsia="SimSun" w:hAnsi="Arial" w:cs="Arial"/>
          <w:color w:val="000000"/>
          <w:sz w:val="20"/>
          <w:lang w:eastAsia="zh-CN"/>
        </w:rPr>
      </w:pPr>
      <w:r w:rsidRPr="00F25AA5">
        <w:rPr>
          <w:rFonts w:ascii="Arial" w:eastAsia="SimSun" w:hAnsi="Arial" w:cs="Arial"/>
          <w:color w:val="000000"/>
          <w:sz w:val="20"/>
          <w:lang w:eastAsia="zh-CN"/>
        </w:rPr>
        <w:t xml:space="preserve">The 2014/15 biennium will see the near completion of the regularization of long serving temporary staff and continuing functions, establishing a solid base for the Organization’s personnel needs. In the upcoming biennia, the emphasis will be on ensuring that increasing demands are met through more innovative and sustainable resourcing models. </w:t>
      </w:r>
      <w:r w:rsidRPr="000A7A1B">
        <w:rPr>
          <w:rFonts w:ascii="Arial" w:hAnsi="Arial" w:cs="Arial"/>
          <w:color w:val="000000"/>
          <w:sz w:val="20"/>
        </w:rPr>
        <w:t xml:space="preserve">A provision of 800,000 Swiss francs has been </w:t>
      </w:r>
      <w:r w:rsidRPr="000A7A1B">
        <w:rPr>
          <w:rFonts w:ascii="Arial" w:eastAsia="SimSun" w:hAnsi="Arial" w:cs="Arial"/>
          <w:color w:val="000000"/>
          <w:sz w:val="20"/>
          <w:lang w:eastAsia="zh-CN"/>
        </w:rPr>
        <w:t xml:space="preserve">earmarked </w:t>
      </w:r>
      <w:r>
        <w:rPr>
          <w:rFonts w:ascii="Arial" w:eastAsia="SimSun" w:hAnsi="Arial" w:cs="Arial"/>
          <w:color w:val="000000"/>
          <w:sz w:val="20"/>
          <w:lang w:eastAsia="zh-CN"/>
        </w:rPr>
        <w:t>in “Unallocated (Personnel)”</w:t>
      </w:r>
      <w:r w:rsidRPr="000A7A1B">
        <w:rPr>
          <w:rFonts w:ascii="Arial" w:eastAsia="SimSun" w:hAnsi="Arial" w:cs="Arial"/>
          <w:color w:val="000000"/>
          <w:sz w:val="20"/>
          <w:lang w:eastAsia="zh-CN"/>
        </w:rPr>
        <w:t xml:space="preserve"> for the remaining regularization of continuing functions, within the framework of the 156 regularization posts approved in principle by Member States at their Assemblies in 2010 (reference document WO/CC/63/5). </w:t>
      </w:r>
      <w:r>
        <w:rPr>
          <w:rFonts w:ascii="Arial" w:eastAsia="SimSun" w:hAnsi="Arial" w:cs="Arial"/>
          <w:color w:val="000000"/>
          <w:sz w:val="20"/>
          <w:lang w:eastAsia="zh-CN"/>
        </w:rPr>
        <w:t xml:space="preserve">A total of </w:t>
      </w:r>
      <w:r w:rsidRPr="000A7A1B">
        <w:rPr>
          <w:rFonts w:ascii="Arial" w:eastAsia="SimSun" w:hAnsi="Arial" w:cs="Arial"/>
          <w:color w:val="000000"/>
          <w:sz w:val="20"/>
          <w:lang w:eastAsia="zh-CN"/>
        </w:rPr>
        <w:t xml:space="preserve">41 regularizations </w:t>
      </w:r>
      <w:r>
        <w:rPr>
          <w:rFonts w:ascii="Arial" w:eastAsia="SimSun" w:hAnsi="Arial" w:cs="Arial"/>
          <w:color w:val="000000"/>
          <w:sz w:val="20"/>
          <w:lang w:eastAsia="zh-CN"/>
        </w:rPr>
        <w:t>are currently</w:t>
      </w:r>
      <w:r w:rsidRPr="000A7A1B">
        <w:rPr>
          <w:rFonts w:ascii="Arial" w:eastAsia="SimSun" w:hAnsi="Arial" w:cs="Arial"/>
          <w:color w:val="000000"/>
          <w:sz w:val="20"/>
          <w:lang w:eastAsia="zh-CN"/>
        </w:rPr>
        <w:t xml:space="preserve"> pending</w:t>
      </w:r>
      <w:r w:rsidR="003E0261">
        <w:rPr>
          <w:rFonts w:ascii="Arial" w:eastAsia="SimSun" w:hAnsi="Arial" w:cs="Arial"/>
          <w:color w:val="000000"/>
          <w:sz w:val="20"/>
          <w:lang w:eastAsia="zh-CN"/>
        </w:rPr>
        <w:t>;</w:t>
      </w:r>
      <w:r w:rsidR="003E0261" w:rsidRPr="000A7A1B">
        <w:rPr>
          <w:rFonts w:ascii="Arial" w:eastAsia="SimSun" w:hAnsi="Arial" w:cs="Arial"/>
          <w:color w:val="000000"/>
          <w:sz w:val="20"/>
          <w:lang w:eastAsia="zh-CN"/>
        </w:rPr>
        <w:t xml:space="preserve"> </w:t>
      </w:r>
    </w:p>
    <w:p w14:paraId="53D71D48" w14:textId="77777777" w:rsidR="00B67D0A" w:rsidRPr="0089240D" w:rsidRDefault="00B67D0A" w:rsidP="00F02301">
      <w:pPr>
        <w:shd w:val="clear" w:color="auto" w:fill="FFFFFF"/>
        <w:ind w:left="720"/>
        <w:jc w:val="both"/>
        <w:rPr>
          <w:rFonts w:ascii="Arial" w:hAnsi="Arial" w:cs="Arial"/>
          <w:color w:val="000000"/>
          <w:sz w:val="20"/>
        </w:rPr>
      </w:pPr>
    </w:p>
    <w:p w14:paraId="7E8B24F0" w14:textId="77777777" w:rsidR="00B67D0A" w:rsidRPr="00C74EEF" w:rsidRDefault="00B67D0A" w:rsidP="00B66A4A">
      <w:pPr>
        <w:numPr>
          <w:ilvl w:val="0"/>
          <w:numId w:val="32"/>
        </w:numPr>
        <w:shd w:val="clear" w:color="auto" w:fill="FFFFFF"/>
        <w:jc w:val="both"/>
        <w:rPr>
          <w:rFonts w:ascii="Arial" w:hAnsi="Arial" w:cs="Arial"/>
          <w:color w:val="000000"/>
          <w:sz w:val="20"/>
        </w:rPr>
      </w:pPr>
      <w:r w:rsidRPr="00C74EEF">
        <w:rPr>
          <w:rFonts w:ascii="Arial" w:eastAsia="SimSun" w:hAnsi="Arial" w:cs="Arial"/>
          <w:color w:val="000000"/>
          <w:sz w:val="20"/>
          <w:lang w:eastAsia="zh-CN"/>
        </w:rPr>
        <w:t xml:space="preserve">In </w:t>
      </w:r>
      <w:r>
        <w:rPr>
          <w:rFonts w:ascii="Arial" w:eastAsia="SimSun" w:hAnsi="Arial" w:cs="Arial"/>
          <w:color w:val="000000"/>
          <w:sz w:val="20"/>
          <w:lang w:eastAsia="zh-CN"/>
        </w:rPr>
        <w:t xml:space="preserve">order to enable the Secretariat to better </w:t>
      </w:r>
      <w:r w:rsidRPr="00C74EEF">
        <w:rPr>
          <w:rFonts w:ascii="Arial" w:eastAsia="SimSun" w:hAnsi="Arial" w:cs="Arial"/>
          <w:color w:val="000000"/>
          <w:sz w:val="20"/>
          <w:lang w:eastAsia="zh-CN"/>
        </w:rPr>
        <w:t>monitor and control overtime expenses, the</w:t>
      </w:r>
      <w:r>
        <w:rPr>
          <w:rFonts w:ascii="Arial" w:eastAsia="SimSun" w:hAnsi="Arial" w:cs="Arial"/>
          <w:color w:val="000000"/>
          <w:sz w:val="20"/>
          <w:lang w:eastAsia="zh-CN"/>
        </w:rPr>
        <w:t xml:space="preserve"> estimated overtime </w:t>
      </w:r>
      <w:r w:rsidRPr="00C74EEF">
        <w:rPr>
          <w:rFonts w:ascii="Arial" w:eastAsia="SimSun" w:hAnsi="Arial" w:cs="Arial"/>
          <w:color w:val="000000"/>
          <w:sz w:val="20"/>
          <w:lang w:eastAsia="zh-CN"/>
        </w:rPr>
        <w:t xml:space="preserve">costs </w:t>
      </w:r>
      <w:r>
        <w:rPr>
          <w:rFonts w:ascii="Arial" w:eastAsia="SimSun" w:hAnsi="Arial" w:cs="Arial"/>
          <w:color w:val="000000"/>
          <w:sz w:val="20"/>
          <w:lang w:eastAsia="zh-CN"/>
        </w:rPr>
        <w:t>are budgeted in a separate provision in “Unallocated (Personnel)”</w:t>
      </w:r>
      <w:r w:rsidRPr="00C74EEF">
        <w:rPr>
          <w:rFonts w:ascii="Arial" w:eastAsia="SimSun" w:hAnsi="Arial" w:cs="Arial"/>
          <w:color w:val="000000"/>
          <w:sz w:val="20"/>
          <w:lang w:eastAsia="zh-CN"/>
        </w:rPr>
        <w:t>. On the basis of past expenditure pattern</w:t>
      </w:r>
      <w:r>
        <w:rPr>
          <w:rFonts w:ascii="Arial" w:eastAsia="SimSun" w:hAnsi="Arial" w:cs="Arial"/>
          <w:color w:val="000000"/>
          <w:sz w:val="20"/>
          <w:lang w:eastAsia="zh-CN"/>
        </w:rPr>
        <w:t>s</w:t>
      </w:r>
      <w:r w:rsidRPr="00C74EEF">
        <w:rPr>
          <w:rFonts w:ascii="Arial" w:eastAsia="SimSun" w:hAnsi="Arial" w:cs="Arial"/>
          <w:color w:val="000000"/>
          <w:sz w:val="20"/>
          <w:lang w:eastAsia="zh-CN"/>
        </w:rPr>
        <w:t xml:space="preserve">, </w:t>
      </w:r>
      <w:r>
        <w:rPr>
          <w:rFonts w:ascii="Arial" w:eastAsia="SimSun" w:hAnsi="Arial" w:cs="Arial"/>
          <w:color w:val="000000"/>
          <w:sz w:val="20"/>
          <w:lang w:eastAsia="zh-CN"/>
        </w:rPr>
        <w:t>the</w:t>
      </w:r>
      <w:r w:rsidRPr="00C74EEF">
        <w:rPr>
          <w:rFonts w:ascii="Arial" w:eastAsia="SimSun" w:hAnsi="Arial" w:cs="Arial"/>
          <w:color w:val="000000"/>
          <w:sz w:val="20"/>
          <w:lang w:eastAsia="zh-CN"/>
        </w:rPr>
        <w:t xml:space="preserve"> provision </w:t>
      </w:r>
      <w:r>
        <w:rPr>
          <w:rFonts w:ascii="Arial" w:eastAsia="SimSun" w:hAnsi="Arial" w:cs="Arial"/>
          <w:color w:val="000000"/>
          <w:sz w:val="20"/>
          <w:lang w:eastAsia="zh-CN"/>
        </w:rPr>
        <w:t xml:space="preserve">amounts to </w:t>
      </w:r>
      <w:r w:rsidRPr="00C74EEF">
        <w:rPr>
          <w:rFonts w:ascii="Arial" w:eastAsia="SimSun" w:hAnsi="Arial" w:cs="Arial"/>
          <w:color w:val="000000"/>
          <w:sz w:val="20"/>
          <w:lang w:eastAsia="zh-CN"/>
        </w:rPr>
        <w:t>2 million Swiss francs. Th</w:t>
      </w:r>
      <w:r>
        <w:rPr>
          <w:rFonts w:ascii="Arial" w:eastAsia="SimSun" w:hAnsi="Arial" w:cs="Arial"/>
          <w:color w:val="000000"/>
          <w:sz w:val="20"/>
          <w:lang w:eastAsia="zh-CN"/>
        </w:rPr>
        <w:t>e</w:t>
      </w:r>
      <w:r w:rsidRPr="00C74EEF">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overtime </w:t>
      </w:r>
      <w:r w:rsidRPr="00C74EEF">
        <w:rPr>
          <w:rFonts w:ascii="Arial" w:eastAsia="SimSun" w:hAnsi="Arial" w:cs="Arial"/>
          <w:color w:val="000000"/>
          <w:sz w:val="20"/>
          <w:lang w:eastAsia="zh-CN"/>
        </w:rPr>
        <w:t>cost</w:t>
      </w:r>
      <w:r>
        <w:rPr>
          <w:rFonts w:ascii="Arial" w:eastAsia="SimSun" w:hAnsi="Arial" w:cs="Arial"/>
          <w:color w:val="000000"/>
          <w:sz w:val="20"/>
          <w:lang w:eastAsia="zh-CN"/>
        </w:rPr>
        <w:t>s</w:t>
      </w:r>
      <w:r w:rsidRPr="00C74EEF">
        <w:rPr>
          <w:rFonts w:ascii="Arial" w:eastAsia="SimSun" w:hAnsi="Arial" w:cs="Arial"/>
          <w:color w:val="000000"/>
          <w:sz w:val="20"/>
          <w:lang w:eastAsia="zh-CN"/>
        </w:rPr>
        <w:t xml:space="preserve"> will be closely monitored in coordination with </w:t>
      </w:r>
      <w:r>
        <w:rPr>
          <w:rFonts w:ascii="Arial" w:eastAsia="SimSun" w:hAnsi="Arial" w:cs="Arial"/>
          <w:color w:val="000000"/>
          <w:sz w:val="20"/>
          <w:lang w:eastAsia="zh-CN"/>
        </w:rPr>
        <w:t>Program 23 (Human Resources Management and Development)</w:t>
      </w:r>
      <w:r w:rsidRPr="00C74EEF">
        <w:rPr>
          <w:rFonts w:ascii="Arial" w:eastAsia="SimSun" w:hAnsi="Arial" w:cs="Arial"/>
          <w:color w:val="000000"/>
          <w:sz w:val="20"/>
          <w:lang w:eastAsia="zh-CN"/>
        </w:rPr>
        <w:t xml:space="preserve"> and </w:t>
      </w:r>
      <w:r>
        <w:rPr>
          <w:rFonts w:ascii="Arial" w:eastAsia="SimSun" w:hAnsi="Arial" w:cs="Arial"/>
          <w:color w:val="000000"/>
          <w:sz w:val="20"/>
          <w:lang w:eastAsia="zh-CN"/>
        </w:rPr>
        <w:t>concerned P</w:t>
      </w:r>
      <w:r w:rsidRPr="00C74EEF">
        <w:rPr>
          <w:rFonts w:ascii="Arial" w:eastAsia="SimSun" w:hAnsi="Arial" w:cs="Arial"/>
          <w:color w:val="000000"/>
          <w:sz w:val="20"/>
          <w:lang w:eastAsia="zh-CN"/>
        </w:rPr>
        <w:t>rogram areas.</w:t>
      </w:r>
    </w:p>
    <w:p w14:paraId="3B150240" w14:textId="77777777" w:rsidR="00B67D0A" w:rsidRDefault="00B67D0A" w:rsidP="00F02301">
      <w:pPr>
        <w:widowControl w:val="0"/>
        <w:tabs>
          <w:tab w:val="num" w:pos="690"/>
        </w:tabs>
        <w:jc w:val="both"/>
        <w:rPr>
          <w:rFonts w:ascii="Arial" w:hAnsi="Arial" w:cs="Arial"/>
          <w:color w:val="000000"/>
          <w:sz w:val="20"/>
        </w:rPr>
      </w:pPr>
    </w:p>
    <w:p w14:paraId="30041CDB" w14:textId="238DA09C" w:rsidR="00B67D0A" w:rsidRPr="00813EC7" w:rsidRDefault="00B67D0A" w:rsidP="00B66A4A">
      <w:pPr>
        <w:pStyle w:val="ListParagraph"/>
        <w:widowControl w:val="0"/>
        <w:numPr>
          <w:ilvl w:val="0"/>
          <w:numId w:val="33"/>
        </w:numPr>
        <w:tabs>
          <w:tab w:val="left" w:pos="567"/>
        </w:tabs>
        <w:ind w:left="0" w:firstLine="0"/>
        <w:jc w:val="both"/>
        <w:rPr>
          <w:rFonts w:ascii="Arial" w:hAnsi="Arial" w:cs="Arial"/>
          <w:color w:val="000000"/>
          <w:sz w:val="20"/>
        </w:rPr>
      </w:pPr>
      <w:r w:rsidRPr="00292FCD">
        <w:rPr>
          <w:rFonts w:ascii="Arial" w:hAnsi="Arial"/>
          <w:sz w:val="20"/>
          <w:lang w:val="en-CA"/>
        </w:rPr>
        <w:t>Based</w:t>
      </w:r>
      <w:r>
        <w:rPr>
          <w:rFonts w:ascii="Arial" w:eastAsia="SimSun" w:hAnsi="Arial" w:cs="Arial"/>
          <w:color w:val="000000"/>
          <w:sz w:val="20"/>
          <w:lang w:eastAsia="zh-CN"/>
        </w:rPr>
        <w:t xml:space="preserve"> on the above planning assumptions, the increase in personnel costs in 2016/17 has been contained at </w:t>
      </w:r>
      <w:r w:rsidRPr="00C74EEF">
        <w:rPr>
          <w:rFonts w:ascii="Arial" w:hAnsi="Arial" w:cs="Arial"/>
          <w:color w:val="000000"/>
          <w:sz w:val="20"/>
        </w:rPr>
        <w:t>9.</w:t>
      </w:r>
      <w:r w:rsidR="00125302">
        <w:rPr>
          <w:rFonts w:ascii="Arial" w:hAnsi="Arial" w:cs="Arial"/>
          <w:color w:val="000000"/>
          <w:sz w:val="20"/>
        </w:rPr>
        <w:t>6</w:t>
      </w:r>
      <w:r w:rsidRPr="00C74EEF">
        <w:rPr>
          <w:rFonts w:ascii="Arial" w:hAnsi="Arial" w:cs="Arial"/>
          <w:color w:val="000000"/>
          <w:sz w:val="20"/>
        </w:rPr>
        <w:t xml:space="preserve"> million Swiss francs</w:t>
      </w:r>
      <w:r>
        <w:rPr>
          <w:rFonts w:ascii="Arial" w:hAnsi="Arial" w:cs="Arial"/>
          <w:color w:val="000000"/>
          <w:sz w:val="20"/>
        </w:rPr>
        <w:t>,</w:t>
      </w:r>
      <w:r w:rsidRPr="00C74EEF">
        <w:rPr>
          <w:rFonts w:ascii="Arial" w:hAnsi="Arial" w:cs="Arial"/>
          <w:color w:val="000000"/>
          <w:sz w:val="20"/>
        </w:rPr>
        <w:t xml:space="preserve"> or 2.1 percent</w:t>
      </w:r>
      <w:r>
        <w:rPr>
          <w:rFonts w:ascii="Arial" w:hAnsi="Arial" w:cs="Arial"/>
          <w:color w:val="000000"/>
          <w:sz w:val="20"/>
        </w:rPr>
        <w:t>,</w:t>
      </w:r>
      <w:r w:rsidRPr="00C74EEF">
        <w:rPr>
          <w:rFonts w:ascii="Arial" w:hAnsi="Arial" w:cs="Arial"/>
          <w:color w:val="000000"/>
          <w:sz w:val="20"/>
        </w:rPr>
        <w:t xml:space="preserve"> compared to the </w:t>
      </w:r>
      <w:r>
        <w:rPr>
          <w:rFonts w:ascii="Arial" w:hAnsi="Arial" w:cs="Arial"/>
          <w:color w:val="000000"/>
          <w:sz w:val="20"/>
        </w:rPr>
        <w:t xml:space="preserve">2014/15 Approved Budget. Compared to the 2014/15 Budget after Transfers, the increase amounts to </w:t>
      </w:r>
      <w:r w:rsidRPr="005E1E37">
        <w:rPr>
          <w:rFonts w:ascii="Arial" w:eastAsia="SimSun" w:hAnsi="Arial" w:cs="Arial"/>
          <w:color w:val="000000"/>
          <w:sz w:val="20"/>
          <w:lang w:eastAsia="zh-CN"/>
        </w:rPr>
        <w:t>10.3 million or 2.3</w:t>
      </w:r>
      <w:r>
        <w:rPr>
          <w:rFonts w:ascii="Arial" w:eastAsia="SimSun" w:hAnsi="Arial" w:cs="Arial"/>
          <w:color w:val="000000"/>
          <w:sz w:val="20"/>
          <w:lang w:eastAsia="zh-CN"/>
        </w:rPr>
        <w:t xml:space="preserve"> per cent. T</w:t>
      </w:r>
      <w:r w:rsidRPr="00813EC7">
        <w:rPr>
          <w:rFonts w:ascii="Arial" w:eastAsia="SimSun" w:hAnsi="Arial" w:cs="Arial"/>
          <w:color w:val="000000"/>
          <w:sz w:val="20"/>
          <w:lang w:eastAsia="zh-CN"/>
        </w:rPr>
        <w:t>he share of budgeted personnel costs compared to the total budget has decreased from 66.3 per cent in 2014/15 to 64.6 per cent in 2016/17.</w:t>
      </w:r>
      <w:r>
        <w:rPr>
          <w:rFonts w:ascii="Arial" w:eastAsia="SimSun" w:hAnsi="Arial" w:cs="Arial"/>
          <w:color w:val="000000"/>
          <w:sz w:val="20"/>
          <w:lang w:eastAsia="zh-CN"/>
        </w:rPr>
        <w:t xml:space="preserve"> This is the result of a conscious strategy to contain personnel costs as well as the share of the personnel cost of the total expenditure of the Organization and move towards a more agile and flexible workforce which can easily adapt to business needs.  </w:t>
      </w:r>
    </w:p>
    <w:p w14:paraId="28D3BB9A" w14:textId="77777777" w:rsidR="00B67D0A" w:rsidRDefault="00B67D0A" w:rsidP="00F02301">
      <w:pPr>
        <w:widowControl w:val="0"/>
        <w:tabs>
          <w:tab w:val="num" w:pos="690"/>
        </w:tabs>
        <w:jc w:val="both"/>
        <w:rPr>
          <w:rFonts w:ascii="Arial" w:eastAsia="SimSun" w:hAnsi="Arial" w:cs="Arial"/>
          <w:color w:val="000000"/>
          <w:sz w:val="20"/>
          <w:lang w:eastAsia="zh-CN"/>
        </w:rPr>
      </w:pPr>
    </w:p>
    <w:p w14:paraId="5DD0C5B4" w14:textId="77777777"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2F070A">
        <w:rPr>
          <w:rFonts w:ascii="Arial" w:hAnsi="Arial"/>
          <w:sz w:val="20"/>
          <w:lang w:val="en-CA"/>
        </w:rPr>
        <w:lastRenderedPageBreak/>
        <w:t>The overall increase in 2016/17 under “Posts”</w:t>
      </w:r>
      <w:r w:rsidRPr="00DA3F93">
        <w:rPr>
          <w:rFonts w:ascii="Arial" w:hAnsi="Arial"/>
          <w:sz w:val="20"/>
          <w:vertAlign w:val="superscript"/>
          <w:lang w:val="en-CA"/>
        </w:rPr>
        <w:footnoteReference w:id="13"/>
      </w:r>
      <w:r w:rsidRPr="002F070A">
        <w:rPr>
          <w:rFonts w:ascii="Arial" w:hAnsi="Arial"/>
          <w:sz w:val="20"/>
          <w:lang w:val="en-CA"/>
        </w:rPr>
        <w:t xml:space="preserve"> compared to the 2014/15 Approved Budget relates primarily to statutory increases. It also reflects completed regularizations offset by a reduction under “Temporary Staff”</w:t>
      </w:r>
      <w:r w:rsidRPr="00DA3F93">
        <w:rPr>
          <w:rFonts w:ascii="Arial" w:hAnsi="Arial"/>
          <w:sz w:val="18"/>
          <w:vertAlign w:val="superscript"/>
          <w:lang w:val="en-CA"/>
        </w:rPr>
        <w:footnoteReference w:id="14"/>
      </w:r>
      <w:r w:rsidRPr="0099282B">
        <w:rPr>
          <w:rFonts w:ascii="Arial" w:hAnsi="Arial"/>
          <w:sz w:val="18"/>
          <w:lang w:val="en-CA"/>
        </w:rPr>
        <w:t>.</w:t>
      </w:r>
      <w:r w:rsidRPr="002F070A">
        <w:rPr>
          <w:rFonts w:ascii="Arial" w:hAnsi="Arial"/>
          <w:sz w:val="20"/>
          <w:lang w:val="en-CA"/>
        </w:rPr>
        <w:t xml:space="preserve">  </w:t>
      </w:r>
    </w:p>
    <w:p w14:paraId="2D3D8486" w14:textId="77777777" w:rsidR="00B67D0A" w:rsidRDefault="00B67D0A" w:rsidP="00F02301">
      <w:pPr>
        <w:pStyle w:val="NormalWeb"/>
        <w:shd w:val="clear" w:color="auto" w:fill="FFFFFF"/>
        <w:jc w:val="both"/>
        <w:rPr>
          <w:color w:val="000000"/>
          <w:sz w:val="20"/>
          <w:szCs w:val="20"/>
        </w:rPr>
      </w:pPr>
    </w:p>
    <w:p w14:paraId="2C11E55E" w14:textId="0B57428A"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2F070A">
        <w:rPr>
          <w:rFonts w:ascii="Arial" w:hAnsi="Arial"/>
          <w:sz w:val="20"/>
          <w:lang w:val="en-CA"/>
        </w:rPr>
        <w:t>The net reduction under “Other Staff Costs” is due to estimated savings of 400,000 Swiss francs in respect of Professional Accident Insurance (PAI), partly offset by an increase of 50,000 Swiss francs for the Closed Pension Fund and an increase of approximately 120,000</w:t>
      </w:r>
      <w:r w:rsidR="006A08A2">
        <w:rPr>
          <w:rFonts w:ascii="Arial" w:hAnsi="Arial"/>
          <w:sz w:val="20"/>
          <w:lang w:val="en-CA"/>
        </w:rPr>
        <w:t xml:space="preserve"> Swiss francs</w:t>
      </w:r>
      <w:r w:rsidRPr="002F070A">
        <w:rPr>
          <w:rFonts w:ascii="Arial" w:hAnsi="Arial"/>
          <w:sz w:val="20"/>
          <w:lang w:val="en-CA"/>
        </w:rPr>
        <w:t xml:space="preserve"> under the WIPO Rewards and Recognition program.</w:t>
      </w:r>
    </w:p>
    <w:p w14:paraId="45991513" w14:textId="77777777" w:rsidR="00B67D0A" w:rsidRDefault="00B67D0A" w:rsidP="00F02301">
      <w:pPr>
        <w:pStyle w:val="NormalWeb"/>
        <w:shd w:val="clear" w:color="auto" w:fill="FFFFFF"/>
        <w:jc w:val="both"/>
        <w:rPr>
          <w:sz w:val="20"/>
          <w:szCs w:val="20"/>
        </w:rPr>
      </w:pPr>
    </w:p>
    <w:p w14:paraId="1CCA5026" w14:textId="79F5F7B7" w:rsidR="00B67D0A" w:rsidRPr="002F070A" w:rsidRDefault="00B67D0A" w:rsidP="00B66A4A">
      <w:pPr>
        <w:pStyle w:val="ListParagraph"/>
        <w:widowControl w:val="0"/>
        <w:numPr>
          <w:ilvl w:val="0"/>
          <w:numId w:val="33"/>
        </w:numPr>
        <w:tabs>
          <w:tab w:val="left" w:pos="567"/>
        </w:tabs>
        <w:ind w:left="0" w:firstLine="0"/>
        <w:jc w:val="both"/>
        <w:rPr>
          <w:rFonts w:ascii="Arial" w:hAnsi="Arial"/>
          <w:sz w:val="20"/>
          <w:lang w:val="en-CA"/>
        </w:rPr>
      </w:pPr>
      <w:r w:rsidRPr="002F070A">
        <w:rPr>
          <w:rFonts w:ascii="Arial" w:hAnsi="Arial"/>
          <w:sz w:val="20"/>
          <w:lang w:val="en-CA"/>
        </w:rPr>
        <w:t xml:space="preserve">The net increase under “Unallocated (Personnel)” is mainly due to the provisioning of overtime expenses of 2 million Swiss francs, </w:t>
      </w:r>
      <w:r w:rsidR="00D05C3F">
        <w:rPr>
          <w:rFonts w:ascii="Arial" w:hAnsi="Arial"/>
          <w:sz w:val="20"/>
          <w:lang w:val="en-CA"/>
        </w:rPr>
        <w:t xml:space="preserve">previously budgeted under “Posts”, </w:t>
      </w:r>
      <w:r w:rsidRPr="002F070A">
        <w:rPr>
          <w:rFonts w:ascii="Arial" w:hAnsi="Arial"/>
          <w:sz w:val="20"/>
          <w:lang w:val="en-CA"/>
        </w:rPr>
        <w:t xml:space="preserve">partly offset by an overall reduction of 500,000 Swiss francs for </w:t>
      </w:r>
      <w:r w:rsidR="00350AA3">
        <w:rPr>
          <w:rFonts w:ascii="Arial" w:hAnsi="Arial"/>
          <w:sz w:val="20"/>
          <w:lang w:val="en-CA"/>
        </w:rPr>
        <w:t>r</w:t>
      </w:r>
      <w:r w:rsidR="00350AA3" w:rsidRPr="002F070A">
        <w:rPr>
          <w:rFonts w:ascii="Arial" w:hAnsi="Arial"/>
          <w:sz w:val="20"/>
          <w:lang w:val="en-CA"/>
        </w:rPr>
        <w:t>eclassification</w:t>
      </w:r>
      <w:r w:rsidR="00350AA3">
        <w:rPr>
          <w:rFonts w:ascii="Arial" w:hAnsi="Arial"/>
          <w:sz w:val="20"/>
          <w:lang w:val="en-CA"/>
        </w:rPr>
        <w:t>s</w:t>
      </w:r>
      <w:r w:rsidR="00350AA3" w:rsidRPr="002F070A">
        <w:rPr>
          <w:rFonts w:ascii="Arial" w:hAnsi="Arial"/>
          <w:sz w:val="20"/>
          <w:lang w:val="en-CA"/>
        </w:rPr>
        <w:t xml:space="preserve"> </w:t>
      </w:r>
      <w:r w:rsidRPr="002F070A">
        <w:rPr>
          <w:rFonts w:ascii="Arial" w:hAnsi="Arial"/>
          <w:sz w:val="20"/>
          <w:lang w:val="en-CA"/>
        </w:rPr>
        <w:t>and approximately 500,000</w:t>
      </w:r>
      <w:r w:rsidR="006A08A2">
        <w:rPr>
          <w:rFonts w:ascii="Arial" w:hAnsi="Arial"/>
          <w:sz w:val="20"/>
          <w:lang w:val="en-CA"/>
        </w:rPr>
        <w:t xml:space="preserve"> Swiss francs</w:t>
      </w:r>
      <w:r w:rsidRPr="002F070A">
        <w:rPr>
          <w:rFonts w:ascii="Arial" w:hAnsi="Arial"/>
          <w:sz w:val="20"/>
          <w:lang w:val="en-CA"/>
        </w:rPr>
        <w:t xml:space="preserve"> for </w:t>
      </w:r>
      <w:r w:rsidR="00350AA3">
        <w:rPr>
          <w:rFonts w:ascii="Arial" w:hAnsi="Arial"/>
          <w:sz w:val="20"/>
          <w:lang w:val="en-CA"/>
        </w:rPr>
        <w:t>r</w:t>
      </w:r>
      <w:r w:rsidR="00350AA3" w:rsidRPr="002F070A">
        <w:rPr>
          <w:rFonts w:ascii="Arial" w:hAnsi="Arial"/>
          <w:sz w:val="20"/>
          <w:lang w:val="en-CA"/>
        </w:rPr>
        <w:t>egularization</w:t>
      </w:r>
      <w:r w:rsidR="00350AA3">
        <w:rPr>
          <w:rFonts w:ascii="Arial" w:hAnsi="Arial"/>
          <w:sz w:val="20"/>
          <w:lang w:val="en-CA"/>
        </w:rPr>
        <w:t>s</w:t>
      </w:r>
      <w:r w:rsidR="00350AA3" w:rsidRPr="002F070A">
        <w:rPr>
          <w:rFonts w:ascii="Arial" w:hAnsi="Arial"/>
          <w:sz w:val="20"/>
          <w:lang w:val="en-CA"/>
        </w:rPr>
        <w:t xml:space="preserve"> </w:t>
      </w:r>
      <w:r w:rsidRPr="002F070A">
        <w:rPr>
          <w:rFonts w:ascii="Arial" w:hAnsi="Arial"/>
          <w:sz w:val="20"/>
          <w:lang w:val="en-CA"/>
        </w:rPr>
        <w:t>as compared to the 2014/15 Approved Budget.</w:t>
      </w:r>
    </w:p>
    <w:p w14:paraId="187177E8" w14:textId="77777777" w:rsidR="00B67D0A" w:rsidRDefault="00B67D0A" w:rsidP="00F02301">
      <w:pPr>
        <w:widowControl w:val="0"/>
        <w:tabs>
          <w:tab w:val="num" w:pos="690"/>
        </w:tabs>
        <w:jc w:val="both"/>
        <w:rPr>
          <w:rFonts w:ascii="Arial" w:eastAsia="SimSun" w:hAnsi="Arial" w:cs="Arial"/>
          <w:color w:val="000000"/>
          <w:sz w:val="20"/>
          <w:lang w:eastAsia="zh-CN"/>
        </w:rPr>
      </w:pPr>
    </w:p>
    <w:p w14:paraId="5411B84D" w14:textId="6132C9FA" w:rsidR="00B67D0A" w:rsidRPr="00F51335" w:rsidRDefault="005412E8" w:rsidP="00F51335">
      <w:pPr>
        <w:keepNext/>
        <w:keepLines/>
        <w:jc w:val="center"/>
        <w:rPr>
          <w:rFonts w:ascii="Arial" w:hAnsi="Arial" w:cs="Arial"/>
          <w:b/>
          <w:sz w:val="20"/>
          <w:szCs w:val="16"/>
        </w:rPr>
      </w:pPr>
      <w:r>
        <w:rPr>
          <w:rFonts w:ascii="Arial" w:hAnsi="Arial" w:cs="Arial"/>
          <w:b/>
          <w:sz w:val="20"/>
          <w:szCs w:val="16"/>
        </w:rPr>
        <w:t xml:space="preserve">Chart 4.  </w:t>
      </w:r>
      <w:r w:rsidR="00B67D0A" w:rsidRPr="00F51335">
        <w:rPr>
          <w:rFonts w:ascii="Arial" w:hAnsi="Arial" w:cs="Arial"/>
          <w:b/>
          <w:sz w:val="20"/>
          <w:szCs w:val="16"/>
        </w:rPr>
        <w:t>Cost Structure Evolution 1990/91-2016/17</w:t>
      </w:r>
    </w:p>
    <w:p w14:paraId="46D84494" w14:textId="77777777" w:rsidR="00B67D0A" w:rsidRDefault="00B67D0A" w:rsidP="00F51335">
      <w:pPr>
        <w:keepNext/>
        <w:keepLines/>
        <w:widowControl w:val="0"/>
        <w:tabs>
          <w:tab w:val="num" w:pos="690"/>
        </w:tabs>
        <w:jc w:val="both"/>
        <w:rPr>
          <w:rFonts w:ascii="Arial" w:eastAsia="SimSun" w:hAnsi="Arial" w:cs="Arial"/>
          <w:color w:val="000000"/>
          <w:sz w:val="20"/>
          <w:lang w:eastAsia="zh-CN"/>
        </w:rPr>
      </w:pPr>
    </w:p>
    <w:p w14:paraId="71CBBD1A" w14:textId="5D6340F5" w:rsidR="00B67D0A" w:rsidRDefault="00123A82" w:rsidP="00F51335">
      <w:pPr>
        <w:keepNext/>
        <w:keepLines/>
        <w:widowControl w:val="0"/>
        <w:tabs>
          <w:tab w:val="num" w:pos="690"/>
        </w:tabs>
        <w:jc w:val="both"/>
        <w:rPr>
          <w:rFonts w:ascii="Arial" w:eastAsia="SimSun" w:hAnsi="Arial" w:cs="Arial"/>
          <w:color w:val="000000"/>
          <w:sz w:val="20"/>
          <w:lang w:eastAsia="zh-CN"/>
        </w:rPr>
      </w:pPr>
      <w:r>
        <w:rPr>
          <w:rFonts w:ascii="Arial" w:eastAsia="SimSun" w:hAnsi="Arial" w:cs="Arial"/>
          <w:noProof/>
          <w:color w:val="000000"/>
          <w:sz w:val="20"/>
          <w:lang w:eastAsia="en-US"/>
        </w:rPr>
        <w:drawing>
          <wp:inline distT="0" distB="0" distL="0" distR="0" wp14:anchorId="14191FFA" wp14:editId="2ED855BB">
            <wp:extent cx="5986732" cy="2339340"/>
            <wp:effectExtent l="0" t="0" r="0" b="381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7155" cy="2343413"/>
                    </a:xfrm>
                    <a:prstGeom prst="rect">
                      <a:avLst/>
                    </a:prstGeom>
                    <a:noFill/>
                  </pic:spPr>
                </pic:pic>
              </a:graphicData>
            </a:graphic>
          </wp:inline>
        </w:drawing>
      </w:r>
    </w:p>
    <w:p w14:paraId="30227865" w14:textId="77777777" w:rsidR="00B67D0A" w:rsidRDefault="00B67D0A" w:rsidP="00F02301">
      <w:pPr>
        <w:widowControl w:val="0"/>
        <w:tabs>
          <w:tab w:val="num" w:pos="690"/>
        </w:tabs>
        <w:jc w:val="both"/>
        <w:rPr>
          <w:rFonts w:ascii="Arial" w:eastAsia="SimSun" w:hAnsi="Arial" w:cs="Arial"/>
          <w:color w:val="000000"/>
          <w:sz w:val="20"/>
          <w:lang w:eastAsia="zh-CN"/>
        </w:rPr>
      </w:pPr>
    </w:p>
    <w:p w14:paraId="5CA0ED5C" w14:textId="77777777" w:rsidR="004D21CD" w:rsidRDefault="004D21CD" w:rsidP="00F02301">
      <w:pPr>
        <w:widowControl w:val="0"/>
        <w:tabs>
          <w:tab w:val="num" w:pos="690"/>
        </w:tabs>
        <w:jc w:val="both"/>
        <w:rPr>
          <w:rFonts w:ascii="Arial" w:eastAsia="SimSun" w:hAnsi="Arial" w:cs="Arial"/>
          <w:color w:val="000000"/>
          <w:sz w:val="20"/>
          <w:lang w:eastAsia="zh-CN"/>
        </w:rPr>
      </w:pPr>
    </w:p>
    <w:p w14:paraId="35718E63" w14:textId="77777777" w:rsidR="00B67D0A" w:rsidRPr="00F66122" w:rsidRDefault="00B67D0A" w:rsidP="00F66122">
      <w:pPr>
        <w:pStyle w:val="StyleHeading3ComplexItalic"/>
        <w:tabs>
          <w:tab w:val="clear" w:pos="1985"/>
          <w:tab w:val="left" w:pos="1843"/>
        </w:tabs>
        <w:ind w:left="1843" w:hanging="1843"/>
        <w:rPr>
          <w:sz w:val="20"/>
        </w:rPr>
      </w:pPr>
      <w:bookmarkStart w:id="17" w:name="_Toc367350569"/>
      <w:bookmarkStart w:id="18" w:name="_Toc431221402"/>
      <w:r w:rsidRPr="00F66122">
        <w:rPr>
          <w:sz w:val="20"/>
        </w:rPr>
        <w:t>DEVELOPMENT ACTIVITIES AND DEVELOPMENT AGENDA RESOURCES</w:t>
      </w:r>
      <w:bookmarkEnd w:id="17"/>
      <w:bookmarkEnd w:id="18"/>
    </w:p>
    <w:p w14:paraId="607041AE" w14:textId="77777777" w:rsidR="00B67D0A" w:rsidRDefault="00B67D0A" w:rsidP="00F02301">
      <w:pPr>
        <w:widowControl w:val="0"/>
        <w:jc w:val="both"/>
        <w:rPr>
          <w:rFonts w:ascii="Arial" w:hAnsi="Arial" w:cs="Arial"/>
          <w:bCs/>
          <w:sz w:val="20"/>
        </w:rPr>
      </w:pPr>
    </w:p>
    <w:p w14:paraId="4D94A89F" w14:textId="1CA469A0" w:rsidR="00B67D0A" w:rsidRPr="009960A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292FCD">
        <w:rPr>
          <w:rFonts w:ascii="Arial" w:hAnsi="Arial"/>
          <w:sz w:val="20"/>
          <w:lang w:val="en-CA"/>
        </w:rPr>
        <w:t>Development</w:t>
      </w:r>
      <w:r w:rsidRPr="00BE7822">
        <w:rPr>
          <w:rFonts w:ascii="Arial" w:hAnsi="Arial"/>
          <w:sz w:val="20"/>
        </w:rPr>
        <w:t xml:space="preserve"> continues to be a priority in the biennium 2016/17</w:t>
      </w:r>
      <w:r>
        <w:rPr>
          <w:rFonts w:ascii="Arial" w:hAnsi="Arial"/>
          <w:sz w:val="20"/>
        </w:rPr>
        <w:t xml:space="preserve"> </w:t>
      </w:r>
      <w:r w:rsidRPr="00BE7822">
        <w:rPr>
          <w:rFonts w:ascii="Arial" w:hAnsi="Arial"/>
          <w:sz w:val="20"/>
        </w:rPr>
        <w:t xml:space="preserve">reflected by a stable development share of </w:t>
      </w:r>
      <w:r>
        <w:rPr>
          <w:rFonts w:ascii="Arial" w:hAnsi="Arial"/>
          <w:sz w:val="20"/>
        </w:rPr>
        <w:t>21.</w:t>
      </w:r>
      <w:r w:rsidR="006342AC">
        <w:rPr>
          <w:rFonts w:ascii="Arial" w:hAnsi="Arial"/>
          <w:sz w:val="20"/>
        </w:rPr>
        <w:t xml:space="preserve">1 </w:t>
      </w:r>
      <w:r>
        <w:rPr>
          <w:rFonts w:ascii="Arial" w:hAnsi="Arial"/>
          <w:sz w:val="20"/>
        </w:rPr>
        <w:t>per cent</w:t>
      </w:r>
      <w:r w:rsidRPr="00BE7822">
        <w:rPr>
          <w:rFonts w:ascii="Arial" w:hAnsi="Arial"/>
          <w:sz w:val="20"/>
        </w:rPr>
        <w:t xml:space="preserve"> in the next biennium</w:t>
      </w:r>
      <w:r>
        <w:rPr>
          <w:rFonts w:ascii="Arial" w:hAnsi="Arial"/>
          <w:sz w:val="20"/>
        </w:rPr>
        <w:t>.</w:t>
      </w:r>
      <w:r w:rsidRPr="00BE7822">
        <w:rPr>
          <w:rFonts w:ascii="Arial" w:hAnsi="Arial"/>
          <w:sz w:val="20"/>
        </w:rPr>
        <w:t xml:space="preserve"> </w:t>
      </w:r>
      <w:r w:rsidR="00D05C3F">
        <w:rPr>
          <w:rFonts w:ascii="Arial" w:hAnsi="Arial"/>
          <w:sz w:val="20"/>
        </w:rPr>
        <w:t xml:space="preserve">The absolute increase in development expenditure in 2016/17 represents </w:t>
      </w:r>
      <w:r w:rsidR="006342AC">
        <w:rPr>
          <w:rFonts w:ascii="Arial" w:hAnsi="Arial"/>
          <w:sz w:val="20"/>
        </w:rPr>
        <w:t>5.8</w:t>
      </w:r>
      <w:r w:rsidR="00D05C3F">
        <w:rPr>
          <w:rFonts w:ascii="Arial" w:hAnsi="Arial"/>
          <w:sz w:val="20"/>
        </w:rPr>
        <w:t xml:space="preserve"> million Swiss francs, or </w:t>
      </w:r>
      <w:r w:rsidR="006342AC">
        <w:rPr>
          <w:rFonts w:ascii="Arial" w:hAnsi="Arial"/>
          <w:sz w:val="20"/>
        </w:rPr>
        <w:t>4</w:t>
      </w:r>
      <w:r w:rsidR="00D05C3F">
        <w:rPr>
          <w:rFonts w:ascii="Arial" w:hAnsi="Arial"/>
          <w:sz w:val="20"/>
        </w:rPr>
        <w:t xml:space="preserve"> per cent, compared to the 2014/15 Approved Budget. </w:t>
      </w:r>
      <w:r w:rsidRPr="009825DD">
        <w:rPr>
          <w:rFonts w:ascii="Arial" w:hAnsi="Arial" w:cs="Arial"/>
          <w:sz w:val="20"/>
        </w:rPr>
        <w:t>The table below provides</w:t>
      </w:r>
      <w:r>
        <w:rPr>
          <w:rFonts w:ascii="Arial" w:hAnsi="Arial" w:cs="Arial"/>
          <w:sz w:val="20"/>
        </w:rPr>
        <w:t xml:space="preserve"> details of the development expenditure for 2016/17 by Program.  Expenditure is qualified as </w:t>
      </w:r>
      <w:r w:rsidRPr="00A31D54">
        <w:rPr>
          <w:rFonts w:ascii="Arial" w:hAnsi="Arial" w:cs="Arial"/>
          <w:i/>
          <w:iCs/>
          <w:sz w:val="20"/>
        </w:rPr>
        <w:t>development expenditure</w:t>
      </w:r>
      <w:r w:rsidRPr="00A31D54">
        <w:rPr>
          <w:rFonts w:ascii="Arial" w:hAnsi="Arial" w:cs="Arial"/>
          <w:sz w:val="20"/>
        </w:rPr>
        <w:t>,</w:t>
      </w:r>
      <w:r>
        <w:rPr>
          <w:rFonts w:ascii="Arial" w:hAnsi="Arial" w:cs="Arial"/>
          <w:sz w:val="20"/>
        </w:rPr>
        <w:t xml:space="preserve"> only where the beneficiary is a developing country and the equivalent expenditure is not available for developed countries.  </w:t>
      </w:r>
      <w:r w:rsidRPr="009825DD">
        <w:rPr>
          <w:rFonts w:ascii="Arial" w:hAnsi="Arial" w:cs="Arial"/>
          <w:sz w:val="20"/>
        </w:rPr>
        <w:t xml:space="preserve">These </w:t>
      </w:r>
      <w:r>
        <w:rPr>
          <w:rFonts w:ascii="Arial" w:hAnsi="Arial" w:cs="Arial"/>
          <w:sz w:val="20"/>
        </w:rPr>
        <w:t>amounts</w:t>
      </w:r>
      <w:r w:rsidRPr="009825DD">
        <w:rPr>
          <w:rFonts w:ascii="Arial" w:hAnsi="Arial" w:cs="Arial"/>
          <w:sz w:val="20"/>
        </w:rPr>
        <w:t xml:space="preserve"> exclude foregone revenues resulting from the fee reductions accorded under the international registration systems </w:t>
      </w:r>
      <w:r>
        <w:rPr>
          <w:rFonts w:ascii="Arial" w:hAnsi="Arial" w:cs="Arial"/>
          <w:sz w:val="20"/>
        </w:rPr>
        <w:t>for</w:t>
      </w:r>
      <w:r w:rsidRPr="009825DD">
        <w:rPr>
          <w:rFonts w:ascii="Arial" w:hAnsi="Arial" w:cs="Arial"/>
          <w:sz w:val="20"/>
        </w:rPr>
        <w:t xml:space="preserve"> applicants from </w:t>
      </w:r>
      <w:r>
        <w:rPr>
          <w:rFonts w:ascii="Arial" w:hAnsi="Arial" w:cs="Arial"/>
          <w:sz w:val="20"/>
        </w:rPr>
        <w:t>developing countries</w:t>
      </w:r>
      <w:r>
        <w:rPr>
          <w:rStyle w:val="FootnoteReference"/>
          <w:rFonts w:ascii="Arial" w:hAnsi="Arial" w:cs="Arial"/>
        </w:rPr>
        <w:footnoteReference w:id="15"/>
      </w:r>
      <w:r w:rsidRPr="009825DD">
        <w:rPr>
          <w:rFonts w:ascii="Arial" w:hAnsi="Arial" w:cs="Arial"/>
          <w:sz w:val="20"/>
        </w:rPr>
        <w:t>.</w:t>
      </w:r>
      <w:r>
        <w:rPr>
          <w:rFonts w:ascii="Arial" w:hAnsi="Arial" w:cs="Arial"/>
          <w:sz w:val="20"/>
        </w:rPr>
        <w:t xml:space="preserve">  If such expenditure were to be included, the overall figure for </w:t>
      </w:r>
      <w:r w:rsidRPr="00A31D54">
        <w:rPr>
          <w:rFonts w:ascii="Arial" w:hAnsi="Arial" w:cs="Arial"/>
          <w:i/>
          <w:iCs/>
          <w:sz w:val="20"/>
        </w:rPr>
        <w:t>development expenditure</w:t>
      </w:r>
      <w:r>
        <w:rPr>
          <w:rFonts w:ascii="Arial" w:hAnsi="Arial" w:cs="Arial"/>
          <w:sz w:val="20"/>
        </w:rPr>
        <w:t xml:space="preserve"> would be higher. </w:t>
      </w:r>
    </w:p>
    <w:p w14:paraId="5B15B1A1" w14:textId="77777777" w:rsidR="00B67D0A" w:rsidRDefault="00B67D0A" w:rsidP="00F02301">
      <w:pPr>
        <w:ind w:left="-426"/>
      </w:pPr>
    </w:p>
    <w:p w14:paraId="6A4C4D78" w14:textId="77777777" w:rsidR="00B67D0A" w:rsidRPr="00F51335" w:rsidRDefault="00B67D0A" w:rsidP="0099282B">
      <w:pPr>
        <w:keepNext/>
        <w:keepLines/>
        <w:ind w:left="-425"/>
        <w:jc w:val="center"/>
        <w:rPr>
          <w:rFonts w:ascii="Arial" w:hAnsi="Arial" w:cs="Arial"/>
          <w:b/>
          <w:sz w:val="20"/>
          <w:szCs w:val="20"/>
        </w:rPr>
      </w:pPr>
      <w:r w:rsidRPr="00F51335">
        <w:rPr>
          <w:rFonts w:ascii="Arial" w:hAnsi="Arial" w:cs="Arial"/>
          <w:b/>
          <w:sz w:val="20"/>
          <w:szCs w:val="20"/>
        </w:rPr>
        <w:lastRenderedPageBreak/>
        <w:t>Table 6.  Development Expenditures in 2016/17 by Program</w:t>
      </w:r>
    </w:p>
    <w:p w14:paraId="0C44E896" w14:textId="77777777" w:rsidR="00B67D0A" w:rsidRPr="00F51335" w:rsidRDefault="00B67D0A" w:rsidP="0099282B">
      <w:pPr>
        <w:keepNext/>
        <w:keepLines/>
        <w:ind w:left="-425"/>
        <w:jc w:val="center"/>
        <w:rPr>
          <w:rFonts w:ascii="Arial" w:hAnsi="Arial" w:cs="Arial"/>
          <w:i/>
          <w:sz w:val="20"/>
          <w:szCs w:val="20"/>
        </w:rPr>
      </w:pPr>
      <w:r w:rsidRPr="00F51335">
        <w:rPr>
          <w:rFonts w:ascii="Arial" w:hAnsi="Arial" w:cs="Arial"/>
          <w:i/>
          <w:sz w:val="20"/>
          <w:szCs w:val="20"/>
        </w:rPr>
        <w:t>(in thousands of Swiss francs)</w:t>
      </w:r>
    </w:p>
    <w:p w14:paraId="4A11F0DE" w14:textId="03377314" w:rsidR="00B67D0A" w:rsidRPr="002B2C77" w:rsidRDefault="00FA1094" w:rsidP="00FA1094">
      <w:pPr>
        <w:keepNext/>
        <w:keepLines/>
        <w:ind w:left="-142"/>
        <w:jc w:val="center"/>
        <w:rPr>
          <w:rFonts w:ascii="Arial" w:hAnsi="Arial" w:cs="Arial"/>
          <w:i/>
          <w:sz w:val="18"/>
          <w:szCs w:val="18"/>
        </w:rPr>
      </w:pPr>
      <w:r w:rsidRPr="00FA1094">
        <w:rPr>
          <w:sz w:val="20"/>
          <w:szCs w:val="20"/>
        </w:rPr>
        <w:t xml:space="preserve"> </w:t>
      </w:r>
      <w:r w:rsidR="00A04699" w:rsidRPr="00A04699">
        <w:rPr>
          <w:noProof/>
          <w:lang w:eastAsia="en-US"/>
        </w:rPr>
        <w:drawing>
          <wp:inline distT="0" distB="0" distL="0" distR="0" wp14:anchorId="780ED446" wp14:editId="7E4876CE">
            <wp:extent cx="6007608" cy="4077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7608" cy="4077478"/>
                    </a:xfrm>
                    <a:prstGeom prst="rect">
                      <a:avLst/>
                    </a:prstGeom>
                    <a:noFill/>
                    <a:ln>
                      <a:noFill/>
                    </a:ln>
                  </pic:spPr>
                </pic:pic>
              </a:graphicData>
            </a:graphic>
          </wp:inline>
        </w:drawing>
      </w:r>
    </w:p>
    <w:p w14:paraId="4A351C19" w14:textId="68DC8F73" w:rsidR="00B67D0A" w:rsidRDefault="00A41611" w:rsidP="002F75BB">
      <w:pPr>
        <w:jc w:val="center"/>
        <w:rPr>
          <w:rFonts w:ascii="Arial" w:hAnsi="Arial" w:cs="Arial"/>
          <w:sz w:val="20"/>
        </w:rPr>
      </w:pPr>
      <w:r>
        <w:pict w14:anchorId="3EF274FA">
          <v:shape id="_x0000_i1026" type="#_x0000_t75" style="width:50.25pt;height:12.75pt">
            <v:imagedata r:id="rId28" o:title=""/>
          </v:shape>
        </w:pict>
      </w:r>
    </w:p>
    <w:p w14:paraId="7283CC1D"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sidRPr="00292FCD">
        <w:rPr>
          <w:rFonts w:ascii="Arial" w:hAnsi="Arial"/>
          <w:sz w:val="20"/>
          <w:lang w:val="en-CA"/>
        </w:rPr>
        <w:t>The</w:t>
      </w:r>
      <w:r w:rsidRPr="00220DEC">
        <w:rPr>
          <w:rFonts w:ascii="Arial" w:hAnsi="Arial" w:cs="Arial"/>
          <w:sz w:val="20"/>
        </w:rPr>
        <w:t xml:space="preserve"> methodology </w:t>
      </w:r>
      <w:r>
        <w:rPr>
          <w:rFonts w:ascii="Arial" w:hAnsi="Arial" w:cs="Arial"/>
          <w:sz w:val="20"/>
        </w:rPr>
        <w:t xml:space="preserve">applied to estimate </w:t>
      </w:r>
      <w:r w:rsidRPr="00220DEC">
        <w:rPr>
          <w:rFonts w:ascii="Arial" w:hAnsi="Arial" w:cs="Arial"/>
          <w:sz w:val="20"/>
        </w:rPr>
        <w:t xml:space="preserve">the development share of the budget </w:t>
      </w:r>
      <w:r>
        <w:rPr>
          <w:rFonts w:ascii="Arial" w:hAnsi="Arial" w:cs="Arial"/>
          <w:sz w:val="20"/>
        </w:rPr>
        <w:t xml:space="preserve">for 2016/17 is fully in line and consistent with the methodology adopted in 2014/15.  </w:t>
      </w:r>
    </w:p>
    <w:p w14:paraId="453A56FE" w14:textId="77777777" w:rsidR="00B67D0A" w:rsidRDefault="00B67D0A" w:rsidP="00F02301">
      <w:pPr>
        <w:widowControl w:val="0"/>
        <w:jc w:val="both"/>
        <w:rPr>
          <w:rFonts w:ascii="Arial" w:hAnsi="Arial" w:cs="Arial"/>
          <w:sz w:val="20"/>
        </w:rPr>
      </w:pPr>
    </w:p>
    <w:p w14:paraId="6A281BAC" w14:textId="77777777" w:rsidR="00B67D0A" w:rsidRDefault="00B67D0A" w:rsidP="00B66A4A">
      <w:pPr>
        <w:pStyle w:val="ListParagraph"/>
        <w:widowControl w:val="0"/>
        <w:numPr>
          <w:ilvl w:val="0"/>
          <w:numId w:val="33"/>
        </w:numPr>
        <w:tabs>
          <w:tab w:val="left" w:pos="567"/>
        </w:tabs>
        <w:ind w:left="0" w:firstLine="0"/>
        <w:jc w:val="both"/>
        <w:rPr>
          <w:rFonts w:ascii="Arial" w:hAnsi="Arial" w:cs="Arial"/>
          <w:sz w:val="20"/>
        </w:rPr>
      </w:pPr>
      <w:r>
        <w:rPr>
          <w:rFonts w:ascii="Arial" w:hAnsi="Arial" w:cs="Arial"/>
          <w:sz w:val="20"/>
        </w:rPr>
        <w:t>A</w:t>
      </w:r>
      <w:r w:rsidRPr="00C100D2">
        <w:rPr>
          <w:rFonts w:ascii="Arial" w:hAnsi="Arial" w:cs="Arial"/>
          <w:sz w:val="20"/>
        </w:rPr>
        <w:t xml:space="preserve"> total </w:t>
      </w:r>
      <w:r>
        <w:rPr>
          <w:rFonts w:ascii="Arial" w:hAnsi="Arial" w:cs="Arial"/>
          <w:sz w:val="20"/>
        </w:rPr>
        <w:t>o</w:t>
      </w:r>
      <w:r w:rsidRPr="00C100D2">
        <w:rPr>
          <w:rFonts w:ascii="Arial" w:hAnsi="Arial" w:cs="Arial"/>
          <w:sz w:val="20"/>
        </w:rPr>
        <w:t xml:space="preserve">f </w:t>
      </w:r>
      <w:r>
        <w:rPr>
          <w:rFonts w:ascii="Arial" w:hAnsi="Arial" w:cs="Arial"/>
          <w:sz w:val="20"/>
        </w:rPr>
        <w:t>2.5</w:t>
      </w:r>
      <w:r w:rsidRPr="00C100D2">
        <w:rPr>
          <w:rFonts w:ascii="Arial" w:hAnsi="Arial" w:cs="Arial"/>
          <w:sz w:val="20"/>
        </w:rPr>
        <w:t xml:space="preserve"> million Swiss francs have been </w:t>
      </w:r>
      <w:r>
        <w:rPr>
          <w:rFonts w:ascii="Arial" w:hAnsi="Arial" w:cs="Arial"/>
          <w:sz w:val="20"/>
        </w:rPr>
        <w:t xml:space="preserve">specifically earmarked </w:t>
      </w:r>
      <w:r w:rsidRPr="00C100D2">
        <w:rPr>
          <w:rFonts w:ascii="Arial" w:hAnsi="Arial" w:cs="Arial"/>
          <w:sz w:val="20"/>
        </w:rPr>
        <w:t xml:space="preserve">within the </w:t>
      </w:r>
      <w:r>
        <w:rPr>
          <w:rFonts w:ascii="Arial" w:hAnsi="Arial" w:cs="Arial"/>
          <w:sz w:val="20"/>
        </w:rPr>
        <w:t xml:space="preserve">budget for </w:t>
      </w:r>
      <w:r w:rsidRPr="00C100D2">
        <w:rPr>
          <w:rFonts w:ascii="Arial" w:hAnsi="Arial" w:cs="Arial"/>
          <w:sz w:val="20"/>
        </w:rPr>
        <w:t>201</w:t>
      </w:r>
      <w:r>
        <w:rPr>
          <w:rFonts w:ascii="Arial" w:hAnsi="Arial" w:cs="Arial"/>
          <w:sz w:val="20"/>
        </w:rPr>
        <w:t>6</w:t>
      </w:r>
      <w:r w:rsidRPr="00C100D2">
        <w:rPr>
          <w:rFonts w:ascii="Arial" w:hAnsi="Arial" w:cs="Arial"/>
          <w:sz w:val="20"/>
        </w:rPr>
        <w:t>/1</w:t>
      </w:r>
      <w:r>
        <w:rPr>
          <w:rFonts w:ascii="Arial" w:hAnsi="Arial" w:cs="Arial"/>
          <w:sz w:val="20"/>
        </w:rPr>
        <w:t xml:space="preserve">7 for the </w:t>
      </w:r>
      <w:r w:rsidRPr="00C100D2">
        <w:rPr>
          <w:rFonts w:ascii="Arial" w:hAnsi="Arial" w:cs="Arial"/>
          <w:sz w:val="20"/>
        </w:rPr>
        <w:t>implementation of D</w:t>
      </w:r>
      <w:r>
        <w:rPr>
          <w:rFonts w:ascii="Arial" w:hAnsi="Arial" w:cs="Arial"/>
          <w:sz w:val="20"/>
        </w:rPr>
        <w:t>A</w:t>
      </w:r>
      <w:r w:rsidRPr="00C100D2">
        <w:rPr>
          <w:rFonts w:ascii="Arial" w:hAnsi="Arial" w:cs="Arial"/>
          <w:sz w:val="20"/>
        </w:rPr>
        <w:t xml:space="preserve"> </w:t>
      </w:r>
      <w:r>
        <w:rPr>
          <w:rFonts w:ascii="Arial" w:hAnsi="Arial" w:cs="Arial"/>
          <w:sz w:val="20"/>
        </w:rPr>
        <w:t>projects, subject to approval by the CDIP.</w:t>
      </w:r>
      <w:r w:rsidRPr="00C100D2">
        <w:rPr>
          <w:rFonts w:ascii="Arial" w:hAnsi="Arial" w:cs="Arial"/>
          <w:sz w:val="20"/>
        </w:rPr>
        <w:t> </w:t>
      </w:r>
    </w:p>
    <w:p w14:paraId="2FF51A28" w14:textId="77777777" w:rsidR="0099282B" w:rsidRDefault="0099282B" w:rsidP="00F02301">
      <w:pPr>
        <w:widowControl w:val="0"/>
        <w:jc w:val="both"/>
        <w:rPr>
          <w:rFonts w:ascii="Arial" w:hAnsi="Arial" w:cs="Arial"/>
          <w:sz w:val="20"/>
        </w:rPr>
      </w:pPr>
    </w:p>
    <w:p w14:paraId="51F3CACB" w14:textId="77777777" w:rsidR="00B67D0A" w:rsidRPr="0099282B" w:rsidRDefault="00B67D0A" w:rsidP="0099282B">
      <w:pPr>
        <w:keepNext/>
        <w:keepLines/>
        <w:jc w:val="center"/>
        <w:rPr>
          <w:rFonts w:ascii="Arial" w:hAnsi="Arial" w:cs="Arial"/>
          <w:b/>
          <w:sz w:val="20"/>
          <w:szCs w:val="20"/>
        </w:rPr>
      </w:pPr>
      <w:r w:rsidRPr="0099282B">
        <w:rPr>
          <w:rFonts w:ascii="Arial" w:hAnsi="Arial" w:cs="Arial"/>
          <w:b/>
          <w:sz w:val="20"/>
          <w:szCs w:val="20"/>
        </w:rPr>
        <w:t>Table 7.  Development Agenda Projects in 2016/17</w:t>
      </w:r>
    </w:p>
    <w:p w14:paraId="10B7AA83" w14:textId="77777777" w:rsidR="00B67D0A" w:rsidRPr="0099282B" w:rsidRDefault="00B67D0A" w:rsidP="0099282B">
      <w:pPr>
        <w:keepNext/>
        <w:keepLines/>
        <w:jc w:val="center"/>
        <w:rPr>
          <w:rFonts w:ascii="Arial" w:hAnsi="Arial" w:cs="Arial"/>
          <w:i/>
          <w:sz w:val="20"/>
          <w:szCs w:val="20"/>
        </w:rPr>
      </w:pPr>
      <w:r w:rsidRPr="0099282B">
        <w:rPr>
          <w:rFonts w:ascii="Arial" w:hAnsi="Arial" w:cs="Arial"/>
          <w:i/>
          <w:sz w:val="20"/>
          <w:szCs w:val="20"/>
        </w:rPr>
        <w:t>(in thousands of Swiss francs)</w:t>
      </w:r>
    </w:p>
    <w:p w14:paraId="7115121E" w14:textId="77777777" w:rsidR="00B67D0A" w:rsidRPr="0099282B" w:rsidRDefault="00B67D0A" w:rsidP="0099282B">
      <w:pPr>
        <w:keepNext/>
        <w:keepLines/>
        <w:jc w:val="center"/>
        <w:rPr>
          <w:rFonts w:ascii="Arial" w:hAnsi="Arial" w:cs="Arial"/>
          <w:i/>
          <w:sz w:val="20"/>
          <w:szCs w:val="20"/>
        </w:rPr>
      </w:pPr>
    </w:p>
    <w:p w14:paraId="50650162" w14:textId="2BF0EE59" w:rsidR="00B67D0A" w:rsidRDefault="00C67B65" w:rsidP="0099282B">
      <w:pPr>
        <w:keepNext/>
        <w:keepLines/>
        <w:jc w:val="center"/>
        <w:rPr>
          <w:sz w:val="20"/>
          <w:szCs w:val="20"/>
        </w:rPr>
      </w:pPr>
      <w:r w:rsidRPr="00C67B65">
        <w:rPr>
          <w:noProof/>
          <w:lang w:eastAsia="en-US"/>
        </w:rPr>
        <w:drawing>
          <wp:inline distT="0" distB="0" distL="0" distR="0" wp14:anchorId="47CC98CE" wp14:editId="19DE827C">
            <wp:extent cx="4904509" cy="2448609"/>
            <wp:effectExtent l="0" t="0" r="0" b="889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1638" cy="2452168"/>
                    </a:xfrm>
                    <a:prstGeom prst="rect">
                      <a:avLst/>
                    </a:prstGeom>
                    <a:noFill/>
                    <a:ln>
                      <a:noFill/>
                    </a:ln>
                  </pic:spPr>
                </pic:pic>
              </a:graphicData>
            </a:graphic>
          </wp:inline>
        </w:drawing>
      </w:r>
    </w:p>
    <w:p w14:paraId="2A281DDD" w14:textId="77777777" w:rsidR="0099282B" w:rsidRPr="00E26CFF" w:rsidRDefault="0099282B" w:rsidP="0099282B">
      <w:pPr>
        <w:keepNext/>
        <w:keepLines/>
        <w:jc w:val="center"/>
        <w:rPr>
          <w:rFonts w:ascii="Arial" w:hAnsi="Arial" w:cs="Arial"/>
          <w:sz w:val="18"/>
          <w:szCs w:val="18"/>
        </w:rPr>
      </w:pPr>
    </w:p>
    <w:p w14:paraId="600E822C" w14:textId="77777777" w:rsidR="0099282B" w:rsidRDefault="00B67D0A" w:rsidP="00F02301">
      <w:pPr>
        <w:widowControl w:val="0"/>
        <w:jc w:val="both"/>
        <w:rPr>
          <w:rFonts w:ascii="Arial" w:hAnsi="Arial" w:cs="Arial"/>
          <w:i/>
          <w:sz w:val="16"/>
          <w:szCs w:val="14"/>
        </w:rPr>
      </w:pPr>
      <w:r w:rsidRPr="0099282B">
        <w:rPr>
          <w:rFonts w:ascii="Arial" w:hAnsi="Arial" w:cs="Arial"/>
          <w:i/>
          <w:sz w:val="16"/>
          <w:szCs w:val="14"/>
        </w:rPr>
        <w:t xml:space="preserve">*Subject to CDIP approval.  Total estimated cost of the project is 540,000 Swiss francs.  Implementation timeframe: 2016-2018. </w:t>
      </w:r>
    </w:p>
    <w:p w14:paraId="7AF2498C" w14:textId="21948F07" w:rsidR="00B67D0A" w:rsidRDefault="00B67D0A" w:rsidP="00F02301">
      <w:pPr>
        <w:widowControl w:val="0"/>
        <w:jc w:val="both"/>
        <w:rPr>
          <w:rFonts w:ascii="Arial" w:hAnsi="Arial" w:cs="Arial"/>
          <w:i/>
          <w:sz w:val="16"/>
          <w:szCs w:val="14"/>
        </w:rPr>
      </w:pPr>
      <w:r w:rsidRPr="0099282B">
        <w:rPr>
          <w:rFonts w:ascii="Arial" w:hAnsi="Arial" w:cs="Arial"/>
          <w:i/>
          <w:sz w:val="16"/>
          <w:szCs w:val="14"/>
        </w:rPr>
        <w:t>**Subject to CDIP approval.  Total estimated cost of the project is 800,000 Swiss francs.  Implementation timeframe: 2016-2018.</w:t>
      </w:r>
    </w:p>
    <w:p w14:paraId="3BFC7439" w14:textId="33DEEEC2" w:rsidR="00E62F61" w:rsidRDefault="00B67D0A" w:rsidP="00F02301">
      <w:pPr>
        <w:widowControl w:val="0"/>
        <w:jc w:val="both"/>
        <w:rPr>
          <w:rFonts w:ascii="Arial" w:hAnsi="Arial" w:cs="Arial"/>
          <w:i/>
          <w:sz w:val="16"/>
          <w:szCs w:val="14"/>
        </w:rPr>
      </w:pPr>
      <w:r w:rsidRPr="0099282B">
        <w:rPr>
          <w:rFonts w:ascii="Arial" w:hAnsi="Arial" w:cs="Arial"/>
          <w:i/>
          <w:sz w:val="16"/>
          <w:szCs w:val="14"/>
        </w:rPr>
        <w:t>***Subject to CDIP approval.</w:t>
      </w:r>
    </w:p>
    <w:p w14:paraId="0C0CCC91" w14:textId="477F721C" w:rsidR="00A42BFB" w:rsidRPr="00B30215" w:rsidRDefault="00E62F61" w:rsidP="00AC4500">
      <w:r>
        <w:rPr>
          <w:rFonts w:ascii="Arial" w:hAnsi="Arial" w:cs="Arial"/>
          <w:i/>
          <w:sz w:val="16"/>
          <w:szCs w:val="14"/>
        </w:rPr>
        <w:br w:type="page"/>
      </w:r>
      <w:bookmarkStart w:id="19" w:name="_Toc367350570"/>
      <w:bookmarkStart w:id="20" w:name="_Toc431221403"/>
      <w:r w:rsidR="00A42BFB" w:rsidRPr="00B30215">
        <w:lastRenderedPageBreak/>
        <w:t>II.</w:t>
      </w:r>
      <w:r w:rsidR="00A42BFB" w:rsidRPr="00B30215">
        <w:tab/>
        <w:t>PROGRAM NARRATIVES BY STRATEGIC GOAL</w:t>
      </w:r>
      <w:bookmarkEnd w:id="19"/>
      <w:bookmarkEnd w:id="20"/>
    </w:p>
    <w:p w14:paraId="7CD62A55" w14:textId="77777777" w:rsidR="00552612" w:rsidRPr="00552612" w:rsidRDefault="00552612">
      <w:pPr>
        <w:rPr>
          <w:rFonts w:ascii="Arial" w:hAnsi="Arial" w:cs="Arial"/>
        </w:rPr>
      </w:pPr>
    </w:p>
    <w:p w14:paraId="3F230287" w14:textId="77777777" w:rsidR="00552612" w:rsidRPr="00552612" w:rsidRDefault="00552612">
      <w:pPr>
        <w:rPr>
          <w:rFonts w:ascii="Arial" w:hAnsi="Arial" w:cs="Arial"/>
        </w:rPr>
      </w:pPr>
    </w:p>
    <w:p w14:paraId="5F852290" w14:textId="4A90C03E" w:rsidR="00901665" w:rsidRPr="00B30215" w:rsidRDefault="004264B7" w:rsidP="004264B7">
      <w:pPr>
        <w:pStyle w:val="StyleHeading3ComplexItalic"/>
        <w:tabs>
          <w:tab w:val="clear" w:pos="1985"/>
          <w:tab w:val="left" w:pos="2835"/>
        </w:tabs>
        <w:ind w:left="2835" w:hanging="2835"/>
        <w:rPr>
          <w:rStyle w:val="StyleStyleHeading3ComplexItalicLatin12ptChar"/>
          <w:rFonts w:eastAsia="SimSun"/>
          <w:b/>
        </w:rPr>
      </w:pPr>
      <w:bookmarkStart w:id="21" w:name="_Toc367350571"/>
      <w:bookmarkStart w:id="22" w:name="_Toc431221404"/>
      <w:r w:rsidRPr="00B30215">
        <w:rPr>
          <w:rStyle w:val="StyleStyleHeading3ComplexItalicLatin12ptChar"/>
          <w:rFonts w:eastAsia="SimSun"/>
          <w:b/>
        </w:rPr>
        <w:t>STRATEGIC GOAL I</w:t>
      </w:r>
      <w:r w:rsidRPr="00B30215">
        <w:rPr>
          <w:rStyle w:val="StyleStyleHeading3ComplexItalicLatin12ptChar"/>
          <w:rFonts w:eastAsia="SimSun"/>
          <w:b/>
        </w:rPr>
        <w:tab/>
        <w:t>BALANCED EVOLUTION OF THE INTERNATIONAL NORMATIVE FRAMEWORK FOR IP</w:t>
      </w:r>
      <w:bookmarkEnd w:id="21"/>
      <w:bookmarkEnd w:id="22"/>
    </w:p>
    <w:p w14:paraId="1BE4922F" w14:textId="77777777" w:rsidR="00901665" w:rsidRPr="00B30215" w:rsidRDefault="00901665" w:rsidP="00901665">
      <w:pPr>
        <w:autoSpaceDE w:val="0"/>
        <w:autoSpaceDN w:val="0"/>
        <w:adjustRightInd w:val="0"/>
        <w:jc w:val="both"/>
        <w:rPr>
          <w:rFonts w:ascii="Arial" w:hAnsi="Arial" w:cs="Arial"/>
        </w:rPr>
      </w:pPr>
    </w:p>
    <w:p w14:paraId="5F38F7C8" w14:textId="77777777" w:rsidR="004264B7" w:rsidRDefault="004264B7" w:rsidP="00901665">
      <w:pPr>
        <w:autoSpaceDE w:val="0"/>
        <w:autoSpaceDN w:val="0"/>
        <w:adjustRightInd w:val="0"/>
        <w:jc w:val="both"/>
        <w:rPr>
          <w:rFonts w:ascii="Arial" w:hAnsi="Arial" w:cs="Arial"/>
          <w:sz w:val="20"/>
        </w:rPr>
      </w:pPr>
    </w:p>
    <w:p w14:paraId="3EE2BFCB" w14:textId="77777777" w:rsidR="00901665" w:rsidRPr="00FA331B" w:rsidRDefault="00901665" w:rsidP="00901665">
      <w:pPr>
        <w:autoSpaceDE w:val="0"/>
        <w:autoSpaceDN w:val="0"/>
        <w:adjustRightInd w:val="0"/>
        <w:jc w:val="both"/>
        <w:rPr>
          <w:rFonts w:ascii="Arial" w:hAnsi="Arial" w:cs="Arial"/>
          <w:sz w:val="20"/>
        </w:rPr>
      </w:pPr>
      <w:r w:rsidRPr="00FA331B">
        <w:rPr>
          <w:rFonts w:ascii="Arial" w:hAnsi="Arial" w:cs="Arial"/>
          <w:sz w:val="20"/>
        </w:rPr>
        <w:t>This Strategic Goal aims to ensure that the development of international IP law keeps pace with the rapidly evolving global technological, geo-economic, social and cultural environment, while taking into account implementation of the recommendations of the Development Agenda on norm</w:t>
      </w:r>
      <w:r w:rsidRPr="00FA331B">
        <w:rPr>
          <w:rFonts w:ascii="Arial" w:hAnsi="Arial" w:cs="Arial"/>
          <w:sz w:val="20"/>
        </w:rPr>
        <w:noBreakHyphen/>
        <w:t>setting. A</w:t>
      </w:r>
      <w:r>
        <w:rPr>
          <w:rFonts w:ascii="Arial" w:hAnsi="Arial" w:cs="Arial"/>
          <w:sz w:val="20"/>
        </w:rPr>
        <w:t> </w:t>
      </w:r>
      <w:r w:rsidRPr="00FA331B">
        <w:rPr>
          <w:rFonts w:ascii="Arial" w:hAnsi="Arial" w:cs="Arial"/>
          <w:sz w:val="20"/>
        </w:rPr>
        <w:t>balanced evolution is critical to ensuring that the international intellectual property system continues to serve its fundamental purpose of encouraging innovation and creativity;  that it takes into account the needs and interests of countries at different stages of development, including through the flexibilities within international IP agreements;  and that it strikes the right balance between (</w:t>
      </w:r>
      <w:proofErr w:type="spellStart"/>
      <w:r w:rsidRPr="00FA331B">
        <w:rPr>
          <w:rFonts w:ascii="Arial" w:hAnsi="Arial" w:cs="Arial"/>
          <w:sz w:val="20"/>
        </w:rPr>
        <w:t>i</w:t>
      </w:r>
      <w:proofErr w:type="spellEnd"/>
      <w:r w:rsidRPr="00FA331B">
        <w:rPr>
          <w:rFonts w:ascii="Arial" w:hAnsi="Arial" w:cs="Arial"/>
          <w:sz w:val="20"/>
        </w:rPr>
        <w:t>)  the rights of creators and IP owners and the rights of users and the public;  and (ii) the encouragement of innovation and creativity and the diffusion of the social benefit of innovation and creative works.</w:t>
      </w:r>
    </w:p>
    <w:p w14:paraId="6B42EB04" w14:textId="7839836A" w:rsidR="00901665" w:rsidRDefault="00901665">
      <w:pPr>
        <w:rPr>
          <w:rFonts w:ascii="Arial" w:hAnsi="Arial" w:cs="Arial"/>
        </w:rPr>
      </w:pPr>
    </w:p>
    <w:p w14:paraId="5D448FB3" w14:textId="77777777" w:rsidR="00E33078" w:rsidRDefault="00E33078">
      <w:pPr>
        <w:rPr>
          <w:rFonts w:ascii="Arial" w:hAnsi="Arial"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2915"/>
        <w:gridCol w:w="2913"/>
      </w:tblGrid>
      <w:tr w:rsidR="00E33078" w:rsidRPr="00AF5E7C" w14:paraId="34253D0B" w14:textId="77777777" w:rsidTr="00E33078">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AEB762D" w14:textId="77777777" w:rsidR="00E33078" w:rsidRPr="007B07A4" w:rsidRDefault="00E33078" w:rsidP="005A1F7F">
            <w:pPr>
              <w:spacing w:after="120"/>
              <w:jc w:val="center"/>
              <w:rPr>
                <w:rFonts w:ascii="Arial" w:hAnsi="Arial" w:cs="Arial"/>
                <w:b/>
                <w:bCs/>
                <w:sz w:val="18"/>
                <w:szCs w:val="18"/>
              </w:rPr>
            </w:pPr>
            <w:r w:rsidRPr="007B07A4">
              <w:rPr>
                <w:rFonts w:ascii="Arial" w:hAnsi="Arial" w:cs="Arial"/>
                <w:b/>
                <w:bCs/>
                <w:sz w:val="18"/>
                <w:szCs w:val="18"/>
              </w:rPr>
              <w:t>Expected Results</w:t>
            </w:r>
          </w:p>
        </w:tc>
        <w:tc>
          <w:tcPr>
            <w:tcW w:w="1616"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621523A" w14:textId="77777777" w:rsidR="00E33078" w:rsidRPr="007B07A4" w:rsidRDefault="00E33078" w:rsidP="005A1F7F">
            <w:pPr>
              <w:spacing w:after="120"/>
              <w:jc w:val="center"/>
              <w:rPr>
                <w:rFonts w:ascii="Arial" w:hAnsi="Arial" w:cs="Arial"/>
                <w:b/>
                <w:sz w:val="18"/>
                <w:szCs w:val="18"/>
              </w:rPr>
            </w:pPr>
            <w:r w:rsidRPr="007B07A4">
              <w:rPr>
                <w:rFonts w:ascii="Arial" w:hAnsi="Arial" w:cs="Arial"/>
                <w:b/>
                <w:sz w:val="18"/>
                <w:szCs w:val="18"/>
              </w:rPr>
              <w:t>Performance Indicators</w:t>
            </w:r>
          </w:p>
        </w:tc>
        <w:tc>
          <w:tcPr>
            <w:tcW w:w="1615"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475C1F30" w14:textId="77777777" w:rsidR="00E33078" w:rsidRPr="007B07A4" w:rsidRDefault="00E33078" w:rsidP="005A1F7F">
            <w:pPr>
              <w:spacing w:after="120"/>
              <w:ind w:left="85"/>
              <w:jc w:val="center"/>
              <w:rPr>
                <w:rFonts w:ascii="Arial" w:hAnsi="Arial" w:cs="Arial"/>
                <w:sz w:val="18"/>
                <w:szCs w:val="18"/>
              </w:rPr>
            </w:pPr>
            <w:r w:rsidRPr="007B07A4">
              <w:rPr>
                <w:rFonts w:ascii="Arial" w:hAnsi="Arial" w:cs="Arial"/>
                <w:b/>
                <w:bCs/>
                <w:sz w:val="18"/>
                <w:szCs w:val="18"/>
              </w:rPr>
              <w:t>Responsible Program(s)</w:t>
            </w:r>
          </w:p>
        </w:tc>
      </w:tr>
      <w:tr w:rsidR="00E33078" w:rsidRPr="00AF5E7C" w14:paraId="552648CB" w14:textId="77777777" w:rsidTr="00DA3F93">
        <w:trPr>
          <w:cantSplit/>
          <w:trHeight w:val="475"/>
        </w:trPr>
        <w:tc>
          <w:tcPr>
            <w:tcW w:w="1769" w:type="pct"/>
            <w:tcBorders>
              <w:top w:val="single" w:sz="4" w:space="0" w:color="auto"/>
            </w:tcBorders>
            <w:shd w:val="clear" w:color="auto" w:fill="auto"/>
            <w:tcMar>
              <w:top w:w="113" w:type="dxa"/>
              <w:bottom w:w="113" w:type="dxa"/>
            </w:tcMar>
          </w:tcPr>
          <w:p w14:paraId="13A3A936" w14:textId="77777777" w:rsidR="00E33078" w:rsidRPr="00A27611" w:rsidRDefault="00E33078" w:rsidP="005A1F7F">
            <w:pPr>
              <w:rPr>
                <w:rFonts w:ascii="Arial" w:hAnsi="Arial" w:cs="Arial"/>
                <w:sz w:val="16"/>
                <w:szCs w:val="16"/>
              </w:rPr>
            </w:pPr>
            <w:r w:rsidRPr="00A27611">
              <w:rPr>
                <w:rFonts w:ascii="Arial" w:hAnsi="Arial" w:cs="Arial"/>
                <w:sz w:val="16"/>
                <w:szCs w:val="16"/>
              </w:rPr>
              <w:t xml:space="preserve">I.1 </w:t>
            </w:r>
            <w:r>
              <w:rPr>
                <w:rFonts w:ascii="Arial" w:hAnsi="Arial" w:cs="Arial"/>
                <w:sz w:val="16"/>
                <w:szCs w:val="16"/>
              </w:rPr>
              <w:t xml:space="preserve"> </w:t>
            </w:r>
            <w:r w:rsidRPr="00D85DF9">
              <w:rPr>
                <w:rFonts w:ascii="Arial" w:hAnsi="Arial" w:cs="Arial"/>
                <w:sz w:val="16"/>
                <w:szCs w:val="16"/>
              </w:rPr>
              <w:t xml:space="preserve">Enhanced cooperation among Member States on development of balanced international normative frameworks for IP </w:t>
            </w:r>
          </w:p>
        </w:tc>
        <w:tc>
          <w:tcPr>
            <w:tcW w:w="1616" w:type="pct"/>
            <w:tcBorders>
              <w:top w:val="single" w:sz="4" w:space="0" w:color="auto"/>
            </w:tcBorders>
            <w:shd w:val="clear" w:color="auto" w:fill="auto"/>
            <w:tcMar>
              <w:top w:w="113" w:type="dxa"/>
              <w:bottom w:w="113" w:type="dxa"/>
            </w:tcMar>
          </w:tcPr>
          <w:p w14:paraId="089F4AC5" w14:textId="77777777" w:rsidR="00E33078" w:rsidRPr="00A27611" w:rsidRDefault="00E33078" w:rsidP="005A1F7F">
            <w:pPr>
              <w:rPr>
                <w:rFonts w:ascii="Arial" w:hAnsi="Arial" w:cs="Arial"/>
                <w:sz w:val="16"/>
                <w:szCs w:val="16"/>
              </w:rPr>
            </w:pPr>
            <w:r>
              <w:rPr>
                <w:rFonts w:ascii="Arial" w:hAnsi="Arial" w:cs="Arial"/>
                <w:color w:val="000000"/>
                <w:sz w:val="16"/>
                <w:szCs w:val="16"/>
              </w:rPr>
              <w:t>Progress on the implementation of agreed work according to SCP Agenda</w:t>
            </w:r>
          </w:p>
        </w:tc>
        <w:tc>
          <w:tcPr>
            <w:tcW w:w="1615" w:type="pct"/>
            <w:tcBorders>
              <w:top w:val="single" w:sz="4" w:space="0" w:color="auto"/>
            </w:tcBorders>
            <w:shd w:val="clear" w:color="auto" w:fill="FFFFFF"/>
            <w:tcMar>
              <w:top w:w="113" w:type="dxa"/>
              <w:bottom w:w="113" w:type="dxa"/>
            </w:tcMar>
          </w:tcPr>
          <w:p w14:paraId="62042C59" w14:textId="77777777" w:rsidR="00E33078" w:rsidRPr="00AF5E7C" w:rsidRDefault="00E33078" w:rsidP="005A1F7F">
            <w:pPr>
              <w:ind w:left="591"/>
              <w:rPr>
                <w:rFonts w:ascii="Arial" w:hAnsi="Arial" w:cs="Arial"/>
                <w:sz w:val="16"/>
                <w:szCs w:val="16"/>
              </w:rPr>
            </w:pPr>
            <w:r>
              <w:rPr>
                <w:rFonts w:ascii="Arial" w:hAnsi="Arial" w:cs="Arial"/>
                <w:sz w:val="16"/>
                <w:szCs w:val="16"/>
                <w:lang w:bidi="th-TH"/>
              </w:rPr>
              <w:t>Program 1</w:t>
            </w:r>
          </w:p>
        </w:tc>
      </w:tr>
      <w:tr w:rsidR="00E33078" w:rsidRPr="00AF5E7C" w14:paraId="1FC57194" w14:textId="77777777" w:rsidTr="005A1F7F">
        <w:trPr>
          <w:cantSplit/>
          <w:trHeight w:val="600"/>
        </w:trPr>
        <w:tc>
          <w:tcPr>
            <w:tcW w:w="1769" w:type="pct"/>
            <w:shd w:val="clear" w:color="auto" w:fill="auto"/>
            <w:tcMar>
              <w:top w:w="113" w:type="dxa"/>
              <w:bottom w:w="113" w:type="dxa"/>
            </w:tcMar>
          </w:tcPr>
          <w:p w14:paraId="38C37441"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3D4FB9A8" w14:textId="77777777" w:rsidR="00E33078" w:rsidRPr="00AF5E7C" w:rsidRDefault="00E33078" w:rsidP="005A1F7F">
            <w:pPr>
              <w:rPr>
                <w:rFonts w:ascii="Arial" w:hAnsi="Arial" w:cs="Arial"/>
                <w:sz w:val="16"/>
                <w:szCs w:val="16"/>
              </w:rPr>
            </w:pPr>
            <w:r>
              <w:rPr>
                <w:rFonts w:ascii="Arial" w:hAnsi="Arial" w:cs="Arial"/>
                <w:color w:val="000000"/>
                <w:sz w:val="16"/>
                <w:szCs w:val="16"/>
              </w:rPr>
              <w:t>Level of satisfaction of participants in targeted workshops/seminars held on specific patent related topics</w:t>
            </w:r>
          </w:p>
        </w:tc>
        <w:tc>
          <w:tcPr>
            <w:tcW w:w="1615" w:type="pct"/>
            <w:shd w:val="clear" w:color="auto" w:fill="FFFFFF"/>
            <w:tcMar>
              <w:top w:w="113" w:type="dxa"/>
              <w:bottom w:w="113" w:type="dxa"/>
            </w:tcMar>
          </w:tcPr>
          <w:p w14:paraId="369225EB" w14:textId="77777777" w:rsidR="00E33078" w:rsidRPr="00AF5E7C" w:rsidRDefault="00E33078" w:rsidP="005A1F7F">
            <w:pPr>
              <w:ind w:left="591"/>
              <w:rPr>
                <w:rFonts w:ascii="Arial" w:hAnsi="Arial" w:cs="Arial"/>
                <w:sz w:val="16"/>
                <w:szCs w:val="16"/>
              </w:rPr>
            </w:pPr>
            <w:r>
              <w:rPr>
                <w:rFonts w:ascii="Arial" w:hAnsi="Arial" w:cs="Arial"/>
                <w:sz w:val="16"/>
                <w:szCs w:val="16"/>
              </w:rPr>
              <w:t>Program 1</w:t>
            </w:r>
          </w:p>
        </w:tc>
      </w:tr>
      <w:tr w:rsidR="00E33078" w:rsidRPr="00AF5E7C" w14:paraId="3A3F72BD" w14:textId="77777777" w:rsidTr="008D4CE9">
        <w:trPr>
          <w:cantSplit/>
          <w:trHeight w:val="521"/>
        </w:trPr>
        <w:tc>
          <w:tcPr>
            <w:tcW w:w="1769" w:type="pct"/>
            <w:shd w:val="clear" w:color="auto" w:fill="auto"/>
            <w:tcMar>
              <w:top w:w="113" w:type="dxa"/>
              <w:bottom w:w="113" w:type="dxa"/>
            </w:tcMar>
          </w:tcPr>
          <w:p w14:paraId="74A2FFFF"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2C43D38C" w14:textId="77777777" w:rsidR="00E33078" w:rsidRDefault="00E33078" w:rsidP="005A1F7F">
            <w:pPr>
              <w:rPr>
                <w:rFonts w:ascii="Arial" w:hAnsi="Arial" w:cs="Arial"/>
                <w:color w:val="000000"/>
                <w:sz w:val="16"/>
                <w:szCs w:val="16"/>
              </w:rPr>
            </w:pPr>
            <w:r>
              <w:rPr>
                <w:rFonts w:ascii="Arial" w:hAnsi="Arial" w:cs="Arial"/>
                <w:color w:val="000000"/>
                <w:sz w:val="16"/>
                <w:szCs w:val="16"/>
              </w:rPr>
              <w:t>Level of satisfaction of participants in the Inventor Assistant Program (IAP)</w:t>
            </w:r>
          </w:p>
        </w:tc>
        <w:tc>
          <w:tcPr>
            <w:tcW w:w="1615" w:type="pct"/>
            <w:shd w:val="clear" w:color="auto" w:fill="FFFFFF"/>
            <w:tcMar>
              <w:top w:w="113" w:type="dxa"/>
              <w:bottom w:w="113" w:type="dxa"/>
            </w:tcMar>
          </w:tcPr>
          <w:p w14:paraId="411769B7" w14:textId="77777777" w:rsidR="00E33078" w:rsidRDefault="00E33078" w:rsidP="005A1F7F">
            <w:pPr>
              <w:ind w:left="591"/>
              <w:rPr>
                <w:rFonts w:ascii="Arial" w:hAnsi="Arial" w:cs="Arial"/>
                <w:sz w:val="16"/>
                <w:szCs w:val="16"/>
              </w:rPr>
            </w:pPr>
            <w:r>
              <w:rPr>
                <w:rFonts w:ascii="Arial" w:hAnsi="Arial" w:cs="Arial"/>
                <w:sz w:val="16"/>
                <w:szCs w:val="16"/>
              </w:rPr>
              <w:t>Program 1</w:t>
            </w:r>
          </w:p>
        </w:tc>
      </w:tr>
      <w:tr w:rsidR="00E33078" w:rsidRPr="00AF5E7C" w14:paraId="202A67A9" w14:textId="77777777" w:rsidTr="005A1F7F">
        <w:trPr>
          <w:cantSplit/>
          <w:trHeight w:val="578"/>
        </w:trPr>
        <w:tc>
          <w:tcPr>
            <w:tcW w:w="1769" w:type="pct"/>
            <w:shd w:val="clear" w:color="auto" w:fill="auto"/>
            <w:tcMar>
              <w:top w:w="113" w:type="dxa"/>
              <w:bottom w:w="113" w:type="dxa"/>
            </w:tcMar>
          </w:tcPr>
          <w:p w14:paraId="2F218DA9"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35444D6F" w14:textId="77777777" w:rsidR="00E33078" w:rsidRDefault="00E33078" w:rsidP="005A1F7F">
            <w:pPr>
              <w:rPr>
                <w:rFonts w:ascii="Arial" w:hAnsi="Arial" w:cs="Arial"/>
                <w:sz w:val="16"/>
                <w:szCs w:val="16"/>
                <w:lang w:bidi="th-TH"/>
              </w:rPr>
            </w:pPr>
            <w:r>
              <w:rPr>
                <w:rFonts w:ascii="Arial" w:hAnsi="Arial" w:cs="Arial"/>
                <w:sz w:val="16"/>
                <w:szCs w:val="16"/>
                <w:lang w:bidi="th-TH"/>
              </w:rPr>
              <w:t>Progress towards agreement on current issues on the SCT Agenda</w:t>
            </w:r>
          </w:p>
          <w:p w14:paraId="185B6847" w14:textId="77777777" w:rsidR="00E33078" w:rsidRPr="00AF5E7C" w:rsidRDefault="00E33078" w:rsidP="005A1F7F">
            <w:pPr>
              <w:rPr>
                <w:rFonts w:ascii="Arial" w:hAnsi="Arial" w:cs="Arial"/>
                <w:i/>
                <w:sz w:val="16"/>
                <w:szCs w:val="16"/>
              </w:rPr>
            </w:pPr>
          </w:p>
        </w:tc>
        <w:tc>
          <w:tcPr>
            <w:tcW w:w="1615" w:type="pct"/>
            <w:shd w:val="clear" w:color="auto" w:fill="FFFFFF"/>
            <w:tcMar>
              <w:top w:w="113" w:type="dxa"/>
              <w:bottom w:w="113" w:type="dxa"/>
            </w:tcMar>
          </w:tcPr>
          <w:p w14:paraId="05BC342D" w14:textId="77777777" w:rsidR="00E33078" w:rsidRPr="00AF5E7C" w:rsidRDefault="00E33078" w:rsidP="005A1F7F">
            <w:pPr>
              <w:ind w:left="591"/>
              <w:rPr>
                <w:rFonts w:ascii="Arial" w:hAnsi="Arial" w:cs="Arial"/>
                <w:sz w:val="16"/>
                <w:szCs w:val="16"/>
              </w:rPr>
            </w:pPr>
            <w:r>
              <w:rPr>
                <w:rFonts w:ascii="Arial" w:hAnsi="Arial" w:cs="Arial"/>
                <w:sz w:val="16"/>
                <w:szCs w:val="16"/>
                <w:lang w:bidi="th-TH"/>
              </w:rPr>
              <w:t>Program 2</w:t>
            </w:r>
          </w:p>
        </w:tc>
      </w:tr>
      <w:tr w:rsidR="00E33078" w:rsidRPr="00AF5E7C" w14:paraId="00D47EC9" w14:textId="77777777" w:rsidTr="005A1F7F">
        <w:trPr>
          <w:cantSplit/>
          <w:trHeight w:val="494"/>
        </w:trPr>
        <w:tc>
          <w:tcPr>
            <w:tcW w:w="1769" w:type="pct"/>
            <w:shd w:val="clear" w:color="auto" w:fill="auto"/>
            <w:tcMar>
              <w:top w:w="113" w:type="dxa"/>
              <w:bottom w:w="113" w:type="dxa"/>
            </w:tcMar>
          </w:tcPr>
          <w:p w14:paraId="15D7728C"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05522886" w14:textId="77777777" w:rsidR="00E33078" w:rsidRPr="007E3F60" w:rsidRDefault="00E33078" w:rsidP="005A1F7F">
            <w:pPr>
              <w:rPr>
                <w:rFonts w:ascii="Arial" w:hAnsi="Arial" w:cs="Arial"/>
                <w:sz w:val="16"/>
                <w:szCs w:val="16"/>
              </w:rPr>
            </w:pPr>
            <w:r>
              <w:rPr>
                <w:rFonts w:ascii="Arial" w:hAnsi="Arial" w:cs="Arial"/>
                <w:color w:val="000000"/>
                <w:sz w:val="16"/>
                <w:szCs w:val="16"/>
              </w:rPr>
              <w:t>Progress in the implementation of agreed work according to the SCCR agenda</w:t>
            </w:r>
          </w:p>
        </w:tc>
        <w:tc>
          <w:tcPr>
            <w:tcW w:w="1615" w:type="pct"/>
            <w:shd w:val="clear" w:color="auto" w:fill="FFFFFF"/>
            <w:tcMar>
              <w:top w:w="113" w:type="dxa"/>
              <w:bottom w:w="113" w:type="dxa"/>
            </w:tcMar>
          </w:tcPr>
          <w:p w14:paraId="3BE950FB" w14:textId="77777777" w:rsidR="00E33078" w:rsidRPr="00AF5E7C" w:rsidRDefault="00E33078" w:rsidP="005A1F7F">
            <w:pPr>
              <w:ind w:left="591"/>
              <w:rPr>
                <w:rFonts w:ascii="Arial" w:hAnsi="Arial" w:cs="Arial"/>
                <w:sz w:val="16"/>
                <w:szCs w:val="16"/>
                <w:lang w:bidi="th-TH"/>
              </w:rPr>
            </w:pPr>
            <w:r>
              <w:rPr>
                <w:rFonts w:ascii="Arial" w:hAnsi="Arial" w:cs="Arial"/>
                <w:sz w:val="16"/>
                <w:szCs w:val="16"/>
                <w:lang w:bidi="th-TH"/>
              </w:rPr>
              <w:t>Program 3</w:t>
            </w:r>
          </w:p>
        </w:tc>
      </w:tr>
      <w:tr w:rsidR="00E33078" w:rsidRPr="00AF5E7C" w14:paraId="6C853638" w14:textId="77777777" w:rsidTr="005A1F7F">
        <w:trPr>
          <w:cantSplit/>
          <w:trHeight w:val="671"/>
        </w:trPr>
        <w:tc>
          <w:tcPr>
            <w:tcW w:w="1769" w:type="pct"/>
            <w:shd w:val="clear" w:color="auto" w:fill="auto"/>
            <w:tcMar>
              <w:top w:w="113" w:type="dxa"/>
              <w:bottom w:w="113" w:type="dxa"/>
            </w:tcMar>
          </w:tcPr>
          <w:p w14:paraId="73109113"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5D9A7E9D" w14:textId="77777777" w:rsidR="00E33078" w:rsidRPr="007E3F60" w:rsidRDefault="00E33078" w:rsidP="005A1F7F">
            <w:pPr>
              <w:rPr>
                <w:rFonts w:ascii="Arial" w:hAnsi="Arial" w:cs="Arial"/>
                <w:sz w:val="16"/>
                <w:szCs w:val="16"/>
              </w:rPr>
            </w:pPr>
            <w:r>
              <w:rPr>
                <w:rFonts w:ascii="Arial" w:hAnsi="Arial" w:cs="Arial"/>
                <w:color w:val="000000"/>
                <w:sz w:val="16"/>
                <w:szCs w:val="16"/>
              </w:rPr>
              <w:t>Progress towards implementation of normative activities on IP and GRs, TK and TCEs as agreed by Member States</w:t>
            </w:r>
          </w:p>
        </w:tc>
        <w:tc>
          <w:tcPr>
            <w:tcW w:w="1615" w:type="pct"/>
            <w:shd w:val="clear" w:color="auto" w:fill="FFFFFF"/>
            <w:tcMar>
              <w:top w:w="113" w:type="dxa"/>
              <w:bottom w:w="113" w:type="dxa"/>
            </w:tcMar>
          </w:tcPr>
          <w:p w14:paraId="0AF823E1" w14:textId="77777777" w:rsidR="00E33078" w:rsidRPr="00AF5E7C" w:rsidRDefault="00E33078" w:rsidP="005A1F7F">
            <w:pPr>
              <w:ind w:left="591"/>
              <w:rPr>
                <w:rFonts w:ascii="Arial" w:hAnsi="Arial" w:cs="Arial"/>
                <w:sz w:val="16"/>
                <w:szCs w:val="16"/>
                <w:lang w:bidi="th-TH"/>
              </w:rPr>
            </w:pPr>
            <w:r>
              <w:rPr>
                <w:rFonts w:ascii="Arial" w:hAnsi="Arial" w:cs="Arial"/>
                <w:sz w:val="16"/>
                <w:szCs w:val="16"/>
                <w:lang w:bidi="th-TH"/>
              </w:rPr>
              <w:t>Program 4</w:t>
            </w:r>
          </w:p>
        </w:tc>
      </w:tr>
      <w:tr w:rsidR="00BF5EAA" w:rsidRPr="00AF5E7C" w14:paraId="18C6C18A" w14:textId="77777777" w:rsidTr="008D4CE9">
        <w:trPr>
          <w:cantSplit/>
          <w:trHeight w:val="413"/>
        </w:trPr>
        <w:tc>
          <w:tcPr>
            <w:tcW w:w="1769" w:type="pct"/>
            <w:shd w:val="clear" w:color="auto" w:fill="auto"/>
            <w:tcMar>
              <w:top w:w="113" w:type="dxa"/>
              <w:bottom w:w="113" w:type="dxa"/>
            </w:tcMar>
          </w:tcPr>
          <w:p w14:paraId="7AC6645B"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2804F5C4" w14:textId="7D44A01D" w:rsidR="00BF5EAA" w:rsidRDefault="00BF5EAA" w:rsidP="005A1F7F">
            <w:pPr>
              <w:rPr>
                <w:rFonts w:ascii="Arial" w:hAnsi="Arial" w:cs="Arial"/>
                <w:color w:val="000000"/>
                <w:sz w:val="16"/>
                <w:szCs w:val="16"/>
              </w:rPr>
            </w:pPr>
            <w:r w:rsidRPr="007E3F60">
              <w:rPr>
                <w:rFonts w:ascii="Arial" w:hAnsi="Arial" w:cs="Arial"/>
                <w:sz w:val="16"/>
                <w:szCs w:val="16"/>
              </w:rPr>
              <w:t>N</w:t>
            </w:r>
            <w:r>
              <w:rPr>
                <w:rFonts w:ascii="Arial" w:hAnsi="Arial" w:cs="Arial"/>
                <w:sz w:val="16"/>
                <w:szCs w:val="16"/>
              </w:rPr>
              <w:t>o.</w:t>
            </w:r>
            <w:r w:rsidRPr="007E3F60">
              <w:rPr>
                <w:rFonts w:ascii="Arial" w:hAnsi="Arial" w:cs="Arial"/>
                <w:sz w:val="16"/>
                <w:szCs w:val="16"/>
              </w:rPr>
              <w:t xml:space="preserve"> of ratifications/accessions to the Singapore Treaty</w:t>
            </w:r>
          </w:p>
        </w:tc>
        <w:tc>
          <w:tcPr>
            <w:tcW w:w="1615" w:type="pct"/>
            <w:shd w:val="clear" w:color="auto" w:fill="FFFFFF"/>
            <w:tcMar>
              <w:top w:w="113" w:type="dxa"/>
              <w:bottom w:w="113" w:type="dxa"/>
            </w:tcMar>
          </w:tcPr>
          <w:p w14:paraId="4CBF7D29" w14:textId="77777777" w:rsidR="00BF5EAA" w:rsidRDefault="00BF5EAA" w:rsidP="00B07684">
            <w:pPr>
              <w:ind w:left="591"/>
              <w:rPr>
                <w:rFonts w:ascii="Arial" w:hAnsi="Arial" w:cs="Arial"/>
                <w:sz w:val="16"/>
                <w:szCs w:val="16"/>
                <w:lang w:bidi="th-TH"/>
              </w:rPr>
            </w:pPr>
            <w:r>
              <w:rPr>
                <w:rFonts w:ascii="Arial" w:hAnsi="Arial" w:cs="Arial"/>
                <w:sz w:val="16"/>
                <w:szCs w:val="16"/>
                <w:lang w:bidi="th-TH"/>
              </w:rPr>
              <w:t>Program 2</w:t>
            </w:r>
          </w:p>
          <w:p w14:paraId="615519AC" w14:textId="69316BA1" w:rsidR="00BF5EAA" w:rsidRDefault="00BF5EAA" w:rsidP="005A1F7F">
            <w:pPr>
              <w:ind w:left="591"/>
              <w:rPr>
                <w:rFonts w:ascii="Arial" w:hAnsi="Arial" w:cs="Arial"/>
                <w:sz w:val="16"/>
                <w:szCs w:val="16"/>
                <w:lang w:bidi="th-TH"/>
              </w:rPr>
            </w:pPr>
            <w:r>
              <w:rPr>
                <w:rFonts w:ascii="Arial" w:hAnsi="Arial" w:cs="Arial"/>
                <w:sz w:val="16"/>
                <w:szCs w:val="16"/>
                <w:lang w:bidi="th-TH"/>
              </w:rPr>
              <w:t>Program 20</w:t>
            </w:r>
          </w:p>
        </w:tc>
      </w:tr>
      <w:tr w:rsidR="00BF5EAA" w:rsidRPr="00AF5E7C" w14:paraId="58131E25" w14:textId="77777777" w:rsidTr="008D4CE9">
        <w:trPr>
          <w:cantSplit/>
          <w:trHeight w:val="1117"/>
        </w:trPr>
        <w:tc>
          <w:tcPr>
            <w:tcW w:w="1769" w:type="pct"/>
            <w:shd w:val="clear" w:color="auto" w:fill="auto"/>
            <w:tcMar>
              <w:top w:w="113" w:type="dxa"/>
              <w:bottom w:w="113" w:type="dxa"/>
            </w:tcMar>
          </w:tcPr>
          <w:p w14:paraId="4D7DE71F" w14:textId="77777777" w:rsidR="00BF5EAA" w:rsidRPr="00A27611" w:rsidRDefault="00BF5EAA" w:rsidP="005A1F7F">
            <w:pPr>
              <w:rPr>
                <w:rFonts w:ascii="Arial" w:hAnsi="Arial" w:cs="Arial"/>
                <w:sz w:val="16"/>
                <w:szCs w:val="16"/>
              </w:rPr>
            </w:pPr>
            <w:r w:rsidRPr="00A27611">
              <w:rPr>
                <w:rFonts w:ascii="Arial" w:hAnsi="Arial" w:cs="Arial"/>
                <w:sz w:val="16"/>
                <w:szCs w:val="16"/>
              </w:rPr>
              <w:t>I.2</w:t>
            </w:r>
            <w:r>
              <w:rPr>
                <w:rFonts w:ascii="Arial" w:hAnsi="Arial" w:cs="Arial"/>
                <w:sz w:val="16"/>
                <w:szCs w:val="16"/>
              </w:rPr>
              <w:t xml:space="preserve">  </w:t>
            </w:r>
            <w:r w:rsidRPr="00A27611">
              <w:rPr>
                <w:rFonts w:ascii="Arial" w:hAnsi="Arial" w:cs="Arial"/>
                <w:sz w:val="16"/>
                <w:szCs w:val="16"/>
              </w:rPr>
              <w:t>Tailored and balanced IP legislative, regulatory and policy frameworks</w:t>
            </w:r>
          </w:p>
        </w:tc>
        <w:tc>
          <w:tcPr>
            <w:tcW w:w="1616" w:type="pct"/>
            <w:shd w:val="clear" w:color="auto" w:fill="auto"/>
            <w:tcMar>
              <w:top w:w="113" w:type="dxa"/>
              <w:bottom w:w="113" w:type="dxa"/>
            </w:tcMar>
          </w:tcPr>
          <w:p w14:paraId="721875F0" w14:textId="77777777" w:rsidR="00BF5EAA" w:rsidRDefault="00BF5EAA" w:rsidP="005A1F7F">
            <w:pPr>
              <w:ind w:right="176"/>
              <w:rPr>
                <w:rFonts w:ascii="Arial" w:hAnsi="Arial" w:cs="Arial"/>
                <w:color w:val="000000"/>
                <w:sz w:val="16"/>
                <w:szCs w:val="16"/>
              </w:rPr>
            </w:pPr>
            <w:r>
              <w:rPr>
                <w:rFonts w:ascii="Arial" w:hAnsi="Arial" w:cs="Arial"/>
                <w:color w:val="000000"/>
                <w:sz w:val="16"/>
                <w:szCs w:val="16"/>
              </w:rPr>
              <w:t>% of recipients which found information concerning legal principles and practices of the patent, utility model and integrated</w:t>
            </w:r>
          </w:p>
          <w:p w14:paraId="2F7164AF" w14:textId="77777777" w:rsidR="00BF5EAA" w:rsidRPr="00A27611" w:rsidRDefault="00BF5EAA" w:rsidP="005A1F7F">
            <w:pPr>
              <w:rPr>
                <w:rFonts w:ascii="Arial" w:hAnsi="Arial" w:cs="Arial"/>
                <w:sz w:val="16"/>
                <w:szCs w:val="16"/>
              </w:rPr>
            </w:pPr>
            <w:r>
              <w:rPr>
                <w:rFonts w:ascii="Arial" w:hAnsi="Arial" w:cs="Arial"/>
                <w:color w:val="000000"/>
                <w:sz w:val="16"/>
                <w:szCs w:val="16"/>
              </w:rPr>
              <w:t>circuit systems, including the flexibilities, useful</w:t>
            </w:r>
          </w:p>
        </w:tc>
        <w:tc>
          <w:tcPr>
            <w:tcW w:w="1615" w:type="pct"/>
            <w:shd w:val="clear" w:color="auto" w:fill="FFFFFF"/>
            <w:tcMar>
              <w:top w:w="113" w:type="dxa"/>
              <w:bottom w:w="113" w:type="dxa"/>
            </w:tcMar>
          </w:tcPr>
          <w:p w14:paraId="2C306804"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w:t>
            </w:r>
          </w:p>
        </w:tc>
      </w:tr>
      <w:tr w:rsidR="00BF5EAA" w:rsidRPr="00AF5E7C" w14:paraId="495BA164" w14:textId="77777777" w:rsidTr="005A1F7F">
        <w:trPr>
          <w:cantSplit/>
          <w:trHeight w:val="675"/>
        </w:trPr>
        <w:tc>
          <w:tcPr>
            <w:tcW w:w="1769" w:type="pct"/>
            <w:shd w:val="clear" w:color="auto" w:fill="auto"/>
            <w:tcMar>
              <w:top w:w="113" w:type="dxa"/>
              <w:bottom w:w="113" w:type="dxa"/>
            </w:tcMar>
          </w:tcPr>
          <w:p w14:paraId="7078503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2AA924B" w14:textId="77777777" w:rsidR="00BF5EAA" w:rsidRPr="00A27611" w:rsidRDefault="00BF5EAA" w:rsidP="005A1F7F">
            <w:pPr>
              <w:rPr>
                <w:rFonts w:ascii="Arial" w:hAnsi="Arial" w:cs="Arial"/>
                <w:sz w:val="16"/>
                <w:szCs w:val="16"/>
              </w:rPr>
            </w:pPr>
            <w:r>
              <w:rPr>
                <w:rFonts w:ascii="Arial" w:hAnsi="Arial" w:cs="Arial"/>
                <w:color w:val="000000"/>
                <w:sz w:val="16"/>
                <w:szCs w:val="16"/>
              </w:rPr>
              <w:t>No. and % of Member States satisfied with the legislative and policy advice provided</w:t>
            </w:r>
          </w:p>
        </w:tc>
        <w:tc>
          <w:tcPr>
            <w:tcW w:w="1615" w:type="pct"/>
            <w:shd w:val="clear" w:color="auto" w:fill="FFFFFF"/>
            <w:tcMar>
              <w:top w:w="113" w:type="dxa"/>
              <w:bottom w:w="113" w:type="dxa"/>
            </w:tcMar>
          </w:tcPr>
          <w:p w14:paraId="74BB1D30"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w:t>
            </w:r>
          </w:p>
        </w:tc>
      </w:tr>
      <w:tr w:rsidR="00BF5EAA" w:rsidRPr="00AF5E7C" w14:paraId="5534FB3B" w14:textId="77777777" w:rsidTr="005A1F7F">
        <w:trPr>
          <w:cantSplit/>
          <w:trHeight w:val="1025"/>
        </w:trPr>
        <w:tc>
          <w:tcPr>
            <w:tcW w:w="1769" w:type="pct"/>
            <w:shd w:val="clear" w:color="auto" w:fill="auto"/>
            <w:tcMar>
              <w:top w:w="113" w:type="dxa"/>
              <w:bottom w:w="113" w:type="dxa"/>
            </w:tcMar>
          </w:tcPr>
          <w:p w14:paraId="5B4B42D5"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714FC67C" w14:textId="77777777" w:rsidR="00BF5EAA" w:rsidRPr="00A27611" w:rsidRDefault="00BF5EAA" w:rsidP="005A1F7F">
            <w:pPr>
              <w:rPr>
                <w:rFonts w:ascii="Arial" w:hAnsi="Arial" w:cs="Arial"/>
                <w:sz w:val="16"/>
                <w:szCs w:val="16"/>
              </w:rPr>
            </w:pPr>
            <w:r w:rsidRPr="007E3F60">
              <w:rPr>
                <w:rFonts w:ascii="Arial" w:hAnsi="Arial" w:cs="Arial"/>
                <w:sz w:val="16"/>
                <w:szCs w:val="16"/>
              </w:rPr>
              <w:t>N</w:t>
            </w:r>
            <w:r>
              <w:rPr>
                <w:rFonts w:ascii="Arial" w:hAnsi="Arial" w:cs="Arial"/>
                <w:sz w:val="16"/>
                <w:szCs w:val="16"/>
              </w:rPr>
              <w:t>o.</w:t>
            </w:r>
            <w:r w:rsidRPr="007E3F60">
              <w:rPr>
                <w:rFonts w:ascii="Arial" w:hAnsi="Arial" w:cs="Arial"/>
                <w:sz w:val="16"/>
                <w:szCs w:val="16"/>
              </w:rPr>
              <w:t xml:space="preserve"> and </w:t>
            </w:r>
            <w:r>
              <w:rPr>
                <w:rFonts w:ascii="Arial" w:hAnsi="Arial" w:cs="Arial"/>
                <w:sz w:val="16"/>
                <w:szCs w:val="16"/>
              </w:rPr>
              <w:t>%</w:t>
            </w:r>
            <w:r w:rsidRPr="007E3F60">
              <w:rPr>
                <w:rFonts w:ascii="Arial" w:hAnsi="Arial" w:cs="Arial"/>
                <w:sz w:val="16"/>
                <w:szCs w:val="16"/>
              </w:rPr>
              <w:t xml:space="preserve"> of Member States/regional organizations providing positive feedback on the legislative advice offered in the area of trademarks, industrial designs and geographical indications</w:t>
            </w:r>
            <w:r>
              <w:rPr>
                <w:rFonts w:ascii="Arial" w:hAnsi="Arial" w:cs="Arial"/>
                <w:sz w:val="16"/>
                <w:szCs w:val="16"/>
              </w:rPr>
              <w:t xml:space="preserve"> </w:t>
            </w:r>
          </w:p>
        </w:tc>
        <w:tc>
          <w:tcPr>
            <w:tcW w:w="1615" w:type="pct"/>
            <w:shd w:val="clear" w:color="auto" w:fill="FFFFFF"/>
            <w:tcMar>
              <w:top w:w="113" w:type="dxa"/>
              <w:bottom w:w="113" w:type="dxa"/>
            </w:tcMar>
          </w:tcPr>
          <w:p w14:paraId="1C7E6C7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2</w:t>
            </w:r>
          </w:p>
          <w:p w14:paraId="39142750" w14:textId="77777777" w:rsidR="00BF5EAA" w:rsidRPr="001B07D8" w:rsidRDefault="00BF5EAA" w:rsidP="005A1F7F">
            <w:pPr>
              <w:ind w:left="591"/>
              <w:rPr>
                <w:rFonts w:ascii="Arial" w:hAnsi="Arial" w:cs="Arial"/>
                <w:color w:val="00B050"/>
                <w:sz w:val="16"/>
                <w:szCs w:val="16"/>
                <w:lang w:bidi="th-TH"/>
              </w:rPr>
            </w:pPr>
          </w:p>
        </w:tc>
      </w:tr>
      <w:tr w:rsidR="00BF5EAA" w:rsidRPr="00AF5E7C" w14:paraId="734BF90E" w14:textId="77777777" w:rsidTr="005A1F7F">
        <w:trPr>
          <w:cantSplit/>
          <w:trHeight w:val="403"/>
        </w:trPr>
        <w:tc>
          <w:tcPr>
            <w:tcW w:w="1769" w:type="pct"/>
            <w:shd w:val="clear" w:color="auto" w:fill="auto"/>
            <w:tcMar>
              <w:top w:w="113" w:type="dxa"/>
              <w:bottom w:w="113" w:type="dxa"/>
            </w:tcMar>
          </w:tcPr>
          <w:p w14:paraId="6C96F81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76B8C5F9" w14:textId="77777777" w:rsidR="00BF5EAA" w:rsidRPr="003E2A85" w:rsidRDefault="00BF5EAA" w:rsidP="005A1F7F">
            <w:pPr>
              <w:rPr>
                <w:rFonts w:ascii="Arial" w:hAnsi="Arial" w:cs="Arial"/>
                <w:sz w:val="16"/>
                <w:szCs w:val="16"/>
              </w:rPr>
            </w:pPr>
            <w:r>
              <w:rPr>
                <w:rFonts w:ascii="Arial" w:hAnsi="Arial" w:cs="Arial"/>
                <w:color w:val="000000"/>
                <w:sz w:val="16"/>
                <w:szCs w:val="16"/>
              </w:rPr>
              <w:t>No. of countries that have ratified or acceded to the Beijing Treaty</w:t>
            </w:r>
          </w:p>
        </w:tc>
        <w:tc>
          <w:tcPr>
            <w:tcW w:w="1615" w:type="pct"/>
            <w:shd w:val="clear" w:color="auto" w:fill="FFFFFF"/>
            <w:tcMar>
              <w:top w:w="113" w:type="dxa"/>
              <w:bottom w:w="113" w:type="dxa"/>
            </w:tcMar>
          </w:tcPr>
          <w:p w14:paraId="298FDB11"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0ED3ED86"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 xml:space="preserve">Program 20 </w:t>
            </w:r>
          </w:p>
        </w:tc>
      </w:tr>
      <w:tr w:rsidR="00BF5EAA" w:rsidRPr="00AF5E7C" w14:paraId="3FDE7678" w14:textId="77777777" w:rsidTr="005A1F7F">
        <w:trPr>
          <w:cantSplit/>
          <w:trHeight w:val="506"/>
        </w:trPr>
        <w:tc>
          <w:tcPr>
            <w:tcW w:w="1769" w:type="pct"/>
            <w:shd w:val="clear" w:color="auto" w:fill="auto"/>
            <w:tcMar>
              <w:top w:w="113" w:type="dxa"/>
              <w:bottom w:w="113" w:type="dxa"/>
            </w:tcMar>
          </w:tcPr>
          <w:p w14:paraId="449E83F3"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038D07B" w14:textId="77777777" w:rsidR="00BF5EAA" w:rsidRPr="001C4104" w:rsidRDefault="00BF5EAA" w:rsidP="005A1F7F">
            <w:pPr>
              <w:rPr>
                <w:rFonts w:ascii="Arial" w:hAnsi="Arial" w:cs="Arial"/>
                <w:sz w:val="16"/>
                <w:szCs w:val="16"/>
              </w:rPr>
            </w:pPr>
            <w:r>
              <w:rPr>
                <w:rFonts w:ascii="Arial" w:hAnsi="Arial" w:cs="Arial"/>
                <w:color w:val="000000"/>
                <w:sz w:val="16"/>
                <w:szCs w:val="16"/>
              </w:rPr>
              <w:t>No. of countries that have ratified or acceded to the Marrakesh Treaty</w:t>
            </w:r>
          </w:p>
        </w:tc>
        <w:tc>
          <w:tcPr>
            <w:tcW w:w="1615" w:type="pct"/>
            <w:shd w:val="clear" w:color="auto" w:fill="FFFFFF"/>
            <w:tcMar>
              <w:top w:w="113" w:type="dxa"/>
              <w:bottom w:w="113" w:type="dxa"/>
            </w:tcMar>
          </w:tcPr>
          <w:p w14:paraId="6EA2B1EF"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729100F4"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20</w:t>
            </w:r>
          </w:p>
        </w:tc>
      </w:tr>
      <w:tr w:rsidR="00BF5EAA" w:rsidRPr="00AF5E7C" w14:paraId="72FFE5E5" w14:textId="77777777" w:rsidTr="005A1F7F">
        <w:trPr>
          <w:cantSplit/>
          <w:trHeight w:val="346"/>
        </w:trPr>
        <w:tc>
          <w:tcPr>
            <w:tcW w:w="1769" w:type="pct"/>
            <w:shd w:val="clear" w:color="auto" w:fill="auto"/>
            <w:tcMar>
              <w:top w:w="113" w:type="dxa"/>
              <w:bottom w:w="113" w:type="dxa"/>
            </w:tcMar>
          </w:tcPr>
          <w:p w14:paraId="189B23C5"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2B8028D" w14:textId="4BE9524C" w:rsidR="00BF5EAA" w:rsidRPr="001C4104" w:rsidRDefault="00BF5EAA">
            <w:pPr>
              <w:rPr>
                <w:rFonts w:ascii="Arial" w:hAnsi="Arial" w:cs="Arial"/>
                <w:sz w:val="16"/>
                <w:szCs w:val="16"/>
              </w:rPr>
            </w:pPr>
            <w:r w:rsidRPr="00FC3CD2">
              <w:rPr>
                <w:rFonts w:ascii="Arial" w:hAnsi="Arial" w:cs="Arial"/>
                <w:color w:val="000000"/>
                <w:sz w:val="16"/>
                <w:szCs w:val="16"/>
              </w:rPr>
              <w:t>No. of ratifications or accessions to the copyright treaties in force including the Berne Convention, Rome Convention,  and Internet Treaties</w:t>
            </w:r>
          </w:p>
        </w:tc>
        <w:tc>
          <w:tcPr>
            <w:tcW w:w="1615" w:type="pct"/>
            <w:shd w:val="clear" w:color="auto" w:fill="FFFFFF"/>
            <w:tcMar>
              <w:top w:w="113" w:type="dxa"/>
              <w:bottom w:w="113" w:type="dxa"/>
            </w:tcMar>
          </w:tcPr>
          <w:p w14:paraId="3846A7BA"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099D4F82"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 xml:space="preserve">Program 20 </w:t>
            </w:r>
          </w:p>
        </w:tc>
      </w:tr>
      <w:tr w:rsidR="00BF5EAA" w:rsidRPr="00AF5E7C" w14:paraId="30B6BB68" w14:textId="77777777" w:rsidTr="005A1F7F">
        <w:trPr>
          <w:cantSplit/>
          <w:trHeight w:val="399"/>
        </w:trPr>
        <w:tc>
          <w:tcPr>
            <w:tcW w:w="1769" w:type="pct"/>
            <w:shd w:val="clear" w:color="auto" w:fill="auto"/>
            <w:tcMar>
              <w:top w:w="113" w:type="dxa"/>
              <w:bottom w:w="113" w:type="dxa"/>
            </w:tcMar>
          </w:tcPr>
          <w:p w14:paraId="5E2380D2"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311D115" w14:textId="77777777" w:rsidR="00BF5EAA" w:rsidRPr="001C4104" w:rsidRDefault="00BF5EAA" w:rsidP="005A1F7F">
            <w:pPr>
              <w:rPr>
                <w:rFonts w:ascii="Arial" w:hAnsi="Arial" w:cs="Arial"/>
                <w:sz w:val="16"/>
                <w:szCs w:val="16"/>
              </w:rPr>
            </w:pPr>
            <w:r>
              <w:rPr>
                <w:rFonts w:ascii="Arial" w:hAnsi="Arial" w:cs="Arial"/>
                <w:color w:val="000000"/>
                <w:sz w:val="16"/>
                <w:szCs w:val="16"/>
              </w:rPr>
              <w:t>% of countries that have provided positive feedback about WIPO’s legislative advice</w:t>
            </w:r>
          </w:p>
        </w:tc>
        <w:tc>
          <w:tcPr>
            <w:tcW w:w="1615" w:type="pct"/>
            <w:shd w:val="clear" w:color="auto" w:fill="FFFFFF"/>
            <w:tcMar>
              <w:top w:w="113" w:type="dxa"/>
              <w:bottom w:w="113" w:type="dxa"/>
            </w:tcMar>
          </w:tcPr>
          <w:p w14:paraId="2D8ECF7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5ABA1B50" w14:textId="77777777" w:rsidR="00BF5EAA" w:rsidRPr="00AF5E7C" w:rsidRDefault="00BF5EAA" w:rsidP="005A1F7F">
            <w:pPr>
              <w:ind w:left="591"/>
              <w:rPr>
                <w:rFonts w:ascii="Arial" w:hAnsi="Arial" w:cs="Arial"/>
                <w:sz w:val="16"/>
                <w:szCs w:val="16"/>
                <w:lang w:bidi="th-TH"/>
              </w:rPr>
            </w:pPr>
          </w:p>
        </w:tc>
      </w:tr>
      <w:tr w:rsidR="00BF5EAA" w:rsidRPr="00AF5E7C" w14:paraId="28E32431" w14:textId="77777777" w:rsidTr="005A1F7F">
        <w:trPr>
          <w:cantSplit/>
          <w:trHeight w:val="399"/>
        </w:trPr>
        <w:tc>
          <w:tcPr>
            <w:tcW w:w="1769" w:type="pct"/>
            <w:shd w:val="clear" w:color="auto" w:fill="auto"/>
            <w:tcMar>
              <w:top w:w="113" w:type="dxa"/>
              <w:bottom w:w="113" w:type="dxa"/>
            </w:tcMar>
          </w:tcPr>
          <w:p w14:paraId="6D405B7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90210DD" w14:textId="77777777" w:rsidR="00BF5EAA" w:rsidRPr="00C03591" w:rsidRDefault="00BF5EAA" w:rsidP="005A1F7F">
            <w:pPr>
              <w:rPr>
                <w:rFonts w:ascii="Arial" w:hAnsi="Arial" w:cs="Arial"/>
                <w:color w:val="000000"/>
                <w:sz w:val="16"/>
                <w:szCs w:val="16"/>
              </w:rPr>
            </w:pPr>
            <w:r w:rsidRPr="00C03591">
              <w:rPr>
                <w:rFonts w:ascii="Arial" w:hAnsi="Arial" w:cs="Arial"/>
                <w:color w:val="000000"/>
                <w:sz w:val="16"/>
                <w:szCs w:val="16"/>
              </w:rPr>
              <w:t>No. and/or % of countries providing positive feedback on WIPO’s Legislative policy advice</w:t>
            </w:r>
          </w:p>
        </w:tc>
        <w:tc>
          <w:tcPr>
            <w:tcW w:w="1615" w:type="pct"/>
            <w:shd w:val="clear" w:color="auto" w:fill="FFFFFF"/>
            <w:tcMar>
              <w:top w:w="113" w:type="dxa"/>
              <w:bottom w:w="113" w:type="dxa"/>
            </w:tcMar>
          </w:tcPr>
          <w:p w14:paraId="3F4DDB4E"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9</w:t>
            </w:r>
          </w:p>
        </w:tc>
      </w:tr>
      <w:tr w:rsidR="00BF5EAA" w:rsidRPr="00AF5E7C" w14:paraId="2358A2AE" w14:textId="77777777" w:rsidTr="005A1F7F">
        <w:trPr>
          <w:cantSplit/>
          <w:trHeight w:val="399"/>
        </w:trPr>
        <w:tc>
          <w:tcPr>
            <w:tcW w:w="1769" w:type="pct"/>
            <w:shd w:val="clear" w:color="auto" w:fill="auto"/>
            <w:tcMar>
              <w:top w:w="113" w:type="dxa"/>
              <w:bottom w:w="113" w:type="dxa"/>
            </w:tcMar>
          </w:tcPr>
          <w:p w14:paraId="2CF03203"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5BB5823" w14:textId="3B0A9BB5" w:rsidR="00BF5EAA" w:rsidRPr="00F72D6C" w:rsidRDefault="00BF5EAA">
            <w:pPr>
              <w:rPr>
                <w:rFonts w:ascii="Arial" w:hAnsi="Arial" w:cs="Arial"/>
                <w:color w:val="000000"/>
                <w:sz w:val="16"/>
                <w:szCs w:val="16"/>
              </w:rPr>
            </w:pPr>
            <w:r w:rsidRPr="00F72D6C">
              <w:rPr>
                <w:rFonts w:ascii="Arial" w:hAnsi="Arial" w:cs="Arial"/>
                <w:color w:val="000000"/>
                <w:sz w:val="16"/>
                <w:szCs w:val="16"/>
              </w:rPr>
              <w:t xml:space="preserve">No. of transition countries with updated national </w:t>
            </w:r>
            <w:r w:rsidR="00C71CBF">
              <w:rPr>
                <w:rFonts w:ascii="Arial" w:hAnsi="Arial" w:cs="Arial"/>
                <w:color w:val="000000"/>
                <w:sz w:val="16"/>
                <w:szCs w:val="16"/>
              </w:rPr>
              <w:t>l</w:t>
            </w:r>
            <w:r w:rsidRPr="00F72D6C">
              <w:rPr>
                <w:rFonts w:ascii="Arial" w:hAnsi="Arial" w:cs="Arial"/>
                <w:color w:val="000000"/>
                <w:sz w:val="16"/>
                <w:szCs w:val="16"/>
              </w:rPr>
              <w:t>aws</w:t>
            </w:r>
          </w:p>
        </w:tc>
        <w:tc>
          <w:tcPr>
            <w:tcW w:w="1615" w:type="pct"/>
            <w:shd w:val="clear" w:color="auto" w:fill="FFFFFF"/>
            <w:tcMar>
              <w:top w:w="113" w:type="dxa"/>
              <w:bottom w:w="113" w:type="dxa"/>
            </w:tcMar>
          </w:tcPr>
          <w:p w14:paraId="4F30EF4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10</w:t>
            </w:r>
          </w:p>
        </w:tc>
      </w:tr>
      <w:tr w:rsidR="00BF5EAA" w:rsidRPr="00AF5E7C" w14:paraId="73188601" w14:textId="77777777" w:rsidTr="005A1F7F">
        <w:trPr>
          <w:cantSplit/>
          <w:trHeight w:val="399"/>
        </w:trPr>
        <w:tc>
          <w:tcPr>
            <w:tcW w:w="1769" w:type="pct"/>
            <w:shd w:val="clear" w:color="auto" w:fill="auto"/>
            <w:tcMar>
              <w:top w:w="113" w:type="dxa"/>
              <w:bottom w:w="113" w:type="dxa"/>
            </w:tcMar>
          </w:tcPr>
          <w:p w14:paraId="1A65BAEA"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4BC06458" w14:textId="77777777" w:rsidR="00BF5EAA" w:rsidRPr="00F72D6C" w:rsidRDefault="00BF5EAA" w:rsidP="005A1F7F">
            <w:pPr>
              <w:rPr>
                <w:rFonts w:ascii="Arial" w:hAnsi="Arial" w:cs="Arial"/>
                <w:color w:val="000000"/>
                <w:sz w:val="16"/>
                <w:szCs w:val="16"/>
              </w:rPr>
            </w:pPr>
            <w:r w:rsidRPr="00F72D6C">
              <w:rPr>
                <w:rFonts w:ascii="Arial" w:hAnsi="Arial" w:cs="Arial"/>
                <w:color w:val="000000"/>
                <w:sz w:val="16"/>
                <w:szCs w:val="16"/>
              </w:rPr>
              <w:t xml:space="preserve">No. of ratifications to WIPO administered treaties  </w:t>
            </w:r>
          </w:p>
        </w:tc>
        <w:tc>
          <w:tcPr>
            <w:tcW w:w="1615" w:type="pct"/>
            <w:shd w:val="clear" w:color="auto" w:fill="FFFFFF"/>
            <w:tcMar>
              <w:top w:w="113" w:type="dxa"/>
              <w:bottom w:w="113" w:type="dxa"/>
            </w:tcMar>
          </w:tcPr>
          <w:p w14:paraId="2ED66CCB"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10</w:t>
            </w:r>
          </w:p>
        </w:tc>
      </w:tr>
      <w:tr w:rsidR="00BF5EAA" w:rsidRPr="00AF5E7C" w14:paraId="769180D1" w14:textId="77777777" w:rsidTr="005A1F7F">
        <w:trPr>
          <w:cantSplit/>
          <w:trHeight w:val="744"/>
        </w:trPr>
        <w:tc>
          <w:tcPr>
            <w:tcW w:w="1769" w:type="pct"/>
            <w:shd w:val="clear" w:color="auto" w:fill="auto"/>
            <w:tcMar>
              <w:top w:w="113" w:type="dxa"/>
              <w:bottom w:w="113" w:type="dxa"/>
            </w:tcMar>
          </w:tcPr>
          <w:p w14:paraId="0ED9C18A"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2E27145" w14:textId="7DE5C1A4" w:rsidR="00BF5EAA" w:rsidRPr="001261DA" w:rsidRDefault="00BF5EAA" w:rsidP="005A1F7F">
            <w:pPr>
              <w:rPr>
                <w:rFonts w:ascii="Arial" w:hAnsi="Arial" w:cs="Arial"/>
                <w:sz w:val="16"/>
                <w:szCs w:val="16"/>
              </w:rPr>
            </w:pPr>
            <w:r w:rsidRPr="001261DA">
              <w:rPr>
                <w:rFonts w:ascii="Arial" w:hAnsi="Arial" w:cs="Arial"/>
                <w:color w:val="000000"/>
                <w:sz w:val="16"/>
                <w:szCs w:val="16"/>
              </w:rPr>
              <w:t>No. of countries/regional organizations having adopted or amended relevant frameworks towards effective IP enforcement in the light of Part III of the TRIPS Agreement</w:t>
            </w:r>
            <w:r w:rsidR="00F56680">
              <w:rPr>
                <w:rFonts w:ascii="Arial" w:hAnsi="Arial" w:cs="Arial"/>
                <w:color w:val="000000"/>
                <w:sz w:val="16"/>
                <w:szCs w:val="16"/>
              </w:rPr>
              <w:t xml:space="preserve"> </w:t>
            </w:r>
            <w:r w:rsidR="00F56680" w:rsidRPr="00F56680">
              <w:rPr>
                <w:rFonts w:ascii="Arial" w:eastAsia="Times New Roman" w:hAnsi="Arial" w:cs="Arial"/>
                <w:color w:val="000000"/>
                <w:sz w:val="16"/>
                <w:szCs w:val="16"/>
                <w:lang w:eastAsia="en-US"/>
              </w:rPr>
              <w:t>and DA Recommendation 45</w:t>
            </w:r>
            <w:r w:rsidRPr="001261DA">
              <w:rPr>
                <w:rFonts w:ascii="Arial" w:hAnsi="Arial" w:cs="Arial"/>
                <w:color w:val="000000"/>
                <w:sz w:val="16"/>
                <w:szCs w:val="16"/>
              </w:rPr>
              <w:t>, or being in the process of doing so, further to WIPO assistance</w:t>
            </w:r>
          </w:p>
        </w:tc>
        <w:tc>
          <w:tcPr>
            <w:tcW w:w="1615" w:type="pct"/>
            <w:shd w:val="clear" w:color="auto" w:fill="FFFFFF"/>
            <w:tcMar>
              <w:top w:w="113" w:type="dxa"/>
              <w:bottom w:w="113" w:type="dxa"/>
            </w:tcMar>
          </w:tcPr>
          <w:p w14:paraId="54204F5D"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17</w:t>
            </w:r>
          </w:p>
        </w:tc>
      </w:tr>
      <w:tr w:rsidR="00BF5EAA" w:rsidRPr="00AF5E7C" w14:paraId="4D6E89FC" w14:textId="77777777" w:rsidTr="005A1F7F">
        <w:trPr>
          <w:cantSplit/>
          <w:trHeight w:val="744"/>
        </w:trPr>
        <w:tc>
          <w:tcPr>
            <w:tcW w:w="1769" w:type="pct"/>
            <w:shd w:val="clear" w:color="auto" w:fill="auto"/>
            <w:tcMar>
              <w:top w:w="113" w:type="dxa"/>
              <w:bottom w:w="113" w:type="dxa"/>
            </w:tcMar>
          </w:tcPr>
          <w:p w14:paraId="4707D08E"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1D8B061" w14:textId="77777777" w:rsidR="00BF5EAA" w:rsidRPr="003A274D" w:rsidRDefault="00BF5EAA" w:rsidP="005A1F7F">
            <w:pPr>
              <w:rPr>
                <w:rFonts w:ascii="Arial" w:hAnsi="Arial" w:cs="Arial"/>
                <w:color w:val="000000"/>
                <w:sz w:val="16"/>
                <w:szCs w:val="16"/>
              </w:rPr>
            </w:pPr>
            <w:r w:rsidRPr="003A274D">
              <w:rPr>
                <w:rFonts w:ascii="Arial" w:hAnsi="Arial" w:cs="Arial"/>
                <w:color w:val="000000"/>
                <w:sz w:val="16"/>
                <w:szCs w:val="16"/>
              </w:rPr>
              <w:t>No. of countries that have adopted and/or implemented a national strategy on Building Respect for IP, or are in the process of doing so, with WIPO assistance</w:t>
            </w:r>
          </w:p>
        </w:tc>
        <w:tc>
          <w:tcPr>
            <w:tcW w:w="1615" w:type="pct"/>
            <w:shd w:val="clear" w:color="auto" w:fill="FFFFFF"/>
            <w:tcMar>
              <w:top w:w="113" w:type="dxa"/>
              <w:bottom w:w="113" w:type="dxa"/>
            </w:tcMar>
          </w:tcPr>
          <w:p w14:paraId="40F33615"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17</w:t>
            </w:r>
          </w:p>
        </w:tc>
      </w:tr>
      <w:tr w:rsidR="00706960" w:rsidRPr="00AF5E7C" w14:paraId="5A3B8628" w14:textId="77777777" w:rsidTr="005A1F7F">
        <w:trPr>
          <w:cantSplit/>
          <w:trHeight w:val="660"/>
        </w:trPr>
        <w:tc>
          <w:tcPr>
            <w:tcW w:w="1769" w:type="pct"/>
            <w:shd w:val="clear" w:color="auto" w:fill="auto"/>
            <w:tcMar>
              <w:top w:w="113" w:type="dxa"/>
              <w:bottom w:w="113" w:type="dxa"/>
            </w:tcMar>
          </w:tcPr>
          <w:p w14:paraId="2F9DA29D" w14:textId="77777777" w:rsidR="00706960" w:rsidRPr="007E3F60" w:rsidRDefault="00706960">
            <w:pPr>
              <w:rPr>
                <w:rFonts w:ascii="Arial" w:hAnsi="Arial" w:cs="Arial"/>
                <w:sz w:val="16"/>
                <w:szCs w:val="16"/>
              </w:rPr>
            </w:pPr>
          </w:p>
        </w:tc>
        <w:tc>
          <w:tcPr>
            <w:tcW w:w="1616" w:type="pct"/>
            <w:shd w:val="clear" w:color="auto" w:fill="auto"/>
            <w:tcMar>
              <w:top w:w="113" w:type="dxa"/>
              <w:bottom w:w="113" w:type="dxa"/>
            </w:tcMar>
          </w:tcPr>
          <w:p w14:paraId="4D743E05" w14:textId="2104356A" w:rsidR="00706960" w:rsidRPr="00DC60C0" w:rsidRDefault="00706960">
            <w:pPr>
              <w:rPr>
                <w:rFonts w:ascii="Arial" w:hAnsi="Arial" w:cs="Arial"/>
                <w:color w:val="000000"/>
                <w:sz w:val="16"/>
                <w:szCs w:val="16"/>
              </w:rPr>
            </w:pPr>
            <w:r w:rsidRPr="000A3927">
              <w:rPr>
                <w:rFonts w:ascii="Arial" w:hAnsi="Arial" w:cs="Arial"/>
                <w:color w:val="000000"/>
                <w:sz w:val="16"/>
                <w:szCs w:val="16"/>
              </w:rPr>
              <w:t xml:space="preserve">No. of countries requesting WIPO’s specific contribution on IP in relation to </w:t>
            </w:r>
            <w:r w:rsidR="00C71CBF">
              <w:rPr>
                <w:rFonts w:ascii="Arial" w:hAnsi="Arial" w:cs="Arial"/>
                <w:color w:val="000000"/>
                <w:sz w:val="16"/>
                <w:szCs w:val="16"/>
              </w:rPr>
              <w:t>competition policy</w:t>
            </w:r>
            <w:r w:rsidRPr="000A3927">
              <w:rPr>
                <w:rFonts w:ascii="Arial" w:hAnsi="Arial" w:cs="Arial"/>
                <w:color w:val="000000"/>
                <w:sz w:val="16"/>
                <w:szCs w:val="16"/>
              </w:rPr>
              <w:t>-related issues</w:t>
            </w:r>
          </w:p>
        </w:tc>
        <w:tc>
          <w:tcPr>
            <w:tcW w:w="1615" w:type="pct"/>
            <w:shd w:val="clear" w:color="auto" w:fill="FFFFFF"/>
            <w:tcMar>
              <w:top w:w="113" w:type="dxa"/>
              <w:bottom w:w="113" w:type="dxa"/>
            </w:tcMar>
          </w:tcPr>
          <w:p w14:paraId="7F7C2F9D" w14:textId="0D21853F" w:rsidR="00706960" w:rsidRDefault="00706960" w:rsidP="005A1F7F">
            <w:pPr>
              <w:ind w:left="591"/>
              <w:rPr>
                <w:rFonts w:ascii="Arial" w:hAnsi="Arial" w:cs="Arial"/>
                <w:sz w:val="16"/>
                <w:szCs w:val="16"/>
                <w:lang w:bidi="th-TH"/>
              </w:rPr>
            </w:pPr>
            <w:r>
              <w:rPr>
                <w:rFonts w:ascii="Arial" w:hAnsi="Arial" w:cs="Arial"/>
                <w:sz w:val="16"/>
                <w:szCs w:val="16"/>
                <w:lang w:bidi="th-TH"/>
              </w:rPr>
              <w:t>Program 18</w:t>
            </w:r>
          </w:p>
        </w:tc>
      </w:tr>
      <w:tr w:rsidR="00706960" w:rsidRPr="00AF5E7C" w14:paraId="3C471249" w14:textId="77777777" w:rsidTr="005A1F7F">
        <w:trPr>
          <w:cantSplit/>
          <w:trHeight w:val="660"/>
        </w:trPr>
        <w:tc>
          <w:tcPr>
            <w:tcW w:w="1769" w:type="pct"/>
            <w:shd w:val="clear" w:color="auto" w:fill="auto"/>
            <w:tcMar>
              <w:top w:w="113" w:type="dxa"/>
              <w:bottom w:w="113" w:type="dxa"/>
            </w:tcMar>
          </w:tcPr>
          <w:p w14:paraId="014A6EDF" w14:textId="77777777" w:rsidR="00706960" w:rsidRPr="007E3F60" w:rsidRDefault="00706960">
            <w:pPr>
              <w:rPr>
                <w:rFonts w:ascii="Arial" w:hAnsi="Arial" w:cs="Arial"/>
                <w:sz w:val="16"/>
                <w:szCs w:val="16"/>
              </w:rPr>
            </w:pPr>
          </w:p>
        </w:tc>
        <w:tc>
          <w:tcPr>
            <w:tcW w:w="1616" w:type="pct"/>
            <w:shd w:val="clear" w:color="auto" w:fill="auto"/>
            <w:tcMar>
              <w:top w:w="113" w:type="dxa"/>
              <w:bottom w:w="113" w:type="dxa"/>
            </w:tcMar>
          </w:tcPr>
          <w:p w14:paraId="1F8C13F7" w14:textId="3981E200" w:rsidR="00706960" w:rsidRPr="00DC60C0" w:rsidRDefault="00706960">
            <w:pPr>
              <w:rPr>
                <w:rFonts w:ascii="Arial" w:hAnsi="Arial" w:cs="Arial"/>
                <w:color w:val="000000"/>
                <w:sz w:val="16"/>
                <w:szCs w:val="16"/>
              </w:rPr>
            </w:pPr>
            <w:r>
              <w:rPr>
                <w:rFonts w:ascii="Arial" w:hAnsi="Arial" w:cs="Arial"/>
                <w:color w:val="000000"/>
                <w:sz w:val="16"/>
                <w:szCs w:val="16"/>
              </w:rPr>
              <w:t xml:space="preserve">No. and diversity of stakeholders (IP </w:t>
            </w:r>
            <w:r w:rsidR="00C71CBF">
              <w:rPr>
                <w:rFonts w:ascii="Arial" w:hAnsi="Arial" w:cs="Arial"/>
                <w:color w:val="000000"/>
                <w:sz w:val="16"/>
                <w:szCs w:val="16"/>
              </w:rPr>
              <w:t>O</w:t>
            </w:r>
            <w:r>
              <w:rPr>
                <w:rFonts w:ascii="Arial" w:hAnsi="Arial" w:cs="Arial"/>
                <w:color w:val="000000"/>
                <w:sz w:val="16"/>
                <w:szCs w:val="16"/>
              </w:rPr>
              <w:t>ffices, competition and authorities, relevant IGOs and NGOs) engaged in dialogue with WIPO</w:t>
            </w:r>
          </w:p>
        </w:tc>
        <w:tc>
          <w:tcPr>
            <w:tcW w:w="1615" w:type="pct"/>
            <w:shd w:val="clear" w:color="auto" w:fill="FFFFFF"/>
            <w:tcMar>
              <w:top w:w="113" w:type="dxa"/>
              <w:bottom w:w="113" w:type="dxa"/>
            </w:tcMar>
          </w:tcPr>
          <w:p w14:paraId="5BE6B1FD" w14:textId="2986745F" w:rsidR="00706960" w:rsidRDefault="00706960" w:rsidP="005A1F7F">
            <w:pPr>
              <w:ind w:left="591"/>
              <w:rPr>
                <w:rFonts w:ascii="Arial" w:hAnsi="Arial" w:cs="Arial"/>
                <w:sz w:val="16"/>
                <w:szCs w:val="16"/>
                <w:lang w:bidi="th-TH"/>
              </w:rPr>
            </w:pPr>
            <w:r>
              <w:rPr>
                <w:rFonts w:ascii="Arial" w:hAnsi="Arial" w:cs="Arial"/>
                <w:sz w:val="16"/>
                <w:szCs w:val="16"/>
                <w:lang w:bidi="th-TH"/>
              </w:rPr>
              <w:t>Program 18</w:t>
            </w:r>
          </w:p>
        </w:tc>
      </w:tr>
      <w:tr w:rsidR="00706960" w:rsidRPr="00AF5E7C" w14:paraId="401BE96D" w14:textId="77777777" w:rsidTr="005A1F7F">
        <w:trPr>
          <w:cantSplit/>
          <w:trHeight w:val="660"/>
        </w:trPr>
        <w:tc>
          <w:tcPr>
            <w:tcW w:w="1769" w:type="pct"/>
            <w:shd w:val="clear" w:color="auto" w:fill="auto"/>
            <w:tcMar>
              <w:top w:w="113" w:type="dxa"/>
              <w:bottom w:w="113" w:type="dxa"/>
            </w:tcMar>
          </w:tcPr>
          <w:p w14:paraId="20F43C86" w14:textId="281149B6" w:rsidR="00706960" w:rsidRPr="00AF5E7C" w:rsidRDefault="00706960">
            <w:pPr>
              <w:rPr>
                <w:rFonts w:ascii="Arial" w:hAnsi="Arial" w:cs="Arial"/>
                <w:sz w:val="16"/>
                <w:szCs w:val="16"/>
              </w:rPr>
            </w:pPr>
            <w:r w:rsidRPr="007E3F60">
              <w:rPr>
                <w:rFonts w:ascii="Arial" w:hAnsi="Arial" w:cs="Arial"/>
                <w:sz w:val="16"/>
                <w:szCs w:val="16"/>
              </w:rPr>
              <w:t xml:space="preserve">I.3 </w:t>
            </w:r>
            <w:r>
              <w:rPr>
                <w:rFonts w:ascii="Arial" w:hAnsi="Arial" w:cs="Arial"/>
                <w:sz w:val="16"/>
                <w:szCs w:val="16"/>
              </w:rPr>
              <w:t xml:space="preserve"> </w:t>
            </w:r>
            <w:r w:rsidRPr="007E3F60">
              <w:rPr>
                <w:rFonts w:ascii="Arial" w:hAnsi="Arial" w:cs="Arial"/>
                <w:sz w:val="16"/>
                <w:szCs w:val="16"/>
              </w:rPr>
              <w:t>Increased protection of State emblems and names and emblems of International Intergovernmental Organizations</w:t>
            </w:r>
          </w:p>
        </w:tc>
        <w:tc>
          <w:tcPr>
            <w:tcW w:w="1616" w:type="pct"/>
            <w:shd w:val="clear" w:color="auto" w:fill="auto"/>
            <w:tcMar>
              <w:top w:w="113" w:type="dxa"/>
              <w:bottom w:w="113" w:type="dxa"/>
            </w:tcMar>
          </w:tcPr>
          <w:p w14:paraId="54C29A39" w14:textId="3A458DE1" w:rsidR="00706960" w:rsidRPr="007E3F60" w:rsidRDefault="00706960">
            <w:pPr>
              <w:rPr>
                <w:rFonts w:ascii="Arial" w:hAnsi="Arial" w:cs="Arial"/>
                <w:sz w:val="16"/>
                <w:szCs w:val="16"/>
              </w:rPr>
            </w:pPr>
            <w:r w:rsidRPr="00DC60C0">
              <w:rPr>
                <w:rFonts w:ascii="Arial" w:hAnsi="Arial" w:cs="Arial"/>
                <w:color w:val="000000"/>
                <w:sz w:val="16"/>
                <w:szCs w:val="16"/>
              </w:rPr>
              <w:t>No. of signs contained in the Article</w:t>
            </w:r>
            <w:r>
              <w:rPr>
                <w:rFonts w:ascii="Arial" w:hAnsi="Arial" w:cs="Arial"/>
                <w:color w:val="000000"/>
                <w:sz w:val="16"/>
                <w:szCs w:val="16"/>
              </w:rPr>
              <w:t> </w:t>
            </w:r>
            <w:r w:rsidRPr="00DC60C0">
              <w:rPr>
                <w:rFonts w:ascii="Arial" w:hAnsi="Arial" w:cs="Arial"/>
                <w:color w:val="000000"/>
                <w:sz w:val="16"/>
                <w:szCs w:val="16"/>
              </w:rPr>
              <w:t>6</w:t>
            </w:r>
            <w:r w:rsidRPr="002A69A3">
              <w:rPr>
                <w:rFonts w:ascii="Arial" w:hAnsi="Arial" w:cs="Arial"/>
                <w:i/>
                <w:color w:val="000000"/>
                <w:sz w:val="16"/>
                <w:szCs w:val="16"/>
              </w:rPr>
              <w:t>ter</w:t>
            </w:r>
            <w:r w:rsidRPr="00DC60C0">
              <w:rPr>
                <w:rFonts w:ascii="Arial" w:hAnsi="Arial" w:cs="Arial"/>
                <w:color w:val="000000"/>
                <w:sz w:val="16"/>
                <w:szCs w:val="16"/>
              </w:rPr>
              <w:t xml:space="preserve"> database</w:t>
            </w:r>
          </w:p>
        </w:tc>
        <w:tc>
          <w:tcPr>
            <w:tcW w:w="1615" w:type="pct"/>
            <w:shd w:val="clear" w:color="auto" w:fill="FFFFFF"/>
            <w:tcMar>
              <w:top w:w="113" w:type="dxa"/>
              <w:bottom w:w="113" w:type="dxa"/>
            </w:tcMar>
          </w:tcPr>
          <w:p w14:paraId="48A369BA" w14:textId="77777777" w:rsidR="00706960" w:rsidRPr="00AF5E7C" w:rsidRDefault="00706960" w:rsidP="005A1F7F">
            <w:pPr>
              <w:ind w:left="591"/>
              <w:rPr>
                <w:rFonts w:ascii="Arial" w:hAnsi="Arial" w:cs="Arial"/>
                <w:sz w:val="16"/>
                <w:szCs w:val="16"/>
                <w:lang w:bidi="th-TH"/>
              </w:rPr>
            </w:pPr>
            <w:r>
              <w:rPr>
                <w:rFonts w:ascii="Arial" w:hAnsi="Arial" w:cs="Arial"/>
                <w:sz w:val="16"/>
                <w:szCs w:val="16"/>
                <w:lang w:bidi="th-TH"/>
              </w:rPr>
              <w:t>Program 2</w:t>
            </w:r>
          </w:p>
        </w:tc>
      </w:tr>
      <w:tr w:rsidR="00706960" w:rsidRPr="00AF5E7C" w14:paraId="558CCCA9" w14:textId="77777777" w:rsidTr="005A1F7F">
        <w:trPr>
          <w:cantSplit/>
          <w:trHeight w:val="660"/>
        </w:trPr>
        <w:tc>
          <w:tcPr>
            <w:tcW w:w="1769" w:type="pct"/>
            <w:shd w:val="clear" w:color="auto" w:fill="auto"/>
            <w:tcMar>
              <w:top w:w="113" w:type="dxa"/>
              <w:bottom w:w="113" w:type="dxa"/>
            </w:tcMar>
          </w:tcPr>
          <w:p w14:paraId="09D6C0CF" w14:textId="1D9AE8D5" w:rsidR="00706960" w:rsidRPr="007E3F60" w:rsidRDefault="00706960" w:rsidP="005A1F7F">
            <w:pPr>
              <w:rPr>
                <w:rFonts w:ascii="Arial" w:hAnsi="Arial" w:cs="Arial"/>
                <w:sz w:val="16"/>
                <w:szCs w:val="16"/>
              </w:rPr>
            </w:pPr>
            <w:r>
              <w:rPr>
                <w:rFonts w:ascii="Arial" w:hAnsi="Arial" w:cs="Arial"/>
                <w:color w:val="000000"/>
                <w:sz w:val="16"/>
                <w:szCs w:val="16"/>
              </w:rPr>
              <w:t xml:space="preserve">I.4 Growing interest in WIPO as a forum for analysis of issues in relation to the international protection of </w:t>
            </w:r>
            <w:r w:rsidR="00CB4716" w:rsidRPr="00CB4716">
              <w:rPr>
                <w:rFonts w:ascii="Arial" w:hAnsi="Arial" w:cs="Arial"/>
                <w:color w:val="000000"/>
                <w:sz w:val="16"/>
                <w:szCs w:val="16"/>
              </w:rPr>
              <w:t xml:space="preserve">utility models, layout designs (topographies) of integrated circuits and </w:t>
            </w:r>
            <w:r>
              <w:rPr>
                <w:rFonts w:ascii="Arial" w:hAnsi="Arial" w:cs="Arial"/>
                <w:color w:val="000000"/>
                <w:sz w:val="16"/>
                <w:szCs w:val="16"/>
              </w:rPr>
              <w:t>confidential information</w:t>
            </w:r>
          </w:p>
        </w:tc>
        <w:tc>
          <w:tcPr>
            <w:tcW w:w="1616" w:type="pct"/>
            <w:shd w:val="clear" w:color="auto" w:fill="auto"/>
            <w:tcMar>
              <w:top w:w="113" w:type="dxa"/>
              <w:bottom w:w="113" w:type="dxa"/>
            </w:tcMar>
          </w:tcPr>
          <w:p w14:paraId="0EAF803F" w14:textId="04C5214A" w:rsidR="00706960" w:rsidRPr="00DC60C0" w:rsidRDefault="00706960" w:rsidP="005A1F7F">
            <w:pPr>
              <w:rPr>
                <w:rFonts w:ascii="Arial" w:hAnsi="Arial" w:cs="Arial"/>
                <w:color w:val="000000"/>
                <w:sz w:val="16"/>
                <w:szCs w:val="16"/>
              </w:rPr>
            </w:pPr>
            <w:r>
              <w:rPr>
                <w:rFonts w:ascii="Arial" w:hAnsi="Arial" w:cs="Arial"/>
                <w:color w:val="000000"/>
                <w:sz w:val="16"/>
                <w:szCs w:val="16"/>
              </w:rPr>
              <w:t xml:space="preserve">% of recipients which found information concerning legal principles and practices on the protection of </w:t>
            </w:r>
            <w:r w:rsidR="00CB4716" w:rsidRPr="00CB4716">
              <w:rPr>
                <w:rFonts w:ascii="Arial" w:hAnsi="Arial" w:cs="Arial"/>
                <w:color w:val="000000"/>
                <w:sz w:val="16"/>
                <w:szCs w:val="16"/>
              </w:rPr>
              <w:t xml:space="preserve">utility models, layout designs (topographies) of integrated circuits and </w:t>
            </w:r>
            <w:r>
              <w:rPr>
                <w:rFonts w:ascii="Arial" w:hAnsi="Arial" w:cs="Arial"/>
                <w:color w:val="000000"/>
                <w:sz w:val="16"/>
                <w:szCs w:val="16"/>
              </w:rPr>
              <w:t>confidential information, useful</w:t>
            </w:r>
          </w:p>
        </w:tc>
        <w:tc>
          <w:tcPr>
            <w:tcW w:w="1615" w:type="pct"/>
            <w:shd w:val="clear" w:color="auto" w:fill="FFFFFF"/>
            <w:tcMar>
              <w:top w:w="113" w:type="dxa"/>
              <w:bottom w:w="113" w:type="dxa"/>
            </w:tcMar>
          </w:tcPr>
          <w:p w14:paraId="7DD7A974" w14:textId="77777777" w:rsidR="00706960" w:rsidRDefault="00706960" w:rsidP="005A1F7F">
            <w:pPr>
              <w:ind w:left="591"/>
              <w:rPr>
                <w:rFonts w:ascii="Arial" w:hAnsi="Arial" w:cs="Arial"/>
                <w:sz w:val="16"/>
                <w:szCs w:val="16"/>
                <w:lang w:bidi="th-TH"/>
              </w:rPr>
            </w:pPr>
            <w:r>
              <w:rPr>
                <w:rFonts w:ascii="Arial" w:hAnsi="Arial" w:cs="Arial"/>
                <w:sz w:val="16"/>
                <w:szCs w:val="16"/>
                <w:lang w:bidi="th-TH"/>
              </w:rPr>
              <w:t xml:space="preserve">Program 1 </w:t>
            </w:r>
          </w:p>
        </w:tc>
      </w:tr>
    </w:tbl>
    <w:p w14:paraId="013EEFD1" w14:textId="7909C18E" w:rsidR="005546DD" w:rsidRDefault="005546DD">
      <w:pPr>
        <w:rPr>
          <w:rFonts w:ascii="Arial" w:hAnsi="Arial" w:cs="Arial"/>
        </w:rPr>
      </w:pPr>
    </w:p>
    <w:p w14:paraId="065366F7" w14:textId="77777777" w:rsidR="005546DD" w:rsidRDefault="005546DD">
      <w:pPr>
        <w:rPr>
          <w:rFonts w:ascii="Arial" w:hAnsi="Arial" w:cs="Arial"/>
        </w:rPr>
      </w:pPr>
      <w:r>
        <w:rPr>
          <w:rFonts w:ascii="Arial" w:hAnsi="Arial" w:cs="Arial"/>
        </w:rPr>
        <w:br w:type="page"/>
      </w:r>
    </w:p>
    <w:p w14:paraId="0C677BEC" w14:textId="77777777" w:rsidR="00901665" w:rsidRDefault="00901665">
      <w:pPr>
        <w:rPr>
          <w:rFonts w:ascii="Arial" w:hAnsi="Arial" w:cs="Arial"/>
        </w:rPr>
      </w:pPr>
    </w:p>
    <w:p w14:paraId="1F853C7E" w14:textId="44F6F67B" w:rsidR="00293332" w:rsidRPr="00FB68E0" w:rsidRDefault="00293332" w:rsidP="00D049E6">
      <w:pPr>
        <w:pStyle w:val="StyleHeading3ComplexItalic"/>
        <w:tabs>
          <w:tab w:val="clear" w:pos="1985"/>
          <w:tab w:val="left" w:pos="1843"/>
        </w:tabs>
        <w:ind w:left="1843" w:hanging="1843"/>
        <w:rPr>
          <w:rStyle w:val="StyleStyleHeading3ComplexItalicLatin12ptChar"/>
          <w:rFonts w:eastAsia="SimSun"/>
        </w:rPr>
      </w:pPr>
      <w:bookmarkStart w:id="23" w:name="_Toc431221405"/>
      <w:r w:rsidRPr="00FB68E0">
        <w:rPr>
          <w:rStyle w:val="StyleStyleHeading3ComplexItalicLatin12ptChar"/>
          <w:rFonts w:eastAsia="SimSun"/>
          <w:b/>
        </w:rPr>
        <w:t>PROGRAM 1</w:t>
      </w:r>
      <w:r w:rsidRPr="005412E8">
        <w:rPr>
          <w:rStyle w:val="StyleStyleHeading3ComplexItalicLatin12ptChar"/>
          <w:rFonts w:eastAsia="SimSun"/>
          <w:b/>
        </w:rPr>
        <w:tab/>
        <w:t>PATENT LAW</w:t>
      </w:r>
      <w:bookmarkEnd w:id="0"/>
      <w:bookmarkEnd w:id="23"/>
      <w:r w:rsidRPr="00FB68E0">
        <w:rPr>
          <w:rStyle w:val="StyleStyleHeading3ComplexItalicLatin12ptChar"/>
          <w:rFonts w:eastAsia="SimSun"/>
        </w:rPr>
        <w:t xml:space="preserve"> </w:t>
      </w:r>
    </w:p>
    <w:p w14:paraId="556E5F13" w14:textId="77777777" w:rsidR="00293332" w:rsidRPr="009B4A78" w:rsidRDefault="00293332" w:rsidP="00293332">
      <w:pPr>
        <w:tabs>
          <w:tab w:val="left" w:pos="1701"/>
        </w:tabs>
        <w:ind w:left="1701" w:hanging="1701"/>
        <w:rPr>
          <w:rFonts w:ascii="Arial" w:hAnsi="Arial" w:cs="Arial"/>
          <w:bCs/>
          <w:iCs/>
          <w:sz w:val="20"/>
        </w:rPr>
      </w:pPr>
    </w:p>
    <w:p w14:paraId="064249AD" w14:textId="77777777" w:rsidR="00293332" w:rsidRPr="009B4A78" w:rsidRDefault="00293332" w:rsidP="00293332">
      <w:pPr>
        <w:rPr>
          <w:rFonts w:ascii="Arial" w:hAnsi="Arial" w:cs="Arial"/>
          <w:bCs/>
          <w:sz w:val="20"/>
        </w:rPr>
      </w:pPr>
    </w:p>
    <w:p w14:paraId="3811294C" w14:textId="77777777" w:rsidR="00293332" w:rsidRPr="009B4A78" w:rsidRDefault="00293332" w:rsidP="00293332">
      <w:pPr>
        <w:autoSpaceDE w:val="0"/>
        <w:autoSpaceDN w:val="0"/>
        <w:adjustRightInd w:val="0"/>
        <w:ind w:right="-59"/>
        <w:jc w:val="both"/>
        <w:rPr>
          <w:rFonts w:ascii="Arial" w:hAnsi="Arial" w:cs="Arial"/>
        </w:rPr>
      </w:pPr>
      <w:r w:rsidRPr="009B4A78">
        <w:rPr>
          <w:rFonts w:ascii="Arial" w:hAnsi="Arial" w:cs="Arial"/>
        </w:rPr>
        <w:t>PLANNING CONTEXT</w:t>
      </w:r>
    </w:p>
    <w:p w14:paraId="056A0BF9" w14:textId="77777777" w:rsidR="00293332" w:rsidRPr="009B4A78" w:rsidRDefault="00293332" w:rsidP="00293332">
      <w:pPr>
        <w:autoSpaceDE w:val="0"/>
        <w:autoSpaceDN w:val="0"/>
        <w:adjustRightInd w:val="0"/>
        <w:ind w:right="-59"/>
        <w:jc w:val="both"/>
        <w:rPr>
          <w:rFonts w:ascii="Arial" w:hAnsi="Arial" w:cs="Arial"/>
        </w:rPr>
      </w:pPr>
    </w:p>
    <w:p w14:paraId="7D75B0B0" w14:textId="4893A65E" w:rsidR="00745B6A" w:rsidRPr="009B4A78" w:rsidRDefault="00293332" w:rsidP="00B66A4A">
      <w:pPr>
        <w:numPr>
          <w:ilvl w:val="0"/>
          <w:numId w:val="2"/>
        </w:numPr>
        <w:jc w:val="both"/>
        <w:rPr>
          <w:rFonts w:ascii="Arial" w:hAnsi="Arial" w:cs="Arial"/>
          <w:sz w:val="20"/>
          <w:szCs w:val="20"/>
        </w:rPr>
      </w:pPr>
      <w:r w:rsidRPr="009B4A78">
        <w:rPr>
          <w:rFonts w:ascii="Arial" w:hAnsi="Arial" w:cs="Arial"/>
          <w:sz w:val="20"/>
          <w:szCs w:val="20"/>
        </w:rPr>
        <w:t xml:space="preserve">Program 1 covers issues relating to patents, utility models, layout designs (topographies) of integrated circuits and protection of confidential technical/business information (hereinafter referred to as “confidential information”). </w:t>
      </w:r>
      <w:r w:rsidR="009B0708" w:rsidRPr="009B4A78">
        <w:rPr>
          <w:rFonts w:ascii="Arial" w:hAnsi="Arial" w:cs="Arial"/>
          <w:sz w:val="20"/>
          <w:szCs w:val="20"/>
        </w:rPr>
        <w:t xml:space="preserve"> </w:t>
      </w:r>
      <w:r w:rsidRPr="009B4A78">
        <w:rPr>
          <w:rFonts w:ascii="Arial" w:hAnsi="Arial" w:cs="Arial"/>
          <w:sz w:val="20"/>
          <w:szCs w:val="20"/>
        </w:rPr>
        <w:t xml:space="preserve">Key challenges addressed by this Program include promoting multilateral solutions in a manner that the development of international patent law keeps pace with the rapidly evolving technological, economic and social environment. </w:t>
      </w:r>
      <w:r w:rsidR="009B0708" w:rsidRPr="009B4A78">
        <w:rPr>
          <w:rFonts w:ascii="Arial" w:hAnsi="Arial" w:cs="Arial"/>
          <w:sz w:val="20"/>
          <w:szCs w:val="20"/>
        </w:rPr>
        <w:t xml:space="preserve"> </w:t>
      </w:r>
      <w:r w:rsidRPr="009B4A78">
        <w:rPr>
          <w:rFonts w:ascii="Arial" w:hAnsi="Arial" w:cs="Arial"/>
          <w:sz w:val="20"/>
          <w:szCs w:val="20"/>
        </w:rPr>
        <w:t>The most important challenges anticipated for the 2016/17 biennium are as follows</w:t>
      </w:r>
      <w:r w:rsidR="00745B6A" w:rsidRPr="009B4A78">
        <w:rPr>
          <w:rFonts w:ascii="Arial" w:hAnsi="Arial" w:cs="Arial"/>
          <w:sz w:val="20"/>
          <w:szCs w:val="20"/>
        </w:rPr>
        <w:t>:</w:t>
      </w:r>
    </w:p>
    <w:p w14:paraId="270852B0" w14:textId="77777777" w:rsidR="0090584C" w:rsidRPr="009B4A78" w:rsidRDefault="0090584C" w:rsidP="008B0FB8">
      <w:pPr>
        <w:tabs>
          <w:tab w:val="left" w:pos="1134"/>
        </w:tabs>
        <w:ind w:left="1134" w:hanging="567"/>
        <w:jc w:val="both"/>
        <w:rPr>
          <w:rFonts w:ascii="Arial" w:hAnsi="Arial" w:cs="Arial"/>
          <w:sz w:val="20"/>
          <w:szCs w:val="20"/>
        </w:rPr>
      </w:pPr>
    </w:p>
    <w:p w14:paraId="0559026F" w14:textId="0595D88B" w:rsidR="0090584C" w:rsidRPr="009B4A78" w:rsidRDefault="0090584C"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w:t>
      </w:r>
      <w:r w:rsidR="00722C22" w:rsidRPr="009B4A78">
        <w:rPr>
          <w:rFonts w:ascii="Arial" w:hAnsi="Arial" w:cs="Arial"/>
          <w:sz w:val="20"/>
          <w:szCs w:val="20"/>
        </w:rPr>
        <w:t xml:space="preserve">role </w:t>
      </w:r>
      <w:r w:rsidRPr="009B4A78">
        <w:rPr>
          <w:rFonts w:ascii="Arial" w:hAnsi="Arial" w:cs="Arial"/>
          <w:sz w:val="20"/>
          <w:szCs w:val="20"/>
        </w:rPr>
        <w:t xml:space="preserve">of the patent system </w:t>
      </w:r>
      <w:r w:rsidR="00722C22" w:rsidRPr="009B4A78">
        <w:rPr>
          <w:rFonts w:ascii="Arial" w:hAnsi="Arial" w:cs="Arial"/>
          <w:sz w:val="20"/>
          <w:szCs w:val="20"/>
        </w:rPr>
        <w:t xml:space="preserve">in </w:t>
      </w:r>
      <w:r w:rsidRPr="009B4A78">
        <w:rPr>
          <w:rFonts w:ascii="Arial" w:hAnsi="Arial" w:cs="Arial"/>
          <w:sz w:val="20"/>
          <w:szCs w:val="20"/>
        </w:rPr>
        <w:t xml:space="preserve">increasingly complex and globalized </w:t>
      </w:r>
      <w:r w:rsidR="00722C22" w:rsidRPr="009B4A78">
        <w:rPr>
          <w:rFonts w:ascii="Arial" w:hAnsi="Arial" w:cs="Arial"/>
          <w:sz w:val="20"/>
          <w:szCs w:val="20"/>
        </w:rPr>
        <w:t>innovation mechanisms</w:t>
      </w:r>
      <w:r w:rsidRPr="009B4A78">
        <w:rPr>
          <w:rFonts w:ascii="Arial" w:hAnsi="Arial" w:cs="Arial"/>
          <w:sz w:val="20"/>
          <w:szCs w:val="20"/>
        </w:rPr>
        <w:t xml:space="preserve">, and different perceptions as to its role, including its benefits for society </w:t>
      </w:r>
      <w:r w:rsidR="00722C22" w:rsidRPr="009B4A78">
        <w:rPr>
          <w:rFonts w:ascii="Arial" w:hAnsi="Arial" w:cs="Arial"/>
          <w:sz w:val="20"/>
          <w:szCs w:val="20"/>
        </w:rPr>
        <w:t>at large</w:t>
      </w:r>
      <w:r w:rsidRPr="009B4A78">
        <w:rPr>
          <w:rFonts w:ascii="Arial" w:hAnsi="Arial" w:cs="Arial"/>
          <w:sz w:val="20"/>
          <w:szCs w:val="20"/>
        </w:rPr>
        <w:t>;</w:t>
      </w:r>
    </w:p>
    <w:p w14:paraId="42BEFD4B" w14:textId="77777777" w:rsidR="000442E9" w:rsidRPr="009B4A78" w:rsidRDefault="000442E9" w:rsidP="008B0FB8">
      <w:pPr>
        <w:tabs>
          <w:tab w:val="left" w:pos="1134"/>
        </w:tabs>
        <w:ind w:left="1134" w:hanging="567"/>
        <w:jc w:val="both"/>
        <w:rPr>
          <w:rFonts w:ascii="Arial" w:hAnsi="Arial" w:cs="Arial"/>
          <w:sz w:val="20"/>
          <w:szCs w:val="20"/>
        </w:rPr>
      </w:pPr>
    </w:p>
    <w:p w14:paraId="3407FD17" w14:textId="66C5A80E" w:rsidR="0090584C" w:rsidRPr="009B4A78" w:rsidRDefault="000442E9"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w:t>
      </w:r>
      <w:r w:rsidR="003D2BD8" w:rsidRPr="009B4A78">
        <w:rPr>
          <w:rFonts w:ascii="Arial" w:hAnsi="Arial" w:cs="Arial"/>
          <w:sz w:val="20"/>
          <w:szCs w:val="20"/>
        </w:rPr>
        <w:t>i</w:t>
      </w:r>
      <w:r w:rsidR="00DC5BCD" w:rsidRPr="009B4A78">
        <w:rPr>
          <w:rFonts w:ascii="Arial" w:hAnsi="Arial" w:cs="Arial"/>
          <w:sz w:val="20"/>
          <w:szCs w:val="20"/>
        </w:rPr>
        <w:t xml:space="preserve">ncreasing demand for empirical information that supports policy makers in making </w:t>
      </w:r>
      <w:r w:rsidR="0090584C" w:rsidRPr="009B4A78">
        <w:rPr>
          <w:rFonts w:ascii="Arial" w:hAnsi="Arial" w:cs="Arial"/>
          <w:sz w:val="20"/>
          <w:szCs w:val="20"/>
        </w:rPr>
        <w:t xml:space="preserve">public policy choices relating to the appropriate scope </w:t>
      </w:r>
      <w:r w:rsidR="00722C22" w:rsidRPr="009B4A78">
        <w:rPr>
          <w:rFonts w:ascii="Arial" w:hAnsi="Arial" w:cs="Arial"/>
          <w:sz w:val="20"/>
          <w:szCs w:val="20"/>
        </w:rPr>
        <w:t>and application</w:t>
      </w:r>
      <w:r w:rsidR="0090584C" w:rsidRPr="009B4A78">
        <w:rPr>
          <w:rFonts w:ascii="Arial" w:hAnsi="Arial" w:cs="Arial"/>
          <w:sz w:val="20"/>
          <w:szCs w:val="20"/>
        </w:rPr>
        <w:t xml:space="preserve"> of the patent system;</w:t>
      </w:r>
    </w:p>
    <w:p w14:paraId="318522D7" w14:textId="77777777" w:rsidR="0090584C" w:rsidRPr="009B4A78" w:rsidRDefault="0090584C" w:rsidP="008B0FB8">
      <w:pPr>
        <w:tabs>
          <w:tab w:val="left" w:pos="1134"/>
        </w:tabs>
        <w:ind w:left="1134" w:hanging="567"/>
        <w:jc w:val="both"/>
        <w:rPr>
          <w:rFonts w:ascii="Arial" w:hAnsi="Arial" w:cs="Arial"/>
          <w:sz w:val="20"/>
          <w:szCs w:val="20"/>
        </w:rPr>
      </w:pPr>
    </w:p>
    <w:p w14:paraId="5B965085" w14:textId="3360C278" w:rsidR="0090584C" w:rsidRPr="009B4A78" w:rsidRDefault="00722C22"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M</w:t>
      </w:r>
      <w:r w:rsidR="00DC5BCD" w:rsidRPr="009B4A78">
        <w:rPr>
          <w:rFonts w:ascii="Arial" w:hAnsi="Arial" w:cs="Arial"/>
          <w:sz w:val="20"/>
          <w:szCs w:val="20"/>
        </w:rPr>
        <w:t>ore targeted</w:t>
      </w:r>
      <w:r w:rsidR="0090584C" w:rsidRPr="009B4A78">
        <w:rPr>
          <w:rFonts w:ascii="Arial" w:hAnsi="Arial" w:cs="Arial"/>
          <w:sz w:val="20"/>
          <w:szCs w:val="20"/>
        </w:rPr>
        <w:t xml:space="preserve"> information about the role, impact and implementation of </w:t>
      </w:r>
      <w:r w:rsidRPr="009B4A78">
        <w:rPr>
          <w:rFonts w:ascii="Arial" w:hAnsi="Arial" w:cs="Arial"/>
          <w:sz w:val="20"/>
          <w:szCs w:val="20"/>
        </w:rPr>
        <w:t>the international</w:t>
      </w:r>
      <w:r w:rsidR="0090584C" w:rsidRPr="009B4A78">
        <w:rPr>
          <w:rFonts w:ascii="Arial" w:hAnsi="Arial" w:cs="Arial"/>
          <w:sz w:val="20"/>
          <w:szCs w:val="20"/>
        </w:rPr>
        <w:t xml:space="preserve"> patent system, including flexibilities, in both multilateral fora and </w:t>
      </w:r>
      <w:r w:rsidRPr="009B4A78">
        <w:rPr>
          <w:rFonts w:ascii="Arial" w:hAnsi="Arial" w:cs="Arial"/>
          <w:sz w:val="20"/>
          <w:szCs w:val="20"/>
        </w:rPr>
        <w:t>through legislative</w:t>
      </w:r>
      <w:r w:rsidR="0090584C" w:rsidRPr="009B4A78">
        <w:rPr>
          <w:rFonts w:ascii="Arial" w:hAnsi="Arial" w:cs="Arial"/>
          <w:sz w:val="20"/>
          <w:szCs w:val="20"/>
        </w:rPr>
        <w:t xml:space="preserve"> and policy advice to Member States;</w:t>
      </w:r>
    </w:p>
    <w:p w14:paraId="309BE3EC" w14:textId="77777777" w:rsidR="0090584C" w:rsidRPr="009B4A78" w:rsidRDefault="0090584C" w:rsidP="008B0FB8">
      <w:pPr>
        <w:tabs>
          <w:tab w:val="left" w:pos="1134"/>
        </w:tabs>
        <w:ind w:left="1134" w:hanging="567"/>
        <w:jc w:val="both"/>
        <w:rPr>
          <w:rFonts w:ascii="Arial" w:hAnsi="Arial" w:cs="Arial"/>
          <w:sz w:val="20"/>
          <w:szCs w:val="20"/>
        </w:rPr>
      </w:pPr>
    </w:p>
    <w:p w14:paraId="678393E6" w14:textId="598F71CB" w:rsidR="0090584C" w:rsidRPr="009B4A78" w:rsidRDefault="0090584C"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increasing demand for legislative and policy </w:t>
      </w:r>
      <w:r w:rsidR="00722C22" w:rsidRPr="009B4A78">
        <w:rPr>
          <w:rFonts w:ascii="Arial" w:hAnsi="Arial" w:cs="Arial"/>
          <w:sz w:val="20"/>
          <w:szCs w:val="20"/>
        </w:rPr>
        <w:t xml:space="preserve">advice </w:t>
      </w:r>
      <w:r w:rsidRPr="009B4A78">
        <w:rPr>
          <w:rFonts w:ascii="Arial" w:hAnsi="Arial" w:cs="Arial"/>
          <w:sz w:val="20"/>
          <w:szCs w:val="20"/>
        </w:rPr>
        <w:t>to Member States;</w:t>
      </w:r>
    </w:p>
    <w:p w14:paraId="3DCDBD1D" w14:textId="77777777" w:rsidR="0090584C" w:rsidRPr="009B4A78" w:rsidRDefault="0090584C" w:rsidP="008B0FB8">
      <w:pPr>
        <w:tabs>
          <w:tab w:val="left" w:pos="1134"/>
        </w:tabs>
        <w:ind w:left="1134" w:hanging="567"/>
        <w:jc w:val="both"/>
        <w:rPr>
          <w:rFonts w:ascii="Arial" w:hAnsi="Arial" w:cs="Arial"/>
          <w:sz w:val="20"/>
          <w:szCs w:val="20"/>
        </w:rPr>
      </w:pPr>
    </w:p>
    <w:p w14:paraId="18DCE438" w14:textId="6E9BC559" w:rsidR="003D2BD8" w:rsidRPr="009B4A78" w:rsidRDefault="003D2BD8"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Against the backdrop of the increasing use of the patent system, the need to address effectiveness, efficiency and quality of patent administration work that supports the objectives of the patent system;</w:t>
      </w:r>
    </w:p>
    <w:p w14:paraId="6D2BF449" w14:textId="77777777" w:rsidR="003D2BD8" w:rsidRPr="009B4A78" w:rsidRDefault="003D2BD8" w:rsidP="008B0FB8">
      <w:pPr>
        <w:tabs>
          <w:tab w:val="left" w:pos="1134"/>
        </w:tabs>
        <w:ind w:left="1134" w:hanging="567"/>
        <w:jc w:val="both"/>
        <w:rPr>
          <w:rFonts w:ascii="Arial" w:hAnsi="Arial" w:cs="Arial"/>
          <w:sz w:val="20"/>
          <w:szCs w:val="20"/>
        </w:rPr>
      </w:pPr>
    </w:p>
    <w:p w14:paraId="332D7C7A" w14:textId="31DF5300" w:rsidR="0090584C" w:rsidRPr="009B4A78" w:rsidRDefault="0090584C" w:rsidP="00B66A4A">
      <w:pPr>
        <w:pStyle w:val="ListParagraph"/>
        <w:numPr>
          <w:ilvl w:val="1"/>
          <w:numId w:val="1"/>
        </w:numPr>
        <w:tabs>
          <w:tab w:val="left" w:pos="1134"/>
        </w:tabs>
        <w:ind w:left="1134" w:hanging="567"/>
        <w:rPr>
          <w:rFonts w:ascii="Arial" w:hAnsi="Arial" w:cs="Arial"/>
          <w:sz w:val="20"/>
          <w:szCs w:val="20"/>
        </w:rPr>
      </w:pPr>
      <w:r w:rsidRPr="009B4A78">
        <w:rPr>
          <w:rFonts w:ascii="Arial" w:hAnsi="Arial" w:cs="Arial"/>
          <w:sz w:val="20"/>
          <w:szCs w:val="20"/>
        </w:rPr>
        <w:t>Insufficient capacities for preparing, filing, and prosecuting patent applications;</w:t>
      </w:r>
    </w:p>
    <w:p w14:paraId="5B96CDBB" w14:textId="77777777" w:rsidR="0048141E" w:rsidRPr="009B4A78" w:rsidRDefault="0048141E" w:rsidP="008B0FB8">
      <w:pPr>
        <w:tabs>
          <w:tab w:val="left" w:pos="1134"/>
        </w:tabs>
        <w:ind w:left="1134" w:hanging="567"/>
        <w:jc w:val="both"/>
        <w:rPr>
          <w:rFonts w:ascii="Arial" w:hAnsi="Arial" w:cs="Arial"/>
          <w:sz w:val="20"/>
          <w:szCs w:val="20"/>
        </w:rPr>
      </w:pPr>
    </w:p>
    <w:p w14:paraId="435F5720" w14:textId="5A17673E" w:rsidR="0090584C" w:rsidRPr="009B4A78" w:rsidRDefault="003D2BD8"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As a consequence </w:t>
      </w:r>
      <w:r w:rsidR="0048141E" w:rsidRPr="009B4A78">
        <w:rPr>
          <w:rFonts w:ascii="Arial" w:hAnsi="Arial" w:cs="Arial"/>
          <w:sz w:val="20"/>
          <w:szCs w:val="20"/>
        </w:rPr>
        <w:t>of</w:t>
      </w:r>
      <w:r w:rsidRPr="009B4A78">
        <w:rPr>
          <w:rFonts w:ascii="Arial" w:hAnsi="Arial" w:cs="Arial"/>
          <w:sz w:val="20"/>
          <w:szCs w:val="20"/>
        </w:rPr>
        <w:t xml:space="preserve"> the better appreciation of the complexity of knowledge transfer mechanisms, the</w:t>
      </w:r>
      <w:r w:rsidR="0090584C" w:rsidRPr="009B4A78">
        <w:rPr>
          <w:rFonts w:ascii="Arial" w:hAnsi="Arial" w:cs="Arial"/>
          <w:sz w:val="20"/>
          <w:szCs w:val="20"/>
        </w:rPr>
        <w:t xml:space="preserve"> need to address patent law in the context of other closely related categories </w:t>
      </w:r>
      <w:r w:rsidR="00722C22" w:rsidRPr="009B4A78">
        <w:rPr>
          <w:rFonts w:ascii="Arial" w:hAnsi="Arial" w:cs="Arial"/>
          <w:sz w:val="20"/>
          <w:szCs w:val="20"/>
        </w:rPr>
        <w:t xml:space="preserve">of </w:t>
      </w:r>
      <w:r w:rsidR="00722EEB" w:rsidRPr="009B4A78">
        <w:rPr>
          <w:rFonts w:ascii="Arial" w:hAnsi="Arial" w:cs="Arial"/>
          <w:sz w:val="20"/>
          <w:szCs w:val="20"/>
        </w:rPr>
        <w:t>IP</w:t>
      </w:r>
      <w:r w:rsidR="0090584C" w:rsidRPr="009B4A78">
        <w:rPr>
          <w:rFonts w:ascii="Arial" w:hAnsi="Arial" w:cs="Arial"/>
          <w:sz w:val="20"/>
          <w:szCs w:val="20"/>
        </w:rPr>
        <w:t xml:space="preserve">, such as </w:t>
      </w:r>
      <w:r w:rsidRPr="009B4A78">
        <w:rPr>
          <w:rFonts w:ascii="Arial" w:hAnsi="Arial" w:cs="Arial"/>
          <w:sz w:val="20"/>
          <w:szCs w:val="20"/>
        </w:rPr>
        <w:t xml:space="preserve">protection of </w:t>
      </w:r>
      <w:r w:rsidR="00CB4716">
        <w:rPr>
          <w:rFonts w:ascii="Arial" w:hAnsi="Arial" w:cs="Arial"/>
          <w:sz w:val="20"/>
          <w:szCs w:val="20"/>
        </w:rPr>
        <w:t xml:space="preserve">utility models, layout designs (topographies) of integrated circuits and </w:t>
      </w:r>
      <w:r w:rsidRPr="009B4A78">
        <w:rPr>
          <w:rFonts w:ascii="Arial" w:hAnsi="Arial" w:cs="Arial"/>
          <w:sz w:val="20"/>
          <w:szCs w:val="20"/>
        </w:rPr>
        <w:t xml:space="preserve">confidential </w:t>
      </w:r>
      <w:r w:rsidR="0048141E" w:rsidRPr="009B4A78">
        <w:rPr>
          <w:rFonts w:ascii="Arial" w:hAnsi="Arial" w:cs="Arial"/>
          <w:sz w:val="20"/>
          <w:szCs w:val="20"/>
        </w:rPr>
        <w:t>information;</w:t>
      </w:r>
      <w:r w:rsidR="000F5A12" w:rsidRPr="009B4A78">
        <w:rPr>
          <w:rFonts w:ascii="Arial" w:hAnsi="Arial" w:cs="Arial"/>
          <w:sz w:val="20"/>
          <w:szCs w:val="20"/>
        </w:rPr>
        <w:t xml:space="preserve"> and</w:t>
      </w:r>
    </w:p>
    <w:p w14:paraId="3B9E3873" w14:textId="77777777" w:rsidR="0090584C" w:rsidRPr="009B4A78" w:rsidRDefault="0090584C" w:rsidP="008B0FB8">
      <w:pPr>
        <w:tabs>
          <w:tab w:val="left" w:pos="1134"/>
        </w:tabs>
        <w:ind w:left="1134" w:hanging="567"/>
        <w:jc w:val="both"/>
        <w:rPr>
          <w:rFonts w:ascii="Arial" w:hAnsi="Arial" w:cs="Arial"/>
          <w:sz w:val="20"/>
          <w:szCs w:val="20"/>
        </w:rPr>
      </w:pPr>
    </w:p>
    <w:p w14:paraId="3FE854BE" w14:textId="41819119" w:rsidR="00745B6A" w:rsidRPr="009B4A78" w:rsidRDefault="0048141E"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Keeping </w:t>
      </w:r>
      <w:r w:rsidR="00745B6A" w:rsidRPr="009B4A78">
        <w:rPr>
          <w:rFonts w:ascii="Arial" w:hAnsi="Arial" w:cs="Arial"/>
          <w:sz w:val="20"/>
          <w:szCs w:val="20"/>
        </w:rPr>
        <w:t xml:space="preserve">pace </w:t>
      </w:r>
      <w:r w:rsidRPr="009B4A78">
        <w:rPr>
          <w:rFonts w:ascii="Arial" w:hAnsi="Arial" w:cs="Arial"/>
          <w:sz w:val="20"/>
          <w:szCs w:val="20"/>
        </w:rPr>
        <w:t xml:space="preserve">with </w:t>
      </w:r>
      <w:r w:rsidR="00745B6A" w:rsidRPr="009B4A78">
        <w:rPr>
          <w:rFonts w:ascii="Arial" w:hAnsi="Arial" w:cs="Arial"/>
          <w:sz w:val="20"/>
          <w:szCs w:val="20"/>
        </w:rPr>
        <w:t xml:space="preserve">technological </w:t>
      </w:r>
      <w:r w:rsidRPr="009B4A78">
        <w:rPr>
          <w:rFonts w:ascii="Arial" w:hAnsi="Arial" w:cs="Arial"/>
          <w:sz w:val="20"/>
          <w:szCs w:val="20"/>
        </w:rPr>
        <w:t xml:space="preserve">developments to understand what, if any, actions may be needed to address the </w:t>
      </w:r>
      <w:r w:rsidR="00722C22" w:rsidRPr="009B4A78">
        <w:rPr>
          <w:rFonts w:ascii="Arial" w:hAnsi="Arial" w:cs="Arial"/>
          <w:sz w:val="20"/>
          <w:szCs w:val="20"/>
        </w:rPr>
        <w:t>developments at</w:t>
      </w:r>
      <w:r w:rsidR="00707DCE" w:rsidRPr="009B4A78">
        <w:rPr>
          <w:rFonts w:ascii="Arial" w:hAnsi="Arial" w:cs="Arial"/>
          <w:sz w:val="20"/>
          <w:szCs w:val="20"/>
        </w:rPr>
        <w:t xml:space="preserve"> the international level, taking into account various needs of countries at different level of development while respecting their international obligations</w:t>
      </w:r>
      <w:r w:rsidR="000F5A12" w:rsidRPr="009B4A78">
        <w:rPr>
          <w:rFonts w:ascii="Arial" w:hAnsi="Arial" w:cs="Arial"/>
          <w:sz w:val="20"/>
          <w:szCs w:val="20"/>
        </w:rPr>
        <w:t>.</w:t>
      </w:r>
    </w:p>
    <w:p w14:paraId="4F07C302" w14:textId="77777777" w:rsidR="0090584C" w:rsidRPr="009B4A78" w:rsidRDefault="0090584C" w:rsidP="00293332">
      <w:pPr>
        <w:ind w:left="1134" w:hanging="567"/>
        <w:jc w:val="both"/>
        <w:rPr>
          <w:rFonts w:ascii="Arial" w:hAnsi="Arial" w:cs="Arial"/>
        </w:rPr>
      </w:pPr>
    </w:p>
    <w:p w14:paraId="0B591030" w14:textId="77777777" w:rsidR="0090584C" w:rsidRPr="009B4A78" w:rsidRDefault="0090584C" w:rsidP="00293332">
      <w:pPr>
        <w:ind w:left="1134" w:hanging="567"/>
        <w:jc w:val="both"/>
        <w:rPr>
          <w:rFonts w:ascii="Arial" w:hAnsi="Arial" w:cs="Arial"/>
        </w:rPr>
      </w:pPr>
    </w:p>
    <w:p w14:paraId="72CEB356" w14:textId="77777777" w:rsidR="00745B6A" w:rsidRPr="009B4A78" w:rsidRDefault="00745B6A" w:rsidP="003C1247">
      <w:pPr>
        <w:jc w:val="both"/>
        <w:rPr>
          <w:rFonts w:ascii="Arial" w:hAnsi="Arial" w:cs="Arial"/>
        </w:rPr>
      </w:pPr>
      <w:r w:rsidRPr="009B4A78">
        <w:rPr>
          <w:rFonts w:ascii="Arial" w:hAnsi="Arial" w:cs="Arial"/>
        </w:rPr>
        <w:t>IMPLEMENTATION STRATEGIES</w:t>
      </w:r>
    </w:p>
    <w:p w14:paraId="7EC2E964" w14:textId="77777777" w:rsidR="00745B6A" w:rsidRPr="009B4A78" w:rsidRDefault="00745B6A" w:rsidP="003C1247">
      <w:pPr>
        <w:jc w:val="both"/>
        <w:rPr>
          <w:rFonts w:ascii="Arial" w:hAnsi="Arial" w:cs="Arial"/>
        </w:rPr>
      </w:pPr>
    </w:p>
    <w:p w14:paraId="1680AAF9" w14:textId="47749880" w:rsidR="00745B6A" w:rsidRPr="009B4A78" w:rsidRDefault="00433AA7" w:rsidP="00B66A4A">
      <w:pPr>
        <w:numPr>
          <w:ilvl w:val="0"/>
          <w:numId w:val="2"/>
        </w:numPr>
        <w:jc w:val="both"/>
        <w:rPr>
          <w:rFonts w:ascii="Arial" w:hAnsi="Arial" w:cs="Arial"/>
          <w:sz w:val="20"/>
          <w:szCs w:val="20"/>
        </w:rPr>
      </w:pPr>
      <w:r w:rsidRPr="009B4A78">
        <w:rPr>
          <w:rFonts w:ascii="Arial" w:hAnsi="Arial" w:cs="Arial"/>
          <w:sz w:val="20"/>
          <w:szCs w:val="20"/>
        </w:rPr>
        <w:t xml:space="preserve">The work of the Standing Committee on the Law of Patents (SCP) has been stalled because of the absence of agreement among Member States. </w:t>
      </w:r>
      <w:r w:rsidR="00745B6A" w:rsidRPr="009B4A78">
        <w:rPr>
          <w:rFonts w:ascii="Arial" w:hAnsi="Arial" w:cs="Arial"/>
          <w:sz w:val="20"/>
          <w:szCs w:val="20"/>
        </w:rPr>
        <w:t xml:space="preserve">As the normative process is Member State driven, the Program will focus its efforts on </w:t>
      </w:r>
      <w:r w:rsidR="00722C22" w:rsidRPr="009B4A78">
        <w:rPr>
          <w:rFonts w:ascii="Arial" w:hAnsi="Arial" w:cs="Arial"/>
          <w:sz w:val="20"/>
          <w:szCs w:val="20"/>
        </w:rPr>
        <w:t>providing reliable</w:t>
      </w:r>
      <w:r w:rsidR="00745B6A" w:rsidRPr="009B4A78">
        <w:rPr>
          <w:rFonts w:ascii="Arial" w:hAnsi="Arial" w:cs="Arial"/>
          <w:sz w:val="20"/>
          <w:szCs w:val="20"/>
        </w:rPr>
        <w:t xml:space="preserve"> information and supporting an environment conducive to engagement and dialogue </w:t>
      </w:r>
      <w:r w:rsidR="00722C22" w:rsidRPr="009B4A78">
        <w:rPr>
          <w:rFonts w:ascii="Arial" w:hAnsi="Arial" w:cs="Arial"/>
          <w:sz w:val="20"/>
          <w:szCs w:val="20"/>
        </w:rPr>
        <w:t>among Member</w:t>
      </w:r>
      <w:r w:rsidR="00745B6A" w:rsidRPr="009B4A78">
        <w:rPr>
          <w:rFonts w:ascii="Arial" w:hAnsi="Arial" w:cs="Arial"/>
          <w:sz w:val="20"/>
          <w:szCs w:val="20"/>
        </w:rPr>
        <w:t xml:space="preserve"> States regarding areas of common interest. </w:t>
      </w:r>
      <w:r w:rsidR="00C04245" w:rsidRPr="009B4A78">
        <w:rPr>
          <w:rFonts w:ascii="Arial" w:hAnsi="Arial" w:cs="Arial"/>
          <w:sz w:val="20"/>
          <w:szCs w:val="20"/>
        </w:rPr>
        <w:t>The Secretariat will also</w:t>
      </w:r>
      <w:r w:rsidR="00646618" w:rsidRPr="009B4A78">
        <w:rPr>
          <w:rFonts w:ascii="Arial" w:hAnsi="Arial" w:cs="Arial"/>
          <w:sz w:val="20"/>
          <w:szCs w:val="20"/>
        </w:rPr>
        <w:t xml:space="preserve"> endeavor</w:t>
      </w:r>
      <w:r w:rsidR="00C04245" w:rsidRPr="009B4A78">
        <w:rPr>
          <w:rFonts w:ascii="Arial" w:hAnsi="Arial" w:cs="Arial"/>
          <w:sz w:val="20"/>
          <w:szCs w:val="20"/>
        </w:rPr>
        <w:t xml:space="preserve"> to assist the Member States to conduct</w:t>
      </w:r>
      <w:r w:rsidR="00646618" w:rsidRPr="009B4A78">
        <w:rPr>
          <w:rFonts w:ascii="Arial" w:hAnsi="Arial" w:cs="Arial"/>
          <w:sz w:val="20"/>
          <w:szCs w:val="20"/>
        </w:rPr>
        <w:t xml:space="preserve"> more efficient meetings</w:t>
      </w:r>
      <w:r w:rsidR="00C32EC8" w:rsidRPr="009B4A78">
        <w:rPr>
          <w:rFonts w:ascii="Arial" w:hAnsi="Arial" w:cs="Arial"/>
          <w:sz w:val="20"/>
          <w:szCs w:val="20"/>
        </w:rPr>
        <w:t xml:space="preserve">, with outputs </w:t>
      </w:r>
      <w:r w:rsidR="001A5ED9" w:rsidRPr="009B4A78">
        <w:rPr>
          <w:rFonts w:ascii="Arial" w:hAnsi="Arial" w:cs="Arial"/>
          <w:sz w:val="20"/>
          <w:szCs w:val="20"/>
        </w:rPr>
        <w:t>of the SCP</w:t>
      </w:r>
      <w:r w:rsidR="00C32EC8" w:rsidRPr="009B4A78">
        <w:rPr>
          <w:rFonts w:ascii="Arial" w:hAnsi="Arial" w:cs="Arial"/>
          <w:sz w:val="20"/>
          <w:szCs w:val="20"/>
        </w:rPr>
        <w:t xml:space="preserve"> better corresponding to </w:t>
      </w:r>
      <w:r w:rsidR="000F5A12" w:rsidRPr="009B4A78">
        <w:rPr>
          <w:rFonts w:ascii="Arial" w:hAnsi="Arial" w:cs="Arial"/>
          <w:sz w:val="20"/>
          <w:szCs w:val="20"/>
        </w:rPr>
        <w:t xml:space="preserve">the </w:t>
      </w:r>
      <w:r w:rsidR="00C32EC8" w:rsidRPr="009B4A78">
        <w:rPr>
          <w:rFonts w:ascii="Arial" w:hAnsi="Arial" w:cs="Arial"/>
          <w:sz w:val="20"/>
          <w:szCs w:val="20"/>
        </w:rPr>
        <w:t>inputs.</w:t>
      </w:r>
      <w:r w:rsidR="00646618" w:rsidRPr="009B4A78">
        <w:rPr>
          <w:rFonts w:ascii="Arial" w:hAnsi="Arial" w:cs="Arial"/>
          <w:sz w:val="20"/>
          <w:szCs w:val="20"/>
        </w:rPr>
        <w:t xml:space="preserve"> </w:t>
      </w:r>
      <w:r w:rsidR="009B0708" w:rsidRPr="009B4A78">
        <w:rPr>
          <w:rFonts w:ascii="Arial" w:hAnsi="Arial" w:cs="Arial"/>
          <w:sz w:val="20"/>
          <w:szCs w:val="20"/>
        </w:rPr>
        <w:t xml:space="preserve"> </w:t>
      </w:r>
      <w:r w:rsidR="00745B6A" w:rsidRPr="009B4A78">
        <w:rPr>
          <w:rFonts w:ascii="Arial" w:hAnsi="Arial" w:cs="Arial"/>
          <w:sz w:val="20"/>
          <w:szCs w:val="20"/>
        </w:rPr>
        <w:t xml:space="preserve">The Program will continue to improve </w:t>
      </w:r>
      <w:r w:rsidR="00722C22" w:rsidRPr="009B4A78">
        <w:rPr>
          <w:rFonts w:ascii="Arial" w:hAnsi="Arial" w:cs="Arial"/>
          <w:sz w:val="20"/>
          <w:szCs w:val="20"/>
        </w:rPr>
        <w:t>its responsiveness</w:t>
      </w:r>
      <w:r w:rsidR="00745B6A" w:rsidRPr="009B4A78">
        <w:rPr>
          <w:rFonts w:ascii="Arial" w:hAnsi="Arial" w:cs="Arial"/>
          <w:sz w:val="20"/>
          <w:szCs w:val="20"/>
        </w:rPr>
        <w:t xml:space="preserve"> and efficiency in legislative and policy assistance. </w:t>
      </w:r>
      <w:r w:rsidR="009B0708" w:rsidRPr="009B4A78">
        <w:rPr>
          <w:rFonts w:ascii="Arial" w:hAnsi="Arial" w:cs="Arial"/>
          <w:sz w:val="20"/>
          <w:szCs w:val="20"/>
        </w:rPr>
        <w:t xml:space="preserve"> </w:t>
      </w:r>
      <w:r w:rsidR="00745B6A" w:rsidRPr="009B4A78">
        <w:rPr>
          <w:rFonts w:ascii="Arial" w:hAnsi="Arial" w:cs="Arial"/>
          <w:sz w:val="20"/>
          <w:szCs w:val="20"/>
        </w:rPr>
        <w:t xml:space="preserve">The relevant DA </w:t>
      </w:r>
      <w:r w:rsidR="00722C22" w:rsidRPr="009B4A78">
        <w:rPr>
          <w:rFonts w:ascii="Arial" w:hAnsi="Arial" w:cs="Arial"/>
          <w:sz w:val="20"/>
          <w:szCs w:val="20"/>
        </w:rPr>
        <w:t>recommendations will</w:t>
      </w:r>
      <w:r w:rsidR="00745B6A" w:rsidRPr="009B4A78">
        <w:rPr>
          <w:rFonts w:ascii="Arial" w:hAnsi="Arial" w:cs="Arial"/>
          <w:sz w:val="20"/>
          <w:szCs w:val="20"/>
        </w:rPr>
        <w:t xml:space="preserve"> be taken into account in the context of </w:t>
      </w:r>
      <w:r w:rsidR="00F43622" w:rsidRPr="009B4A78">
        <w:rPr>
          <w:rFonts w:ascii="Arial" w:hAnsi="Arial" w:cs="Arial"/>
          <w:sz w:val="20"/>
          <w:szCs w:val="20"/>
        </w:rPr>
        <w:t>the</w:t>
      </w:r>
      <w:r w:rsidR="00745B6A" w:rsidRPr="009B4A78">
        <w:rPr>
          <w:rFonts w:ascii="Arial" w:hAnsi="Arial" w:cs="Arial"/>
          <w:sz w:val="20"/>
          <w:szCs w:val="20"/>
        </w:rPr>
        <w:t xml:space="preserve"> activities of this Program during the biennium. </w:t>
      </w:r>
      <w:r w:rsidR="00722C22" w:rsidRPr="009B4A78">
        <w:rPr>
          <w:rFonts w:ascii="Arial" w:hAnsi="Arial" w:cs="Arial"/>
          <w:sz w:val="20"/>
          <w:szCs w:val="20"/>
        </w:rPr>
        <w:t>In particular</w:t>
      </w:r>
      <w:r w:rsidR="00745B6A" w:rsidRPr="009B4A78">
        <w:rPr>
          <w:rFonts w:ascii="Arial" w:hAnsi="Arial" w:cs="Arial"/>
          <w:sz w:val="20"/>
          <w:szCs w:val="20"/>
        </w:rPr>
        <w:t>, provision of patent-related information and legislative advice fully take</w:t>
      </w:r>
      <w:r w:rsidR="00520134" w:rsidRPr="009B4A78">
        <w:rPr>
          <w:rFonts w:ascii="Arial" w:hAnsi="Arial" w:cs="Arial"/>
          <w:sz w:val="20"/>
          <w:szCs w:val="20"/>
        </w:rPr>
        <w:t>s</w:t>
      </w:r>
      <w:r w:rsidR="00745B6A" w:rsidRPr="009B4A78">
        <w:rPr>
          <w:rFonts w:ascii="Arial" w:hAnsi="Arial" w:cs="Arial"/>
          <w:sz w:val="20"/>
          <w:szCs w:val="20"/>
        </w:rPr>
        <w:t xml:space="preserve"> into </w:t>
      </w:r>
      <w:r w:rsidR="00722C22" w:rsidRPr="009B4A78">
        <w:rPr>
          <w:rFonts w:ascii="Arial" w:hAnsi="Arial" w:cs="Arial"/>
          <w:sz w:val="20"/>
          <w:szCs w:val="20"/>
        </w:rPr>
        <w:t xml:space="preserve">account </w:t>
      </w:r>
      <w:r w:rsidR="00E646FF" w:rsidRPr="009B4A78">
        <w:rPr>
          <w:rFonts w:ascii="Arial" w:hAnsi="Arial" w:cs="Arial"/>
          <w:sz w:val="20"/>
          <w:szCs w:val="20"/>
        </w:rPr>
        <w:t xml:space="preserve">the relevant DA </w:t>
      </w:r>
      <w:r w:rsidR="00722C22" w:rsidRPr="009B4A78">
        <w:rPr>
          <w:rFonts w:ascii="Arial" w:hAnsi="Arial" w:cs="Arial"/>
          <w:sz w:val="20"/>
          <w:szCs w:val="20"/>
        </w:rPr>
        <w:t>Recommendations</w:t>
      </w:r>
      <w:r w:rsidR="00745B6A" w:rsidRPr="009B4A78">
        <w:rPr>
          <w:rFonts w:ascii="Arial" w:hAnsi="Arial" w:cs="Arial"/>
          <w:sz w:val="20"/>
          <w:szCs w:val="20"/>
        </w:rPr>
        <w:t xml:space="preserve"> thus supporting the DA objectives of “evidence-</w:t>
      </w:r>
      <w:r w:rsidR="00722C22" w:rsidRPr="009B4A78">
        <w:rPr>
          <w:rFonts w:ascii="Arial" w:hAnsi="Arial" w:cs="Arial"/>
          <w:sz w:val="20"/>
          <w:szCs w:val="20"/>
        </w:rPr>
        <w:t>based international</w:t>
      </w:r>
      <w:r w:rsidR="00745B6A" w:rsidRPr="009B4A78">
        <w:rPr>
          <w:rFonts w:ascii="Arial" w:hAnsi="Arial" w:cs="Arial"/>
          <w:sz w:val="20"/>
          <w:szCs w:val="20"/>
        </w:rPr>
        <w:t xml:space="preserve"> and national policy and decision making on IP” and “national and international IP</w:t>
      </w:r>
      <w:r w:rsidR="00722C22" w:rsidRPr="009B4A78">
        <w:rPr>
          <w:rFonts w:ascii="Arial" w:hAnsi="Arial" w:cs="Arial"/>
          <w:sz w:val="20"/>
          <w:szCs w:val="20"/>
        </w:rPr>
        <w:t xml:space="preserve"> </w:t>
      </w:r>
      <w:r w:rsidR="00745B6A" w:rsidRPr="009B4A78">
        <w:rPr>
          <w:rFonts w:ascii="Arial" w:hAnsi="Arial" w:cs="Arial"/>
          <w:sz w:val="20"/>
          <w:szCs w:val="20"/>
        </w:rPr>
        <w:t>regulatory frameworks that promote creativity and innovation and reflect the level of development of</w:t>
      </w:r>
      <w:r w:rsidR="00722C22" w:rsidRPr="009B4A78">
        <w:rPr>
          <w:rFonts w:ascii="Arial" w:hAnsi="Arial" w:cs="Arial"/>
          <w:sz w:val="20"/>
          <w:szCs w:val="20"/>
        </w:rPr>
        <w:t xml:space="preserve"> </w:t>
      </w:r>
      <w:r w:rsidR="00745B6A" w:rsidRPr="009B4A78">
        <w:rPr>
          <w:rFonts w:ascii="Arial" w:hAnsi="Arial" w:cs="Arial"/>
          <w:sz w:val="20"/>
          <w:szCs w:val="20"/>
        </w:rPr>
        <w:t xml:space="preserve">the different WIPO member States”. </w:t>
      </w:r>
      <w:r w:rsidR="009B0708" w:rsidRPr="009B4A78">
        <w:rPr>
          <w:rFonts w:ascii="Arial" w:hAnsi="Arial" w:cs="Arial"/>
          <w:sz w:val="20"/>
          <w:szCs w:val="20"/>
        </w:rPr>
        <w:t xml:space="preserve"> </w:t>
      </w:r>
      <w:r w:rsidR="00745B6A" w:rsidRPr="009B4A78">
        <w:rPr>
          <w:rFonts w:ascii="Arial" w:hAnsi="Arial" w:cs="Arial"/>
          <w:sz w:val="20"/>
          <w:szCs w:val="20"/>
        </w:rPr>
        <w:t xml:space="preserve">In addition, the </w:t>
      </w:r>
      <w:r w:rsidR="00722C22" w:rsidRPr="009B4A78">
        <w:rPr>
          <w:rFonts w:ascii="Arial" w:hAnsi="Arial" w:cs="Arial"/>
          <w:sz w:val="20"/>
          <w:szCs w:val="20"/>
        </w:rPr>
        <w:t>work undertaken</w:t>
      </w:r>
      <w:r w:rsidR="00745B6A" w:rsidRPr="009B4A78">
        <w:rPr>
          <w:rFonts w:ascii="Arial" w:hAnsi="Arial" w:cs="Arial"/>
          <w:sz w:val="20"/>
          <w:szCs w:val="20"/>
        </w:rPr>
        <w:t xml:space="preserve"> under the completed DA projects</w:t>
      </w:r>
      <w:r w:rsidR="00520134" w:rsidRPr="009B4A78">
        <w:rPr>
          <w:rFonts w:ascii="Arial" w:hAnsi="Arial" w:cs="Arial"/>
          <w:sz w:val="20"/>
          <w:szCs w:val="20"/>
        </w:rPr>
        <w:t>, in particular,</w:t>
      </w:r>
      <w:r w:rsidR="00745B6A" w:rsidRPr="009B4A78">
        <w:rPr>
          <w:rFonts w:ascii="Arial" w:hAnsi="Arial" w:cs="Arial"/>
          <w:sz w:val="20"/>
          <w:szCs w:val="20"/>
        </w:rPr>
        <w:t xml:space="preserve"> IP and the Public Domain</w:t>
      </w:r>
      <w:r w:rsidR="006412DA" w:rsidRPr="009B4A78">
        <w:rPr>
          <w:rFonts w:ascii="Arial" w:hAnsi="Arial" w:cs="Arial"/>
          <w:sz w:val="20"/>
          <w:szCs w:val="20"/>
        </w:rPr>
        <w:t>,</w:t>
      </w:r>
      <w:r w:rsidR="00745B6A" w:rsidRPr="009B4A78">
        <w:rPr>
          <w:rFonts w:ascii="Arial" w:hAnsi="Arial" w:cs="Arial"/>
          <w:sz w:val="20"/>
          <w:szCs w:val="20"/>
        </w:rPr>
        <w:t xml:space="preserve"> and Patents and </w:t>
      </w:r>
      <w:r w:rsidR="00722C22" w:rsidRPr="009B4A78">
        <w:rPr>
          <w:rFonts w:ascii="Arial" w:hAnsi="Arial" w:cs="Arial"/>
          <w:sz w:val="20"/>
          <w:szCs w:val="20"/>
        </w:rPr>
        <w:t>the Public</w:t>
      </w:r>
      <w:r w:rsidR="00745B6A" w:rsidRPr="009B4A78">
        <w:rPr>
          <w:rFonts w:ascii="Arial" w:hAnsi="Arial" w:cs="Arial"/>
          <w:sz w:val="20"/>
          <w:szCs w:val="20"/>
        </w:rPr>
        <w:t xml:space="preserve"> Domain</w:t>
      </w:r>
      <w:r w:rsidR="000D7862" w:rsidRPr="009B4A78">
        <w:rPr>
          <w:rFonts w:ascii="Arial" w:hAnsi="Arial" w:cs="Arial"/>
          <w:sz w:val="20"/>
          <w:szCs w:val="20"/>
        </w:rPr>
        <w:t xml:space="preserve"> will be taken into consideration</w:t>
      </w:r>
      <w:r w:rsidR="00745B6A" w:rsidRPr="009B4A78">
        <w:rPr>
          <w:rFonts w:ascii="Arial" w:hAnsi="Arial" w:cs="Arial"/>
          <w:sz w:val="20"/>
          <w:szCs w:val="20"/>
        </w:rPr>
        <w:t>.</w:t>
      </w:r>
    </w:p>
    <w:p w14:paraId="612BDFDB" w14:textId="77777777" w:rsidR="00745B6A" w:rsidRPr="009B4A78" w:rsidRDefault="00745B6A" w:rsidP="003C1247">
      <w:pPr>
        <w:jc w:val="both"/>
        <w:rPr>
          <w:rFonts w:ascii="Arial" w:hAnsi="Arial" w:cs="Arial"/>
          <w:sz w:val="20"/>
          <w:szCs w:val="20"/>
        </w:rPr>
      </w:pPr>
    </w:p>
    <w:p w14:paraId="6B37C6BF" w14:textId="2B9D55C3" w:rsidR="00745B6A" w:rsidRPr="009B4A78" w:rsidRDefault="00745B6A" w:rsidP="00B66A4A">
      <w:pPr>
        <w:numPr>
          <w:ilvl w:val="0"/>
          <w:numId w:val="2"/>
        </w:numPr>
        <w:jc w:val="both"/>
        <w:rPr>
          <w:rFonts w:ascii="Arial" w:hAnsi="Arial" w:cs="Arial"/>
          <w:sz w:val="20"/>
          <w:szCs w:val="20"/>
        </w:rPr>
      </w:pPr>
      <w:r w:rsidRPr="009B4A78">
        <w:rPr>
          <w:rFonts w:ascii="Arial" w:hAnsi="Arial" w:cs="Arial"/>
          <w:sz w:val="20"/>
          <w:szCs w:val="20"/>
        </w:rPr>
        <w:t>Specifically, during the next biennium</w:t>
      </w:r>
      <w:r w:rsidR="00520134" w:rsidRPr="009B4A78">
        <w:rPr>
          <w:rFonts w:ascii="Arial" w:hAnsi="Arial" w:cs="Arial"/>
          <w:sz w:val="20"/>
          <w:szCs w:val="20"/>
        </w:rPr>
        <w:t>,</w:t>
      </w:r>
      <w:r w:rsidRPr="009B4A78">
        <w:rPr>
          <w:rFonts w:ascii="Arial" w:hAnsi="Arial" w:cs="Arial"/>
          <w:sz w:val="20"/>
          <w:szCs w:val="20"/>
        </w:rPr>
        <w:t xml:space="preserve"> the Program expects to:</w:t>
      </w:r>
    </w:p>
    <w:p w14:paraId="55D086B2" w14:textId="77777777" w:rsidR="00707DCE" w:rsidRPr="009B4A78" w:rsidRDefault="00707DCE" w:rsidP="003C1247">
      <w:pPr>
        <w:jc w:val="both"/>
        <w:rPr>
          <w:rFonts w:ascii="Arial" w:hAnsi="Arial" w:cs="Arial"/>
          <w:sz w:val="20"/>
          <w:szCs w:val="20"/>
        </w:rPr>
      </w:pPr>
    </w:p>
    <w:p w14:paraId="3BCC3780" w14:textId="471C6D12"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Organize </w:t>
      </w:r>
      <w:r w:rsidR="00E53C36" w:rsidRPr="009B4A78">
        <w:rPr>
          <w:rFonts w:ascii="Arial" w:hAnsi="Arial" w:cs="Arial"/>
          <w:sz w:val="20"/>
          <w:szCs w:val="20"/>
        </w:rPr>
        <w:t>sessions</w:t>
      </w:r>
      <w:r w:rsidRPr="009B4A78">
        <w:rPr>
          <w:rFonts w:ascii="Arial" w:hAnsi="Arial" w:cs="Arial"/>
          <w:sz w:val="20"/>
          <w:szCs w:val="20"/>
        </w:rPr>
        <w:t xml:space="preserve"> of the SCP;</w:t>
      </w:r>
    </w:p>
    <w:p w14:paraId="247A055D" w14:textId="77777777" w:rsidR="00707DCE" w:rsidRPr="009B4A78" w:rsidRDefault="00707DCE" w:rsidP="00293332">
      <w:pPr>
        <w:tabs>
          <w:tab w:val="left" w:pos="1134"/>
        </w:tabs>
        <w:ind w:left="1134" w:hanging="567"/>
        <w:jc w:val="both"/>
        <w:rPr>
          <w:rFonts w:ascii="Arial" w:hAnsi="Arial" w:cs="Arial"/>
          <w:sz w:val="20"/>
          <w:szCs w:val="20"/>
        </w:rPr>
      </w:pPr>
    </w:p>
    <w:p w14:paraId="782C8EC8" w14:textId="77778ACC"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Organize, upon request, information meetings for Member State representatives, to </w:t>
      </w:r>
      <w:r w:rsidR="00722C22" w:rsidRPr="009B4A78">
        <w:rPr>
          <w:rFonts w:ascii="Arial" w:hAnsi="Arial" w:cs="Arial"/>
          <w:sz w:val="20"/>
          <w:szCs w:val="20"/>
        </w:rPr>
        <w:t>provide information</w:t>
      </w:r>
      <w:r w:rsidRPr="009B4A78">
        <w:rPr>
          <w:rFonts w:ascii="Arial" w:hAnsi="Arial" w:cs="Arial"/>
          <w:sz w:val="20"/>
          <w:szCs w:val="20"/>
        </w:rPr>
        <w:t xml:space="preserve"> on topics related to patent policy, law and practices taking duly into account DA</w:t>
      </w:r>
      <w:r w:rsidR="00722C22" w:rsidRPr="009B4A78">
        <w:rPr>
          <w:rFonts w:ascii="Arial" w:hAnsi="Arial" w:cs="Arial"/>
          <w:sz w:val="20"/>
          <w:szCs w:val="20"/>
        </w:rPr>
        <w:t xml:space="preserve"> </w:t>
      </w:r>
      <w:r w:rsidRPr="009B4A78">
        <w:rPr>
          <w:rFonts w:ascii="Arial" w:hAnsi="Arial" w:cs="Arial"/>
          <w:sz w:val="20"/>
          <w:szCs w:val="20"/>
        </w:rPr>
        <w:t>Recommendation 15 and 16;</w:t>
      </w:r>
    </w:p>
    <w:p w14:paraId="606E923B" w14:textId="77777777" w:rsidR="00707DCE" w:rsidRPr="009B4A78" w:rsidRDefault="00707DCE" w:rsidP="00293332">
      <w:pPr>
        <w:tabs>
          <w:tab w:val="left" w:pos="1134"/>
        </w:tabs>
        <w:ind w:left="1134" w:hanging="567"/>
        <w:jc w:val="both"/>
        <w:rPr>
          <w:rFonts w:ascii="Arial" w:hAnsi="Arial" w:cs="Arial"/>
          <w:sz w:val="20"/>
          <w:szCs w:val="20"/>
        </w:rPr>
      </w:pPr>
    </w:p>
    <w:p w14:paraId="0CECB9C7" w14:textId="12473596"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provide, upon request, legislative advice to Member States relating to </w:t>
      </w:r>
      <w:r w:rsidR="00722C22" w:rsidRPr="009B4A78">
        <w:rPr>
          <w:rFonts w:ascii="Arial" w:hAnsi="Arial" w:cs="Arial"/>
          <w:sz w:val="20"/>
          <w:szCs w:val="20"/>
        </w:rPr>
        <w:t>patents, utility</w:t>
      </w:r>
      <w:r w:rsidR="0033064E" w:rsidRPr="009B4A78">
        <w:rPr>
          <w:rFonts w:ascii="Arial" w:hAnsi="Arial" w:cs="Arial"/>
          <w:sz w:val="20"/>
          <w:szCs w:val="20"/>
        </w:rPr>
        <w:t xml:space="preserve"> models, layout designs (topographies) of integrated circuits and protection of confidential information</w:t>
      </w:r>
      <w:r w:rsidR="00CB4716">
        <w:rPr>
          <w:rFonts w:ascii="Arial" w:hAnsi="Arial" w:cs="Arial"/>
          <w:sz w:val="20"/>
          <w:szCs w:val="20"/>
        </w:rPr>
        <w:t xml:space="preserve"> </w:t>
      </w:r>
      <w:r w:rsidRPr="009B4A78">
        <w:rPr>
          <w:rFonts w:ascii="Arial" w:hAnsi="Arial" w:cs="Arial"/>
          <w:sz w:val="20"/>
          <w:szCs w:val="20"/>
        </w:rPr>
        <w:t>in line with DA</w:t>
      </w:r>
      <w:r w:rsidR="00722C22" w:rsidRPr="009B4A78">
        <w:rPr>
          <w:rFonts w:ascii="Arial" w:hAnsi="Arial" w:cs="Arial"/>
          <w:sz w:val="20"/>
          <w:szCs w:val="20"/>
        </w:rPr>
        <w:t xml:space="preserve"> </w:t>
      </w:r>
      <w:r w:rsidR="00A9302A" w:rsidRPr="009B4A78">
        <w:rPr>
          <w:rFonts w:ascii="Arial" w:hAnsi="Arial" w:cs="Arial"/>
          <w:sz w:val="20"/>
          <w:szCs w:val="20"/>
        </w:rPr>
        <w:t>R</w:t>
      </w:r>
      <w:r w:rsidRPr="009B4A78">
        <w:rPr>
          <w:rFonts w:ascii="Arial" w:hAnsi="Arial" w:cs="Arial"/>
          <w:sz w:val="20"/>
          <w:szCs w:val="20"/>
        </w:rPr>
        <w:t>ecommendations 17, 20 and</w:t>
      </w:r>
      <w:r w:rsidR="0033064E" w:rsidRPr="009B4A78">
        <w:rPr>
          <w:rFonts w:ascii="Arial" w:hAnsi="Arial" w:cs="Arial"/>
          <w:sz w:val="20"/>
          <w:szCs w:val="20"/>
        </w:rPr>
        <w:t> </w:t>
      </w:r>
      <w:r w:rsidRPr="009B4A78">
        <w:rPr>
          <w:rFonts w:ascii="Arial" w:hAnsi="Arial" w:cs="Arial"/>
          <w:sz w:val="20"/>
          <w:szCs w:val="20"/>
        </w:rPr>
        <w:t>22;</w:t>
      </w:r>
    </w:p>
    <w:p w14:paraId="709FC0AF" w14:textId="77777777" w:rsidR="00707DCE" w:rsidRPr="009B4A78" w:rsidRDefault="00707DCE" w:rsidP="00293332">
      <w:pPr>
        <w:tabs>
          <w:tab w:val="left" w:pos="1134"/>
        </w:tabs>
        <w:ind w:left="1134" w:hanging="567"/>
        <w:jc w:val="both"/>
        <w:rPr>
          <w:rFonts w:ascii="Arial" w:hAnsi="Arial" w:cs="Arial"/>
          <w:sz w:val="20"/>
          <w:szCs w:val="20"/>
        </w:rPr>
      </w:pPr>
    </w:p>
    <w:p w14:paraId="3BAFFF06" w14:textId="62B94D4F"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support and assist Member States regarding the Paris Convention, </w:t>
      </w:r>
      <w:r w:rsidR="00722C22" w:rsidRPr="009B4A78">
        <w:rPr>
          <w:rFonts w:ascii="Arial" w:hAnsi="Arial" w:cs="Arial"/>
          <w:sz w:val="20"/>
          <w:szCs w:val="20"/>
        </w:rPr>
        <w:t>the Budapest</w:t>
      </w:r>
      <w:r w:rsidRPr="009B4A78">
        <w:rPr>
          <w:rFonts w:ascii="Arial" w:hAnsi="Arial" w:cs="Arial"/>
          <w:sz w:val="20"/>
          <w:szCs w:val="20"/>
        </w:rPr>
        <w:t xml:space="preserve"> Treaty and the Patent Law Treaty;</w:t>
      </w:r>
    </w:p>
    <w:p w14:paraId="69D74FFC" w14:textId="77777777" w:rsidR="00707DCE" w:rsidRPr="009B4A78" w:rsidRDefault="00707DCE" w:rsidP="00293332">
      <w:pPr>
        <w:tabs>
          <w:tab w:val="left" w:pos="1134"/>
        </w:tabs>
        <w:ind w:left="1134" w:hanging="567"/>
        <w:jc w:val="both"/>
        <w:rPr>
          <w:rFonts w:ascii="Arial" w:hAnsi="Arial" w:cs="Arial"/>
          <w:sz w:val="20"/>
          <w:szCs w:val="20"/>
        </w:rPr>
      </w:pPr>
    </w:p>
    <w:p w14:paraId="04246957" w14:textId="63BAABD8" w:rsidR="00745B6A" w:rsidRPr="009B4A78" w:rsidRDefault="00745B6A" w:rsidP="00B66A4A">
      <w:pPr>
        <w:pStyle w:val="ListParagraph"/>
        <w:numPr>
          <w:ilvl w:val="1"/>
          <w:numId w:val="1"/>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w:t>
      </w:r>
      <w:r w:rsidR="00520134" w:rsidRPr="009B4A78">
        <w:rPr>
          <w:rFonts w:ascii="Arial" w:hAnsi="Arial" w:cs="Arial"/>
          <w:sz w:val="20"/>
          <w:szCs w:val="20"/>
        </w:rPr>
        <w:t xml:space="preserve">support and </w:t>
      </w:r>
      <w:r w:rsidRPr="009B4A78">
        <w:rPr>
          <w:rFonts w:ascii="Arial" w:hAnsi="Arial" w:cs="Arial"/>
          <w:sz w:val="20"/>
          <w:szCs w:val="20"/>
        </w:rPr>
        <w:t xml:space="preserve">assist Member States </w:t>
      </w:r>
      <w:r w:rsidR="0033064E" w:rsidRPr="009B4A78">
        <w:rPr>
          <w:rFonts w:ascii="Arial" w:hAnsi="Arial" w:cs="Arial"/>
          <w:sz w:val="20"/>
          <w:szCs w:val="20"/>
        </w:rPr>
        <w:t xml:space="preserve">with a view to enhancing capacities for designing functional systems regarding patents, </w:t>
      </w:r>
      <w:r w:rsidR="00707DCE" w:rsidRPr="009B4A78">
        <w:rPr>
          <w:rFonts w:ascii="Arial" w:hAnsi="Arial" w:cs="Arial"/>
          <w:sz w:val="20"/>
          <w:szCs w:val="20"/>
        </w:rPr>
        <w:t>utility models, layout designs (topographies) of integrated circuits and protection of confidential information</w:t>
      </w:r>
      <w:r w:rsidRPr="009B4A78">
        <w:rPr>
          <w:rFonts w:ascii="Arial" w:hAnsi="Arial" w:cs="Arial"/>
          <w:sz w:val="20"/>
          <w:szCs w:val="20"/>
        </w:rPr>
        <w:t>;</w:t>
      </w:r>
    </w:p>
    <w:p w14:paraId="03E9EC93" w14:textId="77777777" w:rsidR="00707DCE" w:rsidRPr="009B4A78" w:rsidRDefault="00707DCE" w:rsidP="00293332">
      <w:pPr>
        <w:tabs>
          <w:tab w:val="left" w:pos="1134"/>
        </w:tabs>
        <w:ind w:left="1134" w:hanging="567"/>
        <w:jc w:val="both"/>
        <w:rPr>
          <w:rFonts w:ascii="Arial" w:hAnsi="Arial" w:cs="Arial"/>
          <w:sz w:val="20"/>
          <w:szCs w:val="20"/>
        </w:rPr>
      </w:pPr>
    </w:p>
    <w:p w14:paraId="40257F32" w14:textId="50DF7FD3" w:rsidR="00745B6A" w:rsidRPr="00CB32BD" w:rsidRDefault="00745B6A" w:rsidP="00B66A4A">
      <w:pPr>
        <w:pStyle w:val="ListParagraph"/>
        <w:numPr>
          <w:ilvl w:val="1"/>
          <w:numId w:val="1"/>
        </w:numPr>
        <w:tabs>
          <w:tab w:val="left" w:pos="1134"/>
        </w:tabs>
        <w:ind w:left="1134" w:hanging="567"/>
        <w:jc w:val="both"/>
        <w:rPr>
          <w:rFonts w:ascii="Arial" w:hAnsi="Arial" w:cs="Arial"/>
          <w:sz w:val="20"/>
          <w:szCs w:val="20"/>
        </w:rPr>
      </w:pPr>
      <w:r w:rsidRPr="00CB32BD">
        <w:rPr>
          <w:rFonts w:ascii="Arial" w:hAnsi="Arial" w:cs="Arial"/>
          <w:sz w:val="20"/>
          <w:szCs w:val="20"/>
        </w:rPr>
        <w:t xml:space="preserve">Address </w:t>
      </w:r>
      <w:r w:rsidR="00060B44" w:rsidRPr="00CB32BD">
        <w:rPr>
          <w:rFonts w:ascii="Arial" w:hAnsi="Arial" w:cs="Arial"/>
          <w:sz w:val="20"/>
          <w:szCs w:val="20"/>
        </w:rPr>
        <w:t xml:space="preserve">issues relating to protection of </w:t>
      </w:r>
      <w:r w:rsidR="00CB4716">
        <w:rPr>
          <w:rFonts w:ascii="Arial" w:hAnsi="Arial" w:cs="Arial"/>
          <w:sz w:val="20"/>
          <w:szCs w:val="20"/>
        </w:rPr>
        <w:t xml:space="preserve">patents, utility models, layout designs (topographies) of integrated circuits and </w:t>
      </w:r>
      <w:r w:rsidR="00722C22" w:rsidRPr="00CB32BD">
        <w:rPr>
          <w:rFonts w:ascii="Arial" w:hAnsi="Arial" w:cs="Arial"/>
          <w:sz w:val="20"/>
          <w:szCs w:val="20"/>
        </w:rPr>
        <w:t>confidential information</w:t>
      </w:r>
      <w:r w:rsidR="00060B44" w:rsidRPr="00CB32BD">
        <w:rPr>
          <w:rFonts w:ascii="Arial" w:hAnsi="Arial" w:cs="Arial"/>
          <w:sz w:val="20"/>
          <w:szCs w:val="20"/>
        </w:rPr>
        <w:t xml:space="preserve"> in the context of promotion of innovation and dissemination of technology</w:t>
      </w:r>
      <w:r w:rsidRPr="00CB32BD">
        <w:rPr>
          <w:rFonts w:ascii="Arial" w:hAnsi="Arial" w:cs="Arial"/>
          <w:sz w:val="20"/>
          <w:szCs w:val="20"/>
        </w:rPr>
        <w:t>;</w:t>
      </w:r>
      <w:r w:rsidR="00CB32BD">
        <w:rPr>
          <w:rFonts w:ascii="Arial" w:hAnsi="Arial" w:cs="Arial"/>
          <w:sz w:val="20"/>
          <w:szCs w:val="20"/>
        </w:rPr>
        <w:t xml:space="preserve"> and</w:t>
      </w:r>
    </w:p>
    <w:p w14:paraId="798D790D" w14:textId="77777777" w:rsidR="00707DCE" w:rsidRPr="00CB32BD" w:rsidRDefault="00707DCE" w:rsidP="00293332">
      <w:pPr>
        <w:tabs>
          <w:tab w:val="left" w:pos="1134"/>
        </w:tabs>
        <w:ind w:left="1134" w:hanging="567"/>
        <w:jc w:val="both"/>
        <w:rPr>
          <w:rFonts w:ascii="Arial" w:hAnsi="Arial" w:cs="Arial"/>
          <w:sz w:val="20"/>
          <w:szCs w:val="20"/>
        </w:rPr>
      </w:pPr>
    </w:p>
    <w:p w14:paraId="4369EA66" w14:textId="6217B123" w:rsidR="00745B6A" w:rsidRPr="00CB32BD" w:rsidRDefault="00745B6A" w:rsidP="00B66A4A">
      <w:pPr>
        <w:pStyle w:val="ListParagraph"/>
        <w:numPr>
          <w:ilvl w:val="1"/>
          <w:numId w:val="1"/>
        </w:numPr>
        <w:tabs>
          <w:tab w:val="left" w:pos="1134"/>
        </w:tabs>
        <w:ind w:left="1134" w:hanging="567"/>
        <w:jc w:val="both"/>
        <w:rPr>
          <w:rFonts w:ascii="Arial" w:hAnsi="Arial" w:cs="Arial"/>
          <w:sz w:val="20"/>
          <w:szCs w:val="20"/>
        </w:rPr>
      </w:pPr>
      <w:r w:rsidRPr="00CB32BD">
        <w:rPr>
          <w:rFonts w:ascii="Arial" w:hAnsi="Arial" w:cs="Arial"/>
          <w:sz w:val="20"/>
          <w:szCs w:val="20"/>
        </w:rPr>
        <w:t xml:space="preserve">Continue to support the work of </w:t>
      </w:r>
      <w:r w:rsidR="003B1039" w:rsidRPr="00CB32BD">
        <w:rPr>
          <w:rFonts w:ascii="Arial" w:hAnsi="Arial" w:cs="Arial"/>
          <w:sz w:val="20"/>
          <w:szCs w:val="20"/>
        </w:rPr>
        <w:t xml:space="preserve">Program 9 (Africa, Arab, Asia and the Pacific, Latin America and the Caribbean Countries, Least Developed Countries) </w:t>
      </w:r>
      <w:r w:rsidRPr="00CB32BD">
        <w:rPr>
          <w:rFonts w:ascii="Arial" w:hAnsi="Arial" w:cs="Arial"/>
          <w:sz w:val="20"/>
          <w:szCs w:val="20"/>
        </w:rPr>
        <w:t xml:space="preserve">relating to </w:t>
      </w:r>
      <w:r w:rsidR="003B1039" w:rsidRPr="00CB32BD">
        <w:rPr>
          <w:rFonts w:ascii="Arial" w:hAnsi="Arial" w:cs="Arial"/>
          <w:sz w:val="20"/>
          <w:szCs w:val="20"/>
        </w:rPr>
        <w:t xml:space="preserve">Patent Law </w:t>
      </w:r>
      <w:r w:rsidRPr="00CB32BD">
        <w:rPr>
          <w:rFonts w:ascii="Arial" w:hAnsi="Arial" w:cs="Arial"/>
          <w:sz w:val="20"/>
          <w:szCs w:val="20"/>
        </w:rPr>
        <w:t xml:space="preserve">issues, including the provision of studies relevant to DA </w:t>
      </w:r>
      <w:r w:rsidR="00A9302A" w:rsidRPr="00CB32BD">
        <w:rPr>
          <w:rFonts w:ascii="Arial" w:hAnsi="Arial" w:cs="Arial"/>
          <w:sz w:val="20"/>
          <w:szCs w:val="20"/>
        </w:rPr>
        <w:t>R</w:t>
      </w:r>
      <w:r w:rsidRPr="00CB32BD">
        <w:rPr>
          <w:rFonts w:ascii="Arial" w:hAnsi="Arial" w:cs="Arial"/>
          <w:sz w:val="20"/>
          <w:szCs w:val="20"/>
        </w:rPr>
        <w:t>ecommendations 12, 13</w:t>
      </w:r>
      <w:r w:rsidR="00060B44" w:rsidRPr="00CB32BD">
        <w:rPr>
          <w:rFonts w:ascii="Arial" w:hAnsi="Arial" w:cs="Arial"/>
          <w:sz w:val="20"/>
          <w:szCs w:val="20"/>
        </w:rPr>
        <w:t xml:space="preserve"> and </w:t>
      </w:r>
      <w:r w:rsidRPr="00CB32BD">
        <w:rPr>
          <w:rFonts w:ascii="Arial" w:hAnsi="Arial" w:cs="Arial"/>
          <w:sz w:val="20"/>
          <w:szCs w:val="20"/>
        </w:rPr>
        <w:t>1</w:t>
      </w:r>
      <w:r w:rsidR="00060B44" w:rsidRPr="00CB32BD">
        <w:rPr>
          <w:rFonts w:ascii="Arial" w:hAnsi="Arial" w:cs="Arial"/>
          <w:sz w:val="20"/>
          <w:szCs w:val="20"/>
        </w:rPr>
        <w:t>4</w:t>
      </w:r>
      <w:r w:rsidRPr="00CB32BD">
        <w:rPr>
          <w:rFonts w:ascii="Arial" w:hAnsi="Arial" w:cs="Arial"/>
          <w:sz w:val="20"/>
          <w:szCs w:val="20"/>
        </w:rPr>
        <w:t>, as requested by the CDIP</w:t>
      </w:r>
      <w:r w:rsidR="00CB32BD">
        <w:rPr>
          <w:rFonts w:ascii="Arial" w:hAnsi="Arial" w:cs="Arial"/>
          <w:sz w:val="20"/>
          <w:szCs w:val="20"/>
        </w:rPr>
        <w:t>.</w:t>
      </w:r>
    </w:p>
    <w:p w14:paraId="7061C0D5" w14:textId="77777777" w:rsidR="00CB32BD" w:rsidRDefault="00CB32BD" w:rsidP="00CB32BD">
      <w:pPr>
        <w:tabs>
          <w:tab w:val="left" w:pos="1134"/>
        </w:tabs>
        <w:jc w:val="both"/>
        <w:rPr>
          <w:rFonts w:ascii="Arial" w:hAnsi="Arial" w:cs="Arial"/>
          <w:sz w:val="20"/>
          <w:szCs w:val="20"/>
        </w:rPr>
      </w:pPr>
    </w:p>
    <w:p w14:paraId="561C4559" w14:textId="34D044A0" w:rsidR="009961D3" w:rsidRPr="00CB32BD" w:rsidRDefault="00CB32BD" w:rsidP="00B66A4A">
      <w:pPr>
        <w:numPr>
          <w:ilvl w:val="0"/>
          <w:numId w:val="2"/>
        </w:numPr>
        <w:jc w:val="both"/>
        <w:rPr>
          <w:rFonts w:ascii="Arial" w:hAnsi="Arial" w:cs="Arial"/>
          <w:sz w:val="20"/>
          <w:szCs w:val="20"/>
        </w:rPr>
      </w:pPr>
      <w:r>
        <w:rPr>
          <w:rFonts w:ascii="Arial" w:hAnsi="Arial" w:cs="Arial"/>
          <w:sz w:val="20"/>
          <w:szCs w:val="20"/>
        </w:rPr>
        <w:t xml:space="preserve">Program 1 collaborates primarily with </w:t>
      </w:r>
      <w:r w:rsidR="00A52A22" w:rsidRPr="00CB32BD">
        <w:rPr>
          <w:rFonts w:ascii="Arial" w:hAnsi="Arial" w:cs="Arial"/>
          <w:sz w:val="20"/>
          <w:szCs w:val="20"/>
        </w:rPr>
        <w:t xml:space="preserve">other </w:t>
      </w:r>
      <w:r w:rsidR="00745B6A" w:rsidRPr="00CB32BD">
        <w:rPr>
          <w:rFonts w:ascii="Arial" w:hAnsi="Arial" w:cs="Arial"/>
          <w:sz w:val="20"/>
          <w:szCs w:val="20"/>
        </w:rPr>
        <w:t xml:space="preserve">Programs </w:t>
      </w:r>
      <w:r w:rsidR="00A52A22" w:rsidRPr="00CB32BD">
        <w:rPr>
          <w:rFonts w:ascii="Arial" w:hAnsi="Arial" w:cs="Arial"/>
          <w:sz w:val="20"/>
          <w:szCs w:val="20"/>
        </w:rPr>
        <w:t xml:space="preserve">as illustrated below: </w:t>
      </w:r>
    </w:p>
    <w:p w14:paraId="66C338CD" w14:textId="77777777" w:rsidR="00CB32BD" w:rsidRPr="00CB32BD" w:rsidRDefault="00CB32BD" w:rsidP="00CB32BD">
      <w:pPr>
        <w:rPr>
          <w:rFonts w:ascii="Arial" w:hAnsi="Arial" w:cs="Arial"/>
          <w:sz w:val="20"/>
          <w:szCs w:val="20"/>
          <w:shd w:val="clear" w:color="auto" w:fill="FFFF00"/>
        </w:rPr>
      </w:pPr>
    </w:p>
    <w:p w14:paraId="1B984A2F" w14:textId="6D35ADC7" w:rsidR="00A52A22" w:rsidRPr="009B4A78" w:rsidRDefault="00A52A22" w:rsidP="00060B44">
      <w:pPr>
        <w:ind w:left="720"/>
        <w:rPr>
          <w:rFonts w:ascii="Arial" w:hAnsi="Arial" w:cs="Arial"/>
          <w:shd w:val="clear" w:color="auto" w:fill="FFFF00"/>
        </w:rPr>
      </w:pPr>
      <w:r w:rsidRPr="00CB32BD">
        <w:rPr>
          <w:rFonts w:ascii="Arial" w:hAnsi="Arial" w:cs="Arial"/>
          <w:noProof/>
          <w:lang w:eastAsia="en-US"/>
        </w:rPr>
        <w:drawing>
          <wp:anchor distT="0" distB="0" distL="114300" distR="114300" simplePos="0" relativeHeight="251659264" behindDoc="0" locked="0" layoutInCell="1" allowOverlap="1" wp14:anchorId="1125397C" wp14:editId="2F5996F4">
            <wp:simplePos x="0" y="0"/>
            <wp:positionH relativeFrom="column">
              <wp:posOffset>-57150</wp:posOffset>
            </wp:positionH>
            <wp:positionV relativeFrom="paragraph">
              <wp:posOffset>22225</wp:posOffset>
            </wp:positionV>
            <wp:extent cx="5943600" cy="2124710"/>
            <wp:effectExtent l="0" t="19050" r="0" b="8509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3F00B0B4" w14:textId="77777777" w:rsidR="009B0708" w:rsidRPr="009B4A78" w:rsidRDefault="009B0708" w:rsidP="00060B44">
      <w:pPr>
        <w:ind w:left="720"/>
        <w:rPr>
          <w:rFonts w:ascii="Arial" w:hAnsi="Arial" w:cs="Arial"/>
        </w:rPr>
      </w:pPr>
    </w:p>
    <w:p w14:paraId="43B7AF3D" w14:textId="6C0C2DD4" w:rsidR="00982D92" w:rsidRPr="009B4A78" w:rsidRDefault="0037373D" w:rsidP="00BA43A0">
      <w:pPr>
        <w:keepNext/>
        <w:keepLines/>
        <w:rPr>
          <w:rFonts w:ascii="Arial" w:hAnsi="Arial" w:cs="Arial"/>
          <w:shd w:val="clear" w:color="auto" w:fill="FFFF00"/>
        </w:rPr>
      </w:pPr>
      <w:r w:rsidRPr="009B4A78">
        <w:rPr>
          <w:rFonts w:ascii="Arial" w:hAnsi="Arial" w:cs="Arial"/>
        </w:rPr>
        <w:t>MAJOR RISKS AND MITIGATION STATEGIES</w:t>
      </w:r>
    </w:p>
    <w:p w14:paraId="473EB323" w14:textId="77777777" w:rsidR="00982D92" w:rsidRPr="009B4A78" w:rsidRDefault="00982D92" w:rsidP="00BA43A0">
      <w:pPr>
        <w:keepNext/>
        <w:keepLines/>
        <w:autoSpaceDE w:val="0"/>
        <w:autoSpaceDN w:val="0"/>
        <w:adjustRightInd w:val="0"/>
        <w:ind w:right="-59"/>
        <w:jc w:val="center"/>
        <w:rPr>
          <w:rFonts w:ascii="Arial" w:eastAsia="Times New Roman" w:hAnsi="Arial" w:cs="Arial"/>
          <w:i/>
          <w:sz w:val="20"/>
          <w:szCs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82D92" w:rsidRPr="009B4A78" w14:paraId="72857F83" w14:textId="77777777" w:rsidTr="00FB68E0">
        <w:trPr>
          <w:trHeight w:val="424"/>
        </w:trPr>
        <w:tc>
          <w:tcPr>
            <w:tcW w:w="4253" w:type="dxa"/>
            <w:tcBorders>
              <w:top w:val="single" w:sz="4" w:space="0" w:color="auto"/>
              <w:bottom w:val="single" w:sz="4" w:space="0" w:color="auto"/>
            </w:tcBorders>
            <w:shd w:val="clear" w:color="auto" w:fill="C6D9F1" w:themeFill="text2" w:themeFillTint="33"/>
            <w:vAlign w:val="center"/>
          </w:tcPr>
          <w:p w14:paraId="4B6B131E" w14:textId="77777777" w:rsidR="00982D92" w:rsidRPr="009B4A78" w:rsidRDefault="00982D92" w:rsidP="00BA43A0">
            <w:pPr>
              <w:keepNext/>
              <w:keepLines/>
              <w:jc w:val="center"/>
              <w:rPr>
                <w:rFonts w:ascii="Arial" w:eastAsia="Times New Roman" w:hAnsi="Arial" w:cs="Arial"/>
                <w:b/>
                <w:bCs/>
                <w:sz w:val="18"/>
                <w:szCs w:val="18"/>
                <w:lang w:eastAsia="en-US"/>
              </w:rPr>
            </w:pPr>
            <w:r w:rsidRPr="009B4A78">
              <w:rPr>
                <w:rFonts w:ascii="Arial" w:eastAsia="Times New Roman" w:hAnsi="Arial" w:cs="Arial"/>
                <w:b/>
                <w:bCs/>
                <w:sz w:val="18"/>
                <w:szCs w:val="18"/>
                <w:lang w:eastAsia="en-US"/>
              </w:rPr>
              <w:t>Risk</w:t>
            </w:r>
          </w:p>
        </w:tc>
        <w:tc>
          <w:tcPr>
            <w:tcW w:w="4961" w:type="dxa"/>
            <w:tcBorders>
              <w:top w:val="single" w:sz="4" w:space="0" w:color="auto"/>
              <w:bottom w:val="single" w:sz="4" w:space="0" w:color="auto"/>
            </w:tcBorders>
            <w:shd w:val="clear" w:color="auto" w:fill="C6D9F1" w:themeFill="text2" w:themeFillTint="33"/>
            <w:vAlign w:val="center"/>
          </w:tcPr>
          <w:p w14:paraId="65C931B9" w14:textId="77777777" w:rsidR="00982D92" w:rsidRPr="009B4A78" w:rsidRDefault="00982D92" w:rsidP="00BA43A0">
            <w:pPr>
              <w:keepNext/>
              <w:keepLines/>
              <w:jc w:val="center"/>
              <w:rPr>
                <w:rFonts w:ascii="Arial" w:eastAsia="Times New Roman" w:hAnsi="Arial" w:cs="Arial"/>
                <w:b/>
                <w:bCs/>
                <w:sz w:val="18"/>
                <w:szCs w:val="18"/>
                <w:lang w:eastAsia="en-US"/>
              </w:rPr>
            </w:pPr>
            <w:r w:rsidRPr="009B4A78">
              <w:rPr>
                <w:rFonts w:ascii="Arial" w:eastAsia="Times New Roman" w:hAnsi="Arial" w:cs="Arial"/>
                <w:b/>
                <w:bCs/>
                <w:sz w:val="18"/>
                <w:szCs w:val="18"/>
                <w:lang w:eastAsia="en-US"/>
              </w:rPr>
              <w:t>Mitigation</w:t>
            </w:r>
          </w:p>
        </w:tc>
      </w:tr>
      <w:tr w:rsidR="00982D92" w:rsidRPr="009B4A78" w14:paraId="68EED0BC" w14:textId="77777777" w:rsidTr="0064046E">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0679C7B8" w14:textId="77777777" w:rsidR="00982D92" w:rsidRPr="009B4A78" w:rsidRDefault="00982D92" w:rsidP="00BA43A0">
            <w:pPr>
              <w:keepNext/>
              <w:keepLines/>
              <w:rPr>
                <w:rFonts w:ascii="Arial" w:eastAsia="Times New Roman" w:hAnsi="Arial" w:cs="Arial"/>
                <w:sz w:val="16"/>
                <w:szCs w:val="16"/>
                <w:lang w:eastAsia="en-US"/>
              </w:rPr>
            </w:pPr>
            <w:r w:rsidRPr="009B4A78">
              <w:rPr>
                <w:rFonts w:ascii="Arial" w:eastAsia="Times New Roman" w:hAnsi="Arial" w:cs="Arial"/>
                <w:color w:val="000000"/>
                <w:sz w:val="16"/>
                <w:szCs w:val="16"/>
                <w:lang w:eastAsia="en-US"/>
              </w:rPr>
              <w:t>Reduced relevance of the Standing Committee on the Law of Patents as a multilateral forum.</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08EF8C87" w14:textId="77777777" w:rsidR="00982D92" w:rsidRPr="009B4A78" w:rsidRDefault="00982D92" w:rsidP="00BA43A0">
            <w:pPr>
              <w:keepNext/>
              <w:keepLines/>
              <w:rPr>
                <w:rFonts w:ascii="Arial" w:eastAsia="Times New Roman" w:hAnsi="Arial" w:cs="Arial"/>
                <w:sz w:val="16"/>
                <w:szCs w:val="16"/>
                <w:lang w:eastAsia="en-US"/>
              </w:rPr>
            </w:pPr>
            <w:r w:rsidRPr="009B4A78">
              <w:rPr>
                <w:rFonts w:ascii="Arial" w:eastAsia="Times New Roman" w:hAnsi="Arial" w:cs="Arial"/>
                <w:color w:val="000000"/>
                <w:sz w:val="16"/>
                <w:szCs w:val="16"/>
                <w:lang w:eastAsia="en-US"/>
              </w:rPr>
              <w:t xml:space="preserve">Provision of impartial, professional and inclusive environment for dialogue among Member States. </w:t>
            </w:r>
          </w:p>
        </w:tc>
      </w:tr>
      <w:tr w:rsidR="00982D92" w:rsidRPr="009B4A78" w14:paraId="2A6C1907" w14:textId="77777777" w:rsidTr="0064046E">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2CCAB741" w14:textId="77777777" w:rsidR="00982D92" w:rsidRPr="009B4A78" w:rsidRDefault="00982D92" w:rsidP="00BA43A0">
            <w:pPr>
              <w:keepNext/>
              <w:keepLines/>
              <w:rPr>
                <w:rFonts w:ascii="Arial" w:eastAsia="Times New Roman" w:hAnsi="Arial" w:cs="Arial"/>
                <w:color w:val="000000"/>
                <w:sz w:val="16"/>
                <w:szCs w:val="16"/>
                <w:lang w:eastAsia="en-US"/>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77E51539" w14:textId="77777777" w:rsidR="00982D92" w:rsidRPr="009B4A78" w:rsidRDefault="00982D92" w:rsidP="00BA43A0">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Provision of timely, accurate and substantive information to Member States. </w:t>
            </w:r>
          </w:p>
        </w:tc>
      </w:tr>
    </w:tbl>
    <w:p w14:paraId="52450CA9" w14:textId="77777777" w:rsidR="009B0708" w:rsidRPr="009B4A78" w:rsidRDefault="009B0708" w:rsidP="008C4584">
      <w:pPr>
        <w:autoSpaceDE w:val="0"/>
        <w:autoSpaceDN w:val="0"/>
        <w:rPr>
          <w:rFonts w:ascii="Arial" w:hAnsi="Arial" w:cs="Arial"/>
        </w:rPr>
      </w:pPr>
    </w:p>
    <w:p w14:paraId="3E038CE8" w14:textId="77777777" w:rsidR="009B0708" w:rsidRPr="009B4A78" w:rsidRDefault="009B0708" w:rsidP="008C4584">
      <w:pPr>
        <w:autoSpaceDE w:val="0"/>
        <w:autoSpaceDN w:val="0"/>
        <w:rPr>
          <w:rFonts w:ascii="Arial" w:hAnsi="Arial" w:cs="Arial"/>
        </w:rPr>
      </w:pPr>
    </w:p>
    <w:p w14:paraId="5DE45E60" w14:textId="77777777" w:rsidR="00B72EB9" w:rsidRPr="009B4A78" w:rsidRDefault="00B72EB9" w:rsidP="008C4584">
      <w:pPr>
        <w:keepNext/>
        <w:keepLines/>
        <w:autoSpaceDE w:val="0"/>
        <w:autoSpaceDN w:val="0"/>
        <w:rPr>
          <w:rFonts w:ascii="Arial" w:hAnsi="Arial" w:cs="Arial"/>
        </w:rPr>
      </w:pPr>
      <w:r w:rsidRPr="009B4A78">
        <w:rPr>
          <w:rFonts w:ascii="Arial" w:hAnsi="Arial" w:cs="Arial"/>
        </w:rPr>
        <w:lastRenderedPageBreak/>
        <w:t>RESULTS FRAMEWORK</w:t>
      </w:r>
    </w:p>
    <w:p w14:paraId="163EA0AB" w14:textId="77777777" w:rsidR="00B72EB9" w:rsidRPr="009B4A78" w:rsidRDefault="00B72EB9" w:rsidP="008C4584">
      <w:pPr>
        <w:keepNext/>
        <w:keepLines/>
        <w:autoSpaceDE w:val="0"/>
        <w:autoSpaceDN w:val="0"/>
        <w:rPr>
          <w:rFonts w:ascii="Arial" w:hAnsi="Arial" w:cs="Arial"/>
        </w:rPr>
      </w:pPr>
    </w:p>
    <w:tbl>
      <w:tblPr>
        <w:tblW w:w="9229" w:type="dxa"/>
        <w:tblInd w:w="93" w:type="dxa"/>
        <w:tblLook w:val="04A0" w:firstRow="1" w:lastRow="0" w:firstColumn="1" w:lastColumn="0" w:noHBand="0" w:noVBand="1"/>
      </w:tblPr>
      <w:tblGrid>
        <w:gridCol w:w="2000"/>
        <w:gridCol w:w="2977"/>
        <w:gridCol w:w="2551"/>
        <w:gridCol w:w="1701"/>
      </w:tblGrid>
      <w:tr w:rsidR="008049E6" w:rsidRPr="009B4A78" w14:paraId="4386A149" w14:textId="77777777" w:rsidTr="00FB68E0">
        <w:trPr>
          <w:trHeight w:val="465"/>
        </w:trPr>
        <w:tc>
          <w:tcPr>
            <w:tcW w:w="20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D057DFE"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Expected Results</w:t>
            </w:r>
          </w:p>
        </w:tc>
        <w:tc>
          <w:tcPr>
            <w:tcW w:w="2977" w:type="dxa"/>
            <w:tcBorders>
              <w:top w:val="single" w:sz="4" w:space="0" w:color="auto"/>
              <w:left w:val="nil"/>
              <w:bottom w:val="single" w:sz="4" w:space="0" w:color="auto"/>
              <w:right w:val="nil"/>
            </w:tcBorders>
            <w:shd w:val="clear" w:color="auto" w:fill="C6D9F1" w:themeFill="text2" w:themeFillTint="33"/>
            <w:noWrap/>
            <w:vAlign w:val="center"/>
            <w:hideMark/>
          </w:tcPr>
          <w:p w14:paraId="76BF2913"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Performance Indicators</w:t>
            </w:r>
          </w:p>
        </w:tc>
        <w:tc>
          <w:tcPr>
            <w:tcW w:w="2551" w:type="dxa"/>
            <w:tcBorders>
              <w:top w:val="single" w:sz="4" w:space="0" w:color="auto"/>
              <w:left w:val="nil"/>
              <w:bottom w:val="single" w:sz="4" w:space="0" w:color="auto"/>
              <w:right w:val="nil"/>
            </w:tcBorders>
            <w:shd w:val="clear" w:color="auto" w:fill="C6D9F1" w:themeFill="text2" w:themeFillTint="33"/>
            <w:noWrap/>
            <w:vAlign w:val="center"/>
            <w:hideMark/>
          </w:tcPr>
          <w:p w14:paraId="1E97B9C3" w14:textId="77777777" w:rsidR="00B72EB9" w:rsidRPr="009B4A78" w:rsidRDefault="00B72EB9" w:rsidP="008C4584">
            <w:pPr>
              <w:keepNext/>
              <w:keepLines/>
              <w:ind w:left="176" w:hanging="142"/>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Baselines</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DBE2B0F"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Targets</w:t>
            </w:r>
          </w:p>
        </w:tc>
      </w:tr>
      <w:tr w:rsidR="00FE3211" w:rsidRPr="009B4A78" w14:paraId="0A14AD3D" w14:textId="77777777" w:rsidTr="008D4CE9">
        <w:trPr>
          <w:trHeight w:val="853"/>
        </w:trPr>
        <w:tc>
          <w:tcPr>
            <w:tcW w:w="2000" w:type="dxa"/>
            <w:vMerge w:val="restart"/>
            <w:tcBorders>
              <w:top w:val="nil"/>
              <w:left w:val="single" w:sz="4" w:space="0" w:color="auto"/>
              <w:bottom w:val="nil"/>
              <w:right w:val="nil"/>
            </w:tcBorders>
            <w:shd w:val="clear" w:color="000000" w:fill="FFFFFF"/>
            <w:hideMark/>
          </w:tcPr>
          <w:p w14:paraId="1EE64843" w14:textId="7C1BC8BE" w:rsidR="00B72EB9" w:rsidRPr="009B4A78" w:rsidRDefault="007100C9" w:rsidP="008C4584">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r>
            <w:r w:rsidR="00B72EB9" w:rsidRPr="009B4A78">
              <w:rPr>
                <w:rFonts w:ascii="Arial" w:eastAsia="Times New Roman" w:hAnsi="Arial" w:cs="Arial"/>
                <w:color w:val="000000"/>
                <w:sz w:val="16"/>
                <w:szCs w:val="16"/>
                <w:lang w:eastAsia="en-US"/>
              </w:rPr>
              <w:t xml:space="preserve">I.1 Enhanced cooperation among Member States on development of balanced international normative frameworks for IP </w:t>
            </w:r>
          </w:p>
        </w:tc>
        <w:tc>
          <w:tcPr>
            <w:tcW w:w="2977" w:type="dxa"/>
            <w:tcBorders>
              <w:top w:val="nil"/>
              <w:left w:val="nil"/>
              <w:bottom w:val="nil"/>
              <w:right w:val="nil"/>
            </w:tcBorders>
            <w:shd w:val="clear" w:color="000000" w:fill="FFFFFF"/>
            <w:hideMark/>
          </w:tcPr>
          <w:p w14:paraId="036EE48C" w14:textId="77777777" w:rsidR="00B72EB9" w:rsidRPr="009B4A78" w:rsidRDefault="00B72EB9" w:rsidP="008C4584">
            <w:pPr>
              <w:keepNext/>
              <w:keepLines/>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Progress on the implementation of agreed work according to SCP Agenda</w:t>
            </w:r>
          </w:p>
        </w:tc>
        <w:tc>
          <w:tcPr>
            <w:tcW w:w="2551" w:type="dxa"/>
            <w:tcBorders>
              <w:top w:val="nil"/>
              <w:left w:val="nil"/>
              <w:bottom w:val="nil"/>
              <w:right w:val="nil"/>
            </w:tcBorders>
            <w:shd w:val="clear" w:color="000000" w:fill="FFFFFF"/>
            <w:hideMark/>
          </w:tcPr>
          <w:p w14:paraId="504276CC" w14:textId="77777777" w:rsidR="00B72EB9" w:rsidRPr="009B4A78" w:rsidRDefault="00B72EB9" w:rsidP="008C4584">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Current state of work in the Committee as documented by SCP/21 Report</w:t>
            </w:r>
          </w:p>
        </w:tc>
        <w:tc>
          <w:tcPr>
            <w:tcW w:w="1701" w:type="dxa"/>
            <w:tcBorders>
              <w:top w:val="nil"/>
              <w:left w:val="nil"/>
              <w:bottom w:val="nil"/>
              <w:right w:val="single" w:sz="4" w:space="0" w:color="auto"/>
            </w:tcBorders>
            <w:shd w:val="clear" w:color="000000" w:fill="FFFFFF"/>
            <w:hideMark/>
          </w:tcPr>
          <w:p w14:paraId="20D442D5" w14:textId="77777777" w:rsidR="00B72EB9" w:rsidRPr="009B4A78" w:rsidRDefault="00B72EB9" w:rsidP="008C4584">
            <w:pPr>
              <w:keepNext/>
              <w:keepLines/>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SCP agreed outcomes</w:t>
            </w:r>
          </w:p>
        </w:tc>
      </w:tr>
      <w:tr w:rsidR="00FE3211" w:rsidRPr="009B4A78" w14:paraId="3F2F624E" w14:textId="77777777" w:rsidTr="00BA43A0">
        <w:trPr>
          <w:trHeight w:val="909"/>
        </w:trPr>
        <w:tc>
          <w:tcPr>
            <w:tcW w:w="2000" w:type="dxa"/>
            <w:vMerge/>
            <w:tcBorders>
              <w:top w:val="nil"/>
              <w:left w:val="single" w:sz="4" w:space="0" w:color="auto"/>
              <w:bottom w:val="nil"/>
              <w:right w:val="nil"/>
            </w:tcBorders>
            <w:vAlign w:val="center"/>
            <w:hideMark/>
          </w:tcPr>
          <w:p w14:paraId="5646B80E"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720FC215" w14:textId="7777777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Level of satisfaction of participants in targeted workshops/seminars held on specific patent related topics</w:t>
            </w:r>
          </w:p>
        </w:tc>
        <w:tc>
          <w:tcPr>
            <w:tcW w:w="2551" w:type="dxa"/>
            <w:tcBorders>
              <w:top w:val="nil"/>
              <w:left w:val="nil"/>
              <w:bottom w:val="nil"/>
              <w:right w:val="nil"/>
            </w:tcBorders>
            <w:shd w:val="clear" w:color="000000" w:fill="FFFFFF"/>
            <w:hideMark/>
          </w:tcPr>
          <w:p w14:paraId="61958707" w14:textId="2B809774"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92</w:t>
            </w:r>
            <w:r w:rsidR="006919D4">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75 % - 2014 survey</w:t>
            </w:r>
          </w:p>
        </w:tc>
        <w:tc>
          <w:tcPr>
            <w:tcW w:w="1701" w:type="dxa"/>
            <w:tcBorders>
              <w:top w:val="nil"/>
              <w:left w:val="nil"/>
              <w:bottom w:val="nil"/>
              <w:right w:val="single" w:sz="4" w:space="0" w:color="auto"/>
            </w:tcBorders>
            <w:shd w:val="clear" w:color="000000" w:fill="FFFFFF"/>
            <w:hideMark/>
          </w:tcPr>
          <w:p w14:paraId="406A0ADC"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01C46F56" w14:textId="77777777" w:rsidTr="008D4CE9">
        <w:trPr>
          <w:trHeight w:val="648"/>
        </w:trPr>
        <w:tc>
          <w:tcPr>
            <w:tcW w:w="2000" w:type="dxa"/>
            <w:vMerge/>
            <w:tcBorders>
              <w:top w:val="nil"/>
              <w:left w:val="single" w:sz="4" w:space="0" w:color="auto"/>
              <w:bottom w:val="nil"/>
              <w:right w:val="nil"/>
            </w:tcBorders>
            <w:vAlign w:val="center"/>
            <w:hideMark/>
          </w:tcPr>
          <w:p w14:paraId="17DB0FA6"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49F40774" w14:textId="7777777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Level of satisfaction of participants in the Inventor Assistant Program (IAP)</w:t>
            </w:r>
          </w:p>
        </w:tc>
        <w:tc>
          <w:tcPr>
            <w:tcW w:w="2551" w:type="dxa"/>
            <w:tcBorders>
              <w:top w:val="nil"/>
              <w:left w:val="nil"/>
              <w:bottom w:val="nil"/>
              <w:right w:val="nil"/>
            </w:tcBorders>
            <w:shd w:val="clear" w:color="000000" w:fill="FFFFFF"/>
            <w:hideMark/>
          </w:tcPr>
          <w:p w14:paraId="31CED72A" w14:textId="08D44630" w:rsidR="00B72EB9" w:rsidRPr="009B4A78" w:rsidRDefault="00955F53" w:rsidP="00955F53">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w:t>
            </w:r>
            <w:r w:rsidR="00B72EB9" w:rsidRPr="009B4A78">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a</w:t>
            </w:r>
          </w:p>
        </w:tc>
        <w:tc>
          <w:tcPr>
            <w:tcW w:w="1701" w:type="dxa"/>
            <w:tcBorders>
              <w:top w:val="nil"/>
              <w:left w:val="nil"/>
              <w:bottom w:val="nil"/>
              <w:right w:val="single" w:sz="4" w:space="0" w:color="auto"/>
            </w:tcBorders>
            <w:shd w:val="clear" w:color="000000" w:fill="FFFFFF"/>
            <w:hideMark/>
          </w:tcPr>
          <w:p w14:paraId="672140EB"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037BB8B2" w14:textId="77777777" w:rsidTr="00BA43A0">
        <w:trPr>
          <w:trHeight w:val="1251"/>
        </w:trPr>
        <w:tc>
          <w:tcPr>
            <w:tcW w:w="2000" w:type="dxa"/>
            <w:vMerge w:val="restart"/>
            <w:tcBorders>
              <w:top w:val="nil"/>
              <w:left w:val="single" w:sz="4" w:space="0" w:color="auto"/>
              <w:bottom w:val="nil"/>
              <w:right w:val="nil"/>
            </w:tcBorders>
            <w:shd w:val="clear" w:color="000000" w:fill="FFFFFF"/>
            <w:hideMark/>
          </w:tcPr>
          <w:p w14:paraId="67EFE24C" w14:textId="77777777"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I.2 Tailored and balanced IP legislative, regulatory and policy frameworks</w:t>
            </w:r>
          </w:p>
        </w:tc>
        <w:tc>
          <w:tcPr>
            <w:tcW w:w="2977" w:type="dxa"/>
            <w:tcBorders>
              <w:top w:val="nil"/>
              <w:left w:val="nil"/>
              <w:bottom w:val="nil"/>
              <w:right w:val="nil"/>
            </w:tcBorders>
            <w:shd w:val="clear" w:color="000000" w:fill="FFFFFF"/>
            <w:hideMark/>
          </w:tcPr>
          <w:p w14:paraId="637B9AD2" w14:textId="77777777" w:rsidR="00FE3211"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of recipients which found information concerning legal principles and practices of the patent, utility model and integrated</w:t>
            </w:r>
          </w:p>
          <w:p w14:paraId="78C97651" w14:textId="17EF5E35"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 circuit systems, including the flexibilities, useful</w:t>
            </w:r>
          </w:p>
        </w:tc>
        <w:tc>
          <w:tcPr>
            <w:tcW w:w="2551" w:type="dxa"/>
            <w:tcBorders>
              <w:top w:val="nil"/>
              <w:left w:val="nil"/>
              <w:bottom w:val="nil"/>
              <w:right w:val="nil"/>
            </w:tcBorders>
            <w:shd w:val="clear" w:color="000000" w:fill="FFFFFF"/>
            <w:hideMark/>
          </w:tcPr>
          <w:p w14:paraId="63CD0A2B" w14:textId="2E7919DD"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7 countries/  participants (85</w:t>
            </w:r>
            <w:r w:rsidR="006919D4">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7%) - 2014 survey</w:t>
            </w:r>
          </w:p>
        </w:tc>
        <w:tc>
          <w:tcPr>
            <w:tcW w:w="1701" w:type="dxa"/>
            <w:tcBorders>
              <w:top w:val="nil"/>
              <w:left w:val="nil"/>
              <w:bottom w:val="nil"/>
              <w:right w:val="single" w:sz="4" w:space="0" w:color="auto"/>
            </w:tcBorders>
            <w:shd w:val="clear" w:color="000000" w:fill="FFFFFF"/>
            <w:hideMark/>
          </w:tcPr>
          <w:p w14:paraId="4C0C007E"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4ED1C000" w14:textId="77777777" w:rsidTr="00BA43A0">
        <w:trPr>
          <w:trHeight w:val="639"/>
        </w:trPr>
        <w:tc>
          <w:tcPr>
            <w:tcW w:w="2000" w:type="dxa"/>
            <w:vMerge/>
            <w:tcBorders>
              <w:top w:val="nil"/>
              <w:left w:val="single" w:sz="4" w:space="0" w:color="auto"/>
              <w:bottom w:val="nil"/>
              <w:right w:val="nil"/>
            </w:tcBorders>
            <w:vAlign w:val="center"/>
            <w:hideMark/>
          </w:tcPr>
          <w:p w14:paraId="3C692CC0"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29E6A269" w14:textId="03C7C40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No. and % of M</w:t>
            </w:r>
            <w:r w:rsidR="0076547C" w:rsidRPr="009B4A78">
              <w:rPr>
                <w:rFonts w:ascii="Arial" w:eastAsia="Times New Roman" w:hAnsi="Arial" w:cs="Arial"/>
                <w:color w:val="000000"/>
                <w:sz w:val="16"/>
                <w:szCs w:val="16"/>
                <w:lang w:eastAsia="en-US"/>
              </w:rPr>
              <w:t>ember States</w:t>
            </w:r>
            <w:r w:rsidRPr="009B4A78">
              <w:rPr>
                <w:rFonts w:ascii="Arial" w:eastAsia="Times New Roman" w:hAnsi="Arial" w:cs="Arial"/>
                <w:color w:val="000000"/>
                <w:sz w:val="16"/>
                <w:szCs w:val="16"/>
                <w:lang w:eastAsia="en-US"/>
              </w:rPr>
              <w:t xml:space="preserve"> satisfied with the legislative and policy advice provided</w:t>
            </w:r>
            <w:r w:rsidRPr="009B4A78">
              <w:rPr>
                <w:rFonts w:ascii="Arial" w:eastAsia="Times New Roman" w:hAnsi="Arial" w:cs="Arial"/>
                <w:color w:val="000000"/>
                <w:sz w:val="16"/>
                <w:szCs w:val="16"/>
                <w:lang w:eastAsia="en-US"/>
              </w:rPr>
              <w:br/>
              <w:t xml:space="preserve"> </w:t>
            </w:r>
          </w:p>
        </w:tc>
        <w:tc>
          <w:tcPr>
            <w:tcW w:w="2551" w:type="dxa"/>
            <w:tcBorders>
              <w:top w:val="nil"/>
              <w:left w:val="nil"/>
              <w:bottom w:val="nil"/>
              <w:right w:val="nil"/>
            </w:tcBorders>
            <w:shd w:val="clear" w:color="000000" w:fill="FFFFFF"/>
            <w:hideMark/>
          </w:tcPr>
          <w:p w14:paraId="0FF155C3" w14:textId="473CDFDD" w:rsidR="00B72EB9" w:rsidRPr="009B4A78" w:rsidRDefault="00B72EB9" w:rsidP="00420985">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8 M</w:t>
            </w:r>
            <w:r w:rsidR="00420985" w:rsidRPr="009B4A78">
              <w:rPr>
                <w:rFonts w:ascii="Arial" w:eastAsia="Times New Roman" w:hAnsi="Arial" w:cs="Arial"/>
                <w:color w:val="000000"/>
                <w:sz w:val="16"/>
                <w:szCs w:val="16"/>
                <w:lang w:eastAsia="en-US"/>
              </w:rPr>
              <w:t xml:space="preserve">ember States </w:t>
            </w:r>
            <w:r w:rsidRPr="009B4A78">
              <w:rPr>
                <w:rFonts w:ascii="Arial" w:eastAsia="Times New Roman" w:hAnsi="Arial" w:cs="Arial"/>
                <w:color w:val="000000"/>
                <w:sz w:val="16"/>
                <w:szCs w:val="16"/>
                <w:lang w:eastAsia="en-US"/>
              </w:rPr>
              <w:t>(90 %) - 2014 survey</w:t>
            </w:r>
          </w:p>
        </w:tc>
        <w:tc>
          <w:tcPr>
            <w:tcW w:w="1701" w:type="dxa"/>
            <w:tcBorders>
              <w:top w:val="nil"/>
              <w:left w:val="nil"/>
              <w:bottom w:val="nil"/>
              <w:right w:val="single" w:sz="4" w:space="0" w:color="auto"/>
            </w:tcBorders>
            <w:shd w:val="clear" w:color="000000" w:fill="FFFFFF"/>
            <w:hideMark/>
          </w:tcPr>
          <w:p w14:paraId="3873D57C"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164852A5" w14:textId="77777777" w:rsidTr="00BA43A0">
        <w:trPr>
          <w:trHeight w:val="1407"/>
        </w:trPr>
        <w:tc>
          <w:tcPr>
            <w:tcW w:w="2000" w:type="dxa"/>
            <w:tcBorders>
              <w:top w:val="nil"/>
              <w:left w:val="single" w:sz="4" w:space="0" w:color="auto"/>
              <w:bottom w:val="single" w:sz="4" w:space="0" w:color="auto"/>
              <w:right w:val="nil"/>
            </w:tcBorders>
            <w:shd w:val="clear" w:color="000000" w:fill="FFFFFF"/>
            <w:hideMark/>
          </w:tcPr>
          <w:p w14:paraId="4EF8A4AB" w14:textId="75B6A410"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I.4 Growing interest in WIPO as a forum for analysis of issues in relation to the international protection of </w:t>
            </w:r>
            <w:r w:rsidR="00CB4716">
              <w:rPr>
                <w:rFonts w:ascii="Arial" w:eastAsia="Times New Roman" w:hAnsi="Arial" w:cs="Arial"/>
                <w:color w:val="000000"/>
                <w:sz w:val="16"/>
                <w:szCs w:val="16"/>
                <w:lang w:eastAsia="en-US"/>
              </w:rPr>
              <w:t xml:space="preserve">patents, utility models, layout designs (topographies) of integrated circuits and </w:t>
            </w:r>
            <w:r w:rsidRPr="009B4A78">
              <w:rPr>
                <w:rFonts w:ascii="Arial" w:eastAsia="Times New Roman" w:hAnsi="Arial" w:cs="Arial"/>
                <w:color w:val="000000"/>
                <w:sz w:val="16"/>
                <w:szCs w:val="16"/>
                <w:lang w:eastAsia="en-US"/>
              </w:rPr>
              <w:t>confidential information</w:t>
            </w:r>
          </w:p>
        </w:tc>
        <w:tc>
          <w:tcPr>
            <w:tcW w:w="2977" w:type="dxa"/>
            <w:tcBorders>
              <w:top w:val="nil"/>
              <w:left w:val="nil"/>
              <w:bottom w:val="single" w:sz="4" w:space="0" w:color="auto"/>
              <w:right w:val="nil"/>
            </w:tcBorders>
            <w:shd w:val="clear" w:color="000000" w:fill="FFFFFF"/>
            <w:hideMark/>
          </w:tcPr>
          <w:p w14:paraId="33D21455" w14:textId="12A1B8A5"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 of recipients which found information concerning legal principles and practices on the protection of </w:t>
            </w:r>
            <w:r w:rsidR="00CB4716" w:rsidRPr="00CB4716">
              <w:rPr>
                <w:rFonts w:ascii="Arial" w:eastAsia="Times New Roman" w:hAnsi="Arial" w:cs="Arial"/>
                <w:color w:val="000000"/>
                <w:sz w:val="16"/>
                <w:szCs w:val="16"/>
                <w:lang w:eastAsia="en-US"/>
              </w:rPr>
              <w:t xml:space="preserve">utility models, layout designs (topographies) of integrated circuits and </w:t>
            </w:r>
            <w:r w:rsidRPr="009B4A78">
              <w:rPr>
                <w:rFonts w:ascii="Arial" w:eastAsia="Times New Roman" w:hAnsi="Arial" w:cs="Arial"/>
                <w:color w:val="000000"/>
                <w:sz w:val="16"/>
                <w:szCs w:val="16"/>
                <w:lang w:eastAsia="en-US"/>
              </w:rPr>
              <w:t>confidential information, useful</w:t>
            </w:r>
          </w:p>
        </w:tc>
        <w:tc>
          <w:tcPr>
            <w:tcW w:w="2551" w:type="dxa"/>
            <w:tcBorders>
              <w:top w:val="nil"/>
              <w:left w:val="nil"/>
              <w:bottom w:val="single" w:sz="4" w:space="0" w:color="auto"/>
              <w:right w:val="nil"/>
            </w:tcBorders>
            <w:shd w:val="clear" w:color="000000" w:fill="FFFFFF"/>
            <w:hideMark/>
          </w:tcPr>
          <w:p w14:paraId="1D62BD0C" w14:textId="3D5BB7E7" w:rsidR="00B72EB9" w:rsidRPr="009B4A78" w:rsidRDefault="00955F53" w:rsidP="00955F53">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w:t>
            </w:r>
            <w:r w:rsidR="00B72EB9" w:rsidRPr="009B4A78">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a</w:t>
            </w:r>
          </w:p>
        </w:tc>
        <w:tc>
          <w:tcPr>
            <w:tcW w:w="1701" w:type="dxa"/>
            <w:tcBorders>
              <w:top w:val="nil"/>
              <w:left w:val="nil"/>
              <w:bottom w:val="single" w:sz="4" w:space="0" w:color="auto"/>
              <w:right w:val="single" w:sz="4" w:space="0" w:color="auto"/>
            </w:tcBorders>
            <w:shd w:val="clear" w:color="000000" w:fill="FFFFFF"/>
            <w:hideMark/>
          </w:tcPr>
          <w:p w14:paraId="6FFB49BA" w14:textId="21B7F765" w:rsidR="00B72EB9" w:rsidRPr="009B4A78" w:rsidRDefault="00D9129C"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bl>
    <w:p w14:paraId="4CF6C55D" w14:textId="659345A9" w:rsidR="00052E4C" w:rsidRDefault="00052E4C" w:rsidP="00052E4C">
      <w:pPr>
        <w:autoSpaceDE w:val="0"/>
        <w:autoSpaceDN w:val="0"/>
        <w:rPr>
          <w:rFonts w:ascii="Arial" w:hAnsi="Arial" w:cs="Arial"/>
        </w:rPr>
      </w:pPr>
    </w:p>
    <w:p w14:paraId="2E76B186" w14:textId="77777777" w:rsidR="005544D2" w:rsidRDefault="005544D2" w:rsidP="00052E4C">
      <w:pPr>
        <w:autoSpaceDE w:val="0"/>
        <w:autoSpaceDN w:val="0"/>
        <w:rPr>
          <w:rFonts w:ascii="Arial" w:hAnsi="Arial" w:cs="Arial"/>
        </w:rPr>
      </w:pPr>
    </w:p>
    <w:p w14:paraId="2636A16D" w14:textId="2CC0853D" w:rsidR="00974839" w:rsidRPr="009B4A78" w:rsidRDefault="009E2D75" w:rsidP="00FB68E0">
      <w:pPr>
        <w:keepNext/>
        <w:keepLines/>
        <w:autoSpaceDE w:val="0"/>
        <w:autoSpaceDN w:val="0"/>
        <w:rPr>
          <w:rFonts w:ascii="Arial" w:hAnsi="Arial" w:cs="Arial"/>
        </w:rPr>
      </w:pPr>
      <w:r w:rsidRPr="009B4A78">
        <w:rPr>
          <w:rFonts w:ascii="Arial" w:hAnsi="Arial" w:cs="Arial"/>
        </w:rPr>
        <w:t>RESOURCES FOR PROGRAM 1</w:t>
      </w:r>
    </w:p>
    <w:p w14:paraId="423F962A" w14:textId="77777777" w:rsidR="00C52B8B" w:rsidRPr="009B4A78" w:rsidRDefault="00C52B8B" w:rsidP="00FB68E0">
      <w:pPr>
        <w:keepNext/>
        <w:keepLines/>
        <w:autoSpaceDE w:val="0"/>
        <w:autoSpaceDN w:val="0"/>
        <w:rPr>
          <w:rFonts w:ascii="Arial" w:hAnsi="Arial" w:cs="Arial"/>
        </w:rPr>
      </w:pPr>
    </w:p>
    <w:p w14:paraId="1C708F65" w14:textId="5B7E81FC" w:rsidR="00C52B8B" w:rsidRPr="00FB68E0" w:rsidRDefault="00994F76" w:rsidP="00FB68E0">
      <w:pPr>
        <w:keepNext/>
        <w:keepLines/>
        <w:autoSpaceDE w:val="0"/>
        <w:autoSpaceDN w:val="0"/>
        <w:jc w:val="both"/>
        <w:rPr>
          <w:rFonts w:ascii="Arial" w:hAnsi="Arial" w:cs="Arial"/>
          <w:sz w:val="20"/>
          <w:szCs w:val="20"/>
        </w:rPr>
      </w:pPr>
      <w:r>
        <w:rPr>
          <w:rFonts w:ascii="Arial" w:hAnsi="Arial" w:cs="Arial"/>
          <w:sz w:val="20"/>
          <w:szCs w:val="20"/>
        </w:rPr>
        <w:t>1.5</w:t>
      </w:r>
      <w:r>
        <w:rPr>
          <w:rFonts w:ascii="Arial" w:hAnsi="Arial" w:cs="Arial"/>
          <w:sz w:val="20"/>
          <w:szCs w:val="20"/>
        </w:rPr>
        <w:tab/>
      </w:r>
      <w:r w:rsidR="00C52B8B" w:rsidRPr="00FB68E0">
        <w:rPr>
          <w:rFonts w:ascii="Arial" w:hAnsi="Arial" w:cs="Arial"/>
          <w:sz w:val="20"/>
          <w:szCs w:val="20"/>
        </w:rPr>
        <w:t>The slight increase in the overall resources for Program 1 in 2016/17 compared to the 2014/15 Budget after Transfers, is the result of</w:t>
      </w:r>
      <w:r w:rsidR="00F87E08">
        <w:rPr>
          <w:rFonts w:ascii="Arial" w:hAnsi="Arial" w:cs="Arial"/>
          <w:sz w:val="20"/>
          <w:szCs w:val="20"/>
        </w:rPr>
        <w:t xml:space="preserve"> (</w:t>
      </w:r>
      <w:proofErr w:type="spellStart"/>
      <w:r w:rsidR="00F87E08">
        <w:rPr>
          <w:rFonts w:ascii="Arial" w:hAnsi="Arial" w:cs="Arial"/>
          <w:sz w:val="20"/>
          <w:szCs w:val="20"/>
        </w:rPr>
        <w:t>i</w:t>
      </w:r>
      <w:proofErr w:type="spellEnd"/>
      <w:r w:rsidR="00F87E08">
        <w:rPr>
          <w:rFonts w:ascii="Arial" w:hAnsi="Arial" w:cs="Arial"/>
          <w:sz w:val="20"/>
          <w:szCs w:val="20"/>
        </w:rPr>
        <w:t xml:space="preserve">) </w:t>
      </w:r>
      <w:r w:rsidR="00C52B8B" w:rsidRPr="00FB68E0">
        <w:rPr>
          <w:rFonts w:ascii="Arial" w:hAnsi="Arial" w:cs="Arial"/>
          <w:sz w:val="20"/>
          <w:szCs w:val="20"/>
        </w:rPr>
        <w:t xml:space="preserve">the transfer of responsibilities for patent drafting to the Program from Program 30 (SMEs and Entrepreneurship </w:t>
      </w:r>
      <w:r w:rsidR="00F87E08">
        <w:rPr>
          <w:rFonts w:ascii="Arial" w:hAnsi="Arial" w:cs="Arial"/>
          <w:sz w:val="20"/>
          <w:szCs w:val="20"/>
        </w:rPr>
        <w:t>S</w:t>
      </w:r>
      <w:r w:rsidR="00C52B8B" w:rsidRPr="00FB68E0">
        <w:rPr>
          <w:rFonts w:ascii="Arial" w:hAnsi="Arial" w:cs="Arial"/>
          <w:sz w:val="20"/>
          <w:szCs w:val="20"/>
        </w:rPr>
        <w:t xml:space="preserve">upport) and (ii) activities linked to </w:t>
      </w:r>
      <w:r w:rsidR="00C52B8B" w:rsidRPr="009B4A78">
        <w:rPr>
          <w:rFonts w:ascii="Arial" w:hAnsi="Arial" w:cs="Arial"/>
          <w:sz w:val="20"/>
          <w:szCs w:val="20"/>
        </w:rPr>
        <w:t xml:space="preserve">addressing issues relating to protection of </w:t>
      </w:r>
      <w:r w:rsidRPr="00994F76">
        <w:rPr>
          <w:rFonts w:ascii="Arial" w:hAnsi="Arial" w:cs="Arial"/>
          <w:sz w:val="20"/>
          <w:szCs w:val="20"/>
        </w:rPr>
        <w:t xml:space="preserve">patents, utility models, layout designs (topographies) of integrated circuits and </w:t>
      </w:r>
      <w:r w:rsidR="00C52B8B" w:rsidRPr="009B4A78">
        <w:rPr>
          <w:rFonts w:ascii="Arial" w:hAnsi="Arial" w:cs="Arial"/>
          <w:sz w:val="20"/>
          <w:szCs w:val="20"/>
        </w:rPr>
        <w:t>confidential information in the context of promotion of innovation and dissemination of technology</w:t>
      </w:r>
      <w:r w:rsidR="00C52B8B" w:rsidRPr="00FB68E0">
        <w:rPr>
          <w:rFonts w:ascii="Arial" w:hAnsi="Arial" w:cs="Arial"/>
          <w:sz w:val="20"/>
          <w:szCs w:val="20"/>
        </w:rPr>
        <w:t>.</w:t>
      </w:r>
    </w:p>
    <w:p w14:paraId="37044122" w14:textId="77777777" w:rsidR="00963C41" w:rsidRPr="009B4A78" w:rsidRDefault="00963C41" w:rsidP="00FB68E0">
      <w:pPr>
        <w:keepNext/>
        <w:keepLines/>
        <w:autoSpaceDE w:val="0"/>
        <w:autoSpaceDN w:val="0"/>
        <w:jc w:val="center"/>
        <w:rPr>
          <w:rFonts w:ascii="Arial" w:hAnsi="Arial" w:cs="Arial"/>
          <w:b/>
          <w:sz w:val="20"/>
        </w:rPr>
      </w:pPr>
    </w:p>
    <w:p w14:paraId="3D31A006" w14:textId="45ADC646" w:rsidR="00974839" w:rsidRPr="00191706" w:rsidRDefault="00974839" w:rsidP="00CC543A">
      <w:pPr>
        <w:keepNext/>
        <w:keepLines/>
        <w:autoSpaceDE w:val="0"/>
        <w:autoSpaceDN w:val="0"/>
        <w:jc w:val="center"/>
        <w:rPr>
          <w:rFonts w:ascii="Arial" w:hAnsi="Arial" w:cs="Arial"/>
          <w:b/>
          <w:sz w:val="20"/>
        </w:rPr>
      </w:pPr>
      <w:r w:rsidRPr="002B754A">
        <w:rPr>
          <w:rFonts w:ascii="Arial" w:hAnsi="Arial" w:cs="Arial"/>
          <w:b/>
          <w:sz w:val="20"/>
        </w:rPr>
        <w:t>Program 1: Resources by Result</w:t>
      </w:r>
    </w:p>
    <w:p w14:paraId="33D4CDE3" w14:textId="77777777" w:rsidR="00974839" w:rsidRPr="009B4A78" w:rsidRDefault="00974839" w:rsidP="00CC543A">
      <w:pPr>
        <w:keepNext/>
        <w:keepLines/>
        <w:autoSpaceDE w:val="0"/>
        <w:autoSpaceDN w:val="0"/>
        <w:jc w:val="center"/>
        <w:rPr>
          <w:rFonts w:ascii="Arial" w:hAnsi="Arial" w:cs="Arial"/>
          <w:i/>
          <w:sz w:val="20"/>
        </w:rPr>
      </w:pPr>
      <w:r w:rsidRPr="002B754A">
        <w:rPr>
          <w:rFonts w:ascii="Arial" w:hAnsi="Arial" w:cs="Arial"/>
          <w:i/>
          <w:sz w:val="20"/>
        </w:rPr>
        <w:t>(In thousands of Swiss francs)</w:t>
      </w:r>
      <w:r w:rsidRPr="009B4A78">
        <w:rPr>
          <w:rFonts w:ascii="Arial" w:hAnsi="Arial" w:cs="Arial"/>
          <w:i/>
          <w:sz w:val="20"/>
        </w:rPr>
        <w:t xml:space="preserve"> </w:t>
      </w:r>
    </w:p>
    <w:p w14:paraId="05EB50CA" w14:textId="77777777" w:rsidR="00974839" w:rsidRPr="009B4A78" w:rsidRDefault="00974839" w:rsidP="00CC543A">
      <w:pPr>
        <w:keepNext/>
        <w:keepLines/>
        <w:autoSpaceDE w:val="0"/>
        <w:autoSpaceDN w:val="0"/>
        <w:rPr>
          <w:rFonts w:ascii="Arial" w:hAnsi="Arial" w:cs="Arial"/>
        </w:rPr>
      </w:pPr>
    </w:p>
    <w:p w14:paraId="3F9C1226" w14:textId="5580BFF0" w:rsidR="00634A29" w:rsidRPr="009B4A78" w:rsidRDefault="002B754A" w:rsidP="008D4CE9">
      <w:pPr>
        <w:autoSpaceDE w:val="0"/>
        <w:autoSpaceDN w:val="0"/>
        <w:jc w:val="center"/>
        <w:rPr>
          <w:rFonts w:ascii="Arial" w:hAnsi="Arial" w:cs="Arial"/>
          <w:b/>
          <w:sz w:val="20"/>
        </w:rPr>
      </w:pPr>
      <w:r w:rsidRPr="002B754A">
        <w:rPr>
          <w:noProof/>
          <w:lang w:eastAsia="en-US"/>
        </w:rPr>
        <w:drawing>
          <wp:inline distT="0" distB="0" distL="0" distR="0" wp14:anchorId="2F26EEEE" wp14:editId="4D82D1BD">
            <wp:extent cx="5514975" cy="2281463"/>
            <wp:effectExtent l="0" t="0" r="0" b="508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7443" cy="2282484"/>
                    </a:xfrm>
                    <a:prstGeom prst="rect">
                      <a:avLst/>
                    </a:prstGeom>
                    <a:noFill/>
                    <a:ln>
                      <a:noFill/>
                    </a:ln>
                  </pic:spPr>
                </pic:pic>
              </a:graphicData>
            </a:graphic>
          </wp:inline>
        </w:drawing>
      </w:r>
    </w:p>
    <w:p w14:paraId="07B739A1" w14:textId="1E4C0A9B" w:rsidR="00B72EB9" w:rsidRPr="009B4A78" w:rsidRDefault="00CA3243" w:rsidP="00CC543A">
      <w:pPr>
        <w:keepNext/>
        <w:keepLines/>
        <w:autoSpaceDE w:val="0"/>
        <w:autoSpaceDN w:val="0"/>
        <w:jc w:val="center"/>
        <w:rPr>
          <w:rFonts w:ascii="Arial" w:hAnsi="Arial" w:cs="Arial"/>
          <w:b/>
          <w:sz w:val="20"/>
        </w:rPr>
      </w:pPr>
      <w:r w:rsidRPr="009B4A78">
        <w:rPr>
          <w:rFonts w:ascii="Arial" w:hAnsi="Arial" w:cs="Arial"/>
          <w:b/>
          <w:sz w:val="20"/>
        </w:rPr>
        <w:lastRenderedPageBreak/>
        <w:t>Program 1</w:t>
      </w:r>
      <w:r w:rsidR="00D5028B" w:rsidRPr="009B4A78">
        <w:rPr>
          <w:rFonts w:ascii="Arial" w:hAnsi="Arial" w:cs="Arial"/>
          <w:b/>
          <w:sz w:val="20"/>
        </w:rPr>
        <w:t xml:space="preserve">: </w:t>
      </w:r>
      <w:r w:rsidR="00634A29" w:rsidRPr="009B4A78">
        <w:rPr>
          <w:rFonts w:ascii="Arial" w:hAnsi="Arial" w:cs="Arial"/>
          <w:b/>
          <w:sz w:val="20"/>
        </w:rPr>
        <w:t>Resources by O</w:t>
      </w:r>
      <w:r w:rsidR="00D2539F" w:rsidRPr="009B4A78">
        <w:rPr>
          <w:rFonts w:ascii="Arial" w:hAnsi="Arial" w:cs="Arial"/>
          <w:b/>
          <w:sz w:val="20"/>
        </w:rPr>
        <w:t>bject of Expenditure</w:t>
      </w:r>
    </w:p>
    <w:p w14:paraId="663F9E2B" w14:textId="5B5417A4" w:rsidR="00D2539F" w:rsidRPr="009B4A78" w:rsidRDefault="00D2539F" w:rsidP="00CC543A">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4CCEE639" w14:textId="77777777" w:rsidR="001B78C9" w:rsidRPr="009B4A78" w:rsidRDefault="001B78C9" w:rsidP="00CC543A">
      <w:pPr>
        <w:keepNext/>
        <w:keepLines/>
        <w:autoSpaceDE w:val="0"/>
        <w:autoSpaceDN w:val="0"/>
        <w:jc w:val="center"/>
        <w:rPr>
          <w:rFonts w:ascii="Arial" w:hAnsi="Arial" w:cs="Arial"/>
          <w:i/>
          <w:sz w:val="20"/>
        </w:rPr>
      </w:pPr>
    </w:p>
    <w:p w14:paraId="31FE5754" w14:textId="77777777" w:rsidR="00052E4C" w:rsidRPr="009B4A78" w:rsidRDefault="00052E4C" w:rsidP="00CC543A">
      <w:pPr>
        <w:keepNext/>
        <w:keepLines/>
        <w:autoSpaceDE w:val="0"/>
        <w:autoSpaceDN w:val="0"/>
        <w:rPr>
          <w:rFonts w:ascii="Arial" w:hAnsi="Arial" w:cs="Arial"/>
        </w:rPr>
      </w:pPr>
    </w:p>
    <w:p w14:paraId="4117938A" w14:textId="2423FDD5" w:rsidR="004F3F15" w:rsidRPr="009B4A78" w:rsidRDefault="008D7E6A" w:rsidP="00CC543A">
      <w:pPr>
        <w:ind w:hanging="142"/>
        <w:jc w:val="center"/>
        <w:rPr>
          <w:rFonts w:ascii="Arial" w:hAnsi="Arial" w:cs="Arial"/>
          <w:sz w:val="20"/>
          <w:szCs w:val="20"/>
        </w:rPr>
      </w:pPr>
      <w:r w:rsidRPr="009B4A78">
        <w:rPr>
          <w:rFonts w:ascii="Arial" w:hAnsi="Arial" w:cs="Arial"/>
          <w:noProof/>
          <w:lang w:eastAsia="en-US"/>
        </w:rPr>
        <w:drawing>
          <wp:inline distT="0" distB="0" distL="0" distR="0" wp14:anchorId="26F44602" wp14:editId="3A843A6B">
            <wp:extent cx="5589767" cy="6315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9767" cy="6315453"/>
                    </a:xfrm>
                    <a:prstGeom prst="rect">
                      <a:avLst/>
                    </a:prstGeom>
                    <a:noFill/>
                    <a:ln>
                      <a:noFill/>
                    </a:ln>
                  </pic:spPr>
                </pic:pic>
              </a:graphicData>
            </a:graphic>
          </wp:inline>
        </w:drawing>
      </w:r>
    </w:p>
    <w:p w14:paraId="7BD20C68" w14:textId="77777777" w:rsidR="00CC543A" w:rsidRPr="009B4A78" w:rsidRDefault="00CC543A" w:rsidP="00CC543A">
      <w:pPr>
        <w:ind w:hanging="142"/>
        <w:rPr>
          <w:rFonts w:ascii="Arial" w:hAnsi="Arial" w:cs="Arial"/>
          <w:sz w:val="20"/>
          <w:szCs w:val="20"/>
        </w:rPr>
      </w:pPr>
    </w:p>
    <w:p w14:paraId="4432F1D5" w14:textId="7174628D" w:rsidR="00CC543A" w:rsidRPr="009B4A78" w:rsidRDefault="00CC543A">
      <w:pPr>
        <w:rPr>
          <w:rFonts w:ascii="Arial" w:hAnsi="Arial" w:cs="Arial"/>
          <w:sz w:val="20"/>
          <w:szCs w:val="20"/>
        </w:rPr>
      </w:pPr>
      <w:r w:rsidRPr="009B4A78">
        <w:rPr>
          <w:rFonts w:ascii="Arial" w:hAnsi="Arial" w:cs="Arial"/>
          <w:sz w:val="20"/>
          <w:szCs w:val="20"/>
        </w:rPr>
        <w:br w:type="page"/>
      </w:r>
    </w:p>
    <w:p w14:paraId="7970A224" w14:textId="77777777" w:rsidR="00CC543A" w:rsidRPr="009B4A78" w:rsidRDefault="00CC543A" w:rsidP="00F33E49">
      <w:pPr>
        <w:pStyle w:val="StyleHeading3ComplexItalic"/>
        <w:tabs>
          <w:tab w:val="clear" w:pos="1985"/>
          <w:tab w:val="left" w:pos="1843"/>
        </w:tabs>
        <w:ind w:left="1843" w:hanging="1843"/>
        <w:rPr>
          <w:rStyle w:val="StyleStyleHeading3ComplexItalicLatin12ptChar"/>
          <w:rFonts w:eastAsia="SimSun"/>
          <w:b/>
        </w:rPr>
      </w:pPr>
      <w:bookmarkStart w:id="24" w:name="_Toc431221406"/>
      <w:r w:rsidRPr="009B4A78">
        <w:rPr>
          <w:rStyle w:val="StyleStyleHeading3ComplexItalicLatin12ptChar"/>
          <w:rFonts w:eastAsia="SimSun"/>
          <w:b/>
        </w:rPr>
        <w:lastRenderedPageBreak/>
        <w:t>PROGRAM 2</w:t>
      </w:r>
      <w:r w:rsidRPr="009B4A78">
        <w:rPr>
          <w:rStyle w:val="StyleStyleHeading3ComplexItalicLatin12ptChar"/>
          <w:rFonts w:eastAsia="SimSun"/>
          <w:b/>
        </w:rPr>
        <w:tab/>
        <w:t>TRADEMARKS, INDUSTRIAL DESIGNS AND GEOGRAPHICAL INDICATIONS</w:t>
      </w:r>
      <w:bookmarkEnd w:id="24"/>
    </w:p>
    <w:p w14:paraId="7109419A" w14:textId="77777777" w:rsidR="00CC543A" w:rsidRPr="009B4A78" w:rsidRDefault="00CC543A" w:rsidP="00F33E49">
      <w:pPr>
        <w:pStyle w:val="BodyText"/>
        <w:spacing w:after="0"/>
      </w:pPr>
    </w:p>
    <w:p w14:paraId="0B269AD3" w14:textId="77777777" w:rsidR="00CC543A" w:rsidRPr="009B4A78" w:rsidRDefault="00CC543A" w:rsidP="00F33E49">
      <w:pPr>
        <w:pStyle w:val="BodyText"/>
        <w:spacing w:after="0"/>
      </w:pPr>
    </w:p>
    <w:p w14:paraId="630E3717" w14:textId="77777777" w:rsidR="00CC543A" w:rsidRPr="009B4A78" w:rsidRDefault="00CC543A" w:rsidP="00F33E49">
      <w:pPr>
        <w:pStyle w:val="BodyText"/>
        <w:spacing w:after="0"/>
      </w:pPr>
      <w:r w:rsidRPr="009B4A78">
        <w:t>PLANNING CONTEXT</w:t>
      </w:r>
    </w:p>
    <w:p w14:paraId="33644E2A" w14:textId="77777777" w:rsidR="00CC543A" w:rsidRPr="009B4A78" w:rsidRDefault="00CC543A" w:rsidP="00F33E49">
      <w:pPr>
        <w:jc w:val="both"/>
        <w:rPr>
          <w:rFonts w:ascii="Arial" w:hAnsi="Arial" w:cs="Arial"/>
        </w:rPr>
      </w:pPr>
    </w:p>
    <w:p w14:paraId="2A176ECF" w14:textId="77777777" w:rsidR="00CC543A" w:rsidRPr="009B4A78" w:rsidRDefault="00CC543A" w:rsidP="00B66A4A">
      <w:pPr>
        <w:numPr>
          <w:ilvl w:val="0"/>
          <w:numId w:val="3"/>
        </w:numPr>
        <w:jc w:val="both"/>
        <w:rPr>
          <w:rFonts w:ascii="Arial" w:hAnsi="Arial" w:cs="Arial"/>
          <w:sz w:val="20"/>
        </w:rPr>
      </w:pPr>
      <w:r w:rsidRPr="009B4A78">
        <w:rPr>
          <w:rFonts w:ascii="Arial" w:hAnsi="Arial" w:cs="Arial"/>
          <w:sz w:val="20"/>
        </w:rPr>
        <w:t>Brands are one of the primary sources of competitive advantage.  They are critical to the commercialization of new products (including services), and for providing information about products to customers in a fast-moving economy.  A growing number of economic studies has demonstrated the role of brands for innovation and their overall economic importance.  Likewise, the role of designs in the world economy is constantly gaining importance and evidence on the function of designs as a source of innovation and economic growth is emerging.  Against this background, policy makers need to keep the legal framework for the protection of brands and designs under continued scrutiny with a view to fostering innovation and business performance, and to developing informed responses to newly emerging challenges.  Program 2 will endeavor to produce outcomes, which will allow WIPO to advance a balanced evolution of the international framework for brands and designs and to enable the establishment of a legal environment that responds to the specific needs and requirements of Member States’ brand and design industries.</w:t>
      </w:r>
    </w:p>
    <w:p w14:paraId="6002D4F6" w14:textId="77777777" w:rsidR="00CC543A" w:rsidRPr="009B4A78" w:rsidRDefault="00CC543A" w:rsidP="00F33E49">
      <w:pPr>
        <w:jc w:val="both"/>
        <w:rPr>
          <w:rFonts w:ascii="Arial" w:hAnsi="Arial" w:cs="Arial"/>
          <w:sz w:val="20"/>
        </w:rPr>
      </w:pPr>
    </w:p>
    <w:p w14:paraId="67B0D26F" w14:textId="77777777" w:rsidR="00CC543A" w:rsidRPr="009B4A78" w:rsidRDefault="00CC543A" w:rsidP="00F33E49">
      <w:pPr>
        <w:jc w:val="both"/>
        <w:rPr>
          <w:rFonts w:ascii="Arial" w:hAnsi="Arial" w:cs="Arial"/>
          <w:sz w:val="20"/>
        </w:rPr>
      </w:pPr>
    </w:p>
    <w:p w14:paraId="0585C9D7" w14:textId="77777777" w:rsidR="00CC543A" w:rsidRPr="009B4A78" w:rsidRDefault="00CC543A" w:rsidP="00F33E49">
      <w:pPr>
        <w:pStyle w:val="BodyText"/>
        <w:spacing w:after="0"/>
      </w:pPr>
      <w:r w:rsidRPr="009B4A78">
        <w:t>IMPLEMENTATION STRATEGIES</w:t>
      </w:r>
    </w:p>
    <w:p w14:paraId="789CE497" w14:textId="77777777" w:rsidR="00CC543A" w:rsidRPr="009B4A78" w:rsidRDefault="00CC543A" w:rsidP="00F33E49">
      <w:pPr>
        <w:jc w:val="both"/>
        <w:rPr>
          <w:rFonts w:ascii="Arial" w:hAnsi="Arial" w:cs="Arial"/>
        </w:rPr>
      </w:pPr>
    </w:p>
    <w:p w14:paraId="35FA6A7E" w14:textId="34E57D8D" w:rsidR="00CC543A" w:rsidRPr="009B4A78" w:rsidRDefault="00CC543A" w:rsidP="00B66A4A">
      <w:pPr>
        <w:numPr>
          <w:ilvl w:val="0"/>
          <w:numId w:val="3"/>
        </w:numPr>
        <w:jc w:val="both"/>
        <w:rPr>
          <w:rFonts w:ascii="Arial" w:hAnsi="Arial" w:cs="Arial"/>
          <w:sz w:val="20"/>
        </w:rPr>
      </w:pPr>
      <w:r w:rsidRPr="009B4A78">
        <w:rPr>
          <w:rFonts w:ascii="Arial" w:hAnsi="Arial" w:cs="Arial"/>
          <w:sz w:val="20"/>
        </w:rPr>
        <w:t>Progress in the development of a balanced international legal framework for brands and designs that is conducive for innovation and economic growth is the Program’s main objective.  With regard to an international regulatory framework for industrial design registration procedures, the Standing Committee on the Law of Trademarks, Industrial Designs and Geographical Indications (SCT) has significantly advanced work on a draft Design Law Treaty, aiming at simplifying design registration procedures. Subject to a decision by the WIPO General Assembly, this work could result in the holding of a Diplomatic Conference for the adoption of a Design Law Treaty during the biennium.  Moreover, the SCT will continue to service the work of Member States on agreed topical subjects in the area of trademarks, industrial designs and geographical indications.  The SCT will continue to observe developments in the Domain Name System (</w:t>
      </w:r>
      <w:r w:rsidR="005925B1" w:rsidRPr="009B4A78">
        <w:rPr>
          <w:rFonts w:ascii="Arial" w:hAnsi="Arial" w:cs="Arial"/>
          <w:sz w:val="20"/>
        </w:rPr>
        <w:t>DN</w:t>
      </w:r>
      <w:r w:rsidR="005925B1">
        <w:rPr>
          <w:rFonts w:ascii="Arial" w:hAnsi="Arial" w:cs="Arial"/>
          <w:sz w:val="20"/>
        </w:rPr>
        <w:t>S</w:t>
      </w:r>
      <w:r w:rsidRPr="009B4A78">
        <w:rPr>
          <w:rFonts w:ascii="Arial" w:hAnsi="Arial" w:cs="Arial"/>
          <w:sz w:val="20"/>
        </w:rPr>
        <w:t>) (in cooperation with Program 7) and in the area of International Nonproprietary Names for Pharmaceutical Substances (INNs).  Due consideration will be given to Cluster B of the DA Recommendations (Recommendations 15 to 17 and 20 to 22), ensuring that account is taken of the different levels of development of WIPO Member States; flexibilities of interest to developing countries and LDCs; the views of all Member States and other stakeholders; and development goals agreed within the UN system.  WIPO will also deliver the appropriate legal and administrative support to Member States and certain international intergovernmental organizations for the protection of certain of their emblems under Article 6</w:t>
      </w:r>
      <w:r w:rsidRPr="009B4A78">
        <w:rPr>
          <w:rFonts w:ascii="Arial" w:hAnsi="Arial" w:cs="Arial"/>
          <w:i/>
          <w:sz w:val="20"/>
        </w:rPr>
        <w:t>ter</w:t>
      </w:r>
      <w:r w:rsidRPr="009B4A78">
        <w:rPr>
          <w:rFonts w:ascii="Arial" w:hAnsi="Arial" w:cs="Arial"/>
          <w:sz w:val="20"/>
        </w:rPr>
        <w:t xml:space="preserve"> of the Paris Convention.  </w:t>
      </w:r>
    </w:p>
    <w:p w14:paraId="62D4445B" w14:textId="77777777" w:rsidR="00CC543A" w:rsidRPr="009B4A78" w:rsidRDefault="00CC543A" w:rsidP="00F33E49">
      <w:pPr>
        <w:jc w:val="both"/>
        <w:rPr>
          <w:rFonts w:ascii="Arial" w:hAnsi="Arial" w:cs="Arial"/>
        </w:rPr>
      </w:pPr>
    </w:p>
    <w:p w14:paraId="044F3612" w14:textId="77777777" w:rsidR="00CC543A" w:rsidRPr="009B4A78" w:rsidRDefault="00CC543A" w:rsidP="00B66A4A">
      <w:pPr>
        <w:numPr>
          <w:ilvl w:val="0"/>
          <w:numId w:val="3"/>
        </w:numPr>
        <w:jc w:val="both"/>
        <w:rPr>
          <w:rFonts w:ascii="Arial" w:hAnsi="Arial" w:cs="Arial"/>
          <w:sz w:val="20"/>
        </w:rPr>
      </w:pPr>
      <w:r w:rsidRPr="009B4A78">
        <w:rPr>
          <w:rFonts w:ascii="Arial" w:hAnsi="Arial" w:cs="Arial"/>
          <w:sz w:val="20"/>
        </w:rPr>
        <w:t>Implementation will include organizing sessions of the SCT.  In line with DA Recommendation 15, sessions of the SCT will be open to all Member States and accredited observers.  Working documents will be prepared by the Secretariat and presented in all six official languages of the UN.</w:t>
      </w:r>
    </w:p>
    <w:p w14:paraId="6DDA104D" w14:textId="77777777" w:rsidR="00CC543A" w:rsidRPr="009B4A78" w:rsidRDefault="00CC543A" w:rsidP="00F33E49">
      <w:pPr>
        <w:jc w:val="both"/>
        <w:rPr>
          <w:rFonts w:ascii="Arial" w:hAnsi="Arial" w:cs="Arial"/>
        </w:rPr>
      </w:pPr>
    </w:p>
    <w:p w14:paraId="61B049EA" w14:textId="77777777" w:rsidR="00CC543A" w:rsidRPr="009B4A78" w:rsidRDefault="00CC543A" w:rsidP="00B66A4A">
      <w:pPr>
        <w:numPr>
          <w:ilvl w:val="0"/>
          <w:numId w:val="3"/>
        </w:numPr>
        <w:jc w:val="both"/>
        <w:rPr>
          <w:rFonts w:ascii="Arial" w:hAnsi="Arial" w:cs="Arial"/>
          <w:sz w:val="20"/>
        </w:rPr>
      </w:pPr>
      <w:r w:rsidRPr="009B4A78">
        <w:rPr>
          <w:rFonts w:ascii="Arial" w:hAnsi="Arial" w:cs="Arial"/>
          <w:sz w:val="20"/>
        </w:rPr>
        <w:t xml:space="preserve">The Secretariat will continue to ensure the efficient administration of Article 6ter Paris Convention communication procedures and produce biannual electronic publications containing all signs to be communicated under Article 6ter(3).  </w:t>
      </w:r>
    </w:p>
    <w:p w14:paraId="43107E15" w14:textId="77777777" w:rsidR="00CC543A" w:rsidRDefault="00CC543A" w:rsidP="00B66A4A">
      <w:pPr>
        <w:keepNext/>
        <w:keepLines/>
        <w:numPr>
          <w:ilvl w:val="0"/>
          <w:numId w:val="3"/>
        </w:numPr>
        <w:jc w:val="both"/>
        <w:rPr>
          <w:rFonts w:ascii="Arial" w:hAnsi="Arial" w:cs="Arial"/>
        </w:rPr>
      </w:pPr>
      <w:r w:rsidRPr="009B4A78">
        <w:rPr>
          <w:rFonts w:ascii="Arial" w:hAnsi="Arial" w:cs="Arial"/>
          <w:sz w:val="20"/>
        </w:rPr>
        <w:lastRenderedPageBreak/>
        <w:t>As regards Strategic Goal III (Facilitating the Use of IP for Development), Program 2 will provide country-specific advice to Member States in response to priorities identified within their national IP strategies.  The provision of legal advice will be coordinated with other Programs as illustrated below</w:t>
      </w:r>
      <w:r w:rsidRPr="009B4A78">
        <w:rPr>
          <w:rFonts w:ascii="Arial" w:hAnsi="Arial" w:cs="Arial"/>
        </w:rPr>
        <w:t>.</w:t>
      </w:r>
    </w:p>
    <w:p w14:paraId="28792A7B" w14:textId="77777777" w:rsidR="00CC543A" w:rsidRPr="009B4A78" w:rsidRDefault="00CC543A" w:rsidP="00F33E49">
      <w:pPr>
        <w:keepNext/>
        <w:keepLines/>
        <w:jc w:val="both"/>
        <w:rPr>
          <w:rFonts w:ascii="Arial" w:hAnsi="Arial" w:cs="Arial"/>
        </w:rPr>
      </w:pPr>
      <w:r w:rsidRPr="009B4A78">
        <w:rPr>
          <w:rFonts w:ascii="Arial" w:hAnsi="Arial" w:cs="Arial"/>
          <w:noProof/>
          <w:lang w:eastAsia="en-US"/>
        </w:rPr>
        <w:drawing>
          <wp:inline distT="0" distB="0" distL="0" distR="0" wp14:anchorId="675C4F6F" wp14:editId="5B6053F4">
            <wp:extent cx="5753100" cy="14859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01A851F" w14:textId="77777777" w:rsidR="00CC543A" w:rsidRPr="009B4A78" w:rsidRDefault="00CC543A" w:rsidP="00F33E49">
      <w:pPr>
        <w:pStyle w:val="BodyText"/>
        <w:spacing w:after="0"/>
      </w:pPr>
      <w:r w:rsidRPr="009B4A78">
        <w:t>MAJOR RISKS AND MITIGATION STRATEGIES</w:t>
      </w:r>
    </w:p>
    <w:p w14:paraId="7471E1C8" w14:textId="77777777" w:rsidR="00CC543A" w:rsidRPr="009B4A78" w:rsidRDefault="00CC543A" w:rsidP="00F33E49">
      <w:pPr>
        <w:pStyle w:val="BodyText"/>
        <w:spacing w:after="0"/>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CC543A" w:rsidRPr="009B4A78" w14:paraId="4EC28BF6" w14:textId="77777777" w:rsidTr="00F33E49">
        <w:trPr>
          <w:trHeight w:val="577"/>
        </w:trPr>
        <w:tc>
          <w:tcPr>
            <w:tcW w:w="4111" w:type="dxa"/>
            <w:tcBorders>
              <w:top w:val="single" w:sz="4" w:space="0" w:color="auto"/>
              <w:bottom w:val="single" w:sz="4" w:space="0" w:color="auto"/>
            </w:tcBorders>
            <w:shd w:val="clear" w:color="auto" w:fill="C6D9F1" w:themeFill="text2" w:themeFillTint="33"/>
            <w:vAlign w:val="center"/>
          </w:tcPr>
          <w:p w14:paraId="4FEFA898" w14:textId="77777777" w:rsidR="00CC543A" w:rsidRPr="009B4A78" w:rsidRDefault="00CC543A" w:rsidP="00F33E49">
            <w:pPr>
              <w:jc w:val="center"/>
              <w:rPr>
                <w:rFonts w:ascii="Arial" w:hAnsi="Arial" w:cs="Arial"/>
                <w:b/>
                <w:bCs/>
                <w:sz w:val="18"/>
                <w:szCs w:val="18"/>
              </w:rPr>
            </w:pPr>
            <w:r w:rsidRPr="009B4A78">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3823C17C" w14:textId="77777777" w:rsidR="00CC543A" w:rsidRPr="009B4A78" w:rsidRDefault="00CC543A" w:rsidP="00F33E49">
            <w:pPr>
              <w:jc w:val="center"/>
              <w:rPr>
                <w:rFonts w:ascii="Arial" w:hAnsi="Arial" w:cs="Arial"/>
                <w:b/>
                <w:bCs/>
                <w:sz w:val="18"/>
                <w:szCs w:val="18"/>
              </w:rPr>
            </w:pPr>
            <w:r w:rsidRPr="009B4A78">
              <w:rPr>
                <w:rFonts w:ascii="Arial" w:hAnsi="Arial" w:cs="Arial"/>
                <w:b/>
                <w:bCs/>
                <w:sz w:val="18"/>
                <w:szCs w:val="18"/>
              </w:rPr>
              <w:t>Mitigation</w:t>
            </w:r>
          </w:p>
        </w:tc>
      </w:tr>
      <w:tr w:rsidR="00CC543A" w:rsidRPr="009B4A78" w14:paraId="50A89F3C" w14:textId="77777777" w:rsidTr="00F33E49">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18803503" w14:textId="77777777" w:rsidR="00CC543A" w:rsidRPr="009B4A78" w:rsidRDefault="00CC543A" w:rsidP="00F33E49">
            <w:pPr>
              <w:rPr>
                <w:rFonts w:ascii="Arial" w:hAnsi="Arial" w:cs="Arial"/>
                <w:color w:val="000000"/>
                <w:sz w:val="16"/>
              </w:rPr>
            </w:pPr>
            <w:r w:rsidRPr="009B4A78">
              <w:rPr>
                <w:rFonts w:ascii="Arial" w:hAnsi="Arial" w:cs="Arial"/>
                <w:color w:val="000000"/>
                <w:sz w:val="16"/>
              </w:rPr>
              <w:t>Agreements at the multilateral level remain challenging and the successful conclusion of normative activities under Program 2 will depend to a large degree on Member States’ commitment to define mutually agreed outcomes.</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97E6300" w14:textId="77777777" w:rsidR="00CC543A" w:rsidRPr="009B4A78" w:rsidRDefault="00CC543A" w:rsidP="00F33E49">
            <w:pPr>
              <w:autoSpaceDE w:val="0"/>
              <w:autoSpaceDN w:val="0"/>
              <w:adjustRightInd w:val="0"/>
              <w:ind w:right="-59"/>
              <w:rPr>
                <w:rFonts w:ascii="Arial" w:hAnsi="Arial" w:cs="Arial"/>
                <w:sz w:val="16"/>
                <w:szCs w:val="16"/>
              </w:rPr>
            </w:pPr>
            <w:r w:rsidRPr="009B4A78">
              <w:rPr>
                <w:rFonts w:ascii="Arial" w:hAnsi="Arial" w:cs="Arial"/>
                <w:color w:val="000000"/>
                <w:sz w:val="16"/>
              </w:rPr>
              <w:t>This is an inherent risk of every norm developing activity which, by its nature, will have to be retained by the Program.  Nevertheless, specific program activities, in particular sessions of the SCT, will allow ongoing dialogue and exchange of views with a view to identifying common areas of common understanding and potential agreed outcomes.</w:t>
            </w:r>
          </w:p>
        </w:tc>
      </w:tr>
    </w:tbl>
    <w:p w14:paraId="6FF1AF63" w14:textId="77777777" w:rsidR="00CC543A" w:rsidRPr="009B4A78" w:rsidRDefault="00CC543A" w:rsidP="00F33E49">
      <w:pPr>
        <w:pStyle w:val="BodyText"/>
        <w:spacing w:after="0"/>
      </w:pPr>
    </w:p>
    <w:p w14:paraId="25E26D11" w14:textId="77777777" w:rsidR="00CC543A" w:rsidRPr="009B4A78" w:rsidRDefault="00CC543A" w:rsidP="00F33E49">
      <w:pPr>
        <w:pStyle w:val="BodyText"/>
        <w:spacing w:after="0"/>
      </w:pPr>
    </w:p>
    <w:p w14:paraId="7A7EE1A4" w14:textId="77777777" w:rsidR="00CC543A" w:rsidRPr="009B4A78" w:rsidRDefault="00CC543A" w:rsidP="00F33E49">
      <w:pPr>
        <w:pStyle w:val="BodyText"/>
        <w:keepNext/>
        <w:keepLines/>
        <w:spacing w:after="0"/>
      </w:pPr>
      <w:r w:rsidRPr="009B4A78">
        <w:t>RESULTS FRAMEWORK</w:t>
      </w:r>
    </w:p>
    <w:p w14:paraId="70A340D1" w14:textId="77777777" w:rsidR="00CC543A" w:rsidRPr="009B4A78" w:rsidRDefault="00CC543A" w:rsidP="00F33E49">
      <w:pPr>
        <w:keepNext/>
        <w:keepLines/>
        <w:rPr>
          <w:rFonts w:ascii="Arial" w:hAnsi="Arial" w:cs="Arial"/>
        </w:rPr>
      </w:pPr>
    </w:p>
    <w:tbl>
      <w:tblPr>
        <w:tblW w:w="9248" w:type="dxa"/>
        <w:tblInd w:w="93" w:type="dxa"/>
        <w:tblLook w:val="04A0" w:firstRow="1" w:lastRow="0" w:firstColumn="1" w:lastColumn="0" w:noHBand="0" w:noVBand="1"/>
      </w:tblPr>
      <w:tblGrid>
        <w:gridCol w:w="2014"/>
        <w:gridCol w:w="2248"/>
        <w:gridCol w:w="2699"/>
        <w:gridCol w:w="2287"/>
      </w:tblGrid>
      <w:tr w:rsidR="00CC543A" w:rsidRPr="009B4A78" w14:paraId="0A07434C" w14:textId="77777777" w:rsidTr="00F33E49">
        <w:trPr>
          <w:trHeight w:val="516"/>
        </w:trPr>
        <w:tc>
          <w:tcPr>
            <w:tcW w:w="2014"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41FA95E0"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Expected Results</w:t>
            </w:r>
          </w:p>
        </w:tc>
        <w:tc>
          <w:tcPr>
            <w:tcW w:w="2248" w:type="dxa"/>
            <w:tcBorders>
              <w:top w:val="single" w:sz="4" w:space="0" w:color="auto"/>
              <w:left w:val="nil"/>
              <w:bottom w:val="single" w:sz="4" w:space="0" w:color="auto"/>
              <w:right w:val="nil"/>
            </w:tcBorders>
            <w:shd w:val="clear" w:color="auto" w:fill="C6D9F1" w:themeFill="text2" w:themeFillTint="33"/>
            <w:noWrap/>
            <w:vAlign w:val="center"/>
            <w:hideMark/>
          </w:tcPr>
          <w:p w14:paraId="45548745"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Performance Indicators</w:t>
            </w:r>
          </w:p>
        </w:tc>
        <w:tc>
          <w:tcPr>
            <w:tcW w:w="2699" w:type="dxa"/>
            <w:tcBorders>
              <w:top w:val="single" w:sz="4" w:space="0" w:color="auto"/>
              <w:left w:val="nil"/>
              <w:bottom w:val="single" w:sz="4" w:space="0" w:color="auto"/>
              <w:right w:val="nil"/>
            </w:tcBorders>
            <w:shd w:val="clear" w:color="auto" w:fill="C6D9F1" w:themeFill="text2" w:themeFillTint="33"/>
            <w:noWrap/>
            <w:vAlign w:val="center"/>
            <w:hideMark/>
          </w:tcPr>
          <w:p w14:paraId="56D63430"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Baselines</w:t>
            </w:r>
          </w:p>
        </w:tc>
        <w:tc>
          <w:tcPr>
            <w:tcW w:w="228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29CF245"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Targets</w:t>
            </w:r>
          </w:p>
        </w:tc>
      </w:tr>
      <w:tr w:rsidR="00CC543A" w:rsidRPr="009B4A78" w14:paraId="6B99BC27" w14:textId="77777777" w:rsidTr="00F33E49">
        <w:trPr>
          <w:trHeight w:val="988"/>
        </w:trPr>
        <w:tc>
          <w:tcPr>
            <w:tcW w:w="2014" w:type="dxa"/>
            <w:vMerge w:val="restart"/>
            <w:tcBorders>
              <w:top w:val="nil"/>
              <w:left w:val="single" w:sz="4" w:space="0" w:color="auto"/>
              <w:bottom w:val="nil"/>
              <w:right w:val="nil"/>
            </w:tcBorders>
            <w:shd w:val="clear" w:color="000000" w:fill="FFFFFF"/>
            <w:hideMark/>
          </w:tcPr>
          <w:p w14:paraId="53AD623F" w14:textId="77777777" w:rsidR="00CC543A" w:rsidRPr="009B4A78" w:rsidRDefault="00CC543A" w:rsidP="00F33E49">
            <w:pPr>
              <w:keepNext/>
              <w:keepLines/>
              <w:ind w:right="190"/>
              <w:rPr>
                <w:rFonts w:ascii="Arial" w:hAnsi="Arial" w:cs="Arial"/>
                <w:color w:val="000000"/>
                <w:sz w:val="16"/>
                <w:szCs w:val="16"/>
              </w:rPr>
            </w:pPr>
            <w:r w:rsidRPr="009B4A78">
              <w:rPr>
                <w:rFonts w:ascii="Arial" w:hAnsi="Arial" w:cs="Arial"/>
                <w:color w:val="000000"/>
                <w:sz w:val="16"/>
                <w:szCs w:val="16"/>
              </w:rPr>
              <w:br/>
              <w:t xml:space="preserve">I.1 Enhanced cooperation among Member States on development of balanced international normative frameworks for IP </w:t>
            </w:r>
          </w:p>
        </w:tc>
        <w:tc>
          <w:tcPr>
            <w:tcW w:w="2248" w:type="dxa"/>
            <w:tcBorders>
              <w:top w:val="nil"/>
              <w:left w:val="nil"/>
              <w:bottom w:val="nil"/>
              <w:right w:val="nil"/>
            </w:tcBorders>
            <w:shd w:val="clear" w:color="000000" w:fill="FFFFFF"/>
            <w:hideMark/>
          </w:tcPr>
          <w:p w14:paraId="3D9EE819" w14:textId="77777777" w:rsidR="00CC543A" w:rsidRPr="009B4A78" w:rsidRDefault="00CC543A" w:rsidP="00F33E49">
            <w:pPr>
              <w:keepNext/>
              <w:keepLines/>
              <w:ind w:right="170"/>
              <w:rPr>
                <w:rFonts w:ascii="Arial" w:hAnsi="Arial" w:cs="Arial"/>
                <w:color w:val="000000"/>
                <w:sz w:val="16"/>
                <w:szCs w:val="16"/>
              </w:rPr>
            </w:pPr>
            <w:r w:rsidRPr="009B4A78">
              <w:rPr>
                <w:rFonts w:ascii="Arial" w:hAnsi="Arial" w:cs="Arial"/>
                <w:color w:val="000000"/>
                <w:sz w:val="16"/>
                <w:szCs w:val="16"/>
              </w:rPr>
              <w:br/>
              <w:t>Progress towards agreement on current issues on the SCT Agenda</w:t>
            </w:r>
          </w:p>
          <w:p w14:paraId="143ADF6D" w14:textId="77777777" w:rsidR="00CC543A" w:rsidRPr="009B4A78" w:rsidRDefault="00CC543A" w:rsidP="00F33E49">
            <w:pPr>
              <w:keepNext/>
              <w:keepLines/>
              <w:ind w:right="170"/>
              <w:rPr>
                <w:rFonts w:ascii="Arial" w:hAnsi="Arial" w:cs="Arial"/>
                <w:color w:val="000000"/>
                <w:sz w:val="16"/>
                <w:szCs w:val="16"/>
              </w:rPr>
            </w:pPr>
          </w:p>
        </w:tc>
        <w:tc>
          <w:tcPr>
            <w:tcW w:w="2699" w:type="dxa"/>
            <w:tcBorders>
              <w:top w:val="nil"/>
              <w:left w:val="nil"/>
              <w:bottom w:val="nil"/>
              <w:right w:val="nil"/>
            </w:tcBorders>
            <w:shd w:val="clear" w:color="000000" w:fill="FFFFFF"/>
            <w:hideMark/>
          </w:tcPr>
          <w:p w14:paraId="319A11FE" w14:textId="77777777" w:rsidR="00CC543A" w:rsidRPr="009B4A78" w:rsidRDefault="00CC543A" w:rsidP="00F33E49">
            <w:pPr>
              <w:keepNext/>
              <w:keepLines/>
              <w:tabs>
                <w:tab w:val="left" w:pos="2024"/>
              </w:tabs>
              <w:ind w:right="238"/>
              <w:rPr>
                <w:rFonts w:ascii="Arial" w:hAnsi="Arial" w:cs="Arial"/>
                <w:color w:val="000000"/>
                <w:sz w:val="16"/>
                <w:szCs w:val="16"/>
              </w:rPr>
            </w:pPr>
            <w:r w:rsidRPr="009B4A78">
              <w:rPr>
                <w:rFonts w:ascii="Arial" w:hAnsi="Arial" w:cs="Arial"/>
                <w:color w:val="000000"/>
                <w:sz w:val="16"/>
                <w:szCs w:val="16"/>
              </w:rPr>
              <w:br/>
              <w:t>State of advancement of SCT work at the end of 2015 as per relevant working documents</w:t>
            </w:r>
          </w:p>
        </w:tc>
        <w:tc>
          <w:tcPr>
            <w:tcW w:w="2287" w:type="dxa"/>
            <w:tcBorders>
              <w:top w:val="nil"/>
              <w:left w:val="nil"/>
              <w:bottom w:val="nil"/>
              <w:right w:val="single" w:sz="4" w:space="0" w:color="auto"/>
            </w:tcBorders>
            <w:shd w:val="clear" w:color="000000" w:fill="FFFFFF"/>
            <w:hideMark/>
          </w:tcPr>
          <w:p w14:paraId="7EB11C5B"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br/>
              <w:t>SCT agreed outcomes</w:t>
            </w:r>
          </w:p>
        </w:tc>
      </w:tr>
      <w:tr w:rsidR="00CC543A" w:rsidRPr="009B4A78" w14:paraId="36EFB518" w14:textId="77777777" w:rsidTr="00F33E49">
        <w:trPr>
          <w:trHeight w:val="1823"/>
        </w:trPr>
        <w:tc>
          <w:tcPr>
            <w:tcW w:w="2014" w:type="dxa"/>
            <w:vMerge/>
            <w:tcBorders>
              <w:top w:val="nil"/>
              <w:left w:val="single" w:sz="4" w:space="0" w:color="auto"/>
              <w:bottom w:val="nil"/>
              <w:right w:val="nil"/>
            </w:tcBorders>
            <w:vAlign w:val="center"/>
            <w:hideMark/>
          </w:tcPr>
          <w:p w14:paraId="03D40FFE" w14:textId="77777777" w:rsidR="00CC543A" w:rsidRPr="009B4A78" w:rsidRDefault="00CC543A" w:rsidP="00F33E49">
            <w:pPr>
              <w:keepNext/>
              <w:keepLines/>
              <w:ind w:right="190"/>
              <w:rPr>
                <w:rFonts w:ascii="Arial" w:hAnsi="Arial" w:cs="Arial"/>
                <w:color w:val="000000"/>
                <w:sz w:val="16"/>
                <w:szCs w:val="16"/>
              </w:rPr>
            </w:pPr>
          </w:p>
        </w:tc>
        <w:tc>
          <w:tcPr>
            <w:tcW w:w="2248" w:type="dxa"/>
            <w:tcBorders>
              <w:top w:val="nil"/>
              <w:left w:val="nil"/>
              <w:bottom w:val="nil"/>
              <w:right w:val="nil"/>
            </w:tcBorders>
            <w:shd w:val="clear" w:color="000000" w:fill="FFFFFF"/>
            <w:hideMark/>
          </w:tcPr>
          <w:p w14:paraId="7976456F" w14:textId="77777777" w:rsidR="00CC543A" w:rsidRPr="009B4A78" w:rsidRDefault="00CC543A" w:rsidP="00F33E49">
            <w:pPr>
              <w:keepNext/>
              <w:keepLines/>
              <w:ind w:right="311"/>
              <w:rPr>
                <w:rFonts w:ascii="Arial" w:hAnsi="Arial" w:cs="Arial"/>
                <w:color w:val="000000"/>
                <w:sz w:val="16"/>
                <w:szCs w:val="16"/>
              </w:rPr>
            </w:pPr>
            <w:r w:rsidRPr="009B4A78">
              <w:rPr>
                <w:rFonts w:ascii="Arial" w:hAnsi="Arial" w:cs="Arial"/>
                <w:color w:val="000000"/>
                <w:sz w:val="16"/>
                <w:szCs w:val="16"/>
              </w:rPr>
              <w:t>No. of ratifications/accessions to the Singapore Treaty</w:t>
            </w:r>
          </w:p>
        </w:tc>
        <w:tc>
          <w:tcPr>
            <w:tcW w:w="2699" w:type="dxa"/>
            <w:tcBorders>
              <w:top w:val="nil"/>
              <w:left w:val="nil"/>
              <w:bottom w:val="nil"/>
              <w:right w:val="nil"/>
            </w:tcBorders>
            <w:shd w:val="clear" w:color="000000" w:fill="FFFFFF"/>
            <w:hideMark/>
          </w:tcPr>
          <w:p w14:paraId="49529C13"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Seven new Contracting Parties in 2014: Belarus, Belgium, Benelux Organization for Intellectual Property (BOIP), Iraq, Luxembourg, the Netherlands and Tajikistan, which brings the total number of Contracting Parties to 38 at the end of 2014.</w:t>
            </w:r>
          </w:p>
        </w:tc>
        <w:tc>
          <w:tcPr>
            <w:tcW w:w="2287" w:type="dxa"/>
            <w:tcBorders>
              <w:top w:val="nil"/>
              <w:left w:val="nil"/>
              <w:bottom w:val="nil"/>
              <w:right w:val="single" w:sz="4" w:space="0" w:color="auto"/>
            </w:tcBorders>
            <w:shd w:val="clear" w:color="000000" w:fill="FFFFFF"/>
            <w:hideMark/>
          </w:tcPr>
          <w:p w14:paraId="013A5C33"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Eight new ratifications/accessions</w:t>
            </w:r>
          </w:p>
        </w:tc>
      </w:tr>
      <w:tr w:rsidR="00CC543A" w:rsidRPr="009B4A78" w14:paraId="78111292" w14:textId="77777777" w:rsidTr="00F33E49">
        <w:trPr>
          <w:trHeight w:val="1688"/>
        </w:trPr>
        <w:tc>
          <w:tcPr>
            <w:tcW w:w="2014" w:type="dxa"/>
            <w:tcBorders>
              <w:top w:val="nil"/>
              <w:left w:val="single" w:sz="4" w:space="0" w:color="auto"/>
              <w:bottom w:val="nil"/>
              <w:right w:val="nil"/>
            </w:tcBorders>
            <w:shd w:val="clear" w:color="000000" w:fill="FFFFFF"/>
            <w:hideMark/>
          </w:tcPr>
          <w:p w14:paraId="250325C6" w14:textId="77777777" w:rsidR="00CC543A" w:rsidRPr="009B4A78" w:rsidRDefault="00CC543A" w:rsidP="00F33E49">
            <w:pPr>
              <w:keepNext/>
              <w:keepLines/>
              <w:tabs>
                <w:tab w:val="left" w:pos="1284"/>
                <w:tab w:val="left" w:pos="1585"/>
              </w:tabs>
              <w:ind w:right="190"/>
              <w:rPr>
                <w:rFonts w:ascii="Arial" w:hAnsi="Arial" w:cs="Arial"/>
                <w:color w:val="000000"/>
                <w:sz w:val="16"/>
                <w:szCs w:val="16"/>
              </w:rPr>
            </w:pPr>
            <w:r w:rsidRPr="009B4A78">
              <w:rPr>
                <w:rFonts w:ascii="Arial" w:hAnsi="Arial" w:cs="Arial"/>
                <w:color w:val="000000"/>
                <w:sz w:val="16"/>
                <w:szCs w:val="16"/>
              </w:rPr>
              <w:t>I.2 Tailored and balanced IP legislative, regulatory and policy frameworks</w:t>
            </w:r>
          </w:p>
        </w:tc>
        <w:tc>
          <w:tcPr>
            <w:tcW w:w="2248" w:type="dxa"/>
            <w:tcBorders>
              <w:top w:val="nil"/>
              <w:left w:val="nil"/>
              <w:bottom w:val="nil"/>
              <w:right w:val="nil"/>
            </w:tcBorders>
            <w:shd w:val="clear" w:color="000000" w:fill="FFFFFF"/>
            <w:hideMark/>
          </w:tcPr>
          <w:p w14:paraId="04CCE9E3" w14:textId="77777777" w:rsidR="00CC543A" w:rsidRPr="009B4A78" w:rsidRDefault="00CC543A" w:rsidP="00F33E49">
            <w:pPr>
              <w:keepNext/>
              <w:keepLines/>
              <w:tabs>
                <w:tab w:val="left" w:pos="1537"/>
                <w:tab w:val="left" w:pos="1875"/>
              </w:tabs>
              <w:ind w:right="170"/>
              <w:rPr>
                <w:rFonts w:ascii="Arial" w:hAnsi="Arial" w:cs="Arial"/>
                <w:color w:val="000000"/>
                <w:sz w:val="16"/>
                <w:szCs w:val="16"/>
              </w:rPr>
            </w:pPr>
            <w:r w:rsidRPr="009B4A78">
              <w:rPr>
                <w:rFonts w:ascii="Arial" w:hAnsi="Arial" w:cs="Arial"/>
                <w:color w:val="000000"/>
                <w:sz w:val="16"/>
                <w:szCs w:val="16"/>
              </w:rPr>
              <w:t xml:space="preserve">No. and % of Member States/regional organizations providing positive feedback on the legislative advice offered in the area of trademarks, industrial designs and geographical indications </w:t>
            </w:r>
          </w:p>
        </w:tc>
        <w:tc>
          <w:tcPr>
            <w:tcW w:w="2699" w:type="dxa"/>
            <w:tcBorders>
              <w:top w:val="nil"/>
              <w:left w:val="nil"/>
              <w:bottom w:val="nil"/>
              <w:right w:val="nil"/>
            </w:tcBorders>
            <w:shd w:val="clear" w:color="000000" w:fill="FFFFFF"/>
            <w:hideMark/>
          </w:tcPr>
          <w:p w14:paraId="44354B7B"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2014: Advice was provided to 20 Member States/Regional Organizations.  Feedback was received from seven respondents, all of whom (100%) reported satisfaction with the advice offered</w:t>
            </w:r>
          </w:p>
        </w:tc>
        <w:tc>
          <w:tcPr>
            <w:tcW w:w="2287" w:type="dxa"/>
            <w:tcBorders>
              <w:top w:val="nil"/>
              <w:left w:val="nil"/>
              <w:bottom w:val="nil"/>
              <w:right w:val="single" w:sz="4" w:space="0" w:color="auto"/>
            </w:tcBorders>
            <w:shd w:val="clear" w:color="000000" w:fill="FFFFFF"/>
            <w:hideMark/>
          </w:tcPr>
          <w:p w14:paraId="4B9D995B"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 xml:space="preserve">90% of respondents satisfied with the advice offered </w:t>
            </w:r>
          </w:p>
        </w:tc>
      </w:tr>
      <w:tr w:rsidR="00CC543A" w:rsidRPr="009B4A78" w14:paraId="2D87194C" w14:textId="77777777" w:rsidTr="00F33E49">
        <w:trPr>
          <w:trHeight w:val="1422"/>
        </w:trPr>
        <w:tc>
          <w:tcPr>
            <w:tcW w:w="2014" w:type="dxa"/>
            <w:tcBorders>
              <w:top w:val="nil"/>
              <w:left w:val="single" w:sz="4" w:space="0" w:color="auto"/>
              <w:bottom w:val="single" w:sz="4" w:space="0" w:color="auto"/>
              <w:right w:val="nil"/>
            </w:tcBorders>
            <w:shd w:val="clear" w:color="000000" w:fill="FFFFFF"/>
            <w:hideMark/>
          </w:tcPr>
          <w:p w14:paraId="42025510" w14:textId="77777777" w:rsidR="00CC543A" w:rsidRPr="009B4A78" w:rsidRDefault="00CC543A" w:rsidP="00F33E49">
            <w:pPr>
              <w:keepNext/>
              <w:keepLines/>
              <w:ind w:right="190"/>
              <w:rPr>
                <w:rFonts w:ascii="Arial" w:hAnsi="Arial" w:cs="Arial"/>
                <w:color w:val="000000"/>
                <w:sz w:val="16"/>
                <w:szCs w:val="16"/>
              </w:rPr>
            </w:pPr>
            <w:r w:rsidRPr="009B4A78">
              <w:rPr>
                <w:rFonts w:ascii="Arial" w:hAnsi="Arial" w:cs="Arial"/>
                <w:color w:val="000000"/>
                <w:sz w:val="16"/>
                <w:szCs w:val="16"/>
              </w:rPr>
              <w:t>I.3 Increased protection of State emblems and names and emblems of International Intergovernmental Organizations</w:t>
            </w:r>
          </w:p>
        </w:tc>
        <w:tc>
          <w:tcPr>
            <w:tcW w:w="2248" w:type="dxa"/>
            <w:tcBorders>
              <w:top w:val="nil"/>
              <w:left w:val="nil"/>
              <w:bottom w:val="single" w:sz="4" w:space="0" w:color="auto"/>
              <w:right w:val="nil"/>
            </w:tcBorders>
            <w:shd w:val="clear" w:color="000000" w:fill="FFFFFF"/>
            <w:hideMark/>
          </w:tcPr>
          <w:p w14:paraId="6E86218C" w14:textId="77777777" w:rsidR="00CC543A" w:rsidRPr="009B4A78" w:rsidRDefault="00CC543A" w:rsidP="00F33E49">
            <w:pPr>
              <w:keepNext/>
              <w:keepLines/>
              <w:ind w:right="170"/>
              <w:rPr>
                <w:rFonts w:ascii="Arial" w:hAnsi="Arial" w:cs="Arial"/>
                <w:color w:val="000000"/>
                <w:sz w:val="16"/>
                <w:szCs w:val="16"/>
              </w:rPr>
            </w:pPr>
            <w:r w:rsidRPr="009B4A78">
              <w:rPr>
                <w:rFonts w:ascii="Arial" w:hAnsi="Arial" w:cs="Arial"/>
                <w:color w:val="000000"/>
                <w:sz w:val="16"/>
                <w:szCs w:val="16"/>
              </w:rPr>
              <w:t>No. of signs contained in the Article 6</w:t>
            </w:r>
            <w:r w:rsidRPr="009B4A78">
              <w:rPr>
                <w:rFonts w:ascii="Arial" w:hAnsi="Arial" w:cs="Arial"/>
                <w:i/>
                <w:color w:val="000000"/>
                <w:sz w:val="16"/>
                <w:szCs w:val="16"/>
              </w:rPr>
              <w:t>ter</w:t>
            </w:r>
            <w:r w:rsidRPr="009B4A78">
              <w:rPr>
                <w:rFonts w:ascii="Arial" w:hAnsi="Arial" w:cs="Arial"/>
                <w:color w:val="000000"/>
                <w:sz w:val="16"/>
                <w:szCs w:val="16"/>
              </w:rPr>
              <w:t xml:space="preserve"> database</w:t>
            </w:r>
          </w:p>
        </w:tc>
        <w:tc>
          <w:tcPr>
            <w:tcW w:w="2699" w:type="dxa"/>
            <w:tcBorders>
              <w:top w:val="nil"/>
              <w:left w:val="nil"/>
              <w:bottom w:val="single" w:sz="4" w:space="0" w:color="auto"/>
              <w:right w:val="nil"/>
            </w:tcBorders>
            <w:shd w:val="clear" w:color="000000" w:fill="FFFFFF"/>
            <w:hideMark/>
          </w:tcPr>
          <w:p w14:paraId="2AC1F6CA"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3,103 (as at April 15, 2015)</w:t>
            </w:r>
          </w:p>
        </w:tc>
        <w:tc>
          <w:tcPr>
            <w:tcW w:w="2287" w:type="dxa"/>
            <w:tcBorders>
              <w:top w:val="nil"/>
              <w:left w:val="nil"/>
              <w:bottom w:val="single" w:sz="4" w:space="0" w:color="auto"/>
              <w:right w:val="single" w:sz="4" w:space="0" w:color="auto"/>
            </w:tcBorders>
            <w:shd w:val="clear" w:color="000000" w:fill="FFFFFF"/>
            <w:hideMark/>
          </w:tcPr>
          <w:p w14:paraId="6E2571AE"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 xml:space="preserve">120 new signs published during the biennium </w:t>
            </w:r>
          </w:p>
        </w:tc>
      </w:tr>
    </w:tbl>
    <w:p w14:paraId="32E24077" w14:textId="77777777" w:rsidR="00CC543A" w:rsidRPr="009B4A78" w:rsidRDefault="00CC543A" w:rsidP="00F33E49">
      <w:pPr>
        <w:jc w:val="both"/>
        <w:rPr>
          <w:rFonts w:ascii="Arial" w:hAnsi="Arial" w:cs="Arial"/>
          <w:sz w:val="20"/>
        </w:rPr>
      </w:pPr>
    </w:p>
    <w:p w14:paraId="2CCFF67D" w14:textId="77777777" w:rsidR="00CC543A" w:rsidRPr="009B4A78" w:rsidRDefault="00CC543A" w:rsidP="00F33E49">
      <w:pPr>
        <w:jc w:val="both"/>
        <w:rPr>
          <w:rFonts w:ascii="Arial" w:hAnsi="Arial" w:cs="Arial"/>
          <w:sz w:val="20"/>
        </w:rPr>
      </w:pPr>
    </w:p>
    <w:p w14:paraId="03DB0C3A" w14:textId="77777777" w:rsidR="00BC57C8" w:rsidRDefault="00BC57C8" w:rsidP="00F33E49">
      <w:pPr>
        <w:jc w:val="both"/>
        <w:rPr>
          <w:rFonts w:ascii="Arial" w:hAnsi="Arial" w:cs="Arial"/>
        </w:rPr>
      </w:pPr>
    </w:p>
    <w:p w14:paraId="412FEA68" w14:textId="77777777" w:rsidR="00CC543A" w:rsidRPr="009B4A78" w:rsidRDefault="00CC543A" w:rsidP="00F33E49">
      <w:pPr>
        <w:jc w:val="both"/>
        <w:rPr>
          <w:rFonts w:ascii="Arial" w:hAnsi="Arial" w:cs="Arial"/>
        </w:rPr>
      </w:pPr>
      <w:r w:rsidRPr="009B4A78">
        <w:rPr>
          <w:rFonts w:ascii="Arial" w:hAnsi="Arial" w:cs="Arial"/>
        </w:rPr>
        <w:lastRenderedPageBreak/>
        <w:t>RESOURCES FOR PROGRAM 2</w:t>
      </w:r>
    </w:p>
    <w:p w14:paraId="66407F2E" w14:textId="77777777" w:rsidR="00CC543A" w:rsidRPr="009B4A78" w:rsidRDefault="00CC543A" w:rsidP="00F33E49">
      <w:pPr>
        <w:jc w:val="both"/>
        <w:rPr>
          <w:rFonts w:ascii="Arial" w:hAnsi="Arial" w:cs="Arial"/>
        </w:rPr>
      </w:pPr>
    </w:p>
    <w:p w14:paraId="535BFB06" w14:textId="323E8C3D" w:rsidR="00CC543A" w:rsidRPr="009B4A78" w:rsidRDefault="00CC543A" w:rsidP="00B66A4A">
      <w:pPr>
        <w:keepNext/>
        <w:keepLines/>
        <w:numPr>
          <w:ilvl w:val="0"/>
          <w:numId w:val="3"/>
        </w:numPr>
        <w:jc w:val="both"/>
        <w:rPr>
          <w:rFonts w:ascii="Arial" w:hAnsi="Arial" w:cs="Arial"/>
          <w:sz w:val="20"/>
        </w:rPr>
      </w:pPr>
      <w:r w:rsidRPr="009B4A78">
        <w:rPr>
          <w:rFonts w:ascii="Arial" w:hAnsi="Arial" w:cs="Arial"/>
          <w:sz w:val="20"/>
        </w:rPr>
        <w:t xml:space="preserve">The </w:t>
      </w:r>
      <w:r w:rsidRPr="00FB68E0">
        <w:rPr>
          <w:rFonts w:ascii="Arial" w:hAnsi="Arial" w:cs="Arial"/>
          <w:sz w:val="20"/>
        </w:rPr>
        <w:t>overall resources for Program 2 in 2016/17</w:t>
      </w:r>
      <w:r w:rsidRPr="009B4A78">
        <w:rPr>
          <w:rFonts w:ascii="Arial" w:hAnsi="Arial" w:cs="Arial"/>
          <w:sz w:val="20"/>
        </w:rPr>
        <w:t xml:space="preserve"> show a decrease compared to both the 2014/15 Approved Budget and the 2014/15 Budget after Transfers. This is due to:  (</w:t>
      </w:r>
      <w:proofErr w:type="spellStart"/>
      <w:r w:rsidRPr="009B4A78">
        <w:rPr>
          <w:rFonts w:ascii="Arial" w:hAnsi="Arial" w:cs="Arial"/>
          <w:sz w:val="20"/>
        </w:rPr>
        <w:t>i</w:t>
      </w:r>
      <w:proofErr w:type="spellEnd"/>
      <w:r w:rsidRPr="009B4A78">
        <w:rPr>
          <w:rFonts w:ascii="Arial" w:hAnsi="Arial" w:cs="Arial"/>
          <w:sz w:val="20"/>
        </w:rPr>
        <w:t>) a budgetary provision of up to three sessions of the SCT in 2016/17 as compared to four sessions in 2014/15 and (i</w:t>
      </w:r>
      <w:r w:rsidR="008256AB">
        <w:rPr>
          <w:rFonts w:ascii="Arial" w:hAnsi="Arial" w:cs="Arial"/>
          <w:sz w:val="20"/>
        </w:rPr>
        <w:t>i</w:t>
      </w:r>
      <w:r w:rsidRPr="009B4A78">
        <w:rPr>
          <w:rFonts w:ascii="Arial" w:hAnsi="Arial" w:cs="Arial"/>
          <w:sz w:val="20"/>
        </w:rPr>
        <w:t xml:space="preserve">) </w:t>
      </w:r>
      <w:r w:rsidR="00C871DB">
        <w:rPr>
          <w:rFonts w:ascii="Arial" w:hAnsi="Arial" w:cs="Arial"/>
          <w:sz w:val="20"/>
        </w:rPr>
        <w:t xml:space="preserve">the </w:t>
      </w:r>
      <w:r w:rsidRPr="009B4A78">
        <w:rPr>
          <w:rFonts w:ascii="Arial" w:hAnsi="Arial" w:cs="Arial"/>
          <w:sz w:val="20"/>
        </w:rPr>
        <w:t>budgetary provision for a possible diplomatic conference in 2016/17</w:t>
      </w:r>
      <w:r w:rsidR="00C871DB">
        <w:rPr>
          <w:rFonts w:ascii="Arial" w:hAnsi="Arial" w:cs="Arial"/>
          <w:sz w:val="20"/>
        </w:rPr>
        <w:t xml:space="preserve"> now reflected under “Unallocated”</w:t>
      </w:r>
      <w:r w:rsidRPr="009B4A78">
        <w:rPr>
          <w:rFonts w:ascii="Arial" w:hAnsi="Arial" w:cs="Arial"/>
          <w:sz w:val="20"/>
        </w:rPr>
        <w:t xml:space="preserve">.  This is reflected in the decrease of resources under Expected Result I.1. </w:t>
      </w:r>
    </w:p>
    <w:p w14:paraId="0ABA03ED" w14:textId="77777777" w:rsidR="00CC543A" w:rsidRPr="009B4A78" w:rsidRDefault="00CC543A" w:rsidP="00F33E49">
      <w:pPr>
        <w:jc w:val="both"/>
        <w:rPr>
          <w:rFonts w:ascii="Arial" w:hAnsi="Arial" w:cs="Arial"/>
          <w:sz w:val="20"/>
        </w:rPr>
      </w:pPr>
    </w:p>
    <w:p w14:paraId="1D356069" w14:textId="7593B8E7" w:rsidR="00CC543A" w:rsidRPr="009B4A78" w:rsidRDefault="00CC543A" w:rsidP="00B66A4A">
      <w:pPr>
        <w:keepNext/>
        <w:keepLines/>
        <w:numPr>
          <w:ilvl w:val="0"/>
          <w:numId w:val="3"/>
        </w:numPr>
        <w:jc w:val="both"/>
        <w:rPr>
          <w:rFonts w:ascii="Arial" w:hAnsi="Arial" w:cs="Arial"/>
          <w:sz w:val="20"/>
        </w:rPr>
      </w:pPr>
      <w:r w:rsidRPr="009B4A78">
        <w:rPr>
          <w:rFonts w:ascii="Arial" w:hAnsi="Arial" w:cs="Arial"/>
          <w:sz w:val="20"/>
        </w:rPr>
        <w:t xml:space="preserve">The resources under Expected Result III.4 in the 2014/15 Approved Budget reflect the DA project on IP and Design Creation for Business Development in Developing and Least </w:t>
      </w:r>
      <w:r w:rsidR="00C871DB">
        <w:rPr>
          <w:rFonts w:ascii="Arial" w:hAnsi="Arial" w:cs="Arial"/>
          <w:sz w:val="20"/>
        </w:rPr>
        <w:t xml:space="preserve">Developed Countries </w:t>
      </w:r>
      <w:r w:rsidRPr="009B4A78">
        <w:rPr>
          <w:rFonts w:ascii="Arial" w:hAnsi="Arial" w:cs="Arial"/>
          <w:sz w:val="20"/>
        </w:rPr>
        <w:t>is expected to be completed by the end of 2015. Hence no resources are foreseen under this Expected Result in 2016/17.</w:t>
      </w:r>
    </w:p>
    <w:p w14:paraId="23C0504C" w14:textId="626A76C0" w:rsidR="00CC543A" w:rsidRDefault="00CC543A" w:rsidP="00F33E49">
      <w:pPr>
        <w:jc w:val="both"/>
        <w:rPr>
          <w:rFonts w:ascii="Arial" w:hAnsi="Arial" w:cs="Arial"/>
          <w:sz w:val="20"/>
        </w:rPr>
      </w:pPr>
    </w:p>
    <w:p w14:paraId="2CAC2093" w14:textId="77777777" w:rsidR="00757237" w:rsidRPr="00FB68E0" w:rsidRDefault="00757237" w:rsidP="00F33E49">
      <w:pPr>
        <w:jc w:val="both"/>
        <w:rPr>
          <w:rFonts w:ascii="Arial" w:hAnsi="Arial" w:cs="Arial"/>
          <w:sz w:val="20"/>
        </w:rPr>
      </w:pPr>
    </w:p>
    <w:p w14:paraId="45B62CBB" w14:textId="77777777" w:rsidR="00CC543A" w:rsidRPr="009B4A78" w:rsidRDefault="00CC543A" w:rsidP="00F33E49">
      <w:pPr>
        <w:keepNext/>
        <w:keepLines/>
        <w:autoSpaceDE w:val="0"/>
        <w:autoSpaceDN w:val="0"/>
        <w:jc w:val="center"/>
        <w:rPr>
          <w:rFonts w:ascii="Arial" w:hAnsi="Arial" w:cs="Arial"/>
          <w:b/>
          <w:sz w:val="20"/>
        </w:rPr>
      </w:pPr>
      <w:r w:rsidRPr="00191706">
        <w:rPr>
          <w:rFonts w:ascii="Arial" w:hAnsi="Arial" w:cs="Arial"/>
          <w:b/>
          <w:sz w:val="20"/>
        </w:rPr>
        <w:t>Program 2: Resources by Result</w:t>
      </w:r>
    </w:p>
    <w:p w14:paraId="78DED387" w14:textId="77777777" w:rsidR="00CC543A" w:rsidRPr="009B4A78" w:rsidRDefault="00CC543A"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765DAD5" w14:textId="77777777" w:rsidR="00CC543A" w:rsidRPr="009B4A78" w:rsidRDefault="00CC543A" w:rsidP="00F33E49">
      <w:pPr>
        <w:keepNext/>
        <w:keepLines/>
        <w:rPr>
          <w:rFonts w:ascii="Arial" w:hAnsi="Arial" w:cs="Arial"/>
          <w:sz w:val="20"/>
        </w:rPr>
      </w:pPr>
    </w:p>
    <w:p w14:paraId="4FA1C02A" w14:textId="6E3B9BEF" w:rsidR="00CC543A" w:rsidRPr="009B4A78" w:rsidRDefault="00191706" w:rsidP="00F33E49">
      <w:pPr>
        <w:rPr>
          <w:rFonts w:ascii="Arial" w:hAnsi="Arial" w:cs="Arial"/>
          <w:sz w:val="20"/>
        </w:rPr>
      </w:pPr>
      <w:r w:rsidRPr="00191706">
        <w:rPr>
          <w:noProof/>
          <w:lang w:eastAsia="en-US"/>
        </w:rPr>
        <w:drawing>
          <wp:inline distT="0" distB="0" distL="0" distR="0" wp14:anchorId="693B0DFF" wp14:editId="64E784D6">
            <wp:extent cx="5679440" cy="27057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9440" cy="2705735"/>
                    </a:xfrm>
                    <a:prstGeom prst="rect">
                      <a:avLst/>
                    </a:prstGeom>
                    <a:noFill/>
                    <a:ln>
                      <a:noFill/>
                    </a:ln>
                  </pic:spPr>
                </pic:pic>
              </a:graphicData>
            </a:graphic>
          </wp:inline>
        </w:drawing>
      </w:r>
    </w:p>
    <w:p w14:paraId="0B55DAC3" w14:textId="77777777" w:rsidR="00CC543A" w:rsidRPr="009B4A78" w:rsidRDefault="00CC543A">
      <w:pPr>
        <w:rPr>
          <w:rFonts w:ascii="Arial" w:hAnsi="Arial" w:cs="Arial"/>
          <w:sz w:val="20"/>
        </w:rPr>
      </w:pPr>
    </w:p>
    <w:p w14:paraId="77B61399" w14:textId="77777777" w:rsidR="00CC543A" w:rsidRPr="009B4A78" w:rsidRDefault="00CC543A"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2: Resources by Object of Expenditure</w:t>
      </w:r>
    </w:p>
    <w:p w14:paraId="1F1ACD98" w14:textId="77777777" w:rsidR="00CC543A" w:rsidRPr="009B4A78" w:rsidRDefault="00CC543A"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624E012E" w14:textId="77777777" w:rsidR="00CC543A" w:rsidRPr="009B4A78" w:rsidRDefault="00CC543A" w:rsidP="00F33E49">
      <w:pPr>
        <w:keepNext/>
        <w:keepLines/>
        <w:autoSpaceDE w:val="0"/>
        <w:autoSpaceDN w:val="0"/>
        <w:jc w:val="center"/>
        <w:rPr>
          <w:rFonts w:ascii="Arial" w:hAnsi="Arial" w:cs="Arial"/>
          <w:i/>
          <w:sz w:val="20"/>
        </w:rPr>
      </w:pPr>
    </w:p>
    <w:p w14:paraId="65902E0E" w14:textId="77777777" w:rsidR="00CC543A" w:rsidRPr="009B4A78" w:rsidRDefault="00CC543A" w:rsidP="00F33E49">
      <w:pPr>
        <w:keepNext/>
        <w:keepLines/>
        <w:jc w:val="center"/>
        <w:rPr>
          <w:rFonts w:ascii="Arial" w:hAnsi="Arial" w:cs="Arial"/>
          <w:sz w:val="20"/>
        </w:rPr>
      </w:pPr>
      <w:r w:rsidRPr="009B4A78">
        <w:rPr>
          <w:rFonts w:ascii="Arial" w:hAnsi="Arial" w:cs="Arial"/>
          <w:noProof/>
          <w:lang w:eastAsia="en-US"/>
        </w:rPr>
        <w:drawing>
          <wp:inline distT="0" distB="0" distL="0" distR="0" wp14:anchorId="6EE2CAFA" wp14:editId="26CB29D8">
            <wp:extent cx="5704491" cy="643642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4491" cy="6436426"/>
                    </a:xfrm>
                    <a:prstGeom prst="rect">
                      <a:avLst/>
                    </a:prstGeom>
                    <a:noFill/>
                    <a:ln>
                      <a:noFill/>
                    </a:ln>
                  </pic:spPr>
                </pic:pic>
              </a:graphicData>
            </a:graphic>
          </wp:inline>
        </w:drawing>
      </w:r>
    </w:p>
    <w:p w14:paraId="6743C1F3" w14:textId="77777777" w:rsidR="00CC543A" w:rsidRPr="009B4A78" w:rsidRDefault="00CC543A" w:rsidP="00F33E49">
      <w:pPr>
        <w:jc w:val="center"/>
        <w:rPr>
          <w:rFonts w:ascii="Arial" w:hAnsi="Arial" w:cs="Arial"/>
          <w:sz w:val="20"/>
        </w:rPr>
      </w:pPr>
    </w:p>
    <w:p w14:paraId="2D747293" w14:textId="77777777" w:rsidR="00CC543A" w:rsidRPr="009B4A78" w:rsidRDefault="00CC543A" w:rsidP="00F33E49">
      <w:pPr>
        <w:jc w:val="center"/>
        <w:rPr>
          <w:rFonts w:ascii="Arial" w:hAnsi="Arial" w:cs="Arial"/>
          <w:sz w:val="20"/>
        </w:rPr>
      </w:pPr>
    </w:p>
    <w:p w14:paraId="18F5A3D3" w14:textId="3C58745B" w:rsidR="00E92683" w:rsidRPr="009B4A78" w:rsidRDefault="00E92683">
      <w:pPr>
        <w:rPr>
          <w:rFonts w:ascii="Arial" w:hAnsi="Arial" w:cs="Arial"/>
          <w:sz w:val="20"/>
          <w:szCs w:val="20"/>
        </w:rPr>
      </w:pPr>
      <w:r w:rsidRPr="009B4A78">
        <w:rPr>
          <w:rFonts w:ascii="Arial" w:hAnsi="Arial" w:cs="Arial"/>
          <w:sz w:val="20"/>
          <w:szCs w:val="20"/>
        </w:rPr>
        <w:br w:type="page"/>
      </w:r>
    </w:p>
    <w:p w14:paraId="13FB64E6" w14:textId="77777777" w:rsidR="00E92683" w:rsidRPr="009B4A78" w:rsidRDefault="00E92683" w:rsidP="00F33E49">
      <w:pPr>
        <w:pStyle w:val="StyleHeading3ComplexItalic"/>
        <w:rPr>
          <w:rStyle w:val="StyleStyleHeading3ComplexItalicLatin12ptChar"/>
          <w:rFonts w:eastAsia="SimSun"/>
          <w:b/>
          <w:szCs w:val="24"/>
        </w:rPr>
      </w:pPr>
      <w:bookmarkStart w:id="25" w:name="_Toc367350574"/>
      <w:bookmarkStart w:id="26" w:name="_Toc431221407"/>
      <w:r w:rsidRPr="009B4A78">
        <w:rPr>
          <w:rStyle w:val="StyleStyleHeading3ComplexItalicLatin12ptChar"/>
          <w:rFonts w:eastAsia="SimSun"/>
          <w:b/>
          <w:szCs w:val="24"/>
        </w:rPr>
        <w:lastRenderedPageBreak/>
        <w:t>PROGRAM</w:t>
      </w:r>
      <w:r w:rsidRPr="009B4A78">
        <w:rPr>
          <w:b w:val="0"/>
          <w:caps w:val="0"/>
          <w:szCs w:val="24"/>
        </w:rPr>
        <w:t xml:space="preserve"> </w:t>
      </w:r>
      <w:r w:rsidRPr="009B4A78">
        <w:rPr>
          <w:caps w:val="0"/>
          <w:szCs w:val="24"/>
        </w:rPr>
        <w:t>3</w:t>
      </w:r>
      <w:r w:rsidRPr="009B4A78">
        <w:rPr>
          <w:szCs w:val="24"/>
        </w:rPr>
        <w:tab/>
      </w:r>
      <w:r w:rsidRPr="009B4A78">
        <w:rPr>
          <w:rStyle w:val="StyleStyleHeading3ComplexItalicLatin12ptChar"/>
          <w:rFonts w:eastAsia="SimSun"/>
          <w:b/>
          <w:szCs w:val="24"/>
        </w:rPr>
        <w:t>COPYRIGHT</w:t>
      </w:r>
      <w:r w:rsidRPr="009B4A78">
        <w:rPr>
          <w:b w:val="0"/>
          <w:caps w:val="0"/>
          <w:szCs w:val="24"/>
        </w:rPr>
        <w:t xml:space="preserve"> </w:t>
      </w:r>
      <w:r w:rsidRPr="009B4A78">
        <w:rPr>
          <w:rStyle w:val="StyleStyleHeading3ComplexItalicLatin12ptChar"/>
          <w:rFonts w:eastAsia="SimSun"/>
          <w:b/>
          <w:szCs w:val="24"/>
        </w:rPr>
        <w:t>AND</w:t>
      </w:r>
      <w:r w:rsidRPr="009B4A78">
        <w:rPr>
          <w:b w:val="0"/>
          <w:caps w:val="0"/>
          <w:szCs w:val="24"/>
        </w:rPr>
        <w:t xml:space="preserve"> </w:t>
      </w:r>
      <w:r w:rsidRPr="009B4A78">
        <w:rPr>
          <w:rStyle w:val="StyleStyleHeading3ComplexItalicLatin12ptChar"/>
          <w:rFonts w:eastAsia="SimSun"/>
          <w:b/>
          <w:szCs w:val="24"/>
        </w:rPr>
        <w:t>RELATED</w:t>
      </w:r>
      <w:r w:rsidRPr="009B4A78">
        <w:rPr>
          <w:b w:val="0"/>
          <w:caps w:val="0"/>
          <w:szCs w:val="24"/>
        </w:rPr>
        <w:t xml:space="preserve"> </w:t>
      </w:r>
      <w:r w:rsidRPr="009B4A78">
        <w:rPr>
          <w:rStyle w:val="StyleStyleHeading3ComplexItalicLatin12ptChar"/>
          <w:rFonts w:eastAsia="SimSun"/>
          <w:b/>
          <w:szCs w:val="24"/>
        </w:rPr>
        <w:t>RIGHTS</w:t>
      </w:r>
      <w:bookmarkEnd w:id="25"/>
      <w:bookmarkEnd w:id="26"/>
    </w:p>
    <w:p w14:paraId="2E5A8CE5" w14:textId="77777777" w:rsidR="00E92683" w:rsidRPr="009B4A78" w:rsidRDefault="00E92683" w:rsidP="00F33E49">
      <w:pPr>
        <w:tabs>
          <w:tab w:val="left" w:pos="2268"/>
        </w:tabs>
        <w:ind w:left="2268" w:hanging="2268"/>
        <w:rPr>
          <w:rFonts w:ascii="Arial" w:hAnsi="Arial" w:cs="Arial"/>
          <w:bCs/>
        </w:rPr>
      </w:pPr>
    </w:p>
    <w:p w14:paraId="62DBEFA7" w14:textId="77777777" w:rsidR="00E92683" w:rsidRPr="009B4A78" w:rsidRDefault="00E92683" w:rsidP="00F33E49">
      <w:pPr>
        <w:pStyle w:val="BodyTextIndent"/>
        <w:ind w:left="1985" w:hanging="1985"/>
        <w:rPr>
          <w:rFonts w:ascii="Arial" w:hAnsi="Arial" w:cs="Arial"/>
          <w:sz w:val="22"/>
          <w:szCs w:val="22"/>
        </w:rPr>
      </w:pPr>
    </w:p>
    <w:p w14:paraId="2A85B7EE" w14:textId="77777777" w:rsidR="00E92683" w:rsidRPr="009B4A78" w:rsidRDefault="00E92683" w:rsidP="00F33E49">
      <w:pPr>
        <w:pStyle w:val="BodyTextIndent"/>
        <w:ind w:left="1985" w:hanging="1985"/>
        <w:rPr>
          <w:rFonts w:ascii="Arial" w:hAnsi="Arial" w:cs="Arial"/>
          <w:sz w:val="22"/>
          <w:szCs w:val="24"/>
        </w:rPr>
      </w:pPr>
      <w:r w:rsidRPr="009B4A78">
        <w:rPr>
          <w:rFonts w:ascii="Arial" w:hAnsi="Arial" w:cs="Arial"/>
          <w:sz w:val="22"/>
          <w:szCs w:val="24"/>
        </w:rPr>
        <w:t>PLANNING CONTEXT</w:t>
      </w:r>
    </w:p>
    <w:p w14:paraId="66EDEC44" w14:textId="77777777" w:rsidR="00E92683" w:rsidRPr="009B4A78" w:rsidRDefault="00E92683" w:rsidP="00F33E49">
      <w:pPr>
        <w:pStyle w:val="BodyTextIndent"/>
        <w:ind w:left="1985" w:hanging="1985"/>
        <w:rPr>
          <w:rFonts w:ascii="Arial" w:hAnsi="Arial" w:cs="Arial"/>
          <w:sz w:val="20"/>
          <w:szCs w:val="22"/>
        </w:rPr>
      </w:pPr>
    </w:p>
    <w:p w14:paraId="508DDF7E" w14:textId="77777777" w:rsidR="00E92683" w:rsidRPr="009B4A78" w:rsidRDefault="00E92683" w:rsidP="00B66A4A">
      <w:pPr>
        <w:numPr>
          <w:ilvl w:val="0"/>
          <w:numId w:val="4"/>
        </w:numPr>
        <w:autoSpaceDE w:val="0"/>
        <w:autoSpaceDN w:val="0"/>
        <w:adjustRightInd w:val="0"/>
        <w:jc w:val="both"/>
        <w:rPr>
          <w:rFonts w:ascii="Arial" w:hAnsi="Arial" w:cs="Arial"/>
          <w:sz w:val="20"/>
        </w:rPr>
      </w:pPr>
      <w:r w:rsidRPr="009B4A78">
        <w:rPr>
          <w:rFonts w:ascii="Arial" w:hAnsi="Arial" w:cs="Arial"/>
          <w:sz w:val="20"/>
        </w:rPr>
        <w:t>Fundamental changes have occurred in the global environment for creative works, which produce challenges and opportunities for WIPO.  This is most evident in the area of copyright and related rights where digital technology, the Internet and mobile applications are profoundly changing the culture and creative industries.</w:t>
      </w:r>
    </w:p>
    <w:p w14:paraId="6DC3C91A" w14:textId="77777777" w:rsidR="00E92683" w:rsidRPr="009B4A78" w:rsidRDefault="00E92683">
      <w:pPr>
        <w:autoSpaceDE w:val="0"/>
        <w:autoSpaceDN w:val="0"/>
        <w:adjustRightInd w:val="0"/>
        <w:jc w:val="both"/>
        <w:rPr>
          <w:rFonts w:ascii="Arial" w:hAnsi="Arial" w:cs="Arial"/>
          <w:sz w:val="20"/>
        </w:rPr>
      </w:pPr>
    </w:p>
    <w:p w14:paraId="2D0D790E" w14:textId="377B2A02" w:rsidR="00E92683" w:rsidRPr="009B4A78" w:rsidRDefault="00E92683" w:rsidP="00B66A4A">
      <w:pPr>
        <w:numPr>
          <w:ilvl w:val="0"/>
          <w:numId w:val="4"/>
        </w:numPr>
        <w:autoSpaceDE w:val="0"/>
        <w:autoSpaceDN w:val="0"/>
        <w:adjustRightInd w:val="0"/>
        <w:jc w:val="both"/>
        <w:rPr>
          <w:rFonts w:ascii="Arial" w:hAnsi="Arial" w:cs="Arial"/>
          <w:sz w:val="20"/>
        </w:rPr>
      </w:pPr>
      <w:r w:rsidRPr="009B4A78">
        <w:rPr>
          <w:rFonts w:ascii="Arial" w:hAnsi="Arial" w:cs="Arial"/>
          <w:sz w:val="20"/>
        </w:rPr>
        <w:t>The following issues and challenges continue to be relevant in the next biennium.</w:t>
      </w:r>
      <w:r w:rsidR="00BC57C8">
        <w:rPr>
          <w:rFonts w:ascii="Arial" w:hAnsi="Arial" w:cs="Arial"/>
          <w:sz w:val="20"/>
        </w:rPr>
        <w:t xml:space="preserve"> </w:t>
      </w:r>
      <w:r w:rsidRPr="009B4A78">
        <w:rPr>
          <w:rFonts w:ascii="Arial" w:hAnsi="Arial" w:cs="Arial"/>
          <w:sz w:val="20"/>
        </w:rPr>
        <w:t xml:space="preserve">As regards, normative and policy related work, a number of outstanding issues remain to be resolved on the copyright normative agenda.  Subjects for the future agenda of the Standing Committee on Copyright and Related Rights (SCCR) will also need to be identified.  </w:t>
      </w:r>
    </w:p>
    <w:p w14:paraId="78E9DF88" w14:textId="77777777" w:rsidR="00E92683" w:rsidRPr="009B4A78" w:rsidRDefault="00E92683" w:rsidP="00F33E49">
      <w:pPr>
        <w:autoSpaceDE w:val="0"/>
        <w:autoSpaceDN w:val="0"/>
        <w:adjustRightInd w:val="0"/>
        <w:jc w:val="both"/>
        <w:rPr>
          <w:rFonts w:ascii="Arial" w:hAnsi="Arial" w:cs="Arial"/>
          <w:sz w:val="20"/>
        </w:rPr>
      </w:pPr>
    </w:p>
    <w:p w14:paraId="3F314F41" w14:textId="65E29D49" w:rsidR="00E92683" w:rsidRPr="009B4A78" w:rsidRDefault="00E92683" w:rsidP="00B66A4A">
      <w:pPr>
        <w:numPr>
          <w:ilvl w:val="0"/>
          <w:numId w:val="4"/>
        </w:numPr>
        <w:autoSpaceDE w:val="0"/>
        <w:autoSpaceDN w:val="0"/>
        <w:adjustRightInd w:val="0"/>
        <w:jc w:val="both"/>
        <w:rPr>
          <w:rFonts w:ascii="Arial" w:hAnsi="Arial" w:cs="Arial"/>
          <w:sz w:val="20"/>
        </w:rPr>
      </w:pPr>
      <w:r w:rsidRPr="009B4A78">
        <w:rPr>
          <w:rFonts w:ascii="Arial" w:hAnsi="Arial" w:cs="Arial"/>
          <w:sz w:val="20"/>
        </w:rPr>
        <w:t>In addition, a key challenge for the Secretariat will be to respond to Member States’ requests for advice in making their national laws compatible with their international obligations</w:t>
      </w:r>
      <w:r w:rsidR="0025458F">
        <w:rPr>
          <w:rFonts w:ascii="Arial" w:hAnsi="Arial" w:cs="Arial"/>
          <w:sz w:val="20"/>
        </w:rPr>
        <w:t>, taking into account the existing flexibilities in the multi-lateral system</w:t>
      </w:r>
      <w:r w:rsidRPr="009B4A78">
        <w:rPr>
          <w:rFonts w:ascii="Arial" w:hAnsi="Arial" w:cs="Arial"/>
          <w:sz w:val="20"/>
        </w:rPr>
        <w:t xml:space="preserve">. </w:t>
      </w:r>
    </w:p>
    <w:p w14:paraId="2DF9269A" w14:textId="77777777" w:rsidR="00E27FBC" w:rsidRPr="00DF1376" w:rsidRDefault="00E27FBC" w:rsidP="00E27FBC">
      <w:pPr>
        <w:autoSpaceDE w:val="0"/>
        <w:autoSpaceDN w:val="0"/>
        <w:adjustRightInd w:val="0"/>
        <w:jc w:val="both"/>
        <w:rPr>
          <w:rFonts w:ascii="Arial" w:hAnsi="Arial" w:cs="Arial"/>
          <w:sz w:val="20"/>
        </w:rPr>
      </w:pPr>
    </w:p>
    <w:p w14:paraId="4A4AAD19" w14:textId="3277C010"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Develop</w:t>
      </w:r>
      <w:r>
        <w:rPr>
          <w:rFonts w:ascii="Arial" w:hAnsi="Arial" w:cs="Arial"/>
          <w:sz w:val="20"/>
        </w:rPr>
        <w:t>ing</w:t>
      </w:r>
      <w:r w:rsidRPr="00DF1376">
        <w:rPr>
          <w:rFonts w:ascii="Arial" w:hAnsi="Arial" w:cs="Arial"/>
          <w:sz w:val="20"/>
        </w:rPr>
        <w:t xml:space="preserve"> and least developed countries continue to be challenged by rapid technological developments and the interface of these new technologies with copyright protection systems.  It is therefore essential for WIPO to put in place sustainable technical assistance programs which assist such countries to meet </w:t>
      </w:r>
      <w:r>
        <w:rPr>
          <w:rFonts w:ascii="Arial" w:hAnsi="Arial" w:cs="Arial"/>
          <w:sz w:val="20"/>
        </w:rPr>
        <w:t>related</w:t>
      </w:r>
      <w:r w:rsidRPr="00DF1376">
        <w:rPr>
          <w:rFonts w:ascii="Arial" w:hAnsi="Arial" w:cs="Arial"/>
          <w:sz w:val="20"/>
        </w:rPr>
        <w:t xml:space="preserve"> challenges. </w:t>
      </w:r>
    </w:p>
    <w:p w14:paraId="2DDF790A" w14:textId="77777777" w:rsidR="00E27FBC" w:rsidRPr="00DF1376" w:rsidRDefault="00E27FBC" w:rsidP="00E27FBC">
      <w:pPr>
        <w:autoSpaceDE w:val="0"/>
        <w:autoSpaceDN w:val="0"/>
        <w:adjustRightInd w:val="0"/>
        <w:jc w:val="both"/>
        <w:rPr>
          <w:rFonts w:ascii="Arial" w:hAnsi="Arial" w:cs="Arial"/>
          <w:sz w:val="20"/>
          <w:u w:val="single"/>
        </w:rPr>
      </w:pPr>
    </w:p>
    <w:p w14:paraId="7133501E" w14:textId="370FE4AE"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In a rapidly changing world which is increasingly dependent upon digital technologies, the biggest infrastructure challenge will be to ensure that </w:t>
      </w:r>
      <w:proofErr w:type="spellStart"/>
      <w:r w:rsidRPr="00DF1376">
        <w:rPr>
          <w:rFonts w:ascii="Arial" w:hAnsi="Arial" w:cs="Arial"/>
          <w:sz w:val="20"/>
        </w:rPr>
        <w:t>rightsholders</w:t>
      </w:r>
      <w:proofErr w:type="spellEnd"/>
      <w:r w:rsidRPr="00DF1376">
        <w:rPr>
          <w:rFonts w:ascii="Arial" w:hAnsi="Arial" w:cs="Arial"/>
          <w:sz w:val="20"/>
        </w:rPr>
        <w:t xml:space="preserve"> receive their full due and that rights users have easy, legal access to the copyright content of their choice. </w:t>
      </w:r>
    </w:p>
    <w:p w14:paraId="589586C8" w14:textId="77777777" w:rsidR="00E27FBC" w:rsidRPr="00DF1376" w:rsidRDefault="00E27FBC" w:rsidP="00E27FBC">
      <w:pPr>
        <w:autoSpaceDE w:val="0"/>
        <w:autoSpaceDN w:val="0"/>
        <w:adjustRightInd w:val="0"/>
        <w:jc w:val="both"/>
        <w:rPr>
          <w:rFonts w:ascii="Arial" w:hAnsi="Arial" w:cs="Arial"/>
          <w:sz w:val="20"/>
        </w:rPr>
      </w:pPr>
    </w:p>
    <w:p w14:paraId="7B609878" w14:textId="77777777" w:rsidR="00E27FBC" w:rsidRPr="00DF1376" w:rsidRDefault="00E27FBC" w:rsidP="00E27FBC">
      <w:pPr>
        <w:autoSpaceDE w:val="0"/>
        <w:autoSpaceDN w:val="0"/>
        <w:adjustRightInd w:val="0"/>
        <w:rPr>
          <w:rFonts w:ascii="Arial" w:hAnsi="Arial" w:cs="Arial"/>
          <w:sz w:val="20"/>
        </w:rPr>
      </w:pPr>
    </w:p>
    <w:p w14:paraId="43C6306D" w14:textId="77777777" w:rsidR="00E27FBC" w:rsidRPr="002F442C" w:rsidRDefault="00E27FBC" w:rsidP="00E27FBC">
      <w:pPr>
        <w:autoSpaceDE w:val="0"/>
        <w:autoSpaceDN w:val="0"/>
        <w:adjustRightInd w:val="0"/>
        <w:rPr>
          <w:rFonts w:ascii="Arial" w:hAnsi="Arial" w:cs="Arial"/>
          <w:szCs w:val="24"/>
        </w:rPr>
      </w:pPr>
      <w:r w:rsidRPr="002F442C">
        <w:rPr>
          <w:rFonts w:ascii="Arial" w:hAnsi="Arial" w:cs="Arial"/>
          <w:szCs w:val="24"/>
        </w:rPr>
        <w:t>IMPLEMENTATION STRATEGIES</w:t>
      </w:r>
    </w:p>
    <w:p w14:paraId="253C909A" w14:textId="77777777" w:rsidR="00E27FBC" w:rsidRPr="00DF1376" w:rsidRDefault="00E27FBC" w:rsidP="00E27FBC">
      <w:pPr>
        <w:autoSpaceDE w:val="0"/>
        <w:autoSpaceDN w:val="0"/>
        <w:adjustRightInd w:val="0"/>
        <w:rPr>
          <w:rFonts w:ascii="Arial" w:hAnsi="Arial" w:cs="Arial"/>
          <w:sz w:val="18"/>
        </w:rPr>
      </w:pPr>
    </w:p>
    <w:p w14:paraId="1F8436F8" w14:textId="77777777"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bCs/>
          <w:sz w:val="20"/>
        </w:rPr>
        <w:t>A</w:t>
      </w:r>
      <w:r w:rsidRPr="00DF1376">
        <w:rPr>
          <w:rFonts w:ascii="Arial" w:hAnsi="Arial" w:cs="Arial"/>
          <w:sz w:val="20"/>
        </w:rPr>
        <w:t>gainst the above background, the Program will focus on the following priorities in the next biennium the implementation of which will take duly into account DA Recommendations 1, 6, 12 to 17, 19 and 20.</w:t>
      </w:r>
    </w:p>
    <w:p w14:paraId="2E3D8576" w14:textId="77777777" w:rsidR="00E27FBC" w:rsidRPr="00DF1376" w:rsidRDefault="00E27FBC" w:rsidP="00E27FBC">
      <w:pPr>
        <w:jc w:val="both"/>
        <w:rPr>
          <w:rFonts w:ascii="Arial" w:hAnsi="Arial" w:cs="Arial"/>
          <w:sz w:val="20"/>
        </w:rPr>
      </w:pPr>
    </w:p>
    <w:p w14:paraId="0935D0A5" w14:textId="77777777" w:rsidR="00E27FBC" w:rsidRPr="00DF1376" w:rsidRDefault="00E27FBC" w:rsidP="00E27FBC">
      <w:pPr>
        <w:jc w:val="both"/>
        <w:rPr>
          <w:rFonts w:ascii="Arial" w:hAnsi="Arial" w:cs="Arial"/>
          <w:sz w:val="20"/>
          <w:u w:val="single"/>
        </w:rPr>
      </w:pPr>
      <w:r w:rsidRPr="00DF1376">
        <w:rPr>
          <w:rFonts w:ascii="Arial" w:hAnsi="Arial" w:cs="Arial"/>
          <w:sz w:val="20"/>
          <w:u w:val="single"/>
        </w:rPr>
        <w:t>Normative and Policy Related Work</w:t>
      </w:r>
    </w:p>
    <w:p w14:paraId="7091F612" w14:textId="77777777" w:rsidR="00E27FBC" w:rsidRPr="00DF1376" w:rsidRDefault="00E27FBC" w:rsidP="00E27FBC">
      <w:pPr>
        <w:jc w:val="both"/>
        <w:rPr>
          <w:rFonts w:ascii="Arial" w:hAnsi="Arial" w:cs="Arial"/>
          <w:sz w:val="20"/>
        </w:rPr>
      </w:pPr>
    </w:p>
    <w:p w14:paraId="2A9A1038" w14:textId="77C4A9E5"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Two SCCR meetings will be scheduled each year.  Advancement of the normative agenda will focus primarily on facilitating substantive negotiations on SCCR agenda items and responding to Member State requests regarding implementation of new and existing treaties.  The facilitation work will relate to the proposed broadcasting treaty, limitations </w:t>
      </w:r>
      <w:r>
        <w:rPr>
          <w:rFonts w:ascii="Arial" w:hAnsi="Arial" w:cs="Arial"/>
          <w:sz w:val="20"/>
        </w:rPr>
        <w:t xml:space="preserve">and exceptions </w:t>
      </w:r>
      <w:r w:rsidRPr="00DF1376">
        <w:rPr>
          <w:rFonts w:ascii="Arial" w:hAnsi="Arial" w:cs="Arial"/>
          <w:sz w:val="20"/>
        </w:rPr>
        <w:t xml:space="preserve">for libraries, archives and educational </w:t>
      </w:r>
      <w:r>
        <w:rPr>
          <w:rFonts w:ascii="Arial" w:hAnsi="Arial" w:cs="Arial"/>
          <w:sz w:val="20"/>
        </w:rPr>
        <w:t xml:space="preserve">and research </w:t>
      </w:r>
      <w:r w:rsidRPr="00DF1376">
        <w:rPr>
          <w:rFonts w:ascii="Arial" w:hAnsi="Arial" w:cs="Arial"/>
          <w:sz w:val="20"/>
        </w:rPr>
        <w:t xml:space="preserve">institutions, as well as for persons with disabilities (other than print disabilities). </w:t>
      </w:r>
    </w:p>
    <w:p w14:paraId="736CFB99" w14:textId="77777777" w:rsidR="00E27FBC" w:rsidRPr="00DF1376" w:rsidRDefault="00E27FBC" w:rsidP="00E27FBC">
      <w:pPr>
        <w:autoSpaceDE w:val="0"/>
        <w:autoSpaceDN w:val="0"/>
        <w:adjustRightInd w:val="0"/>
        <w:jc w:val="both"/>
        <w:rPr>
          <w:rFonts w:ascii="Arial" w:hAnsi="Arial" w:cs="Arial"/>
          <w:sz w:val="20"/>
        </w:rPr>
      </w:pPr>
    </w:p>
    <w:p w14:paraId="36FD12D2" w14:textId="77777777"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The new treaties to be implemented are the Beijing Treaty on Audiovisual Performances and the Marrakesh Treaty to Facilitate Access to Published Works for Persons Who Are Blind, Visually Impaired or Otherwise Print Disabled.  Work will be undertaken to encourage the implementation of the Beijing and Marrakesh Treaties, in coordination with </w:t>
      </w:r>
      <w:r w:rsidRPr="00DF1376">
        <w:rPr>
          <w:rFonts w:ascii="Arial" w:hAnsi="Arial" w:cs="Arial"/>
          <w:bCs/>
          <w:sz w:val="20"/>
        </w:rPr>
        <w:t xml:space="preserve">representatives of the beneficiaries of the Treaties, intermediaries involved with implementation, and Member States.  </w:t>
      </w:r>
    </w:p>
    <w:p w14:paraId="25C7CDE5" w14:textId="77777777" w:rsidR="00E27FBC" w:rsidRPr="00DF1376" w:rsidRDefault="00E27FBC" w:rsidP="00E27FBC">
      <w:pPr>
        <w:pStyle w:val="ListParagraph"/>
        <w:ind w:left="0"/>
        <w:jc w:val="both"/>
        <w:rPr>
          <w:rFonts w:ascii="Arial" w:hAnsi="Arial" w:cs="Arial"/>
          <w:sz w:val="20"/>
        </w:rPr>
      </w:pPr>
    </w:p>
    <w:p w14:paraId="7D32883B" w14:textId="0A7E3BE0" w:rsidR="00E27FBC" w:rsidRPr="00DF1376" w:rsidRDefault="00E27FBC" w:rsidP="00B66A4A">
      <w:pPr>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A number of studies requested by the SCCR </w:t>
      </w:r>
      <w:r w:rsidR="00DA2DA6">
        <w:rPr>
          <w:rFonts w:ascii="Arial" w:hAnsi="Arial" w:cs="Arial"/>
          <w:sz w:val="20"/>
        </w:rPr>
        <w:t xml:space="preserve">and conferences on topical issues </w:t>
      </w:r>
      <w:r w:rsidRPr="00DF1376">
        <w:rPr>
          <w:rFonts w:ascii="Arial" w:hAnsi="Arial" w:cs="Arial"/>
          <w:sz w:val="20"/>
        </w:rPr>
        <w:t xml:space="preserve">will be undertaken during this biennium.  </w:t>
      </w:r>
    </w:p>
    <w:p w14:paraId="16A12890" w14:textId="77777777" w:rsidR="00E27FBC" w:rsidRPr="00DF1376" w:rsidRDefault="00E27FBC" w:rsidP="00E27FBC">
      <w:pPr>
        <w:autoSpaceDE w:val="0"/>
        <w:autoSpaceDN w:val="0"/>
        <w:adjustRightInd w:val="0"/>
        <w:jc w:val="both"/>
        <w:rPr>
          <w:rFonts w:ascii="Arial" w:hAnsi="Arial" w:cs="Arial"/>
          <w:sz w:val="20"/>
        </w:rPr>
      </w:pPr>
    </w:p>
    <w:p w14:paraId="23535467" w14:textId="77777777" w:rsidR="00E27FBC" w:rsidRPr="00DF1376" w:rsidRDefault="00E27FBC" w:rsidP="005546DD">
      <w:pPr>
        <w:keepNext/>
        <w:keepLines/>
        <w:autoSpaceDE w:val="0"/>
        <w:autoSpaceDN w:val="0"/>
        <w:adjustRightInd w:val="0"/>
        <w:rPr>
          <w:rFonts w:ascii="Arial" w:hAnsi="Arial" w:cs="Arial"/>
          <w:sz w:val="20"/>
          <w:u w:val="single"/>
        </w:rPr>
      </w:pPr>
      <w:r w:rsidRPr="00DF1376">
        <w:rPr>
          <w:rFonts w:ascii="Arial" w:hAnsi="Arial" w:cs="Arial"/>
          <w:sz w:val="20"/>
          <w:u w:val="single"/>
        </w:rPr>
        <w:t xml:space="preserve">Technical Assistance to Developing Countries and LDCs  </w:t>
      </w:r>
    </w:p>
    <w:p w14:paraId="4ED9BD39" w14:textId="77777777" w:rsidR="00E27FBC" w:rsidRPr="00DF1376" w:rsidRDefault="00E27FBC" w:rsidP="005546DD">
      <w:pPr>
        <w:keepNext/>
        <w:keepLines/>
        <w:autoSpaceDE w:val="0"/>
        <w:autoSpaceDN w:val="0"/>
        <w:adjustRightInd w:val="0"/>
        <w:rPr>
          <w:rFonts w:ascii="Arial" w:hAnsi="Arial" w:cs="Arial"/>
          <w:sz w:val="20"/>
        </w:rPr>
      </w:pPr>
    </w:p>
    <w:p w14:paraId="123D0A54" w14:textId="508BE8F1" w:rsidR="00E27FBC" w:rsidRPr="00DF1376" w:rsidRDefault="00E27FBC" w:rsidP="00B66A4A">
      <w:pPr>
        <w:pStyle w:val="ListParagraph"/>
        <w:keepNext/>
        <w:keepLines/>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Technical assistance to developing countries and LDCs will continue to focus on building technical and knowledge capacity within institutions, such as national copyright offices, </w:t>
      </w:r>
      <w:r>
        <w:rPr>
          <w:rFonts w:ascii="Arial" w:hAnsi="Arial" w:cs="Arial"/>
          <w:sz w:val="20"/>
        </w:rPr>
        <w:t xml:space="preserve">and among stakeholders, </w:t>
      </w:r>
      <w:r w:rsidRPr="00DF1376">
        <w:rPr>
          <w:rFonts w:ascii="Arial" w:hAnsi="Arial" w:cs="Arial"/>
          <w:sz w:val="20"/>
        </w:rPr>
        <w:t xml:space="preserve">to facilitate the effective use of the copyright system for social, cultural and economic development.  To this end, internal coordination with other Programs which provide technical assistance will be strengthened and </w:t>
      </w:r>
      <w:r>
        <w:rPr>
          <w:rFonts w:ascii="Arial" w:hAnsi="Arial" w:cs="Arial"/>
          <w:sz w:val="20"/>
        </w:rPr>
        <w:t xml:space="preserve">awareness and capacity building programs and/or </w:t>
      </w:r>
      <w:r w:rsidRPr="00DF1376">
        <w:rPr>
          <w:rFonts w:ascii="Arial" w:hAnsi="Arial" w:cs="Arial"/>
          <w:sz w:val="20"/>
        </w:rPr>
        <w:t xml:space="preserve">tools </w:t>
      </w:r>
      <w:r>
        <w:rPr>
          <w:rFonts w:ascii="Arial" w:hAnsi="Arial" w:cs="Arial"/>
          <w:sz w:val="20"/>
        </w:rPr>
        <w:t xml:space="preserve">for </w:t>
      </w:r>
      <w:r w:rsidRPr="00DF1376">
        <w:rPr>
          <w:rFonts w:ascii="Arial" w:hAnsi="Arial" w:cs="Arial"/>
          <w:sz w:val="20"/>
        </w:rPr>
        <w:t xml:space="preserve">national copyright offices will be designed and developed. </w:t>
      </w:r>
    </w:p>
    <w:p w14:paraId="4AC1EB18" w14:textId="77777777" w:rsidR="00E27FBC" w:rsidRPr="00DF1376" w:rsidRDefault="00E27FBC" w:rsidP="00E27FBC">
      <w:pPr>
        <w:pStyle w:val="ListParagraph"/>
        <w:autoSpaceDE w:val="0"/>
        <w:autoSpaceDN w:val="0"/>
        <w:adjustRightInd w:val="0"/>
        <w:ind w:left="0"/>
        <w:jc w:val="both"/>
        <w:rPr>
          <w:rFonts w:ascii="Arial" w:hAnsi="Arial" w:cs="Arial"/>
          <w:sz w:val="20"/>
        </w:rPr>
      </w:pPr>
    </w:p>
    <w:p w14:paraId="0C64C280" w14:textId="77777777" w:rsidR="00E27FBC" w:rsidRPr="00DF1376" w:rsidRDefault="00E27FBC" w:rsidP="00E27FBC">
      <w:pPr>
        <w:pStyle w:val="ListParagraph"/>
        <w:autoSpaceDE w:val="0"/>
        <w:autoSpaceDN w:val="0"/>
        <w:adjustRightInd w:val="0"/>
        <w:ind w:left="0"/>
        <w:jc w:val="both"/>
        <w:rPr>
          <w:rFonts w:ascii="Arial" w:hAnsi="Arial" w:cs="Arial"/>
          <w:sz w:val="20"/>
          <w:u w:val="single"/>
        </w:rPr>
      </w:pPr>
    </w:p>
    <w:p w14:paraId="1086669E" w14:textId="77777777" w:rsidR="00E27FBC" w:rsidRPr="00DF1376" w:rsidRDefault="00E27FBC" w:rsidP="00E27FBC">
      <w:pPr>
        <w:pStyle w:val="ListParagraph"/>
        <w:autoSpaceDE w:val="0"/>
        <w:autoSpaceDN w:val="0"/>
        <w:adjustRightInd w:val="0"/>
        <w:ind w:left="0"/>
        <w:jc w:val="both"/>
        <w:rPr>
          <w:rFonts w:ascii="Arial" w:hAnsi="Arial" w:cs="Arial"/>
          <w:sz w:val="20"/>
          <w:u w:val="single"/>
        </w:rPr>
      </w:pPr>
      <w:r w:rsidRPr="00DF1376">
        <w:rPr>
          <w:rFonts w:ascii="Arial" w:hAnsi="Arial" w:cs="Arial"/>
          <w:sz w:val="20"/>
          <w:u w:val="single"/>
        </w:rPr>
        <w:t>Advancing the Development of Copyright and Related Rights Infrastructure</w:t>
      </w:r>
    </w:p>
    <w:p w14:paraId="0F1B8522" w14:textId="77777777" w:rsidR="00E27FBC" w:rsidRPr="00DF1376" w:rsidRDefault="00E27FBC" w:rsidP="00E27FBC">
      <w:pPr>
        <w:pStyle w:val="ListParagraph"/>
        <w:ind w:left="0"/>
        <w:jc w:val="both"/>
        <w:rPr>
          <w:rFonts w:ascii="Arial" w:hAnsi="Arial" w:cs="Arial"/>
          <w:sz w:val="20"/>
        </w:rPr>
      </w:pPr>
    </w:p>
    <w:p w14:paraId="7C0AD446" w14:textId="0A1AAA43" w:rsidR="00E27FBC" w:rsidRPr="00E27FB7" w:rsidRDefault="00E27FBC" w:rsidP="00E27FB7">
      <w:pPr>
        <w:pStyle w:val="ListParagraph"/>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Work in the area of copyright and related rights infrastructure, </w:t>
      </w:r>
      <w:r w:rsidRPr="00DF1376">
        <w:rPr>
          <w:rFonts w:ascii="Arial" w:eastAsia="Calibri" w:hAnsi="Arial" w:cs="Arial"/>
          <w:sz w:val="20"/>
        </w:rPr>
        <w:t xml:space="preserve">will focus on </w:t>
      </w:r>
      <w:r w:rsidRPr="00DF1376">
        <w:rPr>
          <w:rFonts w:ascii="Arial" w:hAnsi="Arial" w:cs="Arial"/>
          <w:sz w:val="20"/>
        </w:rPr>
        <w:t xml:space="preserve">establishing the </w:t>
      </w:r>
      <w:r w:rsidRPr="00DF1376">
        <w:rPr>
          <w:rFonts w:ascii="Arial" w:hAnsi="Arial" w:cs="Arial"/>
          <w:i/>
          <w:sz w:val="20"/>
        </w:rPr>
        <w:t>TAG of Excellence</w:t>
      </w:r>
      <w:r w:rsidR="001339CA">
        <w:rPr>
          <w:rFonts w:ascii="Arial" w:hAnsi="Arial" w:cs="Arial"/>
          <w:i/>
          <w:sz w:val="20"/>
        </w:rPr>
        <w:t xml:space="preserve"> </w:t>
      </w:r>
      <w:r w:rsidR="001D5DB6">
        <w:rPr>
          <w:rFonts w:ascii="Arial" w:hAnsi="Arial" w:cs="Arial"/>
          <w:i/>
          <w:sz w:val="20"/>
        </w:rPr>
        <w:t>(TAG)</w:t>
      </w:r>
      <w:r w:rsidRPr="00DF1376">
        <w:rPr>
          <w:rFonts w:ascii="Arial" w:hAnsi="Arial" w:cs="Arial"/>
          <w:i/>
          <w:sz w:val="20"/>
        </w:rPr>
        <w:t xml:space="preserve"> </w:t>
      </w:r>
      <w:r w:rsidRPr="00DF1376">
        <w:rPr>
          <w:rFonts w:ascii="Arial" w:hAnsi="Arial" w:cs="Arial"/>
          <w:sz w:val="20"/>
        </w:rPr>
        <w:t xml:space="preserve">international quality assurance standard for collective management organizations (CMOs) as well as </w:t>
      </w:r>
      <w:r w:rsidR="00FE1138">
        <w:rPr>
          <w:rFonts w:ascii="Arial" w:hAnsi="Arial" w:cs="Arial"/>
          <w:sz w:val="20"/>
        </w:rPr>
        <w:t xml:space="preserve">an </w:t>
      </w:r>
      <w:r w:rsidRPr="00DF1376">
        <w:rPr>
          <w:rFonts w:ascii="Arial" w:hAnsi="Arial" w:cs="Arial"/>
          <w:sz w:val="20"/>
        </w:rPr>
        <w:t>education program on the transparency, accountability and governance of</w:t>
      </w:r>
      <w:r>
        <w:rPr>
          <w:rFonts w:ascii="Arial" w:hAnsi="Arial" w:cs="Arial"/>
          <w:sz w:val="20"/>
        </w:rPr>
        <w:t> </w:t>
      </w:r>
      <w:r w:rsidRPr="00DF1376">
        <w:rPr>
          <w:rFonts w:ascii="Arial" w:hAnsi="Arial" w:cs="Arial"/>
          <w:sz w:val="20"/>
        </w:rPr>
        <w:t>CMOs.</w:t>
      </w:r>
      <w:r w:rsidR="00D15028">
        <w:rPr>
          <w:rFonts w:ascii="Arial" w:hAnsi="Arial" w:cs="Arial"/>
          <w:sz w:val="20"/>
        </w:rPr>
        <w:t xml:space="preserve"> </w:t>
      </w:r>
      <w:r w:rsidR="00D15028">
        <w:rPr>
          <w:rFonts w:ascii="Arial" w:hAnsi="Arial" w:cs="Arial"/>
          <w:i/>
          <w:iCs/>
          <w:color w:val="000000"/>
          <w:sz w:val="20"/>
          <w:szCs w:val="20"/>
        </w:rPr>
        <w:t>TAG</w:t>
      </w:r>
      <w:r w:rsidR="00D15028">
        <w:rPr>
          <w:rFonts w:ascii="Arial" w:hAnsi="Arial" w:cs="Arial"/>
          <w:color w:val="000000"/>
          <w:sz w:val="20"/>
          <w:szCs w:val="20"/>
        </w:rPr>
        <w:t xml:space="preserve"> is an inclusive pr</w:t>
      </w:r>
      <w:r w:rsidR="00FF32B6">
        <w:rPr>
          <w:rFonts w:ascii="Arial" w:hAnsi="Arial" w:cs="Arial"/>
          <w:color w:val="000000"/>
          <w:sz w:val="20"/>
          <w:szCs w:val="20"/>
        </w:rPr>
        <w:t>oject</w:t>
      </w:r>
      <w:r w:rsidR="00684CC9">
        <w:rPr>
          <w:rFonts w:ascii="Arial" w:hAnsi="Arial" w:cs="Arial"/>
          <w:color w:val="000000"/>
          <w:sz w:val="20"/>
          <w:szCs w:val="20"/>
        </w:rPr>
        <w:t>,</w:t>
      </w:r>
      <w:r w:rsidR="00FF32B6">
        <w:rPr>
          <w:rFonts w:ascii="Arial" w:hAnsi="Arial" w:cs="Arial"/>
          <w:color w:val="000000"/>
          <w:sz w:val="20"/>
          <w:szCs w:val="20"/>
        </w:rPr>
        <w:t xml:space="preserve"> which will involve a prior </w:t>
      </w:r>
      <w:r w:rsidR="00D15028">
        <w:rPr>
          <w:rFonts w:ascii="Arial" w:hAnsi="Arial" w:cs="Arial"/>
          <w:color w:val="000000"/>
          <w:sz w:val="20"/>
          <w:szCs w:val="20"/>
        </w:rPr>
        <w:t>consultation process with WIPO’s Member States, national Copyright Offices and other key stakeholders</w:t>
      </w:r>
      <w:r w:rsidR="001339CA" w:rsidRPr="00D86441">
        <w:rPr>
          <w:rFonts w:ascii="Arial" w:hAnsi="Arial" w:cs="Arial"/>
          <w:sz w:val="20"/>
        </w:rPr>
        <w:t>.</w:t>
      </w:r>
      <w:r w:rsidRPr="00DF1376">
        <w:rPr>
          <w:rFonts w:ascii="Arial" w:hAnsi="Arial" w:cs="Arial"/>
          <w:sz w:val="20"/>
        </w:rPr>
        <w:t xml:space="preserve">  </w:t>
      </w:r>
    </w:p>
    <w:p w14:paraId="3B35BDEA" w14:textId="77777777" w:rsidR="00E27FB7" w:rsidRPr="00E27FB7" w:rsidRDefault="00E27FB7" w:rsidP="00E27FB7">
      <w:pPr>
        <w:pStyle w:val="ListParagraph"/>
        <w:autoSpaceDE w:val="0"/>
        <w:autoSpaceDN w:val="0"/>
        <w:adjustRightInd w:val="0"/>
        <w:ind w:left="0"/>
        <w:jc w:val="both"/>
        <w:rPr>
          <w:rFonts w:ascii="Arial" w:hAnsi="Arial" w:cs="Arial"/>
          <w:sz w:val="20"/>
        </w:rPr>
      </w:pPr>
    </w:p>
    <w:p w14:paraId="3831733E" w14:textId="77777777" w:rsidR="00E27FB7" w:rsidRDefault="00E27FBC" w:rsidP="00B66A4A">
      <w:pPr>
        <w:pStyle w:val="ListParagraph"/>
        <w:numPr>
          <w:ilvl w:val="0"/>
          <w:numId w:val="4"/>
        </w:numPr>
        <w:autoSpaceDE w:val="0"/>
        <w:autoSpaceDN w:val="0"/>
        <w:adjustRightInd w:val="0"/>
        <w:jc w:val="both"/>
        <w:rPr>
          <w:rFonts w:ascii="Arial" w:hAnsi="Arial" w:cs="Arial"/>
          <w:sz w:val="20"/>
        </w:rPr>
      </w:pPr>
      <w:r w:rsidRPr="00DF1376">
        <w:rPr>
          <w:rFonts w:ascii="Arial" w:hAnsi="Arial" w:cs="Arial"/>
          <w:sz w:val="20"/>
        </w:rPr>
        <w:t xml:space="preserve">To complement the </w:t>
      </w:r>
      <w:r>
        <w:rPr>
          <w:rFonts w:ascii="Arial" w:hAnsi="Arial" w:cs="Arial"/>
          <w:sz w:val="20"/>
        </w:rPr>
        <w:t xml:space="preserve">above </w:t>
      </w:r>
      <w:r w:rsidRPr="00DF1376">
        <w:rPr>
          <w:rFonts w:ascii="Arial" w:hAnsi="Arial" w:cs="Arial"/>
          <w:sz w:val="20"/>
        </w:rPr>
        <w:t xml:space="preserve">activities, a new portal will be designed and developed </w:t>
      </w:r>
      <w:r>
        <w:rPr>
          <w:rFonts w:ascii="Arial" w:hAnsi="Arial" w:cs="Arial"/>
          <w:sz w:val="20"/>
        </w:rPr>
        <w:t xml:space="preserve">in time </w:t>
      </w:r>
      <w:r w:rsidRPr="00DF1376">
        <w:rPr>
          <w:rFonts w:ascii="Arial" w:hAnsi="Arial" w:cs="Arial"/>
          <w:sz w:val="20"/>
        </w:rPr>
        <w:t>to deliver many of WIPO’s copyright infrastructure projects via the Internet and in partnership with third parties.</w:t>
      </w:r>
    </w:p>
    <w:p w14:paraId="467E7232" w14:textId="7FDA0101" w:rsidR="00E27FBC" w:rsidRPr="00DF1376" w:rsidRDefault="00E27FBC" w:rsidP="00E27FB7">
      <w:pPr>
        <w:pStyle w:val="ListParagraph"/>
        <w:autoSpaceDE w:val="0"/>
        <w:autoSpaceDN w:val="0"/>
        <w:adjustRightInd w:val="0"/>
        <w:ind w:left="0"/>
        <w:jc w:val="both"/>
        <w:rPr>
          <w:rFonts w:ascii="Arial" w:hAnsi="Arial" w:cs="Arial"/>
          <w:sz w:val="20"/>
        </w:rPr>
      </w:pPr>
    </w:p>
    <w:p w14:paraId="33A0BAF7" w14:textId="77777777" w:rsidR="00E27FB7" w:rsidRPr="00E27FB7" w:rsidRDefault="00E27FB7" w:rsidP="00E27FB7">
      <w:pPr>
        <w:pStyle w:val="ListParagraph"/>
        <w:numPr>
          <w:ilvl w:val="0"/>
          <w:numId w:val="4"/>
        </w:numPr>
        <w:autoSpaceDE w:val="0"/>
        <w:autoSpaceDN w:val="0"/>
        <w:adjustRightInd w:val="0"/>
        <w:jc w:val="both"/>
        <w:rPr>
          <w:rFonts w:ascii="Arial" w:hAnsi="Arial" w:cs="Arial"/>
          <w:sz w:val="20"/>
        </w:rPr>
      </w:pPr>
      <w:r>
        <w:rPr>
          <w:rFonts w:ascii="Arial" w:hAnsi="Arial" w:cs="Arial"/>
          <w:sz w:val="20"/>
          <w:szCs w:val="20"/>
        </w:rPr>
        <w:t>Program 3 will provide expertise in copyright and contribute to the development of research studies in close collaboration with Program 16.</w:t>
      </w:r>
    </w:p>
    <w:p w14:paraId="7BEFD03C" w14:textId="77777777" w:rsidR="00E27FBC" w:rsidRPr="00DF1376" w:rsidRDefault="00E27FBC" w:rsidP="00E27FBC">
      <w:pPr>
        <w:pStyle w:val="ListParagraph"/>
        <w:autoSpaceDE w:val="0"/>
        <w:autoSpaceDN w:val="0"/>
        <w:adjustRightInd w:val="0"/>
        <w:ind w:left="0"/>
        <w:jc w:val="both"/>
        <w:rPr>
          <w:rFonts w:ascii="Arial" w:hAnsi="Arial" w:cs="Arial"/>
          <w:sz w:val="20"/>
        </w:rPr>
      </w:pPr>
    </w:p>
    <w:p w14:paraId="39BD4CC6" w14:textId="55220647" w:rsidR="00D65E4D" w:rsidRPr="00B70B7D" w:rsidRDefault="00D65E4D" w:rsidP="00B66A4A">
      <w:pPr>
        <w:pStyle w:val="ListParagraph"/>
        <w:numPr>
          <w:ilvl w:val="0"/>
          <w:numId w:val="4"/>
        </w:numPr>
        <w:autoSpaceDE w:val="0"/>
        <w:autoSpaceDN w:val="0"/>
        <w:adjustRightInd w:val="0"/>
        <w:jc w:val="both"/>
        <w:rPr>
          <w:rFonts w:ascii="Arial" w:hAnsi="Arial" w:cs="Arial"/>
          <w:sz w:val="20"/>
        </w:rPr>
      </w:pPr>
      <w:r w:rsidRPr="00B70B7D">
        <w:rPr>
          <w:rFonts w:ascii="Arial" w:hAnsi="Arial" w:cs="Arial"/>
          <w:sz w:val="20"/>
        </w:rPr>
        <w:t xml:space="preserve">Program </w:t>
      </w:r>
      <w:r w:rsidR="007A5A68">
        <w:rPr>
          <w:rFonts w:ascii="Arial" w:hAnsi="Arial" w:cs="Arial"/>
          <w:sz w:val="20"/>
        </w:rPr>
        <w:t>3</w:t>
      </w:r>
      <w:r w:rsidRPr="00B70B7D">
        <w:rPr>
          <w:rFonts w:ascii="Arial" w:hAnsi="Arial" w:cs="Arial"/>
          <w:sz w:val="20"/>
        </w:rPr>
        <w:t xml:space="preserve"> collaborates primarily with other Programs as illustrated below: </w:t>
      </w:r>
    </w:p>
    <w:p w14:paraId="65AD059D" w14:textId="77777777" w:rsidR="00D65E4D" w:rsidRPr="00FB68E0" w:rsidRDefault="00D65E4D" w:rsidP="00FB68E0">
      <w:pPr>
        <w:pStyle w:val="ListParagraph"/>
        <w:rPr>
          <w:rFonts w:ascii="Arial" w:hAnsi="Arial" w:cs="Arial"/>
          <w:sz w:val="20"/>
        </w:rPr>
      </w:pPr>
    </w:p>
    <w:p w14:paraId="19D32C03" w14:textId="77777777" w:rsidR="00893F56" w:rsidRPr="00DF1376" w:rsidRDefault="00893F56" w:rsidP="00FB68E0">
      <w:pPr>
        <w:pStyle w:val="ListParagraph"/>
        <w:autoSpaceDE w:val="0"/>
        <w:autoSpaceDN w:val="0"/>
        <w:adjustRightInd w:val="0"/>
        <w:ind w:left="0"/>
        <w:jc w:val="both"/>
        <w:rPr>
          <w:rFonts w:ascii="Arial" w:hAnsi="Arial" w:cs="Arial"/>
          <w:sz w:val="20"/>
        </w:rPr>
      </w:pPr>
    </w:p>
    <w:p w14:paraId="435033E3" w14:textId="77777777" w:rsidR="00E27FBC" w:rsidRPr="00DF1376" w:rsidRDefault="00E27FBC" w:rsidP="00E27FBC">
      <w:pPr>
        <w:autoSpaceDE w:val="0"/>
        <w:autoSpaceDN w:val="0"/>
        <w:adjustRightInd w:val="0"/>
        <w:jc w:val="both"/>
        <w:rPr>
          <w:rFonts w:ascii="Arial" w:hAnsi="Arial" w:cs="Arial"/>
          <w:sz w:val="20"/>
        </w:rPr>
      </w:pPr>
    </w:p>
    <w:p w14:paraId="76E35424" w14:textId="696573D4" w:rsidR="00E27FBC" w:rsidRDefault="003E3D30" w:rsidP="00E27FBC">
      <w:pPr>
        <w:autoSpaceDE w:val="0"/>
        <w:autoSpaceDN w:val="0"/>
        <w:adjustRightInd w:val="0"/>
        <w:rPr>
          <w:rFonts w:ascii="Arial" w:hAnsi="Arial" w:cs="Arial"/>
        </w:rPr>
      </w:pPr>
      <w:r>
        <w:rPr>
          <w:noProof/>
          <w:lang w:eastAsia="en-US"/>
        </w:rPr>
        <w:drawing>
          <wp:inline distT="0" distB="0" distL="0" distR="0" wp14:anchorId="400A3A81" wp14:editId="584C632C">
            <wp:extent cx="5760085" cy="1531917"/>
            <wp:effectExtent l="57150" t="38100" r="0" b="144780"/>
            <wp:docPr id="87" name="Diagram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EB8FD1D" w14:textId="77777777" w:rsidR="00893F56" w:rsidRDefault="00893F56" w:rsidP="00E27FBC">
      <w:pPr>
        <w:autoSpaceDE w:val="0"/>
        <w:autoSpaceDN w:val="0"/>
        <w:adjustRightInd w:val="0"/>
        <w:rPr>
          <w:rFonts w:ascii="Arial" w:hAnsi="Arial" w:cs="Arial"/>
        </w:rPr>
      </w:pPr>
    </w:p>
    <w:p w14:paraId="4060C15D" w14:textId="77777777" w:rsidR="00893F56" w:rsidRDefault="00893F56" w:rsidP="00E27FBC">
      <w:pPr>
        <w:autoSpaceDE w:val="0"/>
        <w:autoSpaceDN w:val="0"/>
        <w:adjustRightInd w:val="0"/>
        <w:rPr>
          <w:rFonts w:ascii="Arial" w:hAnsi="Arial" w:cs="Arial"/>
        </w:rPr>
      </w:pPr>
    </w:p>
    <w:p w14:paraId="0A1FF0A1" w14:textId="77777777" w:rsidR="00E27FBC" w:rsidRPr="00DF1376" w:rsidRDefault="00E27FBC" w:rsidP="00E27FBC">
      <w:pPr>
        <w:autoSpaceDE w:val="0"/>
        <w:autoSpaceDN w:val="0"/>
        <w:adjustRightInd w:val="0"/>
        <w:rPr>
          <w:rFonts w:ascii="Arial" w:hAnsi="Arial" w:cs="Arial"/>
          <w:sz w:val="20"/>
        </w:rPr>
      </w:pPr>
      <w:r w:rsidRPr="00DF1376">
        <w:rPr>
          <w:rFonts w:ascii="Arial" w:hAnsi="Arial" w:cs="Arial"/>
        </w:rPr>
        <w:t>MAJOR RISKS AND MITIGATION STATEGIES</w:t>
      </w:r>
    </w:p>
    <w:p w14:paraId="065EF43C" w14:textId="77777777" w:rsidR="00E27FBC" w:rsidRPr="00DF1376" w:rsidRDefault="00E27FBC" w:rsidP="00E27FBC">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27FBC" w:rsidRPr="001972F3" w14:paraId="551C7CD8" w14:textId="77777777" w:rsidTr="004805AA">
        <w:trPr>
          <w:trHeight w:val="498"/>
        </w:trPr>
        <w:tc>
          <w:tcPr>
            <w:tcW w:w="4111" w:type="dxa"/>
            <w:tcBorders>
              <w:top w:val="single" w:sz="4" w:space="0" w:color="auto"/>
              <w:bottom w:val="single" w:sz="4" w:space="0" w:color="auto"/>
            </w:tcBorders>
            <w:shd w:val="clear" w:color="auto" w:fill="C6D9F1" w:themeFill="text2" w:themeFillTint="33"/>
            <w:vAlign w:val="center"/>
          </w:tcPr>
          <w:p w14:paraId="03CC4791" w14:textId="77777777" w:rsidR="00E27FBC" w:rsidRPr="001972F3" w:rsidRDefault="00E27FBC" w:rsidP="004805AA">
            <w:pPr>
              <w:jc w:val="center"/>
              <w:rPr>
                <w:rFonts w:ascii="Arial" w:hAnsi="Arial" w:cs="Arial"/>
                <w:b/>
                <w:bCs/>
                <w:sz w:val="18"/>
                <w:szCs w:val="18"/>
              </w:rPr>
            </w:pPr>
            <w:r w:rsidRPr="001972F3">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4EE227C4" w14:textId="77777777" w:rsidR="00E27FBC" w:rsidRPr="001972F3" w:rsidRDefault="00E27FBC" w:rsidP="004805AA">
            <w:pPr>
              <w:jc w:val="center"/>
              <w:rPr>
                <w:rFonts w:ascii="Arial" w:hAnsi="Arial" w:cs="Arial"/>
                <w:b/>
                <w:bCs/>
                <w:sz w:val="18"/>
                <w:szCs w:val="18"/>
              </w:rPr>
            </w:pPr>
            <w:r w:rsidRPr="001972F3">
              <w:rPr>
                <w:rFonts w:ascii="Arial" w:hAnsi="Arial" w:cs="Arial"/>
                <w:b/>
                <w:bCs/>
                <w:sz w:val="18"/>
                <w:szCs w:val="18"/>
              </w:rPr>
              <w:t>Mitigation</w:t>
            </w:r>
          </w:p>
        </w:tc>
      </w:tr>
      <w:tr w:rsidR="00E27FBC" w:rsidRPr="001972F3" w14:paraId="6AA07AEE" w14:textId="77777777" w:rsidTr="004805AA">
        <w:trPr>
          <w:trHeight w:val="638"/>
        </w:trPr>
        <w:tc>
          <w:tcPr>
            <w:tcW w:w="4111" w:type="dxa"/>
            <w:tcBorders>
              <w:top w:val="single" w:sz="4" w:space="0" w:color="auto"/>
            </w:tcBorders>
            <w:shd w:val="clear" w:color="auto" w:fill="auto"/>
            <w:tcMar>
              <w:top w:w="113" w:type="dxa"/>
              <w:bottom w:w="113" w:type="dxa"/>
            </w:tcMar>
          </w:tcPr>
          <w:p w14:paraId="40EE40DD" w14:textId="77777777" w:rsidR="00E27FBC" w:rsidRPr="001972F3" w:rsidRDefault="00E27FBC" w:rsidP="004805AA">
            <w:pPr>
              <w:rPr>
                <w:rFonts w:ascii="Arial" w:hAnsi="Arial" w:cs="Arial"/>
                <w:b/>
                <w:i/>
                <w:sz w:val="16"/>
                <w:szCs w:val="16"/>
              </w:rPr>
            </w:pPr>
            <w:r w:rsidRPr="001972F3">
              <w:rPr>
                <w:rFonts w:ascii="Arial" w:hAnsi="Arial" w:cs="Arial"/>
                <w:color w:val="000000"/>
                <w:sz w:val="16"/>
                <w:szCs w:val="16"/>
              </w:rPr>
              <w:t>The inability of the copyright system to adapt to rapid technological change threatens to undermine the relevance of the copyright system.</w:t>
            </w:r>
          </w:p>
        </w:tc>
        <w:tc>
          <w:tcPr>
            <w:tcW w:w="5103" w:type="dxa"/>
            <w:tcBorders>
              <w:top w:val="single" w:sz="4" w:space="0" w:color="auto"/>
            </w:tcBorders>
            <w:shd w:val="clear" w:color="auto" w:fill="auto"/>
            <w:tcMar>
              <w:top w:w="113" w:type="dxa"/>
              <w:bottom w:w="113" w:type="dxa"/>
            </w:tcMar>
          </w:tcPr>
          <w:p w14:paraId="0F3B2253" w14:textId="77777777" w:rsidR="00E27FBC" w:rsidRPr="001972F3" w:rsidRDefault="00E27FBC" w:rsidP="004805AA">
            <w:pPr>
              <w:autoSpaceDE w:val="0"/>
              <w:autoSpaceDN w:val="0"/>
              <w:adjustRightInd w:val="0"/>
              <w:ind w:right="-59"/>
              <w:rPr>
                <w:rFonts w:ascii="Arial" w:hAnsi="Arial" w:cs="Arial"/>
                <w:sz w:val="16"/>
                <w:szCs w:val="16"/>
              </w:rPr>
            </w:pPr>
            <w:r w:rsidRPr="001972F3">
              <w:rPr>
                <w:rFonts w:ascii="Arial" w:hAnsi="Arial" w:cs="Arial"/>
                <w:color w:val="000000"/>
                <w:sz w:val="16"/>
              </w:rPr>
              <w:t xml:space="preserve">Continuation of awareness-raising activities and initiatives to demonstrate the importance of copyright.  </w:t>
            </w:r>
          </w:p>
        </w:tc>
      </w:tr>
    </w:tbl>
    <w:p w14:paraId="2998DFD1" w14:textId="77777777" w:rsidR="00E27FBC" w:rsidRDefault="00E27FBC" w:rsidP="00E27FBC">
      <w:pPr>
        <w:rPr>
          <w:rFonts w:ascii="Arial" w:hAnsi="Arial" w:cs="Arial"/>
        </w:rPr>
      </w:pPr>
    </w:p>
    <w:p w14:paraId="68CF2938" w14:textId="77777777" w:rsidR="00E27FBC" w:rsidRPr="001972F3" w:rsidRDefault="00E27FBC" w:rsidP="00E27FBC">
      <w:pPr>
        <w:rPr>
          <w:rFonts w:ascii="Arial" w:hAnsi="Arial" w:cs="Arial"/>
        </w:rPr>
      </w:pPr>
    </w:p>
    <w:p w14:paraId="6E6D3071" w14:textId="77777777" w:rsidR="00E27FBC" w:rsidRDefault="00E27FBC" w:rsidP="002B052A">
      <w:pPr>
        <w:keepNext/>
        <w:keepLines/>
        <w:autoSpaceDE w:val="0"/>
        <w:autoSpaceDN w:val="0"/>
        <w:adjustRightInd w:val="0"/>
        <w:rPr>
          <w:rFonts w:ascii="Arial" w:hAnsi="Arial" w:cs="Arial"/>
        </w:rPr>
      </w:pPr>
      <w:r>
        <w:rPr>
          <w:rFonts w:ascii="Arial" w:hAnsi="Arial" w:cs="Arial"/>
        </w:rPr>
        <w:t>RESULTS FRAMEWORK</w:t>
      </w:r>
    </w:p>
    <w:p w14:paraId="6DE85CDA" w14:textId="77777777" w:rsidR="00E27FBC" w:rsidRDefault="00E27FBC" w:rsidP="002B052A">
      <w:pPr>
        <w:keepNext/>
        <w:keepLines/>
        <w:autoSpaceDE w:val="0"/>
        <w:autoSpaceDN w:val="0"/>
        <w:adjustRightInd w:val="0"/>
        <w:rPr>
          <w:rFonts w:ascii="Arial" w:hAnsi="Arial" w:cs="Arial"/>
        </w:rPr>
      </w:pPr>
    </w:p>
    <w:tbl>
      <w:tblPr>
        <w:tblW w:w="9195" w:type="dxa"/>
        <w:tblInd w:w="93" w:type="dxa"/>
        <w:tblBorders>
          <w:left w:val="single" w:sz="4" w:space="0" w:color="auto"/>
          <w:bottom w:val="single" w:sz="4" w:space="0" w:color="auto"/>
          <w:right w:val="single" w:sz="4" w:space="0" w:color="auto"/>
        </w:tblBorders>
        <w:tblLook w:val="04A0" w:firstRow="1" w:lastRow="0" w:firstColumn="1" w:lastColumn="0" w:noHBand="0" w:noVBand="1"/>
      </w:tblPr>
      <w:tblGrid>
        <w:gridCol w:w="2440"/>
        <w:gridCol w:w="2360"/>
        <w:gridCol w:w="2480"/>
        <w:gridCol w:w="1915"/>
      </w:tblGrid>
      <w:tr w:rsidR="00E27FBC" w:rsidRPr="002F442C" w14:paraId="7FC2AABE" w14:textId="77777777" w:rsidTr="005546DD">
        <w:trPr>
          <w:trHeight w:val="529"/>
          <w:tblHeader/>
        </w:trPr>
        <w:tc>
          <w:tcPr>
            <w:tcW w:w="2440" w:type="dxa"/>
            <w:tcBorders>
              <w:top w:val="single" w:sz="4" w:space="0" w:color="auto"/>
              <w:bottom w:val="single" w:sz="4" w:space="0" w:color="auto"/>
            </w:tcBorders>
            <w:shd w:val="clear" w:color="auto" w:fill="C6D9F1" w:themeFill="text2" w:themeFillTint="33"/>
            <w:tcMar>
              <w:top w:w="85" w:type="dxa"/>
            </w:tcMar>
            <w:vAlign w:val="center"/>
            <w:hideMark/>
          </w:tcPr>
          <w:p w14:paraId="063F1681"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 xml:space="preserve">Expected Results </w:t>
            </w:r>
          </w:p>
        </w:tc>
        <w:tc>
          <w:tcPr>
            <w:tcW w:w="2360" w:type="dxa"/>
            <w:tcBorders>
              <w:top w:val="single" w:sz="4" w:space="0" w:color="auto"/>
              <w:bottom w:val="single" w:sz="4" w:space="0" w:color="auto"/>
            </w:tcBorders>
            <w:shd w:val="clear" w:color="auto" w:fill="C6D9F1" w:themeFill="text2" w:themeFillTint="33"/>
            <w:tcMar>
              <w:top w:w="85" w:type="dxa"/>
            </w:tcMar>
            <w:vAlign w:val="center"/>
            <w:hideMark/>
          </w:tcPr>
          <w:p w14:paraId="3D4EF75B"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Performance Indicators</w:t>
            </w:r>
          </w:p>
        </w:tc>
        <w:tc>
          <w:tcPr>
            <w:tcW w:w="2480" w:type="dxa"/>
            <w:tcBorders>
              <w:top w:val="single" w:sz="4" w:space="0" w:color="auto"/>
              <w:bottom w:val="single" w:sz="4" w:space="0" w:color="auto"/>
            </w:tcBorders>
            <w:shd w:val="clear" w:color="auto" w:fill="C6D9F1" w:themeFill="text2" w:themeFillTint="33"/>
            <w:tcMar>
              <w:top w:w="85" w:type="dxa"/>
            </w:tcMar>
            <w:vAlign w:val="center"/>
            <w:hideMark/>
          </w:tcPr>
          <w:p w14:paraId="19742325"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Baselines</w:t>
            </w:r>
          </w:p>
        </w:tc>
        <w:tc>
          <w:tcPr>
            <w:tcW w:w="1915" w:type="dxa"/>
            <w:tcBorders>
              <w:top w:val="single" w:sz="4" w:space="0" w:color="auto"/>
              <w:bottom w:val="single" w:sz="4" w:space="0" w:color="auto"/>
            </w:tcBorders>
            <w:shd w:val="clear" w:color="auto" w:fill="C6D9F1" w:themeFill="text2" w:themeFillTint="33"/>
            <w:tcMar>
              <w:top w:w="85" w:type="dxa"/>
            </w:tcMar>
            <w:vAlign w:val="center"/>
            <w:hideMark/>
          </w:tcPr>
          <w:p w14:paraId="1775080D"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Targets</w:t>
            </w:r>
          </w:p>
        </w:tc>
      </w:tr>
      <w:tr w:rsidR="00E27FBC" w:rsidRPr="002F442C" w14:paraId="620EF1C6" w14:textId="77777777" w:rsidTr="005546DD">
        <w:trPr>
          <w:trHeight w:val="1469"/>
        </w:trPr>
        <w:tc>
          <w:tcPr>
            <w:tcW w:w="2440" w:type="dxa"/>
            <w:tcBorders>
              <w:top w:val="single" w:sz="4" w:space="0" w:color="auto"/>
            </w:tcBorders>
            <w:shd w:val="clear" w:color="000000" w:fill="FFFFFF"/>
            <w:tcMar>
              <w:top w:w="85" w:type="dxa"/>
            </w:tcMar>
            <w:hideMark/>
          </w:tcPr>
          <w:p w14:paraId="6A1D3AEC" w14:textId="77777777" w:rsidR="00E27FBC" w:rsidRPr="002F442C" w:rsidRDefault="00E27FBC" w:rsidP="002B052A">
            <w:pPr>
              <w:keepNext/>
              <w:keepLines/>
              <w:rPr>
                <w:rFonts w:ascii="Arial" w:hAnsi="Arial" w:cs="Arial"/>
                <w:color w:val="000000"/>
                <w:sz w:val="16"/>
                <w:szCs w:val="16"/>
              </w:rPr>
            </w:pPr>
            <w:r w:rsidRPr="002F442C">
              <w:rPr>
                <w:rFonts w:ascii="Arial" w:hAnsi="Arial" w:cs="Arial"/>
                <w:color w:val="000000"/>
                <w:sz w:val="16"/>
                <w:szCs w:val="16"/>
              </w:rPr>
              <w:t xml:space="preserve">I.1 Enhanced cooperation among Member States on development of balanced international normative frameworks for IP </w:t>
            </w:r>
          </w:p>
        </w:tc>
        <w:tc>
          <w:tcPr>
            <w:tcW w:w="2360" w:type="dxa"/>
            <w:tcBorders>
              <w:top w:val="single" w:sz="4" w:space="0" w:color="auto"/>
            </w:tcBorders>
            <w:shd w:val="clear" w:color="000000" w:fill="FFFFFF"/>
            <w:tcMar>
              <w:top w:w="85" w:type="dxa"/>
            </w:tcMar>
            <w:hideMark/>
          </w:tcPr>
          <w:p w14:paraId="7E6A7255" w14:textId="77777777" w:rsidR="00E27FBC" w:rsidRPr="002F442C" w:rsidRDefault="00E27FBC" w:rsidP="002B052A">
            <w:pPr>
              <w:keepNext/>
              <w:keepLines/>
              <w:ind w:firstLineChars="11" w:firstLine="18"/>
              <w:rPr>
                <w:rFonts w:ascii="Arial" w:hAnsi="Arial" w:cs="Arial"/>
                <w:color w:val="000000"/>
                <w:sz w:val="16"/>
                <w:szCs w:val="16"/>
              </w:rPr>
            </w:pPr>
            <w:r w:rsidRPr="002F442C">
              <w:rPr>
                <w:rFonts w:ascii="Arial" w:hAnsi="Arial" w:cs="Arial"/>
                <w:color w:val="000000"/>
                <w:sz w:val="16"/>
                <w:szCs w:val="16"/>
              </w:rPr>
              <w:t>Progress in the implementation of agreed work according to the SCCR agenda</w:t>
            </w:r>
          </w:p>
        </w:tc>
        <w:tc>
          <w:tcPr>
            <w:tcW w:w="2480" w:type="dxa"/>
            <w:tcBorders>
              <w:top w:val="single" w:sz="4" w:space="0" w:color="auto"/>
            </w:tcBorders>
            <w:shd w:val="clear" w:color="000000" w:fill="FFFFFF"/>
            <w:tcMar>
              <w:top w:w="85" w:type="dxa"/>
            </w:tcMar>
            <w:hideMark/>
          </w:tcPr>
          <w:p w14:paraId="54B117B8" w14:textId="77777777" w:rsidR="00E27FBC" w:rsidRPr="002F442C" w:rsidRDefault="00E27FBC" w:rsidP="002B052A">
            <w:pPr>
              <w:keepNext/>
              <w:keepLines/>
              <w:ind w:left="57"/>
              <w:rPr>
                <w:rFonts w:ascii="Arial" w:hAnsi="Arial" w:cs="Arial"/>
                <w:color w:val="000000"/>
                <w:sz w:val="16"/>
                <w:szCs w:val="16"/>
              </w:rPr>
            </w:pPr>
            <w:r w:rsidRPr="002F442C">
              <w:rPr>
                <w:rFonts w:ascii="Arial" w:hAnsi="Arial" w:cs="Arial"/>
                <w:color w:val="000000"/>
                <w:sz w:val="16"/>
                <w:szCs w:val="16"/>
              </w:rPr>
              <w:t>The SCCR and the 2014 WIPO General Assembly did not reach agreement on steps toward the convening of a diplomatic conference for a treaty on the protection of broadcasting organizations (2014 PPR)</w:t>
            </w:r>
          </w:p>
        </w:tc>
        <w:tc>
          <w:tcPr>
            <w:tcW w:w="1915" w:type="dxa"/>
            <w:tcBorders>
              <w:top w:val="single" w:sz="4" w:space="0" w:color="auto"/>
            </w:tcBorders>
            <w:shd w:val="clear" w:color="000000" w:fill="FFFFFF"/>
            <w:tcMar>
              <w:top w:w="85" w:type="dxa"/>
            </w:tcMar>
            <w:hideMark/>
          </w:tcPr>
          <w:p w14:paraId="28E7DCD0" w14:textId="77777777" w:rsidR="00E27FBC" w:rsidRPr="002F442C" w:rsidRDefault="00E27FBC" w:rsidP="002B052A">
            <w:pPr>
              <w:keepNext/>
              <w:keepLines/>
              <w:ind w:left="97" w:firstLineChars="26" w:firstLine="42"/>
              <w:rPr>
                <w:rFonts w:ascii="Arial" w:hAnsi="Arial" w:cs="Arial"/>
                <w:color w:val="000000"/>
                <w:sz w:val="16"/>
                <w:szCs w:val="16"/>
              </w:rPr>
            </w:pPr>
            <w:r w:rsidRPr="002F442C">
              <w:rPr>
                <w:rFonts w:ascii="Arial" w:hAnsi="Arial" w:cs="Arial"/>
                <w:color w:val="000000"/>
                <w:sz w:val="16"/>
                <w:szCs w:val="16"/>
              </w:rPr>
              <w:t>SCCR agreed outcomes</w:t>
            </w:r>
          </w:p>
        </w:tc>
      </w:tr>
      <w:tr w:rsidR="00E27FBC" w:rsidRPr="002F442C" w14:paraId="7E11D01C" w14:textId="77777777" w:rsidTr="005546DD">
        <w:trPr>
          <w:trHeight w:val="707"/>
        </w:trPr>
        <w:tc>
          <w:tcPr>
            <w:tcW w:w="2440" w:type="dxa"/>
            <w:vMerge w:val="restart"/>
            <w:shd w:val="clear" w:color="000000" w:fill="FFFFFF"/>
            <w:tcMar>
              <w:top w:w="85" w:type="dxa"/>
            </w:tcMar>
            <w:hideMark/>
          </w:tcPr>
          <w:p w14:paraId="49570C14"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I.2 Tailored and balanced IP legislative, regulatory and policy frameworks</w:t>
            </w:r>
          </w:p>
        </w:tc>
        <w:tc>
          <w:tcPr>
            <w:tcW w:w="2360" w:type="dxa"/>
            <w:shd w:val="clear" w:color="000000" w:fill="FFFFFF"/>
            <w:tcMar>
              <w:top w:w="85" w:type="dxa"/>
            </w:tcMar>
            <w:hideMark/>
          </w:tcPr>
          <w:p w14:paraId="2B772479"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countries that have ratified or acceded to the Beijing Treaty</w:t>
            </w:r>
          </w:p>
        </w:tc>
        <w:tc>
          <w:tcPr>
            <w:tcW w:w="2480" w:type="dxa"/>
            <w:shd w:val="clear" w:color="000000" w:fill="FFFFFF"/>
            <w:tcMar>
              <w:top w:w="85" w:type="dxa"/>
            </w:tcMar>
            <w:hideMark/>
          </w:tcPr>
          <w:p w14:paraId="14BEFB32"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6 (end 2014)</w:t>
            </w:r>
          </w:p>
        </w:tc>
        <w:tc>
          <w:tcPr>
            <w:tcW w:w="1915" w:type="dxa"/>
            <w:shd w:val="clear" w:color="000000" w:fill="FFFFFF"/>
            <w:tcMar>
              <w:top w:w="85" w:type="dxa"/>
            </w:tcMar>
            <w:hideMark/>
          </w:tcPr>
          <w:p w14:paraId="7DB75A58" w14:textId="77777777" w:rsidR="00E27FBC" w:rsidRPr="002F442C" w:rsidRDefault="00E27FBC" w:rsidP="004805AA">
            <w:pPr>
              <w:ind w:left="97" w:firstLineChars="200" w:firstLine="320"/>
              <w:rPr>
                <w:rFonts w:ascii="Arial" w:hAnsi="Arial" w:cs="Arial"/>
                <w:color w:val="000000"/>
                <w:sz w:val="16"/>
                <w:szCs w:val="16"/>
              </w:rPr>
            </w:pPr>
            <w:r w:rsidRPr="002F442C">
              <w:rPr>
                <w:rFonts w:ascii="Arial" w:hAnsi="Arial" w:cs="Arial"/>
                <w:color w:val="000000"/>
                <w:sz w:val="16"/>
                <w:szCs w:val="16"/>
              </w:rPr>
              <w:t xml:space="preserve">30 </w:t>
            </w:r>
          </w:p>
        </w:tc>
      </w:tr>
      <w:tr w:rsidR="00E27FBC" w:rsidRPr="002F442C" w14:paraId="76F1FB7D" w14:textId="77777777" w:rsidTr="005546DD">
        <w:trPr>
          <w:trHeight w:val="725"/>
        </w:trPr>
        <w:tc>
          <w:tcPr>
            <w:tcW w:w="2440" w:type="dxa"/>
            <w:vMerge/>
            <w:tcMar>
              <w:top w:w="85" w:type="dxa"/>
            </w:tcMar>
            <w:vAlign w:val="center"/>
            <w:hideMark/>
          </w:tcPr>
          <w:p w14:paraId="0C69C2D4"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063EDD8"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countries that have ratified or acceded to the Marrakesh Treaty</w:t>
            </w:r>
          </w:p>
        </w:tc>
        <w:tc>
          <w:tcPr>
            <w:tcW w:w="2480" w:type="dxa"/>
            <w:shd w:val="clear" w:color="000000" w:fill="FFFFFF"/>
            <w:tcMar>
              <w:top w:w="85" w:type="dxa"/>
            </w:tcMar>
            <w:hideMark/>
          </w:tcPr>
          <w:p w14:paraId="24A86577"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5 (end 2014)</w:t>
            </w:r>
          </w:p>
        </w:tc>
        <w:tc>
          <w:tcPr>
            <w:tcW w:w="1915" w:type="dxa"/>
            <w:shd w:val="clear" w:color="000000" w:fill="FFFFFF"/>
            <w:tcMar>
              <w:top w:w="85" w:type="dxa"/>
            </w:tcMar>
            <w:hideMark/>
          </w:tcPr>
          <w:p w14:paraId="6B495295" w14:textId="77777777" w:rsidR="00E27FBC" w:rsidRPr="002F442C" w:rsidRDefault="00E27FBC" w:rsidP="004805AA">
            <w:pPr>
              <w:ind w:left="97" w:firstLineChars="200" w:firstLine="320"/>
              <w:rPr>
                <w:rFonts w:ascii="Arial" w:hAnsi="Arial" w:cs="Arial"/>
                <w:color w:val="000000"/>
                <w:sz w:val="16"/>
                <w:szCs w:val="16"/>
              </w:rPr>
            </w:pPr>
            <w:r w:rsidRPr="002F442C">
              <w:rPr>
                <w:rFonts w:ascii="Arial" w:hAnsi="Arial" w:cs="Arial"/>
                <w:color w:val="000000"/>
                <w:sz w:val="16"/>
                <w:szCs w:val="16"/>
              </w:rPr>
              <w:t xml:space="preserve">20 </w:t>
            </w:r>
          </w:p>
        </w:tc>
      </w:tr>
      <w:tr w:rsidR="00E27FBC" w:rsidRPr="002F442C" w14:paraId="7E1B3E67" w14:textId="77777777" w:rsidTr="005546DD">
        <w:trPr>
          <w:trHeight w:val="725"/>
        </w:trPr>
        <w:tc>
          <w:tcPr>
            <w:tcW w:w="2440" w:type="dxa"/>
            <w:vMerge/>
            <w:tcMar>
              <w:top w:w="85" w:type="dxa"/>
            </w:tcMar>
            <w:vAlign w:val="center"/>
            <w:hideMark/>
          </w:tcPr>
          <w:p w14:paraId="3C49D0B0"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76D7C787" w14:textId="12A346BF" w:rsidR="00E27FBC" w:rsidRPr="002B0C2F" w:rsidRDefault="00E27FBC">
            <w:pPr>
              <w:ind w:left="77"/>
              <w:rPr>
                <w:rFonts w:ascii="Arial" w:hAnsi="Arial" w:cs="Arial"/>
                <w:color w:val="000000"/>
                <w:sz w:val="16"/>
                <w:szCs w:val="16"/>
              </w:rPr>
            </w:pPr>
            <w:r w:rsidRPr="002B0C2F">
              <w:rPr>
                <w:rFonts w:ascii="Arial" w:hAnsi="Arial" w:cs="Arial"/>
                <w:color w:val="000000"/>
                <w:sz w:val="16"/>
                <w:szCs w:val="16"/>
              </w:rPr>
              <w:t xml:space="preserve">No. of ratifications or accessions </w:t>
            </w:r>
            <w:r w:rsidRPr="00FB68E0">
              <w:rPr>
                <w:rFonts w:ascii="Arial" w:hAnsi="Arial" w:cs="Arial"/>
                <w:color w:val="000000"/>
                <w:sz w:val="16"/>
                <w:szCs w:val="16"/>
              </w:rPr>
              <w:t>to the copyright treaties in force including the Bern</w:t>
            </w:r>
            <w:r w:rsidR="00BF5EAA">
              <w:rPr>
                <w:rFonts w:ascii="Arial" w:hAnsi="Arial" w:cs="Arial"/>
                <w:color w:val="000000"/>
                <w:sz w:val="16"/>
                <w:szCs w:val="16"/>
              </w:rPr>
              <w:t xml:space="preserve">e Convention, Rome Convention, </w:t>
            </w:r>
            <w:r w:rsidRPr="00FB68E0">
              <w:rPr>
                <w:rFonts w:ascii="Arial" w:hAnsi="Arial" w:cs="Arial"/>
                <w:color w:val="000000"/>
                <w:sz w:val="16"/>
                <w:szCs w:val="16"/>
              </w:rPr>
              <w:t xml:space="preserve">and </w:t>
            </w:r>
            <w:r w:rsidRPr="002B0C2F">
              <w:rPr>
                <w:rFonts w:ascii="Arial" w:hAnsi="Arial" w:cs="Arial"/>
                <w:color w:val="000000"/>
                <w:sz w:val="16"/>
                <w:szCs w:val="16"/>
              </w:rPr>
              <w:t>Internet Treaties</w:t>
            </w:r>
          </w:p>
        </w:tc>
        <w:tc>
          <w:tcPr>
            <w:tcW w:w="2480" w:type="dxa"/>
            <w:shd w:val="clear" w:color="000000" w:fill="FFFFFF"/>
            <w:tcMar>
              <w:top w:w="85" w:type="dxa"/>
            </w:tcMar>
            <w:hideMark/>
          </w:tcPr>
          <w:p w14:paraId="4F0E6CD8" w14:textId="1CDDD2B3" w:rsidR="00E27FBC" w:rsidRPr="002B0C2F" w:rsidRDefault="00E27FBC" w:rsidP="004805AA">
            <w:pPr>
              <w:ind w:left="1"/>
              <w:rPr>
                <w:rFonts w:ascii="Arial" w:hAnsi="Arial" w:cs="Arial"/>
                <w:color w:val="000000"/>
                <w:sz w:val="16"/>
                <w:szCs w:val="16"/>
              </w:rPr>
            </w:pPr>
            <w:r w:rsidRPr="002B0C2F">
              <w:rPr>
                <w:rFonts w:ascii="Arial" w:hAnsi="Arial" w:cs="Arial"/>
                <w:color w:val="000000"/>
                <w:sz w:val="16"/>
                <w:szCs w:val="16"/>
              </w:rPr>
              <w:t>n/a (revised ind</w:t>
            </w:r>
            <w:r w:rsidRPr="00FB68E0">
              <w:rPr>
                <w:rFonts w:ascii="Arial" w:hAnsi="Arial" w:cs="Arial"/>
                <w:color w:val="000000"/>
                <w:sz w:val="16"/>
                <w:szCs w:val="16"/>
              </w:rPr>
              <w:t>i</w:t>
            </w:r>
            <w:r w:rsidRPr="002B0C2F">
              <w:rPr>
                <w:rFonts w:ascii="Arial" w:hAnsi="Arial" w:cs="Arial"/>
                <w:color w:val="000000"/>
                <w:sz w:val="16"/>
                <w:szCs w:val="16"/>
              </w:rPr>
              <w:t>cator)</w:t>
            </w:r>
          </w:p>
        </w:tc>
        <w:tc>
          <w:tcPr>
            <w:tcW w:w="1915" w:type="dxa"/>
            <w:shd w:val="clear" w:color="000000" w:fill="FFFFFF"/>
            <w:tcMar>
              <w:top w:w="85" w:type="dxa"/>
            </w:tcMar>
            <w:hideMark/>
          </w:tcPr>
          <w:p w14:paraId="77727C66" w14:textId="04E8D12E" w:rsidR="00E27FBC" w:rsidRPr="002B0C2F" w:rsidRDefault="00E27FBC" w:rsidP="004805AA">
            <w:pPr>
              <w:ind w:left="97" w:firstLineChars="200" w:firstLine="320"/>
              <w:rPr>
                <w:rFonts w:ascii="Arial" w:hAnsi="Arial" w:cs="Arial"/>
                <w:color w:val="000000"/>
                <w:sz w:val="16"/>
                <w:szCs w:val="16"/>
              </w:rPr>
            </w:pPr>
            <w:r w:rsidRPr="002B0C2F">
              <w:rPr>
                <w:rFonts w:ascii="Arial" w:hAnsi="Arial" w:cs="Arial"/>
                <w:color w:val="000000"/>
                <w:sz w:val="16"/>
                <w:szCs w:val="16"/>
              </w:rPr>
              <w:t>10</w:t>
            </w:r>
          </w:p>
        </w:tc>
      </w:tr>
      <w:tr w:rsidR="00E27FBC" w:rsidRPr="002F442C" w14:paraId="7B423426" w14:textId="77777777" w:rsidTr="005546DD">
        <w:trPr>
          <w:trHeight w:val="986"/>
        </w:trPr>
        <w:tc>
          <w:tcPr>
            <w:tcW w:w="2440" w:type="dxa"/>
            <w:vMerge/>
            <w:tcMar>
              <w:top w:w="85" w:type="dxa"/>
            </w:tcMar>
            <w:vAlign w:val="center"/>
            <w:hideMark/>
          </w:tcPr>
          <w:p w14:paraId="7635DE17"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0B960F1F"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of countries that have provided positive feedback about WIPO’s legislative advice</w:t>
            </w:r>
          </w:p>
        </w:tc>
        <w:tc>
          <w:tcPr>
            <w:tcW w:w="2480" w:type="dxa"/>
            <w:shd w:val="clear" w:color="000000" w:fill="FFFFFF"/>
            <w:tcMar>
              <w:top w:w="85" w:type="dxa"/>
            </w:tcMar>
            <w:hideMark/>
          </w:tcPr>
          <w:p w14:paraId="16CEC7FE" w14:textId="77777777" w:rsidR="00E27FBC" w:rsidRDefault="00E27FBC" w:rsidP="004805AA">
            <w:pPr>
              <w:ind w:left="57"/>
              <w:rPr>
                <w:rFonts w:ascii="Arial" w:hAnsi="Arial" w:cs="Arial"/>
                <w:color w:val="000000"/>
                <w:sz w:val="16"/>
                <w:szCs w:val="16"/>
              </w:rPr>
            </w:pPr>
            <w:r w:rsidRPr="002F442C">
              <w:rPr>
                <w:rFonts w:ascii="Arial" w:hAnsi="Arial" w:cs="Arial"/>
                <w:color w:val="000000"/>
                <w:sz w:val="16"/>
                <w:szCs w:val="16"/>
              </w:rPr>
              <w:t>n/a in 2014</w:t>
            </w:r>
            <w:r>
              <w:rPr>
                <w:rFonts w:ascii="Arial" w:hAnsi="Arial" w:cs="Arial"/>
                <w:color w:val="000000"/>
                <w:sz w:val="16"/>
                <w:szCs w:val="16"/>
              </w:rPr>
              <w:t xml:space="preserve"> </w:t>
            </w:r>
          </w:p>
          <w:p w14:paraId="15DB29CD" w14:textId="77777777" w:rsidR="00E27FBC" w:rsidRPr="002F442C" w:rsidRDefault="00E27FBC" w:rsidP="004805AA">
            <w:pPr>
              <w:ind w:left="57"/>
              <w:rPr>
                <w:rFonts w:ascii="Arial" w:hAnsi="Arial" w:cs="Arial"/>
                <w:color w:val="000000"/>
                <w:sz w:val="16"/>
                <w:szCs w:val="16"/>
              </w:rPr>
            </w:pPr>
            <w:r>
              <w:rPr>
                <w:rFonts w:ascii="Arial" w:hAnsi="Arial" w:cs="Arial"/>
                <w:color w:val="000000"/>
                <w:sz w:val="16"/>
                <w:szCs w:val="16"/>
              </w:rPr>
              <w:t>(biennial s</w:t>
            </w:r>
            <w:r w:rsidRPr="002F442C">
              <w:rPr>
                <w:rFonts w:ascii="Arial" w:hAnsi="Arial" w:cs="Arial"/>
                <w:color w:val="000000"/>
                <w:sz w:val="16"/>
                <w:szCs w:val="16"/>
              </w:rPr>
              <w:t>urvey to be conducted in 2015</w:t>
            </w:r>
            <w:r>
              <w:rPr>
                <w:rFonts w:ascii="Arial" w:hAnsi="Arial" w:cs="Arial"/>
                <w:color w:val="000000"/>
                <w:sz w:val="16"/>
                <w:szCs w:val="16"/>
              </w:rPr>
              <w:t>)</w:t>
            </w:r>
          </w:p>
        </w:tc>
        <w:tc>
          <w:tcPr>
            <w:tcW w:w="1915" w:type="dxa"/>
            <w:shd w:val="clear" w:color="000000" w:fill="FFFFFF"/>
            <w:tcMar>
              <w:top w:w="85" w:type="dxa"/>
            </w:tcMar>
            <w:hideMark/>
          </w:tcPr>
          <w:p w14:paraId="13DF5EBD" w14:textId="72AD955E" w:rsidR="00E27FBC" w:rsidRPr="002F442C" w:rsidRDefault="007C274A" w:rsidP="004805AA">
            <w:pPr>
              <w:ind w:left="97"/>
              <w:rPr>
                <w:rFonts w:ascii="Arial" w:hAnsi="Arial" w:cs="Arial"/>
                <w:color w:val="000000"/>
                <w:sz w:val="16"/>
                <w:szCs w:val="16"/>
              </w:rPr>
            </w:pPr>
            <w:r>
              <w:rPr>
                <w:rFonts w:ascii="Arial" w:hAnsi="Arial" w:cs="Arial"/>
                <w:color w:val="000000"/>
                <w:sz w:val="16"/>
                <w:szCs w:val="16"/>
              </w:rPr>
              <w:t>7</w:t>
            </w:r>
            <w:r w:rsidRPr="002F442C">
              <w:rPr>
                <w:rFonts w:ascii="Arial" w:hAnsi="Arial" w:cs="Arial"/>
                <w:color w:val="000000"/>
                <w:sz w:val="16"/>
                <w:szCs w:val="16"/>
              </w:rPr>
              <w:t>0</w:t>
            </w:r>
            <w:r w:rsidR="00E27FBC" w:rsidRPr="002F442C">
              <w:rPr>
                <w:rFonts w:ascii="Arial" w:hAnsi="Arial" w:cs="Arial"/>
                <w:color w:val="000000"/>
                <w:sz w:val="16"/>
                <w:szCs w:val="16"/>
              </w:rPr>
              <w:t>% of respondents satisfied with advice offered</w:t>
            </w:r>
          </w:p>
        </w:tc>
      </w:tr>
      <w:tr w:rsidR="00E27FBC" w:rsidRPr="002F442C" w14:paraId="3ADCCC99" w14:textId="77777777" w:rsidTr="008D4CE9">
        <w:trPr>
          <w:trHeight w:val="545"/>
        </w:trPr>
        <w:tc>
          <w:tcPr>
            <w:tcW w:w="2440" w:type="dxa"/>
            <w:vMerge w:val="restart"/>
            <w:shd w:val="clear" w:color="000000" w:fill="FFFFFF"/>
            <w:tcMar>
              <w:top w:w="85" w:type="dxa"/>
            </w:tcMar>
            <w:hideMark/>
          </w:tcPr>
          <w:p w14:paraId="35D79E8D" w14:textId="77777777" w:rsidR="00E27FBC" w:rsidRPr="002F442C" w:rsidRDefault="00E27FBC" w:rsidP="004805AA">
            <w:pPr>
              <w:keepNext/>
              <w:keepLines/>
              <w:rPr>
                <w:rFonts w:ascii="Arial" w:hAnsi="Arial" w:cs="Arial"/>
                <w:color w:val="000000"/>
                <w:sz w:val="16"/>
                <w:szCs w:val="16"/>
              </w:rPr>
            </w:pPr>
            <w:r w:rsidRPr="002F442C">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360" w:type="dxa"/>
            <w:shd w:val="clear" w:color="000000" w:fill="FFFFFF"/>
            <w:tcMar>
              <w:top w:w="85" w:type="dxa"/>
            </w:tcMar>
          </w:tcPr>
          <w:p w14:paraId="2BEA4DBB" w14:textId="16B2AB6C" w:rsidR="00E27FBC" w:rsidRPr="002F442C" w:rsidRDefault="00FC35E2" w:rsidP="00FF32B6">
            <w:pPr>
              <w:keepNext/>
              <w:keepLines/>
              <w:ind w:left="77"/>
              <w:rPr>
                <w:rFonts w:ascii="Arial" w:hAnsi="Arial" w:cs="Arial"/>
                <w:color w:val="000000"/>
                <w:sz w:val="16"/>
                <w:szCs w:val="16"/>
              </w:rPr>
            </w:pPr>
            <w:r>
              <w:rPr>
                <w:rFonts w:ascii="Arial" w:hAnsi="Arial" w:cs="Arial"/>
                <w:color w:val="000000"/>
                <w:sz w:val="16"/>
                <w:szCs w:val="16"/>
              </w:rPr>
              <w:t>No. of national Copyright Offices actively engaged in the TAG consultative process</w:t>
            </w:r>
            <w:r w:rsidRPr="002F442C" w:rsidDel="00D67297">
              <w:rPr>
                <w:rFonts w:ascii="Arial" w:hAnsi="Arial" w:cs="Arial"/>
                <w:color w:val="000000"/>
                <w:sz w:val="16"/>
                <w:szCs w:val="16"/>
              </w:rPr>
              <w:t xml:space="preserve"> </w:t>
            </w:r>
          </w:p>
        </w:tc>
        <w:tc>
          <w:tcPr>
            <w:tcW w:w="2480" w:type="dxa"/>
            <w:shd w:val="clear" w:color="000000" w:fill="FFFFFF"/>
            <w:tcMar>
              <w:top w:w="85" w:type="dxa"/>
            </w:tcMar>
          </w:tcPr>
          <w:p w14:paraId="56B4D5D9" w14:textId="686F7399" w:rsidR="00E27FBC" w:rsidRPr="002F442C" w:rsidRDefault="00FC35E2" w:rsidP="004805AA">
            <w:pPr>
              <w:keepNext/>
              <w:keepLines/>
              <w:ind w:left="57"/>
              <w:rPr>
                <w:rFonts w:ascii="Arial" w:hAnsi="Arial" w:cs="Arial"/>
                <w:color w:val="000000"/>
                <w:sz w:val="16"/>
                <w:szCs w:val="16"/>
              </w:rPr>
            </w:pPr>
            <w:r>
              <w:rPr>
                <w:rFonts w:ascii="Arial" w:hAnsi="Arial" w:cs="Arial"/>
                <w:color w:val="000000"/>
                <w:sz w:val="16"/>
                <w:szCs w:val="16"/>
              </w:rPr>
              <w:t xml:space="preserve">n/a </w:t>
            </w:r>
          </w:p>
        </w:tc>
        <w:tc>
          <w:tcPr>
            <w:tcW w:w="1915" w:type="dxa"/>
            <w:shd w:val="clear" w:color="000000" w:fill="FFFFFF"/>
            <w:tcMar>
              <w:top w:w="85" w:type="dxa"/>
            </w:tcMar>
          </w:tcPr>
          <w:p w14:paraId="727CDAA4" w14:textId="0E322F5C" w:rsidR="00E27FBC" w:rsidRPr="002F442C" w:rsidRDefault="00FC35E2" w:rsidP="00FF32B6">
            <w:pPr>
              <w:keepNext/>
              <w:keepLines/>
              <w:ind w:left="97"/>
              <w:rPr>
                <w:rFonts w:ascii="Arial" w:hAnsi="Arial" w:cs="Arial"/>
                <w:color w:val="000000"/>
                <w:sz w:val="16"/>
                <w:szCs w:val="16"/>
              </w:rPr>
            </w:pPr>
            <w:r>
              <w:rPr>
                <w:rFonts w:ascii="Arial" w:hAnsi="Arial" w:cs="Arial"/>
                <w:color w:val="000000"/>
                <w:sz w:val="16"/>
                <w:szCs w:val="16"/>
              </w:rPr>
              <w:t xml:space="preserve">25 national Copyright Offices </w:t>
            </w:r>
          </w:p>
        </w:tc>
      </w:tr>
      <w:tr w:rsidR="00FF32B6" w:rsidRPr="002F442C" w14:paraId="53D4CA8D" w14:textId="77777777" w:rsidTr="008D4CE9">
        <w:trPr>
          <w:trHeight w:val="545"/>
        </w:trPr>
        <w:tc>
          <w:tcPr>
            <w:tcW w:w="2440" w:type="dxa"/>
            <w:vMerge/>
            <w:shd w:val="clear" w:color="000000" w:fill="FFFFFF"/>
            <w:tcMar>
              <w:top w:w="85" w:type="dxa"/>
            </w:tcMar>
          </w:tcPr>
          <w:p w14:paraId="1FF189F3" w14:textId="77777777" w:rsidR="00FF32B6" w:rsidRPr="002F442C" w:rsidRDefault="00FF32B6" w:rsidP="004805AA">
            <w:pPr>
              <w:keepNext/>
              <w:keepLines/>
              <w:rPr>
                <w:rFonts w:ascii="Arial" w:hAnsi="Arial" w:cs="Arial"/>
                <w:color w:val="000000"/>
                <w:sz w:val="16"/>
                <w:szCs w:val="16"/>
              </w:rPr>
            </w:pPr>
          </w:p>
        </w:tc>
        <w:tc>
          <w:tcPr>
            <w:tcW w:w="2360" w:type="dxa"/>
            <w:shd w:val="clear" w:color="000000" w:fill="FFFFFF"/>
            <w:tcMar>
              <w:top w:w="85" w:type="dxa"/>
            </w:tcMar>
          </w:tcPr>
          <w:p w14:paraId="1045F7E3" w14:textId="670AE2FA" w:rsidR="00FF32B6" w:rsidRDefault="00FF32B6" w:rsidP="004805AA">
            <w:pPr>
              <w:keepNext/>
              <w:keepLines/>
              <w:ind w:left="77"/>
              <w:rPr>
                <w:rFonts w:ascii="Arial" w:hAnsi="Arial" w:cs="Arial"/>
                <w:color w:val="000000"/>
                <w:sz w:val="16"/>
                <w:szCs w:val="16"/>
              </w:rPr>
            </w:pPr>
            <w:r w:rsidRPr="002F442C">
              <w:rPr>
                <w:rFonts w:ascii="Arial" w:hAnsi="Arial" w:cs="Arial"/>
                <w:color w:val="000000"/>
                <w:sz w:val="16"/>
                <w:szCs w:val="16"/>
              </w:rPr>
              <w:t>No. of CMOs applying for TAG accreditation</w:t>
            </w:r>
          </w:p>
        </w:tc>
        <w:tc>
          <w:tcPr>
            <w:tcW w:w="2480" w:type="dxa"/>
            <w:shd w:val="clear" w:color="000000" w:fill="FFFFFF"/>
            <w:tcMar>
              <w:top w:w="85" w:type="dxa"/>
            </w:tcMar>
          </w:tcPr>
          <w:p w14:paraId="67437350" w14:textId="58DE6FAF" w:rsidR="00FF32B6" w:rsidRDefault="00FF32B6" w:rsidP="004805AA">
            <w:pPr>
              <w:keepNext/>
              <w:keepLines/>
              <w:ind w:left="57"/>
              <w:rPr>
                <w:rFonts w:ascii="Arial" w:hAnsi="Arial" w:cs="Arial"/>
                <w:color w:val="000000"/>
                <w:sz w:val="16"/>
                <w:szCs w:val="16"/>
              </w:rPr>
            </w:pPr>
            <w:r>
              <w:rPr>
                <w:rFonts w:ascii="Arial" w:hAnsi="Arial" w:cs="Arial"/>
                <w:color w:val="000000"/>
                <w:sz w:val="16"/>
                <w:szCs w:val="16"/>
              </w:rPr>
              <w:t>0 (end 2014)</w:t>
            </w:r>
          </w:p>
        </w:tc>
        <w:tc>
          <w:tcPr>
            <w:tcW w:w="1915" w:type="dxa"/>
            <w:shd w:val="clear" w:color="000000" w:fill="FFFFFF"/>
            <w:tcMar>
              <w:top w:w="85" w:type="dxa"/>
            </w:tcMar>
          </w:tcPr>
          <w:p w14:paraId="5B39445E" w14:textId="77777777" w:rsidR="00BD24F0" w:rsidRDefault="00BD24F0" w:rsidP="004805AA">
            <w:pPr>
              <w:keepNext/>
              <w:keepLines/>
              <w:ind w:left="97"/>
              <w:rPr>
                <w:rFonts w:ascii="Arial" w:hAnsi="Arial" w:cs="Arial"/>
                <w:color w:val="000000"/>
                <w:sz w:val="16"/>
                <w:szCs w:val="16"/>
              </w:rPr>
            </w:pPr>
            <w:r>
              <w:rPr>
                <w:rFonts w:ascii="Arial" w:hAnsi="Arial" w:cs="Arial"/>
                <w:color w:val="000000"/>
                <w:sz w:val="16"/>
                <w:szCs w:val="16"/>
              </w:rPr>
              <w:t xml:space="preserve">0 (2016) </w:t>
            </w:r>
          </w:p>
          <w:p w14:paraId="21ABB894" w14:textId="3C027720" w:rsidR="00FF32B6" w:rsidRDefault="00BD24F0" w:rsidP="004805AA">
            <w:pPr>
              <w:keepNext/>
              <w:keepLines/>
              <w:ind w:left="97"/>
              <w:rPr>
                <w:rFonts w:ascii="Arial" w:hAnsi="Arial" w:cs="Arial"/>
                <w:color w:val="000000"/>
                <w:sz w:val="16"/>
                <w:szCs w:val="16"/>
              </w:rPr>
            </w:pPr>
            <w:r>
              <w:rPr>
                <w:rFonts w:ascii="Arial" w:hAnsi="Arial" w:cs="Arial"/>
                <w:color w:val="000000"/>
                <w:sz w:val="16"/>
                <w:szCs w:val="16"/>
              </w:rPr>
              <w:t>2</w:t>
            </w:r>
            <w:r w:rsidR="00FF32B6" w:rsidRPr="002F442C">
              <w:rPr>
                <w:rFonts w:ascii="Arial" w:hAnsi="Arial" w:cs="Arial"/>
                <w:color w:val="000000"/>
                <w:sz w:val="16"/>
                <w:szCs w:val="16"/>
              </w:rPr>
              <w:t xml:space="preserve"> CMOs applying for accreditation</w:t>
            </w:r>
            <w:r>
              <w:rPr>
                <w:rFonts w:ascii="Arial" w:hAnsi="Arial" w:cs="Arial"/>
                <w:color w:val="000000"/>
                <w:sz w:val="16"/>
                <w:szCs w:val="16"/>
              </w:rPr>
              <w:t xml:space="preserve"> (2017)</w:t>
            </w:r>
            <w:r>
              <w:rPr>
                <w:rStyle w:val="FootnoteReference"/>
                <w:rFonts w:ascii="Arial" w:hAnsi="Arial" w:cs="Arial"/>
                <w:color w:val="000000"/>
                <w:sz w:val="16"/>
                <w:szCs w:val="16"/>
              </w:rPr>
              <w:footnoteReference w:id="16"/>
            </w:r>
          </w:p>
        </w:tc>
      </w:tr>
      <w:tr w:rsidR="00E27FBC" w:rsidRPr="002F442C" w14:paraId="6F47B7A5" w14:textId="77777777" w:rsidTr="005546DD">
        <w:trPr>
          <w:trHeight w:val="896"/>
        </w:trPr>
        <w:tc>
          <w:tcPr>
            <w:tcW w:w="2440" w:type="dxa"/>
            <w:vMerge/>
            <w:tcMar>
              <w:top w:w="85" w:type="dxa"/>
            </w:tcMar>
            <w:vAlign w:val="center"/>
          </w:tcPr>
          <w:p w14:paraId="43A1EF8F" w14:textId="3F00B0CD" w:rsidR="00E27FBC" w:rsidRPr="002F442C" w:rsidRDefault="00E27FBC" w:rsidP="004805AA">
            <w:pPr>
              <w:keepNext/>
              <w:keepLines/>
              <w:rPr>
                <w:rFonts w:ascii="Arial" w:hAnsi="Arial" w:cs="Arial"/>
                <w:color w:val="000000"/>
                <w:sz w:val="16"/>
                <w:szCs w:val="16"/>
              </w:rPr>
            </w:pPr>
          </w:p>
        </w:tc>
        <w:tc>
          <w:tcPr>
            <w:tcW w:w="2360" w:type="dxa"/>
            <w:shd w:val="clear" w:color="000000" w:fill="FFFFFF"/>
            <w:tcMar>
              <w:top w:w="85" w:type="dxa"/>
            </w:tcMar>
          </w:tcPr>
          <w:p w14:paraId="367022F5" w14:textId="77777777" w:rsidR="00E27FBC" w:rsidRPr="002F442C" w:rsidRDefault="00E27FBC" w:rsidP="004805AA">
            <w:pPr>
              <w:keepNext/>
              <w:keepLines/>
              <w:ind w:left="77"/>
              <w:rPr>
                <w:rFonts w:ascii="Arial" w:hAnsi="Arial" w:cs="Arial"/>
                <w:color w:val="000000"/>
                <w:sz w:val="16"/>
                <w:szCs w:val="16"/>
              </w:rPr>
            </w:pPr>
            <w:r w:rsidRPr="002F442C">
              <w:rPr>
                <w:rFonts w:ascii="Arial" w:hAnsi="Arial" w:cs="Arial"/>
                <w:color w:val="000000"/>
                <w:sz w:val="16"/>
                <w:szCs w:val="16"/>
              </w:rPr>
              <w:t>% of participants that report positively on the collective management capacity building programs</w:t>
            </w:r>
          </w:p>
        </w:tc>
        <w:tc>
          <w:tcPr>
            <w:tcW w:w="2480" w:type="dxa"/>
            <w:shd w:val="clear" w:color="000000" w:fill="FFFFFF"/>
            <w:tcMar>
              <w:top w:w="85" w:type="dxa"/>
            </w:tcMar>
          </w:tcPr>
          <w:p w14:paraId="06F9DAF6" w14:textId="77777777" w:rsidR="00E27FBC" w:rsidRPr="002F442C" w:rsidRDefault="00E27FBC" w:rsidP="004805AA">
            <w:pPr>
              <w:keepNext/>
              <w:keepLines/>
              <w:ind w:left="57"/>
              <w:rPr>
                <w:rFonts w:ascii="Arial" w:hAnsi="Arial" w:cs="Arial"/>
                <w:color w:val="000000"/>
                <w:sz w:val="16"/>
                <w:szCs w:val="16"/>
              </w:rPr>
            </w:pPr>
            <w:r w:rsidRPr="002F442C">
              <w:rPr>
                <w:rFonts w:ascii="Arial" w:hAnsi="Arial" w:cs="Arial"/>
                <w:color w:val="000000"/>
                <w:sz w:val="16"/>
                <w:szCs w:val="16"/>
              </w:rPr>
              <w:t xml:space="preserve">0 (end 2014). </w:t>
            </w:r>
          </w:p>
        </w:tc>
        <w:tc>
          <w:tcPr>
            <w:tcW w:w="1915" w:type="dxa"/>
            <w:shd w:val="clear" w:color="000000" w:fill="FFFFFF"/>
            <w:tcMar>
              <w:top w:w="85" w:type="dxa"/>
            </w:tcMar>
          </w:tcPr>
          <w:p w14:paraId="3A51CD8F" w14:textId="77777777" w:rsidR="00E27FBC" w:rsidRPr="002F442C" w:rsidRDefault="00E27FBC" w:rsidP="004805AA">
            <w:pPr>
              <w:keepNext/>
              <w:keepLines/>
              <w:ind w:left="97"/>
              <w:rPr>
                <w:rFonts w:ascii="Arial" w:hAnsi="Arial" w:cs="Arial"/>
                <w:color w:val="000000"/>
                <w:sz w:val="16"/>
                <w:szCs w:val="16"/>
              </w:rPr>
            </w:pPr>
            <w:r w:rsidRPr="002F442C">
              <w:rPr>
                <w:rFonts w:ascii="Arial" w:hAnsi="Arial" w:cs="Arial"/>
                <w:color w:val="000000"/>
                <w:sz w:val="16"/>
                <w:szCs w:val="16"/>
              </w:rPr>
              <w:t xml:space="preserve">70% of surveyed participants approve or strongly approve </w:t>
            </w:r>
          </w:p>
        </w:tc>
      </w:tr>
      <w:tr w:rsidR="00E27FBC" w:rsidRPr="002F442C" w14:paraId="66EDE56D" w14:textId="77777777" w:rsidTr="005546DD">
        <w:trPr>
          <w:trHeight w:val="545"/>
        </w:trPr>
        <w:tc>
          <w:tcPr>
            <w:tcW w:w="2440" w:type="dxa"/>
            <w:vMerge/>
            <w:tcMar>
              <w:top w:w="85" w:type="dxa"/>
            </w:tcMar>
            <w:vAlign w:val="center"/>
          </w:tcPr>
          <w:p w14:paraId="2D5D26D5" w14:textId="77777777" w:rsidR="00E27FBC" w:rsidRPr="002F442C" w:rsidRDefault="00E27FBC" w:rsidP="004805AA">
            <w:pPr>
              <w:keepNext/>
              <w:keepLines/>
              <w:rPr>
                <w:rFonts w:ascii="Arial" w:hAnsi="Arial" w:cs="Arial"/>
                <w:color w:val="000000"/>
                <w:sz w:val="16"/>
                <w:szCs w:val="16"/>
              </w:rPr>
            </w:pPr>
          </w:p>
        </w:tc>
        <w:tc>
          <w:tcPr>
            <w:tcW w:w="2360" w:type="dxa"/>
            <w:shd w:val="clear" w:color="000000" w:fill="FFFFFF"/>
            <w:tcMar>
              <w:top w:w="85" w:type="dxa"/>
            </w:tcMar>
          </w:tcPr>
          <w:p w14:paraId="69A796D0" w14:textId="77777777" w:rsidR="00E27FBC" w:rsidRPr="002F442C" w:rsidRDefault="00E27FBC" w:rsidP="004805AA">
            <w:pPr>
              <w:keepNext/>
              <w:keepLines/>
              <w:ind w:left="77"/>
              <w:rPr>
                <w:rFonts w:ascii="Arial" w:hAnsi="Arial" w:cs="Arial"/>
                <w:color w:val="000000"/>
                <w:sz w:val="16"/>
                <w:szCs w:val="16"/>
              </w:rPr>
            </w:pPr>
            <w:r w:rsidRPr="002F442C">
              <w:rPr>
                <w:rFonts w:ascii="Arial" w:hAnsi="Arial" w:cs="Arial"/>
                <w:color w:val="000000"/>
                <w:sz w:val="16"/>
                <w:szCs w:val="16"/>
              </w:rPr>
              <w:t xml:space="preserve">No. of visits to the Portal on Copyright Infrastructure. </w:t>
            </w:r>
          </w:p>
        </w:tc>
        <w:tc>
          <w:tcPr>
            <w:tcW w:w="2480" w:type="dxa"/>
            <w:shd w:val="clear" w:color="000000" w:fill="FFFFFF"/>
            <w:tcMar>
              <w:top w:w="85" w:type="dxa"/>
            </w:tcMar>
          </w:tcPr>
          <w:p w14:paraId="5D5196CE" w14:textId="77777777" w:rsidR="00E27FBC" w:rsidRPr="002F442C" w:rsidRDefault="00E27FBC" w:rsidP="004805AA">
            <w:pPr>
              <w:keepNext/>
              <w:keepLines/>
              <w:ind w:left="57"/>
              <w:rPr>
                <w:rFonts w:ascii="Arial" w:hAnsi="Arial" w:cs="Arial"/>
                <w:color w:val="000000"/>
                <w:sz w:val="16"/>
                <w:szCs w:val="16"/>
              </w:rPr>
            </w:pPr>
            <w:r w:rsidRPr="002F442C">
              <w:rPr>
                <w:rFonts w:ascii="Arial" w:hAnsi="Arial" w:cs="Arial"/>
                <w:color w:val="000000"/>
                <w:sz w:val="16"/>
                <w:szCs w:val="16"/>
              </w:rPr>
              <w:t>0 (end 2014)</w:t>
            </w:r>
          </w:p>
        </w:tc>
        <w:tc>
          <w:tcPr>
            <w:tcW w:w="1915" w:type="dxa"/>
            <w:shd w:val="clear" w:color="000000" w:fill="FFFFFF"/>
            <w:tcMar>
              <w:top w:w="85" w:type="dxa"/>
            </w:tcMar>
          </w:tcPr>
          <w:p w14:paraId="1E135699" w14:textId="77777777" w:rsidR="00E27FBC" w:rsidRPr="002F442C" w:rsidRDefault="00E27FBC" w:rsidP="004805AA">
            <w:pPr>
              <w:keepNext/>
              <w:keepLines/>
              <w:ind w:left="97"/>
              <w:rPr>
                <w:rFonts w:ascii="Arial" w:hAnsi="Arial" w:cs="Arial"/>
                <w:color w:val="000000"/>
                <w:sz w:val="16"/>
                <w:szCs w:val="16"/>
              </w:rPr>
            </w:pPr>
            <w:r w:rsidRPr="002F442C">
              <w:rPr>
                <w:rFonts w:ascii="Arial" w:hAnsi="Arial" w:cs="Arial"/>
                <w:color w:val="000000"/>
                <w:sz w:val="16"/>
                <w:szCs w:val="16"/>
              </w:rPr>
              <w:t>500 visits to the portal</w:t>
            </w:r>
          </w:p>
        </w:tc>
      </w:tr>
      <w:tr w:rsidR="00E27FBC" w:rsidRPr="002F442C" w14:paraId="4C88B0F0" w14:textId="77777777" w:rsidTr="005546DD">
        <w:trPr>
          <w:trHeight w:val="896"/>
        </w:trPr>
        <w:tc>
          <w:tcPr>
            <w:tcW w:w="2440" w:type="dxa"/>
            <w:vMerge/>
            <w:tcMar>
              <w:top w:w="85" w:type="dxa"/>
            </w:tcMar>
            <w:vAlign w:val="center"/>
          </w:tcPr>
          <w:p w14:paraId="4F876921"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tcPr>
          <w:p w14:paraId="18D8EB5C" w14:textId="77777777" w:rsidR="00E27FBC" w:rsidRPr="002F442C" w:rsidRDefault="00E27FBC" w:rsidP="004805AA">
            <w:pPr>
              <w:spacing w:after="240"/>
              <w:ind w:left="77"/>
              <w:rPr>
                <w:rFonts w:ascii="Arial" w:hAnsi="Arial" w:cs="Arial"/>
                <w:color w:val="000000"/>
                <w:sz w:val="16"/>
                <w:szCs w:val="16"/>
              </w:rPr>
            </w:pPr>
            <w:r w:rsidRPr="002F442C">
              <w:rPr>
                <w:rFonts w:ascii="Arial" w:hAnsi="Arial" w:cs="Arial"/>
                <w:color w:val="000000"/>
                <w:sz w:val="16"/>
                <w:szCs w:val="16"/>
              </w:rPr>
              <w:t>No. of publishers signing ABC Charter for Accessible Publishing (“Charter”)</w:t>
            </w:r>
            <w:r w:rsidRPr="002F442C">
              <w:rPr>
                <w:rFonts w:ascii="Arial" w:hAnsi="Arial" w:cs="Arial"/>
                <w:color w:val="000000"/>
                <w:sz w:val="16"/>
                <w:szCs w:val="16"/>
              </w:rPr>
              <w:br/>
            </w:r>
            <w:r w:rsidRPr="002F442C">
              <w:rPr>
                <w:rFonts w:ascii="Arial" w:hAnsi="Arial" w:cs="Arial"/>
                <w:color w:val="000000"/>
                <w:sz w:val="16"/>
                <w:szCs w:val="16"/>
              </w:rPr>
              <w:br/>
              <w:t>No. of books in accessible formats loaned to persons who are print-disabled</w:t>
            </w:r>
          </w:p>
        </w:tc>
        <w:tc>
          <w:tcPr>
            <w:tcW w:w="2480" w:type="dxa"/>
            <w:shd w:val="clear" w:color="000000" w:fill="FFFFFF"/>
            <w:tcMar>
              <w:top w:w="85" w:type="dxa"/>
            </w:tcMar>
          </w:tcPr>
          <w:p w14:paraId="54C9F021" w14:textId="0848382E"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 xml:space="preserve">Nine </w:t>
            </w:r>
            <w:r>
              <w:rPr>
                <w:rFonts w:ascii="Arial" w:hAnsi="Arial" w:cs="Arial"/>
                <w:color w:val="000000"/>
                <w:sz w:val="16"/>
                <w:szCs w:val="16"/>
              </w:rPr>
              <w:t xml:space="preserve">publishers </w:t>
            </w:r>
            <w:r w:rsidRPr="002F442C">
              <w:rPr>
                <w:rFonts w:ascii="Arial" w:hAnsi="Arial" w:cs="Arial"/>
                <w:color w:val="000000"/>
                <w:sz w:val="16"/>
                <w:szCs w:val="16"/>
              </w:rPr>
              <w:t>signed ABC Charter</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t xml:space="preserve">16,000 loans to persons who are print disabled. </w:t>
            </w:r>
          </w:p>
        </w:tc>
        <w:tc>
          <w:tcPr>
            <w:tcW w:w="1915" w:type="dxa"/>
            <w:shd w:val="clear" w:color="000000" w:fill="FFFFFF"/>
            <w:tcMar>
              <w:top w:w="85" w:type="dxa"/>
            </w:tcMar>
          </w:tcPr>
          <w:p w14:paraId="620DF54F"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15 publishers sign (cumulative)</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t>20,000 loans (cumulative)</w:t>
            </w:r>
          </w:p>
        </w:tc>
      </w:tr>
      <w:tr w:rsidR="00E27FBC" w:rsidRPr="002F442C" w14:paraId="0CE39284" w14:textId="77777777" w:rsidTr="005546DD">
        <w:trPr>
          <w:trHeight w:val="896"/>
        </w:trPr>
        <w:tc>
          <w:tcPr>
            <w:tcW w:w="2440" w:type="dxa"/>
            <w:vMerge/>
            <w:tcMar>
              <w:top w:w="85" w:type="dxa"/>
            </w:tcMar>
            <w:vAlign w:val="center"/>
            <w:hideMark/>
          </w:tcPr>
          <w:p w14:paraId="32F8CDD7"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0DFD851A"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of participants' positive rating of the usefulness of copyright and related rights capacity building meetings and workshops</w:t>
            </w:r>
          </w:p>
        </w:tc>
        <w:tc>
          <w:tcPr>
            <w:tcW w:w="2480" w:type="dxa"/>
            <w:shd w:val="clear" w:color="000000" w:fill="FFFFFF"/>
            <w:tcMar>
              <w:top w:w="85" w:type="dxa"/>
            </w:tcMar>
            <w:hideMark/>
          </w:tcPr>
          <w:p w14:paraId="51E801AC"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 xml:space="preserve">70% </w:t>
            </w:r>
          </w:p>
        </w:tc>
        <w:tc>
          <w:tcPr>
            <w:tcW w:w="1915" w:type="dxa"/>
            <w:shd w:val="clear" w:color="000000" w:fill="FFFFFF"/>
            <w:tcMar>
              <w:top w:w="85" w:type="dxa"/>
            </w:tcMar>
            <w:hideMark/>
          </w:tcPr>
          <w:p w14:paraId="4C950B69"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70 % of the participants  agree or strongly agree</w:t>
            </w:r>
          </w:p>
        </w:tc>
      </w:tr>
      <w:tr w:rsidR="00E27FBC" w:rsidRPr="002F442C" w14:paraId="3A827795" w14:textId="77777777" w:rsidTr="005546DD">
        <w:trPr>
          <w:trHeight w:val="1265"/>
        </w:trPr>
        <w:tc>
          <w:tcPr>
            <w:tcW w:w="2440" w:type="dxa"/>
            <w:vMerge/>
            <w:tcMar>
              <w:top w:w="85" w:type="dxa"/>
            </w:tcMar>
            <w:vAlign w:val="center"/>
            <w:hideMark/>
          </w:tcPr>
          <w:p w14:paraId="11787D7D"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672EC57" w14:textId="77777777" w:rsidR="00E27FBC" w:rsidRDefault="00E27FBC" w:rsidP="004805AA">
            <w:pPr>
              <w:ind w:left="77"/>
              <w:rPr>
                <w:rFonts w:ascii="Arial" w:hAnsi="Arial" w:cs="Arial"/>
                <w:color w:val="000000"/>
                <w:sz w:val="16"/>
                <w:szCs w:val="16"/>
              </w:rPr>
            </w:pPr>
          </w:p>
          <w:p w14:paraId="11E1ADD5"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xml:space="preserve">% of participants </w:t>
            </w:r>
            <w:r>
              <w:rPr>
                <w:rFonts w:ascii="Arial" w:hAnsi="Arial" w:cs="Arial"/>
                <w:color w:val="000000"/>
                <w:sz w:val="16"/>
                <w:szCs w:val="16"/>
              </w:rPr>
              <w:t xml:space="preserve">in copyright related capacity building workshops </w:t>
            </w:r>
            <w:r w:rsidRPr="002F442C">
              <w:rPr>
                <w:rFonts w:ascii="Arial" w:hAnsi="Arial" w:cs="Arial"/>
                <w:color w:val="000000"/>
                <w:sz w:val="16"/>
                <w:szCs w:val="16"/>
              </w:rPr>
              <w:t>reporting practical use of knowledge nine months after the workshop</w:t>
            </w:r>
          </w:p>
        </w:tc>
        <w:tc>
          <w:tcPr>
            <w:tcW w:w="2480" w:type="dxa"/>
            <w:shd w:val="clear" w:color="000000" w:fill="FFFFFF"/>
            <w:tcMar>
              <w:top w:w="85" w:type="dxa"/>
            </w:tcMar>
            <w:hideMark/>
          </w:tcPr>
          <w:p w14:paraId="19D69142" w14:textId="77777777" w:rsidR="00E27FBC" w:rsidRDefault="00E27FBC" w:rsidP="004805AA">
            <w:pPr>
              <w:ind w:left="57" w:firstLineChars="200" w:firstLine="320"/>
              <w:rPr>
                <w:rFonts w:ascii="Arial" w:hAnsi="Arial" w:cs="Arial"/>
                <w:color w:val="000000"/>
                <w:sz w:val="16"/>
                <w:szCs w:val="16"/>
              </w:rPr>
            </w:pPr>
          </w:p>
          <w:p w14:paraId="578F5263"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 xml:space="preserve">About 70% </w:t>
            </w:r>
          </w:p>
        </w:tc>
        <w:tc>
          <w:tcPr>
            <w:tcW w:w="1915" w:type="dxa"/>
            <w:shd w:val="clear" w:color="000000" w:fill="FFFFFF"/>
            <w:tcMar>
              <w:top w:w="85" w:type="dxa"/>
            </w:tcMar>
            <w:hideMark/>
          </w:tcPr>
          <w:p w14:paraId="30588FC2" w14:textId="77777777" w:rsidR="00E27FBC" w:rsidRDefault="00E27FBC" w:rsidP="004805AA">
            <w:pPr>
              <w:ind w:left="97"/>
              <w:rPr>
                <w:rFonts w:ascii="Arial" w:hAnsi="Arial" w:cs="Arial"/>
                <w:color w:val="000000"/>
                <w:sz w:val="16"/>
                <w:szCs w:val="16"/>
              </w:rPr>
            </w:pPr>
          </w:p>
          <w:p w14:paraId="508FDF9D"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About 80% of the participants</w:t>
            </w:r>
          </w:p>
        </w:tc>
      </w:tr>
      <w:tr w:rsidR="00E27FBC" w:rsidRPr="002F442C" w14:paraId="53AC5253" w14:textId="77777777" w:rsidTr="005546DD">
        <w:trPr>
          <w:trHeight w:val="1301"/>
        </w:trPr>
        <w:tc>
          <w:tcPr>
            <w:tcW w:w="2440" w:type="dxa"/>
            <w:vMerge/>
            <w:tcMar>
              <w:top w:w="85" w:type="dxa"/>
            </w:tcMar>
            <w:vAlign w:val="center"/>
            <w:hideMark/>
          </w:tcPr>
          <w:p w14:paraId="296631BF"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08F258E" w14:textId="664A1296"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xml:space="preserve">% of </w:t>
            </w:r>
            <w:r>
              <w:rPr>
                <w:rFonts w:ascii="Arial" w:hAnsi="Arial" w:cs="Arial"/>
                <w:color w:val="000000"/>
                <w:sz w:val="16"/>
                <w:szCs w:val="16"/>
              </w:rPr>
              <w:t xml:space="preserve">participants </w:t>
            </w:r>
            <w:r w:rsidRPr="002F442C">
              <w:rPr>
                <w:rFonts w:ascii="Arial" w:hAnsi="Arial" w:cs="Arial"/>
                <w:color w:val="000000"/>
                <w:sz w:val="16"/>
                <w:szCs w:val="16"/>
              </w:rPr>
              <w:t xml:space="preserve">with improved knowledge and skills in conducting </w:t>
            </w:r>
            <w:r>
              <w:rPr>
                <w:rFonts w:ascii="Arial" w:hAnsi="Arial" w:cs="Arial"/>
                <w:color w:val="000000"/>
                <w:sz w:val="16"/>
                <w:szCs w:val="16"/>
              </w:rPr>
              <w:t xml:space="preserve">training activities </w:t>
            </w:r>
            <w:r w:rsidRPr="002F442C">
              <w:rPr>
                <w:rFonts w:ascii="Arial" w:hAnsi="Arial" w:cs="Arial"/>
                <w:color w:val="000000"/>
                <w:sz w:val="16"/>
                <w:szCs w:val="16"/>
              </w:rPr>
              <w:t>in their respective countries</w:t>
            </w:r>
            <w:r>
              <w:rPr>
                <w:rFonts w:ascii="Arial" w:hAnsi="Arial" w:cs="Arial"/>
                <w:color w:val="000000"/>
                <w:sz w:val="16"/>
                <w:szCs w:val="16"/>
              </w:rPr>
              <w:t xml:space="preserve"> </w:t>
            </w:r>
          </w:p>
        </w:tc>
        <w:tc>
          <w:tcPr>
            <w:tcW w:w="2480" w:type="dxa"/>
            <w:shd w:val="clear" w:color="000000" w:fill="FFFFFF"/>
            <w:tcMar>
              <w:top w:w="85" w:type="dxa"/>
            </w:tcMar>
            <w:hideMark/>
          </w:tcPr>
          <w:p w14:paraId="1EA0A921" w14:textId="77777777" w:rsidR="00E27FBC" w:rsidRPr="002F442C" w:rsidRDefault="00E27FBC" w:rsidP="004805AA">
            <w:pPr>
              <w:ind w:left="57"/>
              <w:rPr>
                <w:rFonts w:ascii="Arial" w:hAnsi="Arial" w:cs="Arial"/>
                <w:color w:val="000000"/>
                <w:sz w:val="16"/>
                <w:szCs w:val="16"/>
              </w:rPr>
            </w:pPr>
            <w:r>
              <w:rPr>
                <w:rFonts w:ascii="Arial" w:hAnsi="Arial" w:cs="Arial"/>
                <w:color w:val="000000"/>
                <w:sz w:val="16"/>
                <w:szCs w:val="16"/>
              </w:rPr>
              <w:t>n/a</w:t>
            </w:r>
            <w:r w:rsidRPr="002F442C">
              <w:rPr>
                <w:rFonts w:ascii="Arial" w:hAnsi="Arial" w:cs="Arial"/>
                <w:color w:val="000000"/>
                <w:sz w:val="16"/>
                <w:szCs w:val="16"/>
              </w:rPr>
              <w:t xml:space="preserve"> </w:t>
            </w:r>
            <w:r>
              <w:rPr>
                <w:rFonts w:ascii="Arial" w:hAnsi="Arial" w:cs="Arial"/>
                <w:color w:val="000000"/>
                <w:sz w:val="16"/>
                <w:szCs w:val="16"/>
              </w:rPr>
              <w:t>(new indicator)</w:t>
            </w:r>
          </w:p>
        </w:tc>
        <w:tc>
          <w:tcPr>
            <w:tcW w:w="1915" w:type="dxa"/>
            <w:shd w:val="clear" w:color="000000" w:fill="FFFFFF"/>
            <w:tcMar>
              <w:top w:w="85" w:type="dxa"/>
            </w:tcMar>
            <w:hideMark/>
          </w:tcPr>
          <w:p w14:paraId="14852A16"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70% of participants that received training</w:t>
            </w:r>
          </w:p>
        </w:tc>
      </w:tr>
      <w:tr w:rsidR="00E27FBC" w:rsidRPr="002F442C" w14:paraId="4C0C8FF3" w14:textId="77777777" w:rsidTr="005546DD">
        <w:trPr>
          <w:trHeight w:val="1346"/>
        </w:trPr>
        <w:tc>
          <w:tcPr>
            <w:tcW w:w="2440" w:type="dxa"/>
            <w:vMerge w:val="restart"/>
            <w:shd w:val="clear" w:color="000000" w:fill="FFFFFF"/>
            <w:tcMar>
              <w:top w:w="85" w:type="dxa"/>
            </w:tcMar>
            <w:hideMark/>
          </w:tcPr>
          <w:p w14:paraId="14DF2D2C"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IV.2 Enhanced access to, and use of, IP information by IP institutions and the public to promote innovation and creativity</w:t>
            </w:r>
          </w:p>
        </w:tc>
        <w:tc>
          <w:tcPr>
            <w:tcW w:w="2360" w:type="dxa"/>
            <w:shd w:val="clear" w:color="000000" w:fill="FFFFFF"/>
            <w:tcMar>
              <w:top w:w="85" w:type="dxa"/>
            </w:tcMar>
            <w:hideMark/>
          </w:tcPr>
          <w:p w14:paraId="50D49D7E" w14:textId="77777777" w:rsidR="00E27FBC" w:rsidRDefault="00E27FBC" w:rsidP="004805AA">
            <w:pPr>
              <w:ind w:left="77"/>
              <w:rPr>
                <w:rFonts w:ascii="Arial" w:hAnsi="Arial" w:cs="Arial"/>
                <w:color w:val="000000"/>
                <w:sz w:val="16"/>
                <w:szCs w:val="16"/>
              </w:rPr>
            </w:pPr>
            <w:r w:rsidRPr="002F442C">
              <w:rPr>
                <w:rFonts w:ascii="Arial" w:hAnsi="Arial" w:cs="Arial"/>
                <w:color w:val="000000"/>
                <w:sz w:val="16"/>
                <w:szCs w:val="16"/>
              </w:rPr>
              <w:t>No. of ABC constituent members</w:t>
            </w:r>
            <w:r w:rsidRPr="002F442C">
              <w:rPr>
                <w:rFonts w:ascii="Arial" w:hAnsi="Arial" w:cs="Arial"/>
                <w:color w:val="000000"/>
                <w:sz w:val="16"/>
                <w:szCs w:val="16"/>
              </w:rPr>
              <w:br/>
            </w:r>
            <w:r w:rsidRPr="002F442C">
              <w:rPr>
                <w:rFonts w:ascii="Arial" w:hAnsi="Arial" w:cs="Arial"/>
                <w:color w:val="000000"/>
                <w:sz w:val="16"/>
                <w:szCs w:val="16"/>
              </w:rPr>
              <w:br/>
            </w:r>
          </w:p>
          <w:p w14:paraId="07AAC092"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donors</w:t>
            </w:r>
          </w:p>
        </w:tc>
        <w:tc>
          <w:tcPr>
            <w:tcW w:w="2480" w:type="dxa"/>
            <w:shd w:val="clear" w:color="000000" w:fill="FFFFFF"/>
            <w:tcMar>
              <w:top w:w="85" w:type="dxa"/>
            </w:tcMar>
            <w:hideMark/>
          </w:tcPr>
          <w:p w14:paraId="3CAA53B1" w14:textId="77777777" w:rsidR="00E27FBC" w:rsidRDefault="00E27FBC" w:rsidP="004805AA">
            <w:pPr>
              <w:ind w:left="57"/>
              <w:rPr>
                <w:rFonts w:ascii="Arial" w:hAnsi="Arial" w:cs="Arial"/>
                <w:color w:val="000000"/>
                <w:sz w:val="16"/>
                <w:szCs w:val="16"/>
              </w:rPr>
            </w:pPr>
            <w:r w:rsidRPr="002F442C">
              <w:rPr>
                <w:rFonts w:ascii="Arial" w:hAnsi="Arial" w:cs="Arial"/>
                <w:color w:val="000000"/>
                <w:sz w:val="16"/>
                <w:szCs w:val="16"/>
              </w:rPr>
              <w:t>10 ABC constituent members</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r>
          </w:p>
          <w:p w14:paraId="6D597F0C"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Two donors contributing funding</w:t>
            </w:r>
          </w:p>
        </w:tc>
        <w:tc>
          <w:tcPr>
            <w:tcW w:w="1915" w:type="dxa"/>
            <w:shd w:val="clear" w:color="000000" w:fill="FFFFFF"/>
            <w:tcMar>
              <w:top w:w="85" w:type="dxa"/>
            </w:tcMar>
            <w:hideMark/>
          </w:tcPr>
          <w:p w14:paraId="1D6BCFB8"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15 ABC constituent members registered (cumulative)</w:t>
            </w:r>
            <w:r w:rsidRPr="002F442C">
              <w:rPr>
                <w:rFonts w:ascii="Arial" w:hAnsi="Arial" w:cs="Arial"/>
                <w:color w:val="000000"/>
                <w:sz w:val="16"/>
                <w:szCs w:val="16"/>
              </w:rPr>
              <w:br/>
            </w:r>
            <w:r w:rsidRPr="002F442C">
              <w:rPr>
                <w:rFonts w:ascii="Arial" w:hAnsi="Arial" w:cs="Arial"/>
                <w:color w:val="000000"/>
                <w:sz w:val="16"/>
                <w:szCs w:val="16"/>
              </w:rPr>
              <w:br/>
              <w:t>Four donors contribute funding (cumulative)</w:t>
            </w:r>
          </w:p>
        </w:tc>
      </w:tr>
      <w:tr w:rsidR="00E27FBC" w:rsidRPr="002F442C" w14:paraId="1E5F6BAB" w14:textId="77777777" w:rsidTr="005546DD">
        <w:trPr>
          <w:trHeight w:val="1876"/>
        </w:trPr>
        <w:tc>
          <w:tcPr>
            <w:tcW w:w="2440" w:type="dxa"/>
            <w:vMerge/>
            <w:tcMar>
              <w:top w:w="85" w:type="dxa"/>
            </w:tcMar>
            <w:vAlign w:val="center"/>
            <w:hideMark/>
          </w:tcPr>
          <w:p w14:paraId="18FB2968"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7670433C"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legal instruments, guidelines, statements of principles other than binding instruments with the participation of the stakeholders concerned in areas such as new copyright treaties and Copyright in the Digital Environment</w:t>
            </w:r>
          </w:p>
        </w:tc>
        <w:tc>
          <w:tcPr>
            <w:tcW w:w="2480" w:type="dxa"/>
            <w:shd w:val="clear" w:color="000000" w:fill="FFFFFF"/>
            <w:tcMar>
              <w:top w:w="85" w:type="dxa"/>
            </w:tcMar>
            <w:hideMark/>
          </w:tcPr>
          <w:p w14:paraId="4BD04770"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One (IP and Sports Guidelines)</w:t>
            </w:r>
          </w:p>
        </w:tc>
        <w:tc>
          <w:tcPr>
            <w:tcW w:w="1915" w:type="dxa"/>
            <w:shd w:val="clear" w:color="000000" w:fill="FFFFFF"/>
            <w:tcMar>
              <w:top w:w="85" w:type="dxa"/>
            </w:tcMar>
            <w:hideMark/>
          </w:tcPr>
          <w:p w14:paraId="10516A15"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One</w:t>
            </w:r>
          </w:p>
        </w:tc>
      </w:tr>
    </w:tbl>
    <w:p w14:paraId="3719C018" w14:textId="77777777" w:rsidR="00E27FBC" w:rsidRDefault="00E27FBC" w:rsidP="00E27FBC">
      <w:pPr>
        <w:autoSpaceDE w:val="0"/>
        <w:autoSpaceDN w:val="0"/>
        <w:adjustRightInd w:val="0"/>
        <w:rPr>
          <w:rFonts w:ascii="Arial" w:hAnsi="Arial" w:cs="Arial"/>
        </w:rPr>
      </w:pPr>
    </w:p>
    <w:p w14:paraId="71EB237F" w14:textId="77777777" w:rsidR="00E27FBC" w:rsidRDefault="00E27FBC" w:rsidP="00E27FBC">
      <w:pPr>
        <w:autoSpaceDE w:val="0"/>
        <w:autoSpaceDN w:val="0"/>
        <w:adjustRightInd w:val="0"/>
        <w:rPr>
          <w:rFonts w:ascii="Arial" w:hAnsi="Arial" w:cs="Arial"/>
        </w:rPr>
      </w:pPr>
    </w:p>
    <w:p w14:paraId="64BDA39D" w14:textId="77777777" w:rsidR="00E27FBC" w:rsidRPr="00DF1376" w:rsidRDefault="00E27FBC" w:rsidP="00E27FBC">
      <w:pPr>
        <w:keepNext/>
        <w:keepLines/>
        <w:autoSpaceDE w:val="0"/>
        <w:autoSpaceDN w:val="0"/>
        <w:adjustRightInd w:val="0"/>
        <w:rPr>
          <w:rFonts w:ascii="Arial" w:hAnsi="Arial" w:cs="Arial"/>
          <w:sz w:val="20"/>
        </w:rPr>
      </w:pPr>
      <w:r>
        <w:rPr>
          <w:rFonts w:ascii="Arial" w:hAnsi="Arial" w:cs="Arial"/>
        </w:rPr>
        <w:t>RESOURCES FOR PROGRAM 3</w:t>
      </w:r>
    </w:p>
    <w:p w14:paraId="5A3AAE34" w14:textId="77777777" w:rsidR="00E27FBC" w:rsidRPr="00DF1376" w:rsidRDefault="00E27FBC" w:rsidP="00E27FBC">
      <w:pPr>
        <w:keepNext/>
        <w:keepLines/>
        <w:rPr>
          <w:rFonts w:ascii="Arial" w:hAnsi="Arial" w:cs="Arial"/>
          <w:sz w:val="20"/>
        </w:rPr>
      </w:pPr>
    </w:p>
    <w:p w14:paraId="1839D783" w14:textId="74197E94" w:rsidR="00E27FBC" w:rsidRPr="00BC10F4" w:rsidRDefault="00E27FBC" w:rsidP="00B66A4A">
      <w:pPr>
        <w:pStyle w:val="ListParagraph"/>
        <w:numPr>
          <w:ilvl w:val="0"/>
          <w:numId w:val="4"/>
        </w:numPr>
        <w:autoSpaceDE w:val="0"/>
        <w:autoSpaceDN w:val="0"/>
        <w:adjustRightInd w:val="0"/>
        <w:jc w:val="both"/>
        <w:rPr>
          <w:rFonts w:ascii="Arial" w:hAnsi="Arial" w:cs="Arial"/>
          <w:sz w:val="20"/>
        </w:rPr>
      </w:pPr>
      <w:r w:rsidRPr="00BC10F4">
        <w:rPr>
          <w:rFonts w:ascii="Arial" w:hAnsi="Arial" w:cs="Arial"/>
          <w:sz w:val="20"/>
        </w:rPr>
        <w:t xml:space="preserve">The overall resources for Program 3 in 2016/17 </w:t>
      </w:r>
      <w:r>
        <w:rPr>
          <w:rFonts w:ascii="Arial" w:hAnsi="Arial" w:cs="Arial"/>
          <w:sz w:val="20"/>
        </w:rPr>
        <w:t xml:space="preserve">remain </w:t>
      </w:r>
      <w:r w:rsidRPr="00BC10F4">
        <w:rPr>
          <w:rFonts w:ascii="Arial" w:hAnsi="Arial" w:cs="Arial"/>
          <w:sz w:val="20"/>
        </w:rPr>
        <w:t>at the same level as in 2014/15</w:t>
      </w:r>
      <w:r>
        <w:rPr>
          <w:rFonts w:ascii="Arial" w:hAnsi="Arial" w:cs="Arial"/>
          <w:sz w:val="20"/>
        </w:rPr>
        <w:t>. A slight reduction can be observed in</w:t>
      </w:r>
      <w:r w:rsidRPr="00BC10F4">
        <w:rPr>
          <w:rFonts w:ascii="Arial" w:hAnsi="Arial" w:cs="Arial"/>
          <w:sz w:val="20"/>
        </w:rPr>
        <w:t xml:space="preserve"> personnel resources </w:t>
      </w:r>
      <w:r>
        <w:rPr>
          <w:rFonts w:ascii="Arial" w:hAnsi="Arial" w:cs="Arial"/>
          <w:sz w:val="20"/>
        </w:rPr>
        <w:t xml:space="preserve">following the transfer </w:t>
      </w:r>
      <w:r w:rsidRPr="00BC10F4">
        <w:rPr>
          <w:rFonts w:ascii="Arial" w:hAnsi="Arial" w:cs="Arial"/>
          <w:sz w:val="20"/>
        </w:rPr>
        <w:t xml:space="preserve">of </w:t>
      </w:r>
      <w:r>
        <w:rPr>
          <w:rFonts w:ascii="Arial" w:hAnsi="Arial" w:cs="Arial"/>
          <w:sz w:val="20"/>
        </w:rPr>
        <w:t>the responsibilities for the WCC to Program 15 (Business Solutions for IP Offices)</w:t>
      </w:r>
      <w:r w:rsidR="00FE1138">
        <w:rPr>
          <w:rFonts w:ascii="Arial" w:hAnsi="Arial" w:cs="Arial"/>
          <w:sz w:val="20"/>
        </w:rPr>
        <w:t xml:space="preserve"> which</w:t>
      </w:r>
      <w:r>
        <w:rPr>
          <w:rFonts w:ascii="Arial" w:hAnsi="Arial" w:cs="Arial"/>
          <w:sz w:val="20"/>
        </w:rPr>
        <w:t xml:space="preserve"> is offset </w:t>
      </w:r>
      <w:r w:rsidRPr="00F91D52">
        <w:rPr>
          <w:rFonts w:ascii="Arial" w:hAnsi="Arial" w:cs="Arial"/>
          <w:sz w:val="20"/>
        </w:rPr>
        <w:t>by a</w:t>
      </w:r>
      <w:r>
        <w:rPr>
          <w:rFonts w:ascii="Arial" w:hAnsi="Arial" w:cs="Arial"/>
          <w:sz w:val="20"/>
        </w:rPr>
        <w:t xml:space="preserve"> net</w:t>
      </w:r>
      <w:r w:rsidRPr="00BC10F4">
        <w:rPr>
          <w:rFonts w:ascii="Arial" w:hAnsi="Arial" w:cs="Arial"/>
          <w:sz w:val="20"/>
        </w:rPr>
        <w:t xml:space="preserve"> increase in non-personnel resources</w:t>
      </w:r>
      <w:r>
        <w:rPr>
          <w:rFonts w:ascii="Arial" w:hAnsi="Arial" w:cs="Arial"/>
          <w:sz w:val="20"/>
        </w:rPr>
        <w:t xml:space="preserve"> reflecting, on the one hand: a) the transfer of responsibilities for</w:t>
      </w:r>
      <w:r w:rsidRPr="00BC10F4">
        <w:rPr>
          <w:rFonts w:ascii="Arial" w:hAnsi="Arial" w:cs="Arial"/>
          <w:sz w:val="20"/>
        </w:rPr>
        <w:t xml:space="preserve"> </w:t>
      </w:r>
      <w:r w:rsidR="00FE1138">
        <w:rPr>
          <w:rFonts w:ascii="Arial" w:hAnsi="Arial" w:cs="Arial"/>
          <w:sz w:val="20"/>
        </w:rPr>
        <w:t xml:space="preserve">copyright </w:t>
      </w:r>
      <w:r w:rsidRPr="00BC10F4">
        <w:rPr>
          <w:rFonts w:ascii="Arial" w:hAnsi="Arial" w:cs="Arial"/>
          <w:sz w:val="20"/>
        </w:rPr>
        <w:t>economic studies to Program 16</w:t>
      </w:r>
      <w:r>
        <w:rPr>
          <w:rFonts w:ascii="Arial" w:hAnsi="Arial" w:cs="Arial"/>
          <w:sz w:val="20"/>
        </w:rPr>
        <w:t xml:space="preserve"> (Economics and Statistics) and, on the other hand, b) </w:t>
      </w:r>
      <w:r w:rsidRPr="00B50442">
        <w:rPr>
          <w:rFonts w:ascii="Arial" w:hAnsi="Arial" w:cs="Arial"/>
          <w:sz w:val="20"/>
        </w:rPr>
        <w:t xml:space="preserve">increased emphasis on </w:t>
      </w:r>
      <w:r w:rsidRPr="00B50442">
        <w:rPr>
          <w:rFonts w:ascii="Arial" w:hAnsi="Arial" w:cs="Arial"/>
          <w:i/>
          <w:sz w:val="20"/>
        </w:rPr>
        <w:t>TAG</w:t>
      </w:r>
      <w:r>
        <w:rPr>
          <w:rFonts w:ascii="Arial" w:hAnsi="Arial" w:cs="Arial"/>
          <w:i/>
          <w:sz w:val="20"/>
        </w:rPr>
        <w:t>,</w:t>
      </w:r>
      <w:r w:rsidRPr="00B50442">
        <w:rPr>
          <w:rFonts w:ascii="Arial" w:hAnsi="Arial" w:cs="Arial"/>
          <w:i/>
          <w:sz w:val="20"/>
        </w:rPr>
        <w:t xml:space="preserve"> </w:t>
      </w:r>
      <w:r w:rsidRPr="00BC10F4">
        <w:rPr>
          <w:rFonts w:ascii="Arial" w:hAnsi="Arial" w:cs="Arial"/>
          <w:sz w:val="20"/>
        </w:rPr>
        <w:t>the</w:t>
      </w:r>
      <w:r>
        <w:rPr>
          <w:rFonts w:ascii="Arial" w:hAnsi="Arial" w:cs="Arial"/>
          <w:i/>
          <w:sz w:val="20"/>
        </w:rPr>
        <w:t xml:space="preserve"> </w:t>
      </w:r>
      <w:r w:rsidRPr="00B50442">
        <w:rPr>
          <w:rFonts w:ascii="Arial" w:hAnsi="Arial" w:cs="Arial"/>
          <w:sz w:val="20"/>
        </w:rPr>
        <w:t xml:space="preserve">international quality assurance standard for CMOs; a new portal on Copyright Infrastructure; </w:t>
      </w:r>
      <w:r>
        <w:rPr>
          <w:rFonts w:ascii="Arial" w:hAnsi="Arial" w:cs="Arial"/>
          <w:sz w:val="20"/>
        </w:rPr>
        <w:t xml:space="preserve">and </w:t>
      </w:r>
      <w:r w:rsidRPr="00B50442">
        <w:rPr>
          <w:rFonts w:ascii="Arial" w:hAnsi="Arial" w:cs="Arial"/>
          <w:sz w:val="20"/>
        </w:rPr>
        <w:t>the Accessible Books Consortium (ABC).</w:t>
      </w:r>
      <w:r w:rsidRPr="00F91D52">
        <w:rPr>
          <w:rFonts w:ascii="Arial" w:hAnsi="Arial" w:cs="Arial"/>
          <w:sz w:val="20"/>
        </w:rPr>
        <w:t xml:space="preserve"> </w:t>
      </w:r>
      <w:r w:rsidRPr="00BC10F4">
        <w:rPr>
          <w:rFonts w:ascii="Arial" w:hAnsi="Arial" w:cs="Arial"/>
          <w:sz w:val="20"/>
        </w:rPr>
        <w:t>Th</w:t>
      </w:r>
      <w:r>
        <w:rPr>
          <w:rFonts w:ascii="Arial" w:hAnsi="Arial" w:cs="Arial"/>
          <w:sz w:val="20"/>
        </w:rPr>
        <w:t>e</w:t>
      </w:r>
      <w:r w:rsidRPr="00BC10F4">
        <w:rPr>
          <w:rFonts w:ascii="Arial" w:hAnsi="Arial" w:cs="Arial"/>
          <w:sz w:val="20"/>
        </w:rPr>
        <w:t xml:space="preserve"> change</w:t>
      </w:r>
      <w:r>
        <w:rPr>
          <w:rFonts w:ascii="Arial" w:hAnsi="Arial" w:cs="Arial"/>
          <w:sz w:val="20"/>
        </w:rPr>
        <w:t>s</w:t>
      </w:r>
      <w:r w:rsidRPr="00BC10F4">
        <w:rPr>
          <w:rFonts w:ascii="Arial" w:hAnsi="Arial" w:cs="Arial"/>
          <w:sz w:val="20"/>
        </w:rPr>
        <w:t xml:space="preserve"> </w:t>
      </w:r>
      <w:r>
        <w:rPr>
          <w:rFonts w:ascii="Arial" w:hAnsi="Arial" w:cs="Arial"/>
          <w:sz w:val="20"/>
        </w:rPr>
        <w:t>are</w:t>
      </w:r>
      <w:r w:rsidRPr="00BC10F4">
        <w:rPr>
          <w:rFonts w:ascii="Arial" w:hAnsi="Arial" w:cs="Arial"/>
          <w:sz w:val="20"/>
        </w:rPr>
        <w:t xml:space="preserve"> reflected in resource variations for Expected Results IV.</w:t>
      </w:r>
      <w:r w:rsidR="004B4125">
        <w:rPr>
          <w:rFonts w:ascii="Arial" w:hAnsi="Arial" w:cs="Arial"/>
          <w:sz w:val="20"/>
        </w:rPr>
        <w:t>4</w:t>
      </w:r>
      <w:r>
        <w:rPr>
          <w:rFonts w:ascii="Arial" w:hAnsi="Arial" w:cs="Arial"/>
          <w:sz w:val="20"/>
        </w:rPr>
        <w:t>,</w:t>
      </w:r>
      <w:r w:rsidRPr="00BC10F4">
        <w:rPr>
          <w:rFonts w:ascii="Arial" w:hAnsi="Arial" w:cs="Arial"/>
          <w:sz w:val="20"/>
        </w:rPr>
        <w:t xml:space="preserve"> V.2 </w:t>
      </w:r>
      <w:r>
        <w:rPr>
          <w:rFonts w:ascii="Arial" w:hAnsi="Arial" w:cs="Arial"/>
          <w:sz w:val="20"/>
        </w:rPr>
        <w:t xml:space="preserve">and III.2 </w:t>
      </w:r>
      <w:r w:rsidRPr="00BC10F4">
        <w:rPr>
          <w:rFonts w:ascii="Arial" w:hAnsi="Arial" w:cs="Arial"/>
          <w:sz w:val="20"/>
        </w:rPr>
        <w:t xml:space="preserve">between the two biennia.  </w:t>
      </w:r>
    </w:p>
    <w:p w14:paraId="7E0D6F2A" w14:textId="77777777" w:rsidR="00E27FBC" w:rsidRDefault="00E27FBC" w:rsidP="00E27FBC">
      <w:pPr>
        <w:autoSpaceDE w:val="0"/>
        <w:autoSpaceDN w:val="0"/>
        <w:rPr>
          <w:rFonts w:ascii="Arial" w:hAnsi="Arial" w:cs="Arial"/>
          <w:b/>
          <w:sz w:val="20"/>
        </w:rPr>
      </w:pPr>
    </w:p>
    <w:p w14:paraId="646E8F66" w14:textId="77777777" w:rsidR="00E27FBC" w:rsidRDefault="00E27FBC" w:rsidP="00E27FBC">
      <w:pPr>
        <w:autoSpaceDE w:val="0"/>
        <w:autoSpaceDN w:val="0"/>
        <w:rPr>
          <w:rFonts w:ascii="Arial" w:hAnsi="Arial" w:cs="Arial"/>
          <w:b/>
          <w:sz w:val="20"/>
        </w:rPr>
      </w:pPr>
    </w:p>
    <w:p w14:paraId="1C7F0305" w14:textId="77777777" w:rsidR="00E92683" w:rsidRPr="009B4A78" w:rsidRDefault="00E92683" w:rsidP="00F33E49">
      <w:pPr>
        <w:keepNext/>
        <w:keepLines/>
        <w:autoSpaceDE w:val="0"/>
        <w:autoSpaceDN w:val="0"/>
        <w:jc w:val="center"/>
        <w:rPr>
          <w:rFonts w:ascii="Arial" w:hAnsi="Arial" w:cs="Arial"/>
          <w:b/>
          <w:sz w:val="20"/>
        </w:rPr>
      </w:pPr>
      <w:r w:rsidRPr="009B4A78">
        <w:rPr>
          <w:rFonts w:ascii="Arial" w:hAnsi="Arial" w:cs="Arial"/>
          <w:b/>
          <w:sz w:val="20"/>
        </w:rPr>
        <w:t>Program 3:  Resources by Result</w:t>
      </w:r>
    </w:p>
    <w:p w14:paraId="4FA399E0" w14:textId="77777777" w:rsidR="00E92683" w:rsidRPr="009B4A78" w:rsidRDefault="00E92683"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2531604" w14:textId="77777777" w:rsidR="00E92683" w:rsidRPr="009B4A78" w:rsidRDefault="00E92683" w:rsidP="00F33E49">
      <w:pPr>
        <w:keepNext/>
        <w:keepLines/>
        <w:autoSpaceDE w:val="0"/>
        <w:autoSpaceDN w:val="0"/>
        <w:adjustRightInd w:val="0"/>
        <w:rPr>
          <w:rFonts w:ascii="Arial" w:hAnsi="Arial" w:cs="Arial"/>
        </w:rPr>
      </w:pPr>
    </w:p>
    <w:p w14:paraId="58808A04" w14:textId="7154356B" w:rsidR="00E92683" w:rsidRDefault="00E27FBC" w:rsidP="00F33E49">
      <w:pPr>
        <w:autoSpaceDE w:val="0"/>
        <w:autoSpaceDN w:val="0"/>
        <w:adjustRightInd w:val="0"/>
        <w:jc w:val="center"/>
        <w:rPr>
          <w:rFonts w:ascii="Arial" w:hAnsi="Arial" w:cs="Arial"/>
        </w:rPr>
      </w:pPr>
      <w:r w:rsidRPr="000A2BC8">
        <w:rPr>
          <w:noProof/>
          <w:lang w:eastAsia="en-US"/>
        </w:rPr>
        <w:drawing>
          <wp:inline distT="0" distB="0" distL="0" distR="0" wp14:anchorId="469240A2" wp14:editId="4FBF24C2">
            <wp:extent cx="5110369" cy="3708806"/>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0159" cy="3715911"/>
                    </a:xfrm>
                    <a:prstGeom prst="rect">
                      <a:avLst/>
                    </a:prstGeom>
                    <a:noFill/>
                    <a:ln>
                      <a:noFill/>
                    </a:ln>
                  </pic:spPr>
                </pic:pic>
              </a:graphicData>
            </a:graphic>
          </wp:inline>
        </w:drawing>
      </w:r>
    </w:p>
    <w:p w14:paraId="4AFC5842" w14:textId="77777777" w:rsidR="00757237" w:rsidRDefault="00757237" w:rsidP="00F33E49">
      <w:pPr>
        <w:autoSpaceDE w:val="0"/>
        <w:autoSpaceDN w:val="0"/>
        <w:adjustRightInd w:val="0"/>
        <w:jc w:val="center"/>
        <w:rPr>
          <w:rFonts w:ascii="Arial" w:hAnsi="Arial" w:cs="Arial"/>
        </w:rPr>
      </w:pPr>
    </w:p>
    <w:p w14:paraId="4DD2B0B8" w14:textId="77777777" w:rsidR="00757237" w:rsidRPr="009B4A78" w:rsidRDefault="00757237" w:rsidP="00F33E49">
      <w:pPr>
        <w:autoSpaceDE w:val="0"/>
        <w:autoSpaceDN w:val="0"/>
        <w:adjustRightInd w:val="0"/>
        <w:jc w:val="center"/>
        <w:rPr>
          <w:rFonts w:ascii="Arial" w:hAnsi="Arial" w:cs="Arial"/>
        </w:rPr>
      </w:pPr>
    </w:p>
    <w:p w14:paraId="70FB99B2" w14:textId="77777777" w:rsidR="00E92683" w:rsidRPr="009B4A78" w:rsidRDefault="00E92683"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3: Resources by Object of Expenditure</w:t>
      </w:r>
    </w:p>
    <w:p w14:paraId="7F442A8F" w14:textId="77777777" w:rsidR="00E92683" w:rsidRPr="009B4A78" w:rsidRDefault="00E92683"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7521BB8A" w14:textId="77777777" w:rsidR="00E92683" w:rsidRPr="00FD3C38" w:rsidRDefault="00E92683" w:rsidP="00F33E49">
      <w:pPr>
        <w:keepNext/>
        <w:keepLines/>
        <w:autoSpaceDE w:val="0"/>
        <w:autoSpaceDN w:val="0"/>
        <w:adjustRightInd w:val="0"/>
        <w:rPr>
          <w:rFonts w:ascii="Arial" w:hAnsi="Arial" w:cs="Arial"/>
          <w:sz w:val="16"/>
        </w:rPr>
      </w:pPr>
    </w:p>
    <w:p w14:paraId="2A248642" w14:textId="373FD71C" w:rsidR="00E92683" w:rsidRPr="009B4A78" w:rsidRDefault="00E27FBC" w:rsidP="00F33E49">
      <w:pPr>
        <w:autoSpaceDE w:val="0"/>
        <w:autoSpaceDN w:val="0"/>
        <w:adjustRightInd w:val="0"/>
        <w:jc w:val="center"/>
        <w:rPr>
          <w:rFonts w:ascii="Arial" w:hAnsi="Arial" w:cs="Arial"/>
        </w:rPr>
      </w:pPr>
      <w:r w:rsidRPr="007E719A">
        <w:rPr>
          <w:noProof/>
          <w:lang w:eastAsia="en-US"/>
        </w:rPr>
        <w:drawing>
          <wp:inline distT="0" distB="0" distL="0" distR="0" wp14:anchorId="272C1E19" wp14:editId="733628D3">
            <wp:extent cx="4655128" cy="566755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5775" cy="5680517"/>
                    </a:xfrm>
                    <a:prstGeom prst="rect">
                      <a:avLst/>
                    </a:prstGeom>
                    <a:noFill/>
                    <a:ln>
                      <a:noFill/>
                    </a:ln>
                  </pic:spPr>
                </pic:pic>
              </a:graphicData>
            </a:graphic>
          </wp:inline>
        </w:drawing>
      </w:r>
    </w:p>
    <w:p w14:paraId="563F65D2" w14:textId="77777777" w:rsidR="00E92683" w:rsidRPr="00E27FBC" w:rsidRDefault="00E92683" w:rsidP="00F33E49">
      <w:pPr>
        <w:autoSpaceDE w:val="0"/>
        <w:autoSpaceDN w:val="0"/>
        <w:adjustRightInd w:val="0"/>
        <w:rPr>
          <w:rFonts w:ascii="Arial" w:hAnsi="Arial" w:cs="Arial"/>
          <w:sz w:val="20"/>
        </w:rPr>
      </w:pPr>
    </w:p>
    <w:p w14:paraId="59320CF1" w14:textId="77777777" w:rsidR="00E92683" w:rsidRPr="00E27FBC" w:rsidRDefault="00E92683" w:rsidP="00F33E49">
      <w:pPr>
        <w:autoSpaceDE w:val="0"/>
        <w:autoSpaceDN w:val="0"/>
        <w:adjustRightInd w:val="0"/>
        <w:rPr>
          <w:rFonts w:ascii="Arial" w:hAnsi="Arial" w:cs="Arial"/>
          <w:sz w:val="20"/>
        </w:rPr>
      </w:pPr>
    </w:p>
    <w:p w14:paraId="702769B7" w14:textId="77777777" w:rsidR="00E92683" w:rsidRPr="009B4A78" w:rsidRDefault="00E92683" w:rsidP="00F33E49">
      <w:pPr>
        <w:keepNext/>
        <w:keepLines/>
        <w:jc w:val="center"/>
        <w:rPr>
          <w:rFonts w:ascii="Arial" w:hAnsi="Arial" w:cs="Arial"/>
          <w:b/>
          <w:sz w:val="20"/>
        </w:rPr>
      </w:pPr>
      <w:r w:rsidRPr="009B4A78">
        <w:rPr>
          <w:rFonts w:ascii="Arial" w:hAnsi="Arial" w:cs="Arial"/>
          <w:b/>
          <w:sz w:val="20"/>
        </w:rPr>
        <w:t>Funds in Trust Potentially Available for Programming in 2016/17 (BY PROGRAM)</w:t>
      </w:r>
      <w:r w:rsidRPr="009B4A78">
        <w:rPr>
          <w:rFonts w:ascii="Arial" w:hAnsi="Arial" w:cs="Arial"/>
          <w:i/>
          <w:sz w:val="20"/>
          <w:vertAlign w:val="superscript"/>
        </w:rPr>
        <w:t xml:space="preserve"> </w:t>
      </w:r>
      <w:r w:rsidRPr="009B4A78">
        <w:rPr>
          <w:rFonts w:ascii="Arial" w:hAnsi="Arial" w:cs="Arial"/>
          <w:sz w:val="20"/>
          <w:vertAlign w:val="superscript"/>
        </w:rPr>
        <w:t>1</w:t>
      </w:r>
    </w:p>
    <w:p w14:paraId="330F8E76" w14:textId="77777777" w:rsidR="00E92683" w:rsidRPr="009B4A78" w:rsidRDefault="00E92683" w:rsidP="00F33E49">
      <w:pPr>
        <w:keepNext/>
        <w:keepLines/>
        <w:jc w:val="center"/>
        <w:rPr>
          <w:rFonts w:ascii="Arial" w:hAnsi="Arial" w:cs="Arial"/>
          <w:i/>
          <w:sz w:val="20"/>
        </w:rPr>
      </w:pPr>
      <w:r w:rsidRPr="009B4A78">
        <w:rPr>
          <w:rFonts w:ascii="Arial" w:hAnsi="Arial" w:cs="Arial"/>
          <w:i/>
          <w:sz w:val="20"/>
        </w:rPr>
        <w:t>(in thousands of Swiss francs)</w:t>
      </w:r>
    </w:p>
    <w:p w14:paraId="76D91DCE" w14:textId="77777777" w:rsidR="00E92683" w:rsidRPr="00FD3C38" w:rsidRDefault="00E92683" w:rsidP="00F33E49">
      <w:pPr>
        <w:keepNext/>
        <w:keepLines/>
        <w:autoSpaceDE w:val="0"/>
        <w:autoSpaceDN w:val="0"/>
        <w:adjustRightInd w:val="0"/>
        <w:rPr>
          <w:rFonts w:ascii="Arial" w:hAnsi="Arial" w:cs="Arial"/>
          <w:sz w:val="16"/>
        </w:rPr>
      </w:pPr>
    </w:p>
    <w:p w14:paraId="025958FB" w14:textId="77777777" w:rsidR="00E92683" w:rsidRPr="009B4A78" w:rsidRDefault="00E92683" w:rsidP="00FB68E0">
      <w:pPr>
        <w:keepNext/>
        <w:keepLines/>
        <w:autoSpaceDE w:val="0"/>
        <w:autoSpaceDN w:val="0"/>
        <w:adjustRightInd w:val="0"/>
        <w:jc w:val="center"/>
        <w:rPr>
          <w:rFonts w:ascii="Arial" w:hAnsi="Arial" w:cs="Arial"/>
        </w:rPr>
      </w:pPr>
      <w:r w:rsidRPr="009B4A78">
        <w:rPr>
          <w:rFonts w:ascii="Arial" w:hAnsi="Arial" w:cs="Arial"/>
          <w:noProof/>
          <w:lang w:eastAsia="en-US"/>
        </w:rPr>
        <w:drawing>
          <wp:inline distT="0" distB="0" distL="0" distR="0" wp14:anchorId="61790E22" wp14:editId="12D7D9CD">
            <wp:extent cx="5340096" cy="10144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1836" cy="1018541"/>
                    </a:xfrm>
                    <a:prstGeom prst="rect">
                      <a:avLst/>
                    </a:prstGeom>
                    <a:noFill/>
                    <a:ln>
                      <a:noFill/>
                    </a:ln>
                  </pic:spPr>
                </pic:pic>
              </a:graphicData>
            </a:graphic>
          </wp:inline>
        </w:drawing>
      </w:r>
    </w:p>
    <w:p w14:paraId="6C037AB4" w14:textId="77777777" w:rsidR="00E92683" w:rsidRPr="009B4A78" w:rsidRDefault="00E92683" w:rsidP="00FD3C38">
      <w:pPr>
        <w:keepNext/>
        <w:keepLines/>
        <w:spacing w:after="60"/>
        <w:rPr>
          <w:rFonts w:ascii="Arial" w:hAnsi="Arial" w:cs="Arial"/>
          <w:i/>
          <w:sz w:val="16"/>
          <w:szCs w:val="14"/>
        </w:rPr>
      </w:pPr>
      <w:r w:rsidRPr="009B4A78">
        <w:rPr>
          <w:rFonts w:ascii="Arial" w:hAnsi="Arial" w:cs="Arial"/>
          <w:i/>
          <w:sz w:val="16"/>
          <w:szCs w:val="14"/>
          <w:vertAlign w:val="superscript"/>
        </w:rPr>
        <w:t>1</w:t>
      </w:r>
      <w:r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997A3FE" w14:textId="77777777" w:rsidR="00E92683" w:rsidRPr="009B4A78" w:rsidRDefault="00E92683" w:rsidP="00FD3C38">
      <w:pPr>
        <w:keepNext/>
        <w:keepLines/>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6181A06C" w14:textId="77777777" w:rsidR="00E92683" w:rsidRPr="009B4A78" w:rsidRDefault="00E92683" w:rsidP="00F33E49">
      <w:pPr>
        <w:keepNext/>
        <w:keepLines/>
        <w:rPr>
          <w:rFonts w:ascii="Arial" w:hAnsi="Arial" w:cs="Arial"/>
          <w:i/>
          <w:sz w:val="16"/>
          <w:szCs w:val="14"/>
        </w:rPr>
      </w:pPr>
      <w:r w:rsidRPr="009B4A78">
        <w:rPr>
          <w:rFonts w:ascii="Arial" w:hAnsi="Arial" w:cs="Arial"/>
          <w:i/>
          <w:sz w:val="16"/>
          <w:szCs w:val="14"/>
          <w:vertAlign w:val="superscript"/>
        </w:rPr>
        <w:t>3</w:t>
      </w:r>
      <w:r w:rsidRPr="009B4A78">
        <w:rPr>
          <w:rFonts w:ascii="Arial" w:hAnsi="Arial" w:cs="Arial"/>
          <w:i/>
          <w:sz w:val="16"/>
          <w:szCs w:val="14"/>
        </w:rPr>
        <w:t>Annual contributions vary and fluctuations have been observed from one year to another.</w:t>
      </w:r>
    </w:p>
    <w:p w14:paraId="28749A15" w14:textId="2312F2B0" w:rsidR="00E92683" w:rsidRPr="009B4A78" w:rsidRDefault="00E92683">
      <w:pPr>
        <w:rPr>
          <w:rFonts w:ascii="Arial" w:hAnsi="Arial" w:cs="Arial"/>
          <w:sz w:val="20"/>
          <w:szCs w:val="20"/>
        </w:rPr>
      </w:pPr>
      <w:r w:rsidRPr="009B4A78">
        <w:rPr>
          <w:rFonts w:ascii="Arial" w:hAnsi="Arial" w:cs="Arial"/>
          <w:sz w:val="20"/>
          <w:szCs w:val="20"/>
        </w:rPr>
        <w:br w:type="page"/>
      </w:r>
    </w:p>
    <w:p w14:paraId="6A1603EE" w14:textId="69230F82" w:rsidR="00E40974" w:rsidRPr="009B4A78" w:rsidRDefault="00E40974" w:rsidP="00D656E4">
      <w:pPr>
        <w:pStyle w:val="StyleHeading3ComplexItalic"/>
        <w:tabs>
          <w:tab w:val="clear" w:pos="1985"/>
          <w:tab w:val="left" w:pos="1843"/>
        </w:tabs>
        <w:ind w:left="1843" w:hanging="1843"/>
        <w:rPr>
          <w:rStyle w:val="StyleStyleHeading3ComplexItalicLatin12ptChar"/>
          <w:rFonts w:eastAsia="SimSun"/>
          <w:b/>
        </w:rPr>
      </w:pPr>
      <w:bookmarkStart w:id="27" w:name="_Toc431221408"/>
      <w:r w:rsidRPr="009B4A78">
        <w:rPr>
          <w:rStyle w:val="StyleStyleHeading3ComplexItalicLatin12ptChar"/>
          <w:rFonts w:eastAsia="SimSun"/>
          <w:b/>
        </w:rPr>
        <w:lastRenderedPageBreak/>
        <w:t>PROGRAM 4:</w:t>
      </w:r>
      <w:r w:rsidRPr="009B4A78">
        <w:rPr>
          <w:rStyle w:val="StyleStyleHeading3ComplexItalicLatin12ptChar"/>
          <w:rFonts w:eastAsia="SimSun"/>
          <w:b/>
        </w:rPr>
        <w:tab/>
        <w:t>TRADITIONAL KNOWLEDGE, TRADITIONAL CULTURAL EXPRESSIONS</w:t>
      </w:r>
      <w:r w:rsidRPr="009B4A78">
        <w:rPr>
          <w:rStyle w:val="StyleStyleHeading3ComplexItalicLatin12ptChar"/>
          <w:rFonts w:eastAsia="SimSun"/>
          <w:caps/>
        </w:rPr>
        <w:t xml:space="preserve"> </w:t>
      </w:r>
      <w:r w:rsidRPr="009B4A78">
        <w:rPr>
          <w:rStyle w:val="StyleStyleHeading3ComplexItalicLatin12ptChar"/>
          <w:rFonts w:eastAsia="SimSun"/>
          <w:b/>
        </w:rPr>
        <w:t>AND GENETIC RESOURCES</w:t>
      </w:r>
      <w:bookmarkEnd w:id="27"/>
    </w:p>
    <w:p w14:paraId="69A1ADE1" w14:textId="77777777" w:rsidR="00E40974" w:rsidRPr="009B4A78" w:rsidRDefault="00E40974" w:rsidP="00F33E49">
      <w:pPr>
        <w:jc w:val="both"/>
        <w:rPr>
          <w:rFonts w:ascii="Arial" w:hAnsi="Arial" w:cs="Arial"/>
          <w:bCs/>
          <w:i/>
        </w:rPr>
      </w:pPr>
    </w:p>
    <w:p w14:paraId="7A988A92" w14:textId="77777777" w:rsidR="00E40974" w:rsidRPr="009B4A78" w:rsidRDefault="00E40974" w:rsidP="00F33E49">
      <w:pPr>
        <w:jc w:val="both"/>
        <w:rPr>
          <w:rFonts w:ascii="Arial" w:hAnsi="Arial" w:cs="Arial"/>
          <w:bCs/>
        </w:rPr>
      </w:pPr>
      <w:r w:rsidRPr="009B4A78">
        <w:rPr>
          <w:rFonts w:ascii="Arial" w:hAnsi="Arial" w:cs="Arial"/>
          <w:bCs/>
        </w:rPr>
        <w:t>PLANNING CONTEXT</w:t>
      </w:r>
    </w:p>
    <w:p w14:paraId="4908EA37" w14:textId="77777777" w:rsidR="00E40974" w:rsidRPr="009B4A78" w:rsidRDefault="00E40974" w:rsidP="00F33E49">
      <w:pPr>
        <w:tabs>
          <w:tab w:val="num" w:pos="709"/>
        </w:tabs>
        <w:ind w:left="1140" w:hanging="1140"/>
        <w:jc w:val="both"/>
        <w:rPr>
          <w:rFonts w:ascii="Arial" w:hAnsi="Arial" w:cs="Arial"/>
          <w:bCs/>
          <w:sz w:val="20"/>
        </w:rPr>
      </w:pPr>
    </w:p>
    <w:p w14:paraId="760E1E76" w14:textId="77777777" w:rsidR="00E40974" w:rsidRPr="009B4A78" w:rsidRDefault="00E40974" w:rsidP="00F33E49">
      <w:pPr>
        <w:tabs>
          <w:tab w:val="num" w:pos="709"/>
        </w:tabs>
        <w:ind w:left="1140" w:hanging="1140"/>
        <w:rPr>
          <w:rFonts w:ascii="Arial" w:hAnsi="Arial" w:cs="Arial"/>
          <w:bCs/>
          <w:sz w:val="20"/>
        </w:rPr>
      </w:pPr>
    </w:p>
    <w:p w14:paraId="16B396F2" w14:textId="77777777" w:rsidR="00E40974" w:rsidRPr="009B4A78" w:rsidRDefault="00E40974" w:rsidP="00B66A4A">
      <w:pPr>
        <w:numPr>
          <w:ilvl w:val="0"/>
          <w:numId w:val="5"/>
        </w:numPr>
        <w:jc w:val="both"/>
        <w:rPr>
          <w:rFonts w:ascii="Arial" w:hAnsi="Arial" w:cs="Arial"/>
          <w:color w:val="000000"/>
          <w:sz w:val="20"/>
        </w:rPr>
      </w:pPr>
      <w:r w:rsidRPr="009B4A78">
        <w:rPr>
          <w:rFonts w:ascii="Arial" w:hAnsi="Arial" w:cs="Arial"/>
          <w:bCs/>
          <w:sz w:val="20"/>
        </w:rPr>
        <w:t>This</w:t>
      </w:r>
      <w:r w:rsidRPr="009B4A78">
        <w:rPr>
          <w:rFonts w:ascii="Arial" w:hAnsi="Arial" w:cs="Arial"/>
          <w:color w:val="000000"/>
          <w:sz w:val="20"/>
        </w:rPr>
        <w:t xml:space="preserve"> </w:t>
      </w:r>
      <w:r w:rsidRPr="009B4A78">
        <w:rPr>
          <w:rFonts w:ascii="Arial" w:hAnsi="Arial" w:cs="Arial"/>
          <w:bCs/>
          <w:sz w:val="20"/>
        </w:rPr>
        <w:t>Program aims at enabling the m</w:t>
      </w:r>
      <w:r w:rsidRPr="009B4A78">
        <w:rPr>
          <w:rFonts w:ascii="Arial" w:hAnsi="Arial" w:cs="Arial"/>
          <w:color w:val="000000"/>
          <w:sz w:val="20"/>
        </w:rPr>
        <w:t xml:space="preserve">ore effective use of existing and emerging IP principles, systems and tools for the protection of </w:t>
      </w:r>
      <w:r w:rsidRPr="009B4A78">
        <w:rPr>
          <w:rFonts w:ascii="Arial" w:hAnsi="Arial" w:cs="Arial"/>
          <w:bCs/>
          <w:sz w:val="20"/>
        </w:rPr>
        <w:t>traditional knowledge (TK) and traditional cultural expressions (TCEs) against misappropriation and misuse</w:t>
      </w:r>
      <w:r w:rsidRPr="009B4A78">
        <w:rPr>
          <w:rFonts w:ascii="Arial" w:hAnsi="Arial" w:cs="Arial"/>
          <w:color w:val="000000"/>
          <w:sz w:val="20"/>
        </w:rPr>
        <w:t xml:space="preserve">, and for addressing the IP issues related to genetic resources (GRs), including those that arise in the course of access to and equitable benefit-sharing in GRs. </w:t>
      </w:r>
    </w:p>
    <w:p w14:paraId="02B281FB" w14:textId="77777777" w:rsidR="00E40974" w:rsidRPr="009B4A78" w:rsidRDefault="00E40974" w:rsidP="00F33E49">
      <w:pPr>
        <w:tabs>
          <w:tab w:val="num" w:pos="709"/>
        </w:tabs>
        <w:jc w:val="both"/>
        <w:rPr>
          <w:rFonts w:ascii="Arial" w:hAnsi="Arial" w:cs="Arial"/>
          <w:color w:val="000000"/>
          <w:sz w:val="20"/>
        </w:rPr>
      </w:pPr>
    </w:p>
    <w:p w14:paraId="15313947"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bCs/>
          <w:sz w:val="20"/>
        </w:rPr>
        <w:t>Against</w:t>
      </w:r>
      <w:r w:rsidRPr="009B4A78">
        <w:rPr>
          <w:rFonts w:ascii="Arial" w:hAnsi="Arial" w:cs="Arial"/>
          <w:color w:val="000000"/>
          <w:sz w:val="20"/>
        </w:rPr>
        <w:t xml:space="preserve"> this backdrop, Program 4 facilitates meetings of Member States on normative activities on IP, </w:t>
      </w:r>
      <w:r w:rsidRPr="009B4A78">
        <w:rPr>
          <w:rFonts w:ascii="Arial" w:hAnsi="Arial" w:cs="Arial"/>
          <w:bCs/>
          <w:sz w:val="20"/>
        </w:rPr>
        <w:t>TK, TCEs and GRs. The international negotiations on the text(s) of an international legal instrument(s) that will ensure the effective protection of TK, TCEs and GRs have been taking place within the Intergovernmental Committee on Intellectual Property and Genetic Resources, Traditional Knowledge and Folklore (the IGC).  The General Assembly will be invited to decide upon the renewal of the IGC’s mandate and its terms.</w:t>
      </w:r>
    </w:p>
    <w:p w14:paraId="1C6F0A07" w14:textId="77777777" w:rsidR="00E40974" w:rsidRPr="009B4A78" w:rsidRDefault="00E40974" w:rsidP="00F33E49">
      <w:pPr>
        <w:tabs>
          <w:tab w:val="num" w:pos="709"/>
        </w:tabs>
        <w:jc w:val="both"/>
        <w:rPr>
          <w:rFonts w:ascii="Arial" w:hAnsi="Arial" w:cs="Arial"/>
          <w:bCs/>
          <w:sz w:val="20"/>
        </w:rPr>
      </w:pPr>
    </w:p>
    <w:p w14:paraId="6AE05F9E"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bCs/>
          <w:sz w:val="20"/>
        </w:rPr>
        <w:t xml:space="preserve">Practical assistance in the form of specialized awareness raising, capacity building, training, and legal, technical assistance will continue to be provided to Member States, regional organizations, indigenous peoples and local communities and other stakeholders. The Program makes available a wide range of practical tools, training courses, publications and other information resources.  </w:t>
      </w:r>
    </w:p>
    <w:p w14:paraId="3CC12FA1" w14:textId="77777777" w:rsidR="00E40974" w:rsidRPr="009B4A78" w:rsidRDefault="00E40974" w:rsidP="00F33E49">
      <w:pPr>
        <w:tabs>
          <w:tab w:val="num" w:pos="709"/>
        </w:tabs>
        <w:jc w:val="both"/>
        <w:rPr>
          <w:rFonts w:ascii="Arial" w:hAnsi="Arial" w:cs="Arial"/>
          <w:bCs/>
          <w:sz w:val="20"/>
        </w:rPr>
      </w:pPr>
    </w:p>
    <w:p w14:paraId="5A4CF74C"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bCs/>
          <w:sz w:val="20"/>
        </w:rPr>
        <w:t>The normative and practical pillars of the Program are inter-related and complementary.</w:t>
      </w:r>
    </w:p>
    <w:p w14:paraId="55B80735" w14:textId="77777777" w:rsidR="00E40974" w:rsidRPr="00DB4F15" w:rsidRDefault="00E40974" w:rsidP="00F33E49">
      <w:pPr>
        <w:tabs>
          <w:tab w:val="num" w:pos="709"/>
        </w:tabs>
        <w:jc w:val="both"/>
        <w:rPr>
          <w:rFonts w:ascii="Arial" w:hAnsi="Arial" w:cs="Arial"/>
          <w:bCs/>
          <w:sz w:val="20"/>
        </w:rPr>
      </w:pPr>
    </w:p>
    <w:p w14:paraId="0FF96BFA" w14:textId="77777777" w:rsidR="00E40974" w:rsidRPr="00DB4F15" w:rsidRDefault="00E40974" w:rsidP="00F33E49">
      <w:pPr>
        <w:tabs>
          <w:tab w:val="num" w:pos="709"/>
        </w:tabs>
        <w:jc w:val="both"/>
        <w:rPr>
          <w:rFonts w:ascii="Arial" w:hAnsi="Arial" w:cs="Arial"/>
          <w:bCs/>
          <w:sz w:val="20"/>
        </w:rPr>
      </w:pPr>
    </w:p>
    <w:p w14:paraId="6EB002A0" w14:textId="77777777" w:rsidR="00E40974" w:rsidRPr="009B4A78" w:rsidRDefault="00E40974" w:rsidP="00F33E49">
      <w:pPr>
        <w:tabs>
          <w:tab w:val="num" w:pos="709"/>
        </w:tabs>
        <w:jc w:val="both"/>
        <w:rPr>
          <w:rFonts w:ascii="Arial" w:hAnsi="Arial" w:cs="Arial"/>
          <w:bCs/>
        </w:rPr>
      </w:pPr>
      <w:r w:rsidRPr="009B4A78">
        <w:rPr>
          <w:rFonts w:ascii="Arial" w:hAnsi="Arial" w:cs="Arial"/>
          <w:bCs/>
        </w:rPr>
        <w:t>IMPLEMENTATION STRATEGIES</w:t>
      </w:r>
    </w:p>
    <w:p w14:paraId="7161A5CA" w14:textId="77777777" w:rsidR="00E40974" w:rsidRPr="009B4A78" w:rsidRDefault="00E40974" w:rsidP="00F33E49">
      <w:pPr>
        <w:tabs>
          <w:tab w:val="left" w:pos="0"/>
          <w:tab w:val="left" w:pos="1985"/>
        </w:tabs>
        <w:jc w:val="both"/>
        <w:rPr>
          <w:rFonts w:ascii="Arial" w:hAnsi="Arial" w:cs="Arial"/>
          <w:sz w:val="20"/>
        </w:rPr>
      </w:pPr>
    </w:p>
    <w:p w14:paraId="4A22255A" w14:textId="77777777" w:rsidR="00E40974" w:rsidRPr="009B4A78" w:rsidRDefault="00E40974" w:rsidP="00B66A4A">
      <w:pPr>
        <w:numPr>
          <w:ilvl w:val="0"/>
          <w:numId w:val="5"/>
        </w:numPr>
        <w:jc w:val="both"/>
        <w:rPr>
          <w:rFonts w:ascii="Arial" w:hAnsi="Arial" w:cs="Arial"/>
          <w:color w:val="000000"/>
          <w:sz w:val="20"/>
        </w:rPr>
      </w:pPr>
      <w:r w:rsidRPr="009B4A78">
        <w:rPr>
          <w:rFonts w:ascii="Arial" w:hAnsi="Arial" w:cs="Arial"/>
          <w:sz w:val="20"/>
        </w:rPr>
        <w:t xml:space="preserve">As a Member State-driven process, progress towards international outcomes is largely dependent on decisions by Member States. </w:t>
      </w:r>
      <w:r w:rsidRPr="009B4A78">
        <w:rPr>
          <w:rFonts w:ascii="Arial" w:hAnsi="Arial" w:cs="Arial"/>
          <w:bCs/>
          <w:sz w:val="20"/>
        </w:rPr>
        <w:t>The results of the Program should, therefore, include, first, an environment conducive to focused normative activities, as may be decided upon by the General Assembly, which could lead to shared understandings, a convergence of views and, ultimately, decisions by Member States.</w:t>
      </w:r>
      <w:r w:rsidRPr="009B4A78">
        <w:rPr>
          <w:rFonts w:ascii="Arial" w:hAnsi="Arial" w:cs="Arial"/>
          <w:color w:val="000000"/>
          <w:sz w:val="20"/>
        </w:rPr>
        <w:t xml:space="preserve">    </w:t>
      </w:r>
    </w:p>
    <w:p w14:paraId="1AFFC7FD" w14:textId="77777777" w:rsidR="00E40974" w:rsidRPr="009B4A78" w:rsidRDefault="00E40974" w:rsidP="00F33E49">
      <w:pPr>
        <w:tabs>
          <w:tab w:val="left" w:pos="0"/>
          <w:tab w:val="left" w:pos="1985"/>
        </w:tabs>
        <w:jc w:val="both"/>
        <w:rPr>
          <w:rFonts w:ascii="Arial" w:hAnsi="Arial" w:cs="Arial"/>
          <w:color w:val="000000"/>
          <w:sz w:val="20"/>
        </w:rPr>
      </w:pPr>
    </w:p>
    <w:p w14:paraId="61A7E3AA"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color w:val="000000"/>
          <w:sz w:val="20"/>
        </w:rPr>
        <w:t xml:space="preserve">A </w:t>
      </w:r>
      <w:r w:rsidRPr="009B4A78">
        <w:rPr>
          <w:rFonts w:ascii="Arial" w:hAnsi="Arial" w:cs="Arial"/>
          <w:bCs/>
          <w:sz w:val="20"/>
        </w:rPr>
        <w:t xml:space="preserve">second result relates to greater awareness among States, indigenous peoples and local communities (including </w:t>
      </w:r>
      <w:r w:rsidRPr="009B4A78">
        <w:rPr>
          <w:rFonts w:ascii="Arial" w:hAnsi="Arial" w:cs="Arial"/>
          <w:color w:val="000000"/>
          <w:sz w:val="20"/>
        </w:rPr>
        <w:t xml:space="preserve">women), </w:t>
      </w:r>
      <w:r w:rsidRPr="009B4A78">
        <w:rPr>
          <w:rFonts w:ascii="Arial" w:hAnsi="Arial" w:cs="Arial"/>
          <w:bCs/>
          <w:sz w:val="20"/>
        </w:rPr>
        <w:t xml:space="preserve">and other stakeholders of how the relationship between IP and TK, TCEs and GRs is integral to national development strategies and innovation, cultural and other policies, and more specifically, to greater capacity in line with the DA, to use IP principles, systems and tools for the effective protection of TK and TCEs and for managing the interface between IP and </w:t>
      </w:r>
      <w:r w:rsidRPr="009B4A78">
        <w:rPr>
          <w:rFonts w:ascii="Arial" w:hAnsi="Arial" w:cs="Arial"/>
          <w:color w:val="000000"/>
          <w:sz w:val="20"/>
        </w:rPr>
        <w:t xml:space="preserve">GRs, for economic, social and cultural development. </w:t>
      </w:r>
    </w:p>
    <w:p w14:paraId="00D5D7CA" w14:textId="77777777" w:rsidR="00E40974" w:rsidRPr="009B4A78" w:rsidRDefault="00E40974" w:rsidP="00F33E49">
      <w:pPr>
        <w:jc w:val="both"/>
        <w:rPr>
          <w:rFonts w:ascii="Arial" w:hAnsi="Arial" w:cs="Arial"/>
          <w:bCs/>
          <w:sz w:val="20"/>
        </w:rPr>
      </w:pPr>
    </w:p>
    <w:p w14:paraId="26C40A7F" w14:textId="77777777" w:rsidR="00E40974" w:rsidRPr="009B4A78" w:rsidRDefault="00E40974" w:rsidP="00B66A4A">
      <w:pPr>
        <w:numPr>
          <w:ilvl w:val="0"/>
          <w:numId w:val="5"/>
        </w:numPr>
        <w:jc w:val="both"/>
        <w:rPr>
          <w:rFonts w:ascii="Arial" w:hAnsi="Arial" w:cs="Arial"/>
          <w:bCs/>
          <w:sz w:val="20"/>
        </w:rPr>
      </w:pPr>
      <w:r w:rsidRPr="009B4A78">
        <w:rPr>
          <w:rFonts w:ascii="Arial" w:hAnsi="Arial" w:cs="Arial"/>
          <w:sz w:val="20"/>
        </w:rPr>
        <w:t xml:space="preserve">In order to achieve its expected results, the Program will seek to implement the following three inter-related and complementary strategies: </w:t>
      </w:r>
    </w:p>
    <w:p w14:paraId="49D360C3" w14:textId="77777777" w:rsidR="00E40974" w:rsidRPr="009B4A78" w:rsidRDefault="00E40974" w:rsidP="00F33E49">
      <w:pPr>
        <w:jc w:val="both"/>
        <w:rPr>
          <w:rFonts w:ascii="Arial" w:hAnsi="Arial" w:cs="Arial"/>
          <w:bCs/>
          <w:sz w:val="20"/>
        </w:rPr>
      </w:pPr>
    </w:p>
    <w:p w14:paraId="4D33E7C7" w14:textId="2BB9CCC6" w:rsidR="00E40974" w:rsidRPr="009B4A78" w:rsidRDefault="00E40974" w:rsidP="00B66A4A">
      <w:pPr>
        <w:pStyle w:val="ListParagraph"/>
        <w:numPr>
          <w:ilvl w:val="1"/>
          <w:numId w:val="1"/>
        </w:numPr>
        <w:tabs>
          <w:tab w:val="left" w:pos="1134"/>
        </w:tabs>
        <w:ind w:left="1134" w:hanging="567"/>
        <w:jc w:val="both"/>
        <w:rPr>
          <w:rFonts w:ascii="Arial" w:hAnsi="Arial" w:cs="Arial"/>
          <w:sz w:val="20"/>
        </w:rPr>
      </w:pPr>
      <w:r w:rsidRPr="009B4A78">
        <w:rPr>
          <w:rFonts w:ascii="Arial" w:hAnsi="Arial" w:cs="Arial"/>
          <w:sz w:val="20"/>
        </w:rPr>
        <w:t xml:space="preserve">providing professional and neutral logistical, technical and substantive support for meetings and conferences on normative activities as decided upon by the General Assembly;  administrative support for initiatives aimed at enhancing the effective participation of representatives of indigenous peoples and local communities in WIPO’s work, including logistical management of the WIPO Voluntary Fund for Accredited Indigenous and Local Communities;  and, close coordination and cooperation with other intergovernmental organizations and </w:t>
      </w:r>
      <w:r w:rsidR="003822EB">
        <w:rPr>
          <w:rFonts w:ascii="Arial" w:hAnsi="Arial" w:cs="Arial"/>
          <w:sz w:val="20"/>
        </w:rPr>
        <w:t>fora,</w:t>
      </w:r>
      <w:r w:rsidRPr="009B4A78">
        <w:rPr>
          <w:rFonts w:ascii="Arial" w:hAnsi="Arial" w:cs="Arial"/>
          <w:sz w:val="20"/>
        </w:rPr>
        <w:t xml:space="preserve"> as appropriate;        </w:t>
      </w:r>
    </w:p>
    <w:p w14:paraId="5B4F91BC" w14:textId="77777777" w:rsidR="00E40974" w:rsidRPr="009B4A78" w:rsidRDefault="00E40974" w:rsidP="00F33E49">
      <w:pPr>
        <w:pStyle w:val="ListParagraph"/>
        <w:tabs>
          <w:tab w:val="left" w:pos="1134"/>
        </w:tabs>
        <w:ind w:left="1134"/>
        <w:jc w:val="both"/>
        <w:rPr>
          <w:rFonts w:ascii="Arial" w:hAnsi="Arial" w:cs="Arial"/>
          <w:sz w:val="20"/>
        </w:rPr>
      </w:pPr>
    </w:p>
    <w:p w14:paraId="1696CE56" w14:textId="77777777" w:rsidR="00E40974" w:rsidRPr="009B4A78" w:rsidRDefault="00E40974" w:rsidP="00B66A4A">
      <w:pPr>
        <w:pStyle w:val="ListParagraph"/>
        <w:numPr>
          <w:ilvl w:val="1"/>
          <w:numId w:val="1"/>
        </w:numPr>
        <w:tabs>
          <w:tab w:val="left" w:pos="1134"/>
        </w:tabs>
        <w:ind w:left="1134" w:hanging="567"/>
        <w:jc w:val="both"/>
        <w:rPr>
          <w:rFonts w:ascii="Arial" w:hAnsi="Arial" w:cs="Arial"/>
          <w:sz w:val="20"/>
        </w:rPr>
      </w:pPr>
      <w:r w:rsidRPr="009B4A78">
        <w:rPr>
          <w:rFonts w:ascii="Arial" w:hAnsi="Arial" w:cs="Arial"/>
          <w:color w:val="000000"/>
          <w:sz w:val="20"/>
        </w:rPr>
        <w:t xml:space="preserve">developing and making available </w:t>
      </w:r>
      <w:r w:rsidRPr="009B4A78">
        <w:rPr>
          <w:rFonts w:ascii="Arial" w:hAnsi="Arial" w:cs="Arial"/>
          <w:sz w:val="20"/>
        </w:rPr>
        <w:t>a streamlined and integrated suite of relevant and practical resources, programs, courses and tools for effective and useful capacity building and legal technical assistance, in line with national development strategies and policies, and, where possible, in cooperation with relevant intergovernmental and other organizations;  and</w:t>
      </w:r>
    </w:p>
    <w:p w14:paraId="32768871" w14:textId="77777777" w:rsidR="00E40974" w:rsidRPr="009B4A78" w:rsidRDefault="00E40974" w:rsidP="00F33E49">
      <w:pPr>
        <w:pStyle w:val="ListParagraph"/>
        <w:tabs>
          <w:tab w:val="left" w:pos="1134"/>
        </w:tabs>
        <w:ind w:left="1134" w:hanging="567"/>
        <w:jc w:val="both"/>
        <w:rPr>
          <w:rFonts w:ascii="Arial" w:hAnsi="Arial" w:cs="Arial"/>
          <w:sz w:val="20"/>
        </w:rPr>
      </w:pPr>
    </w:p>
    <w:p w14:paraId="085D30AB" w14:textId="77777777" w:rsidR="00E40974" w:rsidRPr="009B4A78" w:rsidRDefault="00E40974" w:rsidP="00B66A4A">
      <w:pPr>
        <w:pStyle w:val="ListParagraph"/>
        <w:keepNext/>
        <w:keepLines/>
        <w:numPr>
          <w:ilvl w:val="1"/>
          <w:numId w:val="1"/>
        </w:numPr>
        <w:tabs>
          <w:tab w:val="left" w:pos="1134"/>
        </w:tabs>
        <w:ind w:left="1134" w:hanging="567"/>
        <w:jc w:val="both"/>
        <w:rPr>
          <w:rFonts w:ascii="Arial" w:hAnsi="Arial" w:cs="Arial"/>
          <w:sz w:val="20"/>
        </w:rPr>
      </w:pPr>
      <w:r w:rsidRPr="009B4A78">
        <w:rPr>
          <w:rFonts w:ascii="Arial" w:hAnsi="Arial" w:cs="Arial"/>
          <w:sz w:val="20"/>
        </w:rPr>
        <w:lastRenderedPageBreak/>
        <w:t>advising on the IP aspects and implications of databases, inventories, registers and other such platforms, as well as institutions, authorities and agencies, which could complement and support implementation of legal and policy frameworks that States, regional organizations and communities may decide to establish.</w:t>
      </w:r>
    </w:p>
    <w:p w14:paraId="7A20CCE2" w14:textId="77777777" w:rsidR="00E40974" w:rsidRPr="009B4A78" w:rsidRDefault="00E40974" w:rsidP="00F33E49">
      <w:pPr>
        <w:tabs>
          <w:tab w:val="left" w:pos="567"/>
          <w:tab w:val="left" w:pos="1985"/>
        </w:tabs>
        <w:ind w:left="360"/>
        <w:jc w:val="both"/>
        <w:rPr>
          <w:rFonts w:ascii="Arial" w:hAnsi="Arial" w:cs="Arial"/>
          <w:sz w:val="20"/>
        </w:rPr>
      </w:pPr>
    </w:p>
    <w:p w14:paraId="57610637" w14:textId="77777777" w:rsidR="00E40974" w:rsidRPr="009B4A78" w:rsidRDefault="00E40974" w:rsidP="00B66A4A">
      <w:pPr>
        <w:numPr>
          <w:ilvl w:val="0"/>
          <w:numId w:val="5"/>
        </w:numPr>
        <w:tabs>
          <w:tab w:val="left" w:pos="567"/>
        </w:tabs>
        <w:jc w:val="both"/>
        <w:rPr>
          <w:rFonts w:ascii="Arial" w:eastAsia="SimSun" w:hAnsi="Arial" w:cs="Arial"/>
          <w:sz w:val="20"/>
          <w:lang w:eastAsia="zh-CN"/>
        </w:rPr>
      </w:pPr>
      <w:r w:rsidRPr="009B4A78">
        <w:rPr>
          <w:rFonts w:ascii="Arial" w:eastAsia="SimSun" w:hAnsi="Arial" w:cs="Arial"/>
          <w:sz w:val="20"/>
          <w:lang w:eastAsia="zh-CN"/>
        </w:rPr>
        <w:t xml:space="preserve">DA Recommendation 18 refers explicitly to the IGC.  The norm-setting activities in the IGC are Member State-led, participatory and based upon open and balanced consultations (Recommendations 15, 21 and 42), take into account the public domain (Recommendations 16 and 20) and flexibilities in international IP agreements (Recommendations 12, 14 and 17), and are supportive of the UN’s development goals (Recommendation 22).  This Program therefore contributes directly and explicitly to development and to the attainment of other DA Recommendations, notably ensuring development-oriented and demand-driven technical assistance (Recommendations 1 and 12), assisting regional groupings to develop and/or implement regional policies and frameworks (Recommendations 10, 11, 13 and 14), providing legislative and policy information on national legislation to Member States (Recommendations 11, 13 and 14), raising awareness on TK, TCE and GR-related IP issues (Recommendation 3), and cooperating on IP-related issues with UN agencies (Recommendation 40). </w:t>
      </w:r>
    </w:p>
    <w:p w14:paraId="40385F72" w14:textId="77777777" w:rsidR="00E40974" w:rsidRPr="009B4A78" w:rsidRDefault="00E40974" w:rsidP="00F33E49">
      <w:pPr>
        <w:jc w:val="both"/>
        <w:rPr>
          <w:rFonts w:ascii="Arial" w:eastAsia="SimSun" w:hAnsi="Arial" w:cs="Arial"/>
          <w:sz w:val="20"/>
          <w:lang w:eastAsia="zh-CN"/>
        </w:rPr>
      </w:pPr>
    </w:p>
    <w:p w14:paraId="4DB26EBB" w14:textId="77777777" w:rsidR="00E40974" w:rsidRPr="009B4A78" w:rsidRDefault="00E40974" w:rsidP="00B66A4A">
      <w:pPr>
        <w:numPr>
          <w:ilvl w:val="0"/>
          <w:numId w:val="5"/>
        </w:numPr>
        <w:jc w:val="both"/>
        <w:rPr>
          <w:rFonts w:ascii="Arial" w:hAnsi="Arial" w:cs="Arial"/>
          <w:sz w:val="20"/>
        </w:rPr>
      </w:pPr>
      <w:r w:rsidRPr="009B4A78">
        <w:rPr>
          <w:rFonts w:ascii="Arial" w:hAnsi="Arial" w:cs="Arial"/>
          <w:sz w:val="20"/>
        </w:rPr>
        <w:t>The Expected Results of Program 4 will also be achieved through cooperation and coordination, where relevant, with other WIPO Programs as illustrated below</w:t>
      </w:r>
    </w:p>
    <w:p w14:paraId="514EDF5D" w14:textId="77777777" w:rsidR="00E40974" w:rsidRPr="009B4A78" w:rsidRDefault="00E40974" w:rsidP="00F33E49">
      <w:pPr>
        <w:jc w:val="both"/>
        <w:rPr>
          <w:rFonts w:ascii="Arial" w:hAnsi="Arial" w:cs="Arial"/>
        </w:rPr>
      </w:pPr>
    </w:p>
    <w:p w14:paraId="59DBCE0C" w14:textId="77777777" w:rsidR="00E40974" w:rsidRPr="009B4A78" w:rsidRDefault="00E40974" w:rsidP="00F33E49">
      <w:pPr>
        <w:jc w:val="both"/>
        <w:rPr>
          <w:rFonts w:ascii="Arial" w:hAnsi="Arial" w:cs="Arial"/>
        </w:rPr>
      </w:pPr>
      <w:r w:rsidRPr="009B4A78">
        <w:rPr>
          <w:rFonts w:ascii="Arial" w:hAnsi="Arial" w:cs="Arial"/>
          <w:noProof/>
          <w:lang w:eastAsia="en-US"/>
        </w:rPr>
        <w:drawing>
          <wp:inline distT="0" distB="0" distL="0" distR="0" wp14:anchorId="06CFA92C" wp14:editId="6799C1D7">
            <wp:extent cx="6120765" cy="2021874"/>
            <wp:effectExtent l="0" t="1905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07C8557" w14:textId="77777777" w:rsidR="00E40974" w:rsidRPr="009B4A78" w:rsidRDefault="00E40974" w:rsidP="00F33E49">
      <w:pPr>
        <w:tabs>
          <w:tab w:val="num" w:pos="709"/>
        </w:tabs>
        <w:jc w:val="both"/>
        <w:rPr>
          <w:rFonts w:ascii="Arial" w:hAnsi="Arial" w:cs="Arial"/>
          <w:bCs/>
        </w:rPr>
      </w:pPr>
    </w:p>
    <w:p w14:paraId="2414326C" w14:textId="77777777" w:rsidR="00E40974" w:rsidRPr="009B4A78" w:rsidRDefault="00E40974" w:rsidP="00F33E49">
      <w:pPr>
        <w:tabs>
          <w:tab w:val="num" w:pos="709"/>
        </w:tabs>
        <w:jc w:val="both"/>
        <w:rPr>
          <w:rFonts w:ascii="Arial" w:hAnsi="Arial" w:cs="Arial"/>
          <w:b/>
          <w:bCs/>
        </w:rPr>
      </w:pPr>
      <w:r w:rsidRPr="009B4A78">
        <w:rPr>
          <w:rFonts w:ascii="Arial" w:hAnsi="Arial" w:cs="Arial"/>
          <w:bCs/>
        </w:rPr>
        <w:tab/>
      </w:r>
    </w:p>
    <w:p w14:paraId="35DF2E94" w14:textId="77777777" w:rsidR="00E40974" w:rsidRPr="009B4A78" w:rsidRDefault="00E40974" w:rsidP="00F33E49">
      <w:pPr>
        <w:tabs>
          <w:tab w:val="num" w:pos="709"/>
        </w:tabs>
        <w:jc w:val="both"/>
        <w:rPr>
          <w:rFonts w:ascii="Arial" w:hAnsi="Arial" w:cs="Arial"/>
        </w:rPr>
      </w:pPr>
      <w:r w:rsidRPr="009B4A78">
        <w:rPr>
          <w:rFonts w:ascii="Arial" w:hAnsi="Arial" w:cs="Arial"/>
        </w:rPr>
        <w:t>MAJOR RISKS AND MITIGATION STATEGIES</w:t>
      </w:r>
    </w:p>
    <w:p w14:paraId="4E0AB955" w14:textId="77777777" w:rsidR="00E40974" w:rsidRPr="009B4A78" w:rsidRDefault="00E40974" w:rsidP="00F33E49">
      <w:pPr>
        <w:keepNext/>
        <w:keepLines/>
        <w:rPr>
          <w:rFonts w:ascii="Arial" w:hAnsi="Arial" w:cs="Arial"/>
        </w:rPr>
      </w:pPr>
      <w:r w:rsidRPr="009B4A78">
        <w:rPr>
          <w:rFonts w:ascii="Arial" w:hAnsi="Arial" w:cs="Arial"/>
          <w:bCs/>
        </w:rPr>
        <w:tab/>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40974" w:rsidRPr="009B4A78" w14:paraId="0F472C13" w14:textId="77777777" w:rsidTr="00F33E49">
        <w:trPr>
          <w:trHeight w:val="474"/>
        </w:trPr>
        <w:tc>
          <w:tcPr>
            <w:tcW w:w="4111" w:type="dxa"/>
            <w:tcBorders>
              <w:top w:val="single" w:sz="4" w:space="0" w:color="auto"/>
              <w:bottom w:val="single" w:sz="4" w:space="0" w:color="auto"/>
            </w:tcBorders>
            <w:shd w:val="clear" w:color="auto" w:fill="C6D9F1" w:themeFill="text2" w:themeFillTint="33"/>
            <w:vAlign w:val="center"/>
          </w:tcPr>
          <w:p w14:paraId="0C74DC5B" w14:textId="77777777" w:rsidR="00E40974" w:rsidRPr="009B4A78" w:rsidRDefault="00E40974" w:rsidP="00F33E49">
            <w:pPr>
              <w:keepNext/>
              <w:keepLines/>
              <w:jc w:val="center"/>
              <w:rPr>
                <w:rFonts w:ascii="Arial" w:hAnsi="Arial" w:cs="Arial"/>
                <w:b/>
                <w:bCs/>
                <w:sz w:val="18"/>
                <w:szCs w:val="18"/>
              </w:rPr>
            </w:pPr>
            <w:r w:rsidRPr="009B4A78">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7A3646CD" w14:textId="77777777" w:rsidR="00E40974" w:rsidRPr="009B4A78" w:rsidRDefault="00E40974" w:rsidP="00F33E49">
            <w:pPr>
              <w:keepNext/>
              <w:keepLines/>
              <w:jc w:val="center"/>
              <w:rPr>
                <w:rFonts w:ascii="Arial" w:hAnsi="Arial" w:cs="Arial"/>
                <w:b/>
                <w:bCs/>
                <w:sz w:val="18"/>
                <w:szCs w:val="18"/>
              </w:rPr>
            </w:pPr>
            <w:r w:rsidRPr="009B4A78">
              <w:rPr>
                <w:rFonts w:ascii="Arial" w:hAnsi="Arial" w:cs="Arial"/>
                <w:b/>
                <w:bCs/>
                <w:sz w:val="18"/>
                <w:szCs w:val="18"/>
              </w:rPr>
              <w:t>Mitigation</w:t>
            </w:r>
          </w:p>
        </w:tc>
      </w:tr>
      <w:tr w:rsidR="00E40974" w:rsidRPr="009B4A78" w14:paraId="111C1D79" w14:textId="77777777" w:rsidTr="00F33E49">
        <w:trPr>
          <w:trHeight w:val="696"/>
        </w:trPr>
        <w:tc>
          <w:tcPr>
            <w:tcW w:w="4111" w:type="dxa"/>
            <w:tcBorders>
              <w:top w:val="single" w:sz="4" w:space="0" w:color="auto"/>
            </w:tcBorders>
            <w:shd w:val="clear" w:color="auto" w:fill="auto"/>
            <w:tcMar>
              <w:top w:w="113" w:type="dxa"/>
              <w:bottom w:w="113" w:type="dxa"/>
            </w:tcMar>
          </w:tcPr>
          <w:p w14:paraId="38728349" w14:textId="77777777" w:rsidR="00E40974" w:rsidRPr="009B4A78" w:rsidRDefault="00E40974" w:rsidP="00F33E49">
            <w:pPr>
              <w:rPr>
                <w:rFonts w:ascii="Arial" w:hAnsi="Arial" w:cs="Arial"/>
                <w:b/>
                <w:i/>
                <w:sz w:val="16"/>
                <w:szCs w:val="16"/>
              </w:rPr>
            </w:pPr>
            <w:r w:rsidRPr="009B4A78">
              <w:rPr>
                <w:rFonts w:ascii="Arial" w:hAnsi="Arial" w:cs="Arial"/>
                <w:sz w:val="16"/>
                <w:szCs w:val="16"/>
              </w:rPr>
              <w:t xml:space="preserve">Member States unable to implement the mandate for normative activities as decided upon by the General Assembly. </w:t>
            </w:r>
          </w:p>
        </w:tc>
        <w:tc>
          <w:tcPr>
            <w:tcW w:w="5103" w:type="dxa"/>
            <w:tcBorders>
              <w:top w:val="single" w:sz="4" w:space="0" w:color="auto"/>
            </w:tcBorders>
            <w:shd w:val="clear" w:color="auto" w:fill="auto"/>
            <w:tcMar>
              <w:top w:w="113" w:type="dxa"/>
              <w:bottom w:w="113" w:type="dxa"/>
            </w:tcMar>
          </w:tcPr>
          <w:p w14:paraId="1C234BB5" w14:textId="77777777" w:rsidR="00E40974" w:rsidRPr="009B4A78" w:rsidRDefault="00E40974" w:rsidP="00F33E49">
            <w:pPr>
              <w:rPr>
                <w:rFonts w:ascii="Arial" w:hAnsi="Arial" w:cs="Arial"/>
                <w:sz w:val="16"/>
                <w:szCs w:val="16"/>
              </w:rPr>
            </w:pPr>
            <w:r w:rsidRPr="009B4A78">
              <w:rPr>
                <w:rFonts w:ascii="Arial" w:hAnsi="Arial" w:cs="Arial"/>
                <w:sz w:val="16"/>
                <w:szCs w:val="16"/>
              </w:rPr>
              <w:t>The Secretariat is committed to facilitate and create a conducive environment for the normative activities, for example, through providing clear and objective information about the issues being discussed and providing an efficient and neutral Secretariat service</w:t>
            </w:r>
            <w:r w:rsidRPr="009B4A78">
              <w:rPr>
                <w:rFonts w:ascii="Arial" w:hAnsi="Arial" w:cs="Arial"/>
                <w:color w:val="000000"/>
                <w:sz w:val="16"/>
                <w:szCs w:val="16"/>
              </w:rPr>
              <w:t>.</w:t>
            </w:r>
          </w:p>
        </w:tc>
      </w:tr>
      <w:tr w:rsidR="00E40974" w:rsidRPr="009B4A78" w14:paraId="534FAD3E" w14:textId="77777777" w:rsidTr="00F33E49">
        <w:trPr>
          <w:trHeight w:val="873"/>
        </w:trPr>
        <w:tc>
          <w:tcPr>
            <w:tcW w:w="4111" w:type="dxa"/>
            <w:shd w:val="clear" w:color="auto" w:fill="auto"/>
            <w:tcMar>
              <w:top w:w="113" w:type="dxa"/>
              <w:bottom w:w="113" w:type="dxa"/>
            </w:tcMar>
          </w:tcPr>
          <w:p w14:paraId="7EA35FB4" w14:textId="77777777" w:rsidR="00E40974" w:rsidRPr="009B4A78" w:rsidRDefault="00E40974" w:rsidP="00F33E49">
            <w:pPr>
              <w:rPr>
                <w:rFonts w:ascii="Arial" w:hAnsi="Arial" w:cs="Arial"/>
                <w:color w:val="000000"/>
                <w:sz w:val="16"/>
                <w:szCs w:val="16"/>
              </w:rPr>
            </w:pPr>
            <w:r w:rsidRPr="009B4A78">
              <w:rPr>
                <w:rFonts w:ascii="Arial" w:hAnsi="Arial" w:cs="Arial"/>
                <w:sz w:val="16"/>
                <w:szCs w:val="16"/>
                <w:lang w:eastAsia="zh-CN"/>
              </w:rPr>
              <w:t>Loss of relevance of normative activities on these issues at WIPO if Member States de-prioritize TK, TCEs and GRs as IP issues and/or believe other fora are more likely to deliver desirable outcomes.</w:t>
            </w:r>
          </w:p>
        </w:tc>
        <w:tc>
          <w:tcPr>
            <w:tcW w:w="5103" w:type="dxa"/>
            <w:shd w:val="clear" w:color="auto" w:fill="auto"/>
            <w:tcMar>
              <w:top w:w="113" w:type="dxa"/>
              <w:bottom w:w="113" w:type="dxa"/>
            </w:tcMar>
          </w:tcPr>
          <w:p w14:paraId="5C9B77CC" w14:textId="77777777" w:rsidR="00E40974" w:rsidRPr="009B4A78" w:rsidRDefault="00E40974" w:rsidP="00F33E49">
            <w:pPr>
              <w:rPr>
                <w:rFonts w:ascii="Arial" w:hAnsi="Arial" w:cs="Arial"/>
                <w:color w:val="000000"/>
                <w:sz w:val="16"/>
                <w:szCs w:val="16"/>
              </w:rPr>
            </w:pPr>
            <w:r w:rsidRPr="009B4A78">
              <w:rPr>
                <w:rFonts w:ascii="Arial" w:hAnsi="Arial" w:cs="Arial"/>
                <w:sz w:val="16"/>
                <w:szCs w:val="16"/>
                <w:lang w:eastAsia="zh-CN"/>
              </w:rPr>
              <w:t>The Secretariat raises awareness of the importance for IP policy of TK, TCEs and GRs issues.  The Secretariat follows the negotiations in other fora closely, in order to be able to provide neutral information about the issues to Member States in those other fora, and coordinates with other Secretariats to try to avoid duplication of efforts among Secretariats which can cause confusion among the Member States.</w:t>
            </w:r>
          </w:p>
        </w:tc>
      </w:tr>
    </w:tbl>
    <w:p w14:paraId="32B5FF16" w14:textId="77777777" w:rsidR="00E40974" w:rsidRPr="009B4A78" w:rsidRDefault="00E40974" w:rsidP="00F33E49">
      <w:pPr>
        <w:rPr>
          <w:rFonts w:ascii="Arial" w:hAnsi="Arial" w:cs="Arial"/>
        </w:rPr>
      </w:pPr>
    </w:p>
    <w:p w14:paraId="447CA761" w14:textId="77777777" w:rsidR="00E40974" w:rsidRPr="009B4A78" w:rsidRDefault="00E40974" w:rsidP="00F33E49">
      <w:pPr>
        <w:keepNext/>
        <w:keepLines/>
        <w:jc w:val="both"/>
        <w:rPr>
          <w:rFonts w:ascii="Arial" w:hAnsi="Arial" w:cs="Arial"/>
          <w:bCs/>
        </w:rPr>
      </w:pPr>
      <w:r w:rsidRPr="009B4A78">
        <w:rPr>
          <w:rFonts w:ascii="Arial" w:hAnsi="Arial" w:cs="Arial"/>
          <w:bCs/>
        </w:rPr>
        <w:lastRenderedPageBreak/>
        <w:t xml:space="preserve">RESULTS FRAMEWORK </w:t>
      </w:r>
    </w:p>
    <w:p w14:paraId="7D2E0B14" w14:textId="77777777" w:rsidR="00E40974" w:rsidRPr="009B4A78" w:rsidRDefault="00E40974" w:rsidP="00F33E49">
      <w:pPr>
        <w:keepNext/>
        <w:keepLines/>
        <w:jc w:val="both"/>
        <w:rPr>
          <w:rFonts w:ascii="Arial" w:hAnsi="Arial" w:cs="Arial"/>
          <w:bCs/>
        </w:rPr>
      </w:pPr>
    </w:p>
    <w:tbl>
      <w:tblPr>
        <w:tblW w:w="9229" w:type="dxa"/>
        <w:jc w:val="center"/>
        <w:tblInd w:w="93" w:type="dxa"/>
        <w:tblLook w:val="04A0" w:firstRow="1" w:lastRow="0" w:firstColumn="1" w:lastColumn="0" w:noHBand="0" w:noVBand="1"/>
      </w:tblPr>
      <w:tblGrid>
        <w:gridCol w:w="2400"/>
        <w:gridCol w:w="2600"/>
        <w:gridCol w:w="2520"/>
        <w:gridCol w:w="1709"/>
      </w:tblGrid>
      <w:tr w:rsidR="00E40974" w:rsidRPr="009B4A78" w14:paraId="68F33943" w14:textId="77777777" w:rsidTr="00E40974">
        <w:trPr>
          <w:trHeight w:val="555"/>
          <w:jc w:val="center"/>
        </w:trPr>
        <w:tc>
          <w:tcPr>
            <w:tcW w:w="24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A6BEC1C"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Expected Results</w:t>
            </w:r>
          </w:p>
        </w:tc>
        <w:tc>
          <w:tcPr>
            <w:tcW w:w="2600" w:type="dxa"/>
            <w:tcBorders>
              <w:top w:val="single" w:sz="4" w:space="0" w:color="auto"/>
              <w:left w:val="nil"/>
              <w:bottom w:val="single" w:sz="4" w:space="0" w:color="auto"/>
              <w:right w:val="nil"/>
            </w:tcBorders>
            <w:shd w:val="clear" w:color="auto" w:fill="C6D9F1" w:themeFill="text2" w:themeFillTint="33"/>
            <w:noWrap/>
            <w:vAlign w:val="center"/>
            <w:hideMark/>
          </w:tcPr>
          <w:p w14:paraId="494DD2F3"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Performance Indicators</w:t>
            </w:r>
          </w:p>
        </w:tc>
        <w:tc>
          <w:tcPr>
            <w:tcW w:w="2520" w:type="dxa"/>
            <w:tcBorders>
              <w:top w:val="single" w:sz="4" w:space="0" w:color="auto"/>
              <w:left w:val="nil"/>
              <w:bottom w:val="single" w:sz="4" w:space="0" w:color="auto"/>
              <w:right w:val="nil"/>
            </w:tcBorders>
            <w:shd w:val="clear" w:color="auto" w:fill="C6D9F1" w:themeFill="text2" w:themeFillTint="33"/>
            <w:noWrap/>
            <w:vAlign w:val="center"/>
            <w:hideMark/>
          </w:tcPr>
          <w:p w14:paraId="49A299E1"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Baselines</w:t>
            </w:r>
          </w:p>
        </w:tc>
        <w:tc>
          <w:tcPr>
            <w:tcW w:w="17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DF63243"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Targets</w:t>
            </w:r>
          </w:p>
        </w:tc>
      </w:tr>
      <w:tr w:rsidR="00E40974" w:rsidRPr="009B4A78" w14:paraId="73BE24CB" w14:textId="77777777" w:rsidTr="00E40974">
        <w:trPr>
          <w:trHeight w:val="1691"/>
          <w:jc w:val="center"/>
        </w:trPr>
        <w:tc>
          <w:tcPr>
            <w:tcW w:w="2400" w:type="dxa"/>
            <w:tcBorders>
              <w:top w:val="nil"/>
              <w:left w:val="single" w:sz="4" w:space="0" w:color="auto"/>
              <w:bottom w:val="nil"/>
              <w:right w:val="nil"/>
            </w:tcBorders>
            <w:shd w:val="clear" w:color="000000" w:fill="FFFFFF"/>
            <w:hideMark/>
          </w:tcPr>
          <w:p w14:paraId="55E8A205" w14:textId="77777777" w:rsidR="00E40974" w:rsidRPr="009B4A78" w:rsidRDefault="00E40974" w:rsidP="00F33E49">
            <w:pPr>
              <w:keepNext/>
              <w:keepLines/>
              <w:ind w:right="292"/>
              <w:rPr>
                <w:rFonts w:ascii="Arial" w:hAnsi="Arial" w:cs="Arial"/>
                <w:color w:val="000000"/>
                <w:sz w:val="16"/>
                <w:szCs w:val="16"/>
              </w:rPr>
            </w:pPr>
            <w:r w:rsidRPr="009B4A78">
              <w:rPr>
                <w:rFonts w:ascii="Arial" w:hAnsi="Arial" w:cs="Arial"/>
                <w:color w:val="000000"/>
                <w:sz w:val="16"/>
                <w:szCs w:val="16"/>
              </w:rPr>
              <w:br/>
              <w:t xml:space="preserve">I.1 Enhanced cooperation among Member States on development of balanced international normative frameworks for IP </w:t>
            </w:r>
          </w:p>
        </w:tc>
        <w:tc>
          <w:tcPr>
            <w:tcW w:w="2600" w:type="dxa"/>
            <w:tcBorders>
              <w:top w:val="nil"/>
              <w:left w:val="nil"/>
              <w:bottom w:val="nil"/>
              <w:right w:val="nil"/>
            </w:tcBorders>
            <w:shd w:val="clear" w:color="000000" w:fill="FFFFFF"/>
            <w:hideMark/>
          </w:tcPr>
          <w:p w14:paraId="589C7C1F" w14:textId="77777777" w:rsidR="00E40974" w:rsidRPr="009B4A78" w:rsidRDefault="00E40974" w:rsidP="00F33E49">
            <w:pPr>
              <w:keepNext/>
              <w:keepLines/>
              <w:ind w:right="199"/>
              <w:rPr>
                <w:rFonts w:ascii="Arial" w:hAnsi="Arial" w:cs="Arial"/>
                <w:color w:val="000000"/>
                <w:sz w:val="16"/>
                <w:szCs w:val="16"/>
              </w:rPr>
            </w:pPr>
            <w:r w:rsidRPr="009B4A78">
              <w:rPr>
                <w:rFonts w:ascii="Arial" w:hAnsi="Arial" w:cs="Arial"/>
                <w:color w:val="000000"/>
                <w:sz w:val="16"/>
                <w:szCs w:val="16"/>
              </w:rPr>
              <w:br/>
              <w:t>Progress towards implementation of normative activities on IP and GRs, TK and TCEs as agreed by Member States</w:t>
            </w:r>
          </w:p>
        </w:tc>
        <w:tc>
          <w:tcPr>
            <w:tcW w:w="2520" w:type="dxa"/>
            <w:tcBorders>
              <w:top w:val="nil"/>
              <w:left w:val="nil"/>
              <w:bottom w:val="nil"/>
              <w:right w:val="nil"/>
            </w:tcBorders>
            <w:shd w:val="clear" w:color="000000" w:fill="FFFFFF"/>
            <w:hideMark/>
          </w:tcPr>
          <w:p w14:paraId="0D34830A" w14:textId="77777777" w:rsidR="00E40974" w:rsidRDefault="00E40974" w:rsidP="00F33E49">
            <w:pPr>
              <w:keepNext/>
              <w:keepLines/>
              <w:ind w:right="309"/>
              <w:rPr>
                <w:rFonts w:ascii="Arial" w:hAnsi="Arial" w:cs="Arial"/>
                <w:color w:val="000000"/>
                <w:sz w:val="16"/>
                <w:szCs w:val="16"/>
              </w:rPr>
            </w:pPr>
            <w:r w:rsidRPr="009B4A78">
              <w:rPr>
                <w:rFonts w:ascii="Arial" w:hAnsi="Arial" w:cs="Arial"/>
                <w:color w:val="000000"/>
                <w:sz w:val="16"/>
                <w:szCs w:val="16"/>
              </w:rPr>
              <w:br/>
              <w:t>Current stage of negotiations among Member States on IP and GRs, TK and TCEs, as reflected in documents WIPO/GRTKF/IC/28/4, WIPO/GRTKF/IC/28/5 and WIPO/GRTKF/IC/28/6, respectively</w:t>
            </w:r>
          </w:p>
          <w:p w14:paraId="06529718" w14:textId="77777777" w:rsidR="005412E8" w:rsidRPr="009B4A78" w:rsidRDefault="005412E8" w:rsidP="00F33E49">
            <w:pPr>
              <w:keepNext/>
              <w:keepLines/>
              <w:ind w:right="309"/>
              <w:rPr>
                <w:rFonts w:ascii="Arial" w:hAnsi="Arial" w:cs="Arial"/>
                <w:color w:val="000000"/>
                <w:sz w:val="16"/>
                <w:szCs w:val="16"/>
              </w:rPr>
            </w:pPr>
          </w:p>
        </w:tc>
        <w:tc>
          <w:tcPr>
            <w:tcW w:w="1709" w:type="dxa"/>
            <w:tcBorders>
              <w:top w:val="nil"/>
              <w:left w:val="nil"/>
              <w:bottom w:val="nil"/>
              <w:right w:val="single" w:sz="4" w:space="0" w:color="auto"/>
            </w:tcBorders>
            <w:shd w:val="clear" w:color="000000" w:fill="FFFFFF"/>
            <w:hideMark/>
          </w:tcPr>
          <w:p w14:paraId="297B216D" w14:textId="77777777" w:rsidR="00E40974" w:rsidRPr="009B4A78" w:rsidRDefault="00E40974" w:rsidP="00F33E49">
            <w:pPr>
              <w:keepNext/>
              <w:keepLines/>
              <w:rPr>
                <w:rFonts w:ascii="Arial" w:hAnsi="Arial" w:cs="Arial"/>
                <w:color w:val="000000"/>
                <w:sz w:val="16"/>
                <w:szCs w:val="16"/>
              </w:rPr>
            </w:pPr>
            <w:r w:rsidRPr="009B4A78">
              <w:rPr>
                <w:rFonts w:ascii="Arial" w:hAnsi="Arial" w:cs="Arial"/>
                <w:color w:val="000000"/>
                <w:sz w:val="16"/>
                <w:szCs w:val="16"/>
              </w:rPr>
              <w:br/>
              <w:t>Agreed outcomes of normative activities.</w:t>
            </w:r>
          </w:p>
        </w:tc>
      </w:tr>
      <w:tr w:rsidR="00E40974" w:rsidRPr="009B4A78" w14:paraId="3128AE6D" w14:textId="77777777" w:rsidTr="00E40974">
        <w:trPr>
          <w:trHeight w:val="1723"/>
          <w:jc w:val="center"/>
        </w:trPr>
        <w:tc>
          <w:tcPr>
            <w:tcW w:w="2400" w:type="dxa"/>
            <w:tcBorders>
              <w:top w:val="nil"/>
              <w:left w:val="single" w:sz="4" w:space="0" w:color="auto"/>
              <w:bottom w:val="single" w:sz="4" w:space="0" w:color="auto"/>
              <w:right w:val="nil"/>
            </w:tcBorders>
            <w:shd w:val="clear" w:color="000000" w:fill="FFFFFF"/>
            <w:hideMark/>
          </w:tcPr>
          <w:p w14:paraId="496BCF6E" w14:textId="77777777" w:rsidR="00E40974" w:rsidRPr="009B4A78" w:rsidRDefault="00E40974" w:rsidP="00F33E49">
            <w:pPr>
              <w:ind w:right="292"/>
              <w:rPr>
                <w:rFonts w:ascii="Arial" w:hAnsi="Arial" w:cs="Arial"/>
                <w:color w:val="000000"/>
                <w:sz w:val="16"/>
                <w:szCs w:val="16"/>
              </w:rPr>
            </w:pPr>
            <w:r w:rsidRPr="009B4A78">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600" w:type="dxa"/>
            <w:tcBorders>
              <w:top w:val="nil"/>
              <w:left w:val="nil"/>
              <w:bottom w:val="single" w:sz="4" w:space="0" w:color="auto"/>
              <w:right w:val="nil"/>
            </w:tcBorders>
            <w:shd w:val="clear" w:color="000000" w:fill="FFFFFF"/>
            <w:hideMark/>
          </w:tcPr>
          <w:p w14:paraId="48017C83" w14:textId="77777777" w:rsidR="00E40974" w:rsidRPr="009B4A78" w:rsidRDefault="00E40974" w:rsidP="00F33E49">
            <w:pPr>
              <w:tabs>
                <w:tab w:val="left" w:pos="2043"/>
              </w:tabs>
              <w:ind w:right="199"/>
              <w:rPr>
                <w:rFonts w:ascii="Arial" w:hAnsi="Arial" w:cs="Arial"/>
                <w:color w:val="000000"/>
                <w:sz w:val="16"/>
                <w:szCs w:val="16"/>
              </w:rPr>
            </w:pPr>
            <w:r w:rsidRPr="009B4A78">
              <w:rPr>
                <w:rFonts w:ascii="Arial" w:hAnsi="Arial" w:cs="Arial"/>
                <w:color w:val="000000"/>
                <w:sz w:val="16"/>
                <w:szCs w:val="16"/>
              </w:rPr>
              <w:t>% of participants in WIPO activities who report enhanced capacity to understand and use IP principles, systems and tools for the protection of TK and TCEs and for addressing the interface between IP and GRs.</w:t>
            </w:r>
          </w:p>
        </w:tc>
        <w:tc>
          <w:tcPr>
            <w:tcW w:w="2520" w:type="dxa"/>
            <w:tcBorders>
              <w:top w:val="nil"/>
              <w:left w:val="nil"/>
              <w:bottom w:val="single" w:sz="4" w:space="0" w:color="auto"/>
              <w:right w:val="nil"/>
            </w:tcBorders>
            <w:shd w:val="clear" w:color="000000" w:fill="FFFFFF"/>
            <w:hideMark/>
          </w:tcPr>
          <w:p w14:paraId="7C12875A" w14:textId="77777777" w:rsidR="00E40974" w:rsidRPr="009B4A78" w:rsidRDefault="00E40974" w:rsidP="00F33E49">
            <w:pPr>
              <w:ind w:right="309"/>
              <w:rPr>
                <w:rFonts w:ascii="Arial" w:hAnsi="Arial" w:cs="Arial"/>
                <w:color w:val="000000"/>
                <w:sz w:val="16"/>
                <w:szCs w:val="16"/>
              </w:rPr>
            </w:pPr>
            <w:r w:rsidRPr="009B4A78">
              <w:rPr>
                <w:rFonts w:ascii="Arial" w:hAnsi="Arial" w:cs="Arial"/>
                <w:color w:val="000000"/>
                <w:sz w:val="16"/>
                <w:szCs w:val="16"/>
              </w:rPr>
              <w:t>91% (163 out of 179)  participants reported positively (feedback questionnaire used in nine activities organized by the TK Division in 2014)</w:t>
            </w:r>
          </w:p>
        </w:tc>
        <w:tc>
          <w:tcPr>
            <w:tcW w:w="1709" w:type="dxa"/>
            <w:tcBorders>
              <w:top w:val="nil"/>
              <w:left w:val="nil"/>
              <w:bottom w:val="single" w:sz="4" w:space="0" w:color="auto"/>
              <w:right w:val="single" w:sz="4" w:space="0" w:color="auto"/>
            </w:tcBorders>
            <w:shd w:val="clear" w:color="000000" w:fill="FFFFFF"/>
            <w:hideMark/>
          </w:tcPr>
          <w:p w14:paraId="6DDF78C2" w14:textId="77777777" w:rsidR="00E40974" w:rsidRPr="009B4A78" w:rsidRDefault="00E40974" w:rsidP="00F33E49">
            <w:pPr>
              <w:rPr>
                <w:rFonts w:ascii="Arial" w:hAnsi="Arial" w:cs="Arial"/>
                <w:color w:val="000000"/>
                <w:sz w:val="16"/>
                <w:szCs w:val="16"/>
              </w:rPr>
            </w:pPr>
            <w:r w:rsidRPr="009B4A78">
              <w:rPr>
                <w:rFonts w:ascii="Arial" w:hAnsi="Arial" w:cs="Arial"/>
                <w:color w:val="000000"/>
                <w:sz w:val="16"/>
                <w:szCs w:val="16"/>
              </w:rPr>
              <w:t>80%</w:t>
            </w:r>
          </w:p>
        </w:tc>
      </w:tr>
    </w:tbl>
    <w:p w14:paraId="00B8607F" w14:textId="77777777" w:rsidR="00E40974" w:rsidRPr="009B4A78" w:rsidRDefault="00E40974" w:rsidP="00F33E49">
      <w:pPr>
        <w:jc w:val="both"/>
        <w:rPr>
          <w:rFonts w:ascii="Arial" w:hAnsi="Arial" w:cs="Arial"/>
          <w:bCs/>
        </w:rPr>
      </w:pPr>
    </w:p>
    <w:p w14:paraId="3C5A93E5" w14:textId="77777777" w:rsidR="00E40974" w:rsidRPr="009B4A78" w:rsidRDefault="00E40974" w:rsidP="00F33E49">
      <w:pPr>
        <w:jc w:val="both"/>
        <w:rPr>
          <w:rFonts w:ascii="Arial" w:hAnsi="Arial" w:cs="Arial"/>
          <w:bCs/>
        </w:rPr>
      </w:pPr>
    </w:p>
    <w:p w14:paraId="79E89507" w14:textId="77777777" w:rsidR="00E40974" w:rsidRPr="009B4A78" w:rsidRDefault="00E40974" w:rsidP="00F33E49">
      <w:pPr>
        <w:jc w:val="both"/>
        <w:rPr>
          <w:rFonts w:ascii="Arial" w:hAnsi="Arial" w:cs="Arial"/>
          <w:bCs/>
        </w:rPr>
      </w:pPr>
      <w:r w:rsidRPr="009B4A78">
        <w:rPr>
          <w:rFonts w:ascii="Arial" w:hAnsi="Arial" w:cs="Arial"/>
          <w:bCs/>
        </w:rPr>
        <w:t>RESOURCES FOR PROGRAM 4</w:t>
      </w:r>
    </w:p>
    <w:p w14:paraId="6AAA14DE" w14:textId="77777777" w:rsidR="00E40974" w:rsidRPr="009B4A78" w:rsidRDefault="00E40974" w:rsidP="00F33E49">
      <w:pPr>
        <w:jc w:val="both"/>
        <w:rPr>
          <w:rFonts w:ascii="Arial" w:hAnsi="Arial" w:cs="Arial"/>
          <w:bCs/>
        </w:rPr>
      </w:pPr>
    </w:p>
    <w:p w14:paraId="19EF7513" w14:textId="395D1F35" w:rsidR="00E40974" w:rsidRPr="009B4A78" w:rsidRDefault="00E40974" w:rsidP="00B66A4A">
      <w:pPr>
        <w:numPr>
          <w:ilvl w:val="0"/>
          <w:numId w:val="5"/>
        </w:numPr>
        <w:jc w:val="both"/>
        <w:rPr>
          <w:rFonts w:ascii="Arial" w:hAnsi="Arial" w:cs="Arial"/>
          <w:sz w:val="20"/>
        </w:rPr>
      </w:pPr>
      <w:r w:rsidRPr="009B4A78">
        <w:rPr>
          <w:rFonts w:ascii="Arial" w:hAnsi="Arial" w:cs="Arial"/>
          <w:sz w:val="20"/>
        </w:rPr>
        <w:t>The overall resources for Program 4 in 2016/17 show a slight decrease compared to the 2014/15</w:t>
      </w:r>
      <w:r w:rsidR="00DB4F15">
        <w:rPr>
          <w:rFonts w:ascii="Arial" w:hAnsi="Arial" w:cs="Arial"/>
          <w:sz w:val="20"/>
        </w:rPr>
        <w:t> </w:t>
      </w:r>
      <w:r w:rsidRPr="009B4A78">
        <w:rPr>
          <w:rFonts w:ascii="Arial" w:hAnsi="Arial" w:cs="Arial"/>
          <w:sz w:val="20"/>
        </w:rPr>
        <w:t>Budget after Transfers.  This is due to the change in the costing methodology for personnel resources in 2016/17 based on actuals.</w:t>
      </w:r>
    </w:p>
    <w:p w14:paraId="126B0703" w14:textId="77777777" w:rsidR="00E40974" w:rsidRPr="009B4A78" w:rsidRDefault="00E40974" w:rsidP="00F33E49">
      <w:pPr>
        <w:jc w:val="both"/>
        <w:rPr>
          <w:rFonts w:ascii="Arial" w:hAnsi="Arial" w:cs="Arial"/>
          <w:sz w:val="20"/>
        </w:rPr>
      </w:pPr>
    </w:p>
    <w:p w14:paraId="2EF8BEE7" w14:textId="7FEF117F" w:rsidR="00E40974" w:rsidRPr="00FB68E0" w:rsidRDefault="00E40974" w:rsidP="00B66A4A">
      <w:pPr>
        <w:numPr>
          <w:ilvl w:val="0"/>
          <w:numId w:val="5"/>
        </w:numPr>
        <w:jc w:val="both"/>
        <w:rPr>
          <w:rFonts w:ascii="Arial" w:hAnsi="Arial" w:cs="Arial"/>
          <w:sz w:val="20"/>
          <w:szCs w:val="20"/>
        </w:rPr>
      </w:pPr>
      <w:r w:rsidRPr="009B4A78">
        <w:rPr>
          <w:rFonts w:ascii="Arial" w:hAnsi="Arial" w:cs="Arial"/>
          <w:sz w:val="20"/>
        </w:rPr>
        <w:t xml:space="preserve">The decrease in non-personnel resources in 2016/17 compared to the 2014/15 Budget after Transfers is due to </w:t>
      </w:r>
      <w:r w:rsidRPr="00FB68E0">
        <w:rPr>
          <w:rFonts w:ascii="Arial" w:hAnsi="Arial" w:cs="Arial"/>
          <w:sz w:val="20"/>
        </w:rPr>
        <w:t>budgetary provision for a possible diplomatic conference in 2016/17</w:t>
      </w:r>
      <w:r w:rsidR="00F07555">
        <w:rPr>
          <w:rFonts w:ascii="Arial" w:hAnsi="Arial" w:cs="Arial"/>
          <w:sz w:val="20"/>
        </w:rPr>
        <w:t xml:space="preserve"> now reflected under “Unallocated”</w:t>
      </w:r>
      <w:r w:rsidR="006E030C">
        <w:rPr>
          <w:rFonts w:ascii="Arial" w:hAnsi="Arial" w:cs="Arial"/>
          <w:sz w:val="20"/>
        </w:rPr>
        <w:t>.</w:t>
      </w:r>
    </w:p>
    <w:p w14:paraId="17C08255" w14:textId="77777777" w:rsidR="00E40974" w:rsidRPr="009B4A78" w:rsidRDefault="00E40974" w:rsidP="00F33E49">
      <w:pPr>
        <w:jc w:val="both"/>
        <w:rPr>
          <w:rFonts w:ascii="Arial" w:hAnsi="Arial" w:cs="Arial"/>
          <w:bCs/>
        </w:rPr>
      </w:pPr>
    </w:p>
    <w:p w14:paraId="4F54A542" w14:textId="77777777" w:rsidR="00E40974" w:rsidRPr="009B4A78" w:rsidRDefault="00E40974" w:rsidP="00F33E49">
      <w:pPr>
        <w:jc w:val="both"/>
        <w:rPr>
          <w:rFonts w:ascii="Arial" w:hAnsi="Arial" w:cs="Arial"/>
          <w:bCs/>
        </w:rPr>
      </w:pPr>
    </w:p>
    <w:p w14:paraId="7D54BF85" w14:textId="77777777" w:rsidR="00E40974" w:rsidRPr="009B4A78" w:rsidRDefault="00E40974" w:rsidP="00F33E49">
      <w:pPr>
        <w:keepNext/>
        <w:keepLines/>
        <w:tabs>
          <w:tab w:val="center" w:pos="4513"/>
          <w:tab w:val="right" w:pos="9027"/>
        </w:tabs>
        <w:autoSpaceDE w:val="0"/>
        <w:autoSpaceDN w:val="0"/>
        <w:rPr>
          <w:rFonts w:ascii="Arial" w:hAnsi="Arial" w:cs="Arial"/>
          <w:b/>
          <w:sz w:val="20"/>
        </w:rPr>
      </w:pPr>
      <w:r w:rsidRPr="009B4A78">
        <w:rPr>
          <w:rFonts w:ascii="Arial" w:hAnsi="Arial" w:cs="Arial"/>
          <w:b/>
          <w:sz w:val="20"/>
        </w:rPr>
        <w:tab/>
        <w:t>Program 4:  Resources by Result</w:t>
      </w:r>
      <w:r w:rsidRPr="009B4A78">
        <w:rPr>
          <w:rFonts w:ascii="Arial" w:hAnsi="Arial" w:cs="Arial"/>
          <w:b/>
          <w:sz w:val="20"/>
        </w:rPr>
        <w:tab/>
      </w:r>
    </w:p>
    <w:p w14:paraId="37445CC2"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4A759AA" w14:textId="77777777" w:rsidR="00E40974" w:rsidRPr="009B4A78" w:rsidRDefault="00E40974" w:rsidP="00F33E49">
      <w:pPr>
        <w:keepNext/>
        <w:keepLines/>
        <w:autoSpaceDE w:val="0"/>
        <w:autoSpaceDN w:val="0"/>
        <w:jc w:val="center"/>
        <w:rPr>
          <w:rFonts w:ascii="Arial" w:hAnsi="Arial" w:cs="Arial"/>
          <w:i/>
          <w:sz w:val="20"/>
        </w:rPr>
      </w:pPr>
    </w:p>
    <w:p w14:paraId="3327AAC5"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10AE528A" wp14:editId="33AAA7C8">
            <wp:extent cx="5420525" cy="241663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2033" cy="2421767"/>
                    </a:xfrm>
                    <a:prstGeom prst="rect">
                      <a:avLst/>
                    </a:prstGeom>
                    <a:noFill/>
                    <a:ln>
                      <a:noFill/>
                    </a:ln>
                  </pic:spPr>
                </pic:pic>
              </a:graphicData>
            </a:graphic>
          </wp:inline>
        </w:drawing>
      </w:r>
    </w:p>
    <w:p w14:paraId="13CF2382" w14:textId="77777777" w:rsidR="00E40974" w:rsidRPr="009B4A78" w:rsidRDefault="00E40974" w:rsidP="00F33E49">
      <w:pPr>
        <w:autoSpaceDE w:val="0"/>
        <w:autoSpaceDN w:val="0"/>
        <w:jc w:val="center"/>
        <w:rPr>
          <w:rFonts w:ascii="Arial" w:hAnsi="Arial" w:cs="Arial"/>
          <w:b/>
          <w:sz w:val="20"/>
        </w:rPr>
      </w:pPr>
    </w:p>
    <w:p w14:paraId="0C91E0D6" w14:textId="77777777" w:rsidR="00E40974" w:rsidRPr="009B4A78" w:rsidRDefault="00E40974"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4:  Resources by Object of Expenditure</w:t>
      </w:r>
    </w:p>
    <w:p w14:paraId="536B2478"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062E84F" w14:textId="77777777" w:rsidR="00E40974" w:rsidRPr="009B4A78" w:rsidRDefault="00E40974" w:rsidP="00F33E49">
      <w:pPr>
        <w:keepNext/>
        <w:keepLines/>
        <w:autoSpaceDE w:val="0"/>
        <w:autoSpaceDN w:val="0"/>
        <w:jc w:val="center"/>
        <w:rPr>
          <w:rFonts w:ascii="Arial" w:hAnsi="Arial" w:cs="Arial"/>
          <w:i/>
          <w:sz w:val="20"/>
        </w:rPr>
      </w:pPr>
    </w:p>
    <w:p w14:paraId="7D76FAEF" w14:textId="77777777" w:rsidR="00E40974" w:rsidRPr="009B4A78" w:rsidRDefault="00E40974" w:rsidP="002B052A">
      <w:pPr>
        <w:jc w:val="center"/>
        <w:rPr>
          <w:rFonts w:ascii="Arial" w:hAnsi="Arial" w:cs="Arial"/>
          <w:bCs/>
          <w:sz w:val="20"/>
        </w:rPr>
      </w:pPr>
      <w:r w:rsidRPr="009B4A78">
        <w:rPr>
          <w:rFonts w:ascii="Arial" w:hAnsi="Arial" w:cs="Arial"/>
          <w:noProof/>
          <w:lang w:eastAsia="en-US"/>
        </w:rPr>
        <w:drawing>
          <wp:inline distT="0" distB="0" distL="0" distR="0" wp14:anchorId="64748CF2" wp14:editId="58B65C33">
            <wp:extent cx="5410316" cy="609587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9809" cy="6106571"/>
                    </a:xfrm>
                    <a:prstGeom prst="rect">
                      <a:avLst/>
                    </a:prstGeom>
                    <a:noFill/>
                    <a:ln>
                      <a:noFill/>
                    </a:ln>
                  </pic:spPr>
                </pic:pic>
              </a:graphicData>
            </a:graphic>
          </wp:inline>
        </w:drawing>
      </w:r>
    </w:p>
    <w:p w14:paraId="588593AA" w14:textId="77777777" w:rsidR="00E40974" w:rsidRPr="009B4A78" w:rsidRDefault="00E40974" w:rsidP="00F33E49">
      <w:pPr>
        <w:jc w:val="both"/>
        <w:rPr>
          <w:rFonts w:ascii="Arial" w:hAnsi="Arial" w:cs="Arial"/>
          <w:bCs/>
          <w:sz w:val="20"/>
        </w:rPr>
      </w:pPr>
    </w:p>
    <w:p w14:paraId="177ECFBB" w14:textId="77777777" w:rsidR="00E40974" w:rsidRPr="009B4A78" w:rsidRDefault="00E40974" w:rsidP="00F33E49">
      <w:pPr>
        <w:jc w:val="both"/>
        <w:rPr>
          <w:rFonts w:ascii="Arial" w:hAnsi="Arial" w:cs="Arial"/>
          <w:bCs/>
          <w:sz w:val="20"/>
        </w:rPr>
      </w:pPr>
    </w:p>
    <w:p w14:paraId="76F3ECC8" w14:textId="77777777" w:rsidR="00E40974" w:rsidRPr="009B4A78" w:rsidRDefault="00E40974" w:rsidP="00F33E49">
      <w:pPr>
        <w:jc w:val="both"/>
        <w:rPr>
          <w:rFonts w:ascii="Arial" w:hAnsi="Arial" w:cs="Arial"/>
          <w:bCs/>
          <w:sz w:val="20"/>
        </w:rPr>
      </w:pPr>
    </w:p>
    <w:p w14:paraId="2AC8DAD6" w14:textId="77777777" w:rsidR="00901665" w:rsidRDefault="00901665">
      <w:pPr>
        <w:rPr>
          <w:rFonts w:ascii="Arial" w:hAnsi="Arial" w:cs="Arial"/>
          <w:sz w:val="20"/>
          <w:szCs w:val="20"/>
        </w:rPr>
      </w:pPr>
    </w:p>
    <w:p w14:paraId="79195A99" w14:textId="77777777" w:rsidR="00901665" w:rsidRDefault="00901665">
      <w:pPr>
        <w:rPr>
          <w:rFonts w:ascii="Arial" w:hAnsi="Arial" w:cs="Arial"/>
          <w:sz w:val="20"/>
          <w:szCs w:val="20"/>
        </w:rPr>
        <w:sectPr w:rsidR="00901665" w:rsidSect="00DA3F93">
          <w:pgSz w:w="11907" w:h="16839" w:code="9"/>
          <w:pgMar w:top="624" w:right="1418" w:bottom="1361" w:left="1418" w:header="567" w:footer="851" w:gutter="0"/>
          <w:cols w:space="720"/>
          <w:docGrid w:linePitch="360"/>
        </w:sectPr>
      </w:pPr>
    </w:p>
    <w:p w14:paraId="370376AA" w14:textId="1E958DCE" w:rsidR="00901665" w:rsidRPr="00B30215" w:rsidRDefault="004264B7" w:rsidP="004264B7">
      <w:pPr>
        <w:pStyle w:val="StyleHeading3ComplexItalic"/>
        <w:tabs>
          <w:tab w:val="clear" w:pos="1985"/>
          <w:tab w:val="left" w:pos="1843"/>
          <w:tab w:val="left" w:pos="2835"/>
        </w:tabs>
        <w:ind w:left="1843" w:hanging="1843"/>
        <w:rPr>
          <w:rStyle w:val="StyleStyleHeading3ComplexItalicLatin12ptChar"/>
          <w:rFonts w:eastAsia="SimSun"/>
          <w:b/>
        </w:rPr>
      </w:pPr>
      <w:bookmarkStart w:id="28" w:name="_Toc367350576"/>
      <w:bookmarkStart w:id="29" w:name="_Toc431221409"/>
      <w:r w:rsidRPr="00B30215">
        <w:rPr>
          <w:rStyle w:val="StyleStyleHeading3ComplexItalicLatin12ptChar"/>
          <w:rFonts w:eastAsia="SimSun"/>
          <w:b/>
        </w:rPr>
        <w:lastRenderedPageBreak/>
        <w:t>STRATEGIC GOAL II</w:t>
      </w:r>
      <w:r w:rsidRPr="00B30215">
        <w:rPr>
          <w:rStyle w:val="StyleStyleHeading3ComplexItalicLatin12ptChar"/>
          <w:rFonts w:eastAsia="SimSun"/>
          <w:b/>
        </w:rPr>
        <w:tab/>
        <w:t>PROVISION OF PREMIER GLOBAL IP SERVICES</w:t>
      </w:r>
      <w:bookmarkEnd w:id="28"/>
      <w:bookmarkEnd w:id="29"/>
    </w:p>
    <w:p w14:paraId="1AEC38CB" w14:textId="77777777" w:rsidR="00901665" w:rsidRPr="00B30215" w:rsidRDefault="00901665" w:rsidP="00901665">
      <w:pPr>
        <w:tabs>
          <w:tab w:val="left" w:pos="1701"/>
        </w:tabs>
        <w:ind w:left="1701" w:hanging="1701"/>
        <w:jc w:val="center"/>
        <w:rPr>
          <w:rFonts w:ascii="Arial" w:hAnsi="Arial" w:cs="Arial"/>
          <w:bCs/>
          <w:caps/>
          <w:sz w:val="18"/>
        </w:rPr>
      </w:pPr>
    </w:p>
    <w:p w14:paraId="6A6DD25A" w14:textId="77777777" w:rsidR="004264B7" w:rsidRPr="00BA6EFF" w:rsidRDefault="004264B7" w:rsidP="00901665">
      <w:pPr>
        <w:tabs>
          <w:tab w:val="left" w:pos="1701"/>
        </w:tabs>
        <w:ind w:left="1701" w:hanging="1701"/>
        <w:jc w:val="center"/>
        <w:rPr>
          <w:rFonts w:ascii="Arial" w:hAnsi="Arial" w:cs="Arial"/>
          <w:bCs/>
          <w:caps/>
          <w:sz w:val="20"/>
        </w:rPr>
      </w:pPr>
    </w:p>
    <w:p w14:paraId="734B7FD6" w14:textId="77777777" w:rsidR="00901665" w:rsidRDefault="00901665" w:rsidP="00901665">
      <w:pPr>
        <w:autoSpaceDE w:val="0"/>
        <w:autoSpaceDN w:val="0"/>
        <w:adjustRightInd w:val="0"/>
        <w:jc w:val="both"/>
      </w:pPr>
      <w:r w:rsidRPr="00FA331B">
        <w:rPr>
          <w:rFonts w:ascii="Arial" w:hAnsi="Arial" w:cs="Arial"/>
          <w:sz w:val="20"/>
        </w:rPr>
        <w:t>This Strategic Goal addresses the core services of WIPO, which are also the income-generating businesses of the Organization.  The aim is to make WIPO’s global systems and alternative dispute resolution services the systems of first choice for users through attractive, cost-effective services which provide added value for users.</w:t>
      </w:r>
    </w:p>
    <w:p w14:paraId="3F5DCC94" w14:textId="77777777" w:rsidR="00901665" w:rsidRDefault="00901665">
      <w:pPr>
        <w:rPr>
          <w:rFonts w:ascii="Arial" w:hAnsi="Arial" w:cs="Arial"/>
          <w:sz w:val="20"/>
          <w:szCs w:val="20"/>
        </w:rPr>
      </w:pPr>
    </w:p>
    <w:p w14:paraId="7EF18E32" w14:textId="77777777" w:rsidR="00C9789B" w:rsidRDefault="00C9789B">
      <w:pPr>
        <w:rPr>
          <w:rFonts w:ascii="Arial" w:hAnsi="Arial" w:cs="Arial"/>
          <w:sz w:val="20"/>
          <w:szCs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78"/>
        <w:gridCol w:w="3521"/>
        <w:gridCol w:w="2419"/>
      </w:tblGrid>
      <w:tr w:rsidR="00C9789B" w:rsidRPr="0096319C" w14:paraId="2FBC8FD8" w14:textId="77777777" w:rsidTr="00DC2E3C">
        <w:trPr>
          <w:cantSplit/>
          <w:tblHeader/>
        </w:trPr>
        <w:tc>
          <w:tcPr>
            <w:tcW w:w="1707" w:type="pct"/>
            <w:tcBorders>
              <w:top w:val="single" w:sz="4" w:space="0" w:color="auto"/>
              <w:bottom w:val="single" w:sz="4" w:space="0" w:color="auto"/>
            </w:tcBorders>
            <w:shd w:val="clear" w:color="auto" w:fill="C6D9F1" w:themeFill="text2" w:themeFillTint="33"/>
            <w:tcMar>
              <w:top w:w="85" w:type="dxa"/>
              <w:bottom w:w="85" w:type="dxa"/>
            </w:tcMar>
            <w:vAlign w:val="center"/>
          </w:tcPr>
          <w:p w14:paraId="6D5AE75D" w14:textId="77777777" w:rsidR="00C9789B" w:rsidRPr="0040645B" w:rsidRDefault="00C9789B" w:rsidP="005A1F7F">
            <w:pPr>
              <w:spacing w:after="120"/>
              <w:jc w:val="center"/>
              <w:rPr>
                <w:rFonts w:ascii="Arial" w:hAnsi="Arial" w:cs="Arial"/>
                <w:b/>
                <w:bCs/>
                <w:sz w:val="18"/>
                <w:szCs w:val="18"/>
              </w:rPr>
            </w:pPr>
            <w:r w:rsidRPr="0040645B">
              <w:rPr>
                <w:rFonts w:ascii="Arial" w:hAnsi="Arial" w:cs="Arial"/>
                <w:b/>
                <w:bCs/>
                <w:sz w:val="18"/>
                <w:szCs w:val="18"/>
              </w:rPr>
              <w:t>Expected Results</w:t>
            </w:r>
          </w:p>
        </w:tc>
        <w:tc>
          <w:tcPr>
            <w:tcW w:w="1952" w:type="pct"/>
            <w:tcBorders>
              <w:top w:val="single" w:sz="4" w:space="0" w:color="auto"/>
              <w:bottom w:val="single" w:sz="4" w:space="0" w:color="auto"/>
            </w:tcBorders>
            <w:shd w:val="clear" w:color="auto" w:fill="C6D9F1" w:themeFill="text2" w:themeFillTint="33"/>
            <w:tcMar>
              <w:top w:w="85" w:type="dxa"/>
              <w:bottom w:w="85" w:type="dxa"/>
            </w:tcMar>
            <w:vAlign w:val="center"/>
          </w:tcPr>
          <w:p w14:paraId="536AD5F7" w14:textId="77777777" w:rsidR="00C9789B" w:rsidRPr="0040645B" w:rsidRDefault="00C9789B" w:rsidP="005A1F7F">
            <w:pPr>
              <w:spacing w:after="120"/>
              <w:jc w:val="center"/>
              <w:rPr>
                <w:rFonts w:ascii="Arial" w:hAnsi="Arial" w:cs="Arial"/>
                <w:b/>
                <w:sz w:val="18"/>
                <w:szCs w:val="18"/>
              </w:rPr>
            </w:pPr>
            <w:r w:rsidRPr="0040645B">
              <w:rPr>
                <w:rFonts w:ascii="Arial" w:hAnsi="Arial" w:cs="Arial"/>
                <w:b/>
                <w:sz w:val="18"/>
                <w:szCs w:val="18"/>
              </w:rPr>
              <w:t>Performance Indicators</w:t>
            </w:r>
          </w:p>
        </w:tc>
        <w:tc>
          <w:tcPr>
            <w:tcW w:w="1341" w:type="pct"/>
            <w:tcBorders>
              <w:top w:val="single" w:sz="4" w:space="0" w:color="auto"/>
              <w:bottom w:val="single" w:sz="4" w:space="0" w:color="auto"/>
            </w:tcBorders>
            <w:shd w:val="clear" w:color="auto" w:fill="C6D9F1" w:themeFill="text2" w:themeFillTint="33"/>
            <w:tcMar>
              <w:top w:w="85" w:type="dxa"/>
              <w:bottom w:w="85" w:type="dxa"/>
            </w:tcMar>
            <w:vAlign w:val="center"/>
          </w:tcPr>
          <w:p w14:paraId="449F563F" w14:textId="77777777" w:rsidR="00C9789B" w:rsidRPr="0040645B" w:rsidRDefault="00C9789B" w:rsidP="005A1F7F">
            <w:pPr>
              <w:spacing w:after="120"/>
              <w:ind w:left="85"/>
              <w:jc w:val="center"/>
              <w:rPr>
                <w:rFonts w:ascii="Arial" w:hAnsi="Arial" w:cs="Arial"/>
                <w:sz w:val="18"/>
                <w:szCs w:val="18"/>
              </w:rPr>
            </w:pPr>
            <w:r w:rsidRPr="0040645B">
              <w:rPr>
                <w:rFonts w:ascii="Arial" w:hAnsi="Arial" w:cs="Arial"/>
                <w:b/>
                <w:bCs/>
                <w:sz w:val="18"/>
                <w:szCs w:val="18"/>
              </w:rPr>
              <w:t>Responsible Program(s)</w:t>
            </w:r>
          </w:p>
        </w:tc>
      </w:tr>
      <w:tr w:rsidR="00C9789B" w:rsidRPr="00811500" w14:paraId="4E32B09A" w14:textId="77777777" w:rsidTr="00DC2E3C">
        <w:trPr>
          <w:cantSplit/>
        </w:trPr>
        <w:tc>
          <w:tcPr>
            <w:tcW w:w="1707" w:type="pct"/>
            <w:shd w:val="clear" w:color="auto" w:fill="auto"/>
            <w:tcMar>
              <w:top w:w="85" w:type="dxa"/>
              <w:bottom w:w="85" w:type="dxa"/>
            </w:tcMar>
          </w:tcPr>
          <w:p w14:paraId="6FE72CF4"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 xml:space="preserve">II.1 </w:t>
            </w:r>
            <w:r>
              <w:rPr>
                <w:rFonts w:ascii="Arial" w:eastAsia="SimSun" w:hAnsi="Arial" w:cs="Arial"/>
                <w:color w:val="000000"/>
                <w:sz w:val="16"/>
                <w:szCs w:val="16"/>
              </w:rPr>
              <w:t xml:space="preserve"> </w:t>
            </w:r>
            <w:r w:rsidRPr="002A01BF">
              <w:rPr>
                <w:rFonts w:ascii="Arial" w:eastAsia="SimSun" w:hAnsi="Arial" w:cs="Arial"/>
                <w:color w:val="000000"/>
                <w:sz w:val="16"/>
                <w:szCs w:val="16"/>
              </w:rPr>
              <w:t>Wider and more effective use of the PCT system for filing international patent applications</w:t>
            </w:r>
          </w:p>
        </w:tc>
        <w:tc>
          <w:tcPr>
            <w:tcW w:w="1952" w:type="pct"/>
            <w:shd w:val="clear" w:color="auto" w:fill="auto"/>
            <w:tcMar>
              <w:top w:w="85" w:type="dxa"/>
              <w:bottom w:w="85" w:type="dxa"/>
            </w:tcMar>
          </w:tcPr>
          <w:p w14:paraId="12B48487"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Level of satisfaction of PCT users with PCT-specific legal advice, information, training and customer service</w:t>
            </w:r>
          </w:p>
        </w:tc>
        <w:tc>
          <w:tcPr>
            <w:tcW w:w="1341" w:type="pct"/>
            <w:shd w:val="clear" w:color="auto" w:fill="FFFFFF"/>
            <w:tcMar>
              <w:top w:w="85" w:type="dxa"/>
              <w:bottom w:w="85" w:type="dxa"/>
            </w:tcMar>
          </w:tcPr>
          <w:p w14:paraId="324CFA7F" w14:textId="77777777" w:rsidR="00C9789B" w:rsidRPr="00811500" w:rsidRDefault="00C9789B" w:rsidP="005A1F7F">
            <w:pPr>
              <w:ind w:left="441"/>
              <w:rPr>
                <w:rFonts w:ascii="Arial" w:hAnsi="Arial" w:cs="Arial"/>
                <w:sz w:val="16"/>
                <w:szCs w:val="16"/>
              </w:rPr>
            </w:pPr>
            <w:r w:rsidRPr="00811500">
              <w:rPr>
                <w:rFonts w:ascii="Arial" w:hAnsi="Arial" w:cs="Arial"/>
                <w:sz w:val="16"/>
                <w:szCs w:val="16"/>
                <w:lang w:bidi="th-TH"/>
              </w:rPr>
              <w:t>Program 5</w:t>
            </w:r>
          </w:p>
        </w:tc>
      </w:tr>
      <w:tr w:rsidR="00C9789B" w:rsidRPr="00811500" w14:paraId="201CF846" w14:textId="77777777" w:rsidTr="00DC2E3C">
        <w:trPr>
          <w:cantSplit/>
          <w:trHeight w:val="112"/>
        </w:trPr>
        <w:tc>
          <w:tcPr>
            <w:tcW w:w="1707" w:type="pct"/>
            <w:shd w:val="clear" w:color="auto" w:fill="auto"/>
            <w:tcMar>
              <w:top w:w="85" w:type="dxa"/>
              <w:bottom w:w="85" w:type="dxa"/>
            </w:tcMar>
          </w:tcPr>
          <w:p w14:paraId="09ADF551"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71A8D115"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Satisfaction of Offices and International</w:t>
            </w:r>
            <w:r>
              <w:rPr>
                <w:rFonts w:ascii="Arial" w:eastAsia="SimSun" w:hAnsi="Arial" w:cs="Arial"/>
                <w:color w:val="000000"/>
                <w:sz w:val="16"/>
                <w:szCs w:val="16"/>
              </w:rPr>
              <w:t xml:space="preserve"> </w:t>
            </w:r>
            <w:r w:rsidRPr="002A01BF">
              <w:rPr>
                <w:rFonts w:ascii="Arial" w:eastAsia="SimSun" w:hAnsi="Arial" w:cs="Arial"/>
                <w:color w:val="000000"/>
                <w:sz w:val="16"/>
                <w:szCs w:val="16"/>
              </w:rPr>
              <w:t>Authorities with PCT cooperative activities</w:t>
            </w:r>
          </w:p>
        </w:tc>
        <w:tc>
          <w:tcPr>
            <w:tcW w:w="1341" w:type="pct"/>
            <w:shd w:val="clear" w:color="auto" w:fill="FFFFFF"/>
            <w:tcMar>
              <w:top w:w="85" w:type="dxa"/>
              <w:bottom w:w="85" w:type="dxa"/>
            </w:tcMar>
          </w:tcPr>
          <w:p w14:paraId="7469F65B"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7D4BA751" w14:textId="77777777" w:rsidTr="00DC2E3C">
        <w:trPr>
          <w:cantSplit/>
          <w:trHeight w:val="112"/>
        </w:trPr>
        <w:tc>
          <w:tcPr>
            <w:tcW w:w="1707" w:type="pct"/>
            <w:shd w:val="clear" w:color="auto" w:fill="auto"/>
            <w:tcMar>
              <w:top w:w="85" w:type="dxa"/>
              <w:bottom w:w="85" w:type="dxa"/>
            </w:tcMar>
          </w:tcPr>
          <w:p w14:paraId="126D489C"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5873E79" w14:textId="77777777" w:rsidR="00C9789B" w:rsidRPr="002A01BF" w:rsidRDefault="00C9789B" w:rsidP="005A1F7F">
            <w:pPr>
              <w:rPr>
                <w:rFonts w:ascii="Arial" w:eastAsia="SimSun" w:hAnsi="Arial" w:cs="Arial"/>
                <w:color w:val="000000"/>
                <w:sz w:val="16"/>
                <w:szCs w:val="16"/>
              </w:rPr>
            </w:pPr>
            <w:r w:rsidRPr="002A01BF">
              <w:rPr>
                <w:rFonts w:ascii="Arial" w:eastAsia="SimSun" w:hAnsi="Arial" w:cs="Arial"/>
                <w:color w:val="000000"/>
                <w:sz w:val="16"/>
                <w:szCs w:val="16"/>
              </w:rPr>
              <w:t>Further development of the PCT system, notably implementation of the PCT roadmap recommendations endorsed by PCT Member States</w:t>
            </w:r>
          </w:p>
        </w:tc>
        <w:tc>
          <w:tcPr>
            <w:tcW w:w="1341" w:type="pct"/>
            <w:shd w:val="clear" w:color="auto" w:fill="FFFFFF"/>
            <w:tcMar>
              <w:top w:w="85" w:type="dxa"/>
              <w:bottom w:w="85" w:type="dxa"/>
            </w:tcMar>
          </w:tcPr>
          <w:p w14:paraId="30746B78" w14:textId="77777777" w:rsidR="00C9789B" w:rsidRPr="00811500" w:rsidRDefault="00C9789B" w:rsidP="005A1F7F">
            <w:pPr>
              <w:ind w:left="441"/>
              <w:rPr>
                <w:rFonts w:ascii="Arial" w:hAnsi="Arial" w:cs="Arial"/>
                <w:sz w:val="16"/>
                <w:szCs w:val="16"/>
                <w:lang w:bidi="th-TH"/>
              </w:rPr>
            </w:pPr>
            <w:r>
              <w:rPr>
                <w:rFonts w:ascii="Arial" w:hAnsi="Arial" w:cs="Arial"/>
                <w:sz w:val="16"/>
                <w:szCs w:val="16"/>
                <w:lang w:bidi="th-TH"/>
              </w:rPr>
              <w:t>Program 5</w:t>
            </w:r>
          </w:p>
        </w:tc>
      </w:tr>
      <w:tr w:rsidR="00C9789B" w:rsidRPr="00811500" w14:paraId="746E76A3" w14:textId="77777777" w:rsidTr="00DC2E3C">
        <w:trPr>
          <w:cantSplit/>
          <w:trHeight w:val="112"/>
        </w:trPr>
        <w:tc>
          <w:tcPr>
            <w:tcW w:w="1707" w:type="pct"/>
            <w:shd w:val="clear" w:color="auto" w:fill="auto"/>
            <w:tcMar>
              <w:top w:w="85" w:type="dxa"/>
              <w:bottom w:w="85" w:type="dxa"/>
            </w:tcMar>
          </w:tcPr>
          <w:p w14:paraId="5A5ECEA0"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229C83D" w14:textId="77777777" w:rsidR="00C9789B" w:rsidRPr="002A01BF" w:rsidRDefault="00C9789B" w:rsidP="005A1F7F">
            <w:pPr>
              <w:rPr>
                <w:rFonts w:ascii="Arial" w:eastAsia="SimSun" w:hAnsi="Arial" w:cs="Arial"/>
                <w:color w:val="000000"/>
                <w:sz w:val="16"/>
                <w:szCs w:val="16"/>
              </w:rPr>
            </w:pPr>
            <w:r w:rsidRPr="002A01BF">
              <w:rPr>
                <w:rFonts w:ascii="Arial" w:eastAsia="SimSun" w:hAnsi="Arial" w:cs="Arial"/>
                <w:color w:val="000000"/>
                <w:sz w:val="16"/>
                <w:szCs w:val="16"/>
              </w:rPr>
              <w:t>Improved electronic services for applicants, third parties, Offices and Authorities</w:t>
            </w:r>
          </w:p>
        </w:tc>
        <w:tc>
          <w:tcPr>
            <w:tcW w:w="1341" w:type="pct"/>
            <w:shd w:val="clear" w:color="auto" w:fill="FFFFFF"/>
            <w:tcMar>
              <w:top w:w="85" w:type="dxa"/>
              <w:bottom w:w="85" w:type="dxa"/>
            </w:tcMar>
          </w:tcPr>
          <w:p w14:paraId="17F38628" w14:textId="77777777" w:rsidR="00C9789B" w:rsidRDefault="00C9789B" w:rsidP="005A1F7F">
            <w:pPr>
              <w:ind w:left="441"/>
              <w:rPr>
                <w:rFonts w:ascii="Arial" w:hAnsi="Arial" w:cs="Arial"/>
                <w:sz w:val="16"/>
                <w:szCs w:val="16"/>
                <w:lang w:bidi="th-TH"/>
              </w:rPr>
            </w:pPr>
            <w:r>
              <w:rPr>
                <w:rFonts w:ascii="Arial" w:hAnsi="Arial" w:cs="Arial"/>
                <w:sz w:val="16"/>
                <w:szCs w:val="16"/>
                <w:lang w:bidi="th-TH"/>
              </w:rPr>
              <w:t xml:space="preserve">Program 5 </w:t>
            </w:r>
          </w:p>
        </w:tc>
      </w:tr>
      <w:tr w:rsidR="00C9789B" w:rsidRPr="00811500" w14:paraId="5839D316" w14:textId="77777777" w:rsidTr="00DC2E3C">
        <w:trPr>
          <w:cantSplit/>
          <w:trHeight w:val="311"/>
        </w:trPr>
        <w:tc>
          <w:tcPr>
            <w:tcW w:w="1707" w:type="pct"/>
            <w:shd w:val="clear" w:color="auto" w:fill="auto"/>
            <w:tcMar>
              <w:top w:w="85" w:type="dxa"/>
              <w:bottom w:w="85" w:type="dxa"/>
            </w:tcMar>
          </w:tcPr>
          <w:p w14:paraId="4CCA2E58"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360CBCD" w14:textId="11F18F31" w:rsidR="00C9789B" w:rsidRPr="009F7EA8" w:rsidRDefault="00C9789B" w:rsidP="005A1F7F">
            <w:pPr>
              <w:rPr>
                <w:rFonts w:ascii="Arial" w:hAnsi="Arial" w:cs="Arial"/>
                <w:sz w:val="16"/>
                <w:szCs w:val="16"/>
                <w:highlight w:val="yellow"/>
              </w:rPr>
            </w:pPr>
            <w:r w:rsidRPr="009F7EA8">
              <w:rPr>
                <w:rFonts w:ascii="Arial" w:hAnsi="Arial" w:cs="Arial"/>
                <w:color w:val="000000"/>
                <w:sz w:val="16"/>
                <w:szCs w:val="16"/>
              </w:rPr>
              <w:t>No. of PCT applications originating from</w:t>
            </w:r>
            <w:r>
              <w:rPr>
                <w:rFonts w:ascii="Arial" w:hAnsi="Arial" w:cs="Arial"/>
                <w:color w:val="000000"/>
                <w:sz w:val="16"/>
                <w:szCs w:val="16"/>
              </w:rPr>
              <w:t xml:space="preserve"> developing, </w:t>
            </w:r>
            <w:r w:rsidRPr="009F7EA8">
              <w:rPr>
                <w:rFonts w:ascii="Arial" w:hAnsi="Arial" w:cs="Arial"/>
                <w:color w:val="000000"/>
                <w:sz w:val="16"/>
                <w:szCs w:val="16"/>
              </w:rPr>
              <w:t>transition and developed countries.</w:t>
            </w:r>
          </w:p>
        </w:tc>
        <w:tc>
          <w:tcPr>
            <w:tcW w:w="1341" w:type="pct"/>
            <w:shd w:val="clear" w:color="auto" w:fill="FFFFFF"/>
            <w:tcMar>
              <w:top w:w="85" w:type="dxa"/>
              <w:bottom w:w="85" w:type="dxa"/>
            </w:tcMar>
          </w:tcPr>
          <w:p w14:paraId="61A86AD7" w14:textId="77777777" w:rsidR="00255FD8" w:rsidRDefault="00255FD8" w:rsidP="005A1F7F">
            <w:pPr>
              <w:ind w:left="441"/>
              <w:rPr>
                <w:rFonts w:ascii="Arial" w:hAnsi="Arial" w:cs="Arial"/>
                <w:sz w:val="16"/>
                <w:szCs w:val="16"/>
                <w:lang w:bidi="th-TH"/>
              </w:rPr>
            </w:pPr>
            <w:r>
              <w:rPr>
                <w:rFonts w:ascii="Arial" w:hAnsi="Arial" w:cs="Arial"/>
                <w:sz w:val="16"/>
                <w:szCs w:val="16"/>
                <w:lang w:bidi="th-TH"/>
              </w:rPr>
              <w:t>Program 9</w:t>
            </w:r>
          </w:p>
          <w:p w14:paraId="3377252E" w14:textId="77777777" w:rsidR="00C9789B" w:rsidRDefault="00C9789B" w:rsidP="005A1F7F">
            <w:pPr>
              <w:ind w:left="441"/>
              <w:rPr>
                <w:rFonts w:ascii="Arial" w:hAnsi="Arial" w:cs="Arial"/>
                <w:sz w:val="16"/>
                <w:szCs w:val="16"/>
                <w:lang w:bidi="th-TH"/>
              </w:rPr>
            </w:pPr>
            <w:r w:rsidRPr="009F7EA8">
              <w:rPr>
                <w:rFonts w:ascii="Arial" w:hAnsi="Arial" w:cs="Arial"/>
                <w:sz w:val="16"/>
                <w:szCs w:val="16"/>
                <w:lang w:bidi="th-TH"/>
              </w:rPr>
              <w:t>Program 10</w:t>
            </w:r>
          </w:p>
          <w:p w14:paraId="7CDA27E7" w14:textId="77777777" w:rsidR="00C9789B" w:rsidRPr="00795C1D" w:rsidRDefault="00C9789B" w:rsidP="005A1F7F">
            <w:pPr>
              <w:ind w:left="441"/>
              <w:rPr>
                <w:rFonts w:ascii="Arial" w:hAnsi="Arial" w:cs="Arial"/>
                <w:sz w:val="16"/>
                <w:szCs w:val="16"/>
                <w:highlight w:val="yellow"/>
                <w:lang w:bidi="th-TH"/>
              </w:rPr>
            </w:pPr>
            <w:r>
              <w:rPr>
                <w:rFonts w:ascii="Arial" w:hAnsi="Arial" w:cs="Arial"/>
                <w:sz w:val="16"/>
                <w:szCs w:val="16"/>
                <w:lang w:bidi="th-TH"/>
              </w:rPr>
              <w:t xml:space="preserve">Program 20 </w:t>
            </w:r>
          </w:p>
        </w:tc>
      </w:tr>
      <w:tr w:rsidR="00C9789B" w:rsidRPr="00811500" w14:paraId="745CDE14" w14:textId="77777777" w:rsidTr="00DC2E3C">
        <w:trPr>
          <w:cantSplit/>
          <w:trHeight w:val="311"/>
        </w:trPr>
        <w:tc>
          <w:tcPr>
            <w:tcW w:w="1707" w:type="pct"/>
            <w:shd w:val="clear" w:color="auto" w:fill="auto"/>
            <w:tcMar>
              <w:top w:w="85" w:type="dxa"/>
              <w:bottom w:w="85" w:type="dxa"/>
            </w:tcMar>
          </w:tcPr>
          <w:p w14:paraId="3D63CABC" w14:textId="1517B032"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8655CAC" w14:textId="77777777" w:rsidR="00C9789B" w:rsidRPr="00D45442" w:rsidRDefault="00C9789B" w:rsidP="005A1F7F">
            <w:pPr>
              <w:rPr>
                <w:rFonts w:ascii="Arial" w:hAnsi="Arial" w:cs="Arial"/>
                <w:color w:val="000000"/>
                <w:sz w:val="16"/>
                <w:szCs w:val="16"/>
              </w:rPr>
            </w:pPr>
            <w:r w:rsidRPr="00D45442">
              <w:rPr>
                <w:rFonts w:ascii="Arial" w:hAnsi="Arial" w:cs="Arial"/>
                <w:color w:val="000000"/>
                <w:sz w:val="16"/>
                <w:szCs w:val="16"/>
              </w:rPr>
              <w:t>No. of survey respondents showing increased use of WIPO services within 6 months of attending Roving Seminars on WIPO Services and Initiatives</w:t>
            </w:r>
          </w:p>
        </w:tc>
        <w:tc>
          <w:tcPr>
            <w:tcW w:w="1341" w:type="pct"/>
            <w:shd w:val="clear" w:color="auto" w:fill="FFFFFF"/>
            <w:tcMar>
              <w:top w:w="85" w:type="dxa"/>
              <w:bottom w:w="85" w:type="dxa"/>
            </w:tcMar>
          </w:tcPr>
          <w:p w14:paraId="23A10C2D" w14:textId="77777777" w:rsidR="00C9789B" w:rsidRPr="009F7EA8" w:rsidRDefault="00C9789B" w:rsidP="005A1F7F">
            <w:pPr>
              <w:ind w:left="441"/>
              <w:rPr>
                <w:rFonts w:ascii="Arial" w:hAnsi="Arial" w:cs="Arial"/>
                <w:sz w:val="16"/>
                <w:szCs w:val="16"/>
                <w:lang w:bidi="th-TH"/>
              </w:rPr>
            </w:pPr>
            <w:r w:rsidRPr="009F7EA8">
              <w:rPr>
                <w:rFonts w:ascii="Arial" w:hAnsi="Arial" w:cs="Arial"/>
                <w:sz w:val="16"/>
                <w:szCs w:val="16"/>
                <w:lang w:bidi="th-TH"/>
              </w:rPr>
              <w:t>Program 10</w:t>
            </w:r>
          </w:p>
        </w:tc>
      </w:tr>
      <w:tr w:rsidR="00C9789B" w:rsidRPr="00811500" w14:paraId="6F6535EB" w14:textId="77777777" w:rsidTr="00DC2E3C">
        <w:trPr>
          <w:cantSplit/>
          <w:trHeight w:val="672"/>
        </w:trPr>
        <w:tc>
          <w:tcPr>
            <w:tcW w:w="1707" w:type="pct"/>
            <w:shd w:val="clear" w:color="auto" w:fill="auto"/>
            <w:tcMar>
              <w:top w:w="85" w:type="dxa"/>
              <w:bottom w:w="85" w:type="dxa"/>
            </w:tcMar>
          </w:tcPr>
          <w:p w14:paraId="29C0AD43"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5FC3B0E4" w14:textId="77777777" w:rsidR="00C9789B" w:rsidRPr="00811500" w:rsidRDefault="00C9789B" w:rsidP="005A1F7F">
            <w:pPr>
              <w:rPr>
                <w:rFonts w:ascii="Arial" w:hAnsi="Arial" w:cs="Arial"/>
                <w:sz w:val="16"/>
                <w:szCs w:val="16"/>
              </w:rPr>
            </w:pPr>
            <w:r w:rsidRPr="00811500">
              <w:rPr>
                <w:rFonts w:ascii="Arial" w:hAnsi="Arial" w:cs="Arial"/>
                <w:sz w:val="16"/>
                <w:szCs w:val="16"/>
              </w:rPr>
              <w:t>% of policy makers, government officials, and IP Practitioners and participants in targeted workshops with enhanced understanding of the PCT and related topics</w:t>
            </w:r>
          </w:p>
        </w:tc>
        <w:tc>
          <w:tcPr>
            <w:tcW w:w="1341" w:type="pct"/>
            <w:shd w:val="clear" w:color="auto" w:fill="FFFFFF"/>
            <w:tcMar>
              <w:top w:w="85" w:type="dxa"/>
              <w:bottom w:w="85" w:type="dxa"/>
            </w:tcMar>
          </w:tcPr>
          <w:p w14:paraId="7165F497"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20</w:t>
            </w:r>
          </w:p>
        </w:tc>
      </w:tr>
      <w:tr w:rsidR="00C9789B" w:rsidRPr="00811500" w14:paraId="4F0DF4C6" w14:textId="77777777" w:rsidTr="00DC2E3C">
        <w:trPr>
          <w:cantSplit/>
          <w:trHeight w:val="45"/>
        </w:trPr>
        <w:tc>
          <w:tcPr>
            <w:tcW w:w="1707" w:type="pct"/>
            <w:shd w:val="clear" w:color="auto" w:fill="auto"/>
            <w:tcMar>
              <w:top w:w="85" w:type="dxa"/>
              <w:bottom w:w="85" w:type="dxa"/>
            </w:tcMar>
          </w:tcPr>
          <w:p w14:paraId="18D27C53" w14:textId="77777777" w:rsidR="00C9789B" w:rsidRPr="00811500" w:rsidRDefault="00C9789B" w:rsidP="005A1F7F">
            <w:pPr>
              <w:rPr>
                <w:rFonts w:ascii="Arial" w:hAnsi="Arial" w:cs="Arial"/>
                <w:sz w:val="16"/>
                <w:szCs w:val="16"/>
              </w:rPr>
            </w:pPr>
            <w:r w:rsidRPr="00811500">
              <w:rPr>
                <w:rFonts w:ascii="Arial" w:hAnsi="Arial" w:cs="Arial"/>
                <w:sz w:val="16"/>
                <w:szCs w:val="16"/>
              </w:rPr>
              <w:t>II.3</w:t>
            </w:r>
            <w:r w:rsidRPr="00811500">
              <w:rPr>
                <w:rFonts w:ascii="Arial" w:hAnsi="Arial" w:cs="Arial"/>
                <w:sz w:val="16"/>
                <w:szCs w:val="16"/>
                <w:lang w:eastAsia="zh-CN" w:bidi="th-TH"/>
              </w:rPr>
              <w:t xml:space="preserve"> </w:t>
            </w:r>
            <w:r>
              <w:rPr>
                <w:rFonts w:ascii="Arial" w:hAnsi="Arial" w:cs="Arial"/>
                <w:sz w:val="16"/>
                <w:szCs w:val="16"/>
                <w:lang w:eastAsia="zh-CN" w:bidi="th-TH"/>
              </w:rPr>
              <w:t xml:space="preserve"> </w:t>
            </w:r>
            <w:r w:rsidRPr="00811500">
              <w:rPr>
                <w:rFonts w:ascii="Arial" w:hAnsi="Arial" w:cs="Arial"/>
                <w:sz w:val="16"/>
                <w:szCs w:val="16"/>
                <w:lang w:eastAsia="zh-CN" w:bidi="th-TH"/>
              </w:rPr>
              <w:t>Improved productivity and service quality of PCT operations</w:t>
            </w:r>
          </w:p>
        </w:tc>
        <w:tc>
          <w:tcPr>
            <w:tcW w:w="1952" w:type="pct"/>
            <w:shd w:val="clear" w:color="auto" w:fill="auto"/>
            <w:tcMar>
              <w:top w:w="85" w:type="dxa"/>
              <w:bottom w:w="85" w:type="dxa"/>
            </w:tcMar>
          </w:tcPr>
          <w:p w14:paraId="5DF82AAE" w14:textId="77777777" w:rsidR="00C9789B" w:rsidRDefault="00C9789B" w:rsidP="005A1F7F">
            <w:pPr>
              <w:rPr>
                <w:rFonts w:ascii="Arial" w:hAnsi="Arial" w:cs="Arial"/>
                <w:sz w:val="16"/>
                <w:szCs w:val="16"/>
              </w:rPr>
            </w:pPr>
            <w:r w:rsidRPr="00811500">
              <w:rPr>
                <w:rFonts w:ascii="Arial" w:hAnsi="Arial" w:cs="Arial"/>
                <w:sz w:val="16"/>
                <w:szCs w:val="16"/>
              </w:rPr>
              <w:t xml:space="preserve">Application unit cost </w:t>
            </w:r>
          </w:p>
          <w:p w14:paraId="148A4DB3" w14:textId="77777777" w:rsidR="00C9789B" w:rsidRDefault="00C9789B" w:rsidP="005A1F7F">
            <w:pPr>
              <w:rPr>
                <w:rFonts w:ascii="Arial" w:hAnsi="Arial" w:cs="Arial"/>
                <w:sz w:val="16"/>
                <w:szCs w:val="16"/>
              </w:rPr>
            </w:pPr>
          </w:p>
          <w:p w14:paraId="18D38281"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Aggregate quality of formalities examination (including timeliness)</w:t>
            </w:r>
          </w:p>
        </w:tc>
        <w:tc>
          <w:tcPr>
            <w:tcW w:w="1341" w:type="pct"/>
            <w:shd w:val="clear" w:color="auto" w:fill="FFFFFF"/>
            <w:tcMar>
              <w:top w:w="85" w:type="dxa"/>
              <w:bottom w:w="85" w:type="dxa"/>
            </w:tcMar>
          </w:tcPr>
          <w:p w14:paraId="0542445E" w14:textId="77777777" w:rsidR="00C9789B" w:rsidRDefault="00C9789B" w:rsidP="005A1F7F">
            <w:pPr>
              <w:ind w:left="441"/>
              <w:rPr>
                <w:rFonts w:ascii="Arial" w:hAnsi="Arial" w:cs="Arial"/>
                <w:sz w:val="16"/>
                <w:szCs w:val="16"/>
                <w:lang w:bidi="th-TH"/>
              </w:rPr>
            </w:pPr>
            <w:r w:rsidRPr="00811500">
              <w:rPr>
                <w:rFonts w:ascii="Arial" w:hAnsi="Arial" w:cs="Arial"/>
                <w:sz w:val="16"/>
                <w:szCs w:val="16"/>
                <w:lang w:bidi="th-TH"/>
              </w:rPr>
              <w:t xml:space="preserve">Program 5 </w:t>
            </w:r>
          </w:p>
          <w:p w14:paraId="5A4571C9" w14:textId="77777777" w:rsidR="00C9789B" w:rsidRDefault="00C9789B" w:rsidP="005A1F7F">
            <w:pPr>
              <w:ind w:left="441"/>
              <w:rPr>
                <w:rFonts w:ascii="Arial" w:hAnsi="Arial" w:cs="Arial"/>
                <w:sz w:val="16"/>
                <w:szCs w:val="16"/>
                <w:lang w:bidi="th-TH"/>
              </w:rPr>
            </w:pPr>
          </w:p>
          <w:p w14:paraId="352B093B"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3FFFB477" w14:textId="77777777" w:rsidTr="00DC2E3C">
        <w:trPr>
          <w:cantSplit/>
          <w:trHeight w:val="201"/>
        </w:trPr>
        <w:tc>
          <w:tcPr>
            <w:tcW w:w="1707" w:type="pct"/>
            <w:shd w:val="clear" w:color="auto" w:fill="auto"/>
            <w:tcMar>
              <w:top w:w="85" w:type="dxa"/>
              <w:bottom w:w="85" w:type="dxa"/>
            </w:tcMar>
          </w:tcPr>
          <w:p w14:paraId="65742FB0"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5565206"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Timeliness of Report Translation</w:t>
            </w:r>
          </w:p>
        </w:tc>
        <w:tc>
          <w:tcPr>
            <w:tcW w:w="1341" w:type="pct"/>
            <w:shd w:val="clear" w:color="auto" w:fill="FFFFFF"/>
            <w:tcMar>
              <w:top w:w="85" w:type="dxa"/>
              <w:bottom w:w="85" w:type="dxa"/>
            </w:tcMar>
          </w:tcPr>
          <w:p w14:paraId="4B9576E9"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1EB1C27E" w14:textId="77777777" w:rsidTr="00DC2E3C">
        <w:trPr>
          <w:cantSplit/>
          <w:trHeight w:val="156"/>
        </w:trPr>
        <w:tc>
          <w:tcPr>
            <w:tcW w:w="1707" w:type="pct"/>
            <w:shd w:val="clear" w:color="auto" w:fill="auto"/>
            <w:tcMar>
              <w:top w:w="85" w:type="dxa"/>
              <w:bottom w:w="85" w:type="dxa"/>
            </w:tcMar>
          </w:tcPr>
          <w:p w14:paraId="4FBB21AE"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5907F1FE" w14:textId="77777777" w:rsidR="00C9789B" w:rsidRPr="00811500" w:rsidRDefault="00C9789B" w:rsidP="005A1F7F">
            <w:pPr>
              <w:tabs>
                <w:tab w:val="left" w:pos="1860"/>
              </w:tabs>
              <w:rPr>
                <w:rFonts w:ascii="Arial" w:hAnsi="Arial" w:cs="Arial"/>
                <w:sz w:val="16"/>
                <w:szCs w:val="16"/>
              </w:rPr>
            </w:pPr>
            <w:r w:rsidRPr="002A01BF">
              <w:rPr>
                <w:rFonts w:ascii="Arial" w:eastAsia="SimSun" w:hAnsi="Arial" w:cs="Arial"/>
                <w:color w:val="000000"/>
                <w:sz w:val="16"/>
                <w:szCs w:val="16"/>
              </w:rPr>
              <w:t>Quality of Translation</w:t>
            </w:r>
          </w:p>
        </w:tc>
        <w:tc>
          <w:tcPr>
            <w:tcW w:w="1341" w:type="pct"/>
            <w:shd w:val="clear" w:color="auto" w:fill="FFFFFF"/>
            <w:tcMar>
              <w:top w:w="85" w:type="dxa"/>
              <w:bottom w:w="85" w:type="dxa"/>
            </w:tcMar>
          </w:tcPr>
          <w:p w14:paraId="20DB78B0"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371C03E3" w14:textId="77777777" w:rsidTr="00DC2E3C">
        <w:trPr>
          <w:cantSplit/>
          <w:trHeight w:val="177"/>
        </w:trPr>
        <w:tc>
          <w:tcPr>
            <w:tcW w:w="1707" w:type="pct"/>
            <w:shd w:val="clear" w:color="auto" w:fill="auto"/>
            <w:tcMar>
              <w:top w:w="85" w:type="dxa"/>
              <w:bottom w:w="85" w:type="dxa"/>
            </w:tcMar>
          </w:tcPr>
          <w:p w14:paraId="247F2B59"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DAECB6D"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Quality of software development (QSD)</w:t>
            </w:r>
          </w:p>
        </w:tc>
        <w:tc>
          <w:tcPr>
            <w:tcW w:w="1341" w:type="pct"/>
            <w:shd w:val="clear" w:color="auto" w:fill="FFFFFF"/>
            <w:tcMar>
              <w:top w:w="85" w:type="dxa"/>
              <w:bottom w:w="85" w:type="dxa"/>
            </w:tcMar>
          </w:tcPr>
          <w:p w14:paraId="75BEE31F"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6553CC05" w14:textId="77777777" w:rsidTr="00DC2E3C">
        <w:trPr>
          <w:cantSplit/>
          <w:trHeight w:val="40"/>
        </w:trPr>
        <w:tc>
          <w:tcPr>
            <w:tcW w:w="1707" w:type="pct"/>
            <w:shd w:val="clear" w:color="auto" w:fill="auto"/>
            <w:tcMar>
              <w:top w:w="85" w:type="dxa"/>
              <w:bottom w:w="85" w:type="dxa"/>
            </w:tcMar>
          </w:tcPr>
          <w:p w14:paraId="48CDFD65"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217EF50B"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Information systems service levels</w:t>
            </w:r>
          </w:p>
        </w:tc>
        <w:tc>
          <w:tcPr>
            <w:tcW w:w="1341" w:type="pct"/>
            <w:shd w:val="clear" w:color="auto" w:fill="FFFFFF"/>
            <w:tcMar>
              <w:top w:w="85" w:type="dxa"/>
              <w:bottom w:w="85" w:type="dxa"/>
            </w:tcMar>
          </w:tcPr>
          <w:p w14:paraId="1E8B694F"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2AEF7E7E" w14:textId="77777777" w:rsidTr="00FB68E0">
        <w:trPr>
          <w:cantSplit/>
          <w:trHeight w:val="640"/>
        </w:trPr>
        <w:tc>
          <w:tcPr>
            <w:tcW w:w="1707" w:type="pct"/>
            <w:shd w:val="clear" w:color="auto" w:fill="auto"/>
            <w:tcMar>
              <w:top w:w="85" w:type="dxa"/>
              <w:bottom w:w="85" w:type="dxa"/>
            </w:tcMar>
          </w:tcPr>
          <w:p w14:paraId="5AC6D13A" w14:textId="77777777" w:rsidR="00C9789B" w:rsidRPr="00811500" w:rsidRDefault="00C9789B" w:rsidP="005A1F7F">
            <w:pPr>
              <w:rPr>
                <w:rFonts w:ascii="Arial" w:hAnsi="Arial" w:cs="Arial"/>
                <w:sz w:val="16"/>
                <w:szCs w:val="16"/>
              </w:rPr>
            </w:pPr>
            <w:r w:rsidRPr="00811500">
              <w:rPr>
                <w:rFonts w:ascii="Arial" w:hAnsi="Arial" w:cs="Arial"/>
                <w:sz w:val="16"/>
                <w:szCs w:val="16"/>
              </w:rPr>
              <w:t xml:space="preserve">II.4 </w:t>
            </w:r>
            <w:r>
              <w:rPr>
                <w:rFonts w:ascii="Arial" w:hAnsi="Arial" w:cs="Arial"/>
                <w:sz w:val="16"/>
                <w:szCs w:val="16"/>
              </w:rPr>
              <w:t xml:space="preserve"> </w:t>
            </w:r>
            <w:r w:rsidRPr="00811500">
              <w:rPr>
                <w:rFonts w:ascii="Arial" w:hAnsi="Arial" w:cs="Arial"/>
                <w:sz w:val="16"/>
                <w:szCs w:val="16"/>
              </w:rPr>
              <w:t xml:space="preserve">Wider and </w:t>
            </w:r>
            <w:r>
              <w:rPr>
                <w:rFonts w:ascii="Arial" w:hAnsi="Arial" w:cs="Arial"/>
                <w:sz w:val="16"/>
                <w:szCs w:val="16"/>
              </w:rPr>
              <w:t>more effective</w:t>
            </w:r>
            <w:r w:rsidRPr="00811500">
              <w:rPr>
                <w:rFonts w:ascii="Arial" w:hAnsi="Arial" w:cs="Arial"/>
                <w:sz w:val="16"/>
                <w:szCs w:val="16"/>
              </w:rPr>
              <w:t xml:space="preserve"> use of the Hague system, including by developing countries and LDCs</w:t>
            </w:r>
          </w:p>
        </w:tc>
        <w:tc>
          <w:tcPr>
            <w:tcW w:w="1952" w:type="pct"/>
            <w:shd w:val="clear" w:color="auto" w:fill="auto"/>
            <w:tcMar>
              <w:top w:w="85" w:type="dxa"/>
              <w:bottom w:w="85" w:type="dxa"/>
            </w:tcMar>
          </w:tcPr>
          <w:p w14:paraId="1855901D" w14:textId="77777777" w:rsidR="00C9789B" w:rsidRPr="00D22DE0" w:rsidRDefault="00C9789B" w:rsidP="005A1F7F">
            <w:pPr>
              <w:rPr>
                <w:rFonts w:ascii="Arial" w:hAnsi="Arial" w:cs="Arial"/>
                <w:sz w:val="16"/>
                <w:szCs w:val="16"/>
              </w:rPr>
            </w:pPr>
            <w:r w:rsidRPr="00D22DE0">
              <w:rPr>
                <w:rFonts w:ascii="Arial" w:hAnsi="Arial" w:cs="Arial"/>
                <w:sz w:val="16"/>
                <w:szCs w:val="16"/>
              </w:rPr>
              <w:t>No. of Hague applications originating from</w:t>
            </w:r>
            <w:r>
              <w:rPr>
                <w:rFonts w:ascii="Arial" w:hAnsi="Arial" w:cs="Arial"/>
                <w:sz w:val="16"/>
                <w:szCs w:val="16"/>
              </w:rPr>
              <w:t xml:space="preserve"> developing,</w:t>
            </w:r>
            <w:r w:rsidRPr="00D22DE0">
              <w:rPr>
                <w:rFonts w:ascii="Arial" w:hAnsi="Arial" w:cs="Arial"/>
                <w:sz w:val="16"/>
                <w:szCs w:val="16"/>
              </w:rPr>
              <w:t xml:space="preserve"> transition and developed countries </w:t>
            </w:r>
          </w:p>
          <w:p w14:paraId="31255280" w14:textId="77777777" w:rsidR="00C9789B" w:rsidRPr="00795C1D" w:rsidRDefault="00C9789B" w:rsidP="005A1F7F">
            <w:pPr>
              <w:rPr>
                <w:rFonts w:ascii="Arial" w:hAnsi="Arial" w:cs="Arial"/>
                <w:sz w:val="16"/>
                <w:szCs w:val="16"/>
                <w:highlight w:val="yellow"/>
              </w:rPr>
            </w:pPr>
          </w:p>
        </w:tc>
        <w:tc>
          <w:tcPr>
            <w:tcW w:w="1341" w:type="pct"/>
            <w:shd w:val="clear" w:color="auto" w:fill="FFFFFF"/>
            <w:tcMar>
              <w:top w:w="85" w:type="dxa"/>
              <w:bottom w:w="85" w:type="dxa"/>
            </w:tcMar>
          </w:tcPr>
          <w:p w14:paraId="4ED150A9" w14:textId="77777777" w:rsidR="00255FD8" w:rsidRDefault="00255FD8" w:rsidP="00255FD8">
            <w:pPr>
              <w:ind w:left="441"/>
              <w:rPr>
                <w:rFonts w:ascii="Arial" w:hAnsi="Arial" w:cs="Arial"/>
                <w:sz w:val="16"/>
                <w:szCs w:val="16"/>
                <w:lang w:bidi="th-TH"/>
              </w:rPr>
            </w:pPr>
            <w:r>
              <w:rPr>
                <w:rFonts w:ascii="Arial" w:hAnsi="Arial" w:cs="Arial"/>
                <w:sz w:val="16"/>
                <w:szCs w:val="16"/>
                <w:lang w:bidi="th-TH"/>
              </w:rPr>
              <w:t>Program 9</w:t>
            </w:r>
          </w:p>
          <w:p w14:paraId="7FDACCA4" w14:textId="77777777" w:rsidR="00C9789B" w:rsidRDefault="00C9789B" w:rsidP="005A1F7F">
            <w:pPr>
              <w:ind w:left="441"/>
              <w:rPr>
                <w:rFonts w:ascii="Arial" w:hAnsi="Arial" w:cs="Arial"/>
                <w:sz w:val="16"/>
                <w:szCs w:val="16"/>
                <w:lang w:bidi="th-TH"/>
              </w:rPr>
            </w:pPr>
            <w:r w:rsidRPr="00D22DE0">
              <w:rPr>
                <w:rFonts w:ascii="Arial" w:hAnsi="Arial" w:cs="Arial"/>
                <w:sz w:val="16"/>
                <w:szCs w:val="16"/>
                <w:lang w:bidi="th-TH"/>
              </w:rPr>
              <w:t xml:space="preserve">Program 10 </w:t>
            </w:r>
          </w:p>
          <w:p w14:paraId="07E9AF1C" w14:textId="77777777" w:rsidR="00C9789B" w:rsidRPr="00C40D00" w:rsidRDefault="00C9789B" w:rsidP="005A1F7F">
            <w:pPr>
              <w:ind w:left="441"/>
              <w:rPr>
                <w:rFonts w:ascii="Arial" w:hAnsi="Arial" w:cs="Arial"/>
                <w:sz w:val="16"/>
                <w:szCs w:val="16"/>
                <w:lang w:bidi="th-TH"/>
              </w:rPr>
            </w:pPr>
            <w:r>
              <w:rPr>
                <w:rFonts w:ascii="Arial" w:hAnsi="Arial" w:cs="Arial"/>
                <w:sz w:val="16"/>
                <w:szCs w:val="16"/>
                <w:lang w:bidi="th-TH"/>
              </w:rPr>
              <w:t>Program 20</w:t>
            </w:r>
          </w:p>
        </w:tc>
      </w:tr>
      <w:tr w:rsidR="00CB11FC" w:rsidRPr="00811500" w14:paraId="04223702" w14:textId="77777777" w:rsidTr="00FB68E0">
        <w:trPr>
          <w:cantSplit/>
          <w:trHeight w:val="241"/>
        </w:trPr>
        <w:tc>
          <w:tcPr>
            <w:tcW w:w="1707" w:type="pct"/>
            <w:shd w:val="clear" w:color="auto" w:fill="auto"/>
            <w:tcMar>
              <w:top w:w="85" w:type="dxa"/>
              <w:bottom w:w="85" w:type="dxa"/>
            </w:tcMar>
          </w:tcPr>
          <w:p w14:paraId="40D47FE4"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33B18AF" w14:textId="4E6468EA" w:rsidR="00CB11FC" w:rsidRPr="00795C1D" w:rsidRDefault="00CB11FC" w:rsidP="00CB11FC">
            <w:pPr>
              <w:rPr>
                <w:rFonts w:ascii="Arial" w:hAnsi="Arial" w:cs="Arial"/>
                <w:sz w:val="16"/>
                <w:szCs w:val="16"/>
                <w:highlight w:val="yellow"/>
              </w:rPr>
            </w:pPr>
            <w:r>
              <w:rPr>
                <w:rFonts w:ascii="Arial" w:hAnsi="Arial" w:cs="Arial"/>
                <w:color w:val="000000"/>
                <w:sz w:val="16"/>
                <w:szCs w:val="16"/>
              </w:rPr>
              <w:t xml:space="preserve">Membership of the Geneva (1999) </w:t>
            </w:r>
          </w:p>
        </w:tc>
        <w:tc>
          <w:tcPr>
            <w:tcW w:w="1341" w:type="pct"/>
            <w:shd w:val="clear" w:color="auto" w:fill="FFFFFF"/>
            <w:tcMar>
              <w:top w:w="85" w:type="dxa"/>
              <w:bottom w:w="85" w:type="dxa"/>
            </w:tcMar>
          </w:tcPr>
          <w:p w14:paraId="54D50F0E" w14:textId="77777777" w:rsidR="00CB11FC" w:rsidRDefault="00CB11FC" w:rsidP="00F83FB6">
            <w:pPr>
              <w:ind w:left="441"/>
              <w:rPr>
                <w:rFonts w:ascii="Arial" w:hAnsi="Arial" w:cs="Arial"/>
                <w:sz w:val="16"/>
                <w:szCs w:val="16"/>
                <w:lang w:bidi="th-TH"/>
              </w:rPr>
            </w:pPr>
            <w:r>
              <w:rPr>
                <w:rFonts w:ascii="Arial" w:hAnsi="Arial" w:cs="Arial"/>
                <w:sz w:val="16"/>
                <w:szCs w:val="16"/>
                <w:lang w:bidi="th-TH"/>
              </w:rPr>
              <w:t xml:space="preserve">Program 20 </w:t>
            </w:r>
          </w:p>
          <w:p w14:paraId="7D2EB6A8" w14:textId="7D19ADD3" w:rsidR="00CB11FC" w:rsidRPr="00795C1D"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31</w:t>
            </w:r>
          </w:p>
        </w:tc>
      </w:tr>
      <w:tr w:rsidR="00CB11FC" w:rsidRPr="00811500" w14:paraId="69E9F22E" w14:textId="77777777" w:rsidTr="00DC2E3C">
        <w:trPr>
          <w:cantSplit/>
          <w:trHeight w:val="156"/>
        </w:trPr>
        <w:tc>
          <w:tcPr>
            <w:tcW w:w="1707" w:type="pct"/>
            <w:shd w:val="clear" w:color="auto" w:fill="auto"/>
            <w:tcMar>
              <w:top w:w="85" w:type="dxa"/>
              <w:bottom w:w="85" w:type="dxa"/>
            </w:tcMar>
          </w:tcPr>
          <w:p w14:paraId="2FA4F17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5D01C5F" w14:textId="5B0D2556" w:rsidR="00CB11FC" w:rsidRPr="00795C1D" w:rsidRDefault="00CB11FC" w:rsidP="005A1F7F">
            <w:pPr>
              <w:rPr>
                <w:rFonts w:ascii="Arial" w:hAnsi="Arial" w:cs="Arial"/>
                <w:sz w:val="16"/>
                <w:szCs w:val="16"/>
                <w:highlight w:val="yellow"/>
              </w:rPr>
            </w:pPr>
            <w:r w:rsidRPr="009D2350">
              <w:rPr>
                <w:rFonts w:ascii="Arial" w:hAnsi="Arial" w:cs="Arial"/>
                <w:sz w:val="16"/>
                <w:szCs w:val="16"/>
              </w:rPr>
              <w:t>% of policy makers, government officials, and IP Practitioners and participants in targeted workshops with enhanced understanding of the Hague System</w:t>
            </w:r>
          </w:p>
        </w:tc>
        <w:tc>
          <w:tcPr>
            <w:tcW w:w="1341" w:type="pct"/>
            <w:shd w:val="clear" w:color="auto" w:fill="FFFFFF"/>
            <w:tcMar>
              <w:top w:w="85" w:type="dxa"/>
              <w:bottom w:w="85" w:type="dxa"/>
            </w:tcMar>
          </w:tcPr>
          <w:p w14:paraId="77C20941" w14:textId="225E4B15" w:rsidR="00CB11FC" w:rsidRPr="00795C1D" w:rsidRDefault="00CB11FC" w:rsidP="005A1F7F">
            <w:pPr>
              <w:ind w:left="441"/>
              <w:rPr>
                <w:rFonts w:ascii="Arial" w:hAnsi="Arial" w:cs="Arial"/>
                <w:sz w:val="16"/>
                <w:szCs w:val="16"/>
                <w:highlight w:val="yellow"/>
                <w:lang w:bidi="th-TH"/>
              </w:rPr>
            </w:pPr>
            <w:r w:rsidRPr="00CB11FC">
              <w:rPr>
                <w:rFonts w:ascii="Arial" w:hAnsi="Arial" w:cs="Arial"/>
                <w:sz w:val="16"/>
                <w:szCs w:val="16"/>
                <w:lang w:bidi="th-TH"/>
              </w:rPr>
              <w:t>Program 20</w:t>
            </w:r>
          </w:p>
        </w:tc>
      </w:tr>
      <w:tr w:rsidR="00CB11FC" w:rsidRPr="00811500" w14:paraId="5DF43E9C" w14:textId="77777777" w:rsidTr="00DC2E3C">
        <w:trPr>
          <w:cantSplit/>
          <w:trHeight w:val="332"/>
        </w:trPr>
        <w:tc>
          <w:tcPr>
            <w:tcW w:w="1707" w:type="pct"/>
            <w:shd w:val="clear" w:color="auto" w:fill="auto"/>
            <w:tcMar>
              <w:top w:w="85" w:type="dxa"/>
              <w:bottom w:w="85" w:type="dxa"/>
            </w:tcMar>
          </w:tcPr>
          <w:p w14:paraId="4EFCBA62"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0871C1D" w14:textId="77777777" w:rsidR="00CB11FC" w:rsidRPr="00811500" w:rsidRDefault="00CB11FC" w:rsidP="005A1F7F">
            <w:pPr>
              <w:rPr>
                <w:rFonts w:ascii="Arial" w:hAnsi="Arial" w:cs="Arial"/>
                <w:sz w:val="16"/>
                <w:szCs w:val="16"/>
              </w:rPr>
            </w:pPr>
            <w:r>
              <w:rPr>
                <w:rFonts w:ascii="Arial" w:hAnsi="Arial" w:cs="Arial"/>
                <w:color w:val="000000"/>
                <w:sz w:val="16"/>
                <w:szCs w:val="16"/>
              </w:rPr>
              <w:t>Share of Offices concerned providing information on the Hague System to their users</w:t>
            </w:r>
          </w:p>
        </w:tc>
        <w:tc>
          <w:tcPr>
            <w:tcW w:w="1341" w:type="pct"/>
            <w:shd w:val="clear" w:color="auto" w:fill="FFFFFF"/>
            <w:tcMar>
              <w:top w:w="85" w:type="dxa"/>
              <w:bottom w:w="85" w:type="dxa"/>
            </w:tcMar>
          </w:tcPr>
          <w:p w14:paraId="6A4E6E8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70C047AB" w14:textId="77777777" w:rsidTr="00DC2E3C">
        <w:trPr>
          <w:cantSplit/>
          <w:trHeight w:val="178"/>
        </w:trPr>
        <w:tc>
          <w:tcPr>
            <w:tcW w:w="1707" w:type="pct"/>
            <w:shd w:val="clear" w:color="auto" w:fill="auto"/>
            <w:tcMar>
              <w:top w:w="85" w:type="dxa"/>
              <w:bottom w:w="85" w:type="dxa"/>
            </w:tcMar>
          </w:tcPr>
          <w:p w14:paraId="7E12DEA1"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4F3BF46" w14:textId="77777777" w:rsidR="00CB11FC" w:rsidRPr="00811500" w:rsidRDefault="00CB11FC" w:rsidP="005A1F7F">
            <w:pPr>
              <w:rPr>
                <w:rFonts w:ascii="Arial" w:hAnsi="Arial" w:cs="Arial"/>
                <w:sz w:val="16"/>
                <w:szCs w:val="16"/>
              </w:rPr>
            </w:pPr>
            <w:r>
              <w:rPr>
                <w:rFonts w:ascii="Arial" w:hAnsi="Arial" w:cs="Arial"/>
                <w:color w:val="000000"/>
                <w:sz w:val="16"/>
                <w:szCs w:val="16"/>
              </w:rPr>
              <w:t>Hague filings and renewals</w:t>
            </w:r>
          </w:p>
        </w:tc>
        <w:tc>
          <w:tcPr>
            <w:tcW w:w="1341" w:type="pct"/>
            <w:shd w:val="clear" w:color="auto" w:fill="FFFFFF"/>
            <w:tcMar>
              <w:top w:w="85" w:type="dxa"/>
              <w:bottom w:w="85" w:type="dxa"/>
            </w:tcMar>
          </w:tcPr>
          <w:p w14:paraId="05FDB2C8"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04465A22" w14:textId="77777777" w:rsidTr="00DC2E3C">
        <w:trPr>
          <w:cantSplit/>
          <w:trHeight w:val="22"/>
        </w:trPr>
        <w:tc>
          <w:tcPr>
            <w:tcW w:w="1707" w:type="pct"/>
            <w:shd w:val="clear" w:color="auto" w:fill="auto"/>
            <w:tcMar>
              <w:top w:w="85" w:type="dxa"/>
              <w:bottom w:w="85" w:type="dxa"/>
            </w:tcMar>
          </w:tcPr>
          <w:p w14:paraId="1B8A60FC" w14:textId="77777777" w:rsidR="00CB11FC" w:rsidRPr="00811500" w:rsidRDefault="00CB11FC" w:rsidP="005A1F7F">
            <w:pPr>
              <w:rPr>
                <w:rFonts w:ascii="Arial" w:hAnsi="Arial" w:cs="Arial"/>
                <w:sz w:val="16"/>
                <w:szCs w:val="16"/>
              </w:rPr>
            </w:pPr>
            <w:r w:rsidRPr="00811500">
              <w:rPr>
                <w:rFonts w:ascii="Arial" w:hAnsi="Arial" w:cs="Arial"/>
                <w:sz w:val="16"/>
                <w:szCs w:val="16"/>
              </w:rPr>
              <w:t>II.5</w:t>
            </w:r>
            <w:r w:rsidRPr="00811500">
              <w:rPr>
                <w:rFonts w:ascii="Arial" w:hAnsi="Arial" w:cs="Arial"/>
                <w:sz w:val="16"/>
                <w:szCs w:val="16"/>
                <w:lang w:eastAsia="zh-CN" w:bidi="th-TH"/>
              </w:rPr>
              <w:t xml:space="preserve"> </w:t>
            </w:r>
            <w:r>
              <w:rPr>
                <w:rFonts w:ascii="Arial" w:hAnsi="Arial" w:cs="Arial"/>
                <w:sz w:val="16"/>
                <w:szCs w:val="16"/>
                <w:lang w:eastAsia="zh-CN" w:bidi="th-TH"/>
              </w:rPr>
              <w:t xml:space="preserve"> </w:t>
            </w:r>
            <w:r w:rsidRPr="00811500">
              <w:rPr>
                <w:rFonts w:ascii="Arial" w:hAnsi="Arial" w:cs="Arial"/>
                <w:sz w:val="16"/>
                <w:szCs w:val="16"/>
                <w:lang w:eastAsia="zh-CN" w:bidi="th-TH"/>
              </w:rPr>
              <w:t>Improved productivity and service quality of</w:t>
            </w:r>
            <w:r w:rsidRPr="00811500">
              <w:rPr>
                <w:rFonts w:ascii="Arial" w:hAnsi="Arial" w:cs="Arial"/>
                <w:sz w:val="16"/>
                <w:szCs w:val="16"/>
              </w:rPr>
              <w:t xml:space="preserve"> the Hague operations</w:t>
            </w:r>
          </w:p>
        </w:tc>
        <w:tc>
          <w:tcPr>
            <w:tcW w:w="1952" w:type="pct"/>
            <w:shd w:val="clear" w:color="auto" w:fill="auto"/>
            <w:tcMar>
              <w:top w:w="85" w:type="dxa"/>
              <w:bottom w:w="85" w:type="dxa"/>
            </w:tcMar>
          </w:tcPr>
          <w:p w14:paraId="26B772BF" w14:textId="77777777" w:rsidR="00CB11FC" w:rsidRPr="00811500" w:rsidRDefault="00CB11FC" w:rsidP="005A1F7F">
            <w:pPr>
              <w:rPr>
                <w:rFonts w:ascii="Arial" w:hAnsi="Arial" w:cs="Arial"/>
                <w:sz w:val="16"/>
                <w:szCs w:val="16"/>
              </w:rPr>
            </w:pPr>
            <w:r>
              <w:rPr>
                <w:rFonts w:ascii="Arial" w:hAnsi="Arial" w:cs="Arial"/>
                <w:color w:val="000000"/>
                <w:sz w:val="16"/>
                <w:szCs w:val="16"/>
              </w:rPr>
              <w:t>Predominance of the Geneva (1999) Act in the Hague System</w:t>
            </w:r>
          </w:p>
        </w:tc>
        <w:tc>
          <w:tcPr>
            <w:tcW w:w="1341" w:type="pct"/>
            <w:shd w:val="clear" w:color="auto" w:fill="FFFFFF"/>
            <w:tcMar>
              <w:top w:w="85" w:type="dxa"/>
              <w:bottom w:w="85" w:type="dxa"/>
            </w:tcMar>
          </w:tcPr>
          <w:p w14:paraId="66B9E300"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4C8B20FB" w14:textId="77777777" w:rsidTr="00DC2E3C">
        <w:trPr>
          <w:cantSplit/>
          <w:trHeight w:val="448"/>
        </w:trPr>
        <w:tc>
          <w:tcPr>
            <w:tcW w:w="1707" w:type="pct"/>
            <w:shd w:val="clear" w:color="auto" w:fill="auto"/>
            <w:tcMar>
              <w:top w:w="85" w:type="dxa"/>
              <w:bottom w:w="85" w:type="dxa"/>
            </w:tcMar>
          </w:tcPr>
          <w:p w14:paraId="19FC89BE" w14:textId="77777777" w:rsidR="00CB11FC" w:rsidRPr="00811500" w:rsidRDefault="00CB11FC" w:rsidP="005A1F7F">
            <w:pPr>
              <w:tabs>
                <w:tab w:val="right" w:pos="2835"/>
              </w:tabs>
              <w:spacing w:after="60"/>
              <w:rPr>
                <w:rFonts w:ascii="Arial" w:hAnsi="Arial" w:cs="Arial"/>
                <w:sz w:val="16"/>
                <w:szCs w:val="16"/>
              </w:rPr>
            </w:pPr>
          </w:p>
        </w:tc>
        <w:tc>
          <w:tcPr>
            <w:tcW w:w="1952" w:type="pct"/>
            <w:shd w:val="clear" w:color="auto" w:fill="auto"/>
            <w:tcMar>
              <w:top w:w="85" w:type="dxa"/>
              <w:bottom w:w="85" w:type="dxa"/>
            </w:tcMar>
          </w:tcPr>
          <w:p w14:paraId="083D0B21" w14:textId="77777777" w:rsidR="00CB11FC" w:rsidRPr="00811500" w:rsidRDefault="00CB11FC" w:rsidP="005A1F7F">
            <w:pPr>
              <w:rPr>
                <w:rFonts w:ascii="Arial" w:hAnsi="Arial" w:cs="Arial"/>
                <w:sz w:val="16"/>
                <w:szCs w:val="16"/>
              </w:rPr>
            </w:pPr>
            <w:r>
              <w:rPr>
                <w:rFonts w:ascii="Arial" w:hAnsi="Arial" w:cs="Arial"/>
                <w:color w:val="000000"/>
                <w:sz w:val="16"/>
                <w:szCs w:val="16"/>
              </w:rPr>
              <w:t>Processes and procedures adapted to geographical and legal evolution of the system</w:t>
            </w:r>
          </w:p>
        </w:tc>
        <w:tc>
          <w:tcPr>
            <w:tcW w:w="1341" w:type="pct"/>
            <w:shd w:val="clear" w:color="auto" w:fill="FFFFFF"/>
            <w:tcMar>
              <w:top w:w="85" w:type="dxa"/>
              <w:bottom w:w="85" w:type="dxa"/>
            </w:tcMar>
          </w:tcPr>
          <w:p w14:paraId="28E0A0F2"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63375291" w14:textId="77777777" w:rsidTr="00DC2E3C">
        <w:trPr>
          <w:cantSplit/>
          <w:trHeight w:val="411"/>
        </w:trPr>
        <w:tc>
          <w:tcPr>
            <w:tcW w:w="1707" w:type="pct"/>
            <w:shd w:val="clear" w:color="auto" w:fill="auto"/>
            <w:tcMar>
              <w:top w:w="85" w:type="dxa"/>
              <w:bottom w:w="85" w:type="dxa"/>
            </w:tcMar>
          </w:tcPr>
          <w:p w14:paraId="107D1873"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A1FB065" w14:textId="77777777" w:rsidR="00CB11FC" w:rsidRPr="00811500" w:rsidRDefault="00CB11FC" w:rsidP="005A1F7F">
            <w:pPr>
              <w:rPr>
                <w:rFonts w:ascii="Arial" w:hAnsi="Arial" w:cs="Arial"/>
                <w:sz w:val="16"/>
                <w:szCs w:val="16"/>
              </w:rPr>
            </w:pPr>
            <w:r>
              <w:rPr>
                <w:rFonts w:ascii="Arial" w:hAnsi="Arial" w:cs="Arial"/>
                <w:color w:val="000000"/>
                <w:sz w:val="16"/>
                <w:szCs w:val="16"/>
              </w:rPr>
              <w:t>Progress towards the enhancement of the legal framework</w:t>
            </w:r>
          </w:p>
        </w:tc>
        <w:tc>
          <w:tcPr>
            <w:tcW w:w="1341" w:type="pct"/>
            <w:shd w:val="clear" w:color="auto" w:fill="FFFFFF"/>
            <w:tcMar>
              <w:top w:w="85" w:type="dxa"/>
              <w:bottom w:w="85" w:type="dxa"/>
            </w:tcMar>
          </w:tcPr>
          <w:p w14:paraId="1CBEEA83"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5977C070" w14:textId="77777777" w:rsidTr="00DC2E3C">
        <w:trPr>
          <w:cantSplit/>
          <w:trHeight w:val="324"/>
        </w:trPr>
        <w:tc>
          <w:tcPr>
            <w:tcW w:w="1707" w:type="pct"/>
            <w:shd w:val="clear" w:color="auto" w:fill="auto"/>
            <w:tcMar>
              <w:top w:w="85" w:type="dxa"/>
              <w:bottom w:w="85" w:type="dxa"/>
            </w:tcMar>
          </w:tcPr>
          <w:p w14:paraId="5C67809B"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9BDA4C9" w14:textId="77777777" w:rsidR="00CB11FC" w:rsidRPr="00811500" w:rsidRDefault="00CB11FC" w:rsidP="005A1F7F">
            <w:pPr>
              <w:rPr>
                <w:rFonts w:ascii="Arial" w:hAnsi="Arial" w:cs="Arial"/>
                <w:sz w:val="16"/>
                <w:szCs w:val="16"/>
              </w:rPr>
            </w:pPr>
            <w:r>
              <w:rPr>
                <w:rFonts w:ascii="Arial" w:hAnsi="Arial" w:cs="Arial"/>
                <w:color w:val="000000"/>
                <w:sz w:val="16"/>
                <w:szCs w:val="16"/>
              </w:rPr>
              <w:t>Improved operation of the Hague Registry, including electronic processes and procedures</w:t>
            </w:r>
          </w:p>
        </w:tc>
        <w:tc>
          <w:tcPr>
            <w:tcW w:w="1341" w:type="pct"/>
            <w:shd w:val="clear" w:color="auto" w:fill="FFFFFF"/>
            <w:tcMar>
              <w:top w:w="85" w:type="dxa"/>
              <w:bottom w:w="85" w:type="dxa"/>
            </w:tcMar>
          </w:tcPr>
          <w:p w14:paraId="4B676AC4"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2372023F" w14:textId="77777777" w:rsidTr="00DC2E3C">
        <w:trPr>
          <w:cantSplit/>
          <w:trHeight w:val="149"/>
        </w:trPr>
        <w:tc>
          <w:tcPr>
            <w:tcW w:w="1707" w:type="pct"/>
            <w:shd w:val="clear" w:color="auto" w:fill="auto"/>
            <w:tcMar>
              <w:top w:w="85" w:type="dxa"/>
              <w:bottom w:w="85" w:type="dxa"/>
            </w:tcMar>
          </w:tcPr>
          <w:p w14:paraId="621E5D5B"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1F04FA3" w14:textId="77777777" w:rsidR="00CB11FC" w:rsidRPr="00811500" w:rsidRDefault="00CB11FC" w:rsidP="005A1F7F">
            <w:pPr>
              <w:rPr>
                <w:rFonts w:ascii="Arial" w:hAnsi="Arial" w:cs="Arial"/>
                <w:sz w:val="16"/>
                <w:szCs w:val="16"/>
              </w:rPr>
            </w:pPr>
            <w:r>
              <w:rPr>
                <w:rFonts w:ascii="Arial" w:hAnsi="Arial" w:cs="Arial"/>
                <w:color w:val="000000"/>
                <w:sz w:val="16"/>
                <w:szCs w:val="16"/>
              </w:rPr>
              <w:t>Flexibility of data recorded in the International Register</w:t>
            </w:r>
          </w:p>
        </w:tc>
        <w:tc>
          <w:tcPr>
            <w:tcW w:w="1341" w:type="pct"/>
            <w:shd w:val="clear" w:color="auto" w:fill="FFFFFF"/>
            <w:tcMar>
              <w:top w:w="85" w:type="dxa"/>
              <w:bottom w:w="85" w:type="dxa"/>
            </w:tcMar>
          </w:tcPr>
          <w:p w14:paraId="3B2C096A"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6E1C4FC9" w14:textId="77777777" w:rsidTr="00DC2E3C">
        <w:trPr>
          <w:cantSplit/>
          <w:trHeight w:val="149"/>
        </w:trPr>
        <w:tc>
          <w:tcPr>
            <w:tcW w:w="1707" w:type="pct"/>
            <w:shd w:val="clear" w:color="auto" w:fill="auto"/>
            <w:tcMar>
              <w:top w:w="85" w:type="dxa"/>
              <w:bottom w:w="85" w:type="dxa"/>
            </w:tcMar>
          </w:tcPr>
          <w:p w14:paraId="67CD0373"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F0A4771"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Stable provision of evolving the Hague back office IT services</w:t>
            </w:r>
          </w:p>
        </w:tc>
        <w:tc>
          <w:tcPr>
            <w:tcW w:w="1341" w:type="pct"/>
            <w:shd w:val="clear" w:color="auto" w:fill="FFFFFF"/>
            <w:tcMar>
              <w:top w:w="85" w:type="dxa"/>
              <w:bottom w:w="85" w:type="dxa"/>
            </w:tcMar>
          </w:tcPr>
          <w:p w14:paraId="08638CC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4D2C7AF8" w14:textId="77777777" w:rsidTr="00DC2E3C">
        <w:trPr>
          <w:cantSplit/>
          <w:trHeight w:val="303"/>
        </w:trPr>
        <w:tc>
          <w:tcPr>
            <w:tcW w:w="1707" w:type="pct"/>
            <w:shd w:val="clear" w:color="auto" w:fill="auto"/>
            <w:tcMar>
              <w:top w:w="85" w:type="dxa"/>
              <w:bottom w:w="85" w:type="dxa"/>
            </w:tcMar>
          </w:tcPr>
          <w:p w14:paraId="4F2DB34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7437BCB"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p>
        </w:tc>
        <w:tc>
          <w:tcPr>
            <w:tcW w:w="1341" w:type="pct"/>
            <w:shd w:val="clear" w:color="auto" w:fill="FFFFFF"/>
            <w:tcMar>
              <w:top w:w="85" w:type="dxa"/>
              <w:bottom w:w="85" w:type="dxa"/>
            </w:tcMar>
          </w:tcPr>
          <w:p w14:paraId="62F0DBC8"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21C809D8" w14:textId="77777777" w:rsidTr="00DC2E3C">
        <w:trPr>
          <w:cantSplit/>
          <w:trHeight w:val="149"/>
        </w:trPr>
        <w:tc>
          <w:tcPr>
            <w:tcW w:w="1707" w:type="pct"/>
            <w:shd w:val="clear" w:color="auto" w:fill="auto"/>
            <w:tcMar>
              <w:top w:w="85" w:type="dxa"/>
              <w:bottom w:w="85" w:type="dxa"/>
            </w:tcMar>
          </w:tcPr>
          <w:p w14:paraId="3E766AD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FED7F6A"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3 deployed versions of DIRIS and 3 deployed versions of Hague e-Filing</w:t>
            </w:r>
          </w:p>
        </w:tc>
        <w:tc>
          <w:tcPr>
            <w:tcW w:w="1341" w:type="pct"/>
            <w:shd w:val="clear" w:color="auto" w:fill="FFFFFF"/>
            <w:tcMar>
              <w:top w:w="85" w:type="dxa"/>
              <w:bottom w:w="85" w:type="dxa"/>
            </w:tcMar>
          </w:tcPr>
          <w:p w14:paraId="353DE00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78F1EC49" w14:textId="77777777" w:rsidTr="00DC2E3C">
        <w:trPr>
          <w:cantSplit/>
          <w:trHeight w:val="149"/>
        </w:trPr>
        <w:tc>
          <w:tcPr>
            <w:tcW w:w="1707" w:type="pct"/>
            <w:shd w:val="clear" w:color="auto" w:fill="auto"/>
            <w:tcMar>
              <w:top w:w="85" w:type="dxa"/>
              <w:bottom w:w="85" w:type="dxa"/>
            </w:tcMar>
          </w:tcPr>
          <w:p w14:paraId="122E57C6" w14:textId="51FFF147" w:rsidR="00CB11FC" w:rsidRPr="00811500" w:rsidRDefault="00CB11FC" w:rsidP="00B5316B">
            <w:pPr>
              <w:rPr>
                <w:rFonts w:ascii="Arial" w:hAnsi="Arial" w:cs="Arial"/>
                <w:sz w:val="16"/>
                <w:szCs w:val="16"/>
              </w:rPr>
            </w:pPr>
            <w:r>
              <w:rPr>
                <w:rFonts w:ascii="Arial" w:hAnsi="Arial" w:cs="Arial"/>
                <w:color w:val="000000"/>
                <w:sz w:val="16"/>
                <w:szCs w:val="16"/>
              </w:rPr>
              <w:t xml:space="preserve">II.6  Wider and more effective use of the Madrid </w:t>
            </w:r>
            <w:r w:rsidR="00B5316B">
              <w:rPr>
                <w:rFonts w:ascii="Arial" w:hAnsi="Arial" w:cs="Arial"/>
                <w:color w:val="000000"/>
                <w:sz w:val="16"/>
                <w:szCs w:val="16"/>
              </w:rPr>
              <w:t>S</w:t>
            </w:r>
            <w:r>
              <w:rPr>
                <w:rFonts w:ascii="Arial" w:hAnsi="Arial" w:cs="Arial"/>
                <w:color w:val="000000"/>
                <w:sz w:val="16"/>
                <w:szCs w:val="16"/>
              </w:rPr>
              <w:t>ystem, including by developing countries and LDCs</w:t>
            </w:r>
          </w:p>
        </w:tc>
        <w:tc>
          <w:tcPr>
            <w:tcW w:w="1952" w:type="pct"/>
            <w:shd w:val="clear" w:color="auto" w:fill="auto"/>
            <w:tcMar>
              <w:top w:w="85" w:type="dxa"/>
              <w:bottom w:w="85" w:type="dxa"/>
            </w:tcMar>
          </w:tcPr>
          <w:p w14:paraId="16E9F22B" w14:textId="77777777" w:rsidR="00CB11FC" w:rsidRDefault="00CB11FC" w:rsidP="005A1F7F">
            <w:pPr>
              <w:rPr>
                <w:rFonts w:ascii="Arial" w:hAnsi="Arial" w:cs="Arial"/>
                <w:color w:val="000000"/>
                <w:sz w:val="16"/>
                <w:szCs w:val="16"/>
              </w:rPr>
            </w:pPr>
            <w:r>
              <w:rPr>
                <w:rFonts w:ascii="Arial" w:hAnsi="Arial" w:cs="Arial"/>
                <w:color w:val="000000"/>
                <w:sz w:val="16"/>
                <w:szCs w:val="16"/>
              </w:rPr>
              <w:t>Total Membership of the Madrid System</w:t>
            </w:r>
            <w:r>
              <w:rPr>
                <w:rFonts w:ascii="Arial" w:hAnsi="Arial" w:cs="Arial"/>
                <w:color w:val="000000"/>
                <w:sz w:val="16"/>
                <w:szCs w:val="16"/>
              </w:rPr>
              <w:br/>
            </w:r>
          </w:p>
          <w:p w14:paraId="27FC07AE" w14:textId="77777777" w:rsidR="00CB11FC" w:rsidRDefault="00CB11FC" w:rsidP="005A1F7F">
            <w:pPr>
              <w:rPr>
                <w:rFonts w:ascii="Arial" w:hAnsi="Arial" w:cs="Arial"/>
                <w:color w:val="000000"/>
                <w:sz w:val="16"/>
                <w:szCs w:val="16"/>
              </w:rPr>
            </w:pPr>
          </w:p>
          <w:p w14:paraId="0ABF7090" w14:textId="3A0B9568" w:rsidR="00CB11FC" w:rsidRDefault="00CB11FC" w:rsidP="005A1F7F">
            <w:pPr>
              <w:rPr>
                <w:rFonts w:ascii="Arial" w:hAnsi="Arial" w:cs="Arial"/>
                <w:color w:val="000000"/>
                <w:sz w:val="16"/>
                <w:szCs w:val="16"/>
              </w:rPr>
            </w:pPr>
            <w:r>
              <w:rPr>
                <w:rFonts w:ascii="Arial" w:hAnsi="Arial" w:cs="Arial"/>
                <w:color w:val="000000"/>
                <w:sz w:val="16"/>
                <w:szCs w:val="16"/>
              </w:rPr>
              <w:t>Market share (i.e., national route versus Madrid route)</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6D4DE953" w14:textId="77777777" w:rsidR="00CB11FC"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p w14:paraId="60FD0B03" w14:textId="77777777" w:rsidR="00CB11FC" w:rsidRDefault="00CB11FC" w:rsidP="005A1F7F">
            <w:pPr>
              <w:ind w:left="441"/>
              <w:rPr>
                <w:rFonts w:ascii="Arial" w:hAnsi="Arial" w:cs="Arial"/>
                <w:sz w:val="16"/>
                <w:szCs w:val="16"/>
                <w:lang w:bidi="th-TH"/>
              </w:rPr>
            </w:pPr>
            <w:r>
              <w:rPr>
                <w:rFonts w:ascii="Arial" w:hAnsi="Arial" w:cs="Arial"/>
                <w:sz w:val="16"/>
                <w:szCs w:val="16"/>
                <w:lang w:bidi="th-TH"/>
              </w:rPr>
              <w:t>Program 20</w:t>
            </w:r>
            <w:r w:rsidRPr="00811500">
              <w:rPr>
                <w:rFonts w:ascii="Arial" w:hAnsi="Arial" w:cs="Arial"/>
                <w:sz w:val="16"/>
                <w:szCs w:val="16"/>
                <w:lang w:bidi="th-TH"/>
              </w:rPr>
              <w:t xml:space="preserve"> </w:t>
            </w:r>
          </w:p>
          <w:p w14:paraId="669C67A6" w14:textId="77777777" w:rsidR="00CB11FC" w:rsidRDefault="00CB11FC" w:rsidP="005A1F7F">
            <w:pPr>
              <w:ind w:left="441"/>
              <w:rPr>
                <w:rFonts w:ascii="Arial" w:hAnsi="Arial" w:cs="Arial"/>
                <w:sz w:val="16"/>
                <w:szCs w:val="16"/>
                <w:lang w:bidi="th-TH"/>
              </w:rPr>
            </w:pPr>
          </w:p>
          <w:p w14:paraId="19414B49"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D6E6B82" w14:textId="77777777" w:rsidTr="00DC2E3C">
        <w:trPr>
          <w:cantSplit/>
          <w:trHeight w:val="95"/>
        </w:trPr>
        <w:tc>
          <w:tcPr>
            <w:tcW w:w="1707" w:type="pct"/>
            <w:shd w:val="clear" w:color="auto" w:fill="auto"/>
            <w:tcMar>
              <w:top w:w="85" w:type="dxa"/>
              <w:bottom w:w="85" w:type="dxa"/>
            </w:tcMar>
          </w:tcPr>
          <w:p w14:paraId="74029245"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1B25488" w14:textId="75F54D7C" w:rsidR="00CB11FC" w:rsidRPr="00811500" w:rsidRDefault="00CB11FC" w:rsidP="005A1F7F">
            <w:pPr>
              <w:rPr>
                <w:rFonts w:ascii="Arial" w:hAnsi="Arial" w:cs="Arial"/>
                <w:sz w:val="16"/>
                <w:szCs w:val="16"/>
              </w:rPr>
            </w:pPr>
            <w:r>
              <w:rPr>
                <w:rFonts w:ascii="Arial" w:hAnsi="Arial" w:cs="Arial"/>
                <w:color w:val="000000"/>
                <w:sz w:val="16"/>
                <w:szCs w:val="16"/>
              </w:rPr>
              <w:t>Filing rate</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5161BBCC"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6BE4F04" w14:textId="77777777" w:rsidTr="00DC2E3C">
        <w:trPr>
          <w:cantSplit/>
          <w:trHeight w:val="95"/>
        </w:trPr>
        <w:tc>
          <w:tcPr>
            <w:tcW w:w="1707" w:type="pct"/>
            <w:shd w:val="clear" w:color="auto" w:fill="auto"/>
            <w:tcMar>
              <w:top w:w="85" w:type="dxa"/>
              <w:bottom w:w="85" w:type="dxa"/>
            </w:tcMar>
          </w:tcPr>
          <w:p w14:paraId="001F315F"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7B5C681" w14:textId="31754F1F" w:rsidR="00CB11FC" w:rsidRPr="00811500" w:rsidRDefault="00CB11FC" w:rsidP="005A1F7F">
            <w:pPr>
              <w:rPr>
                <w:rFonts w:ascii="Arial" w:hAnsi="Arial" w:cs="Arial"/>
                <w:sz w:val="16"/>
                <w:szCs w:val="16"/>
              </w:rPr>
            </w:pPr>
            <w:r>
              <w:rPr>
                <w:rFonts w:ascii="Arial" w:hAnsi="Arial" w:cs="Arial"/>
                <w:color w:val="000000"/>
                <w:sz w:val="16"/>
                <w:szCs w:val="16"/>
              </w:rPr>
              <w:t xml:space="preserve">Registrations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238D1729"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17C7312E" w14:textId="77777777" w:rsidTr="00DC2E3C">
        <w:trPr>
          <w:cantSplit/>
          <w:trHeight w:val="121"/>
        </w:trPr>
        <w:tc>
          <w:tcPr>
            <w:tcW w:w="1707" w:type="pct"/>
            <w:shd w:val="clear" w:color="auto" w:fill="auto"/>
            <w:tcMar>
              <w:top w:w="85" w:type="dxa"/>
              <w:bottom w:w="85" w:type="dxa"/>
            </w:tcMar>
          </w:tcPr>
          <w:p w14:paraId="7DEA4575"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1F77A732" w14:textId="69ED8A0A" w:rsidR="00CB11FC" w:rsidRDefault="00CB11FC" w:rsidP="005A1F7F">
            <w:pPr>
              <w:rPr>
                <w:rFonts w:ascii="Arial" w:hAnsi="Arial" w:cs="Arial"/>
                <w:color w:val="000000"/>
                <w:sz w:val="16"/>
                <w:szCs w:val="16"/>
              </w:rPr>
            </w:pPr>
            <w:r>
              <w:rPr>
                <w:rFonts w:ascii="Arial" w:hAnsi="Arial" w:cs="Arial"/>
                <w:color w:val="000000"/>
                <w:sz w:val="16"/>
                <w:szCs w:val="16"/>
              </w:rPr>
              <w:t xml:space="preserve">Renewals </w:t>
            </w:r>
            <w:r w:rsidR="007B4126">
              <w:rPr>
                <w:rFonts w:ascii="Arial" w:eastAsia="Times New Roman" w:hAnsi="Arial" w:cs="Arial"/>
                <w:color w:val="000000"/>
                <w:sz w:val="16"/>
                <w:szCs w:val="16"/>
              </w:rPr>
              <w:t xml:space="preserve">(Madrid) </w:t>
            </w:r>
          </w:p>
        </w:tc>
        <w:tc>
          <w:tcPr>
            <w:tcW w:w="1341" w:type="pct"/>
            <w:shd w:val="clear" w:color="auto" w:fill="FFFFFF"/>
            <w:tcMar>
              <w:top w:w="85" w:type="dxa"/>
              <w:bottom w:w="85" w:type="dxa"/>
            </w:tcMar>
          </w:tcPr>
          <w:p w14:paraId="4C55EF39"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556A79A1" w14:textId="77777777" w:rsidTr="00DC2E3C">
        <w:trPr>
          <w:cantSplit/>
          <w:trHeight w:val="141"/>
        </w:trPr>
        <w:tc>
          <w:tcPr>
            <w:tcW w:w="1707" w:type="pct"/>
            <w:shd w:val="clear" w:color="auto" w:fill="auto"/>
            <w:tcMar>
              <w:top w:w="85" w:type="dxa"/>
              <w:bottom w:w="85" w:type="dxa"/>
            </w:tcMar>
          </w:tcPr>
          <w:p w14:paraId="4FB67286"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5545D17" w14:textId="133EC7FE" w:rsidR="00CB11FC" w:rsidRDefault="00CB11FC" w:rsidP="005A1F7F">
            <w:pPr>
              <w:rPr>
                <w:rFonts w:ascii="Arial" w:hAnsi="Arial" w:cs="Arial"/>
                <w:color w:val="000000"/>
                <w:sz w:val="16"/>
                <w:szCs w:val="16"/>
              </w:rPr>
            </w:pPr>
            <w:r>
              <w:rPr>
                <w:rFonts w:ascii="Arial" w:hAnsi="Arial" w:cs="Arial"/>
                <w:color w:val="000000"/>
                <w:sz w:val="16"/>
                <w:szCs w:val="16"/>
              </w:rPr>
              <w:t>Total no. of registrations</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3084101A"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60686A8" w14:textId="77777777" w:rsidTr="00DC2E3C">
        <w:trPr>
          <w:cantSplit/>
          <w:trHeight w:val="121"/>
        </w:trPr>
        <w:tc>
          <w:tcPr>
            <w:tcW w:w="1707" w:type="pct"/>
            <w:shd w:val="clear" w:color="auto" w:fill="auto"/>
            <w:tcMar>
              <w:top w:w="85" w:type="dxa"/>
              <w:bottom w:w="85" w:type="dxa"/>
            </w:tcMar>
          </w:tcPr>
          <w:p w14:paraId="70C8FA9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94167C9" w14:textId="72F2B6BB" w:rsidR="00CB11FC" w:rsidRPr="00811500" w:rsidRDefault="00CB11FC" w:rsidP="005A1F7F">
            <w:pPr>
              <w:rPr>
                <w:rFonts w:ascii="Arial" w:hAnsi="Arial" w:cs="Arial"/>
                <w:sz w:val="16"/>
                <w:szCs w:val="16"/>
              </w:rPr>
            </w:pPr>
            <w:r>
              <w:rPr>
                <w:rFonts w:ascii="Arial" w:hAnsi="Arial" w:cs="Arial"/>
                <w:color w:val="000000"/>
                <w:sz w:val="16"/>
                <w:szCs w:val="16"/>
              </w:rPr>
              <w:t>Total no. of designations</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0D37856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5760DC3" w14:textId="77777777" w:rsidTr="00DC2E3C">
        <w:trPr>
          <w:cantSplit/>
          <w:trHeight w:val="197"/>
        </w:trPr>
        <w:tc>
          <w:tcPr>
            <w:tcW w:w="1707" w:type="pct"/>
            <w:shd w:val="clear" w:color="auto" w:fill="auto"/>
            <w:tcMar>
              <w:top w:w="85" w:type="dxa"/>
              <w:bottom w:w="85" w:type="dxa"/>
            </w:tcMar>
          </w:tcPr>
          <w:p w14:paraId="6368AFA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22669BD" w14:textId="4933F6D3" w:rsidR="00CB11FC" w:rsidRPr="00811500" w:rsidRDefault="00CB11FC" w:rsidP="005A1F7F">
            <w:pPr>
              <w:rPr>
                <w:rFonts w:ascii="Arial" w:hAnsi="Arial" w:cs="Arial"/>
                <w:sz w:val="16"/>
                <w:szCs w:val="16"/>
              </w:rPr>
            </w:pPr>
            <w:r>
              <w:rPr>
                <w:rFonts w:ascii="Arial" w:hAnsi="Arial" w:cs="Arial"/>
                <w:color w:val="000000"/>
                <w:sz w:val="16"/>
                <w:szCs w:val="16"/>
              </w:rPr>
              <w:t>Irregularity rate (Article 12 and 13)</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56B33E9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18E8C14" w14:textId="77777777" w:rsidTr="00DC2E3C">
        <w:trPr>
          <w:cantSplit/>
          <w:trHeight w:val="347"/>
        </w:trPr>
        <w:tc>
          <w:tcPr>
            <w:tcW w:w="1707" w:type="pct"/>
            <w:shd w:val="clear" w:color="auto" w:fill="auto"/>
            <w:tcMar>
              <w:top w:w="85" w:type="dxa"/>
              <w:bottom w:w="85" w:type="dxa"/>
            </w:tcMar>
          </w:tcPr>
          <w:p w14:paraId="0CFACDEE"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CBAE002" w14:textId="77777777" w:rsidR="00CB11FC" w:rsidRPr="00811500" w:rsidRDefault="00CB11FC" w:rsidP="005A1F7F">
            <w:pPr>
              <w:rPr>
                <w:rFonts w:ascii="Arial" w:hAnsi="Arial" w:cs="Arial"/>
                <w:sz w:val="16"/>
                <w:szCs w:val="16"/>
              </w:rPr>
            </w:pPr>
            <w:r>
              <w:rPr>
                <w:rFonts w:ascii="Arial" w:hAnsi="Arial" w:cs="Arial"/>
                <w:color w:val="000000"/>
                <w:sz w:val="16"/>
                <w:szCs w:val="16"/>
              </w:rPr>
              <w:t>Functional improvements to the Madrid System</w:t>
            </w:r>
          </w:p>
        </w:tc>
        <w:tc>
          <w:tcPr>
            <w:tcW w:w="1341" w:type="pct"/>
            <w:shd w:val="clear" w:color="auto" w:fill="FFFFFF"/>
            <w:tcMar>
              <w:top w:w="85" w:type="dxa"/>
              <w:bottom w:w="85" w:type="dxa"/>
            </w:tcMar>
          </w:tcPr>
          <w:p w14:paraId="78305735"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BED7BBC" w14:textId="77777777" w:rsidTr="00DC2E3C">
        <w:trPr>
          <w:cantSplit/>
          <w:trHeight w:val="446"/>
        </w:trPr>
        <w:tc>
          <w:tcPr>
            <w:tcW w:w="1707" w:type="pct"/>
            <w:shd w:val="clear" w:color="auto" w:fill="auto"/>
            <w:tcMar>
              <w:top w:w="85" w:type="dxa"/>
              <w:bottom w:w="85" w:type="dxa"/>
            </w:tcMar>
          </w:tcPr>
          <w:p w14:paraId="5D775CCD"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7300355" w14:textId="77777777" w:rsidR="00CB11FC" w:rsidRPr="00E748D2" w:rsidRDefault="00CB11FC" w:rsidP="005A1F7F">
            <w:pPr>
              <w:rPr>
                <w:rFonts w:ascii="Arial" w:hAnsi="Arial" w:cs="Arial"/>
                <w:color w:val="000000"/>
                <w:sz w:val="16"/>
                <w:szCs w:val="16"/>
              </w:rPr>
            </w:pPr>
            <w:r w:rsidRPr="0066276F">
              <w:rPr>
                <w:rFonts w:ascii="Arial" w:hAnsi="Arial" w:cs="Arial"/>
                <w:color w:val="000000"/>
                <w:sz w:val="16"/>
                <w:szCs w:val="16"/>
              </w:rPr>
              <w:t>No. of Madrid System applications originating from</w:t>
            </w:r>
            <w:r>
              <w:rPr>
                <w:rFonts w:ascii="Arial" w:hAnsi="Arial" w:cs="Arial"/>
                <w:color w:val="000000"/>
                <w:sz w:val="16"/>
                <w:szCs w:val="16"/>
              </w:rPr>
              <w:t xml:space="preserve"> developing,</w:t>
            </w:r>
            <w:r w:rsidRPr="0066276F">
              <w:rPr>
                <w:rFonts w:ascii="Arial" w:hAnsi="Arial" w:cs="Arial"/>
                <w:color w:val="000000"/>
                <w:sz w:val="16"/>
                <w:szCs w:val="16"/>
              </w:rPr>
              <w:t xml:space="preserve"> transition and developed countries</w:t>
            </w:r>
          </w:p>
        </w:tc>
        <w:tc>
          <w:tcPr>
            <w:tcW w:w="1341" w:type="pct"/>
            <w:shd w:val="clear" w:color="auto" w:fill="FFFFFF"/>
            <w:tcMar>
              <w:top w:w="85" w:type="dxa"/>
              <w:bottom w:w="85" w:type="dxa"/>
            </w:tcMar>
          </w:tcPr>
          <w:p w14:paraId="209CA645" w14:textId="77777777" w:rsidR="00255FD8" w:rsidRDefault="00255FD8" w:rsidP="00255FD8">
            <w:pPr>
              <w:ind w:left="441"/>
              <w:rPr>
                <w:rFonts w:ascii="Arial" w:hAnsi="Arial" w:cs="Arial"/>
                <w:sz w:val="16"/>
                <w:szCs w:val="16"/>
                <w:lang w:bidi="th-TH"/>
              </w:rPr>
            </w:pPr>
            <w:r>
              <w:rPr>
                <w:rFonts w:ascii="Arial" w:hAnsi="Arial" w:cs="Arial"/>
                <w:sz w:val="16"/>
                <w:szCs w:val="16"/>
                <w:lang w:bidi="th-TH"/>
              </w:rPr>
              <w:t>Program 9</w:t>
            </w:r>
          </w:p>
          <w:p w14:paraId="17FCAC13" w14:textId="77777777" w:rsidR="00CB11FC" w:rsidRDefault="00CB11FC" w:rsidP="005A1F7F">
            <w:pPr>
              <w:ind w:left="441"/>
              <w:rPr>
                <w:rFonts w:ascii="Arial" w:hAnsi="Arial" w:cs="Arial"/>
                <w:sz w:val="16"/>
                <w:szCs w:val="16"/>
                <w:lang w:bidi="th-TH"/>
              </w:rPr>
            </w:pPr>
            <w:r w:rsidRPr="0066276F">
              <w:rPr>
                <w:rFonts w:ascii="Arial" w:hAnsi="Arial" w:cs="Arial"/>
                <w:sz w:val="16"/>
                <w:szCs w:val="16"/>
                <w:lang w:bidi="th-TH"/>
              </w:rPr>
              <w:t>Program 10</w:t>
            </w:r>
          </w:p>
          <w:p w14:paraId="5362005C" w14:textId="77777777" w:rsidR="00CB11FC" w:rsidRPr="0066276F" w:rsidRDefault="00CB11FC" w:rsidP="005A1F7F">
            <w:pPr>
              <w:ind w:left="441"/>
              <w:rPr>
                <w:rFonts w:ascii="Arial" w:hAnsi="Arial" w:cs="Arial"/>
                <w:sz w:val="16"/>
                <w:szCs w:val="16"/>
                <w:lang w:bidi="th-TH"/>
              </w:rPr>
            </w:pPr>
            <w:r>
              <w:rPr>
                <w:rFonts w:ascii="Arial" w:hAnsi="Arial" w:cs="Arial"/>
                <w:sz w:val="16"/>
                <w:szCs w:val="16"/>
                <w:lang w:bidi="th-TH"/>
              </w:rPr>
              <w:t>Program 20</w:t>
            </w:r>
          </w:p>
          <w:p w14:paraId="71B4B0BF" w14:textId="77777777" w:rsidR="00CB11FC" w:rsidRDefault="00CB11FC" w:rsidP="005A1F7F">
            <w:pPr>
              <w:ind w:left="441"/>
              <w:rPr>
                <w:rFonts w:ascii="Arial" w:hAnsi="Arial" w:cs="Arial"/>
                <w:sz w:val="16"/>
                <w:szCs w:val="16"/>
                <w:lang w:bidi="th-TH"/>
              </w:rPr>
            </w:pPr>
          </w:p>
        </w:tc>
      </w:tr>
      <w:tr w:rsidR="00CB11FC" w:rsidRPr="00811500" w14:paraId="5B956F6C" w14:textId="77777777" w:rsidTr="00DC2E3C">
        <w:trPr>
          <w:cantSplit/>
          <w:trHeight w:val="589"/>
        </w:trPr>
        <w:tc>
          <w:tcPr>
            <w:tcW w:w="1707" w:type="pct"/>
            <w:shd w:val="clear" w:color="auto" w:fill="auto"/>
            <w:tcMar>
              <w:top w:w="85" w:type="dxa"/>
              <w:bottom w:w="85" w:type="dxa"/>
            </w:tcMar>
          </w:tcPr>
          <w:p w14:paraId="0FA8D51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B028D2B" w14:textId="77777777" w:rsidR="00CB11FC" w:rsidRPr="00795C1D" w:rsidRDefault="00CB11FC" w:rsidP="005A1F7F">
            <w:pPr>
              <w:rPr>
                <w:rFonts w:ascii="Arial" w:hAnsi="Arial" w:cs="Arial"/>
                <w:sz w:val="16"/>
                <w:szCs w:val="16"/>
                <w:highlight w:val="yellow"/>
              </w:rPr>
            </w:pPr>
            <w:r w:rsidRPr="0009730A">
              <w:rPr>
                <w:rFonts w:ascii="Arial" w:hAnsi="Arial" w:cs="Arial"/>
                <w:sz w:val="16"/>
                <w:szCs w:val="16"/>
              </w:rPr>
              <w:t xml:space="preserve">% of policy makers, government officials, IP practitioners and participants in targeted workshops with enhanced understanding of the Madrid System  </w:t>
            </w:r>
          </w:p>
        </w:tc>
        <w:tc>
          <w:tcPr>
            <w:tcW w:w="1341" w:type="pct"/>
            <w:shd w:val="clear" w:color="auto" w:fill="FFFFFF"/>
            <w:tcMar>
              <w:top w:w="85" w:type="dxa"/>
              <w:bottom w:w="85" w:type="dxa"/>
            </w:tcMar>
          </w:tcPr>
          <w:p w14:paraId="0BEE99F8" w14:textId="77777777" w:rsidR="00CB11FC" w:rsidRPr="00795C1D" w:rsidRDefault="00CB11FC" w:rsidP="005A1F7F">
            <w:pPr>
              <w:ind w:left="441"/>
              <w:rPr>
                <w:rFonts w:ascii="Arial" w:hAnsi="Arial" w:cs="Arial"/>
                <w:sz w:val="16"/>
                <w:szCs w:val="16"/>
                <w:highlight w:val="yellow"/>
                <w:lang w:bidi="th-TH"/>
              </w:rPr>
            </w:pPr>
            <w:r w:rsidRPr="0009730A">
              <w:rPr>
                <w:rFonts w:ascii="Arial" w:hAnsi="Arial" w:cs="Arial"/>
                <w:sz w:val="16"/>
                <w:szCs w:val="16"/>
                <w:lang w:bidi="th-TH"/>
              </w:rPr>
              <w:t>Program 20</w:t>
            </w:r>
          </w:p>
        </w:tc>
      </w:tr>
      <w:tr w:rsidR="00CB11FC" w:rsidRPr="00811500" w14:paraId="3B4C4065" w14:textId="77777777" w:rsidTr="00DC2E3C">
        <w:trPr>
          <w:cantSplit/>
          <w:trHeight w:val="134"/>
        </w:trPr>
        <w:tc>
          <w:tcPr>
            <w:tcW w:w="1707" w:type="pct"/>
            <w:shd w:val="clear" w:color="auto" w:fill="auto"/>
            <w:tcMar>
              <w:top w:w="85" w:type="dxa"/>
              <w:bottom w:w="85" w:type="dxa"/>
            </w:tcMar>
          </w:tcPr>
          <w:p w14:paraId="0EE06225" w14:textId="5139D650" w:rsidR="00CB11FC" w:rsidRPr="00811500" w:rsidRDefault="00CB11FC" w:rsidP="00B5316B">
            <w:pPr>
              <w:rPr>
                <w:rFonts w:ascii="Arial" w:hAnsi="Arial" w:cs="Arial"/>
                <w:sz w:val="16"/>
                <w:szCs w:val="16"/>
              </w:rPr>
            </w:pPr>
            <w:r w:rsidRPr="00811500">
              <w:rPr>
                <w:rFonts w:ascii="Arial" w:hAnsi="Arial" w:cs="Arial"/>
                <w:sz w:val="16"/>
                <w:szCs w:val="16"/>
              </w:rPr>
              <w:t xml:space="preserve">II.7 </w:t>
            </w:r>
            <w:r>
              <w:rPr>
                <w:rFonts w:ascii="Arial" w:hAnsi="Arial" w:cs="Arial"/>
                <w:sz w:val="16"/>
                <w:szCs w:val="16"/>
              </w:rPr>
              <w:t xml:space="preserve"> </w:t>
            </w:r>
            <w:r w:rsidRPr="00811500">
              <w:rPr>
                <w:rFonts w:ascii="Arial" w:hAnsi="Arial" w:cs="Arial"/>
                <w:sz w:val="16"/>
                <w:szCs w:val="16"/>
                <w:lang w:eastAsia="zh-CN" w:bidi="th-TH"/>
              </w:rPr>
              <w:t>Improved productivity and service quality of</w:t>
            </w:r>
            <w:r w:rsidRPr="00811500">
              <w:rPr>
                <w:rFonts w:ascii="Arial" w:hAnsi="Arial" w:cs="Arial"/>
                <w:sz w:val="16"/>
                <w:szCs w:val="16"/>
              </w:rPr>
              <w:t xml:space="preserve"> Madrid operation</w:t>
            </w:r>
            <w:r w:rsidR="00B5316B">
              <w:rPr>
                <w:rFonts w:ascii="Arial" w:hAnsi="Arial" w:cs="Arial"/>
                <w:sz w:val="16"/>
                <w:szCs w:val="16"/>
              </w:rPr>
              <w:t>s</w:t>
            </w:r>
          </w:p>
        </w:tc>
        <w:tc>
          <w:tcPr>
            <w:tcW w:w="1952" w:type="pct"/>
            <w:shd w:val="clear" w:color="auto" w:fill="auto"/>
            <w:tcMar>
              <w:top w:w="85" w:type="dxa"/>
              <w:bottom w:w="85" w:type="dxa"/>
            </w:tcMar>
          </w:tcPr>
          <w:p w14:paraId="5121EC19" w14:textId="76F13561" w:rsidR="00CB11FC" w:rsidRPr="00795C1D" w:rsidRDefault="00CB11FC" w:rsidP="005A1F7F">
            <w:pPr>
              <w:rPr>
                <w:rFonts w:ascii="Arial" w:hAnsi="Arial" w:cs="Arial"/>
                <w:sz w:val="16"/>
                <w:szCs w:val="16"/>
                <w:highlight w:val="yellow"/>
              </w:rPr>
            </w:pPr>
            <w:r>
              <w:rPr>
                <w:rFonts w:ascii="Arial" w:hAnsi="Arial" w:cs="Arial"/>
                <w:color w:val="000000"/>
                <w:sz w:val="16"/>
                <w:szCs w:val="16"/>
              </w:rPr>
              <w:t>Client satisfaction</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1D6B5FF0" w14:textId="77777777" w:rsidR="00CB11FC" w:rsidRPr="00795C1D"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6</w:t>
            </w:r>
          </w:p>
        </w:tc>
      </w:tr>
      <w:tr w:rsidR="00CB11FC" w:rsidRPr="00811500" w14:paraId="233A2E9C" w14:textId="77777777" w:rsidTr="00DC2E3C">
        <w:trPr>
          <w:cantSplit/>
          <w:trHeight w:val="27"/>
        </w:trPr>
        <w:tc>
          <w:tcPr>
            <w:tcW w:w="1707" w:type="pct"/>
            <w:shd w:val="clear" w:color="auto" w:fill="auto"/>
            <w:tcMar>
              <w:top w:w="85" w:type="dxa"/>
              <w:bottom w:w="85" w:type="dxa"/>
            </w:tcMar>
          </w:tcPr>
          <w:p w14:paraId="774F4418"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6F45204" w14:textId="0B1DD811" w:rsidR="00CB11FC" w:rsidRPr="00811500" w:rsidRDefault="00CB11FC" w:rsidP="005A1F7F">
            <w:pPr>
              <w:rPr>
                <w:rFonts w:ascii="Arial" w:hAnsi="Arial" w:cs="Arial"/>
                <w:sz w:val="16"/>
                <w:szCs w:val="16"/>
              </w:rPr>
            </w:pPr>
            <w:r>
              <w:rPr>
                <w:rFonts w:ascii="Arial" w:hAnsi="Arial" w:cs="Arial"/>
                <w:color w:val="000000"/>
                <w:sz w:val="16"/>
                <w:szCs w:val="16"/>
              </w:rPr>
              <w:t>Unit cost</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55FB42B0"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6CF5FFB0" w14:textId="77777777" w:rsidTr="00DC2E3C">
        <w:trPr>
          <w:cantSplit/>
          <w:trHeight w:val="299"/>
        </w:trPr>
        <w:tc>
          <w:tcPr>
            <w:tcW w:w="1707" w:type="pct"/>
            <w:shd w:val="clear" w:color="auto" w:fill="auto"/>
            <w:tcMar>
              <w:top w:w="85" w:type="dxa"/>
              <w:bottom w:w="85" w:type="dxa"/>
            </w:tcMar>
          </w:tcPr>
          <w:p w14:paraId="0A1AD3E4"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23F94AA" w14:textId="77777777" w:rsidR="00CB11FC" w:rsidRDefault="00CB11FC" w:rsidP="005A1F7F">
            <w:pPr>
              <w:rPr>
                <w:rFonts w:ascii="Arial" w:hAnsi="Arial" w:cs="Arial"/>
                <w:color w:val="000000"/>
                <w:sz w:val="16"/>
                <w:szCs w:val="16"/>
              </w:rPr>
            </w:pPr>
            <w:r>
              <w:rPr>
                <w:rFonts w:ascii="Arial" w:hAnsi="Arial" w:cs="Arial"/>
                <w:color w:val="000000"/>
                <w:sz w:val="16"/>
                <w:szCs w:val="16"/>
              </w:rPr>
              <w:t>Timeliness of transactions</w:t>
            </w:r>
          </w:p>
          <w:p w14:paraId="1C371880" w14:textId="1C49C65A" w:rsidR="00CB11FC" w:rsidRPr="00811500" w:rsidRDefault="00CB11FC" w:rsidP="005A1F7F">
            <w:pPr>
              <w:rPr>
                <w:rFonts w:ascii="Arial" w:hAnsi="Arial" w:cs="Arial"/>
                <w:sz w:val="16"/>
                <w:szCs w:val="16"/>
              </w:rPr>
            </w:pPr>
            <w:r>
              <w:rPr>
                <w:rFonts w:ascii="Arial" w:hAnsi="Arial" w:cs="Arial"/>
                <w:color w:val="000000"/>
                <w:sz w:val="16"/>
                <w:szCs w:val="16"/>
              </w:rPr>
              <w:t>(days)</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08B398B5"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3D6A80B" w14:textId="77777777" w:rsidTr="00DC2E3C">
        <w:trPr>
          <w:cantSplit/>
          <w:trHeight w:val="138"/>
        </w:trPr>
        <w:tc>
          <w:tcPr>
            <w:tcW w:w="1707" w:type="pct"/>
            <w:shd w:val="clear" w:color="auto" w:fill="auto"/>
            <w:tcMar>
              <w:top w:w="85" w:type="dxa"/>
              <w:bottom w:w="85" w:type="dxa"/>
            </w:tcMar>
          </w:tcPr>
          <w:p w14:paraId="345EFC06"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AF73A09" w14:textId="424C3C0E" w:rsidR="00CB11FC" w:rsidRPr="00811500" w:rsidRDefault="00CB11FC" w:rsidP="005A1F7F">
            <w:pPr>
              <w:rPr>
                <w:rFonts w:ascii="Arial" w:hAnsi="Arial" w:cs="Arial"/>
                <w:sz w:val="16"/>
                <w:szCs w:val="16"/>
              </w:rPr>
            </w:pPr>
            <w:r>
              <w:rPr>
                <w:rFonts w:ascii="Arial" w:hAnsi="Arial" w:cs="Arial"/>
                <w:color w:val="000000"/>
                <w:sz w:val="16"/>
                <w:szCs w:val="16"/>
              </w:rPr>
              <w:t>Quality</w:t>
            </w:r>
            <w:r w:rsidR="007B4126">
              <w:rPr>
                <w:rFonts w:ascii="Arial" w:hAnsi="Arial" w:cs="Arial"/>
                <w:color w:val="000000"/>
                <w:sz w:val="16"/>
                <w:szCs w:val="16"/>
              </w:rPr>
              <w:t xml:space="preserve"> </w:t>
            </w:r>
            <w:r w:rsidR="007B4126">
              <w:rPr>
                <w:rFonts w:ascii="Arial" w:eastAsia="Times New Roman" w:hAnsi="Arial" w:cs="Arial"/>
                <w:color w:val="000000"/>
                <w:sz w:val="16"/>
                <w:szCs w:val="16"/>
              </w:rPr>
              <w:t>(Madrid)</w:t>
            </w:r>
          </w:p>
        </w:tc>
        <w:tc>
          <w:tcPr>
            <w:tcW w:w="1341" w:type="pct"/>
            <w:shd w:val="clear" w:color="auto" w:fill="FFFFFF"/>
            <w:tcMar>
              <w:top w:w="85" w:type="dxa"/>
              <w:bottom w:w="85" w:type="dxa"/>
            </w:tcMar>
          </w:tcPr>
          <w:p w14:paraId="397A4C87"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2E53F88" w14:textId="77777777" w:rsidTr="00DC2E3C">
        <w:trPr>
          <w:cantSplit/>
          <w:trHeight w:val="267"/>
        </w:trPr>
        <w:tc>
          <w:tcPr>
            <w:tcW w:w="1707" w:type="pct"/>
            <w:shd w:val="clear" w:color="auto" w:fill="auto"/>
            <w:tcMar>
              <w:top w:w="85" w:type="dxa"/>
              <w:bottom w:w="85" w:type="dxa"/>
            </w:tcMar>
          </w:tcPr>
          <w:p w14:paraId="7CF96F08"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825793A" w14:textId="366FF674" w:rsidR="00CB11FC" w:rsidRPr="00811500" w:rsidRDefault="00CB11FC" w:rsidP="005A1F7F">
            <w:pPr>
              <w:rPr>
                <w:rFonts w:ascii="Arial" w:hAnsi="Arial" w:cs="Arial"/>
                <w:sz w:val="16"/>
                <w:szCs w:val="16"/>
              </w:rPr>
            </w:pPr>
            <w:r>
              <w:rPr>
                <w:rFonts w:ascii="Arial" w:hAnsi="Arial" w:cs="Arial"/>
                <w:color w:val="000000"/>
                <w:sz w:val="16"/>
                <w:szCs w:val="16"/>
              </w:rPr>
              <w:t>Improved operation of the Madrid Registry, including electronic processes and procedures</w:t>
            </w:r>
          </w:p>
        </w:tc>
        <w:tc>
          <w:tcPr>
            <w:tcW w:w="1341" w:type="pct"/>
            <w:shd w:val="clear" w:color="auto" w:fill="FFFFFF"/>
            <w:tcMar>
              <w:top w:w="85" w:type="dxa"/>
              <w:bottom w:w="85" w:type="dxa"/>
            </w:tcMar>
          </w:tcPr>
          <w:p w14:paraId="20A8482A"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5BB7335" w14:textId="77777777" w:rsidTr="00DC2E3C">
        <w:trPr>
          <w:cantSplit/>
          <w:trHeight w:val="265"/>
        </w:trPr>
        <w:tc>
          <w:tcPr>
            <w:tcW w:w="1707" w:type="pct"/>
            <w:shd w:val="clear" w:color="auto" w:fill="auto"/>
            <w:tcMar>
              <w:top w:w="85" w:type="dxa"/>
              <w:bottom w:w="85" w:type="dxa"/>
            </w:tcMar>
          </w:tcPr>
          <w:p w14:paraId="5FC34129"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0A7AC5E" w14:textId="1C980463" w:rsidR="00CB11FC" w:rsidRPr="00811500" w:rsidRDefault="00CB11FC" w:rsidP="007B4126">
            <w:pPr>
              <w:rPr>
                <w:rFonts w:ascii="Arial" w:hAnsi="Arial" w:cs="Arial"/>
                <w:sz w:val="16"/>
                <w:szCs w:val="16"/>
              </w:rPr>
            </w:pPr>
            <w:r>
              <w:rPr>
                <w:rFonts w:ascii="Arial" w:hAnsi="Arial" w:cs="Arial"/>
                <w:color w:val="000000"/>
                <w:sz w:val="16"/>
                <w:szCs w:val="16"/>
              </w:rPr>
              <w:t>Stable provision of evolving Madrid back office IT services</w:t>
            </w:r>
            <w:r w:rsidR="007B4126">
              <w:rPr>
                <w:rFonts w:ascii="Arial" w:hAnsi="Arial" w:cs="Arial"/>
                <w:color w:val="000000"/>
                <w:sz w:val="16"/>
                <w:szCs w:val="16"/>
              </w:rPr>
              <w:t xml:space="preserve"> </w:t>
            </w:r>
          </w:p>
        </w:tc>
        <w:tc>
          <w:tcPr>
            <w:tcW w:w="1341" w:type="pct"/>
            <w:shd w:val="clear" w:color="auto" w:fill="FFFFFF"/>
            <w:tcMar>
              <w:top w:w="85" w:type="dxa"/>
              <w:bottom w:w="85" w:type="dxa"/>
            </w:tcMar>
          </w:tcPr>
          <w:p w14:paraId="1B8C7043"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F649FE5" w14:textId="77777777" w:rsidTr="00DC2E3C">
        <w:trPr>
          <w:cantSplit/>
          <w:trHeight w:val="131"/>
        </w:trPr>
        <w:tc>
          <w:tcPr>
            <w:tcW w:w="1707" w:type="pct"/>
            <w:shd w:val="clear" w:color="auto" w:fill="auto"/>
            <w:tcMar>
              <w:top w:w="85" w:type="dxa"/>
              <w:bottom w:w="85" w:type="dxa"/>
            </w:tcMar>
          </w:tcPr>
          <w:p w14:paraId="333FB34A"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DCDDB1A" w14:textId="77777777" w:rsidR="00CB11FC" w:rsidRPr="00811500" w:rsidRDefault="00CB11FC" w:rsidP="005A1F7F">
            <w:pPr>
              <w:rPr>
                <w:rFonts w:ascii="Arial" w:hAnsi="Arial" w:cs="Arial"/>
                <w:sz w:val="16"/>
                <w:szCs w:val="16"/>
              </w:rPr>
            </w:pPr>
            <w:r>
              <w:rPr>
                <w:rFonts w:ascii="Arial" w:hAnsi="Arial" w:cs="Arial"/>
                <w:color w:val="000000"/>
                <w:sz w:val="16"/>
                <w:szCs w:val="16"/>
              </w:rPr>
              <w:t xml:space="preserve">3 deployed versions of M-IRIS and 3 deployed versions of Madrid </w:t>
            </w:r>
            <w:proofErr w:type="spellStart"/>
            <w:r>
              <w:rPr>
                <w:rFonts w:ascii="Arial" w:hAnsi="Arial" w:cs="Arial"/>
                <w:color w:val="000000"/>
                <w:sz w:val="16"/>
                <w:szCs w:val="16"/>
              </w:rPr>
              <w:t>eFiling</w:t>
            </w:r>
            <w:proofErr w:type="spellEnd"/>
            <w:r>
              <w:rPr>
                <w:rFonts w:ascii="Arial" w:hAnsi="Arial" w:cs="Arial"/>
                <w:color w:val="000000"/>
                <w:sz w:val="16"/>
                <w:szCs w:val="16"/>
              </w:rPr>
              <w:t xml:space="preserve"> (IRPI)</w:t>
            </w:r>
          </w:p>
        </w:tc>
        <w:tc>
          <w:tcPr>
            <w:tcW w:w="1341" w:type="pct"/>
            <w:shd w:val="clear" w:color="auto" w:fill="FFFFFF"/>
            <w:tcMar>
              <w:top w:w="85" w:type="dxa"/>
              <w:bottom w:w="85" w:type="dxa"/>
            </w:tcMar>
          </w:tcPr>
          <w:p w14:paraId="4D5B3748"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7B516A4" w14:textId="77777777" w:rsidTr="00DC2E3C">
        <w:trPr>
          <w:cantSplit/>
          <w:trHeight w:val="383"/>
        </w:trPr>
        <w:tc>
          <w:tcPr>
            <w:tcW w:w="1707" w:type="pct"/>
            <w:shd w:val="clear" w:color="auto" w:fill="auto"/>
            <w:tcMar>
              <w:top w:w="85" w:type="dxa"/>
              <w:bottom w:w="85" w:type="dxa"/>
            </w:tcMar>
          </w:tcPr>
          <w:p w14:paraId="1EFAD6C6" w14:textId="0B0228B3" w:rsidR="00CB11FC" w:rsidRPr="00811500" w:rsidRDefault="00CB11FC" w:rsidP="005A1F7F">
            <w:pPr>
              <w:rPr>
                <w:rFonts w:ascii="Arial" w:hAnsi="Arial" w:cs="Arial"/>
                <w:sz w:val="16"/>
                <w:szCs w:val="16"/>
              </w:rPr>
            </w:pPr>
            <w:r w:rsidRPr="00811500">
              <w:rPr>
                <w:rFonts w:ascii="Arial" w:hAnsi="Arial" w:cs="Arial"/>
                <w:sz w:val="16"/>
                <w:szCs w:val="16"/>
              </w:rPr>
              <w:lastRenderedPageBreak/>
              <w:t>II.8</w:t>
            </w:r>
            <w:r>
              <w:rPr>
                <w:rFonts w:ascii="Arial" w:hAnsi="Arial" w:cs="Arial"/>
                <w:sz w:val="16"/>
                <w:szCs w:val="16"/>
              </w:rPr>
              <w:t xml:space="preserve"> </w:t>
            </w:r>
            <w:r w:rsidRPr="00811500">
              <w:rPr>
                <w:rFonts w:ascii="Arial" w:hAnsi="Arial" w:cs="Arial"/>
                <w:sz w:val="16"/>
                <w:szCs w:val="16"/>
              </w:rPr>
              <w:t xml:space="preserve"> International and domestic intellectual property disputes are increasingly prevented or resolved through WIPO mediation, arbitration and other alternative dispute resolution methods</w:t>
            </w:r>
          </w:p>
        </w:tc>
        <w:tc>
          <w:tcPr>
            <w:tcW w:w="1952" w:type="pct"/>
            <w:shd w:val="clear" w:color="auto" w:fill="auto"/>
            <w:tcMar>
              <w:top w:w="85" w:type="dxa"/>
              <w:bottom w:w="85" w:type="dxa"/>
            </w:tcMar>
          </w:tcPr>
          <w:p w14:paraId="180E2367" w14:textId="77777777" w:rsidR="00CB11FC" w:rsidRDefault="00CB11FC" w:rsidP="005A1F7F">
            <w:pPr>
              <w:rPr>
                <w:rFonts w:ascii="Arial" w:hAnsi="Arial" w:cs="Arial"/>
                <w:color w:val="000000"/>
                <w:sz w:val="16"/>
                <w:szCs w:val="16"/>
              </w:rPr>
            </w:pPr>
            <w:r>
              <w:rPr>
                <w:rFonts w:ascii="Arial" w:hAnsi="Arial" w:cs="Arial"/>
                <w:color w:val="000000"/>
                <w:sz w:val="16"/>
                <w:szCs w:val="16"/>
              </w:rPr>
              <w:t xml:space="preserve">Increased use of alternative dispute resolution services and clauses in intellectual property transactions and registrations, including through WIPO procedures </w:t>
            </w:r>
          </w:p>
          <w:p w14:paraId="7170E61B" w14:textId="77777777" w:rsidR="00CB11FC" w:rsidRDefault="00CB11FC" w:rsidP="005A1F7F">
            <w:pPr>
              <w:rPr>
                <w:rFonts w:ascii="Arial" w:hAnsi="Arial" w:cs="Arial"/>
                <w:sz w:val="16"/>
                <w:szCs w:val="16"/>
              </w:rPr>
            </w:pPr>
          </w:p>
          <w:p w14:paraId="133882C9" w14:textId="77777777" w:rsidR="00CB11FC" w:rsidRPr="002D4AFB" w:rsidRDefault="00CB11FC" w:rsidP="005A1F7F">
            <w:pPr>
              <w:rPr>
                <w:rFonts w:ascii="Arial" w:hAnsi="Arial" w:cs="Arial"/>
                <w:color w:val="000000"/>
                <w:sz w:val="16"/>
                <w:szCs w:val="16"/>
              </w:rPr>
            </w:pPr>
            <w:r>
              <w:rPr>
                <w:rFonts w:ascii="Arial" w:hAnsi="Arial" w:cs="Arial"/>
                <w:color w:val="000000"/>
                <w:sz w:val="16"/>
                <w:szCs w:val="16"/>
              </w:rPr>
              <w:t>Alternative dispute resolution policies to which the Center has contributed in respect of their development and implementation</w:t>
            </w:r>
          </w:p>
        </w:tc>
        <w:tc>
          <w:tcPr>
            <w:tcW w:w="1341" w:type="pct"/>
            <w:shd w:val="clear" w:color="auto" w:fill="FFFFFF"/>
            <w:tcMar>
              <w:top w:w="85" w:type="dxa"/>
              <w:bottom w:w="85" w:type="dxa"/>
            </w:tcMar>
          </w:tcPr>
          <w:p w14:paraId="79FE1EED"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p w14:paraId="24F555FF" w14:textId="588577A7" w:rsidR="00CB11FC" w:rsidRPr="00795C1D" w:rsidRDefault="00CB11FC" w:rsidP="005A1F7F">
            <w:pPr>
              <w:ind w:left="441"/>
              <w:rPr>
                <w:rFonts w:ascii="Arial" w:hAnsi="Arial" w:cs="Arial"/>
                <w:sz w:val="16"/>
                <w:szCs w:val="16"/>
                <w:lang w:bidi="th-TH"/>
              </w:rPr>
            </w:pPr>
            <w:r w:rsidRPr="00795C1D">
              <w:rPr>
                <w:rFonts w:ascii="Arial" w:hAnsi="Arial" w:cs="Arial"/>
                <w:sz w:val="16"/>
                <w:szCs w:val="16"/>
                <w:lang w:bidi="th-TH"/>
              </w:rPr>
              <w:t xml:space="preserve"> </w:t>
            </w:r>
          </w:p>
          <w:p w14:paraId="72F0E0B0" w14:textId="77777777" w:rsidR="00CB11FC" w:rsidRDefault="00CB11FC" w:rsidP="005A1F7F">
            <w:pPr>
              <w:ind w:left="441"/>
              <w:rPr>
                <w:rFonts w:ascii="Arial" w:hAnsi="Arial" w:cs="Arial"/>
                <w:sz w:val="16"/>
                <w:szCs w:val="16"/>
                <w:lang w:bidi="th-TH"/>
              </w:rPr>
            </w:pPr>
          </w:p>
          <w:p w14:paraId="1DE8C3F7" w14:textId="77777777" w:rsidR="00CB11FC" w:rsidRDefault="00CB11FC" w:rsidP="005A1F7F">
            <w:pPr>
              <w:ind w:left="441"/>
              <w:rPr>
                <w:rFonts w:ascii="Arial" w:hAnsi="Arial" w:cs="Arial"/>
                <w:sz w:val="16"/>
                <w:szCs w:val="16"/>
                <w:lang w:bidi="th-TH"/>
              </w:rPr>
            </w:pPr>
          </w:p>
          <w:p w14:paraId="05B29029" w14:textId="77777777" w:rsidR="00CB11FC" w:rsidRDefault="00CB11FC" w:rsidP="005A1F7F">
            <w:pPr>
              <w:ind w:left="441"/>
              <w:rPr>
                <w:rFonts w:ascii="Arial" w:hAnsi="Arial" w:cs="Arial"/>
                <w:sz w:val="16"/>
                <w:szCs w:val="16"/>
                <w:lang w:bidi="th-TH"/>
              </w:rPr>
            </w:pPr>
          </w:p>
          <w:p w14:paraId="2E511591"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tc>
      </w:tr>
      <w:tr w:rsidR="00CB11FC" w:rsidRPr="00811500" w14:paraId="2641656C" w14:textId="77777777" w:rsidTr="00DC2E3C">
        <w:trPr>
          <w:cantSplit/>
          <w:trHeight w:val="1611"/>
        </w:trPr>
        <w:tc>
          <w:tcPr>
            <w:tcW w:w="1707" w:type="pct"/>
            <w:shd w:val="clear" w:color="auto" w:fill="auto"/>
            <w:tcMar>
              <w:top w:w="85" w:type="dxa"/>
              <w:bottom w:w="85" w:type="dxa"/>
            </w:tcMar>
          </w:tcPr>
          <w:p w14:paraId="79328FE7" w14:textId="4684B15F"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3C79A90" w14:textId="77777777" w:rsidR="00CB11FC" w:rsidRDefault="00CB11FC" w:rsidP="005A1F7F">
            <w:pPr>
              <w:rPr>
                <w:rFonts w:ascii="Arial" w:hAnsi="Arial" w:cs="Arial"/>
                <w:color w:val="000000"/>
                <w:sz w:val="16"/>
                <w:szCs w:val="16"/>
              </w:rPr>
            </w:pPr>
            <w:r w:rsidRPr="0088483D">
              <w:rPr>
                <w:rFonts w:ascii="Arial" w:hAnsi="Arial" w:cs="Arial"/>
                <w:color w:val="000000"/>
                <w:sz w:val="16"/>
                <w:szCs w:val="16"/>
              </w:rPr>
              <w:t>No. of IP disputes originating from transition and developed countries prevented/resolved by  WIPO mediation, arbitration and other alternative dispute resolution methods</w:t>
            </w:r>
          </w:p>
          <w:p w14:paraId="3B8153B7" w14:textId="77777777" w:rsidR="00CB11FC" w:rsidRDefault="00CB11FC" w:rsidP="005A1F7F">
            <w:pPr>
              <w:rPr>
                <w:rFonts w:ascii="Arial" w:hAnsi="Arial" w:cs="Arial"/>
                <w:color w:val="000000"/>
                <w:sz w:val="16"/>
                <w:szCs w:val="16"/>
              </w:rPr>
            </w:pPr>
          </w:p>
          <w:p w14:paraId="6B755F4E" w14:textId="77777777" w:rsidR="00CB11FC" w:rsidRPr="00811500" w:rsidRDefault="00CB11FC" w:rsidP="005A1F7F">
            <w:pPr>
              <w:rPr>
                <w:rFonts w:ascii="Arial" w:hAnsi="Arial" w:cs="Arial"/>
                <w:sz w:val="16"/>
                <w:szCs w:val="16"/>
              </w:rPr>
            </w:pPr>
            <w:r>
              <w:rPr>
                <w:rFonts w:ascii="Arial" w:hAnsi="Arial" w:cs="Arial"/>
                <w:color w:val="000000"/>
                <w:sz w:val="16"/>
                <w:szCs w:val="16"/>
              </w:rPr>
              <w:t>Increased consideration of the use of alternative dispute resolution services in IP transactions, including through the use of WIPO procedures</w:t>
            </w:r>
          </w:p>
        </w:tc>
        <w:tc>
          <w:tcPr>
            <w:tcW w:w="1341" w:type="pct"/>
            <w:shd w:val="clear" w:color="auto" w:fill="FFFFFF"/>
            <w:tcMar>
              <w:top w:w="85" w:type="dxa"/>
              <w:bottom w:w="85" w:type="dxa"/>
            </w:tcMar>
          </w:tcPr>
          <w:p w14:paraId="10D62CA6" w14:textId="77777777" w:rsidR="00CB11FC" w:rsidRDefault="00CB11FC" w:rsidP="005A1F7F">
            <w:pPr>
              <w:ind w:left="441"/>
              <w:rPr>
                <w:rFonts w:ascii="Arial" w:hAnsi="Arial" w:cs="Arial"/>
                <w:sz w:val="16"/>
                <w:szCs w:val="16"/>
                <w:lang w:bidi="th-TH"/>
              </w:rPr>
            </w:pPr>
            <w:r w:rsidRPr="0088483D">
              <w:rPr>
                <w:rFonts w:ascii="Arial" w:hAnsi="Arial" w:cs="Arial"/>
                <w:sz w:val="16"/>
                <w:szCs w:val="16"/>
                <w:lang w:bidi="th-TH"/>
              </w:rPr>
              <w:t>Program 10</w:t>
            </w:r>
          </w:p>
          <w:p w14:paraId="037B92C8" w14:textId="77777777" w:rsidR="00CB11FC" w:rsidRDefault="00CB11FC" w:rsidP="005A1F7F">
            <w:pPr>
              <w:ind w:left="441"/>
              <w:rPr>
                <w:rFonts w:ascii="Arial" w:hAnsi="Arial" w:cs="Arial"/>
                <w:sz w:val="16"/>
                <w:szCs w:val="16"/>
                <w:lang w:bidi="th-TH"/>
              </w:rPr>
            </w:pPr>
          </w:p>
          <w:p w14:paraId="36BAB828" w14:textId="77777777" w:rsidR="00CB11FC" w:rsidRDefault="00CB11FC" w:rsidP="005A1F7F">
            <w:pPr>
              <w:ind w:left="441"/>
              <w:rPr>
                <w:rFonts w:ascii="Arial" w:hAnsi="Arial" w:cs="Arial"/>
                <w:sz w:val="16"/>
                <w:szCs w:val="16"/>
                <w:lang w:bidi="th-TH"/>
              </w:rPr>
            </w:pPr>
          </w:p>
          <w:p w14:paraId="3437A488" w14:textId="77777777" w:rsidR="00CB11FC" w:rsidRDefault="00CB11FC" w:rsidP="005A1F7F">
            <w:pPr>
              <w:ind w:left="441"/>
              <w:rPr>
                <w:rFonts w:ascii="Arial" w:hAnsi="Arial" w:cs="Arial"/>
                <w:sz w:val="16"/>
                <w:szCs w:val="16"/>
                <w:lang w:bidi="th-TH"/>
              </w:rPr>
            </w:pPr>
          </w:p>
          <w:p w14:paraId="55AFD29E" w14:textId="77777777" w:rsidR="00CB11FC" w:rsidRDefault="00CB11FC" w:rsidP="005A1F7F">
            <w:pPr>
              <w:ind w:left="441"/>
              <w:rPr>
                <w:rFonts w:ascii="Arial" w:hAnsi="Arial" w:cs="Arial"/>
                <w:sz w:val="16"/>
                <w:szCs w:val="16"/>
                <w:lang w:bidi="th-TH"/>
              </w:rPr>
            </w:pPr>
          </w:p>
          <w:p w14:paraId="552FCFBD"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20</w:t>
            </w:r>
          </w:p>
        </w:tc>
      </w:tr>
      <w:tr w:rsidR="00CB11FC" w:rsidRPr="00811500" w14:paraId="64C23C6C" w14:textId="77777777" w:rsidTr="00DC2E3C">
        <w:trPr>
          <w:cantSplit/>
          <w:trHeight w:val="305"/>
        </w:trPr>
        <w:tc>
          <w:tcPr>
            <w:tcW w:w="1707" w:type="pct"/>
            <w:shd w:val="clear" w:color="auto" w:fill="auto"/>
            <w:tcMar>
              <w:top w:w="85" w:type="dxa"/>
              <w:bottom w:w="85" w:type="dxa"/>
            </w:tcMar>
          </w:tcPr>
          <w:p w14:paraId="35DC98F5" w14:textId="27B7B7BE" w:rsidR="00CB11FC" w:rsidRPr="00811500" w:rsidRDefault="00CB11FC" w:rsidP="005A1F7F">
            <w:pPr>
              <w:rPr>
                <w:rFonts w:ascii="Arial" w:hAnsi="Arial" w:cs="Arial"/>
                <w:sz w:val="16"/>
                <w:szCs w:val="16"/>
              </w:rPr>
            </w:pPr>
            <w:r w:rsidRPr="00811500">
              <w:rPr>
                <w:rFonts w:ascii="Arial" w:hAnsi="Arial" w:cs="Arial"/>
                <w:sz w:val="16"/>
                <w:szCs w:val="16"/>
              </w:rPr>
              <w:t xml:space="preserve">II.9 Effective intellectual property protection in the </w:t>
            </w:r>
            <w:proofErr w:type="spellStart"/>
            <w:r w:rsidRPr="00811500">
              <w:rPr>
                <w:rFonts w:ascii="Arial" w:hAnsi="Arial" w:cs="Arial"/>
                <w:sz w:val="16"/>
                <w:szCs w:val="16"/>
              </w:rPr>
              <w:t>gTLDs</w:t>
            </w:r>
            <w:proofErr w:type="spellEnd"/>
            <w:r w:rsidRPr="00811500">
              <w:rPr>
                <w:rFonts w:ascii="Arial" w:hAnsi="Arial" w:cs="Arial"/>
                <w:sz w:val="16"/>
                <w:szCs w:val="16"/>
              </w:rPr>
              <w:t xml:space="preserve"> and the </w:t>
            </w:r>
            <w:proofErr w:type="spellStart"/>
            <w:r w:rsidRPr="00811500">
              <w:rPr>
                <w:rFonts w:ascii="Arial" w:hAnsi="Arial" w:cs="Arial"/>
                <w:sz w:val="16"/>
                <w:szCs w:val="16"/>
              </w:rPr>
              <w:t>ccTLDs</w:t>
            </w:r>
            <w:proofErr w:type="spellEnd"/>
          </w:p>
        </w:tc>
        <w:tc>
          <w:tcPr>
            <w:tcW w:w="1952" w:type="pct"/>
            <w:shd w:val="clear" w:color="auto" w:fill="auto"/>
            <w:tcMar>
              <w:top w:w="85" w:type="dxa"/>
              <w:bottom w:w="85" w:type="dxa"/>
            </w:tcMar>
          </w:tcPr>
          <w:p w14:paraId="6AE4B5BC" w14:textId="77777777" w:rsidR="00CB11FC" w:rsidRPr="0088483D" w:rsidRDefault="00CB11FC" w:rsidP="005A1F7F">
            <w:pPr>
              <w:rPr>
                <w:rFonts w:ascii="Arial" w:hAnsi="Arial" w:cs="Arial"/>
                <w:sz w:val="16"/>
                <w:szCs w:val="16"/>
                <w:highlight w:val="yellow"/>
              </w:rPr>
            </w:pPr>
            <w:r>
              <w:rPr>
                <w:rFonts w:ascii="Arial" w:hAnsi="Arial" w:cs="Arial"/>
                <w:color w:val="000000"/>
                <w:sz w:val="16"/>
                <w:szCs w:val="16"/>
              </w:rPr>
              <w:t xml:space="preserve">No. of UDRP based </w:t>
            </w:r>
            <w:proofErr w:type="spellStart"/>
            <w:r>
              <w:rPr>
                <w:rFonts w:ascii="Arial" w:hAnsi="Arial" w:cs="Arial"/>
                <w:color w:val="000000"/>
                <w:sz w:val="16"/>
                <w:szCs w:val="16"/>
              </w:rPr>
              <w:t>gTLD</w:t>
            </w:r>
            <w:proofErr w:type="spellEnd"/>
            <w:r>
              <w:rPr>
                <w:rFonts w:ascii="Arial" w:hAnsi="Arial" w:cs="Arial"/>
                <w:color w:val="000000"/>
                <w:sz w:val="16"/>
                <w:szCs w:val="16"/>
              </w:rPr>
              <w:t xml:space="preserve"> and </w:t>
            </w:r>
            <w:proofErr w:type="spellStart"/>
            <w:r>
              <w:rPr>
                <w:rFonts w:ascii="Arial" w:hAnsi="Arial" w:cs="Arial"/>
                <w:color w:val="000000"/>
                <w:sz w:val="16"/>
                <w:szCs w:val="16"/>
              </w:rPr>
              <w:t>ccTLD</w:t>
            </w:r>
            <w:proofErr w:type="spellEnd"/>
            <w:r>
              <w:rPr>
                <w:rFonts w:ascii="Arial" w:hAnsi="Arial" w:cs="Arial"/>
                <w:color w:val="000000"/>
                <w:sz w:val="16"/>
                <w:szCs w:val="16"/>
              </w:rPr>
              <w:t xml:space="preserve"> cases administered by the Center</w:t>
            </w:r>
          </w:p>
        </w:tc>
        <w:tc>
          <w:tcPr>
            <w:tcW w:w="1341" w:type="pct"/>
            <w:shd w:val="clear" w:color="auto" w:fill="FFFFFF"/>
            <w:tcMar>
              <w:top w:w="85" w:type="dxa"/>
              <w:bottom w:w="85" w:type="dxa"/>
            </w:tcMar>
          </w:tcPr>
          <w:p w14:paraId="631CD91E" w14:textId="77777777" w:rsidR="00CB11FC" w:rsidRPr="00DD2110"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7</w:t>
            </w:r>
          </w:p>
        </w:tc>
      </w:tr>
      <w:tr w:rsidR="00CB11FC" w:rsidRPr="00811500" w14:paraId="64879552" w14:textId="77777777" w:rsidTr="00DC2E3C">
        <w:trPr>
          <w:cantSplit/>
          <w:trHeight w:val="289"/>
        </w:trPr>
        <w:tc>
          <w:tcPr>
            <w:tcW w:w="1707" w:type="pct"/>
            <w:shd w:val="clear" w:color="auto" w:fill="auto"/>
            <w:tcMar>
              <w:top w:w="85" w:type="dxa"/>
              <w:bottom w:w="85" w:type="dxa"/>
            </w:tcMar>
          </w:tcPr>
          <w:p w14:paraId="0A94E3FD" w14:textId="6B955C74"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CFB11D7" w14:textId="77777777" w:rsidR="00CB11FC" w:rsidRPr="00811500" w:rsidRDefault="00CB11FC" w:rsidP="005A1F7F">
            <w:pPr>
              <w:rPr>
                <w:rFonts w:ascii="Arial" w:hAnsi="Arial" w:cs="Arial"/>
                <w:sz w:val="16"/>
                <w:szCs w:val="16"/>
              </w:rPr>
            </w:pPr>
            <w:r>
              <w:rPr>
                <w:rFonts w:ascii="Arial" w:hAnsi="Arial" w:cs="Arial"/>
                <w:color w:val="000000"/>
                <w:sz w:val="16"/>
                <w:szCs w:val="16"/>
              </w:rPr>
              <w:t>Dispute resolution policies in the Domain Name System to which the Center has contributed in respect of their development and implementation</w:t>
            </w:r>
          </w:p>
        </w:tc>
        <w:tc>
          <w:tcPr>
            <w:tcW w:w="1341" w:type="pct"/>
            <w:shd w:val="clear" w:color="auto" w:fill="FFFFFF"/>
            <w:tcMar>
              <w:top w:w="85" w:type="dxa"/>
              <w:bottom w:w="85" w:type="dxa"/>
            </w:tcMar>
          </w:tcPr>
          <w:p w14:paraId="16E83009"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tc>
      </w:tr>
      <w:tr w:rsidR="00F15697" w:rsidRPr="00811500" w14:paraId="5EF9C340" w14:textId="77777777" w:rsidTr="00DC2E3C">
        <w:trPr>
          <w:cantSplit/>
          <w:trHeight w:val="289"/>
        </w:trPr>
        <w:tc>
          <w:tcPr>
            <w:tcW w:w="1707" w:type="pct"/>
            <w:shd w:val="clear" w:color="auto" w:fill="auto"/>
            <w:tcMar>
              <w:top w:w="85" w:type="dxa"/>
              <w:bottom w:w="85" w:type="dxa"/>
            </w:tcMar>
          </w:tcPr>
          <w:p w14:paraId="0862DBB4" w14:textId="133C67DD" w:rsidR="00F15697" w:rsidRPr="00811500" w:rsidRDefault="00F15697" w:rsidP="00B5316B">
            <w:pPr>
              <w:rPr>
                <w:rFonts w:ascii="Arial" w:hAnsi="Arial" w:cs="Arial"/>
                <w:sz w:val="16"/>
                <w:szCs w:val="16"/>
              </w:rPr>
            </w:pPr>
            <w:r w:rsidRPr="00F15697">
              <w:rPr>
                <w:rFonts w:ascii="Arial" w:hAnsi="Arial" w:cs="Arial"/>
                <w:sz w:val="16"/>
                <w:szCs w:val="16"/>
              </w:rPr>
              <w:t xml:space="preserve">II.10 Wider and more effective use of the </w:t>
            </w:r>
            <w:r w:rsidR="00B5316B">
              <w:rPr>
                <w:rFonts w:ascii="Arial" w:hAnsi="Arial" w:cs="Arial"/>
                <w:sz w:val="16"/>
                <w:szCs w:val="16"/>
              </w:rPr>
              <w:t>Lisbon S</w:t>
            </w:r>
            <w:r w:rsidRPr="00F15697">
              <w:rPr>
                <w:rFonts w:ascii="Arial" w:hAnsi="Arial" w:cs="Arial"/>
                <w:sz w:val="16"/>
                <w:szCs w:val="16"/>
              </w:rPr>
              <w:t>ystem, including by developing countries and LDCs</w:t>
            </w:r>
          </w:p>
        </w:tc>
        <w:tc>
          <w:tcPr>
            <w:tcW w:w="1952" w:type="pct"/>
            <w:shd w:val="clear" w:color="auto" w:fill="auto"/>
            <w:tcMar>
              <w:top w:w="85" w:type="dxa"/>
              <w:bottom w:w="85" w:type="dxa"/>
            </w:tcMar>
          </w:tcPr>
          <w:p w14:paraId="53934CF3" w14:textId="4CBB247B" w:rsidR="00F15697" w:rsidRDefault="00F15697" w:rsidP="005A1F7F">
            <w:pPr>
              <w:rPr>
                <w:rFonts w:ascii="Arial" w:hAnsi="Arial" w:cs="Arial"/>
                <w:color w:val="000000"/>
                <w:sz w:val="16"/>
                <w:szCs w:val="16"/>
              </w:rPr>
            </w:pPr>
            <w:r w:rsidRPr="00E748D2">
              <w:rPr>
                <w:rFonts w:ascii="Arial" w:hAnsi="Arial" w:cs="Arial"/>
                <w:color w:val="000000"/>
                <w:sz w:val="16"/>
                <w:szCs w:val="16"/>
              </w:rPr>
              <w:t>Expansion of the geographical coverage of the Lisbon System</w:t>
            </w:r>
          </w:p>
        </w:tc>
        <w:tc>
          <w:tcPr>
            <w:tcW w:w="1341" w:type="pct"/>
            <w:shd w:val="clear" w:color="auto" w:fill="FFFFFF"/>
            <w:tcMar>
              <w:top w:w="85" w:type="dxa"/>
              <w:bottom w:w="85" w:type="dxa"/>
            </w:tcMar>
          </w:tcPr>
          <w:p w14:paraId="54FBE7D5" w14:textId="77DD9430" w:rsidR="00F15697" w:rsidRPr="00811500" w:rsidRDefault="00F15697" w:rsidP="005A1F7F">
            <w:pPr>
              <w:ind w:left="441"/>
              <w:rPr>
                <w:rFonts w:ascii="Arial" w:hAnsi="Arial" w:cs="Arial"/>
                <w:sz w:val="16"/>
                <w:szCs w:val="16"/>
                <w:lang w:bidi="th-TH"/>
              </w:rPr>
            </w:pPr>
            <w:r>
              <w:rPr>
                <w:rFonts w:ascii="Arial" w:hAnsi="Arial" w:cs="Arial"/>
                <w:sz w:val="16"/>
                <w:szCs w:val="16"/>
                <w:lang w:bidi="th-TH"/>
              </w:rPr>
              <w:t>Program 32</w:t>
            </w:r>
          </w:p>
        </w:tc>
      </w:tr>
      <w:tr w:rsidR="00F15697" w:rsidRPr="00811500" w14:paraId="4AD2B80F" w14:textId="77777777" w:rsidTr="00DC2E3C">
        <w:trPr>
          <w:cantSplit/>
          <w:trHeight w:val="289"/>
        </w:trPr>
        <w:tc>
          <w:tcPr>
            <w:tcW w:w="1707" w:type="pct"/>
            <w:shd w:val="clear" w:color="auto" w:fill="auto"/>
            <w:tcMar>
              <w:top w:w="85" w:type="dxa"/>
              <w:bottom w:w="85" w:type="dxa"/>
            </w:tcMar>
          </w:tcPr>
          <w:p w14:paraId="17C9C636" w14:textId="77777777" w:rsidR="00F15697" w:rsidRPr="00F15697" w:rsidRDefault="00F15697" w:rsidP="005A1F7F">
            <w:pPr>
              <w:rPr>
                <w:rFonts w:ascii="Arial" w:hAnsi="Arial" w:cs="Arial"/>
                <w:sz w:val="16"/>
                <w:szCs w:val="16"/>
              </w:rPr>
            </w:pPr>
          </w:p>
        </w:tc>
        <w:tc>
          <w:tcPr>
            <w:tcW w:w="1952" w:type="pct"/>
            <w:shd w:val="clear" w:color="auto" w:fill="auto"/>
            <w:tcMar>
              <w:top w:w="85" w:type="dxa"/>
              <w:bottom w:w="85" w:type="dxa"/>
            </w:tcMar>
          </w:tcPr>
          <w:p w14:paraId="32C5D0D9" w14:textId="2E0A5C81" w:rsidR="00F15697" w:rsidRDefault="00F15697" w:rsidP="005A1F7F">
            <w:pPr>
              <w:rPr>
                <w:rFonts w:ascii="Arial" w:hAnsi="Arial" w:cs="Arial"/>
                <w:color w:val="000000"/>
                <w:sz w:val="16"/>
                <w:szCs w:val="16"/>
              </w:rPr>
            </w:pPr>
            <w:r w:rsidRPr="00E748D2">
              <w:rPr>
                <w:rFonts w:ascii="Arial" w:hAnsi="Arial" w:cs="Arial"/>
                <w:color w:val="000000"/>
                <w:sz w:val="16"/>
                <w:szCs w:val="16"/>
              </w:rPr>
              <w:t>% of participants in Lisbon System events satisfied and reporting enhanced awareness post an event</w:t>
            </w:r>
          </w:p>
        </w:tc>
        <w:tc>
          <w:tcPr>
            <w:tcW w:w="1341" w:type="pct"/>
            <w:shd w:val="clear" w:color="auto" w:fill="FFFFFF"/>
            <w:tcMar>
              <w:top w:w="85" w:type="dxa"/>
              <w:bottom w:w="85" w:type="dxa"/>
            </w:tcMar>
          </w:tcPr>
          <w:p w14:paraId="69E9D664" w14:textId="325E564E" w:rsidR="00F15697" w:rsidRPr="00811500" w:rsidRDefault="00F15697" w:rsidP="005A1F7F">
            <w:pPr>
              <w:ind w:left="441"/>
              <w:rPr>
                <w:rFonts w:ascii="Arial" w:hAnsi="Arial" w:cs="Arial"/>
                <w:sz w:val="16"/>
                <w:szCs w:val="16"/>
                <w:lang w:bidi="th-TH"/>
              </w:rPr>
            </w:pPr>
            <w:r>
              <w:rPr>
                <w:rFonts w:ascii="Arial" w:hAnsi="Arial" w:cs="Arial"/>
                <w:sz w:val="16"/>
                <w:szCs w:val="16"/>
                <w:lang w:bidi="th-TH"/>
              </w:rPr>
              <w:t>Program 32</w:t>
            </w:r>
          </w:p>
        </w:tc>
      </w:tr>
      <w:tr w:rsidR="00F15697" w:rsidRPr="00811500" w14:paraId="63C707F8" w14:textId="77777777" w:rsidTr="00DC2E3C">
        <w:trPr>
          <w:cantSplit/>
          <w:trHeight w:val="289"/>
        </w:trPr>
        <w:tc>
          <w:tcPr>
            <w:tcW w:w="1707" w:type="pct"/>
            <w:shd w:val="clear" w:color="auto" w:fill="auto"/>
            <w:tcMar>
              <w:top w:w="85" w:type="dxa"/>
              <w:bottom w:w="85" w:type="dxa"/>
            </w:tcMar>
          </w:tcPr>
          <w:p w14:paraId="79AF8C8D" w14:textId="77777777" w:rsidR="00F15697" w:rsidRPr="00F15697" w:rsidRDefault="00F15697" w:rsidP="005A1F7F">
            <w:pPr>
              <w:rPr>
                <w:rFonts w:ascii="Arial" w:hAnsi="Arial" w:cs="Arial"/>
                <w:sz w:val="16"/>
                <w:szCs w:val="16"/>
              </w:rPr>
            </w:pPr>
          </w:p>
        </w:tc>
        <w:tc>
          <w:tcPr>
            <w:tcW w:w="1952" w:type="pct"/>
            <w:shd w:val="clear" w:color="auto" w:fill="auto"/>
            <w:tcMar>
              <w:top w:w="85" w:type="dxa"/>
              <w:bottom w:w="85" w:type="dxa"/>
            </w:tcMar>
          </w:tcPr>
          <w:p w14:paraId="5EAFE4FF" w14:textId="2B05D0B9" w:rsidR="00F15697" w:rsidRDefault="00F15697" w:rsidP="005A1F7F">
            <w:pPr>
              <w:rPr>
                <w:rFonts w:ascii="Arial" w:hAnsi="Arial" w:cs="Arial"/>
                <w:color w:val="000000"/>
                <w:sz w:val="16"/>
                <w:szCs w:val="16"/>
              </w:rPr>
            </w:pPr>
            <w:r w:rsidRPr="00E748D2">
              <w:rPr>
                <w:rFonts w:ascii="Arial" w:hAnsi="Arial" w:cs="Arial"/>
                <w:color w:val="000000"/>
                <w:sz w:val="16"/>
                <w:szCs w:val="16"/>
              </w:rPr>
              <w:t>No. of international applications and other transactions</w:t>
            </w:r>
            <w:r>
              <w:rPr>
                <w:rFonts w:ascii="Arial" w:hAnsi="Arial" w:cs="Arial"/>
                <w:color w:val="000000"/>
                <w:sz w:val="16"/>
                <w:szCs w:val="16"/>
              </w:rPr>
              <w:t xml:space="preserve"> (Lisbon)</w:t>
            </w:r>
          </w:p>
        </w:tc>
        <w:tc>
          <w:tcPr>
            <w:tcW w:w="1341" w:type="pct"/>
            <w:shd w:val="clear" w:color="auto" w:fill="FFFFFF"/>
            <w:tcMar>
              <w:top w:w="85" w:type="dxa"/>
              <w:bottom w:w="85" w:type="dxa"/>
            </w:tcMar>
          </w:tcPr>
          <w:p w14:paraId="1CF0FA82" w14:textId="380F5E9C" w:rsidR="00F15697" w:rsidRPr="00811500" w:rsidRDefault="00F15697" w:rsidP="005A1F7F">
            <w:pPr>
              <w:ind w:left="441"/>
              <w:rPr>
                <w:rFonts w:ascii="Arial" w:hAnsi="Arial" w:cs="Arial"/>
                <w:sz w:val="16"/>
                <w:szCs w:val="16"/>
                <w:lang w:bidi="th-TH"/>
              </w:rPr>
            </w:pPr>
            <w:r>
              <w:rPr>
                <w:rFonts w:ascii="Arial" w:hAnsi="Arial" w:cs="Arial"/>
                <w:sz w:val="16"/>
                <w:szCs w:val="16"/>
                <w:lang w:bidi="th-TH"/>
              </w:rPr>
              <w:t>Program 32</w:t>
            </w:r>
          </w:p>
        </w:tc>
      </w:tr>
      <w:tr w:rsidR="00F15697" w:rsidRPr="00811500" w14:paraId="14B79DFE" w14:textId="77777777" w:rsidTr="00DC2E3C">
        <w:trPr>
          <w:cantSplit/>
          <w:trHeight w:val="289"/>
        </w:trPr>
        <w:tc>
          <w:tcPr>
            <w:tcW w:w="1707" w:type="pct"/>
            <w:shd w:val="clear" w:color="auto" w:fill="auto"/>
            <w:tcMar>
              <w:top w:w="85" w:type="dxa"/>
              <w:bottom w:w="85" w:type="dxa"/>
            </w:tcMar>
          </w:tcPr>
          <w:p w14:paraId="7A85E884" w14:textId="77777777" w:rsidR="00F15697" w:rsidRPr="00F15697" w:rsidRDefault="00F15697" w:rsidP="005A1F7F">
            <w:pPr>
              <w:rPr>
                <w:rFonts w:ascii="Arial" w:hAnsi="Arial" w:cs="Arial"/>
                <w:sz w:val="16"/>
                <w:szCs w:val="16"/>
              </w:rPr>
            </w:pPr>
          </w:p>
        </w:tc>
        <w:tc>
          <w:tcPr>
            <w:tcW w:w="1952" w:type="pct"/>
            <w:shd w:val="clear" w:color="auto" w:fill="auto"/>
            <w:tcMar>
              <w:top w:w="85" w:type="dxa"/>
              <w:bottom w:w="85" w:type="dxa"/>
            </w:tcMar>
          </w:tcPr>
          <w:p w14:paraId="7E360570" w14:textId="3CD0424C" w:rsidR="00F15697" w:rsidRDefault="00F15697" w:rsidP="005A1F7F">
            <w:pPr>
              <w:rPr>
                <w:rFonts w:ascii="Arial" w:hAnsi="Arial" w:cs="Arial"/>
                <w:color w:val="000000"/>
                <w:sz w:val="16"/>
                <w:szCs w:val="16"/>
              </w:rPr>
            </w:pPr>
            <w:r w:rsidRPr="00E748D2">
              <w:rPr>
                <w:rFonts w:ascii="Arial" w:hAnsi="Arial" w:cs="Arial"/>
                <w:color w:val="000000"/>
                <w:sz w:val="16"/>
                <w:szCs w:val="16"/>
              </w:rPr>
              <w:t>No. of international registrations from developing countries and LDCs in force under the Lisbon System (in relation to the total no.)</w:t>
            </w:r>
          </w:p>
        </w:tc>
        <w:tc>
          <w:tcPr>
            <w:tcW w:w="1341" w:type="pct"/>
            <w:shd w:val="clear" w:color="auto" w:fill="FFFFFF"/>
            <w:tcMar>
              <w:top w:w="85" w:type="dxa"/>
              <w:bottom w:w="85" w:type="dxa"/>
            </w:tcMar>
          </w:tcPr>
          <w:p w14:paraId="1C8C2791" w14:textId="62B3311F" w:rsidR="00F15697" w:rsidRDefault="00F15697" w:rsidP="003F0305">
            <w:pPr>
              <w:ind w:left="441"/>
              <w:rPr>
                <w:rFonts w:ascii="Arial" w:hAnsi="Arial" w:cs="Arial"/>
                <w:sz w:val="16"/>
                <w:szCs w:val="16"/>
                <w:lang w:bidi="th-TH"/>
              </w:rPr>
            </w:pPr>
            <w:r>
              <w:rPr>
                <w:rFonts w:ascii="Arial" w:hAnsi="Arial" w:cs="Arial"/>
                <w:sz w:val="16"/>
                <w:szCs w:val="16"/>
                <w:lang w:bidi="th-TH"/>
              </w:rPr>
              <w:t>Program 32</w:t>
            </w:r>
          </w:p>
          <w:p w14:paraId="47D6A3DE" w14:textId="77777777" w:rsidR="00F15697" w:rsidRDefault="00F15697" w:rsidP="003F0305">
            <w:pPr>
              <w:ind w:left="441"/>
              <w:rPr>
                <w:rFonts w:ascii="Arial" w:hAnsi="Arial" w:cs="Arial"/>
                <w:sz w:val="16"/>
                <w:szCs w:val="16"/>
                <w:lang w:bidi="th-TH"/>
              </w:rPr>
            </w:pPr>
            <w:r>
              <w:rPr>
                <w:rFonts w:ascii="Arial" w:hAnsi="Arial" w:cs="Arial"/>
                <w:sz w:val="16"/>
                <w:szCs w:val="16"/>
                <w:lang w:bidi="th-TH"/>
              </w:rPr>
              <w:t>Program 9</w:t>
            </w:r>
          </w:p>
          <w:p w14:paraId="797B92B2" w14:textId="10594C59" w:rsidR="00F15697" w:rsidRPr="00811500" w:rsidRDefault="00F15697" w:rsidP="005A1F7F">
            <w:pPr>
              <w:ind w:left="441"/>
              <w:rPr>
                <w:rFonts w:ascii="Arial" w:hAnsi="Arial" w:cs="Arial"/>
                <w:sz w:val="16"/>
                <w:szCs w:val="16"/>
                <w:lang w:bidi="th-TH"/>
              </w:rPr>
            </w:pPr>
            <w:r>
              <w:rPr>
                <w:rFonts w:ascii="Arial" w:hAnsi="Arial" w:cs="Arial"/>
                <w:sz w:val="16"/>
                <w:szCs w:val="16"/>
                <w:lang w:bidi="th-TH"/>
              </w:rPr>
              <w:t xml:space="preserve"> </w:t>
            </w:r>
          </w:p>
        </w:tc>
      </w:tr>
      <w:tr w:rsidR="00F15697" w:rsidRPr="00811500" w14:paraId="74ED5D5D" w14:textId="77777777" w:rsidTr="00DC2E3C">
        <w:trPr>
          <w:cantSplit/>
          <w:trHeight w:val="289"/>
        </w:trPr>
        <w:tc>
          <w:tcPr>
            <w:tcW w:w="1707" w:type="pct"/>
            <w:shd w:val="clear" w:color="auto" w:fill="auto"/>
            <w:tcMar>
              <w:top w:w="85" w:type="dxa"/>
              <w:bottom w:w="85" w:type="dxa"/>
            </w:tcMar>
          </w:tcPr>
          <w:p w14:paraId="1005B106" w14:textId="77777777" w:rsidR="00F15697" w:rsidRPr="00F15697" w:rsidRDefault="00F15697" w:rsidP="005A1F7F">
            <w:pPr>
              <w:rPr>
                <w:rFonts w:ascii="Arial" w:hAnsi="Arial" w:cs="Arial"/>
                <w:sz w:val="16"/>
                <w:szCs w:val="16"/>
              </w:rPr>
            </w:pPr>
          </w:p>
        </w:tc>
        <w:tc>
          <w:tcPr>
            <w:tcW w:w="1952" w:type="pct"/>
            <w:shd w:val="clear" w:color="auto" w:fill="auto"/>
            <w:tcMar>
              <w:top w:w="85" w:type="dxa"/>
              <w:bottom w:w="85" w:type="dxa"/>
            </w:tcMar>
          </w:tcPr>
          <w:p w14:paraId="4564D9EB" w14:textId="0DDDFE6E" w:rsidR="00F15697" w:rsidRPr="00E748D2" w:rsidRDefault="00F15697" w:rsidP="005A1F7F">
            <w:pPr>
              <w:rPr>
                <w:rFonts w:ascii="Arial" w:hAnsi="Arial" w:cs="Arial"/>
                <w:color w:val="000000"/>
                <w:sz w:val="16"/>
                <w:szCs w:val="16"/>
              </w:rPr>
            </w:pPr>
            <w:r w:rsidRPr="0066276F">
              <w:rPr>
                <w:rFonts w:ascii="Arial" w:hAnsi="Arial" w:cs="Arial"/>
                <w:color w:val="000000"/>
                <w:sz w:val="16"/>
                <w:szCs w:val="16"/>
              </w:rPr>
              <w:t>No. of Lisbon system international registrations for transition and developed countries in force</w:t>
            </w:r>
          </w:p>
        </w:tc>
        <w:tc>
          <w:tcPr>
            <w:tcW w:w="1341" w:type="pct"/>
            <w:shd w:val="clear" w:color="auto" w:fill="FFFFFF"/>
            <w:tcMar>
              <w:top w:w="85" w:type="dxa"/>
              <w:bottom w:w="85" w:type="dxa"/>
            </w:tcMar>
          </w:tcPr>
          <w:p w14:paraId="187671D8" w14:textId="77777777" w:rsidR="00F15697" w:rsidRPr="0066276F" w:rsidRDefault="00F15697" w:rsidP="003F0305">
            <w:pPr>
              <w:ind w:left="441"/>
              <w:rPr>
                <w:rFonts w:ascii="Arial" w:hAnsi="Arial" w:cs="Arial"/>
                <w:sz w:val="16"/>
                <w:szCs w:val="16"/>
                <w:lang w:bidi="th-TH"/>
              </w:rPr>
            </w:pPr>
            <w:r w:rsidRPr="0066276F">
              <w:rPr>
                <w:rFonts w:ascii="Arial" w:hAnsi="Arial" w:cs="Arial"/>
                <w:sz w:val="16"/>
                <w:szCs w:val="16"/>
                <w:lang w:bidi="th-TH"/>
              </w:rPr>
              <w:t>Program 10</w:t>
            </w:r>
          </w:p>
          <w:p w14:paraId="4908E2B0" w14:textId="77777777" w:rsidR="00F15697" w:rsidRDefault="00F15697" w:rsidP="003F0305">
            <w:pPr>
              <w:ind w:left="441"/>
              <w:rPr>
                <w:rFonts w:ascii="Arial" w:hAnsi="Arial" w:cs="Arial"/>
                <w:sz w:val="16"/>
                <w:szCs w:val="16"/>
                <w:lang w:bidi="th-TH"/>
              </w:rPr>
            </w:pPr>
          </w:p>
        </w:tc>
      </w:tr>
      <w:tr w:rsidR="00F15697" w:rsidRPr="00811500" w14:paraId="3F5A7C8B" w14:textId="77777777" w:rsidTr="00DC2E3C">
        <w:trPr>
          <w:cantSplit/>
          <w:trHeight w:val="289"/>
        </w:trPr>
        <w:tc>
          <w:tcPr>
            <w:tcW w:w="1707" w:type="pct"/>
            <w:shd w:val="clear" w:color="auto" w:fill="auto"/>
            <w:tcMar>
              <w:top w:w="85" w:type="dxa"/>
              <w:bottom w:w="85" w:type="dxa"/>
            </w:tcMar>
          </w:tcPr>
          <w:p w14:paraId="16A96425" w14:textId="7B54A334" w:rsidR="00F15697" w:rsidRPr="00811500" w:rsidRDefault="00F15697" w:rsidP="005A1F7F">
            <w:pPr>
              <w:rPr>
                <w:rFonts w:ascii="Arial" w:hAnsi="Arial" w:cs="Arial"/>
                <w:sz w:val="16"/>
                <w:szCs w:val="16"/>
              </w:rPr>
            </w:pPr>
            <w:r w:rsidRPr="00F15697">
              <w:rPr>
                <w:rFonts w:ascii="Arial" w:hAnsi="Arial" w:cs="Arial"/>
                <w:sz w:val="16"/>
                <w:szCs w:val="16"/>
              </w:rPr>
              <w:t>II.11 Improved productivity and service quality of Lisbon operations</w:t>
            </w:r>
          </w:p>
        </w:tc>
        <w:tc>
          <w:tcPr>
            <w:tcW w:w="1952" w:type="pct"/>
            <w:shd w:val="clear" w:color="auto" w:fill="auto"/>
            <w:tcMar>
              <w:top w:w="85" w:type="dxa"/>
              <w:bottom w:w="85" w:type="dxa"/>
            </w:tcMar>
          </w:tcPr>
          <w:p w14:paraId="7B739B15" w14:textId="731A5215" w:rsidR="00F15697" w:rsidRDefault="00F15697" w:rsidP="005A1F7F">
            <w:pPr>
              <w:rPr>
                <w:rFonts w:ascii="Arial" w:hAnsi="Arial" w:cs="Arial"/>
                <w:color w:val="000000"/>
                <w:sz w:val="16"/>
                <w:szCs w:val="16"/>
              </w:rPr>
            </w:pPr>
            <w:r w:rsidRPr="002D4AFB">
              <w:rPr>
                <w:rFonts w:ascii="Arial" w:hAnsi="Arial" w:cs="Arial"/>
                <w:color w:val="000000"/>
                <w:sz w:val="16"/>
                <w:szCs w:val="16"/>
              </w:rPr>
              <w:t>Adoption of provisions streamlining the Lisbon System legal framework</w:t>
            </w:r>
          </w:p>
        </w:tc>
        <w:tc>
          <w:tcPr>
            <w:tcW w:w="1341" w:type="pct"/>
            <w:shd w:val="clear" w:color="auto" w:fill="FFFFFF"/>
            <w:tcMar>
              <w:top w:w="85" w:type="dxa"/>
              <w:bottom w:w="85" w:type="dxa"/>
            </w:tcMar>
          </w:tcPr>
          <w:p w14:paraId="1D1164F3" w14:textId="76D5B193" w:rsidR="00F15697" w:rsidRPr="00811500" w:rsidRDefault="00F15697" w:rsidP="005A1F7F">
            <w:pPr>
              <w:ind w:left="441"/>
              <w:rPr>
                <w:rFonts w:ascii="Arial" w:hAnsi="Arial" w:cs="Arial"/>
                <w:sz w:val="16"/>
                <w:szCs w:val="16"/>
                <w:lang w:bidi="th-TH"/>
              </w:rPr>
            </w:pPr>
            <w:r>
              <w:rPr>
                <w:rFonts w:ascii="Arial" w:hAnsi="Arial" w:cs="Arial"/>
                <w:sz w:val="16"/>
                <w:szCs w:val="16"/>
                <w:lang w:bidi="th-TH"/>
              </w:rPr>
              <w:t>Program 32</w:t>
            </w:r>
          </w:p>
        </w:tc>
      </w:tr>
      <w:tr w:rsidR="00F15697" w:rsidRPr="00811500" w14:paraId="101A13BB" w14:textId="77777777" w:rsidTr="00DC2E3C">
        <w:trPr>
          <w:cantSplit/>
          <w:trHeight w:val="289"/>
        </w:trPr>
        <w:tc>
          <w:tcPr>
            <w:tcW w:w="1707" w:type="pct"/>
            <w:shd w:val="clear" w:color="auto" w:fill="auto"/>
            <w:tcMar>
              <w:top w:w="85" w:type="dxa"/>
              <w:bottom w:w="85" w:type="dxa"/>
            </w:tcMar>
          </w:tcPr>
          <w:p w14:paraId="3E990551" w14:textId="77777777" w:rsidR="00F15697" w:rsidRPr="00F15697" w:rsidRDefault="00F15697" w:rsidP="005A1F7F">
            <w:pPr>
              <w:rPr>
                <w:rFonts w:ascii="Arial" w:hAnsi="Arial" w:cs="Arial"/>
                <w:sz w:val="16"/>
                <w:szCs w:val="16"/>
              </w:rPr>
            </w:pPr>
          </w:p>
        </w:tc>
        <w:tc>
          <w:tcPr>
            <w:tcW w:w="1952" w:type="pct"/>
            <w:shd w:val="clear" w:color="auto" w:fill="auto"/>
            <w:tcMar>
              <w:top w:w="85" w:type="dxa"/>
              <w:bottom w:w="85" w:type="dxa"/>
            </w:tcMar>
          </w:tcPr>
          <w:p w14:paraId="0F6DC0EE" w14:textId="03F94CA6" w:rsidR="00F15697" w:rsidRPr="002D4AFB" w:rsidRDefault="00F15697" w:rsidP="005A1F7F">
            <w:pPr>
              <w:rPr>
                <w:rFonts w:ascii="Arial" w:hAnsi="Arial" w:cs="Arial"/>
                <w:color w:val="000000"/>
                <w:sz w:val="16"/>
                <w:szCs w:val="16"/>
              </w:rPr>
            </w:pPr>
            <w:r w:rsidRPr="002D4AFB">
              <w:rPr>
                <w:rFonts w:ascii="Arial" w:hAnsi="Arial" w:cs="Arial"/>
                <w:color w:val="000000"/>
                <w:sz w:val="16"/>
                <w:szCs w:val="16"/>
              </w:rPr>
              <w:t>Increased use of electronic means for filing and processing international applications and other transactions</w:t>
            </w:r>
            <w:r>
              <w:rPr>
                <w:rFonts w:ascii="Arial" w:hAnsi="Arial" w:cs="Arial"/>
                <w:color w:val="000000"/>
                <w:sz w:val="16"/>
                <w:szCs w:val="16"/>
              </w:rPr>
              <w:t xml:space="preserve"> (Lisbon)</w:t>
            </w:r>
          </w:p>
        </w:tc>
        <w:tc>
          <w:tcPr>
            <w:tcW w:w="1341" w:type="pct"/>
            <w:shd w:val="clear" w:color="auto" w:fill="FFFFFF"/>
            <w:tcMar>
              <w:top w:w="85" w:type="dxa"/>
              <w:bottom w:w="85" w:type="dxa"/>
            </w:tcMar>
          </w:tcPr>
          <w:p w14:paraId="008F2F66" w14:textId="30327020" w:rsidR="00F15697" w:rsidRDefault="00F15697" w:rsidP="005A1F7F">
            <w:pPr>
              <w:ind w:left="441"/>
              <w:rPr>
                <w:rFonts w:ascii="Arial" w:hAnsi="Arial" w:cs="Arial"/>
                <w:sz w:val="16"/>
                <w:szCs w:val="16"/>
                <w:lang w:bidi="th-TH"/>
              </w:rPr>
            </w:pPr>
            <w:r>
              <w:rPr>
                <w:rFonts w:ascii="Arial" w:hAnsi="Arial" w:cs="Arial"/>
                <w:sz w:val="16"/>
                <w:szCs w:val="16"/>
                <w:lang w:bidi="th-TH"/>
              </w:rPr>
              <w:t>Program 32</w:t>
            </w:r>
          </w:p>
        </w:tc>
      </w:tr>
      <w:tr w:rsidR="000227FF" w:rsidRPr="00811500" w14:paraId="46036AA2" w14:textId="77777777" w:rsidTr="00DC2E3C">
        <w:trPr>
          <w:cantSplit/>
          <w:trHeight w:val="289"/>
        </w:trPr>
        <w:tc>
          <w:tcPr>
            <w:tcW w:w="1707" w:type="pct"/>
            <w:shd w:val="clear" w:color="auto" w:fill="auto"/>
            <w:tcMar>
              <w:top w:w="85" w:type="dxa"/>
              <w:bottom w:w="85" w:type="dxa"/>
            </w:tcMar>
          </w:tcPr>
          <w:p w14:paraId="23AB4149" w14:textId="77777777" w:rsidR="000227FF" w:rsidRPr="00F15697" w:rsidRDefault="000227FF" w:rsidP="005A1F7F">
            <w:pPr>
              <w:rPr>
                <w:rFonts w:ascii="Arial" w:hAnsi="Arial" w:cs="Arial"/>
                <w:sz w:val="16"/>
                <w:szCs w:val="16"/>
              </w:rPr>
            </w:pPr>
          </w:p>
        </w:tc>
        <w:tc>
          <w:tcPr>
            <w:tcW w:w="1952" w:type="pct"/>
            <w:shd w:val="clear" w:color="auto" w:fill="auto"/>
            <w:tcMar>
              <w:top w:w="85" w:type="dxa"/>
              <w:bottom w:w="85" w:type="dxa"/>
            </w:tcMar>
          </w:tcPr>
          <w:p w14:paraId="7BF457EC" w14:textId="20F669EC" w:rsidR="000227FF" w:rsidRPr="002D4AFB" w:rsidRDefault="000227FF" w:rsidP="005A1F7F">
            <w:pPr>
              <w:rPr>
                <w:rFonts w:ascii="Arial" w:hAnsi="Arial" w:cs="Arial"/>
                <w:color w:val="000000"/>
                <w:sz w:val="16"/>
                <w:szCs w:val="16"/>
              </w:rPr>
            </w:pPr>
            <w:r w:rsidRPr="002D4AFB">
              <w:rPr>
                <w:rFonts w:ascii="Arial" w:hAnsi="Arial" w:cs="Arial"/>
                <w:color w:val="000000"/>
                <w:sz w:val="16"/>
                <w:szCs w:val="16"/>
              </w:rPr>
              <w:t>Improved electronic services for the Lisbon Registry and Article 6</w:t>
            </w:r>
            <w:r w:rsidRPr="002D4AFB">
              <w:rPr>
                <w:rFonts w:ascii="Arial" w:hAnsi="Arial" w:cs="Arial"/>
                <w:i/>
                <w:color w:val="000000"/>
                <w:sz w:val="16"/>
                <w:szCs w:val="16"/>
              </w:rPr>
              <w:t>ter</w:t>
            </w:r>
          </w:p>
        </w:tc>
        <w:tc>
          <w:tcPr>
            <w:tcW w:w="1341" w:type="pct"/>
            <w:shd w:val="clear" w:color="auto" w:fill="FFFFFF"/>
            <w:tcMar>
              <w:top w:w="85" w:type="dxa"/>
              <w:bottom w:w="85" w:type="dxa"/>
            </w:tcMar>
          </w:tcPr>
          <w:p w14:paraId="67DDE0BC" w14:textId="30F3885B" w:rsidR="000227FF" w:rsidRDefault="000227FF" w:rsidP="005A1F7F">
            <w:pPr>
              <w:ind w:left="441"/>
              <w:rPr>
                <w:rFonts w:ascii="Arial" w:hAnsi="Arial" w:cs="Arial"/>
                <w:sz w:val="16"/>
                <w:szCs w:val="16"/>
                <w:lang w:bidi="th-TH"/>
              </w:rPr>
            </w:pPr>
            <w:r>
              <w:rPr>
                <w:rFonts w:ascii="Arial" w:hAnsi="Arial" w:cs="Arial"/>
                <w:sz w:val="16"/>
                <w:szCs w:val="16"/>
                <w:lang w:bidi="th-TH"/>
              </w:rPr>
              <w:t>Program 32</w:t>
            </w:r>
          </w:p>
        </w:tc>
      </w:tr>
    </w:tbl>
    <w:p w14:paraId="13E90469" w14:textId="77777777" w:rsidR="00C9789B" w:rsidRDefault="00C9789B">
      <w:pPr>
        <w:rPr>
          <w:rFonts w:ascii="Arial" w:hAnsi="Arial" w:cs="Arial"/>
          <w:sz w:val="20"/>
          <w:szCs w:val="20"/>
        </w:rPr>
      </w:pPr>
    </w:p>
    <w:p w14:paraId="28F51D7C" w14:textId="767FFB56" w:rsidR="00D049E6" w:rsidRPr="009B4A78" w:rsidRDefault="00D049E6">
      <w:pPr>
        <w:rPr>
          <w:rFonts w:ascii="Arial" w:hAnsi="Arial" w:cs="Arial"/>
          <w:sz w:val="20"/>
          <w:szCs w:val="20"/>
        </w:rPr>
      </w:pPr>
      <w:r w:rsidRPr="009B4A78">
        <w:rPr>
          <w:rFonts w:ascii="Arial" w:hAnsi="Arial" w:cs="Arial"/>
          <w:sz w:val="20"/>
          <w:szCs w:val="20"/>
        </w:rPr>
        <w:br w:type="page"/>
      </w:r>
    </w:p>
    <w:p w14:paraId="3F08D412" w14:textId="28C6A685" w:rsidR="00D049E6" w:rsidRPr="009B4A78" w:rsidRDefault="00D049E6" w:rsidP="00FB68E0">
      <w:pPr>
        <w:pStyle w:val="StyleHeading3ComplexItalic"/>
        <w:tabs>
          <w:tab w:val="clear" w:pos="1985"/>
          <w:tab w:val="left" w:pos="1843"/>
        </w:tabs>
        <w:ind w:left="1843" w:hanging="1843"/>
        <w:rPr>
          <w:rStyle w:val="StyleStyleHeading3ComplexItalicLatin12ptChar"/>
          <w:rFonts w:eastAsia="SimSun"/>
        </w:rPr>
      </w:pPr>
      <w:bookmarkStart w:id="30" w:name="_Toc367350577"/>
      <w:bookmarkStart w:id="31" w:name="_Toc431221410"/>
      <w:r w:rsidRPr="009B4A78">
        <w:rPr>
          <w:rStyle w:val="StyleStyleHeading3ComplexItalicLatin12ptChar"/>
          <w:rFonts w:eastAsia="SimSun"/>
          <w:b/>
        </w:rPr>
        <w:lastRenderedPageBreak/>
        <w:t>PROGRAM 5</w:t>
      </w:r>
      <w:r w:rsidRPr="009B4A78">
        <w:rPr>
          <w:rStyle w:val="StyleStyleHeading3ComplexItalicLatin12ptChar"/>
          <w:rFonts w:eastAsia="SimSun"/>
          <w:b/>
        </w:rPr>
        <w:tab/>
        <w:t>THE PCT SYSTEM</w:t>
      </w:r>
      <w:bookmarkEnd w:id="30"/>
      <w:bookmarkEnd w:id="31"/>
    </w:p>
    <w:p w14:paraId="50BC9938" w14:textId="77777777" w:rsidR="00D049E6" w:rsidRPr="009B4A78" w:rsidRDefault="00D049E6" w:rsidP="00F33E49">
      <w:pPr>
        <w:tabs>
          <w:tab w:val="left" w:pos="2268"/>
        </w:tabs>
        <w:ind w:left="2268" w:hanging="2268"/>
        <w:rPr>
          <w:rFonts w:ascii="Arial" w:hAnsi="Arial" w:cs="Arial"/>
          <w:bCs/>
          <w:sz w:val="20"/>
        </w:rPr>
      </w:pPr>
    </w:p>
    <w:p w14:paraId="6E4EDBA6" w14:textId="77777777" w:rsidR="00D049E6" w:rsidRPr="009B4A78" w:rsidRDefault="00D049E6" w:rsidP="00F33E49">
      <w:pPr>
        <w:tabs>
          <w:tab w:val="left" w:pos="2268"/>
        </w:tabs>
        <w:ind w:left="2268" w:hanging="2268"/>
        <w:rPr>
          <w:rFonts w:ascii="Arial" w:hAnsi="Arial" w:cs="Arial"/>
          <w:bCs/>
          <w:sz w:val="20"/>
        </w:rPr>
      </w:pPr>
    </w:p>
    <w:p w14:paraId="624D5521" w14:textId="77777777" w:rsidR="00D049E6" w:rsidRPr="009B4A78" w:rsidRDefault="00D049E6" w:rsidP="00F33E49">
      <w:pPr>
        <w:pStyle w:val="BodyTextIndent"/>
        <w:ind w:left="1985" w:hanging="1985"/>
        <w:jc w:val="both"/>
        <w:rPr>
          <w:rFonts w:ascii="Arial" w:hAnsi="Arial" w:cs="Arial"/>
          <w:sz w:val="22"/>
          <w:szCs w:val="22"/>
        </w:rPr>
      </w:pPr>
      <w:r w:rsidRPr="009B4A78">
        <w:rPr>
          <w:rFonts w:ascii="Arial" w:hAnsi="Arial" w:cs="Arial"/>
          <w:sz w:val="22"/>
          <w:szCs w:val="22"/>
        </w:rPr>
        <w:t>PLANNING CONTEXT</w:t>
      </w:r>
    </w:p>
    <w:p w14:paraId="4BC7CD7F" w14:textId="77777777" w:rsidR="00D049E6" w:rsidRPr="009B4A78" w:rsidRDefault="00D049E6" w:rsidP="00F33E49">
      <w:pPr>
        <w:tabs>
          <w:tab w:val="left" w:pos="567"/>
          <w:tab w:val="left" w:pos="1985"/>
        </w:tabs>
        <w:jc w:val="both"/>
        <w:rPr>
          <w:rFonts w:ascii="Arial" w:hAnsi="Arial" w:cs="Arial"/>
          <w:bCs/>
          <w:sz w:val="20"/>
        </w:rPr>
      </w:pPr>
    </w:p>
    <w:p w14:paraId="4B235A4D" w14:textId="77777777" w:rsidR="00D049E6" w:rsidRPr="009B4A78" w:rsidRDefault="00D049E6" w:rsidP="00B66A4A">
      <w:pPr>
        <w:numPr>
          <w:ilvl w:val="0"/>
          <w:numId w:val="6"/>
        </w:numPr>
        <w:jc w:val="both"/>
        <w:rPr>
          <w:rFonts w:ascii="Arial" w:hAnsi="Arial" w:cs="Arial"/>
          <w:bCs/>
          <w:sz w:val="20"/>
        </w:rPr>
      </w:pPr>
      <w:r w:rsidRPr="009B4A78">
        <w:rPr>
          <w:rFonts w:ascii="Arial" w:hAnsi="Arial" w:cs="Arial"/>
          <w:sz w:val="20"/>
        </w:rPr>
        <w:t>The PCT system accounts for approximately three quarters of WIPO’s income.  The PCT also accounts for 54 per cent of patent applications filed in more than one country.  To maintain and strengthen the PCT as the preferred route for users of the international patent system in the next biennium, it will be necessary to ensure that the PCT System meets the challenges of an increasingly dynamic global market for patent services, characterized by:</w:t>
      </w:r>
    </w:p>
    <w:p w14:paraId="264C1BA8" w14:textId="77777777" w:rsidR="00D049E6" w:rsidRPr="009B4A78" w:rsidRDefault="00D049E6" w:rsidP="00F33E49">
      <w:pPr>
        <w:jc w:val="both"/>
        <w:rPr>
          <w:rFonts w:ascii="Arial" w:hAnsi="Arial" w:cs="Arial"/>
          <w:bCs/>
          <w:sz w:val="20"/>
        </w:rPr>
      </w:pPr>
    </w:p>
    <w:p w14:paraId="50CDD425"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An uncertain economic environment with a hesitant performance of the world economy;</w:t>
      </w:r>
    </w:p>
    <w:p w14:paraId="035080A9"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The need for quality and timeliness of reports prepared by International Searching and Preliminary Examination Authorities;</w:t>
      </w:r>
    </w:p>
    <w:p w14:paraId="4264987B"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Increasingly diverse geographical composition of demand for patent protection and of PCT international application filing activities;</w:t>
      </w:r>
    </w:p>
    <w:p w14:paraId="283A6C4C"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Increasing linguistic diversity of both prior art and PCT international applications;</w:t>
      </w:r>
    </w:p>
    <w:p w14:paraId="64596045"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Limited numbers of international applications filed by many developing and least developed countries;</w:t>
      </w:r>
    </w:p>
    <w:p w14:paraId="53CF2DE7"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Growing demand from existing and new PCT users for training;</w:t>
      </w:r>
    </w:p>
    <w:p w14:paraId="4E20D3E7" w14:textId="77777777" w:rsidR="00D049E6" w:rsidRPr="009B4A78" w:rsidRDefault="00D049E6" w:rsidP="00B66A4A">
      <w:pPr>
        <w:numPr>
          <w:ilvl w:val="0"/>
          <w:numId w:val="7"/>
        </w:numPr>
        <w:spacing w:after="120"/>
        <w:ind w:hanging="513"/>
        <w:jc w:val="both"/>
        <w:rPr>
          <w:rFonts w:ascii="Arial" w:hAnsi="Arial" w:cs="Arial"/>
          <w:bCs/>
          <w:sz w:val="20"/>
        </w:rPr>
      </w:pPr>
      <w:r w:rsidRPr="009B4A78">
        <w:rPr>
          <w:rFonts w:ascii="Arial" w:hAnsi="Arial" w:cs="Arial"/>
          <w:bCs/>
          <w:sz w:val="20"/>
        </w:rPr>
        <w:t>Variation in how, and the extent to which, customers use the PCT over other methods; and</w:t>
      </w:r>
    </w:p>
    <w:p w14:paraId="5C6E2EB7" w14:textId="77777777" w:rsidR="00D049E6" w:rsidRPr="009B4A78" w:rsidRDefault="00D049E6" w:rsidP="00B66A4A">
      <w:pPr>
        <w:numPr>
          <w:ilvl w:val="0"/>
          <w:numId w:val="7"/>
        </w:numPr>
        <w:ind w:left="1077" w:hanging="513"/>
        <w:jc w:val="both"/>
        <w:rPr>
          <w:rFonts w:ascii="Arial" w:hAnsi="Arial" w:cs="Arial"/>
          <w:bCs/>
          <w:sz w:val="20"/>
        </w:rPr>
      </w:pPr>
      <w:r w:rsidRPr="009B4A78">
        <w:rPr>
          <w:rFonts w:ascii="Arial" w:hAnsi="Arial" w:cs="Arial"/>
          <w:bCs/>
          <w:sz w:val="20"/>
        </w:rPr>
        <w:t>Availability of new information and communication technologies, increasing both expectations and practicality of making a fully electronic processing environment available to all applicants.</w:t>
      </w:r>
    </w:p>
    <w:p w14:paraId="0A030E9B" w14:textId="77777777" w:rsidR="00D049E6" w:rsidRPr="009B4A78" w:rsidRDefault="00D049E6" w:rsidP="00F33E49">
      <w:pPr>
        <w:tabs>
          <w:tab w:val="left" w:pos="1985"/>
        </w:tabs>
        <w:jc w:val="both"/>
        <w:rPr>
          <w:rFonts w:ascii="Arial" w:hAnsi="Arial" w:cs="Arial"/>
          <w:bCs/>
          <w:sz w:val="20"/>
        </w:rPr>
      </w:pPr>
    </w:p>
    <w:p w14:paraId="325407E8" w14:textId="77777777" w:rsidR="00D049E6" w:rsidRPr="009B4A78" w:rsidRDefault="00D049E6" w:rsidP="00F33E49">
      <w:pPr>
        <w:tabs>
          <w:tab w:val="left" w:pos="567"/>
          <w:tab w:val="left" w:pos="1985"/>
        </w:tabs>
        <w:jc w:val="both"/>
        <w:rPr>
          <w:rFonts w:ascii="Arial" w:hAnsi="Arial" w:cs="Arial"/>
          <w:bCs/>
          <w:sz w:val="20"/>
        </w:rPr>
      </w:pPr>
    </w:p>
    <w:p w14:paraId="5CC02094" w14:textId="77777777" w:rsidR="00D049E6" w:rsidRPr="009B4A78" w:rsidRDefault="00D049E6" w:rsidP="00F33E49">
      <w:pPr>
        <w:tabs>
          <w:tab w:val="left" w:pos="567"/>
          <w:tab w:val="left" w:pos="1985"/>
        </w:tabs>
        <w:jc w:val="both"/>
        <w:rPr>
          <w:rFonts w:ascii="Arial" w:hAnsi="Arial" w:cs="Arial"/>
          <w:bCs/>
        </w:rPr>
      </w:pPr>
      <w:r w:rsidRPr="009B4A78">
        <w:rPr>
          <w:rFonts w:ascii="Arial" w:hAnsi="Arial" w:cs="Arial"/>
          <w:bCs/>
        </w:rPr>
        <w:t>IMPLEMENTATION STRATEGIES</w:t>
      </w:r>
    </w:p>
    <w:p w14:paraId="51AEAAAD" w14:textId="77777777" w:rsidR="00D049E6" w:rsidRPr="009B4A78" w:rsidRDefault="00D049E6" w:rsidP="00F33E49">
      <w:pPr>
        <w:tabs>
          <w:tab w:val="left" w:pos="567"/>
          <w:tab w:val="left" w:pos="1985"/>
        </w:tabs>
        <w:jc w:val="both"/>
        <w:rPr>
          <w:rFonts w:ascii="Arial" w:hAnsi="Arial" w:cs="Arial"/>
          <w:bCs/>
          <w:sz w:val="20"/>
        </w:rPr>
      </w:pPr>
    </w:p>
    <w:p w14:paraId="34D691AE" w14:textId="77777777" w:rsidR="00D049E6" w:rsidRPr="009B4A78" w:rsidRDefault="00D049E6" w:rsidP="00B66A4A">
      <w:pPr>
        <w:numPr>
          <w:ilvl w:val="0"/>
          <w:numId w:val="6"/>
        </w:numPr>
        <w:jc w:val="both"/>
        <w:rPr>
          <w:rFonts w:ascii="Arial" w:hAnsi="Arial" w:cs="Arial"/>
          <w:bCs/>
          <w:sz w:val="20"/>
        </w:rPr>
      </w:pPr>
      <w:r w:rsidRPr="009B4A78">
        <w:rPr>
          <w:rFonts w:ascii="Arial" w:hAnsi="Arial" w:cs="Arial"/>
          <w:bCs/>
          <w:sz w:val="20"/>
        </w:rPr>
        <w:t xml:space="preserve">The engagement of all stakeholders is crucial for the optimum functioning of the PCT system. Therefore, the </w:t>
      </w:r>
      <w:r w:rsidRPr="009B4A78">
        <w:rPr>
          <w:rFonts w:ascii="Arial" w:hAnsi="Arial" w:cs="Arial"/>
          <w:sz w:val="20"/>
        </w:rPr>
        <w:t xml:space="preserve">Program </w:t>
      </w:r>
      <w:r w:rsidRPr="009B4A78">
        <w:rPr>
          <w:rFonts w:ascii="Arial" w:hAnsi="Arial" w:cs="Arial"/>
          <w:bCs/>
          <w:sz w:val="20"/>
        </w:rPr>
        <w:t>will focus on communication and cooperation among stakeholders, as well as on efficiency gains to the benefit of stakeholders.  The following implementation strategies will be pursued:</w:t>
      </w:r>
    </w:p>
    <w:p w14:paraId="269F8A18" w14:textId="77777777" w:rsidR="00D049E6" w:rsidRPr="009B4A78" w:rsidRDefault="00D049E6" w:rsidP="00F33E49">
      <w:pPr>
        <w:tabs>
          <w:tab w:val="left" w:pos="1985"/>
          <w:tab w:val="left" w:pos="2552"/>
        </w:tabs>
        <w:spacing w:after="60"/>
        <w:jc w:val="both"/>
        <w:rPr>
          <w:rFonts w:ascii="Arial" w:hAnsi="Arial" w:cs="Arial"/>
          <w:sz w:val="20"/>
        </w:rPr>
      </w:pPr>
    </w:p>
    <w:p w14:paraId="518171F1"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sz w:val="20"/>
        </w:rPr>
        <w:t xml:space="preserve">Using </w:t>
      </w:r>
      <w:proofErr w:type="spellStart"/>
      <w:r w:rsidRPr="009B4A78">
        <w:rPr>
          <w:rFonts w:ascii="Arial" w:hAnsi="Arial" w:cs="Arial"/>
          <w:sz w:val="20"/>
        </w:rPr>
        <w:t>ePCT</w:t>
      </w:r>
      <w:proofErr w:type="spellEnd"/>
      <w:r w:rsidRPr="009B4A78">
        <w:rPr>
          <w:rFonts w:ascii="Arial" w:hAnsi="Arial" w:cs="Arial"/>
          <w:sz w:val="20"/>
        </w:rPr>
        <w:t xml:space="preserve"> and other tools to provide greater automation of processing and more effective communication between applicants, the International Bureau and national Offices, with a view towards more efficient and higher quality interaction with the PCT system by its participants and towards perfecting security requirements;</w:t>
      </w:r>
    </w:p>
    <w:p w14:paraId="6DFCFF5E" w14:textId="7B0EF44F"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sz w:val="20"/>
        </w:rPr>
        <w:t>Initiate efforts to further enhance the resilience and security levels of the ICT Infrastru</w:t>
      </w:r>
      <w:r w:rsidR="000E09BC">
        <w:rPr>
          <w:rFonts w:ascii="Arial" w:hAnsi="Arial" w:cs="Arial"/>
          <w:sz w:val="20"/>
        </w:rPr>
        <w:t>c</w:t>
      </w:r>
      <w:r w:rsidRPr="009B4A78">
        <w:rPr>
          <w:rFonts w:ascii="Arial" w:hAnsi="Arial" w:cs="Arial"/>
          <w:sz w:val="20"/>
        </w:rPr>
        <w:t xml:space="preserve">ture underlying the PCT business and information systems in collaboration with Program </w:t>
      </w:r>
      <w:r w:rsidR="000E09BC">
        <w:rPr>
          <w:rFonts w:ascii="Arial" w:hAnsi="Arial" w:cs="Arial"/>
          <w:sz w:val="20"/>
        </w:rPr>
        <w:t>2</w:t>
      </w:r>
      <w:r w:rsidRPr="009B4A78">
        <w:rPr>
          <w:rFonts w:ascii="Arial" w:hAnsi="Arial" w:cs="Arial"/>
          <w:sz w:val="20"/>
        </w:rPr>
        <w:t>5 (ICT)</w:t>
      </w:r>
    </w:p>
    <w:p w14:paraId="1DDDAAAB"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sz w:val="20"/>
        </w:rPr>
        <w:t>Support for efforts by the International Authorities to improve the quality and timeliness of their work products, including the development of quality metrics and investigation of collaborative search and examination of PCT applications;</w:t>
      </w:r>
    </w:p>
    <w:p w14:paraId="5BE91CCA"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study of additional ways to improve the PCT system, while implementing specific measures already approved by the Member States;</w:t>
      </w:r>
    </w:p>
    <w:p w14:paraId="190253D7"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t>Enhanced</w:t>
      </w:r>
      <w:r w:rsidRPr="009B4A78">
        <w:rPr>
          <w:rFonts w:ascii="Arial" w:hAnsi="Arial" w:cs="Arial"/>
          <w:sz w:val="20"/>
        </w:rPr>
        <w:t xml:space="preserve"> communications with PCT customers and stakeholders, through surveys and other outreach to</w:t>
      </w:r>
      <w:r w:rsidRPr="009B4A78">
        <w:rPr>
          <w:rFonts w:ascii="Arial" w:hAnsi="Arial" w:cs="Arial"/>
          <w:bCs/>
          <w:sz w:val="20"/>
        </w:rPr>
        <w:t xml:space="preserve"> identify needs and to improve effectiveness of PCT service;</w:t>
      </w:r>
    </w:p>
    <w:p w14:paraId="09572C83"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t>Provision of</w:t>
      </w:r>
      <w:r w:rsidRPr="009B4A78">
        <w:rPr>
          <w:rFonts w:ascii="Arial" w:hAnsi="Arial" w:cs="Arial"/>
          <w:sz w:val="20"/>
        </w:rPr>
        <w:t xml:space="preserve"> training to more PCT users, employing technological methods, such as webinars and video conferencing;</w:t>
      </w:r>
    </w:p>
    <w:p w14:paraId="7053430D"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t>Streamlined</w:t>
      </w:r>
      <w:r w:rsidRPr="009B4A78">
        <w:rPr>
          <w:rFonts w:ascii="Arial" w:hAnsi="Arial" w:cs="Arial"/>
          <w:sz w:val="20"/>
        </w:rPr>
        <w:t xml:space="preserve"> preparation and dissemination of PCT information;</w:t>
      </w:r>
    </w:p>
    <w:p w14:paraId="45404308" w14:textId="77777777" w:rsidR="00D049E6" w:rsidRPr="009B4A78" w:rsidRDefault="00D049E6" w:rsidP="00B66A4A">
      <w:pPr>
        <w:numPr>
          <w:ilvl w:val="0"/>
          <w:numId w:val="7"/>
        </w:numPr>
        <w:spacing w:after="120"/>
        <w:ind w:left="1134" w:hanging="567"/>
        <w:jc w:val="both"/>
        <w:rPr>
          <w:rFonts w:ascii="Arial" w:hAnsi="Arial" w:cs="Arial"/>
          <w:sz w:val="20"/>
        </w:rPr>
      </w:pPr>
      <w:r w:rsidRPr="009B4A78">
        <w:rPr>
          <w:rFonts w:ascii="Arial" w:hAnsi="Arial" w:cs="Arial"/>
          <w:bCs/>
          <w:sz w:val="20"/>
        </w:rPr>
        <w:lastRenderedPageBreak/>
        <w:t>Continued</w:t>
      </w:r>
      <w:r w:rsidRPr="009B4A78">
        <w:rPr>
          <w:rFonts w:ascii="Arial" w:hAnsi="Arial" w:cs="Arial"/>
          <w:sz w:val="20"/>
        </w:rPr>
        <w:t xml:space="preserve"> alignment of staff skill sets with needs, particularly in view of changing linguistic and geographical demand.</w:t>
      </w:r>
    </w:p>
    <w:p w14:paraId="4D5866BE" w14:textId="77777777" w:rsidR="00D049E6" w:rsidRPr="009B4A78" w:rsidRDefault="00D049E6" w:rsidP="00B66A4A">
      <w:pPr>
        <w:numPr>
          <w:ilvl w:val="0"/>
          <w:numId w:val="7"/>
        </w:numPr>
        <w:spacing w:after="120"/>
        <w:ind w:hanging="513"/>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study and implementation of cost control and efficiency measures within PCT operations;  and</w:t>
      </w:r>
    </w:p>
    <w:p w14:paraId="536A62E2" w14:textId="77777777" w:rsidR="00D049E6" w:rsidRPr="009B4A78" w:rsidRDefault="00D049E6" w:rsidP="00B66A4A">
      <w:pPr>
        <w:numPr>
          <w:ilvl w:val="0"/>
          <w:numId w:val="7"/>
        </w:numPr>
        <w:spacing w:after="120"/>
        <w:ind w:hanging="513"/>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cooperation with other Programs concerning PCT technical assistance and capacity building for developing countries and LDCs as illustrated below.</w:t>
      </w:r>
    </w:p>
    <w:p w14:paraId="33606C77" w14:textId="77777777" w:rsidR="00D049E6" w:rsidRPr="009B4A78" w:rsidRDefault="00D049E6" w:rsidP="00F33E49">
      <w:pPr>
        <w:spacing w:after="120"/>
        <w:jc w:val="both"/>
        <w:rPr>
          <w:rFonts w:ascii="Arial" w:hAnsi="Arial" w:cs="Arial"/>
          <w:sz w:val="20"/>
        </w:rPr>
      </w:pPr>
      <w:r w:rsidRPr="009B4A78">
        <w:rPr>
          <w:rFonts w:ascii="Arial" w:hAnsi="Arial" w:cs="Arial"/>
          <w:noProof/>
        </w:rPr>
        <w:t xml:space="preserve"> </w:t>
      </w:r>
      <w:r w:rsidRPr="002F58D0">
        <w:rPr>
          <w:rFonts w:ascii="Arial" w:hAnsi="Arial" w:cs="Arial"/>
          <w:noProof/>
          <w:lang w:eastAsia="en-US"/>
        </w:rPr>
        <w:drawing>
          <wp:inline distT="0" distB="0" distL="0" distR="0" wp14:anchorId="08BBDC9C" wp14:editId="2A0B017F">
            <wp:extent cx="5943600" cy="1958196"/>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52DEE72" w14:textId="77777777" w:rsidR="00D049E6" w:rsidRPr="009B4A78" w:rsidRDefault="00D049E6" w:rsidP="00F33E49">
      <w:pPr>
        <w:rPr>
          <w:rFonts w:ascii="Arial" w:hAnsi="Arial" w:cs="Arial"/>
        </w:rPr>
      </w:pPr>
    </w:p>
    <w:p w14:paraId="1E213D65" w14:textId="77777777" w:rsidR="00D049E6" w:rsidRPr="00FB68E0" w:rsidRDefault="00D049E6" w:rsidP="00FB68E0">
      <w:pPr>
        <w:rPr>
          <w:rFonts w:ascii="Arial" w:hAnsi="Arial" w:cs="Arial"/>
        </w:rPr>
      </w:pPr>
      <w:r w:rsidRPr="00FB68E0">
        <w:rPr>
          <w:rFonts w:ascii="Arial" w:hAnsi="Arial" w:cs="Arial"/>
        </w:rPr>
        <w:t>MAJOR RISKS AND MITIGATION STRATEGIES</w:t>
      </w:r>
    </w:p>
    <w:p w14:paraId="7C3D0515" w14:textId="77777777" w:rsidR="00D049E6" w:rsidRPr="009B4A78" w:rsidRDefault="00D049E6" w:rsidP="00F33E49">
      <w:pPr>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D049E6" w:rsidRPr="009B4A78" w14:paraId="43B86F54" w14:textId="77777777" w:rsidTr="00FB68E0">
        <w:trPr>
          <w:trHeight w:val="446"/>
        </w:trPr>
        <w:tc>
          <w:tcPr>
            <w:tcW w:w="4111" w:type="dxa"/>
            <w:tcBorders>
              <w:top w:val="single" w:sz="4" w:space="0" w:color="auto"/>
              <w:bottom w:val="single" w:sz="4" w:space="0" w:color="auto"/>
            </w:tcBorders>
            <w:shd w:val="clear" w:color="auto" w:fill="C6D9F1" w:themeFill="text2" w:themeFillTint="33"/>
            <w:vAlign w:val="center"/>
          </w:tcPr>
          <w:p w14:paraId="4BF8FC13" w14:textId="77777777" w:rsidR="00D049E6" w:rsidRPr="009B4A78" w:rsidRDefault="00D049E6" w:rsidP="00F33E49">
            <w:pPr>
              <w:jc w:val="center"/>
              <w:rPr>
                <w:rFonts w:ascii="Arial" w:hAnsi="Arial" w:cs="Arial"/>
                <w:b/>
                <w:bCs/>
                <w:sz w:val="18"/>
                <w:szCs w:val="18"/>
              </w:rPr>
            </w:pPr>
            <w:r w:rsidRPr="009B4A78">
              <w:rPr>
                <w:rFonts w:ascii="Arial" w:hAnsi="Arial" w:cs="Arial"/>
                <w:b/>
                <w:bCs/>
                <w:sz w:val="18"/>
                <w:szCs w:val="18"/>
              </w:rPr>
              <w:t>Risk</w:t>
            </w:r>
          </w:p>
        </w:tc>
        <w:tc>
          <w:tcPr>
            <w:tcW w:w="5245" w:type="dxa"/>
            <w:tcBorders>
              <w:top w:val="single" w:sz="4" w:space="0" w:color="auto"/>
              <w:bottom w:val="single" w:sz="4" w:space="0" w:color="auto"/>
            </w:tcBorders>
            <w:shd w:val="clear" w:color="auto" w:fill="C6D9F1" w:themeFill="text2" w:themeFillTint="33"/>
            <w:vAlign w:val="center"/>
          </w:tcPr>
          <w:p w14:paraId="29EB5213" w14:textId="77777777" w:rsidR="00D049E6" w:rsidRPr="009B4A78" w:rsidRDefault="00D049E6" w:rsidP="00F33E49">
            <w:pPr>
              <w:jc w:val="center"/>
              <w:rPr>
                <w:rFonts w:ascii="Arial" w:hAnsi="Arial" w:cs="Arial"/>
                <w:b/>
                <w:bCs/>
                <w:sz w:val="18"/>
                <w:szCs w:val="18"/>
              </w:rPr>
            </w:pPr>
            <w:r w:rsidRPr="009B4A78">
              <w:rPr>
                <w:rFonts w:ascii="Arial" w:hAnsi="Arial" w:cs="Arial"/>
                <w:b/>
                <w:bCs/>
                <w:sz w:val="18"/>
                <w:szCs w:val="18"/>
              </w:rPr>
              <w:t>Mitigation</w:t>
            </w:r>
          </w:p>
        </w:tc>
      </w:tr>
      <w:tr w:rsidR="00D049E6" w:rsidRPr="009B4A78" w14:paraId="347A0704" w14:textId="77777777" w:rsidTr="00F33E49">
        <w:trPr>
          <w:trHeight w:val="336"/>
        </w:trPr>
        <w:tc>
          <w:tcPr>
            <w:tcW w:w="4111" w:type="dxa"/>
            <w:tcBorders>
              <w:top w:val="single" w:sz="4" w:space="0" w:color="auto"/>
            </w:tcBorders>
            <w:shd w:val="clear" w:color="auto" w:fill="auto"/>
            <w:tcMar>
              <w:top w:w="113" w:type="dxa"/>
              <w:bottom w:w="113" w:type="dxa"/>
            </w:tcMar>
          </w:tcPr>
          <w:p w14:paraId="1593CDD9" w14:textId="77777777" w:rsidR="00D049E6" w:rsidRPr="009B4A78" w:rsidRDefault="00D049E6" w:rsidP="00F33E49">
            <w:pPr>
              <w:rPr>
                <w:rFonts w:ascii="Arial" w:hAnsi="Arial" w:cs="Arial"/>
                <w:sz w:val="16"/>
                <w:szCs w:val="16"/>
              </w:rPr>
            </w:pPr>
            <w:r w:rsidRPr="009B4A78">
              <w:rPr>
                <w:rFonts w:ascii="Arial" w:hAnsi="Arial" w:cs="Arial"/>
                <w:sz w:val="16"/>
                <w:szCs w:val="16"/>
              </w:rPr>
              <w:t>Decrease in PCT filings, in absolute terms or relative to Paris route filings</w:t>
            </w:r>
          </w:p>
        </w:tc>
        <w:tc>
          <w:tcPr>
            <w:tcW w:w="5245" w:type="dxa"/>
            <w:tcBorders>
              <w:top w:val="single" w:sz="4" w:space="0" w:color="auto"/>
            </w:tcBorders>
            <w:shd w:val="clear" w:color="auto" w:fill="auto"/>
            <w:tcMar>
              <w:top w:w="113" w:type="dxa"/>
              <w:bottom w:w="113" w:type="dxa"/>
            </w:tcMar>
          </w:tcPr>
          <w:p w14:paraId="624CB99F" w14:textId="77777777" w:rsidR="00D049E6" w:rsidRPr="009B4A78" w:rsidRDefault="00D049E6" w:rsidP="00F33E49">
            <w:pPr>
              <w:rPr>
                <w:rFonts w:ascii="Arial" w:hAnsi="Arial" w:cs="Arial"/>
                <w:sz w:val="16"/>
                <w:szCs w:val="16"/>
              </w:rPr>
            </w:pPr>
            <w:r w:rsidRPr="009B4A78">
              <w:rPr>
                <w:rFonts w:ascii="Arial" w:hAnsi="Arial" w:cs="Arial"/>
                <w:sz w:val="16"/>
                <w:szCs w:val="16"/>
              </w:rPr>
              <w:t xml:space="preserve">Continued promotion of the PCT to current and potential users </w:t>
            </w:r>
          </w:p>
        </w:tc>
      </w:tr>
      <w:tr w:rsidR="00D049E6" w:rsidRPr="009B4A78" w14:paraId="55653B27" w14:textId="77777777" w:rsidTr="00F33E49">
        <w:trPr>
          <w:trHeight w:val="454"/>
        </w:trPr>
        <w:tc>
          <w:tcPr>
            <w:tcW w:w="4111" w:type="dxa"/>
            <w:shd w:val="clear" w:color="auto" w:fill="auto"/>
            <w:tcMar>
              <w:top w:w="113" w:type="dxa"/>
              <w:bottom w:w="113" w:type="dxa"/>
            </w:tcMar>
          </w:tcPr>
          <w:p w14:paraId="486C00C4" w14:textId="77777777" w:rsidR="00D049E6" w:rsidRPr="009B4A78" w:rsidRDefault="00D049E6" w:rsidP="00F33E49">
            <w:pPr>
              <w:rPr>
                <w:rFonts w:ascii="Arial" w:hAnsi="Arial" w:cs="Arial"/>
                <w:sz w:val="16"/>
                <w:szCs w:val="16"/>
              </w:rPr>
            </w:pPr>
            <w:r w:rsidRPr="009B4A78">
              <w:rPr>
                <w:rFonts w:ascii="Arial" w:hAnsi="Arial" w:cs="Arial"/>
                <w:color w:val="000000"/>
                <w:sz w:val="16"/>
                <w:szCs w:val="16"/>
              </w:rPr>
              <w:t>Prolonged unavailability of PCT services</w:t>
            </w:r>
          </w:p>
        </w:tc>
        <w:tc>
          <w:tcPr>
            <w:tcW w:w="5245" w:type="dxa"/>
            <w:shd w:val="clear" w:color="auto" w:fill="auto"/>
            <w:tcMar>
              <w:top w:w="113" w:type="dxa"/>
              <w:bottom w:w="113" w:type="dxa"/>
            </w:tcMar>
          </w:tcPr>
          <w:p w14:paraId="726630A6"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Preparation and regular testing of Business Continuity Management plan and application of resilience improvements in system architecture.</w:t>
            </w:r>
          </w:p>
        </w:tc>
      </w:tr>
      <w:tr w:rsidR="00D049E6" w:rsidRPr="009B4A78" w14:paraId="6F3E1459" w14:textId="77777777" w:rsidTr="00F33E49">
        <w:trPr>
          <w:trHeight w:val="670"/>
        </w:trPr>
        <w:tc>
          <w:tcPr>
            <w:tcW w:w="4111" w:type="dxa"/>
            <w:shd w:val="clear" w:color="auto" w:fill="auto"/>
            <w:tcMar>
              <w:top w:w="113" w:type="dxa"/>
              <w:bottom w:w="113" w:type="dxa"/>
            </w:tcMar>
          </w:tcPr>
          <w:p w14:paraId="279B21C2"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Malicious or unintentional disclosure of confidential information</w:t>
            </w:r>
          </w:p>
        </w:tc>
        <w:tc>
          <w:tcPr>
            <w:tcW w:w="5245" w:type="dxa"/>
            <w:shd w:val="clear" w:color="auto" w:fill="auto"/>
            <w:tcMar>
              <w:top w:w="113" w:type="dxa"/>
              <w:bottom w:w="113" w:type="dxa"/>
            </w:tcMar>
          </w:tcPr>
          <w:p w14:paraId="056ADA1C"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Continued awareness program for staff; increase cutting-edge controls in the physical and electronic environment; continue to improve strategic surveillance; maintain high level of oversight with outsourced service providers.</w:t>
            </w:r>
          </w:p>
        </w:tc>
      </w:tr>
      <w:tr w:rsidR="00D049E6" w:rsidRPr="009B4A78" w14:paraId="399198EC" w14:textId="77777777" w:rsidTr="00F33E49">
        <w:trPr>
          <w:trHeight w:val="632"/>
        </w:trPr>
        <w:tc>
          <w:tcPr>
            <w:tcW w:w="4111" w:type="dxa"/>
            <w:shd w:val="clear" w:color="auto" w:fill="auto"/>
            <w:tcMar>
              <w:top w:w="113" w:type="dxa"/>
              <w:bottom w:w="113" w:type="dxa"/>
            </w:tcMar>
          </w:tcPr>
          <w:p w14:paraId="3B9F92AB" w14:textId="77777777" w:rsidR="00D049E6" w:rsidRPr="009B4A78" w:rsidRDefault="00D049E6" w:rsidP="00F33E49">
            <w:pPr>
              <w:rPr>
                <w:rFonts w:ascii="Arial" w:hAnsi="Arial" w:cs="Arial"/>
                <w:color w:val="000000"/>
                <w:sz w:val="16"/>
                <w:szCs w:val="16"/>
              </w:rPr>
            </w:pPr>
            <w:r w:rsidRPr="009B4A78">
              <w:rPr>
                <w:rFonts w:ascii="Arial" w:hAnsi="Arial" w:cs="Arial"/>
                <w:sz w:val="16"/>
                <w:szCs w:val="16"/>
                <w:lang w:eastAsia="zh-CN"/>
              </w:rPr>
              <w:t>Regression in quality of international work products</w:t>
            </w:r>
          </w:p>
        </w:tc>
        <w:tc>
          <w:tcPr>
            <w:tcW w:w="5245" w:type="dxa"/>
            <w:shd w:val="clear" w:color="auto" w:fill="auto"/>
            <w:tcMar>
              <w:top w:w="113" w:type="dxa"/>
              <w:bottom w:w="113" w:type="dxa"/>
            </w:tcMar>
          </w:tcPr>
          <w:p w14:paraId="73CA7905" w14:textId="77777777" w:rsidR="00D049E6" w:rsidRPr="009B4A78" w:rsidRDefault="00D049E6" w:rsidP="00F33E49">
            <w:pPr>
              <w:rPr>
                <w:rFonts w:ascii="Arial" w:hAnsi="Arial" w:cs="Arial"/>
                <w:b/>
                <w:i/>
                <w:color w:val="000000"/>
                <w:sz w:val="16"/>
                <w:szCs w:val="16"/>
              </w:rPr>
            </w:pPr>
            <w:r w:rsidRPr="009B4A78">
              <w:rPr>
                <w:rFonts w:ascii="Arial" w:hAnsi="Arial" w:cs="Arial"/>
                <w:color w:val="000000"/>
                <w:sz w:val="16"/>
                <w:szCs w:val="16"/>
              </w:rPr>
              <w:t>Improve staff profile alignment; continue to strengthen quality control procedures; provide training support, in particular in relation to new technologies such as</w:t>
            </w:r>
            <w:r w:rsidRPr="009B4A78" w:rsidDel="004F29C5">
              <w:rPr>
                <w:rFonts w:ascii="Arial" w:hAnsi="Arial" w:cs="Arial"/>
                <w:color w:val="000000"/>
                <w:sz w:val="16"/>
                <w:szCs w:val="16"/>
              </w:rPr>
              <w:t xml:space="preserve"> </w:t>
            </w:r>
            <w:r w:rsidRPr="009B4A78">
              <w:rPr>
                <w:rFonts w:ascii="Arial" w:hAnsi="Arial" w:cs="Arial"/>
                <w:color w:val="000000"/>
                <w:sz w:val="16"/>
                <w:szCs w:val="16"/>
              </w:rPr>
              <w:t xml:space="preserve">XML, </w:t>
            </w:r>
            <w:proofErr w:type="spellStart"/>
            <w:r w:rsidRPr="009B4A78">
              <w:rPr>
                <w:rFonts w:ascii="Arial" w:hAnsi="Arial" w:cs="Arial"/>
                <w:color w:val="000000"/>
                <w:sz w:val="16"/>
                <w:szCs w:val="16"/>
              </w:rPr>
              <w:t>ePCT</w:t>
            </w:r>
            <w:proofErr w:type="spellEnd"/>
            <w:r w:rsidRPr="009B4A78">
              <w:rPr>
                <w:rFonts w:ascii="Arial" w:hAnsi="Arial" w:cs="Arial"/>
                <w:color w:val="000000"/>
                <w:sz w:val="16"/>
                <w:szCs w:val="16"/>
              </w:rPr>
              <w:t xml:space="preserve"> etc.</w:t>
            </w:r>
          </w:p>
        </w:tc>
      </w:tr>
    </w:tbl>
    <w:p w14:paraId="21A462FD" w14:textId="77777777" w:rsidR="00D049E6" w:rsidRDefault="00D049E6" w:rsidP="00F33E49">
      <w:pPr>
        <w:rPr>
          <w:rFonts w:ascii="Arial" w:hAnsi="Arial" w:cs="Arial"/>
          <w:sz w:val="20"/>
        </w:rPr>
      </w:pPr>
    </w:p>
    <w:p w14:paraId="6C5F9AFC" w14:textId="77777777" w:rsidR="004B1807" w:rsidRDefault="004B1807" w:rsidP="00F33E49">
      <w:pPr>
        <w:rPr>
          <w:rFonts w:ascii="Arial" w:hAnsi="Arial" w:cs="Arial"/>
          <w:sz w:val="20"/>
        </w:rPr>
      </w:pPr>
    </w:p>
    <w:p w14:paraId="65C730A9" w14:textId="77777777" w:rsidR="00D049E6" w:rsidRPr="009B4A78" w:rsidRDefault="00D049E6" w:rsidP="004B1807">
      <w:pPr>
        <w:widowControl w:val="0"/>
        <w:tabs>
          <w:tab w:val="left" w:pos="567"/>
          <w:tab w:val="left" w:pos="1985"/>
        </w:tabs>
        <w:jc w:val="both"/>
        <w:rPr>
          <w:rFonts w:ascii="Arial" w:hAnsi="Arial" w:cs="Arial"/>
          <w:bCs/>
        </w:rPr>
      </w:pPr>
      <w:r w:rsidRPr="009B4A78">
        <w:rPr>
          <w:rFonts w:ascii="Arial" w:hAnsi="Arial" w:cs="Arial"/>
          <w:bCs/>
        </w:rPr>
        <w:t xml:space="preserve">RESULTS FRAMEWORK </w:t>
      </w:r>
    </w:p>
    <w:p w14:paraId="25A29F69" w14:textId="77777777" w:rsidR="00D049E6" w:rsidRPr="009B4A78" w:rsidRDefault="00D049E6" w:rsidP="004B1807">
      <w:pPr>
        <w:widowControl w:val="0"/>
        <w:tabs>
          <w:tab w:val="left" w:pos="567"/>
          <w:tab w:val="left" w:pos="1985"/>
        </w:tabs>
        <w:jc w:val="both"/>
        <w:rPr>
          <w:rFonts w:ascii="Arial" w:hAnsi="Arial" w:cs="Arial"/>
          <w:bCs/>
        </w:rPr>
      </w:pPr>
    </w:p>
    <w:tbl>
      <w:tblPr>
        <w:tblW w:w="9386" w:type="dxa"/>
        <w:tblLayout w:type="fixed"/>
        <w:tblCellMar>
          <w:left w:w="30" w:type="dxa"/>
          <w:right w:w="30" w:type="dxa"/>
        </w:tblCellMar>
        <w:tblLook w:val="0000" w:firstRow="0" w:lastRow="0" w:firstColumn="0" w:lastColumn="0" w:noHBand="0" w:noVBand="0"/>
      </w:tblPr>
      <w:tblGrid>
        <w:gridCol w:w="2674"/>
        <w:gridCol w:w="2397"/>
        <w:gridCol w:w="2256"/>
        <w:gridCol w:w="2059"/>
      </w:tblGrid>
      <w:tr w:rsidR="00D049E6" w:rsidRPr="009B4A78" w14:paraId="6EBD29D6" w14:textId="77777777" w:rsidTr="004B1807">
        <w:trPr>
          <w:trHeight w:val="470"/>
          <w:tblHeader/>
        </w:trPr>
        <w:tc>
          <w:tcPr>
            <w:tcW w:w="2674" w:type="dxa"/>
            <w:tcBorders>
              <w:top w:val="single" w:sz="4" w:space="0" w:color="auto"/>
              <w:left w:val="single" w:sz="4" w:space="0" w:color="auto"/>
              <w:bottom w:val="single" w:sz="4" w:space="0" w:color="auto"/>
              <w:right w:val="nil"/>
            </w:tcBorders>
            <w:shd w:val="clear" w:color="auto" w:fill="C6D9F1" w:themeFill="text2" w:themeFillTint="33"/>
            <w:vAlign w:val="center"/>
          </w:tcPr>
          <w:p w14:paraId="6ACA34B7"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Expected Results</w:t>
            </w:r>
          </w:p>
        </w:tc>
        <w:tc>
          <w:tcPr>
            <w:tcW w:w="2397" w:type="dxa"/>
            <w:tcBorders>
              <w:top w:val="single" w:sz="4" w:space="0" w:color="auto"/>
              <w:left w:val="nil"/>
              <w:bottom w:val="single" w:sz="4" w:space="0" w:color="auto"/>
              <w:right w:val="nil"/>
            </w:tcBorders>
            <w:shd w:val="clear" w:color="auto" w:fill="C6D9F1" w:themeFill="text2" w:themeFillTint="33"/>
            <w:vAlign w:val="center"/>
          </w:tcPr>
          <w:p w14:paraId="6A554BCF"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Performance Indicators</w:t>
            </w:r>
          </w:p>
        </w:tc>
        <w:tc>
          <w:tcPr>
            <w:tcW w:w="2256" w:type="dxa"/>
            <w:tcBorders>
              <w:top w:val="single" w:sz="4" w:space="0" w:color="auto"/>
              <w:left w:val="nil"/>
              <w:bottom w:val="single" w:sz="4" w:space="0" w:color="auto"/>
              <w:right w:val="nil"/>
            </w:tcBorders>
            <w:shd w:val="clear" w:color="auto" w:fill="C6D9F1" w:themeFill="text2" w:themeFillTint="33"/>
            <w:vAlign w:val="center"/>
          </w:tcPr>
          <w:p w14:paraId="654A43A6"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Baselines</w:t>
            </w:r>
          </w:p>
        </w:tc>
        <w:tc>
          <w:tcPr>
            <w:tcW w:w="205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D123661"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Targets</w:t>
            </w:r>
          </w:p>
        </w:tc>
      </w:tr>
      <w:tr w:rsidR="00D049E6" w:rsidRPr="009B4A78" w14:paraId="6507A827" w14:textId="77777777" w:rsidTr="004B1807">
        <w:trPr>
          <w:trHeight w:val="1358"/>
        </w:trPr>
        <w:tc>
          <w:tcPr>
            <w:tcW w:w="2674" w:type="dxa"/>
            <w:tcBorders>
              <w:top w:val="single" w:sz="4" w:space="0" w:color="auto"/>
              <w:left w:val="single" w:sz="6" w:space="0" w:color="auto"/>
              <w:right w:val="nil"/>
            </w:tcBorders>
            <w:shd w:val="solid" w:color="FFFFFF" w:fill="auto"/>
          </w:tcPr>
          <w:p w14:paraId="69FAE7A8"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p w14:paraId="59960E0B"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r w:rsidRPr="009B4A78">
              <w:rPr>
                <w:rFonts w:ascii="Arial" w:eastAsia="SimSun" w:hAnsi="Arial" w:cs="Arial"/>
                <w:color w:val="000000"/>
                <w:sz w:val="16"/>
                <w:szCs w:val="16"/>
              </w:rPr>
              <w:t>II.1 Wider and more effective use of the PCT system for filing international patent applications</w:t>
            </w:r>
          </w:p>
        </w:tc>
        <w:tc>
          <w:tcPr>
            <w:tcW w:w="2397" w:type="dxa"/>
            <w:tcBorders>
              <w:top w:val="single" w:sz="4" w:space="0" w:color="auto"/>
              <w:left w:val="nil"/>
              <w:right w:val="nil"/>
            </w:tcBorders>
            <w:shd w:val="solid" w:color="FFFFFF" w:fill="auto"/>
          </w:tcPr>
          <w:p w14:paraId="6CA5990E"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p>
          <w:p w14:paraId="27ED9EDB"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Level of satisfaction of PCT users with PCT-specific legal advice, information, training and customer service</w:t>
            </w:r>
          </w:p>
        </w:tc>
        <w:tc>
          <w:tcPr>
            <w:tcW w:w="2256" w:type="dxa"/>
            <w:tcBorders>
              <w:top w:val="single" w:sz="4" w:space="0" w:color="auto"/>
              <w:left w:val="nil"/>
              <w:right w:val="nil"/>
            </w:tcBorders>
            <w:shd w:val="solid" w:color="FFFFFF" w:fill="auto"/>
          </w:tcPr>
          <w:p w14:paraId="61F3F94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p>
          <w:p w14:paraId="67AEB15E"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Results of 2009 and 2015 Surveys</w:t>
            </w:r>
          </w:p>
        </w:tc>
        <w:tc>
          <w:tcPr>
            <w:tcW w:w="2059" w:type="dxa"/>
            <w:tcBorders>
              <w:top w:val="single" w:sz="4" w:space="0" w:color="auto"/>
              <w:left w:val="nil"/>
              <w:right w:val="single" w:sz="6" w:space="0" w:color="auto"/>
            </w:tcBorders>
            <w:shd w:val="solid" w:color="FFFFFF" w:fill="auto"/>
          </w:tcPr>
          <w:p w14:paraId="33D7532B"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p>
          <w:p w14:paraId="669E614D"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 xml:space="preserve">Increase or at least maintain the level of satisfaction of PCT users </w:t>
            </w:r>
          </w:p>
        </w:tc>
      </w:tr>
      <w:tr w:rsidR="00D049E6" w:rsidRPr="009B4A78" w14:paraId="147C60FC" w14:textId="77777777" w:rsidTr="004B1807">
        <w:trPr>
          <w:trHeight w:val="1667"/>
        </w:trPr>
        <w:tc>
          <w:tcPr>
            <w:tcW w:w="2674" w:type="dxa"/>
            <w:tcBorders>
              <w:top w:val="nil"/>
              <w:left w:val="single" w:sz="6" w:space="0" w:color="auto"/>
              <w:bottom w:val="single" w:sz="4" w:space="0" w:color="auto"/>
              <w:right w:val="nil"/>
            </w:tcBorders>
            <w:shd w:val="solid" w:color="FFFFFF" w:fill="auto"/>
          </w:tcPr>
          <w:p w14:paraId="71CAD08F"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single" w:sz="4" w:space="0" w:color="auto"/>
              <w:right w:val="nil"/>
            </w:tcBorders>
            <w:shd w:val="solid" w:color="FFFFFF" w:fill="auto"/>
          </w:tcPr>
          <w:p w14:paraId="0CAFE97A"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Satisfaction of Offices and International Authorities with PCT cooperative activities</w:t>
            </w:r>
          </w:p>
        </w:tc>
        <w:tc>
          <w:tcPr>
            <w:tcW w:w="2256" w:type="dxa"/>
            <w:tcBorders>
              <w:top w:val="nil"/>
              <w:left w:val="nil"/>
              <w:bottom w:val="single" w:sz="4" w:space="0" w:color="auto"/>
              <w:right w:val="nil"/>
            </w:tcBorders>
            <w:shd w:val="solid" w:color="FFFFFF" w:fill="auto"/>
          </w:tcPr>
          <w:p w14:paraId="539C939C"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56 (95% out of 59 beneficiaries of PCT cooperative activities; 85% out of the 66 survey respondents) (2012 survey) The satisfaction survey is conducted once every biennium. </w:t>
            </w:r>
          </w:p>
        </w:tc>
        <w:tc>
          <w:tcPr>
            <w:tcW w:w="2059" w:type="dxa"/>
            <w:tcBorders>
              <w:top w:val="nil"/>
              <w:left w:val="nil"/>
              <w:bottom w:val="single" w:sz="4" w:space="0" w:color="auto"/>
              <w:right w:val="single" w:sz="6" w:space="0" w:color="auto"/>
            </w:tcBorders>
            <w:shd w:val="solid" w:color="FFFFFF" w:fill="auto"/>
          </w:tcPr>
          <w:p w14:paraId="38D79A8B"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Maintain the 2015</w:t>
            </w:r>
          </w:p>
          <w:p w14:paraId="42509C4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level of satisfaction</w:t>
            </w:r>
          </w:p>
          <w:p w14:paraId="29889BE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of Offices and</w:t>
            </w:r>
          </w:p>
          <w:p w14:paraId="78D1984C"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International</w:t>
            </w:r>
          </w:p>
          <w:p w14:paraId="1BCCA255"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Authorities</w:t>
            </w:r>
          </w:p>
        </w:tc>
      </w:tr>
      <w:tr w:rsidR="00D049E6" w:rsidRPr="009B4A78" w14:paraId="2BF6D74A" w14:textId="77777777" w:rsidTr="004B1807">
        <w:trPr>
          <w:trHeight w:val="1265"/>
        </w:trPr>
        <w:tc>
          <w:tcPr>
            <w:tcW w:w="2674" w:type="dxa"/>
            <w:tcBorders>
              <w:top w:val="single" w:sz="4" w:space="0" w:color="auto"/>
              <w:left w:val="single" w:sz="6" w:space="0" w:color="auto"/>
              <w:bottom w:val="nil"/>
              <w:right w:val="nil"/>
            </w:tcBorders>
            <w:shd w:val="solid" w:color="FFFFFF" w:fill="auto"/>
          </w:tcPr>
          <w:p w14:paraId="02A16FAE"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single" w:sz="4" w:space="0" w:color="auto"/>
              <w:left w:val="nil"/>
              <w:bottom w:val="nil"/>
              <w:right w:val="nil"/>
            </w:tcBorders>
            <w:shd w:val="solid" w:color="FFFFFF" w:fill="auto"/>
          </w:tcPr>
          <w:p w14:paraId="0646084F"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Further development of the PCT system, notably implementation of the PCT roadmap recommendations endorsed by PCT Member States</w:t>
            </w:r>
          </w:p>
        </w:tc>
        <w:tc>
          <w:tcPr>
            <w:tcW w:w="2256" w:type="dxa"/>
            <w:tcBorders>
              <w:top w:val="single" w:sz="4" w:space="0" w:color="auto"/>
              <w:left w:val="nil"/>
              <w:bottom w:val="nil"/>
              <w:right w:val="nil"/>
            </w:tcBorders>
            <w:shd w:val="solid" w:color="FFFFFF" w:fill="auto"/>
          </w:tcPr>
          <w:p w14:paraId="47B9649D"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Decisions by appropriate PCT bodies up to the end of 2014 (Document PCT/A/46/6)</w:t>
            </w:r>
          </w:p>
        </w:tc>
        <w:tc>
          <w:tcPr>
            <w:tcW w:w="2059" w:type="dxa"/>
            <w:tcBorders>
              <w:top w:val="single" w:sz="4" w:space="0" w:color="auto"/>
              <w:left w:val="nil"/>
              <w:bottom w:val="nil"/>
              <w:right w:val="single" w:sz="6" w:space="0" w:color="auto"/>
            </w:tcBorders>
            <w:shd w:val="solid" w:color="FFFFFF" w:fill="auto"/>
          </w:tcPr>
          <w:p w14:paraId="2E55C86D"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Decisions by appropriate PCT bodies up to the end of 2017</w:t>
            </w:r>
          </w:p>
        </w:tc>
      </w:tr>
      <w:tr w:rsidR="00D049E6" w:rsidRPr="009B4A78" w14:paraId="33A86D6A" w14:textId="77777777" w:rsidTr="00FB68E0">
        <w:trPr>
          <w:trHeight w:val="2559"/>
        </w:trPr>
        <w:tc>
          <w:tcPr>
            <w:tcW w:w="2674" w:type="dxa"/>
            <w:tcBorders>
              <w:top w:val="nil"/>
              <w:left w:val="single" w:sz="6" w:space="0" w:color="auto"/>
              <w:bottom w:val="nil"/>
              <w:right w:val="nil"/>
            </w:tcBorders>
            <w:shd w:val="solid" w:color="FFFFFF" w:fill="auto"/>
          </w:tcPr>
          <w:p w14:paraId="37ADF59E"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27B49008"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Improved electronic services for applicants, third parties, Offices and Authorities</w:t>
            </w:r>
          </w:p>
        </w:tc>
        <w:tc>
          <w:tcPr>
            <w:tcW w:w="2256" w:type="dxa"/>
            <w:tcBorders>
              <w:top w:val="nil"/>
              <w:left w:val="nil"/>
              <w:bottom w:val="nil"/>
              <w:right w:val="nil"/>
            </w:tcBorders>
            <w:shd w:val="solid" w:color="FFFFFF" w:fill="auto"/>
          </w:tcPr>
          <w:p w14:paraId="55065062"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At the end of 2014, compared to the end of 2013:</w:t>
            </w:r>
          </w:p>
          <w:p w14:paraId="6E46926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+32% applicants public; </w:t>
            </w:r>
          </w:p>
          <w:p w14:paraId="246B21E2"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+100% applicants private; </w:t>
            </w:r>
          </w:p>
          <w:p w14:paraId="3CFF91E0"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+25% third party observers; +329% Receiving Offices; </w:t>
            </w:r>
          </w:p>
          <w:p w14:paraId="338C0FC0"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-73% International Authorities (largest user Office moved to next level of automation)</w:t>
            </w:r>
          </w:p>
        </w:tc>
        <w:tc>
          <w:tcPr>
            <w:tcW w:w="2059" w:type="dxa"/>
            <w:tcBorders>
              <w:top w:val="nil"/>
              <w:left w:val="nil"/>
              <w:bottom w:val="nil"/>
              <w:right w:val="single" w:sz="6" w:space="0" w:color="auto"/>
            </w:tcBorders>
            <w:shd w:val="solid" w:color="FFFFFF" w:fill="auto"/>
          </w:tcPr>
          <w:p w14:paraId="1F44F645"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 xml:space="preserve">Increased number of Offices accepting e-filing from </w:t>
            </w:r>
            <w:proofErr w:type="spellStart"/>
            <w:r w:rsidRPr="009B4A78">
              <w:rPr>
                <w:rFonts w:ascii="Arial" w:eastAsia="SimSun" w:hAnsi="Arial" w:cs="Arial"/>
                <w:color w:val="000000"/>
                <w:sz w:val="16"/>
                <w:szCs w:val="16"/>
              </w:rPr>
              <w:t>ePCT</w:t>
            </w:r>
            <w:proofErr w:type="spellEnd"/>
            <w:r w:rsidRPr="009B4A78">
              <w:rPr>
                <w:rFonts w:ascii="Arial" w:eastAsia="SimSun" w:hAnsi="Arial" w:cs="Arial"/>
                <w:color w:val="000000"/>
                <w:sz w:val="16"/>
                <w:szCs w:val="16"/>
              </w:rPr>
              <w:t xml:space="preserve">; Offices using </w:t>
            </w:r>
            <w:proofErr w:type="spellStart"/>
            <w:r w:rsidRPr="009B4A78">
              <w:rPr>
                <w:rFonts w:ascii="Arial" w:eastAsia="SimSun" w:hAnsi="Arial" w:cs="Arial"/>
                <w:color w:val="000000"/>
                <w:sz w:val="16"/>
                <w:szCs w:val="16"/>
              </w:rPr>
              <w:t>ePCT</w:t>
            </w:r>
            <w:proofErr w:type="spellEnd"/>
            <w:r w:rsidRPr="009B4A78">
              <w:rPr>
                <w:rFonts w:ascii="Arial" w:eastAsia="SimSun" w:hAnsi="Arial" w:cs="Arial"/>
                <w:color w:val="000000"/>
                <w:sz w:val="16"/>
                <w:szCs w:val="16"/>
              </w:rPr>
              <w:t xml:space="preserve"> or accepting documents transmitted by applicants using </w:t>
            </w:r>
            <w:proofErr w:type="spellStart"/>
            <w:r w:rsidRPr="009B4A78">
              <w:rPr>
                <w:rFonts w:ascii="Arial" w:eastAsia="SimSun" w:hAnsi="Arial" w:cs="Arial"/>
                <w:color w:val="000000"/>
                <w:sz w:val="16"/>
                <w:szCs w:val="16"/>
              </w:rPr>
              <w:t>ePCT</w:t>
            </w:r>
            <w:proofErr w:type="spellEnd"/>
            <w:r w:rsidRPr="009B4A78">
              <w:rPr>
                <w:rFonts w:ascii="Arial" w:eastAsia="SimSun" w:hAnsi="Arial" w:cs="Arial"/>
                <w:color w:val="000000"/>
                <w:sz w:val="16"/>
                <w:szCs w:val="16"/>
              </w:rPr>
              <w:t xml:space="preserve">; applications filed using </w:t>
            </w:r>
            <w:proofErr w:type="spellStart"/>
            <w:r w:rsidRPr="009B4A78">
              <w:rPr>
                <w:rFonts w:ascii="Arial" w:eastAsia="SimSun" w:hAnsi="Arial" w:cs="Arial"/>
                <w:color w:val="000000"/>
                <w:sz w:val="16"/>
                <w:szCs w:val="16"/>
              </w:rPr>
              <w:t>ePCT</w:t>
            </w:r>
            <w:proofErr w:type="spellEnd"/>
          </w:p>
        </w:tc>
      </w:tr>
      <w:tr w:rsidR="00D049E6" w:rsidRPr="009B4A78" w14:paraId="187EAE8E" w14:textId="77777777" w:rsidTr="00FB68E0">
        <w:trPr>
          <w:trHeight w:val="904"/>
        </w:trPr>
        <w:tc>
          <w:tcPr>
            <w:tcW w:w="2674" w:type="dxa"/>
            <w:tcBorders>
              <w:top w:val="nil"/>
              <w:left w:val="single" w:sz="6" w:space="0" w:color="auto"/>
              <w:bottom w:val="nil"/>
              <w:right w:val="nil"/>
            </w:tcBorders>
            <w:shd w:val="solid" w:color="FFFFFF" w:fill="auto"/>
          </w:tcPr>
          <w:p w14:paraId="5F7A45C3" w14:textId="77777777" w:rsidR="00D049E6" w:rsidRPr="009B4A78" w:rsidRDefault="00D049E6" w:rsidP="004B1807">
            <w:pPr>
              <w:widowControl w:val="0"/>
              <w:tabs>
                <w:tab w:val="left" w:pos="1733"/>
                <w:tab w:val="left" w:pos="2127"/>
                <w:tab w:val="left" w:pos="2268"/>
              </w:tabs>
              <w:autoSpaceDE w:val="0"/>
              <w:autoSpaceDN w:val="0"/>
              <w:adjustRightInd w:val="0"/>
              <w:ind w:right="321"/>
              <w:rPr>
                <w:rFonts w:ascii="Arial" w:eastAsia="SimSun" w:hAnsi="Arial" w:cs="Arial"/>
                <w:color w:val="000000"/>
                <w:sz w:val="16"/>
                <w:szCs w:val="16"/>
              </w:rPr>
            </w:pPr>
            <w:r w:rsidRPr="009B4A78">
              <w:rPr>
                <w:rFonts w:ascii="Arial" w:eastAsia="SimSun" w:hAnsi="Arial" w:cs="Arial"/>
                <w:color w:val="000000"/>
                <w:sz w:val="16"/>
                <w:szCs w:val="16"/>
              </w:rPr>
              <w:t>II.3 Improved productivity and service quality of PCT operations</w:t>
            </w:r>
          </w:p>
        </w:tc>
        <w:tc>
          <w:tcPr>
            <w:tcW w:w="2397" w:type="dxa"/>
            <w:tcBorders>
              <w:top w:val="nil"/>
              <w:left w:val="nil"/>
              <w:bottom w:val="nil"/>
              <w:right w:val="nil"/>
            </w:tcBorders>
            <w:shd w:val="solid" w:color="FFFFFF" w:fill="auto"/>
          </w:tcPr>
          <w:p w14:paraId="70D323E7"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Application Unit Cost</w:t>
            </w:r>
          </w:p>
        </w:tc>
        <w:tc>
          <w:tcPr>
            <w:tcW w:w="2256" w:type="dxa"/>
            <w:tcBorders>
              <w:top w:val="nil"/>
              <w:left w:val="nil"/>
              <w:bottom w:val="nil"/>
              <w:right w:val="nil"/>
            </w:tcBorders>
            <w:shd w:val="solid" w:color="FFFFFF" w:fill="auto"/>
          </w:tcPr>
          <w:p w14:paraId="6F153B7E" w14:textId="27CBA6F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662 </w:t>
            </w:r>
            <w:r w:rsidR="00B70F0D">
              <w:rPr>
                <w:rFonts w:ascii="Arial" w:eastAsia="SimSun" w:hAnsi="Arial" w:cs="Arial"/>
                <w:color w:val="000000"/>
                <w:sz w:val="16"/>
                <w:szCs w:val="16"/>
              </w:rPr>
              <w:t>Swiss francs</w:t>
            </w:r>
            <w:r w:rsidR="00B70F0D" w:rsidRPr="009B4A78">
              <w:rPr>
                <w:rFonts w:ascii="Arial" w:eastAsia="SimSun" w:hAnsi="Arial" w:cs="Arial"/>
                <w:color w:val="000000"/>
                <w:sz w:val="16"/>
                <w:szCs w:val="16"/>
              </w:rPr>
              <w:t xml:space="preserve"> </w:t>
            </w:r>
            <w:r w:rsidRPr="009B4A78">
              <w:rPr>
                <w:rFonts w:ascii="Arial" w:eastAsia="SimSun" w:hAnsi="Arial" w:cs="Arial"/>
                <w:color w:val="000000"/>
                <w:sz w:val="16"/>
                <w:szCs w:val="16"/>
              </w:rPr>
              <w:t>(2014)</w:t>
            </w:r>
          </w:p>
        </w:tc>
        <w:tc>
          <w:tcPr>
            <w:tcW w:w="2059" w:type="dxa"/>
            <w:tcBorders>
              <w:top w:val="nil"/>
              <w:left w:val="nil"/>
              <w:bottom w:val="nil"/>
              <w:right w:val="single" w:sz="6" w:space="0" w:color="auto"/>
            </w:tcBorders>
            <w:shd w:val="solid" w:color="FFFFFF" w:fill="auto"/>
          </w:tcPr>
          <w:p w14:paraId="1C98443E" w14:textId="07BF6CAB" w:rsidR="00D049E6" w:rsidRPr="009B4A78" w:rsidRDefault="00416ECB" w:rsidP="004B1807">
            <w:pPr>
              <w:widowControl w:val="0"/>
              <w:autoSpaceDE w:val="0"/>
              <w:autoSpaceDN w:val="0"/>
              <w:adjustRightInd w:val="0"/>
              <w:ind w:left="53"/>
              <w:rPr>
                <w:rFonts w:ascii="Arial" w:eastAsia="SimSun" w:hAnsi="Arial" w:cs="Arial"/>
                <w:color w:val="000000"/>
                <w:sz w:val="16"/>
                <w:szCs w:val="16"/>
              </w:rPr>
            </w:pPr>
            <w:r>
              <w:rPr>
                <w:rFonts w:ascii="Arial" w:eastAsia="SimSun" w:hAnsi="Arial" w:cs="Arial"/>
                <w:color w:val="000000"/>
                <w:sz w:val="16"/>
                <w:szCs w:val="16"/>
              </w:rPr>
              <w:t>Maintain</w:t>
            </w:r>
            <w:r w:rsidRPr="009B4A78">
              <w:rPr>
                <w:rFonts w:ascii="Arial" w:eastAsia="SimSun" w:hAnsi="Arial" w:cs="Arial"/>
                <w:color w:val="000000"/>
                <w:sz w:val="16"/>
                <w:szCs w:val="16"/>
              </w:rPr>
              <w:t xml:space="preserve"> </w:t>
            </w:r>
            <w:r w:rsidR="00D049E6" w:rsidRPr="009B4A78">
              <w:rPr>
                <w:rFonts w:ascii="Arial" w:eastAsia="SimSun" w:hAnsi="Arial" w:cs="Arial"/>
                <w:color w:val="000000"/>
                <w:sz w:val="16"/>
                <w:szCs w:val="16"/>
              </w:rPr>
              <w:t>unit cost</w:t>
            </w:r>
            <w:r>
              <w:rPr>
                <w:rFonts w:ascii="Arial" w:eastAsia="SimSun" w:hAnsi="Arial" w:cs="Arial"/>
                <w:color w:val="000000"/>
                <w:sz w:val="16"/>
                <w:szCs w:val="16"/>
              </w:rPr>
              <w:t xml:space="preserve"> despite foreseen investments to enhance PCT resilience and security levels</w:t>
            </w:r>
          </w:p>
        </w:tc>
      </w:tr>
      <w:tr w:rsidR="00D049E6" w:rsidRPr="009B4A78" w14:paraId="0EFEB950" w14:textId="77777777" w:rsidTr="00FB68E0">
        <w:trPr>
          <w:trHeight w:val="712"/>
        </w:trPr>
        <w:tc>
          <w:tcPr>
            <w:tcW w:w="2674" w:type="dxa"/>
            <w:tcBorders>
              <w:top w:val="nil"/>
              <w:left w:val="single" w:sz="6" w:space="0" w:color="auto"/>
              <w:bottom w:val="nil"/>
              <w:right w:val="nil"/>
            </w:tcBorders>
            <w:shd w:val="solid" w:color="FFFFFF" w:fill="auto"/>
          </w:tcPr>
          <w:p w14:paraId="4EFB419F"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181147E8"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Aggregate quality of formalities examination (including timeliness)</w:t>
            </w:r>
          </w:p>
        </w:tc>
        <w:tc>
          <w:tcPr>
            <w:tcW w:w="2256" w:type="dxa"/>
            <w:tcBorders>
              <w:top w:val="nil"/>
              <w:left w:val="nil"/>
              <w:bottom w:val="nil"/>
              <w:right w:val="nil"/>
            </w:tcBorders>
            <w:shd w:val="solid" w:color="FFFFFF" w:fill="auto"/>
          </w:tcPr>
          <w:p w14:paraId="6A004C4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93.1% (2014)</w:t>
            </w:r>
          </w:p>
        </w:tc>
        <w:tc>
          <w:tcPr>
            <w:tcW w:w="2059" w:type="dxa"/>
            <w:tcBorders>
              <w:top w:val="nil"/>
              <w:left w:val="nil"/>
              <w:bottom w:val="nil"/>
              <w:right w:val="single" w:sz="6" w:space="0" w:color="auto"/>
            </w:tcBorders>
            <w:shd w:val="solid" w:color="FFFFFF" w:fill="auto"/>
          </w:tcPr>
          <w:p w14:paraId="287AEDB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quality indicator</w:t>
            </w:r>
          </w:p>
        </w:tc>
      </w:tr>
      <w:tr w:rsidR="00D049E6" w:rsidRPr="009B4A78" w14:paraId="50592E6D" w14:textId="77777777" w:rsidTr="00FB68E0">
        <w:trPr>
          <w:trHeight w:val="554"/>
        </w:trPr>
        <w:tc>
          <w:tcPr>
            <w:tcW w:w="2674" w:type="dxa"/>
            <w:tcBorders>
              <w:top w:val="nil"/>
              <w:left w:val="single" w:sz="6" w:space="0" w:color="auto"/>
              <w:bottom w:val="nil"/>
              <w:right w:val="nil"/>
            </w:tcBorders>
            <w:shd w:val="solid" w:color="FFFFFF" w:fill="auto"/>
          </w:tcPr>
          <w:p w14:paraId="5D17E324"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7871B4F1"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Timeliness of Report Translation</w:t>
            </w:r>
          </w:p>
        </w:tc>
        <w:tc>
          <w:tcPr>
            <w:tcW w:w="2256" w:type="dxa"/>
            <w:tcBorders>
              <w:top w:val="nil"/>
              <w:left w:val="nil"/>
              <w:bottom w:val="nil"/>
              <w:right w:val="nil"/>
            </w:tcBorders>
            <w:shd w:val="solid" w:color="FFFFFF" w:fill="auto"/>
          </w:tcPr>
          <w:p w14:paraId="3D376BBA"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82.5% (2014)</w:t>
            </w:r>
          </w:p>
        </w:tc>
        <w:tc>
          <w:tcPr>
            <w:tcW w:w="2059" w:type="dxa"/>
            <w:tcBorders>
              <w:top w:val="nil"/>
              <w:left w:val="nil"/>
              <w:bottom w:val="nil"/>
              <w:right w:val="single" w:sz="6" w:space="0" w:color="auto"/>
            </w:tcBorders>
            <w:shd w:val="solid" w:color="FFFFFF" w:fill="auto"/>
          </w:tcPr>
          <w:p w14:paraId="122C80E3"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Improvement</w:t>
            </w:r>
          </w:p>
        </w:tc>
      </w:tr>
      <w:tr w:rsidR="00D049E6" w:rsidRPr="009B4A78" w14:paraId="111C8A01" w14:textId="77777777" w:rsidTr="00FB68E0">
        <w:trPr>
          <w:trHeight w:val="474"/>
        </w:trPr>
        <w:tc>
          <w:tcPr>
            <w:tcW w:w="2674" w:type="dxa"/>
            <w:tcBorders>
              <w:top w:val="nil"/>
              <w:left w:val="single" w:sz="6" w:space="0" w:color="auto"/>
              <w:bottom w:val="nil"/>
              <w:right w:val="nil"/>
            </w:tcBorders>
            <w:shd w:val="solid" w:color="FFFFFF" w:fill="auto"/>
          </w:tcPr>
          <w:p w14:paraId="0856DAA7"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070EDDFC"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Quality of Translation</w:t>
            </w:r>
          </w:p>
        </w:tc>
        <w:tc>
          <w:tcPr>
            <w:tcW w:w="2256" w:type="dxa"/>
            <w:tcBorders>
              <w:top w:val="nil"/>
              <w:left w:val="nil"/>
              <w:bottom w:val="nil"/>
              <w:right w:val="nil"/>
            </w:tcBorders>
            <w:shd w:val="solid" w:color="FFFFFF" w:fill="auto"/>
          </w:tcPr>
          <w:p w14:paraId="6066D18E"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86% (2014)</w:t>
            </w:r>
          </w:p>
        </w:tc>
        <w:tc>
          <w:tcPr>
            <w:tcW w:w="2059" w:type="dxa"/>
            <w:tcBorders>
              <w:top w:val="nil"/>
              <w:left w:val="nil"/>
              <w:bottom w:val="nil"/>
              <w:right w:val="single" w:sz="6" w:space="0" w:color="auto"/>
            </w:tcBorders>
            <w:shd w:val="solid" w:color="FFFFFF" w:fill="auto"/>
          </w:tcPr>
          <w:p w14:paraId="6382199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quality</w:t>
            </w:r>
          </w:p>
        </w:tc>
      </w:tr>
      <w:tr w:rsidR="00D049E6" w:rsidRPr="009B4A78" w14:paraId="0CF3D7E8" w14:textId="77777777" w:rsidTr="00FB68E0">
        <w:trPr>
          <w:trHeight w:val="529"/>
        </w:trPr>
        <w:tc>
          <w:tcPr>
            <w:tcW w:w="2674" w:type="dxa"/>
            <w:tcBorders>
              <w:top w:val="nil"/>
              <w:left w:val="single" w:sz="6" w:space="0" w:color="auto"/>
              <w:bottom w:val="nil"/>
              <w:right w:val="nil"/>
            </w:tcBorders>
            <w:shd w:val="solid" w:color="FFFFFF" w:fill="auto"/>
          </w:tcPr>
          <w:p w14:paraId="0EE6FB2B"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4E3E59F1"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Quality of software development (QSD)</w:t>
            </w:r>
          </w:p>
        </w:tc>
        <w:tc>
          <w:tcPr>
            <w:tcW w:w="2256" w:type="dxa"/>
            <w:tcBorders>
              <w:top w:val="nil"/>
              <w:left w:val="nil"/>
              <w:bottom w:val="nil"/>
              <w:right w:val="nil"/>
            </w:tcBorders>
            <w:shd w:val="solid" w:color="FFFFFF" w:fill="auto"/>
          </w:tcPr>
          <w:p w14:paraId="490D4AAB"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94.3% (2014)</w:t>
            </w:r>
          </w:p>
        </w:tc>
        <w:tc>
          <w:tcPr>
            <w:tcW w:w="2059" w:type="dxa"/>
            <w:tcBorders>
              <w:top w:val="nil"/>
              <w:left w:val="nil"/>
              <w:bottom w:val="nil"/>
              <w:right w:val="single" w:sz="6" w:space="0" w:color="auto"/>
            </w:tcBorders>
            <w:shd w:val="solid" w:color="FFFFFF" w:fill="auto"/>
          </w:tcPr>
          <w:p w14:paraId="1DF64CF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QSD</w:t>
            </w:r>
          </w:p>
        </w:tc>
      </w:tr>
      <w:tr w:rsidR="00D049E6" w:rsidRPr="009B4A78" w14:paraId="6DA43CAC" w14:textId="77777777" w:rsidTr="00FB68E0">
        <w:trPr>
          <w:trHeight w:val="524"/>
        </w:trPr>
        <w:tc>
          <w:tcPr>
            <w:tcW w:w="2674" w:type="dxa"/>
            <w:tcBorders>
              <w:top w:val="nil"/>
              <w:left w:val="single" w:sz="6" w:space="0" w:color="auto"/>
              <w:bottom w:val="single" w:sz="6" w:space="0" w:color="auto"/>
              <w:right w:val="nil"/>
            </w:tcBorders>
            <w:shd w:val="solid" w:color="FFFFFF" w:fill="auto"/>
          </w:tcPr>
          <w:p w14:paraId="01AEA4E5"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single" w:sz="6" w:space="0" w:color="auto"/>
              <w:right w:val="nil"/>
            </w:tcBorders>
            <w:shd w:val="solid" w:color="FFFFFF" w:fill="auto"/>
          </w:tcPr>
          <w:p w14:paraId="23F88EDB"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Information systems service levels</w:t>
            </w:r>
          </w:p>
        </w:tc>
        <w:tc>
          <w:tcPr>
            <w:tcW w:w="2256" w:type="dxa"/>
            <w:tcBorders>
              <w:top w:val="nil"/>
              <w:left w:val="nil"/>
              <w:bottom w:val="single" w:sz="6" w:space="0" w:color="auto"/>
              <w:right w:val="nil"/>
            </w:tcBorders>
            <w:shd w:val="solid" w:color="FFFFFF" w:fill="auto"/>
          </w:tcPr>
          <w:p w14:paraId="118D1ABD"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95.3% (2014)</w:t>
            </w:r>
          </w:p>
        </w:tc>
        <w:tc>
          <w:tcPr>
            <w:tcW w:w="2059" w:type="dxa"/>
            <w:tcBorders>
              <w:top w:val="nil"/>
              <w:left w:val="nil"/>
              <w:bottom w:val="single" w:sz="6" w:space="0" w:color="auto"/>
              <w:right w:val="single" w:sz="6" w:space="0" w:color="auto"/>
            </w:tcBorders>
            <w:shd w:val="solid" w:color="FFFFFF" w:fill="auto"/>
          </w:tcPr>
          <w:p w14:paraId="6D47917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information systems service levels</w:t>
            </w:r>
          </w:p>
        </w:tc>
      </w:tr>
    </w:tbl>
    <w:p w14:paraId="50B88666" w14:textId="77777777" w:rsidR="00D049E6" w:rsidRPr="00FB68E0" w:rsidRDefault="00D049E6" w:rsidP="004B1807">
      <w:pPr>
        <w:widowControl w:val="0"/>
        <w:tabs>
          <w:tab w:val="left" w:pos="567"/>
          <w:tab w:val="left" w:pos="1985"/>
        </w:tabs>
        <w:jc w:val="both"/>
        <w:rPr>
          <w:rFonts w:ascii="Arial" w:hAnsi="Arial" w:cs="Arial"/>
          <w:bCs/>
          <w:sz w:val="20"/>
          <w:szCs w:val="16"/>
        </w:rPr>
      </w:pPr>
    </w:p>
    <w:p w14:paraId="5208D0E5" w14:textId="77777777" w:rsidR="00D049E6" w:rsidRPr="00FB68E0" w:rsidRDefault="00D049E6" w:rsidP="00F33E49">
      <w:pPr>
        <w:tabs>
          <w:tab w:val="left" w:pos="567"/>
          <w:tab w:val="left" w:pos="1985"/>
        </w:tabs>
        <w:jc w:val="both"/>
        <w:rPr>
          <w:rFonts w:ascii="Arial" w:hAnsi="Arial" w:cs="Arial"/>
          <w:bCs/>
          <w:sz w:val="20"/>
          <w:szCs w:val="16"/>
        </w:rPr>
      </w:pPr>
    </w:p>
    <w:p w14:paraId="3742B2DD" w14:textId="6338406A" w:rsidR="00D049E6" w:rsidRPr="009B4A78" w:rsidRDefault="00D049E6" w:rsidP="00FB68E0">
      <w:pPr>
        <w:keepNext/>
        <w:keepLines/>
        <w:tabs>
          <w:tab w:val="left" w:pos="567"/>
          <w:tab w:val="left" w:pos="1985"/>
        </w:tabs>
        <w:jc w:val="both"/>
        <w:rPr>
          <w:rFonts w:ascii="Arial" w:hAnsi="Arial" w:cs="Arial"/>
          <w:bCs/>
          <w:szCs w:val="16"/>
        </w:rPr>
      </w:pPr>
      <w:r w:rsidRPr="009B4A78">
        <w:rPr>
          <w:rFonts w:ascii="Arial" w:hAnsi="Arial" w:cs="Arial"/>
          <w:bCs/>
          <w:szCs w:val="16"/>
        </w:rPr>
        <w:t>RESOURCES FOR PROGRAM 5</w:t>
      </w:r>
    </w:p>
    <w:p w14:paraId="14D4A1AD" w14:textId="77777777" w:rsidR="00D049E6" w:rsidRPr="009B4A78" w:rsidRDefault="00D049E6" w:rsidP="00FB68E0">
      <w:pPr>
        <w:keepNext/>
        <w:keepLines/>
        <w:tabs>
          <w:tab w:val="left" w:pos="567"/>
          <w:tab w:val="left" w:pos="1985"/>
        </w:tabs>
        <w:jc w:val="both"/>
        <w:rPr>
          <w:rFonts w:ascii="Arial" w:hAnsi="Arial" w:cs="Arial"/>
          <w:bCs/>
          <w:szCs w:val="16"/>
        </w:rPr>
      </w:pPr>
    </w:p>
    <w:p w14:paraId="3C4B3813" w14:textId="31F9A539" w:rsidR="00D049E6" w:rsidRPr="009B4A78" w:rsidRDefault="00D049E6" w:rsidP="00B66A4A">
      <w:pPr>
        <w:numPr>
          <w:ilvl w:val="0"/>
          <w:numId w:val="6"/>
        </w:numPr>
        <w:jc w:val="both"/>
        <w:rPr>
          <w:rFonts w:ascii="Arial" w:hAnsi="Arial" w:cs="Arial"/>
          <w:bCs/>
          <w:sz w:val="20"/>
        </w:rPr>
      </w:pPr>
      <w:r w:rsidRPr="00FB68E0">
        <w:rPr>
          <w:rFonts w:ascii="Arial" w:hAnsi="Arial" w:cs="Arial"/>
          <w:bCs/>
          <w:sz w:val="20"/>
          <w:szCs w:val="20"/>
        </w:rPr>
        <w:t>The increase in the overall resources for Program 5 is due to: (</w:t>
      </w:r>
      <w:proofErr w:type="spellStart"/>
      <w:r w:rsidRPr="00FB68E0">
        <w:rPr>
          <w:rFonts w:ascii="Arial" w:hAnsi="Arial" w:cs="Arial"/>
          <w:bCs/>
          <w:sz w:val="20"/>
          <w:szCs w:val="20"/>
        </w:rPr>
        <w:t>i</w:t>
      </w:r>
      <w:proofErr w:type="spellEnd"/>
      <w:r w:rsidRPr="00FB68E0">
        <w:rPr>
          <w:rFonts w:ascii="Arial" w:hAnsi="Arial" w:cs="Arial"/>
          <w:bCs/>
          <w:sz w:val="20"/>
          <w:szCs w:val="20"/>
        </w:rPr>
        <w:t xml:space="preserve">) an increase in PCT translation costs of 4.2 million Swiss francs in non-personnel resources, (ii) a provision for the strengthening of PCT resilience of 1.4 million Swiss francs (non-personnel resources), and (iii) </w:t>
      </w:r>
      <w:r w:rsidRPr="009B4A78">
        <w:rPr>
          <w:rFonts w:ascii="Arial" w:hAnsi="Arial" w:cs="Arial"/>
          <w:bCs/>
          <w:sz w:val="20"/>
        </w:rPr>
        <w:t xml:space="preserve">increase in </w:t>
      </w:r>
      <w:r w:rsidRPr="00FB68E0">
        <w:rPr>
          <w:rFonts w:ascii="Arial" w:hAnsi="Arial" w:cs="Arial"/>
          <w:bCs/>
          <w:sz w:val="20"/>
          <w:szCs w:val="20"/>
        </w:rPr>
        <w:t xml:space="preserve">personnel costs </w:t>
      </w:r>
      <w:r w:rsidRPr="009B4A78">
        <w:rPr>
          <w:rFonts w:ascii="Arial" w:hAnsi="Arial" w:cs="Arial"/>
          <w:bCs/>
          <w:sz w:val="20"/>
        </w:rPr>
        <w:t xml:space="preserve">following </w:t>
      </w:r>
      <w:r w:rsidRPr="009B4A78">
        <w:rPr>
          <w:rFonts w:ascii="Arial" w:hAnsi="Arial" w:cs="Arial"/>
          <w:sz w:val="20"/>
        </w:rPr>
        <w:t>the change in the costing methodology for personnel resources in 2016/17 based on actuals based costing.</w:t>
      </w:r>
      <w:r w:rsidRPr="00FB68E0">
        <w:rPr>
          <w:rFonts w:ascii="Arial" w:hAnsi="Arial" w:cs="Arial"/>
          <w:bCs/>
          <w:sz w:val="20"/>
          <w:szCs w:val="20"/>
        </w:rPr>
        <w:t xml:space="preserve"> These increases are reflected under Expected Result II.3.  </w:t>
      </w:r>
    </w:p>
    <w:p w14:paraId="2CB2FCA8" w14:textId="77777777" w:rsidR="00D049E6" w:rsidRPr="009B4A78" w:rsidRDefault="00D049E6" w:rsidP="00FB68E0">
      <w:pPr>
        <w:keepNext/>
        <w:keepLines/>
        <w:tabs>
          <w:tab w:val="left" w:pos="567"/>
          <w:tab w:val="left" w:pos="1985"/>
        </w:tabs>
        <w:jc w:val="both"/>
        <w:rPr>
          <w:rFonts w:ascii="Arial" w:hAnsi="Arial" w:cs="Arial"/>
          <w:bCs/>
          <w:sz w:val="20"/>
        </w:rPr>
      </w:pPr>
    </w:p>
    <w:p w14:paraId="69938502" w14:textId="299B15A7" w:rsidR="00D049E6" w:rsidRPr="006332D8" w:rsidRDefault="00D049E6" w:rsidP="00B66A4A">
      <w:pPr>
        <w:numPr>
          <w:ilvl w:val="0"/>
          <w:numId w:val="6"/>
        </w:numPr>
        <w:jc w:val="both"/>
        <w:rPr>
          <w:rFonts w:ascii="Arial" w:hAnsi="Arial" w:cs="Arial"/>
          <w:bCs/>
          <w:sz w:val="20"/>
          <w:szCs w:val="20"/>
        </w:rPr>
      </w:pPr>
      <w:r w:rsidRPr="009B4A78">
        <w:rPr>
          <w:rFonts w:ascii="Arial" w:hAnsi="Arial" w:cs="Arial"/>
          <w:bCs/>
          <w:sz w:val="20"/>
        </w:rPr>
        <w:t>The increase in r</w:t>
      </w:r>
      <w:r w:rsidR="00F07555">
        <w:rPr>
          <w:rFonts w:ascii="Arial" w:hAnsi="Arial" w:cs="Arial"/>
          <w:bCs/>
          <w:sz w:val="20"/>
        </w:rPr>
        <w:t>esources under Expected Result I</w:t>
      </w:r>
      <w:r w:rsidRPr="009B4A78">
        <w:rPr>
          <w:rFonts w:ascii="Arial" w:hAnsi="Arial" w:cs="Arial"/>
          <w:bCs/>
          <w:sz w:val="20"/>
        </w:rPr>
        <w:t>I.</w:t>
      </w:r>
      <w:r w:rsidR="00F07555">
        <w:rPr>
          <w:rFonts w:ascii="Arial" w:hAnsi="Arial" w:cs="Arial"/>
          <w:bCs/>
          <w:sz w:val="20"/>
        </w:rPr>
        <w:t>1</w:t>
      </w:r>
      <w:r w:rsidRPr="009B4A78">
        <w:rPr>
          <w:rFonts w:ascii="Arial" w:hAnsi="Arial" w:cs="Arial"/>
          <w:bCs/>
          <w:sz w:val="20"/>
        </w:rPr>
        <w:t xml:space="preserve"> reflects the merge of Expected Results II.1 and II.2 in the biennium 2016/17.</w:t>
      </w:r>
    </w:p>
    <w:p w14:paraId="2FEDAAE1" w14:textId="77777777" w:rsidR="006332D8" w:rsidRDefault="006332D8" w:rsidP="006332D8">
      <w:pPr>
        <w:pStyle w:val="ListParagraph"/>
        <w:rPr>
          <w:rFonts w:ascii="Arial" w:hAnsi="Arial" w:cs="Arial"/>
          <w:bCs/>
          <w:sz w:val="20"/>
          <w:szCs w:val="20"/>
        </w:rPr>
      </w:pPr>
    </w:p>
    <w:p w14:paraId="49C1EEA9" w14:textId="319A1914" w:rsidR="006332D8" w:rsidRPr="00FB68E0" w:rsidRDefault="006332D8" w:rsidP="00B66A4A">
      <w:pPr>
        <w:numPr>
          <w:ilvl w:val="0"/>
          <w:numId w:val="6"/>
        </w:numPr>
        <w:jc w:val="both"/>
        <w:rPr>
          <w:rFonts w:ascii="Arial" w:hAnsi="Arial" w:cs="Arial"/>
          <w:bCs/>
          <w:sz w:val="20"/>
          <w:szCs w:val="20"/>
        </w:rPr>
      </w:pPr>
      <w:r>
        <w:rPr>
          <w:rFonts w:ascii="Arial" w:hAnsi="Arial" w:cs="Arial"/>
          <w:bCs/>
          <w:sz w:val="20"/>
          <w:szCs w:val="20"/>
        </w:rPr>
        <w:t>The decrease in resources under Expected Result IV.2 in 2016/17 compared to the 2014/15 Budget After Transfers is the result of the completion of the DA Projects on IP and Technology Transfer and Open Collaborative Projects and IP-Based Models</w:t>
      </w:r>
    </w:p>
    <w:p w14:paraId="5B627E9C" w14:textId="1FBB4D2E" w:rsidR="004B1807" w:rsidRDefault="004B1807">
      <w:pPr>
        <w:rPr>
          <w:rFonts w:ascii="Arial" w:hAnsi="Arial" w:cs="Arial"/>
          <w:bCs/>
          <w:szCs w:val="16"/>
        </w:rPr>
      </w:pPr>
      <w:r>
        <w:rPr>
          <w:rFonts w:ascii="Arial" w:hAnsi="Arial" w:cs="Arial"/>
          <w:bCs/>
          <w:szCs w:val="16"/>
        </w:rPr>
        <w:br w:type="page"/>
      </w:r>
    </w:p>
    <w:p w14:paraId="6C9FFB30" w14:textId="77777777" w:rsidR="00D049E6" w:rsidRPr="009B4A78" w:rsidRDefault="00D049E6" w:rsidP="00F33E49">
      <w:pPr>
        <w:tabs>
          <w:tab w:val="center" w:pos="4513"/>
          <w:tab w:val="right" w:pos="9027"/>
        </w:tabs>
        <w:autoSpaceDE w:val="0"/>
        <w:autoSpaceDN w:val="0"/>
        <w:jc w:val="center"/>
        <w:rPr>
          <w:rFonts w:ascii="Arial" w:hAnsi="Arial" w:cs="Arial"/>
          <w:b/>
          <w:sz w:val="20"/>
        </w:rPr>
      </w:pPr>
      <w:r w:rsidRPr="009B4A78">
        <w:rPr>
          <w:rFonts w:ascii="Arial" w:hAnsi="Arial" w:cs="Arial"/>
          <w:b/>
          <w:sz w:val="20"/>
        </w:rPr>
        <w:lastRenderedPageBreak/>
        <w:t>Program 5:  Resources by Result</w:t>
      </w:r>
    </w:p>
    <w:p w14:paraId="50745C71"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B0B4C92" w14:textId="77777777" w:rsidR="00D049E6" w:rsidRPr="009B4A78" w:rsidRDefault="00D049E6" w:rsidP="00F33E49">
      <w:pPr>
        <w:keepNext/>
        <w:keepLines/>
        <w:autoSpaceDE w:val="0"/>
        <w:autoSpaceDN w:val="0"/>
        <w:jc w:val="center"/>
        <w:rPr>
          <w:rFonts w:ascii="Arial" w:hAnsi="Arial" w:cs="Arial"/>
          <w:i/>
          <w:sz w:val="20"/>
        </w:rPr>
      </w:pPr>
    </w:p>
    <w:p w14:paraId="1B8537A3"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03454127" wp14:editId="287509CE">
            <wp:extent cx="4868883" cy="1709202"/>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10215" cy="1723711"/>
                    </a:xfrm>
                    <a:prstGeom prst="rect">
                      <a:avLst/>
                    </a:prstGeom>
                    <a:noFill/>
                    <a:ln>
                      <a:noFill/>
                    </a:ln>
                  </pic:spPr>
                </pic:pic>
              </a:graphicData>
            </a:graphic>
          </wp:inline>
        </w:drawing>
      </w:r>
    </w:p>
    <w:p w14:paraId="60B41D56" w14:textId="77777777" w:rsidR="00D049E6" w:rsidRPr="009B4A78" w:rsidRDefault="00D049E6" w:rsidP="00F33E49">
      <w:pPr>
        <w:autoSpaceDE w:val="0"/>
        <w:autoSpaceDN w:val="0"/>
        <w:jc w:val="center"/>
        <w:rPr>
          <w:rFonts w:ascii="Arial" w:hAnsi="Arial" w:cs="Arial"/>
          <w:i/>
          <w:sz w:val="20"/>
        </w:rPr>
      </w:pPr>
    </w:p>
    <w:p w14:paraId="78D66420" w14:textId="77777777" w:rsidR="00D049E6" w:rsidRPr="009B4A78" w:rsidRDefault="00D049E6" w:rsidP="00F33E49">
      <w:pPr>
        <w:autoSpaceDE w:val="0"/>
        <w:autoSpaceDN w:val="0"/>
        <w:jc w:val="center"/>
        <w:rPr>
          <w:rFonts w:ascii="Arial" w:hAnsi="Arial" w:cs="Arial"/>
          <w:i/>
          <w:sz w:val="20"/>
        </w:rPr>
      </w:pPr>
    </w:p>
    <w:p w14:paraId="53CC1171" w14:textId="77777777" w:rsidR="00D049E6" w:rsidRPr="009B4A78" w:rsidRDefault="00D049E6" w:rsidP="00F33E49">
      <w:pPr>
        <w:keepNext/>
        <w:keepLines/>
        <w:tabs>
          <w:tab w:val="center" w:pos="4513"/>
          <w:tab w:val="right" w:pos="9027"/>
        </w:tabs>
        <w:autoSpaceDE w:val="0"/>
        <w:autoSpaceDN w:val="0"/>
        <w:jc w:val="center"/>
        <w:rPr>
          <w:rFonts w:ascii="Arial" w:hAnsi="Arial" w:cs="Arial"/>
          <w:b/>
          <w:sz w:val="20"/>
        </w:rPr>
      </w:pPr>
      <w:r w:rsidRPr="009B4A78">
        <w:rPr>
          <w:rFonts w:ascii="Arial" w:hAnsi="Arial" w:cs="Arial"/>
          <w:b/>
          <w:sz w:val="20"/>
        </w:rPr>
        <w:t>Program 5:  Resources by Object of Expenditure</w:t>
      </w:r>
    </w:p>
    <w:p w14:paraId="56C5F298"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02F88332" w14:textId="77777777" w:rsidR="00D049E6" w:rsidRPr="009B4A78" w:rsidRDefault="00D049E6" w:rsidP="00F33E49">
      <w:pPr>
        <w:keepNext/>
        <w:keepLines/>
        <w:autoSpaceDE w:val="0"/>
        <w:autoSpaceDN w:val="0"/>
        <w:jc w:val="center"/>
        <w:rPr>
          <w:rFonts w:ascii="Arial" w:hAnsi="Arial" w:cs="Arial"/>
          <w:i/>
          <w:sz w:val="20"/>
        </w:rPr>
      </w:pPr>
    </w:p>
    <w:p w14:paraId="12CDBDB4" w14:textId="77777777" w:rsidR="00D049E6" w:rsidRPr="009B4A78" w:rsidRDefault="00D049E6" w:rsidP="002B052A">
      <w:pPr>
        <w:tabs>
          <w:tab w:val="left" w:pos="567"/>
          <w:tab w:val="left" w:pos="1985"/>
        </w:tabs>
        <w:jc w:val="center"/>
        <w:rPr>
          <w:rFonts w:ascii="Arial" w:hAnsi="Arial" w:cs="Arial"/>
          <w:bCs/>
          <w:sz w:val="20"/>
          <w:szCs w:val="16"/>
        </w:rPr>
      </w:pPr>
      <w:r w:rsidRPr="009B4A78">
        <w:rPr>
          <w:rFonts w:ascii="Arial" w:hAnsi="Arial" w:cs="Arial"/>
          <w:noProof/>
          <w:lang w:eastAsia="en-US"/>
        </w:rPr>
        <w:drawing>
          <wp:inline distT="0" distB="0" distL="0" distR="0" wp14:anchorId="63318FFE" wp14:editId="3E73F250">
            <wp:extent cx="5132879" cy="578328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7648" cy="5777389"/>
                    </a:xfrm>
                    <a:prstGeom prst="rect">
                      <a:avLst/>
                    </a:prstGeom>
                    <a:noFill/>
                    <a:ln>
                      <a:noFill/>
                    </a:ln>
                  </pic:spPr>
                </pic:pic>
              </a:graphicData>
            </a:graphic>
          </wp:inline>
        </w:drawing>
      </w:r>
    </w:p>
    <w:p w14:paraId="79F36021" w14:textId="77777777" w:rsidR="00D049E6" w:rsidRPr="009B4A78" w:rsidRDefault="00D049E6" w:rsidP="00F33E49">
      <w:pPr>
        <w:tabs>
          <w:tab w:val="left" w:pos="567"/>
          <w:tab w:val="left" w:pos="1985"/>
        </w:tabs>
        <w:jc w:val="both"/>
        <w:rPr>
          <w:rFonts w:ascii="Arial" w:hAnsi="Arial" w:cs="Arial"/>
          <w:bCs/>
          <w:sz w:val="20"/>
          <w:szCs w:val="16"/>
        </w:rPr>
      </w:pPr>
    </w:p>
    <w:p w14:paraId="4A1688AF" w14:textId="2596B146" w:rsidR="00250CF8" w:rsidRPr="009B4A78" w:rsidRDefault="00250CF8">
      <w:pPr>
        <w:rPr>
          <w:rFonts w:ascii="Arial" w:hAnsi="Arial" w:cs="Arial"/>
          <w:sz w:val="20"/>
          <w:szCs w:val="20"/>
        </w:rPr>
      </w:pPr>
      <w:r w:rsidRPr="009B4A78">
        <w:rPr>
          <w:rFonts w:ascii="Arial" w:hAnsi="Arial" w:cs="Arial"/>
          <w:sz w:val="20"/>
          <w:szCs w:val="20"/>
        </w:rPr>
        <w:br w:type="page"/>
      </w:r>
    </w:p>
    <w:p w14:paraId="7E61875C" w14:textId="462F39A8" w:rsidR="00250CF8" w:rsidRPr="009B4A78" w:rsidRDefault="00250CF8" w:rsidP="007E1546">
      <w:pPr>
        <w:pStyle w:val="StyleHeading3ComplexItalic"/>
        <w:tabs>
          <w:tab w:val="clear" w:pos="1985"/>
          <w:tab w:val="left" w:pos="1843"/>
        </w:tabs>
        <w:ind w:left="1843" w:hanging="1843"/>
        <w:rPr>
          <w:rStyle w:val="StyleStyleHeading3ComplexItalicLatin12ptChar"/>
          <w:rFonts w:eastAsia="SimSun"/>
          <w:b/>
        </w:rPr>
      </w:pPr>
      <w:bookmarkStart w:id="32" w:name="_Toc431221411"/>
      <w:r w:rsidRPr="009B4A78">
        <w:rPr>
          <w:rStyle w:val="StyleStyleHeading3ComplexItalicLatin12ptChar"/>
          <w:rFonts w:eastAsia="SimSun"/>
          <w:b/>
        </w:rPr>
        <w:lastRenderedPageBreak/>
        <w:t>PROGRAM 6</w:t>
      </w:r>
      <w:r w:rsidRPr="009B4A78">
        <w:rPr>
          <w:rStyle w:val="StyleStyleHeading3ComplexItalicLatin12ptChar"/>
          <w:rFonts w:eastAsia="SimSun"/>
          <w:b/>
        </w:rPr>
        <w:tab/>
        <w:t>MADRID SYSTEM</w:t>
      </w:r>
      <w:bookmarkEnd w:id="32"/>
    </w:p>
    <w:p w14:paraId="7E92CD0E" w14:textId="77777777" w:rsidR="00250CF8" w:rsidRPr="009B4A78" w:rsidRDefault="00250CF8" w:rsidP="00F33E49">
      <w:pPr>
        <w:jc w:val="both"/>
        <w:rPr>
          <w:rFonts w:ascii="Arial" w:hAnsi="Arial" w:cs="Arial"/>
          <w:b/>
          <w:sz w:val="20"/>
        </w:rPr>
      </w:pPr>
    </w:p>
    <w:p w14:paraId="60D17CDB" w14:textId="77777777" w:rsidR="00250CF8" w:rsidRPr="009B4A78" w:rsidRDefault="00250CF8" w:rsidP="00F33E49">
      <w:pPr>
        <w:jc w:val="both"/>
        <w:rPr>
          <w:rFonts w:ascii="Arial" w:hAnsi="Arial" w:cs="Arial"/>
          <w:b/>
          <w:sz w:val="20"/>
        </w:rPr>
      </w:pPr>
    </w:p>
    <w:p w14:paraId="3E91B6F2" w14:textId="77777777" w:rsidR="00250CF8" w:rsidRPr="009B4A78" w:rsidRDefault="00250CF8" w:rsidP="00F33E49">
      <w:pPr>
        <w:jc w:val="both"/>
        <w:rPr>
          <w:rFonts w:ascii="Arial" w:hAnsi="Arial" w:cs="Arial"/>
        </w:rPr>
      </w:pPr>
      <w:r w:rsidRPr="009B4A78">
        <w:rPr>
          <w:rFonts w:ascii="Arial" w:hAnsi="Arial" w:cs="Arial"/>
        </w:rPr>
        <w:t>PLANNING CONTEXT</w:t>
      </w:r>
    </w:p>
    <w:p w14:paraId="772437DB" w14:textId="77777777" w:rsidR="00250CF8" w:rsidRPr="009B4A78" w:rsidRDefault="00250CF8" w:rsidP="00F33E49">
      <w:pPr>
        <w:jc w:val="both"/>
        <w:rPr>
          <w:rFonts w:ascii="Arial" w:hAnsi="Arial" w:cs="Arial"/>
        </w:rPr>
      </w:pPr>
    </w:p>
    <w:p w14:paraId="437FB383" w14:textId="77777777"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The Madrid System is anticipated to face the following challenges in the biennium 2016/17:  (</w:t>
      </w:r>
      <w:proofErr w:type="spellStart"/>
      <w:r w:rsidRPr="009B4A78">
        <w:rPr>
          <w:rFonts w:ascii="Arial" w:hAnsi="Arial" w:cs="Arial"/>
          <w:sz w:val="20"/>
          <w:szCs w:val="20"/>
        </w:rPr>
        <w:t>i</w:t>
      </w:r>
      <w:proofErr w:type="spellEnd"/>
      <w:r w:rsidRPr="009B4A78">
        <w:rPr>
          <w:rFonts w:ascii="Arial" w:hAnsi="Arial" w:cs="Arial"/>
          <w:sz w:val="20"/>
          <w:szCs w:val="20"/>
        </w:rPr>
        <w:t xml:space="preserve">) accurately forecasting the number of Madrid filings due to the continuing fragility of the global economy; (ii) ensuring the ability to effectively absorb the likely increase in the number of accessions by new countries;  (iii) enhancement of the Madrid System as a whole so that it may operate more effectively for both private sector users and Offices alike, including those in new member countries;  (iv), improvement in the consistency, predictability and overall quality of the work of the International Bureau (IB) in as cost-effective a manner as possible;  and (v) adequately identifying, harnessing and mastering opportunities offered by increased levels of automation in all aspects of the international procedure. </w:t>
      </w:r>
    </w:p>
    <w:p w14:paraId="15167219" w14:textId="77777777" w:rsidR="00250CF8" w:rsidRPr="009B4A78" w:rsidRDefault="00250CF8" w:rsidP="00F33E49">
      <w:pPr>
        <w:jc w:val="both"/>
        <w:rPr>
          <w:rFonts w:ascii="Arial" w:hAnsi="Arial" w:cs="Arial"/>
          <w:sz w:val="20"/>
          <w:szCs w:val="20"/>
        </w:rPr>
      </w:pPr>
    </w:p>
    <w:p w14:paraId="1923E3D4" w14:textId="77777777" w:rsidR="00250CF8" w:rsidRPr="009B4A78" w:rsidRDefault="00250CF8" w:rsidP="00F33E49">
      <w:pPr>
        <w:jc w:val="both"/>
        <w:rPr>
          <w:rFonts w:ascii="Arial" w:hAnsi="Arial" w:cs="Arial"/>
          <w:sz w:val="20"/>
          <w:szCs w:val="20"/>
        </w:rPr>
      </w:pPr>
    </w:p>
    <w:p w14:paraId="10E7FF14" w14:textId="77777777" w:rsidR="00250CF8" w:rsidRPr="009B4A78" w:rsidRDefault="00250CF8" w:rsidP="00F33E49">
      <w:pPr>
        <w:jc w:val="both"/>
        <w:rPr>
          <w:rFonts w:ascii="Arial" w:hAnsi="Arial" w:cs="Arial"/>
        </w:rPr>
      </w:pPr>
      <w:r w:rsidRPr="009B4A78">
        <w:rPr>
          <w:rFonts w:ascii="Arial" w:hAnsi="Arial" w:cs="Arial"/>
        </w:rPr>
        <w:t>IMPLEMENTATION STRATEGIES</w:t>
      </w:r>
    </w:p>
    <w:p w14:paraId="2F316B8C" w14:textId="77777777" w:rsidR="00250CF8" w:rsidRPr="009B4A78" w:rsidRDefault="00250CF8" w:rsidP="00F33E49">
      <w:pPr>
        <w:jc w:val="both"/>
        <w:rPr>
          <w:rFonts w:ascii="Arial" w:hAnsi="Arial" w:cs="Arial"/>
        </w:rPr>
      </w:pPr>
    </w:p>
    <w:p w14:paraId="15F7A610" w14:textId="04B941E9"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The IB will actively engage with potential new members at the early stages of the accession process to provide guidance on the requisite preparatory work, such as change </w:t>
      </w:r>
      <w:r w:rsidR="00763F27">
        <w:rPr>
          <w:rFonts w:ascii="Arial" w:hAnsi="Arial" w:cs="Arial"/>
          <w:sz w:val="20"/>
          <w:szCs w:val="20"/>
        </w:rPr>
        <w:t xml:space="preserve">management </w:t>
      </w:r>
      <w:r w:rsidRPr="009B4A78">
        <w:rPr>
          <w:rFonts w:ascii="Arial" w:hAnsi="Arial" w:cs="Arial"/>
          <w:sz w:val="20"/>
          <w:szCs w:val="20"/>
        </w:rPr>
        <w:t>leadership, legislation, organizational and institutional considerations, procedural and operational issues, IT automation and community changes.  The IB will also provide operational support and guidance to new members in the stages immediately following the entry into effect of the Madrid Protocol.  Given the extent of work likely to be involved and the need to bring various perspectives to the matter, the IB will use the WIPO External Offices, national and regional Offices and other key stakeholders to bring these efforts to a successful conclusion.</w:t>
      </w:r>
    </w:p>
    <w:p w14:paraId="58AA833C" w14:textId="77777777" w:rsidR="00250CF8" w:rsidRPr="009B4A78" w:rsidRDefault="00250CF8" w:rsidP="00F33E49">
      <w:pPr>
        <w:pStyle w:val="ListParagraph"/>
        <w:tabs>
          <w:tab w:val="left" w:pos="567"/>
        </w:tabs>
        <w:ind w:left="0"/>
        <w:jc w:val="both"/>
        <w:rPr>
          <w:rFonts w:ascii="Arial" w:hAnsi="Arial" w:cs="Arial"/>
          <w:sz w:val="20"/>
          <w:szCs w:val="20"/>
        </w:rPr>
      </w:pPr>
    </w:p>
    <w:p w14:paraId="20798351" w14:textId="77777777"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The series of initiatives launched in early 2014 to improve performance in the handling of Madrid international applications and the management of the International Register will also be sustained.  Foundational progress already made in the areas of workload/resource planning, customer services and staff training will be strengthened with a view to yielding tangible benefits for private sector users and Offices.  As these aspects of the work continue to mature, the focus will shift increasingly to quality, including more consistent and predictable examination results through enhanced examination documentation and process control.  In conjunction therewith, special efforts will be made to make the IB’s classification process more effective</w:t>
      </w:r>
      <w:r w:rsidRPr="009B4A78">
        <w:rPr>
          <w:rFonts w:ascii="Arial" w:eastAsia="MS Mincho" w:hAnsi="Arial" w:cs="Arial"/>
          <w:color w:val="000000"/>
          <w:sz w:val="20"/>
          <w:szCs w:val="20"/>
        </w:rPr>
        <w:t xml:space="preserve"> through advancement of the development of a seamless platform for the Nice listed goods and services and the Madrid Goods and Services Manager (MSG) database</w:t>
      </w:r>
      <w:r w:rsidRPr="009B4A78">
        <w:rPr>
          <w:rFonts w:ascii="Arial" w:hAnsi="Arial" w:cs="Arial"/>
          <w:sz w:val="20"/>
          <w:szCs w:val="20"/>
        </w:rPr>
        <w:t xml:space="preserve"> in order to make the classification practices in all concerned Offices more transparent.  </w:t>
      </w:r>
    </w:p>
    <w:p w14:paraId="70AF9131" w14:textId="77777777" w:rsidR="00250CF8" w:rsidRPr="009B4A78" w:rsidRDefault="00250CF8" w:rsidP="00F33E49">
      <w:pPr>
        <w:pStyle w:val="ListParagraph"/>
        <w:tabs>
          <w:tab w:val="left" w:pos="567"/>
        </w:tabs>
        <w:ind w:left="0"/>
        <w:jc w:val="both"/>
        <w:rPr>
          <w:rFonts w:ascii="Arial" w:hAnsi="Arial" w:cs="Arial"/>
          <w:sz w:val="20"/>
          <w:szCs w:val="20"/>
        </w:rPr>
      </w:pPr>
    </w:p>
    <w:p w14:paraId="1A61EBAE" w14:textId="55B89A3C"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In the area of promotion, greater emphasis will be placed on market research and marketing/outreach plans tailored to the specific needs and profiles of potential local users.  Additional and improved quality information regarding the Madrid System, including examination practices both within the IB and at designated Contracting Parties, will be made available on the IB’s web site, catering to the needs of both new and more experienced users.  The existing online tools for managing Madrid trademark portfolios </w:t>
      </w:r>
      <w:r w:rsidR="00EE027A">
        <w:rPr>
          <w:rFonts w:ascii="Arial" w:hAnsi="Arial" w:cs="Arial"/>
          <w:sz w:val="20"/>
          <w:szCs w:val="20"/>
        </w:rPr>
        <w:t xml:space="preserve">by trademark owners </w:t>
      </w:r>
      <w:r w:rsidRPr="009B4A78">
        <w:rPr>
          <w:rFonts w:ascii="Arial" w:hAnsi="Arial" w:cs="Arial"/>
          <w:sz w:val="20"/>
          <w:szCs w:val="20"/>
        </w:rPr>
        <w:t>will be streamlined into an integrated electronic environment, permitting users to seamlessly search, file, monitor and manage their trademarks online.</w:t>
      </w:r>
      <w:r w:rsidR="00F01245">
        <w:rPr>
          <w:rFonts w:ascii="Arial" w:hAnsi="Arial" w:cs="Arial"/>
          <w:sz w:val="20"/>
          <w:szCs w:val="20"/>
        </w:rPr>
        <w:t xml:space="preserve"> In addition, the existing online tools permitting Offices to manage Madrid applications, notifications of designations and other official notifications will be similarly streamlined into an integrated electronic environment. </w:t>
      </w:r>
    </w:p>
    <w:p w14:paraId="399B34D3" w14:textId="77777777" w:rsidR="00250CF8" w:rsidRPr="009B4A78" w:rsidRDefault="00250CF8" w:rsidP="00F33E49">
      <w:pPr>
        <w:pStyle w:val="ListParagraph"/>
        <w:tabs>
          <w:tab w:val="left" w:pos="567"/>
        </w:tabs>
        <w:ind w:left="0"/>
        <w:jc w:val="both"/>
        <w:rPr>
          <w:rFonts w:ascii="Arial" w:hAnsi="Arial" w:cs="Arial"/>
          <w:sz w:val="20"/>
          <w:szCs w:val="20"/>
        </w:rPr>
      </w:pPr>
    </w:p>
    <w:p w14:paraId="1246487D" w14:textId="2601DFE4"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With the rapid expansion of its geographical scope, the Madrid System will need to serve the interests of all </w:t>
      </w:r>
      <w:r w:rsidR="00F01245">
        <w:rPr>
          <w:rFonts w:ascii="Arial" w:hAnsi="Arial" w:cs="Arial"/>
          <w:sz w:val="20"/>
          <w:szCs w:val="20"/>
        </w:rPr>
        <w:t>stakeholders</w:t>
      </w:r>
      <w:r w:rsidR="00F01245" w:rsidRPr="009B4A78">
        <w:rPr>
          <w:rFonts w:ascii="Arial" w:hAnsi="Arial" w:cs="Arial"/>
          <w:sz w:val="20"/>
          <w:szCs w:val="20"/>
        </w:rPr>
        <w:t xml:space="preserve"> </w:t>
      </w:r>
      <w:r w:rsidRPr="009B4A78">
        <w:rPr>
          <w:rFonts w:ascii="Arial" w:hAnsi="Arial" w:cs="Arial"/>
          <w:sz w:val="20"/>
          <w:szCs w:val="20"/>
        </w:rPr>
        <w:t>equally to deliver its full potential in the new environment.  The Working Group on the Legal Development of the Madrid System will consider how the System’s legal framework needs to evolve to cater to the changing needs.</w:t>
      </w:r>
    </w:p>
    <w:p w14:paraId="2D57A1FA" w14:textId="77777777" w:rsidR="00250CF8" w:rsidRPr="009B4A78" w:rsidRDefault="00250CF8" w:rsidP="00F33E49">
      <w:pPr>
        <w:pStyle w:val="ListParagraph"/>
        <w:tabs>
          <w:tab w:val="left" w:pos="567"/>
        </w:tabs>
        <w:ind w:left="0"/>
        <w:jc w:val="both"/>
        <w:rPr>
          <w:rFonts w:ascii="Arial" w:hAnsi="Arial" w:cs="Arial"/>
          <w:sz w:val="20"/>
          <w:szCs w:val="20"/>
        </w:rPr>
      </w:pPr>
    </w:p>
    <w:p w14:paraId="15EDC100" w14:textId="758CCE6D" w:rsidR="00250CF8" w:rsidRPr="009B4A78" w:rsidRDefault="00250CF8" w:rsidP="00B66A4A">
      <w:pPr>
        <w:pStyle w:val="ListParagraph"/>
        <w:numPr>
          <w:ilvl w:val="0"/>
          <w:numId w:val="8"/>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As opportunities for increased and improved application of information and communication technologies present themselves, the IB will follow a number of guiding implementation policies aimed at accommodating the expectations of the various Madrid System stakeholders, including Offices, applicants, </w:t>
      </w:r>
      <w:r w:rsidR="00763F27">
        <w:rPr>
          <w:rFonts w:ascii="Arial" w:hAnsi="Arial" w:cs="Arial"/>
          <w:sz w:val="20"/>
          <w:szCs w:val="20"/>
        </w:rPr>
        <w:t>rights</w:t>
      </w:r>
      <w:r w:rsidR="00AC4500">
        <w:rPr>
          <w:rFonts w:ascii="Arial" w:hAnsi="Arial" w:cs="Arial"/>
          <w:sz w:val="20"/>
          <w:szCs w:val="20"/>
        </w:rPr>
        <w:t xml:space="preserve"> </w:t>
      </w:r>
      <w:r w:rsidRPr="009B4A78">
        <w:rPr>
          <w:rFonts w:ascii="Arial" w:hAnsi="Arial" w:cs="Arial"/>
          <w:sz w:val="20"/>
          <w:szCs w:val="20"/>
        </w:rPr>
        <w:t xml:space="preserve">holders or IP professionals, as part of efforts towards moving to a fully electronic environment. Such implementation policies will ensure that stakeholders can safely and progressively interact with the international register online and synchronously, in a real-time, self-service mode. </w:t>
      </w:r>
      <w:r w:rsidRPr="009B4A78">
        <w:rPr>
          <w:rFonts w:ascii="Arial" w:hAnsi="Arial" w:cs="Arial"/>
          <w:sz w:val="20"/>
          <w:szCs w:val="20"/>
        </w:rPr>
        <w:lastRenderedPageBreak/>
        <w:t>Great attention will be paid to delivering improved online services that offer identical services and performance to all stakeholders, irrespective of geographic location.</w:t>
      </w:r>
    </w:p>
    <w:p w14:paraId="11C405B5" w14:textId="77777777" w:rsidR="007A5A68" w:rsidRPr="00FB68E0" w:rsidRDefault="007A5A68" w:rsidP="00AC4500">
      <w:pPr>
        <w:rPr>
          <w:sz w:val="20"/>
        </w:rPr>
      </w:pPr>
    </w:p>
    <w:p w14:paraId="15517E95" w14:textId="171F747C" w:rsidR="007A5A68" w:rsidRDefault="007A5A68" w:rsidP="00B66A4A">
      <w:pPr>
        <w:numPr>
          <w:ilvl w:val="0"/>
          <w:numId w:val="8"/>
        </w:numPr>
        <w:ind w:left="540" w:hanging="540"/>
        <w:jc w:val="both"/>
        <w:rPr>
          <w:rFonts w:ascii="Arial" w:hAnsi="Arial" w:cs="Arial"/>
          <w:sz w:val="20"/>
          <w:szCs w:val="20"/>
        </w:rPr>
      </w:pPr>
      <w:r>
        <w:rPr>
          <w:rFonts w:ascii="Arial" w:hAnsi="Arial" w:cs="Arial"/>
          <w:sz w:val="20"/>
          <w:szCs w:val="20"/>
        </w:rPr>
        <w:t xml:space="preserve">Program 6 collaborates primarily with </w:t>
      </w:r>
      <w:r w:rsidRPr="00CB32BD">
        <w:rPr>
          <w:rFonts w:ascii="Arial" w:hAnsi="Arial" w:cs="Arial"/>
          <w:sz w:val="20"/>
          <w:szCs w:val="20"/>
        </w:rPr>
        <w:t xml:space="preserve">other Programs as illustrated below: </w:t>
      </w:r>
    </w:p>
    <w:p w14:paraId="2AD80BEC" w14:textId="77777777" w:rsidR="00B06049" w:rsidRDefault="00B06049" w:rsidP="00AC4500">
      <w:pPr>
        <w:jc w:val="both"/>
        <w:rPr>
          <w:rFonts w:ascii="Arial" w:hAnsi="Arial" w:cs="Arial"/>
          <w:sz w:val="20"/>
          <w:szCs w:val="20"/>
        </w:rPr>
      </w:pPr>
    </w:p>
    <w:p w14:paraId="66E80B11" w14:textId="46419515" w:rsidR="00B06049" w:rsidRPr="00CB32BD" w:rsidRDefault="00B06049" w:rsidP="00AC4500">
      <w:pPr>
        <w:jc w:val="both"/>
        <w:rPr>
          <w:rFonts w:ascii="Arial" w:hAnsi="Arial" w:cs="Arial"/>
          <w:sz w:val="20"/>
          <w:szCs w:val="20"/>
        </w:rPr>
      </w:pPr>
      <w:r>
        <w:rPr>
          <w:noProof/>
          <w:lang w:eastAsia="en-US"/>
        </w:rPr>
        <w:drawing>
          <wp:inline distT="0" distB="0" distL="0" distR="0" wp14:anchorId="5D011022" wp14:editId="6501DE2B">
            <wp:extent cx="5943600" cy="1481328"/>
            <wp:effectExtent l="0" t="0" r="0" b="8128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385E392B" w14:textId="77777777" w:rsidR="007A5A68" w:rsidRPr="009B4A78" w:rsidRDefault="007A5A68" w:rsidP="00FB68E0">
      <w:pPr>
        <w:pStyle w:val="ListParagraph"/>
        <w:tabs>
          <w:tab w:val="left" w:pos="567"/>
        </w:tabs>
        <w:ind w:left="0"/>
        <w:contextualSpacing w:val="0"/>
        <w:jc w:val="both"/>
        <w:rPr>
          <w:rFonts w:ascii="Arial" w:hAnsi="Arial" w:cs="Arial"/>
          <w:sz w:val="20"/>
        </w:rPr>
      </w:pPr>
    </w:p>
    <w:p w14:paraId="0EF99B84" w14:textId="027EA19C" w:rsidR="00250CF8" w:rsidRPr="009B4A78" w:rsidRDefault="00250CF8" w:rsidP="00F33E49">
      <w:pPr>
        <w:jc w:val="both"/>
        <w:rPr>
          <w:rFonts w:ascii="Arial" w:hAnsi="Arial" w:cs="Arial"/>
        </w:rPr>
      </w:pPr>
    </w:p>
    <w:p w14:paraId="18CFD60C" w14:textId="77777777" w:rsidR="00250CF8" w:rsidRPr="009B4A78" w:rsidRDefault="00250CF8" w:rsidP="00F33E49">
      <w:pPr>
        <w:jc w:val="both"/>
        <w:rPr>
          <w:rFonts w:ascii="Arial" w:hAnsi="Arial" w:cs="Arial"/>
          <w:sz w:val="20"/>
        </w:rPr>
      </w:pPr>
    </w:p>
    <w:p w14:paraId="78533B96" w14:textId="77777777" w:rsidR="00250CF8" w:rsidRPr="009B4A78" w:rsidRDefault="00250CF8" w:rsidP="00F33E49">
      <w:pPr>
        <w:jc w:val="both"/>
        <w:rPr>
          <w:rFonts w:ascii="Arial" w:hAnsi="Arial" w:cs="Arial"/>
          <w:sz w:val="20"/>
        </w:rPr>
      </w:pPr>
    </w:p>
    <w:p w14:paraId="2C21D04C" w14:textId="77777777" w:rsidR="00250CF8" w:rsidRPr="009B4A78" w:rsidRDefault="00250CF8" w:rsidP="00F33E49">
      <w:pPr>
        <w:keepNext/>
        <w:keepLines/>
        <w:rPr>
          <w:rFonts w:ascii="Arial" w:hAnsi="Arial" w:cs="Arial"/>
        </w:rPr>
      </w:pPr>
      <w:bookmarkStart w:id="33" w:name="_Toc418840676"/>
      <w:r w:rsidRPr="009B4A78">
        <w:rPr>
          <w:rFonts w:ascii="Arial" w:hAnsi="Arial" w:cs="Arial"/>
        </w:rPr>
        <w:t>MAJOR RISKS AND MITIGATION STRATEGIES</w:t>
      </w:r>
      <w:bookmarkEnd w:id="33"/>
    </w:p>
    <w:p w14:paraId="2840AF2E" w14:textId="77777777" w:rsidR="00250CF8" w:rsidRPr="009B4A78" w:rsidRDefault="00250CF8" w:rsidP="00F33E49">
      <w:pPr>
        <w:keepNext/>
        <w:keepLines/>
        <w:rPr>
          <w:rFonts w:ascii="Arial" w:eastAsia="Times New Roman"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250CF8" w:rsidRPr="009B4A78" w14:paraId="454D84EE" w14:textId="77777777" w:rsidTr="005412E8">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14:paraId="548D3AB2" w14:textId="77777777" w:rsidR="00250CF8" w:rsidRPr="009B4A78" w:rsidRDefault="00250CF8" w:rsidP="00F33E49">
            <w:pPr>
              <w:keepNext/>
              <w:keepLines/>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24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911A757" w14:textId="77777777" w:rsidR="00250CF8" w:rsidRPr="009B4A78" w:rsidRDefault="00250CF8" w:rsidP="00F33E49">
            <w:pPr>
              <w:keepNext/>
              <w:keepLines/>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250CF8" w:rsidRPr="009B4A78" w14:paraId="53855B6D" w14:textId="77777777" w:rsidTr="005412E8">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14:paraId="49F16D83"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Madrid System is considered less attractive than the national route in respect of certain Designated Contracting Parties.</w:t>
            </w:r>
          </w:p>
        </w:tc>
        <w:tc>
          <w:tcPr>
            <w:tcW w:w="5245" w:type="dxa"/>
            <w:tcBorders>
              <w:top w:val="single" w:sz="4" w:space="0" w:color="auto"/>
              <w:left w:val="nil"/>
              <w:bottom w:val="nil"/>
              <w:right w:val="single" w:sz="4" w:space="0" w:color="auto"/>
            </w:tcBorders>
            <w:shd w:val="clear" w:color="auto" w:fill="auto"/>
            <w:tcMar>
              <w:top w:w="113" w:type="dxa"/>
              <w:bottom w:w="113" w:type="dxa"/>
            </w:tcMar>
          </w:tcPr>
          <w:p w14:paraId="4E030644"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Enhance the effectiveness of the Madrid System through legal and practical adjustments which facilitate the securing of trademark protection in all designated Contracting Parties</w:t>
            </w:r>
          </w:p>
          <w:p w14:paraId="65144A13" w14:textId="77777777" w:rsidR="00250CF8" w:rsidRPr="009B4A78" w:rsidRDefault="00250CF8" w:rsidP="00F33E49">
            <w:pPr>
              <w:rPr>
                <w:rFonts w:ascii="Arial" w:eastAsia="Times New Roman" w:hAnsi="Arial" w:cs="Arial"/>
                <w:sz w:val="16"/>
                <w:szCs w:val="16"/>
              </w:rPr>
            </w:pPr>
          </w:p>
          <w:p w14:paraId="566A9FE8"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Promote new accessions in key regions and countries</w:t>
            </w:r>
          </w:p>
        </w:tc>
      </w:tr>
      <w:tr w:rsidR="00250CF8" w:rsidRPr="009B4A78" w14:paraId="318D89CC" w14:textId="77777777" w:rsidTr="005412E8">
        <w:trPr>
          <w:trHeight w:val="211"/>
        </w:trPr>
        <w:tc>
          <w:tcPr>
            <w:tcW w:w="4111" w:type="dxa"/>
            <w:tcBorders>
              <w:top w:val="nil"/>
              <w:left w:val="single" w:sz="4" w:space="0" w:color="auto"/>
              <w:bottom w:val="nil"/>
              <w:right w:val="nil"/>
            </w:tcBorders>
            <w:shd w:val="clear" w:color="auto" w:fill="auto"/>
            <w:tcMar>
              <w:top w:w="113" w:type="dxa"/>
              <w:bottom w:w="113" w:type="dxa"/>
            </w:tcMar>
          </w:tcPr>
          <w:p w14:paraId="3E113DC3"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Quality of the International Bureau’s services does not meet customer expectations</w:t>
            </w:r>
          </w:p>
        </w:tc>
        <w:tc>
          <w:tcPr>
            <w:tcW w:w="5245" w:type="dxa"/>
            <w:tcBorders>
              <w:top w:val="nil"/>
              <w:left w:val="nil"/>
              <w:bottom w:val="nil"/>
              <w:right w:val="single" w:sz="4" w:space="0" w:color="auto"/>
            </w:tcBorders>
            <w:shd w:val="clear" w:color="auto" w:fill="auto"/>
            <w:tcMar>
              <w:top w:w="113" w:type="dxa"/>
              <w:bottom w:w="113" w:type="dxa"/>
            </w:tcMar>
          </w:tcPr>
          <w:p w14:paraId="367B4186"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Improve staff profile alignment; improve consistency of operational practices and their compliance with the legal framework; continue to strengthen quality control procedures; and provide training support.</w:t>
            </w:r>
          </w:p>
        </w:tc>
      </w:tr>
      <w:tr w:rsidR="00250CF8" w:rsidRPr="009B4A78" w14:paraId="51B4A889" w14:textId="77777777" w:rsidTr="005412E8">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14:paraId="1DEC21F7"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Prolonged unavailability of operations at the International Bureau.</w:t>
            </w:r>
          </w:p>
        </w:tc>
        <w:tc>
          <w:tcPr>
            <w:tcW w:w="5245" w:type="dxa"/>
            <w:tcBorders>
              <w:top w:val="nil"/>
              <w:left w:val="nil"/>
              <w:bottom w:val="single" w:sz="4" w:space="0" w:color="auto"/>
              <w:right w:val="single" w:sz="4" w:space="0" w:color="auto"/>
            </w:tcBorders>
            <w:shd w:val="clear" w:color="auto" w:fill="auto"/>
            <w:tcMar>
              <w:top w:w="113" w:type="dxa"/>
              <w:bottom w:w="113" w:type="dxa"/>
            </w:tcMar>
          </w:tcPr>
          <w:p w14:paraId="06DFC5D1"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color w:val="000000"/>
                <w:sz w:val="16"/>
                <w:szCs w:val="16"/>
              </w:rPr>
              <w:t>Further develop the Business Continuity Plan of the International Bureau.</w:t>
            </w:r>
          </w:p>
        </w:tc>
      </w:tr>
    </w:tbl>
    <w:p w14:paraId="1AB25FCC" w14:textId="77777777" w:rsidR="00250CF8" w:rsidRPr="009B4A78" w:rsidRDefault="00250CF8" w:rsidP="00F33E49">
      <w:pPr>
        <w:rPr>
          <w:rFonts w:ascii="Arial" w:eastAsia="Times New Roman" w:hAnsi="Arial" w:cs="Arial"/>
        </w:rPr>
      </w:pPr>
    </w:p>
    <w:p w14:paraId="4811C849" w14:textId="77777777" w:rsidR="00250CF8" w:rsidRPr="009B4A78" w:rsidRDefault="00250CF8" w:rsidP="00F33E49">
      <w:pPr>
        <w:rPr>
          <w:rFonts w:ascii="Arial" w:eastAsia="Times New Roman" w:hAnsi="Arial" w:cs="Arial"/>
        </w:rPr>
      </w:pPr>
    </w:p>
    <w:p w14:paraId="6D3D74AE" w14:textId="77777777" w:rsidR="00250CF8" w:rsidRPr="009B4A78" w:rsidRDefault="00250CF8" w:rsidP="00F33E49">
      <w:pPr>
        <w:rPr>
          <w:rFonts w:ascii="Arial" w:eastAsia="Times New Roman" w:hAnsi="Arial" w:cs="Arial"/>
        </w:rPr>
      </w:pPr>
      <w:r w:rsidRPr="009B4A78">
        <w:rPr>
          <w:rFonts w:ascii="Arial" w:eastAsia="Times New Roman" w:hAnsi="Arial" w:cs="Arial"/>
        </w:rPr>
        <w:t>RESULTS FRAMEWORK</w:t>
      </w:r>
    </w:p>
    <w:p w14:paraId="69B22115" w14:textId="77777777" w:rsidR="00250CF8" w:rsidRPr="009B4A78" w:rsidRDefault="00250CF8" w:rsidP="00F33E49">
      <w:pPr>
        <w:rPr>
          <w:rFonts w:ascii="Arial" w:eastAsia="Times New Roman" w:hAnsi="Arial" w:cs="Arial"/>
        </w:rPr>
      </w:pPr>
    </w:p>
    <w:tbl>
      <w:tblPr>
        <w:tblW w:w="9513" w:type="dxa"/>
        <w:tblInd w:w="93" w:type="dxa"/>
        <w:tblLook w:val="04A0" w:firstRow="1" w:lastRow="0" w:firstColumn="1" w:lastColumn="0" w:noHBand="0" w:noVBand="1"/>
      </w:tblPr>
      <w:tblGrid>
        <w:gridCol w:w="2060"/>
        <w:gridCol w:w="2500"/>
        <w:gridCol w:w="2543"/>
        <w:gridCol w:w="2410"/>
      </w:tblGrid>
      <w:tr w:rsidR="00250CF8" w:rsidRPr="009B4A78" w14:paraId="6BB0EF41" w14:textId="77777777" w:rsidTr="008D4CE9">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1AC15CA"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14:paraId="71CCED8D"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543" w:type="dxa"/>
            <w:tcBorders>
              <w:top w:val="single" w:sz="4" w:space="0" w:color="auto"/>
              <w:left w:val="nil"/>
              <w:bottom w:val="single" w:sz="4" w:space="0" w:color="auto"/>
              <w:right w:val="nil"/>
            </w:tcBorders>
            <w:shd w:val="clear" w:color="auto" w:fill="C6D9F1" w:themeFill="text2" w:themeFillTint="33"/>
            <w:vAlign w:val="center"/>
            <w:hideMark/>
          </w:tcPr>
          <w:p w14:paraId="5DC22E23"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4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D70CE8D"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250CF8" w:rsidRPr="009B4A78" w14:paraId="7D034E34" w14:textId="77777777" w:rsidTr="008D4CE9">
        <w:trPr>
          <w:trHeight w:val="1304"/>
        </w:trPr>
        <w:tc>
          <w:tcPr>
            <w:tcW w:w="2060" w:type="dxa"/>
            <w:tcBorders>
              <w:top w:val="nil"/>
              <w:left w:val="single" w:sz="4" w:space="0" w:color="auto"/>
              <w:bottom w:val="nil"/>
              <w:right w:val="nil"/>
            </w:tcBorders>
            <w:shd w:val="clear" w:color="000000" w:fill="FFFFFF"/>
            <w:hideMark/>
          </w:tcPr>
          <w:p w14:paraId="7DD7905D" w14:textId="629A7A0C" w:rsidR="00250CF8" w:rsidRPr="009B4A78" w:rsidRDefault="00250CF8" w:rsidP="00B06049">
            <w:pPr>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II.6 Wider and more effective use of the Madrid </w:t>
            </w:r>
            <w:r w:rsidR="00B06049">
              <w:rPr>
                <w:rFonts w:ascii="Arial" w:eastAsia="Times New Roman" w:hAnsi="Arial" w:cs="Arial"/>
                <w:color w:val="000000"/>
                <w:sz w:val="16"/>
                <w:szCs w:val="16"/>
              </w:rPr>
              <w:t>S</w:t>
            </w:r>
            <w:r w:rsidRPr="009B4A78">
              <w:rPr>
                <w:rFonts w:ascii="Arial" w:eastAsia="Times New Roman" w:hAnsi="Arial" w:cs="Arial"/>
                <w:color w:val="000000"/>
                <w:sz w:val="16"/>
                <w:szCs w:val="16"/>
              </w:rPr>
              <w:t>ystem, including by developing countries and LDCs</w:t>
            </w:r>
          </w:p>
        </w:tc>
        <w:tc>
          <w:tcPr>
            <w:tcW w:w="2500" w:type="dxa"/>
            <w:tcBorders>
              <w:top w:val="nil"/>
              <w:left w:val="nil"/>
              <w:bottom w:val="nil"/>
              <w:right w:val="nil"/>
            </w:tcBorders>
            <w:shd w:val="clear" w:color="000000" w:fill="FFFFFF"/>
            <w:hideMark/>
          </w:tcPr>
          <w:p w14:paraId="51CA3473" w14:textId="3E95D2CA"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Total Membership of the Madrid System</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Market share (i.e., national route versus Madrid route)</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554AF292" w14:textId="77777777"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95 members (as at April 15, 2015)</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63.4% market share (as of Dec 31, 2012) </w:t>
            </w:r>
          </w:p>
        </w:tc>
        <w:tc>
          <w:tcPr>
            <w:tcW w:w="2410" w:type="dxa"/>
            <w:tcBorders>
              <w:top w:val="nil"/>
              <w:left w:val="nil"/>
              <w:bottom w:val="nil"/>
              <w:right w:val="single" w:sz="4" w:space="0" w:color="auto"/>
            </w:tcBorders>
            <w:shd w:val="clear" w:color="000000" w:fill="FFFFFF"/>
            <w:hideMark/>
          </w:tcPr>
          <w:p w14:paraId="3748C03A" w14:textId="77777777"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103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Increase of  market share</w:t>
            </w:r>
          </w:p>
        </w:tc>
      </w:tr>
      <w:tr w:rsidR="00250CF8" w:rsidRPr="009B4A78" w14:paraId="0B11AC3C" w14:textId="77777777" w:rsidTr="00AC4500">
        <w:trPr>
          <w:trHeight w:val="441"/>
        </w:trPr>
        <w:tc>
          <w:tcPr>
            <w:tcW w:w="2060" w:type="dxa"/>
            <w:tcBorders>
              <w:top w:val="nil"/>
              <w:left w:val="single" w:sz="4" w:space="0" w:color="auto"/>
              <w:right w:val="nil"/>
            </w:tcBorders>
            <w:shd w:val="clear" w:color="000000" w:fill="FFFFFF"/>
            <w:hideMark/>
          </w:tcPr>
          <w:p w14:paraId="02DC18A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50A99601" w14:textId="14C469AD"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Filing rate</w:t>
            </w:r>
            <w:r w:rsidR="007B4126">
              <w:rPr>
                <w:rFonts w:ascii="Arial" w:eastAsia="Times New Roman" w:hAnsi="Arial" w:cs="Arial"/>
                <w:color w:val="000000"/>
                <w:sz w:val="16"/>
                <w:szCs w:val="16"/>
              </w:rPr>
              <w:t xml:space="preserve"> (Madrid)</w:t>
            </w:r>
          </w:p>
        </w:tc>
        <w:tc>
          <w:tcPr>
            <w:tcW w:w="2543" w:type="dxa"/>
            <w:tcBorders>
              <w:top w:val="nil"/>
              <w:left w:val="nil"/>
              <w:right w:val="nil"/>
            </w:tcBorders>
            <w:shd w:val="clear" w:color="000000" w:fill="FFFFFF"/>
            <w:hideMark/>
          </w:tcPr>
          <w:p w14:paraId="14EC8314"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47,885 applications </w:t>
            </w:r>
          </w:p>
          <w:p w14:paraId="506D5129"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2.3% filing rate (as of Dec  31, 2014)</w:t>
            </w:r>
          </w:p>
        </w:tc>
        <w:tc>
          <w:tcPr>
            <w:tcW w:w="2410" w:type="dxa"/>
            <w:tcBorders>
              <w:top w:val="nil"/>
              <w:left w:val="nil"/>
              <w:right w:val="single" w:sz="4" w:space="0" w:color="auto"/>
            </w:tcBorders>
            <w:shd w:val="clear" w:color="000000" w:fill="FFFFFF"/>
            <w:hideMark/>
          </w:tcPr>
          <w:p w14:paraId="0CCF62E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2016: + 4.6% Filing rate</w:t>
            </w:r>
            <w:r w:rsidRPr="009B4A78">
              <w:rPr>
                <w:rFonts w:ascii="Arial" w:eastAsia="Times New Roman" w:hAnsi="Arial" w:cs="Arial"/>
                <w:color w:val="000000"/>
                <w:sz w:val="16"/>
                <w:szCs w:val="16"/>
              </w:rPr>
              <w:br/>
              <w:t>2017: + 2.3% Filing rate</w:t>
            </w:r>
          </w:p>
        </w:tc>
      </w:tr>
      <w:tr w:rsidR="00250CF8" w:rsidRPr="009B4A78" w14:paraId="5AD54275" w14:textId="77777777" w:rsidTr="00AC4500">
        <w:trPr>
          <w:trHeight w:val="2490"/>
        </w:trPr>
        <w:tc>
          <w:tcPr>
            <w:tcW w:w="2060" w:type="dxa"/>
            <w:tcBorders>
              <w:top w:val="nil"/>
              <w:left w:val="single" w:sz="4" w:space="0" w:color="auto"/>
              <w:bottom w:val="single" w:sz="4" w:space="0" w:color="auto"/>
              <w:right w:val="nil"/>
            </w:tcBorders>
            <w:shd w:val="clear" w:color="000000" w:fill="FFFFFF"/>
            <w:hideMark/>
          </w:tcPr>
          <w:p w14:paraId="4009206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single" w:sz="4" w:space="0" w:color="auto"/>
              <w:right w:val="nil"/>
            </w:tcBorders>
            <w:shd w:val="clear" w:color="000000" w:fill="FFFFFF"/>
            <w:hideMark/>
          </w:tcPr>
          <w:p w14:paraId="392C3E59" w14:textId="29FCB2EF"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Registrations</w:t>
            </w:r>
            <w:r w:rsidR="007B4126">
              <w:rPr>
                <w:rFonts w:ascii="Arial" w:eastAsia="Times New Roman" w:hAnsi="Arial" w:cs="Arial"/>
                <w:color w:val="000000"/>
                <w:sz w:val="16"/>
                <w:szCs w:val="16"/>
              </w:rPr>
              <w:t xml:space="preserve"> (Madrid)</w:t>
            </w:r>
          </w:p>
          <w:p w14:paraId="7160A1A3" w14:textId="77777777" w:rsidR="00250CF8" w:rsidRPr="009B4A78" w:rsidRDefault="00250CF8" w:rsidP="00F33E49">
            <w:pPr>
              <w:rPr>
                <w:rFonts w:ascii="Arial" w:eastAsia="Times New Roman" w:hAnsi="Arial" w:cs="Arial"/>
                <w:color w:val="000000"/>
                <w:sz w:val="16"/>
                <w:szCs w:val="16"/>
              </w:rPr>
            </w:pPr>
          </w:p>
          <w:p w14:paraId="2325EB18" w14:textId="77777777" w:rsidR="00250CF8" w:rsidRPr="009B4A78" w:rsidRDefault="00250CF8" w:rsidP="00F33E49">
            <w:pPr>
              <w:rPr>
                <w:rFonts w:ascii="Arial" w:eastAsia="Times New Roman" w:hAnsi="Arial" w:cs="Arial"/>
                <w:color w:val="000000"/>
                <w:sz w:val="16"/>
                <w:szCs w:val="16"/>
              </w:rPr>
            </w:pPr>
          </w:p>
          <w:p w14:paraId="00B8BB62" w14:textId="049ACC3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Renewals</w:t>
            </w:r>
            <w:r w:rsidR="007B4126">
              <w:rPr>
                <w:rFonts w:ascii="Arial" w:eastAsia="Times New Roman" w:hAnsi="Arial" w:cs="Arial"/>
                <w:color w:val="000000"/>
                <w:sz w:val="16"/>
                <w:szCs w:val="16"/>
              </w:rPr>
              <w:t xml:space="preserve"> (Madrid)</w:t>
            </w:r>
          </w:p>
          <w:p w14:paraId="49F952E7" w14:textId="77777777" w:rsidR="00250CF8" w:rsidRPr="009B4A78" w:rsidRDefault="00250CF8" w:rsidP="00F33E49">
            <w:pPr>
              <w:rPr>
                <w:rFonts w:ascii="Arial" w:eastAsia="Times New Roman" w:hAnsi="Arial" w:cs="Arial"/>
                <w:color w:val="000000"/>
                <w:sz w:val="16"/>
                <w:szCs w:val="16"/>
              </w:rPr>
            </w:pPr>
          </w:p>
          <w:p w14:paraId="7CEE3983" w14:textId="77777777" w:rsidR="00250CF8" w:rsidRPr="009B4A78" w:rsidRDefault="00250CF8" w:rsidP="00F33E49">
            <w:pPr>
              <w:rPr>
                <w:rFonts w:ascii="Arial" w:eastAsia="Times New Roman" w:hAnsi="Arial" w:cs="Arial"/>
                <w:color w:val="000000"/>
                <w:sz w:val="16"/>
                <w:szCs w:val="16"/>
              </w:rPr>
            </w:pPr>
          </w:p>
          <w:p w14:paraId="5A215AD6" w14:textId="68D9585C"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Total no. of registrations</w:t>
            </w:r>
            <w:r w:rsidR="007B4126">
              <w:rPr>
                <w:rFonts w:ascii="Arial" w:eastAsia="Times New Roman" w:hAnsi="Arial" w:cs="Arial"/>
                <w:color w:val="000000"/>
                <w:sz w:val="16"/>
                <w:szCs w:val="16"/>
              </w:rPr>
              <w:t xml:space="preserve"> (Madrid)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Total no. of designations</w:t>
            </w:r>
            <w:r w:rsidR="007B4126">
              <w:rPr>
                <w:rFonts w:ascii="Arial" w:eastAsia="Times New Roman" w:hAnsi="Arial" w:cs="Arial"/>
                <w:color w:val="000000"/>
                <w:sz w:val="16"/>
                <w:szCs w:val="16"/>
              </w:rPr>
              <w:t xml:space="preserve"> (Madrid)</w:t>
            </w:r>
          </w:p>
        </w:tc>
        <w:tc>
          <w:tcPr>
            <w:tcW w:w="2543" w:type="dxa"/>
            <w:tcBorders>
              <w:top w:val="nil"/>
              <w:left w:val="nil"/>
              <w:bottom w:val="single" w:sz="4" w:space="0" w:color="auto"/>
              <w:right w:val="nil"/>
            </w:tcBorders>
            <w:shd w:val="clear" w:color="000000" w:fill="FFFFFF"/>
            <w:hideMark/>
          </w:tcPr>
          <w:p w14:paraId="4CA6B482"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42,430 (2014)</w:t>
            </w:r>
          </w:p>
          <w:p w14:paraId="3267C73A" w14:textId="77777777" w:rsidR="00250CF8" w:rsidRPr="009B4A78" w:rsidRDefault="00250CF8" w:rsidP="00F33E49">
            <w:pPr>
              <w:rPr>
                <w:rFonts w:ascii="Arial" w:eastAsia="Times New Roman" w:hAnsi="Arial" w:cs="Arial"/>
                <w:color w:val="000000"/>
                <w:sz w:val="16"/>
                <w:szCs w:val="16"/>
              </w:rPr>
            </w:pPr>
          </w:p>
          <w:p w14:paraId="5252DA67" w14:textId="77777777" w:rsidR="00250CF8" w:rsidRPr="009B4A78" w:rsidRDefault="00250CF8" w:rsidP="00F33E49">
            <w:pPr>
              <w:rPr>
                <w:rFonts w:ascii="Arial" w:eastAsia="Times New Roman" w:hAnsi="Arial" w:cs="Arial"/>
                <w:color w:val="000000"/>
                <w:sz w:val="16"/>
                <w:szCs w:val="16"/>
              </w:rPr>
            </w:pPr>
          </w:p>
          <w:p w14:paraId="4F91958E"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25,729 (2014)</w:t>
            </w:r>
          </w:p>
          <w:p w14:paraId="1F235742" w14:textId="77777777" w:rsidR="00250CF8" w:rsidRPr="009B4A78" w:rsidRDefault="00250CF8" w:rsidP="00F33E49">
            <w:pPr>
              <w:rPr>
                <w:rFonts w:ascii="Arial" w:eastAsia="Times New Roman" w:hAnsi="Arial" w:cs="Arial"/>
                <w:color w:val="000000"/>
                <w:sz w:val="16"/>
                <w:szCs w:val="16"/>
              </w:rPr>
            </w:pPr>
          </w:p>
          <w:p w14:paraId="29D73D52" w14:textId="77777777" w:rsidR="00250CF8" w:rsidRPr="009B4A78" w:rsidRDefault="00250CF8" w:rsidP="00F33E49">
            <w:pPr>
              <w:rPr>
                <w:rFonts w:ascii="Arial" w:eastAsia="Times New Roman" w:hAnsi="Arial" w:cs="Arial"/>
                <w:color w:val="000000"/>
                <w:sz w:val="16"/>
                <w:szCs w:val="16"/>
              </w:rPr>
            </w:pPr>
          </w:p>
          <w:p w14:paraId="41582B0F"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594,477 registrations </w:t>
            </w:r>
          </w:p>
          <w:p w14:paraId="6E78C818"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(as of  Dec 31,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5.61 million designations </w:t>
            </w:r>
          </w:p>
          <w:p w14:paraId="2AA1454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(as of Dec 31, 2014)</w:t>
            </w:r>
          </w:p>
        </w:tc>
        <w:tc>
          <w:tcPr>
            <w:tcW w:w="2410" w:type="dxa"/>
            <w:tcBorders>
              <w:top w:val="nil"/>
              <w:left w:val="nil"/>
              <w:bottom w:val="single" w:sz="4" w:space="0" w:color="auto"/>
              <w:right w:val="single" w:sz="4" w:space="0" w:color="auto"/>
            </w:tcBorders>
            <w:shd w:val="clear" w:color="000000" w:fill="FFFFFF"/>
            <w:hideMark/>
          </w:tcPr>
          <w:p w14:paraId="07EB27F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47,387 (2016)</w:t>
            </w:r>
          </w:p>
          <w:p w14:paraId="63699FB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48,652 (2017)</w:t>
            </w:r>
          </w:p>
          <w:p w14:paraId="662075D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29,850 (2016)</w:t>
            </w:r>
          </w:p>
          <w:p w14:paraId="06565EFA"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31,020 (2017)</w:t>
            </w:r>
          </w:p>
          <w:p w14:paraId="3A865F6F" w14:textId="77777777" w:rsidR="00250CF8" w:rsidRPr="009B4A78" w:rsidRDefault="00250CF8" w:rsidP="00F33E49">
            <w:pPr>
              <w:rPr>
                <w:rFonts w:ascii="Arial" w:eastAsia="Times New Roman" w:hAnsi="Arial" w:cs="Arial"/>
                <w:color w:val="000000"/>
                <w:sz w:val="16"/>
                <w:szCs w:val="16"/>
              </w:rPr>
            </w:pPr>
          </w:p>
          <w:p w14:paraId="117F3B57" w14:textId="77777777" w:rsidR="006E030C" w:rsidRDefault="006E030C" w:rsidP="00F33E49">
            <w:pPr>
              <w:rPr>
                <w:rFonts w:ascii="Arial" w:eastAsia="Times New Roman" w:hAnsi="Arial" w:cs="Arial"/>
                <w:color w:val="000000"/>
                <w:sz w:val="16"/>
                <w:szCs w:val="16"/>
              </w:rPr>
            </w:pPr>
          </w:p>
          <w:p w14:paraId="5007EB28"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2016: 630,000 registrations</w:t>
            </w:r>
            <w:r w:rsidRPr="009B4A78">
              <w:rPr>
                <w:rFonts w:ascii="Arial" w:eastAsia="Times New Roman" w:hAnsi="Arial" w:cs="Arial"/>
                <w:color w:val="000000"/>
                <w:sz w:val="16"/>
                <w:szCs w:val="16"/>
              </w:rPr>
              <w:br/>
              <w:t>2017: 650,000 registrations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2016: 5.68 million designations</w:t>
            </w:r>
            <w:r w:rsidRPr="009B4A78">
              <w:rPr>
                <w:rFonts w:ascii="Arial" w:eastAsia="Times New Roman" w:hAnsi="Arial" w:cs="Arial"/>
                <w:color w:val="000000"/>
                <w:sz w:val="16"/>
                <w:szCs w:val="16"/>
              </w:rPr>
              <w:br/>
              <w:t>2017: 5.7 million designations</w:t>
            </w:r>
          </w:p>
        </w:tc>
      </w:tr>
      <w:tr w:rsidR="00250CF8" w:rsidRPr="009B4A78" w14:paraId="6B81FC6C" w14:textId="77777777" w:rsidTr="00AC4500">
        <w:trPr>
          <w:trHeight w:val="1260"/>
        </w:trPr>
        <w:tc>
          <w:tcPr>
            <w:tcW w:w="2060" w:type="dxa"/>
            <w:tcBorders>
              <w:top w:val="single" w:sz="4" w:space="0" w:color="auto"/>
              <w:left w:val="single" w:sz="4" w:space="0" w:color="auto"/>
              <w:bottom w:val="nil"/>
              <w:right w:val="nil"/>
            </w:tcBorders>
            <w:shd w:val="clear" w:color="000000" w:fill="FFFFFF"/>
            <w:hideMark/>
          </w:tcPr>
          <w:p w14:paraId="4263760B"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lastRenderedPageBreak/>
              <w:t> </w:t>
            </w:r>
          </w:p>
        </w:tc>
        <w:tc>
          <w:tcPr>
            <w:tcW w:w="2500" w:type="dxa"/>
            <w:tcBorders>
              <w:top w:val="single" w:sz="4" w:space="0" w:color="auto"/>
              <w:left w:val="nil"/>
              <w:bottom w:val="nil"/>
              <w:right w:val="nil"/>
            </w:tcBorders>
            <w:shd w:val="clear" w:color="000000" w:fill="FFFFFF"/>
            <w:hideMark/>
          </w:tcPr>
          <w:p w14:paraId="7CB46147" w14:textId="59ED1B7E"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Irregularity rate (Article 12 and 13)</w:t>
            </w:r>
            <w:r w:rsidR="007B4126">
              <w:rPr>
                <w:rFonts w:ascii="Arial" w:eastAsia="Times New Roman" w:hAnsi="Arial" w:cs="Arial"/>
                <w:color w:val="000000"/>
                <w:sz w:val="16"/>
                <w:szCs w:val="16"/>
              </w:rPr>
              <w:t xml:space="preserve"> (Madrid)</w:t>
            </w:r>
          </w:p>
        </w:tc>
        <w:tc>
          <w:tcPr>
            <w:tcW w:w="2543" w:type="dxa"/>
            <w:tcBorders>
              <w:top w:val="single" w:sz="4" w:space="0" w:color="auto"/>
              <w:left w:val="nil"/>
              <w:bottom w:val="nil"/>
              <w:right w:val="nil"/>
            </w:tcBorders>
            <w:shd w:val="clear" w:color="000000" w:fill="FFFFFF"/>
            <w:hideMark/>
          </w:tcPr>
          <w:p w14:paraId="2F04E677"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36%  Irregularity rate </w:t>
            </w:r>
          </w:p>
          <w:p w14:paraId="6A0A3EDE"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(as of Dec 31,2014)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Acceptable terms in Madrid Goods and Services Database (MGS) (In English) </w:t>
            </w:r>
            <w:r w:rsidRPr="009B4A78">
              <w:rPr>
                <w:rFonts w:ascii="Arial" w:eastAsia="Times New Roman" w:hAnsi="Arial" w:cs="Arial"/>
                <w:sz w:val="16"/>
                <w:szCs w:val="16"/>
              </w:rPr>
              <w:t>67,050</w:t>
            </w:r>
            <w:r w:rsidRPr="009B4A78">
              <w:rPr>
                <w:rFonts w:ascii="Arial" w:eastAsia="Times New Roman" w:hAnsi="Arial" w:cs="Arial"/>
                <w:color w:val="000000"/>
                <w:sz w:val="16"/>
                <w:szCs w:val="16"/>
              </w:rPr>
              <w:t xml:space="preserve"> (May 2015)</w:t>
            </w:r>
          </w:p>
        </w:tc>
        <w:tc>
          <w:tcPr>
            <w:tcW w:w="2410" w:type="dxa"/>
            <w:tcBorders>
              <w:top w:val="single" w:sz="4" w:space="0" w:color="auto"/>
              <w:left w:val="nil"/>
              <w:bottom w:val="nil"/>
              <w:right w:val="single" w:sz="4" w:space="0" w:color="auto"/>
            </w:tcBorders>
            <w:shd w:val="clear" w:color="000000" w:fill="FFFFFF"/>
            <w:hideMark/>
          </w:tcPr>
          <w:p w14:paraId="261AAA1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Decrease</w:t>
            </w:r>
          </w:p>
          <w:p w14:paraId="67FCB761" w14:textId="77777777" w:rsidR="00250CF8" w:rsidRPr="009B4A78" w:rsidRDefault="00250CF8" w:rsidP="00F33E49">
            <w:pPr>
              <w:rPr>
                <w:rFonts w:ascii="Arial" w:eastAsia="Times New Roman" w:hAnsi="Arial" w:cs="Arial"/>
                <w:color w:val="000000"/>
                <w:sz w:val="16"/>
                <w:szCs w:val="16"/>
              </w:rPr>
            </w:pPr>
          </w:p>
          <w:p w14:paraId="651401D1" w14:textId="77777777" w:rsidR="00250CF8" w:rsidRPr="009B4A78" w:rsidRDefault="00250CF8" w:rsidP="00F33E49">
            <w:pPr>
              <w:rPr>
                <w:rFonts w:ascii="Arial" w:eastAsia="Times New Roman" w:hAnsi="Arial" w:cs="Arial"/>
                <w:color w:val="000000"/>
                <w:sz w:val="16"/>
                <w:szCs w:val="16"/>
              </w:rPr>
            </w:pPr>
          </w:p>
          <w:p w14:paraId="4B969940"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80,000</w:t>
            </w:r>
          </w:p>
        </w:tc>
      </w:tr>
      <w:tr w:rsidR="00250CF8" w:rsidRPr="009B4A78" w14:paraId="51E17F76" w14:textId="77777777" w:rsidTr="008D4CE9">
        <w:trPr>
          <w:trHeight w:val="729"/>
        </w:trPr>
        <w:tc>
          <w:tcPr>
            <w:tcW w:w="2060" w:type="dxa"/>
            <w:tcBorders>
              <w:top w:val="nil"/>
              <w:left w:val="single" w:sz="4" w:space="0" w:color="auto"/>
              <w:bottom w:val="nil"/>
              <w:right w:val="nil"/>
            </w:tcBorders>
            <w:shd w:val="clear" w:color="000000" w:fill="FFFFFF"/>
            <w:hideMark/>
          </w:tcPr>
          <w:p w14:paraId="74BDA2B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2A17F41D"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Functional improvements to the Madrid System</w:t>
            </w:r>
          </w:p>
        </w:tc>
        <w:tc>
          <w:tcPr>
            <w:tcW w:w="2543" w:type="dxa"/>
            <w:tcBorders>
              <w:top w:val="nil"/>
              <w:left w:val="nil"/>
              <w:bottom w:val="nil"/>
              <w:right w:val="nil"/>
            </w:tcBorders>
            <w:shd w:val="clear" w:color="000000" w:fill="FFFFFF"/>
            <w:hideMark/>
          </w:tcPr>
          <w:p w14:paraId="73FCC7D6"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Common Regulations and Administrative Instructions in force at December 31, 2014</w:t>
            </w:r>
          </w:p>
        </w:tc>
        <w:tc>
          <w:tcPr>
            <w:tcW w:w="2410" w:type="dxa"/>
            <w:tcBorders>
              <w:top w:val="nil"/>
              <w:left w:val="nil"/>
              <w:bottom w:val="nil"/>
              <w:right w:val="single" w:sz="4" w:space="0" w:color="auto"/>
            </w:tcBorders>
            <w:shd w:val="clear" w:color="000000" w:fill="FFFFFF"/>
            <w:hideMark/>
          </w:tcPr>
          <w:p w14:paraId="438B4BA3"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Amendments to the Common Regulations and Administrative Instructions</w:t>
            </w:r>
          </w:p>
        </w:tc>
      </w:tr>
      <w:tr w:rsidR="00250CF8" w:rsidRPr="009B4A78" w14:paraId="7BB663B8" w14:textId="77777777" w:rsidTr="008D4CE9">
        <w:trPr>
          <w:trHeight w:val="621"/>
        </w:trPr>
        <w:tc>
          <w:tcPr>
            <w:tcW w:w="2060" w:type="dxa"/>
            <w:tcBorders>
              <w:top w:val="nil"/>
              <w:left w:val="single" w:sz="4" w:space="0" w:color="auto"/>
              <w:bottom w:val="nil"/>
              <w:right w:val="nil"/>
            </w:tcBorders>
            <w:shd w:val="clear" w:color="000000" w:fill="FFFFFF"/>
            <w:hideMark/>
          </w:tcPr>
          <w:p w14:paraId="4335FD50" w14:textId="5B490CCD" w:rsidR="00250CF8" w:rsidRPr="009B4A78" w:rsidRDefault="00250CF8" w:rsidP="00B06049">
            <w:pPr>
              <w:rPr>
                <w:rFonts w:ascii="Arial" w:eastAsia="Times New Roman" w:hAnsi="Arial" w:cs="Arial"/>
                <w:color w:val="000000"/>
                <w:sz w:val="16"/>
                <w:szCs w:val="16"/>
              </w:rPr>
            </w:pPr>
            <w:r w:rsidRPr="009B4A78">
              <w:rPr>
                <w:rFonts w:ascii="Arial" w:eastAsia="Times New Roman" w:hAnsi="Arial" w:cs="Arial"/>
                <w:color w:val="000000"/>
                <w:sz w:val="16"/>
                <w:szCs w:val="16"/>
              </w:rPr>
              <w:t>II.7 Improved productivity and service quality of Madrid operations</w:t>
            </w:r>
          </w:p>
        </w:tc>
        <w:tc>
          <w:tcPr>
            <w:tcW w:w="2500" w:type="dxa"/>
            <w:tcBorders>
              <w:top w:val="nil"/>
              <w:left w:val="nil"/>
              <w:bottom w:val="nil"/>
              <w:right w:val="nil"/>
            </w:tcBorders>
            <w:shd w:val="clear" w:color="000000" w:fill="FFFFFF"/>
            <w:hideMark/>
          </w:tcPr>
          <w:p w14:paraId="0943C021" w14:textId="7916343D"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Client satisfaction</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072E7235"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Service Orientation Index in 2014 (39)</w:t>
            </w:r>
          </w:p>
        </w:tc>
        <w:tc>
          <w:tcPr>
            <w:tcW w:w="2410" w:type="dxa"/>
            <w:tcBorders>
              <w:top w:val="nil"/>
              <w:left w:val="nil"/>
              <w:bottom w:val="nil"/>
              <w:right w:val="single" w:sz="4" w:space="0" w:color="auto"/>
            </w:tcBorders>
            <w:shd w:val="clear" w:color="000000" w:fill="FFFFFF"/>
            <w:hideMark/>
          </w:tcPr>
          <w:p w14:paraId="1BE001EB"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Improvement in Index</w:t>
            </w:r>
          </w:p>
        </w:tc>
      </w:tr>
      <w:tr w:rsidR="00250CF8" w:rsidRPr="009B4A78" w14:paraId="74E495E4" w14:textId="77777777" w:rsidTr="008D4CE9">
        <w:trPr>
          <w:trHeight w:val="486"/>
        </w:trPr>
        <w:tc>
          <w:tcPr>
            <w:tcW w:w="2060" w:type="dxa"/>
            <w:tcBorders>
              <w:top w:val="nil"/>
              <w:left w:val="single" w:sz="4" w:space="0" w:color="auto"/>
              <w:bottom w:val="nil"/>
              <w:right w:val="nil"/>
            </w:tcBorders>
            <w:shd w:val="clear" w:color="000000" w:fill="FFFFFF"/>
            <w:hideMark/>
          </w:tcPr>
          <w:p w14:paraId="1F1C7166"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21370A95" w14:textId="7C1D42E0"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Unit cost</w:t>
            </w:r>
            <w:r w:rsidR="007B4126">
              <w:rPr>
                <w:rFonts w:ascii="Arial" w:eastAsia="Times New Roman" w:hAnsi="Arial" w:cs="Arial"/>
                <w:color w:val="000000"/>
                <w:sz w:val="16"/>
                <w:szCs w:val="16"/>
              </w:rPr>
              <w:t xml:space="preserve"> (Madrid)</w:t>
            </w:r>
          </w:p>
        </w:tc>
        <w:tc>
          <w:tcPr>
            <w:tcW w:w="2543" w:type="dxa"/>
            <w:tcBorders>
              <w:top w:val="nil"/>
              <w:left w:val="nil"/>
              <w:bottom w:val="nil"/>
              <w:right w:val="nil"/>
            </w:tcBorders>
            <w:shd w:val="clear" w:color="000000" w:fill="FFFFFF"/>
            <w:hideMark/>
          </w:tcPr>
          <w:p w14:paraId="579DB644"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Registration/renewal Cost: </w:t>
            </w:r>
          </w:p>
          <w:p w14:paraId="58663B20" w14:textId="4BD8A899"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837 </w:t>
            </w:r>
            <w:r w:rsidR="003736E0">
              <w:rPr>
                <w:rFonts w:ascii="Arial" w:eastAsia="Times New Roman" w:hAnsi="Arial" w:cs="Arial"/>
                <w:color w:val="000000"/>
                <w:sz w:val="16"/>
                <w:szCs w:val="16"/>
              </w:rPr>
              <w:t>Swiss francs</w:t>
            </w:r>
            <w:r w:rsidRPr="009B4A78">
              <w:rPr>
                <w:rFonts w:ascii="Arial" w:eastAsia="Times New Roman" w:hAnsi="Arial" w:cs="Arial"/>
                <w:color w:val="000000"/>
                <w:sz w:val="16"/>
                <w:szCs w:val="16"/>
              </w:rPr>
              <w:br/>
              <w:t xml:space="preserve">Inscription Unit Cost: 320 </w:t>
            </w:r>
            <w:r w:rsidR="003736E0">
              <w:rPr>
                <w:rFonts w:ascii="Arial" w:eastAsia="Times New Roman" w:hAnsi="Arial" w:cs="Arial"/>
                <w:color w:val="000000"/>
                <w:sz w:val="16"/>
                <w:szCs w:val="16"/>
              </w:rPr>
              <w:t>Swiss francs</w:t>
            </w:r>
          </w:p>
        </w:tc>
        <w:tc>
          <w:tcPr>
            <w:tcW w:w="2410" w:type="dxa"/>
            <w:tcBorders>
              <w:top w:val="nil"/>
              <w:left w:val="nil"/>
              <w:bottom w:val="nil"/>
              <w:right w:val="single" w:sz="4" w:space="0" w:color="auto"/>
            </w:tcBorders>
            <w:shd w:val="clear" w:color="000000" w:fill="FFFFFF"/>
            <w:hideMark/>
          </w:tcPr>
          <w:p w14:paraId="64F70E18"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Reduction in both unit cost categories</w:t>
            </w:r>
          </w:p>
        </w:tc>
      </w:tr>
      <w:tr w:rsidR="00250CF8" w:rsidRPr="009B4A78" w14:paraId="74A094B5" w14:textId="77777777" w:rsidTr="00AC4500">
        <w:trPr>
          <w:trHeight w:val="1424"/>
        </w:trPr>
        <w:tc>
          <w:tcPr>
            <w:tcW w:w="2060" w:type="dxa"/>
            <w:tcBorders>
              <w:top w:val="nil"/>
              <w:left w:val="single" w:sz="4" w:space="0" w:color="auto"/>
              <w:right w:val="nil"/>
            </w:tcBorders>
            <w:shd w:val="clear" w:color="000000" w:fill="FFFFFF"/>
            <w:hideMark/>
          </w:tcPr>
          <w:p w14:paraId="0057509B"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30BBF8B1" w14:textId="77777777" w:rsidR="00250CF8" w:rsidRPr="009B4A78" w:rsidRDefault="00250CF8" w:rsidP="00F33E49">
            <w:pPr>
              <w:ind w:left="101"/>
              <w:rPr>
                <w:rFonts w:ascii="Arial" w:eastAsia="Times New Roman" w:hAnsi="Arial" w:cs="Arial"/>
                <w:color w:val="000000"/>
                <w:sz w:val="16"/>
                <w:szCs w:val="16"/>
              </w:rPr>
            </w:pPr>
            <w:r w:rsidRPr="009B4A78">
              <w:rPr>
                <w:rFonts w:ascii="Arial" w:eastAsia="Times New Roman" w:hAnsi="Arial" w:cs="Arial"/>
                <w:color w:val="000000"/>
                <w:sz w:val="16"/>
                <w:szCs w:val="16"/>
              </w:rPr>
              <w:t>Timeliness of transactions</w:t>
            </w:r>
          </w:p>
          <w:p w14:paraId="3640627D" w14:textId="30910F91"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(days)</w:t>
            </w:r>
            <w:r w:rsidR="007B4126">
              <w:rPr>
                <w:rFonts w:ascii="Arial" w:eastAsia="Times New Roman" w:hAnsi="Arial" w:cs="Arial"/>
                <w:color w:val="000000"/>
                <w:sz w:val="16"/>
                <w:szCs w:val="16"/>
              </w:rPr>
              <w:t xml:space="preserve"> (Madrid)</w:t>
            </w:r>
          </w:p>
        </w:tc>
        <w:tc>
          <w:tcPr>
            <w:tcW w:w="2543" w:type="dxa"/>
            <w:tcBorders>
              <w:top w:val="nil"/>
              <w:left w:val="nil"/>
              <w:right w:val="nil"/>
            </w:tcBorders>
            <w:shd w:val="clear" w:color="000000" w:fill="FFFFFF"/>
            <w:hideMark/>
          </w:tcPr>
          <w:p w14:paraId="5F0F2283"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Applications: 70 </w:t>
            </w:r>
            <w:r w:rsidRPr="009B4A78">
              <w:rPr>
                <w:rFonts w:ascii="Arial" w:eastAsia="Times New Roman" w:hAnsi="Arial" w:cs="Arial"/>
                <w:color w:val="000000"/>
                <w:sz w:val="16"/>
                <w:szCs w:val="16"/>
              </w:rPr>
              <w:br/>
              <w:t xml:space="preserve">Renewals: 63 </w:t>
            </w:r>
            <w:r w:rsidRPr="009B4A78">
              <w:rPr>
                <w:rFonts w:ascii="Arial" w:eastAsia="Times New Roman" w:hAnsi="Arial" w:cs="Arial"/>
                <w:color w:val="000000"/>
                <w:sz w:val="16"/>
                <w:szCs w:val="16"/>
              </w:rPr>
              <w:br/>
              <w:t>Subsequent Designations: 56</w:t>
            </w:r>
            <w:r w:rsidRPr="009B4A78">
              <w:rPr>
                <w:rFonts w:ascii="Arial" w:eastAsia="Times New Roman" w:hAnsi="Arial" w:cs="Arial"/>
                <w:color w:val="000000"/>
                <w:sz w:val="16"/>
                <w:szCs w:val="16"/>
              </w:rPr>
              <w:br/>
              <w:t>Decisions:12</w:t>
            </w:r>
            <w:r w:rsidRPr="009B4A78">
              <w:rPr>
                <w:rFonts w:ascii="Arial" w:eastAsia="Times New Roman" w:hAnsi="Arial" w:cs="Arial"/>
                <w:color w:val="000000"/>
                <w:sz w:val="16"/>
                <w:szCs w:val="16"/>
              </w:rPr>
              <w:br/>
              <w:t>Modifications:79</w:t>
            </w:r>
            <w:r w:rsidRPr="009B4A78">
              <w:rPr>
                <w:rFonts w:ascii="Arial" w:eastAsia="Times New Roman" w:hAnsi="Arial" w:cs="Arial"/>
                <w:color w:val="000000"/>
                <w:sz w:val="16"/>
                <w:szCs w:val="16"/>
              </w:rPr>
              <w:br/>
              <w:t>Corrections 232</w:t>
            </w:r>
            <w:r w:rsidRPr="009B4A78">
              <w:rPr>
                <w:rFonts w:ascii="Arial" w:eastAsia="Times New Roman" w:hAnsi="Arial" w:cs="Arial"/>
                <w:color w:val="000000"/>
                <w:sz w:val="16"/>
                <w:szCs w:val="16"/>
              </w:rPr>
              <w:br/>
              <w:t>(as at December 31,2014)</w:t>
            </w:r>
          </w:p>
        </w:tc>
        <w:tc>
          <w:tcPr>
            <w:tcW w:w="2410" w:type="dxa"/>
            <w:tcBorders>
              <w:top w:val="nil"/>
              <w:left w:val="nil"/>
              <w:right w:val="single" w:sz="4" w:space="0" w:color="auto"/>
            </w:tcBorders>
            <w:shd w:val="clear" w:color="000000" w:fill="FFFFFF"/>
            <w:hideMark/>
          </w:tcPr>
          <w:p w14:paraId="62ABD1E8"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Improvement across all transactions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tc>
      </w:tr>
      <w:tr w:rsidR="00250CF8" w:rsidRPr="009B4A78" w14:paraId="5D5AF8BA" w14:textId="77777777" w:rsidTr="00AC4500">
        <w:trPr>
          <w:trHeight w:val="360"/>
        </w:trPr>
        <w:tc>
          <w:tcPr>
            <w:tcW w:w="2060" w:type="dxa"/>
            <w:tcBorders>
              <w:top w:val="nil"/>
              <w:left w:val="single" w:sz="4" w:space="0" w:color="auto"/>
              <w:right w:val="nil"/>
            </w:tcBorders>
            <w:shd w:val="clear" w:color="000000" w:fill="FFFFFF"/>
            <w:hideMark/>
          </w:tcPr>
          <w:p w14:paraId="4F75E56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78ED9D37" w14:textId="01869CD0"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Quality</w:t>
            </w:r>
            <w:r w:rsidR="007B4126">
              <w:rPr>
                <w:rFonts w:ascii="Arial" w:eastAsia="Times New Roman" w:hAnsi="Arial" w:cs="Arial"/>
                <w:color w:val="000000"/>
                <w:sz w:val="16"/>
                <w:szCs w:val="16"/>
              </w:rPr>
              <w:t xml:space="preserve"> (Madrid)</w:t>
            </w:r>
          </w:p>
        </w:tc>
        <w:tc>
          <w:tcPr>
            <w:tcW w:w="2543" w:type="dxa"/>
            <w:tcBorders>
              <w:top w:val="nil"/>
              <w:left w:val="nil"/>
              <w:right w:val="nil"/>
            </w:tcBorders>
            <w:shd w:val="clear" w:color="000000" w:fill="FFFFFF"/>
            <w:hideMark/>
          </w:tcPr>
          <w:p w14:paraId="4EB54529" w14:textId="77777777" w:rsidR="00250CF8" w:rsidRPr="009B4A78" w:rsidRDefault="00250CF8" w:rsidP="00D655F5">
            <w:pPr>
              <w:rPr>
                <w:rFonts w:ascii="Arial" w:eastAsia="Times New Roman" w:hAnsi="Arial" w:cs="Arial"/>
                <w:color w:val="000000"/>
                <w:sz w:val="16"/>
                <w:szCs w:val="16"/>
              </w:rPr>
            </w:pPr>
            <w:proofErr w:type="spellStart"/>
            <w:r w:rsidRPr="009B4A78">
              <w:rPr>
                <w:rFonts w:ascii="Arial" w:eastAsia="Times New Roman" w:hAnsi="Arial" w:cs="Arial"/>
                <w:color w:val="000000"/>
                <w:sz w:val="16"/>
                <w:szCs w:val="16"/>
              </w:rPr>
              <w:t>tbd</w:t>
            </w:r>
            <w:proofErr w:type="spellEnd"/>
          </w:p>
        </w:tc>
        <w:tc>
          <w:tcPr>
            <w:tcW w:w="2410" w:type="dxa"/>
            <w:tcBorders>
              <w:top w:val="nil"/>
              <w:left w:val="nil"/>
              <w:right w:val="single" w:sz="4" w:space="0" w:color="auto"/>
            </w:tcBorders>
            <w:shd w:val="clear" w:color="000000" w:fill="FFFFFF"/>
            <w:hideMark/>
          </w:tcPr>
          <w:p w14:paraId="1B2B0B3E" w14:textId="77777777" w:rsidR="00250CF8" w:rsidRPr="009B4A78" w:rsidRDefault="00250CF8" w:rsidP="00F33E49">
            <w:pPr>
              <w:ind w:left="107"/>
              <w:rPr>
                <w:rFonts w:ascii="Arial" w:eastAsia="Times New Roman" w:hAnsi="Arial" w:cs="Arial"/>
                <w:color w:val="000000"/>
                <w:sz w:val="16"/>
                <w:szCs w:val="16"/>
              </w:rPr>
            </w:pPr>
            <w:proofErr w:type="spellStart"/>
            <w:r w:rsidRPr="009B4A78">
              <w:rPr>
                <w:rFonts w:ascii="Arial" w:eastAsia="Times New Roman" w:hAnsi="Arial" w:cs="Arial"/>
                <w:color w:val="000000"/>
                <w:sz w:val="16"/>
                <w:szCs w:val="16"/>
              </w:rPr>
              <w:t>tbd</w:t>
            </w:r>
            <w:proofErr w:type="spellEnd"/>
          </w:p>
        </w:tc>
      </w:tr>
      <w:tr w:rsidR="00250CF8" w:rsidRPr="009B4A78" w14:paraId="739F4856" w14:textId="77777777" w:rsidTr="00AC4500">
        <w:trPr>
          <w:trHeight w:val="3305"/>
        </w:trPr>
        <w:tc>
          <w:tcPr>
            <w:tcW w:w="2060" w:type="dxa"/>
            <w:tcBorders>
              <w:left w:val="single" w:sz="4" w:space="0" w:color="auto"/>
              <w:bottom w:val="nil"/>
              <w:right w:val="nil"/>
            </w:tcBorders>
            <w:shd w:val="clear" w:color="000000" w:fill="FFFFFF"/>
            <w:hideMark/>
          </w:tcPr>
          <w:p w14:paraId="0604E20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left w:val="nil"/>
              <w:bottom w:val="nil"/>
              <w:right w:val="nil"/>
            </w:tcBorders>
            <w:shd w:val="clear" w:color="000000" w:fill="FFFFFF"/>
            <w:hideMark/>
          </w:tcPr>
          <w:p w14:paraId="04609E1C" w14:textId="7564EB42"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Improved operation of the Madrid Registry, including electronic processes and procedures</w:t>
            </w:r>
            <w:r w:rsidR="007B4126">
              <w:rPr>
                <w:rFonts w:ascii="Arial" w:eastAsia="Times New Roman" w:hAnsi="Arial" w:cs="Arial"/>
                <w:color w:val="000000"/>
                <w:sz w:val="16"/>
                <w:szCs w:val="16"/>
              </w:rPr>
              <w:t xml:space="preserve"> (Madrid)</w:t>
            </w:r>
          </w:p>
        </w:tc>
        <w:tc>
          <w:tcPr>
            <w:tcW w:w="2543" w:type="dxa"/>
            <w:tcBorders>
              <w:left w:val="nil"/>
              <w:bottom w:val="nil"/>
              <w:right w:val="nil"/>
            </w:tcBorders>
            <w:shd w:val="clear" w:color="000000" w:fill="FFFFFF"/>
            <w:hideMark/>
          </w:tcPr>
          <w:p w14:paraId="099E510C"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70% of documents received electronically</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220,000 email notifications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1800 MPM Clients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17 Offices sending XML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 Intelligent web form</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690,000 documents inbound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1,750,000 documents outbound</w:t>
            </w:r>
            <w:r w:rsidRPr="009B4A78">
              <w:rPr>
                <w:rFonts w:ascii="Arial" w:eastAsia="Times New Roman" w:hAnsi="Arial" w:cs="Arial"/>
                <w:color w:val="000000"/>
                <w:sz w:val="16"/>
                <w:szCs w:val="16"/>
              </w:rPr>
              <w:br/>
            </w:r>
          </w:p>
        </w:tc>
        <w:tc>
          <w:tcPr>
            <w:tcW w:w="2410" w:type="dxa"/>
            <w:tcBorders>
              <w:left w:val="nil"/>
              <w:bottom w:val="nil"/>
              <w:right w:val="single" w:sz="4" w:space="0" w:color="auto"/>
            </w:tcBorders>
            <w:shd w:val="clear" w:color="000000" w:fill="FFFFFF"/>
            <w:hideMark/>
          </w:tcPr>
          <w:p w14:paraId="1997E7AB"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75% of documents received electronically</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250,000 email notifications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2000 MPM Clients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 Offices sending XML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 Intelligent web forms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750,000 documents inbound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2,000,000 documents outbound</w:t>
            </w:r>
          </w:p>
        </w:tc>
      </w:tr>
      <w:tr w:rsidR="00250CF8" w:rsidRPr="009B4A78" w14:paraId="02AD3E91" w14:textId="77777777" w:rsidTr="00AC4500">
        <w:trPr>
          <w:trHeight w:val="1085"/>
        </w:trPr>
        <w:tc>
          <w:tcPr>
            <w:tcW w:w="2060" w:type="dxa"/>
            <w:tcBorders>
              <w:top w:val="nil"/>
              <w:left w:val="single" w:sz="4" w:space="0" w:color="auto"/>
              <w:right w:val="nil"/>
            </w:tcBorders>
            <w:shd w:val="clear" w:color="000000" w:fill="FFFFFF"/>
            <w:hideMark/>
          </w:tcPr>
          <w:p w14:paraId="40A6F47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5FFC6DCA"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Stable provision of evolving Madrid back office IT services</w:t>
            </w:r>
          </w:p>
        </w:tc>
        <w:tc>
          <w:tcPr>
            <w:tcW w:w="2543" w:type="dxa"/>
            <w:tcBorders>
              <w:top w:val="nil"/>
              <w:left w:val="nil"/>
              <w:right w:val="nil"/>
            </w:tcBorders>
            <w:shd w:val="clear" w:color="000000" w:fill="FFFFFF"/>
            <w:hideMark/>
          </w:tcPr>
          <w:p w14:paraId="720CB6F2" w14:textId="77777777"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No service interruption </w:t>
            </w:r>
            <w:r w:rsidRPr="009B4A78">
              <w:rPr>
                <w:rFonts w:ascii="Arial" w:eastAsia="Times New Roman" w:hAnsi="Arial" w:cs="Arial"/>
                <w:color w:val="000000"/>
                <w:sz w:val="16"/>
                <w:szCs w:val="16"/>
              </w:rPr>
              <w:br/>
              <w:t>(no. of ICT incidents)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Enhancements delivered and deployed on time</w:t>
            </w:r>
          </w:p>
        </w:tc>
        <w:tc>
          <w:tcPr>
            <w:tcW w:w="2410" w:type="dxa"/>
            <w:tcBorders>
              <w:top w:val="nil"/>
              <w:left w:val="nil"/>
              <w:right w:val="single" w:sz="4" w:space="0" w:color="auto"/>
            </w:tcBorders>
            <w:shd w:val="clear" w:color="000000" w:fill="FFFFFF"/>
            <w:hideMark/>
          </w:tcPr>
          <w:p w14:paraId="6CD35693"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No service interruption</w:t>
            </w:r>
            <w:r w:rsidRPr="009B4A78">
              <w:rPr>
                <w:rFonts w:ascii="Arial" w:eastAsia="Times New Roman" w:hAnsi="Arial" w:cs="Arial"/>
                <w:color w:val="000000"/>
                <w:sz w:val="16"/>
                <w:szCs w:val="16"/>
              </w:rPr>
              <w:br/>
              <w:t>(no. of ICT incidents)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Enhancements delivered and deployed on time</w:t>
            </w:r>
          </w:p>
        </w:tc>
      </w:tr>
      <w:tr w:rsidR="00250CF8" w:rsidRPr="009B4A78" w14:paraId="70C27C18" w14:textId="77777777" w:rsidTr="00AC4500">
        <w:trPr>
          <w:trHeight w:val="989"/>
        </w:trPr>
        <w:tc>
          <w:tcPr>
            <w:tcW w:w="2060" w:type="dxa"/>
            <w:tcBorders>
              <w:top w:val="nil"/>
              <w:left w:val="single" w:sz="4" w:space="0" w:color="auto"/>
              <w:bottom w:val="single" w:sz="4" w:space="0" w:color="auto"/>
              <w:right w:val="nil"/>
            </w:tcBorders>
            <w:shd w:val="clear" w:color="000000" w:fill="FFFFFF"/>
            <w:hideMark/>
          </w:tcPr>
          <w:p w14:paraId="4B45E936"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single" w:sz="4" w:space="0" w:color="auto"/>
              <w:right w:val="nil"/>
            </w:tcBorders>
            <w:shd w:val="clear" w:color="000000" w:fill="FFFFFF"/>
            <w:hideMark/>
          </w:tcPr>
          <w:p w14:paraId="5410A0B9"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 deployed versions of M-IRIS and 3 deployed versions of Madrid </w:t>
            </w:r>
            <w:proofErr w:type="spellStart"/>
            <w:r w:rsidRPr="009B4A78">
              <w:rPr>
                <w:rFonts w:ascii="Arial" w:eastAsia="Times New Roman" w:hAnsi="Arial" w:cs="Arial"/>
                <w:color w:val="000000"/>
                <w:sz w:val="16"/>
                <w:szCs w:val="16"/>
              </w:rPr>
              <w:t>eFiling</w:t>
            </w:r>
            <w:proofErr w:type="spellEnd"/>
            <w:r w:rsidRPr="009B4A78">
              <w:rPr>
                <w:rFonts w:ascii="Arial" w:eastAsia="Times New Roman" w:hAnsi="Arial" w:cs="Arial"/>
                <w:color w:val="000000"/>
                <w:sz w:val="16"/>
                <w:szCs w:val="16"/>
              </w:rPr>
              <w:t xml:space="preserve"> (IRPI)</w:t>
            </w:r>
          </w:p>
        </w:tc>
        <w:tc>
          <w:tcPr>
            <w:tcW w:w="2543" w:type="dxa"/>
            <w:tcBorders>
              <w:top w:val="nil"/>
              <w:left w:val="nil"/>
              <w:bottom w:val="single" w:sz="4" w:space="0" w:color="auto"/>
              <w:right w:val="nil"/>
            </w:tcBorders>
            <w:shd w:val="clear" w:color="000000" w:fill="FFFFFF"/>
            <w:hideMark/>
          </w:tcPr>
          <w:p w14:paraId="1CF2BD77" w14:textId="51C8D531" w:rsidR="00250CF8" w:rsidRPr="009B4A78" w:rsidRDefault="00250CF8" w:rsidP="00D655F5">
            <w:pPr>
              <w:rPr>
                <w:rFonts w:ascii="Arial" w:eastAsia="Times New Roman" w:hAnsi="Arial" w:cs="Arial"/>
                <w:color w:val="000000"/>
                <w:sz w:val="16"/>
                <w:szCs w:val="16"/>
              </w:rPr>
            </w:pPr>
            <w:r w:rsidRPr="009B4A78">
              <w:rPr>
                <w:rFonts w:ascii="Arial" w:eastAsia="Times New Roman" w:hAnsi="Arial" w:cs="Arial"/>
                <w:color w:val="000000"/>
                <w:sz w:val="16"/>
                <w:szCs w:val="16"/>
              </w:rPr>
              <w:t>M-IRIS deployed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Madrid </w:t>
            </w:r>
            <w:proofErr w:type="spellStart"/>
            <w:r w:rsidRPr="009B4A78">
              <w:rPr>
                <w:rFonts w:ascii="Arial" w:eastAsia="Times New Roman" w:hAnsi="Arial" w:cs="Arial"/>
                <w:color w:val="000000"/>
                <w:sz w:val="16"/>
                <w:szCs w:val="16"/>
              </w:rPr>
              <w:t>eFiling</w:t>
            </w:r>
            <w:proofErr w:type="spellEnd"/>
            <w:r w:rsidRPr="009B4A78">
              <w:rPr>
                <w:rFonts w:ascii="Arial" w:eastAsia="Times New Roman" w:hAnsi="Arial" w:cs="Arial"/>
                <w:color w:val="000000"/>
                <w:sz w:val="16"/>
                <w:szCs w:val="16"/>
              </w:rPr>
              <w:t xml:space="preserve"> deployed</w:t>
            </w:r>
            <w:r w:rsidRPr="009B4A78">
              <w:rPr>
                <w:rFonts w:ascii="Arial" w:eastAsia="Times New Roman" w:hAnsi="Arial" w:cs="Arial"/>
                <w:color w:val="000000"/>
                <w:sz w:val="16"/>
                <w:szCs w:val="16"/>
              </w:rPr>
              <w:br/>
            </w:r>
          </w:p>
        </w:tc>
        <w:tc>
          <w:tcPr>
            <w:tcW w:w="2410" w:type="dxa"/>
            <w:tcBorders>
              <w:top w:val="nil"/>
              <w:left w:val="nil"/>
              <w:bottom w:val="single" w:sz="4" w:space="0" w:color="auto"/>
              <w:right w:val="single" w:sz="4" w:space="0" w:color="auto"/>
            </w:tcBorders>
            <w:shd w:val="clear" w:color="000000" w:fill="FFFFFF"/>
            <w:hideMark/>
          </w:tcPr>
          <w:p w14:paraId="275B330F" w14:textId="20A789F3" w:rsidR="00250CF8" w:rsidRPr="009B4A78" w:rsidRDefault="00250CF8" w:rsidP="007B4126">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3 new versions of</w:t>
            </w:r>
            <w:r w:rsidRPr="009B4A78">
              <w:rPr>
                <w:rFonts w:ascii="Arial" w:eastAsia="Times New Roman" w:hAnsi="Arial" w:cs="Arial"/>
                <w:color w:val="000000"/>
                <w:sz w:val="16"/>
                <w:szCs w:val="16"/>
              </w:rPr>
              <w:br/>
              <w:t>M-IRIS/D-IRIS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3 new versions of Madrid </w:t>
            </w:r>
            <w:proofErr w:type="spellStart"/>
            <w:r w:rsidRPr="009B4A78">
              <w:rPr>
                <w:rFonts w:ascii="Arial" w:eastAsia="Times New Roman" w:hAnsi="Arial" w:cs="Arial"/>
                <w:color w:val="000000"/>
                <w:sz w:val="16"/>
                <w:szCs w:val="16"/>
              </w:rPr>
              <w:t>eFiling</w:t>
            </w:r>
            <w:proofErr w:type="spellEnd"/>
          </w:p>
        </w:tc>
      </w:tr>
    </w:tbl>
    <w:p w14:paraId="33063A69" w14:textId="77777777" w:rsidR="0054624D" w:rsidRDefault="0054624D" w:rsidP="00F33E49">
      <w:pPr>
        <w:keepNext/>
        <w:jc w:val="both"/>
        <w:rPr>
          <w:rFonts w:ascii="Arial" w:eastAsia="SimSun" w:hAnsi="Arial" w:cs="Arial"/>
          <w:bCs/>
          <w:iCs/>
          <w:caps/>
          <w:szCs w:val="28"/>
        </w:rPr>
      </w:pPr>
    </w:p>
    <w:p w14:paraId="2A5447B8" w14:textId="77777777" w:rsidR="0054624D" w:rsidRDefault="0054624D" w:rsidP="00F33E49">
      <w:pPr>
        <w:keepNext/>
        <w:jc w:val="both"/>
        <w:rPr>
          <w:rFonts w:ascii="Arial" w:eastAsia="SimSun" w:hAnsi="Arial" w:cs="Arial"/>
          <w:bCs/>
          <w:iCs/>
          <w:caps/>
          <w:szCs w:val="28"/>
        </w:rPr>
      </w:pPr>
    </w:p>
    <w:p w14:paraId="71A581C6" w14:textId="77777777" w:rsidR="00250CF8" w:rsidRPr="009B4A78" w:rsidRDefault="00250CF8" w:rsidP="00F33E49">
      <w:pPr>
        <w:keepNext/>
        <w:jc w:val="both"/>
        <w:rPr>
          <w:rFonts w:ascii="Arial" w:eastAsia="SimSun" w:hAnsi="Arial" w:cs="Arial"/>
          <w:bCs/>
          <w:iCs/>
          <w:caps/>
          <w:szCs w:val="28"/>
        </w:rPr>
      </w:pPr>
      <w:r w:rsidRPr="009B4A78">
        <w:rPr>
          <w:rFonts w:ascii="Arial" w:eastAsia="SimSun" w:hAnsi="Arial" w:cs="Arial"/>
          <w:bCs/>
          <w:iCs/>
          <w:caps/>
          <w:szCs w:val="28"/>
        </w:rPr>
        <w:t xml:space="preserve">RESOURCES FOR PROGram 6 </w:t>
      </w:r>
    </w:p>
    <w:p w14:paraId="75707DAA" w14:textId="77777777" w:rsidR="00250CF8" w:rsidRPr="00DB4F15" w:rsidRDefault="00250CF8" w:rsidP="00F33E49">
      <w:pPr>
        <w:keepNext/>
        <w:jc w:val="both"/>
        <w:rPr>
          <w:rFonts w:ascii="Arial" w:eastAsia="SimSun" w:hAnsi="Arial" w:cs="Arial"/>
          <w:bCs/>
          <w:iCs/>
          <w:caps/>
          <w:sz w:val="20"/>
          <w:szCs w:val="28"/>
        </w:rPr>
      </w:pPr>
    </w:p>
    <w:p w14:paraId="71B1C311" w14:textId="54745234" w:rsidR="00503705" w:rsidRDefault="006945BF" w:rsidP="00AC4500">
      <w:pPr>
        <w:pStyle w:val="ListParagraph"/>
        <w:numPr>
          <w:ilvl w:val="0"/>
          <w:numId w:val="8"/>
        </w:numPr>
        <w:tabs>
          <w:tab w:val="left" w:pos="567"/>
        </w:tabs>
        <w:ind w:left="0" w:firstLine="0"/>
        <w:contextualSpacing w:val="0"/>
        <w:jc w:val="both"/>
        <w:rPr>
          <w:rFonts w:ascii="Arial" w:eastAsia="SimSun" w:hAnsi="Arial" w:cs="Arial"/>
          <w:bCs/>
          <w:iCs/>
          <w:sz w:val="20"/>
          <w:szCs w:val="28"/>
        </w:rPr>
      </w:pPr>
      <w:r>
        <w:rPr>
          <w:rFonts w:ascii="Arial" w:eastAsia="SimSun" w:hAnsi="Arial" w:cs="Arial"/>
          <w:bCs/>
          <w:iCs/>
          <w:sz w:val="20"/>
          <w:szCs w:val="28"/>
        </w:rPr>
        <w:t xml:space="preserve">The resources under this Program reflect the separation of the Lisbon System from Program 6 to Program 32 and the transfer of </w:t>
      </w:r>
      <w:r w:rsidR="00DD6638">
        <w:rPr>
          <w:rFonts w:ascii="Arial" w:eastAsia="SimSun" w:hAnsi="Arial" w:cs="Arial"/>
          <w:bCs/>
          <w:iCs/>
          <w:sz w:val="20"/>
          <w:szCs w:val="28"/>
        </w:rPr>
        <w:t>the relevant</w:t>
      </w:r>
      <w:r>
        <w:rPr>
          <w:rFonts w:ascii="Arial" w:eastAsia="SimSun" w:hAnsi="Arial" w:cs="Arial"/>
          <w:bCs/>
          <w:iCs/>
          <w:sz w:val="20"/>
          <w:szCs w:val="28"/>
        </w:rPr>
        <w:t xml:space="preserve"> personnel and non-personnel resources</w:t>
      </w:r>
      <w:r w:rsidR="00DD6638">
        <w:rPr>
          <w:rFonts w:ascii="Arial" w:eastAsia="SimSun" w:hAnsi="Arial" w:cs="Arial"/>
          <w:bCs/>
          <w:iCs/>
          <w:sz w:val="20"/>
          <w:szCs w:val="28"/>
        </w:rPr>
        <w:t xml:space="preserve"> accordingly</w:t>
      </w:r>
      <w:r>
        <w:rPr>
          <w:rFonts w:ascii="Arial" w:eastAsia="SimSun" w:hAnsi="Arial" w:cs="Arial"/>
          <w:bCs/>
          <w:iCs/>
          <w:sz w:val="20"/>
          <w:szCs w:val="28"/>
        </w:rPr>
        <w:t>.</w:t>
      </w:r>
    </w:p>
    <w:p w14:paraId="4B956879" w14:textId="77777777" w:rsidR="00503705" w:rsidRDefault="00503705" w:rsidP="00AC4500">
      <w:pPr>
        <w:pStyle w:val="ListParagraph"/>
        <w:tabs>
          <w:tab w:val="left" w:pos="567"/>
        </w:tabs>
        <w:ind w:left="0"/>
        <w:contextualSpacing w:val="0"/>
        <w:jc w:val="both"/>
        <w:rPr>
          <w:rFonts w:ascii="Arial" w:eastAsia="SimSun" w:hAnsi="Arial" w:cs="Arial"/>
          <w:bCs/>
          <w:iCs/>
          <w:sz w:val="20"/>
          <w:szCs w:val="28"/>
        </w:rPr>
      </w:pPr>
    </w:p>
    <w:p w14:paraId="72983E00" w14:textId="77777777" w:rsidR="00FD57F8" w:rsidRDefault="00250CF8" w:rsidP="00AC4500">
      <w:pPr>
        <w:pStyle w:val="ListParagraph"/>
        <w:numPr>
          <w:ilvl w:val="0"/>
          <w:numId w:val="8"/>
        </w:numPr>
        <w:tabs>
          <w:tab w:val="left" w:pos="567"/>
        </w:tabs>
        <w:ind w:left="0" w:firstLine="0"/>
        <w:contextualSpacing w:val="0"/>
        <w:jc w:val="both"/>
        <w:rPr>
          <w:rFonts w:ascii="Arial" w:eastAsia="SimSun" w:hAnsi="Arial" w:cs="Arial"/>
          <w:bCs/>
          <w:iCs/>
          <w:sz w:val="20"/>
          <w:szCs w:val="28"/>
        </w:rPr>
      </w:pPr>
      <w:r w:rsidRPr="00DB4F15">
        <w:rPr>
          <w:rFonts w:ascii="Arial" w:eastAsia="SimSun" w:hAnsi="Arial" w:cs="Arial"/>
          <w:bCs/>
          <w:iCs/>
          <w:sz w:val="20"/>
          <w:szCs w:val="28"/>
        </w:rPr>
        <w:t>The increase in resources under this Program is driven by the expanding membership of the Madrid System and the resulting expected increase in the demand for services and provisions to enhance the operational efficiencies of the system.  The increase is reflected under Expected Result</w:t>
      </w:r>
      <w:r w:rsidR="00F35FAB">
        <w:rPr>
          <w:rFonts w:ascii="Arial" w:eastAsia="SimSun" w:hAnsi="Arial" w:cs="Arial"/>
          <w:bCs/>
          <w:iCs/>
          <w:sz w:val="20"/>
          <w:szCs w:val="28"/>
        </w:rPr>
        <w:t> </w:t>
      </w:r>
      <w:r w:rsidRPr="00DB4F15">
        <w:rPr>
          <w:rFonts w:ascii="Arial" w:eastAsia="SimSun" w:hAnsi="Arial" w:cs="Arial"/>
          <w:bCs/>
          <w:iCs/>
          <w:sz w:val="20"/>
          <w:szCs w:val="28"/>
        </w:rPr>
        <w:t>II.7.</w:t>
      </w:r>
      <w:r w:rsidR="00A04699">
        <w:rPr>
          <w:rFonts w:ascii="Arial" w:eastAsia="SimSun" w:hAnsi="Arial" w:cs="Arial"/>
          <w:bCs/>
          <w:iCs/>
          <w:sz w:val="20"/>
          <w:szCs w:val="28"/>
        </w:rPr>
        <w:t xml:space="preserve"> </w:t>
      </w:r>
    </w:p>
    <w:p w14:paraId="7B92A7DD" w14:textId="6CFA0352" w:rsidR="00FD57F8" w:rsidRDefault="00FD57F8" w:rsidP="00AC4500">
      <w:pPr>
        <w:pStyle w:val="ListParagraph"/>
        <w:tabs>
          <w:tab w:val="left" w:pos="567"/>
        </w:tabs>
        <w:ind w:left="0"/>
        <w:contextualSpacing w:val="0"/>
        <w:jc w:val="both"/>
        <w:rPr>
          <w:rFonts w:ascii="Arial" w:eastAsia="SimSun" w:hAnsi="Arial" w:cs="Arial"/>
          <w:bCs/>
          <w:iCs/>
          <w:sz w:val="20"/>
          <w:szCs w:val="28"/>
        </w:rPr>
      </w:pPr>
    </w:p>
    <w:p w14:paraId="32B70960" w14:textId="77777777" w:rsidR="00250CF8" w:rsidRPr="00503705" w:rsidRDefault="00250CF8" w:rsidP="00AC4500">
      <w:pPr>
        <w:rPr>
          <w:caps/>
        </w:rPr>
      </w:pPr>
    </w:p>
    <w:p w14:paraId="32EF6A30" w14:textId="77777777" w:rsidR="00250CF8" w:rsidRPr="009B4A78" w:rsidRDefault="00250CF8" w:rsidP="00AC4500">
      <w:pPr>
        <w:keepNext/>
        <w:keepLines/>
        <w:jc w:val="center"/>
        <w:rPr>
          <w:rFonts w:ascii="Arial" w:eastAsia="SimSun" w:hAnsi="Arial" w:cs="Arial"/>
          <w:b/>
          <w:bCs/>
          <w:iCs/>
          <w:sz w:val="20"/>
          <w:szCs w:val="28"/>
        </w:rPr>
      </w:pPr>
      <w:r w:rsidRPr="009B4A78">
        <w:rPr>
          <w:rFonts w:ascii="Arial" w:eastAsia="SimSun" w:hAnsi="Arial" w:cs="Arial"/>
          <w:b/>
          <w:bCs/>
          <w:iCs/>
          <w:sz w:val="20"/>
          <w:szCs w:val="28"/>
        </w:rPr>
        <w:lastRenderedPageBreak/>
        <w:t>Program 6: Resources by Result</w:t>
      </w:r>
    </w:p>
    <w:p w14:paraId="25C983C3" w14:textId="77777777" w:rsidR="00250CF8" w:rsidRPr="009B4A78" w:rsidRDefault="00250CF8" w:rsidP="00AC4500">
      <w:pPr>
        <w:keepNext/>
        <w:keepLines/>
        <w:jc w:val="center"/>
        <w:rPr>
          <w:rFonts w:ascii="Arial" w:eastAsia="SimSun" w:hAnsi="Arial" w:cs="Arial"/>
          <w:bCs/>
          <w:i/>
          <w:iCs/>
          <w:sz w:val="20"/>
          <w:szCs w:val="28"/>
        </w:rPr>
      </w:pPr>
      <w:r w:rsidRPr="009B4A78">
        <w:rPr>
          <w:rFonts w:ascii="Arial" w:eastAsia="SimSun" w:hAnsi="Arial" w:cs="Arial"/>
          <w:bCs/>
          <w:i/>
          <w:iCs/>
          <w:sz w:val="20"/>
          <w:szCs w:val="28"/>
        </w:rPr>
        <w:t>(in thousands of Swiss francs)</w:t>
      </w:r>
    </w:p>
    <w:p w14:paraId="3ED09EE4" w14:textId="4A4EE364" w:rsidR="00250CF8" w:rsidRPr="00FB68E0" w:rsidRDefault="00250CF8" w:rsidP="00AC4500">
      <w:pPr>
        <w:keepNext/>
        <w:keepLines/>
        <w:jc w:val="center"/>
        <w:rPr>
          <w:rFonts w:ascii="Arial" w:eastAsia="SimSun" w:hAnsi="Arial" w:cs="Arial"/>
          <w:bCs/>
          <w:i/>
          <w:iCs/>
          <w:sz w:val="18"/>
          <w:szCs w:val="20"/>
        </w:rPr>
      </w:pPr>
    </w:p>
    <w:p w14:paraId="646C5C81" w14:textId="1C7D0AA3" w:rsidR="00250CF8" w:rsidRPr="009B4A78" w:rsidRDefault="008030BF" w:rsidP="00F33E49">
      <w:pPr>
        <w:keepNext/>
        <w:tabs>
          <w:tab w:val="left" w:pos="0"/>
        </w:tabs>
        <w:jc w:val="center"/>
        <w:rPr>
          <w:rFonts w:ascii="Arial" w:eastAsia="SimSun" w:hAnsi="Arial" w:cs="Arial"/>
          <w:bCs/>
          <w:i/>
          <w:iCs/>
          <w:sz w:val="20"/>
          <w:szCs w:val="20"/>
        </w:rPr>
      </w:pPr>
      <w:r w:rsidRPr="008030BF">
        <w:rPr>
          <w:rFonts w:ascii="Arial" w:eastAsia="SimSun" w:hAnsi="Arial" w:cs="Arial"/>
          <w:bCs/>
          <w:i/>
          <w:iCs/>
          <w:sz w:val="20"/>
          <w:szCs w:val="20"/>
        </w:rPr>
        <w:t xml:space="preserve"> </w:t>
      </w:r>
      <w:r w:rsidR="00A04699" w:rsidRPr="00A04699">
        <w:rPr>
          <w:noProof/>
          <w:lang w:eastAsia="en-US"/>
        </w:rPr>
        <w:drawing>
          <wp:inline distT="0" distB="0" distL="0" distR="0" wp14:anchorId="0DED1FE1" wp14:editId="4309AF87">
            <wp:extent cx="5084064" cy="1424562"/>
            <wp:effectExtent l="0" t="0" r="2540" b="444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4064" cy="1424562"/>
                    </a:xfrm>
                    <a:prstGeom prst="rect">
                      <a:avLst/>
                    </a:prstGeom>
                    <a:noFill/>
                    <a:ln>
                      <a:noFill/>
                    </a:ln>
                  </pic:spPr>
                </pic:pic>
              </a:graphicData>
            </a:graphic>
          </wp:inline>
        </w:drawing>
      </w:r>
    </w:p>
    <w:p w14:paraId="2C25AC3D" w14:textId="77777777" w:rsidR="00250CF8" w:rsidRDefault="00250CF8" w:rsidP="00F33E49">
      <w:pPr>
        <w:rPr>
          <w:rFonts w:ascii="Arial" w:eastAsia="SimSun" w:hAnsi="Arial" w:cs="Arial"/>
          <w:bCs/>
          <w:i/>
          <w:iCs/>
          <w:sz w:val="20"/>
          <w:szCs w:val="20"/>
        </w:rPr>
      </w:pPr>
    </w:p>
    <w:p w14:paraId="7F3AB29D" w14:textId="77777777" w:rsidR="00250CF8" w:rsidRPr="009B4A78" w:rsidRDefault="00250CF8" w:rsidP="00F33E49">
      <w:pPr>
        <w:keepNext/>
        <w:jc w:val="center"/>
        <w:rPr>
          <w:rFonts w:ascii="Arial" w:eastAsia="SimSun" w:hAnsi="Arial" w:cs="Arial"/>
          <w:b/>
          <w:bCs/>
          <w:iCs/>
          <w:sz w:val="20"/>
          <w:szCs w:val="28"/>
        </w:rPr>
      </w:pPr>
      <w:r w:rsidRPr="009B4A78">
        <w:rPr>
          <w:rFonts w:ascii="Arial" w:eastAsia="SimSun" w:hAnsi="Arial" w:cs="Arial"/>
          <w:b/>
          <w:bCs/>
          <w:iCs/>
          <w:sz w:val="20"/>
          <w:szCs w:val="28"/>
        </w:rPr>
        <w:t>Program 6: Resources by Object of Expenditure</w:t>
      </w:r>
    </w:p>
    <w:p w14:paraId="09E33091" w14:textId="77777777" w:rsidR="00250CF8" w:rsidRPr="009B4A78" w:rsidRDefault="00250CF8" w:rsidP="00F33E49">
      <w:pPr>
        <w:keepNext/>
        <w:jc w:val="center"/>
        <w:rPr>
          <w:rFonts w:ascii="Arial" w:eastAsia="SimSun" w:hAnsi="Arial" w:cs="Arial"/>
          <w:bCs/>
          <w:i/>
          <w:iCs/>
          <w:sz w:val="20"/>
          <w:szCs w:val="28"/>
        </w:rPr>
      </w:pPr>
      <w:r w:rsidRPr="009B4A78">
        <w:rPr>
          <w:rFonts w:ascii="Arial" w:eastAsia="SimSun" w:hAnsi="Arial" w:cs="Arial"/>
          <w:bCs/>
          <w:i/>
          <w:iCs/>
          <w:sz w:val="20"/>
          <w:szCs w:val="28"/>
        </w:rPr>
        <w:t>(in thousands of Swiss francs)</w:t>
      </w:r>
    </w:p>
    <w:p w14:paraId="6BCAE3FE" w14:textId="77777777" w:rsidR="00250CF8" w:rsidRPr="008D4CE9" w:rsidRDefault="00250CF8" w:rsidP="00F33E49">
      <w:pPr>
        <w:keepNext/>
        <w:jc w:val="center"/>
        <w:rPr>
          <w:rFonts w:ascii="Arial" w:eastAsia="SimSun" w:hAnsi="Arial" w:cs="Arial"/>
          <w:bCs/>
          <w:i/>
          <w:iCs/>
          <w:sz w:val="16"/>
          <w:szCs w:val="28"/>
        </w:rPr>
      </w:pPr>
    </w:p>
    <w:p w14:paraId="539F7F22" w14:textId="040DD3DA" w:rsidR="00C2428A" w:rsidRDefault="00FD57F8" w:rsidP="008D4CE9">
      <w:pPr>
        <w:jc w:val="center"/>
        <w:rPr>
          <w:rFonts w:ascii="Arial" w:eastAsia="SimSun" w:hAnsi="Arial" w:cs="Arial"/>
          <w:bCs/>
          <w:iCs/>
          <w:sz w:val="20"/>
          <w:szCs w:val="20"/>
        </w:rPr>
      </w:pPr>
      <w:r w:rsidRPr="00FD57F8">
        <w:rPr>
          <w:noProof/>
          <w:lang w:eastAsia="en-US"/>
        </w:rPr>
        <w:drawing>
          <wp:inline distT="0" distB="0" distL="0" distR="0" wp14:anchorId="243BC745" wp14:editId="21595834">
            <wp:extent cx="4928616" cy="5550013"/>
            <wp:effectExtent l="0" t="0" r="571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28616" cy="5550013"/>
                    </a:xfrm>
                    <a:prstGeom prst="rect">
                      <a:avLst/>
                    </a:prstGeom>
                    <a:noFill/>
                    <a:ln>
                      <a:noFill/>
                    </a:ln>
                  </pic:spPr>
                </pic:pic>
              </a:graphicData>
            </a:graphic>
          </wp:inline>
        </w:drawing>
      </w:r>
      <w:r w:rsidR="00C2428A">
        <w:rPr>
          <w:rFonts w:ascii="Arial" w:eastAsia="SimSun" w:hAnsi="Arial" w:cs="Arial"/>
          <w:bCs/>
          <w:iCs/>
          <w:sz w:val="20"/>
          <w:szCs w:val="20"/>
        </w:rPr>
        <w:br w:type="page"/>
      </w:r>
    </w:p>
    <w:p w14:paraId="23DD2330" w14:textId="77777777" w:rsidR="00C2428A" w:rsidRPr="00D407BA" w:rsidRDefault="00C2428A" w:rsidP="00C2428A">
      <w:pPr>
        <w:pStyle w:val="StyleStyleHeading3ComplexItalicLatin12pt"/>
      </w:pPr>
      <w:bookmarkStart w:id="34" w:name="_Toc301357248"/>
      <w:bookmarkStart w:id="35" w:name="_Toc431221412"/>
      <w:r w:rsidRPr="00D407BA">
        <w:rPr>
          <w:caps w:val="0"/>
        </w:rPr>
        <w:lastRenderedPageBreak/>
        <w:t>PROGRAM 31</w:t>
      </w:r>
      <w:r w:rsidRPr="00D407BA">
        <w:rPr>
          <w:caps w:val="0"/>
        </w:rPr>
        <w:tab/>
        <w:t>THE HAGUE SYSTEM</w:t>
      </w:r>
      <w:bookmarkEnd w:id="34"/>
      <w:bookmarkEnd w:id="35"/>
    </w:p>
    <w:p w14:paraId="759BBB4E" w14:textId="77777777" w:rsidR="00C2428A" w:rsidRPr="00AD663E" w:rsidRDefault="00C2428A" w:rsidP="00C2428A">
      <w:pPr>
        <w:tabs>
          <w:tab w:val="left" w:pos="2268"/>
        </w:tabs>
        <w:ind w:left="2268" w:hanging="2268"/>
        <w:rPr>
          <w:rFonts w:ascii="Arial" w:hAnsi="Arial"/>
          <w:b/>
          <w:sz w:val="20"/>
        </w:rPr>
      </w:pPr>
    </w:p>
    <w:p w14:paraId="726D9B7D" w14:textId="77777777" w:rsidR="00C2428A" w:rsidRDefault="00C2428A" w:rsidP="00C2428A">
      <w:pPr>
        <w:pStyle w:val="BodyTextIndent"/>
        <w:ind w:left="1985" w:hanging="1985"/>
        <w:jc w:val="both"/>
        <w:rPr>
          <w:rFonts w:ascii="Arial" w:hAnsi="Arial" w:cs="Arial"/>
          <w:sz w:val="22"/>
          <w:szCs w:val="22"/>
        </w:rPr>
      </w:pPr>
    </w:p>
    <w:p w14:paraId="71F309DC" w14:textId="77777777" w:rsidR="00C2428A" w:rsidRPr="00A522FE" w:rsidRDefault="00C2428A" w:rsidP="00C2428A">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13CE3C14" w14:textId="77777777" w:rsidR="00C2428A" w:rsidRPr="00A522FE" w:rsidRDefault="00C2428A" w:rsidP="00C2428A">
      <w:pPr>
        <w:rPr>
          <w:rFonts w:ascii="Arial" w:hAnsi="Arial"/>
          <w:sz w:val="20"/>
        </w:rPr>
      </w:pPr>
    </w:p>
    <w:p w14:paraId="69E3882E" w14:textId="77777777" w:rsidR="00C2428A" w:rsidRPr="002B1C08" w:rsidRDefault="00C2428A" w:rsidP="00B66A4A">
      <w:pPr>
        <w:numPr>
          <w:ilvl w:val="0"/>
          <w:numId w:val="31"/>
        </w:numPr>
        <w:jc w:val="both"/>
        <w:rPr>
          <w:rFonts w:ascii="Arial" w:hAnsi="Arial" w:cs="Arial"/>
          <w:sz w:val="20"/>
        </w:rPr>
      </w:pPr>
      <w:r w:rsidRPr="00660301">
        <w:rPr>
          <w:rFonts w:ascii="Arial" w:hAnsi="Arial"/>
          <w:sz w:val="20"/>
        </w:rPr>
        <w:t xml:space="preserve">Efforts to expand the </w:t>
      </w:r>
      <w:r>
        <w:rPr>
          <w:rFonts w:ascii="Arial" w:hAnsi="Arial"/>
          <w:sz w:val="20"/>
        </w:rPr>
        <w:t>geographical scope of the Hague System by encouraging accession to the Geneva (1999) Act of the Hague Agreement started to bear fruit during the</w:t>
      </w:r>
      <w:r w:rsidRPr="00660301">
        <w:rPr>
          <w:rFonts w:ascii="Arial" w:hAnsi="Arial" w:cs="Arial"/>
          <w:sz w:val="20"/>
        </w:rPr>
        <w:t xml:space="preserve"> 201</w:t>
      </w:r>
      <w:r>
        <w:rPr>
          <w:rFonts w:ascii="Arial" w:hAnsi="Arial" w:cs="Arial"/>
          <w:sz w:val="20"/>
        </w:rPr>
        <w:t>4</w:t>
      </w:r>
      <w:r w:rsidRPr="00660301">
        <w:rPr>
          <w:rFonts w:ascii="Arial" w:hAnsi="Arial" w:cs="Arial"/>
          <w:sz w:val="20"/>
        </w:rPr>
        <w:t>/1</w:t>
      </w:r>
      <w:r>
        <w:rPr>
          <w:rFonts w:ascii="Arial" w:hAnsi="Arial" w:cs="Arial"/>
          <w:sz w:val="20"/>
        </w:rPr>
        <w:t>5</w:t>
      </w:r>
      <w:r w:rsidRPr="00660301">
        <w:rPr>
          <w:rFonts w:ascii="Arial" w:hAnsi="Arial" w:cs="Arial"/>
          <w:sz w:val="20"/>
        </w:rPr>
        <w:t xml:space="preserve"> </w:t>
      </w:r>
      <w:r>
        <w:rPr>
          <w:rFonts w:ascii="Arial" w:hAnsi="Arial" w:cs="Arial"/>
          <w:sz w:val="20"/>
        </w:rPr>
        <w:t>biennium, with certain countries representing some of the world’s major trading areas joining or standing close to accession</w:t>
      </w:r>
      <w:r w:rsidRPr="00660301">
        <w:rPr>
          <w:rFonts w:ascii="Arial" w:hAnsi="Arial" w:cs="Arial"/>
          <w:sz w:val="20"/>
        </w:rPr>
        <w:t xml:space="preserve">.  </w:t>
      </w:r>
      <w:r>
        <w:rPr>
          <w:rFonts w:ascii="Arial" w:hAnsi="Arial" w:cs="Arial"/>
          <w:sz w:val="20"/>
        </w:rPr>
        <w:t>In as much a</w:t>
      </w:r>
      <w:r w:rsidRPr="00660301">
        <w:rPr>
          <w:rFonts w:ascii="Arial" w:hAnsi="Arial" w:cs="Arial"/>
          <w:sz w:val="20"/>
        </w:rPr>
        <w:t>s</w:t>
      </w:r>
      <w:r>
        <w:rPr>
          <w:rFonts w:ascii="Arial" w:hAnsi="Arial" w:cs="Arial"/>
          <w:sz w:val="20"/>
        </w:rPr>
        <w:t xml:space="preserve"> they will be new to the Hague System, they are amongst the world’s largest sources of design filings</w:t>
      </w:r>
      <w:r w:rsidRPr="00660301">
        <w:rPr>
          <w:rFonts w:ascii="Arial" w:hAnsi="Arial" w:cs="Arial"/>
          <w:sz w:val="20"/>
        </w:rPr>
        <w:t xml:space="preserve"> and are likely to stimulate further accessions</w:t>
      </w:r>
      <w:r>
        <w:rPr>
          <w:rFonts w:ascii="Arial" w:hAnsi="Arial" w:cs="Arial"/>
          <w:sz w:val="20"/>
        </w:rPr>
        <w:t>.  As such</w:t>
      </w:r>
      <w:r w:rsidRPr="00660301">
        <w:rPr>
          <w:rFonts w:ascii="Arial" w:hAnsi="Arial" w:cs="Arial"/>
          <w:sz w:val="20"/>
        </w:rPr>
        <w:t xml:space="preserve">, </w:t>
      </w:r>
      <w:r>
        <w:rPr>
          <w:rFonts w:ascii="Arial" w:hAnsi="Arial" w:cs="Arial"/>
          <w:sz w:val="20"/>
        </w:rPr>
        <w:t>the number of international applications filed during the 2016/17 biennium is expected to increase considerably.  Furthermore, some of these countries are those for which a number of features of the 1999 Act were developed, particularly in view of the thorough novelty examination undertaken by their Offices</w:t>
      </w:r>
      <w:r w:rsidRPr="00660301">
        <w:rPr>
          <w:rFonts w:ascii="Arial" w:hAnsi="Arial" w:cs="Arial"/>
          <w:sz w:val="20"/>
        </w:rPr>
        <w:t xml:space="preserve">.  </w:t>
      </w:r>
      <w:r w:rsidRPr="00660301">
        <w:rPr>
          <w:rFonts w:ascii="Arial" w:hAnsi="Arial"/>
          <w:sz w:val="20"/>
        </w:rPr>
        <w:t>These features</w:t>
      </w:r>
      <w:r>
        <w:rPr>
          <w:rFonts w:ascii="Arial" w:hAnsi="Arial"/>
          <w:sz w:val="20"/>
        </w:rPr>
        <w:t xml:space="preserve"> are </w:t>
      </w:r>
      <w:r w:rsidRPr="00660301">
        <w:rPr>
          <w:rFonts w:ascii="Arial" w:hAnsi="Arial"/>
          <w:sz w:val="20"/>
        </w:rPr>
        <w:t>among the more complex and have yet to be tested in practice.</w:t>
      </w:r>
    </w:p>
    <w:p w14:paraId="58EC4066" w14:textId="77777777" w:rsidR="00C2428A" w:rsidRPr="002B1C08" w:rsidRDefault="00C2428A" w:rsidP="00C2428A">
      <w:pPr>
        <w:jc w:val="both"/>
        <w:rPr>
          <w:rFonts w:ascii="Arial" w:hAnsi="Arial" w:cs="Arial"/>
          <w:sz w:val="20"/>
        </w:rPr>
      </w:pPr>
    </w:p>
    <w:p w14:paraId="7A6F7446" w14:textId="77777777" w:rsidR="00C2428A" w:rsidRPr="002B1C08" w:rsidRDefault="00C2428A" w:rsidP="00B66A4A">
      <w:pPr>
        <w:numPr>
          <w:ilvl w:val="0"/>
          <w:numId w:val="31"/>
        </w:numPr>
        <w:jc w:val="both"/>
        <w:rPr>
          <w:rFonts w:ascii="Arial" w:hAnsi="Arial" w:cs="Arial"/>
          <w:sz w:val="20"/>
        </w:rPr>
      </w:pPr>
      <w:r w:rsidRPr="002B1C08">
        <w:rPr>
          <w:rFonts w:ascii="Arial" w:hAnsi="Arial" w:cs="Arial"/>
          <w:sz w:val="20"/>
        </w:rPr>
        <w:t xml:space="preserve">In view of the above, the challenges for the </w:t>
      </w:r>
      <w:r>
        <w:rPr>
          <w:rFonts w:ascii="Arial" w:hAnsi="Arial" w:cs="Arial"/>
          <w:sz w:val="20"/>
        </w:rPr>
        <w:t>2016/17</w:t>
      </w:r>
      <w:r w:rsidRPr="002B1C08">
        <w:rPr>
          <w:rFonts w:ascii="Arial" w:hAnsi="Arial" w:cs="Arial"/>
          <w:sz w:val="20"/>
        </w:rPr>
        <w:t xml:space="preserve"> </w:t>
      </w:r>
      <w:r>
        <w:rPr>
          <w:rFonts w:ascii="Arial" w:hAnsi="Arial" w:cs="Arial"/>
          <w:sz w:val="20"/>
        </w:rPr>
        <w:t>biennium consist of coping</w:t>
      </w:r>
      <w:r w:rsidRPr="002B1C08">
        <w:rPr>
          <w:rFonts w:ascii="Arial" w:hAnsi="Arial" w:cs="Arial"/>
          <w:sz w:val="20"/>
        </w:rPr>
        <w:t xml:space="preserve"> with the expected growth; successfully implement</w:t>
      </w:r>
      <w:r>
        <w:rPr>
          <w:rFonts w:ascii="Arial" w:hAnsi="Arial" w:cs="Arial"/>
          <w:sz w:val="20"/>
        </w:rPr>
        <w:t>ing th</w:t>
      </w:r>
      <w:r w:rsidRPr="002B1C08">
        <w:rPr>
          <w:rFonts w:ascii="Arial" w:hAnsi="Arial" w:cs="Arial"/>
          <w:sz w:val="20"/>
        </w:rPr>
        <w:t>e features of the Geneva Act not yet put in practice</w:t>
      </w:r>
      <w:r>
        <w:rPr>
          <w:rFonts w:ascii="Arial" w:hAnsi="Arial" w:cs="Arial"/>
          <w:sz w:val="20"/>
        </w:rPr>
        <w:t xml:space="preserve"> and</w:t>
      </w:r>
      <w:r w:rsidRPr="002B1C08">
        <w:rPr>
          <w:rFonts w:ascii="Arial" w:hAnsi="Arial" w:cs="Arial"/>
          <w:sz w:val="20"/>
        </w:rPr>
        <w:t xml:space="preserve"> </w:t>
      </w:r>
      <w:r>
        <w:rPr>
          <w:rFonts w:ascii="Arial" w:hAnsi="Arial" w:cs="Arial"/>
          <w:sz w:val="20"/>
        </w:rPr>
        <w:t>ensuring that</w:t>
      </w:r>
      <w:r w:rsidRPr="002B1C08">
        <w:rPr>
          <w:rFonts w:ascii="Arial" w:hAnsi="Arial" w:cs="Arial"/>
          <w:sz w:val="20"/>
        </w:rPr>
        <w:t xml:space="preserve"> </w:t>
      </w:r>
      <w:r>
        <w:rPr>
          <w:rFonts w:ascii="Arial" w:hAnsi="Arial" w:cs="Arial"/>
          <w:sz w:val="20"/>
        </w:rPr>
        <w:t>the S</w:t>
      </w:r>
      <w:r w:rsidRPr="002B1C08">
        <w:rPr>
          <w:rFonts w:ascii="Arial" w:hAnsi="Arial" w:cs="Arial"/>
          <w:sz w:val="20"/>
        </w:rPr>
        <w:t>ystem remains attractive to users</w:t>
      </w:r>
      <w:r>
        <w:rPr>
          <w:rFonts w:ascii="Arial" w:hAnsi="Arial" w:cs="Arial"/>
          <w:sz w:val="20"/>
        </w:rPr>
        <w:t>.</w:t>
      </w:r>
    </w:p>
    <w:p w14:paraId="20CC9EDD" w14:textId="77777777" w:rsidR="00C2428A" w:rsidRDefault="00C2428A" w:rsidP="00C2428A">
      <w:pPr>
        <w:jc w:val="both"/>
        <w:rPr>
          <w:rFonts w:ascii="Arial" w:hAnsi="Arial" w:cs="Arial"/>
          <w:sz w:val="20"/>
        </w:rPr>
      </w:pPr>
    </w:p>
    <w:p w14:paraId="64F73A4E" w14:textId="77777777" w:rsidR="00C2428A" w:rsidRPr="00A522FE" w:rsidRDefault="00C2428A" w:rsidP="00C2428A">
      <w:pPr>
        <w:rPr>
          <w:rFonts w:ascii="Arial" w:hAnsi="Arial"/>
          <w:sz w:val="20"/>
        </w:rPr>
      </w:pPr>
    </w:p>
    <w:p w14:paraId="7B84C11C" w14:textId="77777777" w:rsidR="00C2428A" w:rsidRPr="00412D52" w:rsidRDefault="00C2428A" w:rsidP="00C2428A">
      <w:pPr>
        <w:tabs>
          <w:tab w:val="left" w:pos="567"/>
          <w:tab w:val="left" w:pos="1985"/>
        </w:tabs>
        <w:jc w:val="both"/>
        <w:rPr>
          <w:rFonts w:ascii="Arial" w:hAnsi="Arial" w:cs="Arial"/>
          <w:bCs/>
        </w:rPr>
      </w:pPr>
      <w:r w:rsidRPr="00412D52">
        <w:rPr>
          <w:rFonts w:ascii="Arial" w:hAnsi="Arial" w:cs="Arial"/>
          <w:bCs/>
        </w:rPr>
        <w:t xml:space="preserve">IMPLEMENTATION </w:t>
      </w:r>
      <w:r>
        <w:rPr>
          <w:rFonts w:ascii="Arial" w:hAnsi="Arial" w:cs="Arial"/>
          <w:bCs/>
        </w:rPr>
        <w:t>STRATEGIES</w:t>
      </w:r>
      <w:r w:rsidRPr="00412D52">
        <w:rPr>
          <w:rFonts w:ascii="Arial" w:hAnsi="Arial" w:cs="Arial"/>
          <w:bCs/>
        </w:rPr>
        <w:t xml:space="preserve"> </w:t>
      </w:r>
    </w:p>
    <w:p w14:paraId="2EF15C43" w14:textId="77777777" w:rsidR="00C2428A" w:rsidRDefault="00C2428A" w:rsidP="00C2428A">
      <w:pPr>
        <w:tabs>
          <w:tab w:val="left" w:pos="567"/>
          <w:tab w:val="left" w:pos="1985"/>
        </w:tabs>
        <w:jc w:val="both"/>
        <w:rPr>
          <w:rFonts w:ascii="Arial" w:hAnsi="Arial" w:cs="Arial"/>
          <w:bCs/>
          <w:sz w:val="20"/>
        </w:rPr>
      </w:pPr>
    </w:p>
    <w:p w14:paraId="7C6D5160" w14:textId="77777777" w:rsidR="00C2428A" w:rsidRDefault="00C2428A" w:rsidP="00B66A4A">
      <w:pPr>
        <w:numPr>
          <w:ilvl w:val="0"/>
          <w:numId w:val="31"/>
        </w:numPr>
        <w:tabs>
          <w:tab w:val="clear" w:pos="680"/>
          <w:tab w:val="num" w:pos="709"/>
        </w:tabs>
        <w:jc w:val="both"/>
        <w:rPr>
          <w:rFonts w:ascii="Arial" w:hAnsi="Arial" w:cs="Arial"/>
          <w:sz w:val="20"/>
        </w:rPr>
      </w:pPr>
      <w:r>
        <w:rPr>
          <w:rFonts w:ascii="Arial" w:hAnsi="Arial" w:cs="Arial"/>
          <w:sz w:val="20"/>
        </w:rPr>
        <w:t>WIPO</w:t>
      </w:r>
      <w:r w:rsidRPr="00660301">
        <w:rPr>
          <w:rFonts w:ascii="Arial" w:hAnsi="Arial" w:cs="Arial"/>
          <w:sz w:val="20"/>
        </w:rPr>
        <w:t xml:space="preserve"> aims at making the Hague </w:t>
      </w:r>
      <w:r>
        <w:rPr>
          <w:rFonts w:ascii="Arial" w:hAnsi="Arial" w:cs="Arial"/>
          <w:sz w:val="20"/>
        </w:rPr>
        <w:t>S</w:t>
      </w:r>
      <w:r w:rsidRPr="00660301">
        <w:rPr>
          <w:rFonts w:ascii="Arial" w:hAnsi="Arial" w:cs="Arial"/>
          <w:sz w:val="20"/>
        </w:rPr>
        <w:t xml:space="preserve">ystem </w:t>
      </w:r>
      <w:r>
        <w:rPr>
          <w:rFonts w:ascii="Arial" w:hAnsi="Arial" w:cs="Arial"/>
          <w:sz w:val="20"/>
        </w:rPr>
        <w:t>the</w:t>
      </w:r>
      <w:r w:rsidRPr="00660301">
        <w:rPr>
          <w:rFonts w:ascii="Arial" w:hAnsi="Arial" w:cs="Arial"/>
          <w:sz w:val="20"/>
        </w:rPr>
        <w:t xml:space="preserve"> first choice for design registration</w:t>
      </w:r>
      <w:r>
        <w:rPr>
          <w:rFonts w:ascii="Arial" w:hAnsi="Arial" w:cs="Arial"/>
          <w:sz w:val="20"/>
        </w:rPr>
        <w:t>s</w:t>
      </w:r>
      <w:r w:rsidRPr="00660301">
        <w:rPr>
          <w:rFonts w:ascii="Arial" w:hAnsi="Arial" w:cs="Arial"/>
          <w:sz w:val="20"/>
        </w:rPr>
        <w:t xml:space="preserve">. </w:t>
      </w:r>
      <w:r>
        <w:rPr>
          <w:rFonts w:ascii="Arial" w:hAnsi="Arial" w:cs="Arial"/>
          <w:sz w:val="20"/>
        </w:rPr>
        <w:t xml:space="preserve"> </w:t>
      </w:r>
      <w:r w:rsidRPr="00660301">
        <w:rPr>
          <w:rFonts w:ascii="Arial" w:hAnsi="Arial" w:cs="Arial"/>
          <w:sz w:val="20"/>
        </w:rPr>
        <w:t xml:space="preserve">To achieve this, </w:t>
      </w:r>
      <w:r>
        <w:rPr>
          <w:rFonts w:ascii="Arial" w:hAnsi="Arial" w:cs="Arial"/>
          <w:sz w:val="20"/>
        </w:rPr>
        <w:t>WIPO will e</w:t>
      </w:r>
      <w:r w:rsidRPr="00660301">
        <w:rPr>
          <w:rFonts w:ascii="Arial" w:hAnsi="Arial" w:cs="Arial"/>
          <w:sz w:val="20"/>
        </w:rPr>
        <w:t>n</w:t>
      </w:r>
      <w:r>
        <w:rPr>
          <w:rFonts w:ascii="Arial" w:hAnsi="Arial" w:cs="Arial"/>
          <w:sz w:val="20"/>
        </w:rPr>
        <w:t xml:space="preserve">hance </w:t>
      </w:r>
      <w:r w:rsidRPr="00660301">
        <w:rPr>
          <w:rFonts w:ascii="Arial" w:hAnsi="Arial" w:cs="Arial"/>
          <w:sz w:val="20"/>
        </w:rPr>
        <w:t xml:space="preserve">awareness of the Hague </w:t>
      </w:r>
      <w:r>
        <w:rPr>
          <w:rFonts w:ascii="Arial" w:hAnsi="Arial" w:cs="Arial"/>
          <w:sz w:val="20"/>
        </w:rPr>
        <w:t>S</w:t>
      </w:r>
      <w:r w:rsidRPr="00660301">
        <w:rPr>
          <w:rFonts w:ascii="Arial" w:hAnsi="Arial" w:cs="Arial"/>
          <w:sz w:val="20"/>
        </w:rPr>
        <w:t>ystem</w:t>
      </w:r>
      <w:r>
        <w:rPr>
          <w:rFonts w:ascii="Arial" w:hAnsi="Arial" w:cs="Arial"/>
          <w:sz w:val="20"/>
        </w:rPr>
        <w:t xml:space="preserve"> and</w:t>
      </w:r>
      <w:r w:rsidRPr="00660301">
        <w:rPr>
          <w:rFonts w:ascii="Arial" w:hAnsi="Arial" w:cs="Arial"/>
          <w:sz w:val="20"/>
        </w:rPr>
        <w:t xml:space="preserve"> </w:t>
      </w:r>
      <w:r>
        <w:rPr>
          <w:rFonts w:ascii="Arial" w:hAnsi="Arial" w:cs="Arial"/>
          <w:sz w:val="20"/>
        </w:rPr>
        <w:t>promote its</w:t>
      </w:r>
      <w:r w:rsidRPr="00660301">
        <w:rPr>
          <w:rFonts w:ascii="Arial" w:hAnsi="Arial" w:cs="Arial"/>
          <w:sz w:val="20"/>
        </w:rPr>
        <w:t xml:space="preserve"> wider and better use</w:t>
      </w:r>
      <w:r>
        <w:rPr>
          <w:rFonts w:ascii="Arial" w:hAnsi="Arial" w:cs="Arial"/>
          <w:sz w:val="20"/>
        </w:rPr>
        <w:t xml:space="preserve">, while, at the same time, improve its </w:t>
      </w:r>
      <w:r w:rsidRPr="00660301">
        <w:rPr>
          <w:rFonts w:ascii="Arial" w:hAnsi="Arial" w:cs="Arial"/>
          <w:sz w:val="20"/>
        </w:rPr>
        <w:t xml:space="preserve">administration </w:t>
      </w:r>
      <w:r>
        <w:rPr>
          <w:rFonts w:ascii="Arial" w:hAnsi="Arial" w:cs="Arial"/>
          <w:sz w:val="20"/>
        </w:rPr>
        <w:t>in the face of rising complexity and workloads.</w:t>
      </w:r>
    </w:p>
    <w:p w14:paraId="08D7C451" w14:textId="77777777" w:rsidR="00C2428A" w:rsidRPr="00660301" w:rsidRDefault="00C2428A" w:rsidP="00C2428A">
      <w:pPr>
        <w:ind w:left="709"/>
        <w:jc w:val="both"/>
        <w:rPr>
          <w:rFonts w:ascii="Arial" w:hAnsi="Arial" w:cs="Arial"/>
          <w:sz w:val="20"/>
        </w:rPr>
      </w:pPr>
    </w:p>
    <w:p w14:paraId="5893153E" w14:textId="77777777" w:rsidR="00C2428A" w:rsidRDefault="00C2428A" w:rsidP="00B66A4A">
      <w:pPr>
        <w:numPr>
          <w:ilvl w:val="0"/>
          <w:numId w:val="31"/>
        </w:numPr>
        <w:jc w:val="both"/>
        <w:rPr>
          <w:rFonts w:ascii="Arial" w:hAnsi="Arial" w:cs="Arial"/>
          <w:sz w:val="20"/>
        </w:rPr>
      </w:pPr>
      <w:r w:rsidRPr="00660301">
        <w:rPr>
          <w:rFonts w:ascii="Arial" w:hAnsi="Arial" w:cs="Arial"/>
          <w:sz w:val="20"/>
        </w:rPr>
        <w:t>Coordinated actions will take place on three fronts:  visibility, geographical scope and system development.</w:t>
      </w:r>
    </w:p>
    <w:p w14:paraId="1DA2BFBF" w14:textId="77777777" w:rsidR="00C2428A" w:rsidRPr="00660301" w:rsidRDefault="00C2428A" w:rsidP="00C2428A">
      <w:pPr>
        <w:tabs>
          <w:tab w:val="left" w:pos="1134"/>
        </w:tabs>
        <w:ind w:left="709"/>
        <w:jc w:val="both"/>
        <w:rPr>
          <w:rFonts w:ascii="Arial" w:hAnsi="Arial" w:cs="Arial"/>
          <w:sz w:val="20"/>
        </w:rPr>
      </w:pPr>
    </w:p>
    <w:p w14:paraId="07A2BC29" w14:textId="77777777" w:rsidR="00C2428A" w:rsidRDefault="00C2428A" w:rsidP="00C2428A">
      <w:pPr>
        <w:tabs>
          <w:tab w:val="left" w:pos="540"/>
          <w:tab w:val="left" w:pos="1276"/>
        </w:tabs>
        <w:ind w:left="709"/>
        <w:jc w:val="both"/>
        <w:rPr>
          <w:rFonts w:ascii="Arial" w:hAnsi="Arial" w:cs="Arial"/>
          <w:sz w:val="20"/>
        </w:rPr>
      </w:pPr>
      <w:r w:rsidRPr="00660301">
        <w:rPr>
          <w:rFonts w:ascii="Arial" w:hAnsi="Arial" w:cs="Arial"/>
          <w:sz w:val="20"/>
        </w:rPr>
        <w:t>(</w:t>
      </w:r>
      <w:proofErr w:type="spellStart"/>
      <w:r w:rsidRPr="00660301">
        <w:rPr>
          <w:rFonts w:ascii="Arial" w:hAnsi="Arial" w:cs="Arial"/>
          <w:sz w:val="20"/>
        </w:rPr>
        <w:t>i</w:t>
      </w:r>
      <w:proofErr w:type="spellEnd"/>
      <w:r w:rsidRPr="00660301">
        <w:rPr>
          <w:rFonts w:ascii="Arial" w:hAnsi="Arial" w:cs="Arial"/>
          <w:sz w:val="20"/>
        </w:rPr>
        <w:t>)</w:t>
      </w:r>
      <w:r>
        <w:rPr>
          <w:rFonts w:ascii="Arial" w:hAnsi="Arial" w:cs="Arial"/>
          <w:sz w:val="20"/>
        </w:rPr>
        <w:tab/>
      </w:r>
      <w:r w:rsidRPr="0056733E">
        <w:rPr>
          <w:rFonts w:ascii="Arial" w:hAnsi="Arial" w:cs="Arial"/>
          <w:b/>
          <w:sz w:val="20"/>
        </w:rPr>
        <w:t>Visibility</w:t>
      </w:r>
      <w:r w:rsidRPr="0056733E">
        <w:rPr>
          <w:rFonts w:ascii="Arial" w:hAnsi="Arial" w:cs="Arial"/>
          <w:sz w:val="20"/>
        </w:rPr>
        <w:t>:  promotion will continue in the existing membership where there is significant untapped</w:t>
      </w:r>
      <w:r>
        <w:rPr>
          <w:rFonts w:ascii="Arial" w:hAnsi="Arial" w:cs="Arial"/>
          <w:sz w:val="20"/>
        </w:rPr>
        <w:t xml:space="preserve"> potential</w:t>
      </w:r>
      <w:r w:rsidRPr="0056733E">
        <w:rPr>
          <w:rFonts w:ascii="Arial" w:hAnsi="Arial" w:cs="Arial"/>
          <w:sz w:val="20"/>
        </w:rPr>
        <w:t xml:space="preserve">.  Promotion will also start in countries whose accession is imminent so as to foster immediate usage </w:t>
      </w:r>
      <w:r>
        <w:rPr>
          <w:rFonts w:ascii="Arial" w:hAnsi="Arial" w:cs="Arial"/>
          <w:sz w:val="20"/>
        </w:rPr>
        <w:t xml:space="preserve">of the system </w:t>
      </w:r>
      <w:r w:rsidRPr="0056733E">
        <w:rPr>
          <w:rFonts w:ascii="Arial" w:hAnsi="Arial" w:cs="Arial"/>
          <w:sz w:val="20"/>
        </w:rPr>
        <w:t>after effective accession.</w:t>
      </w:r>
    </w:p>
    <w:p w14:paraId="09192619" w14:textId="77777777" w:rsidR="00C2428A" w:rsidRPr="00660301" w:rsidRDefault="00C2428A" w:rsidP="00C2428A">
      <w:pPr>
        <w:tabs>
          <w:tab w:val="left" w:pos="540"/>
          <w:tab w:val="left" w:pos="1276"/>
        </w:tabs>
        <w:ind w:left="709"/>
        <w:jc w:val="both"/>
        <w:rPr>
          <w:rFonts w:ascii="Arial" w:hAnsi="Arial" w:cs="Arial"/>
          <w:sz w:val="20"/>
        </w:rPr>
      </w:pPr>
    </w:p>
    <w:p w14:paraId="24D73F36" w14:textId="77777777" w:rsidR="00C2428A" w:rsidRDefault="00C2428A" w:rsidP="00C2428A">
      <w:pPr>
        <w:tabs>
          <w:tab w:val="left" w:pos="540"/>
          <w:tab w:val="left" w:pos="1276"/>
        </w:tabs>
        <w:ind w:left="709"/>
        <w:jc w:val="both"/>
        <w:rPr>
          <w:rFonts w:ascii="Arial" w:hAnsi="Arial" w:cs="Arial"/>
          <w:sz w:val="20"/>
        </w:rPr>
      </w:pPr>
      <w:r>
        <w:rPr>
          <w:rFonts w:ascii="Arial" w:hAnsi="Arial" w:cs="Arial"/>
          <w:sz w:val="20"/>
        </w:rPr>
        <w:t>(ii</w:t>
      </w:r>
      <w:r w:rsidRPr="00660301">
        <w:rPr>
          <w:rFonts w:ascii="Arial" w:hAnsi="Arial" w:cs="Arial"/>
          <w:sz w:val="20"/>
        </w:rPr>
        <w:t>)</w:t>
      </w:r>
      <w:r w:rsidRPr="00660301">
        <w:rPr>
          <w:rFonts w:ascii="Arial" w:hAnsi="Arial" w:cs="Arial"/>
          <w:sz w:val="20"/>
        </w:rPr>
        <w:tab/>
      </w:r>
      <w:r w:rsidRPr="00660301">
        <w:rPr>
          <w:rFonts w:ascii="Arial" w:hAnsi="Arial" w:cs="Arial"/>
          <w:b/>
          <w:sz w:val="20"/>
        </w:rPr>
        <w:t>Geographical scope</w:t>
      </w:r>
      <w:r w:rsidRPr="00660301">
        <w:rPr>
          <w:rFonts w:ascii="Arial" w:hAnsi="Arial" w:cs="Arial"/>
          <w:sz w:val="20"/>
        </w:rPr>
        <w:t xml:space="preserve">:  promotion and </w:t>
      </w:r>
      <w:r>
        <w:rPr>
          <w:rFonts w:ascii="Arial" w:hAnsi="Arial" w:cs="Arial"/>
          <w:sz w:val="20"/>
        </w:rPr>
        <w:t xml:space="preserve">technical </w:t>
      </w:r>
      <w:r w:rsidRPr="00660301">
        <w:rPr>
          <w:rFonts w:ascii="Arial" w:hAnsi="Arial" w:cs="Arial"/>
          <w:sz w:val="20"/>
        </w:rPr>
        <w:t xml:space="preserve">assistance to foster expansion of the Hague </w:t>
      </w:r>
      <w:r>
        <w:rPr>
          <w:rFonts w:ascii="Arial" w:hAnsi="Arial" w:cs="Arial"/>
          <w:sz w:val="20"/>
        </w:rPr>
        <w:t>S</w:t>
      </w:r>
      <w:r w:rsidRPr="00660301">
        <w:rPr>
          <w:rFonts w:ascii="Arial" w:hAnsi="Arial" w:cs="Arial"/>
          <w:sz w:val="20"/>
        </w:rPr>
        <w:t>ystem through new accessions to the Geneva Act will continue</w:t>
      </w:r>
      <w:r>
        <w:rPr>
          <w:rFonts w:ascii="Arial" w:hAnsi="Arial" w:cs="Arial"/>
          <w:sz w:val="20"/>
        </w:rPr>
        <w:t xml:space="preserve"> in cooperation with relevant Programs.  Priority will be given to countries </w:t>
      </w:r>
      <w:r w:rsidRPr="00660301">
        <w:rPr>
          <w:rFonts w:ascii="Arial" w:hAnsi="Arial" w:cs="Arial"/>
          <w:sz w:val="20"/>
        </w:rPr>
        <w:t xml:space="preserve">whose accession is likely to make the </w:t>
      </w:r>
      <w:r>
        <w:rPr>
          <w:rFonts w:ascii="Arial" w:hAnsi="Arial" w:cs="Arial"/>
          <w:sz w:val="20"/>
        </w:rPr>
        <w:t>S</w:t>
      </w:r>
      <w:r w:rsidRPr="00660301">
        <w:rPr>
          <w:rFonts w:ascii="Arial" w:hAnsi="Arial" w:cs="Arial"/>
          <w:sz w:val="20"/>
        </w:rPr>
        <w:t>ystem more attractive to users or to prompt further accessions</w:t>
      </w:r>
    </w:p>
    <w:p w14:paraId="70A0C1F2" w14:textId="77777777" w:rsidR="00C2428A" w:rsidRDefault="00C2428A" w:rsidP="00C2428A">
      <w:pPr>
        <w:tabs>
          <w:tab w:val="left" w:pos="540"/>
          <w:tab w:val="left" w:pos="1276"/>
        </w:tabs>
        <w:ind w:left="709"/>
        <w:jc w:val="both"/>
        <w:rPr>
          <w:rFonts w:ascii="Arial" w:hAnsi="Arial" w:cs="Arial"/>
          <w:sz w:val="20"/>
        </w:rPr>
      </w:pPr>
    </w:p>
    <w:p w14:paraId="623D5E1E" w14:textId="77777777" w:rsidR="00C2428A" w:rsidRDefault="00C2428A" w:rsidP="00C2428A">
      <w:pPr>
        <w:tabs>
          <w:tab w:val="left" w:pos="540"/>
          <w:tab w:val="left" w:pos="1276"/>
        </w:tabs>
        <w:ind w:left="709"/>
        <w:jc w:val="both"/>
        <w:rPr>
          <w:rFonts w:ascii="Arial" w:hAnsi="Arial" w:cs="Arial"/>
          <w:sz w:val="20"/>
        </w:rPr>
      </w:pPr>
      <w:r w:rsidRPr="0056733E">
        <w:rPr>
          <w:rFonts w:ascii="Arial" w:hAnsi="Arial" w:cs="Arial"/>
          <w:sz w:val="20"/>
        </w:rPr>
        <w:t>(</w:t>
      </w:r>
      <w:r>
        <w:rPr>
          <w:rFonts w:ascii="Arial" w:hAnsi="Arial" w:cs="Arial"/>
          <w:sz w:val="20"/>
        </w:rPr>
        <w:t>ii</w:t>
      </w:r>
      <w:r w:rsidRPr="0056733E">
        <w:rPr>
          <w:rFonts w:ascii="Arial" w:hAnsi="Arial" w:cs="Arial"/>
          <w:sz w:val="20"/>
        </w:rPr>
        <w:t>i)</w:t>
      </w:r>
      <w:r w:rsidRPr="0056733E">
        <w:rPr>
          <w:rFonts w:ascii="Arial" w:hAnsi="Arial" w:cs="Arial"/>
          <w:sz w:val="20"/>
        </w:rPr>
        <w:tab/>
      </w:r>
      <w:r w:rsidRPr="00660301">
        <w:rPr>
          <w:rFonts w:ascii="Arial" w:hAnsi="Arial" w:cs="Arial"/>
          <w:b/>
          <w:sz w:val="20"/>
        </w:rPr>
        <w:t>System development</w:t>
      </w:r>
      <w:r w:rsidRPr="00660301">
        <w:rPr>
          <w:rFonts w:ascii="Arial" w:hAnsi="Arial" w:cs="Arial"/>
          <w:sz w:val="20"/>
        </w:rPr>
        <w:t xml:space="preserve">:  as the </w:t>
      </w:r>
      <w:r>
        <w:rPr>
          <w:rFonts w:ascii="Arial" w:hAnsi="Arial" w:cs="Arial"/>
          <w:sz w:val="20"/>
        </w:rPr>
        <w:t>S</w:t>
      </w:r>
      <w:r w:rsidRPr="00660301">
        <w:rPr>
          <w:rFonts w:ascii="Arial" w:hAnsi="Arial" w:cs="Arial"/>
          <w:sz w:val="20"/>
        </w:rPr>
        <w:t xml:space="preserve">ystem </w:t>
      </w:r>
      <w:r>
        <w:rPr>
          <w:rFonts w:ascii="Arial" w:hAnsi="Arial" w:cs="Arial"/>
          <w:sz w:val="20"/>
        </w:rPr>
        <w:t>expand</w:t>
      </w:r>
      <w:r w:rsidRPr="00660301">
        <w:rPr>
          <w:rFonts w:ascii="Arial" w:hAnsi="Arial" w:cs="Arial"/>
          <w:sz w:val="20"/>
        </w:rPr>
        <w:t xml:space="preserve">s, the sophistication of the IT support services will need to increase in order to achieve </w:t>
      </w:r>
      <w:r>
        <w:rPr>
          <w:rFonts w:ascii="Arial" w:hAnsi="Arial" w:cs="Arial"/>
          <w:sz w:val="20"/>
        </w:rPr>
        <w:t>higher</w:t>
      </w:r>
      <w:r w:rsidRPr="00660301">
        <w:rPr>
          <w:rFonts w:ascii="Arial" w:hAnsi="Arial" w:cs="Arial"/>
          <w:sz w:val="20"/>
        </w:rPr>
        <w:t xml:space="preserve"> levels of productivity through efficiency gains</w:t>
      </w:r>
      <w:r>
        <w:rPr>
          <w:rFonts w:ascii="Arial" w:hAnsi="Arial" w:cs="Arial"/>
          <w:sz w:val="20"/>
        </w:rPr>
        <w:t xml:space="preserve"> and to </w:t>
      </w:r>
      <w:r w:rsidRPr="00D76745">
        <w:rPr>
          <w:rFonts w:ascii="Arial" w:hAnsi="Arial" w:cs="Arial"/>
          <w:sz w:val="20"/>
        </w:rPr>
        <w:t>accommodate the expectations of the var</w:t>
      </w:r>
      <w:r>
        <w:rPr>
          <w:rFonts w:ascii="Arial" w:hAnsi="Arial" w:cs="Arial"/>
          <w:sz w:val="20"/>
        </w:rPr>
        <w:t xml:space="preserve">ious Hague System stakeholders, in particular the possibility of safely interacting </w:t>
      </w:r>
      <w:r w:rsidRPr="00D76745">
        <w:rPr>
          <w:rFonts w:ascii="Arial" w:hAnsi="Arial" w:cs="Arial"/>
          <w:sz w:val="20"/>
        </w:rPr>
        <w:t>with the international register online and in a real-time, self-service mode. Great attention will be paid to delivering improved online services</w:t>
      </w:r>
      <w:r>
        <w:rPr>
          <w:rFonts w:ascii="Arial" w:hAnsi="Arial" w:cs="Arial"/>
          <w:sz w:val="20"/>
        </w:rPr>
        <w:t xml:space="preserve"> </w:t>
      </w:r>
      <w:r w:rsidRPr="00D76745">
        <w:rPr>
          <w:rFonts w:ascii="Arial" w:hAnsi="Arial" w:cs="Arial"/>
          <w:sz w:val="20"/>
        </w:rPr>
        <w:t>that offer identical service and performance to all stakeholders, irrespective of geographic location</w:t>
      </w:r>
      <w:r>
        <w:rPr>
          <w:rFonts w:ascii="Arial" w:hAnsi="Arial" w:cs="Arial"/>
          <w:sz w:val="20"/>
        </w:rPr>
        <w:t>.</w:t>
      </w:r>
      <w:r w:rsidRPr="00D76745">
        <w:rPr>
          <w:rFonts w:ascii="Arial" w:hAnsi="Arial" w:cs="Arial"/>
          <w:sz w:val="20"/>
        </w:rPr>
        <w:t xml:space="preserve"> </w:t>
      </w:r>
      <w:r>
        <w:rPr>
          <w:rFonts w:ascii="Arial" w:hAnsi="Arial" w:cs="Arial"/>
          <w:sz w:val="20"/>
        </w:rPr>
        <w:t xml:space="preserve"> </w:t>
      </w:r>
      <w:r w:rsidRPr="00660301">
        <w:rPr>
          <w:rFonts w:ascii="Arial" w:hAnsi="Arial" w:cs="Arial"/>
          <w:sz w:val="20"/>
        </w:rPr>
        <w:t>Also, further development of the legal framework will be required in order to ensure that it remains in step with new Contract</w:t>
      </w:r>
      <w:r>
        <w:rPr>
          <w:rFonts w:ascii="Arial" w:hAnsi="Arial" w:cs="Arial"/>
          <w:sz w:val="20"/>
        </w:rPr>
        <w:t xml:space="preserve">ing Parties’ legal systems and users’ needs.  </w:t>
      </w:r>
      <w:r w:rsidRPr="00660301">
        <w:rPr>
          <w:rFonts w:ascii="Arial" w:hAnsi="Arial" w:cs="Arial"/>
          <w:sz w:val="20"/>
        </w:rPr>
        <w:t xml:space="preserve">Finally, focusing the </w:t>
      </w:r>
      <w:r>
        <w:rPr>
          <w:rFonts w:ascii="Arial" w:hAnsi="Arial" w:cs="Arial"/>
          <w:sz w:val="20"/>
        </w:rPr>
        <w:t>S</w:t>
      </w:r>
      <w:r w:rsidRPr="00660301">
        <w:rPr>
          <w:rFonts w:ascii="Arial" w:hAnsi="Arial" w:cs="Arial"/>
          <w:sz w:val="20"/>
        </w:rPr>
        <w:t xml:space="preserve">ystem around the </w:t>
      </w:r>
      <w:r>
        <w:rPr>
          <w:rFonts w:ascii="Arial" w:hAnsi="Arial" w:cs="Arial"/>
          <w:sz w:val="20"/>
        </w:rPr>
        <w:t>1999</w:t>
      </w:r>
      <w:r w:rsidRPr="00660301">
        <w:rPr>
          <w:rFonts w:ascii="Arial" w:hAnsi="Arial" w:cs="Arial"/>
          <w:sz w:val="20"/>
        </w:rPr>
        <w:t xml:space="preserve"> Act appears essential in view of simplification, starting with continued efforts to terminate the antiquated London (1934) Act.</w:t>
      </w:r>
    </w:p>
    <w:p w14:paraId="2CC487A6" w14:textId="77777777" w:rsidR="007A5A68" w:rsidRDefault="007A5A68" w:rsidP="00C2428A">
      <w:pPr>
        <w:jc w:val="both"/>
        <w:rPr>
          <w:rFonts w:ascii="Arial" w:hAnsi="Arial" w:cs="Arial"/>
          <w:sz w:val="20"/>
        </w:rPr>
      </w:pPr>
    </w:p>
    <w:p w14:paraId="287C10D1" w14:textId="3A405222" w:rsidR="00C1226F" w:rsidRDefault="007A5A68" w:rsidP="003F0305">
      <w:pPr>
        <w:numPr>
          <w:ilvl w:val="0"/>
          <w:numId w:val="31"/>
        </w:numPr>
        <w:jc w:val="both"/>
        <w:rPr>
          <w:rFonts w:ascii="Arial" w:hAnsi="Arial" w:cs="Arial"/>
          <w:sz w:val="20"/>
        </w:rPr>
      </w:pPr>
      <w:r w:rsidRPr="00B70B7D">
        <w:rPr>
          <w:rFonts w:ascii="Arial" w:hAnsi="Arial" w:cs="Arial"/>
          <w:sz w:val="20"/>
        </w:rPr>
        <w:t xml:space="preserve">Program </w:t>
      </w:r>
      <w:r>
        <w:rPr>
          <w:rFonts w:ascii="Arial" w:hAnsi="Arial" w:cs="Arial"/>
          <w:sz w:val="20"/>
        </w:rPr>
        <w:t>31</w:t>
      </w:r>
      <w:r w:rsidRPr="00B70B7D">
        <w:rPr>
          <w:rFonts w:ascii="Arial" w:hAnsi="Arial" w:cs="Arial"/>
          <w:sz w:val="20"/>
        </w:rPr>
        <w:t xml:space="preserve"> collaborates primarily with other Programs as illustrated below: </w:t>
      </w:r>
    </w:p>
    <w:p w14:paraId="09FAF488" w14:textId="77777777" w:rsidR="003F0305" w:rsidRPr="003F0305" w:rsidRDefault="003F0305" w:rsidP="003F0305">
      <w:pPr>
        <w:jc w:val="both"/>
        <w:rPr>
          <w:rFonts w:ascii="Arial" w:hAnsi="Arial" w:cs="Arial"/>
          <w:sz w:val="20"/>
        </w:rPr>
      </w:pPr>
    </w:p>
    <w:p w14:paraId="675092D1" w14:textId="310F6D72" w:rsidR="00C2428A" w:rsidRDefault="00C2428A" w:rsidP="00C2428A">
      <w:pPr>
        <w:jc w:val="both"/>
        <w:rPr>
          <w:rFonts w:ascii="Arial" w:hAnsi="Arial" w:cs="Arial"/>
          <w:sz w:val="20"/>
        </w:rPr>
      </w:pPr>
      <w:r>
        <w:rPr>
          <w:noProof/>
          <w:lang w:eastAsia="en-US"/>
        </w:rPr>
        <w:drawing>
          <wp:anchor distT="0" distB="0" distL="114300" distR="114300" simplePos="0" relativeHeight="251669504" behindDoc="0" locked="0" layoutInCell="1" allowOverlap="1" wp14:anchorId="410DFBCD" wp14:editId="36D24D06">
            <wp:simplePos x="0" y="0"/>
            <wp:positionH relativeFrom="column">
              <wp:posOffset>-1905</wp:posOffset>
            </wp:positionH>
            <wp:positionV relativeFrom="paragraph">
              <wp:posOffset>292100</wp:posOffset>
            </wp:positionV>
            <wp:extent cx="5486400" cy="1657350"/>
            <wp:effectExtent l="0" t="19050" r="0" b="0"/>
            <wp:wrapTopAndBottom/>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p>
    <w:p w14:paraId="3665A895" w14:textId="77777777" w:rsidR="00C1226F" w:rsidRDefault="00C1226F" w:rsidP="00C2428A">
      <w:pPr>
        <w:jc w:val="both"/>
        <w:rPr>
          <w:rFonts w:ascii="Arial" w:hAnsi="Arial" w:cs="Arial"/>
        </w:rPr>
      </w:pPr>
    </w:p>
    <w:p w14:paraId="191D47AD" w14:textId="77777777" w:rsidR="00C2428A" w:rsidRPr="001D4076" w:rsidRDefault="00C2428A" w:rsidP="00C2428A">
      <w:pPr>
        <w:jc w:val="both"/>
        <w:rPr>
          <w:rFonts w:ascii="Arial" w:hAnsi="Arial" w:cs="Arial"/>
        </w:rPr>
      </w:pPr>
      <w:r w:rsidRPr="001D4076">
        <w:rPr>
          <w:rFonts w:ascii="Arial" w:hAnsi="Arial" w:cs="Arial"/>
        </w:rPr>
        <w:t>RISKS AND MITIGATION STRATEGIES</w:t>
      </w:r>
    </w:p>
    <w:p w14:paraId="135372F8" w14:textId="77777777" w:rsidR="00C2428A" w:rsidRDefault="00C2428A" w:rsidP="00C2428A">
      <w:pPr>
        <w:jc w:val="both"/>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C2428A" w:rsidRPr="00FA77A3" w14:paraId="0C7820E8" w14:textId="77777777" w:rsidTr="00F02301">
        <w:trPr>
          <w:trHeight w:val="503"/>
        </w:trPr>
        <w:tc>
          <w:tcPr>
            <w:tcW w:w="4253" w:type="dxa"/>
            <w:tcBorders>
              <w:top w:val="single" w:sz="4" w:space="0" w:color="auto"/>
              <w:bottom w:val="single" w:sz="4" w:space="0" w:color="auto"/>
            </w:tcBorders>
            <w:shd w:val="clear" w:color="auto" w:fill="C6D9F1" w:themeFill="text2" w:themeFillTint="33"/>
            <w:vAlign w:val="center"/>
          </w:tcPr>
          <w:p w14:paraId="036E53A3" w14:textId="77777777" w:rsidR="00C2428A" w:rsidRPr="00FA77A3" w:rsidRDefault="00C2428A" w:rsidP="00F02301">
            <w:pPr>
              <w:jc w:val="center"/>
              <w:rPr>
                <w:rFonts w:ascii="Arial" w:hAnsi="Arial" w:cs="Arial"/>
                <w:b/>
                <w:bCs/>
                <w:sz w:val="18"/>
                <w:szCs w:val="18"/>
              </w:rPr>
            </w:pPr>
            <w:r w:rsidRPr="00FA77A3">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3A8B48E4" w14:textId="77777777" w:rsidR="00C2428A" w:rsidRPr="00FA77A3" w:rsidRDefault="00C2428A" w:rsidP="00F02301">
            <w:pPr>
              <w:jc w:val="center"/>
              <w:rPr>
                <w:rFonts w:ascii="Arial" w:hAnsi="Arial" w:cs="Arial"/>
                <w:b/>
                <w:bCs/>
                <w:sz w:val="18"/>
                <w:szCs w:val="18"/>
              </w:rPr>
            </w:pPr>
            <w:r w:rsidRPr="00FA77A3">
              <w:rPr>
                <w:rFonts w:ascii="Arial" w:hAnsi="Arial" w:cs="Arial"/>
                <w:b/>
                <w:bCs/>
                <w:sz w:val="18"/>
                <w:szCs w:val="18"/>
              </w:rPr>
              <w:t>Mitigation</w:t>
            </w:r>
          </w:p>
        </w:tc>
      </w:tr>
      <w:tr w:rsidR="00C2428A" w:rsidRPr="00FA77A3" w14:paraId="468F831B" w14:textId="77777777" w:rsidTr="00F02301">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7932218" w14:textId="77777777" w:rsidR="00C2428A" w:rsidRPr="00FA77A3" w:rsidRDefault="00C2428A" w:rsidP="00F02301">
            <w:pPr>
              <w:rPr>
                <w:rFonts w:ascii="Arial" w:hAnsi="Arial" w:cs="Arial"/>
                <w:sz w:val="16"/>
                <w:szCs w:val="16"/>
              </w:rPr>
            </w:pPr>
            <w:r w:rsidRPr="00FA77A3">
              <w:rPr>
                <w:rFonts w:ascii="Arial" w:hAnsi="Arial" w:cs="Arial"/>
                <w:color w:val="000000"/>
                <w:sz w:val="16"/>
              </w:rPr>
              <w:t>Decline in the level of customer satisfaction due to difficulties in coping with growth in filings and information requests and to the growing complexity of the system as a result of the implementation of features supporting novelty examination in certain designated Offices.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628FED4D" w14:textId="77777777" w:rsidR="00C2428A" w:rsidRPr="00FA77A3" w:rsidRDefault="00C2428A" w:rsidP="00F02301">
            <w:pPr>
              <w:rPr>
                <w:rFonts w:ascii="Arial" w:hAnsi="Arial" w:cs="Arial"/>
                <w:sz w:val="16"/>
                <w:szCs w:val="16"/>
              </w:rPr>
            </w:pPr>
            <w:r w:rsidRPr="00FA77A3">
              <w:rPr>
                <w:rFonts w:ascii="Arial" w:hAnsi="Arial" w:cs="Arial"/>
                <w:color w:val="000000"/>
                <w:sz w:val="16"/>
              </w:rPr>
              <w:t>Enhancing efficiency and effectiveness in all aspects of system administration, promotion of best practices and convergence amongst the Offices concerned; development of IT solutions to assist users and examiners of Offices and the International Bureau.</w:t>
            </w:r>
          </w:p>
        </w:tc>
      </w:tr>
    </w:tbl>
    <w:p w14:paraId="0AA57E60" w14:textId="77777777" w:rsidR="00C2428A" w:rsidRPr="00DB4F15" w:rsidRDefault="00C2428A" w:rsidP="00C2428A">
      <w:pPr>
        <w:rPr>
          <w:rFonts w:ascii="Arial" w:hAnsi="Arial" w:cs="Arial"/>
          <w:sz w:val="20"/>
        </w:rPr>
      </w:pPr>
    </w:p>
    <w:p w14:paraId="09EDDB01" w14:textId="77777777" w:rsidR="00C2428A" w:rsidRPr="00DB4F15" w:rsidRDefault="00C2428A" w:rsidP="00C2428A">
      <w:pPr>
        <w:rPr>
          <w:rFonts w:ascii="Arial" w:hAnsi="Arial" w:cs="Arial"/>
          <w:sz w:val="20"/>
        </w:rPr>
      </w:pPr>
    </w:p>
    <w:p w14:paraId="04F77CB3" w14:textId="77777777" w:rsidR="00C2428A" w:rsidRPr="001D4076" w:rsidRDefault="00C2428A" w:rsidP="00C2428A">
      <w:pPr>
        <w:jc w:val="both"/>
        <w:rPr>
          <w:rFonts w:ascii="Arial" w:hAnsi="Arial" w:cs="Arial"/>
        </w:rPr>
      </w:pPr>
      <w:r w:rsidRPr="001D4076">
        <w:rPr>
          <w:rFonts w:ascii="Arial" w:hAnsi="Arial" w:cs="Arial"/>
        </w:rPr>
        <w:t>RESULTS FRAMEWORK</w:t>
      </w:r>
    </w:p>
    <w:p w14:paraId="25778F82" w14:textId="77777777" w:rsidR="00C2428A" w:rsidRDefault="00C2428A" w:rsidP="00C2428A">
      <w:pPr>
        <w:jc w:val="both"/>
        <w:rPr>
          <w:rFonts w:ascii="Arial" w:hAnsi="Arial" w:cs="Arial"/>
          <w:sz w:val="20"/>
        </w:rPr>
      </w:pPr>
    </w:p>
    <w:tbl>
      <w:tblPr>
        <w:tblW w:w="9195" w:type="dxa"/>
        <w:tblInd w:w="93" w:type="dxa"/>
        <w:tblLook w:val="04A0" w:firstRow="1" w:lastRow="0" w:firstColumn="1" w:lastColumn="0" w:noHBand="0" w:noVBand="1"/>
      </w:tblPr>
      <w:tblGrid>
        <w:gridCol w:w="2340"/>
        <w:gridCol w:w="2340"/>
        <w:gridCol w:w="2340"/>
        <w:gridCol w:w="2175"/>
      </w:tblGrid>
      <w:tr w:rsidR="00C2428A" w:rsidRPr="009E67A2" w14:paraId="4F9F4810" w14:textId="77777777" w:rsidTr="00F02301">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6C935B5"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 xml:space="preserve">Expected Results </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01E4589"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Performance Indicators</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45E5816"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Baselines</w:t>
            </w:r>
          </w:p>
        </w:tc>
        <w:tc>
          <w:tcPr>
            <w:tcW w:w="217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72660A1F"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Targets</w:t>
            </w:r>
          </w:p>
        </w:tc>
      </w:tr>
      <w:tr w:rsidR="00C2428A" w:rsidRPr="009E67A2" w14:paraId="200170CC" w14:textId="77777777" w:rsidTr="00F02301">
        <w:trPr>
          <w:trHeight w:val="644"/>
        </w:trPr>
        <w:tc>
          <w:tcPr>
            <w:tcW w:w="2340" w:type="dxa"/>
            <w:tcBorders>
              <w:top w:val="nil"/>
              <w:left w:val="single" w:sz="4" w:space="0" w:color="auto"/>
              <w:bottom w:val="nil"/>
              <w:right w:val="nil"/>
            </w:tcBorders>
            <w:shd w:val="clear" w:color="000000" w:fill="FFFFFF"/>
            <w:tcMar>
              <w:top w:w="85" w:type="dxa"/>
            </w:tcMar>
            <w:hideMark/>
          </w:tcPr>
          <w:p w14:paraId="2C9C70F2" w14:textId="30F6FD7A" w:rsidR="00C2428A" w:rsidRPr="009E67A2" w:rsidRDefault="00C2428A">
            <w:pPr>
              <w:rPr>
                <w:rFonts w:ascii="Arial" w:hAnsi="Arial" w:cs="Arial"/>
                <w:color w:val="000000"/>
                <w:sz w:val="16"/>
                <w:szCs w:val="16"/>
              </w:rPr>
            </w:pPr>
            <w:r w:rsidRPr="009E67A2">
              <w:rPr>
                <w:rFonts w:ascii="Arial" w:hAnsi="Arial" w:cs="Arial"/>
                <w:color w:val="000000"/>
                <w:sz w:val="16"/>
                <w:szCs w:val="16"/>
              </w:rPr>
              <w:t xml:space="preserve">II.4 Wider and </w:t>
            </w:r>
            <w:r w:rsidR="004C341C">
              <w:rPr>
                <w:rFonts w:ascii="Arial" w:hAnsi="Arial" w:cs="Arial"/>
                <w:color w:val="000000"/>
                <w:sz w:val="16"/>
                <w:szCs w:val="16"/>
              </w:rPr>
              <w:t>more effective</w:t>
            </w:r>
            <w:r w:rsidRPr="009E67A2">
              <w:rPr>
                <w:rFonts w:ascii="Arial" w:hAnsi="Arial" w:cs="Arial"/>
                <w:color w:val="000000"/>
                <w:sz w:val="16"/>
                <w:szCs w:val="16"/>
              </w:rPr>
              <w:t xml:space="preserve"> use of the Hague system, including by developing countries and LDCs</w:t>
            </w:r>
          </w:p>
        </w:tc>
        <w:tc>
          <w:tcPr>
            <w:tcW w:w="2340" w:type="dxa"/>
            <w:tcBorders>
              <w:top w:val="nil"/>
              <w:left w:val="nil"/>
              <w:bottom w:val="nil"/>
              <w:right w:val="nil"/>
            </w:tcBorders>
            <w:shd w:val="clear" w:color="000000" w:fill="FFFFFF"/>
            <w:tcMar>
              <w:top w:w="85" w:type="dxa"/>
            </w:tcMar>
            <w:hideMark/>
          </w:tcPr>
          <w:p w14:paraId="08A5B34F"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Membership of the Geneva (1999) Act</w:t>
            </w:r>
          </w:p>
        </w:tc>
        <w:tc>
          <w:tcPr>
            <w:tcW w:w="2340" w:type="dxa"/>
            <w:tcBorders>
              <w:top w:val="nil"/>
              <w:left w:val="nil"/>
              <w:bottom w:val="nil"/>
              <w:right w:val="nil"/>
            </w:tcBorders>
            <w:shd w:val="clear" w:color="000000" w:fill="FFFFFF"/>
            <w:tcMar>
              <w:top w:w="85" w:type="dxa"/>
            </w:tcMar>
            <w:hideMark/>
          </w:tcPr>
          <w:p w14:paraId="57DC847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49 Contracting Parties as of February 13, 2015.</w:t>
            </w:r>
          </w:p>
        </w:tc>
        <w:tc>
          <w:tcPr>
            <w:tcW w:w="2175" w:type="dxa"/>
            <w:tcBorders>
              <w:top w:val="nil"/>
              <w:left w:val="nil"/>
              <w:bottom w:val="nil"/>
              <w:right w:val="single" w:sz="4" w:space="0" w:color="auto"/>
            </w:tcBorders>
            <w:shd w:val="clear" w:color="000000" w:fill="FFFFFF"/>
            <w:tcMar>
              <w:top w:w="85" w:type="dxa"/>
            </w:tcMar>
            <w:hideMark/>
          </w:tcPr>
          <w:p w14:paraId="41D1930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60 Contracting Parties</w:t>
            </w:r>
          </w:p>
        </w:tc>
      </w:tr>
      <w:tr w:rsidR="00C2428A" w:rsidRPr="006F7229" w14:paraId="01328E11" w14:textId="77777777" w:rsidTr="00F02301">
        <w:trPr>
          <w:trHeight w:val="1076"/>
        </w:trPr>
        <w:tc>
          <w:tcPr>
            <w:tcW w:w="2340" w:type="dxa"/>
            <w:tcBorders>
              <w:top w:val="nil"/>
              <w:left w:val="single" w:sz="4" w:space="0" w:color="auto"/>
              <w:bottom w:val="nil"/>
              <w:right w:val="nil"/>
            </w:tcBorders>
            <w:shd w:val="clear" w:color="000000" w:fill="FFFFFF"/>
            <w:tcMar>
              <w:top w:w="85" w:type="dxa"/>
            </w:tcMar>
            <w:hideMark/>
          </w:tcPr>
          <w:p w14:paraId="7250F702"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nil"/>
              <w:right w:val="nil"/>
            </w:tcBorders>
            <w:shd w:val="clear" w:color="000000" w:fill="FFFFFF"/>
            <w:tcMar>
              <w:top w:w="85" w:type="dxa"/>
            </w:tcMar>
            <w:hideMark/>
          </w:tcPr>
          <w:p w14:paraId="2720EAB5"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Share of Offices concerned providing information on the Hague System to their users.</w:t>
            </w:r>
          </w:p>
        </w:tc>
        <w:tc>
          <w:tcPr>
            <w:tcW w:w="2340" w:type="dxa"/>
            <w:tcBorders>
              <w:top w:val="nil"/>
              <w:left w:val="nil"/>
              <w:bottom w:val="nil"/>
              <w:right w:val="nil"/>
            </w:tcBorders>
            <w:shd w:val="clear" w:color="auto" w:fill="auto"/>
            <w:tcMar>
              <w:top w:w="85" w:type="dxa"/>
            </w:tcMar>
            <w:hideMark/>
          </w:tcPr>
          <w:p w14:paraId="34D8F9A5"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38 national or regional Offices were providing information on the Hague System.  Ten Offices have no web site (end 2014)</w:t>
            </w:r>
          </w:p>
        </w:tc>
        <w:tc>
          <w:tcPr>
            <w:tcW w:w="2175" w:type="dxa"/>
            <w:tcBorders>
              <w:top w:val="nil"/>
              <w:left w:val="nil"/>
              <w:bottom w:val="nil"/>
              <w:right w:val="single" w:sz="4" w:space="0" w:color="auto"/>
            </w:tcBorders>
            <w:shd w:val="clear" w:color="000000" w:fill="FFFFFF"/>
            <w:tcMar>
              <w:top w:w="85" w:type="dxa"/>
            </w:tcMar>
            <w:hideMark/>
          </w:tcPr>
          <w:p w14:paraId="02EE0B42"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Increased share of Offices providing information on the Hague System.</w:t>
            </w:r>
          </w:p>
        </w:tc>
      </w:tr>
      <w:tr w:rsidR="00C2428A" w:rsidRPr="006F7229" w14:paraId="1DC5327B" w14:textId="77777777" w:rsidTr="00F02301">
        <w:trPr>
          <w:trHeight w:val="1913"/>
        </w:trPr>
        <w:tc>
          <w:tcPr>
            <w:tcW w:w="2340" w:type="dxa"/>
            <w:tcBorders>
              <w:top w:val="nil"/>
              <w:left w:val="single" w:sz="4" w:space="0" w:color="auto"/>
              <w:bottom w:val="nil"/>
              <w:right w:val="nil"/>
            </w:tcBorders>
            <w:shd w:val="clear" w:color="000000" w:fill="FFFFFF"/>
            <w:tcMar>
              <w:top w:w="85" w:type="dxa"/>
            </w:tcMar>
            <w:hideMark/>
          </w:tcPr>
          <w:p w14:paraId="0B80C04E"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nil"/>
              <w:right w:val="nil"/>
            </w:tcBorders>
            <w:shd w:val="clear" w:color="000000" w:fill="FFFFFF"/>
            <w:tcMar>
              <w:top w:w="85" w:type="dxa"/>
            </w:tcMar>
            <w:hideMark/>
          </w:tcPr>
          <w:p w14:paraId="655E1531"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Hague filings and renewals</w:t>
            </w:r>
          </w:p>
        </w:tc>
        <w:tc>
          <w:tcPr>
            <w:tcW w:w="2340" w:type="dxa"/>
            <w:tcBorders>
              <w:top w:val="nil"/>
              <w:left w:val="nil"/>
              <w:bottom w:val="nil"/>
              <w:right w:val="nil"/>
            </w:tcBorders>
            <w:shd w:val="clear" w:color="000000" w:fill="FFFFFF"/>
            <w:tcMar>
              <w:top w:w="85" w:type="dxa"/>
            </w:tcMar>
            <w:hideMark/>
          </w:tcPr>
          <w:p w14:paraId="655FF3F6"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Applications 2,924</w:t>
            </w:r>
            <w:r w:rsidRPr="006F7229">
              <w:rPr>
                <w:rFonts w:ascii="Arial" w:hAnsi="Arial" w:cs="Arial"/>
                <w:color w:val="000000"/>
                <w:sz w:val="16"/>
                <w:szCs w:val="16"/>
              </w:rPr>
              <w:br/>
              <w:t>Designs contained: 14,441</w:t>
            </w:r>
            <w:r w:rsidRPr="006F7229">
              <w:rPr>
                <w:rFonts w:ascii="Arial" w:hAnsi="Arial" w:cs="Arial"/>
                <w:color w:val="000000"/>
                <w:sz w:val="16"/>
                <w:szCs w:val="16"/>
              </w:rPr>
              <w:br/>
              <w:t>Renewals: 2,703 (2014)</w:t>
            </w:r>
          </w:p>
        </w:tc>
        <w:tc>
          <w:tcPr>
            <w:tcW w:w="2175" w:type="dxa"/>
            <w:tcBorders>
              <w:top w:val="nil"/>
              <w:left w:val="nil"/>
              <w:bottom w:val="nil"/>
              <w:right w:val="single" w:sz="4" w:space="0" w:color="auto"/>
            </w:tcBorders>
            <w:shd w:val="clear" w:color="000000" w:fill="FFFFFF"/>
            <w:tcMar>
              <w:top w:w="85" w:type="dxa"/>
            </w:tcMar>
            <w:hideMark/>
          </w:tcPr>
          <w:p w14:paraId="2D1F1DC1"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u w:val="single"/>
              </w:rPr>
              <w:t>2016</w:t>
            </w:r>
            <w:r w:rsidRPr="006F7229">
              <w:rPr>
                <w:rFonts w:ascii="Arial" w:hAnsi="Arial" w:cs="Arial"/>
                <w:color w:val="000000"/>
                <w:sz w:val="16"/>
                <w:szCs w:val="16"/>
              </w:rPr>
              <w:br/>
              <w:t>Applications 4,940</w:t>
            </w:r>
            <w:r w:rsidRPr="006F7229">
              <w:rPr>
                <w:rFonts w:ascii="Arial" w:hAnsi="Arial" w:cs="Arial"/>
                <w:color w:val="000000"/>
                <w:sz w:val="16"/>
                <w:szCs w:val="16"/>
              </w:rPr>
              <w:br/>
              <w:t>Designs contained 22,730</w:t>
            </w:r>
            <w:r w:rsidRPr="006F7229">
              <w:rPr>
                <w:rFonts w:ascii="Arial" w:hAnsi="Arial" w:cs="Arial"/>
                <w:color w:val="000000"/>
                <w:sz w:val="16"/>
                <w:szCs w:val="16"/>
              </w:rPr>
              <w:br/>
              <w:t>Renewals 2,830 (-1.0%)</w:t>
            </w:r>
            <w:r w:rsidRPr="006F7229">
              <w:rPr>
                <w:rFonts w:ascii="Arial" w:hAnsi="Arial" w:cs="Arial"/>
                <w:color w:val="000000"/>
                <w:sz w:val="16"/>
                <w:szCs w:val="16"/>
              </w:rPr>
              <w:br/>
            </w:r>
            <w:r w:rsidRPr="006F7229">
              <w:rPr>
                <w:rFonts w:ascii="Arial" w:hAnsi="Arial" w:cs="Arial"/>
                <w:color w:val="000000"/>
                <w:sz w:val="16"/>
                <w:szCs w:val="16"/>
              </w:rPr>
              <w:br/>
            </w:r>
            <w:r w:rsidRPr="006F7229">
              <w:rPr>
                <w:rFonts w:ascii="Arial" w:hAnsi="Arial" w:cs="Arial"/>
                <w:color w:val="000000"/>
                <w:sz w:val="16"/>
                <w:szCs w:val="16"/>
                <w:u w:val="single"/>
              </w:rPr>
              <w:t>2017</w:t>
            </w:r>
            <w:r w:rsidRPr="006F7229">
              <w:rPr>
                <w:rFonts w:ascii="Arial" w:hAnsi="Arial" w:cs="Arial"/>
                <w:color w:val="000000"/>
                <w:sz w:val="16"/>
                <w:szCs w:val="16"/>
              </w:rPr>
              <w:br/>
              <w:t>Applications 5,710</w:t>
            </w:r>
            <w:r w:rsidRPr="006F7229">
              <w:rPr>
                <w:rFonts w:ascii="Arial" w:hAnsi="Arial" w:cs="Arial"/>
                <w:color w:val="000000"/>
                <w:sz w:val="16"/>
                <w:szCs w:val="16"/>
              </w:rPr>
              <w:br/>
              <w:t>Designs contained 26,140</w:t>
            </w:r>
            <w:r w:rsidRPr="006F7229">
              <w:rPr>
                <w:rFonts w:ascii="Arial" w:hAnsi="Arial" w:cs="Arial"/>
                <w:color w:val="000000"/>
                <w:sz w:val="16"/>
                <w:szCs w:val="16"/>
              </w:rPr>
              <w:br/>
              <w:t>Renewals 2,940 (+ 3.9%)</w:t>
            </w:r>
          </w:p>
        </w:tc>
      </w:tr>
      <w:tr w:rsidR="00C2428A" w:rsidRPr="00E02F12" w14:paraId="790DEC72" w14:textId="77777777" w:rsidTr="00F02301">
        <w:trPr>
          <w:trHeight w:val="1815"/>
        </w:trPr>
        <w:tc>
          <w:tcPr>
            <w:tcW w:w="2340" w:type="dxa"/>
            <w:tcBorders>
              <w:top w:val="nil"/>
              <w:left w:val="single" w:sz="4" w:space="0" w:color="auto"/>
              <w:bottom w:val="nil"/>
              <w:right w:val="nil"/>
            </w:tcBorders>
            <w:shd w:val="clear" w:color="000000" w:fill="FFFFFF"/>
            <w:tcMar>
              <w:top w:w="85" w:type="dxa"/>
            </w:tcMar>
            <w:hideMark/>
          </w:tcPr>
          <w:p w14:paraId="312E6975"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II.5 Improved productivity and service quality of Hague operations</w:t>
            </w:r>
          </w:p>
        </w:tc>
        <w:tc>
          <w:tcPr>
            <w:tcW w:w="2340" w:type="dxa"/>
            <w:tcBorders>
              <w:top w:val="nil"/>
              <w:left w:val="nil"/>
              <w:bottom w:val="nil"/>
              <w:right w:val="nil"/>
            </w:tcBorders>
            <w:shd w:val="clear" w:color="000000" w:fill="FFFFFF"/>
            <w:tcMar>
              <w:top w:w="85" w:type="dxa"/>
            </w:tcMar>
            <w:hideMark/>
          </w:tcPr>
          <w:p w14:paraId="5C908000"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Predominance of the Geneva (1999) Act in the Hague System</w:t>
            </w:r>
          </w:p>
        </w:tc>
        <w:tc>
          <w:tcPr>
            <w:tcW w:w="2340" w:type="dxa"/>
            <w:tcBorders>
              <w:top w:val="nil"/>
              <w:left w:val="nil"/>
              <w:bottom w:val="nil"/>
              <w:right w:val="nil"/>
            </w:tcBorders>
            <w:shd w:val="clear" w:color="000000" w:fill="FFFFFF"/>
            <w:tcMar>
              <w:top w:w="85" w:type="dxa"/>
            </w:tcMar>
            <w:hideMark/>
          </w:tcPr>
          <w:p w14:paraId="2E8B5951" w14:textId="229F9002" w:rsidR="00C2428A" w:rsidRPr="00E02F12" w:rsidRDefault="00C2428A">
            <w:pPr>
              <w:rPr>
                <w:rFonts w:ascii="Arial" w:hAnsi="Arial" w:cs="Arial"/>
                <w:color w:val="000000"/>
                <w:sz w:val="16"/>
                <w:szCs w:val="16"/>
              </w:rPr>
            </w:pPr>
            <w:r w:rsidRPr="00E02F12">
              <w:rPr>
                <w:rFonts w:ascii="Arial" w:hAnsi="Arial" w:cs="Arial"/>
                <w:color w:val="000000"/>
                <w:sz w:val="16"/>
                <w:szCs w:val="16"/>
              </w:rPr>
              <w:t>10 consents to termination of the 1934 Act received (3 still missing). 4 Contracting Parties bound only by the 1960 Act (which are not members of an intergovernmental organization party to the 1999</w:t>
            </w:r>
            <w:r w:rsidR="004C341C">
              <w:rPr>
                <w:rFonts w:ascii="Arial" w:hAnsi="Arial" w:cs="Arial"/>
                <w:color w:val="000000"/>
                <w:sz w:val="16"/>
                <w:szCs w:val="16"/>
              </w:rPr>
              <w:t> </w:t>
            </w:r>
            <w:r w:rsidRPr="00E02F12">
              <w:rPr>
                <w:rFonts w:ascii="Arial" w:hAnsi="Arial" w:cs="Arial"/>
                <w:color w:val="000000"/>
                <w:sz w:val="16"/>
                <w:szCs w:val="16"/>
              </w:rPr>
              <w:t>Act).</w:t>
            </w:r>
          </w:p>
        </w:tc>
        <w:tc>
          <w:tcPr>
            <w:tcW w:w="2175" w:type="dxa"/>
            <w:tcBorders>
              <w:top w:val="nil"/>
              <w:left w:val="nil"/>
              <w:bottom w:val="nil"/>
              <w:right w:val="single" w:sz="4" w:space="0" w:color="auto"/>
            </w:tcBorders>
            <w:shd w:val="clear" w:color="000000" w:fill="FFFFFF"/>
            <w:tcMar>
              <w:top w:w="85" w:type="dxa"/>
            </w:tcMar>
            <w:hideMark/>
          </w:tcPr>
          <w:p w14:paraId="32EE3FAF" w14:textId="5E645E5D"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 xml:space="preserve">All (13) consents to termination received.  All CPs to be bound by the 1999 Act (or members of an intergovernmental organization party to the 1999 Act).  </w:t>
            </w:r>
          </w:p>
        </w:tc>
      </w:tr>
      <w:tr w:rsidR="00C2428A" w:rsidRPr="009E67A2" w14:paraId="7C767ADB" w14:textId="77777777" w:rsidTr="004F798C">
        <w:trPr>
          <w:trHeight w:val="761"/>
        </w:trPr>
        <w:tc>
          <w:tcPr>
            <w:tcW w:w="2340" w:type="dxa"/>
            <w:tcBorders>
              <w:top w:val="nil"/>
              <w:left w:val="single" w:sz="4" w:space="0" w:color="auto"/>
              <w:right w:val="nil"/>
            </w:tcBorders>
            <w:shd w:val="clear" w:color="000000" w:fill="FFFFFF"/>
            <w:tcMar>
              <w:top w:w="85" w:type="dxa"/>
            </w:tcMar>
            <w:hideMark/>
          </w:tcPr>
          <w:p w14:paraId="2634C362"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 </w:t>
            </w:r>
          </w:p>
        </w:tc>
        <w:tc>
          <w:tcPr>
            <w:tcW w:w="2340" w:type="dxa"/>
            <w:tcBorders>
              <w:top w:val="nil"/>
              <w:left w:val="nil"/>
              <w:right w:val="nil"/>
            </w:tcBorders>
            <w:shd w:val="clear" w:color="auto" w:fill="auto"/>
            <w:tcMar>
              <w:top w:w="85" w:type="dxa"/>
            </w:tcMar>
            <w:hideMark/>
          </w:tcPr>
          <w:p w14:paraId="513844B7"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Processes and procedures adapted to geographical and legal evolution of the system</w:t>
            </w:r>
          </w:p>
        </w:tc>
        <w:tc>
          <w:tcPr>
            <w:tcW w:w="2340" w:type="dxa"/>
            <w:tcBorders>
              <w:top w:val="nil"/>
              <w:left w:val="nil"/>
              <w:right w:val="nil"/>
            </w:tcBorders>
            <w:shd w:val="clear" w:color="auto" w:fill="auto"/>
            <w:tcMar>
              <w:top w:w="85" w:type="dxa"/>
            </w:tcMar>
            <w:hideMark/>
          </w:tcPr>
          <w:p w14:paraId="76B11092"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w:t>
            </w:r>
            <w:r w:rsidRPr="0013619D">
              <w:rPr>
                <w:rFonts w:ascii="Arial" w:hAnsi="Arial" w:cs="Arial"/>
                <w:color w:val="000000"/>
                <w:sz w:val="16"/>
                <w:szCs w:val="16"/>
              </w:rPr>
              <w:t xml:space="preserve">sses </w:t>
            </w:r>
            <w:r w:rsidRPr="00F7383D">
              <w:rPr>
                <w:rFonts w:ascii="Arial" w:hAnsi="Arial" w:cs="Arial"/>
                <w:color w:val="000000"/>
                <w:sz w:val="16"/>
                <w:szCs w:val="16"/>
              </w:rPr>
              <w:t>and procedures adap</w:t>
            </w:r>
            <w:r w:rsidRPr="00E02F12">
              <w:rPr>
                <w:rFonts w:ascii="Arial" w:hAnsi="Arial" w:cs="Arial"/>
                <w:color w:val="000000"/>
                <w:sz w:val="16"/>
                <w:szCs w:val="16"/>
              </w:rPr>
              <w:t>ted</w:t>
            </w:r>
          </w:p>
        </w:tc>
        <w:tc>
          <w:tcPr>
            <w:tcW w:w="2175" w:type="dxa"/>
            <w:tcBorders>
              <w:top w:val="nil"/>
              <w:left w:val="nil"/>
              <w:right w:val="single" w:sz="4" w:space="0" w:color="auto"/>
            </w:tcBorders>
            <w:shd w:val="clear" w:color="auto" w:fill="auto"/>
            <w:tcMar>
              <w:top w:w="85" w:type="dxa"/>
            </w:tcMar>
            <w:hideMark/>
          </w:tcPr>
          <w:p w14:paraId="01D5A70E"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processes and procedures adapted</w:t>
            </w:r>
          </w:p>
        </w:tc>
      </w:tr>
      <w:tr w:rsidR="00C2428A" w:rsidRPr="009E67A2" w14:paraId="4D81C33F" w14:textId="77777777" w:rsidTr="005412E8">
        <w:trPr>
          <w:trHeight w:val="1861"/>
        </w:trPr>
        <w:tc>
          <w:tcPr>
            <w:tcW w:w="2340" w:type="dxa"/>
            <w:tcBorders>
              <w:top w:val="nil"/>
              <w:left w:val="single" w:sz="4" w:space="0" w:color="auto"/>
              <w:right w:val="nil"/>
            </w:tcBorders>
            <w:shd w:val="clear" w:color="000000" w:fill="FFFFFF"/>
            <w:tcMar>
              <w:top w:w="85" w:type="dxa"/>
            </w:tcMar>
            <w:hideMark/>
          </w:tcPr>
          <w:p w14:paraId="68541B4B"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right w:val="nil"/>
            </w:tcBorders>
            <w:shd w:val="clear" w:color="000000" w:fill="FFFFFF"/>
            <w:tcMar>
              <w:top w:w="85" w:type="dxa"/>
            </w:tcMar>
            <w:hideMark/>
          </w:tcPr>
          <w:p w14:paraId="7DA8070D"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Progress towards the enhancement of the legal framework</w:t>
            </w:r>
          </w:p>
        </w:tc>
        <w:tc>
          <w:tcPr>
            <w:tcW w:w="2340" w:type="dxa"/>
            <w:tcBorders>
              <w:top w:val="nil"/>
              <w:left w:val="nil"/>
              <w:right w:val="nil"/>
            </w:tcBorders>
            <w:shd w:val="clear" w:color="000000" w:fill="FFFFFF"/>
            <w:tcMar>
              <w:top w:w="85" w:type="dxa"/>
            </w:tcMar>
            <w:hideMark/>
          </w:tcPr>
          <w:p w14:paraId="322372C3" w14:textId="2950D5C3"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xml:space="preserve">Amendments to the Common Regulations </w:t>
            </w:r>
            <w:r w:rsidR="00A32B86" w:rsidRPr="009E67A2">
              <w:rPr>
                <w:rFonts w:ascii="Arial" w:hAnsi="Arial" w:cs="Arial"/>
                <w:color w:val="000000"/>
                <w:sz w:val="16"/>
                <w:szCs w:val="16"/>
              </w:rPr>
              <w:t>(into</w:t>
            </w:r>
            <w:r w:rsidRPr="009E67A2">
              <w:rPr>
                <w:rFonts w:ascii="Arial" w:hAnsi="Arial" w:cs="Arial"/>
                <w:color w:val="000000"/>
                <w:sz w:val="16"/>
                <w:szCs w:val="16"/>
              </w:rPr>
              <w:t xml:space="preserve"> force on 1.1.2015) and the Administrative Instructions (into force on 1.7.2014) to adapt the Hague System to its geographical expansion to new and prospective CPs with examination systems. </w:t>
            </w:r>
          </w:p>
        </w:tc>
        <w:tc>
          <w:tcPr>
            <w:tcW w:w="2175" w:type="dxa"/>
            <w:tcBorders>
              <w:top w:val="nil"/>
              <w:left w:val="nil"/>
              <w:right w:val="single" w:sz="4" w:space="0" w:color="auto"/>
            </w:tcBorders>
            <w:shd w:val="clear" w:color="000000" w:fill="FFFFFF"/>
            <w:tcMar>
              <w:top w:w="85" w:type="dxa"/>
            </w:tcMar>
            <w:hideMark/>
          </w:tcPr>
          <w:p w14:paraId="14F6720B"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xml:space="preserve">Updating the Hague legal framework to keep pace with the evolvement in the design field worldwide. </w:t>
            </w:r>
          </w:p>
        </w:tc>
      </w:tr>
      <w:tr w:rsidR="00C2428A" w:rsidRPr="009E67A2" w14:paraId="2615FF4F" w14:textId="77777777" w:rsidTr="005412E8">
        <w:trPr>
          <w:trHeight w:val="824"/>
        </w:trPr>
        <w:tc>
          <w:tcPr>
            <w:tcW w:w="2340" w:type="dxa"/>
            <w:tcBorders>
              <w:left w:val="single" w:sz="4" w:space="0" w:color="auto"/>
              <w:right w:val="nil"/>
            </w:tcBorders>
            <w:shd w:val="clear" w:color="000000" w:fill="FFFFFF"/>
            <w:tcMar>
              <w:top w:w="85" w:type="dxa"/>
            </w:tcMar>
          </w:tcPr>
          <w:p w14:paraId="062C2B05" w14:textId="77777777" w:rsidR="00C2428A" w:rsidRPr="009E67A2" w:rsidRDefault="00C2428A" w:rsidP="00F02301">
            <w:pPr>
              <w:rPr>
                <w:rFonts w:ascii="Arial" w:hAnsi="Arial" w:cs="Arial"/>
                <w:color w:val="000000"/>
                <w:sz w:val="16"/>
                <w:szCs w:val="16"/>
              </w:rPr>
            </w:pPr>
          </w:p>
        </w:tc>
        <w:tc>
          <w:tcPr>
            <w:tcW w:w="2340" w:type="dxa"/>
            <w:tcBorders>
              <w:left w:val="nil"/>
              <w:right w:val="nil"/>
            </w:tcBorders>
            <w:shd w:val="clear" w:color="000000" w:fill="FFFFFF"/>
            <w:tcMar>
              <w:top w:w="85" w:type="dxa"/>
            </w:tcMar>
          </w:tcPr>
          <w:p w14:paraId="677B1E34"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Improved operation of the Hague Registry, including electronic processes and procedures</w:t>
            </w:r>
          </w:p>
        </w:tc>
        <w:tc>
          <w:tcPr>
            <w:tcW w:w="2340" w:type="dxa"/>
            <w:tcBorders>
              <w:left w:val="nil"/>
              <w:right w:val="nil"/>
            </w:tcBorders>
            <w:shd w:val="clear" w:color="000000" w:fill="FFFFFF"/>
            <w:tcMar>
              <w:top w:w="85" w:type="dxa"/>
            </w:tcMar>
          </w:tcPr>
          <w:p w14:paraId="7942A45A"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2 electronic Hague interfaces</w:t>
            </w:r>
          </w:p>
        </w:tc>
        <w:tc>
          <w:tcPr>
            <w:tcW w:w="2175" w:type="dxa"/>
            <w:tcBorders>
              <w:left w:val="nil"/>
              <w:right w:val="single" w:sz="4" w:space="0" w:color="auto"/>
            </w:tcBorders>
            <w:shd w:val="clear" w:color="000000" w:fill="FFFFFF"/>
            <w:tcMar>
              <w:top w:w="85" w:type="dxa"/>
            </w:tcMar>
          </w:tcPr>
          <w:p w14:paraId="0CA80D6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6 electronic Hague interfaces</w:t>
            </w:r>
          </w:p>
        </w:tc>
      </w:tr>
      <w:tr w:rsidR="00C2428A" w:rsidRPr="009E67A2" w14:paraId="6B9C8B96" w14:textId="77777777" w:rsidTr="005412E8">
        <w:trPr>
          <w:trHeight w:val="827"/>
        </w:trPr>
        <w:tc>
          <w:tcPr>
            <w:tcW w:w="2340" w:type="dxa"/>
            <w:tcBorders>
              <w:left w:val="single" w:sz="4" w:space="0" w:color="auto"/>
              <w:bottom w:val="single" w:sz="4" w:space="0" w:color="auto"/>
              <w:right w:val="nil"/>
            </w:tcBorders>
            <w:shd w:val="clear" w:color="000000" w:fill="FFFFFF"/>
            <w:tcMar>
              <w:top w:w="85" w:type="dxa"/>
            </w:tcMar>
            <w:hideMark/>
          </w:tcPr>
          <w:p w14:paraId="4212AAC2"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lastRenderedPageBreak/>
              <w:t> </w:t>
            </w:r>
          </w:p>
        </w:tc>
        <w:tc>
          <w:tcPr>
            <w:tcW w:w="2340" w:type="dxa"/>
            <w:tcBorders>
              <w:left w:val="nil"/>
              <w:bottom w:val="single" w:sz="4" w:space="0" w:color="auto"/>
              <w:right w:val="nil"/>
            </w:tcBorders>
            <w:shd w:val="clear" w:color="000000" w:fill="FFFFFF"/>
            <w:tcMar>
              <w:top w:w="85" w:type="dxa"/>
            </w:tcMar>
            <w:hideMark/>
          </w:tcPr>
          <w:p w14:paraId="612DAE77"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Stable provision of evolving the Hague back office IT services</w:t>
            </w:r>
          </w:p>
        </w:tc>
        <w:tc>
          <w:tcPr>
            <w:tcW w:w="2340" w:type="dxa"/>
            <w:tcBorders>
              <w:left w:val="nil"/>
              <w:bottom w:val="single" w:sz="4" w:space="0" w:color="auto"/>
              <w:right w:val="nil"/>
            </w:tcBorders>
            <w:shd w:val="clear" w:color="000000" w:fill="FFFFFF"/>
            <w:tcMar>
              <w:top w:w="85" w:type="dxa"/>
            </w:tcMar>
            <w:hideMark/>
          </w:tcPr>
          <w:p w14:paraId="308AEAD7"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No service interruption Enhancements delivered and deployed on time</w:t>
            </w:r>
          </w:p>
        </w:tc>
        <w:tc>
          <w:tcPr>
            <w:tcW w:w="2175" w:type="dxa"/>
            <w:tcBorders>
              <w:left w:val="nil"/>
              <w:bottom w:val="single" w:sz="4" w:space="0" w:color="auto"/>
              <w:right w:val="single" w:sz="4" w:space="0" w:color="auto"/>
            </w:tcBorders>
            <w:shd w:val="clear" w:color="000000" w:fill="FFFFFF"/>
            <w:tcMar>
              <w:top w:w="85" w:type="dxa"/>
            </w:tcMar>
            <w:hideMark/>
          </w:tcPr>
          <w:p w14:paraId="5C600B4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No service interruption Enhancements delivered and deployed on time</w:t>
            </w:r>
          </w:p>
        </w:tc>
      </w:tr>
      <w:tr w:rsidR="00C2428A" w:rsidRPr="009E67A2" w14:paraId="225222ED" w14:textId="77777777" w:rsidTr="005412E8">
        <w:trPr>
          <w:trHeight w:val="2189"/>
        </w:trPr>
        <w:tc>
          <w:tcPr>
            <w:tcW w:w="2340" w:type="dxa"/>
            <w:tcBorders>
              <w:top w:val="single" w:sz="4" w:space="0" w:color="auto"/>
              <w:left w:val="single" w:sz="4" w:space="0" w:color="auto"/>
              <w:bottom w:val="nil"/>
              <w:right w:val="nil"/>
            </w:tcBorders>
            <w:shd w:val="clear" w:color="000000" w:fill="FFFFFF"/>
            <w:tcMar>
              <w:top w:w="85" w:type="dxa"/>
            </w:tcMar>
            <w:hideMark/>
          </w:tcPr>
          <w:p w14:paraId="6FA3E49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single" w:sz="4" w:space="0" w:color="auto"/>
              <w:left w:val="nil"/>
              <w:bottom w:val="nil"/>
              <w:right w:val="nil"/>
            </w:tcBorders>
            <w:shd w:val="clear" w:color="000000" w:fill="FFFFFF"/>
            <w:tcMar>
              <w:top w:w="85" w:type="dxa"/>
            </w:tcMar>
            <w:hideMark/>
          </w:tcPr>
          <w:p w14:paraId="7D8457E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p>
        </w:tc>
        <w:tc>
          <w:tcPr>
            <w:tcW w:w="2340" w:type="dxa"/>
            <w:tcBorders>
              <w:top w:val="single" w:sz="4" w:space="0" w:color="auto"/>
              <w:left w:val="nil"/>
              <w:bottom w:val="nil"/>
              <w:right w:val="nil"/>
            </w:tcBorders>
            <w:shd w:val="clear" w:color="000000" w:fill="FFFFFF"/>
            <w:tcMar>
              <w:top w:w="85" w:type="dxa"/>
            </w:tcMar>
            <w:hideMark/>
          </w:tcPr>
          <w:p w14:paraId="18BEDF33" w14:textId="77777777" w:rsidR="006E030C" w:rsidRDefault="00C2428A" w:rsidP="00F02301">
            <w:pPr>
              <w:rPr>
                <w:rFonts w:ascii="Arial" w:hAnsi="Arial" w:cs="Arial"/>
                <w:color w:val="000000"/>
                <w:sz w:val="16"/>
                <w:szCs w:val="16"/>
              </w:rPr>
            </w:pPr>
            <w:r w:rsidRPr="009E67A2">
              <w:rPr>
                <w:rFonts w:ascii="Arial" w:hAnsi="Arial" w:cs="Arial"/>
                <w:color w:val="000000"/>
                <w:sz w:val="16"/>
                <w:szCs w:val="16"/>
              </w:rPr>
              <w:t>Following amendments to the legal framework of the Hague System, more flexibility concerning optional contents of an international application may be indicated and recorded in the International Register.</w:t>
            </w:r>
            <w:r w:rsidR="006E030C" w:rsidRPr="009E67A2">
              <w:rPr>
                <w:rFonts w:ascii="Arial" w:hAnsi="Arial" w:cs="Arial"/>
                <w:color w:val="000000"/>
                <w:sz w:val="16"/>
                <w:szCs w:val="16"/>
              </w:rPr>
              <w:t xml:space="preserve"> </w:t>
            </w:r>
          </w:p>
          <w:p w14:paraId="2F1DF141" w14:textId="77777777" w:rsidR="006E030C" w:rsidRDefault="006E030C" w:rsidP="00F02301">
            <w:pPr>
              <w:rPr>
                <w:rFonts w:ascii="Arial" w:hAnsi="Arial" w:cs="Arial"/>
                <w:color w:val="000000"/>
                <w:sz w:val="16"/>
                <w:szCs w:val="16"/>
              </w:rPr>
            </w:pPr>
          </w:p>
          <w:p w14:paraId="592C3E69" w14:textId="6D855515" w:rsidR="00C2428A" w:rsidRPr="009E67A2" w:rsidRDefault="006E030C" w:rsidP="00F02301">
            <w:pPr>
              <w:rPr>
                <w:rFonts w:ascii="Arial" w:hAnsi="Arial" w:cs="Arial"/>
                <w:color w:val="000000"/>
                <w:sz w:val="16"/>
                <w:szCs w:val="16"/>
              </w:rPr>
            </w:pPr>
            <w:r w:rsidRPr="009E67A2">
              <w:rPr>
                <w:rFonts w:ascii="Arial" w:hAnsi="Arial" w:cs="Arial"/>
                <w:color w:val="000000"/>
                <w:sz w:val="16"/>
                <w:szCs w:val="16"/>
              </w:rPr>
              <w:t>Inability to record granular design information</w:t>
            </w:r>
          </w:p>
        </w:tc>
        <w:tc>
          <w:tcPr>
            <w:tcW w:w="2175" w:type="dxa"/>
            <w:tcBorders>
              <w:top w:val="single" w:sz="4" w:space="0" w:color="auto"/>
              <w:left w:val="nil"/>
              <w:bottom w:val="nil"/>
              <w:right w:val="single" w:sz="4" w:space="0" w:color="auto"/>
            </w:tcBorders>
            <w:shd w:val="clear" w:color="000000" w:fill="FFFFFF"/>
            <w:tcMar>
              <w:top w:w="85" w:type="dxa"/>
            </w:tcMar>
            <w:hideMark/>
          </w:tcPr>
          <w:p w14:paraId="20071577" w14:textId="77777777" w:rsidR="006E030C" w:rsidRDefault="00C2428A" w:rsidP="00F02301">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r w:rsidRPr="009E67A2">
              <w:rPr>
                <w:rFonts w:ascii="Arial" w:hAnsi="Arial" w:cs="Arial"/>
                <w:color w:val="000000"/>
                <w:sz w:val="16"/>
                <w:szCs w:val="16"/>
              </w:rPr>
              <w:br/>
              <w:t>and possible specification of further optional contents to be recorded in the International Register.</w:t>
            </w:r>
            <w:r w:rsidR="006E030C" w:rsidRPr="009E67A2">
              <w:rPr>
                <w:rFonts w:ascii="Arial" w:hAnsi="Arial" w:cs="Arial"/>
                <w:color w:val="000000"/>
                <w:sz w:val="16"/>
                <w:szCs w:val="16"/>
              </w:rPr>
              <w:t xml:space="preserve"> </w:t>
            </w:r>
          </w:p>
          <w:p w14:paraId="0D6DD4A8" w14:textId="77777777" w:rsidR="006E030C" w:rsidRDefault="006E030C" w:rsidP="00F02301">
            <w:pPr>
              <w:rPr>
                <w:rFonts w:ascii="Arial" w:hAnsi="Arial" w:cs="Arial"/>
                <w:color w:val="000000"/>
                <w:sz w:val="16"/>
                <w:szCs w:val="16"/>
              </w:rPr>
            </w:pPr>
          </w:p>
          <w:p w14:paraId="4983FB49" w14:textId="77777777" w:rsidR="006E030C" w:rsidRDefault="006E030C" w:rsidP="00F02301">
            <w:pPr>
              <w:rPr>
                <w:rFonts w:ascii="Arial" w:hAnsi="Arial" w:cs="Arial"/>
                <w:color w:val="000000"/>
                <w:sz w:val="16"/>
                <w:szCs w:val="16"/>
              </w:rPr>
            </w:pPr>
          </w:p>
          <w:p w14:paraId="674BF995" w14:textId="77777777" w:rsidR="006E030C" w:rsidRDefault="006E030C" w:rsidP="00F02301">
            <w:pPr>
              <w:rPr>
                <w:rFonts w:ascii="Arial" w:hAnsi="Arial" w:cs="Arial"/>
                <w:color w:val="000000"/>
                <w:sz w:val="16"/>
                <w:szCs w:val="16"/>
              </w:rPr>
            </w:pPr>
          </w:p>
          <w:p w14:paraId="11631CBC" w14:textId="4ACF4A9A" w:rsidR="00C2428A" w:rsidRPr="009E67A2" w:rsidRDefault="006E030C" w:rsidP="00F02301">
            <w:pPr>
              <w:rPr>
                <w:rFonts w:ascii="Arial" w:hAnsi="Arial" w:cs="Arial"/>
                <w:color w:val="000000"/>
                <w:sz w:val="16"/>
                <w:szCs w:val="16"/>
              </w:rPr>
            </w:pPr>
            <w:r w:rsidRPr="009E67A2">
              <w:rPr>
                <w:rFonts w:ascii="Arial" w:hAnsi="Arial" w:cs="Arial"/>
                <w:color w:val="000000"/>
                <w:sz w:val="16"/>
                <w:szCs w:val="16"/>
              </w:rPr>
              <w:t>Ability to record granular design information</w:t>
            </w:r>
          </w:p>
        </w:tc>
      </w:tr>
      <w:tr w:rsidR="00C2428A" w:rsidRPr="009E67A2" w14:paraId="0DF90567" w14:textId="77777777" w:rsidTr="00F02301">
        <w:trPr>
          <w:trHeight w:val="1473"/>
        </w:trPr>
        <w:tc>
          <w:tcPr>
            <w:tcW w:w="2340" w:type="dxa"/>
            <w:tcBorders>
              <w:top w:val="nil"/>
              <w:left w:val="single" w:sz="4" w:space="0" w:color="auto"/>
              <w:bottom w:val="single" w:sz="4" w:space="0" w:color="auto"/>
              <w:right w:val="nil"/>
            </w:tcBorders>
            <w:shd w:val="clear" w:color="000000" w:fill="FFFFFF"/>
            <w:tcMar>
              <w:top w:w="85" w:type="dxa"/>
            </w:tcMar>
            <w:hideMark/>
          </w:tcPr>
          <w:p w14:paraId="4412B4A4"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single" w:sz="4" w:space="0" w:color="auto"/>
              <w:right w:val="nil"/>
            </w:tcBorders>
            <w:shd w:val="clear" w:color="000000" w:fill="FFFFFF"/>
            <w:tcMar>
              <w:top w:w="85" w:type="dxa"/>
            </w:tcMar>
            <w:hideMark/>
          </w:tcPr>
          <w:p w14:paraId="1CA8C98D"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3 deployed versions of DIRIS and 3 deployed versions of Hague e-Filing</w:t>
            </w:r>
          </w:p>
        </w:tc>
        <w:tc>
          <w:tcPr>
            <w:tcW w:w="2340" w:type="dxa"/>
            <w:tcBorders>
              <w:top w:val="nil"/>
              <w:left w:val="nil"/>
              <w:bottom w:val="single" w:sz="4" w:space="0" w:color="auto"/>
              <w:right w:val="nil"/>
            </w:tcBorders>
            <w:shd w:val="clear" w:color="000000" w:fill="FFFFFF"/>
            <w:tcMar>
              <w:top w:w="85" w:type="dxa"/>
            </w:tcMar>
            <w:hideMark/>
          </w:tcPr>
          <w:p w14:paraId="1248F52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DIRIS not deployed, e-Filing HPM in production, current database design does not reflect the newly required granularity, e-Filing does not enable the electronic reply to irregularity letters</w:t>
            </w:r>
          </w:p>
        </w:tc>
        <w:tc>
          <w:tcPr>
            <w:tcW w:w="2175" w:type="dxa"/>
            <w:tcBorders>
              <w:top w:val="nil"/>
              <w:left w:val="nil"/>
              <w:bottom w:val="single" w:sz="4" w:space="0" w:color="auto"/>
              <w:right w:val="single" w:sz="4" w:space="0" w:color="auto"/>
            </w:tcBorders>
            <w:shd w:val="clear" w:color="000000" w:fill="FFFFFF"/>
            <w:tcMar>
              <w:top w:w="85" w:type="dxa"/>
            </w:tcMar>
            <w:hideMark/>
          </w:tcPr>
          <w:p w14:paraId="13F08A5E"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3 deployed new versions of DIRIS, 3 deployed updated versions of Hague e-Filing, electronic irregularity response enabled and a revised logical database design</w:t>
            </w:r>
          </w:p>
        </w:tc>
      </w:tr>
    </w:tbl>
    <w:p w14:paraId="2550FE50" w14:textId="77777777" w:rsidR="00C2428A" w:rsidRDefault="00C2428A" w:rsidP="00C2428A">
      <w:pPr>
        <w:jc w:val="both"/>
        <w:rPr>
          <w:rFonts w:ascii="Arial" w:hAnsi="Arial" w:cs="Arial"/>
          <w:sz w:val="20"/>
        </w:rPr>
      </w:pPr>
    </w:p>
    <w:p w14:paraId="2F38F7E3" w14:textId="77777777" w:rsidR="00C2428A" w:rsidRDefault="00C2428A" w:rsidP="00C2428A">
      <w:pPr>
        <w:jc w:val="both"/>
        <w:rPr>
          <w:rFonts w:ascii="Arial" w:hAnsi="Arial" w:cs="Arial"/>
          <w:sz w:val="20"/>
        </w:rPr>
      </w:pPr>
    </w:p>
    <w:p w14:paraId="378A9B7A" w14:textId="77777777" w:rsidR="00C2428A" w:rsidRDefault="00C2428A" w:rsidP="00C2428A">
      <w:pPr>
        <w:jc w:val="both"/>
        <w:rPr>
          <w:rFonts w:ascii="Arial" w:hAnsi="Arial" w:cs="Arial"/>
        </w:rPr>
      </w:pPr>
      <w:r w:rsidRPr="001D4076">
        <w:rPr>
          <w:rFonts w:ascii="Arial" w:hAnsi="Arial" w:cs="Arial"/>
        </w:rPr>
        <w:t>RESOURCES FOR PROGRAM 31</w:t>
      </w:r>
    </w:p>
    <w:p w14:paraId="5B7B7342" w14:textId="77777777" w:rsidR="00C2428A" w:rsidRPr="00FB68E0" w:rsidRDefault="00C2428A" w:rsidP="00C2428A">
      <w:pPr>
        <w:jc w:val="both"/>
        <w:rPr>
          <w:rFonts w:ascii="Arial" w:hAnsi="Arial" w:cs="Arial"/>
          <w:sz w:val="20"/>
        </w:rPr>
      </w:pPr>
    </w:p>
    <w:p w14:paraId="2A017FF2" w14:textId="28609520" w:rsidR="00C2428A" w:rsidRDefault="00C2428A" w:rsidP="00B66A4A">
      <w:pPr>
        <w:numPr>
          <w:ilvl w:val="0"/>
          <w:numId w:val="31"/>
        </w:numPr>
        <w:jc w:val="both"/>
        <w:rPr>
          <w:rFonts w:ascii="Arial" w:hAnsi="Arial" w:cs="Arial"/>
          <w:sz w:val="20"/>
        </w:rPr>
      </w:pPr>
      <w:r w:rsidRPr="00FB68E0">
        <w:rPr>
          <w:rFonts w:ascii="Arial" w:hAnsi="Arial" w:cs="Arial"/>
          <w:sz w:val="20"/>
        </w:rPr>
        <w:t xml:space="preserve">The total resources for the Hague System </w:t>
      </w:r>
      <w:r>
        <w:rPr>
          <w:rFonts w:ascii="Arial" w:hAnsi="Arial" w:cs="Arial"/>
          <w:sz w:val="20"/>
        </w:rPr>
        <w:t xml:space="preserve">show a slight decrease in 2016/17 compared to the 2014/15 Budget after Transfers. The decrease in personnel resources is due to the change in the costing methodology for personnel resources in 2016/17 based on actuals.  Non-personnel resources for the Program have been re-adjusted based on expenditure patterns in 2014/15. </w:t>
      </w:r>
    </w:p>
    <w:p w14:paraId="16964002" w14:textId="77777777" w:rsidR="00C2428A" w:rsidRPr="00FB68E0" w:rsidRDefault="00C2428A" w:rsidP="00C2428A">
      <w:pPr>
        <w:jc w:val="both"/>
        <w:rPr>
          <w:rFonts w:ascii="Arial" w:hAnsi="Arial" w:cs="Arial"/>
          <w:sz w:val="20"/>
        </w:rPr>
      </w:pPr>
    </w:p>
    <w:p w14:paraId="1D223F15" w14:textId="77777777" w:rsidR="00C2428A" w:rsidRDefault="00C2428A" w:rsidP="00C2428A">
      <w:pPr>
        <w:jc w:val="both"/>
        <w:rPr>
          <w:rFonts w:ascii="Arial" w:hAnsi="Arial" w:cs="Arial"/>
          <w:sz w:val="20"/>
        </w:rPr>
      </w:pPr>
    </w:p>
    <w:p w14:paraId="45DABE81" w14:textId="77777777" w:rsidR="00C2428A" w:rsidRPr="003D1AF3" w:rsidRDefault="00C2428A" w:rsidP="00C2428A">
      <w:pPr>
        <w:tabs>
          <w:tab w:val="left" w:pos="1427"/>
        </w:tabs>
        <w:jc w:val="center"/>
        <w:rPr>
          <w:rFonts w:ascii="Arial" w:hAnsi="Arial" w:cs="Arial"/>
          <w:sz w:val="20"/>
        </w:rPr>
      </w:pPr>
      <w:r>
        <w:rPr>
          <w:rFonts w:ascii="Arial" w:hAnsi="Arial" w:cs="Arial"/>
          <w:b/>
          <w:sz w:val="20"/>
          <w:szCs w:val="24"/>
        </w:rPr>
        <w:t>Program 31</w:t>
      </w:r>
      <w:r w:rsidRPr="003D1AF3">
        <w:rPr>
          <w:rFonts w:ascii="Arial" w:hAnsi="Arial" w:cs="Arial"/>
          <w:b/>
          <w:sz w:val="20"/>
          <w:szCs w:val="24"/>
        </w:rPr>
        <w:t xml:space="preserve">:  Resources by </w:t>
      </w:r>
      <w:r>
        <w:rPr>
          <w:rFonts w:ascii="Arial" w:hAnsi="Arial" w:cs="Arial"/>
          <w:b/>
          <w:sz w:val="20"/>
          <w:szCs w:val="24"/>
        </w:rPr>
        <w:t>Result</w:t>
      </w:r>
    </w:p>
    <w:p w14:paraId="73CB2557" w14:textId="77777777" w:rsidR="00C2428A" w:rsidRDefault="00C2428A" w:rsidP="00C2428A">
      <w:pPr>
        <w:tabs>
          <w:tab w:val="left" w:pos="1427"/>
        </w:tabs>
        <w:jc w:val="center"/>
        <w:rPr>
          <w:rFonts w:ascii="Arial" w:hAnsi="Arial" w:cs="Arial"/>
          <w:i/>
          <w:sz w:val="20"/>
          <w:szCs w:val="24"/>
        </w:rPr>
      </w:pPr>
      <w:r w:rsidRPr="003D1AF3">
        <w:rPr>
          <w:rFonts w:ascii="Arial" w:hAnsi="Arial" w:cs="Arial"/>
          <w:i/>
          <w:sz w:val="20"/>
          <w:szCs w:val="24"/>
        </w:rPr>
        <w:t>(In thousands of Swiss francs)</w:t>
      </w:r>
    </w:p>
    <w:p w14:paraId="53646993" w14:textId="77777777" w:rsidR="00C2428A" w:rsidRDefault="00C2428A" w:rsidP="00C2428A">
      <w:pPr>
        <w:tabs>
          <w:tab w:val="left" w:pos="1427"/>
        </w:tabs>
        <w:jc w:val="center"/>
        <w:rPr>
          <w:rFonts w:ascii="Arial" w:hAnsi="Arial" w:cs="Arial"/>
          <w:i/>
          <w:sz w:val="20"/>
          <w:szCs w:val="24"/>
        </w:rPr>
      </w:pPr>
    </w:p>
    <w:p w14:paraId="4E3306B1" w14:textId="4EFD1AFE" w:rsidR="00C2428A" w:rsidRDefault="00C2428A" w:rsidP="00C2428A">
      <w:pPr>
        <w:tabs>
          <w:tab w:val="left" w:pos="1427"/>
        </w:tabs>
        <w:jc w:val="center"/>
        <w:rPr>
          <w:rFonts w:ascii="Arial" w:hAnsi="Arial" w:cs="Arial"/>
          <w:i/>
          <w:sz w:val="20"/>
          <w:szCs w:val="24"/>
        </w:rPr>
      </w:pPr>
      <w:r w:rsidRPr="00C27876">
        <w:rPr>
          <w:noProof/>
          <w:lang w:eastAsia="en-US"/>
        </w:rPr>
        <w:drawing>
          <wp:inline distT="0" distB="0" distL="0" distR="0" wp14:anchorId="1E3ADC38" wp14:editId="5F016AF2">
            <wp:extent cx="5255813" cy="1354366"/>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4678" cy="1387573"/>
                    </a:xfrm>
                    <a:prstGeom prst="rect">
                      <a:avLst/>
                    </a:prstGeom>
                    <a:noFill/>
                    <a:ln>
                      <a:noFill/>
                    </a:ln>
                  </pic:spPr>
                </pic:pic>
              </a:graphicData>
            </a:graphic>
          </wp:inline>
        </w:drawing>
      </w:r>
    </w:p>
    <w:p w14:paraId="1694896C" w14:textId="77777777" w:rsidR="00C2428A" w:rsidRDefault="00C2428A" w:rsidP="00C2428A">
      <w:pPr>
        <w:tabs>
          <w:tab w:val="left" w:pos="1427"/>
        </w:tabs>
        <w:jc w:val="center"/>
        <w:rPr>
          <w:rFonts w:ascii="Arial" w:hAnsi="Arial" w:cs="Arial"/>
          <w:i/>
          <w:sz w:val="20"/>
          <w:szCs w:val="24"/>
        </w:rPr>
      </w:pPr>
    </w:p>
    <w:p w14:paraId="5B68B4E5" w14:textId="77777777" w:rsidR="00C2428A" w:rsidRDefault="00C2428A" w:rsidP="00C2428A">
      <w:pPr>
        <w:tabs>
          <w:tab w:val="left" w:pos="1427"/>
        </w:tabs>
        <w:jc w:val="center"/>
        <w:rPr>
          <w:rFonts w:ascii="Arial" w:hAnsi="Arial" w:cs="Arial"/>
          <w:i/>
          <w:sz w:val="20"/>
          <w:szCs w:val="24"/>
        </w:rPr>
      </w:pPr>
    </w:p>
    <w:p w14:paraId="5AF0AC07" w14:textId="77777777" w:rsidR="00C2428A" w:rsidRPr="003D1AF3" w:rsidRDefault="00C2428A" w:rsidP="00C2428A">
      <w:pPr>
        <w:keepNext/>
        <w:keepLines/>
        <w:tabs>
          <w:tab w:val="left" w:pos="1427"/>
        </w:tabs>
        <w:jc w:val="center"/>
        <w:rPr>
          <w:rFonts w:ascii="Arial" w:hAnsi="Arial" w:cs="Arial"/>
          <w:sz w:val="20"/>
        </w:rPr>
      </w:pPr>
      <w:r>
        <w:rPr>
          <w:rFonts w:ascii="Arial" w:hAnsi="Arial" w:cs="Arial"/>
          <w:b/>
          <w:sz w:val="20"/>
          <w:szCs w:val="24"/>
        </w:rPr>
        <w:lastRenderedPageBreak/>
        <w:t>Program 31</w:t>
      </w:r>
      <w:r w:rsidRPr="003D1AF3">
        <w:rPr>
          <w:rFonts w:ascii="Arial" w:hAnsi="Arial" w:cs="Arial"/>
          <w:b/>
          <w:sz w:val="20"/>
          <w:szCs w:val="24"/>
        </w:rPr>
        <w:t>:  Resources by Object of Expenditure</w:t>
      </w:r>
    </w:p>
    <w:p w14:paraId="5E046587" w14:textId="77777777" w:rsidR="00C2428A" w:rsidRDefault="00C2428A" w:rsidP="00C2428A">
      <w:pPr>
        <w:keepNext/>
        <w:keepLines/>
        <w:tabs>
          <w:tab w:val="left" w:pos="1427"/>
        </w:tabs>
        <w:jc w:val="center"/>
        <w:rPr>
          <w:rFonts w:ascii="Arial" w:hAnsi="Arial" w:cs="Arial"/>
          <w:i/>
          <w:sz w:val="20"/>
          <w:szCs w:val="24"/>
        </w:rPr>
      </w:pPr>
      <w:r w:rsidRPr="003D1AF3">
        <w:rPr>
          <w:rFonts w:ascii="Arial" w:hAnsi="Arial" w:cs="Arial"/>
          <w:i/>
          <w:sz w:val="20"/>
          <w:szCs w:val="24"/>
        </w:rPr>
        <w:t>(In thousands of Swiss francs)</w:t>
      </w:r>
    </w:p>
    <w:p w14:paraId="69B7D5D7" w14:textId="77777777" w:rsidR="00C2428A" w:rsidRDefault="00C2428A" w:rsidP="00C2428A">
      <w:pPr>
        <w:keepNext/>
        <w:keepLines/>
        <w:tabs>
          <w:tab w:val="left" w:pos="1427"/>
        </w:tabs>
        <w:jc w:val="center"/>
        <w:rPr>
          <w:rFonts w:ascii="Arial" w:hAnsi="Arial" w:cs="Arial"/>
          <w:i/>
          <w:sz w:val="20"/>
          <w:szCs w:val="24"/>
        </w:rPr>
      </w:pPr>
    </w:p>
    <w:p w14:paraId="4C93853A" w14:textId="77777777" w:rsidR="00C2428A" w:rsidRPr="003D1AF3" w:rsidRDefault="00C2428A" w:rsidP="00C2428A">
      <w:pPr>
        <w:keepNext/>
        <w:keepLines/>
        <w:tabs>
          <w:tab w:val="left" w:pos="1427"/>
        </w:tabs>
        <w:jc w:val="center"/>
        <w:rPr>
          <w:rFonts w:ascii="Arial" w:hAnsi="Arial" w:cs="Arial"/>
          <w:i/>
          <w:sz w:val="20"/>
          <w:szCs w:val="24"/>
        </w:rPr>
      </w:pPr>
      <w:r w:rsidRPr="00C27876">
        <w:rPr>
          <w:noProof/>
          <w:lang w:eastAsia="en-US"/>
        </w:rPr>
        <w:drawing>
          <wp:inline distT="0" distB="0" distL="0" distR="0" wp14:anchorId="68721A7E" wp14:editId="3DBF8BD6">
            <wp:extent cx="5087968" cy="5725575"/>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10124" cy="5750507"/>
                    </a:xfrm>
                    <a:prstGeom prst="rect">
                      <a:avLst/>
                    </a:prstGeom>
                    <a:noFill/>
                    <a:ln>
                      <a:noFill/>
                    </a:ln>
                  </pic:spPr>
                </pic:pic>
              </a:graphicData>
            </a:graphic>
          </wp:inline>
        </w:drawing>
      </w:r>
    </w:p>
    <w:p w14:paraId="526AE008" w14:textId="77777777" w:rsidR="00C2428A" w:rsidRPr="003D1AF3" w:rsidRDefault="00C2428A" w:rsidP="00C2428A">
      <w:pPr>
        <w:tabs>
          <w:tab w:val="left" w:pos="1427"/>
        </w:tabs>
        <w:jc w:val="center"/>
        <w:rPr>
          <w:rFonts w:ascii="Arial" w:hAnsi="Arial" w:cs="Arial"/>
          <w:i/>
          <w:sz w:val="20"/>
          <w:szCs w:val="24"/>
        </w:rPr>
      </w:pPr>
    </w:p>
    <w:p w14:paraId="69216434" w14:textId="77777777" w:rsidR="00C2428A" w:rsidRPr="0091583C" w:rsidRDefault="00C2428A" w:rsidP="00C2428A">
      <w:pPr>
        <w:jc w:val="both"/>
        <w:rPr>
          <w:rFonts w:ascii="Arial" w:hAnsi="Arial" w:cs="Arial"/>
          <w:sz w:val="20"/>
        </w:rPr>
      </w:pPr>
    </w:p>
    <w:p w14:paraId="45B6FC52" w14:textId="77777777" w:rsidR="00250CF8" w:rsidRPr="009B4A78" w:rsidRDefault="00250CF8" w:rsidP="00F33E49">
      <w:pPr>
        <w:rPr>
          <w:rFonts w:ascii="Arial" w:eastAsia="SimSun" w:hAnsi="Arial" w:cs="Arial"/>
          <w:bCs/>
          <w:iCs/>
          <w:sz w:val="20"/>
          <w:szCs w:val="20"/>
        </w:rPr>
      </w:pPr>
    </w:p>
    <w:p w14:paraId="211BA3AC" w14:textId="2F53011D" w:rsidR="00250CF8" w:rsidRPr="009B4A78" w:rsidRDefault="00250CF8">
      <w:pPr>
        <w:rPr>
          <w:rFonts w:ascii="Arial" w:hAnsi="Arial" w:cs="Arial"/>
          <w:sz w:val="20"/>
          <w:szCs w:val="20"/>
        </w:rPr>
      </w:pPr>
      <w:r w:rsidRPr="009B4A78">
        <w:rPr>
          <w:rFonts w:ascii="Arial" w:hAnsi="Arial" w:cs="Arial"/>
          <w:sz w:val="20"/>
          <w:szCs w:val="20"/>
        </w:rPr>
        <w:br w:type="page"/>
      </w:r>
    </w:p>
    <w:p w14:paraId="5DB411CE" w14:textId="063B0279" w:rsidR="00F15697" w:rsidRPr="00667A48" w:rsidRDefault="00F15697" w:rsidP="00667A48">
      <w:pPr>
        <w:pStyle w:val="StyleHeading3ComplexItalic"/>
        <w:ind w:left="1985" w:hanging="1985"/>
        <w:rPr>
          <w:rFonts w:eastAsia="SimSun"/>
          <w:iCs w:val="0"/>
          <w:caps w:val="0"/>
        </w:rPr>
      </w:pPr>
      <w:bookmarkStart w:id="36" w:name="_Toc431221413"/>
      <w:r>
        <w:rPr>
          <w:rStyle w:val="StyleStyleHeading3ComplexItalicLatin12ptChar"/>
          <w:rFonts w:eastAsia="SimSun"/>
          <w:b/>
        </w:rPr>
        <w:lastRenderedPageBreak/>
        <w:t>PROGRAM 32</w:t>
      </w:r>
      <w:r>
        <w:rPr>
          <w:rStyle w:val="StyleStyleHeading3ComplexItalicLatin12ptChar"/>
          <w:rFonts w:eastAsia="SimSun"/>
          <w:b/>
        </w:rPr>
        <w:tab/>
      </w:r>
      <w:r w:rsidRPr="00F15697">
        <w:t>LISBON SYSTEM</w:t>
      </w:r>
      <w:bookmarkEnd w:id="36"/>
    </w:p>
    <w:p w14:paraId="612F2A2C" w14:textId="77777777" w:rsidR="00F15697" w:rsidRDefault="00F15697" w:rsidP="00F15697">
      <w:pPr>
        <w:jc w:val="both"/>
        <w:rPr>
          <w:rFonts w:ascii="Arial" w:hAnsi="Arial" w:cs="Arial"/>
        </w:rPr>
      </w:pPr>
    </w:p>
    <w:p w14:paraId="1F2ECE8E" w14:textId="77777777" w:rsidR="00B06049" w:rsidRDefault="00B06049" w:rsidP="00F15697">
      <w:pPr>
        <w:jc w:val="both"/>
        <w:rPr>
          <w:rFonts w:ascii="Arial" w:hAnsi="Arial" w:cs="Arial"/>
        </w:rPr>
      </w:pPr>
    </w:p>
    <w:p w14:paraId="0D14FE4C" w14:textId="77777777" w:rsidR="005D2C79" w:rsidRPr="009B4A78" w:rsidRDefault="005D2C79" w:rsidP="005D2C79">
      <w:pPr>
        <w:jc w:val="both"/>
        <w:rPr>
          <w:rFonts w:ascii="Arial" w:hAnsi="Arial" w:cs="Arial"/>
        </w:rPr>
      </w:pPr>
      <w:r w:rsidRPr="009B4A78">
        <w:rPr>
          <w:rFonts w:ascii="Arial" w:hAnsi="Arial" w:cs="Arial"/>
        </w:rPr>
        <w:t>PLANNING CONTEXT</w:t>
      </w:r>
    </w:p>
    <w:p w14:paraId="796C6267" w14:textId="77777777" w:rsidR="005D2C79" w:rsidRPr="009B4A78" w:rsidRDefault="005D2C79" w:rsidP="005D2C79">
      <w:pPr>
        <w:jc w:val="both"/>
        <w:rPr>
          <w:rFonts w:ascii="Arial" w:hAnsi="Arial" w:cs="Arial"/>
          <w:sz w:val="20"/>
        </w:rPr>
      </w:pPr>
    </w:p>
    <w:p w14:paraId="4E07FD7B" w14:textId="77777777" w:rsidR="005D2C79" w:rsidRPr="009B4A78" w:rsidRDefault="005D2C79" w:rsidP="005D2C79">
      <w:pPr>
        <w:numPr>
          <w:ilvl w:val="0"/>
          <w:numId w:val="85"/>
        </w:numPr>
        <w:jc w:val="both"/>
        <w:rPr>
          <w:rFonts w:ascii="Arial" w:hAnsi="Arial" w:cs="Arial"/>
          <w:sz w:val="20"/>
        </w:rPr>
      </w:pPr>
      <w:r w:rsidRPr="009B4A78">
        <w:rPr>
          <w:rFonts w:ascii="Arial" w:hAnsi="Arial" w:cs="Arial"/>
          <w:sz w:val="20"/>
        </w:rPr>
        <w:t xml:space="preserve">The main focus as regards the Lisbon System will be the effective administration of the International Registry for Appellations of Origin and preparations for the possible entry into force of the </w:t>
      </w:r>
      <w:r>
        <w:rPr>
          <w:rFonts w:ascii="Arial" w:hAnsi="Arial" w:cs="Arial"/>
          <w:sz w:val="20"/>
        </w:rPr>
        <w:t>Geneva</w:t>
      </w:r>
      <w:r w:rsidRPr="009B4A78">
        <w:rPr>
          <w:rFonts w:ascii="Arial" w:hAnsi="Arial" w:cs="Arial"/>
          <w:sz w:val="20"/>
        </w:rPr>
        <w:t xml:space="preserve"> Act of the Lisbon Agreement on Appellations of Origin and Geographical Indications (“</w:t>
      </w:r>
      <w:r>
        <w:rPr>
          <w:rFonts w:ascii="Arial" w:hAnsi="Arial" w:cs="Arial"/>
          <w:sz w:val="20"/>
        </w:rPr>
        <w:t>Geneva</w:t>
      </w:r>
      <w:r w:rsidRPr="009B4A78">
        <w:rPr>
          <w:rFonts w:ascii="Arial" w:hAnsi="Arial" w:cs="Arial"/>
          <w:sz w:val="20"/>
        </w:rPr>
        <w:t xml:space="preserve"> Act”).</w:t>
      </w:r>
    </w:p>
    <w:p w14:paraId="23943F76" w14:textId="77777777" w:rsidR="005D2C79" w:rsidRPr="009B4A78" w:rsidRDefault="005D2C79" w:rsidP="005D2C79">
      <w:pPr>
        <w:jc w:val="both"/>
        <w:rPr>
          <w:rFonts w:ascii="Arial" w:hAnsi="Arial" w:cs="Arial"/>
          <w:sz w:val="20"/>
        </w:rPr>
      </w:pPr>
    </w:p>
    <w:p w14:paraId="09535B4D" w14:textId="77777777" w:rsidR="005D2C79" w:rsidRPr="009B4A78" w:rsidRDefault="005D2C79" w:rsidP="005D2C79">
      <w:pPr>
        <w:jc w:val="both"/>
        <w:rPr>
          <w:rFonts w:ascii="Arial" w:hAnsi="Arial" w:cs="Arial"/>
          <w:sz w:val="20"/>
        </w:rPr>
      </w:pPr>
    </w:p>
    <w:p w14:paraId="5DE24CBF" w14:textId="77777777" w:rsidR="005D2C79" w:rsidRPr="009B4A78" w:rsidRDefault="005D2C79" w:rsidP="005D2C79">
      <w:pPr>
        <w:jc w:val="both"/>
        <w:rPr>
          <w:rFonts w:ascii="Arial" w:hAnsi="Arial" w:cs="Arial"/>
        </w:rPr>
      </w:pPr>
      <w:r w:rsidRPr="009B4A78">
        <w:rPr>
          <w:rFonts w:ascii="Arial" w:hAnsi="Arial" w:cs="Arial"/>
        </w:rPr>
        <w:t>IMPLEMENTATION STRATEGIES</w:t>
      </w:r>
    </w:p>
    <w:p w14:paraId="4DA728EE" w14:textId="77777777" w:rsidR="005D2C79" w:rsidRPr="009B4A78" w:rsidRDefault="005D2C79" w:rsidP="005D2C79">
      <w:pPr>
        <w:jc w:val="both"/>
        <w:rPr>
          <w:rFonts w:ascii="Arial" w:hAnsi="Arial" w:cs="Arial"/>
          <w:sz w:val="20"/>
        </w:rPr>
      </w:pPr>
    </w:p>
    <w:p w14:paraId="20DA21BB" w14:textId="77777777" w:rsidR="005D2C79" w:rsidRPr="009B4A78" w:rsidRDefault="005D2C79" w:rsidP="005D2C79">
      <w:pPr>
        <w:numPr>
          <w:ilvl w:val="0"/>
          <w:numId w:val="85"/>
        </w:numPr>
        <w:jc w:val="both"/>
        <w:rPr>
          <w:rFonts w:ascii="Arial" w:hAnsi="Arial" w:cs="Arial"/>
          <w:sz w:val="20"/>
        </w:rPr>
      </w:pPr>
      <w:r w:rsidRPr="009B4A78">
        <w:rPr>
          <w:rFonts w:ascii="Arial" w:hAnsi="Arial" w:cs="Arial"/>
          <w:sz w:val="20"/>
        </w:rPr>
        <w:t xml:space="preserve">The </w:t>
      </w:r>
      <w:r>
        <w:rPr>
          <w:rFonts w:ascii="Arial" w:hAnsi="Arial" w:cs="Arial"/>
          <w:sz w:val="20"/>
        </w:rPr>
        <w:t>Geneva</w:t>
      </w:r>
      <w:r w:rsidRPr="009B4A78">
        <w:rPr>
          <w:rFonts w:ascii="Arial" w:hAnsi="Arial" w:cs="Arial"/>
          <w:sz w:val="20"/>
        </w:rPr>
        <w:t xml:space="preserve"> Act is expected to pave the way for a significant increase in the membership of the Lisbon Union.  Although the accession rate is difficult to predict, entry into force of the </w:t>
      </w:r>
      <w:r>
        <w:rPr>
          <w:rFonts w:ascii="Arial" w:hAnsi="Arial" w:cs="Arial"/>
          <w:sz w:val="20"/>
        </w:rPr>
        <w:t>Geneva</w:t>
      </w:r>
      <w:r w:rsidRPr="009B4A78">
        <w:rPr>
          <w:rFonts w:ascii="Arial" w:hAnsi="Arial" w:cs="Arial"/>
          <w:sz w:val="20"/>
        </w:rPr>
        <w:t xml:space="preserve"> Act may already occur in the course of the biennium or soon thereafter.  Consequently, as the </w:t>
      </w:r>
      <w:r>
        <w:rPr>
          <w:rFonts w:ascii="Arial" w:hAnsi="Arial" w:cs="Arial"/>
          <w:sz w:val="20"/>
        </w:rPr>
        <w:t>Geneva</w:t>
      </w:r>
      <w:r w:rsidRPr="009B4A78">
        <w:rPr>
          <w:rFonts w:ascii="Arial" w:hAnsi="Arial" w:cs="Arial"/>
          <w:sz w:val="20"/>
        </w:rPr>
        <w:t xml:space="preserve"> Act will coexist with the current Lisbon Agreement for as long as not all Member States of the current Lisbon Agreement have acceded to the </w:t>
      </w:r>
      <w:r>
        <w:rPr>
          <w:rFonts w:ascii="Arial" w:hAnsi="Arial" w:cs="Arial"/>
          <w:sz w:val="20"/>
        </w:rPr>
        <w:t>Geneva</w:t>
      </w:r>
      <w:r w:rsidRPr="009B4A78">
        <w:rPr>
          <w:rFonts w:ascii="Arial" w:hAnsi="Arial" w:cs="Arial"/>
          <w:sz w:val="20"/>
        </w:rPr>
        <w:t xml:space="preserve"> Act, preparations need to be made for the adoption of Common Regulations under the two instruments.</w:t>
      </w:r>
    </w:p>
    <w:p w14:paraId="6B4CD2A8" w14:textId="77777777" w:rsidR="005D2C79" w:rsidRPr="009B4A78" w:rsidRDefault="005D2C79" w:rsidP="005D2C79">
      <w:pPr>
        <w:jc w:val="both"/>
        <w:rPr>
          <w:rFonts w:ascii="Arial" w:hAnsi="Arial" w:cs="Arial"/>
          <w:sz w:val="20"/>
        </w:rPr>
      </w:pPr>
    </w:p>
    <w:p w14:paraId="7D3A5B0F" w14:textId="77777777" w:rsidR="005D2C79" w:rsidRPr="009B4A78" w:rsidRDefault="005D2C79" w:rsidP="005D2C79">
      <w:pPr>
        <w:numPr>
          <w:ilvl w:val="0"/>
          <w:numId w:val="85"/>
        </w:numPr>
        <w:jc w:val="both"/>
        <w:rPr>
          <w:rFonts w:ascii="Arial" w:hAnsi="Arial" w:cs="Arial"/>
          <w:sz w:val="20"/>
        </w:rPr>
      </w:pPr>
      <w:r w:rsidRPr="009B4A78">
        <w:rPr>
          <w:rFonts w:ascii="Arial" w:hAnsi="Arial" w:cs="Arial"/>
          <w:sz w:val="20"/>
        </w:rPr>
        <w:t xml:space="preserve">The preparation of future Common Regulations will also provide an opportunity for critically reviewing current administration procedures and further developing electronic notification and publication tools to maximize efficiency. </w:t>
      </w:r>
    </w:p>
    <w:p w14:paraId="42C43B2C" w14:textId="77777777" w:rsidR="005D2C79" w:rsidRPr="009B4A78" w:rsidRDefault="005D2C79" w:rsidP="005D2C79">
      <w:pPr>
        <w:jc w:val="both"/>
        <w:rPr>
          <w:rFonts w:ascii="Arial" w:hAnsi="Arial" w:cs="Arial"/>
          <w:sz w:val="20"/>
        </w:rPr>
      </w:pPr>
    </w:p>
    <w:p w14:paraId="7D1ED009" w14:textId="77777777" w:rsidR="005D2C79" w:rsidRPr="009B4A78" w:rsidRDefault="005D2C79" w:rsidP="005D2C79">
      <w:pPr>
        <w:numPr>
          <w:ilvl w:val="0"/>
          <w:numId w:val="85"/>
        </w:numPr>
        <w:jc w:val="both"/>
        <w:rPr>
          <w:rFonts w:ascii="Arial" w:hAnsi="Arial" w:cs="Arial"/>
          <w:sz w:val="20"/>
        </w:rPr>
      </w:pPr>
      <w:r w:rsidRPr="009B4A78">
        <w:rPr>
          <w:rFonts w:ascii="Arial" w:hAnsi="Arial" w:cs="Arial"/>
          <w:sz w:val="20"/>
        </w:rPr>
        <w:t>In addition, technical assistance will be provided to Member States and relevant regional organizations, in particular to developing countries and LDCs, interested in adhering to the Lisbon System.  Also in this context, outreach and additional training activities will be undertaken to further promote the use of the System.</w:t>
      </w:r>
    </w:p>
    <w:p w14:paraId="221FED4C" w14:textId="77777777" w:rsidR="005D2C79" w:rsidRPr="009B4A78" w:rsidRDefault="005D2C79" w:rsidP="005D2C79">
      <w:pPr>
        <w:jc w:val="both"/>
        <w:rPr>
          <w:rFonts w:ascii="Arial" w:hAnsi="Arial" w:cs="Arial"/>
          <w:sz w:val="20"/>
        </w:rPr>
      </w:pPr>
    </w:p>
    <w:p w14:paraId="3DDF3209" w14:textId="77777777" w:rsidR="005D2C79" w:rsidRDefault="005D2C79" w:rsidP="005D2C79">
      <w:pPr>
        <w:numPr>
          <w:ilvl w:val="0"/>
          <w:numId w:val="85"/>
        </w:numPr>
        <w:jc w:val="both"/>
        <w:rPr>
          <w:rFonts w:ascii="Arial" w:hAnsi="Arial" w:cs="Arial"/>
          <w:sz w:val="20"/>
        </w:rPr>
      </w:pPr>
      <w:r w:rsidRPr="009B4A78">
        <w:rPr>
          <w:rFonts w:ascii="Arial" w:hAnsi="Arial" w:cs="Arial"/>
          <w:sz w:val="20"/>
        </w:rPr>
        <w:t xml:space="preserve">The average number of international applications and other requests for recording in the International Register under the Lisbon System since 1967 has amounted to approximately 25 such transactions per year, with large variations, however, between years (for example, seven requests for the recording of transactions were received in 2009 and 596 requests in 2007).  The number of transactions was considerably higher in 2014 (121) and in 2015 is also expected to be higher than the average.  In view of the possible entry into force of the </w:t>
      </w:r>
      <w:r>
        <w:rPr>
          <w:rFonts w:ascii="Arial" w:hAnsi="Arial" w:cs="Arial"/>
          <w:sz w:val="20"/>
        </w:rPr>
        <w:t>Geneva</w:t>
      </w:r>
      <w:r w:rsidRPr="009B4A78">
        <w:rPr>
          <w:rFonts w:ascii="Arial" w:hAnsi="Arial" w:cs="Arial"/>
          <w:sz w:val="20"/>
        </w:rPr>
        <w:t xml:space="preserve"> Act and further accessions, it is estimated that such an increased level of registration activity will continue in the years to come.</w:t>
      </w:r>
    </w:p>
    <w:p w14:paraId="368F4A4D" w14:textId="77777777" w:rsidR="005D2C79" w:rsidRDefault="005D2C79" w:rsidP="005D2C79">
      <w:pPr>
        <w:jc w:val="both"/>
        <w:rPr>
          <w:rFonts w:ascii="Arial" w:hAnsi="Arial" w:cs="Arial"/>
          <w:sz w:val="20"/>
        </w:rPr>
      </w:pPr>
    </w:p>
    <w:p w14:paraId="459174A0" w14:textId="32224D4E" w:rsidR="0054624D" w:rsidRPr="00B06049" w:rsidRDefault="005D2C79" w:rsidP="005D2C79">
      <w:pPr>
        <w:numPr>
          <w:ilvl w:val="0"/>
          <w:numId w:val="85"/>
        </w:numPr>
        <w:jc w:val="both"/>
        <w:rPr>
          <w:rFonts w:ascii="Arial" w:hAnsi="Arial" w:cs="Arial"/>
          <w:sz w:val="20"/>
        </w:rPr>
      </w:pPr>
      <w:r w:rsidRPr="00B06049">
        <w:rPr>
          <w:rFonts w:ascii="Arial" w:hAnsi="Arial" w:cs="Arial"/>
          <w:sz w:val="20"/>
        </w:rPr>
        <w:t xml:space="preserve">Program 32 collaborates primarily with other Programs as illustrated below: </w:t>
      </w:r>
      <w:r w:rsidR="0054624D" w:rsidRPr="00B06049">
        <w:rPr>
          <w:rFonts w:ascii="Arial" w:hAnsi="Arial" w:cs="Arial"/>
          <w:sz w:val="20"/>
        </w:rPr>
        <w:t xml:space="preserve"> </w:t>
      </w:r>
    </w:p>
    <w:p w14:paraId="7EBC5BC0" w14:textId="77777777" w:rsidR="0054624D" w:rsidRDefault="0054624D" w:rsidP="00B06049">
      <w:pPr>
        <w:pStyle w:val="ListParagraph"/>
        <w:tabs>
          <w:tab w:val="left" w:pos="567"/>
        </w:tabs>
        <w:ind w:left="0"/>
        <w:contextualSpacing w:val="0"/>
        <w:jc w:val="both"/>
        <w:rPr>
          <w:rFonts w:ascii="Arial" w:hAnsi="Arial" w:cs="Arial"/>
          <w:sz w:val="20"/>
          <w:szCs w:val="20"/>
        </w:rPr>
      </w:pPr>
    </w:p>
    <w:p w14:paraId="7B141508" w14:textId="36BFCBAA" w:rsidR="0054624D" w:rsidRDefault="00667A48" w:rsidP="0054624D">
      <w:pPr>
        <w:keepNext/>
        <w:keepLines/>
        <w:rPr>
          <w:rFonts w:ascii="Arial" w:hAnsi="Arial" w:cs="Arial"/>
        </w:rPr>
      </w:pPr>
      <w:r>
        <w:rPr>
          <w:noProof/>
          <w:lang w:eastAsia="en-US"/>
        </w:rPr>
        <w:drawing>
          <wp:inline distT="0" distB="0" distL="0" distR="0" wp14:anchorId="76F519DD" wp14:editId="4FF87480">
            <wp:extent cx="5943600" cy="1481328"/>
            <wp:effectExtent l="0" t="0" r="57150" b="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42D5C529" w14:textId="77777777" w:rsidR="0054624D" w:rsidRDefault="0054624D" w:rsidP="0054624D">
      <w:pPr>
        <w:keepNext/>
        <w:keepLines/>
        <w:rPr>
          <w:rFonts w:ascii="Arial" w:hAnsi="Arial" w:cs="Arial"/>
        </w:rPr>
      </w:pPr>
    </w:p>
    <w:p w14:paraId="3279B95F" w14:textId="77777777" w:rsidR="00667A48" w:rsidRDefault="00667A48" w:rsidP="0054624D">
      <w:pPr>
        <w:keepNext/>
        <w:keepLines/>
        <w:rPr>
          <w:rFonts w:ascii="Arial" w:hAnsi="Arial" w:cs="Arial"/>
        </w:rPr>
      </w:pPr>
    </w:p>
    <w:p w14:paraId="72E5123C" w14:textId="77777777" w:rsidR="0054624D" w:rsidRDefault="0054624D" w:rsidP="00B06049">
      <w:pPr>
        <w:pStyle w:val="ListParagraph"/>
        <w:tabs>
          <w:tab w:val="left" w:pos="567"/>
        </w:tabs>
        <w:ind w:left="0"/>
        <w:contextualSpacing w:val="0"/>
        <w:jc w:val="both"/>
        <w:rPr>
          <w:rStyle w:val="StyleStyleHeading3ComplexItalicLatin12ptChar"/>
          <w:rFonts w:eastAsia="SimSun"/>
          <w:b w:val="0"/>
        </w:rPr>
      </w:pPr>
    </w:p>
    <w:p w14:paraId="1F9A598C" w14:textId="77777777" w:rsidR="0054624D" w:rsidRDefault="0054624D" w:rsidP="00B06049">
      <w:pPr>
        <w:pStyle w:val="ListParagraph"/>
        <w:tabs>
          <w:tab w:val="left" w:pos="567"/>
        </w:tabs>
        <w:ind w:left="0"/>
        <w:contextualSpacing w:val="0"/>
        <w:jc w:val="both"/>
        <w:rPr>
          <w:rStyle w:val="StyleStyleHeading3ComplexItalicLatin12ptChar"/>
          <w:rFonts w:eastAsia="SimSun"/>
          <w:b w:val="0"/>
        </w:rPr>
      </w:pPr>
    </w:p>
    <w:p w14:paraId="1E76D3A2" w14:textId="77777777" w:rsidR="006945BF" w:rsidRDefault="006945BF" w:rsidP="0054624D">
      <w:pPr>
        <w:jc w:val="both"/>
        <w:rPr>
          <w:rFonts w:ascii="Arial" w:hAnsi="Arial" w:cs="Arial"/>
        </w:rPr>
      </w:pPr>
    </w:p>
    <w:p w14:paraId="4FA1BE2D" w14:textId="77777777" w:rsidR="006945BF" w:rsidRDefault="006945BF" w:rsidP="0054624D">
      <w:pPr>
        <w:jc w:val="both"/>
        <w:rPr>
          <w:rFonts w:ascii="Arial" w:hAnsi="Arial" w:cs="Arial"/>
        </w:rPr>
      </w:pPr>
    </w:p>
    <w:p w14:paraId="0B099367" w14:textId="77777777" w:rsidR="006945BF" w:rsidRDefault="006945BF" w:rsidP="0054624D">
      <w:pPr>
        <w:jc w:val="both"/>
        <w:rPr>
          <w:rFonts w:ascii="Arial" w:hAnsi="Arial" w:cs="Arial"/>
        </w:rPr>
      </w:pPr>
    </w:p>
    <w:p w14:paraId="09687BBC" w14:textId="77777777" w:rsidR="006945BF" w:rsidRDefault="006945BF" w:rsidP="0054624D">
      <w:pPr>
        <w:jc w:val="both"/>
        <w:rPr>
          <w:rFonts w:ascii="Arial" w:hAnsi="Arial" w:cs="Arial"/>
        </w:rPr>
      </w:pPr>
    </w:p>
    <w:p w14:paraId="085FA04F" w14:textId="77777777" w:rsidR="006945BF" w:rsidRDefault="006945BF" w:rsidP="0054624D">
      <w:pPr>
        <w:jc w:val="both"/>
        <w:rPr>
          <w:rFonts w:ascii="Arial" w:hAnsi="Arial" w:cs="Arial"/>
        </w:rPr>
      </w:pPr>
    </w:p>
    <w:p w14:paraId="5795B557" w14:textId="77777777" w:rsidR="006945BF" w:rsidRDefault="006945BF" w:rsidP="0054624D">
      <w:pPr>
        <w:jc w:val="both"/>
        <w:rPr>
          <w:rFonts w:ascii="Arial" w:hAnsi="Arial" w:cs="Arial"/>
        </w:rPr>
      </w:pPr>
    </w:p>
    <w:p w14:paraId="255A9EC0" w14:textId="77777777" w:rsidR="006945BF" w:rsidRDefault="006945BF" w:rsidP="0054624D">
      <w:pPr>
        <w:jc w:val="both"/>
        <w:rPr>
          <w:rFonts w:ascii="Arial" w:hAnsi="Arial" w:cs="Arial"/>
        </w:rPr>
      </w:pPr>
    </w:p>
    <w:p w14:paraId="083A8E85" w14:textId="77777777" w:rsidR="0054624D" w:rsidRPr="001D4076" w:rsidRDefault="0054624D" w:rsidP="0054624D">
      <w:pPr>
        <w:jc w:val="both"/>
        <w:rPr>
          <w:rFonts w:ascii="Arial" w:hAnsi="Arial" w:cs="Arial"/>
        </w:rPr>
      </w:pPr>
      <w:r w:rsidRPr="001D4076">
        <w:rPr>
          <w:rFonts w:ascii="Arial" w:hAnsi="Arial" w:cs="Arial"/>
        </w:rPr>
        <w:lastRenderedPageBreak/>
        <w:t>RESULTS FRAMEWORK</w:t>
      </w:r>
    </w:p>
    <w:p w14:paraId="686B1910" w14:textId="77777777" w:rsidR="0054624D" w:rsidRDefault="0054624D" w:rsidP="0054624D">
      <w:pPr>
        <w:jc w:val="both"/>
        <w:rPr>
          <w:rFonts w:ascii="Arial" w:hAnsi="Arial" w:cs="Arial"/>
        </w:rPr>
      </w:pPr>
    </w:p>
    <w:tbl>
      <w:tblPr>
        <w:tblW w:w="9513" w:type="dxa"/>
        <w:tblInd w:w="93" w:type="dxa"/>
        <w:tblLook w:val="04A0" w:firstRow="1" w:lastRow="0" w:firstColumn="1" w:lastColumn="0" w:noHBand="0" w:noVBand="1"/>
      </w:tblPr>
      <w:tblGrid>
        <w:gridCol w:w="2060"/>
        <w:gridCol w:w="2500"/>
        <w:gridCol w:w="2543"/>
        <w:gridCol w:w="2410"/>
      </w:tblGrid>
      <w:tr w:rsidR="0054624D" w:rsidRPr="009B4A78" w14:paraId="02AFC6C2" w14:textId="77777777" w:rsidTr="003F0305">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27770D61" w14:textId="77777777" w:rsidR="0054624D" w:rsidRPr="009B4A78" w:rsidRDefault="0054624D" w:rsidP="003F0305">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14:paraId="1D4915B6" w14:textId="77777777" w:rsidR="0054624D" w:rsidRPr="009B4A78" w:rsidRDefault="0054624D" w:rsidP="003F0305">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543" w:type="dxa"/>
            <w:tcBorders>
              <w:top w:val="single" w:sz="4" w:space="0" w:color="auto"/>
              <w:left w:val="nil"/>
              <w:bottom w:val="single" w:sz="4" w:space="0" w:color="auto"/>
              <w:right w:val="nil"/>
            </w:tcBorders>
            <w:shd w:val="clear" w:color="auto" w:fill="C6D9F1" w:themeFill="text2" w:themeFillTint="33"/>
            <w:vAlign w:val="center"/>
            <w:hideMark/>
          </w:tcPr>
          <w:p w14:paraId="17D2A7EF" w14:textId="77777777" w:rsidR="0054624D" w:rsidRPr="009B4A78" w:rsidRDefault="0054624D" w:rsidP="003F0305">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4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78133E0" w14:textId="77777777" w:rsidR="0054624D" w:rsidRPr="009B4A78" w:rsidRDefault="0054624D" w:rsidP="003F0305">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0227FF" w:rsidRPr="009B4A78" w14:paraId="5F42FC9E" w14:textId="77777777" w:rsidTr="00F64A3A">
        <w:trPr>
          <w:trHeight w:val="1304"/>
        </w:trPr>
        <w:tc>
          <w:tcPr>
            <w:tcW w:w="2060" w:type="dxa"/>
            <w:tcBorders>
              <w:top w:val="nil"/>
              <w:left w:val="single" w:sz="4" w:space="0" w:color="auto"/>
              <w:bottom w:val="nil"/>
              <w:right w:val="nil"/>
            </w:tcBorders>
            <w:shd w:val="clear" w:color="000000" w:fill="FFFFFF"/>
            <w:hideMark/>
          </w:tcPr>
          <w:p w14:paraId="7AE4D3AC" w14:textId="77777777" w:rsidR="00F64A3A" w:rsidRDefault="00F64A3A" w:rsidP="000227FF">
            <w:pPr>
              <w:rPr>
                <w:rFonts w:ascii="Arial" w:eastAsia="Times New Roman" w:hAnsi="Arial" w:cs="Arial"/>
                <w:color w:val="000000"/>
                <w:sz w:val="16"/>
                <w:szCs w:val="16"/>
              </w:rPr>
            </w:pPr>
          </w:p>
          <w:p w14:paraId="2C68C4AA" w14:textId="3331357A" w:rsidR="000227FF" w:rsidRPr="009B4A78" w:rsidRDefault="000227FF" w:rsidP="000227FF">
            <w:pPr>
              <w:rPr>
                <w:rFonts w:ascii="Arial" w:eastAsia="Times New Roman" w:hAnsi="Arial" w:cs="Arial"/>
                <w:color w:val="000000"/>
                <w:sz w:val="16"/>
                <w:szCs w:val="16"/>
              </w:rPr>
            </w:pPr>
            <w:r w:rsidRPr="0054624D">
              <w:rPr>
                <w:rFonts w:ascii="Arial" w:eastAsia="Times New Roman" w:hAnsi="Arial" w:cs="Arial"/>
                <w:color w:val="000000"/>
                <w:sz w:val="16"/>
                <w:szCs w:val="16"/>
              </w:rPr>
              <w:t>II.10 Wider and more effective use of the Lisbon System, including by developing countries and LDCs</w:t>
            </w:r>
          </w:p>
        </w:tc>
        <w:tc>
          <w:tcPr>
            <w:tcW w:w="2500" w:type="dxa"/>
            <w:tcBorders>
              <w:top w:val="nil"/>
              <w:left w:val="nil"/>
              <w:bottom w:val="nil"/>
              <w:right w:val="nil"/>
            </w:tcBorders>
            <w:shd w:val="clear" w:color="000000" w:fill="FFFFFF"/>
          </w:tcPr>
          <w:p w14:paraId="7FA543AB" w14:textId="77777777" w:rsidR="00F64A3A" w:rsidRDefault="00F64A3A" w:rsidP="00F64A3A">
            <w:pPr>
              <w:rPr>
                <w:rFonts w:ascii="Arial" w:eastAsia="Times New Roman" w:hAnsi="Arial" w:cs="Arial"/>
                <w:color w:val="000000"/>
                <w:sz w:val="16"/>
                <w:szCs w:val="16"/>
              </w:rPr>
            </w:pPr>
          </w:p>
          <w:p w14:paraId="4A4D6C7A" w14:textId="5D674495" w:rsidR="000227FF" w:rsidRPr="009B4A78" w:rsidRDefault="000227FF" w:rsidP="00F64A3A">
            <w:pPr>
              <w:rPr>
                <w:rFonts w:ascii="Arial" w:eastAsia="Times New Roman" w:hAnsi="Arial" w:cs="Arial"/>
                <w:color w:val="000000"/>
                <w:sz w:val="16"/>
                <w:szCs w:val="16"/>
              </w:rPr>
            </w:pPr>
            <w:r w:rsidRPr="009B4A78">
              <w:rPr>
                <w:rFonts w:ascii="Arial" w:eastAsia="Times New Roman" w:hAnsi="Arial" w:cs="Arial"/>
                <w:color w:val="000000"/>
                <w:sz w:val="16"/>
                <w:szCs w:val="16"/>
              </w:rPr>
              <w:t>Expansion of the geographical coverage of the Lisbon System</w:t>
            </w:r>
          </w:p>
        </w:tc>
        <w:tc>
          <w:tcPr>
            <w:tcW w:w="2543" w:type="dxa"/>
            <w:tcBorders>
              <w:top w:val="nil"/>
              <w:left w:val="nil"/>
              <w:bottom w:val="nil"/>
              <w:right w:val="nil"/>
            </w:tcBorders>
            <w:shd w:val="clear" w:color="000000" w:fill="FFFFFF"/>
          </w:tcPr>
          <w:p w14:paraId="66B247C1" w14:textId="77777777" w:rsidR="00F64A3A" w:rsidRDefault="00F64A3A" w:rsidP="00B06049">
            <w:pPr>
              <w:rPr>
                <w:rFonts w:ascii="Arial" w:eastAsia="Times New Roman" w:hAnsi="Arial" w:cs="Arial"/>
                <w:color w:val="000000"/>
                <w:sz w:val="16"/>
                <w:szCs w:val="16"/>
              </w:rPr>
            </w:pPr>
          </w:p>
          <w:p w14:paraId="17475013" w14:textId="5DBEFA78" w:rsidR="000227FF" w:rsidRPr="009B4A78" w:rsidRDefault="000227FF" w:rsidP="00B0604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No. of Contracting Parties to the </w:t>
            </w:r>
            <w:r>
              <w:rPr>
                <w:rFonts w:ascii="Arial" w:eastAsia="Times New Roman" w:hAnsi="Arial" w:cs="Arial"/>
                <w:color w:val="000000"/>
                <w:sz w:val="16"/>
                <w:szCs w:val="16"/>
              </w:rPr>
              <w:t>Geneva</w:t>
            </w:r>
            <w:r w:rsidRPr="009B4A78">
              <w:rPr>
                <w:rFonts w:ascii="Arial" w:eastAsia="Times New Roman" w:hAnsi="Arial" w:cs="Arial"/>
                <w:color w:val="000000"/>
                <w:sz w:val="16"/>
                <w:szCs w:val="16"/>
              </w:rPr>
              <w:t xml:space="preserve"> Act at the end of</w:t>
            </w:r>
            <w:r>
              <w:rPr>
                <w:rFonts w:ascii="Arial" w:eastAsia="Times New Roman" w:hAnsi="Arial" w:cs="Arial"/>
                <w:color w:val="000000"/>
                <w:sz w:val="16"/>
                <w:szCs w:val="16"/>
              </w:rPr>
              <w:t> </w:t>
            </w:r>
            <w:r w:rsidRPr="009B4A78">
              <w:rPr>
                <w:rFonts w:ascii="Arial" w:eastAsia="Times New Roman" w:hAnsi="Arial" w:cs="Arial"/>
                <w:color w:val="000000"/>
                <w:sz w:val="16"/>
                <w:szCs w:val="16"/>
              </w:rPr>
              <w:t>2015</w:t>
            </w:r>
          </w:p>
        </w:tc>
        <w:tc>
          <w:tcPr>
            <w:tcW w:w="2410" w:type="dxa"/>
            <w:tcBorders>
              <w:top w:val="nil"/>
              <w:left w:val="nil"/>
              <w:bottom w:val="nil"/>
              <w:right w:val="single" w:sz="4" w:space="0" w:color="auto"/>
            </w:tcBorders>
            <w:shd w:val="clear" w:color="000000" w:fill="FFFFFF"/>
          </w:tcPr>
          <w:p w14:paraId="7B5D22BD" w14:textId="77777777" w:rsidR="00F64A3A" w:rsidRDefault="00F64A3A" w:rsidP="00B06049">
            <w:pPr>
              <w:rPr>
                <w:rFonts w:ascii="Arial" w:eastAsia="Times New Roman" w:hAnsi="Arial" w:cs="Arial"/>
                <w:color w:val="000000"/>
                <w:sz w:val="16"/>
                <w:szCs w:val="16"/>
              </w:rPr>
            </w:pPr>
          </w:p>
          <w:p w14:paraId="25D7B4E2" w14:textId="029BAE7B" w:rsidR="000227FF" w:rsidRPr="009B4A78" w:rsidRDefault="000227FF" w:rsidP="00B0604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Up to 5 Contracting parties to the </w:t>
            </w:r>
            <w:r>
              <w:rPr>
                <w:rFonts w:ascii="Arial" w:eastAsia="Times New Roman" w:hAnsi="Arial" w:cs="Arial"/>
                <w:color w:val="000000"/>
                <w:sz w:val="16"/>
                <w:szCs w:val="16"/>
              </w:rPr>
              <w:t>Geneva</w:t>
            </w:r>
            <w:r w:rsidRPr="009B4A78">
              <w:rPr>
                <w:rFonts w:ascii="Arial" w:eastAsia="Times New Roman" w:hAnsi="Arial" w:cs="Arial"/>
                <w:color w:val="000000"/>
                <w:sz w:val="16"/>
                <w:szCs w:val="16"/>
              </w:rPr>
              <w:t xml:space="preserve"> Act by the end of 2017</w:t>
            </w:r>
          </w:p>
        </w:tc>
      </w:tr>
      <w:tr w:rsidR="000227FF" w:rsidRPr="009B4A78" w14:paraId="588C4465" w14:textId="77777777" w:rsidTr="00B06049">
        <w:trPr>
          <w:trHeight w:val="924"/>
        </w:trPr>
        <w:tc>
          <w:tcPr>
            <w:tcW w:w="2060" w:type="dxa"/>
            <w:tcBorders>
              <w:top w:val="nil"/>
              <w:left w:val="single" w:sz="4" w:space="0" w:color="auto"/>
              <w:right w:val="nil"/>
            </w:tcBorders>
            <w:shd w:val="clear" w:color="000000" w:fill="FFFFFF"/>
            <w:hideMark/>
          </w:tcPr>
          <w:p w14:paraId="0D2A8C1F" w14:textId="0A6571A3" w:rsidR="000227FF" w:rsidRPr="009B4A78" w:rsidRDefault="000227FF" w:rsidP="003F0305">
            <w:pPr>
              <w:rPr>
                <w:rFonts w:ascii="Arial" w:eastAsia="Times New Roman" w:hAnsi="Arial" w:cs="Arial"/>
                <w:color w:val="000000"/>
                <w:sz w:val="16"/>
                <w:szCs w:val="16"/>
              </w:rPr>
            </w:pPr>
          </w:p>
        </w:tc>
        <w:tc>
          <w:tcPr>
            <w:tcW w:w="2500" w:type="dxa"/>
            <w:tcBorders>
              <w:top w:val="nil"/>
              <w:left w:val="nil"/>
              <w:right w:val="nil"/>
            </w:tcBorders>
            <w:shd w:val="clear" w:color="000000" w:fill="FFFFFF"/>
          </w:tcPr>
          <w:p w14:paraId="344E3231" w14:textId="7F61CF3F" w:rsidR="000227FF" w:rsidRPr="009B4A78" w:rsidRDefault="000227FF" w:rsidP="003F0305">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 of participants in Lisbon System events satisfied and reporting enhanced awareness post an event </w:t>
            </w:r>
          </w:p>
        </w:tc>
        <w:tc>
          <w:tcPr>
            <w:tcW w:w="2543" w:type="dxa"/>
            <w:tcBorders>
              <w:top w:val="nil"/>
              <w:left w:val="nil"/>
              <w:right w:val="nil"/>
            </w:tcBorders>
            <w:shd w:val="clear" w:color="000000" w:fill="FFFFFF"/>
          </w:tcPr>
          <w:p w14:paraId="36E84CBB" w14:textId="6658ADD4" w:rsidR="000227FF" w:rsidRPr="009B4A78" w:rsidRDefault="000227FF" w:rsidP="003F0305">
            <w:pPr>
              <w:rPr>
                <w:rFonts w:ascii="Arial" w:eastAsia="Times New Roman" w:hAnsi="Arial" w:cs="Arial"/>
                <w:color w:val="000000"/>
                <w:sz w:val="16"/>
                <w:szCs w:val="16"/>
              </w:rPr>
            </w:pPr>
            <w:r w:rsidRPr="009B4A78">
              <w:rPr>
                <w:rFonts w:ascii="Arial" w:eastAsia="Times New Roman" w:hAnsi="Arial" w:cs="Arial"/>
                <w:color w:val="000000"/>
                <w:sz w:val="16"/>
                <w:szCs w:val="16"/>
              </w:rPr>
              <w:t>84% of participants satisfied (2014) in 5 events</w:t>
            </w:r>
          </w:p>
        </w:tc>
        <w:tc>
          <w:tcPr>
            <w:tcW w:w="2410" w:type="dxa"/>
            <w:tcBorders>
              <w:top w:val="nil"/>
              <w:left w:val="nil"/>
              <w:right w:val="single" w:sz="4" w:space="0" w:color="auto"/>
            </w:tcBorders>
            <w:shd w:val="clear" w:color="000000" w:fill="FFFFFF"/>
          </w:tcPr>
          <w:p w14:paraId="08D46DFD" w14:textId="73118749" w:rsidR="000227FF" w:rsidRPr="009B4A78" w:rsidRDefault="000227FF" w:rsidP="003F0305">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85% of participants satisfied</w:t>
            </w:r>
          </w:p>
        </w:tc>
      </w:tr>
      <w:tr w:rsidR="000227FF" w:rsidRPr="009B4A78" w14:paraId="4C1AC21B" w14:textId="77777777" w:rsidTr="00B06049">
        <w:trPr>
          <w:trHeight w:val="936"/>
        </w:trPr>
        <w:tc>
          <w:tcPr>
            <w:tcW w:w="2060" w:type="dxa"/>
            <w:tcBorders>
              <w:top w:val="nil"/>
              <w:left w:val="single" w:sz="4" w:space="0" w:color="auto"/>
              <w:right w:val="nil"/>
            </w:tcBorders>
            <w:shd w:val="clear" w:color="000000" w:fill="FFFFFF"/>
            <w:hideMark/>
          </w:tcPr>
          <w:p w14:paraId="1828CD75" w14:textId="64A118E3" w:rsidR="000227FF" w:rsidRPr="009B4A78" w:rsidRDefault="000227FF" w:rsidP="003F0305">
            <w:pPr>
              <w:rPr>
                <w:rFonts w:ascii="Arial" w:eastAsia="Times New Roman" w:hAnsi="Arial" w:cs="Arial"/>
                <w:color w:val="000000"/>
                <w:sz w:val="16"/>
                <w:szCs w:val="16"/>
              </w:rPr>
            </w:pPr>
          </w:p>
        </w:tc>
        <w:tc>
          <w:tcPr>
            <w:tcW w:w="2500" w:type="dxa"/>
            <w:tcBorders>
              <w:top w:val="nil"/>
              <w:left w:val="nil"/>
              <w:right w:val="nil"/>
            </w:tcBorders>
            <w:shd w:val="clear" w:color="000000" w:fill="FFFFFF"/>
          </w:tcPr>
          <w:p w14:paraId="705EB128" w14:textId="02800398" w:rsidR="000227FF" w:rsidRPr="009B4A78" w:rsidRDefault="000227FF" w:rsidP="003F0305">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No. of international applications and other transactions (Lisbon)</w:t>
            </w:r>
          </w:p>
        </w:tc>
        <w:tc>
          <w:tcPr>
            <w:tcW w:w="2543" w:type="dxa"/>
            <w:tcBorders>
              <w:top w:val="nil"/>
              <w:left w:val="nil"/>
              <w:right w:val="nil"/>
            </w:tcBorders>
            <w:shd w:val="clear" w:color="000000" w:fill="FFFFFF"/>
          </w:tcPr>
          <w:p w14:paraId="7BBF3973" w14:textId="04168C4E" w:rsidR="000227FF" w:rsidRPr="009B4A78" w:rsidRDefault="000227FF" w:rsidP="003F0305">
            <w:pPr>
              <w:rPr>
                <w:rFonts w:ascii="Arial" w:eastAsia="Times New Roman" w:hAnsi="Arial" w:cs="Arial"/>
                <w:color w:val="000000"/>
                <w:sz w:val="16"/>
                <w:szCs w:val="16"/>
              </w:rPr>
            </w:pPr>
            <w:r w:rsidRPr="009B4A78">
              <w:rPr>
                <w:rFonts w:ascii="Arial" w:eastAsia="Times New Roman" w:hAnsi="Arial" w:cs="Arial"/>
                <w:color w:val="000000"/>
                <w:sz w:val="16"/>
                <w:szCs w:val="16"/>
              </w:rPr>
              <w:t>121 transactions in 2014:</w:t>
            </w:r>
            <w:r w:rsidRPr="009B4A78">
              <w:rPr>
                <w:rFonts w:ascii="Arial" w:eastAsia="Times New Roman" w:hAnsi="Arial" w:cs="Arial"/>
                <w:color w:val="000000"/>
                <w:sz w:val="16"/>
                <w:szCs w:val="16"/>
              </w:rPr>
              <w:br/>
              <w:t>- 80 international  applications</w:t>
            </w:r>
            <w:r w:rsidRPr="009B4A78">
              <w:rPr>
                <w:rFonts w:ascii="Arial" w:eastAsia="Times New Roman" w:hAnsi="Arial" w:cs="Arial"/>
                <w:color w:val="000000"/>
                <w:sz w:val="16"/>
                <w:szCs w:val="16"/>
              </w:rPr>
              <w:br/>
              <w:t>- 26 statements of grant protection</w:t>
            </w:r>
            <w:r w:rsidRPr="009B4A78">
              <w:rPr>
                <w:rFonts w:ascii="Arial" w:eastAsia="Times New Roman" w:hAnsi="Arial" w:cs="Arial"/>
                <w:color w:val="000000"/>
                <w:sz w:val="16"/>
                <w:szCs w:val="16"/>
              </w:rPr>
              <w:br/>
              <w:t>- 15 refusal declarations</w:t>
            </w:r>
          </w:p>
        </w:tc>
        <w:tc>
          <w:tcPr>
            <w:tcW w:w="2410" w:type="dxa"/>
            <w:tcBorders>
              <w:top w:val="nil"/>
              <w:left w:val="nil"/>
              <w:right w:val="single" w:sz="4" w:space="0" w:color="auto"/>
            </w:tcBorders>
            <w:shd w:val="clear" w:color="000000" w:fill="FFFFFF"/>
          </w:tcPr>
          <w:p w14:paraId="720BDC99" w14:textId="701134A6" w:rsidR="000227FF" w:rsidRPr="009B4A78" w:rsidRDefault="000227FF" w:rsidP="003F0305">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100 transactions in 2016/17</w:t>
            </w:r>
            <w:r w:rsidRPr="009B4A78">
              <w:rPr>
                <w:rFonts w:ascii="Arial" w:eastAsia="Times New Roman" w:hAnsi="Arial" w:cs="Arial"/>
                <w:color w:val="000000"/>
                <w:sz w:val="16"/>
                <w:szCs w:val="16"/>
              </w:rPr>
              <w:br/>
              <w:t>- 20 new international  applications</w:t>
            </w:r>
            <w:r>
              <w:rPr>
                <w:rFonts w:ascii="Arial" w:eastAsia="Times New Roman" w:hAnsi="Arial" w:cs="Arial"/>
                <w:color w:val="000000"/>
                <w:sz w:val="16"/>
                <w:szCs w:val="16"/>
              </w:rPr>
              <w:t xml:space="preserve"> (per annum)</w:t>
            </w:r>
            <w:r w:rsidRPr="009B4A78">
              <w:rPr>
                <w:rFonts w:ascii="Arial" w:eastAsia="Times New Roman" w:hAnsi="Arial" w:cs="Arial"/>
                <w:color w:val="000000"/>
                <w:sz w:val="16"/>
                <w:szCs w:val="16"/>
              </w:rPr>
              <w:br/>
              <w:t>- 60 statements of grant protection</w:t>
            </w:r>
            <w:r w:rsidRPr="009B4A78">
              <w:rPr>
                <w:rFonts w:ascii="Arial" w:eastAsia="Times New Roman" w:hAnsi="Arial" w:cs="Arial"/>
                <w:color w:val="000000"/>
                <w:sz w:val="16"/>
                <w:szCs w:val="16"/>
              </w:rPr>
              <w:br/>
              <w:t>- 20 refusal declarations</w:t>
            </w:r>
          </w:p>
        </w:tc>
      </w:tr>
      <w:tr w:rsidR="000227FF" w:rsidRPr="009B4A78" w14:paraId="422B7105" w14:textId="77777777" w:rsidTr="00B06049">
        <w:trPr>
          <w:trHeight w:val="1449"/>
        </w:trPr>
        <w:tc>
          <w:tcPr>
            <w:tcW w:w="2060" w:type="dxa"/>
            <w:tcBorders>
              <w:left w:val="single" w:sz="4" w:space="0" w:color="auto"/>
              <w:bottom w:val="nil"/>
              <w:right w:val="nil"/>
            </w:tcBorders>
            <w:shd w:val="clear" w:color="000000" w:fill="FFFFFF"/>
            <w:tcMar>
              <w:top w:w="85" w:type="dxa"/>
            </w:tcMar>
            <w:hideMark/>
          </w:tcPr>
          <w:p w14:paraId="39956EA2" w14:textId="225E584A" w:rsidR="000227FF" w:rsidRPr="009B4A78" w:rsidRDefault="000227FF" w:rsidP="003F0305">
            <w:pPr>
              <w:rPr>
                <w:rFonts w:ascii="Arial" w:eastAsia="Times New Roman" w:hAnsi="Arial" w:cs="Arial"/>
                <w:color w:val="000000"/>
                <w:sz w:val="16"/>
                <w:szCs w:val="16"/>
              </w:rPr>
            </w:pPr>
          </w:p>
        </w:tc>
        <w:tc>
          <w:tcPr>
            <w:tcW w:w="2500" w:type="dxa"/>
            <w:tcBorders>
              <w:left w:val="nil"/>
              <w:bottom w:val="nil"/>
              <w:right w:val="nil"/>
            </w:tcBorders>
            <w:shd w:val="clear" w:color="000000" w:fill="FFFFFF"/>
            <w:tcMar>
              <w:top w:w="85" w:type="dxa"/>
            </w:tcMar>
          </w:tcPr>
          <w:p w14:paraId="34C21B1D" w14:textId="5F1DAA80" w:rsidR="000227FF" w:rsidRPr="009B4A78" w:rsidRDefault="000227FF" w:rsidP="003F0305">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No. of international registrations from developing countries and LDCs in force under the Lisbon System (in relation to the total no.)</w:t>
            </w:r>
          </w:p>
        </w:tc>
        <w:tc>
          <w:tcPr>
            <w:tcW w:w="2543" w:type="dxa"/>
            <w:tcBorders>
              <w:left w:val="nil"/>
              <w:bottom w:val="nil"/>
              <w:right w:val="nil"/>
            </w:tcBorders>
            <w:shd w:val="clear" w:color="000000" w:fill="FFFFFF"/>
            <w:tcMar>
              <w:top w:w="85" w:type="dxa"/>
            </w:tcMar>
          </w:tcPr>
          <w:p w14:paraId="1596EE58" w14:textId="1022DFC6" w:rsidR="000227FF" w:rsidRPr="009B4A78" w:rsidRDefault="000227FF" w:rsidP="003F0305">
            <w:pPr>
              <w:rPr>
                <w:rFonts w:ascii="Arial" w:eastAsia="Times New Roman" w:hAnsi="Arial" w:cs="Arial"/>
                <w:color w:val="000000"/>
                <w:sz w:val="16"/>
                <w:szCs w:val="16"/>
              </w:rPr>
            </w:pPr>
            <w:r w:rsidRPr="009B4A78">
              <w:rPr>
                <w:rFonts w:ascii="Arial" w:eastAsia="Times New Roman" w:hAnsi="Arial" w:cs="Arial"/>
                <w:color w:val="000000"/>
                <w:sz w:val="16"/>
                <w:szCs w:val="16"/>
              </w:rPr>
              <w:t>78 (out of 896)</w:t>
            </w:r>
            <w:r w:rsidRPr="009B4A78">
              <w:rPr>
                <w:rFonts w:ascii="Arial" w:eastAsia="Times New Roman" w:hAnsi="Arial" w:cs="Arial"/>
                <w:color w:val="000000"/>
                <w:sz w:val="16"/>
                <w:szCs w:val="16"/>
              </w:rPr>
              <w:br/>
              <w:t>(March 2015)</w:t>
            </w:r>
          </w:p>
        </w:tc>
        <w:tc>
          <w:tcPr>
            <w:tcW w:w="2410" w:type="dxa"/>
            <w:tcBorders>
              <w:left w:val="nil"/>
              <w:bottom w:val="nil"/>
              <w:right w:val="single" w:sz="4" w:space="0" w:color="auto"/>
            </w:tcBorders>
            <w:shd w:val="clear" w:color="000000" w:fill="FFFFFF"/>
            <w:tcMar>
              <w:top w:w="85" w:type="dxa"/>
            </w:tcMar>
          </w:tcPr>
          <w:p w14:paraId="5A427265" w14:textId="24EF584B" w:rsidR="000227FF" w:rsidRPr="009B4A78" w:rsidRDefault="000227FF" w:rsidP="003F0305">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90 (out of 950)</w:t>
            </w:r>
          </w:p>
        </w:tc>
      </w:tr>
      <w:tr w:rsidR="000227FF" w:rsidRPr="009B4A78" w14:paraId="3B981D7A" w14:textId="77777777" w:rsidTr="00F64A3A">
        <w:trPr>
          <w:trHeight w:val="621"/>
        </w:trPr>
        <w:tc>
          <w:tcPr>
            <w:tcW w:w="2060" w:type="dxa"/>
            <w:tcBorders>
              <w:top w:val="nil"/>
              <w:left w:val="single" w:sz="4" w:space="0" w:color="auto"/>
              <w:bottom w:val="nil"/>
              <w:right w:val="nil"/>
            </w:tcBorders>
            <w:shd w:val="clear" w:color="000000" w:fill="FFFFFF"/>
            <w:hideMark/>
          </w:tcPr>
          <w:p w14:paraId="595FA126" w14:textId="2A8C1425" w:rsidR="000227FF" w:rsidRPr="009B4A78" w:rsidRDefault="000227FF" w:rsidP="003F0305">
            <w:pPr>
              <w:rPr>
                <w:rFonts w:ascii="Arial" w:eastAsia="Times New Roman" w:hAnsi="Arial" w:cs="Arial"/>
                <w:color w:val="000000"/>
                <w:sz w:val="16"/>
                <w:szCs w:val="16"/>
              </w:rPr>
            </w:pPr>
            <w:r w:rsidRPr="0054624D">
              <w:rPr>
                <w:rFonts w:ascii="Arial" w:eastAsia="Times New Roman" w:hAnsi="Arial" w:cs="Arial"/>
                <w:color w:val="000000"/>
                <w:sz w:val="16"/>
                <w:szCs w:val="16"/>
              </w:rPr>
              <w:t>II.11 Improved productivity and service quality of Lisbon operations</w:t>
            </w:r>
          </w:p>
        </w:tc>
        <w:tc>
          <w:tcPr>
            <w:tcW w:w="2500" w:type="dxa"/>
            <w:tcBorders>
              <w:top w:val="nil"/>
              <w:left w:val="nil"/>
              <w:bottom w:val="nil"/>
              <w:right w:val="nil"/>
            </w:tcBorders>
            <w:shd w:val="clear" w:color="000000" w:fill="FFFFFF"/>
          </w:tcPr>
          <w:p w14:paraId="44B61FCC" w14:textId="21DA2FC4" w:rsidR="000227FF" w:rsidRPr="009B4A78" w:rsidRDefault="000227FF" w:rsidP="003F0305">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Adoption of provisions streamlining the Lisbon System legal framework</w:t>
            </w:r>
          </w:p>
        </w:tc>
        <w:tc>
          <w:tcPr>
            <w:tcW w:w="2543" w:type="dxa"/>
            <w:tcBorders>
              <w:top w:val="nil"/>
              <w:left w:val="nil"/>
              <w:bottom w:val="nil"/>
              <w:right w:val="nil"/>
            </w:tcBorders>
            <w:shd w:val="clear" w:color="000000" w:fill="FFFFFF"/>
          </w:tcPr>
          <w:p w14:paraId="19EEABA7" w14:textId="4A673484" w:rsidR="000227FF" w:rsidRPr="009B4A78" w:rsidRDefault="000227FF" w:rsidP="003F0305">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Current legal framework and legal framework of the </w:t>
            </w:r>
            <w:r>
              <w:rPr>
                <w:rFonts w:ascii="Arial" w:eastAsia="Times New Roman" w:hAnsi="Arial" w:cs="Arial"/>
                <w:color w:val="000000"/>
                <w:sz w:val="16"/>
                <w:szCs w:val="16"/>
              </w:rPr>
              <w:t>Geneva</w:t>
            </w:r>
            <w:r w:rsidRPr="009B4A78">
              <w:rPr>
                <w:rFonts w:ascii="Arial" w:eastAsia="Times New Roman" w:hAnsi="Arial" w:cs="Arial"/>
                <w:color w:val="000000"/>
                <w:sz w:val="16"/>
                <w:szCs w:val="16"/>
              </w:rPr>
              <w:t xml:space="preserve"> Act of May 2015</w:t>
            </w:r>
          </w:p>
        </w:tc>
        <w:tc>
          <w:tcPr>
            <w:tcW w:w="2410" w:type="dxa"/>
            <w:tcBorders>
              <w:top w:val="nil"/>
              <w:left w:val="nil"/>
              <w:bottom w:val="nil"/>
              <w:right w:val="single" w:sz="4" w:space="0" w:color="auto"/>
            </w:tcBorders>
            <w:shd w:val="clear" w:color="000000" w:fill="FFFFFF"/>
          </w:tcPr>
          <w:p w14:paraId="743BF7A3" w14:textId="74567C46" w:rsidR="000227FF" w:rsidRPr="009B4A78" w:rsidRDefault="000227FF" w:rsidP="003F0305">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Adoption of Common Regulations under Lisbon Agreement and </w:t>
            </w:r>
            <w:r>
              <w:rPr>
                <w:rFonts w:ascii="Arial" w:eastAsia="Times New Roman" w:hAnsi="Arial" w:cs="Arial"/>
                <w:color w:val="000000"/>
                <w:sz w:val="16"/>
                <w:szCs w:val="16"/>
              </w:rPr>
              <w:t>Geneva</w:t>
            </w:r>
            <w:r w:rsidRPr="009B4A78">
              <w:rPr>
                <w:rFonts w:ascii="Arial" w:eastAsia="Times New Roman" w:hAnsi="Arial" w:cs="Arial"/>
                <w:color w:val="000000"/>
                <w:sz w:val="16"/>
                <w:szCs w:val="16"/>
              </w:rPr>
              <w:t xml:space="preserve"> Act</w:t>
            </w:r>
          </w:p>
        </w:tc>
      </w:tr>
      <w:tr w:rsidR="000227FF" w:rsidRPr="009B4A78" w14:paraId="33F5C2AC" w14:textId="77777777" w:rsidTr="00F64A3A">
        <w:trPr>
          <w:trHeight w:val="1122"/>
        </w:trPr>
        <w:tc>
          <w:tcPr>
            <w:tcW w:w="2060" w:type="dxa"/>
            <w:tcBorders>
              <w:top w:val="nil"/>
              <w:left w:val="single" w:sz="4" w:space="0" w:color="auto"/>
              <w:right w:val="nil"/>
            </w:tcBorders>
            <w:shd w:val="clear" w:color="000000" w:fill="FFFFFF"/>
            <w:hideMark/>
          </w:tcPr>
          <w:p w14:paraId="50C8DD3A" w14:textId="5F12C120" w:rsidR="000227FF" w:rsidRPr="009B4A78" w:rsidRDefault="000227FF" w:rsidP="003F0305">
            <w:pPr>
              <w:rPr>
                <w:rFonts w:ascii="Arial" w:eastAsia="Times New Roman" w:hAnsi="Arial" w:cs="Arial"/>
                <w:color w:val="000000"/>
                <w:sz w:val="16"/>
                <w:szCs w:val="16"/>
              </w:rPr>
            </w:pPr>
          </w:p>
        </w:tc>
        <w:tc>
          <w:tcPr>
            <w:tcW w:w="2500" w:type="dxa"/>
            <w:tcBorders>
              <w:top w:val="nil"/>
              <w:left w:val="nil"/>
              <w:right w:val="nil"/>
            </w:tcBorders>
            <w:shd w:val="clear" w:color="000000" w:fill="FFFFFF"/>
          </w:tcPr>
          <w:p w14:paraId="44DBCC57" w14:textId="6F133832" w:rsidR="000227FF" w:rsidRPr="009B4A78" w:rsidRDefault="000227FF" w:rsidP="003F0305">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Increased use of electronic means for filing and processing international applications and other transactions</w:t>
            </w:r>
            <w:r>
              <w:rPr>
                <w:rFonts w:ascii="Arial" w:eastAsia="Times New Roman" w:hAnsi="Arial" w:cs="Arial"/>
                <w:color w:val="000000"/>
                <w:sz w:val="16"/>
                <w:szCs w:val="16"/>
              </w:rPr>
              <w:t xml:space="preserve"> (Lisbon)</w:t>
            </w:r>
          </w:p>
        </w:tc>
        <w:tc>
          <w:tcPr>
            <w:tcW w:w="2543" w:type="dxa"/>
            <w:tcBorders>
              <w:top w:val="nil"/>
              <w:left w:val="nil"/>
              <w:right w:val="nil"/>
            </w:tcBorders>
            <w:shd w:val="clear" w:color="000000" w:fill="FFFFFF"/>
          </w:tcPr>
          <w:p w14:paraId="3F3B1061" w14:textId="4F5FC61B" w:rsidR="000227FF" w:rsidRPr="009B4A78" w:rsidRDefault="000227FF" w:rsidP="003F0305">
            <w:pPr>
              <w:rPr>
                <w:rFonts w:ascii="Arial" w:eastAsia="Times New Roman" w:hAnsi="Arial" w:cs="Arial"/>
                <w:color w:val="000000"/>
                <w:sz w:val="16"/>
                <w:szCs w:val="16"/>
              </w:rPr>
            </w:pPr>
            <w:r w:rsidRPr="009B4A78">
              <w:rPr>
                <w:rFonts w:ascii="Arial" w:eastAsia="Times New Roman" w:hAnsi="Arial" w:cs="Arial"/>
                <w:color w:val="000000"/>
                <w:sz w:val="16"/>
                <w:szCs w:val="16"/>
              </w:rPr>
              <w:t>Current data entry tool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Current Bulletin and database</w:t>
            </w:r>
          </w:p>
        </w:tc>
        <w:tc>
          <w:tcPr>
            <w:tcW w:w="2410" w:type="dxa"/>
            <w:tcBorders>
              <w:top w:val="nil"/>
              <w:left w:val="nil"/>
              <w:right w:val="single" w:sz="4" w:space="0" w:color="auto"/>
            </w:tcBorders>
            <w:shd w:val="clear" w:color="000000" w:fill="FFFFFF"/>
          </w:tcPr>
          <w:p w14:paraId="283FE1E3" w14:textId="77777777" w:rsidR="000227FF" w:rsidRPr="009B4A78" w:rsidRDefault="000227FF" w:rsidP="003F0305">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Improved data entry tool</w:t>
            </w:r>
            <w:r w:rsidRPr="009B4A78">
              <w:rPr>
                <w:rFonts w:ascii="Arial" w:eastAsia="Times New Roman" w:hAnsi="Arial" w:cs="Arial"/>
                <w:color w:val="000000"/>
                <w:sz w:val="16"/>
                <w:szCs w:val="16"/>
              </w:rPr>
              <w:br/>
            </w:r>
          </w:p>
          <w:p w14:paraId="57F02CDB" w14:textId="35C98068" w:rsidR="000227FF" w:rsidRPr="009B4A78" w:rsidRDefault="000227FF" w:rsidP="003F0305">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Integration of the Bulletin into the Lisbon Express database</w:t>
            </w:r>
          </w:p>
        </w:tc>
      </w:tr>
      <w:tr w:rsidR="000227FF" w:rsidRPr="009B4A78" w14:paraId="1B9EC9B6" w14:textId="77777777" w:rsidTr="00F64A3A">
        <w:trPr>
          <w:trHeight w:val="731"/>
        </w:trPr>
        <w:tc>
          <w:tcPr>
            <w:tcW w:w="2060" w:type="dxa"/>
            <w:tcBorders>
              <w:left w:val="single" w:sz="4" w:space="0" w:color="auto"/>
              <w:bottom w:val="single" w:sz="4" w:space="0" w:color="auto"/>
              <w:right w:val="nil"/>
            </w:tcBorders>
            <w:shd w:val="clear" w:color="000000" w:fill="FFFFFF"/>
            <w:tcMar>
              <w:top w:w="85" w:type="dxa"/>
            </w:tcMar>
            <w:hideMark/>
          </w:tcPr>
          <w:p w14:paraId="763A16A6" w14:textId="0091EA0A" w:rsidR="000227FF" w:rsidRPr="009B4A78" w:rsidRDefault="000227FF" w:rsidP="003F0305">
            <w:pPr>
              <w:rPr>
                <w:rFonts w:ascii="Arial" w:eastAsia="Times New Roman" w:hAnsi="Arial" w:cs="Arial"/>
                <w:color w:val="000000"/>
                <w:sz w:val="16"/>
                <w:szCs w:val="16"/>
              </w:rPr>
            </w:pPr>
          </w:p>
        </w:tc>
        <w:tc>
          <w:tcPr>
            <w:tcW w:w="2500" w:type="dxa"/>
            <w:tcBorders>
              <w:left w:val="nil"/>
              <w:bottom w:val="single" w:sz="4" w:space="0" w:color="auto"/>
              <w:right w:val="nil"/>
            </w:tcBorders>
            <w:shd w:val="clear" w:color="000000" w:fill="FFFFFF"/>
            <w:tcMar>
              <w:top w:w="85" w:type="dxa"/>
            </w:tcMar>
          </w:tcPr>
          <w:p w14:paraId="2D83DA2A" w14:textId="0E4FDF70" w:rsidR="000227FF" w:rsidRPr="009B4A78" w:rsidRDefault="000227FF" w:rsidP="003F0305">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Improved electronic services for the Lisbon Registry and Article 6</w:t>
            </w:r>
            <w:r w:rsidRPr="009B4A78">
              <w:rPr>
                <w:rFonts w:ascii="Arial" w:eastAsia="Times New Roman" w:hAnsi="Arial" w:cs="Arial"/>
                <w:i/>
                <w:color w:val="000000"/>
                <w:sz w:val="16"/>
                <w:szCs w:val="16"/>
              </w:rPr>
              <w:t>ter</w:t>
            </w:r>
          </w:p>
        </w:tc>
        <w:tc>
          <w:tcPr>
            <w:tcW w:w="2543" w:type="dxa"/>
            <w:tcBorders>
              <w:left w:val="nil"/>
              <w:bottom w:val="single" w:sz="4" w:space="0" w:color="auto"/>
              <w:right w:val="nil"/>
            </w:tcBorders>
            <w:shd w:val="clear" w:color="000000" w:fill="FFFFFF"/>
            <w:tcMar>
              <w:top w:w="85" w:type="dxa"/>
            </w:tcMar>
          </w:tcPr>
          <w:p w14:paraId="36553A7A" w14:textId="293B945F" w:rsidR="000227FF" w:rsidRPr="009B4A78" w:rsidRDefault="000227FF" w:rsidP="003F0305">
            <w:pPr>
              <w:rPr>
                <w:rFonts w:ascii="Arial" w:eastAsia="Times New Roman" w:hAnsi="Arial" w:cs="Arial"/>
                <w:color w:val="000000"/>
                <w:sz w:val="16"/>
                <w:szCs w:val="16"/>
              </w:rPr>
            </w:pPr>
            <w:r w:rsidRPr="009B4A78">
              <w:rPr>
                <w:rFonts w:ascii="Arial" w:eastAsia="Times New Roman" w:hAnsi="Arial" w:cs="Arial"/>
                <w:color w:val="000000"/>
                <w:sz w:val="16"/>
                <w:szCs w:val="16"/>
              </w:rPr>
              <w:t>Simple implementation of an electronic register</w:t>
            </w:r>
          </w:p>
        </w:tc>
        <w:tc>
          <w:tcPr>
            <w:tcW w:w="2410" w:type="dxa"/>
            <w:tcBorders>
              <w:left w:val="nil"/>
              <w:bottom w:val="single" w:sz="4" w:space="0" w:color="auto"/>
              <w:right w:val="single" w:sz="4" w:space="0" w:color="auto"/>
            </w:tcBorders>
            <w:shd w:val="clear" w:color="000000" w:fill="FFFFFF"/>
            <w:tcMar>
              <w:top w:w="85" w:type="dxa"/>
            </w:tcMar>
          </w:tcPr>
          <w:p w14:paraId="6BB86244" w14:textId="6DB7BB54" w:rsidR="000227FF" w:rsidRPr="009B4A78" w:rsidRDefault="000227FF" w:rsidP="003F0305">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Electronic filing web forms</w:t>
            </w:r>
          </w:p>
        </w:tc>
      </w:tr>
    </w:tbl>
    <w:p w14:paraId="03370CEB" w14:textId="77777777" w:rsidR="0054624D" w:rsidRDefault="0054624D" w:rsidP="0054624D">
      <w:pPr>
        <w:jc w:val="both"/>
        <w:rPr>
          <w:rFonts w:ascii="Arial" w:hAnsi="Arial" w:cs="Arial"/>
        </w:rPr>
      </w:pPr>
    </w:p>
    <w:p w14:paraId="21B6719B" w14:textId="77777777" w:rsidR="0054624D" w:rsidRDefault="0054624D" w:rsidP="0054624D">
      <w:pPr>
        <w:jc w:val="both"/>
        <w:rPr>
          <w:rFonts w:ascii="Arial" w:hAnsi="Arial" w:cs="Arial"/>
        </w:rPr>
      </w:pPr>
    </w:p>
    <w:p w14:paraId="35BB499D" w14:textId="4F9CE02B" w:rsidR="0054624D" w:rsidRDefault="0054624D" w:rsidP="0054624D">
      <w:pPr>
        <w:jc w:val="both"/>
        <w:rPr>
          <w:rFonts w:ascii="Arial" w:hAnsi="Arial" w:cs="Arial"/>
        </w:rPr>
      </w:pPr>
      <w:r>
        <w:rPr>
          <w:rFonts w:ascii="Arial" w:hAnsi="Arial" w:cs="Arial"/>
        </w:rPr>
        <w:t>RESOURCES FOR PROGRAM 32</w:t>
      </w:r>
    </w:p>
    <w:p w14:paraId="126EC53B" w14:textId="77777777" w:rsidR="00F64A3A" w:rsidRDefault="00F64A3A" w:rsidP="0054624D">
      <w:pPr>
        <w:jc w:val="both"/>
        <w:rPr>
          <w:rFonts w:ascii="Arial" w:hAnsi="Arial" w:cs="Arial"/>
        </w:rPr>
      </w:pPr>
    </w:p>
    <w:p w14:paraId="4DE43991" w14:textId="2185145C" w:rsidR="00B06049" w:rsidRPr="00AC4500" w:rsidRDefault="009C755B" w:rsidP="00B06049">
      <w:pPr>
        <w:pStyle w:val="ListParagraph"/>
        <w:numPr>
          <w:ilvl w:val="0"/>
          <w:numId w:val="85"/>
        </w:numPr>
        <w:jc w:val="both"/>
        <w:rPr>
          <w:rFonts w:ascii="Arial" w:hAnsi="Arial" w:cs="Arial"/>
          <w:sz w:val="20"/>
          <w:szCs w:val="20"/>
        </w:rPr>
      </w:pPr>
      <w:r>
        <w:rPr>
          <w:rFonts w:ascii="Arial" w:hAnsi="Arial" w:cs="Arial"/>
          <w:sz w:val="20"/>
          <w:szCs w:val="20"/>
        </w:rPr>
        <w:t>T</w:t>
      </w:r>
      <w:r w:rsidRPr="00E50A86">
        <w:rPr>
          <w:rFonts w:ascii="Arial" w:hAnsi="Arial" w:cs="Arial"/>
          <w:sz w:val="20"/>
          <w:szCs w:val="20"/>
        </w:rPr>
        <w:t>he biennium 2016/17 marks the creation of Program 32, separating the Lisbon System from Program 6</w:t>
      </w:r>
      <w:r>
        <w:rPr>
          <w:rFonts w:ascii="Arial" w:hAnsi="Arial" w:cs="Arial"/>
          <w:sz w:val="20"/>
          <w:szCs w:val="20"/>
        </w:rPr>
        <w:t xml:space="preserve">.  </w:t>
      </w:r>
      <w:r w:rsidR="005D2C79" w:rsidRPr="00AC4500">
        <w:rPr>
          <w:rFonts w:ascii="Arial" w:hAnsi="Arial" w:cs="Arial"/>
          <w:sz w:val="20"/>
          <w:szCs w:val="20"/>
        </w:rPr>
        <w:t>The resources under this Program reflect the transfer of both personnel and non-personnel resources from Program 6.</w:t>
      </w:r>
      <w:r>
        <w:rPr>
          <w:rFonts w:ascii="Arial" w:hAnsi="Arial" w:cs="Arial"/>
          <w:sz w:val="20"/>
          <w:szCs w:val="20"/>
        </w:rPr>
        <w:t>As the Program is new, N</w:t>
      </w:r>
      <w:r w:rsidR="005D2C79" w:rsidRPr="00AC4500">
        <w:rPr>
          <w:rFonts w:ascii="Arial" w:hAnsi="Arial" w:cs="Arial"/>
          <w:sz w:val="20"/>
          <w:szCs w:val="20"/>
        </w:rPr>
        <w:t>o comparison</w:t>
      </w:r>
      <w:r>
        <w:rPr>
          <w:rFonts w:ascii="Arial" w:hAnsi="Arial" w:cs="Arial"/>
          <w:sz w:val="20"/>
          <w:szCs w:val="20"/>
        </w:rPr>
        <w:t>s</w:t>
      </w:r>
      <w:r w:rsidR="005D2C79" w:rsidRPr="00AC4500">
        <w:rPr>
          <w:rFonts w:ascii="Arial" w:hAnsi="Arial" w:cs="Arial"/>
          <w:sz w:val="20"/>
          <w:szCs w:val="20"/>
        </w:rPr>
        <w:t xml:space="preserve"> with the 2014/15 Approved Budget or 2014/15 Budget after transfers </w:t>
      </w:r>
      <w:r>
        <w:rPr>
          <w:rFonts w:ascii="Arial" w:hAnsi="Arial" w:cs="Arial"/>
          <w:sz w:val="20"/>
          <w:szCs w:val="20"/>
        </w:rPr>
        <w:t>are</w:t>
      </w:r>
      <w:r w:rsidR="005D2C79" w:rsidRPr="00AC4500">
        <w:rPr>
          <w:rFonts w:ascii="Arial" w:hAnsi="Arial" w:cs="Arial"/>
          <w:sz w:val="20"/>
          <w:szCs w:val="20"/>
        </w:rPr>
        <w:t xml:space="preserve"> available.   </w:t>
      </w:r>
    </w:p>
    <w:p w14:paraId="3BB5F3E4" w14:textId="77777777" w:rsidR="00F64A3A" w:rsidRDefault="00F64A3A" w:rsidP="000227FF">
      <w:pPr>
        <w:pStyle w:val="ListParagraph"/>
        <w:tabs>
          <w:tab w:val="left" w:pos="567"/>
        </w:tabs>
        <w:ind w:left="0"/>
        <w:contextualSpacing w:val="0"/>
        <w:jc w:val="both"/>
        <w:rPr>
          <w:rStyle w:val="StyleStyleHeading3ComplexItalicLatin12ptChar"/>
          <w:rFonts w:eastAsia="SimSun"/>
          <w:b w:val="0"/>
        </w:rPr>
      </w:pPr>
    </w:p>
    <w:p w14:paraId="7CB10F1F" w14:textId="0DCD821C" w:rsidR="00F64A3A" w:rsidRPr="009B4A78" w:rsidRDefault="00F64A3A" w:rsidP="005D2C79">
      <w:pPr>
        <w:jc w:val="center"/>
        <w:rPr>
          <w:rFonts w:ascii="Arial" w:eastAsia="SimSun" w:hAnsi="Arial" w:cs="Arial"/>
          <w:b/>
          <w:bCs/>
          <w:iCs/>
          <w:sz w:val="20"/>
          <w:szCs w:val="28"/>
        </w:rPr>
      </w:pPr>
      <w:r>
        <w:rPr>
          <w:rFonts w:ascii="Arial" w:eastAsia="SimSun" w:hAnsi="Arial" w:cs="Arial"/>
          <w:b/>
          <w:bCs/>
          <w:iCs/>
          <w:sz w:val="20"/>
          <w:szCs w:val="28"/>
        </w:rPr>
        <w:t>Program 32</w:t>
      </w:r>
      <w:r w:rsidRPr="009B4A78">
        <w:rPr>
          <w:rFonts w:ascii="Arial" w:eastAsia="SimSun" w:hAnsi="Arial" w:cs="Arial"/>
          <w:b/>
          <w:bCs/>
          <w:iCs/>
          <w:sz w:val="20"/>
          <w:szCs w:val="28"/>
        </w:rPr>
        <w:t>: Resources by Result</w:t>
      </w:r>
    </w:p>
    <w:p w14:paraId="2F9E117F" w14:textId="77777777" w:rsidR="00F64A3A" w:rsidRDefault="00F64A3A" w:rsidP="00F64A3A">
      <w:pPr>
        <w:keepNext/>
        <w:jc w:val="center"/>
        <w:rPr>
          <w:rFonts w:ascii="Arial" w:eastAsia="SimSun" w:hAnsi="Arial" w:cs="Arial"/>
          <w:bCs/>
          <w:i/>
          <w:iCs/>
          <w:sz w:val="20"/>
          <w:szCs w:val="28"/>
        </w:rPr>
      </w:pPr>
      <w:r w:rsidRPr="009B4A78">
        <w:rPr>
          <w:rFonts w:ascii="Arial" w:eastAsia="SimSun" w:hAnsi="Arial" w:cs="Arial"/>
          <w:bCs/>
          <w:i/>
          <w:iCs/>
          <w:sz w:val="20"/>
          <w:szCs w:val="28"/>
        </w:rPr>
        <w:t>(in thousands of Swiss francs)</w:t>
      </w:r>
    </w:p>
    <w:p w14:paraId="2D3637B4" w14:textId="77777777" w:rsidR="00F64A3A" w:rsidRDefault="00F64A3A" w:rsidP="00F64A3A">
      <w:pPr>
        <w:keepNext/>
        <w:jc w:val="center"/>
        <w:rPr>
          <w:rFonts w:ascii="Arial" w:eastAsia="SimSun" w:hAnsi="Arial" w:cs="Arial"/>
          <w:bCs/>
          <w:i/>
          <w:iCs/>
          <w:sz w:val="20"/>
          <w:szCs w:val="28"/>
        </w:rPr>
      </w:pPr>
    </w:p>
    <w:p w14:paraId="551D2B40" w14:textId="55ABBA3E" w:rsidR="00F64A3A" w:rsidRPr="009B4A78" w:rsidRDefault="005D2C79" w:rsidP="00F64A3A">
      <w:pPr>
        <w:keepNext/>
        <w:jc w:val="center"/>
        <w:rPr>
          <w:rFonts w:ascii="Arial" w:eastAsia="SimSun" w:hAnsi="Arial" w:cs="Arial"/>
          <w:bCs/>
          <w:i/>
          <w:iCs/>
          <w:sz w:val="20"/>
          <w:szCs w:val="28"/>
        </w:rPr>
      </w:pPr>
      <w:r w:rsidRPr="005D2C79">
        <w:rPr>
          <w:noProof/>
          <w:lang w:eastAsia="en-US"/>
        </w:rPr>
        <w:drawing>
          <wp:inline distT="0" distB="0" distL="0" distR="0" wp14:anchorId="072B3EE5" wp14:editId="76922042">
            <wp:extent cx="5221224" cy="113009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21224" cy="1130097"/>
                    </a:xfrm>
                    <a:prstGeom prst="rect">
                      <a:avLst/>
                    </a:prstGeom>
                    <a:noFill/>
                    <a:ln>
                      <a:noFill/>
                    </a:ln>
                  </pic:spPr>
                </pic:pic>
              </a:graphicData>
            </a:graphic>
          </wp:inline>
        </w:drawing>
      </w:r>
    </w:p>
    <w:p w14:paraId="6FD9248F" w14:textId="77777777" w:rsidR="00667A48" w:rsidRDefault="00667A48" w:rsidP="00F64A3A">
      <w:pPr>
        <w:keepNext/>
        <w:jc w:val="center"/>
        <w:rPr>
          <w:rFonts w:ascii="Arial" w:eastAsia="SimSun" w:hAnsi="Arial" w:cs="Arial"/>
          <w:b/>
          <w:bCs/>
          <w:iCs/>
          <w:sz w:val="20"/>
          <w:szCs w:val="28"/>
        </w:rPr>
      </w:pPr>
    </w:p>
    <w:p w14:paraId="5E120AEE" w14:textId="36B60F0F" w:rsidR="00F64A3A" w:rsidRPr="009B4A78" w:rsidRDefault="00F64A3A" w:rsidP="00F64A3A">
      <w:pPr>
        <w:keepNext/>
        <w:jc w:val="center"/>
        <w:rPr>
          <w:rFonts w:ascii="Arial" w:eastAsia="SimSun" w:hAnsi="Arial" w:cs="Arial"/>
          <w:b/>
          <w:bCs/>
          <w:iCs/>
          <w:sz w:val="20"/>
          <w:szCs w:val="28"/>
        </w:rPr>
      </w:pPr>
      <w:r>
        <w:rPr>
          <w:rFonts w:ascii="Arial" w:eastAsia="SimSun" w:hAnsi="Arial" w:cs="Arial"/>
          <w:b/>
          <w:bCs/>
          <w:iCs/>
          <w:sz w:val="20"/>
          <w:szCs w:val="28"/>
        </w:rPr>
        <w:t>Program 32</w:t>
      </w:r>
      <w:r w:rsidRPr="009B4A78">
        <w:rPr>
          <w:rFonts w:ascii="Arial" w:eastAsia="SimSun" w:hAnsi="Arial" w:cs="Arial"/>
          <w:b/>
          <w:bCs/>
          <w:iCs/>
          <w:sz w:val="20"/>
          <w:szCs w:val="28"/>
        </w:rPr>
        <w:t>: Resources by Object of Expenditure</w:t>
      </w:r>
    </w:p>
    <w:p w14:paraId="281BB046" w14:textId="78049012" w:rsidR="00F15697" w:rsidRPr="000227FF" w:rsidRDefault="00F64A3A" w:rsidP="005D2C79">
      <w:pPr>
        <w:keepNext/>
        <w:jc w:val="center"/>
        <w:rPr>
          <w:rStyle w:val="StyleStyleHeading3ComplexItalicLatin12ptChar"/>
          <w:rFonts w:eastAsiaTheme="minorEastAsia"/>
          <w:b w:val="0"/>
          <w:iCs w:val="0"/>
          <w:caps w:val="0"/>
          <w:sz w:val="20"/>
          <w:lang w:eastAsia="ja-JP"/>
        </w:rPr>
      </w:pPr>
      <w:r w:rsidRPr="009B4A78">
        <w:rPr>
          <w:rFonts w:ascii="Arial" w:eastAsia="SimSun" w:hAnsi="Arial" w:cs="Arial"/>
          <w:bCs/>
          <w:i/>
          <w:iCs/>
          <w:sz w:val="20"/>
          <w:szCs w:val="28"/>
        </w:rPr>
        <w:t>(in thousands of Swiss francs)</w:t>
      </w:r>
      <w:r w:rsidR="00F15697" w:rsidRPr="0054624D">
        <w:rPr>
          <w:rStyle w:val="StyleStyleHeading3ComplexItalicLatin12ptChar"/>
          <w:rFonts w:eastAsia="SimSun"/>
          <w:b w:val="0"/>
        </w:rPr>
        <w:br w:type="page"/>
      </w:r>
      <w:r w:rsidR="005D2C79" w:rsidRPr="005D2C79">
        <w:rPr>
          <w:noProof/>
          <w:lang w:eastAsia="en-US"/>
        </w:rPr>
        <w:lastRenderedPageBreak/>
        <w:drawing>
          <wp:inline distT="0" distB="0" distL="0" distR="0" wp14:anchorId="66BA5A4D" wp14:editId="58E9E80C">
            <wp:extent cx="5294376" cy="5961888"/>
            <wp:effectExtent l="0" t="0" r="1905" b="12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94376" cy="5961888"/>
                    </a:xfrm>
                    <a:prstGeom prst="rect">
                      <a:avLst/>
                    </a:prstGeom>
                    <a:noFill/>
                    <a:ln>
                      <a:noFill/>
                    </a:ln>
                  </pic:spPr>
                </pic:pic>
              </a:graphicData>
            </a:graphic>
          </wp:inline>
        </w:drawing>
      </w:r>
    </w:p>
    <w:p w14:paraId="2CC1417E" w14:textId="77777777" w:rsidR="005D2C79" w:rsidRDefault="005D2C79">
      <w:pPr>
        <w:rPr>
          <w:rStyle w:val="StyleStyleHeading3ComplexItalicLatin12ptChar"/>
          <w:rFonts w:eastAsia="SimSun"/>
          <w:iCs w:val="0"/>
          <w:caps w:val="0"/>
        </w:rPr>
      </w:pPr>
      <w:bookmarkStart w:id="37" w:name="_Toc431221414"/>
      <w:r>
        <w:rPr>
          <w:rStyle w:val="StyleStyleHeading3ComplexItalicLatin12ptChar"/>
          <w:rFonts w:eastAsia="SimSun"/>
          <w:b w:val="0"/>
        </w:rPr>
        <w:br w:type="page"/>
      </w:r>
    </w:p>
    <w:p w14:paraId="617D2F9D" w14:textId="4B057E0B" w:rsidR="004A6C16" w:rsidRPr="00FB68E0" w:rsidRDefault="004A6C16" w:rsidP="00FB68E0">
      <w:pPr>
        <w:pStyle w:val="StyleHeading3ComplexItalic"/>
        <w:ind w:left="1985" w:hanging="1985"/>
        <w:rPr>
          <w:rStyle w:val="StyleStyleHeading3ComplexItalicLatin12ptChar"/>
          <w:rFonts w:eastAsia="SimSun"/>
          <w:b/>
        </w:rPr>
      </w:pPr>
      <w:r w:rsidRPr="00FB68E0">
        <w:rPr>
          <w:rStyle w:val="StyleStyleHeading3ComplexItalicLatin12ptChar"/>
          <w:rFonts w:eastAsia="SimSun"/>
          <w:b/>
        </w:rPr>
        <w:lastRenderedPageBreak/>
        <w:t>PROGRAM 7</w:t>
      </w:r>
      <w:r w:rsidRPr="00FB68E0">
        <w:rPr>
          <w:rStyle w:val="StyleStyleHeading3ComplexItalicLatin12ptChar"/>
          <w:rFonts w:eastAsia="SimSun"/>
          <w:b/>
        </w:rPr>
        <w:tab/>
        <w:t>WIPO ARBITRATION AND MEDIATION CENTER</w:t>
      </w:r>
      <w:bookmarkEnd w:id="37"/>
    </w:p>
    <w:p w14:paraId="1A987F44" w14:textId="77777777" w:rsidR="004A6C16" w:rsidRPr="009B4A78" w:rsidRDefault="004A6C16" w:rsidP="00F33E49">
      <w:pPr>
        <w:rPr>
          <w:rFonts w:ascii="Arial" w:hAnsi="Arial" w:cs="Arial"/>
          <w:sz w:val="20"/>
          <w:szCs w:val="20"/>
        </w:rPr>
      </w:pPr>
    </w:p>
    <w:p w14:paraId="67571663" w14:textId="77777777" w:rsidR="004A6C16" w:rsidRPr="009B4A78" w:rsidRDefault="004A6C16" w:rsidP="00F33E49">
      <w:pPr>
        <w:rPr>
          <w:rFonts w:ascii="Arial" w:hAnsi="Arial" w:cs="Arial"/>
          <w:sz w:val="20"/>
          <w:szCs w:val="20"/>
        </w:rPr>
      </w:pPr>
    </w:p>
    <w:p w14:paraId="1302C722" w14:textId="77777777" w:rsidR="004A6C16" w:rsidRPr="009B4A78" w:rsidRDefault="004A6C16" w:rsidP="00F33E49">
      <w:pPr>
        <w:pStyle w:val="BodyText"/>
        <w:rPr>
          <w:szCs w:val="22"/>
        </w:rPr>
      </w:pPr>
      <w:r w:rsidRPr="009B4A78">
        <w:rPr>
          <w:spacing w:val="-11"/>
          <w:w w:val="110"/>
          <w:szCs w:val="22"/>
        </w:rPr>
        <w:t xml:space="preserve">PLANNING </w:t>
      </w:r>
      <w:r w:rsidRPr="009B4A78">
        <w:rPr>
          <w:w w:val="110"/>
          <w:position w:val="1"/>
          <w:szCs w:val="22"/>
        </w:rPr>
        <w:t>CONTEXT</w:t>
      </w:r>
    </w:p>
    <w:p w14:paraId="08E9E8AA" w14:textId="77777777" w:rsidR="004A6C16" w:rsidRPr="00DB4F15" w:rsidRDefault="004A6C16" w:rsidP="00B66A4A">
      <w:pPr>
        <w:pStyle w:val="BodyText"/>
        <w:widowControl w:val="0"/>
        <w:numPr>
          <w:ilvl w:val="1"/>
          <w:numId w:val="9"/>
        </w:numPr>
        <w:tabs>
          <w:tab w:val="left" w:pos="567"/>
        </w:tabs>
        <w:spacing w:after="0"/>
        <w:ind w:firstLine="0"/>
        <w:jc w:val="both"/>
        <w:rPr>
          <w:rFonts w:eastAsiaTheme="minorEastAsia"/>
          <w:sz w:val="20"/>
          <w:lang w:eastAsia="ja-JP"/>
        </w:rPr>
      </w:pPr>
      <w:r w:rsidRPr="00DB4F15">
        <w:rPr>
          <w:rFonts w:eastAsiaTheme="minorEastAsia"/>
          <w:sz w:val="20"/>
          <w:lang w:eastAsia="ja-JP"/>
        </w:rPr>
        <w:t>In an IP-driven economy, stakeholders need to integrate conflict management into business processes (for example, the development of new technologies), contracting practices, and broader enforcement policies.  Awareness of dispute resolution risks and opportunities can help to minimize the disruption, which such disputes can cause in the exploitation of IP rights.</w:t>
      </w:r>
    </w:p>
    <w:p w14:paraId="108F753D" w14:textId="77777777" w:rsidR="004A6C16" w:rsidRPr="00DB4F15" w:rsidRDefault="004A6C16" w:rsidP="00DB4F15">
      <w:pPr>
        <w:tabs>
          <w:tab w:val="left" w:pos="567"/>
        </w:tabs>
        <w:jc w:val="both"/>
        <w:rPr>
          <w:rFonts w:ascii="Arial" w:hAnsi="Arial" w:cs="Arial"/>
          <w:sz w:val="20"/>
          <w:szCs w:val="20"/>
        </w:rPr>
      </w:pPr>
    </w:p>
    <w:p w14:paraId="6A915077" w14:textId="77777777" w:rsidR="004A6C16" w:rsidRPr="00DB4F15" w:rsidRDefault="004A6C16" w:rsidP="00B66A4A">
      <w:pPr>
        <w:pStyle w:val="BodyText"/>
        <w:widowControl w:val="0"/>
        <w:numPr>
          <w:ilvl w:val="1"/>
          <w:numId w:val="9"/>
        </w:numPr>
        <w:tabs>
          <w:tab w:val="left" w:pos="567"/>
          <w:tab w:val="left" w:pos="854"/>
        </w:tabs>
        <w:spacing w:after="0"/>
        <w:ind w:firstLine="0"/>
        <w:jc w:val="both"/>
        <w:rPr>
          <w:rFonts w:eastAsiaTheme="minorEastAsia"/>
          <w:sz w:val="20"/>
          <w:lang w:eastAsia="ja-JP"/>
        </w:rPr>
      </w:pPr>
      <w:r w:rsidRPr="00DB4F15">
        <w:rPr>
          <w:rFonts w:eastAsiaTheme="minorEastAsia"/>
          <w:sz w:val="20"/>
          <w:lang w:eastAsia="ja-JP"/>
        </w:rPr>
        <w:t>Courts and IP authorities tend to offer formal territorial solutions resulting from generally applicable rights-based procedures, but as the creation and use of IP are becoming more internationalized, rights holders and users are increasingly looking for cross-border solutions to their disputes.  As a global resource center, the WIPO Arbitration and Mediation Center, assists in these efforts by enhancing awareness and, as a service provider, by offering dispute management tools on the basis of WIPO-facilitated clauses and rules.  The potential beneficiaries of this activity include private entities as well as public authorities aiming to use alternative dispute resolution (ADR) options.</w:t>
      </w:r>
    </w:p>
    <w:p w14:paraId="63C8E4FB"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2D0565C6" w14:textId="77777777" w:rsidR="004A6C16" w:rsidRPr="00DB4F15" w:rsidRDefault="004A6C16" w:rsidP="00B66A4A">
      <w:pPr>
        <w:pStyle w:val="BodyText"/>
        <w:widowControl w:val="0"/>
        <w:numPr>
          <w:ilvl w:val="1"/>
          <w:numId w:val="9"/>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The WIPO Arbitration and Mediation Center develops and maintains ADR frameworks for IP.  At the same time, for commercial and policy reasons, numerous private as well as public ADR service providers compete in the provision of such mechanisms.</w:t>
      </w:r>
    </w:p>
    <w:p w14:paraId="431E28AF"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770B8D8C" w14:textId="77777777" w:rsidR="004A6C16" w:rsidRPr="00DB4F15" w:rsidRDefault="004A6C16" w:rsidP="00B66A4A">
      <w:pPr>
        <w:pStyle w:val="BodyText"/>
        <w:widowControl w:val="0"/>
        <w:numPr>
          <w:ilvl w:val="1"/>
          <w:numId w:val="9"/>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An example of the potential of ADR for IP is the WIPO-initiated Uniform Domain Name Dispute Resolution Policy (UDRP).  Under this global online alternative to court litigation for addressing trademark abuse in the Domain Name System (DNS), the WIPO Arbitration and Mediation Center has processed over 30,000 cases through 2014.  The DNS landscape is undergoing considerable change in the form of a broad expansion of the number of generic top-level Domains (</w:t>
      </w:r>
      <w:proofErr w:type="spellStart"/>
      <w:r w:rsidRPr="00DB4F15">
        <w:rPr>
          <w:rFonts w:eastAsiaTheme="minorEastAsia"/>
          <w:sz w:val="20"/>
          <w:lang w:eastAsia="ja-JP"/>
        </w:rPr>
        <w:t>gTLDs</w:t>
      </w:r>
      <w:proofErr w:type="spellEnd"/>
      <w:r w:rsidRPr="00DB4F15">
        <w:rPr>
          <w:rFonts w:eastAsiaTheme="minorEastAsia"/>
          <w:sz w:val="20"/>
          <w:lang w:eastAsia="ja-JP"/>
        </w:rPr>
        <w:t xml:space="preserve">) and the introduction of internationalized (non-Latin script) </w:t>
      </w:r>
      <w:proofErr w:type="spellStart"/>
      <w:r w:rsidRPr="00DB4F15">
        <w:rPr>
          <w:rFonts w:eastAsiaTheme="minorEastAsia"/>
          <w:sz w:val="20"/>
          <w:lang w:eastAsia="ja-JP"/>
        </w:rPr>
        <w:t>gTLDs</w:t>
      </w:r>
      <w:proofErr w:type="spellEnd"/>
      <w:r w:rsidRPr="00DB4F15">
        <w:rPr>
          <w:rFonts w:eastAsiaTheme="minorEastAsia"/>
          <w:sz w:val="20"/>
          <w:lang w:eastAsia="ja-JP"/>
        </w:rPr>
        <w:t xml:space="preserve"> and domain names.</w:t>
      </w:r>
    </w:p>
    <w:p w14:paraId="11423B1C"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34E24F67" w14:textId="77777777" w:rsidR="004A6C16" w:rsidRPr="00DB4F15" w:rsidRDefault="004A6C16" w:rsidP="00B66A4A">
      <w:pPr>
        <w:pStyle w:val="BodyText"/>
        <w:widowControl w:val="0"/>
        <w:numPr>
          <w:ilvl w:val="1"/>
          <w:numId w:val="9"/>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In order to reduce the adverse impact of these uncertain conditions on IP, the WIPO Arbitration and Mediation Center continues to play a proactive role in monitoring solutions to be adopted by the Internet Corporation for Assigned Names and Numbers (ICANN). In the same connection, substantial changes in UDRP demand may impact on this WIPO service.</w:t>
      </w:r>
    </w:p>
    <w:p w14:paraId="690CFF07"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32A09CDD" w14:textId="77777777" w:rsidR="004A6C16" w:rsidRPr="00DB4F15" w:rsidRDefault="004A6C16" w:rsidP="00B66A4A">
      <w:pPr>
        <w:pStyle w:val="BodyText"/>
        <w:widowControl w:val="0"/>
        <w:numPr>
          <w:ilvl w:val="1"/>
          <w:numId w:val="9"/>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The WIPO Arbitration and Mediation Center assists country code top-level Domains (</w:t>
      </w:r>
      <w:proofErr w:type="spellStart"/>
      <w:r w:rsidRPr="00DB4F15">
        <w:rPr>
          <w:rFonts w:eastAsiaTheme="minorEastAsia"/>
          <w:sz w:val="20"/>
          <w:lang w:eastAsia="ja-JP"/>
        </w:rPr>
        <w:t>ccTLDs</w:t>
      </w:r>
      <w:proofErr w:type="spellEnd"/>
      <w:r w:rsidRPr="00DB4F15">
        <w:rPr>
          <w:rFonts w:eastAsiaTheme="minorEastAsia"/>
          <w:sz w:val="20"/>
          <w:lang w:eastAsia="ja-JP"/>
        </w:rPr>
        <w:t>) in the establishment of best registry practices and domain name dispute resolution mechanisms.  In the area of IP ADR more generally, national IP authorities call on the WIPO Arbitration and Mediation Center for input on the development of optional ADR mechanisms complementing their existing procedures.  The WIPO Arbitration and Mediation Center also organizes training programs for IP officials, practitioners and students, including online programs.  These training and capacity building activities, conducted in line with DA Recommendations 1 and 6, will contribute to the implementation of DA Recommendation 10 by ensuring that developing countries and LDCs have enhanced institutional capacity to efficiently, fairly and cost-effectively resolve IP disputes.</w:t>
      </w:r>
    </w:p>
    <w:p w14:paraId="56AEA4A6" w14:textId="77777777" w:rsidR="004A6C16" w:rsidRPr="00DB4F15" w:rsidRDefault="004A6C16" w:rsidP="00DB4F15">
      <w:pPr>
        <w:tabs>
          <w:tab w:val="left" w:pos="567"/>
        </w:tabs>
        <w:jc w:val="both"/>
        <w:rPr>
          <w:rFonts w:ascii="Arial" w:hAnsi="Arial" w:cs="Arial"/>
          <w:sz w:val="20"/>
          <w:szCs w:val="20"/>
        </w:rPr>
      </w:pPr>
    </w:p>
    <w:p w14:paraId="04EF5065" w14:textId="77777777" w:rsidR="004A6C16" w:rsidRPr="00DB4F15" w:rsidRDefault="004A6C16" w:rsidP="00DB4F15">
      <w:pPr>
        <w:tabs>
          <w:tab w:val="left" w:pos="567"/>
        </w:tabs>
        <w:jc w:val="both"/>
        <w:rPr>
          <w:rFonts w:ascii="Arial" w:hAnsi="Arial" w:cs="Arial"/>
          <w:sz w:val="20"/>
          <w:szCs w:val="20"/>
        </w:rPr>
      </w:pPr>
    </w:p>
    <w:p w14:paraId="6BEBEF3B" w14:textId="77777777" w:rsidR="004A6C16" w:rsidRPr="009B4A78" w:rsidRDefault="004A6C16" w:rsidP="00DB4F15">
      <w:pPr>
        <w:tabs>
          <w:tab w:val="left" w:pos="567"/>
          <w:tab w:val="left" w:pos="1985"/>
        </w:tabs>
        <w:jc w:val="both"/>
        <w:rPr>
          <w:rFonts w:ascii="Arial" w:hAnsi="Arial" w:cs="Arial"/>
          <w:bCs/>
        </w:rPr>
      </w:pPr>
      <w:r w:rsidRPr="009B4A78">
        <w:rPr>
          <w:rFonts w:ascii="Arial" w:hAnsi="Arial" w:cs="Arial"/>
          <w:bCs/>
        </w:rPr>
        <w:t>IMPLEMENTATION STRATEGIES</w:t>
      </w:r>
    </w:p>
    <w:p w14:paraId="5545A1A5" w14:textId="77777777" w:rsidR="004A6C16" w:rsidRPr="00DB4F15" w:rsidRDefault="004A6C16" w:rsidP="00DB4F15">
      <w:pPr>
        <w:tabs>
          <w:tab w:val="left" w:pos="567"/>
        </w:tabs>
        <w:jc w:val="both"/>
        <w:rPr>
          <w:rFonts w:ascii="Arial" w:hAnsi="Arial" w:cs="Arial"/>
          <w:sz w:val="20"/>
          <w:szCs w:val="20"/>
        </w:rPr>
      </w:pPr>
    </w:p>
    <w:p w14:paraId="6B57107A" w14:textId="77777777" w:rsidR="004A6C16" w:rsidRPr="00DB4F15" w:rsidRDefault="004A6C16" w:rsidP="00B66A4A">
      <w:pPr>
        <w:pStyle w:val="BodyText"/>
        <w:widowControl w:val="0"/>
        <w:numPr>
          <w:ilvl w:val="1"/>
          <w:numId w:val="9"/>
        </w:numPr>
        <w:tabs>
          <w:tab w:val="left" w:pos="567"/>
          <w:tab w:val="left" w:pos="709"/>
        </w:tabs>
        <w:spacing w:after="0"/>
        <w:ind w:firstLine="0"/>
        <w:jc w:val="both"/>
        <w:rPr>
          <w:rFonts w:eastAsiaTheme="minorEastAsia"/>
          <w:sz w:val="20"/>
          <w:lang w:eastAsia="ja-JP"/>
        </w:rPr>
      </w:pPr>
      <w:r w:rsidRPr="00DB4F15">
        <w:rPr>
          <w:rFonts w:eastAsiaTheme="minorEastAsia"/>
          <w:sz w:val="20"/>
          <w:lang w:eastAsia="ja-JP"/>
        </w:rPr>
        <w:t>Against this background, the WIPO Arbitration and Mediation Center will pursue the following strategies:</w:t>
      </w:r>
    </w:p>
    <w:p w14:paraId="06201AD9" w14:textId="77777777" w:rsidR="004A6C16" w:rsidRPr="00DB4F15" w:rsidRDefault="004A6C16" w:rsidP="00DB4F15">
      <w:pPr>
        <w:tabs>
          <w:tab w:val="left" w:pos="567"/>
        </w:tabs>
        <w:jc w:val="both"/>
        <w:rPr>
          <w:rFonts w:ascii="Arial" w:hAnsi="Arial" w:cs="Arial"/>
          <w:sz w:val="20"/>
          <w:szCs w:val="20"/>
        </w:rPr>
      </w:pPr>
    </w:p>
    <w:p w14:paraId="18B2BA58" w14:textId="77777777" w:rsidR="004A6C16" w:rsidRPr="00DB4F15" w:rsidRDefault="004A6C16" w:rsidP="00B66A4A">
      <w:pPr>
        <w:pStyle w:val="BodyText"/>
        <w:widowControl w:val="0"/>
        <w:numPr>
          <w:ilvl w:val="2"/>
          <w:numId w:val="9"/>
        </w:numPr>
        <w:tabs>
          <w:tab w:val="left" w:pos="567"/>
          <w:tab w:val="left" w:pos="1134"/>
        </w:tabs>
        <w:spacing w:after="0"/>
        <w:ind w:left="567" w:firstLine="0"/>
        <w:jc w:val="both"/>
        <w:rPr>
          <w:position w:val="1"/>
          <w:sz w:val="20"/>
        </w:rPr>
      </w:pPr>
      <w:r w:rsidRPr="00DB4F15">
        <w:rPr>
          <w:position w:val="1"/>
          <w:sz w:val="20"/>
        </w:rPr>
        <w:t xml:space="preserve">Enhancing </w:t>
      </w:r>
      <w:r w:rsidRPr="00DB4F15">
        <w:rPr>
          <w:sz w:val="20"/>
        </w:rPr>
        <w:t xml:space="preserve">awareness among stakeholders of IP ADR options.  </w:t>
      </w:r>
    </w:p>
    <w:p w14:paraId="1BA38EB3" w14:textId="77777777" w:rsidR="004A6C16" w:rsidRPr="00DB4F15" w:rsidRDefault="004A6C16" w:rsidP="00DB4F15">
      <w:pPr>
        <w:pStyle w:val="BodyText"/>
        <w:tabs>
          <w:tab w:val="left" w:pos="567"/>
          <w:tab w:val="left" w:pos="1080"/>
          <w:tab w:val="left" w:pos="1330"/>
        </w:tabs>
        <w:spacing w:after="0"/>
        <w:ind w:left="1080" w:hanging="513"/>
        <w:jc w:val="both"/>
        <w:rPr>
          <w:position w:val="1"/>
          <w:sz w:val="20"/>
        </w:rPr>
      </w:pPr>
    </w:p>
    <w:p w14:paraId="6CA61C80" w14:textId="77777777" w:rsidR="004A6C16" w:rsidRPr="00DB4F15" w:rsidRDefault="004A6C16" w:rsidP="00B66A4A">
      <w:pPr>
        <w:pStyle w:val="BodyText"/>
        <w:widowControl w:val="0"/>
        <w:numPr>
          <w:ilvl w:val="2"/>
          <w:numId w:val="9"/>
        </w:numPr>
        <w:tabs>
          <w:tab w:val="left" w:pos="567"/>
          <w:tab w:val="left" w:pos="1134"/>
        </w:tabs>
        <w:spacing w:after="0"/>
        <w:ind w:left="567" w:firstLine="0"/>
        <w:jc w:val="both"/>
        <w:rPr>
          <w:position w:val="1"/>
          <w:sz w:val="20"/>
        </w:rPr>
      </w:pPr>
      <w:r w:rsidRPr="00DB4F15">
        <w:rPr>
          <w:position w:val="1"/>
          <w:sz w:val="20"/>
        </w:rPr>
        <w:t>Increasing the attractiveness of dispute resolution services offered by the WIPO Arbitration and Mediation Center by adapting its procedures and case infrastructure to the evolving needs of users, including through IT-based solutions.</w:t>
      </w:r>
    </w:p>
    <w:p w14:paraId="3BA05289" w14:textId="77777777" w:rsidR="004A6C16" w:rsidRPr="00DB4F15" w:rsidRDefault="004A6C16" w:rsidP="00DB4F15">
      <w:pPr>
        <w:tabs>
          <w:tab w:val="left" w:pos="567"/>
          <w:tab w:val="left" w:pos="1080"/>
        </w:tabs>
        <w:ind w:left="1080" w:hanging="513"/>
        <w:jc w:val="both"/>
        <w:rPr>
          <w:rFonts w:ascii="Arial" w:hAnsi="Arial" w:cs="Arial"/>
          <w:sz w:val="20"/>
          <w:szCs w:val="20"/>
        </w:rPr>
      </w:pPr>
    </w:p>
    <w:p w14:paraId="108B2B2A" w14:textId="77777777" w:rsidR="004A6C16" w:rsidRPr="00DB4F15" w:rsidRDefault="004A6C16" w:rsidP="00B66A4A">
      <w:pPr>
        <w:pStyle w:val="BodyText"/>
        <w:widowControl w:val="0"/>
        <w:numPr>
          <w:ilvl w:val="2"/>
          <w:numId w:val="9"/>
        </w:numPr>
        <w:tabs>
          <w:tab w:val="left" w:pos="567"/>
          <w:tab w:val="left" w:pos="1134"/>
        </w:tabs>
        <w:spacing w:after="0"/>
        <w:ind w:left="567" w:firstLine="0"/>
        <w:jc w:val="both"/>
        <w:rPr>
          <w:position w:val="1"/>
          <w:sz w:val="20"/>
        </w:rPr>
      </w:pPr>
      <w:r w:rsidRPr="00DB4F15">
        <w:rPr>
          <w:position w:val="1"/>
          <w:sz w:val="20"/>
        </w:rPr>
        <w:t xml:space="preserve">Working </w:t>
      </w:r>
      <w:r w:rsidRPr="00DB4F15">
        <w:rPr>
          <w:sz w:val="20"/>
        </w:rPr>
        <w:t xml:space="preserve">with </w:t>
      </w:r>
      <w:r w:rsidRPr="00DB4F15">
        <w:rPr>
          <w:position w:val="1"/>
          <w:sz w:val="20"/>
        </w:rPr>
        <w:t xml:space="preserve">IP owners, users, </w:t>
      </w:r>
      <w:r w:rsidRPr="00DB4F15">
        <w:rPr>
          <w:sz w:val="20"/>
        </w:rPr>
        <w:t xml:space="preserve">Offices and other entities to establish </w:t>
      </w:r>
      <w:r w:rsidRPr="00DB4F15">
        <w:rPr>
          <w:position w:val="1"/>
          <w:sz w:val="20"/>
        </w:rPr>
        <w:t xml:space="preserve">procedures </w:t>
      </w:r>
      <w:r w:rsidRPr="00DB4F15">
        <w:rPr>
          <w:sz w:val="20"/>
        </w:rPr>
        <w:t xml:space="preserve">specifically adapted to the particular features of recurrent disputes in their areas of activity.  </w:t>
      </w:r>
    </w:p>
    <w:p w14:paraId="4603921F" w14:textId="77777777" w:rsidR="004A6C16" w:rsidRDefault="004A6C16" w:rsidP="00F33E49">
      <w:pPr>
        <w:pStyle w:val="BodyText"/>
        <w:tabs>
          <w:tab w:val="left" w:pos="1080"/>
        </w:tabs>
        <w:ind w:hanging="513"/>
        <w:jc w:val="both"/>
        <w:rPr>
          <w:position w:val="1"/>
          <w:sz w:val="20"/>
        </w:rPr>
      </w:pPr>
    </w:p>
    <w:p w14:paraId="00B4F491" w14:textId="71575DC8" w:rsidR="007A5A68" w:rsidRPr="007A5A68" w:rsidRDefault="007A5A68" w:rsidP="00B66A4A">
      <w:pPr>
        <w:pStyle w:val="BodyText"/>
        <w:keepNext/>
        <w:keepLines/>
        <w:widowControl w:val="0"/>
        <w:numPr>
          <w:ilvl w:val="1"/>
          <w:numId w:val="9"/>
        </w:numPr>
        <w:tabs>
          <w:tab w:val="left" w:pos="567"/>
          <w:tab w:val="left" w:pos="876"/>
        </w:tabs>
        <w:spacing w:after="0"/>
        <w:ind w:firstLine="0"/>
        <w:jc w:val="both"/>
        <w:rPr>
          <w:sz w:val="20"/>
        </w:rPr>
      </w:pPr>
      <w:r w:rsidRPr="007A5A68">
        <w:rPr>
          <w:rFonts w:eastAsiaTheme="minorEastAsia"/>
          <w:sz w:val="20"/>
          <w:lang w:eastAsia="ja-JP"/>
        </w:rPr>
        <w:lastRenderedPageBreak/>
        <w:t xml:space="preserve">Program </w:t>
      </w:r>
      <w:r>
        <w:rPr>
          <w:rFonts w:eastAsiaTheme="minorEastAsia"/>
          <w:sz w:val="20"/>
          <w:lang w:eastAsia="ja-JP"/>
        </w:rPr>
        <w:t>7</w:t>
      </w:r>
      <w:r w:rsidRPr="007A5A68">
        <w:rPr>
          <w:rFonts w:eastAsiaTheme="minorEastAsia"/>
          <w:sz w:val="20"/>
          <w:lang w:eastAsia="ja-JP"/>
        </w:rPr>
        <w:t xml:space="preserve"> collaborates primarily with other Programs as illustrated below: </w:t>
      </w:r>
    </w:p>
    <w:p w14:paraId="5824393E" w14:textId="77777777" w:rsidR="007A5A68" w:rsidRPr="00DB4F15" w:rsidRDefault="007A5A68" w:rsidP="005412E8">
      <w:pPr>
        <w:pStyle w:val="BodyText"/>
        <w:keepNext/>
        <w:keepLines/>
        <w:tabs>
          <w:tab w:val="left" w:pos="1080"/>
        </w:tabs>
        <w:ind w:hanging="513"/>
        <w:jc w:val="both"/>
        <w:rPr>
          <w:position w:val="1"/>
          <w:sz w:val="20"/>
        </w:rPr>
      </w:pPr>
    </w:p>
    <w:p w14:paraId="12097B04" w14:textId="77777777" w:rsidR="004A6C16" w:rsidRPr="009B4A78" w:rsidRDefault="004A6C16" w:rsidP="005412E8">
      <w:pPr>
        <w:pStyle w:val="BodyText"/>
        <w:keepNext/>
        <w:keepLines/>
        <w:tabs>
          <w:tab w:val="left" w:pos="1377"/>
        </w:tabs>
        <w:jc w:val="both"/>
        <w:rPr>
          <w:position w:val="1"/>
          <w:szCs w:val="22"/>
        </w:rPr>
      </w:pPr>
      <w:r w:rsidRPr="009B4A78">
        <w:rPr>
          <w:noProof/>
        </w:rPr>
        <w:drawing>
          <wp:inline distT="0" distB="0" distL="0" distR="0" wp14:anchorId="24049177" wp14:editId="3132E9E2">
            <wp:extent cx="5956300" cy="2709975"/>
            <wp:effectExtent l="0" t="1905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FDC52FC" w14:textId="605EA123" w:rsidR="004A6C16" w:rsidRPr="009B4A78" w:rsidRDefault="004A6C16" w:rsidP="004A6C16">
      <w:pPr>
        <w:rPr>
          <w:rFonts w:ascii="Arial" w:hAnsi="Arial" w:cs="Arial"/>
        </w:rPr>
      </w:pPr>
      <w:r w:rsidRPr="009B4A78">
        <w:rPr>
          <w:rFonts w:ascii="Arial" w:hAnsi="Arial" w:cs="Arial"/>
        </w:rPr>
        <w:t>MAJOR RISKS AND MITIGATION STRATEGIES</w:t>
      </w:r>
    </w:p>
    <w:p w14:paraId="7268898D" w14:textId="77777777" w:rsidR="004A6C16" w:rsidRPr="009B4A78" w:rsidRDefault="004A6C16" w:rsidP="00F33E49">
      <w:pPr>
        <w:pStyle w:val="BodyText"/>
        <w:rPr>
          <w:w w:val="95"/>
        </w:rPr>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4A6C16" w:rsidRPr="009B4A78" w14:paraId="4BCDBEC2"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2F71D7BE" w14:textId="77777777" w:rsidR="004A6C16" w:rsidRPr="009B4A78" w:rsidRDefault="004A6C16" w:rsidP="00F33E49">
            <w:pPr>
              <w:keepNext/>
              <w:keepLines/>
              <w:jc w:val="center"/>
              <w:rPr>
                <w:rFonts w:ascii="Arial" w:hAnsi="Arial" w:cs="Arial"/>
                <w:b/>
                <w:bCs/>
                <w:sz w:val="18"/>
                <w:szCs w:val="18"/>
              </w:rPr>
            </w:pPr>
            <w:r w:rsidRPr="009B4A78">
              <w:rPr>
                <w:rFonts w:ascii="Arial" w:hAnsi="Arial" w:cs="Arial"/>
                <w:b/>
                <w:bCs/>
                <w:sz w:val="18"/>
                <w:szCs w:val="18"/>
              </w:rPr>
              <w:t>Risk</w:t>
            </w:r>
          </w:p>
        </w:tc>
        <w:tc>
          <w:tcPr>
            <w:tcW w:w="5281" w:type="dxa"/>
            <w:tcBorders>
              <w:top w:val="single" w:sz="4" w:space="0" w:color="auto"/>
              <w:bottom w:val="single" w:sz="4" w:space="0" w:color="auto"/>
            </w:tcBorders>
            <w:shd w:val="clear" w:color="auto" w:fill="C6D9F1" w:themeFill="text2" w:themeFillTint="33"/>
            <w:vAlign w:val="center"/>
          </w:tcPr>
          <w:p w14:paraId="3D6E4EB1" w14:textId="77777777" w:rsidR="004A6C16" w:rsidRPr="009B4A78" w:rsidRDefault="004A6C16" w:rsidP="00F33E49">
            <w:pPr>
              <w:keepNext/>
              <w:keepLines/>
              <w:jc w:val="center"/>
              <w:rPr>
                <w:rFonts w:ascii="Arial" w:hAnsi="Arial" w:cs="Arial"/>
                <w:b/>
                <w:bCs/>
                <w:sz w:val="18"/>
                <w:szCs w:val="18"/>
              </w:rPr>
            </w:pPr>
            <w:r w:rsidRPr="009B4A78">
              <w:rPr>
                <w:rFonts w:ascii="Arial" w:hAnsi="Arial" w:cs="Arial"/>
                <w:b/>
                <w:bCs/>
                <w:sz w:val="18"/>
                <w:szCs w:val="18"/>
              </w:rPr>
              <w:t>Mitigation</w:t>
            </w:r>
          </w:p>
        </w:tc>
      </w:tr>
      <w:tr w:rsidR="004A6C16" w:rsidRPr="009B4A78" w14:paraId="784F3D85" w14:textId="77777777" w:rsidTr="00F33E49">
        <w:trPr>
          <w:trHeight w:val="1140"/>
        </w:trPr>
        <w:tc>
          <w:tcPr>
            <w:tcW w:w="4111" w:type="dxa"/>
            <w:tcBorders>
              <w:top w:val="single" w:sz="4" w:space="0" w:color="auto"/>
            </w:tcBorders>
            <w:shd w:val="clear" w:color="auto" w:fill="auto"/>
            <w:tcMar>
              <w:top w:w="113" w:type="dxa"/>
              <w:bottom w:w="113" w:type="dxa"/>
            </w:tcMar>
          </w:tcPr>
          <w:p w14:paraId="2F1BE5E1" w14:textId="77777777"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Reduced market recognition of WIPO arbitration and mediation services.</w:t>
            </w:r>
          </w:p>
          <w:p w14:paraId="5C4EB490" w14:textId="77777777" w:rsidR="004A6C16" w:rsidRPr="009B4A78" w:rsidRDefault="004A6C16" w:rsidP="00F33E49">
            <w:pPr>
              <w:keepNext/>
              <w:keepLines/>
              <w:rPr>
                <w:rFonts w:ascii="Arial" w:hAnsi="Arial" w:cs="Arial"/>
                <w:sz w:val="16"/>
                <w:szCs w:val="16"/>
              </w:rPr>
            </w:pPr>
          </w:p>
        </w:tc>
        <w:tc>
          <w:tcPr>
            <w:tcW w:w="5281" w:type="dxa"/>
            <w:tcBorders>
              <w:top w:val="single" w:sz="4" w:space="0" w:color="auto"/>
            </w:tcBorders>
            <w:shd w:val="clear" w:color="auto" w:fill="auto"/>
            <w:tcMar>
              <w:top w:w="113" w:type="dxa"/>
              <w:bottom w:w="113" w:type="dxa"/>
            </w:tcMar>
          </w:tcPr>
          <w:p w14:paraId="5271F19F" w14:textId="77777777" w:rsidR="004A6C16" w:rsidRPr="009B4A78" w:rsidRDefault="004A6C16" w:rsidP="00F33E49">
            <w:pPr>
              <w:keepNext/>
              <w:keepLines/>
              <w:rPr>
                <w:rFonts w:ascii="Arial" w:hAnsi="Arial" w:cs="Arial"/>
                <w:sz w:val="16"/>
                <w:szCs w:val="16"/>
              </w:rPr>
            </w:pPr>
            <w:r w:rsidRPr="009B4A78">
              <w:rPr>
                <w:rFonts w:ascii="Arial" w:hAnsi="Arial" w:cs="Arial"/>
                <w:color w:val="000000"/>
                <w:sz w:val="16"/>
                <w:szCs w:val="16"/>
              </w:rPr>
              <w:t>Leveraging Center position as the international IP ADR specialist:  intensified collaboration with the PCT and other Programs;  participation in events through WIPO neutrals;  more regular partnering with IP and related associations;  maximizing use of Center presence in Singapore for increased regional activity;  working off new research on user practices and expectations;   upgrading of marketing infrastructure.</w:t>
            </w:r>
          </w:p>
        </w:tc>
      </w:tr>
      <w:tr w:rsidR="004A6C16" w:rsidRPr="009B4A78" w14:paraId="674ACF20" w14:textId="77777777" w:rsidTr="00F33E49">
        <w:trPr>
          <w:trHeight w:val="1188"/>
        </w:trPr>
        <w:tc>
          <w:tcPr>
            <w:tcW w:w="4111" w:type="dxa"/>
            <w:shd w:val="clear" w:color="auto" w:fill="auto"/>
            <w:tcMar>
              <w:top w:w="113" w:type="dxa"/>
              <w:bottom w:w="113" w:type="dxa"/>
            </w:tcMar>
          </w:tcPr>
          <w:p w14:paraId="12F81294" w14:textId="77777777"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Decrease in UDRP filing, affecting WIPO DNS policy influence and Center status in DNS ADR.</w:t>
            </w:r>
          </w:p>
          <w:p w14:paraId="51ED6399" w14:textId="77777777" w:rsidR="004A6C16" w:rsidRPr="009B4A78" w:rsidRDefault="004A6C16" w:rsidP="00F33E49">
            <w:pPr>
              <w:keepNext/>
              <w:keepLines/>
              <w:rPr>
                <w:rFonts w:ascii="Arial" w:hAnsi="Arial" w:cs="Arial"/>
                <w:color w:val="000000"/>
                <w:sz w:val="16"/>
                <w:szCs w:val="16"/>
              </w:rPr>
            </w:pPr>
          </w:p>
          <w:p w14:paraId="1B12C864" w14:textId="77777777" w:rsidR="004A6C16" w:rsidRPr="009B4A78" w:rsidRDefault="004A6C16" w:rsidP="00F33E49">
            <w:pPr>
              <w:keepNext/>
              <w:keepLines/>
              <w:rPr>
                <w:rFonts w:ascii="Arial" w:hAnsi="Arial" w:cs="Arial"/>
                <w:b/>
                <w:i/>
                <w:color w:val="000000"/>
                <w:sz w:val="16"/>
                <w:szCs w:val="16"/>
              </w:rPr>
            </w:pPr>
          </w:p>
        </w:tc>
        <w:tc>
          <w:tcPr>
            <w:tcW w:w="5281" w:type="dxa"/>
            <w:shd w:val="clear" w:color="auto" w:fill="auto"/>
            <w:tcMar>
              <w:top w:w="113" w:type="dxa"/>
              <w:bottom w:w="113" w:type="dxa"/>
            </w:tcMar>
          </w:tcPr>
          <w:p w14:paraId="3A9E55B5" w14:textId="06FEA2F1"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Increasing user-friendliness;  Adjusting UDRP procedures (where ICANN-tolerated);  continued Uniform Rapid Suspension (i.e.(URS)) monitoring;  participating in ICANN UDRP review;  more regular partnering with IP and related associations;  prioritizing case administration and policy development resources to strike balance between “staying in the market” and adding specific WIPO value.</w:t>
            </w:r>
          </w:p>
        </w:tc>
      </w:tr>
    </w:tbl>
    <w:p w14:paraId="3BF8FEAE" w14:textId="77777777" w:rsidR="004A6C16" w:rsidRPr="009B4A78" w:rsidRDefault="004A6C16" w:rsidP="00F33E49">
      <w:pPr>
        <w:rPr>
          <w:rFonts w:ascii="Arial" w:hAnsi="Arial" w:cs="Arial"/>
        </w:rPr>
      </w:pPr>
    </w:p>
    <w:p w14:paraId="2958B52D" w14:textId="77777777" w:rsidR="004A6C16" w:rsidRPr="009B4A78" w:rsidRDefault="004A6C16" w:rsidP="004A6C16">
      <w:pPr>
        <w:pStyle w:val="BodyText"/>
        <w:spacing w:after="0"/>
      </w:pPr>
    </w:p>
    <w:p w14:paraId="2816518C" w14:textId="77777777" w:rsidR="004A6C16" w:rsidRPr="009B4A78" w:rsidRDefault="004A6C16" w:rsidP="004A6C16">
      <w:pPr>
        <w:pStyle w:val="BodyText"/>
        <w:keepNext/>
        <w:keepLines/>
        <w:spacing w:after="0"/>
      </w:pPr>
      <w:r w:rsidRPr="009B4A78">
        <w:lastRenderedPageBreak/>
        <w:t>RESULTS FRAMEWORK</w:t>
      </w:r>
    </w:p>
    <w:p w14:paraId="7B433555" w14:textId="77777777" w:rsidR="004A6C16" w:rsidRPr="009B4A78" w:rsidRDefault="004A6C16" w:rsidP="004A6C16">
      <w:pPr>
        <w:pStyle w:val="BodyText"/>
        <w:keepNext/>
        <w:keepLines/>
        <w:spacing w:after="0"/>
        <w:rPr>
          <w:w w:val="95"/>
        </w:rPr>
      </w:pPr>
    </w:p>
    <w:tbl>
      <w:tblPr>
        <w:tblW w:w="9371" w:type="dxa"/>
        <w:tblInd w:w="93" w:type="dxa"/>
        <w:tblLook w:val="04A0" w:firstRow="1" w:lastRow="0" w:firstColumn="1" w:lastColumn="0" w:noHBand="0" w:noVBand="1"/>
      </w:tblPr>
      <w:tblGrid>
        <w:gridCol w:w="2425"/>
        <w:gridCol w:w="2552"/>
        <w:gridCol w:w="2223"/>
        <w:gridCol w:w="2171"/>
      </w:tblGrid>
      <w:tr w:rsidR="004A6C16" w:rsidRPr="009B4A78" w14:paraId="52EC6C5C" w14:textId="77777777" w:rsidTr="00FB68E0">
        <w:trPr>
          <w:trHeight w:val="615"/>
        </w:trPr>
        <w:tc>
          <w:tcPr>
            <w:tcW w:w="2425"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C61F709"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Expected Results</w:t>
            </w:r>
          </w:p>
        </w:tc>
        <w:tc>
          <w:tcPr>
            <w:tcW w:w="2552" w:type="dxa"/>
            <w:tcBorders>
              <w:top w:val="single" w:sz="4" w:space="0" w:color="auto"/>
              <w:left w:val="nil"/>
              <w:bottom w:val="single" w:sz="4" w:space="0" w:color="auto"/>
              <w:right w:val="nil"/>
            </w:tcBorders>
            <w:shd w:val="clear" w:color="auto" w:fill="C6D9F1" w:themeFill="text2" w:themeFillTint="33"/>
            <w:noWrap/>
            <w:vAlign w:val="center"/>
            <w:hideMark/>
          </w:tcPr>
          <w:p w14:paraId="354F0989"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Performance Indicators</w:t>
            </w:r>
          </w:p>
        </w:tc>
        <w:tc>
          <w:tcPr>
            <w:tcW w:w="2223" w:type="dxa"/>
            <w:tcBorders>
              <w:top w:val="single" w:sz="4" w:space="0" w:color="auto"/>
              <w:left w:val="nil"/>
              <w:bottom w:val="single" w:sz="4" w:space="0" w:color="auto"/>
              <w:right w:val="nil"/>
            </w:tcBorders>
            <w:shd w:val="clear" w:color="auto" w:fill="C6D9F1" w:themeFill="text2" w:themeFillTint="33"/>
            <w:noWrap/>
            <w:vAlign w:val="center"/>
            <w:hideMark/>
          </w:tcPr>
          <w:p w14:paraId="342D8A83"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Baselines</w:t>
            </w:r>
          </w:p>
        </w:tc>
        <w:tc>
          <w:tcPr>
            <w:tcW w:w="217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22790D7"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Targets</w:t>
            </w:r>
          </w:p>
        </w:tc>
      </w:tr>
      <w:tr w:rsidR="004A6C16" w:rsidRPr="009B4A78" w14:paraId="1613A871" w14:textId="77777777" w:rsidTr="00FB68E0">
        <w:trPr>
          <w:trHeight w:val="3561"/>
        </w:trPr>
        <w:tc>
          <w:tcPr>
            <w:tcW w:w="2425" w:type="dxa"/>
            <w:vMerge w:val="restart"/>
            <w:tcBorders>
              <w:top w:val="nil"/>
              <w:left w:val="single" w:sz="4" w:space="0" w:color="auto"/>
              <w:bottom w:val="nil"/>
              <w:right w:val="nil"/>
            </w:tcBorders>
            <w:shd w:val="clear" w:color="000000" w:fill="FFFFFF"/>
            <w:hideMark/>
          </w:tcPr>
          <w:p w14:paraId="5305E09C" w14:textId="77777777" w:rsidR="004A6C16" w:rsidRPr="009B4A78" w:rsidRDefault="004A6C16" w:rsidP="004A6C16">
            <w:pPr>
              <w:keepNext/>
              <w:keepLines/>
              <w:tabs>
                <w:tab w:val="left" w:pos="2175"/>
                <w:tab w:val="left" w:pos="2209"/>
              </w:tabs>
              <w:ind w:right="175"/>
              <w:rPr>
                <w:rFonts w:ascii="Arial" w:eastAsia="Times New Roman" w:hAnsi="Arial" w:cs="Arial"/>
                <w:color w:val="000000"/>
                <w:sz w:val="16"/>
                <w:szCs w:val="16"/>
              </w:rPr>
            </w:pPr>
            <w:r w:rsidRPr="009B4A78">
              <w:rPr>
                <w:rFonts w:ascii="Arial" w:eastAsia="Times New Roman" w:hAnsi="Arial" w:cs="Arial"/>
                <w:color w:val="000000"/>
                <w:sz w:val="16"/>
                <w:szCs w:val="16"/>
              </w:rPr>
              <w:br/>
              <w:t>II.8 International and domestic intellectual property disputes are increasingly prevented or resolved through  WIPO mediation, arbitration and other alternative dispute resolution methods</w:t>
            </w:r>
          </w:p>
        </w:tc>
        <w:tc>
          <w:tcPr>
            <w:tcW w:w="2552" w:type="dxa"/>
            <w:tcBorders>
              <w:top w:val="nil"/>
              <w:left w:val="nil"/>
              <w:bottom w:val="nil"/>
              <w:right w:val="nil"/>
            </w:tcBorders>
            <w:shd w:val="clear" w:color="000000" w:fill="FFFFFF"/>
            <w:hideMark/>
          </w:tcPr>
          <w:p w14:paraId="23869CB0" w14:textId="77777777" w:rsidR="004A6C16" w:rsidRPr="009B4A78" w:rsidRDefault="004A6C16" w:rsidP="004A6C16">
            <w:pPr>
              <w:keepNext/>
              <w:keepLines/>
              <w:ind w:right="176"/>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Increased use of alternative dispute resolution services and clauses in intellectual property transactions and registrations, including through WIPO procedures </w:t>
            </w:r>
          </w:p>
        </w:tc>
        <w:tc>
          <w:tcPr>
            <w:tcW w:w="2223" w:type="dxa"/>
            <w:tcBorders>
              <w:top w:val="nil"/>
              <w:left w:val="nil"/>
              <w:bottom w:val="nil"/>
              <w:right w:val="nil"/>
            </w:tcBorders>
            <w:shd w:val="clear" w:color="000000" w:fill="FFFFFF"/>
            <w:hideMark/>
          </w:tcPr>
          <w:p w14:paraId="7E35C182" w14:textId="77777777" w:rsidR="004A6C16" w:rsidRPr="009B4A78" w:rsidRDefault="004A6C16" w:rsidP="004A6C16">
            <w:pPr>
              <w:keepNext/>
              <w:keepLines/>
              <w:ind w:right="273"/>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393 disputes and 148 </w:t>
            </w:r>
            <w:proofErr w:type="spellStart"/>
            <w:r w:rsidRPr="009B4A78">
              <w:rPr>
                <w:rFonts w:ascii="Arial" w:eastAsia="Times New Roman" w:hAnsi="Arial" w:cs="Arial"/>
                <w:color w:val="000000"/>
                <w:sz w:val="16"/>
                <w:szCs w:val="16"/>
              </w:rPr>
              <w:t>bons</w:t>
            </w:r>
            <w:proofErr w:type="spellEnd"/>
            <w:r w:rsidRPr="009B4A78">
              <w:rPr>
                <w:rFonts w:ascii="Arial" w:eastAsia="Times New Roman" w:hAnsi="Arial" w:cs="Arial"/>
                <w:color w:val="000000"/>
                <w:sz w:val="16"/>
                <w:szCs w:val="16"/>
              </w:rPr>
              <w:t xml:space="preserve"> offices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4,000 incoming queries (2012/13)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1.553 million Web visits (2014) </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408 participants at Center events (2012/13)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4,000 participants at events involving Center representation (2012/13)</w:t>
            </w:r>
          </w:p>
        </w:tc>
        <w:tc>
          <w:tcPr>
            <w:tcW w:w="2171" w:type="dxa"/>
            <w:tcBorders>
              <w:top w:val="nil"/>
              <w:left w:val="nil"/>
              <w:bottom w:val="nil"/>
              <w:right w:val="single" w:sz="4" w:space="0" w:color="auto"/>
            </w:tcBorders>
            <w:shd w:val="clear" w:color="000000" w:fill="FFFFFF"/>
            <w:hideMark/>
          </w:tcPr>
          <w:p w14:paraId="6F4D938E"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40 additional disputes and </w:t>
            </w:r>
            <w:proofErr w:type="spellStart"/>
            <w:r w:rsidRPr="009B4A78">
              <w:rPr>
                <w:rFonts w:ascii="Arial" w:eastAsia="Times New Roman" w:hAnsi="Arial" w:cs="Arial"/>
                <w:color w:val="000000"/>
                <w:sz w:val="16"/>
                <w:szCs w:val="16"/>
              </w:rPr>
              <w:t>bons</w:t>
            </w:r>
            <w:proofErr w:type="spellEnd"/>
            <w:r w:rsidRPr="009B4A78">
              <w:rPr>
                <w:rFonts w:ascii="Arial" w:eastAsia="Times New Roman" w:hAnsi="Arial" w:cs="Arial"/>
                <w:color w:val="000000"/>
                <w:sz w:val="16"/>
                <w:szCs w:val="16"/>
              </w:rPr>
              <w:t xml:space="preserve"> offices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0E22AE0B"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t>4,000 additional queries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637B8E6C"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t>1.5 million additional Web visits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250 participants at Center events </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6,000 participants at events involving Center representation</w:t>
            </w:r>
          </w:p>
        </w:tc>
      </w:tr>
      <w:tr w:rsidR="004A6C16" w:rsidRPr="009B4A78" w14:paraId="0230D8E7" w14:textId="77777777" w:rsidTr="00FB68E0">
        <w:trPr>
          <w:trHeight w:val="1818"/>
        </w:trPr>
        <w:tc>
          <w:tcPr>
            <w:tcW w:w="2425" w:type="dxa"/>
            <w:vMerge/>
            <w:tcBorders>
              <w:top w:val="nil"/>
              <w:left w:val="single" w:sz="4" w:space="0" w:color="auto"/>
              <w:bottom w:val="nil"/>
              <w:right w:val="nil"/>
            </w:tcBorders>
            <w:vAlign w:val="center"/>
            <w:hideMark/>
          </w:tcPr>
          <w:p w14:paraId="0B31BD69" w14:textId="77777777" w:rsidR="004A6C16" w:rsidRPr="009B4A78" w:rsidRDefault="004A6C16" w:rsidP="00F33E49">
            <w:pPr>
              <w:tabs>
                <w:tab w:val="left" w:pos="2175"/>
                <w:tab w:val="left" w:pos="2209"/>
              </w:tabs>
              <w:ind w:right="175"/>
              <w:rPr>
                <w:rFonts w:ascii="Arial" w:eastAsia="Times New Roman" w:hAnsi="Arial" w:cs="Arial"/>
                <w:color w:val="000000"/>
                <w:sz w:val="16"/>
                <w:szCs w:val="16"/>
              </w:rPr>
            </w:pPr>
          </w:p>
        </w:tc>
        <w:tc>
          <w:tcPr>
            <w:tcW w:w="2552" w:type="dxa"/>
            <w:tcBorders>
              <w:top w:val="nil"/>
              <w:left w:val="nil"/>
              <w:right w:val="nil"/>
            </w:tcBorders>
            <w:shd w:val="clear" w:color="000000" w:fill="FFFFFF"/>
            <w:hideMark/>
          </w:tcPr>
          <w:p w14:paraId="0E3C2E21"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Alternative dispute resolution policies to which the Center has contributed in respect of their development and implementation</w:t>
            </w:r>
          </w:p>
        </w:tc>
        <w:tc>
          <w:tcPr>
            <w:tcW w:w="2223" w:type="dxa"/>
            <w:tcBorders>
              <w:top w:val="nil"/>
              <w:left w:val="nil"/>
              <w:right w:val="nil"/>
            </w:tcBorders>
            <w:shd w:val="clear" w:color="000000" w:fill="FFFFFF"/>
            <w:hideMark/>
          </w:tcPr>
          <w:p w14:paraId="35C25851"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15 schemes adopted (AEF, AGICOA, DGIPR, DNDA, EGEDA, ETSI, Film and Media, ICOM, IMPI, INPI-BR, IPAG, IPOPHL, IPOS(M), IPOS(ED), ITPGRFA) (cumulative per end 2014)</w:t>
            </w:r>
          </w:p>
        </w:tc>
        <w:tc>
          <w:tcPr>
            <w:tcW w:w="2171" w:type="dxa"/>
            <w:tcBorders>
              <w:top w:val="nil"/>
              <w:left w:val="nil"/>
              <w:right w:val="single" w:sz="4" w:space="0" w:color="auto"/>
            </w:tcBorders>
            <w:shd w:val="clear" w:color="000000" w:fill="FFFFFF"/>
            <w:hideMark/>
          </w:tcPr>
          <w:p w14:paraId="7BC2FB55"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One to three additional schemes</w:t>
            </w:r>
          </w:p>
        </w:tc>
      </w:tr>
      <w:tr w:rsidR="004A6C16" w:rsidRPr="009B4A78" w14:paraId="66982053" w14:textId="77777777" w:rsidTr="00FB68E0">
        <w:trPr>
          <w:trHeight w:val="1844"/>
        </w:trPr>
        <w:tc>
          <w:tcPr>
            <w:tcW w:w="2425" w:type="dxa"/>
            <w:vMerge w:val="restart"/>
            <w:tcBorders>
              <w:top w:val="nil"/>
              <w:left w:val="single" w:sz="4" w:space="0" w:color="auto"/>
              <w:bottom w:val="single" w:sz="4" w:space="0" w:color="000000"/>
              <w:right w:val="nil"/>
            </w:tcBorders>
            <w:shd w:val="clear" w:color="000000" w:fill="FFFFFF"/>
            <w:hideMark/>
          </w:tcPr>
          <w:p w14:paraId="26FDD47C" w14:textId="77777777" w:rsidR="004A6C16" w:rsidRPr="009B4A78" w:rsidRDefault="004A6C16" w:rsidP="00F33E49">
            <w:pPr>
              <w:tabs>
                <w:tab w:val="left" w:pos="2175"/>
                <w:tab w:val="left" w:pos="2209"/>
              </w:tabs>
              <w:ind w:right="175"/>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II.9 Effective intellectual property protection in the </w:t>
            </w:r>
            <w:proofErr w:type="spellStart"/>
            <w:r w:rsidRPr="009B4A78">
              <w:rPr>
                <w:rFonts w:ascii="Arial" w:eastAsia="Times New Roman" w:hAnsi="Arial" w:cs="Arial"/>
                <w:color w:val="000000"/>
                <w:sz w:val="16"/>
                <w:szCs w:val="16"/>
              </w:rPr>
              <w:t>gTLDs</w:t>
            </w:r>
            <w:proofErr w:type="spellEnd"/>
            <w:r w:rsidRPr="009B4A78">
              <w:rPr>
                <w:rFonts w:ascii="Arial" w:eastAsia="Times New Roman" w:hAnsi="Arial" w:cs="Arial"/>
                <w:color w:val="000000"/>
                <w:sz w:val="16"/>
                <w:szCs w:val="16"/>
              </w:rPr>
              <w:t xml:space="preserve"> and the </w:t>
            </w:r>
            <w:proofErr w:type="spellStart"/>
            <w:r w:rsidRPr="009B4A78">
              <w:rPr>
                <w:rFonts w:ascii="Arial" w:eastAsia="Times New Roman" w:hAnsi="Arial" w:cs="Arial"/>
                <w:color w:val="000000"/>
                <w:sz w:val="16"/>
                <w:szCs w:val="16"/>
              </w:rPr>
              <w:t>ccTLDs</w:t>
            </w:r>
            <w:proofErr w:type="spellEnd"/>
          </w:p>
        </w:tc>
        <w:tc>
          <w:tcPr>
            <w:tcW w:w="2552" w:type="dxa"/>
            <w:tcBorders>
              <w:top w:val="nil"/>
              <w:left w:val="nil"/>
              <w:right w:val="nil"/>
            </w:tcBorders>
            <w:shd w:val="clear" w:color="000000" w:fill="FFFFFF"/>
            <w:hideMark/>
          </w:tcPr>
          <w:p w14:paraId="72CD6639"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No. of UDRP based </w:t>
            </w:r>
            <w:proofErr w:type="spellStart"/>
            <w:r w:rsidRPr="009B4A78">
              <w:rPr>
                <w:rFonts w:ascii="Arial" w:eastAsia="Times New Roman" w:hAnsi="Arial" w:cs="Arial"/>
                <w:color w:val="000000"/>
                <w:sz w:val="16"/>
                <w:szCs w:val="16"/>
              </w:rPr>
              <w:t>gTLD</w:t>
            </w:r>
            <w:proofErr w:type="spellEnd"/>
            <w:r w:rsidRPr="009B4A78">
              <w:rPr>
                <w:rFonts w:ascii="Arial" w:eastAsia="Times New Roman" w:hAnsi="Arial" w:cs="Arial"/>
                <w:color w:val="000000"/>
                <w:sz w:val="16"/>
                <w:szCs w:val="16"/>
              </w:rPr>
              <w:t xml:space="preserve"> and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 xml:space="preserve"> cases administered by the Center</w:t>
            </w:r>
          </w:p>
        </w:tc>
        <w:tc>
          <w:tcPr>
            <w:tcW w:w="2223" w:type="dxa"/>
            <w:tcBorders>
              <w:top w:val="nil"/>
              <w:left w:val="nil"/>
              <w:right w:val="nil"/>
            </w:tcBorders>
            <w:shd w:val="clear" w:color="000000" w:fill="FFFFFF"/>
            <w:hideMark/>
          </w:tcPr>
          <w:p w14:paraId="4CD78CFF"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27,189 </w:t>
            </w:r>
            <w:proofErr w:type="spellStart"/>
            <w:r w:rsidRPr="009B4A78">
              <w:rPr>
                <w:rFonts w:ascii="Arial" w:eastAsia="Times New Roman" w:hAnsi="Arial" w:cs="Arial"/>
                <w:color w:val="000000"/>
                <w:sz w:val="16"/>
                <w:szCs w:val="16"/>
              </w:rPr>
              <w:t>gTLD</w:t>
            </w:r>
            <w:proofErr w:type="spellEnd"/>
            <w:r w:rsidRPr="009B4A78">
              <w:rPr>
                <w:rFonts w:ascii="Arial" w:eastAsia="Times New Roman" w:hAnsi="Arial" w:cs="Arial"/>
                <w:color w:val="000000"/>
                <w:sz w:val="16"/>
                <w:szCs w:val="16"/>
              </w:rPr>
              <w:t xml:space="preserve"> cases administered by the Center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3,144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-only cases administered by the Center (cumulative per end 2014)</w:t>
            </w:r>
          </w:p>
        </w:tc>
        <w:tc>
          <w:tcPr>
            <w:tcW w:w="2171" w:type="dxa"/>
            <w:tcBorders>
              <w:top w:val="nil"/>
              <w:left w:val="nil"/>
              <w:right w:val="single" w:sz="4" w:space="0" w:color="auto"/>
            </w:tcBorders>
            <w:shd w:val="clear" w:color="000000" w:fill="FFFFFF"/>
            <w:hideMark/>
          </w:tcPr>
          <w:p w14:paraId="0448E8E2"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3,000 additional </w:t>
            </w:r>
            <w:proofErr w:type="spellStart"/>
            <w:r w:rsidRPr="009B4A78">
              <w:rPr>
                <w:rFonts w:ascii="Arial" w:eastAsia="Times New Roman" w:hAnsi="Arial" w:cs="Arial"/>
                <w:color w:val="000000"/>
                <w:sz w:val="16"/>
                <w:szCs w:val="16"/>
              </w:rPr>
              <w:t>gTLD</w:t>
            </w:r>
            <w:proofErr w:type="spellEnd"/>
            <w:r w:rsidRPr="009B4A78">
              <w:rPr>
                <w:rFonts w:ascii="Arial" w:eastAsia="Times New Roman" w:hAnsi="Arial" w:cs="Arial"/>
                <w:color w:val="000000"/>
                <w:sz w:val="16"/>
                <w:szCs w:val="16"/>
              </w:rPr>
              <w:t xml:space="preserve"> cases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7C1ADC32" w14:textId="77777777" w:rsidR="004A6C16" w:rsidRPr="009B4A78" w:rsidRDefault="004A6C16" w:rsidP="00F33E49">
            <w:pPr>
              <w:ind w:right="34"/>
              <w:rPr>
                <w:rFonts w:ascii="Arial" w:eastAsia="Times New Roman" w:hAnsi="Arial" w:cs="Arial"/>
                <w:color w:val="000000"/>
                <w:sz w:val="16"/>
                <w:szCs w:val="16"/>
              </w:rPr>
            </w:pPr>
          </w:p>
          <w:p w14:paraId="2D7E6FEA"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350 additional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-only cases</w:t>
            </w:r>
          </w:p>
        </w:tc>
      </w:tr>
      <w:tr w:rsidR="004A6C16" w:rsidRPr="009B4A78" w14:paraId="491CE386" w14:textId="77777777" w:rsidTr="00FB68E0">
        <w:trPr>
          <w:trHeight w:val="2123"/>
        </w:trPr>
        <w:tc>
          <w:tcPr>
            <w:tcW w:w="2425" w:type="dxa"/>
            <w:vMerge/>
            <w:tcBorders>
              <w:top w:val="nil"/>
              <w:left w:val="single" w:sz="4" w:space="0" w:color="auto"/>
              <w:bottom w:val="single" w:sz="4" w:space="0" w:color="000000"/>
              <w:right w:val="nil"/>
            </w:tcBorders>
            <w:vAlign w:val="center"/>
            <w:hideMark/>
          </w:tcPr>
          <w:p w14:paraId="751CF275" w14:textId="77777777" w:rsidR="004A6C16" w:rsidRPr="009B4A78" w:rsidRDefault="004A6C16" w:rsidP="00F33E49">
            <w:pPr>
              <w:rPr>
                <w:rFonts w:ascii="Arial" w:eastAsia="Times New Roman" w:hAnsi="Arial" w:cs="Arial"/>
                <w:color w:val="000000"/>
                <w:sz w:val="16"/>
                <w:szCs w:val="16"/>
              </w:rPr>
            </w:pPr>
          </w:p>
        </w:tc>
        <w:tc>
          <w:tcPr>
            <w:tcW w:w="2552" w:type="dxa"/>
            <w:tcBorders>
              <w:left w:val="nil"/>
              <w:bottom w:val="single" w:sz="4" w:space="0" w:color="auto"/>
              <w:right w:val="nil"/>
            </w:tcBorders>
            <w:shd w:val="clear" w:color="000000" w:fill="FFFFFF"/>
            <w:hideMark/>
          </w:tcPr>
          <w:p w14:paraId="728E5854"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Dispute resolution policies in the Domain Name System to which the Center has contributed in respect of their development and implementation</w:t>
            </w:r>
          </w:p>
        </w:tc>
        <w:tc>
          <w:tcPr>
            <w:tcW w:w="2223" w:type="dxa"/>
            <w:tcBorders>
              <w:left w:val="nil"/>
              <w:bottom w:val="single" w:sz="4" w:space="0" w:color="auto"/>
              <w:right w:val="nil"/>
            </w:tcBorders>
            <w:shd w:val="clear" w:color="000000" w:fill="FFFFFF"/>
            <w:hideMark/>
          </w:tcPr>
          <w:p w14:paraId="59DF8906"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UDRP, Pre-Delegation Dispute Resolution Policy, Trademark Post-Delegation Dispute Resolution Procedure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72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 xml:space="preserve"> administrators (cumulative per end 2014)</w:t>
            </w:r>
          </w:p>
        </w:tc>
        <w:tc>
          <w:tcPr>
            <w:tcW w:w="2171" w:type="dxa"/>
            <w:tcBorders>
              <w:left w:val="nil"/>
              <w:bottom w:val="single" w:sz="4" w:space="0" w:color="auto"/>
              <w:right w:val="single" w:sz="4" w:space="0" w:color="auto"/>
            </w:tcBorders>
            <w:shd w:val="clear" w:color="000000" w:fill="FFFFFF"/>
            <w:hideMark/>
          </w:tcPr>
          <w:p w14:paraId="6F98846B"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Implementation in the Domain Name System of WIPO policy and process recommendations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Two to four new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 xml:space="preserve"> administrators</w:t>
            </w:r>
          </w:p>
        </w:tc>
      </w:tr>
    </w:tbl>
    <w:p w14:paraId="74515FAC" w14:textId="77777777" w:rsidR="004A6C16" w:rsidRPr="009B4A78" w:rsidRDefault="004A6C16" w:rsidP="00F33E49">
      <w:pPr>
        <w:pStyle w:val="BodyText"/>
        <w:rPr>
          <w:w w:val="95"/>
        </w:rPr>
      </w:pPr>
    </w:p>
    <w:p w14:paraId="2DB62721" w14:textId="17B5C8D3" w:rsidR="00DB4F15" w:rsidRDefault="00DB4F15">
      <w:pPr>
        <w:rPr>
          <w:rFonts w:ascii="Arial" w:hAnsi="Arial" w:cs="Arial"/>
          <w:szCs w:val="20"/>
        </w:rPr>
      </w:pPr>
    </w:p>
    <w:p w14:paraId="7F772FD3" w14:textId="4E40F9A6" w:rsidR="004A6C16" w:rsidRPr="009B4A78" w:rsidRDefault="004A6C16" w:rsidP="00FB68E0">
      <w:pPr>
        <w:keepNext/>
        <w:keepLines/>
        <w:rPr>
          <w:rFonts w:ascii="Arial" w:hAnsi="Arial" w:cs="Arial"/>
          <w:szCs w:val="20"/>
        </w:rPr>
      </w:pPr>
      <w:r w:rsidRPr="009B4A78">
        <w:rPr>
          <w:rFonts w:ascii="Arial" w:hAnsi="Arial" w:cs="Arial"/>
          <w:szCs w:val="20"/>
        </w:rPr>
        <w:t>RESOURCES FOR PROGRAM 7</w:t>
      </w:r>
    </w:p>
    <w:p w14:paraId="1A72AF76" w14:textId="77777777" w:rsidR="004A6C16" w:rsidRPr="009B4A78" w:rsidRDefault="004A6C16" w:rsidP="00FB68E0">
      <w:pPr>
        <w:keepNext/>
        <w:keepLines/>
        <w:rPr>
          <w:rFonts w:ascii="Arial" w:hAnsi="Arial" w:cs="Arial"/>
          <w:szCs w:val="20"/>
        </w:rPr>
      </w:pPr>
    </w:p>
    <w:p w14:paraId="3CC1F472" w14:textId="6CEE944E" w:rsidR="004A6C16" w:rsidRPr="00FB68E0" w:rsidRDefault="004A6C16" w:rsidP="00B66A4A">
      <w:pPr>
        <w:pStyle w:val="BodyText"/>
        <w:widowControl w:val="0"/>
        <w:numPr>
          <w:ilvl w:val="1"/>
          <w:numId w:val="9"/>
        </w:numPr>
        <w:tabs>
          <w:tab w:val="left" w:pos="567"/>
          <w:tab w:val="left" w:pos="876"/>
        </w:tabs>
        <w:spacing w:after="0"/>
        <w:ind w:firstLine="0"/>
        <w:jc w:val="both"/>
        <w:rPr>
          <w:rFonts w:eastAsia="Arial"/>
          <w:sz w:val="20"/>
        </w:rPr>
      </w:pPr>
      <w:r w:rsidRPr="00FB68E0">
        <w:rPr>
          <w:rFonts w:eastAsia="Arial"/>
          <w:sz w:val="20"/>
        </w:rPr>
        <w:t xml:space="preserve">A slight increase can be observed in the overall resources for the Program in 2016/17 compared to the 2014/15 Budget after Transfers.  This is due to the change in the costing methodology for personnel resources in 2016/17 based on actuals. </w:t>
      </w:r>
    </w:p>
    <w:p w14:paraId="77CB8430" w14:textId="77777777" w:rsidR="004A6C16" w:rsidRPr="00FB68E0" w:rsidRDefault="004A6C16">
      <w:pPr>
        <w:rPr>
          <w:rFonts w:ascii="Arial" w:eastAsia="Arial" w:hAnsi="Arial" w:cs="Arial"/>
          <w:sz w:val="20"/>
          <w:szCs w:val="20"/>
          <w:lang w:eastAsia="en-US"/>
        </w:rPr>
      </w:pPr>
    </w:p>
    <w:p w14:paraId="559B3047" w14:textId="10C5F22C" w:rsidR="004A6C16" w:rsidRPr="00FB68E0" w:rsidRDefault="004A6C16" w:rsidP="00B66A4A">
      <w:pPr>
        <w:pStyle w:val="BodyText"/>
        <w:widowControl w:val="0"/>
        <w:numPr>
          <w:ilvl w:val="1"/>
          <w:numId w:val="9"/>
        </w:numPr>
        <w:tabs>
          <w:tab w:val="left" w:pos="567"/>
          <w:tab w:val="left" w:pos="876"/>
        </w:tabs>
        <w:spacing w:after="0"/>
        <w:ind w:firstLine="0"/>
        <w:jc w:val="both"/>
        <w:rPr>
          <w:rFonts w:eastAsia="Arial"/>
          <w:sz w:val="20"/>
        </w:rPr>
      </w:pPr>
      <w:r w:rsidRPr="00FB68E0">
        <w:rPr>
          <w:rFonts w:eastAsia="Arial"/>
          <w:sz w:val="20"/>
        </w:rPr>
        <w:t xml:space="preserve">The shift in resources from Expected Result II.9 to II.8 reflects the enhanced emphasis on </w:t>
      </w:r>
      <w:r w:rsidR="009A2E90" w:rsidRPr="00FB68E0">
        <w:rPr>
          <w:rFonts w:eastAsia="Arial"/>
          <w:sz w:val="20"/>
        </w:rPr>
        <w:t xml:space="preserve">developing the </w:t>
      </w:r>
      <w:r w:rsidRPr="00FB68E0">
        <w:rPr>
          <w:rFonts w:eastAsia="Arial"/>
          <w:sz w:val="20"/>
        </w:rPr>
        <w:t>use of alternative dispute resolution (ADR) options</w:t>
      </w:r>
      <w:r w:rsidR="009A2E90" w:rsidRPr="00FB68E0">
        <w:rPr>
          <w:rFonts w:eastAsia="Arial"/>
          <w:sz w:val="20"/>
        </w:rPr>
        <w:t xml:space="preserve"> in response to member States requests</w:t>
      </w:r>
      <w:r w:rsidRPr="00FB68E0">
        <w:rPr>
          <w:rFonts w:eastAsia="Arial"/>
          <w:sz w:val="20"/>
        </w:rPr>
        <w:t>.</w:t>
      </w:r>
    </w:p>
    <w:p w14:paraId="3D9803F6" w14:textId="77777777" w:rsidR="004A6C16" w:rsidRPr="00FB68E0" w:rsidRDefault="004A6C16">
      <w:pPr>
        <w:rPr>
          <w:rFonts w:ascii="Arial" w:eastAsia="Arial" w:hAnsi="Arial" w:cs="Arial"/>
          <w:sz w:val="20"/>
          <w:szCs w:val="20"/>
          <w:lang w:eastAsia="en-US"/>
        </w:rPr>
      </w:pPr>
    </w:p>
    <w:p w14:paraId="0BDCCAFD" w14:textId="77777777" w:rsidR="004A6C16" w:rsidRPr="009B4A78" w:rsidRDefault="004A6C16" w:rsidP="00F33E49">
      <w:pPr>
        <w:keepNext/>
        <w:keepLines/>
        <w:jc w:val="center"/>
        <w:rPr>
          <w:rFonts w:ascii="Arial" w:hAnsi="Arial" w:cs="Arial"/>
          <w:b/>
          <w:sz w:val="20"/>
          <w:szCs w:val="20"/>
        </w:rPr>
      </w:pPr>
    </w:p>
    <w:p w14:paraId="3063FE7D" w14:textId="77777777" w:rsidR="004A6C16" w:rsidRPr="009B4A78" w:rsidRDefault="004A6C16" w:rsidP="00F33E49">
      <w:pPr>
        <w:keepNext/>
        <w:keepLines/>
        <w:jc w:val="center"/>
        <w:rPr>
          <w:rFonts w:ascii="Arial" w:hAnsi="Arial" w:cs="Arial"/>
          <w:b/>
          <w:sz w:val="20"/>
          <w:szCs w:val="20"/>
        </w:rPr>
      </w:pPr>
      <w:r w:rsidRPr="009B4A78">
        <w:rPr>
          <w:rFonts w:ascii="Arial" w:hAnsi="Arial" w:cs="Arial"/>
          <w:b/>
          <w:sz w:val="20"/>
          <w:szCs w:val="20"/>
        </w:rPr>
        <w:t>Program 7: Resources by Result</w:t>
      </w:r>
    </w:p>
    <w:p w14:paraId="0726CC31" w14:textId="77777777" w:rsidR="004A6C16" w:rsidRPr="009B4A78" w:rsidRDefault="004A6C16" w:rsidP="00F33E49">
      <w:pPr>
        <w:keepNext/>
        <w:keepLines/>
        <w:jc w:val="center"/>
        <w:rPr>
          <w:rFonts w:ascii="Arial" w:hAnsi="Arial" w:cs="Arial"/>
          <w:i/>
          <w:sz w:val="20"/>
          <w:szCs w:val="20"/>
        </w:rPr>
      </w:pPr>
      <w:r w:rsidRPr="009B4A78">
        <w:rPr>
          <w:rFonts w:ascii="Arial" w:hAnsi="Arial" w:cs="Arial"/>
          <w:i/>
          <w:sz w:val="20"/>
          <w:szCs w:val="20"/>
        </w:rPr>
        <w:t>(in thousands of Swiss francs)</w:t>
      </w:r>
    </w:p>
    <w:p w14:paraId="767431EA" w14:textId="77777777" w:rsidR="004A6C16" w:rsidRPr="009B4A78" w:rsidRDefault="004A6C16" w:rsidP="00F33E49">
      <w:pPr>
        <w:keepNext/>
        <w:keepLines/>
        <w:jc w:val="center"/>
        <w:rPr>
          <w:rFonts w:ascii="Arial" w:hAnsi="Arial" w:cs="Arial"/>
          <w:i/>
          <w:sz w:val="20"/>
          <w:szCs w:val="20"/>
        </w:rPr>
      </w:pPr>
    </w:p>
    <w:p w14:paraId="62ABCE19" w14:textId="77777777" w:rsidR="004A6C16" w:rsidRPr="009B4A78" w:rsidRDefault="004A6C16" w:rsidP="00F33E49">
      <w:pPr>
        <w:keepNext/>
        <w:keepLines/>
        <w:tabs>
          <w:tab w:val="left" w:pos="9214"/>
        </w:tabs>
        <w:ind w:left="-284" w:firstLine="284"/>
        <w:jc w:val="center"/>
        <w:rPr>
          <w:rFonts w:ascii="Arial" w:hAnsi="Arial" w:cs="Arial"/>
          <w:i/>
          <w:sz w:val="20"/>
          <w:szCs w:val="20"/>
        </w:rPr>
      </w:pPr>
      <w:r w:rsidRPr="009B4A78">
        <w:rPr>
          <w:rFonts w:ascii="Arial" w:hAnsi="Arial" w:cs="Arial"/>
          <w:noProof/>
          <w:lang w:eastAsia="en-US"/>
        </w:rPr>
        <w:drawing>
          <wp:inline distT="0" distB="0" distL="0" distR="0" wp14:anchorId="543D24FA" wp14:editId="05A6C540">
            <wp:extent cx="5219700" cy="132721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5648" cy="1336353"/>
                    </a:xfrm>
                    <a:prstGeom prst="rect">
                      <a:avLst/>
                    </a:prstGeom>
                    <a:noFill/>
                    <a:ln>
                      <a:noFill/>
                    </a:ln>
                  </pic:spPr>
                </pic:pic>
              </a:graphicData>
            </a:graphic>
          </wp:inline>
        </w:drawing>
      </w:r>
    </w:p>
    <w:p w14:paraId="740E8B17" w14:textId="77777777" w:rsidR="004A6C16" w:rsidRPr="009B4A78" w:rsidRDefault="004A6C16" w:rsidP="00F33E49">
      <w:pPr>
        <w:jc w:val="center"/>
        <w:rPr>
          <w:rFonts w:ascii="Arial" w:hAnsi="Arial" w:cs="Arial"/>
          <w:i/>
          <w:sz w:val="20"/>
          <w:szCs w:val="20"/>
        </w:rPr>
      </w:pPr>
    </w:p>
    <w:p w14:paraId="6CFAF4C7" w14:textId="77777777" w:rsidR="004A6C16" w:rsidRPr="009B4A78" w:rsidRDefault="004A6C16" w:rsidP="00F33E49">
      <w:pPr>
        <w:jc w:val="center"/>
        <w:rPr>
          <w:rFonts w:ascii="Arial" w:hAnsi="Arial" w:cs="Arial"/>
          <w:b/>
          <w:sz w:val="20"/>
          <w:szCs w:val="20"/>
        </w:rPr>
      </w:pPr>
    </w:p>
    <w:p w14:paraId="728D670F" w14:textId="77777777" w:rsidR="004A6C16" w:rsidRPr="009B4A78" w:rsidRDefault="004A6C16" w:rsidP="00F33E49">
      <w:pPr>
        <w:keepNext/>
        <w:keepLines/>
        <w:tabs>
          <w:tab w:val="left" w:pos="9214"/>
        </w:tabs>
        <w:jc w:val="center"/>
        <w:rPr>
          <w:rFonts w:ascii="Arial" w:hAnsi="Arial" w:cs="Arial"/>
          <w:b/>
          <w:sz w:val="20"/>
          <w:szCs w:val="20"/>
        </w:rPr>
      </w:pPr>
      <w:r w:rsidRPr="009B4A78">
        <w:rPr>
          <w:rFonts w:ascii="Arial" w:hAnsi="Arial" w:cs="Arial"/>
          <w:b/>
          <w:sz w:val="20"/>
          <w:szCs w:val="20"/>
        </w:rPr>
        <w:t>Program 7: Resources by Object of Expenditure</w:t>
      </w:r>
    </w:p>
    <w:p w14:paraId="35B79287" w14:textId="77777777" w:rsidR="004A6C16" w:rsidRPr="009B4A78" w:rsidRDefault="004A6C16" w:rsidP="00F33E49">
      <w:pPr>
        <w:keepNext/>
        <w:keepLines/>
        <w:jc w:val="center"/>
        <w:rPr>
          <w:rFonts w:ascii="Arial" w:hAnsi="Arial" w:cs="Arial"/>
          <w:i/>
          <w:sz w:val="20"/>
          <w:szCs w:val="20"/>
        </w:rPr>
      </w:pPr>
      <w:r w:rsidRPr="009B4A78">
        <w:rPr>
          <w:rFonts w:ascii="Arial" w:hAnsi="Arial" w:cs="Arial"/>
          <w:i/>
          <w:sz w:val="20"/>
          <w:szCs w:val="20"/>
        </w:rPr>
        <w:t>(in thousands of Swiss francs)</w:t>
      </w:r>
    </w:p>
    <w:p w14:paraId="5E7D040E" w14:textId="77777777" w:rsidR="004A6C16" w:rsidRPr="009B4A78" w:rsidRDefault="004A6C16" w:rsidP="00F33E49">
      <w:pPr>
        <w:keepNext/>
        <w:keepLines/>
        <w:jc w:val="center"/>
        <w:rPr>
          <w:rFonts w:ascii="Arial" w:hAnsi="Arial" w:cs="Arial"/>
          <w:i/>
          <w:sz w:val="20"/>
          <w:szCs w:val="20"/>
        </w:rPr>
      </w:pPr>
    </w:p>
    <w:p w14:paraId="7D118412" w14:textId="77777777" w:rsidR="004A6C16" w:rsidRPr="009B4A78" w:rsidRDefault="004A6C16" w:rsidP="00F33E49">
      <w:pPr>
        <w:jc w:val="center"/>
        <w:rPr>
          <w:rFonts w:ascii="Arial" w:eastAsia="Arial" w:hAnsi="Arial" w:cs="Arial"/>
          <w:sz w:val="18"/>
          <w:szCs w:val="20"/>
        </w:rPr>
      </w:pPr>
      <w:r w:rsidRPr="009B4A78">
        <w:rPr>
          <w:rFonts w:ascii="Arial" w:hAnsi="Arial" w:cs="Arial"/>
          <w:noProof/>
          <w:lang w:eastAsia="en-US"/>
        </w:rPr>
        <w:drawing>
          <wp:inline distT="0" distB="0" distL="0" distR="0" wp14:anchorId="16D4453A" wp14:editId="56E9D294">
            <wp:extent cx="5295126" cy="596273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03005" cy="5971605"/>
                    </a:xfrm>
                    <a:prstGeom prst="rect">
                      <a:avLst/>
                    </a:prstGeom>
                    <a:noFill/>
                    <a:ln>
                      <a:noFill/>
                    </a:ln>
                  </pic:spPr>
                </pic:pic>
              </a:graphicData>
            </a:graphic>
          </wp:inline>
        </w:drawing>
      </w:r>
    </w:p>
    <w:p w14:paraId="32742882" w14:textId="77777777" w:rsidR="00901665" w:rsidRDefault="00901665">
      <w:pPr>
        <w:rPr>
          <w:rFonts w:ascii="Arial" w:hAnsi="Arial" w:cs="Arial"/>
          <w:sz w:val="20"/>
          <w:szCs w:val="20"/>
        </w:rPr>
      </w:pPr>
    </w:p>
    <w:p w14:paraId="4A09F5AF" w14:textId="7B2304AD" w:rsidR="001B7766" w:rsidRDefault="001B7766">
      <w:pPr>
        <w:rPr>
          <w:rFonts w:ascii="Arial" w:hAnsi="Arial" w:cs="Arial"/>
          <w:sz w:val="20"/>
          <w:szCs w:val="20"/>
        </w:rPr>
      </w:pPr>
      <w:r>
        <w:rPr>
          <w:rFonts w:ascii="Arial" w:hAnsi="Arial" w:cs="Arial"/>
          <w:sz w:val="20"/>
          <w:szCs w:val="20"/>
        </w:rPr>
        <w:br w:type="page"/>
      </w:r>
    </w:p>
    <w:p w14:paraId="09775357" w14:textId="77777777" w:rsidR="001B7766" w:rsidRDefault="001B7766">
      <w:pPr>
        <w:rPr>
          <w:rFonts w:ascii="Arial" w:hAnsi="Arial" w:cs="Arial"/>
          <w:sz w:val="20"/>
          <w:szCs w:val="20"/>
        </w:rPr>
      </w:pPr>
    </w:p>
    <w:p w14:paraId="249BF765" w14:textId="25EDEB08" w:rsidR="00901665" w:rsidRPr="00B30215" w:rsidRDefault="00901665" w:rsidP="004264B7">
      <w:pPr>
        <w:pStyle w:val="StyleHeading3ComplexItalic"/>
        <w:tabs>
          <w:tab w:val="clear" w:pos="1985"/>
          <w:tab w:val="left" w:pos="2835"/>
        </w:tabs>
        <w:ind w:left="1843" w:hanging="1843"/>
        <w:rPr>
          <w:rStyle w:val="StyleStyleHeading3ComplexItalicLatin12ptChar"/>
          <w:rFonts w:eastAsia="SimSun"/>
          <w:b/>
          <w:szCs w:val="24"/>
        </w:rPr>
      </w:pPr>
      <w:bookmarkStart w:id="38" w:name="_Toc367350581"/>
      <w:bookmarkStart w:id="39" w:name="_Toc431221415"/>
      <w:r w:rsidRPr="00B30215">
        <w:rPr>
          <w:rStyle w:val="StyleStyleHeading3ComplexItalicLatin12ptChar"/>
          <w:rFonts w:eastAsia="SimSun"/>
          <w:b/>
          <w:szCs w:val="24"/>
        </w:rPr>
        <w:t>STRATEGIC GOAL III</w:t>
      </w:r>
      <w:r w:rsidR="004264B7" w:rsidRPr="00B30215">
        <w:rPr>
          <w:rStyle w:val="StyleStyleHeading3ComplexItalicLatin12ptChar"/>
          <w:rFonts w:eastAsia="SimSun"/>
          <w:b/>
          <w:szCs w:val="24"/>
        </w:rPr>
        <w:tab/>
        <w:t>FACILITATING THE USE OF IP FOR DEVELOPMENT</w:t>
      </w:r>
      <w:bookmarkEnd w:id="38"/>
      <w:bookmarkEnd w:id="39"/>
    </w:p>
    <w:p w14:paraId="0E6E9DA5" w14:textId="77777777" w:rsidR="00901665" w:rsidRPr="004264B7" w:rsidRDefault="00901665" w:rsidP="00901665">
      <w:pPr>
        <w:tabs>
          <w:tab w:val="left" w:pos="1701"/>
        </w:tabs>
        <w:ind w:left="1701" w:hanging="1701"/>
        <w:jc w:val="center"/>
        <w:rPr>
          <w:rFonts w:ascii="Arial" w:hAnsi="Arial" w:cs="Arial"/>
          <w:bCs/>
          <w:caps/>
          <w:sz w:val="24"/>
          <w:szCs w:val="24"/>
        </w:rPr>
      </w:pPr>
    </w:p>
    <w:p w14:paraId="335E5BDD" w14:textId="77777777" w:rsidR="004264B7" w:rsidRPr="004F5380" w:rsidRDefault="004264B7" w:rsidP="00901665">
      <w:pPr>
        <w:tabs>
          <w:tab w:val="left" w:pos="1701"/>
        </w:tabs>
        <w:ind w:left="1701" w:hanging="1701"/>
        <w:jc w:val="center"/>
        <w:rPr>
          <w:rFonts w:ascii="Arial" w:hAnsi="Arial" w:cs="Arial"/>
          <w:bCs/>
          <w:caps/>
          <w:sz w:val="20"/>
        </w:rPr>
      </w:pPr>
    </w:p>
    <w:p w14:paraId="44A28AC3" w14:textId="77777777" w:rsidR="00901665" w:rsidRPr="00945A82" w:rsidRDefault="00901665" w:rsidP="00901665">
      <w:pPr>
        <w:jc w:val="both"/>
        <w:rPr>
          <w:rFonts w:ascii="Arial" w:hAnsi="Arial" w:cs="Arial"/>
          <w:sz w:val="20"/>
        </w:rPr>
      </w:pPr>
      <w:r w:rsidRPr="00945A82">
        <w:rPr>
          <w:rFonts w:ascii="Arial" w:hAnsi="Arial" w:cs="Arial"/>
          <w:sz w:val="20"/>
        </w:rPr>
        <w:t>The goal of facilitating the use of IP for social, cultural and economic development drives WIPO’s multiple technical assistance and capacity building activities, which are delivered through programs in every sector of the Organization.  Covering all these activities, the medium term focus of this cross</w:t>
      </w:r>
      <w:r w:rsidRPr="00945A82">
        <w:rPr>
          <w:rFonts w:ascii="Arial" w:hAnsi="Arial" w:cs="Arial"/>
          <w:sz w:val="20"/>
        </w:rPr>
        <w:noBreakHyphen/>
        <w:t xml:space="preserve">cutting Strategic Goal is to assist developing countries, least developed countries and countries with economies in transition to make effective use of the IP system in their specific context. </w:t>
      </w:r>
    </w:p>
    <w:p w14:paraId="2AB2256F" w14:textId="77777777" w:rsidR="00901665" w:rsidRPr="00945A82" w:rsidRDefault="00901665" w:rsidP="00901665">
      <w:pPr>
        <w:jc w:val="both"/>
        <w:rPr>
          <w:rFonts w:ascii="Arial" w:hAnsi="Arial" w:cs="Arial"/>
          <w:sz w:val="20"/>
        </w:rPr>
      </w:pPr>
    </w:p>
    <w:p w14:paraId="0F52D33E" w14:textId="77777777" w:rsidR="00901665" w:rsidRPr="00945A82" w:rsidRDefault="00901665" w:rsidP="00901665">
      <w:pPr>
        <w:autoSpaceDE w:val="0"/>
        <w:autoSpaceDN w:val="0"/>
        <w:adjustRightInd w:val="0"/>
        <w:jc w:val="both"/>
        <w:rPr>
          <w:rFonts w:ascii="Arial" w:hAnsi="Arial" w:cs="Arial"/>
          <w:i/>
          <w:iCs/>
          <w:sz w:val="20"/>
        </w:rPr>
      </w:pPr>
      <w:r w:rsidRPr="00945A82">
        <w:rPr>
          <w:rFonts w:ascii="Arial" w:hAnsi="Arial" w:cs="Arial"/>
          <w:sz w:val="20"/>
        </w:rPr>
        <w:t>The WIPO Development Agenda plays a central role in ensuring that all areas of WIPO’s activities contribute to this Strategic Goal.</w:t>
      </w:r>
    </w:p>
    <w:p w14:paraId="777EA2AC" w14:textId="77777777" w:rsidR="00901665" w:rsidRDefault="00901665" w:rsidP="00901665">
      <w:pPr>
        <w:tabs>
          <w:tab w:val="left" w:pos="1701"/>
        </w:tabs>
        <w:ind w:left="1701" w:hanging="1701"/>
        <w:jc w:val="center"/>
        <w:rPr>
          <w:rFonts w:ascii="Arial" w:hAnsi="Arial" w:cs="Arial"/>
          <w:b/>
          <w:bCs/>
          <w:cap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C9789B" w:rsidRPr="0016774F" w14:paraId="57122F30" w14:textId="77777777" w:rsidTr="004F798C">
        <w:trPr>
          <w:cantSplit/>
          <w:tblHeader/>
        </w:trPr>
        <w:tc>
          <w:tcPr>
            <w:tcW w:w="1768" w:type="pct"/>
            <w:tcBorders>
              <w:top w:val="single" w:sz="4" w:space="0" w:color="auto"/>
              <w:bottom w:val="single" w:sz="4" w:space="0" w:color="auto"/>
            </w:tcBorders>
            <w:shd w:val="clear" w:color="auto" w:fill="C6D9F1" w:themeFill="text2" w:themeFillTint="33"/>
            <w:tcMar>
              <w:top w:w="85" w:type="dxa"/>
              <w:bottom w:w="28" w:type="dxa"/>
            </w:tcMar>
            <w:vAlign w:val="center"/>
          </w:tcPr>
          <w:p w14:paraId="0E4AA9D4" w14:textId="77777777" w:rsidR="00C9789B" w:rsidRPr="0016774F" w:rsidRDefault="00C9789B" w:rsidP="005A1F7F">
            <w:pPr>
              <w:spacing w:after="120"/>
              <w:jc w:val="center"/>
              <w:rPr>
                <w:rFonts w:ascii="Arial" w:hAnsi="Arial" w:cs="Arial"/>
                <w:b/>
                <w:bCs/>
                <w:sz w:val="16"/>
                <w:szCs w:val="16"/>
              </w:rPr>
            </w:pPr>
            <w:r w:rsidRPr="0016774F">
              <w:rPr>
                <w:rFonts w:ascii="Arial" w:hAnsi="Arial" w:cs="Arial"/>
                <w:b/>
                <w:bCs/>
                <w:sz w:val="16"/>
                <w:szCs w:val="16"/>
              </w:rPr>
              <w:t>Expected Results</w:t>
            </w:r>
          </w:p>
        </w:tc>
        <w:tc>
          <w:tcPr>
            <w:tcW w:w="1708" w:type="pct"/>
            <w:tcBorders>
              <w:top w:val="single" w:sz="4" w:space="0" w:color="auto"/>
              <w:bottom w:val="single" w:sz="4" w:space="0" w:color="auto"/>
            </w:tcBorders>
            <w:shd w:val="clear" w:color="auto" w:fill="C6D9F1" w:themeFill="text2" w:themeFillTint="33"/>
            <w:tcMar>
              <w:top w:w="85" w:type="dxa"/>
              <w:bottom w:w="28" w:type="dxa"/>
            </w:tcMar>
            <w:vAlign w:val="center"/>
          </w:tcPr>
          <w:p w14:paraId="6161D65F" w14:textId="77777777" w:rsidR="00C9789B" w:rsidRPr="0016774F" w:rsidRDefault="00C9789B" w:rsidP="005A1F7F">
            <w:pPr>
              <w:spacing w:after="120"/>
              <w:jc w:val="center"/>
              <w:rPr>
                <w:rFonts w:ascii="Arial" w:hAnsi="Arial" w:cs="Arial"/>
                <w:b/>
                <w:bCs/>
                <w:sz w:val="16"/>
                <w:szCs w:val="16"/>
              </w:rPr>
            </w:pPr>
            <w:r w:rsidRPr="0016774F">
              <w:rPr>
                <w:rFonts w:ascii="Arial" w:hAnsi="Arial" w:cs="Arial"/>
                <w:b/>
                <w:bCs/>
                <w:sz w:val="16"/>
                <w:szCs w:val="16"/>
              </w:rPr>
              <w:t>Performance Indicators</w:t>
            </w:r>
          </w:p>
        </w:tc>
        <w:tc>
          <w:tcPr>
            <w:tcW w:w="1524" w:type="pct"/>
            <w:tcBorders>
              <w:top w:val="single" w:sz="4" w:space="0" w:color="auto"/>
              <w:bottom w:val="single" w:sz="4" w:space="0" w:color="auto"/>
            </w:tcBorders>
            <w:shd w:val="clear" w:color="auto" w:fill="C6D9F1" w:themeFill="text2" w:themeFillTint="33"/>
            <w:tcMar>
              <w:top w:w="85" w:type="dxa"/>
              <w:bottom w:w="28" w:type="dxa"/>
            </w:tcMar>
            <w:vAlign w:val="center"/>
          </w:tcPr>
          <w:p w14:paraId="0169E8BC" w14:textId="77777777" w:rsidR="00C9789B" w:rsidRPr="0016774F" w:rsidRDefault="00C9789B" w:rsidP="005A1F7F">
            <w:pPr>
              <w:spacing w:after="120"/>
              <w:ind w:left="85"/>
              <w:jc w:val="center"/>
              <w:rPr>
                <w:rFonts w:ascii="Arial" w:hAnsi="Arial" w:cs="Arial"/>
                <w:b/>
                <w:bCs/>
                <w:sz w:val="16"/>
                <w:szCs w:val="16"/>
              </w:rPr>
            </w:pPr>
            <w:r w:rsidRPr="0016774F">
              <w:rPr>
                <w:rFonts w:ascii="Arial" w:hAnsi="Arial" w:cs="Arial"/>
                <w:b/>
                <w:bCs/>
                <w:sz w:val="16"/>
                <w:szCs w:val="16"/>
              </w:rPr>
              <w:t>Responsible Program(s)</w:t>
            </w:r>
          </w:p>
        </w:tc>
      </w:tr>
      <w:tr w:rsidR="00C9789B" w:rsidRPr="0016774F" w14:paraId="6832E404" w14:textId="77777777" w:rsidTr="004F798C">
        <w:trPr>
          <w:cantSplit/>
        </w:trPr>
        <w:tc>
          <w:tcPr>
            <w:tcW w:w="1768" w:type="pct"/>
            <w:tcBorders>
              <w:top w:val="single" w:sz="4" w:space="0" w:color="auto"/>
            </w:tcBorders>
            <w:shd w:val="clear" w:color="auto" w:fill="auto"/>
            <w:tcMar>
              <w:top w:w="85" w:type="dxa"/>
              <w:bottom w:w="28" w:type="dxa"/>
            </w:tcMar>
          </w:tcPr>
          <w:p w14:paraId="6FA93BCC" w14:textId="77777777" w:rsidR="00C9789B" w:rsidRPr="00DD2110" w:rsidRDefault="00C9789B" w:rsidP="005A1F7F">
            <w:pPr>
              <w:rPr>
                <w:rFonts w:ascii="Arial" w:hAnsi="Arial" w:cs="Arial"/>
                <w:sz w:val="16"/>
                <w:szCs w:val="16"/>
                <w:highlight w:val="yellow"/>
              </w:rPr>
            </w:pPr>
            <w:r w:rsidRPr="00EB3998">
              <w:rPr>
                <w:rFonts w:ascii="Arial" w:hAnsi="Arial" w:cs="Arial"/>
                <w:sz w:val="16"/>
                <w:szCs w:val="16"/>
              </w:rPr>
              <w:t>III.1  National innovation and IP strategies and plans consistent with national development objectives</w:t>
            </w:r>
            <w:r w:rsidRPr="00EB3998">
              <w:rPr>
                <w:rFonts w:ascii="Arial" w:hAnsi="Arial" w:cs="Arial"/>
                <w:sz w:val="15"/>
                <w:szCs w:val="15"/>
              </w:rPr>
              <w:t xml:space="preserve"> </w:t>
            </w:r>
          </w:p>
        </w:tc>
        <w:tc>
          <w:tcPr>
            <w:tcW w:w="1708" w:type="pct"/>
            <w:tcBorders>
              <w:top w:val="single" w:sz="4" w:space="0" w:color="auto"/>
            </w:tcBorders>
            <w:shd w:val="clear" w:color="auto" w:fill="auto"/>
            <w:tcMar>
              <w:top w:w="85" w:type="dxa"/>
              <w:bottom w:w="28" w:type="dxa"/>
            </w:tcMar>
          </w:tcPr>
          <w:p w14:paraId="4A67F3F9" w14:textId="77777777" w:rsidR="00C9789B" w:rsidRPr="00EB3998" w:rsidRDefault="00C9789B" w:rsidP="005A1F7F">
            <w:pPr>
              <w:rPr>
                <w:rFonts w:ascii="Arial" w:hAnsi="Arial" w:cs="Arial"/>
                <w:sz w:val="16"/>
                <w:szCs w:val="16"/>
                <w:highlight w:val="yellow"/>
              </w:rPr>
            </w:pPr>
            <w:r w:rsidRPr="00EB3998">
              <w:rPr>
                <w:rFonts w:ascii="Arial" w:hAnsi="Arial" w:cs="Arial"/>
                <w:color w:val="000000"/>
                <w:sz w:val="16"/>
                <w:szCs w:val="16"/>
              </w:rPr>
              <w:t>No. of countries which are in the process of formulating national IP strategies</w:t>
            </w:r>
          </w:p>
        </w:tc>
        <w:tc>
          <w:tcPr>
            <w:tcW w:w="1524" w:type="pct"/>
            <w:tcBorders>
              <w:top w:val="single" w:sz="4" w:space="0" w:color="auto"/>
            </w:tcBorders>
            <w:shd w:val="clear" w:color="auto" w:fill="FFFFFF"/>
            <w:tcMar>
              <w:top w:w="85" w:type="dxa"/>
              <w:bottom w:w="28" w:type="dxa"/>
            </w:tcMar>
          </w:tcPr>
          <w:p w14:paraId="110782D5" w14:textId="77777777" w:rsidR="00C9789B" w:rsidRPr="00DD2110" w:rsidRDefault="00C9789B" w:rsidP="005A1F7F">
            <w:pPr>
              <w:ind w:left="551"/>
              <w:rPr>
                <w:rFonts w:ascii="Arial" w:hAnsi="Arial" w:cs="Arial"/>
                <w:sz w:val="16"/>
                <w:szCs w:val="16"/>
                <w:highlight w:val="yellow"/>
              </w:rPr>
            </w:pPr>
            <w:r w:rsidRPr="00EB3998">
              <w:rPr>
                <w:rFonts w:ascii="Arial" w:hAnsi="Arial" w:cs="Arial"/>
                <w:sz w:val="16"/>
                <w:szCs w:val="16"/>
                <w:lang w:bidi="th-TH"/>
              </w:rPr>
              <w:t>Program 9</w:t>
            </w:r>
          </w:p>
        </w:tc>
      </w:tr>
      <w:tr w:rsidR="00C9789B" w:rsidRPr="0016774F" w14:paraId="1394D08D" w14:textId="77777777" w:rsidTr="004F798C">
        <w:trPr>
          <w:cantSplit/>
          <w:trHeight w:val="556"/>
        </w:trPr>
        <w:tc>
          <w:tcPr>
            <w:tcW w:w="1768" w:type="pct"/>
            <w:shd w:val="clear" w:color="auto" w:fill="auto"/>
            <w:tcMar>
              <w:top w:w="85" w:type="dxa"/>
              <w:bottom w:w="28" w:type="dxa"/>
            </w:tcMar>
          </w:tcPr>
          <w:p w14:paraId="036267F7"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713B2187" w14:textId="77777777" w:rsidR="00C9789B" w:rsidRPr="00EB3998" w:rsidRDefault="00C9789B" w:rsidP="005A1F7F">
            <w:pPr>
              <w:rPr>
                <w:rFonts w:ascii="Arial" w:hAnsi="Arial" w:cs="Arial"/>
                <w:sz w:val="16"/>
                <w:szCs w:val="16"/>
                <w:highlight w:val="yellow"/>
              </w:rPr>
            </w:pPr>
            <w:r w:rsidRPr="00EB3998">
              <w:rPr>
                <w:rFonts w:ascii="Arial" w:hAnsi="Arial" w:cs="Arial"/>
                <w:color w:val="000000"/>
                <w:sz w:val="16"/>
                <w:szCs w:val="16"/>
              </w:rPr>
              <w:t>No. of countries which have adopted national innovation and IP strategies</w:t>
            </w:r>
          </w:p>
        </w:tc>
        <w:tc>
          <w:tcPr>
            <w:tcW w:w="1524" w:type="pct"/>
            <w:shd w:val="clear" w:color="auto" w:fill="FFFFFF"/>
            <w:tcMar>
              <w:top w:w="85" w:type="dxa"/>
              <w:bottom w:w="28" w:type="dxa"/>
            </w:tcMar>
          </w:tcPr>
          <w:p w14:paraId="04823E18" w14:textId="77777777" w:rsidR="00C9789B" w:rsidRPr="00DD2110" w:rsidRDefault="00C9789B" w:rsidP="005A1F7F">
            <w:pPr>
              <w:ind w:left="551"/>
              <w:rPr>
                <w:rFonts w:ascii="Arial" w:hAnsi="Arial" w:cs="Arial"/>
                <w:sz w:val="16"/>
                <w:szCs w:val="16"/>
                <w:highlight w:val="yellow"/>
              </w:rPr>
            </w:pPr>
            <w:r w:rsidRPr="00EB3998">
              <w:rPr>
                <w:rFonts w:ascii="Arial" w:hAnsi="Arial" w:cs="Arial"/>
                <w:sz w:val="16"/>
                <w:szCs w:val="16"/>
                <w:lang w:bidi="th-TH"/>
              </w:rPr>
              <w:t>Program 9</w:t>
            </w:r>
          </w:p>
        </w:tc>
      </w:tr>
      <w:tr w:rsidR="00C9789B" w:rsidRPr="0016774F" w14:paraId="7AD38566" w14:textId="77777777" w:rsidTr="004F798C">
        <w:trPr>
          <w:cantSplit/>
          <w:trHeight w:val="556"/>
        </w:trPr>
        <w:tc>
          <w:tcPr>
            <w:tcW w:w="1768" w:type="pct"/>
            <w:shd w:val="clear" w:color="auto" w:fill="auto"/>
            <w:tcMar>
              <w:top w:w="85" w:type="dxa"/>
              <w:bottom w:w="28" w:type="dxa"/>
            </w:tcMar>
          </w:tcPr>
          <w:p w14:paraId="4F115CAE"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681D6689" w14:textId="77777777" w:rsidR="00C9789B" w:rsidRPr="006E70A3" w:rsidRDefault="00C9789B" w:rsidP="005A1F7F">
            <w:pPr>
              <w:rPr>
                <w:rFonts w:ascii="Arial" w:hAnsi="Arial" w:cs="Arial"/>
                <w:color w:val="000000"/>
                <w:sz w:val="16"/>
                <w:szCs w:val="16"/>
              </w:rPr>
            </w:pPr>
            <w:r w:rsidRPr="006E70A3">
              <w:rPr>
                <w:rFonts w:ascii="Arial" w:hAnsi="Arial" w:cs="Arial"/>
                <w:color w:val="000000"/>
                <w:sz w:val="16"/>
                <w:szCs w:val="16"/>
              </w:rPr>
              <w:t>No. of countries which are in the process of implementing national innovation and IP strategies and IP development plans</w:t>
            </w:r>
          </w:p>
        </w:tc>
        <w:tc>
          <w:tcPr>
            <w:tcW w:w="1524" w:type="pct"/>
            <w:shd w:val="clear" w:color="auto" w:fill="FFFFFF"/>
            <w:tcMar>
              <w:top w:w="85" w:type="dxa"/>
              <w:bottom w:w="28" w:type="dxa"/>
            </w:tcMar>
          </w:tcPr>
          <w:p w14:paraId="4AF3821E" w14:textId="77777777" w:rsidR="00C9789B" w:rsidRPr="00EB3998" w:rsidRDefault="00C9789B" w:rsidP="005A1F7F">
            <w:pPr>
              <w:ind w:left="551"/>
              <w:rPr>
                <w:rFonts w:ascii="Arial" w:hAnsi="Arial" w:cs="Arial"/>
                <w:sz w:val="16"/>
                <w:szCs w:val="16"/>
                <w:lang w:bidi="th-TH"/>
              </w:rPr>
            </w:pPr>
            <w:r>
              <w:rPr>
                <w:rFonts w:ascii="Arial" w:hAnsi="Arial" w:cs="Arial"/>
                <w:sz w:val="16"/>
                <w:szCs w:val="16"/>
                <w:lang w:bidi="th-TH"/>
              </w:rPr>
              <w:t>Program 9</w:t>
            </w:r>
          </w:p>
        </w:tc>
      </w:tr>
      <w:tr w:rsidR="00C9789B" w:rsidRPr="0016774F" w14:paraId="59636651" w14:textId="77777777" w:rsidTr="004F798C">
        <w:trPr>
          <w:cantSplit/>
          <w:trHeight w:val="368"/>
        </w:trPr>
        <w:tc>
          <w:tcPr>
            <w:tcW w:w="1768" w:type="pct"/>
            <w:shd w:val="clear" w:color="auto" w:fill="auto"/>
            <w:tcMar>
              <w:top w:w="85" w:type="dxa"/>
              <w:bottom w:w="28" w:type="dxa"/>
            </w:tcMar>
          </w:tcPr>
          <w:p w14:paraId="1FB1855B"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7855ABBA" w14:textId="77777777" w:rsidR="00C9789B" w:rsidRPr="009A1CE8" w:rsidRDefault="00C9789B" w:rsidP="005A1F7F">
            <w:pPr>
              <w:rPr>
                <w:rFonts w:ascii="Arial" w:hAnsi="Arial" w:cs="Arial"/>
                <w:sz w:val="16"/>
                <w:szCs w:val="16"/>
                <w:highlight w:val="yellow"/>
              </w:rPr>
            </w:pPr>
            <w:r w:rsidRPr="009A1CE8">
              <w:rPr>
                <w:rFonts w:ascii="Arial" w:hAnsi="Arial" w:cs="Arial"/>
                <w:color w:val="000000"/>
                <w:sz w:val="16"/>
                <w:szCs w:val="16"/>
              </w:rPr>
              <w:t>No. of countries having developed national IP strategies or IP plans, dovetailed with national development goals</w:t>
            </w:r>
          </w:p>
        </w:tc>
        <w:tc>
          <w:tcPr>
            <w:tcW w:w="1524" w:type="pct"/>
            <w:shd w:val="clear" w:color="auto" w:fill="FFFFFF"/>
            <w:tcMar>
              <w:top w:w="85" w:type="dxa"/>
              <w:bottom w:w="28" w:type="dxa"/>
            </w:tcMar>
          </w:tcPr>
          <w:p w14:paraId="09A9FD34" w14:textId="77777777" w:rsidR="00C9789B" w:rsidRPr="00DD2110" w:rsidRDefault="00C9789B" w:rsidP="005A1F7F">
            <w:pPr>
              <w:ind w:left="551"/>
              <w:rPr>
                <w:rFonts w:ascii="Arial" w:hAnsi="Arial" w:cs="Arial"/>
                <w:sz w:val="16"/>
                <w:szCs w:val="16"/>
                <w:highlight w:val="yellow"/>
              </w:rPr>
            </w:pPr>
            <w:r w:rsidRPr="009A1CE8">
              <w:rPr>
                <w:rFonts w:ascii="Arial" w:hAnsi="Arial" w:cs="Arial"/>
                <w:sz w:val="16"/>
                <w:szCs w:val="16"/>
                <w:lang w:bidi="th-TH"/>
              </w:rPr>
              <w:t>Program 10</w:t>
            </w:r>
          </w:p>
        </w:tc>
      </w:tr>
      <w:tr w:rsidR="00C9789B" w:rsidRPr="0016774F" w14:paraId="0B37FE44" w14:textId="77777777" w:rsidTr="004F798C">
        <w:trPr>
          <w:cantSplit/>
          <w:trHeight w:val="362"/>
        </w:trPr>
        <w:tc>
          <w:tcPr>
            <w:tcW w:w="1768" w:type="pct"/>
            <w:shd w:val="clear" w:color="auto" w:fill="auto"/>
            <w:tcMar>
              <w:top w:w="85" w:type="dxa"/>
              <w:bottom w:w="28" w:type="dxa"/>
            </w:tcMar>
          </w:tcPr>
          <w:p w14:paraId="555914A1"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55795135" w14:textId="77777777" w:rsidR="00C9789B" w:rsidRPr="009A1CE8" w:rsidRDefault="00C9789B" w:rsidP="005A1F7F">
            <w:pPr>
              <w:rPr>
                <w:rFonts w:ascii="Arial" w:hAnsi="Arial" w:cs="Arial"/>
                <w:sz w:val="16"/>
                <w:szCs w:val="16"/>
              </w:rPr>
            </w:pPr>
          </w:p>
          <w:p w14:paraId="2A2D4D99" w14:textId="77777777" w:rsidR="00C9789B" w:rsidRPr="009A1CE8" w:rsidRDefault="00C9789B" w:rsidP="005A1F7F">
            <w:pPr>
              <w:rPr>
                <w:rFonts w:ascii="Arial" w:hAnsi="Arial" w:cs="Arial"/>
                <w:sz w:val="16"/>
                <w:szCs w:val="16"/>
              </w:rPr>
            </w:pPr>
            <w:r>
              <w:rPr>
                <w:rFonts w:ascii="Arial" w:hAnsi="Arial" w:cs="Arial"/>
                <w:color w:val="000000"/>
                <w:sz w:val="16"/>
                <w:szCs w:val="16"/>
              </w:rPr>
              <w:t>No. of national IP strategies that address the promotion of creativity including innovation</w:t>
            </w:r>
          </w:p>
        </w:tc>
        <w:tc>
          <w:tcPr>
            <w:tcW w:w="1524" w:type="pct"/>
            <w:shd w:val="clear" w:color="auto" w:fill="FFFFFF"/>
            <w:tcMar>
              <w:top w:w="85" w:type="dxa"/>
              <w:bottom w:w="28" w:type="dxa"/>
            </w:tcMar>
          </w:tcPr>
          <w:p w14:paraId="2706BD47" w14:textId="77777777" w:rsidR="00C9789B" w:rsidRPr="009A1CE8" w:rsidRDefault="00C9789B" w:rsidP="005A1F7F">
            <w:pPr>
              <w:ind w:left="551"/>
              <w:rPr>
                <w:rFonts w:ascii="Arial" w:hAnsi="Arial" w:cs="Arial"/>
                <w:sz w:val="16"/>
                <w:szCs w:val="16"/>
                <w:lang w:bidi="th-TH"/>
              </w:rPr>
            </w:pPr>
          </w:p>
          <w:p w14:paraId="48980656" w14:textId="77777777" w:rsidR="00C9789B" w:rsidRPr="009A1CE8" w:rsidRDefault="00C9789B" w:rsidP="005A1F7F">
            <w:pPr>
              <w:ind w:left="569"/>
              <w:rPr>
                <w:rFonts w:ascii="Arial" w:hAnsi="Arial" w:cs="Arial"/>
                <w:sz w:val="16"/>
                <w:szCs w:val="16"/>
                <w:lang w:bidi="th-TH"/>
              </w:rPr>
            </w:pPr>
            <w:r w:rsidRPr="009A1CE8">
              <w:rPr>
                <w:rFonts w:ascii="Arial" w:hAnsi="Arial" w:cs="Arial"/>
                <w:sz w:val="16"/>
                <w:szCs w:val="16"/>
                <w:lang w:bidi="th-TH"/>
              </w:rPr>
              <w:t>Program 30</w:t>
            </w:r>
          </w:p>
        </w:tc>
      </w:tr>
      <w:tr w:rsidR="00C9789B" w:rsidRPr="0016774F" w14:paraId="4E8AEC2D" w14:textId="77777777" w:rsidTr="00FB68E0">
        <w:trPr>
          <w:cantSplit/>
          <w:trHeight w:val="1314"/>
        </w:trPr>
        <w:tc>
          <w:tcPr>
            <w:tcW w:w="1768" w:type="pct"/>
            <w:shd w:val="clear" w:color="auto" w:fill="auto"/>
            <w:tcMar>
              <w:top w:w="85" w:type="dxa"/>
              <w:bottom w:w="28" w:type="dxa"/>
            </w:tcMar>
          </w:tcPr>
          <w:p w14:paraId="7E223531" w14:textId="77777777" w:rsidR="00C9789B" w:rsidRPr="0016774F" w:rsidRDefault="00C9789B" w:rsidP="005A1F7F">
            <w:pPr>
              <w:rPr>
                <w:rFonts w:ascii="Arial" w:hAnsi="Arial" w:cs="Arial"/>
                <w:sz w:val="16"/>
                <w:szCs w:val="16"/>
              </w:rPr>
            </w:pPr>
            <w:r w:rsidRPr="0016774F">
              <w:rPr>
                <w:rFonts w:ascii="Arial" w:hAnsi="Arial" w:cs="Arial"/>
                <w:sz w:val="16"/>
                <w:szCs w:val="16"/>
              </w:rPr>
              <w:t>III.2</w:t>
            </w:r>
            <w:r>
              <w:rPr>
                <w:rFonts w:ascii="Arial" w:hAnsi="Arial" w:cs="Arial"/>
                <w:sz w:val="16"/>
                <w:szCs w:val="16"/>
              </w:rPr>
              <w:t xml:space="preserve"> </w:t>
            </w:r>
            <w:r w:rsidRPr="0016774F">
              <w:rPr>
                <w:rFonts w:ascii="Arial" w:hAnsi="Arial" w:cs="Arial"/>
                <w:sz w:val="16"/>
                <w:szCs w:val="16"/>
              </w:rPr>
              <w:t xml:space="preserve"> </w:t>
            </w:r>
            <w:r>
              <w:rPr>
                <w:rFonts w:ascii="Arial" w:hAnsi="Arial" w:cs="Arial"/>
                <w:color w:val="000000"/>
                <w:sz w:val="16"/>
                <w:szCs w:val="16"/>
              </w:rPr>
              <w:t>Enhanced human resource capacities able to deal with the broad range of requirements for the effective use of IP for development in developing countries, LDCs and countries with economies in transition</w:t>
            </w:r>
          </w:p>
        </w:tc>
        <w:tc>
          <w:tcPr>
            <w:tcW w:w="1708" w:type="pct"/>
            <w:shd w:val="clear" w:color="auto" w:fill="auto"/>
            <w:tcMar>
              <w:top w:w="85" w:type="dxa"/>
              <w:bottom w:w="28" w:type="dxa"/>
            </w:tcMar>
          </w:tcPr>
          <w:p w14:paraId="67293563" w14:textId="77777777" w:rsidR="00E647F8" w:rsidRDefault="00FC35E2" w:rsidP="005A1F7F">
            <w:pPr>
              <w:rPr>
                <w:rFonts w:ascii="Arial" w:hAnsi="Arial" w:cs="Arial"/>
                <w:color w:val="000000"/>
                <w:sz w:val="16"/>
                <w:szCs w:val="16"/>
              </w:rPr>
            </w:pPr>
            <w:r>
              <w:rPr>
                <w:rFonts w:ascii="Arial" w:hAnsi="Arial" w:cs="Arial"/>
                <w:color w:val="000000"/>
                <w:sz w:val="16"/>
                <w:szCs w:val="16"/>
              </w:rPr>
              <w:t>No. of national Copyright Offices actively engaged in the TAG consultative process</w:t>
            </w:r>
          </w:p>
          <w:p w14:paraId="0C5B9634" w14:textId="77777777" w:rsidR="00E647F8" w:rsidRDefault="00E647F8" w:rsidP="005A1F7F">
            <w:pPr>
              <w:rPr>
                <w:rFonts w:ascii="Arial" w:hAnsi="Arial" w:cs="Arial"/>
                <w:color w:val="000000"/>
                <w:sz w:val="16"/>
                <w:szCs w:val="16"/>
              </w:rPr>
            </w:pPr>
          </w:p>
          <w:p w14:paraId="0090F357" w14:textId="32F216A5" w:rsidR="00EE57D1" w:rsidRDefault="00C9789B" w:rsidP="005A1F7F">
            <w:pPr>
              <w:rPr>
                <w:rFonts w:ascii="Arial" w:hAnsi="Arial" w:cs="Arial"/>
                <w:color w:val="000000"/>
                <w:sz w:val="16"/>
                <w:szCs w:val="16"/>
              </w:rPr>
            </w:pPr>
            <w:r w:rsidRPr="002F442C">
              <w:rPr>
                <w:rFonts w:ascii="Arial" w:hAnsi="Arial" w:cs="Arial"/>
                <w:color w:val="000000"/>
                <w:sz w:val="16"/>
                <w:szCs w:val="16"/>
              </w:rPr>
              <w:t>No. of CMOs applying for TAG accreditation</w:t>
            </w:r>
          </w:p>
          <w:p w14:paraId="062C3CA3" w14:textId="77777777" w:rsidR="00EE57D1" w:rsidRDefault="00EE57D1" w:rsidP="005A1F7F">
            <w:pPr>
              <w:rPr>
                <w:rFonts w:ascii="Arial" w:hAnsi="Arial" w:cs="Arial"/>
                <w:color w:val="000000"/>
                <w:sz w:val="16"/>
                <w:szCs w:val="16"/>
              </w:rPr>
            </w:pPr>
          </w:p>
          <w:p w14:paraId="015F8560" w14:textId="53D3FA0A" w:rsidR="00C9789B" w:rsidRPr="0016774F" w:rsidRDefault="00EE57D1" w:rsidP="005A1F7F">
            <w:pPr>
              <w:rPr>
                <w:rFonts w:ascii="Arial" w:hAnsi="Arial" w:cs="Arial"/>
                <w:sz w:val="16"/>
                <w:szCs w:val="16"/>
              </w:rPr>
            </w:pPr>
            <w:r w:rsidRPr="002F442C">
              <w:rPr>
                <w:rFonts w:ascii="Arial" w:hAnsi="Arial" w:cs="Arial"/>
                <w:color w:val="000000"/>
                <w:sz w:val="16"/>
                <w:szCs w:val="16"/>
              </w:rPr>
              <w:t>% of participants that report positively on the collective management capacity building programs</w:t>
            </w:r>
          </w:p>
        </w:tc>
        <w:tc>
          <w:tcPr>
            <w:tcW w:w="1524" w:type="pct"/>
            <w:shd w:val="clear" w:color="auto" w:fill="FFFFFF"/>
            <w:tcMar>
              <w:top w:w="85" w:type="dxa"/>
              <w:bottom w:w="28" w:type="dxa"/>
            </w:tcMar>
          </w:tcPr>
          <w:p w14:paraId="7D96D047" w14:textId="7D7041CC" w:rsidR="00EE57D1" w:rsidRDefault="001638AD" w:rsidP="005A1F7F">
            <w:pPr>
              <w:ind w:left="551"/>
              <w:rPr>
                <w:rFonts w:ascii="Arial" w:hAnsi="Arial" w:cs="Arial"/>
                <w:sz w:val="16"/>
                <w:szCs w:val="16"/>
                <w:lang w:bidi="th-TH"/>
              </w:rPr>
            </w:pPr>
            <w:r w:rsidRPr="0016774F">
              <w:rPr>
                <w:rFonts w:ascii="Arial" w:hAnsi="Arial" w:cs="Arial"/>
                <w:sz w:val="16"/>
                <w:szCs w:val="16"/>
                <w:lang w:bidi="th-TH"/>
              </w:rPr>
              <w:t>Program 3</w:t>
            </w:r>
          </w:p>
          <w:p w14:paraId="14F2320C" w14:textId="77777777" w:rsidR="00EE57D1" w:rsidRDefault="00EE57D1" w:rsidP="005A1F7F">
            <w:pPr>
              <w:ind w:left="551"/>
              <w:rPr>
                <w:rFonts w:ascii="Arial" w:hAnsi="Arial" w:cs="Arial"/>
                <w:sz w:val="16"/>
                <w:szCs w:val="16"/>
                <w:lang w:bidi="th-TH"/>
              </w:rPr>
            </w:pPr>
          </w:p>
          <w:p w14:paraId="2A76A843" w14:textId="77777777" w:rsidR="00EE57D1" w:rsidRDefault="00EE57D1" w:rsidP="005A1F7F">
            <w:pPr>
              <w:ind w:left="551"/>
              <w:rPr>
                <w:rFonts w:ascii="Arial" w:hAnsi="Arial" w:cs="Arial"/>
                <w:sz w:val="16"/>
                <w:szCs w:val="16"/>
                <w:lang w:bidi="th-TH"/>
              </w:rPr>
            </w:pPr>
          </w:p>
          <w:p w14:paraId="309E0FB3" w14:textId="77777777" w:rsidR="00E647F8" w:rsidRDefault="00E647F8" w:rsidP="005A1F7F">
            <w:pPr>
              <w:ind w:left="551"/>
              <w:rPr>
                <w:rFonts w:ascii="Arial" w:hAnsi="Arial" w:cs="Arial"/>
                <w:sz w:val="16"/>
                <w:szCs w:val="16"/>
                <w:lang w:bidi="th-TH"/>
              </w:rPr>
            </w:pPr>
          </w:p>
          <w:p w14:paraId="580F9525" w14:textId="77777777" w:rsidR="00E647F8" w:rsidRDefault="00E647F8" w:rsidP="00E647F8">
            <w:pPr>
              <w:ind w:left="551"/>
              <w:rPr>
                <w:rFonts w:ascii="Arial" w:hAnsi="Arial" w:cs="Arial"/>
                <w:sz w:val="16"/>
                <w:szCs w:val="16"/>
                <w:lang w:bidi="th-TH"/>
              </w:rPr>
            </w:pPr>
            <w:r w:rsidRPr="0016774F">
              <w:rPr>
                <w:rFonts w:ascii="Arial" w:hAnsi="Arial" w:cs="Arial"/>
                <w:sz w:val="16"/>
                <w:szCs w:val="16"/>
                <w:lang w:bidi="th-TH"/>
              </w:rPr>
              <w:t xml:space="preserve">Program 3 </w:t>
            </w:r>
          </w:p>
          <w:p w14:paraId="3ACD1274" w14:textId="77777777" w:rsidR="00E647F8" w:rsidRDefault="00E647F8" w:rsidP="005A1F7F">
            <w:pPr>
              <w:ind w:left="551"/>
              <w:rPr>
                <w:rFonts w:ascii="Arial" w:hAnsi="Arial" w:cs="Arial"/>
                <w:sz w:val="16"/>
                <w:szCs w:val="16"/>
                <w:lang w:bidi="th-TH"/>
              </w:rPr>
            </w:pPr>
          </w:p>
          <w:p w14:paraId="72CF6DBF" w14:textId="77777777" w:rsidR="00E647F8" w:rsidRDefault="00E647F8" w:rsidP="00AC4500">
            <w:pPr>
              <w:rPr>
                <w:rFonts w:ascii="Arial" w:hAnsi="Arial" w:cs="Arial"/>
                <w:sz w:val="16"/>
                <w:szCs w:val="16"/>
                <w:lang w:bidi="th-TH"/>
              </w:rPr>
            </w:pPr>
          </w:p>
          <w:p w14:paraId="488C6EFE" w14:textId="1DC11FEB" w:rsidR="00C9789B" w:rsidRPr="0016774F" w:rsidRDefault="00EE57D1"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1FA65D8E" w14:textId="77777777" w:rsidTr="004F798C">
        <w:trPr>
          <w:cantSplit/>
          <w:trHeight w:val="540"/>
        </w:trPr>
        <w:tc>
          <w:tcPr>
            <w:tcW w:w="1768" w:type="pct"/>
            <w:shd w:val="clear" w:color="auto" w:fill="auto"/>
            <w:tcMar>
              <w:top w:w="85" w:type="dxa"/>
              <w:bottom w:w="28" w:type="dxa"/>
            </w:tcMar>
          </w:tcPr>
          <w:p w14:paraId="3FA9875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5B93080" w14:textId="77777777" w:rsidR="00C9789B" w:rsidRPr="0016774F" w:rsidRDefault="00C9789B" w:rsidP="005A1F7F">
            <w:pPr>
              <w:rPr>
                <w:rFonts w:ascii="Arial" w:hAnsi="Arial" w:cs="Arial"/>
                <w:sz w:val="16"/>
                <w:szCs w:val="16"/>
              </w:rPr>
            </w:pPr>
            <w:r w:rsidRPr="002F442C">
              <w:rPr>
                <w:rFonts w:ascii="Arial" w:hAnsi="Arial" w:cs="Arial"/>
                <w:color w:val="000000"/>
                <w:sz w:val="16"/>
                <w:szCs w:val="16"/>
              </w:rPr>
              <w:t>No. of visits to the Portal on Copyright Infrastructure.</w:t>
            </w:r>
          </w:p>
        </w:tc>
        <w:tc>
          <w:tcPr>
            <w:tcW w:w="1524" w:type="pct"/>
            <w:shd w:val="clear" w:color="auto" w:fill="FFFFFF"/>
            <w:tcMar>
              <w:top w:w="85" w:type="dxa"/>
              <w:bottom w:w="28" w:type="dxa"/>
            </w:tcMar>
          </w:tcPr>
          <w:p w14:paraId="0C8684EE"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1B7729D5" w14:textId="77777777" w:rsidTr="00FB68E0">
        <w:trPr>
          <w:cantSplit/>
          <w:trHeight w:val="522"/>
        </w:trPr>
        <w:tc>
          <w:tcPr>
            <w:tcW w:w="1768" w:type="pct"/>
            <w:shd w:val="clear" w:color="auto" w:fill="auto"/>
            <w:tcMar>
              <w:top w:w="85" w:type="dxa"/>
              <w:bottom w:w="28" w:type="dxa"/>
            </w:tcMar>
          </w:tcPr>
          <w:p w14:paraId="4C5FC1D0"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09B2F5E" w14:textId="77777777" w:rsidR="00C9789B" w:rsidRPr="0016774F" w:rsidRDefault="00C9789B" w:rsidP="005A1F7F">
            <w:pPr>
              <w:rPr>
                <w:rFonts w:ascii="Arial" w:hAnsi="Arial" w:cs="Arial"/>
                <w:sz w:val="16"/>
                <w:szCs w:val="16"/>
              </w:rPr>
            </w:pPr>
            <w:r w:rsidRPr="002F442C">
              <w:rPr>
                <w:rFonts w:ascii="Arial" w:hAnsi="Arial" w:cs="Arial"/>
                <w:color w:val="000000"/>
                <w:sz w:val="16"/>
                <w:szCs w:val="16"/>
              </w:rPr>
              <w:t>No. of publishers signing ABC Charter for Accessible Publishing (“Charter”)</w:t>
            </w:r>
          </w:p>
        </w:tc>
        <w:tc>
          <w:tcPr>
            <w:tcW w:w="1524" w:type="pct"/>
            <w:shd w:val="clear" w:color="auto" w:fill="FFFFFF"/>
            <w:tcMar>
              <w:top w:w="85" w:type="dxa"/>
              <w:bottom w:w="28" w:type="dxa"/>
            </w:tcMar>
          </w:tcPr>
          <w:p w14:paraId="2C74E4B8"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7775EF06" w14:textId="77777777" w:rsidTr="00FB68E0">
        <w:trPr>
          <w:cantSplit/>
          <w:trHeight w:val="666"/>
        </w:trPr>
        <w:tc>
          <w:tcPr>
            <w:tcW w:w="1768" w:type="pct"/>
            <w:shd w:val="clear" w:color="auto" w:fill="auto"/>
            <w:tcMar>
              <w:top w:w="85" w:type="dxa"/>
              <w:bottom w:w="28" w:type="dxa"/>
            </w:tcMar>
          </w:tcPr>
          <w:p w14:paraId="458C92B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CE460A0"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No. of books in accessible formats loaned to persons who are print-disabled</w:t>
            </w:r>
          </w:p>
        </w:tc>
        <w:tc>
          <w:tcPr>
            <w:tcW w:w="1524" w:type="pct"/>
            <w:shd w:val="clear" w:color="auto" w:fill="FFFFFF"/>
            <w:tcMar>
              <w:top w:w="85" w:type="dxa"/>
              <w:bottom w:w="28" w:type="dxa"/>
            </w:tcMar>
          </w:tcPr>
          <w:p w14:paraId="205BA92D"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80DD309" w14:textId="77777777" w:rsidTr="004F798C">
        <w:trPr>
          <w:cantSplit/>
          <w:trHeight w:val="800"/>
        </w:trPr>
        <w:tc>
          <w:tcPr>
            <w:tcW w:w="1768" w:type="pct"/>
            <w:shd w:val="clear" w:color="auto" w:fill="auto"/>
            <w:tcMar>
              <w:top w:w="85" w:type="dxa"/>
              <w:bottom w:w="28" w:type="dxa"/>
            </w:tcMar>
          </w:tcPr>
          <w:p w14:paraId="025FA48E"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2A389A4D"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of participants' positive rating of the usefulness of copyright and related rights capacity building meetings and workshops</w:t>
            </w:r>
          </w:p>
        </w:tc>
        <w:tc>
          <w:tcPr>
            <w:tcW w:w="1524" w:type="pct"/>
            <w:shd w:val="clear" w:color="auto" w:fill="FFFFFF"/>
            <w:tcMar>
              <w:top w:w="85" w:type="dxa"/>
              <w:bottom w:w="28" w:type="dxa"/>
            </w:tcMar>
          </w:tcPr>
          <w:p w14:paraId="58845716"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3F0DE42" w14:textId="77777777" w:rsidTr="004F798C">
        <w:trPr>
          <w:cantSplit/>
          <w:trHeight w:val="800"/>
        </w:trPr>
        <w:tc>
          <w:tcPr>
            <w:tcW w:w="1768" w:type="pct"/>
            <w:shd w:val="clear" w:color="auto" w:fill="auto"/>
            <w:tcMar>
              <w:top w:w="85" w:type="dxa"/>
              <w:bottom w:w="28" w:type="dxa"/>
            </w:tcMar>
          </w:tcPr>
          <w:p w14:paraId="7565FD9F"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4BFB88B"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xml:space="preserve">% of participants </w:t>
            </w:r>
            <w:r>
              <w:rPr>
                <w:rFonts w:ascii="Arial" w:hAnsi="Arial" w:cs="Arial"/>
                <w:color w:val="000000"/>
                <w:sz w:val="16"/>
                <w:szCs w:val="16"/>
              </w:rPr>
              <w:t xml:space="preserve">in copyright related capacity building workshops </w:t>
            </w:r>
            <w:r w:rsidRPr="002F442C">
              <w:rPr>
                <w:rFonts w:ascii="Arial" w:hAnsi="Arial" w:cs="Arial"/>
                <w:color w:val="000000"/>
                <w:sz w:val="16"/>
                <w:szCs w:val="16"/>
              </w:rPr>
              <w:t>reporting practical use of knowledge nine months after the workshop</w:t>
            </w:r>
          </w:p>
        </w:tc>
        <w:tc>
          <w:tcPr>
            <w:tcW w:w="1524" w:type="pct"/>
            <w:shd w:val="clear" w:color="auto" w:fill="FFFFFF"/>
            <w:tcMar>
              <w:top w:w="85" w:type="dxa"/>
              <w:bottom w:w="28" w:type="dxa"/>
            </w:tcMar>
          </w:tcPr>
          <w:p w14:paraId="2A178909"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E9FE340" w14:textId="77777777" w:rsidTr="004F798C">
        <w:trPr>
          <w:cantSplit/>
          <w:trHeight w:val="800"/>
        </w:trPr>
        <w:tc>
          <w:tcPr>
            <w:tcW w:w="1768" w:type="pct"/>
            <w:shd w:val="clear" w:color="auto" w:fill="auto"/>
            <w:tcMar>
              <w:top w:w="85" w:type="dxa"/>
              <w:bottom w:w="28" w:type="dxa"/>
            </w:tcMar>
          </w:tcPr>
          <w:p w14:paraId="2A8B687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1335294"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xml:space="preserve">% of </w:t>
            </w:r>
            <w:r>
              <w:rPr>
                <w:rFonts w:ascii="Arial" w:hAnsi="Arial" w:cs="Arial"/>
                <w:color w:val="000000"/>
                <w:sz w:val="16"/>
                <w:szCs w:val="16"/>
              </w:rPr>
              <w:t xml:space="preserve">participants </w:t>
            </w:r>
            <w:r w:rsidRPr="002F442C">
              <w:rPr>
                <w:rFonts w:ascii="Arial" w:hAnsi="Arial" w:cs="Arial"/>
                <w:color w:val="000000"/>
                <w:sz w:val="16"/>
                <w:szCs w:val="16"/>
              </w:rPr>
              <w:t xml:space="preserve">with improved knowledge and skills in conducting </w:t>
            </w:r>
            <w:r>
              <w:rPr>
                <w:rFonts w:ascii="Arial" w:hAnsi="Arial" w:cs="Arial"/>
                <w:color w:val="000000"/>
                <w:sz w:val="16"/>
                <w:szCs w:val="16"/>
              </w:rPr>
              <w:t xml:space="preserve">training activities </w:t>
            </w:r>
            <w:r w:rsidRPr="002F442C">
              <w:rPr>
                <w:rFonts w:ascii="Arial" w:hAnsi="Arial" w:cs="Arial"/>
                <w:color w:val="000000"/>
                <w:sz w:val="16"/>
                <w:szCs w:val="16"/>
              </w:rPr>
              <w:t>in their respective countries</w:t>
            </w:r>
          </w:p>
        </w:tc>
        <w:tc>
          <w:tcPr>
            <w:tcW w:w="1524" w:type="pct"/>
            <w:shd w:val="clear" w:color="auto" w:fill="FFFFFF"/>
            <w:tcMar>
              <w:top w:w="85" w:type="dxa"/>
              <w:bottom w:w="28" w:type="dxa"/>
            </w:tcMar>
          </w:tcPr>
          <w:p w14:paraId="68F3DE31"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3861DA89" w14:textId="77777777" w:rsidTr="004F798C">
        <w:trPr>
          <w:cantSplit/>
          <w:trHeight w:val="800"/>
        </w:trPr>
        <w:tc>
          <w:tcPr>
            <w:tcW w:w="1768" w:type="pct"/>
            <w:shd w:val="clear" w:color="auto" w:fill="auto"/>
            <w:tcMar>
              <w:top w:w="85" w:type="dxa"/>
              <w:bottom w:w="28" w:type="dxa"/>
            </w:tcMar>
          </w:tcPr>
          <w:p w14:paraId="06DE0C35"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F870DC5" w14:textId="77777777" w:rsidR="00C9789B" w:rsidRDefault="00C9789B" w:rsidP="005A1F7F">
            <w:pPr>
              <w:tabs>
                <w:tab w:val="left" w:pos="2043"/>
              </w:tabs>
              <w:ind w:right="199"/>
              <w:rPr>
                <w:rFonts w:ascii="Arial" w:hAnsi="Arial" w:cs="Arial"/>
                <w:color w:val="000000"/>
                <w:sz w:val="16"/>
                <w:szCs w:val="16"/>
              </w:rPr>
            </w:pPr>
            <w:r>
              <w:rPr>
                <w:rFonts w:ascii="Arial" w:hAnsi="Arial" w:cs="Arial"/>
                <w:color w:val="000000"/>
                <w:sz w:val="16"/>
                <w:szCs w:val="16"/>
              </w:rPr>
              <w:t>% of participants in WIPO activities who report enhanced capacity to understand and use IP principles, systems and tools for the protection of TK and TCEs and for addressing the interface between IP and GRs</w:t>
            </w:r>
          </w:p>
          <w:p w14:paraId="4B28011A" w14:textId="77777777" w:rsidR="00C9789B" w:rsidRPr="0016774F" w:rsidRDefault="00C9789B" w:rsidP="005A1F7F">
            <w:pPr>
              <w:rPr>
                <w:rFonts w:ascii="Arial" w:hAnsi="Arial" w:cs="Arial"/>
                <w:sz w:val="16"/>
                <w:szCs w:val="16"/>
              </w:rPr>
            </w:pPr>
          </w:p>
        </w:tc>
        <w:tc>
          <w:tcPr>
            <w:tcW w:w="1524" w:type="pct"/>
            <w:shd w:val="clear" w:color="auto" w:fill="FFFFFF"/>
            <w:tcMar>
              <w:top w:w="85" w:type="dxa"/>
              <w:bottom w:w="28" w:type="dxa"/>
            </w:tcMar>
          </w:tcPr>
          <w:p w14:paraId="58BF27AC"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4</w:t>
            </w:r>
          </w:p>
        </w:tc>
      </w:tr>
      <w:tr w:rsidR="00C9789B" w:rsidRPr="0016774F" w14:paraId="1E647A5E" w14:textId="77777777" w:rsidTr="004F798C">
        <w:trPr>
          <w:cantSplit/>
          <w:trHeight w:val="550"/>
        </w:trPr>
        <w:tc>
          <w:tcPr>
            <w:tcW w:w="1768" w:type="pct"/>
            <w:shd w:val="clear" w:color="auto" w:fill="auto"/>
            <w:tcMar>
              <w:top w:w="85" w:type="dxa"/>
              <w:bottom w:w="28" w:type="dxa"/>
            </w:tcMar>
          </w:tcPr>
          <w:p w14:paraId="1D098693"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17C6FD9" w14:textId="77777777" w:rsidR="00C9789B" w:rsidRPr="00DD2110" w:rsidRDefault="00C9789B" w:rsidP="005A1F7F">
            <w:pPr>
              <w:rPr>
                <w:rFonts w:ascii="Arial" w:hAnsi="Arial" w:cs="Arial"/>
                <w:sz w:val="16"/>
                <w:szCs w:val="16"/>
                <w:highlight w:val="yellow"/>
              </w:rPr>
            </w:pPr>
            <w:r w:rsidRPr="00836CA1">
              <w:rPr>
                <w:rFonts w:ascii="Arial" w:hAnsi="Arial" w:cs="Arial"/>
                <w:sz w:val="16"/>
                <w:szCs w:val="16"/>
              </w:rPr>
              <w:t>% of participants in WIPO events who express satisfaction with the content and organization of these events</w:t>
            </w:r>
          </w:p>
        </w:tc>
        <w:tc>
          <w:tcPr>
            <w:tcW w:w="1524" w:type="pct"/>
            <w:shd w:val="clear" w:color="auto" w:fill="FFFFFF"/>
            <w:tcMar>
              <w:top w:w="85" w:type="dxa"/>
              <w:bottom w:w="28" w:type="dxa"/>
            </w:tcMar>
          </w:tcPr>
          <w:p w14:paraId="6DDBA561"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759EE495" w14:textId="77777777" w:rsidTr="004F798C">
        <w:trPr>
          <w:cantSplit/>
          <w:trHeight w:val="554"/>
        </w:trPr>
        <w:tc>
          <w:tcPr>
            <w:tcW w:w="1768" w:type="pct"/>
            <w:shd w:val="clear" w:color="auto" w:fill="auto"/>
            <w:tcMar>
              <w:top w:w="85" w:type="dxa"/>
              <w:bottom w:w="28" w:type="dxa"/>
            </w:tcMar>
          </w:tcPr>
          <w:p w14:paraId="0FB732DB"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226B2B6" w14:textId="77777777" w:rsidR="00C9789B" w:rsidRPr="00DD2110" w:rsidRDefault="00C9789B" w:rsidP="005A1F7F">
            <w:pPr>
              <w:rPr>
                <w:rFonts w:ascii="Arial" w:hAnsi="Arial" w:cs="Arial"/>
                <w:sz w:val="16"/>
                <w:szCs w:val="16"/>
                <w:highlight w:val="yellow"/>
              </w:rPr>
            </w:pPr>
            <w:r w:rsidRPr="00836CA1">
              <w:rPr>
                <w:rFonts w:ascii="Arial" w:hAnsi="Arial" w:cs="Arial"/>
                <w:sz w:val="16"/>
                <w:szCs w:val="16"/>
              </w:rPr>
              <w:t>% of participants in WIPO workshops who apply the skills learned in their work/enterprise</w:t>
            </w:r>
          </w:p>
        </w:tc>
        <w:tc>
          <w:tcPr>
            <w:tcW w:w="1524" w:type="pct"/>
            <w:shd w:val="clear" w:color="auto" w:fill="FFFFFF"/>
            <w:tcMar>
              <w:top w:w="85" w:type="dxa"/>
              <w:bottom w:w="28" w:type="dxa"/>
            </w:tcMar>
          </w:tcPr>
          <w:p w14:paraId="21A2979B"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6EFE45E3" w14:textId="77777777" w:rsidTr="004F798C">
        <w:trPr>
          <w:cantSplit/>
          <w:trHeight w:val="532"/>
        </w:trPr>
        <w:tc>
          <w:tcPr>
            <w:tcW w:w="1768" w:type="pct"/>
            <w:shd w:val="clear" w:color="auto" w:fill="auto"/>
            <w:tcMar>
              <w:top w:w="85" w:type="dxa"/>
              <w:bottom w:w="28" w:type="dxa"/>
            </w:tcMar>
          </w:tcPr>
          <w:p w14:paraId="6BB41FB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831856C" w14:textId="77777777" w:rsidR="00C9789B" w:rsidRPr="00836CA1" w:rsidRDefault="00C9789B" w:rsidP="005A1F7F">
            <w:pPr>
              <w:rPr>
                <w:rFonts w:ascii="Arial" w:hAnsi="Arial" w:cs="Arial"/>
                <w:sz w:val="16"/>
                <w:szCs w:val="16"/>
                <w:highlight w:val="yellow"/>
              </w:rPr>
            </w:pPr>
            <w:r w:rsidRPr="00836CA1">
              <w:rPr>
                <w:rFonts w:ascii="Arial" w:hAnsi="Arial" w:cs="Arial"/>
                <w:color w:val="000000"/>
                <w:sz w:val="16"/>
                <w:szCs w:val="16"/>
              </w:rPr>
              <w:t>% of national and regional IP experts used as resource persons in WIPO events</w:t>
            </w:r>
          </w:p>
        </w:tc>
        <w:tc>
          <w:tcPr>
            <w:tcW w:w="1524" w:type="pct"/>
            <w:shd w:val="clear" w:color="auto" w:fill="FFFFFF"/>
            <w:tcMar>
              <w:top w:w="85" w:type="dxa"/>
              <w:bottom w:w="28" w:type="dxa"/>
            </w:tcMar>
          </w:tcPr>
          <w:p w14:paraId="1ED86743"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26A62380" w14:textId="77777777" w:rsidTr="004F798C">
        <w:trPr>
          <w:cantSplit/>
          <w:trHeight w:val="547"/>
        </w:trPr>
        <w:tc>
          <w:tcPr>
            <w:tcW w:w="1768" w:type="pct"/>
            <w:shd w:val="clear" w:color="auto" w:fill="auto"/>
            <w:tcMar>
              <w:top w:w="85" w:type="dxa"/>
              <w:bottom w:w="28" w:type="dxa"/>
            </w:tcMar>
          </w:tcPr>
          <w:p w14:paraId="2BCBF96C"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B2C638C" w14:textId="77777777" w:rsidR="00C9789B" w:rsidRPr="00DE5B1F" w:rsidRDefault="00C9789B" w:rsidP="005A1F7F">
            <w:pPr>
              <w:rPr>
                <w:rFonts w:ascii="Arial" w:hAnsi="Arial" w:cs="Arial"/>
                <w:sz w:val="16"/>
                <w:szCs w:val="16"/>
                <w:highlight w:val="yellow"/>
              </w:rPr>
            </w:pPr>
            <w:r w:rsidRPr="00DE5B1F">
              <w:rPr>
                <w:rFonts w:ascii="Arial" w:hAnsi="Arial" w:cs="Arial"/>
                <w:color w:val="000000"/>
                <w:sz w:val="16"/>
                <w:szCs w:val="16"/>
              </w:rPr>
              <w:t>No. of countries in transition having established annual IP training programs and/or courses for IP Professionals</w:t>
            </w:r>
          </w:p>
        </w:tc>
        <w:tc>
          <w:tcPr>
            <w:tcW w:w="1524" w:type="pct"/>
            <w:shd w:val="clear" w:color="auto" w:fill="FFFFFF"/>
            <w:tcMar>
              <w:top w:w="85" w:type="dxa"/>
              <w:bottom w:w="28" w:type="dxa"/>
            </w:tcMar>
          </w:tcPr>
          <w:p w14:paraId="00F3DE5C" w14:textId="77777777" w:rsidR="00C9789B" w:rsidRPr="00DD2110" w:rsidRDefault="00C9789B" w:rsidP="005A1F7F">
            <w:pPr>
              <w:ind w:left="551"/>
              <w:rPr>
                <w:rFonts w:ascii="Arial" w:hAnsi="Arial" w:cs="Arial"/>
                <w:sz w:val="16"/>
                <w:szCs w:val="16"/>
                <w:highlight w:val="yellow"/>
                <w:lang w:bidi="th-TH"/>
              </w:rPr>
            </w:pPr>
            <w:r w:rsidRPr="00DE5B1F">
              <w:rPr>
                <w:rFonts w:ascii="Arial" w:hAnsi="Arial" w:cs="Arial"/>
                <w:sz w:val="16"/>
                <w:szCs w:val="16"/>
                <w:lang w:bidi="th-TH"/>
              </w:rPr>
              <w:t>Program 10</w:t>
            </w:r>
          </w:p>
        </w:tc>
      </w:tr>
      <w:tr w:rsidR="00C9789B" w:rsidRPr="0016774F" w14:paraId="3A01FF93" w14:textId="77777777" w:rsidTr="004F798C">
        <w:trPr>
          <w:cantSplit/>
          <w:trHeight w:val="538"/>
        </w:trPr>
        <w:tc>
          <w:tcPr>
            <w:tcW w:w="1768" w:type="pct"/>
            <w:shd w:val="clear" w:color="auto" w:fill="auto"/>
            <w:tcMar>
              <w:top w:w="85" w:type="dxa"/>
              <w:bottom w:w="28" w:type="dxa"/>
            </w:tcMar>
          </w:tcPr>
          <w:p w14:paraId="4EACA23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FD71C16" w14:textId="77777777" w:rsidR="00C9789B" w:rsidRPr="00DE5B1F" w:rsidRDefault="00C9789B" w:rsidP="005A1F7F">
            <w:pPr>
              <w:rPr>
                <w:rFonts w:ascii="Arial" w:hAnsi="Arial" w:cs="Arial"/>
                <w:sz w:val="16"/>
                <w:szCs w:val="16"/>
                <w:highlight w:val="yellow"/>
              </w:rPr>
            </w:pPr>
            <w:r w:rsidRPr="00DE5B1F">
              <w:rPr>
                <w:rFonts w:ascii="Arial" w:hAnsi="Arial" w:cs="Arial"/>
                <w:color w:val="000000"/>
                <w:sz w:val="16"/>
                <w:szCs w:val="16"/>
              </w:rPr>
              <w:t>% of trained IP professionals and IP Officials using upgraded skills in their work.</w:t>
            </w:r>
          </w:p>
        </w:tc>
        <w:tc>
          <w:tcPr>
            <w:tcW w:w="1524" w:type="pct"/>
            <w:shd w:val="clear" w:color="auto" w:fill="FFFFFF"/>
            <w:tcMar>
              <w:top w:w="85" w:type="dxa"/>
              <w:bottom w:w="28" w:type="dxa"/>
            </w:tcMar>
          </w:tcPr>
          <w:p w14:paraId="0A5D57E7" w14:textId="77777777" w:rsidR="00C9789B" w:rsidRPr="00DD2110" w:rsidRDefault="00C9789B" w:rsidP="005A1F7F">
            <w:pPr>
              <w:ind w:left="551"/>
              <w:rPr>
                <w:rFonts w:ascii="Arial" w:hAnsi="Arial" w:cs="Arial"/>
                <w:sz w:val="16"/>
                <w:szCs w:val="16"/>
                <w:highlight w:val="yellow"/>
                <w:lang w:bidi="th-TH"/>
              </w:rPr>
            </w:pPr>
            <w:r w:rsidRPr="00DE5B1F">
              <w:rPr>
                <w:rFonts w:ascii="Arial" w:hAnsi="Arial" w:cs="Arial"/>
                <w:sz w:val="16"/>
                <w:szCs w:val="16"/>
                <w:lang w:bidi="th-TH"/>
              </w:rPr>
              <w:t>Program 10</w:t>
            </w:r>
          </w:p>
        </w:tc>
      </w:tr>
      <w:tr w:rsidR="00C9789B" w:rsidRPr="0016774F" w14:paraId="19FD2E91" w14:textId="77777777" w:rsidTr="004F798C">
        <w:trPr>
          <w:cantSplit/>
          <w:trHeight w:val="800"/>
        </w:trPr>
        <w:tc>
          <w:tcPr>
            <w:tcW w:w="1768" w:type="pct"/>
            <w:shd w:val="clear" w:color="auto" w:fill="auto"/>
            <w:tcMar>
              <w:top w:w="85" w:type="dxa"/>
              <w:bottom w:w="28" w:type="dxa"/>
            </w:tcMar>
          </w:tcPr>
          <w:p w14:paraId="79B68F4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BA29D2F" w14:textId="77777777" w:rsidR="00C9789B" w:rsidRPr="0016774F" w:rsidRDefault="00C9789B" w:rsidP="005A1F7F">
            <w:pPr>
              <w:rPr>
                <w:rFonts w:ascii="Arial" w:hAnsi="Arial" w:cs="Arial"/>
                <w:sz w:val="16"/>
                <w:szCs w:val="16"/>
              </w:rPr>
            </w:pPr>
            <w:r>
              <w:rPr>
                <w:rFonts w:ascii="Arial" w:hAnsi="Arial" w:cs="Arial"/>
                <w:color w:val="000000"/>
                <w:sz w:val="16"/>
                <w:szCs w:val="16"/>
              </w:rPr>
              <w:t>% of trainees and supervisors who are satisfied with the training programs developed based on training needs assessment exercises</w:t>
            </w:r>
          </w:p>
        </w:tc>
        <w:tc>
          <w:tcPr>
            <w:tcW w:w="1524" w:type="pct"/>
            <w:shd w:val="clear" w:color="auto" w:fill="FFFFFF"/>
            <w:tcMar>
              <w:top w:w="85" w:type="dxa"/>
              <w:bottom w:w="28" w:type="dxa"/>
            </w:tcMar>
          </w:tcPr>
          <w:p w14:paraId="5874F58E"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1EBF8E77" w14:textId="77777777" w:rsidTr="004F798C">
        <w:trPr>
          <w:cantSplit/>
          <w:trHeight w:val="453"/>
        </w:trPr>
        <w:tc>
          <w:tcPr>
            <w:tcW w:w="1768" w:type="pct"/>
            <w:shd w:val="clear" w:color="auto" w:fill="auto"/>
            <w:tcMar>
              <w:top w:w="85" w:type="dxa"/>
              <w:bottom w:w="28" w:type="dxa"/>
            </w:tcMar>
          </w:tcPr>
          <w:p w14:paraId="20F02C5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8E10FBE" w14:textId="7F24DF1A" w:rsidR="00C9789B" w:rsidRPr="0016774F" w:rsidRDefault="00C9789B" w:rsidP="005A1F7F">
            <w:pPr>
              <w:rPr>
                <w:rFonts w:ascii="Arial" w:hAnsi="Arial" w:cs="Arial"/>
                <w:sz w:val="16"/>
                <w:szCs w:val="16"/>
              </w:rPr>
            </w:pPr>
            <w:r>
              <w:rPr>
                <w:rFonts w:ascii="Arial" w:hAnsi="Arial" w:cs="Arial"/>
                <w:color w:val="000000"/>
                <w:sz w:val="16"/>
                <w:szCs w:val="16"/>
              </w:rPr>
              <w:t>% of participants using enhanced knowledge and skills in various IP areas</w:t>
            </w:r>
          </w:p>
        </w:tc>
        <w:tc>
          <w:tcPr>
            <w:tcW w:w="1524" w:type="pct"/>
            <w:shd w:val="clear" w:color="auto" w:fill="FFFFFF"/>
            <w:tcMar>
              <w:top w:w="85" w:type="dxa"/>
              <w:bottom w:w="28" w:type="dxa"/>
            </w:tcMar>
          </w:tcPr>
          <w:p w14:paraId="2D25D094" w14:textId="2CF99DBB"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70F7CE39" w14:textId="77777777" w:rsidTr="004F798C">
        <w:trPr>
          <w:cantSplit/>
          <w:trHeight w:val="800"/>
        </w:trPr>
        <w:tc>
          <w:tcPr>
            <w:tcW w:w="1768" w:type="pct"/>
            <w:shd w:val="clear" w:color="auto" w:fill="auto"/>
            <w:tcMar>
              <w:top w:w="85" w:type="dxa"/>
              <w:bottom w:w="28" w:type="dxa"/>
            </w:tcMar>
          </w:tcPr>
          <w:p w14:paraId="35C936C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3468DEB" w14:textId="77777777" w:rsidR="00C9789B" w:rsidRPr="0016774F" w:rsidRDefault="00C9789B" w:rsidP="005A1F7F">
            <w:pPr>
              <w:rPr>
                <w:rFonts w:ascii="Arial" w:hAnsi="Arial" w:cs="Arial"/>
                <w:sz w:val="16"/>
                <w:szCs w:val="16"/>
              </w:rPr>
            </w:pPr>
            <w:r>
              <w:rPr>
                <w:rFonts w:ascii="Arial" w:hAnsi="Arial" w:cs="Arial"/>
                <w:color w:val="000000"/>
                <w:sz w:val="16"/>
                <w:szCs w:val="16"/>
              </w:rPr>
              <w:t>No. of cooperation agreements and partnerships established in line with the Academy’s new vision</w:t>
            </w:r>
          </w:p>
        </w:tc>
        <w:tc>
          <w:tcPr>
            <w:tcW w:w="1524" w:type="pct"/>
            <w:shd w:val="clear" w:color="auto" w:fill="FFFFFF"/>
            <w:tcMar>
              <w:top w:w="85" w:type="dxa"/>
              <w:bottom w:w="28" w:type="dxa"/>
            </w:tcMar>
          </w:tcPr>
          <w:p w14:paraId="44BF10E4"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B81E77" w:rsidRPr="0016774F" w14:paraId="1272E7D4" w14:textId="77777777" w:rsidTr="004F798C">
        <w:trPr>
          <w:cantSplit/>
          <w:trHeight w:val="588"/>
        </w:trPr>
        <w:tc>
          <w:tcPr>
            <w:tcW w:w="1768" w:type="pct"/>
            <w:shd w:val="clear" w:color="auto" w:fill="auto"/>
            <w:tcMar>
              <w:top w:w="85" w:type="dxa"/>
              <w:bottom w:w="28" w:type="dxa"/>
            </w:tcMar>
          </w:tcPr>
          <w:p w14:paraId="646C5C84" w14:textId="77777777" w:rsidR="00B81E77" w:rsidRPr="0016774F" w:rsidRDefault="00B81E77" w:rsidP="005A1F7F">
            <w:pPr>
              <w:rPr>
                <w:rFonts w:ascii="Arial" w:hAnsi="Arial" w:cs="Arial"/>
                <w:sz w:val="16"/>
                <w:szCs w:val="16"/>
              </w:rPr>
            </w:pPr>
          </w:p>
        </w:tc>
        <w:tc>
          <w:tcPr>
            <w:tcW w:w="1708" w:type="pct"/>
            <w:shd w:val="clear" w:color="auto" w:fill="auto"/>
            <w:tcMar>
              <w:top w:w="85" w:type="dxa"/>
              <w:bottom w:w="28" w:type="dxa"/>
            </w:tcMar>
          </w:tcPr>
          <w:p w14:paraId="2C260E18" w14:textId="4C0FA7C0" w:rsidR="00B81E77" w:rsidRDefault="00B81E77" w:rsidP="005A1F7F">
            <w:pPr>
              <w:rPr>
                <w:rFonts w:ascii="Arial" w:hAnsi="Arial" w:cs="Arial"/>
                <w:color w:val="000000"/>
                <w:sz w:val="16"/>
                <w:szCs w:val="16"/>
              </w:rPr>
            </w:pPr>
            <w:r>
              <w:rPr>
                <w:rFonts w:ascii="Arial" w:eastAsia="Times New Roman" w:hAnsi="Arial" w:cs="Arial"/>
                <w:color w:val="000000"/>
                <w:sz w:val="16"/>
                <w:szCs w:val="16"/>
              </w:rPr>
              <w:t>% of increase in the no. of participants following the Academy’s distance learning (DL) courses</w:t>
            </w:r>
          </w:p>
        </w:tc>
        <w:tc>
          <w:tcPr>
            <w:tcW w:w="1524" w:type="pct"/>
            <w:shd w:val="clear" w:color="auto" w:fill="FFFFFF"/>
            <w:tcMar>
              <w:top w:w="85" w:type="dxa"/>
              <w:bottom w:w="28" w:type="dxa"/>
            </w:tcMar>
          </w:tcPr>
          <w:p w14:paraId="4AF775E6" w14:textId="0CBE947C" w:rsidR="00B81E77" w:rsidRPr="0016774F" w:rsidRDefault="00B81E77" w:rsidP="005A1F7F">
            <w:pPr>
              <w:ind w:left="551"/>
              <w:rPr>
                <w:rFonts w:ascii="Arial" w:hAnsi="Arial" w:cs="Arial"/>
                <w:sz w:val="16"/>
                <w:szCs w:val="16"/>
                <w:lang w:bidi="th-TH"/>
              </w:rPr>
            </w:pPr>
            <w:r w:rsidRPr="004D6C91">
              <w:rPr>
                <w:rFonts w:ascii="Arial" w:hAnsi="Arial" w:cs="Arial"/>
                <w:sz w:val="16"/>
                <w:szCs w:val="16"/>
                <w:lang w:bidi="th-TH"/>
              </w:rPr>
              <w:t>Program 11</w:t>
            </w:r>
          </w:p>
        </w:tc>
      </w:tr>
      <w:tr w:rsidR="00B81E77" w:rsidRPr="0016774F" w14:paraId="3A4C7F7A" w14:textId="77777777" w:rsidTr="004F798C">
        <w:trPr>
          <w:cantSplit/>
          <w:trHeight w:val="588"/>
        </w:trPr>
        <w:tc>
          <w:tcPr>
            <w:tcW w:w="1768" w:type="pct"/>
            <w:shd w:val="clear" w:color="auto" w:fill="auto"/>
            <w:tcMar>
              <w:top w:w="85" w:type="dxa"/>
              <w:bottom w:w="28" w:type="dxa"/>
            </w:tcMar>
          </w:tcPr>
          <w:p w14:paraId="6A17E5A2" w14:textId="77777777" w:rsidR="00B81E77" w:rsidRPr="0016774F" w:rsidRDefault="00B81E77" w:rsidP="005A1F7F">
            <w:pPr>
              <w:rPr>
                <w:rFonts w:ascii="Arial" w:hAnsi="Arial" w:cs="Arial"/>
                <w:sz w:val="16"/>
                <w:szCs w:val="16"/>
              </w:rPr>
            </w:pPr>
          </w:p>
        </w:tc>
        <w:tc>
          <w:tcPr>
            <w:tcW w:w="1708" w:type="pct"/>
            <w:shd w:val="clear" w:color="auto" w:fill="auto"/>
            <w:tcMar>
              <w:top w:w="85" w:type="dxa"/>
              <w:bottom w:w="28" w:type="dxa"/>
            </w:tcMar>
          </w:tcPr>
          <w:p w14:paraId="31D17595" w14:textId="0FA35049" w:rsidR="00B81E77" w:rsidRDefault="00B81E77" w:rsidP="005A1F7F">
            <w:pPr>
              <w:rPr>
                <w:rFonts w:ascii="Arial" w:hAnsi="Arial" w:cs="Arial"/>
                <w:color w:val="000000"/>
                <w:sz w:val="16"/>
                <w:szCs w:val="16"/>
              </w:rPr>
            </w:pPr>
            <w:r>
              <w:rPr>
                <w:rFonts w:ascii="Arial" w:eastAsia="Times New Roman" w:hAnsi="Arial" w:cs="Arial"/>
                <w:color w:val="000000"/>
                <w:sz w:val="16"/>
                <w:szCs w:val="16"/>
              </w:rPr>
              <w:t>No. of DL courses that have been reviewed and updated</w:t>
            </w:r>
          </w:p>
        </w:tc>
        <w:tc>
          <w:tcPr>
            <w:tcW w:w="1524" w:type="pct"/>
            <w:shd w:val="clear" w:color="auto" w:fill="FFFFFF"/>
            <w:tcMar>
              <w:top w:w="85" w:type="dxa"/>
              <w:bottom w:w="28" w:type="dxa"/>
            </w:tcMar>
          </w:tcPr>
          <w:p w14:paraId="4B98A706" w14:textId="06530AE1" w:rsidR="00B81E77" w:rsidRPr="0016774F" w:rsidRDefault="00B81E77" w:rsidP="005A1F7F">
            <w:pPr>
              <w:ind w:left="551"/>
              <w:rPr>
                <w:rFonts w:ascii="Arial" w:hAnsi="Arial" w:cs="Arial"/>
                <w:sz w:val="16"/>
                <w:szCs w:val="16"/>
                <w:lang w:bidi="th-TH"/>
              </w:rPr>
            </w:pPr>
            <w:r w:rsidRPr="004D6C91">
              <w:rPr>
                <w:rFonts w:ascii="Arial" w:hAnsi="Arial" w:cs="Arial"/>
                <w:sz w:val="16"/>
                <w:szCs w:val="16"/>
                <w:lang w:bidi="th-TH"/>
              </w:rPr>
              <w:t>Program 11</w:t>
            </w:r>
          </w:p>
        </w:tc>
      </w:tr>
      <w:tr w:rsidR="00C9789B" w:rsidRPr="0016774F" w14:paraId="2CDED9A8" w14:textId="77777777" w:rsidTr="004F798C">
        <w:trPr>
          <w:cantSplit/>
          <w:trHeight w:val="588"/>
        </w:trPr>
        <w:tc>
          <w:tcPr>
            <w:tcW w:w="1768" w:type="pct"/>
            <w:shd w:val="clear" w:color="auto" w:fill="auto"/>
            <w:tcMar>
              <w:top w:w="85" w:type="dxa"/>
              <w:bottom w:w="28" w:type="dxa"/>
            </w:tcMar>
          </w:tcPr>
          <w:p w14:paraId="6DAF57EA"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ACCABE8" w14:textId="7EFA0134" w:rsidR="00C9789B" w:rsidRPr="0016774F" w:rsidRDefault="00C9789B" w:rsidP="005A1F7F">
            <w:pPr>
              <w:rPr>
                <w:rFonts w:ascii="Arial" w:hAnsi="Arial" w:cs="Arial"/>
                <w:sz w:val="16"/>
                <w:szCs w:val="16"/>
              </w:rPr>
            </w:pPr>
            <w:r>
              <w:rPr>
                <w:rFonts w:ascii="Arial" w:hAnsi="Arial" w:cs="Arial"/>
                <w:color w:val="000000"/>
                <w:sz w:val="16"/>
                <w:szCs w:val="16"/>
              </w:rPr>
              <w:t>No. of national start-up academies created under the project which have become sustainable</w:t>
            </w:r>
            <w:r w:rsidR="00B81E77">
              <w:rPr>
                <w:rStyle w:val="FootnoteReference"/>
                <w:rFonts w:ascii="Arial" w:hAnsi="Arial" w:cs="Arial"/>
                <w:color w:val="000000"/>
                <w:sz w:val="16"/>
                <w:szCs w:val="16"/>
              </w:rPr>
              <w:footnoteReference w:id="17"/>
            </w:r>
          </w:p>
        </w:tc>
        <w:tc>
          <w:tcPr>
            <w:tcW w:w="1524" w:type="pct"/>
            <w:shd w:val="clear" w:color="auto" w:fill="FFFFFF"/>
            <w:tcMar>
              <w:top w:w="85" w:type="dxa"/>
              <w:bottom w:w="28" w:type="dxa"/>
            </w:tcMar>
          </w:tcPr>
          <w:p w14:paraId="18EBE5E2"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5880B30C" w14:textId="77777777" w:rsidTr="004F798C">
        <w:trPr>
          <w:cantSplit/>
          <w:trHeight w:val="588"/>
        </w:trPr>
        <w:tc>
          <w:tcPr>
            <w:tcW w:w="1768" w:type="pct"/>
            <w:shd w:val="clear" w:color="auto" w:fill="auto"/>
            <w:tcMar>
              <w:top w:w="85" w:type="dxa"/>
              <w:bottom w:w="28" w:type="dxa"/>
            </w:tcMar>
          </w:tcPr>
          <w:p w14:paraId="7C50D19A"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385FD67" w14:textId="77777777" w:rsidR="00C9789B" w:rsidRPr="0016774F" w:rsidRDefault="00C9789B" w:rsidP="005A1F7F">
            <w:pPr>
              <w:rPr>
                <w:rFonts w:ascii="Arial" w:hAnsi="Arial" w:cs="Arial"/>
                <w:sz w:val="16"/>
                <w:szCs w:val="16"/>
              </w:rPr>
            </w:pPr>
            <w:r>
              <w:rPr>
                <w:rFonts w:ascii="Arial" w:hAnsi="Arial" w:cs="Arial"/>
                <w:color w:val="000000"/>
                <w:sz w:val="16"/>
                <w:szCs w:val="16"/>
              </w:rPr>
              <w:t>New and improved IP courses and curricula in teaching institutions</w:t>
            </w:r>
          </w:p>
        </w:tc>
        <w:tc>
          <w:tcPr>
            <w:tcW w:w="1524" w:type="pct"/>
            <w:shd w:val="clear" w:color="auto" w:fill="FFFFFF"/>
            <w:tcMar>
              <w:top w:w="85" w:type="dxa"/>
              <w:bottom w:w="28" w:type="dxa"/>
            </w:tcMar>
          </w:tcPr>
          <w:p w14:paraId="06572706"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43EEC024" w14:textId="77777777" w:rsidTr="004F798C">
        <w:trPr>
          <w:cantSplit/>
          <w:trHeight w:val="551"/>
        </w:trPr>
        <w:tc>
          <w:tcPr>
            <w:tcW w:w="1768" w:type="pct"/>
            <w:shd w:val="clear" w:color="auto" w:fill="auto"/>
            <w:tcMar>
              <w:top w:w="85" w:type="dxa"/>
              <w:bottom w:w="28" w:type="dxa"/>
            </w:tcMar>
          </w:tcPr>
          <w:p w14:paraId="5C61B118"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2AD3C87A" w14:textId="77777777" w:rsidR="00C9789B" w:rsidRDefault="00C9789B" w:rsidP="005A1F7F">
            <w:pPr>
              <w:rPr>
                <w:rFonts w:ascii="Arial" w:hAnsi="Arial" w:cs="Arial"/>
                <w:color w:val="000000"/>
                <w:sz w:val="16"/>
                <w:szCs w:val="16"/>
              </w:rPr>
            </w:pPr>
            <w:r>
              <w:rPr>
                <w:rFonts w:ascii="Arial" w:hAnsi="Arial" w:cs="Arial"/>
                <w:color w:val="000000"/>
                <w:sz w:val="16"/>
                <w:szCs w:val="16"/>
              </w:rPr>
              <w:t>Enhanced balance in geographical distribution of summer schools</w:t>
            </w:r>
          </w:p>
        </w:tc>
        <w:tc>
          <w:tcPr>
            <w:tcW w:w="1524" w:type="pct"/>
            <w:shd w:val="clear" w:color="auto" w:fill="FFFFFF"/>
            <w:tcMar>
              <w:top w:w="85" w:type="dxa"/>
              <w:bottom w:w="28" w:type="dxa"/>
            </w:tcMar>
          </w:tcPr>
          <w:p w14:paraId="19BEB33C"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11</w:t>
            </w:r>
          </w:p>
        </w:tc>
      </w:tr>
      <w:tr w:rsidR="00C9789B" w:rsidRPr="0016774F" w14:paraId="16153FAB" w14:textId="77777777" w:rsidTr="004F798C">
        <w:trPr>
          <w:cantSplit/>
          <w:trHeight w:val="726"/>
        </w:trPr>
        <w:tc>
          <w:tcPr>
            <w:tcW w:w="1768" w:type="pct"/>
            <w:shd w:val="clear" w:color="auto" w:fill="auto"/>
            <w:tcMar>
              <w:top w:w="85" w:type="dxa"/>
              <w:bottom w:w="28" w:type="dxa"/>
            </w:tcMar>
          </w:tcPr>
          <w:p w14:paraId="394DF98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F6A585A" w14:textId="77777777" w:rsidR="00C9789B" w:rsidRPr="00954EE3" w:rsidRDefault="00C9789B" w:rsidP="005A1F7F">
            <w:pPr>
              <w:rPr>
                <w:rFonts w:ascii="Arial" w:hAnsi="Arial" w:cs="Arial"/>
                <w:sz w:val="16"/>
                <w:szCs w:val="16"/>
              </w:rPr>
            </w:pPr>
            <w:r w:rsidRPr="00954EE3">
              <w:rPr>
                <w:rFonts w:ascii="Arial" w:hAnsi="Arial" w:cs="Arial"/>
                <w:color w:val="000000"/>
                <w:sz w:val="16"/>
                <w:szCs w:val="16"/>
              </w:rPr>
              <w:t>% of trained participants reporting satisfaction with the usefulness and relevance of the training provided for the exercising of their professional duties</w:t>
            </w:r>
          </w:p>
        </w:tc>
        <w:tc>
          <w:tcPr>
            <w:tcW w:w="1524" w:type="pct"/>
            <w:shd w:val="clear" w:color="auto" w:fill="FFFFFF"/>
            <w:tcMar>
              <w:top w:w="85" w:type="dxa"/>
              <w:bottom w:w="28" w:type="dxa"/>
            </w:tcMar>
          </w:tcPr>
          <w:p w14:paraId="2DCC6A42"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17</w:t>
            </w:r>
          </w:p>
        </w:tc>
      </w:tr>
      <w:tr w:rsidR="00C9789B" w:rsidRPr="0016774F" w14:paraId="21B8D097" w14:textId="77777777" w:rsidTr="004F798C">
        <w:trPr>
          <w:cantSplit/>
          <w:trHeight w:val="492"/>
        </w:trPr>
        <w:tc>
          <w:tcPr>
            <w:tcW w:w="1768" w:type="pct"/>
            <w:shd w:val="clear" w:color="auto" w:fill="auto"/>
            <w:tcMar>
              <w:top w:w="85" w:type="dxa"/>
              <w:bottom w:w="28" w:type="dxa"/>
            </w:tcMar>
          </w:tcPr>
          <w:p w14:paraId="483846DB"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2032131" w14:textId="32E655E1" w:rsidR="00C9789B" w:rsidRPr="0016774F" w:rsidRDefault="00C9789B">
            <w:pPr>
              <w:rPr>
                <w:rFonts w:ascii="Arial" w:hAnsi="Arial" w:cs="Arial"/>
                <w:sz w:val="16"/>
                <w:szCs w:val="16"/>
              </w:rPr>
            </w:pPr>
            <w:r>
              <w:rPr>
                <w:rFonts w:ascii="Arial" w:hAnsi="Arial" w:cs="Arial"/>
                <w:sz w:val="16"/>
                <w:szCs w:val="16"/>
              </w:rPr>
              <w:t xml:space="preserve">No. of hosting arrangements </w:t>
            </w:r>
            <w:r w:rsidR="004C341C">
              <w:rPr>
                <w:rFonts w:ascii="Arial" w:hAnsi="Arial" w:cs="Arial"/>
                <w:sz w:val="16"/>
                <w:szCs w:val="16"/>
              </w:rPr>
              <w:t>for</w:t>
            </w:r>
            <w:r>
              <w:rPr>
                <w:rFonts w:ascii="Arial" w:hAnsi="Arial" w:cs="Arial"/>
                <w:sz w:val="16"/>
                <w:szCs w:val="16"/>
              </w:rPr>
              <w:t xml:space="preserve"> developing country scientists</w:t>
            </w:r>
          </w:p>
        </w:tc>
        <w:tc>
          <w:tcPr>
            <w:tcW w:w="1524" w:type="pct"/>
            <w:shd w:val="clear" w:color="auto" w:fill="FFFFFF"/>
            <w:tcMar>
              <w:top w:w="85" w:type="dxa"/>
              <w:bottom w:w="28" w:type="dxa"/>
            </w:tcMar>
          </w:tcPr>
          <w:p w14:paraId="3D1D2247"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18</w:t>
            </w:r>
          </w:p>
        </w:tc>
      </w:tr>
      <w:tr w:rsidR="00C9789B" w:rsidRPr="0016774F" w14:paraId="0D2F7346" w14:textId="77777777" w:rsidTr="004F798C">
        <w:trPr>
          <w:cantSplit/>
          <w:trHeight w:val="492"/>
        </w:trPr>
        <w:tc>
          <w:tcPr>
            <w:tcW w:w="1768" w:type="pct"/>
            <w:shd w:val="clear" w:color="auto" w:fill="auto"/>
            <w:tcMar>
              <w:top w:w="85" w:type="dxa"/>
              <w:bottom w:w="28" w:type="dxa"/>
            </w:tcMar>
          </w:tcPr>
          <w:p w14:paraId="4A26FFAE"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552B9359" w14:textId="77777777" w:rsidR="00C9789B" w:rsidRDefault="00C9789B" w:rsidP="005A1F7F">
            <w:pPr>
              <w:rPr>
                <w:rFonts w:ascii="Arial" w:hAnsi="Arial" w:cs="Arial"/>
                <w:sz w:val="16"/>
                <w:szCs w:val="16"/>
              </w:rPr>
            </w:pPr>
            <w:r>
              <w:rPr>
                <w:rFonts w:ascii="Arial" w:hAnsi="Arial" w:cs="Arial"/>
                <w:color w:val="000000"/>
                <w:sz w:val="16"/>
                <w:szCs w:val="16"/>
              </w:rPr>
              <w:t>% of participants of the IP and Health DL module who affirm use of IP for development through transfer of knowledge and creation of skills</w:t>
            </w:r>
          </w:p>
        </w:tc>
        <w:tc>
          <w:tcPr>
            <w:tcW w:w="1524" w:type="pct"/>
            <w:shd w:val="clear" w:color="auto" w:fill="FFFFFF"/>
            <w:tcMar>
              <w:top w:w="85" w:type="dxa"/>
              <w:bottom w:w="28" w:type="dxa"/>
            </w:tcMar>
          </w:tcPr>
          <w:p w14:paraId="03C08EB5" w14:textId="77777777" w:rsidR="00C9789B" w:rsidRDefault="00C9789B" w:rsidP="005A1F7F">
            <w:pPr>
              <w:ind w:left="551"/>
              <w:rPr>
                <w:rFonts w:ascii="Arial" w:hAnsi="Arial" w:cs="Arial"/>
                <w:sz w:val="16"/>
                <w:szCs w:val="16"/>
                <w:lang w:bidi="th-TH"/>
              </w:rPr>
            </w:pPr>
            <w:r>
              <w:rPr>
                <w:rFonts w:ascii="Arial" w:hAnsi="Arial" w:cs="Arial"/>
                <w:sz w:val="16"/>
                <w:szCs w:val="16"/>
                <w:lang w:bidi="th-TH"/>
              </w:rPr>
              <w:t>Program 18</w:t>
            </w:r>
          </w:p>
        </w:tc>
      </w:tr>
      <w:tr w:rsidR="00C9789B" w:rsidRPr="0016774F" w14:paraId="7D43ED7A" w14:textId="77777777" w:rsidTr="004F798C">
        <w:trPr>
          <w:cantSplit/>
          <w:trHeight w:val="800"/>
        </w:trPr>
        <w:tc>
          <w:tcPr>
            <w:tcW w:w="1768" w:type="pct"/>
            <w:shd w:val="clear" w:color="auto" w:fill="auto"/>
            <w:tcMar>
              <w:top w:w="85" w:type="dxa"/>
              <w:bottom w:w="28" w:type="dxa"/>
            </w:tcMar>
          </w:tcPr>
          <w:p w14:paraId="7065FCC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39F288D" w14:textId="5C875DEF" w:rsidR="00C9789B" w:rsidRPr="00EB603B" w:rsidRDefault="004C341C" w:rsidP="005A1F7F">
            <w:pPr>
              <w:rPr>
                <w:rFonts w:ascii="Arial" w:hAnsi="Arial" w:cs="Arial"/>
                <w:sz w:val="16"/>
                <w:szCs w:val="16"/>
              </w:rPr>
            </w:pPr>
            <w:r>
              <w:rPr>
                <w:rFonts w:ascii="Arial" w:hAnsi="Arial" w:cs="Arial"/>
                <w:color w:val="000000"/>
                <w:sz w:val="16"/>
                <w:szCs w:val="16"/>
              </w:rPr>
              <w:t>% of policy mak</w:t>
            </w:r>
            <w:r w:rsidRPr="00BE1D07">
              <w:rPr>
                <w:rFonts w:ascii="Arial" w:hAnsi="Arial" w:cs="Arial"/>
                <w:color w:val="000000"/>
                <w:sz w:val="16"/>
                <w:szCs w:val="16"/>
              </w:rPr>
              <w:t>ers, governments officials, IP practitioners and other targeted groups, including universities, CMOs, journalists, with enhanced understanding of IP policies, and how to effectively use IP development</w:t>
            </w:r>
            <w:r w:rsidRPr="00EB603B">
              <w:rPr>
                <w:rFonts w:ascii="Arial" w:hAnsi="Arial" w:cs="Arial"/>
                <w:sz w:val="16"/>
                <w:szCs w:val="16"/>
              </w:rPr>
              <w:t xml:space="preserve"> </w:t>
            </w:r>
          </w:p>
          <w:p w14:paraId="5BE35CFF" w14:textId="77777777" w:rsidR="00C9789B" w:rsidRPr="00DD2110" w:rsidRDefault="00C9789B" w:rsidP="005A1F7F">
            <w:pPr>
              <w:rPr>
                <w:rFonts w:ascii="Arial" w:hAnsi="Arial" w:cs="Arial"/>
                <w:sz w:val="16"/>
                <w:szCs w:val="16"/>
                <w:highlight w:val="yellow"/>
              </w:rPr>
            </w:pPr>
          </w:p>
          <w:p w14:paraId="3C73902F" w14:textId="77777777" w:rsidR="00C9789B" w:rsidRPr="0017035A" w:rsidRDefault="00C9789B" w:rsidP="005A1F7F">
            <w:pPr>
              <w:rPr>
                <w:rFonts w:ascii="Arial" w:hAnsi="Arial" w:cs="Arial"/>
                <w:sz w:val="16"/>
                <w:szCs w:val="16"/>
              </w:rPr>
            </w:pPr>
            <w:r w:rsidRPr="0017035A">
              <w:rPr>
                <w:rFonts w:ascii="Arial" w:hAnsi="Arial" w:cs="Arial"/>
                <w:sz w:val="16"/>
                <w:szCs w:val="16"/>
              </w:rPr>
              <w:t>% of trained IP professionals using upgraded skills in their work</w:t>
            </w:r>
          </w:p>
          <w:p w14:paraId="386F23FB" w14:textId="77777777" w:rsidR="00C9789B" w:rsidRPr="00DD2110" w:rsidRDefault="00C9789B" w:rsidP="005A1F7F">
            <w:pPr>
              <w:rPr>
                <w:rFonts w:ascii="Arial" w:hAnsi="Arial" w:cs="Arial"/>
                <w:sz w:val="16"/>
                <w:szCs w:val="16"/>
                <w:highlight w:val="yellow"/>
              </w:rPr>
            </w:pPr>
          </w:p>
        </w:tc>
        <w:tc>
          <w:tcPr>
            <w:tcW w:w="1524" w:type="pct"/>
            <w:shd w:val="clear" w:color="auto" w:fill="FFFFFF"/>
            <w:tcMar>
              <w:top w:w="85" w:type="dxa"/>
              <w:bottom w:w="28" w:type="dxa"/>
            </w:tcMar>
          </w:tcPr>
          <w:p w14:paraId="1AC423E9" w14:textId="77777777" w:rsidR="00C9789B" w:rsidRPr="00EB603B" w:rsidRDefault="00C9789B" w:rsidP="005A1F7F">
            <w:pPr>
              <w:ind w:left="551"/>
              <w:rPr>
                <w:rFonts w:ascii="Arial" w:hAnsi="Arial" w:cs="Arial"/>
                <w:sz w:val="16"/>
                <w:szCs w:val="16"/>
                <w:lang w:bidi="th-TH"/>
              </w:rPr>
            </w:pPr>
            <w:r w:rsidRPr="00EB603B">
              <w:rPr>
                <w:rFonts w:ascii="Arial" w:hAnsi="Arial" w:cs="Arial"/>
                <w:sz w:val="16"/>
                <w:szCs w:val="16"/>
                <w:lang w:bidi="th-TH"/>
              </w:rPr>
              <w:t>Program 20</w:t>
            </w:r>
          </w:p>
          <w:p w14:paraId="71A25F4F" w14:textId="77777777" w:rsidR="00C9789B" w:rsidRPr="00DD2110" w:rsidRDefault="00C9789B" w:rsidP="005A1F7F">
            <w:pPr>
              <w:ind w:left="551"/>
              <w:rPr>
                <w:rFonts w:ascii="Arial" w:hAnsi="Arial" w:cs="Arial"/>
                <w:sz w:val="16"/>
                <w:szCs w:val="16"/>
                <w:highlight w:val="yellow"/>
                <w:lang w:bidi="th-TH"/>
              </w:rPr>
            </w:pPr>
          </w:p>
          <w:p w14:paraId="7D2F4658" w14:textId="77777777" w:rsidR="00C9789B" w:rsidRPr="00DD2110" w:rsidRDefault="00C9789B" w:rsidP="005A1F7F">
            <w:pPr>
              <w:ind w:left="551"/>
              <w:rPr>
                <w:rFonts w:ascii="Arial" w:hAnsi="Arial" w:cs="Arial"/>
                <w:sz w:val="16"/>
                <w:szCs w:val="16"/>
                <w:highlight w:val="yellow"/>
                <w:lang w:bidi="th-TH"/>
              </w:rPr>
            </w:pPr>
          </w:p>
          <w:p w14:paraId="19AA8659" w14:textId="77777777" w:rsidR="00C9789B" w:rsidRPr="00DD2110" w:rsidRDefault="00C9789B" w:rsidP="005A1F7F">
            <w:pPr>
              <w:ind w:left="551"/>
              <w:rPr>
                <w:rFonts w:ascii="Arial" w:hAnsi="Arial" w:cs="Arial"/>
                <w:sz w:val="16"/>
                <w:szCs w:val="16"/>
                <w:highlight w:val="yellow"/>
                <w:lang w:bidi="th-TH"/>
              </w:rPr>
            </w:pPr>
          </w:p>
          <w:p w14:paraId="3DF0B8DB" w14:textId="77777777" w:rsidR="00C9789B" w:rsidRPr="00DD2110" w:rsidRDefault="00C9789B" w:rsidP="005A1F7F">
            <w:pPr>
              <w:ind w:left="551"/>
              <w:rPr>
                <w:rFonts w:ascii="Arial" w:hAnsi="Arial" w:cs="Arial"/>
                <w:sz w:val="16"/>
                <w:szCs w:val="16"/>
                <w:highlight w:val="yellow"/>
                <w:lang w:bidi="th-TH"/>
              </w:rPr>
            </w:pPr>
          </w:p>
          <w:p w14:paraId="56F0900F" w14:textId="77777777" w:rsidR="00C9789B" w:rsidRPr="00DD2110" w:rsidRDefault="00C9789B" w:rsidP="005A1F7F">
            <w:pPr>
              <w:ind w:left="551"/>
              <w:rPr>
                <w:rFonts w:ascii="Arial" w:hAnsi="Arial" w:cs="Arial"/>
                <w:sz w:val="16"/>
                <w:szCs w:val="16"/>
                <w:highlight w:val="yellow"/>
                <w:lang w:bidi="th-TH"/>
              </w:rPr>
            </w:pPr>
          </w:p>
          <w:p w14:paraId="65D37BDE" w14:textId="77777777" w:rsidR="00C9789B" w:rsidRPr="00DD2110" w:rsidRDefault="00C9789B" w:rsidP="005A1F7F">
            <w:pPr>
              <w:ind w:left="551"/>
              <w:rPr>
                <w:rFonts w:ascii="Arial" w:hAnsi="Arial" w:cs="Arial"/>
                <w:sz w:val="16"/>
                <w:szCs w:val="16"/>
                <w:highlight w:val="yellow"/>
                <w:lang w:bidi="th-TH"/>
              </w:rPr>
            </w:pPr>
            <w:r w:rsidRPr="0017035A">
              <w:rPr>
                <w:rFonts w:ascii="Arial" w:hAnsi="Arial" w:cs="Arial"/>
                <w:sz w:val="16"/>
                <w:szCs w:val="16"/>
                <w:lang w:bidi="th-TH"/>
              </w:rPr>
              <w:t>Program 30</w:t>
            </w:r>
          </w:p>
        </w:tc>
      </w:tr>
      <w:tr w:rsidR="00C9789B" w:rsidRPr="0016774F" w14:paraId="191BEC87" w14:textId="77777777" w:rsidTr="004F798C">
        <w:trPr>
          <w:cantSplit/>
          <w:trHeight w:val="544"/>
        </w:trPr>
        <w:tc>
          <w:tcPr>
            <w:tcW w:w="1768" w:type="pct"/>
            <w:shd w:val="clear" w:color="auto" w:fill="auto"/>
            <w:tcMar>
              <w:top w:w="85" w:type="dxa"/>
              <w:bottom w:w="28" w:type="dxa"/>
            </w:tcMar>
          </w:tcPr>
          <w:p w14:paraId="31FA6EDC" w14:textId="77777777" w:rsidR="00C9789B" w:rsidRPr="0016774F" w:rsidRDefault="00C9789B" w:rsidP="005A1F7F">
            <w:pPr>
              <w:rPr>
                <w:rFonts w:ascii="Arial" w:hAnsi="Arial" w:cs="Arial"/>
                <w:sz w:val="16"/>
                <w:szCs w:val="16"/>
              </w:rPr>
            </w:pPr>
            <w:r w:rsidRPr="0016774F">
              <w:rPr>
                <w:rFonts w:ascii="Arial" w:hAnsi="Arial" w:cs="Arial"/>
                <w:sz w:val="16"/>
                <w:szCs w:val="16"/>
              </w:rPr>
              <w:t xml:space="preserve">III.3 </w:t>
            </w:r>
            <w:r>
              <w:rPr>
                <w:rFonts w:ascii="Arial" w:hAnsi="Arial" w:cs="Arial"/>
                <w:sz w:val="16"/>
                <w:szCs w:val="16"/>
              </w:rPr>
              <w:t xml:space="preserve"> </w:t>
            </w:r>
            <w:r w:rsidRPr="0016774F">
              <w:rPr>
                <w:rFonts w:ascii="Arial" w:hAnsi="Arial" w:cs="Arial"/>
                <w:sz w:val="16"/>
                <w:szCs w:val="16"/>
              </w:rPr>
              <w:t>Mainstreaming of the DA recommendations in the work of WIPO</w:t>
            </w:r>
          </w:p>
        </w:tc>
        <w:tc>
          <w:tcPr>
            <w:tcW w:w="1708" w:type="pct"/>
            <w:shd w:val="clear" w:color="auto" w:fill="auto"/>
            <w:tcMar>
              <w:top w:w="85" w:type="dxa"/>
              <w:bottom w:w="28" w:type="dxa"/>
            </w:tcMar>
          </w:tcPr>
          <w:p w14:paraId="6F7BCC67" w14:textId="77777777" w:rsidR="00C9789B" w:rsidRDefault="00C9789B" w:rsidP="005A1F7F">
            <w:pPr>
              <w:rPr>
                <w:rFonts w:ascii="Arial" w:hAnsi="Arial" w:cs="Arial"/>
                <w:sz w:val="16"/>
                <w:szCs w:val="16"/>
              </w:rPr>
            </w:pPr>
            <w:r>
              <w:rPr>
                <w:rFonts w:ascii="Arial" w:hAnsi="Arial" w:cs="Arial"/>
                <w:color w:val="000000"/>
                <w:sz w:val="16"/>
                <w:szCs w:val="16"/>
              </w:rPr>
              <w:t>Development principles included in the DA recommendations effectively integrated in the work of WIPO programs</w:t>
            </w:r>
            <w:r>
              <w:rPr>
                <w:rFonts w:ascii="Arial" w:hAnsi="Arial" w:cs="Arial"/>
                <w:sz w:val="16"/>
                <w:szCs w:val="16"/>
              </w:rPr>
              <w:t xml:space="preserve"> </w:t>
            </w:r>
          </w:p>
          <w:p w14:paraId="7B5D8D7D" w14:textId="77777777" w:rsidR="00C9789B" w:rsidRDefault="00C9789B" w:rsidP="005A1F7F">
            <w:pPr>
              <w:rPr>
                <w:rFonts w:ascii="Arial" w:hAnsi="Arial" w:cs="Arial"/>
                <w:sz w:val="16"/>
                <w:szCs w:val="16"/>
              </w:rPr>
            </w:pPr>
          </w:p>
          <w:p w14:paraId="4F0A0133" w14:textId="77777777" w:rsidR="00C9789B" w:rsidRPr="0016774F" w:rsidRDefault="00C9789B" w:rsidP="005A1F7F">
            <w:pPr>
              <w:rPr>
                <w:rFonts w:ascii="Arial" w:hAnsi="Arial" w:cs="Arial"/>
                <w:sz w:val="16"/>
                <w:szCs w:val="16"/>
              </w:rPr>
            </w:pPr>
            <w:r>
              <w:rPr>
                <w:rFonts w:ascii="Arial" w:hAnsi="Arial" w:cs="Arial"/>
                <w:color w:val="000000"/>
                <w:sz w:val="16"/>
                <w:szCs w:val="16"/>
              </w:rPr>
              <w:t>Effective follow up to the implementation of the recommendations of the Independent Review of the DA</w:t>
            </w:r>
            <w:r w:rsidRPr="0016774F">
              <w:rPr>
                <w:rFonts w:ascii="Arial" w:hAnsi="Arial" w:cs="Arial"/>
                <w:sz w:val="16"/>
                <w:szCs w:val="16"/>
              </w:rPr>
              <w:t xml:space="preserve"> </w:t>
            </w:r>
          </w:p>
        </w:tc>
        <w:tc>
          <w:tcPr>
            <w:tcW w:w="1524" w:type="pct"/>
            <w:shd w:val="clear" w:color="auto" w:fill="FFFFFF"/>
            <w:tcMar>
              <w:top w:w="85" w:type="dxa"/>
              <w:bottom w:w="28" w:type="dxa"/>
            </w:tcMar>
          </w:tcPr>
          <w:p w14:paraId="4DDCE70E" w14:textId="77777777" w:rsidR="00C9789B"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p w14:paraId="2E98E2A6" w14:textId="77777777" w:rsidR="00C9789B" w:rsidRDefault="00C9789B" w:rsidP="005A1F7F">
            <w:pPr>
              <w:ind w:left="551"/>
              <w:rPr>
                <w:rFonts w:ascii="Arial" w:hAnsi="Arial" w:cs="Arial"/>
                <w:sz w:val="16"/>
                <w:szCs w:val="16"/>
                <w:lang w:bidi="th-TH"/>
              </w:rPr>
            </w:pPr>
          </w:p>
          <w:p w14:paraId="3A3BB69F" w14:textId="77777777" w:rsidR="00C9789B" w:rsidRDefault="00C9789B" w:rsidP="005A1F7F">
            <w:pPr>
              <w:ind w:left="551"/>
              <w:rPr>
                <w:rFonts w:ascii="Arial" w:hAnsi="Arial" w:cs="Arial"/>
                <w:sz w:val="16"/>
                <w:szCs w:val="16"/>
                <w:lang w:bidi="th-TH"/>
              </w:rPr>
            </w:pPr>
          </w:p>
          <w:p w14:paraId="1FD9D412" w14:textId="77777777" w:rsidR="00C9789B" w:rsidRDefault="00C9789B" w:rsidP="005A1F7F">
            <w:pPr>
              <w:ind w:left="551"/>
              <w:rPr>
                <w:rFonts w:ascii="Arial" w:hAnsi="Arial" w:cs="Arial"/>
                <w:sz w:val="16"/>
                <w:szCs w:val="16"/>
                <w:lang w:bidi="th-TH"/>
              </w:rPr>
            </w:pPr>
          </w:p>
          <w:p w14:paraId="707AC635" w14:textId="77777777" w:rsidR="009879E4" w:rsidRDefault="009879E4" w:rsidP="005A1F7F">
            <w:pPr>
              <w:ind w:left="551"/>
              <w:rPr>
                <w:rFonts w:ascii="Arial" w:hAnsi="Arial" w:cs="Arial"/>
                <w:sz w:val="16"/>
                <w:szCs w:val="16"/>
                <w:lang w:bidi="th-TH"/>
              </w:rPr>
            </w:pPr>
          </w:p>
          <w:p w14:paraId="02A97602" w14:textId="77777777" w:rsidR="00C9789B"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p w14:paraId="3A20D86F" w14:textId="77777777" w:rsidR="00C9789B" w:rsidRPr="0016774F" w:rsidRDefault="00C9789B" w:rsidP="005A1F7F">
            <w:pPr>
              <w:ind w:left="551"/>
              <w:rPr>
                <w:rFonts w:ascii="Arial" w:hAnsi="Arial" w:cs="Arial"/>
                <w:sz w:val="16"/>
                <w:szCs w:val="16"/>
                <w:lang w:bidi="th-TH"/>
              </w:rPr>
            </w:pPr>
          </w:p>
        </w:tc>
      </w:tr>
      <w:tr w:rsidR="00C9789B" w:rsidRPr="0016774F" w14:paraId="3A11E999" w14:textId="77777777" w:rsidTr="004F798C">
        <w:trPr>
          <w:cantSplit/>
          <w:trHeight w:val="547"/>
        </w:trPr>
        <w:tc>
          <w:tcPr>
            <w:tcW w:w="1768" w:type="pct"/>
            <w:shd w:val="clear" w:color="auto" w:fill="auto"/>
            <w:tcMar>
              <w:top w:w="85" w:type="dxa"/>
              <w:bottom w:w="28" w:type="dxa"/>
            </w:tcMar>
          </w:tcPr>
          <w:p w14:paraId="5F4DA51F"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0C48B4D" w14:textId="2D7718A4" w:rsidR="00C9789B" w:rsidRPr="0016774F" w:rsidRDefault="00C9789B">
            <w:pPr>
              <w:rPr>
                <w:rFonts w:ascii="Arial" w:hAnsi="Arial" w:cs="Arial"/>
                <w:sz w:val="16"/>
                <w:szCs w:val="16"/>
              </w:rPr>
            </w:pPr>
            <w:r>
              <w:rPr>
                <w:rFonts w:ascii="Arial" w:hAnsi="Arial" w:cs="Arial"/>
                <w:color w:val="000000"/>
                <w:sz w:val="16"/>
                <w:szCs w:val="16"/>
              </w:rPr>
              <w:t>Improved mechanism for the development, implementation, monitoring</w:t>
            </w:r>
            <w:r w:rsidR="004C341C">
              <w:rPr>
                <w:rFonts w:ascii="Arial" w:hAnsi="Arial" w:cs="Arial"/>
                <w:color w:val="000000"/>
                <w:sz w:val="16"/>
                <w:szCs w:val="16"/>
              </w:rPr>
              <w:t>,</w:t>
            </w:r>
            <w:r>
              <w:rPr>
                <w:rFonts w:ascii="Arial" w:hAnsi="Arial" w:cs="Arial"/>
                <w:color w:val="000000"/>
                <w:sz w:val="16"/>
                <w:szCs w:val="16"/>
              </w:rPr>
              <w:t xml:space="preserve"> evaluation of </w:t>
            </w:r>
            <w:r w:rsidR="004C341C">
              <w:rPr>
                <w:rFonts w:ascii="Arial" w:hAnsi="Arial" w:cs="Arial"/>
                <w:color w:val="000000"/>
                <w:sz w:val="16"/>
                <w:szCs w:val="16"/>
              </w:rPr>
              <w:t xml:space="preserve">and reporting on, </w:t>
            </w:r>
            <w:r>
              <w:rPr>
                <w:rFonts w:ascii="Arial" w:hAnsi="Arial" w:cs="Arial"/>
                <w:color w:val="000000"/>
                <w:sz w:val="16"/>
                <w:szCs w:val="16"/>
              </w:rPr>
              <w:t>new DA projects and activities</w:t>
            </w:r>
          </w:p>
        </w:tc>
        <w:tc>
          <w:tcPr>
            <w:tcW w:w="1524" w:type="pct"/>
            <w:shd w:val="clear" w:color="auto" w:fill="FFFFFF"/>
            <w:tcMar>
              <w:top w:w="85" w:type="dxa"/>
              <w:bottom w:w="28" w:type="dxa"/>
            </w:tcMar>
          </w:tcPr>
          <w:p w14:paraId="4F20D82C"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C9789B" w:rsidRPr="0016774F" w14:paraId="6EE2787E" w14:textId="77777777" w:rsidTr="004F798C">
        <w:trPr>
          <w:cantSplit/>
          <w:trHeight w:val="708"/>
        </w:trPr>
        <w:tc>
          <w:tcPr>
            <w:tcW w:w="1768" w:type="pct"/>
            <w:shd w:val="clear" w:color="auto" w:fill="auto"/>
            <w:tcMar>
              <w:top w:w="85" w:type="dxa"/>
              <w:bottom w:w="28" w:type="dxa"/>
            </w:tcMar>
          </w:tcPr>
          <w:p w14:paraId="5C3B75B6" w14:textId="1D256838" w:rsidR="00C9789B" w:rsidRPr="00C15BD1" w:rsidRDefault="00225D2B" w:rsidP="005A1F7F">
            <w:pPr>
              <w:keepNext/>
              <w:keepLines/>
              <w:tabs>
                <w:tab w:val="right" w:pos="2835"/>
              </w:tabs>
              <w:spacing w:after="60"/>
              <w:rPr>
                <w:rFonts w:ascii="Arial" w:hAnsi="Arial" w:cs="Arial"/>
                <w:sz w:val="15"/>
                <w:szCs w:val="15"/>
              </w:rPr>
            </w:pPr>
            <w:r>
              <w:rPr>
                <w:rFonts w:ascii="Arial" w:hAnsi="Arial" w:cs="Arial"/>
                <w:sz w:val="16"/>
                <w:szCs w:val="16"/>
              </w:rPr>
              <w:t>III.4  Strengthened cooperation mechanisms and programs tailored to the needs of developing countries, LDCs and countries with economies in transition</w:t>
            </w:r>
          </w:p>
          <w:p w14:paraId="701FACDE" w14:textId="77777777" w:rsidR="00C9789B" w:rsidRPr="00DD2110" w:rsidRDefault="00C9789B" w:rsidP="005A1F7F">
            <w:pPr>
              <w:keepNext/>
              <w:keepLines/>
              <w:rPr>
                <w:rFonts w:ascii="Arial" w:hAnsi="Arial" w:cs="Arial"/>
                <w:sz w:val="16"/>
                <w:szCs w:val="16"/>
                <w:highlight w:val="yellow"/>
              </w:rPr>
            </w:pPr>
          </w:p>
        </w:tc>
        <w:tc>
          <w:tcPr>
            <w:tcW w:w="1708" w:type="pct"/>
            <w:shd w:val="clear" w:color="auto" w:fill="auto"/>
            <w:tcMar>
              <w:top w:w="85" w:type="dxa"/>
              <w:bottom w:w="28" w:type="dxa"/>
            </w:tcMar>
          </w:tcPr>
          <w:p w14:paraId="0A37B41E" w14:textId="77777777" w:rsidR="00C9789B" w:rsidRPr="00EC31ED" w:rsidRDefault="00C9789B" w:rsidP="005A1F7F">
            <w:pPr>
              <w:keepNext/>
              <w:keepLines/>
              <w:rPr>
                <w:rFonts w:ascii="Arial" w:hAnsi="Arial" w:cs="Arial"/>
                <w:sz w:val="16"/>
                <w:szCs w:val="16"/>
                <w:highlight w:val="yellow"/>
              </w:rPr>
            </w:pPr>
            <w:r w:rsidRPr="00EC31ED">
              <w:rPr>
                <w:rFonts w:ascii="Arial" w:hAnsi="Arial" w:cs="Arial"/>
                <w:color w:val="000000"/>
                <w:sz w:val="16"/>
                <w:szCs w:val="16"/>
              </w:rPr>
              <w:t>No. of national, sub regional and regional/ interregional cooperation agreements, projects, programs, and partnerships to promote the effective use of the IP systems through sharing of best practices.</w:t>
            </w:r>
          </w:p>
        </w:tc>
        <w:tc>
          <w:tcPr>
            <w:tcW w:w="1524" w:type="pct"/>
            <w:shd w:val="clear" w:color="auto" w:fill="FFFFFF"/>
            <w:tcMar>
              <w:top w:w="85" w:type="dxa"/>
              <w:bottom w:w="28" w:type="dxa"/>
            </w:tcMar>
          </w:tcPr>
          <w:p w14:paraId="160592EE" w14:textId="77777777" w:rsidR="00C9789B" w:rsidRPr="00DD2110" w:rsidRDefault="00C9789B" w:rsidP="005A1F7F">
            <w:pPr>
              <w:ind w:left="551"/>
              <w:rPr>
                <w:rFonts w:ascii="Arial" w:hAnsi="Arial" w:cs="Arial"/>
                <w:sz w:val="16"/>
                <w:szCs w:val="16"/>
                <w:highlight w:val="yellow"/>
                <w:lang w:bidi="th-TH"/>
              </w:rPr>
            </w:pPr>
            <w:r w:rsidRPr="00B61113">
              <w:rPr>
                <w:rFonts w:ascii="Arial" w:hAnsi="Arial" w:cs="Arial"/>
                <w:sz w:val="16"/>
                <w:szCs w:val="16"/>
                <w:lang w:bidi="th-TH"/>
              </w:rPr>
              <w:t>Program 9</w:t>
            </w:r>
          </w:p>
        </w:tc>
      </w:tr>
      <w:tr w:rsidR="00C9789B" w:rsidRPr="00AF5E7C" w14:paraId="5C1D1B9D" w14:textId="77777777" w:rsidTr="004F798C">
        <w:trPr>
          <w:cantSplit/>
          <w:trHeight w:val="310"/>
        </w:trPr>
        <w:tc>
          <w:tcPr>
            <w:tcW w:w="1768" w:type="pct"/>
            <w:shd w:val="clear" w:color="auto" w:fill="auto"/>
            <w:tcMar>
              <w:top w:w="85" w:type="dxa"/>
              <w:bottom w:w="28" w:type="dxa"/>
            </w:tcMar>
          </w:tcPr>
          <w:p w14:paraId="01357748" w14:textId="77777777" w:rsidR="00C9789B" w:rsidRPr="00DD2110" w:rsidRDefault="00C9789B" w:rsidP="005A1F7F">
            <w:pPr>
              <w:keepNext/>
              <w:keepLines/>
              <w:rPr>
                <w:rFonts w:ascii="Arial" w:hAnsi="Arial" w:cs="Arial"/>
                <w:sz w:val="16"/>
                <w:szCs w:val="16"/>
                <w:highlight w:val="yellow"/>
              </w:rPr>
            </w:pPr>
          </w:p>
        </w:tc>
        <w:tc>
          <w:tcPr>
            <w:tcW w:w="1708" w:type="pct"/>
            <w:shd w:val="clear" w:color="auto" w:fill="auto"/>
            <w:tcMar>
              <w:top w:w="85" w:type="dxa"/>
              <w:bottom w:w="28" w:type="dxa"/>
            </w:tcMar>
          </w:tcPr>
          <w:p w14:paraId="7B2DC238" w14:textId="77777777" w:rsidR="00C9789B" w:rsidRPr="004456C9" w:rsidRDefault="00C9789B" w:rsidP="005A1F7F">
            <w:pPr>
              <w:keepNext/>
              <w:keepLines/>
              <w:rPr>
                <w:rFonts w:ascii="Arial" w:hAnsi="Arial" w:cs="Arial"/>
                <w:sz w:val="16"/>
                <w:szCs w:val="16"/>
                <w:highlight w:val="yellow"/>
              </w:rPr>
            </w:pPr>
            <w:r w:rsidRPr="004456C9">
              <w:rPr>
                <w:rFonts w:ascii="Arial" w:hAnsi="Arial" w:cs="Arial"/>
                <w:color w:val="000000"/>
                <w:sz w:val="16"/>
                <w:szCs w:val="16"/>
              </w:rPr>
              <w:t>No. of established partnerships</w:t>
            </w:r>
          </w:p>
        </w:tc>
        <w:tc>
          <w:tcPr>
            <w:tcW w:w="1524" w:type="pct"/>
            <w:shd w:val="clear" w:color="auto" w:fill="FFFFFF"/>
            <w:tcMar>
              <w:top w:w="85" w:type="dxa"/>
              <w:bottom w:w="28" w:type="dxa"/>
            </w:tcMar>
          </w:tcPr>
          <w:p w14:paraId="2580DFF9" w14:textId="77777777" w:rsidR="00C9789B" w:rsidRPr="00DD2110" w:rsidRDefault="00C9789B" w:rsidP="005A1F7F">
            <w:pPr>
              <w:ind w:left="551"/>
              <w:rPr>
                <w:rFonts w:ascii="Arial" w:hAnsi="Arial" w:cs="Arial"/>
                <w:sz w:val="16"/>
                <w:szCs w:val="16"/>
                <w:highlight w:val="yellow"/>
                <w:lang w:bidi="th-TH"/>
              </w:rPr>
            </w:pPr>
            <w:r w:rsidRPr="004456C9">
              <w:rPr>
                <w:rFonts w:ascii="Arial" w:hAnsi="Arial" w:cs="Arial"/>
                <w:sz w:val="16"/>
                <w:szCs w:val="16"/>
                <w:lang w:bidi="th-TH"/>
              </w:rPr>
              <w:t>Program 10</w:t>
            </w:r>
          </w:p>
        </w:tc>
      </w:tr>
      <w:tr w:rsidR="00C9789B" w:rsidRPr="00AF5E7C" w14:paraId="649952A9" w14:textId="77777777" w:rsidTr="004F798C">
        <w:trPr>
          <w:cantSplit/>
          <w:trHeight w:val="652"/>
        </w:trPr>
        <w:tc>
          <w:tcPr>
            <w:tcW w:w="1768" w:type="pct"/>
            <w:shd w:val="clear" w:color="auto" w:fill="auto"/>
            <w:tcMar>
              <w:top w:w="85" w:type="dxa"/>
              <w:bottom w:w="28" w:type="dxa"/>
            </w:tcMar>
          </w:tcPr>
          <w:p w14:paraId="63B92CCD" w14:textId="77777777" w:rsidR="00C9789B" w:rsidRPr="00534297" w:rsidRDefault="00C9789B" w:rsidP="005A1F7F">
            <w:pPr>
              <w:keepNext/>
              <w:keepLines/>
              <w:rPr>
                <w:rFonts w:ascii="Arial" w:hAnsi="Arial" w:cs="Arial"/>
                <w:sz w:val="16"/>
                <w:szCs w:val="16"/>
              </w:rPr>
            </w:pPr>
            <w:r>
              <w:rPr>
                <w:rFonts w:ascii="Arial" w:hAnsi="Arial" w:cs="Arial"/>
                <w:sz w:val="16"/>
                <w:szCs w:val="16"/>
              </w:rPr>
              <w:t>III.5</w:t>
            </w:r>
            <w:r w:rsidRPr="00534297">
              <w:rPr>
                <w:rFonts w:ascii="Arial" w:hAnsi="Arial" w:cs="Arial"/>
                <w:sz w:val="16"/>
                <w:szCs w:val="16"/>
              </w:rPr>
              <w:t xml:space="preserve"> Enhanced understanding of the DA by Member States, IGOs, civil society and other stakeholders</w:t>
            </w:r>
          </w:p>
        </w:tc>
        <w:tc>
          <w:tcPr>
            <w:tcW w:w="1708" w:type="pct"/>
            <w:shd w:val="clear" w:color="auto" w:fill="auto"/>
            <w:tcMar>
              <w:top w:w="85" w:type="dxa"/>
              <w:bottom w:w="28" w:type="dxa"/>
            </w:tcMar>
          </w:tcPr>
          <w:p w14:paraId="51F89B59" w14:textId="77777777" w:rsidR="00C9789B" w:rsidRPr="0016774F" w:rsidRDefault="00C9789B" w:rsidP="005A1F7F">
            <w:pPr>
              <w:keepNext/>
              <w:keepLines/>
              <w:rPr>
                <w:rFonts w:ascii="Arial" w:hAnsi="Arial" w:cs="Arial"/>
                <w:sz w:val="16"/>
                <w:szCs w:val="16"/>
              </w:rPr>
            </w:pPr>
            <w:r>
              <w:rPr>
                <w:rFonts w:ascii="Arial" w:hAnsi="Arial" w:cs="Arial"/>
                <w:color w:val="000000"/>
                <w:sz w:val="16"/>
                <w:szCs w:val="16"/>
              </w:rPr>
              <w:t>Technical assistance activities undertaken by WIPO reflect the Development Agenda dimension and outcomes of DA projects.</w:t>
            </w:r>
          </w:p>
        </w:tc>
        <w:tc>
          <w:tcPr>
            <w:tcW w:w="1524" w:type="pct"/>
            <w:shd w:val="clear" w:color="auto" w:fill="FFFFFF"/>
            <w:tcMar>
              <w:top w:w="85" w:type="dxa"/>
              <w:bottom w:w="28" w:type="dxa"/>
            </w:tcMar>
          </w:tcPr>
          <w:p w14:paraId="496C8E3B"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C9789B" w:rsidRPr="00AF5E7C" w14:paraId="786488EF" w14:textId="77777777" w:rsidTr="004F798C">
        <w:trPr>
          <w:cantSplit/>
          <w:trHeight w:val="652"/>
        </w:trPr>
        <w:tc>
          <w:tcPr>
            <w:tcW w:w="1768" w:type="pct"/>
            <w:shd w:val="clear" w:color="auto" w:fill="auto"/>
            <w:tcMar>
              <w:top w:w="85" w:type="dxa"/>
              <w:bottom w:w="28" w:type="dxa"/>
            </w:tcMar>
          </w:tcPr>
          <w:p w14:paraId="69050671" w14:textId="77777777" w:rsidR="00C9789B" w:rsidRPr="0016774F" w:rsidRDefault="00C9789B" w:rsidP="005A1F7F">
            <w:pPr>
              <w:keepNext/>
              <w:keepLines/>
              <w:rPr>
                <w:rFonts w:ascii="Arial" w:hAnsi="Arial" w:cs="Arial"/>
                <w:sz w:val="16"/>
                <w:szCs w:val="16"/>
              </w:rPr>
            </w:pPr>
          </w:p>
        </w:tc>
        <w:tc>
          <w:tcPr>
            <w:tcW w:w="1708" w:type="pct"/>
            <w:shd w:val="clear" w:color="auto" w:fill="auto"/>
            <w:tcMar>
              <w:top w:w="85" w:type="dxa"/>
              <w:bottom w:w="28" w:type="dxa"/>
            </w:tcMar>
          </w:tcPr>
          <w:p w14:paraId="00D51038" w14:textId="4CF90499" w:rsidR="00C9789B" w:rsidRPr="00534297" w:rsidRDefault="00C9789B" w:rsidP="005A1F7F">
            <w:pPr>
              <w:keepNext/>
              <w:keepLines/>
              <w:rPr>
                <w:rFonts w:ascii="Arial" w:hAnsi="Arial" w:cs="Arial"/>
                <w:sz w:val="16"/>
                <w:szCs w:val="16"/>
              </w:rPr>
            </w:pPr>
            <w:r>
              <w:rPr>
                <w:rFonts w:ascii="Arial" w:hAnsi="Arial" w:cs="Arial"/>
                <w:color w:val="000000"/>
                <w:sz w:val="16"/>
                <w:szCs w:val="16"/>
              </w:rPr>
              <w:t>% of satisfied participants in events on the WIPO Development Agenda targeting Member States, Civil Society, IGOs and stakeholders</w:t>
            </w:r>
          </w:p>
        </w:tc>
        <w:tc>
          <w:tcPr>
            <w:tcW w:w="1524" w:type="pct"/>
            <w:shd w:val="clear" w:color="auto" w:fill="FFFFFF"/>
            <w:tcMar>
              <w:top w:w="85" w:type="dxa"/>
              <w:bottom w:w="28" w:type="dxa"/>
            </w:tcMar>
          </w:tcPr>
          <w:p w14:paraId="08DBEECB"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5D4F01" w:rsidRPr="00AF5E7C" w14:paraId="307764CA" w14:textId="77777777" w:rsidTr="004F798C">
        <w:trPr>
          <w:cantSplit/>
          <w:trHeight w:val="652"/>
        </w:trPr>
        <w:tc>
          <w:tcPr>
            <w:tcW w:w="1768" w:type="pct"/>
            <w:shd w:val="clear" w:color="auto" w:fill="auto"/>
            <w:tcMar>
              <w:top w:w="85" w:type="dxa"/>
              <w:bottom w:w="28" w:type="dxa"/>
            </w:tcMar>
          </w:tcPr>
          <w:p w14:paraId="43E61E17" w14:textId="77777777" w:rsidR="005D4F01" w:rsidRPr="00DD2110" w:rsidRDefault="005D4F01" w:rsidP="005A1F7F">
            <w:pPr>
              <w:keepNext/>
              <w:keepLines/>
              <w:rPr>
                <w:rFonts w:ascii="Arial" w:hAnsi="Arial" w:cs="Arial"/>
                <w:sz w:val="16"/>
                <w:szCs w:val="16"/>
                <w:highlight w:val="yellow"/>
              </w:rPr>
            </w:pPr>
            <w:r w:rsidRPr="00C34EC3">
              <w:rPr>
                <w:rFonts w:ascii="Arial" w:hAnsi="Arial" w:cs="Arial"/>
                <w:sz w:val="16"/>
                <w:szCs w:val="16"/>
              </w:rPr>
              <w:t>III.6 Increased capacity of SMEs to successfully use IP to support innovation</w:t>
            </w:r>
          </w:p>
        </w:tc>
        <w:tc>
          <w:tcPr>
            <w:tcW w:w="1708" w:type="pct"/>
            <w:shd w:val="clear" w:color="auto" w:fill="auto"/>
            <w:tcMar>
              <w:top w:w="85" w:type="dxa"/>
              <w:bottom w:w="28" w:type="dxa"/>
            </w:tcMar>
          </w:tcPr>
          <w:p w14:paraId="6E1D31BE" w14:textId="0430F44B" w:rsidR="005D4F01" w:rsidRPr="00DD2110" w:rsidRDefault="005D4F01" w:rsidP="005A1F7F">
            <w:pPr>
              <w:keepNext/>
              <w:keepLines/>
              <w:rPr>
                <w:rFonts w:ascii="Arial" w:hAnsi="Arial" w:cs="Arial"/>
                <w:sz w:val="16"/>
                <w:szCs w:val="16"/>
                <w:highlight w:val="yellow"/>
              </w:rPr>
            </w:pPr>
            <w:r>
              <w:rPr>
                <w:rFonts w:ascii="Arial" w:eastAsia="Times New Roman" w:hAnsi="Arial" w:cs="Arial"/>
                <w:color w:val="000000"/>
                <w:sz w:val="16"/>
                <w:szCs w:val="16"/>
              </w:rPr>
              <w:t>No. of subscriptions to the SME Newsletter</w:t>
            </w:r>
          </w:p>
        </w:tc>
        <w:tc>
          <w:tcPr>
            <w:tcW w:w="1524" w:type="pct"/>
            <w:shd w:val="clear" w:color="auto" w:fill="FFFFFF"/>
            <w:tcMar>
              <w:top w:w="85" w:type="dxa"/>
              <w:bottom w:w="28" w:type="dxa"/>
            </w:tcMar>
          </w:tcPr>
          <w:p w14:paraId="710A3A9C" w14:textId="5E85ABFA" w:rsidR="005D4F01" w:rsidRPr="00DD2110" w:rsidRDefault="002979C6" w:rsidP="00DA3F93">
            <w:pPr>
              <w:ind w:left="569"/>
              <w:rPr>
                <w:rFonts w:ascii="Arial" w:hAnsi="Arial" w:cs="Arial"/>
                <w:sz w:val="16"/>
                <w:szCs w:val="16"/>
                <w:highlight w:val="yellow"/>
                <w:lang w:bidi="th-TH"/>
              </w:rPr>
            </w:pPr>
            <w:r>
              <w:rPr>
                <w:rFonts w:ascii="Arial" w:hAnsi="Arial" w:cs="Arial"/>
                <w:sz w:val="16"/>
                <w:szCs w:val="16"/>
                <w:lang w:bidi="th-TH"/>
              </w:rPr>
              <w:t>P</w:t>
            </w:r>
            <w:r w:rsidRPr="00C34EC3">
              <w:rPr>
                <w:rFonts w:ascii="Arial" w:hAnsi="Arial" w:cs="Arial"/>
                <w:sz w:val="16"/>
                <w:szCs w:val="16"/>
                <w:lang w:bidi="th-TH"/>
              </w:rPr>
              <w:t>rogram 30</w:t>
            </w:r>
          </w:p>
        </w:tc>
      </w:tr>
      <w:tr w:rsidR="002979C6" w:rsidRPr="00AF5E7C" w14:paraId="67307A5A" w14:textId="77777777" w:rsidTr="00DA3F93">
        <w:trPr>
          <w:cantSplit/>
          <w:trHeight w:val="418"/>
        </w:trPr>
        <w:tc>
          <w:tcPr>
            <w:tcW w:w="1768" w:type="pct"/>
            <w:shd w:val="clear" w:color="auto" w:fill="auto"/>
            <w:tcMar>
              <w:top w:w="85" w:type="dxa"/>
              <w:bottom w:w="28" w:type="dxa"/>
            </w:tcMar>
          </w:tcPr>
          <w:p w14:paraId="43088250" w14:textId="77777777" w:rsidR="002979C6" w:rsidRPr="00DD2110" w:rsidRDefault="002979C6" w:rsidP="005A1F7F">
            <w:pPr>
              <w:keepNext/>
              <w:keepLines/>
              <w:rPr>
                <w:rFonts w:ascii="Arial" w:hAnsi="Arial" w:cs="Arial"/>
                <w:sz w:val="16"/>
                <w:szCs w:val="16"/>
                <w:highlight w:val="yellow"/>
              </w:rPr>
            </w:pPr>
          </w:p>
        </w:tc>
        <w:tc>
          <w:tcPr>
            <w:tcW w:w="1708" w:type="pct"/>
            <w:tcBorders>
              <w:bottom w:val="nil"/>
            </w:tcBorders>
            <w:shd w:val="clear" w:color="auto" w:fill="auto"/>
            <w:tcMar>
              <w:top w:w="85" w:type="dxa"/>
              <w:bottom w:w="28" w:type="dxa"/>
            </w:tcMar>
          </w:tcPr>
          <w:p w14:paraId="387C0C08" w14:textId="6B35D911" w:rsidR="002979C6" w:rsidRDefault="002979C6" w:rsidP="005A1F7F">
            <w:pPr>
              <w:keepNext/>
              <w:keepLines/>
              <w:rPr>
                <w:rFonts w:ascii="Arial" w:hAnsi="Arial" w:cs="Arial"/>
                <w:color w:val="000000"/>
                <w:sz w:val="16"/>
                <w:szCs w:val="16"/>
              </w:rPr>
            </w:pPr>
            <w:r>
              <w:rPr>
                <w:rFonts w:ascii="Arial" w:eastAsia="Times New Roman" w:hAnsi="Arial" w:cs="Arial"/>
                <w:color w:val="000000"/>
                <w:sz w:val="16"/>
                <w:szCs w:val="16"/>
              </w:rPr>
              <w:t>No. of downloads of topical SME material and guidelines</w:t>
            </w:r>
          </w:p>
        </w:tc>
        <w:tc>
          <w:tcPr>
            <w:tcW w:w="1524" w:type="pct"/>
            <w:tcBorders>
              <w:bottom w:val="nil"/>
            </w:tcBorders>
            <w:shd w:val="clear" w:color="auto" w:fill="FFFFFF"/>
            <w:tcMar>
              <w:top w:w="85" w:type="dxa"/>
              <w:bottom w:w="28" w:type="dxa"/>
            </w:tcMar>
          </w:tcPr>
          <w:p w14:paraId="09E66800" w14:textId="135EDF7D" w:rsidR="002979C6" w:rsidRPr="00C34EC3" w:rsidRDefault="002979C6" w:rsidP="005A1F7F">
            <w:pPr>
              <w:ind w:left="551"/>
              <w:rPr>
                <w:rFonts w:ascii="Arial" w:hAnsi="Arial" w:cs="Arial"/>
                <w:sz w:val="16"/>
                <w:szCs w:val="16"/>
                <w:lang w:bidi="th-TH"/>
              </w:rPr>
            </w:pPr>
            <w:r>
              <w:rPr>
                <w:rFonts w:ascii="Arial" w:hAnsi="Arial" w:cs="Arial"/>
                <w:sz w:val="16"/>
                <w:szCs w:val="16"/>
                <w:lang w:bidi="th-TH"/>
              </w:rPr>
              <w:t>P</w:t>
            </w:r>
            <w:r w:rsidRPr="00C34EC3">
              <w:rPr>
                <w:rFonts w:ascii="Arial" w:hAnsi="Arial" w:cs="Arial"/>
                <w:sz w:val="16"/>
                <w:szCs w:val="16"/>
                <w:lang w:bidi="th-TH"/>
              </w:rPr>
              <w:t>rogram 30</w:t>
            </w:r>
          </w:p>
        </w:tc>
      </w:tr>
      <w:tr w:rsidR="005D4F01" w:rsidRPr="00AF5E7C" w14:paraId="6418D751" w14:textId="77777777" w:rsidTr="00DA3F93">
        <w:trPr>
          <w:cantSplit/>
          <w:trHeight w:val="418"/>
        </w:trPr>
        <w:tc>
          <w:tcPr>
            <w:tcW w:w="1768" w:type="pct"/>
            <w:shd w:val="clear" w:color="auto" w:fill="auto"/>
            <w:tcMar>
              <w:top w:w="85" w:type="dxa"/>
              <w:bottom w:w="28" w:type="dxa"/>
            </w:tcMar>
          </w:tcPr>
          <w:p w14:paraId="1D537F97" w14:textId="77777777" w:rsidR="005D4F01" w:rsidRPr="00DD2110" w:rsidRDefault="005D4F01" w:rsidP="005A1F7F">
            <w:pPr>
              <w:keepNext/>
              <w:keepLines/>
              <w:rPr>
                <w:rFonts w:ascii="Arial" w:hAnsi="Arial" w:cs="Arial"/>
                <w:sz w:val="16"/>
                <w:szCs w:val="16"/>
                <w:highlight w:val="yellow"/>
              </w:rPr>
            </w:pPr>
          </w:p>
        </w:tc>
        <w:tc>
          <w:tcPr>
            <w:tcW w:w="1708" w:type="pct"/>
            <w:tcBorders>
              <w:bottom w:val="nil"/>
            </w:tcBorders>
            <w:shd w:val="clear" w:color="auto" w:fill="auto"/>
            <w:tcMar>
              <w:top w:w="85" w:type="dxa"/>
              <w:bottom w:w="28" w:type="dxa"/>
            </w:tcMar>
          </w:tcPr>
          <w:p w14:paraId="27527A7B" w14:textId="06AC41F2" w:rsidR="005D4F01" w:rsidRDefault="005D4F01" w:rsidP="005A1F7F">
            <w:pPr>
              <w:keepNext/>
              <w:keepLines/>
              <w:rPr>
                <w:rFonts w:ascii="Arial" w:hAnsi="Arial" w:cs="Arial"/>
                <w:color w:val="000000"/>
                <w:sz w:val="16"/>
                <w:szCs w:val="16"/>
              </w:rPr>
            </w:pPr>
            <w:r>
              <w:rPr>
                <w:rFonts w:ascii="Arial" w:hAnsi="Arial" w:cs="Arial"/>
                <w:color w:val="000000"/>
                <w:sz w:val="16"/>
                <w:szCs w:val="16"/>
              </w:rPr>
              <w:t>% of participants in training programs targeting SME support institutions who express satisfaction with the content and organization of these events</w:t>
            </w:r>
          </w:p>
        </w:tc>
        <w:tc>
          <w:tcPr>
            <w:tcW w:w="1524" w:type="pct"/>
            <w:tcBorders>
              <w:bottom w:val="nil"/>
            </w:tcBorders>
            <w:shd w:val="clear" w:color="auto" w:fill="FFFFFF"/>
            <w:tcMar>
              <w:top w:w="85" w:type="dxa"/>
              <w:bottom w:w="28" w:type="dxa"/>
            </w:tcMar>
          </w:tcPr>
          <w:p w14:paraId="22319B20" w14:textId="4C0CF4D8" w:rsidR="005D4F01" w:rsidRPr="00C34EC3" w:rsidRDefault="005D4F01" w:rsidP="005A1F7F">
            <w:pPr>
              <w:ind w:left="551"/>
              <w:rPr>
                <w:rFonts w:ascii="Arial" w:hAnsi="Arial" w:cs="Arial"/>
                <w:sz w:val="16"/>
                <w:szCs w:val="16"/>
                <w:lang w:bidi="th-TH"/>
              </w:rPr>
            </w:pPr>
            <w:r>
              <w:rPr>
                <w:rFonts w:ascii="Arial" w:hAnsi="Arial" w:cs="Arial"/>
                <w:sz w:val="16"/>
                <w:szCs w:val="16"/>
                <w:lang w:bidi="th-TH"/>
              </w:rPr>
              <w:t>P</w:t>
            </w:r>
            <w:r w:rsidRPr="00C34EC3">
              <w:rPr>
                <w:rFonts w:ascii="Arial" w:hAnsi="Arial" w:cs="Arial"/>
                <w:sz w:val="16"/>
                <w:szCs w:val="16"/>
                <w:lang w:bidi="th-TH"/>
              </w:rPr>
              <w:t>rogram 30</w:t>
            </w:r>
          </w:p>
        </w:tc>
      </w:tr>
      <w:tr w:rsidR="00C9789B" w:rsidRPr="00AF5E7C" w14:paraId="323F5E68" w14:textId="77777777" w:rsidTr="00357038">
        <w:trPr>
          <w:cantSplit/>
          <w:trHeight w:val="418"/>
        </w:trPr>
        <w:tc>
          <w:tcPr>
            <w:tcW w:w="1768" w:type="pct"/>
            <w:shd w:val="clear" w:color="auto" w:fill="auto"/>
            <w:tcMar>
              <w:top w:w="85" w:type="dxa"/>
              <w:bottom w:w="28" w:type="dxa"/>
            </w:tcMar>
          </w:tcPr>
          <w:p w14:paraId="6F62656F" w14:textId="77777777" w:rsidR="00C9789B" w:rsidRPr="00DD2110" w:rsidRDefault="00C9789B" w:rsidP="005A1F7F">
            <w:pPr>
              <w:keepNext/>
              <w:keepLines/>
              <w:rPr>
                <w:rFonts w:ascii="Arial" w:hAnsi="Arial" w:cs="Arial"/>
                <w:sz w:val="16"/>
                <w:szCs w:val="16"/>
                <w:highlight w:val="yellow"/>
              </w:rPr>
            </w:pPr>
          </w:p>
        </w:tc>
        <w:tc>
          <w:tcPr>
            <w:tcW w:w="1708" w:type="pct"/>
            <w:tcBorders>
              <w:bottom w:val="nil"/>
            </w:tcBorders>
            <w:shd w:val="clear" w:color="auto" w:fill="auto"/>
            <w:tcMar>
              <w:top w:w="85" w:type="dxa"/>
              <w:bottom w:w="28" w:type="dxa"/>
            </w:tcMar>
          </w:tcPr>
          <w:p w14:paraId="2CDA3B2D" w14:textId="77777777" w:rsidR="00C9789B" w:rsidRPr="00DD2110" w:rsidRDefault="00C9789B" w:rsidP="005A1F7F">
            <w:pPr>
              <w:keepNext/>
              <w:keepLines/>
              <w:rPr>
                <w:rFonts w:ascii="Arial" w:hAnsi="Arial" w:cs="Arial"/>
                <w:sz w:val="16"/>
                <w:szCs w:val="16"/>
                <w:highlight w:val="yellow"/>
              </w:rPr>
            </w:pPr>
            <w:r>
              <w:rPr>
                <w:rFonts w:ascii="Arial" w:hAnsi="Arial" w:cs="Arial"/>
                <w:color w:val="000000"/>
                <w:sz w:val="16"/>
                <w:szCs w:val="16"/>
              </w:rPr>
              <w:t>% of trained SMEs support institutions who provide information and advisory services on IP asset management</w:t>
            </w:r>
          </w:p>
        </w:tc>
        <w:tc>
          <w:tcPr>
            <w:tcW w:w="1524" w:type="pct"/>
            <w:tcBorders>
              <w:bottom w:val="nil"/>
            </w:tcBorders>
            <w:shd w:val="clear" w:color="auto" w:fill="FFFFFF"/>
            <w:tcMar>
              <w:top w:w="85" w:type="dxa"/>
              <w:bottom w:w="28" w:type="dxa"/>
            </w:tcMar>
          </w:tcPr>
          <w:p w14:paraId="4B1CFDBF" w14:textId="77777777" w:rsidR="00C9789B" w:rsidRPr="00DD2110" w:rsidRDefault="00C9789B" w:rsidP="005A1F7F">
            <w:pPr>
              <w:ind w:left="551"/>
              <w:rPr>
                <w:rFonts w:ascii="Arial" w:hAnsi="Arial" w:cs="Arial"/>
                <w:sz w:val="16"/>
                <w:szCs w:val="16"/>
                <w:highlight w:val="yellow"/>
                <w:lang w:bidi="th-TH"/>
              </w:rPr>
            </w:pPr>
            <w:r w:rsidRPr="00C34EC3">
              <w:rPr>
                <w:rFonts w:ascii="Arial" w:hAnsi="Arial" w:cs="Arial"/>
                <w:sz w:val="16"/>
                <w:szCs w:val="16"/>
                <w:lang w:bidi="th-TH"/>
              </w:rPr>
              <w:t>Program 30</w:t>
            </w:r>
          </w:p>
        </w:tc>
      </w:tr>
      <w:tr w:rsidR="00C15235" w:rsidRPr="00AF5E7C" w14:paraId="6CA48CFE" w14:textId="77777777" w:rsidTr="00357038">
        <w:trPr>
          <w:cantSplit/>
          <w:trHeight w:val="418"/>
        </w:trPr>
        <w:tc>
          <w:tcPr>
            <w:tcW w:w="1768" w:type="pct"/>
            <w:shd w:val="clear" w:color="auto" w:fill="auto"/>
            <w:tcMar>
              <w:top w:w="85" w:type="dxa"/>
              <w:bottom w:w="28" w:type="dxa"/>
            </w:tcMar>
          </w:tcPr>
          <w:p w14:paraId="23B346CA" w14:textId="77777777" w:rsidR="00C15235" w:rsidRPr="00DD2110" w:rsidRDefault="00C15235" w:rsidP="005A1F7F">
            <w:pPr>
              <w:keepNext/>
              <w:keepLines/>
              <w:rPr>
                <w:rFonts w:ascii="Arial" w:hAnsi="Arial" w:cs="Arial"/>
                <w:sz w:val="16"/>
                <w:szCs w:val="16"/>
                <w:highlight w:val="yellow"/>
              </w:rPr>
            </w:pPr>
          </w:p>
        </w:tc>
        <w:tc>
          <w:tcPr>
            <w:tcW w:w="1708" w:type="pct"/>
            <w:tcBorders>
              <w:top w:val="nil"/>
              <w:bottom w:val="nil"/>
            </w:tcBorders>
            <w:shd w:val="clear" w:color="auto" w:fill="auto"/>
            <w:tcMar>
              <w:top w:w="85" w:type="dxa"/>
              <w:bottom w:w="28" w:type="dxa"/>
            </w:tcMar>
          </w:tcPr>
          <w:p w14:paraId="2FAF7BD7" w14:textId="6C1D6592" w:rsidR="00C15235" w:rsidRDefault="00C15235" w:rsidP="005A1F7F">
            <w:pPr>
              <w:keepNext/>
              <w:keepLines/>
              <w:rPr>
                <w:rFonts w:ascii="Arial" w:hAnsi="Arial" w:cs="Arial"/>
                <w:color w:val="000000"/>
                <w:sz w:val="16"/>
                <w:szCs w:val="16"/>
              </w:rPr>
            </w:pPr>
            <w:r w:rsidRPr="00AE06F9">
              <w:rPr>
                <w:rFonts w:ascii="Arial" w:eastAsia="Times New Roman" w:hAnsi="Arial" w:cs="Arial"/>
                <w:color w:val="000000"/>
                <w:sz w:val="16"/>
                <w:szCs w:val="16"/>
              </w:rPr>
              <w:t xml:space="preserve">% of participants in training programs targeting SME support institutions using </w:t>
            </w:r>
            <w:r>
              <w:rPr>
                <w:rFonts w:ascii="Arial" w:eastAsia="Times New Roman" w:hAnsi="Arial" w:cs="Arial"/>
                <w:color w:val="000000"/>
                <w:sz w:val="16"/>
                <w:szCs w:val="16"/>
              </w:rPr>
              <w:t xml:space="preserve">enhanced knowledge </w:t>
            </w:r>
            <w:r w:rsidR="00524085">
              <w:rPr>
                <w:rFonts w:ascii="Arial" w:eastAsia="Times New Roman" w:hAnsi="Arial" w:cs="Arial"/>
                <w:color w:val="000000"/>
                <w:sz w:val="16"/>
                <w:szCs w:val="16"/>
              </w:rPr>
              <w:t xml:space="preserve">and </w:t>
            </w:r>
            <w:r w:rsidRPr="00AE06F9">
              <w:rPr>
                <w:rFonts w:ascii="Arial" w:eastAsia="Times New Roman" w:hAnsi="Arial" w:cs="Arial"/>
                <w:color w:val="000000"/>
                <w:sz w:val="16"/>
                <w:szCs w:val="16"/>
              </w:rPr>
              <w:t>upgraded skills in their work</w:t>
            </w:r>
          </w:p>
        </w:tc>
        <w:tc>
          <w:tcPr>
            <w:tcW w:w="1524" w:type="pct"/>
            <w:tcBorders>
              <w:top w:val="nil"/>
              <w:bottom w:val="nil"/>
              <w:right w:val="single" w:sz="4" w:space="0" w:color="auto"/>
            </w:tcBorders>
            <w:shd w:val="clear" w:color="auto" w:fill="FFFFFF"/>
            <w:tcMar>
              <w:top w:w="85" w:type="dxa"/>
              <w:bottom w:w="28" w:type="dxa"/>
            </w:tcMar>
          </w:tcPr>
          <w:p w14:paraId="7A2EB361" w14:textId="281A98F2" w:rsidR="00C15235" w:rsidRPr="00C34EC3" w:rsidRDefault="00C15235" w:rsidP="005A1F7F">
            <w:pPr>
              <w:ind w:left="551"/>
              <w:rPr>
                <w:rFonts w:ascii="Arial" w:hAnsi="Arial" w:cs="Arial"/>
                <w:sz w:val="16"/>
                <w:szCs w:val="16"/>
                <w:lang w:bidi="th-TH"/>
              </w:rPr>
            </w:pPr>
            <w:r w:rsidRPr="00C34EC3">
              <w:rPr>
                <w:rFonts w:ascii="Arial" w:hAnsi="Arial" w:cs="Arial"/>
                <w:sz w:val="16"/>
                <w:szCs w:val="16"/>
                <w:lang w:bidi="th-TH"/>
              </w:rPr>
              <w:t>Program 30</w:t>
            </w:r>
          </w:p>
        </w:tc>
      </w:tr>
      <w:tr w:rsidR="00C9789B" w:rsidRPr="00AF5E7C" w14:paraId="4ED27808" w14:textId="77777777" w:rsidTr="00357038">
        <w:trPr>
          <w:cantSplit/>
          <w:trHeight w:val="418"/>
        </w:trPr>
        <w:tc>
          <w:tcPr>
            <w:tcW w:w="1768" w:type="pct"/>
            <w:shd w:val="clear" w:color="auto" w:fill="auto"/>
            <w:tcMar>
              <w:top w:w="85" w:type="dxa"/>
              <w:bottom w:w="28" w:type="dxa"/>
            </w:tcMar>
          </w:tcPr>
          <w:p w14:paraId="44158356" w14:textId="77777777" w:rsidR="00C9789B" w:rsidRPr="00DD2110" w:rsidRDefault="00C9789B" w:rsidP="005A1F7F">
            <w:pPr>
              <w:keepNext/>
              <w:keepLines/>
              <w:rPr>
                <w:rFonts w:ascii="Arial" w:hAnsi="Arial" w:cs="Arial"/>
                <w:sz w:val="16"/>
                <w:szCs w:val="16"/>
                <w:highlight w:val="yellow"/>
              </w:rPr>
            </w:pPr>
          </w:p>
        </w:tc>
        <w:tc>
          <w:tcPr>
            <w:tcW w:w="1708" w:type="pct"/>
            <w:tcBorders>
              <w:top w:val="nil"/>
              <w:bottom w:val="single" w:sz="4" w:space="0" w:color="auto"/>
            </w:tcBorders>
            <w:shd w:val="clear" w:color="auto" w:fill="auto"/>
            <w:tcMar>
              <w:top w:w="85" w:type="dxa"/>
              <w:bottom w:w="28" w:type="dxa"/>
            </w:tcMar>
          </w:tcPr>
          <w:p w14:paraId="085C65FE" w14:textId="77777777" w:rsidR="00C9789B" w:rsidRDefault="00C9789B" w:rsidP="005A1F7F">
            <w:pPr>
              <w:keepNext/>
              <w:keepLines/>
              <w:rPr>
                <w:rFonts w:ascii="Arial" w:hAnsi="Arial" w:cs="Arial"/>
                <w:color w:val="000000"/>
                <w:sz w:val="16"/>
                <w:szCs w:val="16"/>
              </w:rPr>
            </w:pPr>
            <w:r>
              <w:rPr>
                <w:rFonts w:ascii="Arial" w:hAnsi="Arial" w:cs="Arial"/>
                <w:color w:val="000000"/>
                <w:sz w:val="16"/>
                <w:szCs w:val="16"/>
              </w:rPr>
              <w:t>No. of countries having established or improved IP training programs for SMEs</w:t>
            </w:r>
          </w:p>
          <w:p w14:paraId="5BC17C64" w14:textId="77777777" w:rsidR="00C9789B" w:rsidRDefault="00C9789B" w:rsidP="005A1F7F">
            <w:pPr>
              <w:keepNext/>
              <w:keepLines/>
              <w:rPr>
                <w:rFonts w:ascii="Arial" w:hAnsi="Arial" w:cs="Arial"/>
                <w:color w:val="000000"/>
                <w:sz w:val="16"/>
                <w:szCs w:val="16"/>
              </w:rPr>
            </w:pPr>
          </w:p>
        </w:tc>
        <w:tc>
          <w:tcPr>
            <w:tcW w:w="1524" w:type="pct"/>
            <w:tcBorders>
              <w:top w:val="nil"/>
              <w:bottom w:val="single" w:sz="4" w:space="0" w:color="auto"/>
              <w:right w:val="single" w:sz="4" w:space="0" w:color="auto"/>
            </w:tcBorders>
            <w:shd w:val="clear" w:color="auto" w:fill="FFFFFF"/>
            <w:tcMar>
              <w:top w:w="85" w:type="dxa"/>
              <w:bottom w:w="28" w:type="dxa"/>
            </w:tcMar>
          </w:tcPr>
          <w:p w14:paraId="28CDEE3B" w14:textId="77777777" w:rsidR="00C9789B" w:rsidRPr="00C34EC3" w:rsidRDefault="00C9789B" w:rsidP="005A1F7F">
            <w:pPr>
              <w:ind w:left="551"/>
              <w:rPr>
                <w:rFonts w:ascii="Arial" w:hAnsi="Arial" w:cs="Arial"/>
                <w:sz w:val="16"/>
                <w:szCs w:val="16"/>
                <w:lang w:bidi="th-TH"/>
              </w:rPr>
            </w:pPr>
            <w:r w:rsidRPr="00C34EC3">
              <w:rPr>
                <w:rFonts w:ascii="Arial" w:hAnsi="Arial" w:cs="Arial"/>
                <w:sz w:val="16"/>
                <w:szCs w:val="16"/>
                <w:lang w:bidi="th-TH"/>
              </w:rPr>
              <w:t>Program 30</w:t>
            </w:r>
          </w:p>
          <w:p w14:paraId="7F392878" w14:textId="77777777" w:rsidR="00C9789B" w:rsidRPr="00C34EC3" w:rsidRDefault="00C9789B" w:rsidP="005A1F7F">
            <w:pPr>
              <w:ind w:left="551"/>
              <w:rPr>
                <w:rFonts w:ascii="Arial" w:hAnsi="Arial" w:cs="Arial"/>
                <w:sz w:val="16"/>
                <w:szCs w:val="16"/>
                <w:lang w:bidi="th-TH"/>
              </w:rPr>
            </w:pPr>
          </w:p>
        </w:tc>
      </w:tr>
    </w:tbl>
    <w:p w14:paraId="2D42CF21" w14:textId="7710FEE6" w:rsidR="00901665" w:rsidRDefault="00901665">
      <w:pPr>
        <w:rPr>
          <w:rFonts w:ascii="Arial" w:hAnsi="Arial" w:cs="Arial"/>
          <w:sz w:val="20"/>
          <w:szCs w:val="20"/>
        </w:rPr>
      </w:pPr>
    </w:p>
    <w:p w14:paraId="1E5E8DF4" w14:textId="45BB70C2" w:rsidR="00310671" w:rsidRPr="009B4A78" w:rsidRDefault="00310671">
      <w:pPr>
        <w:rPr>
          <w:rFonts w:ascii="Arial" w:hAnsi="Arial" w:cs="Arial"/>
          <w:sz w:val="20"/>
          <w:szCs w:val="20"/>
        </w:rPr>
      </w:pPr>
      <w:r w:rsidRPr="009B4A78">
        <w:rPr>
          <w:rFonts w:ascii="Arial" w:hAnsi="Arial" w:cs="Arial"/>
          <w:sz w:val="20"/>
          <w:szCs w:val="20"/>
        </w:rPr>
        <w:br w:type="page"/>
      </w:r>
    </w:p>
    <w:p w14:paraId="3A767FF2" w14:textId="77777777" w:rsidR="00566FDC" w:rsidRPr="009B4A78" w:rsidRDefault="00566FDC" w:rsidP="00F33E49">
      <w:pPr>
        <w:pStyle w:val="StyleHeading3ComplexItalic"/>
        <w:keepLines/>
        <w:ind w:left="1985" w:hanging="1985"/>
      </w:pPr>
      <w:bookmarkStart w:id="40" w:name="_Toc431221416"/>
      <w:r w:rsidRPr="009B4A78">
        <w:lastRenderedPageBreak/>
        <w:t>PROGRAM 8</w:t>
      </w:r>
      <w:r w:rsidRPr="009B4A78">
        <w:tab/>
        <w:t>DEVELOPMENT AGENDA COORDINATION</w:t>
      </w:r>
      <w:bookmarkEnd w:id="40"/>
    </w:p>
    <w:p w14:paraId="6F17465F" w14:textId="77777777" w:rsidR="00566FDC" w:rsidRPr="009B4A78" w:rsidRDefault="00566FDC" w:rsidP="00F33E49">
      <w:pPr>
        <w:autoSpaceDE w:val="0"/>
        <w:autoSpaceDN w:val="0"/>
        <w:adjustRightInd w:val="0"/>
        <w:rPr>
          <w:rFonts w:ascii="Arial" w:hAnsi="Arial" w:cs="Arial"/>
          <w:color w:val="000000"/>
          <w:sz w:val="20"/>
        </w:rPr>
      </w:pPr>
    </w:p>
    <w:p w14:paraId="6AF39415" w14:textId="77777777" w:rsidR="00566FDC" w:rsidRPr="009B4A78" w:rsidRDefault="00566FDC" w:rsidP="00F33E49">
      <w:pPr>
        <w:autoSpaceDE w:val="0"/>
        <w:autoSpaceDN w:val="0"/>
        <w:adjustRightInd w:val="0"/>
        <w:rPr>
          <w:rFonts w:ascii="Arial" w:hAnsi="Arial" w:cs="Arial"/>
          <w:color w:val="000000"/>
          <w:sz w:val="20"/>
        </w:rPr>
      </w:pPr>
    </w:p>
    <w:p w14:paraId="1D84E749" w14:textId="77777777" w:rsidR="00566FDC" w:rsidRPr="009B4A78" w:rsidRDefault="00566FDC" w:rsidP="00F33E49">
      <w:pPr>
        <w:autoSpaceDE w:val="0"/>
        <w:autoSpaceDN w:val="0"/>
        <w:adjustRightInd w:val="0"/>
        <w:rPr>
          <w:rFonts w:ascii="Arial" w:hAnsi="Arial" w:cs="Arial"/>
          <w:color w:val="000000"/>
        </w:rPr>
      </w:pPr>
      <w:r w:rsidRPr="009B4A78">
        <w:rPr>
          <w:rFonts w:ascii="Arial" w:hAnsi="Arial" w:cs="Arial"/>
          <w:color w:val="000000"/>
        </w:rPr>
        <w:t>PLANNING CONTEXT</w:t>
      </w:r>
    </w:p>
    <w:p w14:paraId="0EA9A687" w14:textId="77777777" w:rsidR="00566FDC" w:rsidRPr="009B4A78" w:rsidRDefault="00566FDC" w:rsidP="00F33E49">
      <w:pPr>
        <w:pStyle w:val="ListParagraph"/>
        <w:tabs>
          <w:tab w:val="left" w:pos="567"/>
        </w:tabs>
        <w:autoSpaceDE w:val="0"/>
        <w:autoSpaceDN w:val="0"/>
        <w:adjustRightInd w:val="0"/>
        <w:ind w:left="0"/>
        <w:jc w:val="both"/>
        <w:rPr>
          <w:rFonts w:ascii="Arial" w:hAnsi="Arial" w:cs="Arial"/>
          <w:color w:val="000000"/>
          <w:sz w:val="20"/>
        </w:rPr>
      </w:pPr>
    </w:p>
    <w:p w14:paraId="1D6635B4" w14:textId="5E1EFA97" w:rsidR="00566FDC" w:rsidRPr="009B4A78" w:rsidRDefault="00566FDC" w:rsidP="00B66A4A">
      <w:pPr>
        <w:pStyle w:val="ListParagraph"/>
        <w:numPr>
          <w:ilvl w:val="1"/>
          <w:numId w:val="10"/>
        </w:numPr>
        <w:tabs>
          <w:tab w:val="left" w:pos="567"/>
          <w:tab w:val="left" w:pos="709"/>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increasing imprint of the DA on the Organization’s work and the corresponding needs and requests of Member States will be the driving force for the Program’s activities in the 2016/17 biennium.  Considerable progress has been made in previous biennia in the implementation of DA Recommendations, notably through the implementation of DA projects with a more mature project management methodology including systematic monitoring and evaluation of all DA projects mainstreaming of completed project activities into the Organization’s regular activities, implementation of the Coordination Mechanisms and Monitoring, Assessing and Reporting Modalities (‘Coordination Mechanism’) as approved by Member States in the form of progress and evaluation reports, undertaking of the Independent Review of the implementation of the DA Recommendations, and an increased involvement of Member States, in particular, developing countries and LDCs.</w:t>
      </w:r>
    </w:p>
    <w:p w14:paraId="7526F7C1" w14:textId="77777777" w:rsidR="00566FDC" w:rsidRPr="009B4A78" w:rsidRDefault="00566FDC" w:rsidP="00F33E49">
      <w:pPr>
        <w:pStyle w:val="ListParagraph"/>
        <w:tabs>
          <w:tab w:val="left" w:pos="567"/>
        </w:tabs>
        <w:autoSpaceDE w:val="0"/>
        <w:autoSpaceDN w:val="0"/>
        <w:adjustRightInd w:val="0"/>
        <w:ind w:left="0"/>
        <w:jc w:val="both"/>
        <w:rPr>
          <w:rFonts w:ascii="Arial" w:hAnsi="Arial" w:cs="Arial"/>
          <w:color w:val="000000"/>
          <w:sz w:val="20"/>
          <w:szCs w:val="20"/>
        </w:rPr>
      </w:pPr>
    </w:p>
    <w:p w14:paraId="72FB9E3F" w14:textId="77777777"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continuation of the mainstreaming of the DA and the realization of its goals will continue to guide the expanding developmental landscape of the Organization’s work during the biennium.</w:t>
      </w:r>
    </w:p>
    <w:p w14:paraId="39F2CFBF" w14:textId="77777777" w:rsidR="00566FDC" w:rsidRPr="009B4A78" w:rsidRDefault="00566FDC" w:rsidP="00F33E49">
      <w:pPr>
        <w:pStyle w:val="ListParagraph"/>
        <w:tabs>
          <w:tab w:val="left" w:pos="567"/>
        </w:tabs>
        <w:jc w:val="both"/>
        <w:rPr>
          <w:rFonts w:ascii="Arial" w:hAnsi="Arial" w:cs="Arial"/>
          <w:color w:val="000000"/>
          <w:sz w:val="16"/>
          <w:szCs w:val="16"/>
        </w:rPr>
      </w:pPr>
    </w:p>
    <w:p w14:paraId="3318ABC7" w14:textId="77777777" w:rsidR="00566FDC" w:rsidRPr="009B4A78" w:rsidRDefault="00566FDC" w:rsidP="00F33E49">
      <w:pPr>
        <w:pStyle w:val="ListParagraph"/>
        <w:tabs>
          <w:tab w:val="left" w:pos="567"/>
        </w:tabs>
        <w:jc w:val="both"/>
        <w:rPr>
          <w:rFonts w:ascii="Arial" w:hAnsi="Arial" w:cs="Arial"/>
          <w:color w:val="000000"/>
          <w:sz w:val="16"/>
          <w:szCs w:val="16"/>
        </w:rPr>
      </w:pPr>
    </w:p>
    <w:p w14:paraId="5482BF84" w14:textId="77777777" w:rsidR="00566FDC" w:rsidRPr="009B4A78" w:rsidRDefault="00566FDC" w:rsidP="00F33E49">
      <w:pPr>
        <w:tabs>
          <w:tab w:val="left" w:pos="567"/>
        </w:tabs>
        <w:jc w:val="both"/>
        <w:rPr>
          <w:rFonts w:ascii="Arial" w:hAnsi="Arial" w:cs="Arial"/>
          <w:color w:val="000000"/>
        </w:rPr>
      </w:pPr>
      <w:r w:rsidRPr="009B4A78">
        <w:rPr>
          <w:rFonts w:ascii="Arial" w:hAnsi="Arial" w:cs="Arial"/>
          <w:color w:val="000000"/>
        </w:rPr>
        <w:t>IMPLEMENTATION STRATEGIES</w:t>
      </w:r>
    </w:p>
    <w:p w14:paraId="36FA1D12" w14:textId="77777777" w:rsidR="00566FDC" w:rsidRPr="009B4A78" w:rsidRDefault="00566FDC" w:rsidP="00F33E49">
      <w:pPr>
        <w:tabs>
          <w:tab w:val="left" w:pos="567"/>
        </w:tabs>
        <w:jc w:val="both"/>
        <w:rPr>
          <w:rFonts w:ascii="Arial" w:hAnsi="Arial" w:cs="Arial"/>
          <w:color w:val="000000"/>
        </w:rPr>
      </w:pPr>
    </w:p>
    <w:p w14:paraId="343A0784" w14:textId="0E5319B3"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 xml:space="preserve">The Program will continue to ensure that DA Recommendations and principles are mainstreamed in an appropriate, responsive and sustainable manner throughout the Organization’s development-related work.  To this end, it will continue to coordinate and facilitate the work of other programs in the implementation of the DA Recommendations.  The Program will facilitate the implementation of the decisions of the WIPO General Assembly and the Committee on Development and Intellectual Property (CDIP) through active coordination across all WIPO sectors, and by working collaboratively and proactively with Member States.  In this regard, the Program will support new projects and activities proposed by Member States and their implementation by the concerned Programs in the Organization.  </w:t>
      </w:r>
    </w:p>
    <w:p w14:paraId="313F33D6" w14:textId="77777777" w:rsidR="00566FDC" w:rsidRPr="009B4A78" w:rsidRDefault="00566FDC" w:rsidP="00F33E49">
      <w:pPr>
        <w:tabs>
          <w:tab w:val="left" w:pos="567"/>
        </w:tabs>
        <w:autoSpaceDE w:val="0"/>
        <w:autoSpaceDN w:val="0"/>
        <w:adjustRightInd w:val="0"/>
        <w:jc w:val="both"/>
        <w:rPr>
          <w:rFonts w:ascii="Arial" w:hAnsi="Arial" w:cs="Arial"/>
          <w:color w:val="000000"/>
          <w:sz w:val="20"/>
          <w:szCs w:val="20"/>
        </w:rPr>
      </w:pPr>
    </w:p>
    <w:p w14:paraId="60B46D42" w14:textId="0BA8E6D8"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work of the CDIP will continue to be supported, in particular, through facilitating negotiation processes among Member States; developing strategies for the implementation of DA Recommendations; coordinating the management and effective implementation, monitoring, evaluation and reporting of DA projects and mainstreamed DA-related activities; implementing recommendations and activities arising from the Independent Review; and supporting the dissemination of information and awareness raising on DA-related matters.  DA projects, including subsequent phases of ongoing projects approved by the CDIP will continue to be fully funded in accordance with the Budgetary Process Applied to Projects, contained in document A/48/5/Rev., as approved by Member States in 2010.</w:t>
      </w:r>
    </w:p>
    <w:p w14:paraId="04D078FD" w14:textId="77777777" w:rsidR="00566FDC" w:rsidRPr="009B4A78" w:rsidRDefault="00566FDC" w:rsidP="00F33E49">
      <w:pPr>
        <w:tabs>
          <w:tab w:val="left" w:pos="567"/>
        </w:tabs>
        <w:autoSpaceDE w:val="0"/>
        <w:autoSpaceDN w:val="0"/>
        <w:adjustRightInd w:val="0"/>
        <w:jc w:val="both"/>
        <w:rPr>
          <w:rFonts w:ascii="Arial" w:hAnsi="Arial" w:cs="Arial"/>
          <w:color w:val="000000"/>
          <w:sz w:val="20"/>
          <w:szCs w:val="20"/>
        </w:rPr>
      </w:pPr>
    </w:p>
    <w:p w14:paraId="4CBE26A0" w14:textId="4D7F5648"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 xml:space="preserve">The biennium 2016/17 will see the organization of an International Conference on IP and Development. In addition, the Program will continue to facilitate the discussion and implementation of any new activities related to IP and development as requested by the CDIP and the WIPO General Assembly. </w:t>
      </w:r>
    </w:p>
    <w:p w14:paraId="35DCA21D" w14:textId="77777777" w:rsidR="00566FDC" w:rsidRPr="009B4A78" w:rsidRDefault="00566FDC" w:rsidP="00F33E49">
      <w:pPr>
        <w:tabs>
          <w:tab w:val="left" w:pos="567"/>
        </w:tabs>
        <w:autoSpaceDE w:val="0"/>
        <w:autoSpaceDN w:val="0"/>
        <w:adjustRightInd w:val="0"/>
        <w:jc w:val="both"/>
        <w:rPr>
          <w:rFonts w:ascii="Arial" w:hAnsi="Arial" w:cs="Arial"/>
          <w:color w:val="000000"/>
        </w:rPr>
      </w:pPr>
    </w:p>
    <w:p w14:paraId="6C441224" w14:textId="77777777" w:rsidR="00566FDC" w:rsidRPr="009B4A78" w:rsidRDefault="00566FDC" w:rsidP="00F33E49">
      <w:pPr>
        <w:tabs>
          <w:tab w:val="left" w:pos="567"/>
        </w:tabs>
        <w:autoSpaceDE w:val="0"/>
        <w:autoSpaceDN w:val="0"/>
        <w:adjustRightInd w:val="0"/>
        <w:jc w:val="both"/>
        <w:rPr>
          <w:rFonts w:ascii="Arial" w:hAnsi="Arial" w:cs="Arial"/>
          <w:color w:val="000000"/>
        </w:rPr>
      </w:pPr>
    </w:p>
    <w:p w14:paraId="0A78E698" w14:textId="77777777" w:rsidR="00566FDC" w:rsidRPr="009B4A78" w:rsidRDefault="00566FDC" w:rsidP="00F33E49">
      <w:pPr>
        <w:rPr>
          <w:rFonts w:ascii="Arial" w:hAnsi="Arial" w:cs="Arial"/>
        </w:rPr>
      </w:pPr>
      <w:r w:rsidRPr="009B4A78">
        <w:rPr>
          <w:rFonts w:ascii="Arial" w:hAnsi="Arial" w:cs="Arial"/>
        </w:rPr>
        <w:t>MAJOR RISKS AND MITIGATION STRATEGIES</w:t>
      </w:r>
    </w:p>
    <w:p w14:paraId="5B32FDE7" w14:textId="77777777" w:rsidR="00566FDC" w:rsidRPr="009B4A78" w:rsidRDefault="00566FDC" w:rsidP="00F33E49">
      <w:pPr>
        <w:autoSpaceDE w:val="0"/>
        <w:autoSpaceDN w:val="0"/>
        <w:adjustRightInd w:val="0"/>
        <w:rPr>
          <w:rFonts w:ascii="Arial" w:eastAsia="Times New Roman"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566FDC" w:rsidRPr="009B4A78" w14:paraId="24C059E1"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4E4378F5" w14:textId="77777777" w:rsidR="00566FDC" w:rsidRPr="009B4A78" w:rsidRDefault="00566FD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0D843A61" w14:textId="77777777" w:rsidR="00566FDC" w:rsidRPr="009B4A78" w:rsidRDefault="00566FD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566FDC" w:rsidRPr="009B4A78" w14:paraId="2BAD6B64" w14:textId="77777777" w:rsidTr="00F33E49">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0244E0E3" w14:textId="77777777" w:rsidR="00566FDC" w:rsidRPr="009B4A78" w:rsidRDefault="00566FDC" w:rsidP="00F33E49">
            <w:pPr>
              <w:rPr>
                <w:rFonts w:ascii="Arial" w:eastAsia="Times New Roman" w:hAnsi="Arial" w:cs="Arial"/>
                <w:sz w:val="16"/>
                <w:szCs w:val="16"/>
              </w:rPr>
            </w:pPr>
            <w:r w:rsidRPr="009B4A78">
              <w:rPr>
                <w:rFonts w:ascii="Arial" w:eastAsia="Times New Roman" w:hAnsi="Arial" w:cs="Arial"/>
                <w:color w:val="000000"/>
                <w:sz w:val="16"/>
                <w:szCs w:val="20"/>
              </w:rPr>
              <w:t>Divergent Member States' views regarding the mainstreaming of DA recommendations in the work of WIPO</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7741745" w14:textId="77777777" w:rsidR="00566FDC" w:rsidRPr="009B4A78" w:rsidRDefault="00566FDC" w:rsidP="00F33E49">
            <w:pPr>
              <w:rPr>
                <w:rFonts w:ascii="Arial" w:eastAsia="Times New Roman" w:hAnsi="Arial" w:cs="Arial"/>
                <w:sz w:val="16"/>
                <w:szCs w:val="16"/>
              </w:rPr>
            </w:pPr>
            <w:r w:rsidRPr="009B4A78">
              <w:rPr>
                <w:rFonts w:ascii="Arial" w:eastAsia="Times New Roman" w:hAnsi="Arial" w:cs="Arial"/>
                <w:sz w:val="16"/>
                <w:szCs w:val="16"/>
              </w:rPr>
              <w:t xml:space="preserve">Engage in regular consultations with Member States aiming at facilitating the convergence of Member State views on the </w:t>
            </w:r>
            <w:r w:rsidRPr="009B4A78">
              <w:rPr>
                <w:rFonts w:ascii="Arial" w:eastAsia="Times New Roman" w:hAnsi="Arial" w:cs="Arial"/>
                <w:color w:val="000000"/>
                <w:sz w:val="16"/>
                <w:szCs w:val="20"/>
              </w:rPr>
              <w:t>mainstreaming of DA recommendations</w:t>
            </w:r>
            <w:r w:rsidRPr="009B4A78">
              <w:rPr>
                <w:rFonts w:ascii="Arial" w:eastAsia="Times New Roman" w:hAnsi="Arial" w:cs="Arial"/>
                <w:sz w:val="16"/>
                <w:szCs w:val="16"/>
              </w:rPr>
              <w:t>.</w:t>
            </w:r>
          </w:p>
        </w:tc>
      </w:tr>
    </w:tbl>
    <w:p w14:paraId="36FDA416" w14:textId="77777777" w:rsidR="00566FDC" w:rsidRPr="009B4A78" w:rsidRDefault="00566FDC" w:rsidP="00F33E49">
      <w:pPr>
        <w:rPr>
          <w:rFonts w:ascii="Arial" w:eastAsia="Times New Roman" w:hAnsi="Arial" w:cs="Arial"/>
        </w:rPr>
      </w:pPr>
    </w:p>
    <w:p w14:paraId="3B8CA1C8" w14:textId="77777777" w:rsidR="00566FDC" w:rsidRPr="009B4A78" w:rsidRDefault="00566FDC" w:rsidP="00F33E49">
      <w:pPr>
        <w:rPr>
          <w:rFonts w:ascii="Arial" w:eastAsia="Times New Roman" w:hAnsi="Arial" w:cs="Arial"/>
        </w:rPr>
      </w:pPr>
    </w:p>
    <w:p w14:paraId="1D273B91" w14:textId="77777777" w:rsidR="00566FDC" w:rsidRPr="009B4A78" w:rsidRDefault="00566FDC" w:rsidP="001B7766">
      <w:pPr>
        <w:keepNext/>
        <w:keepLines/>
        <w:rPr>
          <w:rFonts w:ascii="Arial" w:eastAsia="Times New Roman" w:hAnsi="Arial" w:cs="Arial"/>
        </w:rPr>
      </w:pPr>
      <w:r w:rsidRPr="009B4A78">
        <w:rPr>
          <w:rFonts w:ascii="Arial" w:eastAsia="Times New Roman" w:hAnsi="Arial" w:cs="Arial"/>
        </w:rPr>
        <w:lastRenderedPageBreak/>
        <w:t>RESULTS FRAMEWORK</w:t>
      </w:r>
    </w:p>
    <w:p w14:paraId="0524EF37" w14:textId="77777777" w:rsidR="00566FDC" w:rsidRPr="009B4A78" w:rsidRDefault="00566FDC" w:rsidP="001B7766">
      <w:pPr>
        <w:keepNext/>
        <w:keepLines/>
        <w:rPr>
          <w:rFonts w:ascii="Arial" w:eastAsia="Times New Roman" w:hAnsi="Arial" w:cs="Arial"/>
        </w:rPr>
      </w:pPr>
    </w:p>
    <w:tbl>
      <w:tblPr>
        <w:tblW w:w="9483" w:type="dxa"/>
        <w:tblInd w:w="93" w:type="dxa"/>
        <w:tblLook w:val="04A0" w:firstRow="1" w:lastRow="0" w:firstColumn="1" w:lastColumn="0" w:noHBand="0" w:noVBand="1"/>
      </w:tblPr>
      <w:tblGrid>
        <w:gridCol w:w="2440"/>
        <w:gridCol w:w="2580"/>
        <w:gridCol w:w="1920"/>
        <w:gridCol w:w="2543"/>
      </w:tblGrid>
      <w:tr w:rsidR="00566FDC" w:rsidRPr="009B4A78" w14:paraId="12AC5291" w14:textId="77777777" w:rsidTr="00FB68E0">
        <w:trPr>
          <w:trHeight w:val="615"/>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4F9B3AB"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580" w:type="dxa"/>
            <w:tcBorders>
              <w:top w:val="single" w:sz="4" w:space="0" w:color="auto"/>
              <w:left w:val="nil"/>
              <w:bottom w:val="single" w:sz="4" w:space="0" w:color="auto"/>
              <w:right w:val="nil"/>
            </w:tcBorders>
            <w:shd w:val="clear" w:color="auto" w:fill="C6D9F1" w:themeFill="text2" w:themeFillTint="33"/>
            <w:vAlign w:val="center"/>
            <w:hideMark/>
          </w:tcPr>
          <w:p w14:paraId="2A6EAB25"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1920" w:type="dxa"/>
            <w:tcBorders>
              <w:top w:val="single" w:sz="4" w:space="0" w:color="auto"/>
              <w:left w:val="nil"/>
              <w:bottom w:val="single" w:sz="4" w:space="0" w:color="auto"/>
              <w:right w:val="nil"/>
            </w:tcBorders>
            <w:shd w:val="clear" w:color="auto" w:fill="C6D9F1" w:themeFill="text2" w:themeFillTint="33"/>
            <w:vAlign w:val="center"/>
            <w:hideMark/>
          </w:tcPr>
          <w:p w14:paraId="72A8863A"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5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6324C77"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566FDC" w:rsidRPr="009B4A78" w14:paraId="7C733933" w14:textId="77777777" w:rsidTr="00FB68E0">
        <w:trPr>
          <w:trHeight w:val="1316"/>
        </w:trPr>
        <w:tc>
          <w:tcPr>
            <w:tcW w:w="2440" w:type="dxa"/>
            <w:tcBorders>
              <w:top w:val="nil"/>
              <w:left w:val="single" w:sz="4" w:space="0" w:color="auto"/>
              <w:bottom w:val="nil"/>
              <w:right w:val="nil"/>
            </w:tcBorders>
            <w:shd w:val="clear" w:color="000000" w:fill="FFFFFF"/>
            <w:hideMark/>
          </w:tcPr>
          <w:p w14:paraId="77E83646"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br/>
              <w:t>III.3 Mainstreaming of the DA recommendations in the work of WIPO</w:t>
            </w:r>
          </w:p>
        </w:tc>
        <w:tc>
          <w:tcPr>
            <w:tcW w:w="2580" w:type="dxa"/>
            <w:tcBorders>
              <w:top w:val="nil"/>
              <w:left w:val="nil"/>
              <w:bottom w:val="nil"/>
              <w:right w:val="nil"/>
            </w:tcBorders>
            <w:shd w:val="clear" w:color="000000" w:fill="FFFFFF"/>
            <w:hideMark/>
          </w:tcPr>
          <w:p w14:paraId="22772513" w14:textId="77777777" w:rsidR="00566FDC" w:rsidRPr="009B4A78" w:rsidRDefault="00566FDC" w:rsidP="00F33E49">
            <w:pPr>
              <w:ind w:left="161" w:firstLineChars="99" w:firstLine="158"/>
              <w:rPr>
                <w:rFonts w:ascii="Arial" w:eastAsia="Times New Roman" w:hAnsi="Arial" w:cs="Arial"/>
                <w:color w:val="000000"/>
                <w:sz w:val="16"/>
                <w:szCs w:val="16"/>
              </w:rPr>
            </w:pPr>
            <w:r w:rsidRPr="009B4A78">
              <w:rPr>
                <w:rFonts w:ascii="Arial" w:eastAsia="Times New Roman" w:hAnsi="Arial" w:cs="Arial"/>
                <w:color w:val="000000"/>
                <w:sz w:val="16"/>
                <w:szCs w:val="16"/>
              </w:rPr>
              <w:br/>
              <w:t>Development principles included in the DA recommendations effectively integrated in the work of WIPO programs</w:t>
            </w:r>
          </w:p>
        </w:tc>
        <w:tc>
          <w:tcPr>
            <w:tcW w:w="1920" w:type="dxa"/>
            <w:tcBorders>
              <w:top w:val="nil"/>
              <w:left w:val="nil"/>
              <w:bottom w:val="nil"/>
              <w:right w:val="nil"/>
            </w:tcBorders>
            <w:shd w:val="clear" w:color="000000" w:fill="FFFFFF"/>
            <w:hideMark/>
          </w:tcPr>
          <w:p w14:paraId="4FD6174D" w14:textId="77777777" w:rsidR="00566FDC" w:rsidRPr="009B4A78" w:rsidRDefault="00566FDC" w:rsidP="00F33E49">
            <w:pPr>
              <w:ind w:left="274"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n/a (new PI)</w:t>
            </w:r>
          </w:p>
        </w:tc>
        <w:tc>
          <w:tcPr>
            <w:tcW w:w="2543" w:type="dxa"/>
            <w:tcBorders>
              <w:top w:val="nil"/>
              <w:left w:val="nil"/>
              <w:bottom w:val="nil"/>
              <w:right w:val="single" w:sz="4" w:space="0" w:color="auto"/>
            </w:tcBorders>
            <w:shd w:val="clear" w:color="000000" w:fill="FFFFFF"/>
            <w:hideMark/>
          </w:tcPr>
          <w:p w14:paraId="6348D729" w14:textId="77777777" w:rsidR="00566FDC" w:rsidRPr="009B4A78" w:rsidRDefault="00566FDC" w:rsidP="00F33E49">
            <w:pPr>
              <w:ind w:left="197" w:firstLineChars="76" w:firstLine="122"/>
              <w:rPr>
                <w:rFonts w:ascii="Arial" w:eastAsia="Times New Roman" w:hAnsi="Arial" w:cs="Arial"/>
                <w:color w:val="000000"/>
                <w:sz w:val="16"/>
                <w:szCs w:val="16"/>
              </w:rPr>
            </w:pPr>
            <w:r w:rsidRPr="009B4A78">
              <w:rPr>
                <w:rFonts w:ascii="Arial" w:eastAsia="Times New Roman" w:hAnsi="Arial" w:cs="Arial"/>
                <w:color w:val="000000"/>
                <w:sz w:val="16"/>
                <w:szCs w:val="16"/>
              </w:rPr>
              <w:br/>
              <w:t>Enhanced mainstreaming of principles included in the 45 DA recommendations into WIPO's programs</w:t>
            </w:r>
          </w:p>
        </w:tc>
      </w:tr>
      <w:tr w:rsidR="00566FDC" w:rsidRPr="009B4A78" w14:paraId="77FCDCAD" w14:textId="77777777" w:rsidTr="00FB68E0">
        <w:trPr>
          <w:trHeight w:val="1130"/>
        </w:trPr>
        <w:tc>
          <w:tcPr>
            <w:tcW w:w="2440" w:type="dxa"/>
            <w:tcBorders>
              <w:top w:val="nil"/>
              <w:left w:val="single" w:sz="4" w:space="0" w:color="auto"/>
              <w:bottom w:val="nil"/>
              <w:right w:val="nil"/>
            </w:tcBorders>
            <w:shd w:val="clear" w:color="000000" w:fill="FFFFFF"/>
            <w:hideMark/>
          </w:tcPr>
          <w:p w14:paraId="6B665CA6"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nil"/>
              <w:right w:val="nil"/>
            </w:tcBorders>
            <w:shd w:val="clear" w:color="000000" w:fill="FFFFFF"/>
            <w:hideMark/>
          </w:tcPr>
          <w:p w14:paraId="50FD4790"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Effective follow up to the implementation of the recommendations of the Independent Review of the DA</w:t>
            </w:r>
          </w:p>
        </w:tc>
        <w:tc>
          <w:tcPr>
            <w:tcW w:w="1920" w:type="dxa"/>
            <w:tcBorders>
              <w:top w:val="nil"/>
              <w:left w:val="nil"/>
              <w:bottom w:val="nil"/>
              <w:right w:val="nil"/>
            </w:tcBorders>
            <w:shd w:val="clear" w:color="000000" w:fill="FFFFFF"/>
            <w:hideMark/>
          </w:tcPr>
          <w:p w14:paraId="1FAF3183"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1F0B2C09"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WIPO has in place an effective system to monitor the implementation of the recommendations emanating from the review</w:t>
            </w:r>
          </w:p>
          <w:p w14:paraId="0AA506A7" w14:textId="77777777" w:rsidR="00566FDC" w:rsidRPr="009B4A78" w:rsidRDefault="00566FDC" w:rsidP="00F33E49">
            <w:pPr>
              <w:ind w:left="197"/>
              <w:rPr>
                <w:rFonts w:ascii="Arial" w:eastAsia="Times New Roman" w:hAnsi="Arial" w:cs="Arial"/>
                <w:color w:val="000000"/>
                <w:sz w:val="16"/>
                <w:szCs w:val="16"/>
              </w:rPr>
            </w:pPr>
          </w:p>
        </w:tc>
      </w:tr>
      <w:tr w:rsidR="00566FDC" w:rsidRPr="009B4A78" w14:paraId="6E96C398" w14:textId="77777777" w:rsidTr="00FB68E0">
        <w:trPr>
          <w:trHeight w:val="1557"/>
        </w:trPr>
        <w:tc>
          <w:tcPr>
            <w:tcW w:w="2440" w:type="dxa"/>
            <w:tcBorders>
              <w:top w:val="nil"/>
              <w:left w:val="single" w:sz="4" w:space="0" w:color="auto"/>
              <w:bottom w:val="nil"/>
              <w:right w:val="nil"/>
            </w:tcBorders>
            <w:shd w:val="clear" w:color="000000" w:fill="FFFFFF"/>
            <w:hideMark/>
          </w:tcPr>
          <w:p w14:paraId="3AAAD8E7"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nil"/>
              <w:right w:val="nil"/>
            </w:tcBorders>
            <w:shd w:val="clear" w:color="000000" w:fill="FFFFFF"/>
            <w:hideMark/>
          </w:tcPr>
          <w:p w14:paraId="474FD9BA" w14:textId="22CA3398" w:rsidR="00566FDC" w:rsidRPr="009B4A78" w:rsidRDefault="00566FDC">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Improved mechanism for the development, implementation, monitoring</w:t>
            </w:r>
            <w:r w:rsidR="006E526F">
              <w:rPr>
                <w:rFonts w:ascii="Arial" w:eastAsia="Times New Roman" w:hAnsi="Arial" w:cs="Arial"/>
                <w:color w:val="000000"/>
                <w:sz w:val="16"/>
                <w:szCs w:val="16"/>
              </w:rPr>
              <w:t>,</w:t>
            </w:r>
            <w:r w:rsidRPr="009B4A78">
              <w:rPr>
                <w:rFonts w:ascii="Arial" w:eastAsia="Times New Roman" w:hAnsi="Arial" w:cs="Arial"/>
                <w:color w:val="000000"/>
                <w:sz w:val="16"/>
                <w:szCs w:val="16"/>
              </w:rPr>
              <w:t xml:space="preserve"> evaluation </w:t>
            </w:r>
            <w:r w:rsidR="006E526F">
              <w:rPr>
                <w:rFonts w:ascii="Arial" w:eastAsia="Times New Roman" w:hAnsi="Arial" w:cs="Arial"/>
                <w:color w:val="000000"/>
                <w:sz w:val="16"/>
                <w:szCs w:val="16"/>
              </w:rPr>
              <w:t xml:space="preserve">of and reporting on, </w:t>
            </w:r>
            <w:r w:rsidRPr="009B4A78">
              <w:rPr>
                <w:rFonts w:ascii="Arial" w:eastAsia="Times New Roman" w:hAnsi="Arial" w:cs="Arial"/>
                <w:color w:val="000000"/>
                <w:sz w:val="16"/>
                <w:szCs w:val="16"/>
              </w:rPr>
              <w:t>new DA projects and activities</w:t>
            </w:r>
          </w:p>
        </w:tc>
        <w:tc>
          <w:tcPr>
            <w:tcW w:w="1920" w:type="dxa"/>
            <w:tcBorders>
              <w:top w:val="nil"/>
              <w:left w:val="nil"/>
              <w:bottom w:val="nil"/>
              <w:right w:val="nil"/>
            </w:tcBorders>
            <w:shd w:val="clear" w:color="000000" w:fill="FFFFFF"/>
            <w:hideMark/>
          </w:tcPr>
          <w:p w14:paraId="5D609D2B"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5E7A6A56"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New mechanism that takes into account recommendations emanating from the evaluations of DA Projects discussed during the 12th, 13th, 14th and 15th sessions of the CDIP.</w:t>
            </w:r>
          </w:p>
          <w:p w14:paraId="194E5EC7" w14:textId="77777777" w:rsidR="00566FDC" w:rsidRPr="009B4A78" w:rsidRDefault="00566FDC" w:rsidP="00F33E49">
            <w:pPr>
              <w:ind w:left="197"/>
              <w:rPr>
                <w:rFonts w:ascii="Arial" w:eastAsia="Times New Roman" w:hAnsi="Arial" w:cs="Arial"/>
                <w:color w:val="000000"/>
                <w:sz w:val="16"/>
                <w:szCs w:val="16"/>
              </w:rPr>
            </w:pPr>
          </w:p>
        </w:tc>
      </w:tr>
      <w:tr w:rsidR="00566FDC" w:rsidRPr="009B4A78" w14:paraId="18EAC2A2" w14:textId="77777777" w:rsidTr="00FB68E0">
        <w:trPr>
          <w:trHeight w:val="1410"/>
        </w:trPr>
        <w:tc>
          <w:tcPr>
            <w:tcW w:w="2440" w:type="dxa"/>
            <w:tcBorders>
              <w:top w:val="nil"/>
              <w:left w:val="single" w:sz="4" w:space="0" w:color="auto"/>
              <w:bottom w:val="nil"/>
              <w:right w:val="nil"/>
            </w:tcBorders>
            <w:shd w:val="clear" w:color="000000" w:fill="FFFFFF"/>
            <w:hideMark/>
          </w:tcPr>
          <w:p w14:paraId="28DA8D1D"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III.5 Enhanced understanding of the DA by Member States, IGOs, civil society and other stakeholders</w:t>
            </w:r>
          </w:p>
        </w:tc>
        <w:tc>
          <w:tcPr>
            <w:tcW w:w="2580" w:type="dxa"/>
            <w:tcBorders>
              <w:top w:val="nil"/>
              <w:left w:val="nil"/>
              <w:bottom w:val="nil"/>
              <w:right w:val="nil"/>
            </w:tcBorders>
            <w:shd w:val="clear" w:color="000000" w:fill="FFFFFF"/>
            <w:hideMark/>
          </w:tcPr>
          <w:p w14:paraId="636464C7"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Technical assistance activities undertaken by WIPO reflect the Development Agenda dimension and outcomes of DA projects.</w:t>
            </w:r>
          </w:p>
        </w:tc>
        <w:tc>
          <w:tcPr>
            <w:tcW w:w="1920" w:type="dxa"/>
            <w:tcBorders>
              <w:top w:val="nil"/>
              <w:left w:val="nil"/>
              <w:bottom w:val="nil"/>
              <w:right w:val="nil"/>
            </w:tcBorders>
            <w:shd w:val="clear" w:color="000000" w:fill="FFFFFF"/>
            <w:hideMark/>
          </w:tcPr>
          <w:p w14:paraId="1D7B1EEE"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175E54E0"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System developed to ensure that all technical assistance activities undertaken are in compliance with the DA principles</w:t>
            </w:r>
          </w:p>
        </w:tc>
      </w:tr>
      <w:tr w:rsidR="00566FDC" w:rsidRPr="009B4A78" w14:paraId="40F589C7" w14:textId="77777777" w:rsidTr="00FB68E0">
        <w:trPr>
          <w:trHeight w:val="1228"/>
        </w:trPr>
        <w:tc>
          <w:tcPr>
            <w:tcW w:w="2440" w:type="dxa"/>
            <w:tcBorders>
              <w:top w:val="nil"/>
              <w:left w:val="single" w:sz="4" w:space="0" w:color="auto"/>
              <w:bottom w:val="single" w:sz="4" w:space="0" w:color="auto"/>
              <w:right w:val="nil"/>
            </w:tcBorders>
            <w:shd w:val="clear" w:color="000000" w:fill="FFFFFF"/>
            <w:hideMark/>
          </w:tcPr>
          <w:p w14:paraId="01398F9B"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single" w:sz="4" w:space="0" w:color="auto"/>
              <w:right w:val="nil"/>
            </w:tcBorders>
            <w:shd w:val="clear" w:color="000000" w:fill="FFFFFF"/>
            <w:hideMark/>
          </w:tcPr>
          <w:p w14:paraId="1846DD1E"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 of satisfied participants in events on the WIPO Development Agenda targeting Member States, Civil Society,  IGOs and stakeholders</w:t>
            </w:r>
          </w:p>
        </w:tc>
        <w:tc>
          <w:tcPr>
            <w:tcW w:w="1920" w:type="dxa"/>
            <w:tcBorders>
              <w:top w:val="nil"/>
              <w:left w:val="nil"/>
              <w:bottom w:val="single" w:sz="4" w:space="0" w:color="auto"/>
              <w:right w:val="nil"/>
            </w:tcBorders>
            <w:shd w:val="clear" w:color="000000" w:fill="FFFFFF"/>
            <w:hideMark/>
          </w:tcPr>
          <w:p w14:paraId="719D7707"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in 2014 (per PPR 2014)</w:t>
            </w:r>
          </w:p>
        </w:tc>
        <w:tc>
          <w:tcPr>
            <w:tcW w:w="2543" w:type="dxa"/>
            <w:tcBorders>
              <w:top w:val="nil"/>
              <w:left w:val="nil"/>
              <w:bottom w:val="single" w:sz="4" w:space="0" w:color="auto"/>
              <w:right w:val="single" w:sz="4" w:space="0" w:color="auto"/>
            </w:tcBorders>
            <w:shd w:val="clear" w:color="000000" w:fill="FFFFFF"/>
            <w:hideMark/>
          </w:tcPr>
          <w:p w14:paraId="40EC368D"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80%</w:t>
            </w:r>
          </w:p>
        </w:tc>
      </w:tr>
    </w:tbl>
    <w:p w14:paraId="26B366DE" w14:textId="77777777" w:rsidR="00566FDC" w:rsidRPr="009B4A78" w:rsidRDefault="00566FDC" w:rsidP="00F33E49">
      <w:pPr>
        <w:rPr>
          <w:rFonts w:ascii="Arial" w:hAnsi="Arial" w:cs="Arial"/>
          <w:sz w:val="20"/>
        </w:rPr>
      </w:pPr>
    </w:p>
    <w:p w14:paraId="4B7E28BE" w14:textId="77777777" w:rsidR="00566FDC" w:rsidRPr="009B4A78" w:rsidRDefault="00566FDC" w:rsidP="00F33E49">
      <w:pPr>
        <w:rPr>
          <w:rFonts w:ascii="Arial" w:hAnsi="Arial" w:cs="Arial"/>
          <w:sz w:val="20"/>
        </w:rPr>
      </w:pPr>
    </w:p>
    <w:p w14:paraId="5B40157C" w14:textId="50AAAD62" w:rsidR="00566FDC" w:rsidRPr="009B4A78" w:rsidRDefault="00566FDC" w:rsidP="00F33E49">
      <w:pPr>
        <w:rPr>
          <w:rFonts w:ascii="Arial" w:hAnsi="Arial" w:cs="Arial"/>
        </w:rPr>
      </w:pPr>
      <w:r w:rsidRPr="009B4A78">
        <w:rPr>
          <w:rFonts w:ascii="Arial" w:hAnsi="Arial" w:cs="Arial"/>
        </w:rPr>
        <w:t>RESOURCES FOR PROGRAM 8</w:t>
      </w:r>
    </w:p>
    <w:p w14:paraId="448517E7" w14:textId="77777777" w:rsidR="00566FDC" w:rsidRPr="009B4A78" w:rsidRDefault="00566FDC" w:rsidP="00FB68E0">
      <w:pPr>
        <w:jc w:val="both"/>
        <w:rPr>
          <w:rFonts w:ascii="Arial" w:hAnsi="Arial" w:cs="Arial"/>
          <w:sz w:val="20"/>
        </w:rPr>
      </w:pPr>
    </w:p>
    <w:p w14:paraId="40F2DB4D" w14:textId="77777777" w:rsidR="00566FDC" w:rsidRPr="009B4A78" w:rsidRDefault="00566FDC" w:rsidP="00B66A4A">
      <w:pPr>
        <w:pStyle w:val="ListParagraph"/>
        <w:numPr>
          <w:ilvl w:val="1"/>
          <w:numId w:val="10"/>
        </w:numPr>
        <w:tabs>
          <w:tab w:val="left" w:pos="567"/>
        </w:tabs>
        <w:autoSpaceDE w:val="0"/>
        <w:autoSpaceDN w:val="0"/>
        <w:adjustRightInd w:val="0"/>
        <w:jc w:val="both"/>
        <w:rPr>
          <w:rFonts w:ascii="Arial" w:hAnsi="Arial" w:cs="Arial"/>
          <w:sz w:val="20"/>
        </w:rPr>
      </w:pPr>
      <w:r w:rsidRPr="009B4A78">
        <w:rPr>
          <w:rFonts w:ascii="Arial" w:hAnsi="Arial" w:cs="Arial"/>
          <w:sz w:val="20"/>
        </w:rPr>
        <w:t xml:space="preserve">The overall resources for Program 8 in the 2016/17 biennium remain at the same level as the 2014/15 Budget after Transfers.  The variances in resources across Expected Results III.3 and III.5 are primarily due to the postponement of the International Conference on IP and Development from 2014/15 to 2016/17 and increased focus on events on the WIPO Development Agenda targeting Member States, IGOs, civil society and other stakeholders.  As a result, additional resources are directed towards activities under Expected Result III.5.   </w:t>
      </w:r>
    </w:p>
    <w:p w14:paraId="3FD3DF68" w14:textId="77777777" w:rsidR="00566FDC" w:rsidRPr="009B4A78" w:rsidRDefault="00566FDC" w:rsidP="00F33E49">
      <w:pPr>
        <w:jc w:val="both"/>
        <w:rPr>
          <w:rFonts w:ascii="Arial" w:hAnsi="Arial" w:cs="Arial"/>
          <w:sz w:val="20"/>
        </w:rPr>
      </w:pPr>
    </w:p>
    <w:p w14:paraId="3E2E68BB" w14:textId="77777777" w:rsidR="00566FDC" w:rsidRPr="009B4A78" w:rsidRDefault="00566FDC" w:rsidP="00F33E49">
      <w:pPr>
        <w:rPr>
          <w:rFonts w:ascii="Arial" w:hAnsi="Arial" w:cs="Arial"/>
          <w:sz w:val="20"/>
        </w:rPr>
      </w:pPr>
    </w:p>
    <w:p w14:paraId="1574A082" w14:textId="77777777" w:rsidR="00566FDC" w:rsidRPr="009B4A78" w:rsidRDefault="00566FDC" w:rsidP="00F33E49">
      <w:pPr>
        <w:pStyle w:val="ListParagraph"/>
        <w:keepNext/>
        <w:keepLines/>
        <w:spacing w:after="240"/>
        <w:jc w:val="center"/>
        <w:rPr>
          <w:rFonts w:ascii="Arial" w:hAnsi="Arial" w:cs="Arial"/>
          <w:b/>
          <w:sz w:val="20"/>
        </w:rPr>
      </w:pPr>
      <w:r w:rsidRPr="009B4A78">
        <w:rPr>
          <w:rFonts w:ascii="Arial" w:hAnsi="Arial" w:cs="Arial"/>
          <w:b/>
          <w:sz w:val="20"/>
        </w:rPr>
        <w:t xml:space="preserve">Program 8: Resources by Result </w:t>
      </w:r>
    </w:p>
    <w:p w14:paraId="363E5526" w14:textId="77777777" w:rsidR="00566FDC" w:rsidRPr="009B4A78" w:rsidRDefault="00566FDC" w:rsidP="00F33E49">
      <w:pPr>
        <w:pStyle w:val="ListParagraph"/>
        <w:keepNext/>
        <w:keepLines/>
        <w:tabs>
          <w:tab w:val="left" w:pos="9072"/>
        </w:tabs>
        <w:spacing w:after="240"/>
        <w:jc w:val="center"/>
        <w:rPr>
          <w:rFonts w:ascii="Arial" w:hAnsi="Arial" w:cs="Arial"/>
          <w:i/>
          <w:sz w:val="20"/>
        </w:rPr>
      </w:pPr>
      <w:r w:rsidRPr="009B4A78">
        <w:rPr>
          <w:rFonts w:ascii="Arial" w:hAnsi="Arial" w:cs="Arial"/>
          <w:i/>
          <w:sz w:val="20"/>
        </w:rPr>
        <w:t>(in thousands of Swiss francs)</w:t>
      </w:r>
    </w:p>
    <w:p w14:paraId="105555F2" w14:textId="77777777" w:rsidR="00566FDC" w:rsidRPr="009B4A78" w:rsidRDefault="00566FDC" w:rsidP="00F33E49">
      <w:pPr>
        <w:pStyle w:val="ListParagraph"/>
        <w:keepNext/>
        <w:keepLines/>
        <w:spacing w:after="240"/>
        <w:ind w:left="284" w:firstLine="436"/>
        <w:jc w:val="center"/>
        <w:rPr>
          <w:rFonts w:ascii="Arial" w:hAnsi="Arial" w:cs="Arial"/>
          <w:i/>
          <w:sz w:val="20"/>
        </w:rPr>
      </w:pPr>
    </w:p>
    <w:p w14:paraId="34CECECD" w14:textId="77777777" w:rsidR="00566FDC" w:rsidRPr="009B4A78" w:rsidRDefault="00566FDC" w:rsidP="00F33E49">
      <w:pPr>
        <w:pStyle w:val="ListParagraph"/>
        <w:keepNext/>
        <w:keepLines/>
        <w:tabs>
          <w:tab w:val="left" w:pos="9072"/>
        </w:tabs>
        <w:spacing w:after="240"/>
        <w:ind w:left="0"/>
        <w:jc w:val="center"/>
        <w:rPr>
          <w:rFonts w:ascii="Arial" w:hAnsi="Arial" w:cs="Arial"/>
          <w:i/>
          <w:sz w:val="20"/>
        </w:rPr>
      </w:pPr>
      <w:r w:rsidRPr="009B4A78">
        <w:rPr>
          <w:rFonts w:ascii="Arial" w:hAnsi="Arial" w:cs="Arial"/>
          <w:noProof/>
          <w:lang w:eastAsia="en-US"/>
        </w:rPr>
        <w:drawing>
          <wp:inline distT="0" distB="0" distL="0" distR="0" wp14:anchorId="38792AD2" wp14:editId="49F7E356">
            <wp:extent cx="5049078" cy="122906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07743" cy="1243340"/>
                    </a:xfrm>
                    <a:prstGeom prst="rect">
                      <a:avLst/>
                    </a:prstGeom>
                    <a:noFill/>
                    <a:ln>
                      <a:noFill/>
                    </a:ln>
                  </pic:spPr>
                </pic:pic>
              </a:graphicData>
            </a:graphic>
          </wp:inline>
        </w:drawing>
      </w:r>
    </w:p>
    <w:p w14:paraId="7CE0568D" w14:textId="77777777" w:rsidR="00566FDC" w:rsidRPr="009B4A78" w:rsidRDefault="00566FDC" w:rsidP="00F33E49">
      <w:pPr>
        <w:pStyle w:val="ListParagraph"/>
        <w:spacing w:after="240"/>
        <w:jc w:val="center"/>
        <w:rPr>
          <w:rFonts w:ascii="Arial" w:hAnsi="Arial" w:cs="Arial"/>
          <w:i/>
          <w:sz w:val="20"/>
        </w:rPr>
      </w:pPr>
    </w:p>
    <w:p w14:paraId="45655562" w14:textId="77777777" w:rsidR="00566FDC" w:rsidRPr="009B4A78" w:rsidRDefault="00566FDC" w:rsidP="00F33E49">
      <w:pPr>
        <w:pStyle w:val="ListParagraph"/>
        <w:spacing w:after="240"/>
        <w:jc w:val="center"/>
        <w:rPr>
          <w:rFonts w:ascii="Arial" w:hAnsi="Arial" w:cs="Arial"/>
          <w:b/>
          <w:sz w:val="20"/>
        </w:rPr>
      </w:pPr>
    </w:p>
    <w:p w14:paraId="5B897BAC" w14:textId="77777777" w:rsidR="00566FDC" w:rsidRPr="009B4A78" w:rsidRDefault="00566FDC" w:rsidP="00F33E49">
      <w:pPr>
        <w:pStyle w:val="ListParagraph"/>
        <w:keepNext/>
        <w:keepLines/>
        <w:spacing w:after="240"/>
        <w:jc w:val="center"/>
        <w:rPr>
          <w:rFonts w:ascii="Arial" w:hAnsi="Arial" w:cs="Arial"/>
          <w:b/>
          <w:sz w:val="20"/>
        </w:rPr>
      </w:pPr>
      <w:r w:rsidRPr="009B4A78">
        <w:rPr>
          <w:rFonts w:ascii="Arial" w:hAnsi="Arial" w:cs="Arial"/>
          <w:b/>
          <w:sz w:val="20"/>
        </w:rPr>
        <w:lastRenderedPageBreak/>
        <w:t xml:space="preserve">Program 8: Resources by Object of Expenditure </w:t>
      </w:r>
    </w:p>
    <w:p w14:paraId="445A64FA" w14:textId="77777777" w:rsidR="00566FDC" w:rsidRPr="009B4A78" w:rsidRDefault="00566FDC" w:rsidP="00F33E49">
      <w:pPr>
        <w:pStyle w:val="ListParagraph"/>
        <w:keepNext/>
        <w:keepLines/>
        <w:spacing w:after="240"/>
        <w:jc w:val="center"/>
        <w:rPr>
          <w:rFonts w:ascii="Arial" w:hAnsi="Arial" w:cs="Arial"/>
          <w:i/>
          <w:sz w:val="20"/>
        </w:rPr>
      </w:pPr>
      <w:r w:rsidRPr="009B4A78">
        <w:rPr>
          <w:rFonts w:ascii="Arial" w:hAnsi="Arial" w:cs="Arial"/>
          <w:i/>
          <w:sz w:val="20"/>
        </w:rPr>
        <w:t>(in thousands of Swiss francs)</w:t>
      </w:r>
    </w:p>
    <w:p w14:paraId="5AE0AF73" w14:textId="77777777" w:rsidR="00566FDC" w:rsidRPr="009B4A78" w:rsidRDefault="00566FDC" w:rsidP="00F33E49">
      <w:pPr>
        <w:pStyle w:val="ListParagraph"/>
        <w:keepNext/>
        <w:keepLines/>
        <w:spacing w:after="240"/>
        <w:ind w:left="0"/>
        <w:jc w:val="center"/>
        <w:rPr>
          <w:rFonts w:ascii="Arial" w:hAnsi="Arial" w:cs="Arial"/>
          <w:i/>
          <w:sz w:val="20"/>
        </w:rPr>
      </w:pPr>
    </w:p>
    <w:p w14:paraId="78B7A671" w14:textId="77777777" w:rsidR="00566FDC" w:rsidRPr="009B4A78" w:rsidRDefault="00566FDC" w:rsidP="00F33E49">
      <w:pPr>
        <w:jc w:val="center"/>
        <w:rPr>
          <w:rFonts w:ascii="Arial" w:hAnsi="Arial" w:cs="Arial"/>
          <w:sz w:val="20"/>
        </w:rPr>
      </w:pPr>
      <w:r w:rsidRPr="009B4A78">
        <w:rPr>
          <w:rFonts w:ascii="Arial" w:hAnsi="Arial" w:cs="Arial"/>
          <w:noProof/>
          <w:lang w:eastAsia="en-US"/>
        </w:rPr>
        <w:drawing>
          <wp:inline distT="0" distB="0" distL="0" distR="0" wp14:anchorId="3016C0AE" wp14:editId="4F919DEB">
            <wp:extent cx="5101536" cy="5740842"/>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09475" cy="5749776"/>
                    </a:xfrm>
                    <a:prstGeom prst="rect">
                      <a:avLst/>
                    </a:prstGeom>
                    <a:noFill/>
                    <a:ln>
                      <a:noFill/>
                    </a:ln>
                  </pic:spPr>
                </pic:pic>
              </a:graphicData>
            </a:graphic>
          </wp:inline>
        </w:drawing>
      </w:r>
    </w:p>
    <w:p w14:paraId="7E319EEC" w14:textId="77777777" w:rsidR="002B052A" w:rsidRDefault="002B052A">
      <w:pPr>
        <w:rPr>
          <w:rFonts w:ascii="Arial" w:hAnsi="Arial" w:cs="Arial"/>
          <w:sz w:val="20"/>
          <w:szCs w:val="20"/>
        </w:rPr>
      </w:pPr>
    </w:p>
    <w:p w14:paraId="6C613E42" w14:textId="699E6276" w:rsidR="00566FDC" w:rsidRPr="009B4A78" w:rsidRDefault="00566FDC">
      <w:pPr>
        <w:rPr>
          <w:rFonts w:ascii="Arial" w:hAnsi="Arial" w:cs="Arial"/>
          <w:sz w:val="20"/>
          <w:szCs w:val="20"/>
        </w:rPr>
      </w:pPr>
      <w:r w:rsidRPr="009B4A78">
        <w:rPr>
          <w:rFonts w:ascii="Arial" w:hAnsi="Arial" w:cs="Arial"/>
          <w:sz w:val="20"/>
          <w:szCs w:val="20"/>
        </w:rPr>
        <w:br w:type="page"/>
      </w:r>
    </w:p>
    <w:p w14:paraId="7A62C142" w14:textId="51942D92" w:rsidR="00B65F7B" w:rsidRPr="009B4A78" w:rsidRDefault="00B65F7B" w:rsidP="00B65F7B">
      <w:pPr>
        <w:pStyle w:val="StyleHeading3ComplexItalic"/>
        <w:keepLines/>
        <w:ind w:left="1985" w:hanging="1985"/>
      </w:pPr>
      <w:bookmarkStart w:id="41" w:name="_Toc431221417"/>
      <w:r w:rsidRPr="009B4A78">
        <w:lastRenderedPageBreak/>
        <w:t>PROGRAM 9</w:t>
      </w:r>
      <w:r w:rsidRPr="009B4A78">
        <w:tab/>
        <w:t>AFRICA, ARAB, ASIA AND THE PACIFIC, LATIN AMERICA AND THE CARIBBEAN COUNTR</w:t>
      </w:r>
      <w:r w:rsidR="00D06C7D" w:rsidRPr="009B4A78">
        <w:t>I</w:t>
      </w:r>
      <w:r w:rsidRPr="009B4A78">
        <w:t>ES, LEAST DEVELOPED COUNTRIES</w:t>
      </w:r>
      <w:bookmarkEnd w:id="41"/>
      <w:r w:rsidRPr="009B4A78">
        <w:t xml:space="preserve">  </w:t>
      </w:r>
    </w:p>
    <w:p w14:paraId="399D00A8" w14:textId="77777777" w:rsidR="00B65F7B" w:rsidRPr="009B4A78" w:rsidRDefault="00B65F7B" w:rsidP="00F33E49">
      <w:pPr>
        <w:jc w:val="both"/>
        <w:rPr>
          <w:rFonts w:ascii="Arial" w:hAnsi="Arial" w:cs="Arial"/>
          <w:bCs/>
        </w:rPr>
      </w:pPr>
    </w:p>
    <w:p w14:paraId="2BDA0AFC" w14:textId="77777777" w:rsidR="00B65F7B" w:rsidRPr="009B4A78" w:rsidRDefault="00B65F7B" w:rsidP="00B65F7B">
      <w:pPr>
        <w:jc w:val="both"/>
        <w:rPr>
          <w:rFonts w:ascii="Arial" w:hAnsi="Arial" w:cs="Arial"/>
          <w:bCs/>
        </w:rPr>
      </w:pPr>
    </w:p>
    <w:p w14:paraId="572EF449" w14:textId="77777777" w:rsidR="00B65F7B" w:rsidRPr="009B4A78" w:rsidRDefault="00B65F7B" w:rsidP="00F33E49">
      <w:pPr>
        <w:spacing w:after="240"/>
        <w:jc w:val="both"/>
        <w:rPr>
          <w:rFonts w:ascii="Arial" w:hAnsi="Arial" w:cs="Arial"/>
          <w:bCs/>
        </w:rPr>
      </w:pPr>
      <w:r w:rsidRPr="009B4A78">
        <w:rPr>
          <w:rFonts w:ascii="Arial" w:hAnsi="Arial" w:cs="Arial"/>
          <w:bCs/>
        </w:rPr>
        <w:t>PLANNING CONTEXT</w:t>
      </w:r>
    </w:p>
    <w:p w14:paraId="3F5E8AC2" w14:textId="77777777" w:rsidR="00B65F7B" w:rsidRPr="009B4A78" w:rsidRDefault="00B65F7B" w:rsidP="00B66A4A">
      <w:pPr>
        <w:pStyle w:val="ListParagraph"/>
        <w:numPr>
          <w:ilvl w:val="0"/>
          <w:numId w:val="11"/>
        </w:numPr>
        <w:tabs>
          <w:tab w:val="left" w:pos="709"/>
        </w:tabs>
        <w:jc w:val="both"/>
        <w:rPr>
          <w:rFonts w:ascii="Arial" w:hAnsi="Arial" w:cs="Arial"/>
          <w:sz w:val="20"/>
        </w:rPr>
      </w:pPr>
      <w:r w:rsidRPr="009B4A78">
        <w:rPr>
          <w:rFonts w:ascii="Arial" w:hAnsi="Arial" w:cs="Arial"/>
          <w:sz w:val="20"/>
        </w:rPr>
        <w:t>In line with WIPO’s Strategic Goal III, the main driver of Program 9 continues to be the facilitation of the use of IP to promote economic, social and cultural development in developing countries and LDCs thereby contributing to the achievement of the</w:t>
      </w:r>
      <w:r w:rsidRPr="009B4A78">
        <w:rPr>
          <w:rFonts w:ascii="Arial" w:eastAsiaTheme="minorHAnsi" w:hAnsi="Arial" w:cs="Arial"/>
          <w:sz w:val="20"/>
        </w:rPr>
        <w:t xml:space="preserve"> </w:t>
      </w:r>
      <w:r w:rsidRPr="009B4A78">
        <w:rPr>
          <w:rFonts w:ascii="Arial" w:hAnsi="Arial" w:cs="Arial"/>
          <w:sz w:val="20"/>
        </w:rPr>
        <w:t xml:space="preserve">Post 2015 Development Agenda and Sustainable Development Goals (SDGs).  At the heart of this Program is therefore the enabling of the effective use of IP for development in Member States in Africa, the Arab region, Asia and the Pacific, and Latin America and the Caribbean countries. </w:t>
      </w:r>
    </w:p>
    <w:p w14:paraId="28FE0015" w14:textId="77777777" w:rsidR="00B65F7B" w:rsidRPr="009B4A78" w:rsidRDefault="00B65F7B" w:rsidP="00F33E49">
      <w:pPr>
        <w:pStyle w:val="ListParagraph"/>
        <w:tabs>
          <w:tab w:val="left" w:pos="709"/>
        </w:tabs>
        <w:ind w:left="0"/>
        <w:jc w:val="both"/>
        <w:rPr>
          <w:rFonts w:ascii="Arial" w:hAnsi="Arial" w:cs="Arial"/>
          <w:sz w:val="20"/>
        </w:rPr>
      </w:pPr>
    </w:p>
    <w:p w14:paraId="3355E3AC" w14:textId="77777777" w:rsidR="00B65F7B" w:rsidRPr="009B4A78" w:rsidRDefault="00B65F7B" w:rsidP="00B66A4A">
      <w:pPr>
        <w:pStyle w:val="ListParagraph"/>
        <w:numPr>
          <w:ilvl w:val="0"/>
          <w:numId w:val="11"/>
        </w:numPr>
        <w:tabs>
          <w:tab w:val="left" w:pos="709"/>
        </w:tabs>
        <w:jc w:val="both"/>
        <w:rPr>
          <w:rFonts w:ascii="Arial" w:hAnsi="Arial" w:cs="Arial"/>
          <w:sz w:val="20"/>
        </w:rPr>
      </w:pPr>
      <w:r w:rsidRPr="009B4A78">
        <w:rPr>
          <w:rFonts w:ascii="Arial" w:hAnsi="Arial" w:cs="Arial"/>
          <w:sz w:val="20"/>
        </w:rPr>
        <w:t>The Program seeks to empower countries to use the IP system as a contributing factor in achieving their national development goals, to leverage their participation in the global knowledge and innovation economy, in line with the relevant DA Recommendations, and to assist them in the development and implementation of comprehensive, coherent and well-coordinated IP national policies.</w:t>
      </w:r>
    </w:p>
    <w:p w14:paraId="010C0040" w14:textId="77777777" w:rsidR="00B65F7B" w:rsidRPr="009B4A78" w:rsidRDefault="00B65F7B" w:rsidP="00F33E49">
      <w:pPr>
        <w:pStyle w:val="ListParagraph"/>
        <w:tabs>
          <w:tab w:val="left" w:pos="709"/>
        </w:tabs>
        <w:jc w:val="both"/>
        <w:rPr>
          <w:rFonts w:ascii="Arial" w:hAnsi="Arial" w:cs="Arial"/>
          <w:sz w:val="20"/>
        </w:rPr>
      </w:pPr>
    </w:p>
    <w:p w14:paraId="447244A8" w14:textId="7BB4436F" w:rsidR="00B65F7B" w:rsidRPr="009B4A78" w:rsidRDefault="00B65F7B" w:rsidP="00B66A4A">
      <w:pPr>
        <w:pStyle w:val="ListParagraph"/>
        <w:numPr>
          <w:ilvl w:val="0"/>
          <w:numId w:val="11"/>
        </w:numPr>
        <w:tabs>
          <w:tab w:val="left" w:pos="709"/>
        </w:tabs>
        <w:jc w:val="both"/>
        <w:rPr>
          <w:rFonts w:ascii="Arial" w:hAnsi="Arial" w:cs="Arial"/>
          <w:sz w:val="20"/>
        </w:rPr>
      </w:pPr>
      <w:r w:rsidRPr="009B4A78">
        <w:rPr>
          <w:rFonts w:ascii="Arial" w:hAnsi="Arial" w:cs="Arial"/>
          <w:sz w:val="20"/>
        </w:rPr>
        <w:t xml:space="preserve">Several key challenges need to be overcome in order to achieve these objectives.  These consist of (a) limited resources;  (b) diversity in terms of social, economic, cultural, political and legal systems;  (c) different stages of development; (d) broad range and multiplicity of stakeholders with varying skills, competencies and knowledge requirements;  (d) an ever-increasing need and demand for development-related, as well as other WIPO services; and (e) the challenge of translating the notion of IP for development into concrete </w:t>
      </w:r>
      <w:r w:rsidR="00AF5A57">
        <w:rPr>
          <w:rFonts w:ascii="Arial" w:hAnsi="Arial" w:cs="Arial"/>
          <w:sz w:val="20"/>
        </w:rPr>
        <w:t xml:space="preserve">sustainable </w:t>
      </w:r>
      <w:r w:rsidRPr="009B4A78">
        <w:rPr>
          <w:rFonts w:ascii="Arial" w:hAnsi="Arial" w:cs="Arial"/>
          <w:sz w:val="20"/>
        </w:rPr>
        <w:t>results with tangible benefits.  These challenges are reflected in the heterogeneous status of national IP systems, in particular in terms of IP Institutional frameworks and countries’ absorptive capacity of the technical cooperation. </w:t>
      </w:r>
    </w:p>
    <w:p w14:paraId="6EC0BDB7" w14:textId="77777777" w:rsidR="00B65F7B" w:rsidRPr="009B4A78" w:rsidRDefault="00B65F7B" w:rsidP="00F33E49">
      <w:pPr>
        <w:pStyle w:val="ListParagraph"/>
        <w:tabs>
          <w:tab w:val="left" w:pos="709"/>
        </w:tabs>
        <w:jc w:val="both"/>
        <w:rPr>
          <w:rFonts w:ascii="Arial" w:hAnsi="Arial" w:cs="Arial"/>
        </w:rPr>
      </w:pPr>
    </w:p>
    <w:p w14:paraId="733B153B" w14:textId="77777777" w:rsidR="00B65F7B" w:rsidRPr="009B4A78" w:rsidRDefault="00B65F7B" w:rsidP="00B66A4A">
      <w:pPr>
        <w:pStyle w:val="ListParagraph"/>
        <w:numPr>
          <w:ilvl w:val="0"/>
          <w:numId w:val="11"/>
        </w:numPr>
        <w:tabs>
          <w:tab w:val="left" w:pos="709"/>
        </w:tabs>
        <w:jc w:val="both"/>
        <w:rPr>
          <w:rFonts w:ascii="Arial" w:hAnsi="Arial" w:cs="Arial"/>
          <w:bCs/>
        </w:rPr>
      </w:pPr>
      <w:r w:rsidRPr="009B4A78">
        <w:rPr>
          <w:rFonts w:ascii="Arial" w:hAnsi="Arial" w:cs="Arial"/>
          <w:sz w:val="20"/>
        </w:rPr>
        <w:t xml:space="preserve">The design, planning and implementation of technical cooperation activities under this Program is informed and guided by the relevant DA Recommendations, in particular Recommendations under Cluster A on WIPO’s technical assistance and capacity building. </w:t>
      </w:r>
    </w:p>
    <w:p w14:paraId="3CAA6D19" w14:textId="77777777" w:rsidR="00B65F7B" w:rsidRPr="009B4A78" w:rsidRDefault="00B65F7B" w:rsidP="00F33E49">
      <w:pPr>
        <w:pStyle w:val="ListParagraph"/>
        <w:tabs>
          <w:tab w:val="left" w:pos="709"/>
        </w:tabs>
        <w:spacing w:after="240"/>
        <w:ind w:left="0"/>
        <w:jc w:val="both"/>
        <w:rPr>
          <w:rFonts w:ascii="Arial" w:hAnsi="Arial" w:cs="Arial"/>
          <w:bCs/>
        </w:rPr>
      </w:pPr>
    </w:p>
    <w:p w14:paraId="71282AE0" w14:textId="77777777" w:rsidR="00B65F7B" w:rsidRPr="009B4A78" w:rsidRDefault="00B65F7B" w:rsidP="00F33E49">
      <w:pPr>
        <w:pStyle w:val="ListParagraph"/>
        <w:tabs>
          <w:tab w:val="left" w:pos="709"/>
        </w:tabs>
        <w:spacing w:after="240"/>
        <w:ind w:left="0"/>
        <w:jc w:val="both"/>
        <w:rPr>
          <w:rFonts w:ascii="Arial" w:hAnsi="Arial" w:cs="Arial"/>
          <w:bCs/>
        </w:rPr>
      </w:pPr>
    </w:p>
    <w:p w14:paraId="2D01C890" w14:textId="77777777" w:rsidR="00B65F7B" w:rsidRPr="009B4A78" w:rsidRDefault="00B65F7B" w:rsidP="00F33E49">
      <w:pPr>
        <w:pStyle w:val="ListParagraph"/>
        <w:tabs>
          <w:tab w:val="left" w:pos="709"/>
        </w:tabs>
        <w:spacing w:after="240"/>
        <w:ind w:left="0"/>
        <w:jc w:val="both"/>
        <w:rPr>
          <w:rFonts w:ascii="Arial" w:hAnsi="Arial" w:cs="Arial"/>
          <w:bCs/>
        </w:rPr>
      </w:pPr>
      <w:r w:rsidRPr="009B4A78">
        <w:rPr>
          <w:rFonts w:ascii="Arial" w:hAnsi="Arial" w:cs="Arial"/>
          <w:bCs/>
        </w:rPr>
        <w:t>IMPLEMENTATION STRATEGIES</w:t>
      </w:r>
    </w:p>
    <w:p w14:paraId="38781973" w14:textId="77777777" w:rsidR="00B65F7B" w:rsidRPr="009B4A78" w:rsidRDefault="00B65F7B" w:rsidP="00F33E49">
      <w:pPr>
        <w:pStyle w:val="ListParagraph"/>
        <w:tabs>
          <w:tab w:val="left" w:pos="709"/>
        </w:tabs>
        <w:spacing w:after="240"/>
        <w:ind w:left="0"/>
        <w:jc w:val="both"/>
        <w:rPr>
          <w:rFonts w:ascii="Arial" w:hAnsi="Arial" w:cs="Arial"/>
          <w:bCs/>
        </w:rPr>
      </w:pPr>
    </w:p>
    <w:p w14:paraId="72752226" w14:textId="77777777"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sz w:val="20"/>
        </w:rPr>
        <w:t>To achieve the above objectives, emphasis in the next biennium will be on improving the Organization’s delivery by working closely with other Programs and in close consultation with beneficiary Member States. </w:t>
      </w:r>
    </w:p>
    <w:p w14:paraId="12ABEFB0" w14:textId="77777777" w:rsidR="00B65F7B" w:rsidRPr="009B4A78" w:rsidRDefault="00B65F7B" w:rsidP="00F33E49">
      <w:pPr>
        <w:pStyle w:val="ListParagraph"/>
        <w:tabs>
          <w:tab w:val="left" w:pos="709"/>
        </w:tabs>
        <w:jc w:val="both"/>
        <w:rPr>
          <w:rFonts w:ascii="Arial" w:hAnsi="Arial" w:cs="Arial"/>
          <w:b/>
          <w:sz w:val="20"/>
        </w:rPr>
      </w:pPr>
    </w:p>
    <w:p w14:paraId="6916EB5B" w14:textId="77777777"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b/>
          <w:sz w:val="20"/>
        </w:rPr>
        <w:t>National IP strategies</w:t>
      </w:r>
      <w:r w:rsidRPr="009B4A78">
        <w:rPr>
          <w:rFonts w:ascii="Arial" w:hAnsi="Arial" w:cs="Arial"/>
          <w:sz w:val="20"/>
        </w:rPr>
        <w:t>.  The development and adoption of national IP strategies should address the specific needs of each country and will be prepared on the basis of an inclusive process of national consultation involving, </w:t>
      </w:r>
      <w:r w:rsidRPr="009B4A78">
        <w:rPr>
          <w:rFonts w:ascii="Arial" w:hAnsi="Arial" w:cs="Arial"/>
          <w:i/>
          <w:iCs/>
          <w:sz w:val="20"/>
        </w:rPr>
        <w:t>inter alia</w:t>
      </w:r>
      <w:r w:rsidRPr="009B4A78">
        <w:rPr>
          <w:rFonts w:ascii="Arial" w:hAnsi="Arial" w:cs="Arial"/>
          <w:sz w:val="20"/>
        </w:rPr>
        <w:t>, government officials, legislators, the private sector, academia and civil society.  High-level government commitment is a central prerequisite for this process both in terms of funding and political support.  The IP strategy formulation methodology, designed under a DA project, will serve as a basis and a model for achieving this objective.  The intention is to increase the number of countries with customized IP strategies during the biennium.</w:t>
      </w:r>
    </w:p>
    <w:p w14:paraId="2F4FF9A5" w14:textId="77777777" w:rsidR="00B65F7B" w:rsidRPr="009B4A78" w:rsidRDefault="00B65F7B" w:rsidP="00F33E49">
      <w:pPr>
        <w:pStyle w:val="ListParagraph"/>
        <w:tabs>
          <w:tab w:val="left" w:pos="709"/>
        </w:tabs>
        <w:ind w:left="0"/>
        <w:jc w:val="both"/>
        <w:rPr>
          <w:rFonts w:ascii="Arial" w:hAnsi="Arial" w:cs="Arial"/>
          <w:b/>
          <w:bCs/>
          <w:sz w:val="20"/>
        </w:rPr>
      </w:pPr>
    </w:p>
    <w:p w14:paraId="2A2904E3" w14:textId="344F8768"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b/>
          <w:sz w:val="20"/>
        </w:rPr>
        <w:t>Country plans</w:t>
      </w:r>
      <w:r w:rsidRPr="009B4A78">
        <w:rPr>
          <w:rFonts w:ascii="Arial" w:hAnsi="Arial" w:cs="Arial"/>
          <w:sz w:val="20"/>
        </w:rPr>
        <w:t xml:space="preserve">.  The process of adopting IP strategies is usually lengthy and a limited number of countries have to date fully completed it. Where the process is still ongoing, country plans will continue to be the main tool for delivery of technical assistance.  The country plans, developed and maintained by the Regional Bureaus on the basis of the needs and realities of the recipient countries, are designed to cover a minimum period of two years and contain all </w:t>
      </w:r>
      <w:r w:rsidR="00AF5A57">
        <w:rPr>
          <w:rFonts w:ascii="Arial" w:hAnsi="Arial" w:cs="Arial"/>
          <w:sz w:val="20"/>
        </w:rPr>
        <w:t xml:space="preserve">IP-related </w:t>
      </w:r>
      <w:r w:rsidRPr="009B4A78">
        <w:rPr>
          <w:rFonts w:ascii="Arial" w:hAnsi="Arial" w:cs="Arial"/>
          <w:sz w:val="20"/>
        </w:rPr>
        <w:t>projects and activities that will take place in each country.  The plans are defined and implemented in close consultation with other Programs and all relevant stakeholders in beneficiary countries.  The goal is to improve the delivery and coherence of technical cooperation provided by WIPO.</w:t>
      </w:r>
    </w:p>
    <w:p w14:paraId="02AD390F" w14:textId="77777777" w:rsidR="00B65F7B" w:rsidRPr="009B4A78" w:rsidRDefault="00B65F7B" w:rsidP="00F33E49">
      <w:pPr>
        <w:pStyle w:val="ListParagraph"/>
        <w:tabs>
          <w:tab w:val="left" w:pos="709"/>
        </w:tabs>
        <w:jc w:val="both"/>
        <w:rPr>
          <w:rFonts w:ascii="Arial" w:hAnsi="Arial" w:cs="Arial"/>
          <w:b/>
          <w:sz w:val="20"/>
        </w:rPr>
      </w:pPr>
    </w:p>
    <w:p w14:paraId="4A729797" w14:textId="77777777"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b/>
          <w:sz w:val="20"/>
        </w:rPr>
        <w:t>Project-based approach</w:t>
      </w:r>
      <w:r w:rsidRPr="009B4A78">
        <w:rPr>
          <w:rFonts w:ascii="Arial" w:hAnsi="Arial" w:cs="Arial"/>
          <w:sz w:val="20"/>
        </w:rPr>
        <w:t xml:space="preserve">.  In order to maximize the effectiveness of technical assistance efforts, technical cooperation will increasingly be delivered through project-based approaches, leveraging the experience gained in recent years through the implementation of DA and other special development projects  </w:t>
      </w:r>
    </w:p>
    <w:p w14:paraId="292E5CF7" w14:textId="77777777" w:rsidR="00B65F7B" w:rsidRPr="009B4A78" w:rsidRDefault="00B65F7B" w:rsidP="00F33E49">
      <w:pPr>
        <w:pStyle w:val="ListParagraph"/>
        <w:tabs>
          <w:tab w:val="left" w:pos="709"/>
        </w:tabs>
        <w:jc w:val="both"/>
        <w:rPr>
          <w:rFonts w:ascii="Arial" w:hAnsi="Arial" w:cs="Arial"/>
          <w:b/>
          <w:sz w:val="20"/>
        </w:rPr>
      </w:pPr>
    </w:p>
    <w:p w14:paraId="72B149CB" w14:textId="77777777" w:rsidR="00B65F7B" w:rsidRPr="009B4A78" w:rsidRDefault="00B65F7B" w:rsidP="00B66A4A">
      <w:pPr>
        <w:pStyle w:val="ListParagraph"/>
        <w:numPr>
          <w:ilvl w:val="0"/>
          <w:numId w:val="11"/>
        </w:numPr>
        <w:tabs>
          <w:tab w:val="left" w:pos="709"/>
        </w:tabs>
        <w:spacing w:after="240"/>
        <w:jc w:val="both"/>
        <w:rPr>
          <w:rFonts w:ascii="Arial" w:hAnsi="Arial" w:cs="Arial"/>
          <w:b/>
          <w:bCs/>
          <w:sz w:val="20"/>
        </w:rPr>
      </w:pPr>
      <w:r w:rsidRPr="009B4A78">
        <w:rPr>
          <w:rFonts w:ascii="Arial" w:hAnsi="Arial" w:cs="Arial"/>
          <w:b/>
          <w:sz w:val="20"/>
        </w:rPr>
        <w:lastRenderedPageBreak/>
        <w:t>Areas of specific activities.</w:t>
      </w:r>
      <w:r w:rsidRPr="009B4A78">
        <w:rPr>
          <w:rFonts w:ascii="Arial" w:hAnsi="Arial" w:cs="Arial"/>
          <w:sz w:val="20"/>
        </w:rPr>
        <w:t xml:space="preserve">  The Program will continue to strengthen the development of human and professional skills, facilitate the modernization of IP infrastructure and the development of appropriate IP legal and regulatory frameworks, taking into account the specific commitments and national development objectives of the recipient countries, and promoting accessions to WIPO administered treaties and conventions. In these undertakings Regional Bureaus have a pivotal role as overall coordinators to ensure efficient and effective planning and implementation of coherent and concrete deliverables in Member States.  </w:t>
      </w:r>
    </w:p>
    <w:p w14:paraId="1668D753" w14:textId="77777777" w:rsidR="00B65F7B" w:rsidRPr="009B4A78" w:rsidRDefault="00B65F7B" w:rsidP="00F33E49">
      <w:pPr>
        <w:pStyle w:val="ListParagraph"/>
        <w:tabs>
          <w:tab w:val="left" w:pos="709"/>
        </w:tabs>
        <w:jc w:val="both"/>
        <w:rPr>
          <w:rFonts w:ascii="Arial" w:hAnsi="Arial" w:cs="Arial"/>
          <w:sz w:val="20"/>
        </w:rPr>
      </w:pPr>
    </w:p>
    <w:p w14:paraId="4F195841" w14:textId="20913DBB" w:rsidR="00B65F7B" w:rsidRPr="009B4A78"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The special focus on LDCs will be reinforced in order to respond to increasing individual and common needs. Special emphasis will be given to develop the national and technological IP capacity of LDCs to assist in achieving their main development goals of poverty alleviation, economic growth and social and cultural development. </w:t>
      </w:r>
      <w:r w:rsidR="008D0DE4">
        <w:rPr>
          <w:rFonts w:ascii="Arial" w:hAnsi="Arial" w:cs="Arial"/>
          <w:sz w:val="20"/>
        </w:rPr>
        <w:t>The</w:t>
      </w:r>
      <w:r w:rsidR="001339CA">
        <w:rPr>
          <w:rFonts w:ascii="Arial" w:hAnsi="Arial" w:cs="Arial"/>
          <w:sz w:val="20"/>
        </w:rPr>
        <w:t xml:space="preserve"> </w:t>
      </w:r>
      <w:r w:rsidRPr="009B4A78">
        <w:rPr>
          <w:rFonts w:ascii="Arial" w:hAnsi="Arial" w:cs="Arial"/>
          <w:sz w:val="20"/>
        </w:rPr>
        <w:t xml:space="preserve">WIPO </w:t>
      </w:r>
      <w:r w:rsidR="008D0DE4">
        <w:rPr>
          <w:rFonts w:ascii="Arial" w:hAnsi="Arial" w:cs="Arial"/>
          <w:sz w:val="20"/>
        </w:rPr>
        <w:t>program</w:t>
      </w:r>
      <w:r w:rsidR="00B81E77">
        <w:rPr>
          <w:rFonts w:ascii="Arial" w:hAnsi="Arial" w:cs="Arial"/>
          <w:sz w:val="20"/>
        </w:rPr>
        <w:t xml:space="preserve"> of work</w:t>
      </w:r>
      <w:r w:rsidR="008D0DE4">
        <w:rPr>
          <w:rFonts w:ascii="Arial" w:hAnsi="Arial" w:cs="Arial"/>
          <w:sz w:val="20"/>
        </w:rPr>
        <w:t xml:space="preserve"> for LDCs</w:t>
      </w:r>
      <w:r w:rsidR="001339CA">
        <w:rPr>
          <w:rFonts w:ascii="Arial" w:hAnsi="Arial" w:cs="Arial"/>
          <w:sz w:val="20"/>
        </w:rPr>
        <w:t xml:space="preserve"> </w:t>
      </w:r>
      <w:r w:rsidRPr="009B4A78">
        <w:rPr>
          <w:rFonts w:ascii="Arial" w:hAnsi="Arial" w:cs="Arial"/>
          <w:sz w:val="20"/>
        </w:rPr>
        <w:t xml:space="preserve">will, in particular, continue supporting activities within the priority areas identified in the WIPO Deliverables, adopted on the occasion of the Fourth United Nations Conference on the LDCs (LDC IV) and designed to contribute towards the implementation of the Istanbul </w:t>
      </w:r>
      <w:proofErr w:type="spellStart"/>
      <w:r w:rsidRPr="009B4A78">
        <w:rPr>
          <w:rFonts w:ascii="Arial" w:hAnsi="Arial" w:cs="Arial"/>
          <w:sz w:val="20"/>
        </w:rPr>
        <w:t>Programme</w:t>
      </w:r>
      <w:proofErr w:type="spellEnd"/>
      <w:r w:rsidRPr="009B4A78">
        <w:rPr>
          <w:rFonts w:ascii="Arial" w:hAnsi="Arial" w:cs="Arial"/>
          <w:sz w:val="20"/>
        </w:rPr>
        <w:t xml:space="preserve"> of Action (</w:t>
      </w:r>
      <w:proofErr w:type="spellStart"/>
      <w:r w:rsidRPr="009B4A78">
        <w:rPr>
          <w:rFonts w:ascii="Arial" w:hAnsi="Arial" w:cs="Arial"/>
          <w:sz w:val="20"/>
        </w:rPr>
        <w:t>IPoA</w:t>
      </w:r>
      <w:proofErr w:type="spellEnd"/>
      <w:r w:rsidRPr="009B4A78">
        <w:rPr>
          <w:rFonts w:ascii="Arial" w:hAnsi="Arial" w:cs="Arial"/>
          <w:sz w:val="20"/>
        </w:rPr>
        <w:t xml:space="preserve">). </w:t>
      </w:r>
    </w:p>
    <w:p w14:paraId="1A5B8BEF" w14:textId="77777777" w:rsidR="00B65F7B" w:rsidRPr="009B4A78" w:rsidRDefault="00B65F7B" w:rsidP="00F33E49">
      <w:pPr>
        <w:pStyle w:val="ListParagraph"/>
        <w:tabs>
          <w:tab w:val="left" w:pos="709"/>
        </w:tabs>
        <w:jc w:val="both"/>
        <w:rPr>
          <w:rFonts w:ascii="Arial" w:hAnsi="Arial" w:cs="Arial"/>
          <w:sz w:val="20"/>
        </w:rPr>
      </w:pPr>
    </w:p>
    <w:p w14:paraId="45140CE4" w14:textId="77777777" w:rsidR="00B65F7B" w:rsidRPr="009B4A78"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Noting the increasing relevance of sub-regional, regional as well as interregional cooperation, including South-South cooperation, among developing countries, the Regional Bureaus will play an instrumental role in facilitating the modalities of this horizontal cooperation.  This will include strengthening partnerships between and among countries and regions, especially in the context of existing sub-regional or regional groupings.  The Program will ensure a coherent planning and reporting of South </w:t>
      </w:r>
      <w:proofErr w:type="spellStart"/>
      <w:r w:rsidRPr="009B4A78">
        <w:rPr>
          <w:rFonts w:ascii="Arial" w:hAnsi="Arial" w:cs="Arial"/>
          <w:sz w:val="20"/>
        </w:rPr>
        <w:t>South</w:t>
      </w:r>
      <w:proofErr w:type="spellEnd"/>
      <w:r w:rsidRPr="009B4A78">
        <w:rPr>
          <w:rFonts w:ascii="Arial" w:hAnsi="Arial" w:cs="Arial"/>
          <w:sz w:val="20"/>
        </w:rPr>
        <w:t xml:space="preserve"> activities at the Organizational level and interface with all internal and external stakeholders.</w:t>
      </w:r>
    </w:p>
    <w:p w14:paraId="2D3F6218" w14:textId="77777777" w:rsidR="00B65F7B" w:rsidRPr="009B4A78" w:rsidRDefault="00B65F7B" w:rsidP="00F33E49">
      <w:pPr>
        <w:pStyle w:val="ListParagraph"/>
        <w:tabs>
          <w:tab w:val="left" w:pos="709"/>
        </w:tabs>
        <w:rPr>
          <w:rFonts w:ascii="Arial" w:hAnsi="Arial" w:cs="Arial"/>
          <w:sz w:val="20"/>
        </w:rPr>
      </w:pPr>
    </w:p>
    <w:p w14:paraId="73A2EF55" w14:textId="4D8BED3D" w:rsidR="00B65F7B" w:rsidRPr="009B4A78"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Existing databases (IP-TAD, IP-ROC and IP-DMD) have proved to be a useful tool to monitor and orient the Organization's development cooperation. During the biennium, these databases will be synchronized with the Enterprise Performance Management system in order to </w:t>
      </w:r>
      <w:r w:rsidR="00AF5A57" w:rsidRPr="009B4A78">
        <w:rPr>
          <w:rFonts w:ascii="Arial" w:hAnsi="Arial" w:cs="Arial"/>
          <w:sz w:val="20"/>
        </w:rPr>
        <w:t>automat</w:t>
      </w:r>
      <w:r w:rsidR="00AF5A57">
        <w:rPr>
          <w:rFonts w:ascii="Arial" w:hAnsi="Arial" w:cs="Arial"/>
          <w:sz w:val="20"/>
        </w:rPr>
        <w:t>e</w:t>
      </w:r>
      <w:r w:rsidR="00AF5A57" w:rsidRPr="009B4A78">
        <w:rPr>
          <w:rFonts w:ascii="Arial" w:hAnsi="Arial" w:cs="Arial"/>
          <w:sz w:val="20"/>
        </w:rPr>
        <w:t xml:space="preserve"> </w:t>
      </w:r>
      <w:r w:rsidRPr="009B4A78">
        <w:rPr>
          <w:rFonts w:ascii="Arial" w:hAnsi="Arial" w:cs="Arial"/>
          <w:sz w:val="20"/>
        </w:rPr>
        <w:t>data entries.  This will ensure that Member States and other users have access to the most current information on development cooperation activities.  In addition, new tools, intended to facilitate the process of formulation of national IP strategies, as well as the assessment of South-South cooperation projects, will continue to be developed and implemented.</w:t>
      </w:r>
    </w:p>
    <w:p w14:paraId="4CC48E0F" w14:textId="77777777" w:rsidR="00B65F7B" w:rsidRPr="009B4A78" w:rsidRDefault="00B65F7B" w:rsidP="00F33E49">
      <w:pPr>
        <w:pStyle w:val="ListParagraph"/>
        <w:tabs>
          <w:tab w:val="left" w:pos="709"/>
        </w:tabs>
        <w:jc w:val="both"/>
        <w:rPr>
          <w:rFonts w:ascii="Arial" w:hAnsi="Arial" w:cs="Arial"/>
          <w:sz w:val="20"/>
        </w:rPr>
      </w:pPr>
    </w:p>
    <w:p w14:paraId="2B8AAACB" w14:textId="77777777" w:rsidR="00B65F7B"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Cooperation with UN Bodies and other relevant intergovernmental organizational and non-governmental institutions will continue to be promoted as a means to mobilize and pool more resources and expertise for higher impact.  No effort will be spared to constantly improve the quality and effectiveness of technical cooperation, focusing on concrete and tangible results, and to ensure sustainability and continuity of programs. </w:t>
      </w:r>
    </w:p>
    <w:p w14:paraId="3671396B" w14:textId="77777777" w:rsidR="007A5A68" w:rsidRPr="00FB68E0" w:rsidRDefault="007A5A68" w:rsidP="00FB68E0">
      <w:pPr>
        <w:pStyle w:val="ListParagraph"/>
        <w:rPr>
          <w:rFonts w:ascii="Arial" w:hAnsi="Arial" w:cs="Arial"/>
          <w:sz w:val="20"/>
        </w:rPr>
      </w:pPr>
    </w:p>
    <w:p w14:paraId="199B81AD" w14:textId="5DFFB643" w:rsidR="007A5A68" w:rsidRPr="00CB32BD" w:rsidRDefault="007A5A68" w:rsidP="00B66A4A">
      <w:pPr>
        <w:numPr>
          <w:ilvl w:val="0"/>
          <w:numId w:val="11"/>
        </w:numPr>
        <w:jc w:val="both"/>
        <w:rPr>
          <w:rFonts w:ascii="Arial" w:hAnsi="Arial" w:cs="Arial"/>
          <w:sz w:val="20"/>
          <w:szCs w:val="20"/>
        </w:rPr>
      </w:pPr>
      <w:r>
        <w:rPr>
          <w:rFonts w:ascii="Arial" w:hAnsi="Arial" w:cs="Arial"/>
          <w:sz w:val="20"/>
          <w:szCs w:val="20"/>
        </w:rPr>
        <w:t xml:space="preserve">Program 9 collaborates primarily with </w:t>
      </w:r>
      <w:r w:rsidRPr="00CB32BD">
        <w:rPr>
          <w:rFonts w:ascii="Arial" w:hAnsi="Arial" w:cs="Arial"/>
          <w:sz w:val="20"/>
          <w:szCs w:val="20"/>
        </w:rPr>
        <w:t xml:space="preserve">other Programs as illustrated below: </w:t>
      </w:r>
    </w:p>
    <w:p w14:paraId="3FB5A469" w14:textId="77777777" w:rsidR="007A5A68" w:rsidRPr="009B4A78" w:rsidRDefault="007A5A68" w:rsidP="00FB68E0">
      <w:pPr>
        <w:pStyle w:val="ListParagraph"/>
        <w:tabs>
          <w:tab w:val="left" w:pos="709"/>
        </w:tabs>
        <w:spacing w:after="240"/>
        <w:ind w:left="0"/>
        <w:jc w:val="both"/>
        <w:rPr>
          <w:rFonts w:ascii="Arial" w:hAnsi="Arial" w:cs="Arial"/>
          <w:sz w:val="20"/>
        </w:rPr>
      </w:pPr>
    </w:p>
    <w:p w14:paraId="01C70351" w14:textId="77777777" w:rsidR="00B65F7B" w:rsidRPr="009B4A78" w:rsidRDefault="00B65F7B" w:rsidP="00F33E49">
      <w:pPr>
        <w:pStyle w:val="ListParagraph"/>
        <w:rPr>
          <w:rFonts w:ascii="Arial" w:hAnsi="Arial" w:cs="Arial"/>
        </w:rPr>
      </w:pPr>
    </w:p>
    <w:p w14:paraId="4AD6FE89" w14:textId="096ACFD0" w:rsidR="00B65F7B" w:rsidRPr="009B4A78" w:rsidRDefault="00FA2257" w:rsidP="00F33E49">
      <w:pPr>
        <w:jc w:val="both"/>
        <w:rPr>
          <w:rFonts w:ascii="Arial" w:hAnsi="Arial" w:cs="Arial"/>
        </w:rPr>
      </w:pPr>
      <w:r>
        <w:rPr>
          <w:noProof/>
          <w:lang w:eastAsia="en-US"/>
        </w:rPr>
        <w:drawing>
          <wp:inline distT="0" distB="0" distL="0" distR="0" wp14:anchorId="3A598DC9" wp14:editId="5530BA12">
            <wp:extent cx="5943600" cy="2706624"/>
            <wp:effectExtent l="0" t="3810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34EFABE2" w14:textId="56A61217" w:rsidR="00B65F7B" w:rsidRPr="009B4A78" w:rsidRDefault="00B65F7B">
      <w:pPr>
        <w:rPr>
          <w:rFonts w:ascii="Arial" w:eastAsia="SimSun" w:hAnsi="Arial" w:cs="Arial"/>
          <w:bCs/>
          <w:iCs/>
          <w:caps/>
          <w:szCs w:val="28"/>
        </w:rPr>
      </w:pPr>
    </w:p>
    <w:p w14:paraId="69A1CCF9" w14:textId="77777777" w:rsidR="00B65F7B" w:rsidRPr="009B4A78" w:rsidRDefault="00B65F7B" w:rsidP="00FB68E0">
      <w:pPr>
        <w:keepNext/>
        <w:keepLines/>
        <w:rPr>
          <w:rFonts w:ascii="Arial" w:hAnsi="Arial" w:cs="Arial"/>
        </w:rPr>
      </w:pPr>
      <w:r w:rsidRPr="009B4A78">
        <w:rPr>
          <w:rFonts w:ascii="Arial" w:hAnsi="Arial" w:cs="Arial"/>
        </w:rPr>
        <w:lastRenderedPageBreak/>
        <w:t>MAJOR RISKS AND MITIGATION STRATEGIES</w:t>
      </w:r>
    </w:p>
    <w:p w14:paraId="7F415E6B" w14:textId="77777777" w:rsidR="00B65F7B" w:rsidRPr="009B4A78" w:rsidRDefault="00B65F7B" w:rsidP="00FB68E0">
      <w:pPr>
        <w:keepNext/>
        <w:keepLines/>
        <w:rPr>
          <w:rFonts w:ascii="Arial" w:hAnsi="Arial" w:cs="Arial"/>
        </w:rPr>
      </w:pPr>
    </w:p>
    <w:tbl>
      <w:tblPr>
        <w:tblW w:w="930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51"/>
        <w:gridCol w:w="5153"/>
      </w:tblGrid>
      <w:tr w:rsidR="00B65F7B" w:rsidRPr="009B4A78" w14:paraId="77FFDC5F" w14:textId="77777777" w:rsidTr="008D4CE9">
        <w:trPr>
          <w:trHeight w:val="589"/>
        </w:trPr>
        <w:tc>
          <w:tcPr>
            <w:tcW w:w="4151" w:type="dxa"/>
            <w:tcBorders>
              <w:top w:val="single" w:sz="4" w:space="0" w:color="auto"/>
              <w:bottom w:val="single" w:sz="4" w:space="0" w:color="auto"/>
            </w:tcBorders>
            <w:shd w:val="clear" w:color="auto" w:fill="C6D9F1" w:themeFill="text2" w:themeFillTint="33"/>
            <w:vAlign w:val="center"/>
          </w:tcPr>
          <w:p w14:paraId="09D039A4" w14:textId="77777777" w:rsidR="00B65F7B" w:rsidRPr="009B4A78" w:rsidRDefault="00B65F7B" w:rsidP="00FB68E0">
            <w:pPr>
              <w:keepNext/>
              <w:keepLines/>
              <w:jc w:val="center"/>
              <w:rPr>
                <w:rFonts w:ascii="Arial" w:hAnsi="Arial" w:cs="Arial"/>
                <w:b/>
                <w:bCs/>
                <w:sz w:val="18"/>
                <w:szCs w:val="18"/>
              </w:rPr>
            </w:pPr>
            <w:r w:rsidRPr="009B4A78">
              <w:rPr>
                <w:rFonts w:ascii="Arial" w:hAnsi="Arial" w:cs="Arial"/>
                <w:b/>
                <w:bCs/>
                <w:sz w:val="18"/>
                <w:szCs w:val="18"/>
              </w:rPr>
              <w:t>Risk</w:t>
            </w:r>
          </w:p>
        </w:tc>
        <w:tc>
          <w:tcPr>
            <w:tcW w:w="5153" w:type="dxa"/>
            <w:tcBorders>
              <w:top w:val="single" w:sz="4" w:space="0" w:color="auto"/>
              <w:bottom w:val="single" w:sz="4" w:space="0" w:color="auto"/>
            </w:tcBorders>
            <w:shd w:val="clear" w:color="auto" w:fill="C6D9F1" w:themeFill="text2" w:themeFillTint="33"/>
            <w:vAlign w:val="center"/>
          </w:tcPr>
          <w:p w14:paraId="14400B58" w14:textId="77777777" w:rsidR="00B65F7B" w:rsidRPr="009B4A78" w:rsidRDefault="00B65F7B" w:rsidP="00FB68E0">
            <w:pPr>
              <w:keepNext/>
              <w:keepLines/>
              <w:jc w:val="center"/>
              <w:rPr>
                <w:rFonts w:ascii="Arial" w:hAnsi="Arial" w:cs="Arial"/>
                <w:b/>
                <w:bCs/>
                <w:sz w:val="18"/>
                <w:szCs w:val="18"/>
              </w:rPr>
            </w:pPr>
            <w:r w:rsidRPr="009B4A78">
              <w:rPr>
                <w:rFonts w:ascii="Arial" w:hAnsi="Arial" w:cs="Arial"/>
                <w:b/>
                <w:bCs/>
                <w:sz w:val="18"/>
                <w:szCs w:val="18"/>
              </w:rPr>
              <w:t>Mitigation</w:t>
            </w:r>
          </w:p>
        </w:tc>
      </w:tr>
      <w:tr w:rsidR="00B65F7B" w:rsidRPr="009B4A78" w14:paraId="196D90C2" w14:textId="77777777" w:rsidTr="008D4CE9">
        <w:trPr>
          <w:trHeight w:val="265"/>
        </w:trPr>
        <w:tc>
          <w:tcPr>
            <w:tcW w:w="4151" w:type="dxa"/>
            <w:tcBorders>
              <w:top w:val="single" w:sz="4" w:space="0" w:color="auto"/>
            </w:tcBorders>
            <w:shd w:val="clear" w:color="auto" w:fill="auto"/>
            <w:tcMar>
              <w:top w:w="113" w:type="dxa"/>
              <w:bottom w:w="113" w:type="dxa"/>
            </w:tcMar>
          </w:tcPr>
          <w:p w14:paraId="2DB62B90" w14:textId="77777777" w:rsidR="00B65F7B" w:rsidRPr="009B4A78" w:rsidRDefault="00B65F7B" w:rsidP="00FB68E0">
            <w:pPr>
              <w:keepNext/>
              <w:keepLines/>
              <w:rPr>
                <w:rFonts w:ascii="Arial" w:hAnsi="Arial" w:cs="Arial"/>
                <w:sz w:val="16"/>
                <w:szCs w:val="16"/>
              </w:rPr>
            </w:pPr>
            <w:r w:rsidRPr="009B4A78">
              <w:rPr>
                <w:rFonts w:ascii="Arial" w:hAnsi="Arial" w:cs="Arial"/>
                <w:sz w:val="16"/>
                <w:szCs w:val="16"/>
              </w:rPr>
              <w:t>Political change leading to IP policy changes at the national level may affect the delivery of services.</w:t>
            </w:r>
          </w:p>
          <w:p w14:paraId="40B20150" w14:textId="77777777" w:rsidR="00B65F7B" w:rsidRPr="009B4A78" w:rsidRDefault="00B65F7B" w:rsidP="00FB68E0">
            <w:pPr>
              <w:keepNext/>
              <w:keepLines/>
              <w:rPr>
                <w:rFonts w:ascii="Arial" w:hAnsi="Arial" w:cs="Arial"/>
                <w:sz w:val="16"/>
                <w:szCs w:val="16"/>
              </w:rPr>
            </w:pPr>
          </w:p>
          <w:p w14:paraId="07E93747" w14:textId="77777777" w:rsidR="00B65F7B" w:rsidRPr="009B4A78" w:rsidRDefault="00B65F7B" w:rsidP="00FB68E0">
            <w:pPr>
              <w:keepNext/>
              <w:keepLines/>
              <w:rPr>
                <w:rFonts w:ascii="Arial" w:hAnsi="Arial" w:cs="Arial"/>
                <w:sz w:val="16"/>
                <w:szCs w:val="16"/>
              </w:rPr>
            </w:pPr>
          </w:p>
          <w:p w14:paraId="18FA50C6" w14:textId="77777777" w:rsidR="00B65F7B" w:rsidRPr="009B4A78" w:rsidRDefault="00B65F7B" w:rsidP="00FB68E0">
            <w:pPr>
              <w:keepNext/>
              <w:keepLines/>
              <w:rPr>
                <w:rFonts w:ascii="Arial" w:hAnsi="Arial" w:cs="Arial"/>
                <w:sz w:val="16"/>
                <w:szCs w:val="16"/>
              </w:rPr>
            </w:pPr>
            <w:r w:rsidRPr="009B4A78">
              <w:rPr>
                <w:rFonts w:ascii="Arial" w:hAnsi="Arial" w:cs="Arial"/>
                <w:sz w:val="16"/>
                <w:szCs w:val="16"/>
              </w:rPr>
              <w:t>Political instability in Member States and the resulting change in UN security assessment may result in delays in technical assistance delivery.</w:t>
            </w:r>
          </w:p>
        </w:tc>
        <w:tc>
          <w:tcPr>
            <w:tcW w:w="5153" w:type="dxa"/>
            <w:tcBorders>
              <w:top w:val="single" w:sz="4" w:space="0" w:color="auto"/>
            </w:tcBorders>
            <w:shd w:val="clear" w:color="auto" w:fill="auto"/>
            <w:tcMar>
              <w:top w:w="113" w:type="dxa"/>
              <w:bottom w:w="113" w:type="dxa"/>
            </w:tcMar>
          </w:tcPr>
          <w:p w14:paraId="55F97553" w14:textId="77777777" w:rsidR="00B65F7B" w:rsidRPr="009B4A78" w:rsidRDefault="00B65F7B" w:rsidP="00FB68E0">
            <w:pPr>
              <w:keepNext/>
              <w:keepLines/>
              <w:rPr>
                <w:rFonts w:ascii="Arial" w:hAnsi="Arial" w:cs="Arial"/>
                <w:color w:val="000000"/>
                <w:sz w:val="16"/>
              </w:rPr>
            </w:pPr>
            <w:r w:rsidRPr="009B4A78">
              <w:rPr>
                <w:rFonts w:ascii="Arial" w:hAnsi="Arial" w:cs="Arial"/>
                <w:color w:val="000000"/>
                <w:sz w:val="16"/>
              </w:rPr>
              <w:t>Flexibility retained to make adjustments in work plans for individual countries.</w:t>
            </w:r>
          </w:p>
          <w:p w14:paraId="5E16D03C" w14:textId="77777777" w:rsidR="00B65F7B" w:rsidRPr="009B4A78" w:rsidRDefault="00B65F7B" w:rsidP="00FB68E0">
            <w:pPr>
              <w:keepNext/>
              <w:keepLines/>
              <w:rPr>
                <w:rFonts w:ascii="Arial" w:hAnsi="Arial" w:cs="Arial"/>
                <w:color w:val="000000"/>
                <w:sz w:val="16"/>
              </w:rPr>
            </w:pPr>
          </w:p>
          <w:p w14:paraId="2C3F7AE5" w14:textId="77777777" w:rsidR="00B65F7B" w:rsidRPr="009B4A78" w:rsidRDefault="00B65F7B" w:rsidP="00FB68E0">
            <w:pPr>
              <w:keepNext/>
              <w:keepLines/>
              <w:rPr>
                <w:rFonts w:ascii="Arial" w:hAnsi="Arial" w:cs="Arial"/>
                <w:color w:val="000000"/>
                <w:sz w:val="16"/>
              </w:rPr>
            </w:pPr>
          </w:p>
          <w:p w14:paraId="1A5A68A7" w14:textId="77777777" w:rsidR="00B65F7B" w:rsidRPr="009B4A78" w:rsidRDefault="00B65F7B" w:rsidP="00FB68E0">
            <w:pPr>
              <w:keepNext/>
              <w:keepLines/>
              <w:rPr>
                <w:rFonts w:ascii="Arial" w:hAnsi="Arial" w:cs="Arial"/>
                <w:sz w:val="16"/>
                <w:szCs w:val="16"/>
              </w:rPr>
            </w:pPr>
            <w:r w:rsidRPr="009B4A78">
              <w:rPr>
                <w:rFonts w:ascii="Arial" w:hAnsi="Arial" w:cs="Arial"/>
                <w:color w:val="000000"/>
                <w:sz w:val="16"/>
              </w:rPr>
              <w:t xml:space="preserve">Monitoring with IP office and stakeholders to develop alternative plans. </w:t>
            </w:r>
          </w:p>
        </w:tc>
      </w:tr>
    </w:tbl>
    <w:p w14:paraId="1B571DE6" w14:textId="77777777" w:rsidR="00B65F7B" w:rsidRDefault="00B65F7B" w:rsidP="00FB68E0">
      <w:pPr>
        <w:keepNext/>
        <w:keepLines/>
        <w:spacing w:line="276" w:lineRule="auto"/>
        <w:rPr>
          <w:rFonts w:ascii="Arial" w:hAnsi="Arial" w:cs="Arial"/>
        </w:rPr>
      </w:pPr>
    </w:p>
    <w:p w14:paraId="67384505" w14:textId="77777777" w:rsidR="001B7766" w:rsidRPr="009B4A78" w:rsidRDefault="001B7766" w:rsidP="001B7766">
      <w:pPr>
        <w:spacing w:line="276" w:lineRule="auto"/>
        <w:rPr>
          <w:rFonts w:ascii="Arial" w:hAnsi="Arial" w:cs="Arial"/>
        </w:rPr>
      </w:pPr>
    </w:p>
    <w:p w14:paraId="7822B59A" w14:textId="77777777" w:rsidR="00B65F7B" w:rsidRPr="009B4A78" w:rsidRDefault="00B65F7B" w:rsidP="00F33E49">
      <w:pPr>
        <w:spacing w:after="200" w:line="276" w:lineRule="auto"/>
        <w:rPr>
          <w:rFonts w:ascii="Arial" w:hAnsi="Arial" w:cs="Arial"/>
        </w:rPr>
      </w:pPr>
      <w:r w:rsidRPr="009B4A78">
        <w:rPr>
          <w:rFonts w:ascii="Arial" w:hAnsi="Arial" w:cs="Arial"/>
        </w:rPr>
        <w:t>RESULTS FRAMEWORK</w:t>
      </w:r>
    </w:p>
    <w:tbl>
      <w:tblPr>
        <w:tblW w:w="9371" w:type="dxa"/>
        <w:tblInd w:w="93" w:type="dxa"/>
        <w:tblLook w:val="04A0" w:firstRow="1" w:lastRow="0" w:firstColumn="1" w:lastColumn="0" w:noHBand="0" w:noVBand="1"/>
      </w:tblPr>
      <w:tblGrid>
        <w:gridCol w:w="2280"/>
        <w:gridCol w:w="2180"/>
        <w:gridCol w:w="2760"/>
        <w:gridCol w:w="2151"/>
      </w:tblGrid>
      <w:tr w:rsidR="00B65F7B" w:rsidRPr="009B4A78" w14:paraId="6AD24DA6" w14:textId="77777777" w:rsidTr="00865AEC">
        <w:trPr>
          <w:trHeight w:val="615"/>
          <w:tblHeader/>
        </w:trPr>
        <w:tc>
          <w:tcPr>
            <w:tcW w:w="2280"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14:paraId="669DC5DC"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Expected Results</w:t>
            </w:r>
          </w:p>
        </w:tc>
        <w:tc>
          <w:tcPr>
            <w:tcW w:w="2180" w:type="dxa"/>
            <w:tcBorders>
              <w:top w:val="single" w:sz="4" w:space="0" w:color="auto"/>
              <w:left w:val="nil"/>
              <w:bottom w:val="single" w:sz="4" w:space="0" w:color="auto"/>
              <w:right w:val="nil"/>
            </w:tcBorders>
            <w:shd w:val="clear" w:color="000000" w:fill="C5D9F1"/>
            <w:noWrap/>
            <w:tcMar>
              <w:top w:w="85" w:type="dxa"/>
            </w:tcMar>
            <w:vAlign w:val="center"/>
            <w:hideMark/>
          </w:tcPr>
          <w:p w14:paraId="4DBC7EEF"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760" w:type="dxa"/>
            <w:tcBorders>
              <w:top w:val="single" w:sz="4" w:space="0" w:color="auto"/>
              <w:left w:val="nil"/>
              <w:bottom w:val="single" w:sz="4" w:space="0" w:color="auto"/>
              <w:right w:val="nil"/>
            </w:tcBorders>
            <w:shd w:val="clear" w:color="000000" w:fill="C5D9F1"/>
            <w:noWrap/>
            <w:tcMar>
              <w:top w:w="85" w:type="dxa"/>
            </w:tcMar>
            <w:vAlign w:val="center"/>
            <w:hideMark/>
          </w:tcPr>
          <w:p w14:paraId="535E73E2"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2151"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14:paraId="699095DE"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B65F7B" w:rsidRPr="009B4A78" w14:paraId="03623D40" w14:textId="77777777" w:rsidTr="00865AEC">
        <w:trPr>
          <w:trHeight w:val="974"/>
        </w:trPr>
        <w:tc>
          <w:tcPr>
            <w:tcW w:w="2280" w:type="dxa"/>
            <w:tcBorders>
              <w:top w:val="nil"/>
              <w:left w:val="single" w:sz="4" w:space="0" w:color="auto"/>
              <w:bottom w:val="nil"/>
              <w:right w:val="nil"/>
            </w:tcBorders>
            <w:shd w:val="clear" w:color="000000" w:fill="FFFFFF"/>
            <w:tcMar>
              <w:top w:w="85" w:type="dxa"/>
            </w:tcMar>
            <w:hideMark/>
          </w:tcPr>
          <w:p w14:paraId="20F9B7A4"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I.2 Tailored and balanced IP legislative, regulatory and policy frameworks</w:t>
            </w:r>
          </w:p>
        </w:tc>
        <w:tc>
          <w:tcPr>
            <w:tcW w:w="2180" w:type="dxa"/>
            <w:tcBorders>
              <w:top w:val="nil"/>
              <w:left w:val="nil"/>
              <w:bottom w:val="nil"/>
              <w:right w:val="nil"/>
            </w:tcBorders>
            <w:shd w:val="clear" w:color="000000" w:fill="FFFFFF"/>
            <w:tcMar>
              <w:top w:w="85" w:type="dxa"/>
            </w:tcMar>
            <w:hideMark/>
          </w:tcPr>
          <w:p w14:paraId="2706DC6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and/or % of countries providing positive feedback on WIPO’s Legislative policy advice</w:t>
            </w:r>
          </w:p>
        </w:tc>
        <w:tc>
          <w:tcPr>
            <w:tcW w:w="2760" w:type="dxa"/>
            <w:tcBorders>
              <w:top w:val="nil"/>
              <w:left w:val="nil"/>
              <w:bottom w:val="nil"/>
              <w:right w:val="nil"/>
            </w:tcBorders>
            <w:shd w:val="clear" w:color="000000" w:fill="FFFFFF"/>
            <w:tcMar>
              <w:top w:w="85" w:type="dxa"/>
            </w:tcMar>
            <w:hideMark/>
          </w:tcPr>
          <w:p w14:paraId="4D43373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Regional breakdowns to be determined in cooperation with Programs 1, 2, 3 and 4</w:t>
            </w:r>
          </w:p>
        </w:tc>
        <w:tc>
          <w:tcPr>
            <w:tcW w:w="2151" w:type="dxa"/>
            <w:tcBorders>
              <w:top w:val="nil"/>
              <w:left w:val="nil"/>
              <w:bottom w:val="nil"/>
              <w:right w:val="single" w:sz="4" w:space="0" w:color="auto"/>
            </w:tcBorders>
            <w:shd w:val="clear" w:color="000000" w:fill="FFFFFF"/>
            <w:tcMar>
              <w:top w:w="85" w:type="dxa"/>
            </w:tcMar>
            <w:hideMark/>
          </w:tcPr>
          <w:p w14:paraId="26AAD96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Africa (90%)</w:t>
            </w:r>
            <w:r w:rsidRPr="009B4A78">
              <w:rPr>
                <w:rFonts w:ascii="Arial" w:hAnsi="Arial" w:cs="Arial"/>
                <w:color w:val="000000"/>
                <w:sz w:val="16"/>
                <w:szCs w:val="16"/>
              </w:rPr>
              <w:br/>
              <w:t>Arab (90%)</w:t>
            </w:r>
            <w:r w:rsidRPr="009B4A78">
              <w:rPr>
                <w:rFonts w:ascii="Arial" w:hAnsi="Arial" w:cs="Arial"/>
                <w:color w:val="000000"/>
                <w:sz w:val="16"/>
                <w:szCs w:val="16"/>
              </w:rPr>
              <w:br/>
              <w:t>Asia and Pacific (90%)</w:t>
            </w:r>
            <w:r w:rsidRPr="009B4A78">
              <w:rPr>
                <w:rFonts w:ascii="Arial" w:hAnsi="Arial" w:cs="Arial"/>
                <w:color w:val="000000"/>
                <w:sz w:val="16"/>
                <w:szCs w:val="16"/>
              </w:rPr>
              <w:br/>
              <w:t>Latin America &amp; the Caribbean (90%)</w:t>
            </w:r>
          </w:p>
        </w:tc>
      </w:tr>
      <w:tr w:rsidR="003C2E0B" w:rsidRPr="009B4A78" w14:paraId="58C7C46C" w14:textId="77777777" w:rsidTr="00C90AAF">
        <w:trPr>
          <w:trHeight w:val="1475"/>
        </w:trPr>
        <w:tc>
          <w:tcPr>
            <w:tcW w:w="2280" w:type="dxa"/>
            <w:tcBorders>
              <w:top w:val="nil"/>
              <w:left w:val="single" w:sz="4" w:space="0" w:color="auto"/>
              <w:right w:val="nil"/>
            </w:tcBorders>
            <w:shd w:val="clear" w:color="000000" w:fill="FFFFFF"/>
            <w:tcMar>
              <w:top w:w="85" w:type="dxa"/>
            </w:tcMar>
          </w:tcPr>
          <w:p w14:paraId="491E099E" w14:textId="6C94C7E4" w:rsidR="003C2E0B" w:rsidRPr="009B4A78" w:rsidRDefault="003C2E0B" w:rsidP="00F33E49">
            <w:pPr>
              <w:rPr>
                <w:rFonts w:ascii="Arial" w:hAnsi="Arial" w:cs="Arial"/>
                <w:color w:val="000000"/>
                <w:sz w:val="16"/>
                <w:szCs w:val="16"/>
              </w:rPr>
            </w:pPr>
            <w:r w:rsidRPr="001B7766">
              <w:rPr>
                <w:rFonts w:ascii="Arial" w:hAnsi="Arial" w:cs="Arial"/>
                <w:color w:val="000000"/>
                <w:sz w:val="16"/>
                <w:szCs w:val="16"/>
              </w:rPr>
              <w:t>II.1 Wider and more effective use of the PCT system for filing international patent applications</w:t>
            </w:r>
          </w:p>
        </w:tc>
        <w:tc>
          <w:tcPr>
            <w:tcW w:w="2180" w:type="dxa"/>
            <w:tcBorders>
              <w:top w:val="nil"/>
              <w:left w:val="nil"/>
              <w:right w:val="nil"/>
            </w:tcBorders>
            <w:shd w:val="clear" w:color="000000" w:fill="FFFFFF"/>
            <w:tcMar>
              <w:top w:w="85" w:type="dxa"/>
            </w:tcMar>
          </w:tcPr>
          <w:p w14:paraId="2063C7AB" w14:textId="08E9C9B7" w:rsidR="003C2E0B" w:rsidRPr="009B4A78" w:rsidRDefault="003C2E0B" w:rsidP="00A2699E">
            <w:pPr>
              <w:rPr>
                <w:rFonts w:ascii="Arial" w:hAnsi="Arial" w:cs="Arial"/>
                <w:color w:val="000000"/>
                <w:sz w:val="16"/>
                <w:szCs w:val="16"/>
              </w:rPr>
            </w:pPr>
            <w:r w:rsidRPr="001B7766">
              <w:rPr>
                <w:rFonts w:ascii="Arial" w:hAnsi="Arial" w:cs="Arial"/>
                <w:color w:val="000000"/>
                <w:sz w:val="16"/>
                <w:szCs w:val="16"/>
              </w:rPr>
              <w:t xml:space="preserve">No. of PCT applications originating from </w:t>
            </w:r>
            <w:r>
              <w:rPr>
                <w:rFonts w:ascii="Arial" w:hAnsi="Arial" w:cs="Arial"/>
                <w:color w:val="000000"/>
                <w:sz w:val="16"/>
                <w:szCs w:val="16"/>
              </w:rPr>
              <w:t>developing countries and LDCs.</w:t>
            </w:r>
          </w:p>
        </w:tc>
        <w:tc>
          <w:tcPr>
            <w:tcW w:w="2760" w:type="dxa"/>
            <w:tcBorders>
              <w:top w:val="nil"/>
              <w:left w:val="nil"/>
              <w:right w:val="nil"/>
            </w:tcBorders>
            <w:shd w:val="clear" w:color="000000" w:fill="FFFFFF"/>
            <w:tcMar>
              <w:top w:w="85" w:type="dxa"/>
            </w:tcMar>
          </w:tcPr>
          <w:p w14:paraId="77E46359" w14:textId="5F65D96C" w:rsidR="003C2E0B" w:rsidRDefault="007202F3" w:rsidP="009539C7">
            <w:pPr>
              <w:rPr>
                <w:rFonts w:ascii="Arial" w:hAnsi="Arial" w:cs="Arial"/>
                <w:sz w:val="16"/>
                <w:szCs w:val="16"/>
              </w:rPr>
            </w:pPr>
            <w:r>
              <w:rPr>
                <w:rFonts w:ascii="Arial" w:hAnsi="Arial" w:cs="Arial"/>
                <w:sz w:val="16"/>
                <w:szCs w:val="16"/>
              </w:rPr>
              <w:t>43,972</w:t>
            </w:r>
            <w:r w:rsidR="003C2E0B">
              <w:rPr>
                <w:rFonts w:ascii="Arial" w:hAnsi="Arial" w:cs="Arial"/>
                <w:sz w:val="16"/>
                <w:szCs w:val="16"/>
              </w:rPr>
              <w:t xml:space="preserve"> (2014)</w:t>
            </w:r>
          </w:p>
          <w:p w14:paraId="0FC44033" w14:textId="34E3D5CA" w:rsidR="003C2E0B" w:rsidRDefault="003C2E0B" w:rsidP="009539C7">
            <w:pPr>
              <w:pStyle w:val="ListParagraph"/>
              <w:numPr>
                <w:ilvl w:val="0"/>
                <w:numId w:val="76"/>
              </w:numPr>
              <w:contextualSpacing w:val="0"/>
              <w:rPr>
                <w:rFonts w:ascii="Arial" w:hAnsi="Arial" w:cs="Arial"/>
                <w:sz w:val="16"/>
                <w:szCs w:val="16"/>
              </w:rPr>
            </w:pPr>
            <w:r>
              <w:rPr>
                <w:rFonts w:ascii="Arial" w:hAnsi="Arial" w:cs="Arial"/>
                <w:sz w:val="16"/>
                <w:szCs w:val="16"/>
              </w:rPr>
              <w:t>Africa (</w:t>
            </w:r>
            <w:r w:rsidR="007202F3">
              <w:rPr>
                <w:rFonts w:ascii="Arial" w:hAnsi="Arial" w:cs="Arial"/>
                <w:sz w:val="16"/>
                <w:szCs w:val="16"/>
              </w:rPr>
              <w:t>352</w:t>
            </w:r>
            <w:r>
              <w:rPr>
                <w:rFonts w:ascii="Arial" w:hAnsi="Arial" w:cs="Arial"/>
                <w:sz w:val="16"/>
                <w:szCs w:val="16"/>
              </w:rPr>
              <w:t>)</w:t>
            </w:r>
          </w:p>
          <w:p w14:paraId="76DFA989" w14:textId="7BD48647" w:rsidR="003C2E0B" w:rsidRDefault="003C2E0B" w:rsidP="009539C7">
            <w:pPr>
              <w:pStyle w:val="ListParagraph"/>
              <w:numPr>
                <w:ilvl w:val="0"/>
                <w:numId w:val="76"/>
              </w:numPr>
              <w:contextualSpacing w:val="0"/>
              <w:rPr>
                <w:rFonts w:ascii="Arial" w:hAnsi="Arial" w:cs="Arial"/>
                <w:sz w:val="16"/>
                <w:szCs w:val="16"/>
              </w:rPr>
            </w:pPr>
            <w:r>
              <w:rPr>
                <w:rFonts w:ascii="Arial" w:hAnsi="Arial" w:cs="Arial"/>
                <w:sz w:val="16"/>
                <w:szCs w:val="16"/>
              </w:rPr>
              <w:t>Arab (</w:t>
            </w:r>
            <w:r w:rsidR="007202F3">
              <w:rPr>
                <w:rFonts w:ascii="Arial" w:hAnsi="Arial" w:cs="Arial"/>
                <w:sz w:val="16"/>
                <w:szCs w:val="16"/>
              </w:rPr>
              <w:t>616</w:t>
            </w:r>
            <w:r>
              <w:rPr>
                <w:rFonts w:ascii="Arial" w:hAnsi="Arial" w:cs="Arial"/>
                <w:sz w:val="16"/>
                <w:szCs w:val="16"/>
              </w:rPr>
              <w:t>)</w:t>
            </w:r>
          </w:p>
          <w:p w14:paraId="7D77D1C5" w14:textId="079799B2" w:rsidR="003C2E0B" w:rsidRDefault="003C2E0B" w:rsidP="009539C7">
            <w:pPr>
              <w:pStyle w:val="ListParagraph"/>
              <w:numPr>
                <w:ilvl w:val="0"/>
                <w:numId w:val="76"/>
              </w:numPr>
              <w:contextualSpacing w:val="0"/>
              <w:rPr>
                <w:rFonts w:ascii="Arial" w:hAnsi="Arial" w:cs="Arial"/>
                <w:sz w:val="16"/>
                <w:szCs w:val="16"/>
              </w:rPr>
            </w:pPr>
            <w:r>
              <w:rPr>
                <w:rFonts w:ascii="Arial" w:hAnsi="Arial" w:cs="Arial"/>
                <w:sz w:val="16"/>
                <w:szCs w:val="16"/>
              </w:rPr>
              <w:t>Asia and the Pacific (</w:t>
            </w:r>
            <w:r w:rsidR="007202F3">
              <w:rPr>
                <w:rFonts w:ascii="Arial" w:hAnsi="Arial" w:cs="Arial"/>
                <w:sz w:val="16"/>
                <w:szCs w:val="16"/>
              </w:rPr>
              <w:t>41,569</w:t>
            </w:r>
            <w:r>
              <w:rPr>
                <w:rFonts w:ascii="Arial" w:hAnsi="Arial" w:cs="Arial"/>
                <w:sz w:val="16"/>
                <w:szCs w:val="16"/>
              </w:rPr>
              <w:t>)</w:t>
            </w:r>
          </w:p>
          <w:p w14:paraId="2C17C3E0" w14:textId="77777777" w:rsidR="00081691" w:rsidRDefault="00081691" w:rsidP="008D4CE9">
            <w:pPr>
              <w:pStyle w:val="ListParagraph"/>
              <w:ind w:left="360"/>
              <w:contextualSpacing w:val="0"/>
              <w:rPr>
                <w:rFonts w:ascii="Arial" w:hAnsi="Arial" w:cs="Arial"/>
                <w:sz w:val="16"/>
                <w:szCs w:val="16"/>
              </w:rPr>
            </w:pPr>
          </w:p>
          <w:p w14:paraId="2EEFB9B9" w14:textId="63A22684" w:rsidR="003C2E0B" w:rsidRPr="008D4CE9" w:rsidRDefault="003C2E0B">
            <w:pPr>
              <w:pStyle w:val="ListParagraph"/>
              <w:numPr>
                <w:ilvl w:val="0"/>
                <w:numId w:val="76"/>
              </w:numPr>
              <w:contextualSpacing w:val="0"/>
              <w:rPr>
                <w:rFonts w:ascii="Arial" w:hAnsi="Arial" w:cs="Arial"/>
                <w:sz w:val="16"/>
                <w:szCs w:val="16"/>
              </w:rPr>
            </w:pPr>
            <w:r>
              <w:rPr>
                <w:rFonts w:ascii="Arial" w:hAnsi="Arial" w:cs="Arial"/>
                <w:sz w:val="16"/>
                <w:szCs w:val="16"/>
              </w:rPr>
              <w:t>Latin America and the Caribbean (</w:t>
            </w:r>
            <w:r w:rsidR="007202F3">
              <w:rPr>
                <w:rFonts w:ascii="Arial" w:hAnsi="Arial" w:cs="Arial"/>
                <w:sz w:val="16"/>
                <w:szCs w:val="16"/>
              </w:rPr>
              <w:t>1,412</w:t>
            </w:r>
            <w:r>
              <w:rPr>
                <w:rFonts w:ascii="Arial" w:hAnsi="Arial" w:cs="Arial"/>
                <w:sz w:val="16"/>
                <w:szCs w:val="16"/>
              </w:rPr>
              <w:t>)</w:t>
            </w:r>
          </w:p>
        </w:tc>
        <w:tc>
          <w:tcPr>
            <w:tcW w:w="2151" w:type="dxa"/>
            <w:tcBorders>
              <w:top w:val="nil"/>
              <w:left w:val="nil"/>
              <w:right w:val="single" w:sz="4" w:space="0" w:color="auto"/>
            </w:tcBorders>
            <w:shd w:val="clear" w:color="000000" w:fill="FFFFFF"/>
            <w:tcMar>
              <w:top w:w="85" w:type="dxa"/>
            </w:tcMar>
          </w:tcPr>
          <w:p w14:paraId="2D1BC485" w14:textId="77777777" w:rsidR="00954EE5" w:rsidRDefault="00954EE5" w:rsidP="008D4CE9">
            <w:pPr>
              <w:pStyle w:val="ListParagraph"/>
              <w:ind w:left="360"/>
              <w:contextualSpacing w:val="0"/>
              <w:rPr>
                <w:rFonts w:ascii="Arial" w:hAnsi="Arial" w:cs="Arial"/>
                <w:sz w:val="16"/>
                <w:szCs w:val="16"/>
              </w:rPr>
            </w:pPr>
          </w:p>
          <w:p w14:paraId="402F7FD1" w14:textId="4600D170"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(maintain)</w:t>
            </w:r>
          </w:p>
          <w:p w14:paraId="79474266" w14:textId="5481FB7E"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Arab (2% annual)</w:t>
            </w:r>
          </w:p>
          <w:p w14:paraId="04850CF0" w14:textId="4536B33B" w:rsidR="00954EE5" w:rsidRDefault="00954EE5">
            <w:pPr>
              <w:pStyle w:val="ListParagraph"/>
              <w:numPr>
                <w:ilvl w:val="0"/>
                <w:numId w:val="76"/>
              </w:numPr>
              <w:contextualSpacing w:val="0"/>
              <w:rPr>
                <w:rFonts w:ascii="Arial" w:hAnsi="Arial" w:cs="Arial"/>
                <w:sz w:val="16"/>
                <w:szCs w:val="16"/>
              </w:rPr>
            </w:pPr>
            <w:r>
              <w:rPr>
                <w:rFonts w:ascii="Arial" w:hAnsi="Arial" w:cs="Arial"/>
                <w:sz w:val="16"/>
                <w:szCs w:val="16"/>
              </w:rPr>
              <w:t>Asia and the Pacific (2.5% annual)</w:t>
            </w:r>
          </w:p>
          <w:p w14:paraId="3DB4B670" w14:textId="7387652D" w:rsidR="003C2E0B" w:rsidRPr="008D4CE9" w:rsidRDefault="00954EE5">
            <w:pPr>
              <w:pStyle w:val="ListParagraph"/>
              <w:numPr>
                <w:ilvl w:val="0"/>
                <w:numId w:val="76"/>
              </w:numPr>
              <w:contextualSpacing w:val="0"/>
              <w:rPr>
                <w:rFonts w:ascii="Arial" w:hAnsi="Arial" w:cs="Arial"/>
                <w:sz w:val="16"/>
                <w:szCs w:val="16"/>
              </w:rPr>
            </w:pPr>
            <w:r w:rsidRPr="008D4CE9">
              <w:rPr>
                <w:rFonts w:ascii="Arial" w:hAnsi="Arial" w:cs="Arial"/>
                <w:sz w:val="16"/>
                <w:szCs w:val="16"/>
              </w:rPr>
              <w:t>Latin America and the Caribbean (</w:t>
            </w:r>
            <w:r>
              <w:rPr>
                <w:rFonts w:ascii="Arial" w:hAnsi="Arial" w:cs="Arial"/>
                <w:sz w:val="16"/>
                <w:szCs w:val="16"/>
              </w:rPr>
              <w:t>1.5% annual</w:t>
            </w:r>
            <w:r w:rsidRPr="008D4CE9">
              <w:rPr>
                <w:rFonts w:ascii="Arial" w:hAnsi="Arial" w:cs="Arial"/>
                <w:sz w:val="16"/>
                <w:szCs w:val="16"/>
              </w:rPr>
              <w:t>)</w:t>
            </w:r>
          </w:p>
        </w:tc>
      </w:tr>
      <w:tr w:rsidR="003C2E0B" w:rsidRPr="009B4A78" w14:paraId="2515B4AC" w14:textId="77777777" w:rsidTr="00C90AAF">
        <w:trPr>
          <w:trHeight w:val="1475"/>
        </w:trPr>
        <w:tc>
          <w:tcPr>
            <w:tcW w:w="2280" w:type="dxa"/>
            <w:tcBorders>
              <w:top w:val="nil"/>
              <w:left w:val="single" w:sz="4" w:space="0" w:color="auto"/>
              <w:right w:val="nil"/>
            </w:tcBorders>
            <w:shd w:val="clear" w:color="000000" w:fill="FFFFFF"/>
            <w:tcMar>
              <w:top w:w="85" w:type="dxa"/>
            </w:tcMar>
          </w:tcPr>
          <w:p w14:paraId="77F7B855" w14:textId="65D86033" w:rsidR="003C2E0B" w:rsidRPr="009B4A78" w:rsidRDefault="003C2E0B" w:rsidP="00F33E49">
            <w:pPr>
              <w:rPr>
                <w:rFonts w:ascii="Arial" w:hAnsi="Arial" w:cs="Arial"/>
                <w:color w:val="000000"/>
                <w:sz w:val="16"/>
                <w:szCs w:val="16"/>
              </w:rPr>
            </w:pPr>
            <w:r w:rsidRPr="0036187D">
              <w:rPr>
                <w:rFonts w:ascii="Arial" w:hAnsi="Arial" w:cs="Arial"/>
                <w:color w:val="000000"/>
                <w:sz w:val="16"/>
                <w:szCs w:val="16"/>
              </w:rPr>
              <w:t>II.4 Wider and more effective use of the Hague system, including by developing countries and LDCs</w:t>
            </w:r>
          </w:p>
        </w:tc>
        <w:tc>
          <w:tcPr>
            <w:tcW w:w="2180" w:type="dxa"/>
            <w:tcBorders>
              <w:top w:val="nil"/>
              <w:left w:val="nil"/>
              <w:right w:val="nil"/>
            </w:tcBorders>
            <w:shd w:val="clear" w:color="000000" w:fill="FFFFFF"/>
            <w:tcMar>
              <w:top w:w="85" w:type="dxa"/>
            </w:tcMar>
          </w:tcPr>
          <w:p w14:paraId="75677CA7" w14:textId="1FDB1773" w:rsidR="003C2E0B" w:rsidRPr="009B4A78" w:rsidRDefault="003C2E0B" w:rsidP="00F33E49">
            <w:pPr>
              <w:rPr>
                <w:rFonts w:ascii="Arial" w:hAnsi="Arial" w:cs="Arial"/>
                <w:color w:val="000000"/>
                <w:sz w:val="16"/>
                <w:szCs w:val="16"/>
              </w:rPr>
            </w:pPr>
            <w:r w:rsidRPr="0036187D">
              <w:rPr>
                <w:rFonts w:ascii="Arial" w:hAnsi="Arial" w:cs="Arial"/>
                <w:color w:val="000000"/>
                <w:sz w:val="16"/>
                <w:szCs w:val="16"/>
              </w:rPr>
              <w:t xml:space="preserve">No. of Hague applications originating from </w:t>
            </w:r>
            <w:r>
              <w:rPr>
                <w:rFonts w:ascii="Arial" w:hAnsi="Arial" w:cs="Arial"/>
                <w:color w:val="000000"/>
                <w:sz w:val="16"/>
                <w:szCs w:val="16"/>
              </w:rPr>
              <w:t>developing countries and LDCs</w:t>
            </w:r>
          </w:p>
        </w:tc>
        <w:tc>
          <w:tcPr>
            <w:tcW w:w="2760" w:type="dxa"/>
            <w:tcBorders>
              <w:top w:val="nil"/>
              <w:left w:val="nil"/>
              <w:right w:val="nil"/>
            </w:tcBorders>
            <w:shd w:val="clear" w:color="000000" w:fill="FFFFFF"/>
            <w:tcMar>
              <w:top w:w="85" w:type="dxa"/>
            </w:tcMar>
          </w:tcPr>
          <w:p w14:paraId="14F6A4D5" w14:textId="77777777" w:rsidR="00954EE5" w:rsidRDefault="00954EE5" w:rsidP="00954EE5">
            <w:pPr>
              <w:rPr>
                <w:rFonts w:ascii="Arial" w:hAnsi="Arial" w:cs="Arial"/>
                <w:sz w:val="16"/>
                <w:szCs w:val="16"/>
              </w:rPr>
            </w:pPr>
            <w:r>
              <w:rPr>
                <w:rFonts w:ascii="Arial" w:hAnsi="Arial" w:cs="Arial"/>
                <w:sz w:val="16"/>
                <w:szCs w:val="16"/>
              </w:rPr>
              <w:t>105 (2014)</w:t>
            </w:r>
          </w:p>
          <w:p w14:paraId="551E480F" w14:textId="77777777"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(5)</w:t>
            </w:r>
          </w:p>
          <w:p w14:paraId="70C6ABCC" w14:textId="77777777" w:rsidR="0043390E" w:rsidRDefault="00954EE5">
            <w:pPr>
              <w:pStyle w:val="ListParagraph"/>
              <w:numPr>
                <w:ilvl w:val="0"/>
                <w:numId w:val="76"/>
              </w:numPr>
              <w:contextualSpacing w:val="0"/>
              <w:rPr>
                <w:rFonts w:ascii="Arial" w:hAnsi="Arial" w:cs="Arial"/>
                <w:sz w:val="16"/>
                <w:szCs w:val="16"/>
              </w:rPr>
            </w:pPr>
            <w:r>
              <w:rPr>
                <w:rFonts w:ascii="Arial" w:hAnsi="Arial" w:cs="Arial"/>
                <w:sz w:val="16"/>
                <w:szCs w:val="16"/>
              </w:rPr>
              <w:t>Arab (6)</w:t>
            </w:r>
          </w:p>
          <w:p w14:paraId="1E26028A" w14:textId="10B9AF5E" w:rsidR="003C2E0B" w:rsidRPr="008D4CE9" w:rsidRDefault="00954EE5">
            <w:pPr>
              <w:pStyle w:val="ListParagraph"/>
              <w:numPr>
                <w:ilvl w:val="0"/>
                <w:numId w:val="76"/>
              </w:numPr>
              <w:contextualSpacing w:val="0"/>
              <w:rPr>
                <w:rFonts w:ascii="Arial" w:hAnsi="Arial" w:cs="Arial"/>
                <w:sz w:val="16"/>
                <w:szCs w:val="16"/>
              </w:rPr>
            </w:pPr>
            <w:r w:rsidRPr="008D4CE9">
              <w:rPr>
                <w:rFonts w:ascii="Arial" w:hAnsi="Arial" w:cs="Arial"/>
                <w:sz w:val="16"/>
                <w:szCs w:val="16"/>
              </w:rPr>
              <w:t>Asia and the Pacific (94)</w:t>
            </w:r>
          </w:p>
        </w:tc>
        <w:tc>
          <w:tcPr>
            <w:tcW w:w="2151" w:type="dxa"/>
            <w:tcBorders>
              <w:top w:val="nil"/>
              <w:left w:val="nil"/>
              <w:right w:val="single" w:sz="4" w:space="0" w:color="auto"/>
            </w:tcBorders>
            <w:shd w:val="clear" w:color="000000" w:fill="FFFFFF"/>
            <w:tcMar>
              <w:top w:w="85" w:type="dxa"/>
            </w:tcMar>
          </w:tcPr>
          <w:p w14:paraId="3CD23847" w14:textId="77777777" w:rsidR="00954EE5" w:rsidRDefault="00954EE5" w:rsidP="008D4CE9">
            <w:pPr>
              <w:pStyle w:val="ListParagraph"/>
              <w:ind w:left="360"/>
              <w:contextualSpacing w:val="0"/>
              <w:rPr>
                <w:rFonts w:ascii="Arial" w:hAnsi="Arial" w:cs="Arial"/>
                <w:sz w:val="16"/>
                <w:szCs w:val="16"/>
              </w:rPr>
            </w:pPr>
          </w:p>
          <w:p w14:paraId="38165FF4" w14:textId="75AAD102"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(maintain)</w:t>
            </w:r>
          </w:p>
          <w:p w14:paraId="48EB41AD" w14:textId="77777777" w:rsidR="00174C9C" w:rsidRDefault="00954EE5">
            <w:pPr>
              <w:pStyle w:val="ListParagraph"/>
              <w:numPr>
                <w:ilvl w:val="0"/>
                <w:numId w:val="76"/>
              </w:numPr>
              <w:contextualSpacing w:val="0"/>
              <w:rPr>
                <w:rFonts w:ascii="Arial" w:hAnsi="Arial" w:cs="Arial"/>
                <w:sz w:val="16"/>
                <w:szCs w:val="16"/>
              </w:rPr>
            </w:pPr>
            <w:r w:rsidRPr="00174C9C">
              <w:rPr>
                <w:rFonts w:ascii="Arial" w:hAnsi="Arial" w:cs="Arial"/>
                <w:sz w:val="16"/>
                <w:szCs w:val="16"/>
              </w:rPr>
              <w:t>Arab (maintain)</w:t>
            </w:r>
          </w:p>
          <w:p w14:paraId="333C22F4" w14:textId="0443554E" w:rsidR="003C2E0B" w:rsidRPr="008D4CE9" w:rsidRDefault="00954EE5">
            <w:pPr>
              <w:pStyle w:val="ListParagraph"/>
              <w:numPr>
                <w:ilvl w:val="0"/>
                <w:numId w:val="76"/>
              </w:numPr>
              <w:contextualSpacing w:val="0"/>
              <w:rPr>
                <w:rFonts w:ascii="Arial" w:hAnsi="Arial" w:cs="Arial"/>
                <w:sz w:val="16"/>
                <w:szCs w:val="16"/>
              </w:rPr>
            </w:pPr>
            <w:r w:rsidRPr="00174C9C">
              <w:rPr>
                <w:rFonts w:ascii="Arial" w:hAnsi="Arial" w:cs="Arial"/>
                <w:sz w:val="16"/>
                <w:szCs w:val="16"/>
              </w:rPr>
              <w:t>Asia and the Pacific (</w:t>
            </w:r>
            <w:r w:rsidR="00174C9C" w:rsidRPr="008D4CE9">
              <w:rPr>
                <w:rFonts w:ascii="Arial" w:hAnsi="Arial" w:cs="Arial"/>
                <w:sz w:val="16"/>
                <w:szCs w:val="16"/>
              </w:rPr>
              <w:t>10</w:t>
            </w:r>
            <w:r w:rsidRPr="00174C9C">
              <w:rPr>
                <w:rFonts w:ascii="Arial" w:hAnsi="Arial" w:cs="Arial"/>
                <w:sz w:val="16"/>
                <w:szCs w:val="16"/>
              </w:rPr>
              <w:t>% annual)</w:t>
            </w:r>
            <w:r w:rsidR="003C2E0B" w:rsidRPr="008D4CE9">
              <w:rPr>
                <w:rFonts w:ascii="Arial" w:hAnsi="Arial" w:cs="Arial"/>
                <w:sz w:val="16"/>
                <w:szCs w:val="16"/>
              </w:rPr>
              <w:br/>
            </w:r>
            <w:r w:rsidR="003C2E0B" w:rsidRPr="008D4CE9">
              <w:rPr>
                <w:rFonts w:ascii="Arial" w:hAnsi="Arial" w:cs="Arial"/>
                <w:color w:val="000000"/>
                <w:sz w:val="16"/>
                <w:szCs w:val="16"/>
              </w:rPr>
              <w:br/>
            </w:r>
          </w:p>
        </w:tc>
      </w:tr>
      <w:tr w:rsidR="003C2E0B" w:rsidRPr="009B4A78" w14:paraId="09E1004E" w14:textId="77777777" w:rsidTr="00D655F5">
        <w:trPr>
          <w:trHeight w:val="1475"/>
        </w:trPr>
        <w:tc>
          <w:tcPr>
            <w:tcW w:w="2280" w:type="dxa"/>
            <w:tcBorders>
              <w:top w:val="nil"/>
              <w:left w:val="single" w:sz="4" w:space="0" w:color="auto"/>
              <w:right w:val="nil"/>
            </w:tcBorders>
            <w:shd w:val="clear" w:color="000000" w:fill="FFFFFF"/>
            <w:tcMar>
              <w:top w:w="85" w:type="dxa"/>
            </w:tcMar>
          </w:tcPr>
          <w:p w14:paraId="3A3FFA4A" w14:textId="77777777" w:rsidR="003C2E0B" w:rsidRDefault="003C2E0B" w:rsidP="009539C7">
            <w:pPr>
              <w:rPr>
                <w:rFonts w:ascii="Arial" w:hAnsi="Arial" w:cs="Arial"/>
                <w:color w:val="000000"/>
                <w:sz w:val="16"/>
                <w:szCs w:val="16"/>
              </w:rPr>
            </w:pPr>
          </w:p>
          <w:p w14:paraId="533AB494" w14:textId="182081E2" w:rsidR="003C2E0B" w:rsidRPr="009B4A78" w:rsidRDefault="003C2E0B" w:rsidP="00B5316B">
            <w:pPr>
              <w:rPr>
                <w:rFonts w:ascii="Arial" w:hAnsi="Arial" w:cs="Arial"/>
                <w:color w:val="000000"/>
                <w:sz w:val="16"/>
                <w:szCs w:val="16"/>
              </w:rPr>
            </w:pPr>
            <w:r w:rsidRPr="0036187D">
              <w:rPr>
                <w:rFonts w:ascii="Arial" w:hAnsi="Arial" w:cs="Arial"/>
                <w:color w:val="000000"/>
                <w:sz w:val="16"/>
                <w:szCs w:val="16"/>
              </w:rPr>
              <w:t xml:space="preserve">II.6 Wider and more effective use of the Madrid </w:t>
            </w:r>
            <w:r w:rsidR="00B5316B">
              <w:rPr>
                <w:rFonts w:ascii="Arial" w:hAnsi="Arial" w:cs="Arial"/>
                <w:color w:val="000000"/>
                <w:sz w:val="16"/>
                <w:szCs w:val="16"/>
              </w:rPr>
              <w:t>S</w:t>
            </w:r>
            <w:r w:rsidRPr="0036187D">
              <w:rPr>
                <w:rFonts w:ascii="Arial" w:hAnsi="Arial" w:cs="Arial"/>
                <w:color w:val="000000"/>
                <w:sz w:val="16"/>
                <w:szCs w:val="16"/>
              </w:rPr>
              <w:t>ystem, including by developing countries and LDCs</w:t>
            </w:r>
          </w:p>
        </w:tc>
        <w:tc>
          <w:tcPr>
            <w:tcW w:w="2180" w:type="dxa"/>
            <w:tcBorders>
              <w:top w:val="nil"/>
              <w:left w:val="nil"/>
              <w:right w:val="nil"/>
            </w:tcBorders>
            <w:shd w:val="clear" w:color="000000" w:fill="FFFFFF"/>
            <w:tcMar>
              <w:top w:w="85" w:type="dxa"/>
            </w:tcMar>
          </w:tcPr>
          <w:p w14:paraId="643D581D" w14:textId="77777777" w:rsidR="003C2E0B" w:rsidRDefault="003C2E0B" w:rsidP="009539C7">
            <w:pPr>
              <w:rPr>
                <w:rFonts w:ascii="Arial" w:hAnsi="Arial" w:cs="Arial"/>
                <w:color w:val="000000"/>
                <w:sz w:val="16"/>
                <w:szCs w:val="16"/>
              </w:rPr>
            </w:pPr>
          </w:p>
          <w:p w14:paraId="206A41E7" w14:textId="77777777" w:rsidR="003C2E0B" w:rsidRPr="0036187D" w:rsidRDefault="003C2E0B" w:rsidP="009539C7">
            <w:pPr>
              <w:rPr>
                <w:rFonts w:ascii="Arial" w:hAnsi="Arial" w:cs="Arial"/>
                <w:color w:val="000000"/>
                <w:sz w:val="16"/>
                <w:szCs w:val="16"/>
              </w:rPr>
            </w:pPr>
            <w:r w:rsidRPr="0036187D">
              <w:rPr>
                <w:rFonts w:ascii="Arial" w:hAnsi="Arial" w:cs="Arial"/>
                <w:color w:val="000000"/>
                <w:sz w:val="16"/>
                <w:szCs w:val="16"/>
              </w:rPr>
              <w:t xml:space="preserve">No. of Madrid System applications originating from </w:t>
            </w:r>
            <w:r>
              <w:rPr>
                <w:rFonts w:ascii="Arial" w:hAnsi="Arial" w:cs="Arial"/>
                <w:color w:val="000000"/>
                <w:sz w:val="16"/>
                <w:szCs w:val="16"/>
              </w:rPr>
              <w:t>developing countries and LDCs</w:t>
            </w:r>
            <w:r w:rsidRPr="0036187D">
              <w:rPr>
                <w:rFonts w:ascii="Arial" w:hAnsi="Arial" w:cs="Arial"/>
                <w:color w:val="000000"/>
                <w:sz w:val="16"/>
                <w:szCs w:val="16"/>
              </w:rPr>
              <w:br/>
            </w:r>
            <w:r w:rsidRPr="0036187D">
              <w:rPr>
                <w:rFonts w:ascii="Arial" w:hAnsi="Arial" w:cs="Arial"/>
                <w:color w:val="000000"/>
                <w:sz w:val="16"/>
                <w:szCs w:val="16"/>
              </w:rPr>
              <w:br/>
            </w:r>
          </w:p>
          <w:p w14:paraId="276F0DF1" w14:textId="77777777" w:rsidR="003C2E0B" w:rsidRDefault="003C2E0B" w:rsidP="009539C7">
            <w:pPr>
              <w:rPr>
                <w:rFonts w:ascii="Arial" w:hAnsi="Arial" w:cs="Arial"/>
                <w:color w:val="000000"/>
                <w:sz w:val="16"/>
                <w:szCs w:val="16"/>
              </w:rPr>
            </w:pPr>
          </w:p>
          <w:p w14:paraId="6A7693EA" w14:textId="77777777" w:rsidR="003C2E0B" w:rsidRDefault="003C2E0B" w:rsidP="009539C7">
            <w:pPr>
              <w:rPr>
                <w:rFonts w:ascii="Arial" w:hAnsi="Arial" w:cs="Arial"/>
                <w:color w:val="000000"/>
                <w:sz w:val="16"/>
                <w:szCs w:val="16"/>
              </w:rPr>
            </w:pPr>
          </w:p>
          <w:p w14:paraId="62156F24" w14:textId="77777777" w:rsidR="003C2E0B" w:rsidRDefault="003C2E0B" w:rsidP="009539C7">
            <w:pPr>
              <w:rPr>
                <w:rFonts w:ascii="Arial" w:hAnsi="Arial" w:cs="Arial"/>
                <w:color w:val="000000"/>
                <w:sz w:val="16"/>
                <w:szCs w:val="16"/>
              </w:rPr>
            </w:pPr>
          </w:p>
          <w:p w14:paraId="6B55B0EF" w14:textId="77777777" w:rsidR="003C2E0B" w:rsidRDefault="003C2E0B" w:rsidP="009539C7">
            <w:pPr>
              <w:rPr>
                <w:rFonts w:ascii="Arial" w:hAnsi="Arial" w:cs="Arial"/>
                <w:color w:val="000000"/>
                <w:sz w:val="16"/>
                <w:szCs w:val="16"/>
              </w:rPr>
            </w:pPr>
          </w:p>
          <w:p w14:paraId="5171C080" w14:textId="77777777" w:rsidR="003C2E0B" w:rsidRDefault="003C2E0B" w:rsidP="009539C7">
            <w:pPr>
              <w:rPr>
                <w:rFonts w:ascii="Arial" w:hAnsi="Arial" w:cs="Arial"/>
                <w:color w:val="000000"/>
                <w:sz w:val="16"/>
                <w:szCs w:val="16"/>
              </w:rPr>
            </w:pPr>
          </w:p>
          <w:p w14:paraId="0E2E786C" w14:textId="0D6AE2E2" w:rsidR="003C2E0B" w:rsidRPr="009B4A78" w:rsidRDefault="003C2E0B" w:rsidP="000C277A">
            <w:pPr>
              <w:rPr>
                <w:rFonts w:ascii="Arial" w:hAnsi="Arial" w:cs="Arial"/>
                <w:color w:val="000000"/>
                <w:sz w:val="16"/>
                <w:szCs w:val="16"/>
              </w:rPr>
            </w:pPr>
            <w:r w:rsidRPr="0036187D">
              <w:rPr>
                <w:rFonts w:ascii="Arial" w:hAnsi="Arial" w:cs="Arial"/>
                <w:color w:val="000000"/>
                <w:sz w:val="16"/>
                <w:szCs w:val="16"/>
              </w:rPr>
              <w:t xml:space="preserve">No. of </w:t>
            </w:r>
            <w:r>
              <w:rPr>
                <w:rFonts w:ascii="Arial" w:hAnsi="Arial" w:cs="Arial"/>
                <w:color w:val="000000"/>
                <w:sz w:val="16"/>
                <w:szCs w:val="16"/>
              </w:rPr>
              <w:t>international registrations from</w:t>
            </w:r>
            <w:r w:rsidRPr="0036187D">
              <w:rPr>
                <w:rFonts w:ascii="Arial" w:hAnsi="Arial" w:cs="Arial"/>
                <w:color w:val="000000"/>
                <w:sz w:val="16"/>
                <w:szCs w:val="16"/>
              </w:rPr>
              <w:t xml:space="preserve"> </w:t>
            </w:r>
            <w:r>
              <w:rPr>
                <w:rFonts w:ascii="Arial" w:hAnsi="Arial" w:cs="Arial"/>
                <w:color w:val="000000"/>
                <w:sz w:val="16"/>
                <w:szCs w:val="16"/>
              </w:rPr>
              <w:t>developing countries and LDCs in force under the Lisbon System (in relation to the total no.)</w:t>
            </w:r>
          </w:p>
        </w:tc>
        <w:tc>
          <w:tcPr>
            <w:tcW w:w="2760" w:type="dxa"/>
            <w:tcBorders>
              <w:top w:val="nil"/>
              <w:left w:val="nil"/>
              <w:right w:val="nil"/>
            </w:tcBorders>
            <w:shd w:val="clear" w:color="000000" w:fill="FFFFFF"/>
            <w:tcMar>
              <w:top w:w="85" w:type="dxa"/>
            </w:tcMar>
          </w:tcPr>
          <w:p w14:paraId="2C577944" w14:textId="77777777" w:rsidR="003C2E0B" w:rsidRDefault="003C2E0B" w:rsidP="009539C7">
            <w:pPr>
              <w:rPr>
                <w:rFonts w:ascii="Arial" w:hAnsi="Arial" w:cs="Arial"/>
                <w:sz w:val="16"/>
                <w:szCs w:val="16"/>
                <w:lang w:bidi="th-TH"/>
              </w:rPr>
            </w:pPr>
          </w:p>
          <w:p w14:paraId="08DADEC8" w14:textId="19D0CA56" w:rsidR="00954EE5" w:rsidRDefault="00954EE5" w:rsidP="00954EE5">
            <w:pPr>
              <w:rPr>
                <w:rFonts w:ascii="Arial" w:hAnsi="Arial" w:cs="Arial"/>
                <w:sz w:val="16"/>
                <w:szCs w:val="16"/>
              </w:rPr>
            </w:pPr>
            <w:r>
              <w:rPr>
                <w:rFonts w:ascii="Arial" w:hAnsi="Arial" w:cs="Arial"/>
                <w:sz w:val="16"/>
                <w:szCs w:val="16"/>
              </w:rPr>
              <w:t>3,6</w:t>
            </w:r>
            <w:r w:rsidR="00081691">
              <w:rPr>
                <w:rFonts w:ascii="Arial" w:hAnsi="Arial" w:cs="Arial"/>
                <w:sz w:val="16"/>
                <w:szCs w:val="16"/>
              </w:rPr>
              <w:t>29</w:t>
            </w:r>
            <w:r>
              <w:rPr>
                <w:rFonts w:ascii="Arial" w:hAnsi="Arial" w:cs="Arial"/>
                <w:sz w:val="16"/>
                <w:szCs w:val="16"/>
              </w:rPr>
              <w:t xml:space="preserve"> (2014)</w:t>
            </w:r>
          </w:p>
          <w:p w14:paraId="4FA15940" w14:textId="77777777"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(18)</w:t>
            </w:r>
          </w:p>
          <w:p w14:paraId="7BE9C7BC" w14:textId="77777777"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Arab (122)</w:t>
            </w:r>
          </w:p>
          <w:p w14:paraId="3348B242" w14:textId="77777777" w:rsidR="00954EE5" w:rsidRDefault="00954EE5" w:rsidP="008D4CE9">
            <w:pPr>
              <w:pStyle w:val="ListParagraph"/>
              <w:numPr>
                <w:ilvl w:val="0"/>
                <w:numId w:val="76"/>
              </w:numPr>
              <w:contextualSpacing w:val="0"/>
              <w:rPr>
                <w:rFonts w:ascii="Arial" w:hAnsi="Arial" w:cs="Arial"/>
                <w:sz w:val="16"/>
                <w:szCs w:val="16"/>
              </w:rPr>
            </w:pPr>
            <w:r>
              <w:rPr>
                <w:rFonts w:ascii="Arial" w:hAnsi="Arial" w:cs="Arial"/>
                <w:sz w:val="16"/>
                <w:szCs w:val="16"/>
              </w:rPr>
              <w:t>Asia and the Pacific (3,338)</w:t>
            </w:r>
          </w:p>
          <w:p w14:paraId="669ED11E" w14:textId="06EB559D" w:rsidR="00A81184" w:rsidRPr="008D4CE9" w:rsidRDefault="00954EE5" w:rsidP="008D4CE9">
            <w:pPr>
              <w:pStyle w:val="ListParagraph"/>
              <w:numPr>
                <w:ilvl w:val="0"/>
                <w:numId w:val="76"/>
              </w:numPr>
              <w:contextualSpacing w:val="0"/>
              <w:rPr>
                <w:rFonts w:ascii="Arial" w:hAnsi="Arial" w:cs="Arial"/>
                <w:sz w:val="16"/>
                <w:szCs w:val="16"/>
              </w:rPr>
            </w:pPr>
            <w:r w:rsidRPr="008D4CE9">
              <w:rPr>
                <w:rFonts w:ascii="Arial" w:hAnsi="Arial" w:cs="Arial"/>
                <w:sz w:val="16"/>
                <w:szCs w:val="16"/>
              </w:rPr>
              <w:t>Latin America and the Caribbean (151)</w:t>
            </w:r>
          </w:p>
          <w:p w14:paraId="71C50031" w14:textId="77777777" w:rsidR="003C2E0B" w:rsidRDefault="003C2E0B" w:rsidP="009539C7">
            <w:pPr>
              <w:rPr>
                <w:rFonts w:ascii="Arial" w:hAnsi="Arial" w:cs="Arial"/>
                <w:sz w:val="16"/>
                <w:szCs w:val="16"/>
              </w:rPr>
            </w:pPr>
          </w:p>
          <w:p w14:paraId="49BCEEEB" w14:textId="77777777" w:rsidR="00954EE5" w:rsidRDefault="00954EE5" w:rsidP="009539C7">
            <w:pPr>
              <w:rPr>
                <w:rFonts w:ascii="Arial" w:hAnsi="Arial" w:cs="Arial"/>
                <w:sz w:val="16"/>
                <w:szCs w:val="16"/>
              </w:rPr>
            </w:pPr>
          </w:p>
          <w:p w14:paraId="2DA547F8" w14:textId="77777777" w:rsidR="003C2E0B" w:rsidRDefault="003C2E0B" w:rsidP="009539C7">
            <w:pPr>
              <w:rPr>
                <w:rFonts w:ascii="Arial" w:hAnsi="Arial" w:cs="Arial"/>
                <w:sz w:val="16"/>
                <w:szCs w:val="16"/>
              </w:rPr>
            </w:pPr>
            <w:r>
              <w:rPr>
                <w:rFonts w:ascii="Arial" w:hAnsi="Arial" w:cs="Arial"/>
                <w:sz w:val="16"/>
                <w:szCs w:val="16"/>
              </w:rPr>
              <w:t>78 out of 896:</w:t>
            </w:r>
          </w:p>
          <w:p w14:paraId="38C6CBC9" w14:textId="77777777" w:rsidR="003C2E0B" w:rsidRDefault="003C2E0B" w:rsidP="009539C7">
            <w:pPr>
              <w:pStyle w:val="ListParagraph"/>
              <w:numPr>
                <w:ilvl w:val="0"/>
                <w:numId w:val="75"/>
              </w:numPr>
              <w:rPr>
                <w:rFonts w:ascii="Arial" w:hAnsi="Arial" w:cs="Arial"/>
                <w:sz w:val="16"/>
                <w:szCs w:val="16"/>
              </w:rPr>
            </w:pPr>
            <w:r>
              <w:rPr>
                <w:rFonts w:ascii="Arial" w:hAnsi="Arial" w:cs="Arial"/>
                <w:sz w:val="16"/>
                <w:szCs w:val="16"/>
              </w:rPr>
              <w:t>Arab (14)</w:t>
            </w:r>
          </w:p>
          <w:p w14:paraId="3D84BDEE" w14:textId="77777777" w:rsidR="003C2E0B" w:rsidRDefault="003C2E0B" w:rsidP="009539C7">
            <w:pPr>
              <w:pStyle w:val="ListParagraph"/>
              <w:numPr>
                <w:ilvl w:val="0"/>
                <w:numId w:val="75"/>
              </w:numPr>
              <w:rPr>
                <w:rFonts w:ascii="Arial" w:hAnsi="Arial" w:cs="Arial"/>
                <w:sz w:val="16"/>
                <w:szCs w:val="16"/>
              </w:rPr>
            </w:pPr>
            <w:r>
              <w:rPr>
                <w:rFonts w:ascii="Arial" w:hAnsi="Arial" w:cs="Arial"/>
                <w:sz w:val="16"/>
                <w:szCs w:val="16"/>
              </w:rPr>
              <w:t>Asia and the Pacific (22)</w:t>
            </w:r>
          </w:p>
          <w:p w14:paraId="28771A1F" w14:textId="77777777" w:rsidR="003C2E0B" w:rsidRPr="00A2699E" w:rsidRDefault="003C2E0B" w:rsidP="009539C7">
            <w:pPr>
              <w:pStyle w:val="ListParagraph"/>
              <w:numPr>
                <w:ilvl w:val="0"/>
                <w:numId w:val="75"/>
              </w:numPr>
              <w:rPr>
                <w:rFonts w:ascii="Arial" w:hAnsi="Arial" w:cs="Arial"/>
                <w:sz w:val="16"/>
                <w:szCs w:val="16"/>
              </w:rPr>
            </w:pPr>
            <w:r>
              <w:rPr>
                <w:rFonts w:ascii="Arial" w:hAnsi="Arial" w:cs="Arial"/>
                <w:sz w:val="16"/>
                <w:szCs w:val="16"/>
              </w:rPr>
              <w:t>Latin America and the Caribbean (42)</w:t>
            </w:r>
          </w:p>
          <w:p w14:paraId="27CE74DE" w14:textId="575FE961" w:rsidR="003C2E0B" w:rsidRPr="009B4A78" w:rsidRDefault="003C2E0B" w:rsidP="005F1F8F">
            <w:pPr>
              <w:spacing w:after="240"/>
              <w:rPr>
                <w:rFonts w:ascii="Arial" w:hAnsi="Arial" w:cs="Arial"/>
                <w:sz w:val="16"/>
                <w:szCs w:val="16"/>
              </w:rPr>
            </w:pPr>
            <w:r>
              <w:rPr>
                <w:rFonts w:ascii="Arial" w:hAnsi="Arial" w:cs="Arial"/>
                <w:sz w:val="16"/>
                <w:szCs w:val="16"/>
              </w:rPr>
              <w:t>(March 2015)</w:t>
            </w:r>
          </w:p>
        </w:tc>
        <w:tc>
          <w:tcPr>
            <w:tcW w:w="2151" w:type="dxa"/>
            <w:tcBorders>
              <w:top w:val="nil"/>
              <w:left w:val="nil"/>
              <w:right w:val="single" w:sz="4" w:space="0" w:color="auto"/>
            </w:tcBorders>
            <w:shd w:val="clear" w:color="000000" w:fill="FFFFFF"/>
            <w:tcMar>
              <w:top w:w="85" w:type="dxa"/>
            </w:tcMar>
          </w:tcPr>
          <w:p w14:paraId="7618C41C" w14:textId="77777777" w:rsidR="00954EE5" w:rsidRDefault="00954EE5" w:rsidP="008D4CE9">
            <w:pPr>
              <w:pStyle w:val="ListParagraph"/>
              <w:ind w:left="360"/>
              <w:contextualSpacing w:val="0"/>
              <w:rPr>
                <w:rFonts w:ascii="Arial" w:hAnsi="Arial" w:cs="Arial"/>
                <w:sz w:val="16"/>
                <w:szCs w:val="16"/>
              </w:rPr>
            </w:pPr>
          </w:p>
          <w:p w14:paraId="700D4D4B" w14:textId="31185AC8"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Africa (</w:t>
            </w:r>
            <w:r w:rsidR="00081691">
              <w:rPr>
                <w:rFonts w:ascii="Arial" w:hAnsi="Arial" w:cs="Arial"/>
                <w:sz w:val="16"/>
                <w:szCs w:val="16"/>
              </w:rPr>
              <w:t>maintain</w:t>
            </w:r>
            <w:r>
              <w:rPr>
                <w:rFonts w:ascii="Arial" w:hAnsi="Arial" w:cs="Arial"/>
                <w:sz w:val="16"/>
                <w:szCs w:val="16"/>
              </w:rPr>
              <w:t>)</w:t>
            </w:r>
          </w:p>
          <w:p w14:paraId="495B33E7" w14:textId="5E2A4D29" w:rsidR="00954EE5" w:rsidRDefault="00954EE5" w:rsidP="00954EE5">
            <w:pPr>
              <w:pStyle w:val="ListParagraph"/>
              <w:numPr>
                <w:ilvl w:val="0"/>
                <w:numId w:val="76"/>
              </w:numPr>
              <w:contextualSpacing w:val="0"/>
              <w:rPr>
                <w:rFonts w:ascii="Arial" w:hAnsi="Arial" w:cs="Arial"/>
                <w:sz w:val="16"/>
                <w:szCs w:val="16"/>
              </w:rPr>
            </w:pPr>
            <w:r>
              <w:rPr>
                <w:rFonts w:ascii="Arial" w:hAnsi="Arial" w:cs="Arial"/>
                <w:sz w:val="16"/>
                <w:szCs w:val="16"/>
              </w:rPr>
              <w:t>Arab (</w:t>
            </w:r>
            <w:r w:rsidR="00081691">
              <w:rPr>
                <w:rFonts w:ascii="Arial" w:hAnsi="Arial" w:cs="Arial"/>
                <w:sz w:val="16"/>
                <w:szCs w:val="16"/>
              </w:rPr>
              <w:t>maintain</w:t>
            </w:r>
            <w:r>
              <w:rPr>
                <w:rFonts w:ascii="Arial" w:hAnsi="Arial" w:cs="Arial"/>
                <w:sz w:val="16"/>
                <w:szCs w:val="16"/>
              </w:rPr>
              <w:t>)</w:t>
            </w:r>
          </w:p>
          <w:p w14:paraId="0DBF335F" w14:textId="7EE81A53" w:rsidR="00954EE5" w:rsidRDefault="00954EE5" w:rsidP="008D4CE9">
            <w:pPr>
              <w:pStyle w:val="ListParagraph"/>
              <w:numPr>
                <w:ilvl w:val="0"/>
                <w:numId w:val="76"/>
              </w:numPr>
              <w:contextualSpacing w:val="0"/>
              <w:rPr>
                <w:rFonts w:ascii="Arial" w:hAnsi="Arial" w:cs="Arial"/>
                <w:sz w:val="16"/>
                <w:szCs w:val="16"/>
              </w:rPr>
            </w:pPr>
            <w:r>
              <w:rPr>
                <w:rFonts w:ascii="Arial" w:hAnsi="Arial" w:cs="Arial"/>
                <w:sz w:val="16"/>
                <w:szCs w:val="16"/>
              </w:rPr>
              <w:t>Asia and the Pacific (</w:t>
            </w:r>
            <w:r w:rsidR="00081691">
              <w:rPr>
                <w:rFonts w:ascii="Arial" w:hAnsi="Arial" w:cs="Arial"/>
                <w:sz w:val="16"/>
                <w:szCs w:val="16"/>
              </w:rPr>
              <w:t>5% annual</w:t>
            </w:r>
            <w:r>
              <w:rPr>
                <w:rFonts w:ascii="Arial" w:hAnsi="Arial" w:cs="Arial"/>
                <w:sz w:val="16"/>
                <w:szCs w:val="16"/>
              </w:rPr>
              <w:t>)</w:t>
            </w:r>
          </w:p>
          <w:p w14:paraId="45D5AF71" w14:textId="5076CA83" w:rsidR="00D852D8" w:rsidRDefault="00954EE5" w:rsidP="008D4CE9">
            <w:pPr>
              <w:pStyle w:val="ListParagraph"/>
              <w:numPr>
                <w:ilvl w:val="0"/>
                <w:numId w:val="76"/>
              </w:numPr>
              <w:contextualSpacing w:val="0"/>
              <w:rPr>
                <w:rFonts w:ascii="Arial" w:hAnsi="Arial" w:cs="Arial"/>
                <w:sz w:val="16"/>
                <w:szCs w:val="16"/>
              </w:rPr>
            </w:pPr>
            <w:r w:rsidRPr="008D4CE9">
              <w:rPr>
                <w:rFonts w:ascii="Arial" w:hAnsi="Arial" w:cs="Arial"/>
                <w:sz w:val="16"/>
                <w:szCs w:val="16"/>
              </w:rPr>
              <w:t>Latin America and the Caribbean (</w:t>
            </w:r>
            <w:r w:rsidR="00081691">
              <w:rPr>
                <w:rFonts w:ascii="Arial" w:hAnsi="Arial" w:cs="Arial"/>
                <w:sz w:val="16"/>
                <w:szCs w:val="16"/>
              </w:rPr>
              <w:t>10% annual</w:t>
            </w:r>
            <w:r w:rsidRPr="008D4CE9">
              <w:rPr>
                <w:rFonts w:ascii="Arial" w:hAnsi="Arial" w:cs="Arial"/>
                <w:sz w:val="16"/>
                <w:szCs w:val="16"/>
              </w:rPr>
              <w:t>)</w:t>
            </w:r>
          </w:p>
          <w:p w14:paraId="7843EC69" w14:textId="77777777" w:rsidR="00081691" w:rsidRPr="008D4CE9" w:rsidRDefault="00081691" w:rsidP="008D4CE9">
            <w:pPr>
              <w:pStyle w:val="ListParagraph"/>
              <w:ind w:left="360"/>
              <w:contextualSpacing w:val="0"/>
              <w:rPr>
                <w:rFonts w:ascii="Arial" w:hAnsi="Arial" w:cs="Arial"/>
                <w:sz w:val="16"/>
                <w:szCs w:val="16"/>
              </w:rPr>
            </w:pPr>
          </w:p>
          <w:p w14:paraId="366633E1" w14:textId="752602B3" w:rsidR="003C2E0B" w:rsidRPr="009B4A78" w:rsidRDefault="003C2E0B" w:rsidP="005F1F8F">
            <w:pPr>
              <w:spacing w:after="240"/>
              <w:rPr>
                <w:rFonts w:ascii="Arial" w:hAnsi="Arial" w:cs="Arial"/>
                <w:sz w:val="16"/>
                <w:szCs w:val="16"/>
              </w:rPr>
            </w:pPr>
            <w:r>
              <w:rPr>
                <w:rFonts w:ascii="Arial" w:eastAsia="Times New Roman" w:hAnsi="Arial" w:cs="Arial"/>
                <w:color w:val="000000"/>
                <w:sz w:val="16"/>
                <w:szCs w:val="16"/>
              </w:rPr>
              <w:t>90 (out of 950)</w:t>
            </w:r>
            <w:r w:rsidR="00B7224E">
              <w:rPr>
                <w:rFonts w:ascii="Arial" w:eastAsia="Times New Roman" w:hAnsi="Arial" w:cs="Arial"/>
                <w:color w:val="000000"/>
                <w:sz w:val="16"/>
                <w:szCs w:val="16"/>
              </w:rPr>
              <w:t xml:space="preserve"> (biennial)</w:t>
            </w:r>
            <w:r w:rsidRPr="0036187D">
              <w:rPr>
                <w:rFonts w:ascii="Arial" w:hAnsi="Arial" w:cs="Arial"/>
                <w:color w:val="000000"/>
                <w:sz w:val="16"/>
                <w:szCs w:val="16"/>
              </w:rPr>
              <w:br/>
            </w:r>
          </w:p>
        </w:tc>
      </w:tr>
      <w:tr w:rsidR="00B65F7B" w:rsidRPr="009B4A78" w14:paraId="55A377EF" w14:textId="77777777" w:rsidTr="00D655F5">
        <w:trPr>
          <w:trHeight w:val="1475"/>
        </w:trPr>
        <w:tc>
          <w:tcPr>
            <w:tcW w:w="2280" w:type="dxa"/>
            <w:tcBorders>
              <w:top w:val="nil"/>
              <w:left w:val="single" w:sz="4" w:space="0" w:color="auto"/>
              <w:bottom w:val="single" w:sz="4" w:space="0" w:color="auto"/>
              <w:right w:val="nil"/>
            </w:tcBorders>
            <w:shd w:val="clear" w:color="000000" w:fill="FFFFFF"/>
            <w:tcMar>
              <w:top w:w="85" w:type="dxa"/>
            </w:tcMar>
            <w:hideMark/>
          </w:tcPr>
          <w:p w14:paraId="6AD48003" w14:textId="384E7A05"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III.1 National innovation and IP strategies and plans consistent with national development objectives</w:t>
            </w:r>
          </w:p>
        </w:tc>
        <w:tc>
          <w:tcPr>
            <w:tcW w:w="2180" w:type="dxa"/>
            <w:tcBorders>
              <w:top w:val="nil"/>
              <w:left w:val="nil"/>
              <w:bottom w:val="single" w:sz="4" w:space="0" w:color="auto"/>
              <w:right w:val="nil"/>
            </w:tcBorders>
            <w:shd w:val="clear" w:color="000000" w:fill="FFFFFF"/>
            <w:tcMar>
              <w:top w:w="85" w:type="dxa"/>
            </w:tcMar>
            <w:hideMark/>
          </w:tcPr>
          <w:p w14:paraId="753FE30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are in the process of formulating national IP strategies</w:t>
            </w:r>
          </w:p>
        </w:tc>
        <w:tc>
          <w:tcPr>
            <w:tcW w:w="2760" w:type="dxa"/>
            <w:tcBorders>
              <w:top w:val="nil"/>
              <w:left w:val="nil"/>
              <w:bottom w:val="single" w:sz="4" w:space="0" w:color="auto"/>
              <w:right w:val="nil"/>
            </w:tcBorders>
            <w:shd w:val="clear" w:color="000000" w:fill="FFFFFF"/>
            <w:tcMar>
              <w:top w:w="85" w:type="dxa"/>
            </w:tcMar>
            <w:hideMark/>
          </w:tcPr>
          <w:p w14:paraId="2EF591FC" w14:textId="21A2AE9A" w:rsidR="00B65F7B" w:rsidRPr="009B4A78" w:rsidRDefault="00B65F7B" w:rsidP="005F1F8F">
            <w:pPr>
              <w:spacing w:after="240"/>
              <w:rPr>
                <w:rFonts w:ascii="Arial" w:hAnsi="Arial" w:cs="Arial"/>
                <w:sz w:val="16"/>
                <w:szCs w:val="16"/>
              </w:rPr>
            </w:pPr>
            <w:r w:rsidRPr="009B4A78">
              <w:rPr>
                <w:rFonts w:ascii="Arial" w:hAnsi="Arial" w:cs="Arial"/>
                <w:sz w:val="16"/>
                <w:szCs w:val="16"/>
              </w:rPr>
              <w:t>Africa (</w:t>
            </w:r>
            <w:r w:rsidR="005F1F8F">
              <w:rPr>
                <w:rFonts w:ascii="Arial" w:hAnsi="Arial" w:cs="Arial"/>
                <w:sz w:val="16"/>
                <w:szCs w:val="16"/>
              </w:rPr>
              <w:t>24 cumulative</w:t>
            </w:r>
            <w:r w:rsidRPr="009B4A78">
              <w:rPr>
                <w:rFonts w:ascii="Arial" w:hAnsi="Arial" w:cs="Arial"/>
                <w:sz w:val="16"/>
                <w:szCs w:val="16"/>
              </w:rPr>
              <w:t>)</w:t>
            </w:r>
            <w:r w:rsidRPr="009B4A78">
              <w:rPr>
                <w:rFonts w:ascii="Arial" w:hAnsi="Arial" w:cs="Arial"/>
                <w:sz w:val="16"/>
                <w:szCs w:val="16"/>
              </w:rPr>
              <w:br/>
              <w:t>Arab (4 in 2014)</w:t>
            </w:r>
            <w:r w:rsidRPr="009B4A78">
              <w:rPr>
                <w:rFonts w:ascii="Arial" w:hAnsi="Arial" w:cs="Arial"/>
                <w:sz w:val="16"/>
                <w:szCs w:val="16"/>
              </w:rPr>
              <w:br/>
              <w:t>Asia and Pacific (</w:t>
            </w:r>
            <w:r w:rsidR="005F1F8F">
              <w:rPr>
                <w:rFonts w:ascii="Arial" w:hAnsi="Arial" w:cs="Arial"/>
                <w:sz w:val="16"/>
                <w:szCs w:val="16"/>
              </w:rPr>
              <w:t>14 cumulative</w:t>
            </w:r>
            <w:r w:rsidRPr="009B4A78">
              <w:rPr>
                <w:rFonts w:ascii="Arial" w:hAnsi="Arial" w:cs="Arial"/>
                <w:sz w:val="16"/>
                <w:szCs w:val="16"/>
              </w:rPr>
              <w:t>)</w:t>
            </w:r>
            <w:r w:rsidRPr="009B4A78">
              <w:rPr>
                <w:rFonts w:ascii="Arial" w:hAnsi="Arial" w:cs="Arial"/>
                <w:sz w:val="16"/>
                <w:szCs w:val="16"/>
              </w:rPr>
              <w:br/>
              <w:t>Latin America &amp; the Caribbean (12 cumulative)</w:t>
            </w:r>
          </w:p>
        </w:tc>
        <w:tc>
          <w:tcPr>
            <w:tcW w:w="2151" w:type="dxa"/>
            <w:tcBorders>
              <w:top w:val="nil"/>
              <w:left w:val="nil"/>
              <w:bottom w:val="single" w:sz="4" w:space="0" w:color="auto"/>
              <w:right w:val="single" w:sz="4" w:space="0" w:color="auto"/>
            </w:tcBorders>
            <w:shd w:val="clear" w:color="000000" w:fill="FFFFFF"/>
            <w:tcMar>
              <w:top w:w="85" w:type="dxa"/>
            </w:tcMar>
            <w:hideMark/>
          </w:tcPr>
          <w:p w14:paraId="1DEE2F90" w14:textId="343A3B6D" w:rsidR="00B65F7B" w:rsidRPr="009B4A78" w:rsidRDefault="00B65F7B" w:rsidP="005F1F8F">
            <w:pPr>
              <w:spacing w:after="240"/>
              <w:rPr>
                <w:rFonts w:ascii="Arial" w:hAnsi="Arial" w:cs="Arial"/>
                <w:sz w:val="16"/>
                <w:szCs w:val="16"/>
              </w:rPr>
            </w:pPr>
            <w:r w:rsidRPr="009B4A78">
              <w:rPr>
                <w:rFonts w:ascii="Arial" w:hAnsi="Arial" w:cs="Arial"/>
                <w:sz w:val="16"/>
                <w:szCs w:val="16"/>
              </w:rPr>
              <w:t>Africa (</w:t>
            </w:r>
            <w:r w:rsidR="005F1F8F">
              <w:rPr>
                <w:rFonts w:ascii="Arial" w:hAnsi="Arial" w:cs="Arial"/>
                <w:sz w:val="16"/>
                <w:szCs w:val="16"/>
              </w:rPr>
              <w:t>additional 3</w:t>
            </w:r>
            <w:r w:rsidRPr="009B4A78">
              <w:rPr>
                <w:rFonts w:ascii="Arial" w:hAnsi="Arial" w:cs="Arial"/>
                <w:sz w:val="16"/>
                <w:szCs w:val="16"/>
              </w:rPr>
              <w:t>)</w:t>
            </w:r>
            <w:r w:rsidRPr="009B4A78">
              <w:rPr>
                <w:rFonts w:ascii="Arial" w:hAnsi="Arial" w:cs="Arial"/>
                <w:sz w:val="16"/>
                <w:szCs w:val="16"/>
              </w:rPr>
              <w:br/>
              <w:t>Arab (</w:t>
            </w:r>
            <w:r w:rsidR="005F1F8F">
              <w:rPr>
                <w:rFonts w:ascii="Arial" w:hAnsi="Arial" w:cs="Arial"/>
                <w:sz w:val="16"/>
                <w:szCs w:val="16"/>
              </w:rPr>
              <w:t>additional 4</w:t>
            </w:r>
            <w:r w:rsidRPr="009B4A78">
              <w:rPr>
                <w:rFonts w:ascii="Arial" w:hAnsi="Arial" w:cs="Arial"/>
                <w:sz w:val="16"/>
                <w:szCs w:val="16"/>
              </w:rPr>
              <w:t>)</w:t>
            </w:r>
            <w:r w:rsidRPr="009B4A78">
              <w:rPr>
                <w:rFonts w:ascii="Arial" w:hAnsi="Arial" w:cs="Arial"/>
                <w:sz w:val="16"/>
                <w:szCs w:val="16"/>
              </w:rPr>
              <w:br/>
              <w:t>Asia and Pacific (additional 4)</w:t>
            </w:r>
            <w:r w:rsidRPr="009B4A78">
              <w:rPr>
                <w:rFonts w:ascii="Arial" w:hAnsi="Arial" w:cs="Arial"/>
                <w:sz w:val="16"/>
                <w:szCs w:val="16"/>
              </w:rPr>
              <w:br/>
              <w:t>Latin America &amp; the Caribbean (</w:t>
            </w:r>
            <w:r w:rsidR="005F1F8F">
              <w:rPr>
                <w:rFonts w:ascii="Arial" w:hAnsi="Arial" w:cs="Arial"/>
                <w:sz w:val="16"/>
                <w:szCs w:val="16"/>
              </w:rPr>
              <w:t>additional 5</w:t>
            </w:r>
            <w:r w:rsidRPr="009B4A78">
              <w:rPr>
                <w:rFonts w:ascii="Arial" w:hAnsi="Arial" w:cs="Arial"/>
                <w:sz w:val="16"/>
                <w:szCs w:val="16"/>
              </w:rPr>
              <w:t>)</w:t>
            </w:r>
          </w:p>
        </w:tc>
      </w:tr>
      <w:tr w:rsidR="00B65F7B" w:rsidRPr="009B4A78" w14:paraId="1EF5E491" w14:textId="77777777" w:rsidTr="00D655F5">
        <w:trPr>
          <w:trHeight w:val="1265"/>
        </w:trPr>
        <w:tc>
          <w:tcPr>
            <w:tcW w:w="2280" w:type="dxa"/>
            <w:tcBorders>
              <w:top w:val="single" w:sz="4" w:space="0" w:color="auto"/>
              <w:left w:val="single" w:sz="4" w:space="0" w:color="auto"/>
              <w:right w:val="nil"/>
            </w:tcBorders>
            <w:shd w:val="clear" w:color="000000" w:fill="FFFFFF"/>
            <w:tcMar>
              <w:top w:w="85" w:type="dxa"/>
            </w:tcMar>
            <w:hideMark/>
          </w:tcPr>
          <w:p w14:paraId="7B3CF6B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lastRenderedPageBreak/>
              <w:t> </w:t>
            </w:r>
          </w:p>
        </w:tc>
        <w:tc>
          <w:tcPr>
            <w:tcW w:w="2180" w:type="dxa"/>
            <w:tcBorders>
              <w:top w:val="single" w:sz="4" w:space="0" w:color="auto"/>
              <w:left w:val="nil"/>
              <w:right w:val="nil"/>
            </w:tcBorders>
            <w:shd w:val="clear" w:color="000000" w:fill="FFFFFF"/>
            <w:tcMar>
              <w:top w:w="85" w:type="dxa"/>
            </w:tcMar>
            <w:hideMark/>
          </w:tcPr>
          <w:p w14:paraId="6CD2DEF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have adopted national innovation and IP strategies</w:t>
            </w:r>
          </w:p>
        </w:tc>
        <w:tc>
          <w:tcPr>
            <w:tcW w:w="2760" w:type="dxa"/>
            <w:tcBorders>
              <w:top w:val="single" w:sz="4" w:space="0" w:color="auto"/>
              <w:left w:val="nil"/>
              <w:right w:val="nil"/>
            </w:tcBorders>
            <w:shd w:val="clear" w:color="000000" w:fill="FFFFFF"/>
            <w:tcMar>
              <w:top w:w="85" w:type="dxa"/>
            </w:tcMar>
            <w:hideMark/>
          </w:tcPr>
          <w:p w14:paraId="70BFB06B" w14:textId="0860265B" w:rsidR="00B65F7B" w:rsidRPr="009B4A78" w:rsidRDefault="00B65F7B" w:rsidP="009023D4">
            <w:pPr>
              <w:spacing w:after="240"/>
              <w:rPr>
                <w:rFonts w:ascii="Arial" w:hAnsi="Arial" w:cs="Arial"/>
                <w:sz w:val="16"/>
                <w:szCs w:val="16"/>
              </w:rPr>
            </w:pPr>
            <w:r w:rsidRPr="009B4A78">
              <w:rPr>
                <w:rFonts w:ascii="Arial" w:hAnsi="Arial" w:cs="Arial"/>
                <w:sz w:val="16"/>
                <w:szCs w:val="16"/>
              </w:rPr>
              <w:t>Africa (</w:t>
            </w:r>
            <w:r w:rsidR="00A42BA1">
              <w:rPr>
                <w:rFonts w:ascii="Arial" w:hAnsi="Arial" w:cs="Arial"/>
                <w:sz w:val="16"/>
                <w:szCs w:val="16"/>
              </w:rPr>
              <w:t>21 cumulative</w:t>
            </w:r>
            <w:r w:rsidRPr="009B4A78">
              <w:rPr>
                <w:rFonts w:ascii="Arial" w:hAnsi="Arial" w:cs="Arial"/>
                <w:sz w:val="16"/>
                <w:szCs w:val="16"/>
              </w:rPr>
              <w:t>)</w:t>
            </w:r>
            <w:r w:rsidRPr="009B4A78">
              <w:rPr>
                <w:rFonts w:ascii="Arial" w:hAnsi="Arial" w:cs="Arial"/>
                <w:sz w:val="16"/>
                <w:szCs w:val="16"/>
              </w:rPr>
              <w:br/>
              <w:t>Arab (</w:t>
            </w:r>
            <w:r w:rsidR="00A42BA1">
              <w:rPr>
                <w:rFonts w:ascii="Arial" w:hAnsi="Arial" w:cs="Arial"/>
                <w:sz w:val="16"/>
                <w:szCs w:val="16"/>
              </w:rPr>
              <w:t>2 cumulative</w:t>
            </w:r>
            <w:r w:rsidRPr="009B4A78">
              <w:rPr>
                <w:rFonts w:ascii="Arial" w:hAnsi="Arial" w:cs="Arial"/>
                <w:sz w:val="16"/>
                <w:szCs w:val="16"/>
              </w:rPr>
              <w:t>)</w:t>
            </w:r>
            <w:r w:rsidRPr="009B4A78">
              <w:rPr>
                <w:rFonts w:ascii="Arial" w:hAnsi="Arial" w:cs="Arial"/>
                <w:sz w:val="16"/>
                <w:szCs w:val="16"/>
              </w:rPr>
              <w:br/>
              <w:t>Asia and Pacific (</w:t>
            </w:r>
            <w:r w:rsidR="009023D4">
              <w:rPr>
                <w:rFonts w:ascii="Arial" w:hAnsi="Arial" w:cs="Arial"/>
                <w:sz w:val="16"/>
                <w:szCs w:val="16"/>
              </w:rPr>
              <w:t>8 cumulative</w:t>
            </w:r>
            <w:r w:rsidRPr="009B4A78">
              <w:rPr>
                <w:rFonts w:ascii="Arial" w:hAnsi="Arial" w:cs="Arial"/>
                <w:sz w:val="16"/>
                <w:szCs w:val="16"/>
              </w:rPr>
              <w:t>)</w:t>
            </w:r>
            <w:r w:rsidRPr="009B4A78">
              <w:rPr>
                <w:rFonts w:ascii="Arial" w:hAnsi="Arial" w:cs="Arial"/>
                <w:sz w:val="16"/>
                <w:szCs w:val="16"/>
              </w:rPr>
              <w:br/>
              <w:t>Latin America &amp; the Caribbean (6</w:t>
            </w:r>
            <w:r w:rsidR="009023D4">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r>
            <w:r w:rsidRPr="009B4A78">
              <w:rPr>
                <w:rFonts w:ascii="Arial" w:hAnsi="Arial" w:cs="Arial"/>
                <w:sz w:val="16"/>
                <w:szCs w:val="16"/>
              </w:rPr>
              <w:br/>
            </w:r>
          </w:p>
        </w:tc>
        <w:tc>
          <w:tcPr>
            <w:tcW w:w="2151" w:type="dxa"/>
            <w:tcBorders>
              <w:top w:val="single" w:sz="4" w:space="0" w:color="auto"/>
              <w:left w:val="nil"/>
              <w:right w:val="single" w:sz="4" w:space="0" w:color="auto"/>
            </w:tcBorders>
            <w:shd w:val="clear" w:color="000000" w:fill="FFFFFF"/>
            <w:tcMar>
              <w:top w:w="85" w:type="dxa"/>
            </w:tcMar>
            <w:hideMark/>
          </w:tcPr>
          <w:p w14:paraId="04DFF63B" w14:textId="6E45661F" w:rsidR="00B65F7B" w:rsidRPr="009B4A78" w:rsidRDefault="00B65F7B" w:rsidP="000B1931">
            <w:pPr>
              <w:spacing w:after="240"/>
              <w:rPr>
                <w:rFonts w:ascii="Arial" w:hAnsi="Arial" w:cs="Arial"/>
                <w:sz w:val="16"/>
                <w:szCs w:val="16"/>
              </w:rPr>
            </w:pPr>
            <w:r w:rsidRPr="009B4A78">
              <w:rPr>
                <w:rFonts w:ascii="Arial" w:hAnsi="Arial" w:cs="Arial"/>
                <w:sz w:val="16"/>
                <w:szCs w:val="16"/>
              </w:rPr>
              <w:t>Africa (</w:t>
            </w:r>
            <w:r w:rsidR="00A42BA1">
              <w:rPr>
                <w:rFonts w:ascii="Arial" w:hAnsi="Arial" w:cs="Arial"/>
                <w:sz w:val="16"/>
                <w:szCs w:val="16"/>
              </w:rPr>
              <w:t xml:space="preserve">additional </w:t>
            </w:r>
            <w:r w:rsidR="000B1931">
              <w:rPr>
                <w:rFonts w:ascii="Arial" w:hAnsi="Arial" w:cs="Arial"/>
                <w:sz w:val="16"/>
                <w:szCs w:val="16"/>
              </w:rPr>
              <w:t>8</w:t>
            </w:r>
            <w:r w:rsidRPr="009B4A78">
              <w:rPr>
                <w:rFonts w:ascii="Arial" w:hAnsi="Arial" w:cs="Arial"/>
                <w:sz w:val="16"/>
                <w:szCs w:val="16"/>
              </w:rPr>
              <w:t>)</w:t>
            </w:r>
            <w:r w:rsidRPr="009B4A78">
              <w:rPr>
                <w:rFonts w:ascii="Arial" w:hAnsi="Arial" w:cs="Arial"/>
                <w:sz w:val="16"/>
                <w:szCs w:val="16"/>
              </w:rPr>
              <w:br/>
              <w:t>Arab (additional</w:t>
            </w:r>
            <w:r w:rsidR="00A42BA1">
              <w:rPr>
                <w:rFonts w:ascii="Arial" w:hAnsi="Arial" w:cs="Arial"/>
                <w:sz w:val="16"/>
                <w:szCs w:val="16"/>
              </w:rPr>
              <w:t xml:space="preserve"> 2</w:t>
            </w:r>
            <w:r w:rsidRPr="009B4A78">
              <w:rPr>
                <w:rFonts w:ascii="Arial" w:hAnsi="Arial" w:cs="Arial"/>
                <w:sz w:val="16"/>
                <w:szCs w:val="16"/>
              </w:rPr>
              <w:t>)</w:t>
            </w:r>
            <w:r w:rsidRPr="009B4A78">
              <w:rPr>
                <w:rFonts w:ascii="Arial" w:hAnsi="Arial" w:cs="Arial"/>
                <w:sz w:val="16"/>
                <w:szCs w:val="16"/>
              </w:rPr>
              <w:br/>
              <w:t>Asia and Pacific (additional 7)</w:t>
            </w:r>
            <w:r w:rsidRPr="009B4A78">
              <w:rPr>
                <w:rFonts w:ascii="Arial" w:hAnsi="Arial" w:cs="Arial"/>
                <w:sz w:val="16"/>
                <w:szCs w:val="16"/>
              </w:rPr>
              <w:br/>
              <w:t>Latin America &amp; the Caribbean (</w:t>
            </w:r>
            <w:r w:rsidR="009023D4">
              <w:rPr>
                <w:rFonts w:ascii="Arial" w:hAnsi="Arial" w:cs="Arial"/>
                <w:sz w:val="16"/>
                <w:szCs w:val="16"/>
              </w:rPr>
              <w:t>additional 2</w:t>
            </w:r>
            <w:r w:rsidRPr="009B4A78">
              <w:rPr>
                <w:rFonts w:ascii="Arial" w:hAnsi="Arial" w:cs="Arial"/>
                <w:sz w:val="16"/>
                <w:szCs w:val="16"/>
              </w:rPr>
              <w:t>)</w:t>
            </w:r>
          </w:p>
        </w:tc>
      </w:tr>
      <w:tr w:rsidR="00B65F7B" w:rsidRPr="009B4A78" w14:paraId="2E428824" w14:textId="77777777" w:rsidTr="00C90AAF">
        <w:trPr>
          <w:trHeight w:val="1187"/>
        </w:trPr>
        <w:tc>
          <w:tcPr>
            <w:tcW w:w="2280" w:type="dxa"/>
            <w:tcBorders>
              <w:left w:val="single" w:sz="4" w:space="0" w:color="auto"/>
              <w:bottom w:val="nil"/>
              <w:right w:val="nil"/>
            </w:tcBorders>
            <w:shd w:val="clear" w:color="000000" w:fill="FFFFFF"/>
            <w:tcMar>
              <w:top w:w="85" w:type="dxa"/>
            </w:tcMar>
            <w:hideMark/>
          </w:tcPr>
          <w:p w14:paraId="5A4E4BD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left w:val="nil"/>
              <w:bottom w:val="nil"/>
              <w:right w:val="nil"/>
            </w:tcBorders>
            <w:shd w:val="clear" w:color="000000" w:fill="FFFFFF"/>
            <w:tcMar>
              <w:top w:w="85" w:type="dxa"/>
            </w:tcMar>
            <w:hideMark/>
          </w:tcPr>
          <w:p w14:paraId="08BF732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are in the process of implementing national innovation and IP strategies and IP development plans</w:t>
            </w:r>
          </w:p>
        </w:tc>
        <w:tc>
          <w:tcPr>
            <w:tcW w:w="2760" w:type="dxa"/>
            <w:tcBorders>
              <w:left w:val="nil"/>
              <w:bottom w:val="nil"/>
              <w:right w:val="nil"/>
            </w:tcBorders>
            <w:shd w:val="clear" w:color="000000" w:fill="FFFFFF"/>
            <w:tcMar>
              <w:top w:w="85" w:type="dxa"/>
            </w:tcMar>
            <w:hideMark/>
          </w:tcPr>
          <w:p w14:paraId="33B1A464" w14:textId="776BA2C1" w:rsidR="00B65F7B" w:rsidRPr="009B4A78" w:rsidRDefault="00B65F7B" w:rsidP="00EC3E4D">
            <w:pPr>
              <w:spacing w:after="240"/>
              <w:rPr>
                <w:rFonts w:ascii="Arial" w:hAnsi="Arial" w:cs="Arial"/>
                <w:sz w:val="16"/>
                <w:szCs w:val="16"/>
              </w:rPr>
            </w:pPr>
            <w:r w:rsidRPr="009B4A78">
              <w:rPr>
                <w:rFonts w:ascii="Arial" w:hAnsi="Arial" w:cs="Arial"/>
                <w:sz w:val="16"/>
                <w:szCs w:val="16"/>
              </w:rPr>
              <w:t>Africa (</w:t>
            </w:r>
            <w:r w:rsidR="00EC3E4D">
              <w:rPr>
                <w:rFonts w:ascii="Arial" w:hAnsi="Arial" w:cs="Arial"/>
                <w:sz w:val="16"/>
                <w:szCs w:val="16"/>
              </w:rPr>
              <w:t>21 cumulative</w:t>
            </w:r>
            <w:r w:rsidRPr="009B4A78">
              <w:rPr>
                <w:rFonts w:ascii="Arial" w:hAnsi="Arial" w:cs="Arial"/>
                <w:sz w:val="16"/>
                <w:szCs w:val="16"/>
              </w:rPr>
              <w:t>)</w:t>
            </w:r>
            <w:r w:rsidRPr="009B4A78">
              <w:rPr>
                <w:rFonts w:ascii="Arial" w:hAnsi="Arial" w:cs="Arial"/>
                <w:sz w:val="16"/>
                <w:szCs w:val="16"/>
              </w:rPr>
              <w:br/>
              <w:t>Arab (2</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t>Asia and Pacific (4</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t>Latin America &amp; the Caribbean (6</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r>
          </w:p>
        </w:tc>
        <w:tc>
          <w:tcPr>
            <w:tcW w:w="2151" w:type="dxa"/>
            <w:tcBorders>
              <w:left w:val="nil"/>
              <w:bottom w:val="nil"/>
              <w:right w:val="single" w:sz="4" w:space="0" w:color="auto"/>
            </w:tcBorders>
            <w:shd w:val="clear" w:color="000000" w:fill="FFFFFF"/>
            <w:tcMar>
              <w:top w:w="85" w:type="dxa"/>
            </w:tcMar>
            <w:hideMark/>
          </w:tcPr>
          <w:p w14:paraId="40FC6885" w14:textId="6F1AB7A7" w:rsidR="00B65F7B" w:rsidRPr="009B4A78" w:rsidRDefault="00B65F7B" w:rsidP="000B1931">
            <w:pPr>
              <w:spacing w:after="240"/>
              <w:rPr>
                <w:rFonts w:ascii="Arial" w:hAnsi="Arial" w:cs="Arial"/>
                <w:sz w:val="16"/>
                <w:szCs w:val="16"/>
              </w:rPr>
            </w:pPr>
            <w:r w:rsidRPr="009B4A78">
              <w:rPr>
                <w:rFonts w:ascii="Arial" w:hAnsi="Arial" w:cs="Arial"/>
                <w:sz w:val="16"/>
                <w:szCs w:val="16"/>
              </w:rPr>
              <w:t>Africa (</w:t>
            </w:r>
            <w:r w:rsidR="00EC3E4D">
              <w:rPr>
                <w:rFonts w:ascii="Arial" w:hAnsi="Arial" w:cs="Arial"/>
                <w:sz w:val="16"/>
                <w:szCs w:val="16"/>
              </w:rPr>
              <w:t xml:space="preserve">additional </w:t>
            </w:r>
            <w:r w:rsidR="000B1931">
              <w:rPr>
                <w:rFonts w:ascii="Arial" w:hAnsi="Arial" w:cs="Arial"/>
                <w:sz w:val="16"/>
                <w:szCs w:val="16"/>
              </w:rPr>
              <w:t>8</w:t>
            </w:r>
            <w:r w:rsidRPr="009B4A78">
              <w:rPr>
                <w:rFonts w:ascii="Arial" w:hAnsi="Arial" w:cs="Arial"/>
                <w:sz w:val="16"/>
                <w:szCs w:val="16"/>
              </w:rPr>
              <w:t>)</w:t>
            </w:r>
            <w:r w:rsidRPr="009B4A78">
              <w:rPr>
                <w:rFonts w:ascii="Arial" w:hAnsi="Arial" w:cs="Arial"/>
                <w:sz w:val="16"/>
                <w:szCs w:val="16"/>
              </w:rPr>
              <w:br/>
              <w:t>Arab (</w:t>
            </w:r>
            <w:r w:rsidR="00EC3E4D">
              <w:rPr>
                <w:rFonts w:ascii="Arial" w:hAnsi="Arial" w:cs="Arial"/>
                <w:sz w:val="16"/>
                <w:szCs w:val="16"/>
              </w:rPr>
              <w:t>additional 2</w:t>
            </w:r>
            <w:r w:rsidRPr="009B4A78">
              <w:rPr>
                <w:rFonts w:ascii="Arial" w:hAnsi="Arial" w:cs="Arial"/>
                <w:sz w:val="16"/>
                <w:szCs w:val="16"/>
              </w:rPr>
              <w:t>)</w:t>
            </w:r>
            <w:r w:rsidRPr="009B4A78">
              <w:rPr>
                <w:rFonts w:ascii="Arial" w:hAnsi="Arial" w:cs="Arial"/>
                <w:sz w:val="16"/>
                <w:szCs w:val="16"/>
              </w:rPr>
              <w:br/>
              <w:t>Asia and Pacific (additional 7)</w:t>
            </w:r>
            <w:r w:rsidRPr="009B4A78">
              <w:rPr>
                <w:rFonts w:ascii="Arial" w:hAnsi="Arial" w:cs="Arial"/>
                <w:sz w:val="16"/>
                <w:szCs w:val="16"/>
              </w:rPr>
              <w:br/>
              <w:t>Latin America &amp; the Caribbean (</w:t>
            </w:r>
            <w:r w:rsidR="00EC3E4D">
              <w:rPr>
                <w:rFonts w:ascii="Arial" w:hAnsi="Arial" w:cs="Arial"/>
                <w:sz w:val="16"/>
                <w:szCs w:val="16"/>
              </w:rPr>
              <w:t>additional 6</w:t>
            </w:r>
            <w:r w:rsidRPr="009B4A78">
              <w:rPr>
                <w:rFonts w:ascii="Arial" w:hAnsi="Arial" w:cs="Arial"/>
                <w:sz w:val="16"/>
                <w:szCs w:val="16"/>
              </w:rPr>
              <w:t>)</w:t>
            </w:r>
          </w:p>
        </w:tc>
      </w:tr>
      <w:tr w:rsidR="00B65F7B" w:rsidRPr="009B4A78" w14:paraId="734AD30B" w14:textId="77777777" w:rsidTr="00C90AAF">
        <w:trPr>
          <w:trHeight w:val="1355"/>
        </w:trPr>
        <w:tc>
          <w:tcPr>
            <w:tcW w:w="2280" w:type="dxa"/>
            <w:tcBorders>
              <w:top w:val="nil"/>
              <w:left w:val="single" w:sz="4" w:space="0" w:color="auto"/>
              <w:right w:val="nil"/>
            </w:tcBorders>
            <w:shd w:val="clear" w:color="000000" w:fill="FFFFFF"/>
            <w:tcMar>
              <w:top w:w="85" w:type="dxa"/>
            </w:tcMar>
            <w:hideMark/>
          </w:tcPr>
          <w:p w14:paraId="496D8E0A"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180" w:type="dxa"/>
            <w:tcBorders>
              <w:top w:val="nil"/>
              <w:left w:val="nil"/>
              <w:right w:val="nil"/>
            </w:tcBorders>
            <w:shd w:val="clear" w:color="000000" w:fill="FFFFFF"/>
            <w:tcMar>
              <w:top w:w="85" w:type="dxa"/>
            </w:tcMar>
            <w:hideMark/>
          </w:tcPr>
          <w:p w14:paraId="0AEF01F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of participants in WIPO events who express satisfaction with the content and organization of these events</w:t>
            </w:r>
          </w:p>
        </w:tc>
        <w:tc>
          <w:tcPr>
            <w:tcW w:w="2760" w:type="dxa"/>
            <w:tcBorders>
              <w:top w:val="nil"/>
              <w:left w:val="nil"/>
              <w:right w:val="nil"/>
            </w:tcBorders>
            <w:shd w:val="clear" w:color="000000" w:fill="FFFFFF"/>
            <w:tcMar>
              <w:top w:w="85" w:type="dxa"/>
            </w:tcMar>
            <w:hideMark/>
          </w:tcPr>
          <w:p w14:paraId="0E2BC6B0" w14:textId="1909F777" w:rsidR="00B65F7B" w:rsidRPr="009B4A78" w:rsidRDefault="00B65F7B" w:rsidP="006D631E">
            <w:pPr>
              <w:rPr>
                <w:rFonts w:ascii="Arial" w:hAnsi="Arial" w:cs="Arial"/>
                <w:color w:val="000000"/>
                <w:sz w:val="16"/>
                <w:szCs w:val="16"/>
              </w:rPr>
            </w:pPr>
            <w:r w:rsidRPr="009B4A78">
              <w:rPr>
                <w:rFonts w:ascii="Arial" w:hAnsi="Arial" w:cs="Arial"/>
                <w:color w:val="000000"/>
                <w:sz w:val="16"/>
                <w:szCs w:val="16"/>
              </w:rPr>
              <w:t>Africa (70%)</w:t>
            </w:r>
            <w:r w:rsidRPr="009B4A78">
              <w:rPr>
                <w:rFonts w:ascii="Arial" w:hAnsi="Arial" w:cs="Arial"/>
                <w:color w:val="000000"/>
                <w:sz w:val="16"/>
                <w:szCs w:val="16"/>
              </w:rPr>
              <w:br/>
              <w:t>Arab (</w:t>
            </w:r>
            <w:r w:rsidR="006D631E">
              <w:rPr>
                <w:rFonts w:ascii="Arial" w:hAnsi="Arial" w:cs="Arial"/>
                <w:color w:val="000000"/>
                <w:sz w:val="16"/>
                <w:szCs w:val="16"/>
              </w:rPr>
              <w:t>not available in 2014; system to be implemented in 2015</w:t>
            </w:r>
            <w:r w:rsidRPr="009B4A78">
              <w:rPr>
                <w:rFonts w:ascii="Arial" w:hAnsi="Arial" w:cs="Arial"/>
                <w:color w:val="000000"/>
                <w:sz w:val="16"/>
                <w:szCs w:val="16"/>
              </w:rPr>
              <w:t>)</w:t>
            </w:r>
            <w:r w:rsidRPr="009B4A78">
              <w:rPr>
                <w:rFonts w:ascii="Arial" w:hAnsi="Arial" w:cs="Arial"/>
                <w:color w:val="000000"/>
                <w:sz w:val="16"/>
                <w:szCs w:val="16"/>
              </w:rPr>
              <w:br/>
              <w:t>Asia and Pacific (</w:t>
            </w:r>
            <w:r w:rsidR="006D631E">
              <w:rPr>
                <w:rFonts w:ascii="Arial" w:hAnsi="Arial" w:cs="Arial"/>
                <w:color w:val="000000"/>
                <w:sz w:val="16"/>
                <w:szCs w:val="16"/>
              </w:rPr>
              <w:t>92</w:t>
            </w:r>
            <w:r w:rsidRPr="009B4A78">
              <w:rPr>
                <w:rFonts w:ascii="Arial" w:hAnsi="Arial" w:cs="Arial"/>
                <w:color w:val="000000"/>
                <w:sz w:val="16"/>
                <w:szCs w:val="16"/>
              </w:rPr>
              <w:t>%)</w:t>
            </w:r>
            <w:r w:rsidRPr="009B4A78">
              <w:rPr>
                <w:rFonts w:ascii="Arial" w:hAnsi="Arial" w:cs="Arial"/>
                <w:color w:val="000000"/>
                <w:sz w:val="16"/>
                <w:szCs w:val="16"/>
              </w:rPr>
              <w:br/>
              <w:t>Latin America &amp; the Caribbean (</w:t>
            </w:r>
            <w:r w:rsidR="006D631E">
              <w:rPr>
                <w:rFonts w:ascii="Arial" w:hAnsi="Arial" w:cs="Arial"/>
                <w:color w:val="000000"/>
                <w:sz w:val="16"/>
                <w:szCs w:val="16"/>
              </w:rPr>
              <w:t>not available in 2014; system to be implemented in 2015</w:t>
            </w:r>
            <w:r w:rsidRPr="009B4A78">
              <w:rPr>
                <w:rFonts w:ascii="Arial" w:hAnsi="Arial" w:cs="Arial"/>
                <w:color w:val="000000"/>
                <w:sz w:val="16"/>
                <w:szCs w:val="16"/>
              </w:rPr>
              <w:t>)</w:t>
            </w:r>
            <w:r w:rsidRPr="009B4A78">
              <w:rPr>
                <w:rFonts w:ascii="Arial" w:hAnsi="Arial" w:cs="Arial"/>
                <w:color w:val="000000"/>
                <w:sz w:val="16"/>
                <w:szCs w:val="16"/>
              </w:rPr>
              <w:br/>
              <w:t>LDCs (</w:t>
            </w:r>
            <w:r w:rsidR="006D631E">
              <w:rPr>
                <w:rFonts w:ascii="Arial" w:hAnsi="Arial" w:cs="Arial"/>
                <w:color w:val="000000"/>
                <w:sz w:val="16"/>
                <w:szCs w:val="16"/>
              </w:rPr>
              <w:t>90</w:t>
            </w:r>
            <w:r w:rsidRPr="009B4A78">
              <w:rPr>
                <w:rFonts w:ascii="Arial" w:hAnsi="Arial" w:cs="Arial"/>
                <w:color w:val="000000"/>
                <w:sz w:val="16"/>
                <w:szCs w:val="16"/>
              </w:rPr>
              <w:t>%)</w:t>
            </w:r>
          </w:p>
        </w:tc>
        <w:tc>
          <w:tcPr>
            <w:tcW w:w="2151" w:type="dxa"/>
            <w:tcBorders>
              <w:top w:val="nil"/>
              <w:left w:val="nil"/>
              <w:right w:val="single" w:sz="4" w:space="0" w:color="auto"/>
            </w:tcBorders>
            <w:shd w:val="clear" w:color="000000" w:fill="FFFFFF"/>
            <w:tcMar>
              <w:top w:w="85" w:type="dxa"/>
            </w:tcMar>
            <w:hideMark/>
          </w:tcPr>
          <w:p w14:paraId="407212D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Africa (70%)</w:t>
            </w:r>
            <w:r w:rsidRPr="009B4A78">
              <w:rPr>
                <w:rFonts w:ascii="Arial" w:hAnsi="Arial" w:cs="Arial"/>
                <w:color w:val="000000"/>
                <w:sz w:val="16"/>
                <w:szCs w:val="16"/>
              </w:rPr>
              <w:br/>
              <w:t>Arab (70%)</w:t>
            </w:r>
            <w:r w:rsidRPr="009B4A78">
              <w:rPr>
                <w:rFonts w:ascii="Arial" w:hAnsi="Arial" w:cs="Arial"/>
                <w:color w:val="000000"/>
                <w:sz w:val="16"/>
                <w:szCs w:val="16"/>
              </w:rPr>
              <w:br/>
              <w:t>Asia and Pacific (70%)</w:t>
            </w:r>
            <w:r w:rsidRPr="009B4A78">
              <w:rPr>
                <w:rFonts w:ascii="Arial" w:hAnsi="Arial" w:cs="Arial"/>
                <w:color w:val="000000"/>
                <w:sz w:val="16"/>
                <w:szCs w:val="16"/>
              </w:rPr>
              <w:br/>
              <w:t>Latin America &amp; the Caribbean (85%)</w:t>
            </w:r>
            <w:r w:rsidRPr="009B4A78">
              <w:rPr>
                <w:rFonts w:ascii="Arial" w:hAnsi="Arial" w:cs="Arial"/>
                <w:color w:val="000000"/>
                <w:sz w:val="16"/>
                <w:szCs w:val="16"/>
              </w:rPr>
              <w:br/>
              <w:t>LDCs (70%)</w:t>
            </w:r>
          </w:p>
        </w:tc>
      </w:tr>
      <w:tr w:rsidR="00B65F7B" w:rsidRPr="009B4A78" w14:paraId="159CA8E0" w14:textId="77777777" w:rsidTr="00B46E15">
        <w:trPr>
          <w:trHeight w:val="1319"/>
        </w:trPr>
        <w:tc>
          <w:tcPr>
            <w:tcW w:w="2280" w:type="dxa"/>
            <w:tcBorders>
              <w:top w:val="nil"/>
              <w:left w:val="single" w:sz="4" w:space="0" w:color="auto"/>
              <w:right w:val="nil"/>
            </w:tcBorders>
            <w:shd w:val="clear" w:color="000000" w:fill="FFFFFF"/>
            <w:tcMar>
              <w:top w:w="85" w:type="dxa"/>
            </w:tcMar>
            <w:hideMark/>
          </w:tcPr>
          <w:p w14:paraId="188F4BA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4C5511EA"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 of participants in WIPO workshops who apply the skills learned in their work/enterprise</w:t>
            </w:r>
          </w:p>
        </w:tc>
        <w:tc>
          <w:tcPr>
            <w:tcW w:w="2760" w:type="dxa"/>
            <w:tcBorders>
              <w:top w:val="nil"/>
              <w:left w:val="nil"/>
              <w:right w:val="nil"/>
            </w:tcBorders>
            <w:shd w:val="clear" w:color="000000" w:fill="FFFFFF"/>
            <w:tcMar>
              <w:top w:w="85" w:type="dxa"/>
            </w:tcMar>
            <w:hideMark/>
          </w:tcPr>
          <w:p w14:paraId="769D2136" w14:textId="7724BD5D" w:rsidR="00B65F7B" w:rsidRPr="009B4A78" w:rsidRDefault="00B65F7B" w:rsidP="00F33E49">
            <w:pPr>
              <w:rPr>
                <w:rFonts w:ascii="Arial" w:hAnsi="Arial" w:cs="Arial"/>
                <w:color w:val="000000"/>
                <w:sz w:val="16"/>
                <w:szCs w:val="16"/>
              </w:rPr>
            </w:pPr>
            <w:r w:rsidRPr="009B4A78">
              <w:rPr>
                <w:rFonts w:ascii="Arial" w:hAnsi="Arial" w:cs="Arial"/>
                <w:sz w:val="16"/>
                <w:szCs w:val="16"/>
              </w:rPr>
              <w:t>Africa (70%)</w:t>
            </w:r>
            <w:r w:rsidRPr="009B4A78">
              <w:rPr>
                <w:rFonts w:ascii="Arial" w:hAnsi="Arial" w:cs="Arial"/>
                <w:sz w:val="16"/>
                <w:szCs w:val="16"/>
              </w:rPr>
              <w:br/>
              <w:t>Arab (</w:t>
            </w:r>
            <w:r w:rsidR="00D76EB7">
              <w:rPr>
                <w:rFonts w:ascii="Arial" w:hAnsi="Arial" w:cs="Arial"/>
                <w:color w:val="000000"/>
                <w:sz w:val="16"/>
                <w:szCs w:val="16"/>
              </w:rPr>
              <w:t>not available in 2014; system to be implemented in 2015</w:t>
            </w:r>
            <w:r w:rsidRPr="009B4A78">
              <w:rPr>
                <w:rFonts w:ascii="Arial" w:hAnsi="Arial" w:cs="Arial"/>
                <w:sz w:val="16"/>
                <w:szCs w:val="16"/>
              </w:rPr>
              <w:t>)</w:t>
            </w:r>
            <w:r w:rsidRPr="009B4A78">
              <w:rPr>
                <w:rFonts w:ascii="Arial" w:hAnsi="Arial" w:cs="Arial"/>
                <w:sz w:val="16"/>
                <w:szCs w:val="16"/>
              </w:rPr>
              <w:br/>
              <w:t>Asia and Pacific (</w:t>
            </w:r>
            <w:r w:rsidR="00D76EB7">
              <w:rPr>
                <w:rFonts w:ascii="Arial" w:hAnsi="Arial" w:cs="Arial"/>
                <w:sz w:val="16"/>
                <w:szCs w:val="16"/>
              </w:rPr>
              <w:t>89</w:t>
            </w:r>
            <w:r w:rsidRPr="009B4A78">
              <w:rPr>
                <w:rFonts w:ascii="Arial" w:hAnsi="Arial" w:cs="Arial"/>
                <w:sz w:val="16"/>
                <w:szCs w:val="16"/>
              </w:rPr>
              <w:t>%)</w:t>
            </w:r>
            <w:r w:rsidRPr="009B4A78">
              <w:rPr>
                <w:rFonts w:ascii="Arial" w:hAnsi="Arial" w:cs="Arial"/>
                <w:sz w:val="16"/>
                <w:szCs w:val="16"/>
              </w:rPr>
              <w:br/>
              <w:t>Latin America &amp; the Caribbean (</w:t>
            </w:r>
            <w:r w:rsidR="00D76EB7">
              <w:rPr>
                <w:rFonts w:ascii="Arial" w:hAnsi="Arial" w:cs="Arial"/>
                <w:color w:val="000000"/>
                <w:sz w:val="16"/>
                <w:szCs w:val="16"/>
              </w:rPr>
              <w:t>not available in 2014; system to be implemented in 2015</w:t>
            </w:r>
            <w:r w:rsidRPr="009B4A78">
              <w:rPr>
                <w:rFonts w:ascii="Arial" w:hAnsi="Arial" w:cs="Arial"/>
                <w:sz w:val="16"/>
                <w:szCs w:val="16"/>
              </w:rPr>
              <w:t>)</w:t>
            </w:r>
            <w:r w:rsidRPr="009B4A78">
              <w:rPr>
                <w:rFonts w:ascii="Arial" w:hAnsi="Arial" w:cs="Arial"/>
                <w:color w:val="000000"/>
                <w:sz w:val="16"/>
                <w:szCs w:val="16"/>
              </w:rPr>
              <w:t xml:space="preserve"> </w:t>
            </w:r>
          </w:p>
          <w:p w14:paraId="05100158" w14:textId="578187FA" w:rsidR="00B65F7B" w:rsidRPr="009B4A78" w:rsidRDefault="00B65F7B" w:rsidP="00D76EB7">
            <w:pPr>
              <w:rPr>
                <w:rFonts w:ascii="Arial" w:hAnsi="Arial" w:cs="Arial"/>
                <w:color w:val="000000"/>
                <w:sz w:val="16"/>
                <w:szCs w:val="16"/>
              </w:rPr>
            </w:pPr>
            <w:r w:rsidRPr="009B4A78">
              <w:rPr>
                <w:rFonts w:ascii="Arial" w:hAnsi="Arial" w:cs="Arial"/>
                <w:color w:val="000000"/>
                <w:sz w:val="16"/>
                <w:szCs w:val="16"/>
              </w:rPr>
              <w:t>LDCs (</w:t>
            </w:r>
            <w:r w:rsidR="00D76EB7">
              <w:rPr>
                <w:rFonts w:ascii="Arial" w:hAnsi="Arial" w:cs="Arial"/>
                <w:color w:val="000000"/>
                <w:sz w:val="16"/>
                <w:szCs w:val="16"/>
              </w:rPr>
              <w:t>95</w:t>
            </w:r>
            <w:r w:rsidRPr="009B4A78">
              <w:rPr>
                <w:rFonts w:ascii="Arial" w:hAnsi="Arial" w:cs="Arial"/>
                <w:color w:val="000000"/>
                <w:sz w:val="16"/>
                <w:szCs w:val="16"/>
              </w:rPr>
              <w:t>%)</w:t>
            </w:r>
            <w:r w:rsidRPr="009B4A78">
              <w:rPr>
                <w:rFonts w:ascii="Arial" w:hAnsi="Arial" w:cs="Arial"/>
                <w:color w:val="000000"/>
                <w:sz w:val="16"/>
                <w:szCs w:val="16"/>
              </w:rPr>
              <w:br/>
            </w:r>
          </w:p>
        </w:tc>
        <w:tc>
          <w:tcPr>
            <w:tcW w:w="2151" w:type="dxa"/>
            <w:tcBorders>
              <w:top w:val="nil"/>
              <w:left w:val="nil"/>
              <w:right w:val="single" w:sz="4" w:space="0" w:color="auto"/>
            </w:tcBorders>
            <w:shd w:val="clear" w:color="000000" w:fill="FFFFFF"/>
            <w:tcMar>
              <w:top w:w="85" w:type="dxa"/>
            </w:tcMar>
            <w:hideMark/>
          </w:tcPr>
          <w:p w14:paraId="52102FA9" w14:textId="77777777" w:rsidR="00B65F7B" w:rsidRPr="009B4A78" w:rsidRDefault="00B65F7B" w:rsidP="00F33E49">
            <w:pPr>
              <w:rPr>
                <w:rFonts w:ascii="Arial" w:hAnsi="Arial" w:cs="Arial"/>
                <w:color w:val="000000"/>
                <w:sz w:val="16"/>
                <w:szCs w:val="16"/>
              </w:rPr>
            </w:pPr>
            <w:r w:rsidRPr="009B4A78">
              <w:rPr>
                <w:rFonts w:ascii="Arial" w:hAnsi="Arial" w:cs="Arial"/>
                <w:sz w:val="16"/>
                <w:szCs w:val="16"/>
              </w:rPr>
              <w:t>Africa (70%)</w:t>
            </w:r>
            <w:r w:rsidRPr="009B4A78">
              <w:rPr>
                <w:rFonts w:ascii="Arial" w:hAnsi="Arial" w:cs="Arial"/>
                <w:sz w:val="16"/>
                <w:szCs w:val="16"/>
              </w:rPr>
              <w:br/>
              <w:t>Arab (50%)</w:t>
            </w:r>
            <w:r w:rsidRPr="009B4A78">
              <w:rPr>
                <w:rFonts w:ascii="Arial" w:hAnsi="Arial" w:cs="Arial"/>
                <w:sz w:val="16"/>
                <w:szCs w:val="16"/>
              </w:rPr>
              <w:br/>
              <w:t>Asia and Pacific (70%)</w:t>
            </w:r>
            <w:r w:rsidRPr="009B4A78">
              <w:rPr>
                <w:rFonts w:ascii="Arial" w:hAnsi="Arial" w:cs="Arial"/>
                <w:sz w:val="16"/>
                <w:szCs w:val="16"/>
              </w:rPr>
              <w:br/>
              <w:t>Latin America &amp; the Caribbean (45%)</w:t>
            </w:r>
            <w:r w:rsidRPr="009B4A78">
              <w:rPr>
                <w:rFonts w:ascii="Arial" w:hAnsi="Arial" w:cs="Arial"/>
                <w:color w:val="000000"/>
                <w:sz w:val="16"/>
                <w:szCs w:val="16"/>
              </w:rPr>
              <w:t xml:space="preserve"> </w:t>
            </w:r>
          </w:p>
          <w:p w14:paraId="5201440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LDCs (50%)</w:t>
            </w:r>
          </w:p>
        </w:tc>
      </w:tr>
      <w:tr w:rsidR="00B65F7B" w:rsidRPr="009B4A78" w14:paraId="667155FB" w14:textId="77777777" w:rsidTr="00B46E15">
        <w:trPr>
          <w:trHeight w:val="1190"/>
        </w:trPr>
        <w:tc>
          <w:tcPr>
            <w:tcW w:w="2280" w:type="dxa"/>
            <w:tcBorders>
              <w:left w:val="single" w:sz="4" w:space="0" w:color="auto"/>
              <w:bottom w:val="nil"/>
              <w:right w:val="nil"/>
            </w:tcBorders>
            <w:shd w:val="clear" w:color="000000" w:fill="FFFFFF"/>
            <w:tcMar>
              <w:top w:w="85" w:type="dxa"/>
            </w:tcMar>
            <w:hideMark/>
          </w:tcPr>
          <w:p w14:paraId="3607606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left w:val="nil"/>
              <w:bottom w:val="nil"/>
              <w:right w:val="nil"/>
            </w:tcBorders>
            <w:shd w:val="clear" w:color="000000" w:fill="FFFFFF"/>
            <w:tcMar>
              <w:top w:w="85" w:type="dxa"/>
            </w:tcMar>
            <w:hideMark/>
          </w:tcPr>
          <w:p w14:paraId="540A571D"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of national and regional IP experts used as resource persons in WIPO events</w:t>
            </w:r>
          </w:p>
        </w:tc>
        <w:tc>
          <w:tcPr>
            <w:tcW w:w="2760" w:type="dxa"/>
            <w:tcBorders>
              <w:left w:val="nil"/>
              <w:bottom w:val="nil"/>
              <w:right w:val="nil"/>
            </w:tcBorders>
            <w:shd w:val="clear" w:color="000000" w:fill="FFFFFF"/>
            <w:tcMar>
              <w:top w:w="85" w:type="dxa"/>
            </w:tcMar>
            <w:hideMark/>
          </w:tcPr>
          <w:p w14:paraId="2BBCCB81" w14:textId="05DB8F57" w:rsidR="00B65F7B" w:rsidRPr="009B4A78" w:rsidRDefault="00B65F7B" w:rsidP="009B6E57">
            <w:pPr>
              <w:rPr>
                <w:rFonts w:ascii="Arial" w:hAnsi="Arial" w:cs="Arial"/>
                <w:color w:val="000000"/>
                <w:sz w:val="16"/>
                <w:szCs w:val="16"/>
              </w:rPr>
            </w:pPr>
            <w:r w:rsidRPr="009B4A78">
              <w:rPr>
                <w:rFonts w:ascii="Arial" w:hAnsi="Arial" w:cs="Arial"/>
                <w:color w:val="000000"/>
                <w:sz w:val="16"/>
                <w:szCs w:val="16"/>
              </w:rPr>
              <w:t>Africa (80%)</w:t>
            </w:r>
            <w:r w:rsidRPr="009B4A78">
              <w:rPr>
                <w:rFonts w:ascii="Arial" w:hAnsi="Arial" w:cs="Arial"/>
                <w:color w:val="000000"/>
                <w:sz w:val="16"/>
                <w:szCs w:val="16"/>
              </w:rPr>
              <w:br/>
              <w:t>Arab (35%)</w:t>
            </w:r>
            <w:r w:rsidRPr="009B4A78">
              <w:rPr>
                <w:rFonts w:ascii="Arial" w:hAnsi="Arial" w:cs="Arial"/>
                <w:color w:val="000000"/>
                <w:sz w:val="16"/>
                <w:szCs w:val="16"/>
              </w:rPr>
              <w:br/>
              <w:t>Asia and Pacific (</w:t>
            </w:r>
            <w:r w:rsidR="009B6E57">
              <w:rPr>
                <w:rFonts w:ascii="Arial" w:hAnsi="Arial" w:cs="Arial"/>
                <w:color w:val="000000"/>
                <w:sz w:val="16"/>
                <w:szCs w:val="16"/>
              </w:rPr>
              <w:t>71</w:t>
            </w:r>
            <w:r w:rsidRPr="009B4A78">
              <w:rPr>
                <w:rFonts w:ascii="Arial" w:hAnsi="Arial" w:cs="Arial"/>
                <w:color w:val="000000"/>
                <w:sz w:val="16"/>
                <w:szCs w:val="16"/>
              </w:rPr>
              <w:t>%)</w:t>
            </w:r>
            <w:r w:rsidRPr="009B4A78">
              <w:rPr>
                <w:rFonts w:ascii="Arial" w:hAnsi="Arial" w:cs="Arial"/>
                <w:color w:val="000000"/>
                <w:sz w:val="16"/>
                <w:szCs w:val="16"/>
              </w:rPr>
              <w:br/>
              <w:t>Latin America &amp; the Caribbean (80%)</w:t>
            </w:r>
            <w:r w:rsidRPr="009B4A78">
              <w:rPr>
                <w:rFonts w:ascii="Arial" w:hAnsi="Arial" w:cs="Arial"/>
                <w:color w:val="000000"/>
                <w:sz w:val="16"/>
                <w:szCs w:val="16"/>
              </w:rPr>
              <w:br/>
              <w:t>LDCs (</w:t>
            </w:r>
            <w:r w:rsidR="009B6E57">
              <w:rPr>
                <w:rFonts w:ascii="Arial" w:hAnsi="Arial" w:cs="Arial"/>
                <w:color w:val="000000"/>
                <w:sz w:val="16"/>
                <w:szCs w:val="16"/>
              </w:rPr>
              <w:t>95</w:t>
            </w:r>
            <w:r w:rsidRPr="009B4A78">
              <w:rPr>
                <w:rFonts w:ascii="Arial" w:hAnsi="Arial" w:cs="Arial"/>
                <w:color w:val="000000"/>
                <w:sz w:val="16"/>
                <w:szCs w:val="16"/>
              </w:rPr>
              <w:t>%)</w:t>
            </w:r>
          </w:p>
        </w:tc>
        <w:tc>
          <w:tcPr>
            <w:tcW w:w="2151" w:type="dxa"/>
            <w:tcBorders>
              <w:left w:val="nil"/>
              <w:bottom w:val="nil"/>
              <w:right w:val="single" w:sz="4" w:space="0" w:color="auto"/>
            </w:tcBorders>
            <w:shd w:val="clear" w:color="000000" w:fill="FFFFFF"/>
            <w:tcMar>
              <w:top w:w="85" w:type="dxa"/>
            </w:tcMar>
            <w:hideMark/>
          </w:tcPr>
          <w:p w14:paraId="04D7D0C9" w14:textId="5316C283" w:rsidR="00B65F7B" w:rsidRPr="009B4A78" w:rsidRDefault="00B65F7B" w:rsidP="000B1931">
            <w:pPr>
              <w:rPr>
                <w:rFonts w:ascii="Arial" w:hAnsi="Arial" w:cs="Arial"/>
                <w:color w:val="000000"/>
                <w:sz w:val="16"/>
                <w:szCs w:val="16"/>
              </w:rPr>
            </w:pPr>
            <w:r w:rsidRPr="009B4A78">
              <w:rPr>
                <w:rFonts w:ascii="Arial" w:hAnsi="Arial" w:cs="Arial"/>
                <w:color w:val="000000"/>
                <w:sz w:val="16"/>
                <w:szCs w:val="16"/>
              </w:rPr>
              <w:t>Africa (85%)</w:t>
            </w:r>
            <w:r w:rsidRPr="009B4A78">
              <w:rPr>
                <w:rFonts w:ascii="Arial" w:hAnsi="Arial" w:cs="Arial"/>
                <w:color w:val="000000"/>
                <w:sz w:val="16"/>
                <w:szCs w:val="16"/>
              </w:rPr>
              <w:br/>
              <w:t>Arab (</w:t>
            </w:r>
            <w:r w:rsidR="000B1931">
              <w:rPr>
                <w:rFonts w:ascii="Arial" w:hAnsi="Arial" w:cs="Arial"/>
                <w:color w:val="000000"/>
                <w:sz w:val="16"/>
                <w:szCs w:val="16"/>
              </w:rPr>
              <w:t>55</w:t>
            </w:r>
            <w:r w:rsidRPr="009B4A78">
              <w:rPr>
                <w:rFonts w:ascii="Arial" w:hAnsi="Arial" w:cs="Arial"/>
                <w:color w:val="000000"/>
                <w:sz w:val="16"/>
                <w:szCs w:val="16"/>
              </w:rPr>
              <w:t>%)</w:t>
            </w:r>
            <w:r w:rsidRPr="009B4A78">
              <w:rPr>
                <w:rFonts w:ascii="Arial" w:hAnsi="Arial" w:cs="Arial"/>
                <w:color w:val="000000"/>
                <w:sz w:val="16"/>
                <w:szCs w:val="16"/>
              </w:rPr>
              <w:br/>
              <w:t>Asia and Pacific (40%)</w:t>
            </w:r>
            <w:r w:rsidRPr="009B4A78">
              <w:rPr>
                <w:rFonts w:ascii="Arial" w:hAnsi="Arial" w:cs="Arial"/>
                <w:color w:val="000000"/>
                <w:sz w:val="16"/>
                <w:szCs w:val="16"/>
              </w:rPr>
              <w:br/>
              <w:t>Latin America &amp; the Caribbean (80%)</w:t>
            </w:r>
            <w:r w:rsidRPr="009B4A78">
              <w:rPr>
                <w:rFonts w:ascii="Arial" w:hAnsi="Arial" w:cs="Arial"/>
                <w:color w:val="000000"/>
                <w:sz w:val="16"/>
                <w:szCs w:val="16"/>
              </w:rPr>
              <w:br/>
              <w:t>LDCs (70%)</w:t>
            </w:r>
          </w:p>
        </w:tc>
      </w:tr>
      <w:tr w:rsidR="00B65F7B" w:rsidRPr="009B4A78" w14:paraId="6F45DA34" w14:textId="77777777" w:rsidTr="00FB68E0">
        <w:trPr>
          <w:trHeight w:val="2124"/>
        </w:trPr>
        <w:tc>
          <w:tcPr>
            <w:tcW w:w="2280" w:type="dxa"/>
            <w:tcBorders>
              <w:top w:val="nil"/>
              <w:left w:val="single" w:sz="4" w:space="0" w:color="auto"/>
              <w:bottom w:val="nil"/>
              <w:right w:val="nil"/>
            </w:tcBorders>
            <w:shd w:val="clear" w:color="000000" w:fill="FFFFFF"/>
            <w:tcMar>
              <w:top w:w="85" w:type="dxa"/>
            </w:tcMar>
            <w:hideMark/>
          </w:tcPr>
          <w:p w14:paraId="24FC6968" w14:textId="2B608D39" w:rsidR="00B65F7B" w:rsidRPr="009B4A78" w:rsidRDefault="00B65F7B">
            <w:pPr>
              <w:rPr>
                <w:rFonts w:ascii="Arial" w:hAnsi="Arial" w:cs="Arial"/>
                <w:color w:val="000000"/>
                <w:sz w:val="16"/>
                <w:szCs w:val="16"/>
              </w:rPr>
            </w:pPr>
            <w:r w:rsidRPr="009B4A78">
              <w:rPr>
                <w:rFonts w:ascii="Arial" w:hAnsi="Arial" w:cs="Arial"/>
                <w:color w:val="000000"/>
                <w:sz w:val="16"/>
                <w:szCs w:val="16"/>
              </w:rPr>
              <w:t>III.4 Strengthened cooperation mechanisms and programs tailored to the needs of developing countries</w:t>
            </w:r>
            <w:r w:rsidR="00522CE6">
              <w:rPr>
                <w:rFonts w:ascii="Arial" w:hAnsi="Arial" w:cs="Arial"/>
                <w:sz w:val="16"/>
                <w:szCs w:val="16"/>
              </w:rPr>
              <w:t>, LDCs and countries with economies in transition</w:t>
            </w:r>
          </w:p>
        </w:tc>
        <w:tc>
          <w:tcPr>
            <w:tcW w:w="2180" w:type="dxa"/>
            <w:tcBorders>
              <w:top w:val="nil"/>
              <w:left w:val="nil"/>
              <w:bottom w:val="nil"/>
              <w:right w:val="nil"/>
            </w:tcBorders>
            <w:shd w:val="clear" w:color="000000" w:fill="FFFFFF"/>
            <w:tcMar>
              <w:top w:w="85" w:type="dxa"/>
            </w:tcMar>
            <w:hideMark/>
          </w:tcPr>
          <w:p w14:paraId="026491DA"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xml:space="preserve">No. of national, sub regional and regional/ interregional cooperation agreements, projects, programs, and partnerships to promote the effective use of the IP systems through sharing of best practices. </w:t>
            </w:r>
          </w:p>
        </w:tc>
        <w:tc>
          <w:tcPr>
            <w:tcW w:w="2760" w:type="dxa"/>
            <w:tcBorders>
              <w:top w:val="nil"/>
              <w:left w:val="nil"/>
              <w:bottom w:val="nil"/>
              <w:right w:val="nil"/>
            </w:tcBorders>
            <w:shd w:val="clear" w:color="000000" w:fill="FFFFFF"/>
            <w:tcMar>
              <w:top w:w="85" w:type="dxa"/>
            </w:tcMar>
            <w:hideMark/>
          </w:tcPr>
          <w:p w14:paraId="673C0E37" w14:textId="5F33A50A" w:rsidR="00B65F7B" w:rsidRPr="009B4A78" w:rsidRDefault="00B65F7B">
            <w:pPr>
              <w:spacing w:after="240"/>
              <w:rPr>
                <w:rFonts w:ascii="Arial" w:hAnsi="Arial" w:cs="Arial"/>
                <w:sz w:val="16"/>
                <w:szCs w:val="16"/>
              </w:rPr>
            </w:pPr>
            <w:r w:rsidRPr="009B4A78">
              <w:rPr>
                <w:rFonts w:ascii="Arial" w:hAnsi="Arial" w:cs="Arial"/>
                <w:sz w:val="16"/>
                <w:szCs w:val="16"/>
              </w:rPr>
              <w:t>Africa (</w:t>
            </w:r>
            <w:r w:rsidR="000B1931">
              <w:rPr>
                <w:rFonts w:ascii="Arial" w:hAnsi="Arial" w:cs="Arial"/>
                <w:sz w:val="16"/>
                <w:szCs w:val="16"/>
              </w:rPr>
              <w:t>1 in 2014</w:t>
            </w:r>
            <w:r w:rsidRPr="009B4A78">
              <w:rPr>
                <w:rFonts w:ascii="Arial" w:hAnsi="Arial" w:cs="Arial"/>
                <w:sz w:val="16"/>
                <w:szCs w:val="16"/>
              </w:rPr>
              <w:t>)</w:t>
            </w:r>
            <w:r w:rsidRPr="009B4A78">
              <w:rPr>
                <w:rFonts w:ascii="Arial" w:hAnsi="Arial" w:cs="Arial"/>
                <w:sz w:val="16"/>
                <w:szCs w:val="16"/>
              </w:rPr>
              <w:br/>
              <w:t>Arab (</w:t>
            </w:r>
            <w:r w:rsidR="0082581D">
              <w:rPr>
                <w:rFonts w:ascii="Arial" w:hAnsi="Arial" w:cs="Arial"/>
                <w:sz w:val="16"/>
                <w:szCs w:val="16"/>
              </w:rPr>
              <w:t>1 in 2014</w:t>
            </w:r>
            <w:r w:rsidRPr="009B4A78">
              <w:rPr>
                <w:rFonts w:ascii="Arial" w:hAnsi="Arial" w:cs="Arial"/>
                <w:sz w:val="16"/>
                <w:szCs w:val="16"/>
              </w:rPr>
              <w:t>)</w:t>
            </w:r>
            <w:r w:rsidRPr="009B4A78">
              <w:rPr>
                <w:rFonts w:ascii="Arial" w:hAnsi="Arial" w:cs="Arial"/>
                <w:sz w:val="16"/>
                <w:szCs w:val="16"/>
              </w:rPr>
              <w:br/>
              <w:t>Asia and Pacific (</w:t>
            </w:r>
            <w:r w:rsidR="000B1931">
              <w:rPr>
                <w:rFonts w:ascii="Arial" w:hAnsi="Arial" w:cs="Arial"/>
                <w:sz w:val="16"/>
                <w:szCs w:val="16"/>
              </w:rPr>
              <w:t>2 in 2014</w:t>
            </w:r>
            <w:r w:rsidRPr="009B4A78">
              <w:rPr>
                <w:rFonts w:ascii="Arial" w:hAnsi="Arial" w:cs="Arial"/>
                <w:sz w:val="16"/>
                <w:szCs w:val="16"/>
              </w:rPr>
              <w:t>)</w:t>
            </w:r>
            <w:r w:rsidRPr="009B4A78">
              <w:rPr>
                <w:rFonts w:ascii="Arial" w:hAnsi="Arial" w:cs="Arial"/>
                <w:sz w:val="16"/>
                <w:szCs w:val="16"/>
              </w:rPr>
              <w:br/>
              <w:t>Latin America &amp; the Caribbean (6</w:t>
            </w:r>
            <w:r w:rsidR="000B1931">
              <w:rPr>
                <w:rFonts w:ascii="Arial" w:hAnsi="Arial" w:cs="Arial"/>
                <w:sz w:val="16"/>
                <w:szCs w:val="16"/>
              </w:rPr>
              <w:t xml:space="preserve"> in 2014</w:t>
            </w:r>
            <w:r w:rsidRPr="009B4A78">
              <w:rPr>
                <w:rFonts w:ascii="Arial" w:hAnsi="Arial" w:cs="Arial"/>
                <w:sz w:val="16"/>
                <w:szCs w:val="16"/>
              </w:rPr>
              <w:t>)</w:t>
            </w:r>
            <w:r w:rsidRPr="009B4A78">
              <w:rPr>
                <w:rFonts w:ascii="Arial" w:hAnsi="Arial" w:cs="Arial"/>
                <w:sz w:val="16"/>
                <w:szCs w:val="16"/>
              </w:rPr>
              <w:br/>
              <w:t>LDCs: 1 regional/sub regional program, 4 national programs</w:t>
            </w:r>
            <w:r w:rsidR="007F1DFA">
              <w:rPr>
                <w:rFonts w:ascii="Arial" w:hAnsi="Arial" w:cs="Arial"/>
                <w:sz w:val="16"/>
                <w:szCs w:val="16"/>
              </w:rPr>
              <w:t xml:space="preserve"> (</w:t>
            </w:r>
            <w:r w:rsidR="003C2E0B">
              <w:rPr>
                <w:rFonts w:ascii="Arial" w:hAnsi="Arial" w:cs="Arial"/>
                <w:sz w:val="16"/>
                <w:szCs w:val="16"/>
              </w:rPr>
              <w:t>2014)</w:t>
            </w:r>
          </w:p>
        </w:tc>
        <w:tc>
          <w:tcPr>
            <w:tcW w:w="2151" w:type="dxa"/>
            <w:tcBorders>
              <w:top w:val="nil"/>
              <w:left w:val="nil"/>
              <w:bottom w:val="nil"/>
              <w:right w:val="single" w:sz="4" w:space="0" w:color="auto"/>
            </w:tcBorders>
            <w:shd w:val="clear" w:color="000000" w:fill="FFFFFF"/>
            <w:tcMar>
              <w:top w:w="85" w:type="dxa"/>
            </w:tcMar>
            <w:hideMark/>
          </w:tcPr>
          <w:p w14:paraId="05FA52C4" w14:textId="21FC8EFA" w:rsidR="00B65F7B" w:rsidRPr="009B4A78" w:rsidRDefault="00B65F7B" w:rsidP="0082581D">
            <w:pPr>
              <w:spacing w:after="240"/>
              <w:rPr>
                <w:rFonts w:ascii="Arial" w:hAnsi="Arial" w:cs="Arial"/>
                <w:sz w:val="16"/>
                <w:szCs w:val="16"/>
              </w:rPr>
            </w:pPr>
            <w:r w:rsidRPr="009B4A78">
              <w:rPr>
                <w:rFonts w:ascii="Arial" w:hAnsi="Arial" w:cs="Arial"/>
                <w:sz w:val="16"/>
                <w:szCs w:val="16"/>
              </w:rPr>
              <w:t xml:space="preserve">Africa </w:t>
            </w:r>
            <w:r w:rsidR="000B1931">
              <w:rPr>
                <w:rFonts w:ascii="Arial" w:hAnsi="Arial" w:cs="Arial"/>
                <w:sz w:val="16"/>
                <w:szCs w:val="16"/>
              </w:rPr>
              <w:t>(additional 2)</w:t>
            </w:r>
            <w:r w:rsidRPr="009B4A78">
              <w:rPr>
                <w:rFonts w:ascii="Arial" w:hAnsi="Arial" w:cs="Arial"/>
                <w:sz w:val="16"/>
                <w:szCs w:val="16"/>
              </w:rPr>
              <w:br/>
              <w:t>Arab (</w:t>
            </w:r>
            <w:r w:rsidR="0082581D">
              <w:rPr>
                <w:rFonts w:ascii="Arial" w:hAnsi="Arial" w:cs="Arial"/>
                <w:sz w:val="16"/>
                <w:szCs w:val="16"/>
              </w:rPr>
              <w:t>additional 2</w:t>
            </w:r>
            <w:r w:rsidRPr="009B4A78">
              <w:rPr>
                <w:rFonts w:ascii="Arial" w:hAnsi="Arial" w:cs="Arial"/>
                <w:sz w:val="16"/>
                <w:szCs w:val="16"/>
              </w:rPr>
              <w:t>)</w:t>
            </w:r>
            <w:r w:rsidRPr="009B4A78">
              <w:rPr>
                <w:rFonts w:ascii="Arial" w:hAnsi="Arial" w:cs="Arial"/>
                <w:sz w:val="16"/>
                <w:szCs w:val="16"/>
              </w:rPr>
              <w:br/>
              <w:t>Asia and Pacific (</w:t>
            </w:r>
            <w:r w:rsidR="000B1931">
              <w:rPr>
                <w:rFonts w:ascii="Arial" w:hAnsi="Arial" w:cs="Arial"/>
                <w:sz w:val="16"/>
                <w:szCs w:val="16"/>
              </w:rPr>
              <w:t>additional 1</w:t>
            </w:r>
            <w:r w:rsidRPr="009B4A78">
              <w:rPr>
                <w:rFonts w:ascii="Arial" w:hAnsi="Arial" w:cs="Arial"/>
                <w:sz w:val="16"/>
                <w:szCs w:val="16"/>
              </w:rPr>
              <w:t>)</w:t>
            </w:r>
            <w:r w:rsidRPr="009B4A78">
              <w:rPr>
                <w:rFonts w:ascii="Arial" w:hAnsi="Arial" w:cs="Arial"/>
                <w:sz w:val="16"/>
                <w:szCs w:val="16"/>
              </w:rPr>
              <w:br/>
              <w:t>Latin America &amp; the Caribbean (</w:t>
            </w:r>
            <w:r w:rsidR="000B1931">
              <w:rPr>
                <w:rFonts w:ascii="Arial" w:hAnsi="Arial" w:cs="Arial"/>
                <w:sz w:val="16"/>
                <w:szCs w:val="16"/>
              </w:rPr>
              <w:t>–additional 4</w:t>
            </w:r>
            <w:r w:rsidRPr="009B4A78">
              <w:rPr>
                <w:rFonts w:ascii="Arial" w:hAnsi="Arial" w:cs="Arial"/>
                <w:sz w:val="16"/>
                <w:szCs w:val="16"/>
              </w:rPr>
              <w:t>)</w:t>
            </w:r>
            <w:r w:rsidRPr="009B4A78">
              <w:rPr>
                <w:rFonts w:ascii="Arial" w:hAnsi="Arial" w:cs="Arial"/>
                <w:sz w:val="16"/>
                <w:szCs w:val="16"/>
              </w:rPr>
              <w:br/>
              <w:t>LDCs: 3 regional/sub-regional programs, 8 national programs</w:t>
            </w:r>
          </w:p>
        </w:tc>
      </w:tr>
      <w:tr w:rsidR="00B65F7B" w:rsidRPr="009B4A78" w14:paraId="097ABA62" w14:textId="77777777" w:rsidTr="00D655F5">
        <w:trPr>
          <w:trHeight w:val="1058"/>
        </w:trPr>
        <w:tc>
          <w:tcPr>
            <w:tcW w:w="2280" w:type="dxa"/>
            <w:tcBorders>
              <w:top w:val="nil"/>
              <w:left w:val="single" w:sz="4" w:space="0" w:color="auto"/>
              <w:right w:val="nil"/>
            </w:tcBorders>
            <w:shd w:val="clear" w:color="000000" w:fill="FFFFFF"/>
            <w:tcMar>
              <w:top w:w="85" w:type="dxa"/>
            </w:tcMar>
            <w:hideMark/>
          </w:tcPr>
          <w:p w14:paraId="65D0F526"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IV.2 Enhanced access to, and use of, IP information by IP institutions and the public to promote innovation and creativity</w:t>
            </w:r>
          </w:p>
        </w:tc>
        <w:tc>
          <w:tcPr>
            <w:tcW w:w="2180" w:type="dxa"/>
            <w:tcBorders>
              <w:top w:val="nil"/>
              <w:left w:val="nil"/>
              <w:right w:val="nil"/>
            </w:tcBorders>
            <w:shd w:val="clear" w:color="000000" w:fill="FFFFFF"/>
            <w:tcMar>
              <w:top w:w="85" w:type="dxa"/>
            </w:tcMar>
            <w:hideMark/>
          </w:tcPr>
          <w:p w14:paraId="1C59A12D" w14:textId="65E17F21"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sustainable</w:t>
            </w:r>
            <w:r w:rsidR="00B46E15">
              <w:rPr>
                <w:rStyle w:val="FootnoteReference"/>
                <w:rFonts w:ascii="Arial" w:hAnsi="Arial" w:cs="Arial"/>
                <w:color w:val="000000"/>
                <w:sz w:val="16"/>
                <w:szCs w:val="16"/>
              </w:rPr>
              <w:footnoteReference w:id="18"/>
            </w:r>
            <w:r w:rsidRPr="009B4A78">
              <w:rPr>
                <w:rFonts w:ascii="Arial" w:hAnsi="Arial" w:cs="Arial"/>
                <w:color w:val="000000"/>
                <w:sz w:val="16"/>
                <w:szCs w:val="16"/>
              </w:rPr>
              <w:t xml:space="preserve"> national TISC networks (numbers cumulative)</w:t>
            </w:r>
          </w:p>
        </w:tc>
        <w:tc>
          <w:tcPr>
            <w:tcW w:w="2760" w:type="dxa"/>
            <w:tcBorders>
              <w:top w:val="nil"/>
              <w:left w:val="nil"/>
              <w:right w:val="nil"/>
            </w:tcBorders>
            <w:shd w:val="clear" w:color="000000" w:fill="FFFFFF"/>
            <w:tcMar>
              <w:top w:w="85" w:type="dxa"/>
            </w:tcMar>
            <w:hideMark/>
          </w:tcPr>
          <w:p w14:paraId="3589042E"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Africa (9)</w:t>
            </w:r>
            <w:r w:rsidRPr="009B4A78">
              <w:rPr>
                <w:rFonts w:ascii="Arial" w:hAnsi="Arial" w:cs="Arial"/>
                <w:color w:val="000000"/>
                <w:sz w:val="16"/>
                <w:szCs w:val="16"/>
              </w:rPr>
              <w:br/>
              <w:t>Arab (2)</w:t>
            </w:r>
            <w:r w:rsidRPr="009B4A78">
              <w:rPr>
                <w:rFonts w:ascii="Arial" w:hAnsi="Arial" w:cs="Arial"/>
                <w:color w:val="000000"/>
                <w:sz w:val="16"/>
                <w:szCs w:val="16"/>
              </w:rPr>
              <w:br/>
              <w:t>Asia and the Pacific (3)</w:t>
            </w:r>
            <w:r w:rsidRPr="009B4A78">
              <w:rPr>
                <w:rFonts w:ascii="Arial" w:hAnsi="Arial" w:cs="Arial"/>
                <w:color w:val="000000"/>
                <w:sz w:val="16"/>
                <w:szCs w:val="16"/>
              </w:rPr>
              <w:br/>
              <w:t>Latin America &amp; the Caribbean (5)</w:t>
            </w:r>
            <w:r w:rsidRPr="009B4A78">
              <w:rPr>
                <w:rFonts w:ascii="Arial" w:hAnsi="Arial" w:cs="Arial"/>
                <w:color w:val="000000"/>
                <w:sz w:val="16"/>
                <w:szCs w:val="16"/>
              </w:rPr>
              <w:br/>
            </w:r>
          </w:p>
        </w:tc>
        <w:tc>
          <w:tcPr>
            <w:tcW w:w="2151" w:type="dxa"/>
            <w:tcBorders>
              <w:top w:val="nil"/>
              <w:left w:val="nil"/>
              <w:right w:val="single" w:sz="4" w:space="0" w:color="auto"/>
            </w:tcBorders>
            <w:shd w:val="clear" w:color="000000" w:fill="FFFFFF"/>
            <w:tcMar>
              <w:top w:w="85" w:type="dxa"/>
            </w:tcMar>
            <w:hideMark/>
          </w:tcPr>
          <w:p w14:paraId="64722177" w14:textId="77777777" w:rsidR="00B65F7B" w:rsidRPr="009B4A78" w:rsidRDefault="00B65F7B" w:rsidP="00F33E49">
            <w:pPr>
              <w:spacing w:after="240"/>
              <w:rPr>
                <w:rFonts w:ascii="Arial" w:hAnsi="Arial" w:cs="Arial"/>
                <w:sz w:val="16"/>
                <w:szCs w:val="16"/>
              </w:rPr>
            </w:pPr>
            <w:r w:rsidRPr="009B4A78">
              <w:rPr>
                <w:rFonts w:ascii="Arial" w:hAnsi="Arial" w:cs="Arial"/>
                <w:sz w:val="16"/>
                <w:szCs w:val="16"/>
              </w:rPr>
              <w:t>Africa (11)</w:t>
            </w:r>
            <w:r w:rsidRPr="009B4A78">
              <w:rPr>
                <w:rFonts w:ascii="Arial" w:hAnsi="Arial" w:cs="Arial"/>
                <w:sz w:val="16"/>
                <w:szCs w:val="16"/>
              </w:rPr>
              <w:br/>
              <w:t>Arab (4)</w:t>
            </w:r>
            <w:r w:rsidRPr="009B4A78">
              <w:rPr>
                <w:rFonts w:ascii="Arial" w:hAnsi="Arial" w:cs="Arial"/>
                <w:sz w:val="16"/>
                <w:szCs w:val="16"/>
              </w:rPr>
              <w:br/>
              <w:t>Asia and Pacific (5)</w:t>
            </w:r>
            <w:r w:rsidRPr="009B4A78">
              <w:rPr>
                <w:rFonts w:ascii="Arial" w:hAnsi="Arial" w:cs="Arial"/>
                <w:sz w:val="16"/>
                <w:szCs w:val="16"/>
              </w:rPr>
              <w:br/>
              <w:t>Latin America &amp; the Caribbean (9)</w:t>
            </w:r>
          </w:p>
        </w:tc>
      </w:tr>
      <w:tr w:rsidR="00B65F7B" w:rsidRPr="009B4A78" w14:paraId="44D264CD" w14:textId="77777777" w:rsidTr="00D655F5">
        <w:trPr>
          <w:trHeight w:val="1436"/>
        </w:trPr>
        <w:tc>
          <w:tcPr>
            <w:tcW w:w="2280" w:type="dxa"/>
            <w:tcBorders>
              <w:top w:val="nil"/>
              <w:left w:val="single" w:sz="4" w:space="0" w:color="auto"/>
              <w:bottom w:val="single" w:sz="4" w:space="0" w:color="auto"/>
              <w:right w:val="nil"/>
            </w:tcBorders>
            <w:shd w:val="clear" w:color="000000" w:fill="FFFFFF"/>
            <w:tcMar>
              <w:top w:w="85" w:type="dxa"/>
            </w:tcMar>
            <w:hideMark/>
          </w:tcPr>
          <w:p w14:paraId="444D078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bottom w:val="single" w:sz="4" w:space="0" w:color="auto"/>
              <w:right w:val="nil"/>
            </w:tcBorders>
            <w:shd w:val="clear" w:color="000000" w:fill="FFFFFF"/>
            <w:tcMar>
              <w:top w:w="85" w:type="dxa"/>
            </w:tcMar>
            <w:hideMark/>
          </w:tcPr>
          <w:p w14:paraId="5A25F21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organizations, communities, individuals that applied and used the Appropriate Technology as a solution to identified development challenges in LDCs</w:t>
            </w:r>
          </w:p>
        </w:tc>
        <w:tc>
          <w:tcPr>
            <w:tcW w:w="2760" w:type="dxa"/>
            <w:tcBorders>
              <w:top w:val="nil"/>
              <w:left w:val="nil"/>
              <w:bottom w:val="single" w:sz="4" w:space="0" w:color="auto"/>
              <w:right w:val="nil"/>
            </w:tcBorders>
            <w:shd w:val="clear" w:color="000000" w:fill="FFFFFF"/>
            <w:tcMar>
              <w:top w:w="85" w:type="dxa"/>
            </w:tcMar>
            <w:hideMark/>
          </w:tcPr>
          <w:p w14:paraId="7CC67EAD" w14:textId="19914880"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Organizations in 6 LDCs</w:t>
            </w:r>
            <w:r w:rsidR="003C2E0B">
              <w:rPr>
                <w:rFonts w:ascii="Arial" w:hAnsi="Arial" w:cs="Arial"/>
                <w:color w:val="000000"/>
                <w:sz w:val="16"/>
                <w:szCs w:val="16"/>
              </w:rPr>
              <w:t xml:space="preserve"> (2014)</w:t>
            </w:r>
          </w:p>
        </w:tc>
        <w:tc>
          <w:tcPr>
            <w:tcW w:w="2151" w:type="dxa"/>
            <w:tcBorders>
              <w:top w:val="nil"/>
              <w:left w:val="nil"/>
              <w:bottom w:val="single" w:sz="4" w:space="0" w:color="auto"/>
              <w:right w:val="single" w:sz="4" w:space="0" w:color="auto"/>
            </w:tcBorders>
            <w:shd w:val="clear" w:color="000000" w:fill="FFFFFF"/>
            <w:tcMar>
              <w:top w:w="85" w:type="dxa"/>
            </w:tcMar>
            <w:hideMark/>
          </w:tcPr>
          <w:p w14:paraId="65F6B6D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Organizations in 3 additional LDCs</w:t>
            </w:r>
          </w:p>
        </w:tc>
      </w:tr>
      <w:tr w:rsidR="00B65F7B" w:rsidRPr="009B4A78" w14:paraId="79485C64" w14:textId="77777777" w:rsidTr="00D655F5">
        <w:trPr>
          <w:trHeight w:val="1796"/>
        </w:trPr>
        <w:tc>
          <w:tcPr>
            <w:tcW w:w="2280" w:type="dxa"/>
            <w:tcBorders>
              <w:top w:val="single" w:sz="4" w:space="0" w:color="auto"/>
              <w:left w:val="single" w:sz="4" w:space="0" w:color="auto"/>
              <w:bottom w:val="nil"/>
              <w:right w:val="nil"/>
            </w:tcBorders>
            <w:shd w:val="clear" w:color="000000" w:fill="FFFFFF"/>
            <w:tcMar>
              <w:top w:w="85" w:type="dxa"/>
            </w:tcMar>
            <w:hideMark/>
          </w:tcPr>
          <w:p w14:paraId="5671D38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lastRenderedPageBreak/>
              <w:t> </w:t>
            </w:r>
          </w:p>
        </w:tc>
        <w:tc>
          <w:tcPr>
            <w:tcW w:w="2180" w:type="dxa"/>
            <w:tcBorders>
              <w:top w:val="single" w:sz="4" w:space="0" w:color="auto"/>
              <w:left w:val="nil"/>
              <w:bottom w:val="nil"/>
              <w:right w:val="nil"/>
            </w:tcBorders>
            <w:shd w:val="clear" w:color="000000" w:fill="FFFFFF"/>
            <w:tcMar>
              <w:top w:w="85" w:type="dxa"/>
            </w:tcMar>
            <w:hideMark/>
          </w:tcPr>
          <w:p w14:paraId="67CBDD3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Use of Appropriate Technology for development through  patent searches and reports, technology landscapes, business plans (Number of experts, National Expert Groups (NEGs) in LDCs)</w:t>
            </w:r>
          </w:p>
        </w:tc>
        <w:tc>
          <w:tcPr>
            <w:tcW w:w="2760" w:type="dxa"/>
            <w:tcBorders>
              <w:top w:val="single" w:sz="4" w:space="0" w:color="auto"/>
              <w:left w:val="nil"/>
              <w:bottom w:val="nil"/>
              <w:right w:val="nil"/>
            </w:tcBorders>
            <w:shd w:val="clear" w:color="000000" w:fill="FFFFFF"/>
            <w:tcMar>
              <w:top w:w="85" w:type="dxa"/>
            </w:tcMar>
            <w:hideMark/>
          </w:tcPr>
          <w:p w14:paraId="12F19F22" w14:textId="78F831D8"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6 in LDCs</w:t>
            </w:r>
            <w:r w:rsidR="003C2E0B">
              <w:rPr>
                <w:rFonts w:ascii="Arial" w:hAnsi="Arial" w:cs="Arial"/>
                <w:color w:val="000000"/>
                <w:sz w:val="16"/>
                <w:szCs w:val="16"/>
              </w:rPr>
              <w:t xml:space="preserve"> (2014)</w:t>
            </w:r>
          </w:p>
        </w:tc>
        <w:tc>
          <w:tcPr>
            <w:tcW w:w="2151" w:type="dxa"/>
            <w:tcBorders>
              <w:top w:val="single" w:sz="4" w:space="0" w:color="auto"/>
              <w:left w:val="nil"/>
              <w:bottom w:val="nil"/>
              <w:right w:val="single" w:sz="4" w:space="0" w:color="auto"/>
            </w:tcBorders>
            <w:shd w:val="clear" w:color="000000" w:fill="FFFFFF"/>
            <w:tcMar>
              <w:top w:w="85" w:type="dxa"/>
            </w:tcMar>
            <w:hideMark/>
          </w:tcPr>
          <w:p w14:paraId="5A729844"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Additional 3 in LDCs</w:t>
            </w:r>
          </w:p>
        </w:tc>
      </w:tr>
      <w:tr w:rsidR="00B65F7B" w:rsidRPr="009B4A78" w14:paraId="50B61EB0" w14:textId="77777777" w:rsidTr="00865AEC">
        <w:trPr>
          <w:trHeight w:val="2165"/>
        </w:trPr>
        <w:tc>
          <w:tcPr>
            <w:tcW w:w="2280" w:type="dxa"/>
            <w:tcBorders>
              <w:top w:val="nil"/>
              <w:left w:val="single" w:sz="4" w:space="0" w:color="auto"/>
              <w:bottom w:val="nil"/>
              <w:right w:val="nil"/>
            </w:tcBorders>
            <w:shd w:val="clear" w:color="000000" w:fill="FFFFFF"/>
            <w:tcMar>
              <w:top w:w="85" w:type="dxa"/>
            </w:tcMar>
            <w:hideMark/>
          </w:tcPr>
          <w:p w14:paraId="680D538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bottom w:val="nil"/>
              <w:right w:val="nil"/>
            </w:tcBorders>
            <w:shd w:val="clear" w:color="000000" w:fill="FFFFFF"/>
            <w:tcMar>
              <w:top w:w="85" w:type="dxa"/>
            </w:tcMar>
            <w:hideMark/>
          </w:tcPr>
          <w:p w14:paraId="624B1F5D"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Identified Appropriate Technology commercialized in LDCs</w:t>
            </w:r>
            <w:r w:rsidRPr="009B4A78">
              <w:rPr>
                <w:rFonts w:ascii="Arial" w:hAnsi="Arial" w:cs="Arial"/>
                <w:color w:val="000000"/>
                <w:sz w:val="16"/>
                <w:szCs w:val="16"/>
              </w:rPr>
              <w:br/>
            </w:r>
            <w:r w:rsidRPr="009B4A78">
              <w:rPr>
                <w:rFonts w:ascii="Arial" w:hAnsi="Arial" w:cs="Arial"/>
                <w:color w:val="000000"/>
                <w:sz w:val="16"/>
                <w:szCs w:val="16"/>
              </w:rPr>
              <w:br/>
              <w:t xml:space="preserve">Projects replicated in other areas in LDCs </w:t>
            </w:r>
            <w:r w:rsidRPr="009B4A78">
              <w:rPr>
                <w:rFonts w:ascii="Arial" w:hAnsi="Arial" w:cs="Arial"/>
                <w:color w:val="000000"/>
                <w:sz w:val="16"/>
                <w:szCs w:val="16"/>
              </w:rPr>
              <w:br/>
            </w:r>
            <w:r w:rsidRPr="009B4A78">
              <w:rPr>
                <w:rFonts w:ascii="Arial" w:hAnsi="Arial" w:cs="Arial"/>
                <w:color w:val="000000"/>
                <w:sz w:val="16"/>
                <w:szCs w:val="16"/>
              </w:rPr>
              <w:br/>
              <w:t>Institutions established to continue working on Appropriate Technology in LDCs</w:t>
            </w:r>
          </w:p>
        </w:tc>
        <w:tc>
          <w:tcPr>
            <w:tcW w:w="2760" w:type="dxa"/>
            <w:tcBorders>
              <w:top w:val="nil"/>
              <w:left w:val="nil"/>
              <w:bottom w:val="nil"/>
              <w:right w:val="nil"/>
            </w:tcBorders>
            <w:shd w:val="clear" w:color="000000" w:fill="FFFFFF"/>
            <w:tcMar>
              <w:top w:w="85" w:type="dxa"/>
            </w:tcMar>
            <w:hideMark/>
          </w:tcPr>
          <w:p w14:paraId="76FF1623" w14:textId="51346D31" w:rsidR="00B65F7B" w:rsidRPr="009B4A78" w:rsidRDefault="00B65F7B" w:rsidP="003C2E0B">
            <w:pPr>
              <w:rPr>
                <w:rFonts w:ascii="Arial" w:hAnsi="Arial" w:cs="Arial"/>
                <w:color w:val="000000"/>
                <w:sz w:val="16"/>
                <w:szCs w:val="16"/>
              </w:rPr>
            </w:pPr>
            <w:r w:rsidRPr="009B4A78">
              <w:rPr>
                <w:rFonts w:ascii="Arial" w:hAnsi="Arial" w:cs="Arial"/>
                <w:color w:val="000000"/>
                <w:sz w:val="16"/>
                <w:szCs w:val="16"/>
              </w:rPr>
              <w:t>6 ATs</w:t>
            </w:r>
            <w:r w:rsidR="003C2E0B">
              <w:rPr>
                <w:rFonts w:ascii="Arial" w:hAnsi="Arial" w:cs="Arial"/>
                <w:color w:val="000000"/>
                <w:sz w:val="16"/>
                <w:szCs w:val="16"/>
              </w:rPr>
              <w:t xml:space="preserve"> (2014)</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n/a</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3 institutions</w:t>
            </w:r>
            <w:r w:rsidR="003C2E0B">
              <w:rPr>
                <w:rFonts w:ascii="Arial" w:hAnsi="Arial" w:cs="Arial"/>
                <w:color w:val="000000"/>
                <w:sz w:val="16"/>
                <w:szCs w:val="16"/>
              </w:rPr>
              <w:t xml:space="preserve"> (2014)</w:t>
            </w:r>
          </w:p>
        </w:tc>
        <w:tc>
          <w:tcPr>
            <w:tcW w:w="2151" w:type="dxa"/>
            <w:tcBorders>
              <w:top w:val="nil"/>
              <w:left w:val="nil"/>
              <w:bottom w:val="nil"/>
              <w:right w:val="single" w:sz="4" w:space="0" w:color="auto"/>
            </w:tcBorders>
            <w:shd w:val="clear" w:color="000000" w:fill="FFFFFF"/>
            <w:tcMar>
              <w:top w:w="85" w:type="dxa"/>
            </w:tcMar>
            <w:hideMark/>
          </w:tcPr>
          <w:p w14:paraId="33013760"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At least 3 additional ATs</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1 LDC</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 xml:space="preserve">Additional 3 Institutions </w:t>
            </w:r>
          </w:p>
        </w:tc>
      </w:tr>
      <w:tr w:rsidR="00B65F7B" w:rsidRPr="009B4A78" w14:paraId="3535181A" w14:textId="77777777" w:rsidTr="006C2469">
        <w:trPr>
          <w:trHeight w:val="1151"/>
        </w:trPr>
        <w:tc>
          <w:tcPr>
            <w:tcW w:w="2280" w:type="dxa"/>
            <w:tcBorders>
              <w:top w:val="nil"/>
              <w:left w:val="single" w:sz="4" w:space="0" w:color="auto"/>
              <w:right w:val="nil"/>
            </w:tcBorders>
            <w:shd w:val="clear" w:color="000000" w:fill="FFFFFF"/>
            <w:tcMar>
              <w:top w:w="85" w:type="dxa"/>
            </w:tcMar>
            <w:hideMark/>
          </w:tcPr>
          <w:p w14:paraId="75C4245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00B33F15"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Continuation and expansion of national technological capacity building programs on Appropriate Technology  in LDCs</w:t>
            </w:r>
          </w:p>
        </w:tc>
        <w:tc>
          <w:tcPr>
            <w:tcW w:w="2760" w:type="dxa"/>
            <w:tcBorders>
              <w:top w:val="nil"/>
              <w:left w:val="nil"/>
              <w:right w:val="nil"/>
            </w:tcBorders>
            <w:shd w:val="clear" w:color="000000" w:fill="FFFFFF"/>
            <w:tcMar>
              <w:top w:w="85" w:type="dxa"/>
            </w:tcMar>
            <w:hideMark/>
          </w:tcPr>
          <w:p w14:paraId="7787A686" w14:textId="634DE1CA"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7 programs</w:t>
            </w:r>
            <w:r w:rsidR="003C2E0B">
              <w:rPr>
                <w:rFonts w:ascii="Arial" w:hAnsi="Arial" w:cs="Arial"/>
                <w:color w:val="000000"/>
                <w:sz w:val="16"/>
                <w:szCs w:val="16"/>
              </w:rPr>
              <w:t xml:space="preserve"> (2014)</w:t>
            </w:r>
          </w:p>
        </w:tc>
        <w:tc>
          <w:tcPr>
            <w:tcW w:w="2151" w:type="dxa"/>
            <w:tcBorders>
              <w:top w:val="nil"/>
              <w:left w:val="nil"/>
              <w:right w:val="single" w:sz="4" w:space="0" w:color="auto"/>
            </w:tcBorders>
            <w:shd w:val="clear" w:color="000000" w:fill="FFFFFF"/>
            <w:tcMar>
              <w:top w:w="85" w:type="dxa"/>
            </w:tcMar>
            <w:hideMark/>
          </w:tcPr>
          <w:p w14:paraId="2A0C4EBB"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 xml:space="preserve">Additional 6 programs </w:t>
            </w:r>
            <w:r w:rsidRPr="009B4A78">
              <w:rPr>
                <w:rFonts w:ascii="Arial" w:hAnsi="Arial" w:cs="Arial"/>
                <w:color w:val="000000"/>
                <w:sz w:val="16"/>
                <w:szCs w:val="16"/>
              </w:rPr>
              <w:br/>
            </w:r>
            <w:r w:rsidRPr="009B4A78">
              <w:rPr>
                <w:rFonts w:ascii="Arial" w:hAnsi="Arial" w:cs="Arial"/>
                <w:color w:val="000000"/>
                <w:sz w:val="16"/>
                <w:szCs w:val="16"/>
              </w:rPr>
              <w:br/>
            </w:r>
          </w:p>
        </w:tc>
      </w:tr>
      <w:tr w:rsidR="00B65F7B" w:rsidRPr="009B4A78" w14:paraId="0780A670" w14:textId="77777777" w:rsidTr="008D4CE9">
        <w:trPr>
          <w:trHeight w:val="1040"/>
        </w:trPr>
        <w:tc>
          <w:tcPr>
            <w:tcW w:w="2280" w:type="dxa"/>
            <w:tcBorders>
              <w:top w:val="nil"/>
              <w:left w:val="single" w:sz="4" w:space="0" w:color="auto"/>
              <w:right w:val="nil"/>
            </w:tcBorders>
            <w:shd w:val="clear" w:color="000000" w:fill="FFFFFF"/>
            <w:tcMar>
              <w:top w:w="85" w:type="dxa"/>
            </w:tcMar>
            <w:hideMark/>
          </w:tcPr>
          <w:p w14:paraId="50EA71D0"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4D1D26A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Utilization of Appropriate Technology for economic development included in the national innovation and IP policies and strategies in LDCs</w:t>
            </w:r>
          </w:p>
        </w:tc>
        <w:tc>
          <w:tcPr>
            <w:tcW w:w="2760" w:type="dxa"/>
            <w:tcBorders>
              <w:top w:val="nil"/>
              <w:left w:val="nil"/>
              <w:right w:val="nil"/>
            </w:tcBorders>
            <w:shd w:val="clear" w:color="000000" w:fill="FFFFFF"/>
            <w:tcMar>
              <w:top w:w="85" w:type="dxa"/>
            </w:tcMar>
            <w:hideMark/>
          </w:tcPr>
          <w:p w14:paraId="725FE82B" w14:textId="77777777" w:rsidR="00B65F7B" w:rsidRPr="009B4A78" w:rsidRDefault="00B65F7B" w:rsidP="00C84D9D">
            <w:pPr>
              <w:rPr>
                <w:rFonts w:ascii="Arial" w:hAnsi="Arial" w:cs="Arial"/>
                <w:color w:val="000000"/>
                <w:sz w:val="16"/>
                <w:szCs w:val="16"/>
              </w:rPr>
            </w:pPr>
            <w:r w:rsidRPr="009B4A78">
              <w:rPr>
                <w:rFonts w:ascii="Arial" w:hAnsi="Arial" w:cs="Arial"/>
                <w:color w:val="000000"/>
                <w:sz w:val="16"/>
                <w:szCs w:val="16"/>
              </w:rPr>
              <w:t>n/a</w:t>
            </w:r>
          </w:p>
        </w:tc>
        <w:tc>
          <w:tcPr>
            <w:tcW w:w="2151" w:type="dxa"/>
            <w:tcBorders>
              <w:top w:val="nil"/>
              <w:left w:val="nil"/>
              <w:right w:val="single" w:sz="4" w:space="0" w:color="auto"/>
            </w:tcBorders>
            <w:shd w:val="clear" w:color="000000" w:fill="FFFFFF"/>
            <w:tcMar>
              <w:top w:w="85" w:type="dxa"/>
            </w:tcMar>
            <w:hideMark/>
          </w:tcPr>
          <w:p w14:paraId="645AB93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xml:space="preserve">1 LDC </w:t>
            </w:r>
          </w:p>
        </w:tc>
      </w:tr>
      <w:tr w:rsidR="00B65F7B" w:rsidRPr="009B4A78" w14:paraId="3C50496A" w14:textId="77777777" w:rsidTr="008D4CE9">
        <w:trPr>
          <w:trHeight w:val="1616"/>
        </w:trPr>
        <w:tc>
          <w:tcPr>
            <w:tcW w:w="2280" w:type="dxa"/>
            <w:tcBorders>
              <w:left w:val="single" w:sz="4" w:space="0" w:color="auto"/>
              <w:bottom w:val="single" w:sz="4" w:space="0" w:color="auto"/>
              <w:right w:val="nil"/>
            </w:tcBorders>
            <w:shd w:val="clear" w:color="000000" w:fill="FFFFFF"/>
            <w:tcMar>
              <w:top w:w="85" w:type="dxa"/>
            </w:tcMar>
            <w:hideMark/>
          </w:tcPr>
          <w:p w14:paraId="6D7DCB4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IV.4 Enhanced technical and knowledge infrastructure for IP Offices and other IP institutions leading to better services (cheaper, faster, higher quality) to their stakeholders and better outcome of IP Administration</w:t>
            </w:r>
          </w:p>
        </w:tc>
        <w:tc>
          <w:tcPr>
            <w:tcW w:w="2180" w:type="dxa"/>
            <w:tcBorders>
              <w:left w:val="nil"/>
              <w:bottom w:val="single" w:sz="4" w:space="0" w:color="auto"/>
              <w:right w:val="nil"/>
            </w:tcBorders>
            <w:shd w:val="clear" w:color="000000" w:fill="FFFFFF"/>
            <w:tcMar>
              <w:top w:w="85" w:type="dxa"/>
            </w:tcMar>
            <w:hideMark/>
          </w:tcPr>
          <w:p w14:paraId="0DEC9CF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Average Service Level of IP Offices assisted (ranging from 1 to 5)</w:t>
            </w:r>
          </w:p>
        </w:tc>
        <w:tc>
          <w:tcPr>
            <w:tcW w:w="2760" w:type="dxa"/>
            <w:tcBorders>
              <w:left w:val="nil"/>
              <w:bottom w:val="single" w:sz="4" w:space="0" w:color="auto"/>
              <w:right w:val="nil"/>
            </w:tcBorders>
            <w:shd w:val="clear" w:color="000000" w:fill="FFFFFF"/>
            <w:tcMar>
              <w:top w:w="85" w:type="dxa"/>
            </w:tcMar>
            <w:hideMark/>
          </w:tcPr>
          <w:p w14:paraId="494F7E4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Average service level as per the 2014 PPR:  2.9</w:t>
            </w:r>
          </w:p>
        </w:tc>
        <w:tc>
          <w:tcPr>
            <w:tcW w:w="2151" w:type="dxa"/>
            <w:tcBorders>
              <w:left w:val="nil"/>
              <w:bottom w:val="single" w:sz="4" w:space="0" w:color="auto"/>
              <w:right w:val="single" w:sz="4" w:space="0" w:color="auto"/>
            </w:tcBorders>
            <w:shd w:val="clear" w:color="000000" w:fill="FFFFFF"/>
            <w:tcMar>
              <w:top w:w="85" w:type="dxa"/>
            </w:tcMar>
            <w:hideMark/>
          </w:tcPr>
          <w:p w14:paraId="09AC9156" w14:textId="77777777" w:rsidR="00B65F7B" w:rsidRPr="009B4A78" w:rsidRDefault="00B65F7B" w:rsidP="00F33E49">
            <w:pPr>
              <w:rPr>
                <w:rFonts w:ascii="Arial" w:hAnsi="Arial" w:cs="Arial"/>
                <w:sz w:val="16"/>
                <w:szCs w:val="16"/>
              </w:rPr>
            </w:pPr>
            <w:r w:rsidRPr="009B4A78">
              <w:rPr>
                <w:rFonts w:ascii="Arial" w:hAnsi="Arial" w:cs="Arial"/>
                <w:sz w:val="16"/>
                <w:szCs w:val="16"/>
              </w:rPr>
              <w:t>Average of 3.0 (by end of 2017)</w:t>
            </w:r>
          </w:p>
        </w:tc>
      </w:tr>
    </w:tbl>
    <w:p w14:paraId="6F1D31AF" w14:textId="77777777" w:rsidR="00B65F7B" w:rsidRPr="009B4A78" w:rsidRDefault="00B65F7B" w:rsidP="00F33E49">
      <w:pPr>
        <w:pStyle w:val="ListParagraph"/>
        <w:spacing w:after="240"/>
        <w:ind w:left="0"/>
        <w:jc w:val="both"/>
        <w:rPr>
          <w:rFonts w:ascii="Arial" w:hAnsi="Arial" w:cs="Arial"/>
        </w:rPr>
      </w:pPr>
    </w:p>
    <w:p w14:paraId="4E080008" w14:textId="77777777" w:rsidR="00B65F7B" w:rsidRPr="009B4A78" w:rsidRDefault="00B65F7B" w:rsidP="00F33E49">
      <w:pPr>
        <w:pStyle w:val="ListParagraph"/>
        <w:spacing w:after="240"/>
        <w:ind w:left="0"/>
        <w:jc w:val="both"/>
        <w:rPr>
          <w:rFonts w:ascii="Arial" w:hAnsi="Arial" w:cs="Arial"/>
        </w:rPr>
      </w:pPr>
    </w:p>
    <w:p w14:paraId="23F61DAE" w14:textId="77777777" w:rsidR="00B65F7B" w:rsidRPr="009B4A78" w:rsidRDefault="00B65F7B" w:rsidP="00F33E49">
      <w:pPr>
        <w:pStyle w:val="ListParagraph"/>
        <w:spacing w:after="240"/>
        <w:ind w:left="0"/>
        <w:jc w:val="both"/>
        <w:rPr>
          <w:rFonts w:ascii="Arial" w:hAnsi="Arial" w:cs="Arial"/>
        </w:rPr>
      </w:pPr>
      <w:r w:rsidRPr="009B4A78">
        <w:rPr>
          <w:rFonts w:ascii="Arial" w:hAnsi="Arial" w:cs="Arial"/>
        </w:rPr>
        <w:t>RESOURCES FOR PROGRAM 9</w:t>
      </w:r>
    </w:p>
    <w:p w14:paraId="33DD6FD5" w14:textId="77777777" w:rsidR="00B65F7B" w:rsidRPr="009B4A78" w:rsidRDefault="00B65F7B" w:rsidP="00F33E49">
      <w:pPr>
        <w:pStyle w:val="ListParagraph"/>
        <w:spacing w:after="240"/>
        <w:ind w:left="0"/>
        <w:jc w:val="both"/>
        <w:rPr>
          <w:rFonts w:ascii="Arial" w:hAnsi="Arial" w:cs="Arial"/>
        </w:rPr>
      </w:pPr>
    </w:p>
    <w:p w14:paraId="51180D21" w14:textId="77777777" w:rsidR="00B65F7B" w:rsidRPr="009B4A78"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An increase of 4.3 percent in non-personnel resources can be observed for Program 9 in 2016/17 compared to the 2014/15 Budget after Transfers.  This is primarily due to additional resources allocated for the implementation of two DA projects, namely, the project on IP and Tourism and the project on Capacity-Building in the Use of Appropriate Technology in LDCs (Phase II).  The increase is reflected under Expected Result III.2. </w:t>
      </w:r>
    </w:p>
    <w:p w14:paraId="22BC8128" w14:textId="77777777" w:rsidR="00B65F7B" w:rsidRPr="009B4A78" w:rsidRDefault="00B65F7B" w:rsidP="00F33E49">
      <w:pPr>
        <w:pStyle w:val="ListParagraph"/>
        <w:tabs>
          <w:tab w:val="left" w:pos="709"/>
        </w:tabs>
        <w:spacing w:after="240"/>
        <w:ind w:left="0"/>
        <w:jc w:val="both"/>
        <w:rPr>
          <w:rFonts w:ascii="Arial" w:hAnsi="Arial" w:cs="Arial"/>
          <w:sz w:val="20"/>
        </w:rPr>
      </w:pPr>
    </w:p>
    <w:p w14:paraId="40C953AA" w14:textId="7105C5FD" w:rsidR="00631C5D" w:rsidRDefault="00B65F7B" w:rsidP="00B66A4A">
      <w:pPr>
        <w:pStyle w:val="ListParagraph"/>
        <w:numPr>
          <w:ilvl w:val="0"/>
          <w:numId w:val="11"/>
        </w:numPr>
        <w:tabs>
          <w:tab w:val="left" w:pos="709"/>
        </w:tabs>
        <w:spacing w:after="240"/>
        <w:jc w:val="both"/>
        <w:rPr>
          <w:rFonts w:ascii="Arial" w:hAnsi="Arial" w:cs="Arial"/>
          <w:bCs/>
        </w:rPr>
      </w:pPr>
      <w:r w:rsidRPr="009B4A78">
        <w:rPr>
          <w:rFonts w:ascii="Arial" w:hAnsi="Arial" w:cs="Arial"/>
          <w:sz w:val="20"/>
        </w:rPr>
        <w:t xml:space="preserve">The increase in resources under Expected Result IV.2 is due to an enhanced focus on enhancing access to, and use of, IP information by IP institutions and the public to promote innovation and creativity.  The decrease in resources dedicated to Expected Result I.2 and IV.4 reflects the completion of the mainstreaming of activities related to legislative advice and business solutions for IP Offices to Programs 1, 2, 3, 4 and 15 respectively. </w:t>
      </w:r>
      <w:r w:rsidR="00631C5D">
        <w:rPr>
          <w:rFonts w:ascii="Arial" w:hAnsi="Arial" w:cs="Arial"/>
          <w:sz w:val="20"/>
        </w:rPr>
        <w:t xml:space="preserve">Resources linked to Expected Result III.3 under this Program reflects efforts dedicated by the Office of the Deputy Director General of the Development Sector to the activities of Program 8.          </w:t>
      </w:r>
      <w:r w:rsidR="00631C5D">
        <w:rPr>
          <w:rFonts w:ascii="Arial" w:hAnsi="Arial" w:cs="Arial"/>
          <w:bCs/>
        </w:rPr>
        <w:t xml:space="preserve"> </w:t>
      </w:r>
    </w:p>
    <w:p w14:paraId="6C9B16AF" w14:textId="77777777" w:rsidR="00B65F7B" w:rsidRPr="009B4A78" w:rsidRDefault="00B65F7B" w:rsidP="00F33E49">
      <w:pPr>
        <w:pStyle w:val="ListParagraph"/>
        <w:spacing w:after="240"/>
        <w:ind w:left="0"/>
        <w:jc w:val="both"/>
        <w:rPr>
          <w:rFonts w:ascii="Arial" w:hAnsi="Arial" w:cs="Arial"/>
          <w:sz w:val="20"/>
        </w:rPr>
      </w:pPr>
    </w:p>
    <w:p w14:paraId="2DC84B34" w14:textId="33E604C5" w:rsidR="00073412" w:rsidRDefault="00B65F7B" w:rsidP="00B66A4A">
      <w:pPr>
        <w:pStyle w:val="ListParagraph"/>
        <w:numPr>
          <w:ilvl w:val="0"/>
          <w:numId w:val="11"/>
        </w:numPr>
        <w:tabs>
          <w:tab w:val="left" w:pos="709"/>
        </w:tabs>
        <w:spacing w:after="240"/>
        <w:jc w:val="both"/>
        <w:rPr>
          <w:rFonts w:ascii="Arial" w:hAnsi="Arial" w:cs="Arial"/>
          <w:sz w:val="20"/>
        </w:rPr>
      </w:pPr>
      <w:r w:rsidRPr="009B4A78">
        <w:rPr>
          <w:rFonts w:ascii="Arial" w:hAnsi="Arial" w:cs="Arial"/>
          <w:sz w:val="20"/>
        </w:rPr>
        <w:t xml:space="preserve">The </w:t>
      </w:r>
      <w:r w:rsidR="00D86D26">
        <w:rPr>
          <w:rFonts w:ascii="Arial" w:hAnsi="Arial" w:cs="Arial"/>
          <w:sz w:val="20"/>
        </w:rPr>
        <w:t>resources</w:t>
      </w:r>
      <w:r w:rsidRPr="009B4A78">
        <w:rPr>
          <w:rFonts w:ascii="Arial" w:hAnsi="Arial" w:cs="Arial"/>
          <w:sz w:val="20"/>
        </w:rPr>
        <w:t xml:space="preserve"> for temporary staff shows a decrease in 2016/17 compared to the 2014/15 Budget after Transfers due to the </w:t>
      </w:r>
      <w:r w:rsidRPr="00FB68E0">
        <w:rPr>
          <w:rFonts w:ascii="Arial" w:hAnsi="Arial" w:cs="Arial"/>
          <w:sz w:val="20"/>
        </w:rPr>
        <w:t>regulariz</w:t>
      </w:r>
      <w:r w:rsidRPr="009B4A78">
        <w:rPr>
          <w:rFonts w:ascii="Arial" w:hAnsi="Arial" w:cs="Arial"/>
          <w:sz w:val="20"/>
        </w:rPr>
        <w:t>ation of long-serving temporary staff in 2014/15.</w:t>
      </w:r>
      <w:r w:rsidR="00D86D26">
        <w:rPr>
          <w:rFonts w:ascii="Arial" w:hAnsi="Arial" w:cs="Arial"/>
          <w:sz w:val="20"/>
        </w:rPr>
        <w:t xml:space="preserve"> </w:t>
      </w:r>
      <w:r w:rsidR="00CA09B5">
        <w:rPr>
          <w:rFonts w:ascii="Arial" w:hAnsi="Arial" w:cs="Arial"/>
          <w:sz w:val="20"/>
        </w:rPr>
        <w:t xml:space="preserve"> </w:t>
      </w:r>
      <w:r w:rsidR="00D86D26">
        <w:rPr>
          <w:rFonts w:ascii="Arial" w:hAnsi="Arial" w:cs="Arial"/>
          <w:sz w:val="20"/>
        </w:rPr>
        <w:t xml:space="preserve">The decrease in the resources for staff reflects the finalization of several DA projects in previous biennia. </w:t>
      </w:r>
    </w:p>
    <w:p w14:paraId="14C219CF" w14:textId="03EC143D" w:rsidR="00B65F7B" w:rsidRPr="009B4A78" w:rsidRDefault="00B65F7B" w:rsidP="00FB68E0">
      <w:pPr>
        <w:pStyle w:val="ListParagraph"/>
        <w:tabs>
          <w:tab w:val="left" w:pos="709"/>
        </w:tabs>
        <w:spacing w:after="240"/>
        <w:ind w:left="0"/>
        <w:jc w:val="both"/>
        <w:rPr>
          <w:rFonts w:ascii="Arial" w:hAnsi="Arial" w:cs="Arial"/>
          <w:sz w:val="20"/>
        </w:rPr>
      </w:pPr>
      <w:r w:rsidRPr="009B4A78">
        <w:rPr>
          <w:rFonts w:ascii="Arial" w:hAnsi="Arial" w:cs="Arial"/>
          <w:sz w:val="20"/>
        </w:rPr>
        <w:lastRenderedPageBreak/>
        <w:t xml:space="preserve">    </w:t>
      </w:r>
    </w:p>
    <w:p w14:paraId="0D99E346" w14:textId="77777777" w:rsidR="00B65F7B" w:rsidRPr="00537742" w:rsidRDefault="00B65F7B" w:rsidP="00F33E49">
      <w:pPr>
        <w:pStyle w:val="ListParagraph"/>
        <w:keepNext/>
        <w:keepLines/>
        <w:spacing w:after="240"/>
        <w:ind w:left="0"/>
        <w:jc w:val="center"/>
        <w:rPr>
          <w:rFonts w:ascii="Arial" w:hAnsi="Arial" w:cs="Arial"/>
          <w:b/>
          <w:sz w:val="20"/>
        </w:rPr>
      </w:pPr>
      <w:r w:rsidRPr="00537742">
        <w:rPr>
          <w:rFonts w:ascii="Arial" w:hAnsi="Arial" w:cs="Arial"/>
          <w:b/>
          <w:sz w:val="20"/>
        </w:rPr>
        <w:t xml:space="preserve">Program 9: Resources by Result </w:t>
      </w:r>
    </w:p>
    <w:p w14:paraId="63B0B5C4" w14:textId="77777777" w:rsidR="00B65F7B" w:rsidRPr="009B4A78" w:rsidRDefault="00B65F7B" w:rsidP="00F33E49">
      <w:pPr>
        <w:pStyle w:val="ListParagraph"/>
        <w:keepNext/>
        <w:keepLines/>
        <w:spacing w:after="240"/>
        <w:ind w:left="0"/>
        <w:jc w:val="center"/>
        <w:rPr>
          <w:rFonts w:ascii="Arial" w:hAnsi="Arial" w:cs="Arial"/>
          <w:i/>
          <w:sz w:val="20"/>
        </w:rPr>
      </w:pPr>
      <w:r w:rsidRPr="00537742">
        <w:rPr>
          <w:rFonts w:ascii="Arial" w:hAnsi="Arial" w:cs="Arial"/>
          <w:i/>
          <w:sz w:val="20"/>
        </w:rPr>
        <w:t>(in thousands of Swiss francs)</w:t>
      </w:r>
    </w:p>
    <w:p w14:paraId="0D3A0908" w14:textId="77777777" w:rsidR="00B65F7B" w:rsidRPr="009B4A78" w:rsidRDefault="00B65F7B" w:rsidP="00F33E49">
      <w:pPr>
        <w:pStyle w:val="ListParagraph"/>
        <w:keepNext/>
        <w:keepLines/>
        <w:spacing w:after="240"/>
        <w:ind w:left="0"/>
        <w:jc w:val="center"/>
        <w:rPr>
          <w:rFonts w:ascii="Arial" w:hAnsi="Arial" w:cs="Arial"/>
          <w:i/>
          <w:sz w:val="20"/>
        </w:rPr>
      </w:pPr>
    </w:p>
    <w:p w14:paraId="12575E5F" w14:textId="24120A4C" w:rsidR="00B65F7B" w:rsidRPr="009B4A78" w:rsidRDefault="00537742" w:rsidP="00F33E49">
      <w:pPr>
        <w:pStyle w:val="ListParagraph"/>
        <w:spacing w:after="240"/>
        <w:ind w:left="0"/>
        <w:jc w:val="center"/>
        <w:rPr>
          <w:rFonts w:ascii="Arial" w:hAnsi="Arial" w:cs="Arial"/>
          <w:b/>
          <w:sz w:val="20"/>
        </w:rPr>
      </w:pPr>
      <w:r w:rsidRPr="00537742">
        <w:rPr>
          <w:noProof/>
          <w:lang w:eastAsia="en-US"/>
        </w:rPr>
        <w:drawing>
          <wp:inline distT="0" distB="0" distL="0" distR="0" wp14:anchorId="70A868D3" wp14:editId="6EA55FB9">
            <wp:extent cx="4887340" cy="3761678"/>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87409" cy="3761731"/>
                    </a:xfrm>
                    <a:prstGeom prst="rect">
                      <a:avLst/>
                    </a:prstGeom>
                    <a:noFill/>
                    <a:ln>
                      <a:noFill/>
                    </a:ln>
                  </pic:spPr>
                </pic:pic>
              </a:graphicData>
            </a:graphic>
          </wp:inline>
        </w:drawing>
      </w:r>
    </w:p>
    <w:p w14:paraId="65928236" w14:textId="77777777" w:rsidR="00B65F7B" w:rsidRPr="009B4A78" w:rsidRDefault="00B65F7B" w:rsidP="00F33E49">
      <w:pPr>
        <w:pStyle w:val="ListParagraph"/>
        <w:keepNext/>
        <w:keepLines/>
        <w:spacing w:after="240"/>
        <w:ind w:left="0"/>
        <w:jc w:val="center"/>
        <w:rPr>
          <w:rFonts w:ascii="Arial" w:hAnsi="Arial" w:cs="Arial"/>
          <w:b/>
          <w:sz w:val="20"/>
        </w:rPr>
      </w:pPr>
      <w:r w:rsidRPr="009B4A78">
        <w:rPr>
          <w:rFonts w:ascii="Arial" w:hAnsi="Arial" w:cs="Arial"/>
          <w:b/>
          <w:sz w:val="20"/>
        </w:rPr>
        <w:lastRenderedPageBreak/>
        <w:t xml:space="preserve">Program 9: Resources by Object of Expenditure </w:t>
      </w:r>
    </w:p>
    <w:p w14:paraId="409A2E01" w14:textId="77777777" w:rsidR="00B65F7B" w:rsidRPr="009B4A78" w:rsidRDefault="00B65F7B" w:rsidP="00F33E49">
      <w:pPr>
        <w:pStyle w:val="ListParagraph"/>
        <w:keepNext/>
        <w:keepLines/>
        <w:spacing w:after="240"/>
        <w:ind w:left="0"/>
        <w:jc w:val="center"/>
        <w:rPr>
          <w:rFonts w:ascii="Arial" w:hAnsi="Arial" w:cs="Arial"/>
          <w:i/>
          <w:sz w:val="20"/>
        </w:rPr>
      </w:pPr>
      <w:r w:rsidRPr="009B4A78">
        <w:rPr>
          <w:rFonts w:ascii="Arial" w:hAnsi="Arial" w:cs="Arial"/>
          <w:i/>
          <w:sz w:val="20"/>
        </w:rPr>
        <w:t>(in thousands of Swiss francs)</w:t>
      </w:r>
    </w:p>
    <w:p w14:paraId="75E3B4C7" w14:textId="77777777" w:rsidR="00B65F7B" w:rsidRPr="00093A8F" w:rsidRDefault="00B65F7B" w:rsidP="00F33E49">
      <w:pPr>
        <w:pStyle w:val="ListParagraph"/>
        <w:keepNext/>
        <w:keepLines/>
        <w:spacing w:after="240"/>
        <w:ind w:left="0"/>
        <w:jc w:val="center"/>
        <w:rPr>
          <w:rFonts w:ascii="Arial" w:hAnsi="Arial" w:cs="Arial"/>
          <w:i/>
          <w:sz w:val="18"/>
        </w:rPr>
      </w:pPr>
    </w:p>
    <w:p w14:paraId="3B9B1D05" w14:textId="77777777" w:rsidR="00B65F7B" w:rsidRPr="009B4A78" w:rsidRDefault="00B65F7B" w:rsidP="00F33E49">
      <w:pPr>
        <w:pStyle w:val="ListParagraph"/>
        <w:keepNext/>
        <w:keepLines/>
        <w:spacing w:after="240"/>
        <w:ind w:left="0"/>
        <w:jc w:val="center"/>
        <w:rPr>
          <w:rFonts w:ascii="Arial" w:hAnsi="Arial" w:cs="Arial"/>
          <w:i/>
          <w:sz w:val="20"/>
        </w:rPr>
      </w:pPr>
      <w:r w:rsidRPr="009B4A78">
        <w:rPr>
          <w:rFonts w:ascii="Arial" w:hAnsi="Arial" w:cs="Arial"/>
          <w:noProof/>
          <w:lang w:eastAsia="en-US"/>
        </w:rPr>
        <w:drawing>
          <wp:inline distT="0" distB="0" distL="0" distR="0" wp14:anchorId="2BB3DF0D" wp14:editId="0826711B">
            <wp:extent cx="4525993" cy="555001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34036" cy="5559873"/>
                    </a:xfrm>
                    <a:prstGeom prst="rect">
                      <a:avLst/>
                    </a:prstGeom>
                    <a:noFill/>
                    <a:ln>
                      <a:noFill/>
                    </a:ln>
                  </pic:spPr>
                </pic:pic>
              </a:graphicData>
            </a:graphic>
          </wp:inline>
        </w:drawing>
      </w:r>
    </w:p>
    <w:p w14:paraId="3034A7C2" w14:textId="77777777" w:rsidR="00B65F7B" w:rsidRPr="009B4A78" w:rsidRDefault="00B65F7B" w:rsidP="00F33E49">
      <w:pPr>
        <w:keepNext/>
        <w:keepLines/>
        <w:jc w:val="center"/>
        <w:rPr>
          <w:rFonts w:ascii="Arial" w:hAnsi="Arial" w:cs="Arial"/>
          <w:b/>
          <w:sz w:val="20"/>
        </w:rPr>
      </w:pPr>
      <w:r w:rsidRPr="009B4A78">
        <w:rPr>
          <w:rFonts w:ascii="Arial" w:hAnsi="Arial" w:cs="Arial"/>
          <w:b/>
          <w:sz w:val="20"/>
        </w:rPr>
        <w:t>Funds in Trust Potentially Available for Programming in 2016/17 (BY PROGRAM)</w:t>
      </w:r>
      <w:r w:rsidRPr="009B4A78">
        <w:rPr>
          <w:rFonts w:ascii="Arial" w:hAnsi="Arial" w:cs="Arial"/>
          <w:i/>
          <w:sz w:val="20"/>
          <w:vertAlign w:val="superscript"/>
        </w:rPr>
        <w:t xml:space="preserve"> </w:t>
      </w:r>
      <w:r w:rsidRPr="009B4A78">
        <w:rPr>
          <w:rFonts w:ascii="Arial" w:hAnsi="Arial" w:cs="Arial"/>
          <w:sz w:val="20"/>
          <w:vertAlign w:val="superscript"/>
        </w:rPr>
        <w:t>1</w:t>
      </w:r>
    </w:p>
    <w:p w14:paraId="6F149909" w14:textId="77777777" w:rsidR="00B65F7B" w:rsidRPr="009B4A78" w:rsidRDefault="00B65F7B" w:rsidP="00F33E49">
      <w:pPr>
        <w:keepNext/>
        <w:keepLines/>
        <w:jc w:val="center"/>
        <w:rPr>
          <w:rFonts w:ascii="Arial" w:hAnsi="Arial" w:cs="Arial"/>
          <w:i/>
          <w:sz w:val="20"/>
        </w:rPr>
      </w:pPr>
      <w:r w:rsidRPr="009B4A78">
        <w:rPr>
          <w:rFonts w:ascii="Arial" w:hAnsi="Arial" w:cs="Arial"/>
          <w:i/>
          <w:sz w:val="20"/>
        </w:rPr>
        <w:t>(in thousands of Swiss francs)</w:t>
      </w:r>
    </w:p>
    <w:p w14:paraId="043FED21" w14:textId="77777777" w:rsidR="00B65F7B" w:rsidRPr="00093A8F" w:rsidRDefault="00B65F7B" w:rsidP="00F33E49">
      <w:pPr>
        <w:pStyle w:val="ListParagraph"/>
        <w:keepNext/>
        <w:keepLines/>
        <w:spacing w:after="240"/>
        <w:ind w:left="0"/>
        <w:jc w:val="center"/>
        <w:rPr>
          <w:rFonts w:ascii="Arial" w:hAnsi="Arial" w:cs="Arial"/>
          <w:i/>
          <w:sz w:val="18"/>
        </w:rPr>
      </w:pPr>
    </w:p>
    <w:p w14:paraId="2378AC09" w14:textId="77777777" w:rsidR="00B65F7B" w:rsidRPr="00093A8F" w:rsidRDefault="00B65F7B" w:rsidP="00F33E49">
      <w:pPr>
        <w:pStyle w:val="ListParagraph"/>
        <w:keepNext/>
        <w:keepLines/>
        <w:spacing w:after="240"/>
        <w:ind w:left="0"/>
        <w:jc w:val="center"/>
        <w:rPr>
          <w:rFonts w:ascii="Arial" w:hAnsi="Arial" w:cs="Arial"/>
          <w:i/>
          <w:sz w:val="14"/>
        </w:rPr>
      </w:pPr>
      <w:r w:rsidRPr="009B4A78">
        <w:rPr>
          <w:rFonts w:ascii="Arial" w:hAnsi="Arial" w:cs="Arial"/>
          <w:noProof/>
          <w:lang w:eastAsia="en-US"/>
        </w:rPr>
        <w:drawing>
          <wp:inline distT="0" distB="0" distL="0" distR="0" wp14:anchorId="1B2F60F3" wp14:editId="27E5E04D">
            <wp:extent cx="4564049" cy="1534893"/>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91314" cy="1544062"/>
                    </a:xfrm>
                    <a:prstGeom prst="rect">
                      <a:avLst/>
                    </a:prstGeom>
                    <a:noFill/>
                    <a:ln>
                      <a:noFill/>
                    </a:ln>
                  </pic:spPr>
                </pic:pic>
              </a:graphicData>
            </a:graphic>
          </wp:inline>
        </w:drawing>
      </w:r>
    </w:p>
    <w:p w14:paraId="676C8CB7" w14:textId="77777777" w:rsidR="00B65F7B" w:rsidRPr="009B4A78" w:rsidRDefault="00B65F7B" w:rsidP="00093A8F">
      <w:pPr>
        <w:keepNext/>
        <w:keepLines/>
        <w:spacing w:after="60"/>
        <w:rPr>
          <w:rFonts w:ascii="Arial" w:hAnsi="Arial" w:cs="Arial"/>
          <w:i/>
          <w:sz w:val="16"/>
          <w:szCs w:val="14"/>
        </w:rPr>
      </w:pPr>
      <w:r w:rsidRPr="009B4A78">
        <w:rPr>
          <w:rFonts w:ascii="Arial" w:hAnsi="Arial" w:cs="Arial"/>
          <w:i/>
          <w:sz w:val="16"/>
          <w:szCs w:val="14"/>
          <w:vertAlign w:val="superscript"/>
        </w:rPr>
        <w:t>1</w:t>
      </w:r>
      <w:r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115DA0B" w14:textId="77777777" w:rsidR="00B65F7B" w:rsidRPr="009B4A78" w:rsidRDefault="00B65F7B" w:rsidP="00FB68E0">
      <w:pPr>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05912757" w14:textId="60A6539D" w:rsidR="00B65F7B" w:rsidRPr="009B4A78" w:rsidRDefault="00B65F7B" w:rsidP="00093A8F">
      <w:pPr>
        <w:spacing w:after="60"/>
        <w:rPr>
          <w:rFonts w:ascii="Arial" w:hAnsi="Arial" w:cs="Arial"/>
          <w:sz w:val="20"/>
        </w:rPr>
      </w:pPr>
      <w:r w:rsidRPr="009B4A78">
        <w:rPr>
          <w:rFonts w:ascii="Arial" w:hAnsi="Arial" w:cs="Arial"/>
          <w:i/>
          <w:sz w:val="16"/>
          <w:szCs w:val="14"/>
          <w:vertAlign w:val="superscript"/>
        </w:rPr>
        <w:t>3</w:t>
      </w:r>
      <w:r w:rsidRPr="009B4A78">
        <w:rPr>
          <w:rFonts w:ascii="Arial" w:hAnsi="Arial" w:cs="Arial"/>
          <w:i/>
          <w:sz w:val="16"/>
          <w:szCs w:val="14"/>
        </w:rPr>
        <w:t>Annual contributions vary and fluctuations have been observed from one year to another.</w:t>
      </w:r>
      <w:r w:rsidRPr="009B4A78">
        <w:rPr>
          <w:rFonts w:ascii="Arial" w:hAnsi="Arial" w:cs="Arial"/>
          <w:sz w:val="20"/>
        </w:rPr>
        <w:br w:type="page"/>
      </w:r>
    </w:p>
    <w:p w14:paraId="3179F9B0" w14:textId="77777777" w:rsidR="0036187D" w:rsidRPr="0036187D" w:rsidRDefault="0036187D" w:rsidP="0036187D">
      <w:pPr>
        <w:pStyle w:val="StyleHeading3ComplexItalic"/>
        <w:keepLines/>
        <w:ind w:left="1985" w:hanging="1985"/>
      </w:pPr>
      <w:bookmarkStart w:id="42" w:name="_Toc431221418"/>
      <w:r w:rsidRPr="00DF647B">
        <w:lastRenderedPageBreak/>
        <w:t>PROGRAM 10</w:t>
      </w:r>
      <w:r w:rsidRPr="00DF647B">
        <w:tab/>
      </w:r>
      <w:r w:rsidRPr="00DF647B">
        <w:tab/>
        <w:t>TRANSITION AND DEVELOPED COUNTRIES</w:t>
      </w:r>
      <w:bookmarkEnd w:id="42"/>
      <w:r w:rsidRPr="00DF647B">
        <w:t xml:space="preserve">   </w:t>
      </w:r>
    </w:p>
    <w:p w14:paraId="2F6C900F" w14:textId="77777777" w:rsidR="0036187D" w:rsidRPr="0036187D" w:rsidRDefault="0036187D" w:rsidP="00511015">
      <w:pPr>
        <w:jc w:val="both"/>
        <w:rPr>
          <w:rFonts w:ascii="Arial" w:hAnsi="Arial" w:cs="Arial"/>
          <w:b/>
        </w:rPr>
      </w:pPr>
    </w:p>
    <w:p w14:paraId="72DF4EFC" w14:textId="77777777" w:rsidR="0036187D" w:rsidRPr="0036187D" w:rsidRDefault="0036187D" w:rsidP="00511015">
      <w:pPr>
        <w:jc w:val="both"/>
        <w:rPr>
          <w:rFonts w:ascii="Arial" w:hAnsi="Arial" w:cs="Arial"/>
        </w:rPr>
      </w:pPr>
    </w:p>
    <w:p w14:paraId="7BE61AF2" w14:textId="77777777" w:rsidR="0036187D" w:rsidRPr="0036187D" w:rsidRDefault="0036187D" w:rsidP="00511015">
      <w:pPr>
        <w:jc w:val="both"/>
        <w:rPr>
          <w:rFonts w:ascii="Arial" w:hAnsi="Arial" w:cs="Arial"/>
        </w:rPr>
      </w:pPr>
      <w:r w:rsidRPr="0036187D">
        <w:rPr>
          <w:rFonts w:ascii="Arial" w:hAnsi="Arial" w:cs="Arial"/>
        </w:rPr>
        <w:t xml:space="preserve">PLANNING CONTEXT </w:t>
      </w:r>
    </w:p>
    <w:p w14:paraId="45A4AA6D" w14:textId="77777777" w:rsidR="0036187D" w:rsidRPr="0036187D" w:rsidRDefault="0036187D" w:rsidP="00511015">
      <w:pPr>
        <w:ind w:left="3"/>
        <w:jc w:val="both"/>
        <w:rPr>
          <w:rFonts w:ascii="Arial" w:hAnsi="Arial" w:cs="Arial"/>
        </w:rPr>
      </w:pPr>
    </w:p>
    <w:p w14:paraId="592B02D2"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The consequences of the global financial crisis and the instability of markets continue to impact national economies.  On the one hand, such impact limits the availability of funds for research and development (R&amp;D) and encourages cautious behavior. On the other hand, it opens the door for innovation and creativity to promote economic growth.  Many countries consider the role of innovation and IP a key factor for economic growth, investing resources to create a balanced and effective IP ecosystem.  Internationalization of innovative and creative activities enables cross-country and inter-regional partnerships, potentially leading to more effective usage of international IP protection systems. </w:t>
      </w:r>
    </w:p>
    <w:p w14:paraId="6218095B" w14:textId="77777777" w:rsidR="0036187D" w:rsidRPr="0036187D" w:rsidRDefault="0036187D" w:rsidP="00511015">
      <w:pPr>
        <w:jc w:val="both"/>
        <w:rPr>
          <w:rFonts w:ascii="Arial" w:hAnsi="Arial" w:cs="Arial"/>
        </w:rPr>
      </w:pPr>
    </w:p>
    <w:p w14:paraId="70FEDA5A" w14:textId="6F572977" w:rsidR="00A15C14" w:rsidRDefault="00A15C14" w:rsidP="00B66A4A">
      <w:pPr>
        <w:pStyle w:val="ListParagraph"/>
        <w:numPr>
          <w:ilvl w:val="0"/>
          <w:numId w:val="36"/>
        </w:numPr>
        <w:tabs>
          <w:tab w:val="right" w:pos="709"/>
        </w:tabs>
        <w:ind w:left="0" w:firstLine="0"/>
        <w:jc w:val="both"/>
        <w:rPr>
          <w:rFonts w:ascii="Arial" w:hAnsi="Arial" w:cs="Arial"/>
          <w:sz w:val="20"/>
        </w:rPr>
      </w:pPr>
      <w:r>
        <w:rPr>
          <w:rFonts w:ascii="Arial" w:hAnsi="Arial" w:cs="Arial"/>
          <w:sz w:val="20"/>
        </w:rPr>
        <w:t>Against this backdrop, a growing demand is expected from countries in transition for the development of tailored, long-term, results-oriented national IP strategies and plans aligned with national economic and cultural goals.</w:t>
      </w:r>
    </w:p>
    <w:p w14:paraId="7C0B9352" w14:textId="77777777" w:rsidR="00A15C14" w:rsidRPr="00A15C14" w:rsidRDefault="00A15C14" w:rsidP="00A15C14">
      <w:pPr>
        <w:pStyle w:val="ListParagraph"/>
        <w:rPr>
          <w:rFonts w:ascii="Arial" w:hAnsi="Arial" w:cs="Arial"/>
          <w:sz w:val="20"/>
        </w:rPr>
      </w:pPr>
    </w:p>
    <w:p w14:paraId="4F2BC472" w14:textId="26E90CDC"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It therefore </w:t>
      </w:r>
      <w:r w:rsidR="00A15C14">
        <w:rPr>
          <w:rFonts w:ascii="Arial" w:hAnsi="Arial" w:cs="Arial"/>
          <w:sz w:val="20"/>
        </w:rPr>
        <w:t xml:space="preserve">also </w:t>
      </w:r>
      <w:r w:rsidRPr="0036187D">
        <w:rPr>
          <w:rFonts w:ascii="Arial" w:hAnsi="Arial" w:cs="Arial"/>
          <w:sz w:val="20"/>
        </w:rPr>
        <w:t xml:space="preserve">appears indispensable to enhance </w:t>
      </w:r>
      <w:r w:rsidR="00A15C14">
        <w:rPr>
          <w:rFonts w:ascii="Arial" w:hAnsi="Arial" w:cs="Arial"/>
          <w:sz w:val="20"/>
        </w:rPr>
        <w:t xml:space="preserve">and streamline </w:t>
      </w:r>
      <w:r w:rsidRPr="0036187D">
        <w:rPr>
          <w:rFonts w:ascii="Arial" w:hAnsi="Arial" w:cs="Arial"/>
          <w:sz w:val="20"/>
        </w:rPr>
        <w:t xml:space="preserve">the interaction between </w:t>
      </w:r>
      <w:r w:rsidR="00A15C14">
        <w:rPr>
          <w:rFonts w:ascii="Arial" w:hAnsi="Arial" w:cs="Arial"/>
          <w:sz w:val="20"/>
        </w:rPr>
        <w:t xml:space="preserve">WIPO and </w:t>
      </w:r>
      <w:r w:rsidRPr="0036187D">
        <w:rPr>
          <w:rFonts w:ascii="Arial" w:hAnsi="Arial" w:cs="Arial"/>
          <w:sz w:val="20"/>
        </w:rPr>
        <w:t xml:space="preserve">all stakeholders in </w:t>
      </w:r>
      <w:r w:rsidR="00A15C14">
        <w:rPr>
          <w:rFonts w:ascii="Arial" w:hAnsi="Arial" w:cs="Arial"/>
          <w:sz w:val="20"/>
        </w:rPr>
        <w:t xml:space="preserve">transition and </w:t>
      </w:r>
      <w:r w:rsidRPr="0036187D">
        <w:rPr>
          <w:rFonts w:ascii="Arial" w:hAnsi="Arial" w:cs="Arial"/>
          <w:sz w:val="20"/>
        </w:rPr>
        <w:t>developed countries with a view to further rais</w:t>
      </w:r>
      <w:r w:rsidR="00A15C14">
        <w:rPr>
          <w:rFonts w:ascii="Arial" w:hAnsi="Arial" w:cs="Arial"/>
          <w:sz w:val="20"/>
        </w:rPr>
        <w:t>e</w:t>
      </w:r>
      <w:r w:rsidRPr="0036187D">
        <w:rPr>
          <w:rFonts w:ascii="Arial" w:hAnsi="Arial" w:cs="Arial"/>
          <w:sz w:val="20"/>
        </w:rPr>
        <w:t xml:space="preserve"> the profile and standing of </w:t>
      </w:r>
      <w:r w:rsidR="00A15C14">
        <w:rPr>
          <w:rFonts w:ascii="Arial" w:hAnsi="Arial" w:cs="Arial"/>
          <w:sz w:val="20"/>
        </w:rPr>
        <w:t>the Organization</w:t>
      </w:r>
      <w:r w:rsidR="00A15C14" w:rsidRPr="0036187D">
        <w:rPr>
          <w:rFonts w:ascii="Arial" w:hAnsi="Arial" w:cs="Arial"/>
          <w:sz w:val="20"/>
        </w:rPr>
        <w:t xml:space="preserve"> </w:t>
      </w:r>
      <w:r w:rsidRPr="0036187D">
        <w:rPr>
          <w:rFonts w:ascii="Arial" w:hAnsi="Arial" w:cs="Arial"/>
          <w:sz w:val="20"/>
        </w:rPr>
        <w:t>in the countries concerned, as well as increas</w:t>
      </w:r>
      <w:r w:rsidR="00A15C14">
        <w:rPr>
          <w:rFonts w:ascii="Arial" w:hAnsi="Arial" w:cs="Arial"/>
          <w:sz w:val="20"/>
        </w:rPr>
        <w:t>e</w:t>
      </w:r>
      <w:r w:rsidRPr="0036187D">
        <w:rPr>
          <w:rFonts w:ascii="Arial" w:hAnsi="Arial" w:cs="Arial"/>
          <w:sz w:val="20"/>
        </w:rPr>
        <w:t xml:space="preserve"> awareness about the opportunities related to WIPO’s normative agenda, initiatives and services.  The demand for developing tailored, long-term, results-oriented national IP strategies and plans, aligned with national economic and cultural strategies, will continue to grow in the biennium. </w:t>
      </w:r>
    </w:p>
    <w:p w14:paraId="5D1C21D4" w14:textId="77777777" w:rsidR="0036187D" w:rsidRPr="0036187D" w:rsidRDefault="0036187D" w:rsidP="00511015">
      <w:pPr>
        <w:jc w:val="both"/>
        <w:rPr>
          <w:rFonts w:ascii="Arial" w:hAnsi="Arial" w:cs="Arial"/>
          <w:sz w:val="20"/>
        </w:rPr>
      </w:pPr>
    </w:p>
    <w:p w14:paraId="1B4AA8BF" w14:textId="51E5C8DC"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A coordinated institutional approach will bring benefits to both WIPO and its Member States.  Strengthening institutional relations and increasing awareness of WIPO services and activities among a broader audience in the countries concerned will remain </w:t>
      </w:r>
      <w:r w:rsidR="00A15C14">
        <w:rPr>
          <w:rFonts w:ascii="Arial" w:hAnsi="Arial" w:cs="Arial"/>
          <w:sz w:val="20"/>
        </w:rPr>
        <w:t xml:space="preserve">a </w:t>
      </w:r>
      <w:r w:rsidR="00A15C14" w:rsidRPr="0036187D">
        <w:rPr>
          <w:rFonts w:ascii="Arial" w:hAnsi="Arial" w:cs="Arial"/>
          <w:sz w:val="20"/>
        </w:rPr>
        <w:t>priorit</w:t>
      </w:r>
      <w:r w:rsidR="00A15C14">
        <w:rPr>
          <w:rFonts w:ascii="Arial" w:hAnsi="Arial" w:cs="Arial"/>
          <w:sz w:val="20"/>
        </w:rPr>
        <w:t>y</w:t>
      </w:r>
      <w:r w:rsidRPr="0036187D">
        <w:rPr>
          <w:rFonts w:ascii="Arial" w:hAnsi="Arial" w:cs="Arial"/>
          <w:sz w:val="20"/>
        </w:rPr>
        <w:t xml:space="preserve">.  </w:t>
      </w:r>
    </w:p>
    <w:p w14:paraId="1A385BFD" w14:textId="77777777" w:rsidR="0036187D" w:rsidRPr="0036187D" w:rsidRDefault="0036187D" w:rsidP="00511015">
      <w:pPr>
        <w:jc w:val="both"/>
        <w:rPr>
          <w:rFonts w:ascii="Arial" w:hAnsi="Arial" w:cs="Arial"/>
          <w:sz w:val="20"/>
        </w:rPr>
      </w:pPr>
    </w:p>
    <w:p w14:paraId="7F2DC003" w14:textId="6CC8BB14"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In addition, many </w:t>
      </w:r>
      <w:r w:rsidR="00A15C14">
        <w:rPr>
          <w:rFonts w:ascii="Arial" w:hAnsi="Arial" w:cs="Arial"/>
          <w:sz w:val="20"/>
        </w:rPr>
        <w:t xml:space="preserve">transition and developed </w:t>
      </w:r>
      <w:r w:rsidRPr="0036187D">
        <w:rPr>
          <w:rFonts w:ascii="Arial" w:hAnsi="Arial" w:cs="Arial"/>
          <w:sz w:val="20"/>
        </w:rPr>
        <w:t xml:space="preserve">countries have joined the WIPO Systems, in particular the PCT and the Madrid Systems, and some countries are planning to join. The full potential of these Systems in the region has not yet been fully realized. For this reason, there is a need to further strengthen their promotion and continue to organize targeted training on their use.   </w:t>
      </w:r>
    </w:p>
    <w:p w14:paraId="192C41C2" w14:textId="77777777" w:rsidR="0036187D" w:rsidRPr="0036187D" w:rsidRDefault="0036187D" w:rsidP="00511015">
      <w:pPr>
        <w:jc w:val="both"/>
        <w:rPr>
          <w:rFonts w:ascii="Arial" w:hAnsi="Arial" w:cs="Arial"/>
        </w:rPr>
      </w:pPr>
    </w:p>
    <w:p w14:paraId="51E35CF5" w14:textId="77777777" w:rsidR="0036187D" w:rsidRPr="0036187D" w:rsidRDefault="0036187D" w:rsidP="00511015">
      <w:pPr>
        <w:jc w:val="both"/>
        <w:rPr>
          <w:rFonts w:ascii="Arial" w:hAnsi="Arial" w:cs="Arial"/>
        </w:rPr>
      </w:pPr>
      <w:r w:rsidRPr="0036187D">
        <w:rPr>
          <w:rFonts w:ascii="Arial" w:hAnsi="Arial" w:cs="Arial"/>
        </w:rPr>
        <w:t>IMPLEMENTATION STRATEGIES</w:t>
      </w:r>
    </w:p>
    <w:p w14:paraId="1A7206A9" w14:textId="77777777" w:rsidR="0036187D" w:rsidRPr="0036187D" w:rsidRDefault="0036187D" w:rsidP="00511015">
      <w:pPr>
        <w:jc w:val="both"/>
        <w:rPr>
          <w:rFonts w:ascii="Arial" w:hAnsi="Arial" w:cs="Arial"/>
        </w:rPr>
      </w:pPr>
    </w:p>
    <w:p w14:paraId="23764B33" w14:textId="2477DC9C"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The Program will continue to provide assistance to</w:t>
      </w:r>
      <w:r w:rsidR="00B66A4A">
        <w:rPr>
          <w:rFonts w:ascii="Arial" w:hAnsi="Arial" w:cs="Arial"/>
          <w:sz w:val="20"/>
        </w:rPr>
        <w:t xml:space="preserve"> </w:t>
      </w:r>
      <w:r w:rsidR="00B66A4A" w:rsidRPr="00B66A4A">
        <w:rPr>
          <w:rFonts w:ascii="Arial" w:hAnsi="Arial" w:cs="Arial"/>
          <w:sz w:val="20"/>
        </w:rPr>
        <w:t>Central European and Baltic States, Central Asian, Eastern European and Caucasian countries, as well as some Mediterranean countries</w:t>
      </w:r>
      <w:r w:rsidRPr="0036187D">
        <w:rPr>
          <w:rFonts w:ascii="Arial" w:hAnsi="Arial" w:cs="Arial"/>
          <w:sz w:val="20"/>
        </w:rPr>
        <w:t xml:space="preserve">, </w:t>
      </w:r>
      <w:r w:rsidR="00B66A4A">
        <w:rPr>
          <w:rFonts w:ascii="Arial" w:hAnsi="Arial" w:cs="Arial"/>
          <w:sz w:val="20"/>
        </w:rPr>
        <w:t xml:space="preserve">by </w:t>
      </w:r>
      <w:r w:rsidRPr="0036187D">
        <w:rPr>
          <w:rFonts w:ascii="Arial" w:hAnsi="Arial" w:cs="Arial"/>
          <w:sz w:val="20"/>
        </w:rPr>
        <w:t>focusing on tailored and balanced IP legislative regulatory and policy frameworks; enhanced use of WIPO Services; clearly defined and coherent national innovation and IP policies, strategies and development plans consistent with national development goals and objectives; enhanced human resource capacities to deal with the broad range of requirements for the effective use of IP for development, as well as to strengthen the cooperation mechanisms and programs.</w:t>
      </w:r>
      <w:r w:rsidR="00B66A4A">
        <w:rPr>
          <w:rFonts w:ascii="Arial" w:hAnsi="Arial" w:cs="Arial"/>
          <w:sz w:val="20"/>
        </w:rPr>
        <w:t xml:space="preserve">  </w:t>
      </w:r>
      <w:r w:rsidR="00B66A4A" w:rsidRPr="00B66A4A">
        <w:rPr>
          <w:rFonts w:ascii="Arial" w:hAnsi="Arial" w:cs="Arial"/>
          <w:sz w:val="20"/>
        </w:rPr>
        <w:t>Regarding developed countries, the Program will focus on th</w:t>
      </w:r>
      <w:r w:rsidR="00B66A4A">
        <w:rPr>
          <w:rFonts w:ascii="Arial" w:hAnsi="Arial" w:cs="Arial"/>
          <w:sz w:val="20"/>
        </w:rPr>
        <w:t>e promotion of the use of WIPO s</w:t>
      </w:r>
      <w:r w:rsidR="00B66A4A" w:rsidRPr="00B66A4A">
        <w:rPr>
          <w:rFonts w:ascii="Arial" w:hAnsi="Arial" w:cs="Arial"/>
          <w:sz w:val="20"/>
        </w:rPr>
        <w:t>ervices and initiatives.</w:t>
      </w:r>
    </w:p>
    <w:p w14:paraId="0C2FBA26" w14:textId="77777777" w:rsidR="0036187D" w:rsidRPr="0036187D" w:rsidRDefault="0036187D" w:rsidP="00511015">
      <w:pPr>
        <w:jc w:val="both"/>
        <w:rPr>
          <w:rFonts w:ascii="Arial" w:hAnsi="Arial" w:cs="Arial"/>
          <w:sz w:val="20"/>
        </w:rPr>
      </w:pPr>
    </w:p>
    <w:p w14:paraId="1E04F662"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Through the support and close coordination with other relevant Programs and inputs from Member States, Program 10 will guide the development and implementation of balanced, long-term and results-oriented country cooperation plans, ensuring that WIPO’s assistance dovetails with the national IP strategy objectives. </w:t>
      </w:r>
    </w:p>
    <w:p w14:paraId="3F6CD861" w14:textId="77777777" w:rsidR="0036187D" w:rsidRDefault="0036187D" w:rsidP="00093A8F">
      <w:pPr>
        <w:keepNext/>
        <w:keepLines/>
        <w:jc w:val="both"/>
        <w:rPr>
          <w:rFonts w:ascii="Arial" w:hAnsi="Arial" w:cs="Arial"/>
          <w:sz w:val="20"/>
        </w:rPr>
      </w:pPr>
    </w:p>
    <w:p w14:paraId="38DC3655" w14:textId="330FE548" w:rsidR="007A5A68" w:rsidRPr="00B70B7D" w:rsidRDefault="007A5A68" w:rsidP="00B66A4A">
      <w:pPr>
        <w:pStyle w:val="ListParagraph"/>
        <w:keepNext/>
        <w:keepLines/>
        <w:numPr>
          <w:ilvl w:val="0"/>
          <w:numId w:val="36"/>
        </w:numPr>
        <w:tabs>
          <w:tab w:val="right" w:pos="709"/>
        </w:tabs>
        <w:ind w:left="0" w:firstLine="0"/>
        <w:jc w:val="both"/>
        <w:rPr>
          <w:rFonts w:ascii="Arial" w:hAnsi="Arial" w:cs="Arial"/>
          <w:sz w:val="20"/>
        </w:rPr>
      </w:pPr>
      <w:r w:rsidRPr="00B70B7D">
        <w:rPr>
          <w:rFonts w:ascii="Arial" w:hAnsi="Arial" w:cs="Arial"/>
          <w:sz w:val="20"/>
        </w:rPr>
        <w:t>Program 1</w:t>
      </w:r>
      <w:r>
        <w:rPr>
          <w:rFonts w:ascii="Arial" w:hAnsi="Arial" w:cs="Arial"/>
          <w:sz w:val="20"/>
        </w:rPr>
        <w:t>0</w:t>
      </w:r>
      <w:r w:rsidRPr="00B70B7D">
        <w:rPr>
          <w:rFonts w:ascii="Arial" w:hAnsi="Arial" w:cs="Arial"/>
          <w:sz w:val="20"/>
        </w:rPr>
        <w:t xml:space="preserve"> collaborates primarily with other Programs as illustrated below: </w:t>
      </w:r>
    </w:p>
    <w:p w14:paraId="35FFFEBC" w14:textId="77777777" w:rsidR="007A5A68" w:rsidRPr="0036187D" w:rsidRDefault="007A5A68" w:rsidP="00093A8F">
      <w:pPr>
        <w:keepNext/>
        <w:keepLines/>
        <w:jc w:val="both"/>
        <w:rPr>
          <w:rFonts w:ascii="Arial" w:hAnsi="Arial" w:cs="Arial"/>
          <w:sz w:val="20"/>
        </w:rPr>
      </w:pPr>
    </w:p>
    <w:p w14:paraId="4DB5E5B7" w14:textId="61B30F7D" w:rsidR="0036187D" w:rsidRPr="0036187D" w:rsidRDefault="00FA2257" w:rsidP="00093A8F">
      <w:pPr>
        <w:keepNext/>
        <w:keepLines/>
        <w:jc w:val="both"/>
        <w:rPr>
          <w:rFonts w:ascii="Arial" w:hAnsi="Arial" w:cs="Arial"/>
        </w:rPr>
      </w:pPr>
      <w:r w:rsidRPr="00DF647B">
        <w:rPr>
          <w:noProof/>
          <w:lang w:eastAsia="en-US"/>
        </w:rPr>
        <w:drawing>
          <wp:inline distT="0" distB="0" distL="0" distR="0" wp14:anchorId="5FFC8F73" wp14:editId="43378F18">
            <wp:extent cx="5943600" cy="2706624"/>
            <wp:effectExtent l="19050" t="38100" r="38100" b="9398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63A8D92" w14:textId="77777777" w:rsidR="0036187D" w:rsidRPr="0036187D" w:rsidRDefault="0036187D" w:rsidP="00093A8F">
      <w:pPr>
        <w:keepNext/>
        <w:keepLines/>
        <w:jc w:val="both"/>
        <w:rPr>
          <w:rFonts w:ascii="Arial" w:hAnsi="Arial" w:cs="Arial"/>
        </w:rPr>
      </w:pPr>
    </w:p>
    <w:p w14:paraId="1F56100E" w14:textId="3FBDBEC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Promotion of WIPO products and services will be prioritized.  The Roving Seminars on WIPO Services and Initiatives, which have been successfully organized in many </w:t>
      </w:r>
      <w:r w:rsidR="00A15C14" w:rsidRPr="0036187D">
        <w:rPr>
          <w:rFonts w:ascii="Arial" w:hAnsi="Arial" w:cs="Arial"/>
          <w:sz w:val="20"/>
        </w:rPr>
        <w:t>countries,</w:t>
      </w:r>
      <w:r w:rsidRPr="0036187D">
        <w:rPr>
          <w:rFonts w:ascii="Arial" w:hAnsi="Arial" w:cs="Arial"/>
          <w:sz w:val="20"/>
        </w:rPr>
        <w:t xml:space="preserve"> will be further expanded into new regions. </w:t>
      </w:r>
    </w:p>
    <w:p w14:paraId="43B29FC9" w14:textId="77777777" w:rsidR="0036187D" w:rsidRPr="0036187D" w:rsidRDefault="0036187D" w:rsidP="00511015">
      <w:pPr>
        <w:jc w:val="both"/>
        <w:rPr>
          <w:rFonts w:ascii="Arial" w:hAnsi="Arial" w:cs="Arial"/>
          <w:sz w:val="20"/>
        </w:rPr>
      </w:pPr>
    </w:p>
    <w:p w14:paraId="36A8AC6D"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Two important aspects of expanding the usage of WIPO services during the biennium will be: (</w:t>
      </w:r>
      <w:proofErr w:type="spellStart"/>
      <w:r w:rsidRPr="0036187D">
        <w:rPr>
          <w:rFonts w:ascii="Arial" w:hAnsi="Arial" w:cs="Arial"/>
          <w:sz w:val="20"/>
        </w:rPr>
        <w:t>i</w:t>
      </w:r>
      <w:proofErr w:type="spellEnd"/>
      <w:r w:rsidRPr="0036187D">
        <w:rPr>
          <w:rFonts w:ascii="Arial" w:hAnsi="Arial" w:cs="Arial"/>
          <w:sz w:val="20"/>
        </w:rPr>
        <w:t xml:space="preserve">) to ensure that current users are able to maximize the potential of the Systems; and (ii) that potential users, many of whom are located in Member States accounting for the highest usage of WIPO Systems, are actively engaged.  In response, targeted and sustained outreach with the aim of maximizing usage in national markets where WIPO system value is already proven and recognized will be established.  </w:t>
      </w:r>
    </w:p>
    <w:p w14:paraId="7FEB933B" w14:textId="77777777" w:rsidR="0036187D" w:rsidRPr="0036187D" w:rsidRDefault="0036187D" w:rsidP="00511015">
      <w:pPr>
        <w:jc w:val="both"/>
        <w:rPr>
          <w:rFonts w:ascii="Arial" w:hAnsi="Arial" w:cs="Arial"/>
          <w:sz w:val="20"/>
        </w:rPr>
      </w:pPr>
    </w:p>
    <w:p w14:paraId="0B7C4323" w14:textId="33070C44"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In addition, the Program will continue to build on certain commonalities and shared features of the economic and IP systems of </w:t>
      </w:r>
      <w:r w:rsidR="00A15C14">
        <w:rPr>
          <w:rFonts w:ascii="Arial" w:hAnsi="Arial" w:cs="Arial"/>
          <w:sz w:val="20"/>
        </w:rPr>
        <w:t xml:space="preserve">transition and developed </w:t>
      </w:r>
      <w:r w:rsidRPr="0036187D">
        <w:rPr>
          <w:rFonts w:ascii="Arial" w:hAnsi="Arial" w:cs="Arial"/>
          <w:sz w:val="20"/>
        </w:rPr>
        <w:t xml:space="preserve">countries and will support the exchange of experience, lessons learned and best practices.  </w:t>
      </w:r>
    </w:p>
    <w:p w14:paraId="39283D34" w14:textId="77777777" w:rsidR="0036187D" w:rsidRPr="0036187D" w:rsidRDefault="0036187D" w:rsidP="00511015">
      <w:pPr>
        <w:jc w:val="both"/>
        <w:rPr>
          <w:rFonts w:ascii="Arial" w:hAnsi="Arial" w:cs="Arial"/>
          <w:sz w:val="20"/>
        </w:rPr>
      </w:pPr>
    </w:p>
    <w:p w14:paraId="57C0C32A"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Capacity building activities will be planned and implemented in line with the national cooperation plans and, where applicable, national IP strategies, with a focus on the establishment of self-sufficient national training programs, which can be conducted by local authorities.  </w:t>
      </w:r>
    </w:p>
    <w:p w14:paraId="190C02D8" w14:textId="77777777" w:rsidR="0036187D" w:rsidRPr="0036187D" w:rsidRDefault="0036187D" w:rsidP="00511015">
      <w:pPr>
        <w:jc w:val="both"/>
        <w:rPr>
          <w:rFonts w:ascii="Arial" w:hAnsi="Arial" w:cs="Arial"/>
          <w:sz w:val="20"/>
        </w:rPr>
      </w:pPr>
    </w:p>
    <w:p w14:paraId="7CD5D11C" w14:textId="306E5503"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An enhanced two-stage evaluation of activities will enable the Program to further improve and tailor its activities to the specific needs of the </w:t>
      </w:r>
      <w:r w:rsidR="00A15C14">
        <w:rPr>
          <w:rFonts w:ascii="Arial" w:hAnsi="Arial" w:cs="Arial"/>
          <w:sz w:val="20"/>
        </w:rPr>
        <w:t>countries</w:t>
      </w:r>
      <w:r w:rsidRPr="0036187D">
        <w:rPr>
          <w:rFonts w:ascii="Arial" w:hAnsi="Arial" w:cs="Arial"/>
          <w:sz w:val="20"/>
        </w:rPr>
        <w:t xml:space="preserve">, including the streamlining of gender equality into relevant activities. </w:t>
      </w:r>
    </w:p>
    <w:p w14:paraId="31C42BAA" w14:textId="77777777" w:rsidR="0036187D" w:rsidRPr="0036187D" w:rsidRDefault="0036187D" w:rsidP="00511015">
      <w:pPr>
        <w:jc w:val="both"/>
        <w:rPr>
          <w:rFonts w:ascii="Arial" w:hAnsi="Arial" w:cs="Arial"/>
          <w:sz w:val="20"/>
        </w:rPr>
      </w:pPr>
    </w:p>
    <w:p w14:paraId="4DCBE269" w14:textId="77777777"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In order to better ensure a balanced development of the IP system, the interaction with all concerned stakeholders, including governments, industry and users, will be strengthened. Sustainable IP experience sharing platforms, which will potentially lead to better coordination between stakeholders, will be developed.</w:t>
      </w:r>
    </w:p>
    <w:p w14:paraId="21B9C531" w14:textId="77777777" w:rsidR="0036187D" w:rsidRPr="0036187D" w:rsidRDefault="0036187D" w:rsidP="00511015">
      <w:pPr>
        <w:jc w:val="both"/>
        <w:rPr>
          <w:rFonts w:ascii="Arial" w:hAnsi="Arial" w:cs="Arial"/>
        </w:rPr>
      </w:pPr>
    </w:p>
    <w:p w14:paraId="6ECEA39E" w14:textId="4A8FE498"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 xml:space="preserve">Taking into consideration the membership of transition and developed countries in relevant regional organizations, the Program will further strengthen synergies and promote joint efforts to reach common IP objectives. Accordingly, it will closely cooperate </w:t>
      </w:r>
      <w:r w:rsidRPr="0036187D">
        <w:rPr>
          <w:rFonts w:ascii="Arial" w:hAnsi="Arial" w:cs="Arial"/>
          <w:i/>
          <w:sz w:val="20"/>
        </w:rPr>
        <w:t>inter alia</w:t>
      </w:r>
      <w:r w:rsidRPr="0036187D">
        <w:rPr>
          <w:rFonts w:ascii="Arial" w:hAnsi="Arial" w:cs="Arial"/>
          <w:sz w:val="20"/>
        </w:rPr>
        <w:t xml:space="preserve"> with the EU, the European Patent Organization (EPO), the Inter-State Council </w:t>
      </w:r>
      <w:r w:rsidR="00A15C14">
        <w:rPr>
          <w:rFonts w:ascii="Arial" w:hAnsi="Arial" w:cs="Arial"/>
          <w:sz w:val="20"/>
        </w:rPr>
        <w:t xml:space="preserve">for the Legal </w:t>
      </w:r>
      <w:r w:rsidRPr="0036187D">
        <w:rPr>
          <w:rFonts w:ascii="Arial" w:hAnsi="Arial" w:cs="Arial"/>
          <w:sz w:val="20"/>
        </w:rPr>
        <w:t xml:space="preserve">Protection </w:t>
      </w:r>
      <w:r w:rsidR="00A15C14">
        <w:rPr>
          <w:rFonts w:ascii="Arial" w:hAnsi="Arial" w:cs="Arial"/>
          <w:sz w:val="20"/>
        </w:rPr>
        <w:t xml:space="preserve">and Enforcement of Intellectual Property </w:t>
      </w:r>
      <w:r w:rsidRPr="0036187D">
        <w:rPr>
          <w:rFonts w:ascii="Arial" w:hAnsi="Arial" w:cs="Arial"/>
          <w:sz w:val="20"/>
        </w:rPr>
        <w:t>(ICPIP), the Inter-parliamentary Assembly of the CIS Member States (IPACIS), the Eurasian Patent Organization and the Eurasian Economic Commission (EEC).</w:t>
      </w:r>
    </w:p>
    <w:p w14:paraId="0867D4CB" w14:textId="77777777" w:rsidR="0036187D" w:rsidRPr="0036187D" w:rsidRDefault="0036187D" w:rsidP="00511015">
      <w:pPr>
        <w:jc w:val="both"/>
        <w:rPr>
          <w:rFonts w:ascii="Arial" w:hAnsi="Arial" w:cs="Arial"/>
          <w:sz w:val="20"/>
        </w:rPr>
      </w:pPr>
    </w:p>
    <w:p w14:paraId="125B34E8" w14:textId="77777777" w:rsidR="0036187D" w:rsidRPr="0036187D" w:rsidRDefault="0036187D" w:rsidP="00B66A4A">
      <w:pPr>
        <w:pStyle w:val="ListParagraph"/>
        <w:numPr>
          <w:ilvl w:val="0"/>
          <w:numId w:val="36"/>
        </w:numPr>
        <w:tabs>
          <w:tab w:val="right" w:pos="709"/>
        </w:tabs>
        <w:ind w:left="0" w:firstLine="0"/>
        <w:jc w:val="both"/>
        <w:rPr>
          <w:rFonts w:ascii="Arial" w:hAnsi="Arial" w:cs="Arial"/>
          <w:iCs/>
          <w:sz w:val="20"/>
        </w:rPr>
      </w:pPr>
      <w:r w:rsidRPr="0036187D">
        <w:rPr>
          <w:rFonts w:ascii="Arial" w:hAnsi="Arial" w:cs="Arial"/>
          <w:iCs/>
          <w:sz w:val="20"/>
        </w:rPr>
        <w:t xml:space="preserve">The DA recommendations will continue to guide Program 10 in its technical assistance activities, particularly Recommendations 1,3,4,6, 10, 11 and 13. </w:t>
      </w:r>
    </w:p>
    <w:p w14:paraId="23CE6391" w14:textId="77777777" w:rsidR="0036187D" w:rsidRPr="001B7766" w:rsidRDefault="0036187D" w:rsidP="00511015">
      <w:pPr>
        <w:jc w:val="both"/>
        <w:rPr>
          <w:rFonts w:ascii="Arial" w:hAnsi="Arial" w:cs="Arial"/>
        </w:rPr>
      </w:pPr>
    </w:p>
    <w:p w14:paraId="3FCE8A51" w14:textId="77777777" w:rsidR="0036187D" w:rsidRPr="001B7766" w:rsidRDefault="0036187D" w:rsidP="00511015">
      <w:pPr>
        <w:jc w:val="both"/>
        <w:rPr>
          <w:rFonts w:ascii="Arial" w:hAnsi="Arial" w:cs="Arial"/>
        </w:rPr>
      </w:pPr>
    </w:p>
    <w:p w14:paraId="719D1AB1" w14:textId="77777777" w:rsidR="0036187D" w:rsidRPr="001B7766" w:rsidRDefault="0036187D" w:rsidP="008F3633">
      <w:pPr>
        <w:pStyle w:val="BodyText"/>
        <w:keepNext/>
        <w:keepLines/>
        <w:spacing w:after="0"/>
      </w:pPr>
      <w:r w:rsidRPr="001B7766">
        <w:t>MAJOR RISKS AND MITIGATION STRATEGIES</w:t>
      </w:r>
    </w:p>
    <w:p w14:paraId="3315ED44" w14:textId="77777777" w:rsidR="0036187D" w:rsidRPr="001B7766" w:rsidRDefault="0036187D" w:rsidP="008F3633">
      <w:pPr>
        <w:pStyle w:val="BodyText"/>
        <w:keepNext/>
        <w:keepLines/>
        <w:spacing w:after="0"/>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36187D" w:rsidRPr="001B7766" w14:paraId="5DA24998" w14:textId="77777777" w:rsidTr="00511015">
        <w:trPr>
          <w:trHeight w:val="577"/>
        </w:trPr>
        <w:tc>
          <w:tcPr>
            <w:tcW w:w="4111" w:type="dxa"/>
            <w:tcBorders>
              <w:top w:val="single" w:sz="4" w:space="0" w:color="auto"/>
              <w:bottom w:val="single" w:sz="4" w:space="0" w:color="auto"/>
            </w:tcBorders>
            <w:shd w:val="clear" w:color="auto" w:fill="C6D9F1" w:themeFill="text2" w:themeFillTint="33"/>
            <w:vAlign w:val="center"/>
          </w:tcPr>
          <w:p w14:paraId="6B3C1202" w14:textId="77777777" w:rsidR="0036187D" w:rsidRPr="001B7766" w:rsidRDefault="0036187D" w:rsidP="008F3633">
            <w:pPr>
              <w:keepNext/>
              <w:keepLines/>
              <w:jc w:val="center"/>
              <w:rPr>
                <w:rFonts w:ascii="Arial" w:hAnsi="Arial" w:cs="Arial"/>
                <w:b/>
                <w:bCs/>
                <w:sz w:val="18"/>
                <w:szCs w:val="18"/>
              </w:rPr>
            </w:pPr>
            <w:r w:rsidRPr="001B7766">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7A8BBB6D" w14:textId="77777777" w:rsidR="0036187D" w:rsidRPr="001B7766" w:rsidRDefault="0036187D" w:rsidP="008F3633">
            <w:pPr>
              <w:keepNext/>
              <w:keepLines/>
              <w:jc w:val="center"/>
              <w:rPr>
                <w:rFonts w:ascii="Arial" w:hAnsi="Arial" w:cs="Arial"/>
                <w:b/>
                <w:bCs/>
                <w:sz w:val="18"/>
                <w:szCs w:val="18"/>
              </w:rPr>
            </w:pPr>
            <w:r w:rsidRPr="001B7766">
              <w:rPr>
                <w:rFonts w:ascii="Arial" w:hAnsi="Arial" w:cs="Arial"/>
                <w:b/>
                <w:bCs/>
                <w:sz w:val="18"/>
                <w:szCs w:val="18"/>
              </w:rPr>
              <w:t>Mitigation</w:t>
            </w:r>
          </w:p>
        </w:tc>
      </w:tr>
      <w:tr w:rsidR="0036187D" w:rsidRPr="001B7766" w14:paraId="7696D73E" w14:textId="77777777" w:rsidTr="00511015">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5EE35F2" w14:textId="77777777" w:rsidR="0036187D" w:rsidRPr="001B7766" w:rsidRDefault="0036187D" w:rsidP="008F3633">
            <w:pPr>
              <w:keepNext/>
              <w:keepLines/>
              <w:spacing w:line="276" w:lineRule="auto"/>
              <w:rPr>
                <w:rFonts w:ascii="Arial" w:eastAsia="Calibri" w:hAnsi="Arial" w:cs="Arial"/>
                <w:sz w:val="16"/>
                <w:szCs w:val="16"/>
              </w:rPr>
            </w:pPr>
            <w:r w:rsidRPr="001B7766">
              <w:rPr>
                <w:rFonts w:ascii="Arial" w:hAnsi="Arial" w:cs="Arial"/>
                <w:sz w:val="16"/>
                <w:szCs w:val="16"/>
              </w:rPr>
              <w:t>Economic and political changes might hamper or slowdown the implementation of national IP strategies.</w:t>
            </w:r>
          </w:p>
          <w:p w14:paraId="0E9843B5" w14:textId="77777777" w:rsidR="0036187D" w:rsidRPr="001B7766" w:rsidRDefault="0036187D" w:rsidP="008F3633">
            <w:pPr>
              <w:keepNext/>
              <w:keepLines/>
              <w:spacing w:line="276" w:lineRule="auto"/>
              <w:rPr>
                <w:rFonts w:ascii="Arial" w:hAnsi="Arial" w:cs="Arial"/>
                <w:sz w:val="20"/>
              </w:rPr>
            </w:pPr>
          </w:p>
          <w:p w14:paraId="026A327A" w14:textId="77777777" w:rsidR="0036187D" w:rsidRPr="001B7766" w:rsidRDefault="0036187D" w:rsidP="008F3633">
            <w:pPr>
              <w:keepNext/>
              <w:keepLines/>
              <w:spacing w:line="276" w:lineRule="auto"/>
              <w:rPr>
                <w:rFonts w:ascii="Arial" w:hAnsi="Arial" w:cs="Arial"/>
                <w:sz w:val="20"/>
              </w:rPr>
            </w:pPr>
          </w:p>
          <w:p w14:paraId="3F1F1CE1" w14:textId="77777777" w:rsidR="0036187D" w:rsidRPr="001B7766" w:rsidRDefault="0036187D" w:rsidP="008F3633">
            <w:pPr>
              <w:keepNext/>
              <w:keepLines/>
              <w:rPr>
                <w:rFonts w:ascii="Arial" w:hAnsi="Arial" w:cs="Arial"/>
                <w:sz w:val="20"/>
                <w:szCs w:val="16"/>
              </w:rPr>
            </w:pPr>
          </w:p>
          <w:p w14:paraId="27A3C42D" w14:textId="77777777" w:rsidR="0036187D" w:rsidRPr="001B7766" w:rsidRDefault="0036187D" w:rsidP="008F3633">
            <w:pPr>
              <w:keepNext/>
              <w:keepLines/>
              <w:rPr>
                <w:rFonts w:ascii="Arial" w:hAnsi="Arial" w:cs="Arial"/>
                <w:b/>
                <w:i/>
                <w:sz w:val="16"/>
                <w:szCs w:val="16"/>
              </w:rPr>
            </w:pPr>
            <w:r w:rsidRPr="001B7766">
              <w:rPr>
                <w:rFonts w:ascii="Arial" w:hAnsi="Arial" w:cs="Arial"/>
                <w:sz w:val="16"/>
                <w:szCs w:val="16"/>
              </w:rPr>
              <w:t xml:space="preserve">Decisions taken at the international or national level result in the loss of stakeholder commitment to actively engage in the implementation of activities which affect long term plans for enhancing human resource capacities in countries in transition.  </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0A9B40F" w14:textId="77777777" w:rsidR="0036187D" w:rsidRPr="001B7766" w:rsidRDefault="0036187D" w:rsidP="008F3633">
            <w:pPr>
              <w:keepNext/>
              <w:keepLines/>
              <w:spacing w:line="276" w:lineRule="auto"/>
              <w:rPr>
                <w:rFonts w:ascii="Arial" w:eastAsia="Calibri" w:hAnsi="Arial" w:cs="Arial"/>
                <w:sz w:val="16"/>
                <w:szCs w:val="16"/>
              </w:rPr>
            </w:pPr>
            <w:r w:rsidRPr="001B7766">
              <w:rPr>
                <w:rFonts w:ascii="Arial" w:hAnsi="Arial" w:cs="Arial"/>
                <w:sz w:val="16"/>
                <w:szCs w:val="16"/>
              </w:rPr>
              <w:t>Immediate follow-up communication when relevant change in country; advanced planning on all levels;  maintaining relations with all stakeholders in the countries;  provide flexibility in the cooperation plans.</w:t>
            </w:r>
          </w:p>
          <w:p w14:paraId="196D88C1" w14:textId="77777777" w:rsidR="0036187D" w:rsidRPr="001B7766" w:rsidRDefault="0036187D" w:rsidP="008F3633">
            <w:pPr>
              <w:keepNext/>
              <w:keepLines/>
              <w:spacing w:line="276" w:lineRule="auto"/>
              <w:rPr>
                <w:rFonts w:ascii="Arial" w:hAnsi="Arial" w:cs="Arial"/>
                <w:sz w:val="20"/>
              </w:rPr>
            </w:pPr>
          </w:p>
          <w:p w14:paraId="1A241DC5" w14:textId="77777777" w:rsidR="0036187D" w:rsidRPr="001B7766" w:rsidRDefault="0036187D" w:rsidP="008F3633">
            <w:pPr>
              <w:keepNext/>
              <w:keepLines/>
              <w:autoSpaceDE w:val="0"/>
              <w:autoSpaceDN w:val="0"/>
              <w:adjustRightInd w:val="0"/>
              <w:ind w:right="-59"/>
              <w:rPr>
                <w:rFonts w:ascii="Arial" w:hAnsi="Arial" w:cs="Arial"/>
                <w:sz w:val="16"/>
                <w:szCs w:val="16"/>
              </w:rPr>
            </w:pPr>
            <w:r w:rsidRPr="001B7766">
              <w:rPr>
                <w:rFonts w:ascii="Arial" w:hAnsi="Arial" w:cs="Arial"/>
                <w:sz w:val="16"/>
                <w:szCs w:val="16"/>
              </w:rPr>
              <w:t xml:space="preserve">Working closely with beneficiaries, donors and Members States. Planning and coordination of all IP related matters with other international and national organizations and partners. </w:t>
            </w:r>
          </w:p>
        </w:tc>
      </w:tr>
    </w:tbl>
    <w:p w14:paraId="13CC6D12" w14:textId="77777777" w:rsidR="0036187D" w:rsidRPr="001B7766" w:rsidRDefault="0036187D" w:rsidP="00511015">
      <w:pPr>
        <w:rPr>
          <w:rFonts w:ascii="Arial" w:hAnsi="Arial" w:cs="Arial"/>
        </w:rPr>
      </w:pPr>
    </w:p>
    <w:p w14:paraId="248115A5" w14:textId="77777777" w:rsidR="0036187D" w:rsidRPr="001B7766" w:rsidRDefault="0036187D" w:rsidP="00511015">
      <w:pPr>
        <w:rPr>
          <w:rFonts w:ascii="Arial" w:hAnsi="Arial" w:cs="Arial"/>
        </w:rPr>
      </w:pPr>
    </w:p>
    <w:p w14:paraId="07282713" w14:textId="77777777" w:rsidR="0036187D" w:rsidRPr="001B7766" w:rsidRDefault="0036187D" w:rsidP="00511015">
      <w:pPr>
        <w:rPr>
          <w:rFonts w:ascii="Arial" w:hAnsi="Arial" w:cs="Arial"/>
        </w:rPr>
      </w:pPr>
      <w:r w:rsidRPr="001B7766">
        <w:rPr>
          <w:rFonts w:ascii="Arial" w:hAnsi="Arial" w:cs="Arial"/>
        </w:rPr>
        <w:t xml:space="preserve">RESULTS FRAMEWORK </w:t>
      </w:r>
    </w:p>
    <w:p w14:paraId="2A6FA5FF" w14:textId="77777777" w:rsidR="0036187D" w:rsidRPr="001B7766" w:rsidRDefault="0036187D" w:rsidP="00511015">
      <w:pPr>
        <w:rPr>
          <w:rFonts w:ascii="Arial" w:hAnsi="Arial" w:cs="Arial"/>
        </w:rPr>
      </w:pPr>
    </w:p>
    <w:tbl>
      <w:tblPr>
        <w:tblW w:w="9105" w:type="dxa"/>
        <w:tblInd w:w="93" w:type="dxa"/>
        <w:tblLook w:val="04A0" w:firstRow="1" w:lastRow="0" w:firstColumn="1" w:lastColumn="0" w:noHBand="0" w:noVBand="1"/>
      </w:tblPr>
      <w:tblGrid>
        <w:gridCol w:w="2200"/>
        <w:gridCol w:w="2420"/>
        <w:gridCol w:w="2325"/>
        <w:gridCol w:w="2160"/>
      </w:tblGrid>
      <w:tr w:rsidR="0036187D" w:rsidRPr="001B7766" w14:paraId="59B55383" w14:textId="77777777" w:rsidTr="002B052A">
        <w:trPr>
          <w:trHeight w:val="630"/>
          <w:tblHeader/>
        </w:trPr>
        <w:tc>
          <w:tcPr>
            <w:tcW w:w="220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183FF3EB"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Expected Results</w:t>
            </w:r>
          </w:p>
        </w:tc>
        <w:tc>
          <w:tcPr>
            <w:tcW w:w="2420" w:type="dxa"/>
            <w:tcBorders>
              <w:top w:val="single" w:sz="4" w:space="0" w:color="auto"/>
              <w:left w:val="nil"/>
              <w:bottom w:val="single" w:sz="4" w:space="0" w:color="auto"/>
              <w:right w:val="nil"/>
            </w:tcBorders>
            <w:shd w:val="clear" w:color="000000" w:fill="C5D9F1"/>
            <w:tcMar>
              <w:top w:w="85" w:type="dxa"/>
            </w:tcMar>
            <w:vAlign w:val="center"/>
            <w:hideMark/>
          </w:tcPr>
          <w:p w14:paraId="687D2E66"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Performance Indicators</w:t>
            </w:r>
          </w:p>
        </w:tc>
        <w:tc>
          <w:tcPr>
            <w:tcW w:w="2325" w:type="dxa"/>
            <w:tcBorders>
              <w:top w:val="single" w:sz="4" w:space="0" w:color="auto"/>
              <w:left w:val="nil"/>
              <w:bottom w:val="single" w:sz="4" w:space="0" w:color="auto"/>
              <w:right w:val="nil"/>
            </w:tcBorders>
            <w:shd w:val="clear" w:color="000000" w:fill="C5D9F1"/>
            <w:tcMar>
              <w:top w:w="85" w:type="dxa"/>
            </w:tcMar>
            <w:vAlign w:val="center"/>
            <w:hideMark/>
          </w:tcPr>
          <w:p w14:paraId="2569E974"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Baselines</w:t>
            </w:r>
          </w:p>
        </w:tc>
        <w:tc>
          <w:tcPr>
            <w:tcW w:w="216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6B2DDE48"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Targets</w:t>
            </w:r>
          </w:p>
        </w:tc>
      </w:tr>
      <w:tr w:rsidR="0036187D" w:rsidRPr="001B7766" w14:paraId="795CB5FD" w14:textId="77777777" w:rsidTr="00FB68E0">
        <w:trPr>
          <w:trHeight w:val="1461"/>
        </w:trPr>
        <w:tc>
          <w:tcPr>
            <w:tcW w:w="2200" w:type="dxa"/>
            <w:tcBorders>
              <w:top w:val="nil"/>
              <w:left w:val="single" w:sz="4" w:space="0" w:color="auto"/>
              <w:bottom w:val="nil"/>
              <w:right w:val="nil"/>
            </w:tcBorders>
            <w:shd w:val="clear" w:color="000000" w:fill="FFFFFF"/>
            <w:tcMar>
              <w:top w:w="85" w:type="dxa"/>
            </w:tcMar>
            <w:hideMark/>
          </w:tcPr>
          <w:p w14:paraId="1C519CE3"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br/>
              <w:t>I.2 Tailored and balanced IP legislative, regulatory and policy frameworks</w:t>
            </w:r>
          </w:p>
        </w:tc>
        <w:tc>
          <w:tcPr>
            <w:tcW w:w="2420" w:type="dxa"/>
            <w:tcBorders>
              <w:top w:val="nil"/>
              <w:left w:val="nil"/>
              <w:bottom w:val="nil"/>
              <w:right w:val="nil"/>
            </w:tcBorders>
            <w:shd w:val="clear" w:color="000000" w:fill="FFFFFF"/>
            <w:tcMar>
              <w:top w:w="85" w:type="dxa"/>
            </w:tcMar>
            <w:hideMark/>
          </w:tcPr>
          <w:p w14:paraId="01FC7135" w14:textId="088BDC27" w:rsidR="0036187D" w:rsidRPr="001B7766"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No. of transition countries with updated national laws</w:t>
            </w:r>
            <w:r w:rsidR="00A15C14">
              <w:rPr>
                <w:rFonts w:ascii="Arial" w:hAnsi="Arial" w:cs="Arial"/>
                <w:color w:val="000000"/>
                <w:sz w:val="16"/>
                <w:szCs w:val="16"/>
              </w:rPr>
              <w:t xml:space="preserve"> and regulations</w:t>
            </w:r>
            <w:r w:rsidRPr="001B7766">
              <w:rPr>
                <w:rFonts w:ascii="Arial" w:hAnsi="Arial" w:cs="Arial"/>
                <w:color w:val="000000"/>
                <w:sz w:val="16"/>
                <w:szCs w:val="16"/>
              </w:rPr>
              <w:t xml:space="preserve"> </w:t>
            </w:r>
          </w:p>
          <w:p w14:paraId="4C8FAF55" w14:textId="77777777" w:rsidR="0036187D" w:rsidRPr="001B7766" w:rsidRDefault="0036187D" w:rsidP="00511015">
            <w:pPr>
              <w:ind w:firstLineChars="200" w:firstLine="320"/>
              <w:rPr>
                <w:rFonts w:ascii="Arial" w:hAnsi="Arial" w:cs="Arial"/>
                <w:color w:val="000000"/>
                <w:sz w:val="16"/>
                <w:szCs w:val="16"/>
              </w:rPr>
            </w:pPr>
          </w:p>
          <w:p w14:paraId="3F4628BF"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t>No of ratifications to WIPO administered treaties</w:t>
            </w:r>
          </w:p>
        </w:tc>
        <w:tc>
          <w:tcPr>
            <w:tcW w:w="2325" w:type="dxa"/>
            <w:tcBorders>
              <w:top w:val="nil"/>
              <w:left w:val="nil"/>
              <w:bottom w:val="nil"/>
              <w:right w:val="nil"/>
            </w:tcBorders>
            <w:shd w:val="clear" w:color="000000" w:fill="FFFFFF"/>
            <w:tcMar>
              <w:top w:w="85" w:type="dxa"/>
            </w:tcMar>
            <w:hideMark/>
          </w:tcPr>
          <w:p w14:paraId="7889679B" w14:textId="77777777" w:rsidR="0036187D"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6 countries (2014)</w:t>
            </w:r>
          </w:p>
          <w:p w14:paraId="4A58A24A" w14:textId="77777777" w:rsidR="00A15C14" w:rsidRDefault="00A15C14" w:rsidP="00511015">
            <w:pPr>
              <w:ind w:firstLineChars="200" w:firstLine="320"/>
              <w:rPr>
                <w:rFonts w:ascii="Arial" w:hAnsi="Arial" w:cs="Arial"/>
                <w:color w:val="000000"/>
                <w:sz w:val="16"/>
                <w:szCs w:val="16"/>
              </w:rPr>
            </w:pPr>
          </w:p>
          <w:p w14:paraId="4556C9D3" w14:textId="77777777" w:rsidR="00A15C14" w:rsidRDefault="00A15C14" w:rsidP="00511015">
            <w:pPr>
              <w:ind w:firstLineChars="200" w:firstLine="320"/>
              <w:rPr>
                <w:rFonts w:ascii="Arial" w:hAnsi="Arial" w:cs="Arial"/>
                <w:color w:val="000000"/>
                <w:sz w:val="16"/>
                <w:szCs w:val="16"/>
              </w:rPr>
            </w:pPr>
          </w:p>
          <w:p w14:paraId="2D896E6F" w14:textId="77777777" w:rsidR="00A15C14" w:rsidRDefault="00A15C14" w:rsidP="00511015">
            <w:pPr>
              <w:ind w:firstLineChars="200" w:firstLine="320"/>
              <w:rPr>
                <w:rFonts w:ascii="Arial" w:hAnsi="Arial" w:cs="Arial"/>
                <w:color w:val="000000"/>
                <w:sz w:val="16"/>
                <w:szCs w:val="16"/>
              </w:rPr>
            </w:pPr>
          </w:p>
          <w:p w14:paraId="01960234" w14:textId="4B61CA81" w:rsidR="00A15C14" w:rsidRPr="001B7766" w:rsidRDefault="00A15C14" w:rsidP="00FB68E0">
            <w:pPr>
              <w:rPr>
                <w:rFonts w:ascii="Arial" w:hAnsi="Arial" w:cs="Arial"/>
                <w:color w:val="000000"/>
                <w:sz w:val="16"/>
                <w:szCs w:val="16"/>
              </w:rPr>
            </w:pPr>
            <w:r>
              <w:rPr>
                <w:rFonts w:ascii="Arial" w:hAnsi="Arial" w:cs="Arial"/>
                <w:color w:val="000000"/>
                <w:sz w:val="16"/>
                <w:szCs w:val="16"/>
              </w:rPr>
              <w:t>n/a</w:t>
            </w:r>
          </w:p>
        </w:tc>
        <w:tc>
          <w:tcPr>
            <w:tcW w:w="2160" w:type="dxa"/>
            <w:tcBorders>
              <w:top w:val="nil"/>
              <w:left w:val="nil"/>
              <w:bottom w:val="nil"/>
              <w:right w:val="single" w:sz="4" w:space="0" w:color="auto"/>
            </w:tcBorders>
            <w:shd w:val="clear" w:color="000000" w:fill="FFFFFF"/>
            <w:tcMar>
              <w:top w:w="85" w:type="dxa"/>
            </w:tcMar>
            <w:hideMark/>
          </w:tcPr>
          <w:p w14:paraId="01A29534" w14:textId="77777777" w:rsidR="0036187D"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 xml:space="preserve">6 additional countries </w:t>
            </w:r>
            <w:r w:rsidRPr="001B7766">
              <w:rPr>
                <w:rFonts w:ascii="Arial" w:hAnsi="Arial" w:cs="Arial"/>
                <w:color w:val="000000"/>
                <w:sz w:val="16"/>
                <w:szCs w:val="16"/>
              </w:rPr>
              <w:br/>
            </w:r>
            <w:r w:rsidRPr="001B7766">
              <w:rPr>
                <w:rFonts w:ascii="Arial" w:hAnsi="Arial" w:cs="Arial"/>
                <w:color w:val="000000"/>
                <w:sz w:val="16"/>
                <w:szCs w:val="16"/>
              </w:rPr>
              <w:br/>
            </w:r>
          </w:p>
          <w:p w14:paraId="5542934D" w14:textId="77777777" w:rsidR="00A15C14" w:rsidRDefault="00A15C14" w:rsidP="00511015">
            <w:pPr>
              <w:ind w:firstLineChars="200" w:firstLine="320"/>
              <w:rPr>
                <w:rFonts w:ascii="Arial" w:hAnsi="Arial" w:cs="Arial"/>
                <w:color w:val="000000"/>
                <w:sz w:val="16"/>
                <w:szCs w:val="16"/>
              </w:rPr>
            </w:pPr>
          </w:p>
          <w:p w14:paraId="72DF3E0F" w14:textId="7619DFA4" w:rsidR="00A15C14" w:rsidRPr="001B7766" w:rsidRDefault="00A15C14" w:rsidP="00FB68E0">
            <w:pPr>
              <w:rPr>
                <w:rFonts w:ascii="Arial" w:hAnsi="Arial" w:cs="Arial"/>
                <w:color w:val="000000"/>
                <w:sz w:val="16"/>
                <w:szCs w:val="16"/>
              </w:rPr>
            </w:pPr>
            <w:r>
              <w:rPr>
                <w:rFonts w:ascii="Arial" w:hAnsi="Arial" w:cs="Arial"/>
                <w:color w:val="000000"/>
                <w:sz w:val="16"/>
                <w:szCs w:val="16"/>
              </w:rPr>
              <w:t>4 additional countries</w:t>
            </w:r>
          </w:p>
        </w:tc>
      </w:tr>
      <w:tr w:rsidR="0036187D" w:rsidRPr="001B7766" w14:paraId="642FCB0E" w14:textId="77777777" w:rsidTr="00FB68E0">
        <w:trPr>
          <w:trHeight w:val="1975"/>
        </w:trPr>
        <w:tc>
          <w:tcPr>
            <w:tcW w:w="2200" w:type="dxa"/>
            <w:tcBorders>
              <w:top w:val="nil"/>
              <w:left w:val="single" w:sz="4" w:space="0" w:color="auto"/>
              <w:right w:val="nil"/>
            </w:tcBorders>
            <w:shd w:val="clear" w:color="000000" w:fill="FFFFFF"/>
            <w:tcMar>
              <w:top w:w="85" w:type="dxa"/>
            </w:tcMar>
            <w:hideMark/>
          </w:tcPr>
          <w:p w14:paraId="74BEAFE8"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t>II.1 Wider and more effective use of the PCT system for filing international patent applications</w:t>
            </w:r>
          </w:p>
        </w:tc>
        <w:tc>
          <w:tcPr>
            <w:tcW w:w="2420" w:type="dxa"/>
            <w:tcBorders>
              <w:top w:val="nil"/>
              <w:left w:val="nil"/>
              <w:right w:val="nil"/>
            </w:tcBorders>
            <w:shd w:val="clear" w:color="000000" w:fill="FFFFFF"/>
            <w:tcMar>
              <w:top w:w="85" w:type="dxa"/>
            </w:tcMar>
            <w:hideMark/>
          </w:tcPr>
          <w:p w14:paraId="111DA898" w14:textId="259316D6" w:rsidR="0036187D" w:rsidRPr="001B7766" w:rsidRDefault="0036187D" w:rsidP="00A15C14">
            <w:pPr>
              <w:rPr>
                <w:rFonts w:ascii="Arial" w:hAnsi="Arial" w:cs="Arial"/>
                <w:color w:val="000000"/>
                <w:sz w:val="16"/>
                <w:szCs w:val="16"/>
              </w:rPr>
            </w:pPr>
            <w:r w:rsidRPr="001B7766">
              <w:rPr>
                <w:rFonts w:ascii="Arial" w:hAnsi="Arial" w:cs="Arial"/>
                <w:color w:val="000000"/>
                <w:sz w:val="16"/>
                <w:szCs w:val="16"/>
              </w:rPr>
              <w:t>No. of PCT applications originating from transition and developed countries.</w:t>
            </w:r>
            <w:r w:rsidRPr="001B7766">
              <w:rPr>
                <w:rFonts w:ascii="Arial" w:hAnsi="Arial" w:cs="Arial"/>
                <w:color w:val="000000"/>
                <w:sz w:val="16"/>
                <w:szCs w:val="16"/>
              </w:rPr>
              <w:br/>
            </w:r>
            <w:r w:rsidRPr="001B7766">
              <w:rPr>
                <w:rFonts w:ascii="Arial" w:hAnsi="Arial" w:cs="Arial"/>
                <w:color w:val="000000"/>
                <w:sz w:val="16"/>
                <w:szCs w:val="16"/>
              </w:rPr>
              <w:br/>
            </w:r>
            <w:r w:rsidR="00A15C14">
              <w:rPr>
                <w:rFonts w:ascii="Arial" w:hAnsi="Arial" w:cs="Arial"/>
                <w:color w:val="000000"/>
                <w:sz w:val="16"/>
                <w:szCs w:val="16"/>
              </w:rPr>
              <w:t>%</w:t>
            </w:r>
            <w:r w:rsidRPr="001B7766">
              <w:rPr>
                <w:rFonts w:ascii="Arial" w:hAnsi="Arial" w:cs="Arial"/>
                <w:color w:val="000000"/>
                <w:sz w:val="16"/>
                <w:szCs w:val="16"/>
              </w:rPr>
              <w:t xml:space="preserve"> of survey respondents showing increased use of WIPO services within 6 months of attending Roving Seminars on WIPO Services and Initiatives</w:t>
            </w:r>
          </w:p>
        </w:tc>
        <w:tc>
          <w:tcPr>
            <w:tcW w:w="2325" w:type="dxa"/>
            <w:tcBorders>
              <w:top w:val="nil"/>
              <w:left w:val="nil"/>
              <w:right w:val="nil"/>
            </w:tcBorders>
            <w:shd w:val="clear" w:color="000000" w:fill="FFFFFF"/>
            <w:tcMar>
              <w:top w:w="85" w:type="dxa"/>
            </w:tcMar>
            <w:hideMark/>
          </w:tcPr>
          <w:p w14:paraId="6ABF3E15" w14:textId="40677D27" w:rsidR="0036187D" w:rsidRPr="001B7766" w:rsidRDefault="0036187D" w:rsidP="00511015">
            <w:pPr>
              <w:rPr>
                <w:rFonts w:ascii="Arial" w:hAnsi="Arial" w:cs="Arial"/>
                <w:sz w:val="16"/>
                <w:szCs w:val="16"/>
                <w:lang w:bidi="th-TH"/>
              </w:rPr>
            </w:pPr>
            <w:r w:rsidRPr="001B7766">
              <w:rPr>
                <w:rFonts w:ascii="Arial" w:hAnsi="Arial" w:cs="Arial"/>
                <w:sz w:val="16"/>
                <w:szCs w:val="16"/>
                <w:lang w:bidi="th-TH"/>
              </w:rPr>
              <w:t xml:space="preserve">170,317 </w:t>
            </w:r>
            <w:r w:rsidR="000A401E">
              <w:rPr>
                <w:rFonts w:ascii="Arial" w:hAnsi="Arial" w:cs="Arial"/>
                <w:sz w:val="16"/>
                <w:szCs w:val="16"/>
                <w:lang w:bidi="th-TH"/>
              </w:rPr>
              <w:t>(2014)</w:t>
            </w:r>
          </w:p>
          <w:p w14:paraId="6FBE7A1E" w14:textId="77777777" w:rsidR="00A15C14" w:rsidRDefault="00A15C14" w:rsidP="00A15C14">
            <w:pPr>
              <w:rPr>
                <w:rFonts w:ascii="Arial" w:hAnsi="Arial" w:cs="Arial"/>
                <w:sz w:val="16"/>
                <w:szCs w:val="16"/>
                <w:lang w:bidi="th-TH"/>
              </w:rPr>
            </w:pPr>
          </w:p>
          <w:p w14:paraId="795FBA8B" w14:textId="77777777" w:rsidR="00A15C14" w:rsidRDefault="00A15C14" w:rsidP="00A15C14">
            <w:pPr>
              <w:rPr>
                <w:rFonts w:ascii="Arial" w:hAnsi="Arial" w:cs="Arial"/>
                <w:sz w:val="16"/>
                <w:szCs w:val="16"/>
                <w:lang w:bidi="th-TH"/>
              </w:rPr>
            </w:pPr>
          </w:p>
          <w:p w14:paraId="3BB4310E" w14:textId="77777777" w:rsidR="00653890" w:rsidRDefault="00653890" w:rsidP="00A15C14">
            <w:pPr>
              <w:rPr>
                <w:rFonts w:ascii="Arial" w:hAnsi="Arial" w:cs="Arial"/>
                <w:sz w:val="16"/>
                <w:szCs w:val="16"/>
                <w:lang w:bidi="th-TH"/>
              </w:rPr>
            </w:pPr>
          </w:p>
          <w:p w14:paraId="45BD8C70" w14:textId="5D39074D" w:rsidR="0036187D" w:rsidRPr="001B7766" w:rsidRDefault="00A15C14" w:rsidP="00A15C14">
            <w:pPr>
              <w:rPr>
                <w:rFonts w:ascii="Arial" w:hAnsi="Arial" w:cs="Arial"/>
                <w:color w:val="000000"/>
                <w:sz w:val="16"/>
                <w:szCs w:val="16"/>
              </w:rPr>
            </w:pPr>
            <w:r>
              <w:rPr>
                <w:rFonts w:ascii="Arial" w:hAnsi="Arial" w:cs="Arial"/>
                <w:sz w:val="16"/>
                <w:szCs w:val="16"/>
                <w:lang w:bidi="th-TH"/>
              </w:rPr>
              <w:t>18%</w:t>
            </w:r>
          </w:p>
        </w:tc>
        <w:tc>
          <w:tcPr>
            <w:tcW w:w="2160" w:type="dxa"/>
            <w:tcBorders>
              <w:top w:val="nil"/>
              <w:left w:val="nil"/>
              <w:right w:val="single" w:sz="4" w:space="0" w:color="auto"/>
            </w:tcBorders>
            <w:shd w:val="clear" w:color="000000" w:fill="FFFFFF"/>
            <w:tcMar>
              <w:top w:w="85" w:type="dxa"/>
            </w:tcMar>
            <w:hideMark/>
          </w:tcPr>
          <w:p w14:paraId="212191EA" w14:textId="70E58248" w:rsidR="00A15C14" w:rsidRDefault="0036187D" w:rsidP="00FB68E0">
            <w:pPr>
              <w:rPr>
                <w:rFonts w:ascii="Arial" w:hAnsi="Arial" w:cs="Arial"/>
                <w:color w:val="000000"/>
                <w:sz w:val="16"/>
                <w:szCs w:val="16"/>
              </w:rPr>
            </w:pPr>
            <w:r w:rsidRPr="001B7766">
              <w:rPr>
                <w:rFonts w:ascii="Arial" w:hAnsi="Arial" w:cs="Arial"/>
                <w:color w:val="000000"/>
                <w:sz w:val="16"/>
                <w:szCs w:val="16"/>
              </w:rPr>
              <w:t>1.5% increase</w:t>
            </w:r>
            <w:r w:rsidR="00954EE5">
              <w:rPr>
                <w:rFonts w:ascii="Arial" w:hAnsi="Arial" w:cs="Arial"/>
                <w:color w:val="000000"/>
                <w:sz w:val="16"/>
                <w:szCs w:val="16"/>
              </w:rPr>
              <w:t xml:space="preserve"> (annual)</w:t>
            </w:r>
            <w:r w:rsidRPr="001B7766">
              <w:rPr>
                <w:rFonts w:ascii="Arial" w:hAnsi="Arial" w:cs="Arial"/>
                <w:color w:val="000000"/>
                <w:sz w:val="16"/>
                <w:szCs w:val="16"/>
              </w:rPr>
              <w:br/>
            </w:r>
          </w:p>
          <w:p w14:paraId="0F18BB48" w14:textId="77777777" w:rsidR="00A15C14" w:rsidRDefault="00A15C14" w:rsidP="00FB68E0">
            <w:pPr>
              <w:rPr>
                <w:rFonts w:ascii="Arial" w:hAnsi="Arial" w:cs="Arial"/>
                <w:color w:val="000000"/>
                <w:sz w:val="16"/>
                <w:szCs w:val="16"/>
              </w:rPr>
            </w:pPr>
          </w:p>
          <w:p w14:paraId="17C7B9CE" w14:textId="5A10E2E4" w:rsidR="0036187D" w:rsidRPr="001B7766" w:rsidRDefault="0036187D" w:rsidP="00FB68E0">
            <w:pPr>
              <w:rPr>
                <w:rFonts w:ascii="Arial" w:hAnsi="Arial" w:cs="Arial"/>
                <w:color w:val="000000"/>
                <w:sz w:val="16"/>
                <w:szCs w:val="16"/>
              </w:rPr>
            </w:pPr>
            <w:r w:rsidRPr="001B7766">
              <w:rPr>
                <w:rFonts w:ascii="Arial" w:hAnsi="Arial" w:cs="Arial"/>
                <w:color w:val="000000"/>
                <w:sz w:val="16"/>
                <w:szCs w:val="16"/>
              </w:rPr>
              <w:br/>
            </w:r>
            <w:r w:rsidR="000A401E">
              <w:rPr>
                <w:rFonts w:ascii="Arial" w:hAnsi="Arial" w:cs="Arial"/>
                <w:color w:val="000000"/>
                <w:sz w:val="16"/>
                <w:szCs w:val="16"/>
              </w:rPr>
              <w:t>20%</w:t>
            </w:r>
            <w:r w:rsidRPr="001B7766">
              <w:rPr>
                <w:rFonts w:ascii="Arial" w:hAnsi="Arial" w:cs="Arial"/>
                <w:color w:val="000000"/>
                <w:sz w:val="16"/>
                <w:szCs w:val="16"/>
              </w:rPr>
              <w:t xml:space="preserve"> of survey respondents showing increased use of WIPO services.</w:t>
            </w:r>
          </w:p>
        </w:tc>
      </w:tr>
      <w:tr w:rsidR="0036187D" w:rsidRPr="0036187D" w14:paraId="139912F2" w14:textId="77777777" w:rsidTr="00FB68E0">
        <w:trPr>
          <w:trHeight w:val="986"/>
        </w:trPr>
        <w:tc>
          <w:tcPr>
            <w:tcW w:w="2200" w:type="dxa"/>
            <w:tcBorders>
              <w:top w:val="nil"/>
              <w:left w:val="single" w:sz="4" w:space="0" w:color="auto"/>
              <w:right w:val="nil"/>
            </w:tcBorders>
            <w:shd w:val="clear" w:color="000000" w:fill="FFFFFF"/>
            <w:tcMar>
              <w:top w:w="85" w:type="dxa"/>
            </w:tcMar>
            <w:hideMark/>
          </w:tcPr>
          <w:p w14:paraId="188DD345"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II.4 Wider and more effective use of the Hague system, including by developing countries and LDCs</w:t>
            </w:r>
          </w:p>
        </w:tc>
        <w:tc>
          <w:tcPr>
            <w:tcW w:w="2420" w:type="dxa"/>
            <w:tcBorders>
              <w:top w:val="nil"/>
              <w:left w:val="nil"/>
              <w:right w:val="nil"/>
            </w:tcBorders>
            <w:shd w:val="clear" w:color="000000" w:fill="FFFFFF"/>
            <w:tcMar>
              <w:top w:w="85" w:type="dxa"/>
            </w:tcMar>
            <w:hideMark/>
          </w:tcPr>
          <w:p w14:paraId="13EEC93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Hague applications originating from transition and developed countries</w:t>
            </w:r>
          </w:p>
        </w:tc>
        <w:tc>
          <w:tcPr>
            <w:tcW w:w="2325" w:type="dxa"/>
            <w:tcBorders>
              <w:top w:val="nil"/>
              <w:left w:val="nil"/>
              <w:right w:val="nil"/>
            </w:tcBorders>
            <w:shd w:val="clear" w:color="000000" w:fill="FFFFFF"/>
            <w:tcMar>
              <w:top w:w="85" w:type="dxa"/>
            </w:tcMar>
            <w:hideMark/>
          </w:tcPr>
          <w:p w14:paraId="01F14777" w14:textId="618B72B8" w:rsidR="0036187D" w:rsidRPr="0036187D" w:rsidRDefault="0036187D" w:rsidP="00511015">
            <w:pPr>
              <w:rPr>
                <w:rFonts w:ascii="Arial" w:hAnsi="Arial" w:cs="Arial"/>
                <w:sz w:val="16"/>
                <w:szCs w:val="16"/>
                <w:lang w:bidi="th-TH"/>
              </w:rPr>
            </w:pPr>
            <w:r w:rsidRPr="0036187D">
              <w:rPr>
                <w:rFonts w:ascii="Arial" w:hAnsi="Arial" w:cs="Arial"/>
                <w:sz w:val="16"/>
                <w:szCs w:val="16"/>
                <w:lang w:bidi="th-TH"/>
              </w:rPr>
              <w:t>2,7</w:t>
            </w:r>
            <w:r w:rsidR="000A401E">
              <w:rPr>
                <w:rFonts w:ascii="Arial" w:hAnsi="Arial" w:cs="Arial"/>
                <w:sz w:val="16"/>
                <w:szCs w:val="16"/>
                <w:lang w:bidi="th-TH"/>
              </w:rPr>
              <w:t>76 (2014)</w:t>
            </w:r>
          </w:p>
          <w:p w14:paraId="204F4B64" w14:textId="3DBCDFAD" w:rsidR="0036187D" w:rsidRPr="0036187D" w:rsidRDefault="0036187D" w:rsidP="00511015">
            <w:pPr>
              <w:rPr>
                <w:rFonts w:ascii="Arial" w:hAnsi="Arial" w:cs="Arial"/>
                <w:sz w:val="16"/>
                <w:szCs w:val="16"/>
                <w:lang w:bidi="th-TH"/>
              </w:rPr>
            </w:pPr>
          </w:p>
          <w:p w14:paraId="1D0C06C9" w14:textId="77777777" w:rsidR="0036187D" w:rsidRPr="0036187D" w:rsidRDefault="0036187D" w:rsidP="00511015">
            <w:pPr>
              <w:rPr>
                <w:rFonts w:ascii="Arial" w:hAnsi="Arial" w:cs="Arial"/>
                <w:color w:val="000000"/>
                <w:sz w:val="16"/>
                <w:szCs w:val="16"/>
              </w:rPr>
            </w:pPr>
          </w:p>
        </w:tc>
        <w:tc>
          <w:tcPr>
            <w:tcW w:w="2160" w:type="dxa"/>
            <w:tcBorders>
              <w:top w:val="nil"/>
              <w:left w:val="nil"/>
              <w:right w:val="single" w:sz="4" w:space="0" w:color="auto"/>
            </w:tcBorders>
            <w:shd w:val="clear" w:color="000000" w:fill="FFFFFF"/>
            <w:tcMar>
              <w:top w:w="85" w:type="dxa"/>
            </w:tcMar>
            <w:hideMark/>
          </w:tcPr>
          <w:p w14:paraId="00A9F7EE" w14:textId="2FC3EC28" w:rsidR="0036187D" w:rsidRPr="0036187D" w:rsidRDefault="0036187D" w:rsidP="000A401E">
            <w:pPr>
              <w:rPr>
                <w:rFonts w:ascii="Arial" w:hAnsi="Arial" w:cs="Arial"/>
                <w:color w:val="000000"/>
                <w:sz w:val="16"/>
                <w:szCs w:val="16"/>
              </w:rPr>
            </w:pPr>
            <w:r w:rsidRPr="0036187D">
              <w:rPr>
                <w:rFonts w:ascii="Arial" w:hAnsi="Arial" w:cs="Arial"/>
                <w:color w:val="000000"/>
                <w:sz w:val="16"/>
                <w:szCs w:val="16"/>
              </w:rPr>
              <w:t>1.5% increase</w:t>
            </w:r>
            <w:r w:rsidR="00954EE5">
              <w:rPr>
                <w:rFonts w:ascii="Arial" w:hAnsi="Arial" w:cs="Arial"/>
                <w:color w:val="000000"/>
                <w:sz w:val="16"/>
                <w:szCs w:val="16"/>
              </w:rPr>
              <w:t xml:space="preserve"> (annual)</w:t>
            </w:r>
            <w:r w:rsidRPr="0036187D">
              <w:rPr>
                <w:rFonts w:ascii="Arial" w:hAnsi="Arial" w:cs="Arial"/>
                <w:color w:val="000000"/>
                <w:sz w:val="16"/>
                <w:szCs w:val="16"/>
              </w:rPr>
              <w:br/>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08A46E9F" w14:textId="77777777" w:rsidTr="00FB68E0">
        <w:trPr>
          <w:trHeight w:val="2197"/>
        </w:trPr>
        <w:tc>
          <w:tcPr>
            <w:tcW w:w="2200" w:type="dxa"/>
            <w:tcBorders>
              <w:left w:val="single" w:sz="4" w:space="0" w:color="auto"/>
              <w:right w:val="nil"/>
            </w:tcBorders>
            <w:shd w:val="clear" w:color="000000" w:fill="FFFFFF"/>
            <w:tcMar>
              <w:top w:w="85" w:type="dxa"/>
            </w:tcMar>
            <w:hideMark/>
          </w:tcPr>
          <w:p w14:paraId="50FCE8AA" w14:textId="77777777" w:rsidR="00D55DBD" w:rsidRDefault="00D55DBD" w:rsidP="00511015">
            <w:pPr>
              <w:rPr>
                <w:rFonts w:ascii="Arial" w:hAnsi="Arial" w:cs="Arial"/>
                <w:color w:val="000000"/>
                <w:sz w:val="16"/>
                <w:szCs w:val="16"/>
              </w:rPr>
            </w:pPr>
          </w:p>
          <w:p w14:paraId="72788B34" w14:textId="0ADFBEE8" w:rsidR="0036187D" w:rsidRPr="0036187D" w:rsidRDefault="0036187D">
            <w:pPr>
              <w:rPr>
                <w:rFonts w:ascii="Arial" w:hAnsi="Arial" w:cs="Arial"/>
                <w:color w:val="000000"/>
                <w:sz w:val="16"/>
                <w:szCs w:val="16"/>
              </w:rPr>
            </w:pPr>
            <w:r w:rsidRPr="0036187D">
              <w:rPr>
                <w:rFonts w:ascii="Arial" w:hAnsi="Arial" w:cs="Arial"/>
                <w:color w:val="000000"/>
                <w:sz w:val="16"/>
                <w:szCs w:val="16"/>
              </w:rPr>
              <w:t xml:space="preserve">II.6 Wider and more effective use of the Madrid </w:t>
            </w:r>
            <w:r w:rsidR="00C43336">
              <w:rPr>
                <w:rFonts w:ascii="Arial" w:hAnsi="Arial" w:cs="Arial"/>
                <w:color w:val="000000"/>
                <w:sz w:val="16"/>
                <w:szCs w:val="16"/>
              </w:rPr>
              <w:t>S</w:t>
            </w:r>
            <w:r w:rsidRPr="0036187D">
              <w:rPr>
                <w:rFonts w:ascii="Arial" w:hAnsi="Arial" w:cs="Arial"/>
                <w:color w:val="000000"/>
                <w:sz w:val="16"/>
                <w:szCs w:val="16"/>
              </w:rPr>
              <w:t>ystem, including by developing countries and LDCs</w:t>
            </w:r>
          </w:p>
        </w:tc>
        <w:tc>
          <w:tcPr>
            <w:tcW w:w="2420" w:type="dxa"/>
            <w:tcBorders>
              <w:left w:val="nil"/>
              <w:right w:val="nil"/>
            </w:tcBorders>
            <w:shd w:val="clear" w:color="000000" w:fill="FFFFFF"/>
            <w:tcMar>
              <w:top w:w="85" w:type="dxa"/>
            </w:tcMar>
            <w:hideMark/>
          </w:tcPr>
          <w:p w14:paraId="117698E7" w14:textId="77777777" w:rsidR="00D55DBD" w:rsidRDefault="00D55DBD" w:rsidP="00511015">
            <w:pPr>
              <w:rPr>
                <w:rFonts w:ascii="Arial" w:hAnsi="Arial" w:cs="Arial"/>
                <w:color w:val="000000"/>
                <w:sz w:val="16"/>
                <w:szCs w:val="16"/>
              </w:rPr>
            </w:pPr>
          </w:p>
          <w:p w14:paraId="15814590"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Madrid System applications originating from transition and developed countries</w:t>
            </w:r>
            <w:r w:rsidRPr="0036187D">
              <w:rPr>
                <w:rFonts w:ascii="Arial" w:hAnsi="Arial" w:cs="Arial"/>
                <w:color w:val="000000"/>
                <w:sz w:val="16"/>
                <w:szCs w:val="16"/>
              </w:rPr>
              <w:br/>
            </w:r>
            <w:r w:rsidRPr="0036187D">
              <w:rPr>
                <w:rFonts w:ascii="Arial" w:hAnsi="Arial" w:cs="Arial"/>
                <w:color w:val="000000"/>
                <w:sz w:val="16"/>
                <w:szCs w:val="16"/>
              </w:rPr>
              <w:br/>
            </w:r>
          </w:p>
          <w:p w14:paraId="1B56642E" w14:textId="44AB7451" w:rsidR="0036187D" w:rsidRPr="0036187D" w:rsidRDefault="0036187D" w:rsidP="00511015">
            <w:pPr>
              <w:rPr>
                <w:rFonts w:ascii="Arial" w:hAnsi="Arial" w:cs="Arial"/>
                <w:color w:val="000000"/>
                <w:sz w:val="16"/>
                <w:szCs w:val="16"/>
              </w:rPr>
            </w:pPr>
          </w:p>
        </w:tc>
        <w:tc>
          <w:tcPr>
            <w:tcW w:w="2325" w:type="dxa"/>
            <w:tcBorders>
              <w:left w:val="nil"/>
              <w:right w:val="nil"/>
            </w:tcBorders>
            <w:shd w:val="clear" w:color="000000" w:fill="FFFFFF"/>
            <w:tcMar>
              <w:top w:w="85" w:type="dxa"/>
            </w:tcMar>
            <w:hideMark/>
          </w:tcPr>
          <w:p w14:paraId="21FAD6BA" w14:textId="77777777" w:rsidR="00D55DBD" w:rsidRDefault="00D55DBD" w:rsidP="00511015">
            <w:pPr>
              <w:rPr>
                <w:rFonts w:ascii="Arial" w:hAnsi="Arial" w:cs="Arial"/>
                <w:sz w:val="16"/>
                <w:szCs w:val="16"/>
                <w:lang w:bidi="th-TH"/>
              </w:rPr>
            </w:pPr>
          </w:p>
          <w:p w14:paraId="5C4DFB65" w14:textId="32A4F0DA" w:rsidR="0036187D" w:rsidRPr="0036187D" w:rsidRDefault="000A401E" w:rsidP="00511015">
            <w:pPr>
              <w:rPr>
                <w:rFonts w:ascii="Arial" w:hAnsi="Arial" w:cs="Arial"/>
                <w:sz w:val="16"/>
                <w:szCs w:val="16"/>
                <w:lang w:bidi="th-TH"/>
              </w:rPr>
            </w:pPr>
            <w:r w:rsidRPr="0036187D">
              <w:rPr>
                <w:rFonts w:ascii="Arial" w:hAnsi="Arial" w:cs="Arial"/>
                <w:sz w:val="16"/>
                <w:szCs w:val="16"/>
                <w:lang w:bidi="th-TH"/>
              </w:rPr>
              <w:t>4</w:t>
            </w:r>
            <w:r>
              <w:rPr>
                <w:rFonts w:ascii="Arial" w:hAnsi="Arial" w:cs="Arial"/>
                <w:sz w:val="16"/>
                <w:szCs w:val="16"/>
                <w:lang w:bidi="th-TH"/>
              </w:rPr>
              <w:t>3</w:t>
            </w:r>
            <w:r w:rsidR="0036187D" w:rsidRPr="0036187D">
              <w:rPr>
                <w:rFonts w:ascii="Arial" w:hAnsi="Arial" w:cs="Arial"/>
                <w:sz w:val="16"/>
                <w:szCs w:val="16"/>
                <w:lang w:bidi="th-TH"/>
              </w:rPr>
              <w:t>,</w:t>
            </w:r>
            <w:r>
              <w:rPr>
                <w:rFonts w:ascii="Arial" w:hAnsi="Arial" w:cs="Arial"/>
                <w:sz w:val="16"/>
                <w:szCs w:val="16"/>
                <w:lang w:bidi="th-TH"/>
              </w:rPr>
              <w:t>748</w:t>
            </w:r>
            <w:r w:rsidRPr="0036187D">
              <w:rPr>
                <w:rFonts w:ascii="Arial" w:hAnsi="Arial" w:cs="Arial"/>
                <w:sz w:val="16"/>
                <w:szCs w:val="16"/>
                <w:lang w:bidi="th-TH"/>
              </w:rPr>
              <w:t xml:space="preserve"> </w:t>
            </w:r>
            <w:r w:rsidR="0036187D" w:rsidRPr="0036187D">
              <w:rPr>
                <w:rFonts w:ascii="Arial" w:hAnsi="Arial" w:cs="Arial"/>
                <w:sz w:val="16"/>
                <w:szCs w:val="16"/>
                <w:lang w:bidi="th-TH"/>
              </w:rPr>
              <w:t>(2014</w:t>
            </w:r>
            <w:r>
              <w:rPr>
                <w:rFonts w:ascii="Arial" w:hAnsi="Arial" w:cs="Arial"/>
                <w:sz w:val="16"/>
                <w:szCs w:val="16"/>
                <w:lang w:bidi="th-TH"/>
              </w:rPr>
              <w:t xml:space="preserve"> estimate</w:t>
            </w:r>
            <w:r w:rsidR="0036187D" w:rsidRPr="0036187D">
              <w:rPr>
                <w:rFonts w:ascii="Arial" w:hAnsi="Arial" w:cs="Arial"/>
                <w:sz w:val="16"/>
                <w:szCs w:val="16"/>
                <w:lang w:bidi="th-TH"/>
              </w:rPr>
              <w:t>):</w:t>
            </w:r>
          </w:p>
          <w:p w14:paraId="7008665D" w14:textId="53C9BA2B" w:rsidR="0036187D" w:rsidRDefault="0036187D" w:rsidP="00511015">
            <w:pPr>
              <w:rPr>
                <w:rFonts w:ascii="Arial" w:hAnsi="Arial" w:cs="Arial"/>
                <w:sz w:val="16"/>
                <w:szCs w:val="16"/>
                <w:lang w:bidi="th-TH"/>
              </w:rPr>
            </w:pPr>
          </w:p>
          <w:p w14:paraId="42E119D6" w14:textId="77777777" w:rsidR="000A401E" w:rsidRDefault="000A401E" w:rsidP="00511015">
            <w:pPr>
              <w:rPr>
                <w:rFonts w:ascii="Arial" w:hAnsi="Arial" w:cs="Arial"/>
                <w:sz w:val="16"/>
                <w:szCs w:val="16"/>
                <w:lang w:bidi="th-TH"/>
              </w:rPr>
            </w:pPr>
          </w:p>
          <w:p w14:paraId="50A8EFDF" w14:textId="77777777" w:rsidR="000A401E" w:rsidRDefault="000A401E" w:rsidP="00511015">
            <w:pPr>
              <w:rPr>
                <w:rFonts w:ascii="Arial" w:hAnsi="Arial" w:cs="Arial"/>
                <w:sz w:val="16"/>
                <w:szCs w:val="16"/>
                <w:lang w:bidi="th-TH"/>
              </w:rPr>
            </w:pPr>
          </w:p>
          <w:p w14:paraId="7C0722A3" w14:textId="77777777" w:rsidR="000A401E" w:rsidRPr="0036187D" w:rsidRDefault="000A401E" w:rsidP="00511015">
            <w:pPr>
              <w:rPr>
                <w:rFonts w:ascii="Arial" w:hAnsi="Arial" w:cs="Arial"/>
                <w:sz w:val="16"/>
                <w:szCs w:val="16"/>
                <w:lang w:bidi="th-TH"/>
              </w:rPr>
            </w:pPr>
          </w:p>
          <w:p w14:paraId="0D4BF1B4" w14:textId="77777777" w:rsidR="0036187D" w:rsidRPr="0036187D" w:rsidRDefault="0036187D" w:rsidP="00511015">
            <w:pPr>
              <w:rPr>
                <w:rFonts w:ascii="Arial" w:hAnsi="Arial" w:cs="Arial"/>
                <w:sz w:val="16"/>
                <w:szCs w:val="16"/>
              </w:rPr>
            </w:pPr>
          </w:p>
          <w:p w14:paraId="7C00E22D" w14:textId="687A2F74" w:rsidR="0036187D" w:rsidRPr="0036187D" w:rsidRDefault="0036187D">
            <w:pPr>
              <w:rPr>
                <w:rFonts w:ascii="Arial" w:hAnsi="Arial" w:cs="Arial"/>
                <w:sz w:val="16"/>
                <w:szCs w:val="16"/>
              </w:rPr>
            </w:pPr>
          </w:p>
        </w:tc>
        <w:tc>
          <w:tcPr>
            <w:tcW w:w="2160" w:type="dxa"/>
            <w:tcBorders>
              <w:left w:val="nil"/>
              <w:right w:val="single" w:sz="4" w:space="0" w:color="auto"/>
            </w:tcBorders>
            <w:shd w:val="clear" w:color="000000" w:fill="FFFFFF"/>
            <w:tcMar>
              <w:top w:w="85" w:type="dxa"/>
            </w:tcMar>
            <w:hideMark/>
          </w:tcPr>
          <w:p w14:paraId="2F0C66ED" w14:textId="77777777" w:rsidR="00D55DBD" w:rsidRDefault="00D55DBD" w:rsidP="00511015">
            <w:pPr>
              <w:rPr>
                <w:rFonts w:ascii="Arial" w:hAnsi="Arial" w:cs="Arial"/>
                <w:color w:val="000000"/>
                <w:sz w:val="16"/>
                <w:szCs w:val="16"/>
              </w:rPr>
            </w:pPr>
          </w:p>
          <w:p w14:paraId="36288F87" w14:textId="0A4798DF"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2% increase</w:t>
            </w:r>
            <w:r w:rsidR="00954EE5">
              <w:rPr>
                <w:rFonts w:ascii="Arial" w:hAnsi="Arial" w:cs="Arial"/>
                <w:color w:val="000000"/>
                <w:sz w:val="16"/>
                <w:szCs w:val="16"/>
              </w:rPr>
              <w:t xml:space="preserve"> (annual)</w:t>
            </w:r>
            <w:r w:rsidRPr="0036187D">
              <w:rPr>
                <w:rFonts w:ascii="Arial" w:hAnsi="Arial" w:cs="Arial"/>
                <w:color w:val="000000"/>
                <w:sz w:val="16"/>
                <w:szCs w:val="16"/>
              </w:rPr>
              <w:br/>
            </w:r>
            <w:r w:rsidRPr="0036187D">
              <w:rPr>
                <w:rFonts w:ascii="Arial" w:hAnsi="Arial" w:cs="Arial"/>
                <w:color w:val="000000"/>
                <w:sz w:val="16"/>
                <w:szCs w:val="16"/>
              </w:rPr>
              <w:br/>
            </w:r>
          </w:p>
          <w:p w14:paraId="4FABF76A" w14:textId="77777777" w:rsidR="000A401E" w:rsidRDefault="000A401E" w:rsidP="00511015">
            <w:pPr>
              <w:rPr>
                <w:rFonts w:ascii="Arial" w:hAnsi="Arial" w:cs="Arial"/>
                <w:color w:val="000000"/>
                <w:sz w:val="16"/>
                <w:szCs w:val="16"/>
                <w:highlight w:val="yellow"/>
              </w:rPr>
            </w:pPr>
          </w:p>
          <w:p w14:paraId="133F6E95" w14:textId="77777777" w:rsidR="000A401E" w:rsidRDefault="000A401E" w:rsidP="00511015">
            <w:pPr>
              <w:rPr>
                <w:rFonts w:ascii="Arial" w:hAnsi="Arial" w:cs="Arial"/>
                <w:color w:val="000000"/>
                <w:sz w:val="16"/>
                <w:szCs w:val="16"/>
                <w:highlight w:val="yellow"/>
              </w:rPr>
            </w:pPr>
          </w:p>
          <w:p w14:paraId="03821224" w14:textId="77777777" w:rsidR="000A401E" w:rsidRDefault="000A401E" w:rsidP="00511015">
            <w:pPr>
              <w:rPr>
                <w:rFonts w:ascii="Arial" w:hAnsi="Arial" w:cs="Arial"/>
                <w:color w:val="000000"/>
                <w:sz w:val="16"/>
                <w:szCs w:val="16"/>
                <w:highlight w:val="yellow"/>
              </w:rPr>
            </w:pPr>
          </w:p>
          <w:p w14:paraId="4D170EED" w14:textId="7BBA2794" w:rsidR="0036187D" w:rsidRPr="0036187D" w:rsidRDefault="000A401E">
            <w:pPr>
              <w:rPr>
                <w:rFonts w:ascii="Arial" w:hAnsi="Arial" w:cs="Arial"/>
                <w:color w:val="000000"/>
                <w:sz w:val="16"/>
                <w:szCs w:val="16"/>
              </w:rPr>
            </w:pPr>
            <w:r w:rsidRPr="0036187D">
              <w:rPr>
                <w:rFonts w:ascii="Arial" w:hAnsi="Arial" w:cs="Arial"/>
                <w:color w:val="000000"/>
                <w:sz w:val="16"/>
                <w:szCs w:val="16"/>
              </w:rPr>
              <w:br/>
            </w:r>
          </w:p>
        </w:tc>
      </w:tr>
      <w:tr w:rsidR="0036187D" w:rsidRPr="0036187D" w14:paraId="65DEAA6C" w14:textId="77777777" w:rsidTr="008D4CE9">
        <w:trPr>
          <w:trHeight w:val="1607"/>
        </w:trPr>
        <w:tc>
          <w:tcPr>
            <w:tcW w:w="2200" w:type="dxa"/>
            <w:tcBorders>
              <w:left w:val="single" w:sz="4" w:space="0" w:color="auto"/>
              <w:bottom w:val="single" w:sz="4" w:space="0" w:color="auto"/>
              <w:right w:val="nil"/>
            </w:tcBorders>
            <w:shd w:val="clear" w:color="000000" w:fill="FFFFFF"/>
            <w:tcMar>
              <w:top w:w="85" w:type="dxa"/>
            </w:tcMar>
            <w:hideMark/>
          </w:tcPr>
          <w:p w14:paraId="2734790B"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II.8 International and domestic intellectual property disputes are increasingly prevented or resolved through WIPO mediation, arbitration and other alternative dispute resolution methods</w:t>
            </w:r>
          </w:p>
        </w:tc>
        <w:tc>
          <w:tcPr>
            <w:tcW w:w="2420" w:type="dxa"/>
            <w:tcBorders>
              <w:left w:val="nil"/>
              <w:bottom w:val="single" w:sz="4" w:space="0" w:color="auto"/>
              <w:right w:val="nil"/>
            </w:tcBorders>
            <w:shd w:val="clear" w:color="000000" w:fill="FFFFFF"/>
            <w:tcMar>
              <w:top w:w="85" w:type="dxa"/>
            </w:tcMar>
            <w:hideMark/>
          </w:tcPr>
          <w:p w14:paraId="23146614"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IP disputes originating from transition and developed countries prevented/resolved by  WIPO mediation, arbitration and other alternative dispute resolution methods</w:t>
            </w:r>
          </w:p>
        </w:tc>
        <w:tc>
          <w:tcPr>
            <w:tcW w:w="2325" w:type="dxa"/>
            <w:tcBorders>
              <w:left w:val="nil"/>
              <w:bottom w:val="single" w:sz="4" w:space="0" w:color="auto"/>
              <w:right w:val="nil"/>
            </w:tcBorders>
            <w:shd w:val="clear" w:color="000000" w:fill="FFFFFF"/>
            <w:tcMar>
              <w:top w:w="85" w:type="dxa"/>
            </w:tcMar>
            <w:hideMark/>
          </w:tcPr>
          <w:p w14:paraId="46E33654" w14:textId="77777777" w:rsidR="0036187D" w:rsidRDefault="0036187D" w:rsidP="00511015">
            <w:pPr>
              <w:rPr>
                <w:rFonts w:ascii="Arial" w:hAnsi="Arial" w:cs="Arial"/>
                <w:sz w:val="16"/>
                <w:szCs w:val="16"/>
                <w:lang w:bidi="th-TH"/>
              </w:rPr>
            </w:pPr>
            <w:r w:rsidRPr="0036187D">
              <w:rPr>
                <w:rFonts w:ascii="Arial" w:hAnsi="Arial" w:cs="Arial"/>
                <w:sz w:val="16"/>
                <w:szCs w:val="16"/>
                <w:lang w:bidi="th-TH"/>
              </w:rPr>
              <w:t xml:space="preserve">18 additional disputes and 25 additional </w:t>
            </w:r>
            <w:proofErr w:type="spellStart"/>
            <w:r w:rsidRPr="0036187D">
              <w:rPr>
                <w:rFonts w:ascii="Arial" w:hAnsi="Arial" w:cs="Arial"/>
                <w:sz w:val="16"/>
                <w:szCs w:val="16"/>
                <w:lang w:bidi="th-TH"/>
              </w:rPr>
              <w:t>bons</w:t>
            </w:r>
            <w:proofErr w:type="spellEnd"/>
            <w:r w:rsidRPr="0036187D">
              <w:rPr>
                <w:rFonts w:ascii="Arial" w:hAnsi="Arial" w:cs="Arial"/>
                <w:sz w:val="16"/>
                <w:szCs w:val="16"/>
                <w:lang w:bidi="th-TH"/>
              </w:rPr>
              <w:t xml:space="preserve"> offices involving parties from transition and developed countries (2014)</w:t>
            </w:r>
          </w:p>
          <w:p w14:paraId="15A81759" w14:textId="77777777" w:rsidR="00F47745" w:rsidRDefault="00F47745" w:rsidP="00511015">
            <w:pPr>
              <w:rPr>
                <w:rFonts w:ascii="Arial" w:hAnsi="Arial" w:cs="Arial"/>
                <w:sz w:val="16"/>
                <w:szCs w:val="16"/>
                <w:lang w:bidi="th-TH"/>
              </w:rPr>
            </w:pPr>
          </w:p>
          <w:p w14:paraId="609CC0E4" w14:textId="6C947B35" w:rsidR="00F47745" w:rsidRPr="0036187D" w:rsidRDefault="00F47745" w:rsidP="00511015">
            <w:pPr>
              <w:rPr>
                <w:rFonts w:ascii="Arial" w:hAnsi="Arial" w:cs="Arial"/>
                <w:sz w:val="16"/>
                <w:szCs w:val="16"/>
                <w:lang w:bidi="th-TH"/>
              </w:rPr>
            </w:pPr>
            <w:r>
              <w:rPr>
                <w:rFonts w:ascii="Arial" w:hAnsi="Arial" w:cs="Arial"/>
                <w:sz w:val="16"/>
                <w:szCs w:val="16"/>
                <w:lang w:bidi="th-TH"/>
              </w:rPr>
              <w:t xml:space="preserve">377 disputes and 76 </w:t>
            </w:r>
            <w:proofErr w:type="spellStart"/>
            <w:r>
              <w:rPr>
                <w:rFonts w:ascii="Arial" w:hAnsi="Arial" w:cs="Arial"/>
                <w:sz w:val="16"/>
                <w:szCs w:val="16"/>
                <w:lang w:bidi="th-TH"/>
              </w:rPr>
              <w:t>bons</w:t>
            </w:r>
            <w:proofErr w:type="spellEnd"/>
            <w:r>
              <w:rPr>
                <w:rFonts w:ascii="Arial" w:hAnsi="Arial" w:cs="Arial"/>
                <w:sz w:val="16"/>
                <w:szCs w:val="16"/>
                <w:lang w:bidi="th-TH"/>
              </w:rPr>
              <w:t xml:space="preserve"> offices (cumulative)</w:t>
            </w:r>
          </w:p>
        </w:tc>
        <w:tc>
          <w:tcPr>
            <w:tcW w:w="2160" w:type="dxa"/>
            <w:tcBorders>
              <w:left w:val="nil"/>
              <w:bottom w:val="single" w:sz="4" w:space="0" w:color="auto"/>
              <w:right w:val="single" w:sz="4" w:space="0" w:color="auto"/>
            </w:tcBorders>
            <w:shd w:val="clear" w:color="000000" w:fill="FFFFFF"/>
            <w:tcMar>
              <w:top w:w="85" w:type="dxa"/>
            </w:tcMar>
            <w:hideMark/>
          </w:tcPr>
          <w:p w14:paraId="7B040FCA" w14:textId="3F59A7C1" w:rsidR="0036187D" w:rsidRPr="0036187D" w:rsidRDefault="000A401E" w:rsidP="00511015">
            <w:pPr>
              <w:rPr>
                <w:rFonts w:ascii="Arial" w:hAnsi="Arial" w:cs="Arial"/>
                <w:color w:val="000000"/>
                <w:sz w:val="16"/>
                <w:szCs w:val="16"/>
              </w:rPr>
            </w:pPr>
            <w:r>
              <w:rPr>
                <w:rFonts w:ascii="Arial" w:hAnsi="Arial" w:cs="Arial"/>
                <w:color w:val="000000"/>
                <w:sz w:val="16"/>
                <w:szCs w:val="16"/>
              </w:rPr>
              <w:t xml:space="preserve">33 additional disputes and </w:t>
            </w:r>
            <w:proofErr w:type="spellStart"/>
            <w:r>
              <w:rPr>
                <w:rFonts w:ascii="Arial" w:hAnsi="Arial" w:cs="Arial"/>
                <w:color w:val="000000"/>
                <w:sz w:val="16"/>
                <w:szCs w:val="16"/>
              </w:rPr>
              <w:t>bons</w:t>
            </w:r>
            <w:proofErr w:type="spellEnd"/>
            <w:r>
              <w:rPr>
                <w:rFonts w:ascii="Arial" w:hAnsi="Arial" w:cs="Arial"/>
                <w:color w:val="000000"/>
                <w:sz w:val="16"/>
                <w:szCs w:val="16"/>
              </w:rPr>
              <w:t xml:space="preserve"> offices involving parties from transition and developed countries</w:t>
            </w:r>
            <w:r w:rsidR="0036187D" w:rsidRPr="0036187D">
              <w:rPr>
                <w:rFonts w:ascii="Arial" w:hAnsi="Arial" w:cs="Arial"/>
                <w:color w:val="000000"/>
                <w:sz w:val="16"/>
                <w:szCs w:val="16"/>
              </w:rPr>
              <w:br/>
            </w:r>
          </w:p>
        </w:tc>
      </w:tr>
      <w:tr w:rsidR="00C43336" w:rsidRPr="0036187D" w14:paraId="204A6178" w14:textId="77777777" w:rsidTr="008D4CE9">
        <w:trPr>
          <w:trHeight w:val="1607"/>
        </w:trPr>
        <w:tc>
          <w:tcPr>
            <w:tcW w:w="2200" w:type="dxa"/>
            <w:tcBorders>
              <w:left w:val="single" w:sz="4" w:space="0" w:color="auto"/>
              <w:bottom w:val="single" w:sz="4" w:space="0" w:color="auto"/>
              <w:right w:val="nil"/>
            </w:tcBorders>
            <w:shd w:val="clear" w:color="000000" w:fill="FFFFFF"/>
            <w:tcMar>
              <w:top w:w="85" w:type="dxa"/>
            </w:tcMar>
          </w:tcPr>
          <w:p w14:paraId="16BAE359" w14:textId="77777777" w:rsidR="00C43336" w:rsidRDefault="00C43336" w:rsidP="00511015">
            <w:pPr>
              <w:rPr>
                <w:rFonts w:ascii="Arial" w:hAnsi="Arial" w:cs="Arial"/>
                <w:color w:val="000000"/>
                <w:sz w:val="16"/>
                <w:szCs w:val="16"/>
              </w:rPr>
            </w:pPr>
          </w:p>
          <w:p w14:paraId="0AF8D533" w14:textId="1AB096C4" w:rsidR="00C43336" w:rsidRPr="0036187D" w:rsidRDefault="00C43336" w:rsidP="00511015">
            <w:pPr>
              <w:rPr>
                <w:rFonts w:ascii="Arial" w:hAnsi="Arial" w:cs="Arial"/>
                <w:color w:val="000000"/>
                <w:sz w:val="16"/>
                <w:szCs w:val="16"/>
              </w:rPr>
            </w:pPr>
            <w:r w:rsidRPr="0054624D">
              <w:rPr>
                <w:rFonts w:ascii="Arial" w:eastAsia="Times New Roman" w:hAnsi="Arial" w:cs="Arial"/>
                <w:color w:val="000000"/>
                <w:sz w:val="16"/>
                <w:szCs w:val="16"/>
              </w:rPr>
              <w:t>II.10 Wider and more effective use of the Lisbon System, including by developing countries and LDCs</w:t>
            </w:r>
          </w:p>
        </w:tc>
        <w:tc>
          <w:tcPr>
            <w:tcW w:w="2420" w:type="dxa"/>
            <w:tcBorders>
              <w:left w:val="nil"/>
              <w:bottom w:val="single" w:sz="4" w:space="0" w:color="auto"/>
              <w:right w:val="nil"/>
            </w:tcBorders>
            <w:shd w:val="clear" w:color="000000" w:fill="FFFFFF"/>
            <w:tcMar>
              <w:top w:w="85" w:type="dxa"/>
            </w:tcMar>
          </w:tcPr>
          <w:p w14:paraId="4331614D" w14:textId="77777777" w:rsidR="00C43336" w:rsidRDefault="00C43336" w:rsidP="00511015">
            <w:pPr>
              <w:rPr>
                <w:rFonts w:ascii="Arial" w:hAnsi="Arial" w:cs="Arial"/>
                <w:color w:val="000000"/>
                <w:sz w:val="16"/>
                <w:szCs w:val="16"/>
              </w:rPr>
            </w:pPr>
          </w:p>
          <w:p w14:paraId="0717C525" w14:textId="6A651707" w:rsidR="00C43336" w:rsidRPr="0036187D" w:rsidRDefault="00C43336" w:rsidP="00511015">
            <w:pPr>
              <w:rPr>
                <w:rFonts w:ascii="Arial" w:hAnsi="Arial" w:cs="Arial"/>
                <w:color w:val="000000"/>
                <w:sz w:val="16"/>
                <w:szCs w:val="16"/>
              </w:rPr>
            </w:pPr>
            <w:r w:rsidRPr="0036187D">
              <w:rPr>
                <w:rFonts w:ascii="Arial" w:hAnsi="Arial" w:cs="Arial"/>
                <w:color w:val="000000"/>
                <w:sz w:val="16"/>
                <w:szCs w:val="16"/>
              </w:rPr>
              <w:t>No. of Lisbon system international registrations for transition and developed countries in force</w:t>
            </w:r>
          </w:p>
        </w:tc>
        <w:tc>
          <w:tcPr>
            <w:tcW w:w="2325" w:type="dxa"/>
            <w:tcBorders>
              <w:left w:val="nil"/>
              <w:bottom w:val="single" w:sz="4" w:space="0" w:color="auto"/>
              <w:right w:val="nil"/>
            </w:tcBorders>
            <w:shd w:val="clear" w:color="000000" w:fill="FFFFFF"/>
            <w:tcMar>
              <w:top w:w="85" w:type="dxa"/>
            </w:tcMar>
          </w:tcPr>
          <w:p w14:paraId="2133CC9E" w14:textId="77777777" w:rsidR="00C43336" w:rsidRDefault="00C43336" w:rsidP="00511015">
            <w:pPr>
              <w:rPr>
                <w:rFonts w:ascii="Arial" w:hAnsi="Arial" w:cs="Arial"/>
                <w:sz w:val="16"/>
                <w:szCs w:val="16"/>
                <w:lang w:bidi="th-TH"/>
              </w:rPr>
            </w:pPr>
          </w:p>
          <w:p w14:paraId="5B3D89B0" w14:textId="77777777" w:rsidR="00C43336" w:rsidRPr="0036187D" w:rsidRDefault="00C43336" w:rsidP="00C43336">
            <w:pPr>
              <w:rPr>
                <w:rFonts w:ascii="Arial" w:hAnsi="Arial" w:cs="Arial"/>
                <w:sz w:val="16"/>
                <w:szCs w:val="16"/>
              </w:rPr>
            </w:pPr>
            <w:r>
              <w:rPr>
                <w:rFonts w:ascii="Arial" w:hAnsi="Arial" w:cs="Arial"/>
                <w:sz w:val="16"/>
                <w:szCs w:val="16"/>
              </w:rPr>
              <w:t>818 out of 896 registrations in force</w:t>
            </w:r>
            <w:r w:rsidRPr="0036187D">
              <w:rPr>
                <w:rFonts w:ascii="Arial" w:hAnsi="Arial" w:cs="Arial"/>
                <w:sz w:val="16"/>
                <w:szCs w:val="16"/>
              </w:rPr>
              <w:t xml:space="preserve"> (2014)</w:t>
            </w:r>
          </w:p>
          <w:p w14:paraId="35F2D816" w14:textId="77777777" w:rsidR="00C43336" w:rsidRPr="0036187D" w:rsidRDefault="00C43336" w:rsidP="00511015">
            <w:pPr>
              <w:rPr>
                <w:rFonts w:ascii="Arial" w:hAnsi="Arial" w:cs="Arial"/>
                <w:sz w:val="16"/>
                <w:szCs w:val="16"/>
                <w:lang w:bidi="th-TH"/>
              </w:rPr>
            </w:pPr>
          </w:p>
        </w:tc>
        <w:tc>
          <w:tcPr>
            <w:tcW w:w="2160" w:type="dxa"/>
            <w:tcBorders>
              <w:left w:val="nil"/>
              <w:bottom w:val="single" w:sz="4" w:space="0" w:color="auto"/>
              <w:right w:val="single" w:sz="4" w:space="0" w:color="auto"/>
            </w:tcBorders>
            <w:shd w:val="clear" w:color="000000" w:fill="FFFFFF"/>
            <w:tcMar>
              <w:top w:w="85" w:type="dxa"/>
            </w:tcMar>
          </w:tcPr>
          <w:p w14:paraId="198BC162" w14:textId="77777777" w:rsidR="00C43336" w:rsidRDefault="00C43336" w:rsidP="00511015">
            <w:pPr>
              <w:rPr>
                <w:rFonts w:ascii="Arial" w:hAnsi="Arial" w:cs="Arial"/>
                <w:color w:val="000000"/>
                <w:sz w:val="16"/>
                <w:szCs w:val="16"/>
              </w:rPr>
            </w:pPr>
          </w:p>
          <w:p w14:paraId="40588DF2" w14:textId="21869489" w:rsidR="00C43336" w:rsidRDefault="00C43336" w:rsidP="00511015">
            <w:pPr>
              <w:rPr>
                <w:rFonts w:ascii="Arial" w:hAnsi="Arial" w:cs="Arial"/>
                <w:color w:val="000000"/>
                <w:sz w:val="16"/>
                <w:szCs w:val="16"/>
              </w:rPr>
            </w:pPr>
            <w:r w:rsidRPr="0036187D">
              <w:rPr>
                <w:rFonts w:ascii="Arial" w:hAnsi="Arial" w:cs="Arial"/>
                <w:color w:val="000000"/>
                <w:sz w:val="16"/>
                <w:szCs w:val="16"/>
              </w:rPr>
              <w:t>2% increase</w:t>
            </w:r>
            <w:r>
              <w:rPr>
                <w:rFonts w:ascii="Arial" w:hAnsi="Arial" w:cs="Arial"/>
                <w:color w:val="000000"/>
                <w:sz w:val="16"/>
                <w:szCs w:val="16"/>
              </w:rPr>
              <w:t xml:space="preserve"> (biennial)</w:t>
            </w:r>
          </w:p>
        </w:tc>
      </w:tr>
      <w:tr w:rsidR="00B66A4A" w:rsidRPr="0036187D" w14:paraId="6AB76B65" w14:textId="77777777" w:rsidTr="008D4CE9">
        <w:trPr>
          <w:trHeight w:val="775"/>
        </w:trPr>
        <w:tc>
          <w:tcPr>
            <w:tcW w:w="2200" w:type="dxa"/>
            <w:vMerge w:val="restart"/>
            <w:tcBorders>
              <w:top w:val="single" w:sz="4" w:space="0" w:color="auto"/>
              <w:left w:val="single" w:sz="4" w:space="0" w:color="auto"/>
              <w:right w:val="nil"/>
            </w:tcBorders>
            <w:shd w:val="clear" w:color="000000" w:fill="FFFFFF"/>
            <w:tcMar>
              <w:top w:w="85" w:type="dxa"/>
            </w:tcMar>
          </w:tcPr>
          <w:p w14:paraId="27E87A89" w14:textId="299768EE"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III.1 National innovation and IP strategies and plans consistent with national development objectives</w:t>
            </w:r>
          </w:p>
        </w:tc>
        <w:tc>
          <w:tcPr>
            <w:tcW w:w="2420" w:type="dxa"/>
            <w:tcBorders>
              <w:top w:val="single" w:sz="4" w:space="0" w:color="auto"/>
              <w:left w:val="nil"/>
              <w:right w:val="nil"/>
            </w:tcBorders>
            <w:shd w:val="clear" w:color="000000" w:fill="FFFFFF"/>
            <w:tcMar>
              <w:top w:w="85" w:type="dxa"/>
            </w:tcMar>
          </w:tcPr>
          <w:p w14:paraId="1CB1ACDE" w14:textId="0A03BE4F" w:rsidR="00B66A4A" w:rsidRPr="0036187D" w:rsidRDefault="00B66A4A" w:rsidP="00511015">
            <w:pPr>
              <w:rPr>
                <w:rFonts w:ascii="Arial" w:hAnsi="Arial" w:cs="Arial"/>
                <w:color w:val="000000"/>
                <w:sz w:val="16"/>
                <w:szCs w:val="16"/>
              </w:rPr>
            </w:pPr>
            <w:r w:rsidRPr="00B66A4A">
              <w:rPr>
                <w:rFonts w:ascii="Arial" w:hAnsi="Arial" w:cs="Arial"/>
                <w:color w:val="000000"/>
                <w:sz w:val="16"/>
                <w:szCs w:val="16"/>
              </w:rPr>
              <w:t>No. of countries which are in the process of formulating national IP strategies</w:t>
            </w:r>
          </w:p>
        </w:tc>
        <w:tc>
          <w:tcPr>
            <w:tcW w:w="2325" w:type="dxa"/>
            <w:tcBorders>
              <w:top w:val="single" w:sz="4" w:space="0" w:color="auto"/>
              <w:left w:val="nil"/>
              <w:right w:val="nil"/>
            </w:tcBorders>
            <w:shd w:val="clear" w:color="000000" w:fill="FFFFFF"/>
            <w:tcMar>
              <w:top w:w="85" w:type="dxa"/>
            </w:tcMar>
          </w:tcPr>
          <w:p w14:paraId="4CA8805D" w14:textId="77777777" w:rsidR="00B66A4A" w:rsidRDefault="00B66A4A" w:rsidP="00511015">
            <w:pPr>
              <w:rPr>
                <w:rFonts w:ascii="Arial" w:hAnsi="Arial" w:cs="Arial"/>
                <w:color w:val="000000"/>
                <w:sz w:val="16"/>
                <w:szCs w:val="16"/>
              </w:rPr>
            </w:pPr>
            <w:r>
              <w:rPr>
                <w:rFonts w:ascii="Arial" w:hAnsi="Arial" w:cs="Arial"/>
                <w:color w:val="000000"/>
                <w:sz w:val="16"/>
                <w:szCs w:val="16"/>
              </w:rPr>
              <w:t>4 countries in 2014</w:t>
            </w:r>
          </w:p>
          <w:p w14:paraId="674184FB" w14:textId="0728B248" w:rsidR="00B66A4A" w:rsidRPr="0036187D" w:rsidRDefault="00B66A4A" w:rsidP="00511015">
            <w:pPr>
              <w:rPr>
                <w:rFonts w:ascii="Arial" w:hAnsi="Arial" w:cs="Arial"/>
                <w:color w:val="000000"/>
                <w:sz w:val="16"/>
                <w:szCs w:val="16"/>
              </w:rPr>
            </w:pPr>
            <w:r>
              <w:rPr>
                <w:rFonts w:ascii="Arial" w:hAnsi="Arial" w:cs="Arial"/>
                <w:color w:val="000000"/>
                <w:sz w:val="16"/>
                <w:szCs w:val="16"/>
              </w:rPr>
              <w:t>(21 cumulative)</w:t>
            </w:r>
          </w:p>
        </w:tc>
        <w:tc>
          <w:tcPr>
            <w:tcW w:w="2160" w:type="dxa"/>
            <w:tcBorders>
              <w:top w:val="single" w:sz="4" w:space="0" w:color="auto"/>
              <w:left w:val="nil"/>
              <w:right w:val="single" w:sz="4" w:space="0" w:color="auto"/>
            </w:tcBorders>
            <w:shd w:val="clear" w:color="000000" w:fill="FFFFFF"/>
            <w:tcMar>
              <w:top w:w="85" w:type="dxa"/>
            </w:tcMar>
          </w:tcPr>
          <w:p w14:paraId="57978433" w14:textId="3F4C19B2" w:rsidR="00B66A4A" w:rsidRPr="0036187D" w:rsidRDefault="00B66A4A" w:rsidP="00511015">
            <w:pPr>
              <w:rPr>
                <w:rFonts w:ascii="Arial" w:hAnsi="Arial" w:cs="Arial"/>
                <w:color w:val="000000"/>
                <w:sz w:val="16"/>
                <w:szCs w:val="16"/>
              </w:rPr>
            </w:pPr>
            <w:r>
              <w:rPr>
                <w:rFonts w:ascii="Arial" w:hAnsi="Arial" w:cs="Arial"/>
                <w:color w:val="000000"/>
                <w:sz w:val="16"/>
                <w:szCs w:val="16"/>
              </w:rPr>
              <w:t>7 additional countries</w:t>
            </w:r>
          </w:p>
        </w:tc>
      </w:tr>
      <w:tr w:rsidR="00B66A4A" w:rsidRPr="0036187D" w14:paraId="126F7B98" w14:textId="77777777" w:rsidTr="008D4CE9">
        <w:trPr>
          <w:trHeight w:val="1085"/>
        </w:trPr>
        <w:tc>
          <w:tcPr>
            <w:tcW w:w="2200" w:type="dxa"/>
            <w:vMerge/>
            <w:tcBorders>
              <w:left w:val="single" w:sz="4" w:space="0" w:color="auto"/>
              <w:right w:val="nil"/>
            </w:tcBorders>
            <w:shd w:val="clear" w:color="000000" w:fill="FFFFFF"/>
            <w:tcMar>
              <w:top w:w="85" w:type="dxa"/>
            </w:tcMar>
            <w:hideMark/>
          </w:tcPr>
          <w:p w14:paraId="2A3CDC9C" w14:textId="77515B4E" w:rsidR="00B66A4A" w:rsidRPr="0036187D" w:rsidRDefault="00B66A4A" w:rsidP="00511015">
            <w:pPr>
              <w:rPr>
                <w:rFonts w:ascii="Arial" w:hAnsi="Arial" w:cs="Arial"/>
                <w:color w:val="000000"/>
                <w:sz w:val="16"/>
                <w:szCs w:val="16"/>
              </w:rPr>
            </w:pPr>
          </w:p>
        </w:tc>
        <w:tc>
          <w:tcPr>
            <w:tcW w:w="2420" w:type="dxa"/>
            <w:tcBorders>
              <w:left w:val="nil"/>
              <w:right w:val="nil"/>
            </w:tcBorders>
            <w:shd w:val="clear" w:color="000000" w:fill="FFFFFF"/>
            <w:tcMar>
              <w:top w:w="85" w:type="dxa"/>
            </w:tcMar>
            <w:hideMark/>
          </w:tcPr>
          <w:p w14:paraId="7BE80B4F" w14:textId="77777777"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No. of countries having developed national IP strategies or IP plans, dovetailed with national development goals</w:t>
            </w:r>
          </w:p>
        </w:tc>
        <w:tc>
          <w:tcPr>
            <w:tcW w:w="2325" w:type="dxa"/>
            <w:tcBorders>
              <w:left w:val="nil"/>
              <w:right w:val="nil"/>
            </w:tcBorders>
            <w:shd w:val="clear" w:color="000000" w:fill="FFFFFF"/>
            <w:tcMar>
              <w:top w:w="85" w:type="dxa"/>
            </w:tcMar>
            <w:hideMark/>
          </w:tcPr>
          <w:p w14:paraId="1006D036" w14:textId="77777777"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 xml:space="preserve">3 countries in 2014 </w:t>
            </w:r>
          </w:p>
          <w:p w14:paraId="706E5A7E" w14:textId="77777777"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 xml:space="preserve">(17 cumulative) </w:t>
            </w:r>
          </w:p>
        </w:tc>
        <w:tc>
          <w:tcPr>
            <w:tcW w:w="2160" w:type="dxa"/>
            <w:tcBorders>
              <w:left w:val="nil"/>
              <w:right w:val="single" w:sz="4" w:space="0" w:color="auto"/>
            </w:tcBorders>
            <w:shd w:val="clear" w:color="000000" w:fill="FFFFFF"/>
            <w:tcMar>
              <w:top w:w="85" w:type="dxa"/>
            </w:tcMar>
            <w:hideMark/>
          </w:tcPr>
          <w:p w14:paraId="54927A6D" w14:textId="77777777" w:rsidR="00B66A4A" w:rsidRPr="0036187D" w:rsidRDefault="00B66A4A" w:rsidP="00511015">
            <w:pPr>
              <w:rPr>
                <w:rFonts w:ascii="Arial" w:hAnsi="Arial" w:cs="Arial"/>
                <w:color w:val="000000"/>
                <w:sz w:val="16"/>
                <w:szCs w:val="16"/>
              </w:rPr>
            </w:pPr>
            <w:r w:rsidRPr="0036187D">
              <w:rPr>
                <w:rFonts w:ascii="Arial" w:hAnsi="Arial" w:cs="Arial"/>
                <w:color w:val="000000"/>
                <w:sz w:val="16"/>
                <w:szCs w:val="16"/>
              </w:rPr>
              <w:t>7 additional countries</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2C9CA6FE" w14:textId="77777777" w:rsidTr="008D4CE9">
        <w:trPr>
          <w:trHeight w:val="986"/>
        </w:trPr>
        <w:tc>
          <w:tcPr>
            <w:tcW w:w="2200" w:type="dxa"/>
            <w:vMerge w:val="restart"/>
            <w:tcBorders>
              <w:left w:val="single" w:sz="4" w:space="0" w:color="auto"/>
              <w:bottom w:val="nil"/>
              <w:right w:val="nil"/>
            </w:tcBorders>
            <w:shd w:val="clear" w:color="000000" w:fill="FFFFFF"/>
            <w:tcMar>
              <w:top w:w="85" w:type="dxa"/>
            </w:tcMar>
            <w:hideMark/>
          </w:tcPr>
          <w:p w14:paraId="59E54172"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420" w:type="dxa"/>
            <w:tcBorders>
              <w:left w:val="nil"/>
              <w:bottom w:val="nil"/>
              <w:right w:val="nil"/>
            </w:tcBorders>
            <w:shd w:val="clear" w:color="000000" w:fill="FFFFFF"/>
            <w:tcMar>
              <w:top w:w="85" w:type="dxa"/>
            </w:tcMar>
            <w:hideMark/>
          </w:tcPr>
          <w:p w14:paraId="4B0C9A57"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countries in transition having established annual IP training programs and/or courses for IP Professionals</w:t>
            </w:r>
          </w:p>
        </w:tc>
        <w:tc>
          <w:tcPr>
            <w:tcW w:w="2325" w:type="dxa"/>
            <w:tcBorders>
              <w:left w:val="nil"/>
              <w:bottom w:val="nil"/>
              <w:right w:val="nil"/>
            </w:tcBorders>
            <w:shd w:val="clear" w:color="000000" w:fill="FFFFFF"/>
            <w:tcMar>
              <w:top w:w="85" w:type="dxa"/>
            </w:tcMar>
            <w:hideMark/>
          </w:tcPr>
          <w:p w14:paraId="3D89D2F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6 countries (2014)</w:t>
            </w:r>
          </w:p>
        </w:tc>
        <w:tc>
          <w:tcPr>
            <w:tcW w:w="2160" w:type="dxa"/>
            <w:tcBorders>
              <w:left w:val="nil"/>
              <w:bottom w:val="nil"/>
              <w:right w:val="single" w:sz="4" w:space="0" w:color="auto"/>
            </w:tcBorders>
            <w:shd w:val="clear" w:color="000000" w:fill="FFFFFF"/>
            <w:tcMar>
              <w:top w:w="85" w:type="dxa"/>
            </w:tcMar>
            <w:hideMark/>
          </w:tcPr>
          <w:p w14:paraId="6B6F6C5A"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8 countries </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3D17934C" w14:textId="77777777" w:rsidTr="002B052A">
        <w:trPr>
          <w:trHeight w:val="806"/>
        </w:trPr>
        <w:tc>
          <w:tcPr>
            <w:tcW w:w="2200" w:type="dxa"/>
            <w:vMerge/>
            <w:tcBorders>
              <w:top w:val="nil"/>
              <w:left w:val="single" w:sz="4" w:space="0" w:color="auto"/>
              <w:bottom w:val="nil"/>
              <w:right w:val="nil"/>
            </w:tcBorders>
            <w:tcMar>
              <w:top w:w="85" w:type="dxa"/>
            </w:tcMar>
            <w:vAlign w:val="center"/>
            <w:hideMark/>
          </w:tcPr>
          <w:p w14:paraId="10BF2023" w14:textId="77777777" w:rsidR="0036187D" w:rsidRPr="0036187D" w:rsidRDefault="0036187D" w:rsidP="00511015">
            <w:pPr>
              <w:rPr>
                <w:rFonts w:ascii="Arial" w:hAnsi="Arial" w:cs="Arial"/>
                <w:color w:val="000000"/>
                <w:sz w:val="16"/>
                <w:szCs w:val="16"/>
              </w:rPr>
            </w:pPr>
          </w:p>
        </w:tc>
        <w:tc>
          <w:tcPr>
            <w:tcW w:w="2420" w:type="dxa"/>
            <w:tcBorders>
              <w:top w:val="nil"/>
              <w:left w:val="nil"/>
              <w:bottom w:val="nil"/>
              <w:right w:val="nil"/>
            </w:tcBorders>
            <w:shd w:val="clear" w:color="000000" w:fill="FFFFFF"/>
            <w:tcMar>
              <w:top w:w="85" w:type="dxa"/>
            </w:tcMar>
            <w:hideMark/>
          </w:tcPr>
          <w:p w14:paraId="0F40AB98"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of trained IP professionals and IP Officials using upgraded skills in their work.</w:t>
            </w:r>
          </w:p>
        </w:tc>
        <w:tc>
          <w:tcPr>
            <w:tcW w:w="2325" w:type="dxa"/>
            <w:tcBorders>
              <w:top w:val="nil"/>
              <w:left w:val="nil"/>
              <w:bottom w:val="nil"/>
              <w:right w:val="nil"/>
            </w:tcBorders>
            <w:shd w:val="clear" w:color="000000" w:fill="FFFFFF"/>
            <w:tcMar>
              <w:top w:w="85" w:type="dxa"/>
            </w:tcMar>
            <w:hideMark/>
          </w:tcPr>
          <w:p w14:paraId="3F03A7A2"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80%</w:t>
            </w:r>
          </w:p>
        </w:tc>
        <w:tc>
          <w:tcPr>
            <w:tcW w:w="2160" w:type="dxa"/>
            <w:tcBorders>
              <w:top w:val="nil"/>
              <w:left w:val="nil"/>
              <w:bottom w:val="nil"/>
              <w:right w:val="single" w:sz="4" w:space="0" w:color="auto"/>
            </w:tcBorders>
            <w:shd w:val="clear" w:color="000000" w:fill="FFFFFF"/>
            <w:tcMar>
              <w:top w:w="85" w:type="dxa"/>
            </w:tcMar>
            <w:hideMark/>
          </w:tcPr>
          <w:p w14:paraId="0A42BB4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70% </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060D5AB5" w14:textId="77777777" w:rsidTr="002B052A">
        <w:trPr>
          <w:trHeight w:val="1085"/>
        </w:trPr>
        <w:tc>
          <w:tcPr>
            <w:tcW w:w="2200" w:type="dxa"/>
            <w:tcBorders>
              <w:top w:val="nil"/>
              <w:left w:val="single" w:sz="4" w:space="0" w:color="auto"/>
              <w:bottom w:val="single" w:sz="4" w:space="0" w:color="auto"/>
              <w:right w:val="nil"/>
            </w:tcBorders>
            <w:shd w:val="clear" w:color="000000" w:fill="FFFFFF"/>
            <w:tcMar>
              <w:top w:w="85" w:type="dxa"/>
            </w:tcMar>
            <w:hideMark/>
          </w:tcPr>
          <w:p w14:paraId="4C7A91CA" w14:textId="162BFDCA" w:rsidR="00B66A4A" w:rsidRPr="0036187D" w:rsidRDefault="0036187D" w:rsidP="00511015">
            <w:pPr>
              <w:rPr>
                <w:rFonts w:ascii="Arial" w:hAnsi="Arial" w:cs="Arial"/>
                <w:color w:val="000000"/>
                <w:sz w:val="16"/>
                <w:szCs w:val="16"/>
              </w:rPr>
            </w:pPr>
            <w:r w:rsidRPr="0036187D">
              <w:rPr>
                <w:rFonts w:ascii="Arial" w:hAnsi="Arial" w:cs="Arial"/>
                <w:color w:val="000000"/>
                <w:sz w:val="16"/>
                <w:szCs w:val="16"/>
              </w:rPr>
              <w:t>III.4 Strengthened cooperation mechanisms and programs tailored to the needs of developing countries</w:t>
            </w:r>
            <w:r w:rsidR="00B66A4A">
              <w:rPr>
                <w:rFonts w:ascii="Arial" w:hAnsi="Arial" w:cs="Arial"/>
                <w:color w:val="000000"/>
                <w:sz w:val="16"/>
                <w:szCs w:val="16"/>
              </w:rPr>
              <w:t xml:space="preserve">, </w:t>
            </w:r>
            <w:r w:rsidRPr="0036187D">
              <w:rPr>
                <w:rFonts w:ascii="Arial" w:hAnsi="Arial" w:cs="Arial"/>
                <w:color w:val="000000"/>
                <w:sz w:val="16"/>
                <w:szCs w:val="16"/>
              </w:rPr>
              <w:t>LDCs</w:t>
            </w:r>
            <w:r w:rsidR="00B66A4A">
              <w:rPr>
                <w:rFonts w:ascii="Arial" w:hAnsi="Arial" w:cs="Arial"/>
                <w:color w:val="000000"/>
                <w:sz w:val="16"/>
                <w:szCs w:val="16"/>
              </w:rPr>
              <w:t xml:space="preserve"> and </w:t>
            </w:r>
            <w:r w:rsidR="00B66A4A" w:rsidRPr="0036187D">
              <w:rPr>
                <w:rFonts w:ascii="Arial" w:hAnsi="Arial" w:cs="Arial"/>
                <w:color w:val="000000"/>
                <w:sz w:val="16"/>
                <w:szCs w:val="16"/>
              </w:rPr>
              <w:t>countries with economies in transition</w:t>
            </w:r>
          </w:p>
        </w:tc>
        <w:tc>
          <w:tcPr>
            <w:tcW w:w="2420" w:type="dxa"/>
            <w:tcBorders>
              <w:top w:val="nil"/>
              <w:left w:val="nil"/>
              <w:bottom w:val="single" w:sz="4" w:space="0" w:color="auto"/>
              <w:right w:val="nil"/>
            </w:tcBorders>
            <w:shd w:val="clear" w:color="000000" w:fill="FFFFFF"/>
            <w:tcMar>
              <w:top w:w="85" w:type="dxa"/>
            </w:tcMar>
            <w:hideMark/>
          </w:tcPr>
          <w:p w14:paraId="1537E1A7"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established partnerships</w:t>
            </w:r>
          </w:p>
        </w:tc>
        <w:tc>
          <w:tcPr>
            <w:tcW w:w="2325" w:type="dxa"/>
            <w:tcBorders>
              <w:top w:val="nil"/>
              <w:left w:val="nil"/>
              <w:bottom w:val="single" w:sz="4" w:space="0" w:color="auto"/>
              <w:right w:val="nil"/>
            </w:tcBorders>
            <w:shd w:val="clear" w:color="000000" w:fill="FFFFFF"/>
            <w:tcMar>
              <w:top w:w="85" w:type="dxa"/>
            </w:tcMar>
            <w:hideMark/>
          </w:tcPr>
          <w:p w14:paraId="1BD89365"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4 MoUs signed (2014) </w:t>
            </w:r>
          </w:p>
        </w:tc>
        <w:tc>
          <w:tcPr>
            <w:tcW w:w="2160" w:type="dxa"/>
            <w:tcBorders>
              <w:top w:val="nil"/>
              <w:left w:val="nil"/>
              <w:bottom w:val="single" w:sz="4" w:space="0" w:color="auto"/>
              <w:right w:val="single" w:sz="4" w:space="0" w:color="auto"/>
            </w:tcBorders>
            <w:shd w:val="clear" w:color="000000" w:fill="FFFFFF"/>
            <w:tcMar>
              <w:top w:w="85" w:type="dxa"/>
            </w:tcMar>
            <w:hideMark/>
          </w:tcPr>
          <w:p w14:paraId="5E9B475B" w14:textId="306573AE" w:rsidR="0036187D" w:rsidRPr="0036187D" w:rsidRDefault="000A401E" w:rsidP="00C224D6">
            <w:pPr>
              <w:rPr>
                <w:rFonts w:ascii="Arial" w:hAnsi="Arial" w:cs="Arial"/>
                <w:color w:val="000000"/>
                <w:sz w:val="16"/>
                <w:szCs w:val="16"/>
              </w:rPr>
            </w:pPr>
            <w:r>
              <w:rPr>
                <w:rFonts w:ascii="Arial" w:hAnsi="Arial" w:cs="Arial"/>
                <w:color w:val="000000"/>
                <w:sz w:val="16"/>
                <w:szCs w:val="16"/>
              </w:rPr>
              <w:t xml:space="preserve">6 IP partnerships established </w:t>
            </w:r>
            <w:r w:rsidR="0036187D" w:rsidRPr="0036187D">
              <w:rPr>
                <w:rFonts w:ascii="Arial" w:hAnsi="Arial" w:cs="Arial"/>
                <w:color w:val="000000"/>
                <w:sz w:val="16"/>
                <w:szCs w:val="16"/>
              </w:rPr>
              <w:br/>
            </w:r>
          </w:p>
        </w:tc>
      </w:tr>
    </w:tbl>
    <w:p w14:paraId="495D93C4" w14:textId="77777777" w:rsidR="0036187D" w:rsidRDefault="0036187D" w:rsidP="00511015">
      <w:pPr>
        <w:jc w:val="both"/>
        <w:rPr>
          <w:rFonts w:ascii="Arial" w:hAnsi="Arial" w:cs="Arial"/>
        </w:rPr>
      </w:pPr>
    </w:p>
    <w:p w14:paraId="4ABC5717" w14:textId="77777777" w:rsidR="00E379D9" w:rsidRPr="0036187D" w:rsidRDefault="00E379D9" w:rsidP="00511015">
      <w:pPr>
        <w:jc w:val="both"/>
        <w:rPr>
          <w:rFonts w:ascii="Arial" w:hAnsi="Arial" w:cs="Arial"/>
        </w:rPr>
      </w:pPr>
    </w:p>
    <w:p w14:paraId="25FAA105" w14:textId="77777777" w:rsidR="0036187D" w:rsidRPr="0036187D" w:rsidRDefault="0036187D" w:rsidP="00511015">
      <w:pPr>
        <w:jc w:val="both"/>
        <w:rPr>
          <w:rFonts w:ascii="Arial" w:hAnsi="Arial" w:cs="Arial"/>
        </w:rPr>
      </w:pPr>
      <w:r w:rsidRPr="0036187D">
        <w:rPr>
          <w:rFonts w:ascii="Arial" w:hAnsi="Arial" w:cs="Arial"/>
        </w:rPr>
        <w:t>RESOURCES FOR PROGRAM 10</w:t>
      </w:r>
    </w:p>
    <w:p w14:paraId="1AFFF5FD" w14:textId="77777777" w:rsidR="0036187D" w:rsidRPr="0036187D" w:rsidRDefault="0036187D" w:rsidP="00511015">
      <w:pPr>
        <w:jc w:val="both"/>
        <w:rPr>
          <w:rFonts w:ascii="Arial" w:hAnsi="Arial" w:cs="Arial"/>
        </w:rPr>
      </w:pPr>
    </w:p>
    <w:p w14:paraId="688CB516" w14:textId="3F13A8A9"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The overall resources for Program 10 show a decrease of 0.43 million Swiss francs, primarily due to (</w:t>
      </w:r>
      <w:proofErr w:type="spellStart"/>
      <w:r w:rsidRPr="0036187D">
        <w:rPr>
          <w:rFonts w:ascii="Arial" w:hAnsi="Arial" w:cs="Arial"/>
          <w:sz w:val="20"/>
        </w:rPr>
        <w:t>i</w:t>
      </w:r>
      <w:proofErr w:type="spellEnd"/>
      <w:r w:rsidRPr="0036187D">
        <w:rPr>
          <w:rFonts w:ascii="Arial" w:hAnsi="Arial" w:cs="Arial"/>
          <w:sz w:val="20"/>
        </w:rPr>
        <w:t>) the transfer of responsibilities for activities targeting SMEs to Program 30 (SME and Entrepreneurship Support), and (ii) a reduction in personnel resources equivalent to one</w:t>
      </w:r>
      <w:r w:rsidR="00653890">
        <w:rPr>
          <w:rFonts w:ascii="Arial" w:hAnsi="Arial" w:cs="Arial"/>
          <w:sz w:val="20"/>
        </w:rPr>
        <w:t xml:space="preserve"> post</w:t>
      </w:r>
      <w:r w:rsidRPr="0036187D">
        <w:rPr>
          <w:rFonts w:ascii="Arial" w:hAnsi="Arial" w:cs="Arial"/>
          <w:sz w:val="20"/>
        </w:rPr>
        <w:t>.  The reduction in personnel should be seen as temporary in nature pending the finalization of the regularization of a continuing function in the Program expected to be completed in the second half of</w:t>
      </w:r>
      <w:r w:rsidR="008F3633">
        <w:rPr>
          <w:rFonts w:ascii="Arial" w:hAnsi="Arial" w:cs="Arial"/>
          <w:sz w:val="20"/>
        </w:rPr>
        <w:t> </w:t>
      </w:r>
      <w:r w:rsidRPr="0036187D">
        <w:rPr>
          <w:rFonts w:ascii="Arial" w:hAnsi="Arial" w:cs="Arial"/>
          <w:sz w:val="20"/>
        </w:rPr>
        <w:t>2015.</w:t>
      </w:r>
    </w:p>
    <w:p w14:paraId="790C0673" w14:textId="77777777" w:rsidR="0036187D" w:rsidRPr="0036187D" w:rsidRDefault="0036187D" w:rsidP="00511015">
      <w:pPr>
        <w:jc w:val="both"/>
        <w:rPr>
          <w:rFonts w:ascii="Arial" w:hAnsi="Arial" w:cs="Arial"/>
        </w:rPr>
      </w:pPr>
    </w:p>
    <w:p w14:paraId="5D605479" w14:textId="5A9AD35E" w:rsidR="0036187D" w:rsidRPr="0036187D" w:rsidRDefault="0036187D" w:rsidP="00B66A4A">
      <w:pPr>
        <w:pStyle w:val="ListParagraph"/>
        <w:numPr>
          <w:ilvl w:val="0"/>
          <w:numId w:val="36"/>
        </w:numPr>
        <w:tabs>
          <w:tab w:val="right" w:pos="709"/>
        </w:tabs>
        <w:ind w:left="0" w:firstLine="0"/>
        <w:jc w:val="both"/>
        <w:rPr>
          <w:rFonts w:ascii="Arial" w:hAnsi="Arial" w:cs="Arial"/>
          <w:sz w:val="20"/>
        </w:rPr>
      </w:pPr>
      <w:r w:rsidRPr="0036187D">
        <w:rPr>
          <w:rFonts w:ascii="Arial" w:hAnsi="Arial" w:cs="Arial"/>
          <w:sz w:val="20"/>
        </w:rPr>
        <w:t>The shift in resources observed under the Expected Results reflects the completion of the mainstreaming of activities related to TISCs and Business Solutions for IP Offices to Programs 14 and 15</w:t>
      </w:r>
      <w:r w:rsidR="00D55DBD">
        <w:rPr>
          <w:rFonts w:ascii="Arial" w:hAnsi="Arial" w:cs="Arial"/>
          <w:sz w:val="20"/>
        </w:rPr>
        <w:t> </w:t>
      </w:r>
      <w:r w:rsidRPr="0036187D">
        <w:rPr>
          <w:rFonts w:ascii="Arial" w:hAnsi="Arial" w:cs="Arial"/>
          <w:sz w:val="20"/>
        </w:rPr>
        <w:t xml:space="preserve">respectively. </w:t>
      </w:r>
    </w:p>
    <w:p w14:paraId="539598F9" w14:textId="77777777" w:rsidR="0036187D" w:rsidRPr="0036187D" w:rsidRDefault="0036187D" w:rsidP="00511015">
      <w:pPr>
        <w:jc w:val="both"/>
        <w:rPr>
          <w:rFonts w:ascii="Arial" w:hAnsi="Arial" w:cs="Arial"/>
        </w:rPr>
      </w:pPr>
    </w:p>
    <w:p w14:paraId="2D1A5B54" w14:textId="77777777" w:rsidR="0036187D" w:rsidRPr="008D4CE9" w:rsidRDefault="0036187D" w:rsidP="001A05EB">
      <w:pPr>
        <w:pStyle w:val="ListParagraph"/>
        <w:keepNext/>
        <w:keepLines/>
        <w:ind w:left="0"/>
        <w:jc w:val="center"/>
        <w:rPr>
          <w:rFonts w:ascii="Arial" w:hAnsi="Arial" w:cs="Arial"/>
          <w:b/>
          <w:sz w:val="20"/>
        </w:rPr>
      </w:pPr>
      <w:r w:rsidRPr="008D4CE9">
        <w:rPr>
          <w:rFonts w:ascii="Arial" w:hAnsi="Arial" w:cs="Arial"/>
          <w:b/>
          <w:sz w:val="20"/>
        </w:rPr>
        <w:lastRenderedPageBreak/>
        <w:t xml:space="preserve">Program 10: Resources by Result </w:t>
      </w:r>
    </w:p>
    <w:p w14:paraId="672E7B4E" w14:textId="77777777" w:rsidR="0036187D" w:rsidRPr="008D4CE9" w:rsidRDefault="0036187D" w:rsidP="001A05EB">
      <w:pPr>
        <w:pStyle w:val="ListParagraph"/>
        <w:keepNext/>
        <w:keepLines/>
        <w:ind w:left="0"/>
        <w:jc w:val="center"/>
        <w:rPr>
          <w:rFonts w:ascii="Arial" w:hAnsi="Arial" w:cs="Arial"/>
          <w:i/>
          <w:sz w:val="20"/>
        </w:rPr>
      </w:pPr>
      <w:r w:rsidRPr="008D4CE9">
        <w:rPr>
          <w:rFonts w:ascii="Arial" w:hAnsi="Arial" w:cs="Arial"/>
          <w:i/>
          <w:sz w:val="20"/>
        </w:rPr>
        <w:t>(in thousands of Swiss francs)</w:t>
      </w:r>
    </w:p>
    <w:p w14:paraId="7D3D5EB6" w14:textId="77777777" w:rsidR="0036187D" w:rsidRPr="008D4CE9" w:rsidRDefault="0036187D" w:rsidP="008D4CE9">
      <w:pPr>
        <w:pStyle w:val="ListParagraph"/>
        <w:keepNext/>
        <w:keepLines/>
        <w:ind w:left="0"/>
        <w:jc w:val="both"/>
        <w:rPr>
          <w:rFonts w:ascii="Arial" w:hAnsi="Arial" w:cs="Arial"/>
          <w:i/>
          <w:sz w:val="20"/>
        </w:rPr>
      </w:pPr>
    </w:p>
    <w:p w14:paraId="377CE581" w14:textId="2F8D4AE2" w:rsidR="0036187D" w:rsidRPr="00DF647B" w:rsidRDefault="005521CC" w:rsidP="008D4CE9">
      <w:pPr>
        <w:pStyle w:val="ListParagraph"/>
        <w:keepNext/>
        <w:keepLines/>
        <w:ind w:left="0"/>
        <w:jc w:val="center"/>
        <w:rPr>
          <w:i/>
          <w:sz w:val="20"/>
        </w:rPr>
      </w:pPr>
      <w:r w:rsidRPr="005521CC">
        <w:rPr>
          <w:noProof/>
          <w:lang w:eastAsia="en-US"/>
        </w:rPr>
        <w:drawing>
          <wp:inline distT="0" distB="0" distL="0" distR="0" wp14:anchorId="6E4294D5" wp14:editId="28D8A44B">
            <wp:extent cx="4809744" cy="5285877"/>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09744" cy="5285877"/>
                    </a:xfrm>
                    <a:prstGeom prst="rect">
                      <a:avLst/>
                    </a:prstGeom>
                    <a:noFill/>
                    <a:ln>
                      <a:noFill/>
                    </a:ln>
                  </pic:spPr>
                </pic:pic>
              </a:graphicData>
            </a:graphic>
          </wp:inline>
        </w:drawing>
      </w:r>
    </w:p>
    <w:p w14:paraId="4D7D56EF" w14:textId="77777777" w:rsidR="0036187D" w:rsidRDefault="0036187D" w:rsidP="008D4CE9">
      <w:pPr>
        <w:jc w:val="both"/>
        <w:rPr>
          <w:i/>
          <w:sz w:val="20"/>
        </w:rPr>
      </w:pPr>
      <w:r>
        <w:rPr>
          <w:i/>
          <w:sz w:val="20"/>
        </w:rPr>
        <w:br w:type="page"/>
      </w:r>
    </w:p>
    <w:p w14:paraId="5C7CFD31" w14:textId="77777777" w:rsidR="0036187D" w:rsidRPr="00AC4500" w:rsidRDefault="0036187D" w:rsidP="00511015">
      <w:pPr>
        <w:pStyle w:val="ListParagraph"/>
        <w:spacing w:after="240"/>
        <w:jc w:val="center"/>
        <w:rPr>
          <w:rFonts w:ascii="Arial" w:hAnsi="Arial" w:cs="Arial"/>
          <w:b/>
          <w:sz w:val="20"/>
        </w:rPr>
      </w:pPr>
      <w:r w:rsidRPr="00AC4500">
        <w:rPr>
          <w:rFonts w:ascii="Arial" w:hAnsi="Arial" w:cs="Arial"/>
          <w:b/>
          <w:sz w:val="20"/>
        </w:rPr>
        <w:lastRenderedPageBreak/>
        <w:t>Program 10: Resources by Object of Expenditure</w:t>
      </w:r>
    </w:p>
    <w:p w14:paraId="420A2FFF" w14:textId="77777777" w:rsidR="0036187D" w:rsidRPr="00AC4500" w:rsidRDefault="0036187D" w:rsidP="00511015">
      <w:pPr>
        <w:pStyle w:val="ListParagraph"/>
        <w:spacing w:after="240"/>
        <w:jc w:val="center"/>
        <w:rPr>
          <w:rFonts w:ascii="Arial" w:hAnsi="Arial" w:cs="Arial"/>
          <w:i/>
          <w:sz w:val="20"/>
        </w:rPr>
      </w:pPr>
      <w:r w:rsidRPr="00AC4500">
        <w:rPr>
          <w:rFonts w:ascii="Arial" w:hAnsi="Arial" w:cs="Arial"/>
          <w:i/>
          <w:sz w:val="20"/>
        </w:rPr>
        <w:t>(in thousands of Swiss francs)</w:t>
      </w:r>
    </w:p>
    <w:p w14:paraId="1BE01265" w14:textId="77777777" w:rsidR="0036187D" w:rsidRPr="00DF647B" w:rsidRDefault="0036187D" w:rsidP="00511015">
      <w:pPr>
        <w:pStyle w:val="ListParagraph"/>
        <w:spacing w:after="240"/>
        <w:jc w:val="center"/>
        <w:rPr>
          <w:i/>
          <w:sz w:val="20"/>
        </w:rPr>
      </w:pPr>
    </w:p>
    <w:p w14:paraId="7E2E6E7A" w14:textId="77777777" w:rsidR="0036187D" w:rsidRDefault="0036187D" w:rsidP="007E19DB">
      <w:pPr>
        <w:jc w:val="center"/>
      </w:pPr>
      <w:r w:rsidRPr="00DF647B">
        <w:rPr>
          <w:noProof/>
          <w:lang w:eastAsia="en-US"/>
        </w:rPr>
        <w:drawing>
          <wp:inline distT="0" distB="0" distL="0" distR="0" wp14:anchorId="4563099D" wp14:editId="5C756554">
            <wp:extent cx="4782373" cy="537508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82373" cy="5375081"/>
                    </a:xfrm>
                    <a:prstGeom prst="rect">
                      <a:avLst/>
                    </a:prstGeom>
                    <a:noFill/>
                    <a:ln>
                      <a:noFill/>
                    </a:ln>
                  </pic:spPr>
                </pic:pic>
              </a:graphicData>
            </a:graphic>
          </wp:inline>
        </w:drawing>
      </w:r>
    </w:p>
    <w:p w14:paraId="56512A97" w14:textId="77777777" w:rsidR="0036187D" w:rsidRPr="00563C12" w:rsidRDefault="0036187D" w:rsidP="00511015">
      <w:pPr>
        <w:jc w:val="both"/>
      </w:pPr>
    </w:p>
    <w:p w14:paraId="1500B26E" w14:textId="07D520AC" w:rsidR="00865AEC" w:rsidRPr="009B4A78" w:rsidRDefault="00865AEC" w:rsidP="00B65F7B">
      <w:pPr>
        <w:pStyle w:val="ListParagraph"/>
        <w:spacing w:after="240"/>
        <w:ind w:left="0"/>
        <w:rPr>
          <w:rFonts w:ascii="Arial" w:hAnsi="Arial" w:cs="Arial"/>
          <w:sz w:val="20"/>
        </w:rPr>
      </w:pPr>
    </w:p>
    <w:p w14:paraId="447364FE" w14:textId="77777777" w:rsidR="00865AEC" w:rsidRPr="009B4A78" w:rsidRDefault="00865AEC">
      <w:pPr>
        <w:rPr>
          <w:rFonts w:ascii="Arial" w:hAnsi="Arial" w:cs="Arial"/>
          <w:sz w:val="20"/>
        </w:rPr>
      </w:pPr>
      <w:r w:rsidRPr="009B4A78">
        <w:rPr>
          <w:rFonts w:ascii="Arial" w:hAnsi="Arial" w:cs="Arial"/>
          <w:sz w:val="20"/>
        </w:rPr>
        <w:br w:type="page"/>
      </w:r>
    </w:p>
    <w:p w14:paraId="6A8579C3" w14:textId="77777777" w:rsidR="00865AEC" w:rsidRPr="009B4A78" w:rsidRDefault="00865AEC" w:rsidP="00F33E49">
      <w:pPr>
        <w:pStyle w:val="StyleHeading3ComplexItalic"/>
        <w:keepLines/>
        <w:ind w:left="1985" w:hanging="1985"/>
      </w:pPr>
      <w:bookmarkStart w:id="43" w:name="_Toc431221419"/>
      <w:r w:rsidRPr="009B4A78">
        <w:lastRenderedPageBreak/>
        <w:t>PROGRAM 11</w:t>
      </w:r>
      <w:r w:rsidRPr="009B4A78">
        <w:tab/>
        <w:t>THE WIPO ACADEMY</w:t>
      </w:r>
      <w:bookmarkEnd w:id="43"/>
    </w:p>
    <w:p w14:paraId="1D9D0D27" w14:textId="77777777" w:rsidR="00865AEC" w:rsidRPr="009B4A78" w:rsidRDefault="00865AEC" w:rsidP="00F33E49">
      <w:pPr>
        <w:rPr>
          <w:rFonts w:ascii="Arial" w:hAnsi="Arial" w:cs="Arial"/>
          <w:sz w:val="20"/>
          <w:szCs w:val="20"/>
        </w:rPr>
      </w:pPr>
    </w:p>
    <w:p w14:paraId="2D0E4672" w14:textId="77777777" w:rsidR="00865AEC" w:rsidRPr="009B4A78" w:rsidRDefault="00865AEC" w:rsidP="00F33E49">
      <w:pPr>
        <w:jc w:val="both"/>
        <w:rPr>
          <w:rFonts w:ascii="Arial" w:hAnsi="Arial" w:cs="Arial"/>
          <w:sz w:val="20"/>
          <w:szCs w:val="20"/>
        </w:rPr>
      </w:pPr>
    </w:p>
    <w:p w14:paraId="17B13C83" w14:textId="77777777" w:rsidR="00865AEC" w:rsidRPr="009B4A78" w:rsidRDefault="00865AEC" w:rsidP="00F33E49">
      <w:pPr>
        <w:jc w:val="both"/>
        <w:rPr>
          <w:rFonts w:ascii="Arial" w:hAnsi="Arial" w:cs="Arial"/>
          <w:szCs w:val="20"/>
        </w:rPr>
      </w:pPr>
      <w:r w:rsidRPr="009B4A78">
        <w:rPr>
          <w:rFonts w:ascii="Arial" w:hAnsi="Arial" w:cs="Arial"/>
          <w:szCs w:val="20"/>
        </w:rPr>
        <w:t>PLANNING CONTEXT</w:t>
      </w:r>
    </w:p>
    <w:p w14:paraId="056B30CE" w14:textId="77777777" w:rsidR="00865AEC" w:rsidRPr="009B4A78" w:rsidRDefault="00865AEC" w:rsidP="00F33E49">
      <w:pPr>
        <w:jc w:val="both"/>
        <w:rPr>
          <w:rFonts w:ascii="Arial" w:hAnsi="Arial" w:cs="Arial"/>
          <w:szCs w:val="20"/>
        </w:rPr>
      </w:pPr>
    </w:p>
    <w:p w14:paraId="7C3BFFB0"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The WIPO Academy is the core entity in WIPO for training and human capacity-building activities, particularly for developing countries, LDCs and countries in transition.  The Academy acts as an in-house center of excellence on training, including professional training; a catalyst for networks and partnerships to expand the range and impact of training opportunities at the national level; an open-access on-line clearing house of information on all WIPO training activities, tools and services; a unique and multi-lingual provider of on-line distance learning and training; and a hub of virtual network of partners, experts and teachers in development-oriented IP training.</w:t>
      </w:r>
    </w:p>
    <w:p w14:paraId="24CCED43" w14:textId="77777777" w:rsidR="00865AEC" w:rsidRPr="009B4A78" w:rsidRDefault="00865AEC" w:rsidP="00F33E49">
      <w:pPr>
        <w:jc w:val="both"/>
        <w:rPr>
          <w:rFonts w:ascii="Arial" w:hAnsi="Arial" w:cs="Arial"/>
          <w:sz w:val="20"/>
          <w:szCs w:val="20"/>
        </w:rPr>
      </w:pPr>
    </w:p>
    <w:p w14:paraId="64B6F396"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 xml:space="preserve">In the biennium 2014/15, the Academy embarked on a gradual and consistent reform process to reposition the Academy as the organization-wide vehicle for professional training and capacity-building. </w:t>
      </w:r>
    </w:p>
    <w:p w14:paraId="59ABAFEF" w14:textId="77777777" w:rsidR="00865AEC" w:rsidRPr="009B4A78" w:rsidRDefault="00865AEC" w:rsidP="00F33E49">
      <w:pPr>
        <w:jc w:val="both"/>
        <w:rPr>
          <w:rFonts w:ascii="Arial" w:hAnsi="Arial" w:cs="Arial"/>
          <w:sz w:val="20"/>
          <w:szCs w:val="20"/>
        </w:rPr>
      </w:pPr>
    </w:p>
    <w:p w14:paraId="2A8959FD" w14:textId="77777777" w:rsidR="00865AEC" w:rsidRPr="009B4A78" w:rsidRDefault="00865AEC" w:rsidP="00F33E49">
      <w:pPr>
        <w:jc w:val="both"/>
        <w:rPr>
          <w:rFonts w:ascii="Arial" w:hAnsi="Arial" w:cs="Arial"/>
          <w:sz w:val="20"/>
          <w:szCs w:val="20"/>
        </w:rPr>
      </w:pPr>
    </w:p>
    <w:p w14:paraId="724E038B" w14:textId="77777777" w:rsidR="00865AEC" w:rsidRPr="009B4A78" w:rsidRDefault="00865AEC" w:rsidP="00F33E49">
      <w:pPr>
        <w:jc w:val="both"/>
        <w:rPr>
          <w:rFonts w:ascii="Arial" w:hAnsi="Arial" w:cs="Arial"/>
          <w:szCs w:val="20"/>
        </w:rPr>
      </w:pPr>
      <w:r w:rsidRPr="009B4A78">
        <w:rPr>
          <w:rFonts w:ascii="Arial" w:hAnsi="Arial" w:cs="Arial"/>
          <w:szCs w:val="20"/>
        </w:rPr>
        <w:t>IMPLEMENTATION STRATEGIES</w:t>
      </w:r>
    </w:p>
    <w:p w14:paraId="35EAD406" w14:textId="77777777" w:rsidR="00865AEC" w:rsidRPr="009B4A78" w:rsidRDefault="00865AEC" w:rsidP="00F33E49">
      <w:pPr>
        <w:jc w:val="both"/>
        <w:rPr>
          <w:rFonts w:ascii="Arial" w:hAnsi="Arial" w:cs="Arial"/>
          <w:szCs w:val="20"/>
        </w:rPr>
      </w:pPr>
    </w:p>
    <w:p w14:paraId="0CD4ACA5"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 xml:space="preserve">In working to attain the objectives of its reform, the Academy will draw on its experience and comparative advantages.  These include its neutrality, credibility and brand name; its prior investments in training and teaching materials and tools including its distance learning platform; its large international network of experts, teachers and tutors; its long-standing cooperation and partnership with national and regional institutions; its diverse linguistic content; its experience in identifying and catering to the training priorities and needs of Member States and other stakeholders; and its non-profit status.  </w:t>
      </w:r>
    </w:p>
    <w:p w14:paraId="55EFEDD6" w14:textId="77777777" w:rsidR="00865AEC" w:rsidRPr="009B4A78" w:rsidRDefault="00865AEC" w:rsidP="00F33E49">
      <w:pPr>
        <w:jc w:val="both"/>
        <w:rPr>
          <w:rFonts w:ascii="Arial" w:hAnsi="Arial" w:cs="Arial"/>
          <w:sz w:val="20"/>
          <w:szCs w:val="20"/>
        </w:rPr>
      </w:pPr>
    </w:p>
    <w:p w14:paraId="708417E9"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The Academy will work closely with all concerned Sectors in the Organization to develop regular and effective processes and mechanisms for internal consultations, planning and information sharing for identifying and responding in a timely and efficient manner to training needs and requests.</w:t>
      </w:r>
    </w:p>
    <w:p w14:paraId="16963870" w14:textId="77777777" w:rsidR="00865AEC" w:rsidRPr="009B4A78" w:rsidRDefault="00865AEC" w:rsidP="00F33E49">
      <w:pPr>
        <w:jc w:val="both"/>
        <w:rPr>
          <w:rFonts w:ascii="Arial" w:hAnsi="Arial" w:cs="Arial"/>
          <w:sz w:val="20"/>
          <w:szCs w:val="20"/>
        </w:rPr>
      </w:pPr>
    </w:p>
    <w:p w14:paraId="1BFFDEA8" w14:textId="5D7E8818"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 xml:space="preserve">The Academy will continue to review and update the content of its training materials and distance learning courses, in close cooperation with the concerned substantive sectors in WIPO, tutors, renowned experts and professors. Emphasis will also be placed on translation into different languages where a clear demand has been identified.  Efforts will be made to develop ICT tools that would enable more effective administration and delivery of the distance learning courses.  Priority will be given to promote a larger participation of women in the Academy’s programs as well as equal geographical distribution in all instances where the Academy has selection prerogatives.  The Academy will also seek to improve its evaluation tools </w:t>
      </w:r>
      <w:r w:rsidR="00AF5A57">
        <w:rPr>
          <w:rFonts w:ascii="Arial" w:hAnsi="Arial" w:cs="Arial"/>
          <w:sz w:val="20"/>
          <w:szCs w:val="20"/>
        </w:rPr>
        <w:t xml:space="preserve">in order </w:t>
      </w:r>
      <w:r w:rsidRPr="009B4A78">
        <w:rPr>
          <w:rFonts w:ascii="Arial" w:hAnsi="Arial" w:cs="Arial"/>
          <w:sz w:val="20"/>
          <w:szCs w:val="20"/>
        </w:rPr>
        <w:t xml:space="preserve">to draw </w:t>
      </w:r>
      <w:r w:rsidR="00AF5A57">
        <w:rPr>
          <w:rFonts w:ascii="Arial" w:hAnsi="Arial" w:cs="Arial"/>
          <w:sz w:val="20"/>
          <w:szCs w:val="20"/>
        </w:rPr>
        <w:t xml:space="preserve">upon </w:t>
      </w:r>
      <w:r w:rsidRPr="009B4A78">
        <w:rPr>
          <w:rFonts w:ascii="Arial" w:hAnsi="Arial" w:cs="Arial"/>
          <w:sz w:val="20"/>
          <w:szCs w:val="20"/>
        </w:rPr>
        <w:t xml:space="preserve">lessons </w:t>
      </w:r>
      <w:r w:rsidR="00AF5A57">
        <w:rPr>
          <w:rFonts w:ascii="Arial" w:hAnsi="Arial" w:cs="Arial"/>
          <w:sz w:val="20"/>
          <w:szCs w:val="20"/>
        </w:rPr>
        <w:t xml:space="preserve">learned </w:t>
      </w:r>
      <w:r w:rsidRPr="009B4A78">
        <w:rPr>
          <w:rFonts w:ascii="Arial" w:hAnsi="Arial" w:cs="Arial"/>
          <w:sz w:val="20"/>
          <w:szCs w:val="20"/>
        </w:rPr>
        <w:t xml:space="preserve">and </w:t>
      </w:r>
      <w:r w:rsidR="00AF5A57">
        <w:rPr>
          <w:rFonts w:ascii="Arial" w:hAnsi="Arial" w:cs="Arial"/>
          <w:sz w:val="20"/>
          <w:szCs w:val="20"/>
        </w:rPr>
        <w:t xml:space="preserve">thereby </w:t>
      </w:r>
      <w:r w:rsidRPr="009B4A78">
        <w:rPr>
          <w:rFonts w:ascii="Arial" w:hAnsi="Arial" w:cs="Arial"/>
          <w:sz w:val="20"/>
          <w:szCs w:val="20"/>
        </w:rPr>
        <w:t xml:space="preserve">adapt training programs to better meet training requirements </w:t>
      </w:r>
      <w:r w:rsidR="00AF5A57">
        <w:rPr>
          <w:rFonts w:ascii="Arial" w:hAnsi="Arial" w:cs="Arial"/>
          <w:sz w:val="20"/>
          <w:szCs w:val="20"/>
        </w:rPr>
        <w:t>for</w:t>
      </w:r>
      <w:r w:rsidR="00AF5A57" w:rsidRPr="009B4A78">
        <w:rPr>
          <w:rFonts w:ascii="Arial" w:hAnsi="Arial" w:cs="Arial"/>
          <w:sz w:val="20"/>
          <w:szCs w:val="20"/>
        </w:rPr>
        <w:t xml:space="preserve"> </w:t>
      </w:r>
      <w:r w:rsidRPr="009B4A78">
        <w:rPr>
          <w:rFonts w:ascii="Arial" w:hAnsi="Arial" w:cs="Arial"/>
          <w:sz w:val="20"/>
          <w:szCs w:val="20"/>
        </w:rPr>
        <w:t>intended beneficiaries.</w:t>
      </w:r>
    </w:p>
    <w:p w14:paraId="420D8ED3" w14:textId="77777777" w:rsidR="00865AEC" w:rsidRPr="009B4A78" w:rsidRDefault="00865AEC" w:rsidP="00F33E49">
      <w:pPr>
        <w:jc w:val="both"/>
        <w:rPr>
          <w:rFonts w:ascii="Arial" w:hAnsi="Arial" w:cs="Arial"/>
          <w:sz w:val="20"/>
          <w:szCs w:val="20"/>
        </w:rPr>
      </w:pPr>
    </w:p>
    <w:p w14:paraId="1D2D0C8C" w14:textId="02737B31"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 xml:space="preserve">In the delivery of its programs in the 2016/17 biennium, the Academy will endeavor to develop new partnerships with national and regional institutions in Member States.  Such partnerships would have the objective of developing national expertise and long-term local capacities, enhancing impact and extending geographical </w:t>
      </w:r>
      <w:r w:rsidR="00AF5A57">
        <w:rPr>
          <w:rFonts w:ascii="Arial" w:hAnsi="Arial" w:cs="Arial"/>
          <w:sz w:val="20"/>
          <w:szCs w:val="20"/>
        </w:rPr>
        <w:t>out</w:t>
      </w:r>
      <w:r w:rsidRPr="009B4A78">
        <w:rPr>
          <w:rFonts w:ascii="Arial" w:hAnsi="Arial" w:cs="Arial"/>
          <w:sz w:val="20"/>
          <w:szCs w:val="20"/>
        </w:rPr>
        <w:t>reach.  A policy with specific criteria and conditions for partnerships will be developed.</w:t>
      </w:r>
    </w:p>
    <w:p w14:paraId="64470CCE" w14:textId="77777777" w:rsidR="00865AEC" w:rsidRPr="009B4A78" w:rsidRDefault="00865AEC" w:rsidP="00F33E49">
      <w:pPr>
        <w:jc w:val="both"/>
        <w:rPr>
          <w:rFonts w:ascii="Arial" w:hAnsi="Arial" w:cs="Arial"/>
          <w:sz w:val="20"/>
          <w:szCs w:val="20"/>
        </w:rPr>
      </w:pPr>
    </w:p>
    <w:p w14:paraId="14C332A6"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In 2016/17, the Academy will in particular focus on:</w:t>
      </w:r>
    </w:p>
    <w:p w14:paraId="1F7ACECB" w14:textId="77777777" w:rsidR="00865AEC" w:rsidRPr="009B4A78" w:rsidRDefault="00865AEC" w:rsidP="00F33E49">
      <w:pPr>
        <w:jc w:val="both"/>
        <w:rPr>
          <w:rFonts w:ascii="Arial" w:hAnsi="Arial" w:cs="Arial"/>
          <w:sz w:val="20"/>
          <w:szCs w:val="20"/>
        </w:rPr>
      </w:pPr>
    </w:p>
    <w:p w14:paraId="455BF5F9" w14:textId="77777777" w:rsidR="00865AEC" w:rsidRDefault="00865AEC" w:rsidP="00B66A4A">
      <w:pPr>
        <w:pStyle w:val="ListParagraph"/>
        <w:numPr>
          <w:ilvl w:val="0"/>
          <w:numId w:val="12"/>
        </w:numPr>
        <w:tabs>
          <w:tab w:val="left" w:pos="1276"/>
        </w:tabs>
        <w:ind w:left="709" w:firstLine="0"/>
        <w:jc w:val="both"/>
        <w:rPr>
          <w:rFonts w:ascii="Arial" w:hAnsi="Arial" w:cs="Arial"/>
          <w:sz w:val="20"/>
          <w:szCs w:val="20"/>
        </w:rPr>
      </w:pPr>
      <w:r w:rsidRPr="009B4A78">
        <w:rPr>
          <w:rFonts w:ascii="Arial" w:hAnsi="Arial" w:cs="Arial"/>
          <w:sz w:val="20"/>
          <w:szCs w:val="20"/>
        </w:rPr>
        <w:t>Professional Development Program:  A set of core training courses covering high priority topics will continue to be delivered to government officials and public sector employees.  A new set of courses will be carefully designed and developed to meet priorities established by Member States.  The Academy will continue to assist Member States in the establishment of national Start-up Academies based on acquired experience and lessons learned as well as to help existing IP Academies become sustainable and part of an active IP Academy network.</w:t>
      </w:r>
    </w:p>
    <w:p w14:paraId="2349C9DD" w14:textId="77777777" w:rsidR="00AF5A57" w:rsidRPr="009B4A78" w:rsidRDefault="00AF5A57" w:rsidP="00FB68E0">
      <w:pPr>
        <w:pStyle w:val="ListParagraph"/>
        <w:tabs>
          <w:tab w:val="left" w:pos="1276"/>
        </w:tabs>
        <w:ind w:left="709"/>
        <w:jc w:val="both"/>
        <w:rPr>
          <w:rFonts w:ascii="Arial" w:hAnsi="Arial" w:cs="Arial"/>
          <w:sz w:val="20"/>
          <w:szCs w:val="20"/>
        </w:rPr>
      </w:pPr>
    </w:p>
    <w:p w14:paraId="73F81C15" w14:textId="5A37E126" w:rsidR="00865AEC" w:rsidRPr="009B4A78" w:rsidRDefault="00865AEC" w:rsidP="00B66A4A">
      <w:pPr>
        <w:pStyle w:val="ListParagraph"/>
        <w:numPr>
          <w:ilvl w:val="0"/>
          <w:numId w:val="12"/>
        </w:numPr>
        <w:tabs>
          <w:tab w:val="left" w:pos="1276"/>
        </w:tabs>
        <w:ind w:left="709" w:firstLine="0"/>
        <w:jc w:val="both"/>
        <w:rPr>
          <w:rFonts w:ascii="Arial" w:hAnsi="Arial" w:cs="Arial"/>
          <w:sz w:val="20"/>
          <w:szCs w:val="20"/>
        </w:rPr>
      </w:pPr>
      <w:r w:rsidRPr="009B4A78">
        <w:rPr>
          <w:rFonts w:ascii="Arial" w:hAnsi="Arial" w:cs="Arial"/>
          <w:sz w:val="20"/>
          <w:szCs w:val="20"/>
        </w:rPr>
        <w:t xml:space="preserve">Distance Learning Program:  Some 35,000 participants worldwide follow each year the distance learning courses offered by the WIPO Academy.  Their participation will continue to be facilitated by a dedicated registration and learning platform and the availability of a selection of 17 modules in eleven different languages.  The Academy will also work to promote </w:t>
      </w:r>
      <w:r w:rsidRPr="009B4A78">
        <w:rPr>
          <w:rFonts w:ascii="Arial" w:hAnsi="Arial" w:cs="Arial"/>
          <w:sz w:val="20"/>
          <w:szCs w:val="20"/>
        </w:rPr>
        <w:lastRenderedPageBreak/>
        <w:t>the use of its distance learning courses as a prerequisite for participating in certain specialized training activities organized by different sectors in WIPO.</w:t>
      </w:r>
    </w:p>
    <w:p w14:paraId="105A4E8A" w14:textId="77777777" w:rsidR="00865AEC" w:rsidRPr="009B4A78" w:rsidRDefault="00865AEC" w:rsidP="00F33E49">
      <w:pPr>
        <w:pStyle w:val="ListParagraph"/>
        <w:tabs>
          <w:tab w:val="left" w:pos="1276"/>
        </w:tabs>
        <w:ind w:left="709"/>
        <w:jc w:val="both"/>
        <w:rPr>
          <w:rFonts w:ascii="Arial" w:hAnsi="Arial" w:cs="Arial"/>
          <w:sz w:val="20"/>
          <w:szCs w:val="20"/>
        </w:rPr>
      </w:pPr>
    </w:p>
    <w:p w14:paraId="7383AFD0" w14:textId="77777777" w:rsidR="00865AEC" w:rsidRPr="009B4A78" w:rsidRDefault="00865AEC" w:rsidP="00B66A4A">
      <w:pPr>
        <w:pStyle w:val="ListParagraph"/>
        <w:numPr>
          <w:ilvl w:val="0"/>
          <w:numId w:val="12"/>
        </w:numPr>
        <w:tabs>
          <w:tab w:val="left" w:pos="1276"/>
        </w:tabs>
        <w:ind w:left="709" w:firstLine="0"/>
        <w:jc w:val="both"/>
        <w:rPr>
          <w:rFonts w:ascii="Arial" w:hAnsi="Arial" w:cs="Arial"/>
          <w:sz w:val="20"/>
          <w:szCs w:val="20"/>
        </w:rPr>
      </w:pPr>
      <w:r w:rsidRPr="009B4A78">
        <w:rPr>
          <w:rFonts w:ascii="Arial" w:hAnsi="Arial" w:cs="Arial"/>
          <w:sz w:val="20"/>
          <w:szCs w:val="20"/>
        </w:rPr>
        <w:t>Academic Institutions Program:  The WIPO Academy will continue its support for graduate level education on IP through the joint Master’s programs.  The current model will be revisited with a view to evolve the Academy’s role from granting scholarships to individual beneficiaries to a hybrid model where a varied range of advice and assistance will be offered to academic institutions, including by renowned academic institutions with which WIPO maintains close and privileged cooperation.  An emphasis will be placed on developing new and improved IP courses and curricula with more national and regional focus, promoting the use of national and regional expertise, developing local capacities and talents, and using ICT platforms, such as the DL platform, to provide for necessary material and instruction.  A limited number of summer schools will continue to be jointly organized with existing and new partners on a rotational basis, taking into consideration factors such as partners’ contributions, geographical location, linguistic balance and program sustainability.</w:t>
      </w:r>
    </w:p>
    <w:p w14:paraId="1DFCBACC" w14:textId="77777777" w:rsidR="00865AEC" w:rsidRPr="009B4A78" w:rsidRDefault="00865AEC" w:rsidP="00F33E49">
      <w:pPr>
        <w:pStyle w:val="ListParagraph"/>
        <w:ind w:left="0"/>
        <w:jc w:val="both"/>
        <w:rPr>
          <w:rFonts w:ascii="Arial" w:hAnsi="Arial" w:cs="Arial"/>
          <w:sz w:val="20"/>
          <w:szCs w:val="20"/>
        </w:rPr>
      </w:pPr>
    </w:p>
    <w:p w14:paraId="0396DDBC" w14:textId="77777777" w:rsidR="00865AEC" w:rsidRPr="009B4A78" w:rsidRDefault="00865AEC" w:rsidP="00B66A4A">
      <w:pPr>
        <w:pStyle w:val="ListParagraph"/>
        <w:numPr>
          <w:ilvl w:val="0"/>
          <w:numId w:val="13"/>
        </w:numPr>
        <w:tabs>
          <w:tab w:val="left" w:pos="709"/>
        </w:tabs>
        <w:ind w:left="0" w:firstLine="0"/>
        <w:jc w:val="both"/>
        <w:rPr>
          <w:rFonts w:ascii="Arial" w:hAnsi="Arial" w:cs="Arial"/>
          <w:sz w:val="20"/>
          <w:szCs w:val="20"/>
        </w:rPr>
      </w:pPr>
      <w:r w:rsidRPr="009B4A78">
        <w:rPr>
          <w:rFonts w:ascii="Arial" w:hAnsi="Arial" w:cs="Arial"/>
          <w:sz w:val="20"/>
          <w:szCs w:val="20"/>
        </w:rPr>
        <w:t>While the WIPO Academy cooperates with most Programs of the Organization for the development and delivery of tailored training programs, the below diagram illustrates those Programs with which the Academy has the most regular day-to-day cooperation.</w:t>
      </w:r>
    </w:p>
    <w:p w14:paraId="4DC51C8F" w14:textId="77777777" w:rsidR="00865AEC" w:rsidRPr="009B4A78" w:rsidRDefault="00865AEC" w:rsidP="00F33E49">
      <w:pPr>
        <w:pStyle w:val="ListParagraph"/>
        <w:ind w:left="0"/>
        <w:jc w:val="both"/>
        <w:rPr>
          <w:rFonts w:ascii="Arial" w:hAnsi="Arial" w:cs="Arial"/>
          <w:sz w:val="20"/>
          <w:szCs w:val="20"/>
        </w:rPr>
      </w:pPr>
      <w:r w:rsidRPr="009B4A78">
        <w:rPr>
          <w:rFonts w:ascii="Arial" w:hAnsi="Arial" w:cs="Arial"/>
          <w:sz w:val="20"/>
          <w:szCs w:val="20"/>
        </w:rPr>
        <w:t xml:space="preserve">  </w:t>
      </w:r>
    </w:p>
    <w:p w14:paraId="1DE57AAF" w14:textId="77777777" w:rsidR="00865AEC" w:rsidRPr="009B4A78" w:rsidRDefault="00865AEC" w:rsidP="00F33E49">
      <w:pPr>
        <w:pStyle w:val="ListParagraph"/>
        <w:ind w:left="0"/>
        <w:jc w:val="both"/>
        <w:rPr>
          <w:rFonts w:ascii="Arial" w:hAnsi="Arial" w:cs="Arial"/>
          <w:sz w:val="20"/>
          <w:szCs w:val="20"/>
        </w:rPr>
      </w:pPr>
    </w:p>
    <w:p w14:paraId="07A05229" w14:textId="77777777" w:rsidR="00865AEC" w:rsidRPr="009B4A78" w:rsidRDefault="00865AEC" w:rsidP="00F33E49">
      <w:pPr>
        <w:rPr>
          <w:rFonts w:ascii="Arial" w:hAnsi="Arial" w:cs="Arial"/>
          <w:sz w:val="20"/>
        </w:rPr>
      </w:pPr>
      <w:r w:rsidRPr="009B4A78">
        <w:rPr>
          <w:rFonts w:ascii="Arial" w:hAnsi="Arial" w:cs="Arial"/>
          <w:noProof/>
          <w:lang w:eastAsia="en-US"/>
        </w:rPr>
        <w:drawing>
          <wp:inline distT="0" distB="0" distL="0" distR="0" wp14:anchorId="1E57AE71" wp14:editId="24CBD60E">
            <wp:extent cx="5943600" cy="1518249"/>
            <wp:effectExtent l="57150" t="19050" r="0" b="444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2C7CA66B" w14:textId="77777777" w:rsidR="00865AEC" w:rsidRPr="009B4A78" w:rsidRDefault="00865AEC" w:rsidP="00F33E49">
      <w:pPr>
        <w:rPr>
          <w:rFonts w:ascii="Arial" w:hAnsi="Arial" w:cs="Arial"/>
        </w:rPr>
      </w:pPr>
    </w:p>
    <w:p w14:paraId="45092133" w14:textId="77777777" w:rsidR="00865AEC" w:rsidRPr="009B4A78" w:rsidRDefault="00865AEC" w:rsidP="00F33E49">
      <w:pPr>
        <w:rPr>
          <w:rFonts w:ascii="Arial" w:hAnsi="Arial" w:cs="Arial"/>
        </w:rPr>
      </w:pPr>
    </w:p>
    <w:p w14:paraId="0A4B8290" w14:textId="77777777" w:rsidR="00865AEC" w:rsidRPr="009B4A78" w:rsidRDefault="00865AEC" w:rsidP="00F33E49">
      <w:pPr>
        <w:rPr>
          <w:rFonts w:ascii="Arial" w:hAnsi="Arial" w:cs="Arial"/>
        </w:rPr>
      </w:pPr>
      <w:r w:rsidRPr="009B4A78">
        <w:rPr>
          <w:rFonts w:ascii="Arial" w:hAnsi="Arial" w:cs="Arial"/>
        </w:rPr>
        <w:t>MAJOR RISKS AND MITIGATION STRATEGIES</w:t>
      </w:r>
    </w:p>
    <w:p w14:paraId="0DDC8A69" w14:textId="77777777" w:rsidR="00865AEC" w:rsidRPr="009B4A78" w:rsidRDefault="00865AEC" w:rsidP="00F33E49">
      <w:pPr>
        <w:rPr>
          <w:rFonts w:ascii="Arial" w:eastAsia="Times New Roman"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865AEC" w:rsidRPr="009B4A78" w14:paraId="4DA79BDD" w14:textId="77777777" w:rsidTr="00F33E49">
        <w:trPr>
          <w:trHeight w:val="577"/>
        </w:trPr>
        <w:tc>
          <w:tcPr>
            <w:tcW w:w="4253" w:type="dxa"/>
            <w:tcBorders>
              <w:top w:val="single" w:sz="4" w:space="0" w:color="auto"/>
              <w:bottom w:val="single" w:sz="4" w:space="0" w:color="auto"/>
            </w:tcBorders>
            <w:shd w:val="clear" w:color="auto" w:fill="C6D9F1" w:themeFill="text2" w:themeFillTint="33"/>
            <w:vAlign w:val="center"/>
          </w:tcPr>
          <w:p w14:paraId="60B6852E" w14:textId="77777777" w:rsidR="00865AEC" w:rsidRPr="009B4A78" w:rsidRDefault="00865AE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552027E7" w14:textId="77777777" w:rsidR="00865AEC" w:rsidRPr="009B4A78" w:rsidRDefault="00865AE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865AEC" w:rsidRPr="009B4A78" w14:paraId="601426BC" w14:textId="77777777" w:rsidTr="00F33E49">
        <w:trPr>
          <w:trHeight w:val="61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32134A0C"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The decrease of financial contribution from partner institutions may impact the delivery of the training programs and the establishment of new training courses.</w:t>
            </w:r>
          </w:p>
        </w:tc>
        <w:tc>
          <w:tcPr>
            <w:tcW w:w="5103" w:type="dxa"/>
            <w:tcBorders>
              <w:top w:val="single" w:sz="4" w:space="0" w:color="auto"/>
              <w:left w:val="nil"/>
              <w:bottom w:val="nil"/>
              <w:right w:val="single" w:sz="4" w:space="0" w:color="auto"/>
            </w:tcBorders>
            <w:shd w:val="clear" w:color="auto" w:fill="auto"/>
            <w:tcMar>
              <w:top w:w="113" w:type="dxa"/>
              <w:bottom w:w="113" w:type="dxa"/>
            </w:tcMar>
          </w:tcPr>
          <w:p w14:paraId="290C8341"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Continuous discussions with current and prospective new partner institutions</w:t>
            </w:r>
          </w:p>
        </w:tc>
      </w:tr>
      <w:tr w:rsidR="00865AEC" w:rsidRPr="009B4A78" w14:paraId="60C47EFB" w14:textId="77777777" w:rsidTr="00F33E49">
        <w:trPr>
          <w:trHeight w:val="330"/>
        </w:trPr>
        <w:tc>
          <w:tcPr>
            <w:tcW w:w="4253" w:type="dxa"/>
            <w:tcBorders>
              <w:top w:val="nil"/>
              <w:left w:val="single" w:sz="4" w:space="0" w:color="auto"/>
              <w:bottom w:val="nil"/>
              <w:right w:val="nil"/>
            </w:tcBorders>
            <w:shd w:val="clear" w:color="auto" w:fill="auto"/>
            <w:tcMar>
              <w:top w:w="113" w:type="dxa"/>
              <w:bottom w:w="113" w:type="dxa"/>
            </w:tcMar>
          </w:tcPr>
          <w:p w14:paraId="001ED723"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In a fast-changing technological and IP landscape, user expectations and preferences are also evolving rapidly.   The content interface, graphics and IT platform of distance learning courses can become outdated</w:t>
            </w:r>
          </w:p>
        </w:tc>
        <w:tc>
          <w:tcPr>
            <w:tcW w:w="5103" w:type="dxa"/>
            <w:tcBorders>
              <w:top w:val="nil"/>
              <w:left w:val="nil"/>
              <w:bottom w:val="nil"/>
              <w:right w:val="single" w:sz="4" w:space="0" w:color="auto"/>
            </w:tcBorders>
            <w:shd w:val="clear" w:color="auto" w:fill="auto"/>
            <w:tcMar>
              <w:top w:w="113" w:type="dxa"/>
              <w:bottom w:w="113" w:type="dxa"/>
            </w:tcMar>
          </w:tcPr>
          <w:p w14:paraId="3A300F37"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Feedback surveys from DL students and tutors.  Engagement of experts to review courses and modernize platforms</w:t>
            </w:r>
          </w:p>
        </w:tc>
      </w:tr>
      <w:tr w:rsidR="00865AEC" w:rsidRPr="009B4A78" w14:paraId="3543ECBF" w14:textId="77777777" w:rsidTr="00F33E49">
        <w:trPr>
          <w:trHeight w:val="466"/>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6D484EC7"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IP content of the training programs of the Academy could become misaligned in relation to emerging global challenges and developments of the IP system.</w:t>
            </w:r>
          </w:p>
        </w:tc>
        <w:tc>
          <w:tcPr>
            <w:tcW w:w="5103" w:type="dxa"/>
            <w:tcBorders>
              <w:top w:val="nil"/>
              <w:left w:val="nil"/>
              <w:bottom w:val="single" w:sz="4" w:space="0" w:color="auto"/>
              <w:right w:val="single" w:sz="4" w:space="0" w:color="auto"/>
            </w:tcBorders>
            <w:shd w:val="clear" w:color="auto" w:fill="auto"/>
            <w:tcMar>
              <w:top w:w="113" w:type="dxa"/>
              <w:bottom w:w="113" w:type="dxa"/>
            </w:tcMar>
          </w:tcPr>
          <w:p w14:paraId="0A032234"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Continuous assessment and feedback from stakeholders in Member States as well as training partners, participants, tutors and experts contributing to WIPO Academy activities</w:t>
            </w:r>
          </w:p>
        </w:tc>
      </w:tr>
    </w:tbl>
    <w:p w14:paraId="09DE3CA6" w14:textId="77777777" w:rsidR="00865AEC" w:rsidRPr="009B4A78" w:rsidRDefault="00865AEC" w:rsidP="00F33E49">
      <w:pPr>
        <w:rPr>
          <w:rFonts w:ascii="Arial" w:eastAsia="Times New Roman" w:hAnsi="Arial" w:cs="Arial"/>
        </w:rPr>
      </w:pPr>
    </w:p>
    <w:p w14:paraId="2DC956F1" w14:textId="77777777" w:rsidR="00865AEC" w:rsidRPr="009B4A78" w:rsidRDefault="00865AEC" w:rsidP="00F33E49">
      <w:pPr>
        <w:rPr>
          <w:rFonts w:ascii="Arial" w:eastAsia="Times New Roman" w:hAnsi="Arial" w:cs="Arial"/>
        </w:rPr>
      </w:pPr>
    </w:p>
    <w:p w14:paraId="20191C97" w14:textId="77777777" w:rsidR="00865AEC" w:rsidRPr="009B4A78" w:rsidRDefault="00865AEC" w:rsidP="00F33E49">
      <w:pPr>
        <w:keepNext/>
        <w:keepLines/>
        <w:rPr>
          <w:rFonts w:ascii="Arial" w:eastAsia="Times New Roman" w:hAnsi="Arial" w:cs="Arial"/>
        </w:rPr>
      </w:pPr>
      <w:r w:rsidRPr="009B4A78">
        <w:rPr>
          <w:rFonts w:ascii="Arial" w:eastAsia="Times New Roman" w:hAnsi="Arial" w:cs="Arial"/>
        </w:rPr>
        <w:lastRenderedPageBreak/>
        <w:t>RESULTS FRAMEWORK</w:t>
      </w:r>
    </w:p>
    <w:p w14:paraId="7E6A99CE" w14:textId="77777777" w:rsidR="00865AEC" w:rsidRPr="009B4A78" w:rsidRDefault="00865AEC" w:rsidP="00F33E49">
      <w:pPr>
        <w:keepNext/>
        <w:keepLines/>
        <w:rPr>
          <w:rFonts w:ascii="Arial" w:eastAsia="Times New Roman" w:hAnsi="Arial" w:cs="Arial"/>
        </w:rPr>
      </w:pPr>
    </w:p>
    <w:tbl>
      <w:tblPr>
        <w:tblW w:w="9087" w:type="dxa"/>
        <w:tblInd w:w="93" w:type="dxa"/>
        <w:tblLook w:val="04A0" w:firstRow="1" w:lastRow="0" w:firstColumn="1" w:lastColumn="0" w:noHBand="0" w:noVBand="1"/>
      </w:tblPr>
      <w:tblGrid>
        <w:gridCol w:w="2600"/>
        <w:gridCol w:w="2440"/>
        <w:gridCol w:w="2063"/>
        <w:gridCol w:w="1984"/>
      </w:tblGrid>
      <w:tr w:rsidR="00865AEC" w:rsidRPr="009B4A78" w14:paraId="12CA0BE4" w14:textId="77777777" w:rsidTr="008D4CE9">
        <w:trPr>
          <w:trHeight w:val="570"/>
        </w:trPr>
        <w:tc>
          <w:tcPr>
            <w:tcW w:w="26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A9B6294" w14:textId="77777777" w:rsidR="00865AEC" w:rsidRPr="009B4A78" w:rsidRDefault="00865AEC" w:rsidP="008D4CE9">
            <w:pPr>
              <w:keepNext/>
              <w:keepLines/>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440" w:type="dxa"/>
            <w:tcBorders>
              <w:top w:val="single" w:sz="4" w:space="0" w:color="auto"/>
              <w:left w:val="nil"/>
              <w:bottom w:val="single" w:sz="4" w:space="0" w:color="auto"/>
              <w:right w:val="nil"/>
            </w:tcBorders>
            <w:shd w:val="clear" w:color="auto" w:fill="C6D9F1" w:themeFill="text2" w:themeFillTint="33"/>
            <w:noWrap/>
            <w:vAlign w:val="center"/>
            <w:hideMark/>
          </w:tcPr>
          <w:p w14:paraId="1621B371" w14:textId="77777777" w:rsidR="00865AEC" w:rsidRPr="009B4A78" w:rsidRDefault="00865AEC" w:rsidP="008D4CE9">
            <w:pPr>
              <w:keepNext/>
              <w:keepLines/>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063" w:type="dxa"/>
            <w:tcBorders>
              <w:top w:val="single" w:sz="4" w:space="0" w:color="auto"/>
              <w:left w:val="nil"/>
              <w:bottom w:val="single" w:sz="4" w:space="0" w:color="auto"/>
              <w:right w:val="nil"/>
            </w:tcBorders>
            <w:shd w:val="clear" w:color="auto" w:fill="C6D9F1" w:themeFill="text2" w:themeFillTint="33"/>
            <w:noWrap/>
            <w:vAlign w:val="center"/>
            <w:hideMark/>
          </w:tcPr>
          <w:p w14:paraId="25EDAA34" w14:textId="77777777" w:rsidR="00865AEC" w:rsidRPr="009B4A78" w:rsidRDefault="00865AEC" w:rsidP="008D4CE9">
            <w:pPr>
              <w:keepNext/>
              <w:keepLines/>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198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A7508D" w14:textId="77777777" w:rsidR="00865AEC" w:rsidRPr="009B4A78" w:rsidRDefault="00865AEC" w:rsidP="008D4CE9">
            <w:pPr>
              <w:keepNext/>
              <w:keepLines/>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865AEC" w:rsidRPr="009B4A78" w14:paraId="53CCD2C9" w14:textId="77777777" w:rsidTr="008D4CE9">
        <w:trPr>
          <w:trHeight w:val="1529"/>
        </w:trPr>
        <w:tc>
          <w:tcPr>
            <w:tcW w:w="2600" w:type="dxa"/>
            <w:tcBorders>
              <w:top w:val="nil"/>
              <w:left w:val="single" w:sz="4" w:space="0" w:color="auto"/>
              <w:bottom w:val="nil"/>
              <w:right w:val="nil"/>
            </w:tcBorders>
            <w:shd w:val="clear" w:color="000000" w:fill="FFFFFF"/>
            <w:hideMark/>
          </w:tcPr>
          <w:p w14:paraId="6C36D50F" w14:textId="77777777" w:rsidR="00865AEC" w:rsidRPr="009B4A78" w:rsidRDefault="00865AEC" w:rsidP="00F33E49">
            <w:pPr>
              <w:keepNext/>
              <w:keepLines/>
              <w:rPr>
                <w:rFonts w:ascii="Arial" w:eastAsia="Times New Roman" w:hAnsi="Arial" w:cs="Arial"/>
                <w:color w:val="000000"/>
                <w:sz w:val="16"/>
                <w:szCs w:val="16"/>
              </w:rPr>
            </w:pPr>
            <w:r w:rsidRPr="009B4A78">
              <w:rPr>
                <w:rFonts w:ascii="Arial" w:eastAsia="Times New Roman" w:hAnsi="Arial" w:cs="Arial"/>
                <w:color w:val="000000"/>
                <w:sz w:val="16"/>
                <w:szCs w:val="16"/>
              </w:rPr>
              <w:br/>
              <w:t>III.2 Enhanced human resource capacities able to deal with the broad range of requirements for the effective use of IP for development in developing countries, LDCs and countries with economies in transition</w:t>
            </w:r>
          </w:p>
        </w:tc>
        <w:tc>
          <w:tcPr>
            <w:tcW w:w="2440" w:type="dxa"/>
            <w:tcBorders>
              <w:top w:val="nil"/>
              <w:left w:val="nil"/>
              <w:bottom w:val="nil"/>
              <w:right w:val="nil"/>
            </w:tcBorders>
            <w:shd w:val="clear" w:color="000000" w:fill="FFFFFF"/>
            <w:hideMark/>
          </w:tcPr>
          <w:p w14:paraId="0E98993D" w14:textId="77777777" w:rsidR="00865AEC" w:rsidRPr="009B4A78" w:rsidRDefault="00865AEC" w:rsidP="00F33E49">
            <w:pPr>
              <w:keepNext/>
              <w:keepLines/>
              <w:ind w:left="284" w:firstLineChars="22" w:firstLine="35"/>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of trainees and supervisors who are satisfied with the training programs developed based on training needs assessment exercises. </w:t>
            </w:r>
          </w:p>
        </w:tc>
        <w:tc>
          <w:tcPr>
            <w:tcW w:w="2063" w:type="dxa"/>
            <w:tcBorders>
              <w:top w:val="nil"/>
              <w:left w:val="nil"/>
              <w:bottom w:val="nil"/>
              <w:right w:val="nil"/>
            </w:tcBorders>
            <w:shd w:val="clear" w:color="000000" w:fill="FFFFFF"/>
            <w:hideMark/>
          </w:tcPr>
          <w:p w14:paraId="0F3B6525" w14:textId="77777777" w:rsidR="00865AEC" w:rsidRPr="009B4A78" w:rsidRDefault="00865AEC" w:rsidP="008D4CE9">
            <w:pPr>
              <w:keepNext/>
              <w:keepLines/>
              <w:ind w:left="112" w:firstLineChars="41" w:firstLine="66"/>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No data available</w:t>
            </w:r>
          </w:p>
        </w:tc>
        <w:tc>
          <w:tcPr>
            <w:tcW w:w="1984" w:type="dxa"/>
            <w:tcBorders>
              <w:top w:val="nil"/>
              <w:left w:val="nil"/>
              <w:bottom w:val="nil"/>
              <w:right w:val="single" w:sz="4" w:space="0" w:color="auto"/>
            </w:tcBorders>
            <w:shd w:val="clear" w:color="000000" w:fill="FFFFFF"/>
            <w:hideMark/>
          </w:tcPr>
          <w:p w14:paraId="74A407D1" w14:textId="77777777" w:rsidR="00865AEC" w:rsidRPr="009B4A78" w:rsidRDefault="00865AEC" w:rsidP="00F33E49">
            <w:pPr>
              <w:keepNext/>
              <w:keepLines/>
              <w:tabs>
                <w:tab w:val="left" w:pos="324"/>
              </w:tabs>
              <w:ind w:leftChars="-1" w:left="1" w:hangingChars="2" w:hanging="3"/>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70% of respondents</w:t>
            </w:r>
          </w:p>
        </w:tc>
      </w:tr>
      <w:tr w:rsidR="00865AEC" w:rsidRPr="009B4A78" w14:paraId="1157AED7" w14:textId="0ABEF97E" w:rsidTr="008D4CE9">
        <w:trPr>
          <w:trHeight w:val="720"/>
        </w:trPr>
        <w:tc>
          <w:tcPr>
            <w:tcW w:w="2600" w:type="dxa"/>
            <w:tcBorders>
              <w:top w:val="nil"/>
              <w:left w:val="single" w:sz="4" w:space="0" w:color="auto"/>
              <w:bottom w:val="nil"/>
              <w:right w:val="nil"/>
            </w:tcBorders>
            <w:shd w:val="clear" w:color="000000" w:fill="FFFFFF"/>
            <w:hideMark/>
          </w:tcPr>
          <w:p w14:paraId="73BF5E94" w14:textId="7C46A1EA"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0F9C53BF" w14:textId="336FFC75" w:rsidR="00865AEC" w:rsidRPr="009B4A78" w:rsidRDefault="00865AEC" w:rsidP="00F33E49">
            <w:pPr>
              <w:pStyle w:val="CommentText"/>
              <w:ind w:left="277"/>
              <w:rPr>
                <w:rFonts w:ascii="Arial" w:eastAsia="Times New Roman" w:hAnsi="Arial" w:cs="Arial"/>
                <w:color w:val="000000"/>
                <w:sz w:val="16"/>
                <w:szCs w:val="16"/>
                <w:highlight w:val="yellow"/>
              </w:rPr>
            </w:pPr>
            <w:r w:rsidRPr="009B4A78">
              <w:rPr>
                <w:rFonts w:ascii="Arial" w:eastAsia="Times New Roman" w:hAnsi="Arial" w:cs="Arial"/>
                <w:color w:val="000000"/>
                <w:sz w:val="16"/>
                <w:szCs w:val="16"/>
              </w:rPr>
              <w:t xml:space="preserve">% of participants using enhanced knowledge and skills in various IP areas </w:t>
            </w:r>
          </w:p>
        </w:tc>
        <w:tc>
          <w:tcPr>
            <w:tcW w:w="2063" w:type="dxa"/>
            <w:tcBorders>
              <w:top w:val="nil"/>
              <w:left w:val="nil"/>
              <w:bottom w:val="nil"/>
              <w:right w:val="nil"/>
            </w:tcBorders>
            <w:shd w:val="clear" w:color="000000" w:fill="FFFFFF"/>
            <w:hideMark/>
          </w:tcPr>
          <w:p w14:paraId="7B458326" w14:textId="6A34DA1C"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No data available</w:t>
            </w:r>
          </w:p>
        </w:tc>
        <w:tc>
          <w:tcPr>
            <w:tcW w:w="1984" w:type="dxa"/>
            <w:tcBorders>
              <w:top w:val="nil"/>
              <w:left w:val="nil"/>
              <w:bottom w:val="nil"/>
              <w:right w:val="single" w:sz="4" w:space="0" w:color="auto"/>
            </w:tcBorders>
            <w:shd w:val="clear" w:color="000000" w:fill="FFFFFF"/>
            <w:hideMark/>
          </w:tcPr>
          <w:p w14:paraId="34C554EC" w14:textId="08A05A90" w:rsidR="00865AEC" w:rsidRPr="009B4A78" w:rsidRDefault="00865AEC" w:rsidP="00F33E49">
            <w:pPr>
              <w:ind w:leftChars="146" w:left="321" w:firstLine="1"/>
              <w:rPr>
                <w:rFonts w:ascii="Arial" w:eastAsia="Times New Roman" w:hAnsi="Arial" w:cs="Arial"/>
                <w:color w:val="000000"/>
                <w:sz w:val="16"/>
                <w:szCs w:val="16"/>
              </w:rPr>
            </w:pPr>
            <w:r w:rsidRPr="009B4A78">
              <w:rPr>
                <w:rFonts w:ascii="Arial" w:eastAsia="Times New Roman" w:hAnsi="Arial" w:cs="Arial"/>
                <w:color w:val="000000"/>
                <w:sz w:val="16"/>
                <w:szCs w:val="16"/>
              </w:rPr>
              <w:t>60% of respondents</w:t>
            </w:r>
          </w:p>
        </w:tc>
      </w:tr>
      <w:tr w:rsidR="00865AEC" w:rsidRPr="009B4A78" w14:paraId="049C8BE5" w14:textId="77777777" w:rsidTr="008D4CE9">
        <w:trPr>
          <w:trHeight w:val="1071"/>
        </w:trPr>
        <w:tc>
          <w:tcPr>
            <w:tcW w:w="2600" w:type="dxa"/>
            <w:tcBorders>
              <w:top w:val="nil"/>
              <w:left w:val="single" w:sz="4" w:space="0" w:color="auto"/>
              <w:bottom w:val="nil"/>
              <w:right w:val="nil"/>
            </w:tcBorders>
            <w:shd w:val="clear" w:color="000000" w:fill="FFFFFF"/>
            <w:hideMark/>
          </w:tcPr>
          <w:p w14:paraId="6BDB1E0F"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501D08E1"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No. of cooperation agreements and partnerships established in line with the Academy’s new vision</w:t>
            </w:r>
          </w:p>
        </w:tc>
        <w:tc>
          <w:tcPr>
            <w:tcW w:w="2063" w:type="dxa"/>
            <w:tcBorders>
              <w:top w:val="nil"/>
              <w:left w:val="nil"/>
              <w:bottom w:val="nil"/>
              <w:right w:val="nil"/>
            </w:tcBorders>
            <w:shd w:val="clear" w:color="000000" w:fill="FFFFFF"/>
            <w:hideMark/>
          </w:tcPr>
          <w:p w14:paraId="04EA7B14" w14:textId="77777777"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Not available</w:t>
            </w:r>
          </w:p>
        </w:tc>
        <w:tc>
          <w:tcPr>
            <w:tcW w:w="1984" w:type="dxa"/>
            <w:tcBorders>
              <w:top w:val="nil"/>
              <w:left w:val="nil"/>
              <w:bottom w:val="nil"/>
              <w:right w:val="single" w:sz="4" w:space="0" w:color="auto"/>
            </w:tcBorders>
            <w:shd w:val="clear" w:color="000000" w:fill="FFFFFF"/>
            <w:hideMark/>
          </w:tcPr>
          <w:p w14:paraId="328071DA"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r>
      <w:tr w:rsidR="00FF7E74" w:rsidRPr="009B4A78" w14:paraId="4DB1DAE7" w14:textId="77777777" w:rsidTr="008D4CE9">
        <w:trPr>
          <w:trHeight w:val="900"/>
        </w:trPr>
        <w:tc>
          <w:tcPr>
            <w:tcW w:w="2600" w:type="dxa"/>
            <w:tcBorders>
              <w:top w:val="nil"/>
              <w:left w:val="single" w:sz="4" w:space="0" w:color="auto"/>
              <w:bottom w:val="nil"/>
              <w:right w:val="nil"/>
            </w:tcBorders>
            <w:shd w:val="clear" w:color="000000" w:fill="FFFFFF"/>
          </w:tcPr>
          <w:p w14:paraId="003D6C1F" w14:textId="77777777" w:rsidR="00FF7E74" w:rsidRPr="009B4A78" w:rsidRDefault="00FF7E74" w:rsidP="00F33E49">
            <w:pPr>
              <w:rPr>
                <w:rFonts w:ascii="Arial" w:eastAsia="Times New Roman" w:hAnsi="Arial" w:cs="Arial"/>
                <w:color w:val="000000"/>
                <w:sz w:val="16"/>
                <w:szCs w:val="16"/>
              </w:rPr>
            </w:pPr>
          </w:p>
        </w:tc>
        <w:tc>
          <w:tcPr>
            <w:tcW w:w="2440" w:type="dxa"/>
            <w:tcBorders>
              <w:top w:val="nil"/>
              <w:left w:val="nil"/>
              <w:bottom w:val="nil"/>
              <w:right w:val="nil"/>
            </w:tcBorders>
            <w:shd w:val="clear" w:color="000000" w:fill="FFFFFF"/>
          </w:tcPr>
          <w:p w14:paraId="4F698035" w14:textId="7C9AABBA" w:rsidR="00FF7E74" w:rsidRPr="009B4A78" w:rsidRDefault="00FF7E74" w:rsidP="00FF7E74">
            <w:pPr>
              <w:ind w:left="284"/>
              <w:rPr>
                <w:rFonts w:ascii="Arial" w:eastAsia="Times New Roman" w:hAnsi="Arial" w:cs="Arial"/>
                <w:color w:val="000000"/>
                <w:sz w:val="16"/>
                <w:szCs w:val="16"/>
              </w:rPr>
            </w:pPr>
            <w:r>
              <w:rPr>
                <w:rFonts w:ascii="Arial" w:eastAsia="Times New Roman" w:hAnsi="Arial" w:cs="Arial"/>
                <w:color w:val="000000"/>
                <w:sz w:val="16"/>
                <w:szCs w:val="16"/>
              </w:rPr>
              <w:t xml:space="preserve">% of increase in the no. of participants </w:t>
            </w:r>
            <w:r w:rsidR="00036259">
              <w:rPr>
                <w:rFonts w:ascii="Arial" w:eastAsia="Times New Roman" w:hAnsi="Arial" w:cs="Arial"/>
                <w:color w:val="000000"/>
                <w:sz w:val="16"/>
                <w:szCs w:val="16"/>
              </w:rPr>
              <w:t>following the Academy’s distance learning (DL) courses</w:t>
            </w:r>
          </w:p>
        </w:tc>
        <w:tc>
          <w:tcPr>
            <w:tcW w:w="2063" w:type="dxa"/>
            <w:tcBorders>
              <w:top w:val="nil"/>
              <w:left w:val="nil"/>
              <w:bottom w:val="nil"/>
              <w:right w:val="nil"/>
            </w:tcBorders>
            <w:shd w:val="clear" w:color="000000" w:fill="FFFFFF"/>
          </w:tcPr>
          <w:p w14:paraId="1D684BC5" w14:textId="5DEB094D" w:rsidR="00FF7E74" w:rsidRPr="009B4A78" w:rsidRDefault="00794B2A" w:rsidP="008D4CE9">
            <w:pPr>
              <w:ind w:left="112"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35,000 (2014)</w:t>
            </w:r>
          </w:p>
        </w:tc>
        <w:tc>
          <w:tcPr>
            <w:tcW w:w="1984" w:type="dxa"/>
            <w:tcBorders>
              <w:top w:val="nil"/>
              <w:left w:val="nil"/>
              <w:bottom w:val="nil"/>
              <w:right w:val="single" w:sz="4" w:space="0" w:color="auto"/>
            </w:tcBorders>
            <w:shd w:val="clear" w:color="000000" w:fill="FFFFFF"/>
          </w:tcPr>
          <w:p w14:paraId="452F969D" w14:textId="2584BB67" w:rsidR="00FF7E74" w:rsidRPr="009B4A78" w:rsidRDefault="00036259" w:rsidP="00F33E49">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w:t>
            </w:r>
          </w:p>
        </w:tc>
      </w:tr>
      <w:tr w:rsidR="00FF7E74" w:rsidRPr="009B4A78" w14:paraId="3DB3744C" w14:textId="77777777" w:rsidTr="008D4CE9">
        <w:trPr>
          <w:trHeight w:val="900"/>
        </w:trPr>
        <w:tc>
          <w:tcPr>
            <w:tcW w:w="2600" w:type="dxa"/>
            <w:tcBorders>
              <w:top w:val="nil"/>
              <w:left w:val="single" w:sz="4" w:space="0" w:color="auto"/>
              <w:bottom w:val="nil"/>
              <w:right w:val="nil"/>
            </w:tcBorders>
            <w:shd w:val="clear" w:color="000000" w:fill="FFFFFF"/>
          </w:tcPr>
          <w:p w14:paraId="7F4C8162" w14:textId="77777777" w:rsidR="00FF7E74" w:rsidRPr="009B4A78" w:rsidRDefault="00FF7E74" w:rsidP="00F33E49">
            <w:pPr>
              <w:rPr>
                <w:rFonts w:ascii="Arial" w:eastAsia="Times New Roman" w:hAnsi="Arial" w:cs="Arial"/>
                <w:color w:val="000000"/>
                <w:sz w:val="16"/>
                <w:szCs w:val="16"/>
              </w:rPr>
            </w:pPr>
          </w:p>
        </w:tc>
        <w:tc>
          <w:tcPr>
            <w:tcW w:w="2440" w:type="dxa"/>
            <w:tcBorders>
              <w:top w:val="nil"/>
              <w:left w:val="nil"/>
              <w:bottom w:val="nil"/>
              <w:right w:val="nil"/>
            </w:tcBorders>
            <w:shd w:val="clear" w:color="000000" w:fill="FFFFFF"/>
          </w:tcPr>
          <w:p w14:paraId="350C8C5B" w14:textId="1B6B5C56" w:rsidR="00FF7E74" w:rsidRPr="009B4A78" w:rsidRDefault="00036259" w:rsidP="00FF7E74">
            <w:pPr>
              <w:ind w:left="284"/>
              <w:rPr>
                <w:rFonts w:ascii="Arial" w:eastAsia="Times New Roman" w:hAnsi="Arial" w:cs="Arial"/>
                <w:color w:val="000000"/>
                <w:sz w:val="16"/>
                <w:szCs w:val="16"/>
              </w:rPr>
            </w:pPr>
            <w:r>
              <w:rPr>
                <w:rFonts w:ascii="Arial" w:eastAsia="Times New Roman" w:hAnsi="Arial" w:cs="Arial"/>
                <w:color w:val="000000"/>
                <w:sz w:val="16"/>
                <w:szCs w:val="16"/>
              </w:rPr>
              <w:t>No. of DL courses that have been reviewed and updated</w:t>
            </w:r>
          </w:p>
        </w:tc>
        <w:tc>
          <w:tcPr>
            <w:tcW w:w="2063" w:type="dxa"/>
            <w:tcBorders>
              <w:top w:val="nil"/>
              <w:left w:val="nil"/>
              <w:bottom w:val="nil"/>
              <w:right w:val="nil"/>
            </w:tcBorders>
            <w:shd w:val="clear" w:color="000000" w:fill="FFFFFF"/>
          </w:tcPr>
          <w:p w14:paraId="3D714D5C" w14:textId="04E3F92B" w:rsidR="00FF7E74" w:rsidRPr="009B4A78" w:rsidRDefault="00036259" w:rsidP="008D4CE9">
            <w:pPr>
              <w:ind w:left="112"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0</w:t>
            </w:r>
            <w:r w:rsidR="00C84D9D">
              <w:rPr>
                <w:rFonts w:ascii="Arial" w:eastAsia="Times New Roman" w:hAnsi="Arial" w:cs="Arial"/>
                <w:color w:val="000000"/>
                <w:sz w:val="16"/>
                <w:szCs w:val="16"/>
              </w:rPr>
              <w:t xml:space="preserve"> </w:t>
            </w:r>
          </w:p>
        </w:tc>
        <w:tc>
          <w:tcPr>
            <w:tcW w:w="1984" w:type="dxa"/>
            <w:tcBorders>
              <w:top w:val="nil"/>
              <w:left w:val="nil"/>
              <w:bottom w:val="nil"/>
              <w:right w:val="single" w:sz="4" w:space="0" w:color="auto"/>
            </w:tcBorders>
            <w:shd w:val="clear" w:color="000000" w:fill="FFFFFF"/>
          </w:tcPr>
          <w:p w14:paraId="3EB19525" w14:textId="325BAB90" w:rsidR="00FF7E74" w:rsidRPr="009B4A78" w:rsidRDefault="00036259" w:rsidP="00F33E49">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4</w:t>
            </w:r>
          </w:p>
        </w:tc>
      </w:tr>
      <w:tr w:rsidR="00865AEC" w:rsidRPr="009B4A78" w14:paraId="77EA5515" w14:textId="77777777" w:rsidTr="008D4CE9">
        <w:trPr>
          <w:trHeight w:val="900"/>
        </w:trPr>
        <w:tc>
          <w:tcPr>
            <w:tcW w:w="2600" w:type="dxa"/>
            <w:tcBorders>
              <w:top w:val="nil"/>
              <w:left w:val="single" w:sz="4" w:space="0" w:color="auto"/>
              <w:bottom w:val="nil"/>
              <w:right w:val="nil"/>
            </w:tcBorders>
            <w:shd w:val="clear" w:color="000000" w:fill="FFFFFF"/>
            <w:hideMark/>
          </w:tcPr>
          <w:p w14:paraId="04AF7F8D"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5BBCEFE8" w14:textId="799F884F" w:rsidR="00865AEC" w:rsidRPr="009B4A78" w:rsidRDefault="00865AEC" w:rsidP="00FF7E74">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No. of national start-up academies created under the project which have become sustainable</w:t>
            </w:r>
            <w:r w:rsidR="001B7BDB">
              <w:rPr>
                <w:rStyle w:val="FootnoteReference"/>
                <w:rFonts w:ascii="Arial" w:eastAsia="Times New Roman" w:hAnsi="Arial" w:cs="Arial"/>
                <w:color w:val="000000"/>
                <w:sz w:val="16"/>
                <w:szCs w:val="16"/>
              </w:rPr>
              <w:footnoteReference w:id="19"/>
            </w:r>
          </w:p>
        </w:tc>
        <w:tc>
          <w:tcPr>
            <w:tcW w:w="2063" w:type="dxa"/>
            <w:tcBorders>
              <w:top w:val="nil"/>
              <w:left w:val="nil"/>
              <w:bottom w:val="nil"/>
              <w:right w:val="nil"/>
            </w:tcBorders>
            <w:shd w:val="clear" w:color="000000" w:fill="FFFFFF"/>
            <w:hideMark/>
          </w:tcPr>
          <w:p w14:paraId="7A4C6D25" w14:textId="1E858FA2"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0</w:t>
            </w:r>
            <w:r w:rsidR="00C84D9D">
              <w:rPr>
                <w:rFonts w:ascii="Arial" w:eastAsia="Times New Roman" w:hAnsi="Arial" w:cs="Arial"/>
                <w:color w:val="000000"/>
                <w:sz w:val="16"/>
                <w:szCs w:val="16"/>
              </w:rPr>
              <w:t xml:space="preserve"> </w:t>
            </w:r>
          </w:p>
        </w:tc>
        <w:tc>
          <w:tcPr>
            <w:tcW w:w="1984" w:type="dxa"/>
            <w:tcBorders>
              <w:top w:val="nil"/>
              <w:left w:val="nil"/>
              <w:bottom w:val="nil"/>
              <w:right w:val="single" w:sz="4" w:space="0" w:color="auto"/>
            </w:tcBorders>
            <w:shd w:val="clear" w:color="000000" w:fill="FFFFFF"/>
            <w:hideMark/>
          </w:tcPr>
          <w:p w14:paraId="61042AC9"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4</w:t>
            </w:r>
          </w:p>
        </w:tc>
      </w:tr>
      <w:tr w:rsidR="00865AEC" w:rsidRPr="009B4A78" w14:paraId="2C0BE5D3" w14:textId="77777777" w:rsidTr="008D4CE9">
        <w:trPr>
          <w:trHeight w:val="720"/>
        </w:trPr>
        <w:tc>
          <w:tcPr>
            <w:tcW w:w="2600" w:type="dxa"/>
            <w:tcBorders>
              <w:top w:val="nil"/>
              <w:left w:val="single" w:sz="4" w:space="0" w:color="auto"/>
              <w:bottom w:val="nil"/>
              <w:right w:val="nil"/>
            </w:tcBorders>
            <w:shd w:val="clear" w:color="000000" w:fill="FFFFFF"/>
            <w:hideMark/>
          </w:tcPr>
          <w:p w14:paraId="73CEEE54"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6499F557"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New and improved IP courses and curricula in teaching institutions</w:t>
            </w:r>
          </w:p>
        </w:tc>
        <w:tc>
          <w:tcPr>
            <w:tcW w:w="2063" w:type="dxa"/>
            <w:tcBorders>
              <w:top w:val="nil"/>
              <w:left w:val="nil"/>
              <w:bottom w:val="nil"/>
              <w:right w:val="nil"/>
            </w:tcBorders>
            <w:shd w:val="clear" w:color="000000" w:fill="FFFFFF"/>
            <w:hideMark/>
          </w:tcPr>
          <w:p w14:paraId="0165E8F2" w14:textId="77777777"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c>
          <w:tcPr>
            <w:tcW w:w="1984" w:type="dxa"/>
            <w:tcBorders>
              <w:top w:val="nil"/>
              <w:left w:val="nil"/>
              <w:bottom w:val="nil"/>
              <w:right w:val="single" w:sz="4" w:space="0" w:color="auto"/>
            </w:tcBorders>
            <w:shd w:val="clear" w:color="000000" w:fill="FFFFFF"/>
            <w:hideMark/>
          </w:tcPr>
          <w:p w14:paraId="3DA63354"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20% increase</w:t>
            </w:r>
          </w:p>
        </w:tc>
      </w:tr>
      <w:tr w:rsidR="00865AEC" w:rsidRPr="009B4A78" w14:paraId="71985799" w14:textId="77777777" w:rsidTr="008D4CE9">
        <w:trPr>
          <w:trHeight w:val="630"/>
        </w:trPr>
        <w:tc>
          <w:tcPr>
            <w:tcW w:w="2600" w:type="dxa"/>
            <w:tcBorders>
              <w:top w:val="nil"/>
              <w:left w:val="single" w:sz="4" w:space="0" w:color="auto"/>
              <w:bottom w:val="single" w:sz="4" w:space="0" w:color="auto"/>
              <w:right w:val="nil"/>
            </w:tcBorders>
            <w:shd w:val="clear" w:color="000000" w:fill="FFFFFF"/>
            <w:hideMark/>
          </w:tcPr>
          <w:p w14:paraId="5F7C9975"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single" w:sz="4" w:space="0" w:color="auto"/>
              <w:right w:val="nil"/>
            </w:tcBorders>
            <w:shd w:val="clear" w:color="000000" w:fill="FFFFFF"/>
            <w:hideMark/>
          </w:tcPr>
          <w:p w14:paraId="4A17F41F"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Enhanced balance in geographical distribution of summer schools</w:t>
            </w:r>
          </w:p>
        </w:tc>
        <w:tc>
          <w:tcPr>
            <w:tcW w:w="2063" w:type="dxa"/>
            <w:tcBorders>
              <w:top w:val="nil"/>
              <w:left w:val="nil"/>
              <w:bottom w:val="single" w:sz="4" w:space="0" w:color="auto"/>
              <w:right w:val="nil"/>
            </w:tcBorders>
            <w:shd w:val="clear" w:color="000000" w:fill="FFFFFF"/>
            <w:hideMark/>
          </w:tcPr>
          <w:p w14:paraId="13FD2234" w14:textId="77777777" w:rsidR="00865AEC" w:rsidRPr="009B4A78" w:rsidRDefault="00865AEC" w:rsidP="008D4CE9">
            <w:pPr>
              <w:ind w:left="112"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6 regions</w:t>
            </w:r>
          </w:p>
        </w:tc>
        <w:tc>
          <w:tcPr>
            <w:tcW w:w="1984" w:type="dxa"/>
            <w:tcBorders>
              <w:top w:val="nil"/>
              <w:left w:val="nil"/>
              <w:bottom w:val="single" w:sz="4" w:space="0" w:color="auto"/>
              <w:right w:val="single" w:sz="4" w:space="0" w:color="auto"/>
            </w:tcBorders>
            <w:shd w:val="clear" w:color="000000" w:fill="FFFFFF"/>
            <w:hideMark/>
          </w:tcPr>
          <w:p w14:paraId="7115EFAB"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7 regions</w:t>
            </w:r>
          </w:p>
        </w:tc>
      </w:tr>
    </w:tbl>
    <w:p w14:paraId="7C6578BF" w14:textId="77777777" w:rsidR="00865AEC" w:rsidRPr="009B4A78" w:rsidRDefault="00865AEC" w:rsidP="00F33E49">
      <w:pPr>
        <w:rPr>
          <w:rFonts w:ascii="Arial" w:eastAsia="Times New Roman" w:hAnsi="Arial" w:cs="Arial"/>
          <w:sz w:val="20"/>
        </w:rPr>
      </w:pPr>
    </w:p>
    <w:p w14:paraId="5BD63471" w14:textId="77777777" w:rsidR="00865AEC" w:rsidRPr="009B4A78" w:rsidRDefault="00865AEC" w:rsidP="00F33E49">
      <w:pPr>
        <w:rPr>
          <w:rFonts w:ascii="Arial" w:eastAsia="Times New Roman" w:hAnsi="Arial" w:cs="Arial"/>
          <w:sz w:val="20"/>
        </w:rPr>
      </w:pPr>
    </w:p>
    <w:p w14:paraId="43A6B309" w14:textId="77777777" w:rsidR="00865AEC" w:rsidRPr="009B4A78" w:rsidRDefault="00865AEC" w:rsidP="00F33E49">
      <w:pPr>
        <w:rPr>
          <w:rFonts w:ascii="Arial" w:hAnsi="Arial" w:cs="Arial"/>
        </w:rPr>
      </w:pPr>
      <w:r w:rsidRPr="009B4A78">
        <w:rPr>
          <w:rFonts w:ascii="Arial" w:hAnsi="Arial" w:cs="Arial"/>
        </w:rPr>
        <w:t>RESOURCES FOR PROGRAM 11</w:t>
      </w:r>
    </w:p>
    <w:p w14:paraId="6D2F2DE5" w14:textId="77777777" w:rsidR="00865AEC" w:rsidRPr="009B4A78" w:rsidRDefault="00865AEC" w:rsidP="00F33E49">
      <w:pPr>
        <w:rPr>
          <w:rFonts w:ascii="Arial" w:hAnsi="Arial" w:cs="Arial"/>
        </w:rPr>
      </w:pPr>
    </w:p>
    <w:p w14:paraId="46008AEC" w14:textId="68CFBBF4" w:rsidR="00865AEC" w:rsidRPr="009B4A78" w:rsidRDefault="00865AEC" w:rsidP="00B66A4A">
      <w:pPr>
        <w:pStyle w:val="ListParagraph"/>
        <w:numPr>
          <w:ilvl w:val="0"/>
          <w:numId w:val="13"/>
        </w:numPr>
        <w:tabs>
          <w:tab w:val="left" w:pos="709"/>
        </w:tabs>
        <w:ind w:left="0" w:firstLine="0"/>
        <w:jc w:val="both"/>
        <w:rPr>
          <w:rFonts w:ascii="Arial" w:hAnsi="Arial" w:cs="Arial"/>
          <w:sz w:val="20"/>
        </w:rPr>
      </w:pPr>
      <w:r w:rsidRPr="009B4A78">
        <w:rPr>
          <w:rFonts w:ascii="Arial" w:hAnsi="Arial" w:cs="Arial"/>
          <w:sz w:val="20"/>
        </w:rPr>
        <w:t>Overall resources for Program 11 are increasing in 2016/17 by 13.9 per cent compared to the</w:t>
      </w:r>
      <w:r w:rsidR="00B472A8">
        <w:rPr>
          <w:rFonts w:ascii="Arial" w:hAnsi="Arial" w:cs="Arial"/>
          <w:sz w:val="20"/>
        </w:rPr>
        <w:t> </w:t>
      </w:r>
      <w:r w:rsidRPr="009B4A78">
        <w:rPr>
          <w:rFonts w:ascii="Arial" w:hAnsi="Arial" w:cs="Arial"/>
          <w:sz w:val="20"/>
        </w:rPr>
        <w:t>2014/15 Budget after Transfers.  The increase is primarily due to (</w:t>
      </w:r>
      <w:proofErr w:type="spellStart"/>
      <w:r w:rsidRPr="009B4A78">
        <w:rPr>
          <w:rFonts w:ascii="Arial" w:hAnsi="Arial" w:cs="Arial"/>
          <w:sz w:val="20"/>
        </w:rPr>
        <w:t>i</w:t>
      </w:r>
      <w:proofErr w:type="spellEnd"/>
      <w:r w:rsidRPr="009B4A78">
        <w:rPr>
          <w:rFonts w:ascii="Arial" w:hAnsi="Arial" w:cs="Arial"/>
          <w:sz w:val="20"/>
        </w:rPr>
        <w:t xml:space="preserve">) the </w:t>
      </w:r>
      <w:r w:rsidRPr="009B4A78">
        <w:rPr>
          <w:rFonts w:ascii="Arial" w:hAnsi="Arial" w:cs="Arial"/>
          <w:sz w:val="20"/>
          <w:szCs w:val="20"/>
        </w:rPr>
        <w:t xml:space="preserve">internal redeployment of resources </w:t>
      </w:r>
      <w:r w:rsidRPr="009B4A78">
        <w:rPr>
          <w:rFonts w:ascii="Arial" w:hAnsi="Arial" w:cs="Arial"/>
          <w:sz w:val="20"/>
        </w:rPr>
        <w:t xml:space="preserve">to the WIPO Academy in support of the ongoing reform process and (ii) the budgetary provision for the new DA project “Cooperation with Judicial Training Institutes in Developing and Least Developed Countries”.  </w:t>
      </w:r>
    </w:p>
    <w:p w14:paraId="1DDE6CC2" w14:textId="77777777" w:rsidR="00865AEC" w:rsidRPr="009B4A78" w:rsidRDefault="00865AEC" w:rsidP="00F33E49">
      <w:pPr>
        <w:autoSpaceDE w:val="0"/>
        <w:autoSpaceDN w:val="0"/>
        <w:rPr>
          <w:rFonts w:ascii="Arial" w:hAnsi="Arial" w:cs="Arial"/>
          <w:sz w:val="20"/>
        </w:rPr>
      </w:pPr>
    </w:p>
    <w:p w14:paraId="78FF0CF7" w14:textId="77777777" w:rsidR="00865AEC" w:rsidRPr="009B4A78" w:rsidRDefault="00865AEC" w:rsidP="00F33E49">
      <w:pPr>
        <w:autoSpaceDE w:val="0"/>
        <w:autoSpaceDN w:val="0"/>
        <w:rPr>
          <w:rFonts w:ascii="Arial" w:hAnsi="Arial" w:cs="Arial"/>
          <w:sz w:val="20"/>
        </w:rPr>
      </w:pPr>
    </w:p>
    <w:p w14:paraId="6BA14C4D"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t>Program 11:  Resources by Result</w:t>
      </w:r>
    </w:p>
    <w:p w14:paraId="25F90775"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D9FD31E" w14:textId="77777777" w:rsidR="00865AEC" w:rsidRPr="009B4A78" w:rsidRDefault="00865AEC" w:rsidP="00F33E49">
      <w:pPr>
        <w:keepNext/>
        <w:keepLines/>
        <w:autoSpaceDE w:val="0"/>
        <w:autoSpaceDN w:val="0"/>
        <w:jc w:val="center"/>
        <w:rPr>
          <w:rFonts w:ascii="Arial" w:hAnsi="Arial" w:cs="Arial"/>
          <w:i/>
          <w:sz w:val="20"/>
        </w:rPr>
      </w:pPr>
    </w:p>
    <w:p w14:paraId="577307E7" w14:textId="77777777" w:rsidR="00865AEC" w:rsidRPr="009B4A78" w:rsidRDefault="00865AEC" w:rsidP="008F3633">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3ADFA8FC" wp14:editId="223C6966">
            <wp:extent cx="5367646" cy="1137131"/>
            <wp:effectExtent l="0" t="0" r="508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47710" cy="1154092"/>
                    </a:xfrm>
                    <a:prstGeom prst="rect">
                      <a:avLst/>
                    </a:prstGeom>
                    <a:noFill/>
                    <a:ln>
                      <a:noFill/>
                    </a:ln>
                  </pic:spPr>
                </pic:pic>
              </a:graphicData>
            </a:graphic>
          </wp:inline>
        </w:drawing>
      </w:r>
    </w:p>
    <w:p w14:paraId="7303193C" w14:textId="77777777" w:rsidR="00865AEC" w:rsidRPr="009B4A78" w:rsidRDefault="00865AEC" w:rsidP="00F33E49">
      <w:pPr>
        <w:autoSpaceDE w:val="0"/>
        <w:autoSpaceDN w:val="0"/>
        <w:rPr>
          <w:rFonts w:ascii="Arial" w:hAnsi="Arial" w:cs="Arial"/>
          <w:i/>
          <w:sz w:val="20"/>
        </w:rPr>
      </w:pPr>
    </w:p>
    <w:p w14:paraId="58EBF759" w14:textId="77777777" w:rsidR="00865AEC" w:rsidRPr="009B4A78" w:rsidRDefault="00865AEC" w:rsidP="00F33E49">
      <w:pPr>
        <w:autoSpaceDE w:val="0"/>
        <w:autoSpaceDN w:val="0"/>
        <w:rPr>
          <w:rFonts w:ascii="Arial" w:hAnsi="Arial" w:cs="Arial"/>
          <w:i/>
          <w:sz w:val="20"/>
        </w:rPr>
      </w:pPr>
    </w:p>
    <w:p w14:paraId="6F7D0864"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t>Program 11:  Resources by Object of Expenditure</w:t>
      </w:r>
    </w:p>
    <w:p w14:paraId="2AB7D639"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69A1FFC7" w14:textId="77777777" w:rsidR="00865AEC" w:rsidRPr="009B4A78" w:rsidRDefault="00865AEC" w:rsidP="00F33E49">
      <w:pPr>
        <w:keepNext/>
        <w:keepLines/>
        <w:autoSpaceDE w:val="0"/>
        <w:autoSpaceDN w:val="0"/>
        <w:jc w:val="center"/>
        <w:rPr>
          <w:rFonts w:ascii="Arial" w:hAnsi="Arial" w:cs="Arial"/>
          <w:i/>
          <w:sz w:val="20"/>
        </w:rPr>
      </w:pPr>
    </w:p>
    <w:p w14:paraId="06DE628B" w14:textId="2BF02088" w:rsidR="00865AEC" w:rsidRPr="009B4A78" w:rsidRDefault="006773FE" w:rsidP="00F33E49">
      <w:pPr>
        <w:jc w:val="center"/>
        <w:rPr>
          <w:rFonts w:ascii="Arial" w:hAnsi="Arial" w:cs="Arial"/>
        </w:rPr>
      </w:pPr>
      <w:r w:rsidRPr="006773FE">
        <w:rPr>
          <w:noProof/>
          <w:lang w:eastAsia="en-US"/>
        </w:rPr>
        <w:drawing>
          <wp:inline distT="0" distB="0" distL="0" distR="0" wp14:anchorId="6102DE05" wp14:editId="2832EA55">
            <wp:extent cx="4829175" cy="59495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40753" cy="5963765"/>
                    </a:xfrm>
                    <a:prstGeom prst="rect">
                      <a:avLst/>
                    </a:prstGeom>
                    <a:noFill/>
                    <a:ln>
                      <a:noFill/>
                    </a:ln>
                  </pic:spPr>
                </pic:pic>
              </a:graphicData>
            </a:graphic>
          </wp:inline>
        </w:drawing>
      </w:r>
    </w:p>
    <w:p w14:paraId="1C771B88" w14:textId="77777777" w:rsidR="00865AEC" w:rsidRDefault="00865AEC" w:rsidP="00F33E49">
      <w:pPr>
        <w:jc w:val="center"/>
        <w:rPr>
          <w:rFonts w:ascii="Arial" w:hAnsi="Arial" w:cs="Arial"/>
        </w:rPr>
      </w:pPr>
    </w:p>
    <w:p w14:paraId="5588D51C" w14:textId="77777777" w:rsidR="00C60563" w:rsidRDefault="00C60563" w:rsidP="00F33E49">
      <w:pPr>
        <w:jc w:val="center"/>
        <w:rPr>
          <w:rFonts w:ascii="Arial" w:hAnsi="Arial" w:cs="Arial"/>
        </w:rPr>
      </w:pPr>
    </w:p>
    <w:p w14:paraId="07A37C07" w14:textId="77777777" w:rsidR="00865AEC" w:rsidRPr="009B4A78" w:rsidRDefault="00865AEC" w:rsidP="00865AEC">
      <w:pPr>
        <w:keepNext/>
        <w:keepLines/>
        <w:jc w:val="center"/>
        <w:rPr>
          <w:rFonts w:ascii="Arial" w:hAnsi="Arial" w:cs="Arial"/>
          <w:b/>
          <w:sz w:val="20"/>
          <w:szCs w:val="20"/>
        </w:rPr>
      </w:pPr>
      <w:r w:rsidRPr="009B4A78">
        <w:rPr>
          <w:rFonts w:ascii="Arial" w:hAnsi="Arial" w:cs="Arial"/>
          <w:b/>
          <w:sz w:val="20"/>
          <w:szCs w:val="20"/>
        </w:rPr>
        <w:lastRenderedPageBreak/>
        <w:t>Funds in Trust Potentially Available for Programming in 2016/17 (BY PROGRAM)</w:t>
      </w:r>
      <w:r w:rsidRPr="009B4A78">
        <w:rPr>
          <w:rFonts w:ascii="Arial" w:hAnsi="Arial" w:cs="Arial"/>
          <w:i/>
          <w:sz w:val="20"/>
          <w:szCs w:val="20"/>
          <w:vertAlign w:val="superscript"/>
        </w:rPr>
        <w:t xml:space="preserve"> </w:t>
      </w:r>
      <w:r w:rsidRPr="009B4A78">
        <w:rPr>
          <w:rFonts w:ascii="Arial" w:hAnsi="Arial" w:cs="Arial"/>
          <w:sz w:val="20"/>
          <w:szCs w:val="20"/>
          <w:vertAlign w:val="superscript"/>
        </w:rPr>
        <w:t>1</w:t>
      </w:r>
    </w:p>
    <w:p w14:paraId="4E9B303A" w14:textId="77777777" w:rsidR="00865AEC" w:rsidRDefault="00865AEC" w:rsidP="006D1E38">
      <w:pPr>
        <w:keepNext/>
        <w:keepLines/>
        <w:jc w:val="center"/>
        <w:rPr>
          <w:rFonts w:ascii="Arial" w:hAnsi="Arial" w:cs="Arial"/>
          <w:i/>
          <w:sz w:val="20"/>
          <w:szCs w:val="20"/>
        </w:rPr>
      </w:pPr>
      <w:r w:rsidRPr="009B4A78">
        <w:rPr>
          <w:rFonts w:ascii="Arial" w:hAnsi="Arial" w:cs="Arial"/>
          <w:i/>
          <w:sz w:val="20"/>
          <w:szCs w:val="20"/>
        </w:rPr>
        <w:t>(in thousands of Swiss francs)</w:t>
      </w:r>
    </w:p>
    <w:p w14:paraId="6FE70A38" w14:textId="77777777" w:rsidR="006D1E38" w:rsidRPr="009B4A78" w:rsidRDefault="006D1E38" w:rsidP="006D1E38">
      <w:pPr>
        <w:keepNext/>
        <w:keepLines/>
        <w:jc w:val="center"/>
        <w:rPr>
          <w:rFonts w:ascii="Arial" w:hAnsi="Arial" w:cs="Arial"/>
          <w:i/>
          <w:sz w:val="20"/>
          <w:szCs w:val="20"/>
        </w:rPr>
      </w:pPr>
    </w:p>
    <w:p w14:paraId="7E6CC95B" w14:textId="77777777" w:rsidR="00433347" w:rsidRPr="00FB68E0" w:rsidRDefault="00E23B7D" w:rsidP="00FB68E0">
      <w:pPr>
        <w:keepNext/>
        <w:keepLines/>
        <w:spacing w:after="60"/>
        <w:jc w:val="center"/>
        <w:rPr>
          <w:rFonts w:ascii="Arial" w:hAnsi="Arial" w:cs="Arial"/>
          <w:sz w:val="20"/>
          <w:szCs w:val="16"/>
          <w:vertAlign w:val="superscript"/>
        </w:rPr>
      </w:pPr>
      <w:r w:rsidRPr="00E23B7D">
        <w:rPr>
          <w:noProof/>
          <w:lang w:eastAsia="en-US"/>
        </w:rPr>
        <w:drawing>
          <wp:inline distT="0" distB="0" distL="0" distR="0" wp14:anchorId="2FC857A8" wp14:editId="4C00CB6C">
            <wp:extent cx="5391398" cy="847638"/>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30055" cy="853716"/>
                    </a:xfrm>
                    <a:prstGeom prst="rect">
                      <a:avLst/>
                    </a:prstGeom>
                    <a:noFill/>
                    <a:ln>
                      <a:noFill/>
                    </a:ln>
                  </pic:spPr>
                </pic:pic>
              </a:graphicData>
            </a:graphic>
          </wp:inline>
        </w:drawing>
      </w:r>
    </w:p>
    <w:p w14:paraId="20CAEFAC" w14:textId="26EB4F29" w:rsidR="00E641D8" w:rsidRDefault="00653890" w:rsidP="006D1E38">
      <w:pPr>
        <w:keepNext/>
        <w:keepLines/>
        <w:spacing w:after="60"/>
        <w:rPr>
          <w:rFonts w:ascii="Arial" w:hAnsi="Arial" w:cs="Arial"/>
          <w:i/>
          <w:sz w:val="16"/>
          <w:szCs w:val="14"/>
        </w:rPr>
      </w:pPr>
      <w:r w:rsidRPr="00FB68E0">
        <w:rPr>
          <w:rFonts w:ascii="Arial" w:hAnsi="Arial" w:cs="Arial"/>
          <w:sz w:val="16"/>
          <w:szCs w:val="16"/>
          <w:vertAlign w:val="superscript"/>
        </w:rPr>
        <w:t>1</w:t>
      </w:r>
      <w:r w:rsidR="00865AEC"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20FD0769" w14:textId="24596504" w:rsidR="00865AEC" w:rsidRDefault="00865AEC" w:rsidP="006D1E38">
      <w:pPr>
        <w:keepNext/>
        <w:keepLines/>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4C3D1B14" w14:textId="6A088D6C" w:rsidR="00E23B7D" w:rsidRPr="009B4A78" w:rsidRDefault="00E23B7D" w:rsidP="006D1E38">
      <w:pPr>
        <w:keepNext/>
        <w:keepLines/>
        <w:rPr>
          <w:rFonts w:ascii="Arial" w:hAnsi="Arial" w:cs="Arial"/>
          <w:i/>
          <w:sz w:val="16"/>
          <w:szCs w:val="14"/>
        </w:rPr>
      </w:pPr>
      <w:r w:rsidRPr="00FB68E0">
        <w:rPr>
          <w:rFonts w:ascii="Arial" w:hAnsi="Arial" w:cs="Arial"/>
          <w:i/>
          <w:sz w:val="16"/>
          <w:szCs w:val="14"/>
          <w:vertAlign w:val="superscript"/>
        </w:rPr>
        <w:t>3</w:t>
      </w:r>
      <w:r w:rsidRPr="00E23B7D">
        <w:rPr>
          <w:rFonts w:ascii="Arial" w:hAnsi="Arial" w:cs="Arial"/>
          <w:i/>
          <w:sz w:val="16"/>
          <w:szCs w:val="14"/>
        </w:rPr>
        <w:t>The Expected Balance end 2015 takes into account encumbrances and obligations.</w:t>
      </w:r>
    </w:p>
    <w:p w14:paraId="697E7D7E" w14:textId="34A12AFB" w:rsidR="00E641D8" w:rsidRDefault="00E641D8">
      <w:pPr>
        <w:rPr>
          <w:rFonts w:ascii="Arial" w:hAnsi="Arial" w:cs="Arial"/>
          <w:sz w:val="20"/>
        </w:rPr>
      </w:pPr>
      <w:r>
        <w:rPr>
          <w:rFonts w:ascii="Arial" w:hAnsi="Arial" w:cs="Arial"/>
          <w:sz w:val="20"/>
        </w:rPr>
        <w:br w:type="page"/>
      </w:r>
    </w:p>
    <w:p w14:paraId="40314170" w14:textId="77777777" w:rsidR="007D3B04" w:rsidRPr="007D3B04" w:rsidRDefault="007D3B04" w:rsidP="008D3EC2">
      <w:pPr>
        <w:pStyle w:val="StyleHeading3ComplexItalic"/>
        <w:ind w:left="1985" w:hanging="1985"/>
        <w:rPr>
          <w:rStyle w:val="StyleStyleHeading3ComplexItalicLatin12ptChar"/>
          <w:rFonts w:eastAsia="Arial"/>
          <w:b/>
        </w:rPr>
      </w:pPr>
      <w:bookmarkStart w:id="44" w:name="_Toc431221420"/>
      <w:r w:rsidRPr="00FB68E0">
        <w:rPr>
          <w:rStyle w:val="StyleStyleHeading3ComplexItalicLatin12ptChar"/>
          <w:rFonts w:eastAsia="Arial"/>
          <w:b/>
        </w:rPr>
        <w:lastRenderedPageBreak/>
        <w:t xml:space="preserve">PROGRAM 30 </w:t>
      </w:r>
      <w:r>
        <w:rPr>
          <w:rStyle w:val="StyleStyleHeading3ComplexItalicLatin12ptChar"/>
          <w:rFonts w:eastAsia="Arial"/>
        </w:rPr>
        <w:tab/>
      </w:r>
      <w:r w:rsidRPr="00FB68E0">
        <w:rPr>
          <w:rStyle w:val="StyleStyleHeading3ComplexItalicLatin12ptChar"/>
          <w:rFonts w:eastAsia="Arial"/>
          <w:b/>
        </w:rPr>
        <w:t>SMALL AND MEDIUM-SIZED ENTERPRISES (SMES</w:t>
      </w:r>
      <w:r w:rsidRPr="007D3B04">
        <w:rPr>
          <w:rStyle w:val="StyleStyleHeading3ComplexItalicLatin12ptChar"/>
          <w:rFonts w:eastAsia="Arial"/>
          <w:b/>
        </w:rPr>
        <w:t>) AND ENTREPRENEURSHIP SUPPORT</w:t>
      </w:r>
      <w:bookmarkEnd w:id="44"/>
      <w:r w:rsidRPr="007D3B04">
        <w:rPr>
          <w:rStyle w:val="StyleStyleHeading3ComplexItalicLatin12ptChar"/>
          <w:rFonts w:eastAsia="Arial"/>
          <w:b/>
        </w:rPr>
        <w:t xml:space="preserve"> </w:t>
      </w:r>
    </w:p>
    <w:p w14:paraId="3CA83F3A" w14:textId="77777777" w:rsidR="007D3B04" w:rsidRPr="006B4739" w:rsidRDefault="007D3B04" w:rsidP="008D3EC2">
      <w:pPr>
        <w:tabs>
          <w:tab w:val="left" w:pos="0"/>
        </w:tabs>
        <w:spacing w:before="32" w:line="241" w:lineRule="auto"/>
        <w:ind w:right="1210"/>
        <w:jc w:val="both"/>
        <w:rPr>
          <w:rFonts w:ascii="Arial" w:eastAsia="Arial" w:hAnsi="Arial" w:cs="Arial"/>
          <w:b/>
          <w:bCs/>
          <w:spacing w:val="-1"/>
        </w:rPr>
      </w:pPr>
    </w:p>
    <w:p w14:paraId="1D8E703C" w14:textId="77777777" w:rsidR="007D3B04" w:rsidRDefault="007D3B04" w:rsidP="008D3EC2">
      <w:pPr>
        <w:rPr>
          <w:rFonts w:ascii="Arial" w:hAnsi="Arial" w:cs="Arial"/>
        </w:rPr>
      </w:pPr>
    </w:p>
    <w:p w14:paraId="7C74714E" w14:textId="77777777" w:rsidR="007D3B04" w:rsidRPr="006B4739" w:rsidRDefault="007D3B04" w:rsidP="008D3EC2">
      <w:pPr>
        <w:rPr>
          <w:rFonts w:ascii="Arial" w:hAnsi="Arial" w:cs="Arial"/>
        </w:rPr>
      </w:pPr>
      <w:r w:rsidRPr="006B4739">
        <w:rPr>
          <w:rFonts w:ascii="Arial" w:hAnsi="Arial" w:cs="Arial"/>
        </w:rPr>
        <w:t>PLANNING CONTEXT</w:t>
      </w:r>
    </w:p>
    <w:p w14:paraId="1A2BB06E" w14:textId="77777777" w:rsidR="007D3B04" w:rsidRPr="006B4739" w:rsidRDefault="007D3B04" w:rsidP="008D3EC2">
      <w:pPr>
        <w:tabs>
          <w:tab w:val="left" w:pos="709"/>
        </w:tabs>
        <w:rPr>
          <w:rFonts w:ascii="Arial" w:hAnsi="Arial" w:cs="Arial"/>
        </w:rPr>
      </w:pPr>
    </w:p>
    <w:p w14:paraId="191C1F70" w14:textId="77777777" w:rsidR="007D3B04" w:rsidRPr="00AE06F9" w:rsidRDefault="007D3B04" w:rsidP="00B66A4A">
      <w:pPr>
        <w:pStyle w:val="ListParagraph"/>
        <w:numPr>
          <w:ilvl w:val="0"/>
          <w:numId w:val="26"/>
        </w:numPr>
        <w:tabs>
          <w:tab w:val="left" w:pos="709"/>
        </w:tabs>
        <w:ind w:left="0" w:firstLine="0"/>
        <w:jc w:val="both"/>
        <w:rPr>
          <w:rFonts w:ascii="Arial" w:hAnsi="Arial" w:cs="Arial"/>
          <w:sz w:val="20"/>
          <w:szCs w:val="20"/>
        </w:rPr>
      </w:pPr>
      <w:r w:rsidRPr="00AE06F9">
        <w:rPr>
          <w:rFonts w:ascii="Arial" w:hAnsi="Arial" w:cs="Arial"/>
          <w:sz w:val="20"/>
          <w:szCs w:val="20"/>
        </w:rPr>
        <w:t xml:space="preserve">Small and medium-sized enterprises (SMEs) make significant contributions in countries around the world to GDP, employment generation, innovation, exports, women empowerment, poverty alleviation and sustainable growth.  Also making highly significant contributions to innovation and its benefits are universities and public research institutions (PRIs), which have varying capacity and capabilities regarding strategic knowledge transfer and IP commercialization of research results.  Both of these segments of activity are affected by the national IP strategies of their respective countries.  </w:t>
      </w:r>
    </w:p>
    <w:p w14:paraId="66EEDD5B" w14:textId="77777777" w:rsidR="007D3B04" w:rsidRPr="001E11E0" w:rsidRDefault="007D3B04" w:rsidP="008D3EC2">
      <w:pPr>
        <w:tabs>
          <w:tab w:val="left" w:pos="709"/>
        </w:tabs>
        <w:jc w:val="both"/>
        <w:rPr>
          <w:rFonts w:ascii="Arial" w:hAnsi="Arial" w:cs="Arial"/>
          <w:sz w:val="20"/>
          <w:szCs w:val="20"/>
        </w:rPr>
      </w:pPr>
    </w:p>
    <w:p w14:paraId="74AEEBCF" w14:textId="7CFE54B2"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The lack of awareness and competency in the field of </w:t>
      </w:r>
      <w:r>
        <w:rPr>
          <w:rFonts w:ascii="Arial" w:hAnsi="Arial" w:cs="Arial"/>
          <w:sz w:val="20"/>
          <w:szCs w:val="20"/>
        </w:rPr>
        <w:t>IP</w:t>
      </w:r>
      <w:r w:rsidRPr="001E11E0">
        <w:rPr>
          <w:rFonts w:ascii="Arial" w:hAnsi="Arial" w:cs="Arial"/>
          <w:sz w:val="20"/>
          <w:szCs w:val="20"/>
        </w:rPr>
        <w:t xml:space="preserve"> management, the perceived high cost and complexity of the IP system and difficulties in protecting and defending IP rights prevent SMEs, universities and PRIs around the world from benefiting from the advantages of the IP system</w:t>
      </w:r>
      <w:r w:rsidR="00AF5A57">
        <w:rPr>
          <w:rFonts w:ascii="Arial" w:hAnsi="Arial" w:cs="Arial"/>
          <w:sz w:val="20"/>
          <w:szCs w:val="20"/>
        </w:rPr>
        <w:t>. This</w:t>
      </w:r>
      <w:r w:rsidRPr="001E11E0">
        <w:rPr>
          <w:rFonts w:ascii="Arial" w:hAnsi="Arial" w:cs="Arial"/>
          <w:sz w:val="20"/>
          <w:szCs w:val="20"/>
        </w:rPr>
        <w:t xml:space="preserve"> </w:t>
      </w:r>
      <w:r w:rsidR="00AF5A57">
        <w:rPr>
          <w:rFonts w:ascii="Arial" w:hAnsi="Arial" w:cs="Arial"/>
          <w:sz w:val="20"/>
          <w:szCs w:val="20"/>
        </w:rPr>
        <w:t xml:space="preserve">is </w:t>
      </w:r>
      <w:r w:rsidRPr="001E11E0">
        <w:rPr>
          <w:rFonts w:ascii="Arial" w:hAnsi="Arial" w:cs="Arial"/>
          <w:sz w:val="20"/>
          <w:szCs w:val="20"/>
        </w:rPr>
        <w:t>reflected</w:t>
      </w:r>
      <w:r w:rsidR="00AF5A57">
        <w:rPr>
          <w:rFonts w:ascii="Arial" w:hAnsi="Arial" w:cs="Arial"/>
          <w:sz w:val="20"/>
          <w:szCs w:val="20"/>
        </w:rPr>
        <w:t xml:space="preserve"> by their </w:t>
      </w:r>
      <w:r w:rsidRPr="001E11E0">
        <w:rPr>
          <w:rFonts w:ascii="Arial" w:hAnsi="Arial" w:cs="Arial"/>
          <w:sz w:val="20"/>
          <w:szCs w:val="20"/>
        </w:rPr>
        <w:t xml:space="preserve">low use of the IP system in general and WIPO’s global services in particular. </w:t>
      </w:r>
    </w:p>
    <w:p w14:paraId="759958C9" w14:textId="77777777" w:rsidR="007D3B04" w:rsidRPr="001E11E0" w:rsidRDefault="007D3B04" w:rsidP="008D3EC2">
      <w:pPr>
        <w:tabs>
          <w:tab w:val="left" w:pos="709"/>
        </w:tabs>
        <w:jc w:val="both"/>
        <w:rPr>
          <w:rFonts w:ascii="Arial" w:hAnsi="Arial" w:cs="Arial"/>
          <w:sz w:val="20"/>
          <w:szCs w:val="20"/>
        </w:rPr>
      </w:pPr>
    </w:p>
    <w:p w14:paraId="16F00923" w14:textId="77777777"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Related challenges include low R&amp;D expenditure, weak or non-existent partnerships with academic and research institutions and inadequate access to information, knowledge and technologies available in IP databases.  The absence of effective institutional IP policies, incentives and funding for SMEs and the absence of vibrant SME support institutions, in several countries, pose additional challenges in enhancing the better use of the IP system by SMEs, universities and PRIs.</w:t>
      </w:r>
    </w:p>
    <w:p w14:paraId="119B4FC5" w14:textId="77777777" w:rsidR="007D3B04" w:rsidRPr="001E11E0" w:rsidRDefault="007D3B04" w:rsidP="008D3EC2">
      <w:pPr>
        <w:tabs>
          <w:tab w:val="left" w:pos="709"/>
        </w:tabs>
        <w:jc w:val="both"/>
        <w:rPr>
          <w:rFonts w:ascii="Arial" w:hAnsi="Arial" w:cs="Arial"/>
          <w:sz w:val="20"/>
          <w:szCs w:val="20"/>
        </w:rPr>
      </w:pPr>
    </w:p>
    <w:p w14:paraId="0E4FFA0F" w14:textId="77777777" w:rsidR="007D3B04" w:rsidRPr="001E11E0" w:rsidRDefault="007D3B04" w:rsidP="008D3EC2">
      <w:pPr>
        <w:tabs>
          <w:tab w:val="left" w:pos="709"/>
        </w:tabs>
        <w:jc w:val="both"/>
        <w:rPr>
          <w:rFonts w:ascii="Arial" w:hAnsi="Arial" w:cs="Arial"/>
          <w:sz w:val="20"/>
          <w:szCs w:val="20"/>
        </w:rPr>
      </w:pPr>
    </w:p>
    <w:p w14:paraId="2D38BB7C" w14:textId="77777777" w:rsidR="007D3B04" w:rsidRPr="00E379D9" w:rsidRDefault="007D3B04" w:rsidP="008D3EC2">
      <w:pPr>
        <w:tabs>
          <w:tab w:val="left" w:pos="709"/>
        </w:tabs>
        <w:jc w:val="both"/>
        <w:rPr>
          <w:rFonts w:ascii="Arial" w:hAnsi="Arial" w:cs="Arial"/>
          <w:szCs w:val="20"/>
        </w:rPr>
      </w:pPr>
      <w:r w:rsidRPr="00E379D9">
        <w:rPr>
          <w:rFonts w:ascii="Arial" w:hAnsi="Arial" w:cs="Arial"/>
          <w:szCs w:val="20"/>
        </w:rPr>
        <w:t>IMPLEMENTATION STRATEGIES</w:t>
      </w:r>
    </w:p>
    <w:p w14:paraId="747D5A10" w14:textId="77777777" w:rsidR="007D3B04" w:rsidRPr="001E11E0" w:rsidRDefault="007D3B04" w:rsidP="008D3EC2">
      <w:pPr>
        <w:tabs>
          <w:tab w:val="left" w:pos="709"/>
        </w:tabs>
        <w:jc w:val="both"/>
        <w:rPr>
          <w:rFonts w:ascii="Arial" w:hAnsi="Arial" w:cs="Arial"/>
          <w:sz w:val="20"/>
          <w:szCs w:val="20"/>
        </w:rPr>
      </w:pPr>
    </w:p>
    <w:p w14:paraId="07F505BC" w14:textId="77777777"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The Program </w:t>
      </w:r>
      <w:r>
        <w:rPr>
          <w:rFonts w:ascii="Arial" w:hAnsi="Arial" w:cs="Arial"/>
          <w:sz w:val="20"/>
          <w:szCs w:val="20"/>
        </w:rPr>
        <w:t xml:space="preserve">will continue contributing to ensuring that </w:t>
      </w:r>
      <w:r w:rsidRPr="001E11E0">
        <w:rPr>
          <w:rFonts w:ascii="Arial" w:hAnsi="Arial" w:cs="Arial"/>
          <w:sz w:val="20"/>
          <w:szCs w:val="20"/>
        </w:rPr>
        <w:t xml:space="preserve">national </w:t>
      </w:r>
      <w:r>
        <w:rPr>
          <w:rFonts w:ascii="Arial" w:hAnsi="Arial" w:cs="Arial"/>
          <w:sz w:val="20"/>
          <w:szCs w:val="20"/>
        </w:rPr>
        <w:t>IP</w:t>
      </w:r>
      <w:r w:rsidRPr="001E11E0">
        <w:rPr>
          <w:rFonts w:ascii="Arial" w:hAnsi="Arial" w:cs="Arial"/>
          <w:sz w:val="20"/>
          <w:szCs w:val="20"/>
        </w:rPr>
        <w:t xml:space="preserve"> strateg</w:t>
      </w:r>
      <w:r>
        <w:rPr>
          <w:rFonts w:ascii="Arial" w:hAnsi="Arial" w:cs="Arial"/>
          <w:sz w:val="20"/>
          <w:szCs w:val="20"/>
        </w:rPr>
        <w:t>ies address promotion of creativity including innovation b</w:t>
      </w:r>
      <w:r w:rsidRPr="001E11E0">
        <w:rPr>
          <w:rFonts w:ascii="Arial" w:hAnsi="Arial" w:cs="Arial"/>
          <w:sz w:val="20"/>
          <w:szCs w:val="20"/>
        </w:rPr>
        <w:t xml:space="preserve">ased on a thorough assessment of the development objectives and an understanding of the strengths, weaknesses, opportunities and challenges of individual countries.  </w:t>
      </w:r>
    </w:p>
    <w:p w14:paraId="5DE9C2C1" w14:textId="77777777" w:rsidR="007D3B04" w:rsidRPr="001E11E0" w:rsidRDefault="007D3B04" w:rsidP="008D3EC2">
      <w:pPr>
        <w:tabs>
          <w:tab w:val="left" w:pos="709"/>
        </w:tabs>
        <w:jc w:val="both"/>
        <w:rPr>
          <w:rFonts w:ascii="Arial" w:hAnsi="Arial" w:cs="Arial"/>
          <w:sz w:val="20"/>
          <w:szCs w:val="20"/>
        </w:rPr>
      </w:pPr>
    </w:p>
    <w:p w14:paraId="6BE14E90" w14:textId="4404349D"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In order to address the formidable challenge of enhancing awareness and use of the IP system by SMEs in an effective and sustainable manner, the Program will adopt a coordinated project based approach bringing together on a common platform, expertise, experience and best practices of internal and external stakeholders.  Appropriate inputs and recommendations will be obtained from national/regional studies on IP and SMEs and from national, regional and international </w:t>
      </w:r>
      <w:r w:rsidR="00B749A5" w:rsidRPr="001E11E0">
        <w:rPr>
          <w:rFonts w:ascii="Arial" w:hAnsi="Arial" w:cs="Arial"/>
          <w:sz w:val="20"/>
          <w:szCs w:val="20"/>
        </w:rPr>
        <w:t>for</w:t>
      </w:r>
      <w:r w:rsidR="00B749A5">
        <w:rPr>
          <w:rFonts w:ascii="Arial" w:hAnsi="Arial" w:cs="Arial"/>
          <w:sz w:val="20"/>
          <w:szCs w:val="20"/>
        </w:rPr>
        <w:t>a</w:t>
      </w:r>
      <w:r w:rsidR="00B749A5" w:rsidRPr="001E11E0">
        <w:rPr>
          <w:rFonts w:ascii="Arial" w:hAnsi="Arial" w:cs="Arial"/>
          <w:sz w:val="20"/>
          <w:szCs w:val="20"/>
        </w:rPr>
        <w:t xml:space="preserve"> </w:t>
      </w:r>
      <w:r w:rsidRPr="001E11E0">
        <w:rPr>
          <w:rFonts w:ascii="Arial" w:hAnsi="Arial" w:cs="Arial"/>
          <w:sz w:val="20"/>
          <w:szCs w:val="20"/>
        </w:rPr>
        <w:t xml:space="preserve">and symposia.  Novel approaches such as SME IP ambassador/champion and SME IP hand-holding projects may be tried on a pilot basis in certain countries.   </w:t>
      </w:r>
    </w:p>
    <w:p w14:paraId="3D8FCC18" w14:textId="77777777" w:rsidR="007D3B04" w:rsidRPr="001E11E0" w:rsidRDefault="007D3B04" w:rsidP="008D3EC2">
      <w:pPr>
        <w:tabs>
          <w:tab w:val="left" w:pos="709"/>
        </w:tabs>
        <w:jc w:val="both"/>
        <w:rPr>
          <w:rFonts w:ascii="Arial" w:hAnsi="Arial" w:cs="Arial"/>
          <w:sz w:val="20"/>
          <w:szCs w:val="20"/>
        </w:rPr>
      </w:pPr>
    </w:p>
    <w:p w14:paraId="50959035" w14:textId="2A985F95"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The Program act</w:t>
      </w:r>
      <w:r w:rsidR="008D184A">
        <w:rPr>
          <w:rFonts w:ascii="Arial" w:hAnsi="Arial" w:cs="Arial"/>
          <w:sz w:val="20"/>
          <w:szCs w:val="20"/>
        </w:rPr>
        <w:t>s</w:t>
      </w:r>
      <w:r w:rsidRPr="001E11E0">
        <w:rPr>
          <w:rFonts w:ascii="Arial" w:hAnsi="Arial" w:cs="Arial"/>
          <w:sz w:val="20"/>
          <w:szCs w:val="20"/>
        </w:rPr>
        <w:t xml:space="preserve"> as the dedicated central reference point within WIPO for SMEs-related IP issues in developing countries</w:t>
      </w:r>
      <w:r>
        <w:rPr>
          <w:rFonts w:ascii="Arial" w:hAnsi="Arial" w:cs="Arial"/>
          <w:sz w:val="20"/>
          <w:szCs w:val="20"/>
        </w:rPr>
        <w:t>, LDCs</w:t>
      </w:r>
      <w:r w:rsidRPr="001E11E0">
        <w:rPr>
          <w:rFonts w:ascii="Arial" w:hAnsi="Arial" w:cs="Arial"/>
          <w:sz w:val="20"/>
          <w:szCs w:val="20"/>
        </w:rPr>
        <w:t xml:space="preserve"> and transition countries, guided by inputs from Member States and DA Recommendations 1, 4 and 11.  The Program will continue to ensure that a solid platform of SME, university and R&amp;D related IP content and support are developed in order to guide the training and capacity building activities being undertaken by the Program itself and by Programs 9 (the Regional Bureaus) and 10 (Cooperation with Certain Countries in Europe and Asia), in close coordination with the WIPO Academy (Program 11).  This will encompass the development of materials tailored to the needs of SMEs available for localization and identification of good practices (inter alia to be included in the IP Advantage database) of using the IP system to demonstrate the positive impact on economic benefit, employment and competitiveness.  Opportunities for collaboration with other international and regional organizations, as well as with professional associations, with dedicated SMEs and entrepreneurship support programs will also be explored in order to strengthen the development of relevant content and its delivery </w:t>
      </w:r>
      <w:r w:rsidR="00EE5BA3">
        <w:rPr>
          <w:rFonts w:ascii="Arial" w:hAnsi="Arial" w:cs="Arial"/>
          <w:sz w:val="20"/>
          <w:szCs w:val="20"/>
        </w:rPr>
        <w:t>to achieve</w:t>
      </w:r>
      <w:r w:rsidR="00EE5BA3" w:rsidRPr="001E11E0">
        <w:rPr>
          <w:rFonts w:ascii="Arial" w:hAnsi="Arial" w:cs="Arial"/>
          <w:sz w:val="20"/>
          <w:szCs w:val="20"/>
        </w:rPr>
        <w:t xml:space="preserve"> </w:t>
      </w:r>
      <w:r w:rsidRPr="001E11E0">
        <w:rPr>
          <w:rFonts w:ascii="Arial" w:hAnsi="Arial" w:cs="Arial"/>
          <w:sz w:val="20"/>
          <w:szCs w:val="20"/>
        </w:rPr>
        <w:t>high quality results.  The training and capacity-building activities will be based on the materials developed by this Program.</w:t>
      </w:r>
    </w:p>
    <w:p w14:paraId="14CA12C7" w14:textId="77777777" w:rsidR="007D3B04" w:rsidRPr="001E11E0" w:rsidRDefault="007D3B04" w:rsidP="008D3EC2">
      <w:pPr>
        <w:tabs>
          <w:tab w:val="left" w:pos="709"/>
        </w:tabs>
        <w:jc w:val="both"/>
        <w:rPr>
          <w:rFonts w:ascii="Arial" w:hAnsi="Arial" w:cs="Arial"/>
          <w:sz w:val="20"/>
          <w:szCs w:val="20"/>
        </w:rPr>
      </w:pPr>
    </w:p>
    <w:p w14:paraId="273F27BF" w14:textId="3297B3F7"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In order to maximize the outreach directly to SMEs, universities and PRIs, the Program will revamp the WIPO SME and WIPO University Initiative web sites to leverage them as additional platforms for sharing information on IP management in partnership with national support institutions for SMEs, universities, PRIs and entrepreneurship support institutions.  </w:t>
      </w:r>
      <w:r w:rsidR="00847732">
        <w:rPr>
          <w:rFonts w:ascii="Arial" w:hAnsi="Arial" w:cs="Arial"/>
          <w:sz w:val="20"/>
          <w:szCs w:val="20"/>
        </w:rPr>
        <w:t>T</w:t>
      </w:r>
      <w:r w:rsidRPr="001E11E0">
        <w:rPr>
          <w:rFonts w:ascii="Arial" w:hAnsi="Arial" w:cs="Arial"/>
          <w:sz w:val="20"/>
          <w:szCs w:val="20"/>
        </w:rPr>
        <w:t xml:space="preserve">he SME Newsletter </w:t>
      </w:r>
      <w:r w:rsidR="00847732">
        <w:rPr>
          <w:rFonts w:ascii="Arial" w:hAnsi="Arial" w:cs="Arial"/>
          <w:sz w:val="20"/>
          <w:szCs w:val="20"/>
        </w:rPr>
        <w:t xml:space="preserve">will continue to be regularly issued </w:t>
      </w:r>
      <w:r w:rsidRPr="001E11E0">
        <w:rPr>
          <w:rFonts w:ascii="Arial" w:hAnsi="Arial" w:cs="Arial"/>
          <w:sz w:val="20"/>
          <w:szCs w:val="20"/>
        </w:rPr>
        <w:t>in all UN languages.</w:t>
      </w:r>
    </w:p>
    <w:p w14:paraId="3CE4A0DB" w14:textId="77777777" w:rsidR="007D3B04" w:rsidRPr="001E11E0" w:rsidRDefault="007D3B04" w:rsidP="008D3EC2">
      <w:pPr>
        <w:tabs>
          <w:tab w:val="left" w:pos="709"/>
        </w:tabs>
        <w:jc w:val="both"/>
        <w:rPr>
          <w:rFonts w:ascii="Arial" w:hAnsi="Arial" w:cs="Arial"/>
          <w:sz w:val="20"/>
          <w:szCs w:val="20"/>
        </w:rPr>
      </w:pPr>
    </w:p>
    <w:p w14:paraId="081D600B" w14:textId="35FA7026" w:rsidR="007460A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lastRenderedPageBreak/>
        <w:t>Entrepreneurship support to WIPO Member States’ academic institutions to develop an adequate legal and organizational infrastructure, as well as professional human capital to promote strategic IPR management of knowledge and research results from an early stage towards technology markets, will be provided through tailored IP commercialization projects and customized regional and national programs. As in the previous biennium</w:t>
      </w:r>
      <w:r w:rsidR="00F47745">
        <w:rPr>
          <w:rFonts w:ascii="Arial" w:hAnsi="Arial" w:cs="Arial"/>
          <w:sz w:val="20"/>
          <w:szCs w:val="20"/>
        </w:rPr>
        <w:t>,</w:t>
      </w:r>
      <w:r w:rsidRPr="001E11E0">
        <w:rPr>
          <w:rFonts w:ascii="Arial" w:hAnsi="Arial" w:cs="Arial"/>
          <w:sz w:val="20"/>
          <w:szCs w:val="20"/>
        </w:rPr>
        <w:t xml:space="preserve"> assistance will be provided to universities and R&amp;D institutions in WIPO Member States in order to establish their IP Institutional Polic</w:t>
      </w:r>
      <w:r w:rsidR="00F47745">
        <w:rPr>
          <w:rFonts w:ascii="Arial" w:hAnsi="Arial" w:cs="Arial"/>
          <w:sz w:val="20"/>
          <w:szCs w:val="20"/>
        </w:rPr>
        <w:t>i</w:t>
      </w:r>
      <w:r w:rsidRPr="001E11E0">
        <w:rPr>
          <w:rFonts w:ascii="Arial" w:hAnsi="Arial" w:cs="Arial"/>
          <w:sz w:val="20"/>
          <w:szCs w:val="20"/>
        </w:rPr>
        <w:t>es, as well as to develop their capacity and human capital to protect and commercialize knowledge and research results through processes such as IP protection, IP valuation, IP marketing, licensing, creation of startups etc.</w:t>
      </w:r>
      <w:r w:rsidR="007460A0">
        <w:rPr>
          <w:rFonts w:ascii="Arial" w:hAnsi="Arial" w:cs="Arial"/>
          <w:sz w:val="20"/>
          <w:szCs w:val="20"/>
        </w:rPr>
        <w:t xml:space="preserve"> </w:t>
      </w:r>
    </w:p>
    <w:p w14:paraId="4075BD61" w14:textId="77777777" w:rsidR="007460A0" w:rsidRDefault="007460A0" w:rsidP="008D4CE9">
      <w:pPr>
        <w:pStyle w:val="ListParagraph"/>
        <w:tabs>
          <w:tab w:val="left" w:pos="709"/>
        </w:tabs>
        <w:ind w:left="0"/>
        <w:jc w:val="both"/>
        <w:rPr>
          <w:rFonts w:ascii="Arial" w:hAnsi="Arial" w:cs="Arial"/>
          <w:sz w:val="20"/>
          <w:szCs w:val="20"/>
        </w:rPr>
      </w:pPr>
    </w:p>
    <w:p w14:paraId="4AB54C65" w14:textId="3DADC817" w:rsidR="00913F4F" w:rsidRDefault="00913F4F" w:rsidP="00913F4F">
      <w:pPr>
        <w:pStyle w:val="ListParagraph"/>
        <w:numPr>
          <w:ilvl w:val="0"/>
          <w:numId w:val="26"/>
        </w:numPr>
        <w:tabs>
          <w:tab w:val="left" w:pos="709"/>
        </w:tabs>
        <w:ind w:left="0" w:firstLine="0"/>
        <w:jc w:val="both"/>
        <w:rPr>
          <w:rFonts w:ascii="Arial" w:hAnsi="Arial" w:cs="Arial"/>
          <w:sz w:val="20"/>
          <w:szCs w:val="20"/>
        </w:rPr>
      </w:pPr>
      <w:r>
        <w:rPr>
          <w:rFonts w:ascii="Arial" w:hAnsi="Arial" w:cs="Arial"/>
          <w:sz w:val="20"/>
          <w:szCs w:val="20"/>
        </w:rPr>
        <w:t>Pursuant to DA recommendation</w:t>
      </w:r>
      <w:r w:rsidRPr="007460A0">
        <w:rPr>
          <w:rFonts w:ascii="Arial" w:hAnsi="Arial" w:cs="Arial"/>
          <w:sz w:val="20"/>
          <w:szCs w:val="20"/>
        </w:rPr>
        <w:t xml:space="preserve"> 26, WIPO will, under this Program, Program 9 and Program 10, strengthen the scope of its activities towards </w:t>
      </w:r>
      <w:r>
        <w:rPr>
          <w:rFonts w:ascii="Calibri" w:hAnsi="Calibri"/>
          <w:color w:val="000000"/>
        </w:rPr>
        <w:t xml:space="preserve">assisting the establishment of </w:t>
      </w:r>
      <w:r w:rsidRPr="007460A0">
        <w:rPr>
          <w:rFonts w:ascii="Arial" w:hAnsi="Arial" w:cs="Arial"/>
          <w:sz w:val="20"/>
          <w:szCs w:val="20"/>
        </w:rPr>
        <w:t xml:space="preserve">Technology Transfer Offices (TTOs) </w:t>
      </w:r>
      <w:r>
        <w:rPr>
          <w:rFonts w:ascii="Calibri" w:hAnsi="Calibri"/>
          <w:color w:val="000000"/>
        </w:rPr>
        <w:t xml:space="preserve">and </w:t>
      </w:r>
      <w:r w:rsidRPr="007460A0">
        <w:rPr>
          <w:rFonts w:ascii="Arial" w:hAnsi="Arial" w:cs="Arial"/>
          <w:sz w:val="20"/>
          <w:szCs w:val="20"/>
        </w:rPr>
        <w:t>enhance access to, and use of, IP information by IP institutions and the public to promote innovation and creativity.</w:t>
      </w:r>
      <w:r>
        <w:rPr>
          <w:rFonts w:ascii="Arial" w:hAnsi="Arial" w:cs="Arial"/>
          <w:sz w:val="20"/>
          <w:szCs w:val="20"/>
        </w:rPr>
        <w:t xml:space="preserve"> </w:t>
      </w:r>
    </w:p>
    <w:p w14:paraId="397DB355" w14:textId="77777777" w:rsidR="007D3B04" w:rsidRPr="001E11E0" w:rsidRDefault="007D3B04" w:rsidP="008D3EC2">
      <w:pPr>
        <w:tabs>
          <w:tab w:val="left" w:pos="709"/>
        </w:tabs>
        <w:jc w:val="both"/>
        <w:rPr>
          <w:rFonts w:ascii="Arial" w:hAnsi="Arial" w:cs="Arial"/>
          <w:sz w:val="20"/>
          <w:szCs w:val="20"/>
        </w:rPr>
      </w:pPr>
    </w:p>
    <w:p w14:paraId="2655A79C" w14:textId="55B9F88E" w:rsidR="007D3B04" w:rsidRPr="001E11E0" w:rsidRDefault="00EE5BA3" w:rsidP="00B66A4A">
      <w:pPr>
        <w:pStyle w:val="ListParagraph"/>
        <w:numPr>
          <w:ilvl w:val="0"/>
          <w:numId w:val="26"/>
        </w:numPr>
        <w:tabs>
          <w:tab w:val="left" w:pos="709"/>
        </w:tabs>
        <w:ind w:left="0" w:firstLine="0"/>
        <w:jc w:val="both"/>
        <w:rPr>
          <w:rFonts w:ascii="Arial" w:hAnsi="Arial" w:cs="Arial"/>
          <w:sz w:val="20"/>
          <w:szCs w:val="20"/>
        </w:rPr>
      </w:pPr>
      <w:r>
        <w:rPr>
          <w:rFonts w:ascii="Arial" w:hAnsi="Arial" w:cs="Arial"/>
          <w:sz w:val="20"/>
          <w:szCs w:val="20"/>
        </w:rPr>
        <w:t>B</w:t>
      </w:r>
      <w:r w:rsidR="007D3B04" w:rsidRPr="001E11E0">
        <w:rPr>
          <w:rFonts w:ascii="Arial" w:hAnsi="Arial" w:cs="Arial"/>
          <w:sz w:val="20"/>
          <w:szCs w:val="20"/>
        </w:rPr>
        <w:t>road-based expertise and tools for the research base (universities and PRIs)</w:t>
      </w:r>
      <w:r>
        <w:rPr>
          <w:rFonts w:ascii="Arial" w:hAnsi="Arial" w:cs="Arial"/>
          <w:sz w:val="20"/>
          <w:szCs w:val="20"/>
        </w:rPr>
        <w:t xml:space="preserve"> will continue to be developed</w:t>
      </w:r>
      <w:r w:rsidR="007D3B04" w:rsidRPr="001E11E0">
        <w:rPr>
          <w:rFonts w:ascii="Arial" w:hAnsi="Arial" w:cs="Arial"/>
          <w:sz w:val="20"/>
          <w:szCs w:val="20"/>
        </w:rPr>
        <w:t>.  The research base will receive assistance in implementing tailored models of IP strategic development, protection and commercialization structures and in developing skilled human capital able to strategically commercialize IP for economic growth.</w:t>
      </w:r>
    </w:p>
    <w:p w14:paraId="3F0BDC72" w14:textId="77777777" w:rsidR="007D3B04" w:rsidRPr="001E11E0" w:rsidRDefault="007D3B04" w:rsidP="008D3EC2">
      <w:pPr>
        <w:tabs>
          <w:tab w:val="left" w:pos="709"/>
        </w:tabs>
        <w:jc w:val="both"/>
        <w:rPr>
          <w:rFonts w:ascii="Arial" w:hAnsi="Arial" w:cs="Arial"/>
          <w:sz w:val="20"/>
          <w:szCs w:val="20"/>
        </w:rPr>
      </w:pPr>
    </w:p>
    <w:p w14:paraId="4514D3E9" w14:textId="47BCC4CB" w:rsidR="007D3B04" w:rsidRPr="001E11E0" w:rsidRDefault="007D3B04" w:rsidP="00B66A4A">
      <w:pPr>
        <w:pStyle w:val="ListParagraph"/>
        <w:numPr>
          <w:ilvl w:val="0"/>
          <w:numId w:val="26"/>
        </w:numPr>
        <w:tabs>
          <w:tab w:val="left" w:pos="709"/>
        </w:tabs>
        <w:ind w:left="0" w:firstLine="0"/>
        <w:jc w:val="both"/>
        <w:rPr>
          <w:rFonts w:ascii="Arial" w:hAnsi="Arial" w:cs="Arial"/>
          <w:sz w:val="20"/>
          <w:szCs w:val="20"/>
        </w:rPr>
      </w:pPr>
      <w:r w:rsidRPr="001E11E0">
        <w:rPr>
          <w:rFonts w:ascii="Arial" w:hAnsi="Arial" w:cs="Arial"/>
          <w:sz w:val="20"/>
          <w:szCs w:val="20"/>
        </w:rPr>
        <w:t xml:space="preserve">Designing the </w:t>
      </w:r>
      <w:r w:rsidR="00B749A5">
        <w:rPr>
          <w:rFonts w:ascii="Arial" w:hAnsi="Arial" w:cs="Arial"/>
          <w:sz w:val="20"/>
          <w:szCs w:val="20"/>
        </w:rPr>
        <w:t xml:space="preserve">work of </w:t>
      </w:r>
      <w:r w:rsidRPr="001E11E0">
        <w:rPr>
          <w:rFonts w:ascii="Arial" w:hAnsi="Arial" w:cs="Arial"/>
          <w:sz w:val="20"/>
          <w:szCs w:val="20"/>
        </w:rPr>
        <w:t xml:space="preserve">Program 30 to achieve impact </w:t>
      </w:r>
      <w:r w:rsidR="00C87CC8">
        <w:rPr>
          <w:rFonts w:ascii="Arial" w:hAnsi="Arial" w:cs="Arial"/>
          <w:sz w:val="20"/>
          <w:szCs w:val="20"/>
        </w:rPr>
        <w:t>as well as</w:t>
      </w:r>
      <w:r w:rsidR="00C87CC8" w:rsidRPr="001E11E0">
        <w:rPr>
          <w:rFonts w:ascii="Arial" w:hAnsi="Arial" w:cs="Arial"/>
          <w:sz w:val="20"/>
          <w:szCs w:val="20"/>
        </w:rPr>
        <w:t xml:space="preserve"> </w:t>
      </w:r>
      <w:r w:rsidRPr="001E11E0">
        <w:rPr>
          <w:rFonts w:ascii="Arial" w:hAnsi="Arial" w:cs="Arial"/>
          <w:sz w:val="20"/>
          <w:szCs w:val="20"/>
        </w:rPr>
        <w:t xml:space="preserve">monitoring and assessing WIPO’s work relating to SMEs, universities and PRIs will receive particular attention in the biennium 2016/17, in line with WIPO’s results-based management framework.  </w:t>
      </w:r>
    </w:p>
    <w:p w14:paraId="4B126AF5" w14:textId="77777777" w:rsidR="007D3B04" w:rsidRDefault="007D3B04" w:rsidP="008D3EC2">
      <w:pPr>
        <w:tabs>
          <w:tab w:val="left" w:pos="709"/>
        </w:tabs>
        <w:jc w:val="both"/>
        <w:rPr>
          <w:rFonts w:ascii="Arial" w:hAnsi="Arial" w:cs="Arial"/>
          <w:sz w:val="20"/>
          <w:szCs w:val="20"/>
        </w:rPr>
      </w:pPr>
    </w:p>
    <w:p w14:paraId="1FC417A3" w14:textId="299D3C55" w:rsidR="007A5A68" w:rsidRPr="00CB32BD" w:rsidRDefault="007A5A68" w:rsidP="00B66A4A">
      <w:pPr>
        <w:pStyle w:val="ListParagraph"/>
        <w:numPr>
          <w:ilvl w:val="0"/>
          <w:numId w:val="26"/>
        </w:numPr>
        <w:tabs>
          <w:tab w:val="left" w:pos="709"/>
        </w:tabs>
        <w:ind w:left="0" w:firstLine="0"/>
        <w:jc w:val="both"/>
        <w:rPr>
          <w:rFonts w:ascii="Arial" w:hAnsi="Arial" w:cs="Arial"/>
          <w:sz w:val="20"/>
          <w:szCs w:val="20"/>
        </w:rPr>
      </w:pPr>
      <w:r>
        <w:rPr>
          <w:rFonts w:ascii="Arial" w:hAnsi="Arial" w:cs="Arial"/>
          <w:sz w:val="20"/>
          <w:szCs w:val="20"/>
        </w:rPr>
        <w:t xml:space="preserve">Program 30 collaborates primarily with </w:t>
      </w:r>
      <w:r w:rsidRPr="00CB32BD">
        <w:rPr>
          <w:rFonts w:ascii="Arial" w:hAnsi="Arial" w:cs="Arial"/>
          <w:sz w:val="20"/>
          <w:szCs w:val="20"/>
        </w:rPr>
        <w:t xml:space="preserve">other Programs as illustrated below: </w:t>
      </w:r>
    </w:p>
    <w:p w14:paraId="03DBBBE6" w14:textId="77777777" w:rsidR="007A5A68" w:rsidRPr="001E11E0" w:rsidRDefault="007A5A68" w:rsidP="008D3EC2">
      <w:pPr>
        <w:tabs>
          <w:tab w:val="left" w:pos="709"/>
        </w:tabs>
        <w:jc w:val="both"/>
        <w:rPr>
          <w:rFonts w:ascii="Arial" w:hAnsi="Arial" w:cs="Arial"/>
          <w:sz w:val="20"/>
          <w:szCs w:val="20"/>
        </w:rPr>
      </w:pPr>
    </w:p>
    <w:p w14:paraId="1C9E26A0" w14:textId="77777777" w:rsidR="007D3B04" w:rsidRDefault="007D3B04" w:rsidP="008D3EC2">
      <w:pPr>
        <w:jc w:val="center"/>
        <w:rPr>
          <w:rFonts w:ascii="Arial" w:eastAsia="Arial" w:hAnsi="Arial" w:cs="Arial"/>
          <w:spacing w:val="-1"/>
        </w:rPr>
      </w:pPr>
    </w:p>
    <w:p w14:paraId="7A3C97FF" w14:textId="77777777" w:rsidR="007D3B04" w:rsidRDefault="007D3B04" w:rsidP="008D3EC2">
      <w:pPr>
        <w:jc w:val="center"/>
        <w:rPr>
          <w:rFonts w:ascii="Arial" w:eastAsia="Arial" w:hAnsi="Arial" w:cs="Arial"/>
          <w:spacing w:val="-1"/>
        </w:rPr>
      </w:pPr>
      <w:r>
        <w:rPr>
          <w:noProof/>
          <w:lang w:eastAsia="en-US"/>
        </w:rPr>
        <w:drawing>
          <wp:inline distT="0" distB="0" distL="0" distR="0" wp14:anchorId="7767975F" wp14:editId="5C270458">
            <wp:extent cx="5486400" cy="1657350"/>
            <wp:effectExtent l="0" t="1905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01A0039B" w14:textId="77777777" w:rsidR="007D3B04" w:rsidRPr="00102AAC" w:rsidRDefault="007D3B04" w:rsidP="008D3EC2">
      <w:pPr>
        <w:rPr>
          <w:rFonts w:ascii="Arial" w:eastAsia="Arial" w:hAnsi="Arial" w:cs="Arial"/>
        </w:rPr>
      </w:pPr>
    </w:p>
    <w:p w14:paraId="72B70F6C" w14:textId="77777777" w:rsidR="007D3B04" w:rsidRDefault="007D3B04" w:rsidP="008D3EC2">
      <w:pPr>
        <w:rPr>
          <w:rFonts w:ascii="Arial" w:eastAsia="Arial" w:hAnsi="Arial" w:cs="Arial"/>
        </w:rPr>
      </w:pPr>
      <w:r>
        <w:rPr>
          <w:rFonts w:ascii="Arial" w:eastAsia="Arial" w:hAnsi="Arial" w:cs="Arial"/>
        </w:rPr>
        <w:t xml:space="preserve">MAJOR RISKS AND MITIGATION STRATEGIES </w:t>
      </w:r>
    </w:p>
    <w:p w14:paraId="73D79253" w14:textId="77777777" w:rsidR="007D3B04" w:rsidRDefault="007D3B04" w:rsidP="008D3EC2">
      <w:pPr>
        <w:rPr>
          <w:rFonts w:ascii="Arial" w:eastAsia="Arial" w:hAnsi="Arial" w:cs="Arial"/>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7D3B04" w14:paraId="43E21F3A" w14:textId="77777777" w:rsidTr="008D3EC2">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30157BB4" w14:textId="77777777" w:rsidR="007D3B04" w:rsidRDefault="007D3B04">
            <w:pPr>
              <w:spacing w:line="276" w:lineRule="auto"/>
              <w:jc w:val="center"/>
              <w:rPr>
                <w:rFonts w:ascii="Calibri" w:eastAsiaTheme="minorHAnsi" w:hAnsi="Calibri"/>
              </w:rPr>
            </w:pPr>
            <w:r>
              <w:rPr>
                <w:rFonts w:ascii="Arial" w:hAnsi="Arial" w:cs="Arial"/>
                <w:b/>
                <w:bCs/>
                <w:sz w:val="18"/>
                <w:szCs w:val="18"/>
              </w:rPr>
              <w:t>Risk</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337847A" w14:textId="77777777" w:rsidR="007D3B04" w:rsidRDefault="007D3B04">
            <w:pPr>
              <w:spacing w:line="276" w:lineRule="auto"/>
              <w:jc w:val="center"/>
              <w:rPr>
                <w:rFonts w:ascii="Calibri" w:eastAsiaTheme="minorHAnsi" w:hAnsi="Calibri"/>
              </w:rPr>
            </w:pPr>
            <w:r>
              <w:rPr>
                <w:rFonts w:ascii="Arial" w:hAnsi="Arial" w:cs="Arial"/>
                <w:b/>
                <w:bCs/>
                <w:sz w:val="18"/>
                <w:szCs w:val="18"/>
              </w:rPr>
              <w:t>Mitigation</w:t>
            </w:r>
          </w:p>
        </w:tc>
      </w:tr>
      <w:tr w:rsidR="007D3B04" w14:paraId="09C49AF0" w14:textId="77777777" w:rsidTr="008D3EC2">
        <w:trPr>
          <w:trHeight w:val="533"/>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54D4C4EB" w14:textId="77777777" w:rsidR="007D3B04" w:rsidRDefault="007D3B04">
            <w:pPr>
              <w:spacing w:line="276" w:lineRule="auto"/>
              <w:rPr>
                <w:rFonts w:ascii="Calibri" w:eastAsiaTheme="minorHAnsi" w:hAnsi="Calibri"/>
              </w:rPr>
            </w:pPr>
            <w:r>
              <w:rPr>
                <w:rFonts w:ascii="Arial" w:hAnsi="Arial" w:cs="Arial"/>
                <w:sz w:val="16"/>
                <w:szCs w:val="16"/>
              </w:rPr>
              <w:t>Economic or political changes may lead to reprioritizing of focus on the development of national innovation and IP strategies.</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14:paraId="019344D7" w14:textId="77777777" w:rsidR="007D3B04" w:rsidRDefault="007D3B04">
            <w:pPr>
              <w:spacing w:line="276" w:lineRule="auto"/>
              <w:rPr>
                <w:rFonts w:ascii="Calibri" w:eastAsiaTheme="minorHAnsi" w:hAnsi="Calibri"/>
              </w:rPr>
            </w:pPr>
            <w:r>
              <w:rPr>
                <w:rFonts w:ascii="Arial" w:hAnsi="Arial" w:cs="Arial"/>
                <w:sz w:val="16"/>
                <w:szCs w:val="16"/>
              </w:rPr>
              <w:t xml:space="preserve">Working closely with beneficiaries, donors and Members States. Planning and coordination of all IP related matters with other international organizations and partners. </w:t>
            </w:r>
          </w:p>
        </w:tc>
      </w:tr>
    </w:tbl>
    <w:p w14:paraId="5678B0D2" w14:textId="77777777" w:rsidR="007D3B04" w:rsidRDefault="007D3B04" w:rsidP="008D3EC2">
      <w:pPr>
        <w:rPr>
          <w:rFonts w:ascii="Calibri" w:eastAsiaTheme="minorHAnsi" w:hAnsi="Calibri"/>
        </w:rPr>
      </w:pPr>
    </w:p>
    <w:p w14:paraId="6F244024" w14:textId="77777777" w:rsidR="007D3B04" w:rsidRDefault="007D3B04" w:rsidP="008D3EC2">
      <w:pPr>
        <w:rPr>
          <w:rFonts w:ascii="Arial" w:eastAsia="Arial" w:hAnsi="Arial" w:cs="Arial"/>
        </w:rPr>
      </w:pPr>
    </w:p>
    <w:p w14:paraId="5CBD9120" w14:textId="77777777" w:rsidR="007D3B04" w:rsidRDefault="007D3B04" w:rsidP="008D3EC2">
      <w:pPr>
        <w:keepNext/>
        <w:keepLines/>
        <w:rPr>
          <w:rFonts w:ascii="Arial" w:eastAsia="Arial" w:hAnsi="Arial" w:cs="Arial"/>
        </w:rPr>
      </w:pPr>
      <w:r>
        <w:rPr>
          <w:rFonts w:ascii="Arial" w:eastAsia="Arial" w:hAnsi="Arial" w:cs="Arial"/>
        </w:rPr>
        <w:lastRenderedPageBreak/>
        <w:t>RESULTS FRAMEWORK</w:t>
      </w:r>
    </w:p>
    <w:p w14:paraId="6F754F9D" w14:textId="77777777" w:rsidR="007D3B04" w:rsidRDefault="007D3B04" w:rsidP="008D3EC2">
      <w:pPr>
        <w:keepNext/>
        <w:keepLines/>
        <w:rPr>
          <w:rFonts w:ascii="Arial" w:eastAsia="Arial" w:hAnsi="Arial" w:cs="Arial"/>
        </w:rPr>
      </w:pPr>
    </w:p>
    <w:tbl>
      <w:tblPr>
        <w:tblW w:w="9360" w:type="dxa"/>
        <w:tblInd w:w="93" w:type="dxa"/>
        <w:tblLook w:val="04A0" w:firstRow="1" w:lastRow="0" w:firstColumn="1" w:lastColumn="0" w:noHBand="0" w:noVBand="1"/>
      </w:tblPr>
      <w:tblGrid>
        <w:gridCol w:w="2820"/>
        <w:gridCol w:w="2780"/>
        <w:gridCol w:w="1645"/>
        <w:gridCol w:w="2115"/>
      </w:tblGrid>
      <w:tr w:rsidR="007D3B04" w:rsidRPr="002F6D85" w14:paraId="3DAC5B28" w14:textId="77777777" w:rsidTr="008D4CE9">
        <w:trPr>
          <w:trHeight w:val="600"/>
          <w:tblHeader/>
        </w:trPr>
        <w:tc>
          <w:tcPr>
            <w:tcW w:w="2820" w:type="dxa"/>
            <w:tcBorders>
              <w:top w:val="single" w:sz="4" w:space="0" w:color="auto"/>
              <w:left w:val="single" w:sz="4" w:space="0" w:color="auto"/>
              <w:bottom w:val="single" w:sz="4" w:space="0" w:color="auto"/>
              <w:right w:val="nil"/>
            </w:tcBorders>
            <w:shd w:val="clear" w:color="000000" w:fill="C5D9F1"/>
            <w:vAlign w:val="center"/>
            <w:hideMark/>
          </w:tcPr>
          <w:p w14:paraId="027C35D2"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Expected Results</w:t>
            </w:r>
          </w:p>
        </w:tc>
        <w:tc>
          <w:tcPr>
            <w:tcW w:w="2780" w:type="dxa"/>
            <w:tcBorders>
              <w:top w:val="single" w:sz="4" w:space="0" w:color="auto"/>
              <w:left w:val="nil"/>
              <w:bottom w:val="single" w:sz="4" w:space="0" w:color="auto"/>
              <w:right w:val="nil"/>
            </w:tcBorders>
            <w:shd w:val="clear" w:color="000000" w:fill="C5D9F1"/>
            <w:vAlign w:val="center"/>
            <w:hideMark/>
          </w:tcPr>
          <w:p w14:paraId="72296F76"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Performance Indicators</w:t>
            </w:r>
          </w:p>
        </w:tc>
        <w:tc>
          <w:tcPr>
            <w:tcW w:w="1645" w:type="dxa"/>
            <w:tcBorders>
              <w:top w:val="single" w:sz="4" w:space="0" w:color="auto"/>
              <w:left w:val="nil"/>
              <w:bottom w:val="single" w:sz="4" w:space="0" w:color="auto"/>
              <w:right w:val="nil"/>
            </w:tcBorders>
            <w:shd w:val="clear" w:color="000000" w:fill="C5D9F1"/>
            <w:vAlign w:val="center"/>
            <w:hideMark/>
          </w:tcPr>
          <w:p w14:paraId="3AA5E839"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Baselines</w:t>
            </w:r>
          </w:p>
        </w:tc>
        <w:tc>
          <w:tcPr>
            <w:tcW w:w="2115" w:type="dxa"/>
            <w:tcBorders>
              <w:top w:val="single" w:sz="4" w:space="0" w:color="auto"/>
              <w:left w:val="nil"/>
              <w:bottom w:val="single" w:sz="4" w:space="0" w:color="auto"/>
              <w:right w:val="single" w:sz="4" w:space="0" w:color="auto"/>
            </w:tcBorders>
            <w:shd w:val="clear" w:color="000000" w:fill="C5D9F1"/>
            <w:vAlign w:val="center"/>
            <w:hideMark/>
          </w:tcPr>
          <w:p w14:paraId="09CAA1C3"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Targets</w:t>
            </w:r>
          </w:p>
        </w:tc>
      </w:tr>
      <w:tr w:rsidR="007D3B04" w:rsidRPr="00AE06F9" w14:paraId="45DF8BAD" w14:textId="77777777" w:rsidTr="008D4CE9">
        <w:trPr>
          <w:trHeight w:val="855"/>
        </w:trPr>
        <w:tc>
          <w:tcPr>
            <w:tcW w:w="2820" w:type="dxa"/>
            <w:tcBorders>
              <w:top w:val="nil"/>
              <w:left w:val="single" w:sz="4" w:space="0" w:color="auto"/>
              <w:right w:val="nil"/>
            </w:tcBorders>
            <w:shd w:val="clear" w:color="000000" w:fill="FFFFFF"/>
            <w:hideMark/>
          </w:tcPr>
          <w:p w14:paraId="1831D28B" w14:textId="77777777" w:rsidR="007D3B04" w:rsidRPr="00AE06F9" w:rsidRDefault="007D3B04" w:rsidP="008D3EC2">
            <w:pPr>
              <w:keepNext/>
              <w:keepLines/>
              <w:rPr>
                <w:rFonts w:ascii="Arial" w:eastAsia="Times New Roman" w:hAnsi="Arial" w:cs="Arial"/>
                <w:color w:val="000000"/>
                <w:sz w:val="16"/>
                <w:szCs w:val="16"/>
              </w:rPr>
            </w:pPr>
            <w:r w:rsidRPr="002F6D85">
              <w:rPr>
                <w:rFonts w:ascii="Arial" w:eastAsia="Times New Roman" w:hAnsi="Arial" w:cs="Arial"/>
                <w:color w:val="000000"/>
                <w:sz w:val="16"/>
                <w:szCs w:val="16"/>
              </w:rPr>
              <w:br/>
            </w:r>
            <w:r w:rsidRPr="00AE06F9">
              <w:rPr>
                <w:rFonts w:ascii="Arial" w:eastAsia="Times New Roman" w:hAnsi="Arial" w:cs="Arial"/>
                <w:color w:val="000000"/>
                <w:sz w:val="16"/>
                <w:szCs w:val="16"/>
              </w:rPr>
              <w:t>III.1 National innovation and IP strategies and plans consistent with national development objectives</w:t>
            </w:r>
          </w:p>
        </w:tc>
        <w:tc>
          <w:tcPr>
            <w:tcW w:w="2780" w:type="dxa"/>
            <w:tcBorders>
              <w:top w:val="nil"/>
              <w:left w:val="nil"/>
              <w:right w:val="nil"/>
            </w:tcBorders>
            <w:shd w:val="clear" w:color="000000" w:fill="FFFFFF"/>
            <w:hideMark/>
          </w:tcPr>
          <w:p w14:paraId="4A66DD23" w14:textId="77777777" w:rsidR="007D3B04" w:rsidRPr="00AE06F9" w:rsidRDefault="007D3B04" w:rsidP="008D4CE9">
            <w:pPr>
              <w:keepNext/>
              <w:keepLines/>
              <w:ind w:left="64" w:firstLineChars="71" w:firstLine="114"/>
              <w:rPr>
                <w:rFonts w:ascii="Arial" w:eastAsia="Times New Roman" w:hAnsi="Arial" w:cs="Arial"/>
                <w:color w:val="000000"/>
                <w:sz w:val="16"/>
                <w:szCs w:val="16"/>
              </w:rPr>
            </w:pPr>
            <w:r w:rsidRPr="00AE06F9">
              <w:rPr>
                <w:rFonts w:ascii="Arial" w:eastAsia="Times New Roman" w:hAnsi="Arial" w:cs="Arial"/>
                <w:color w:val="000000"/>
                <w:sz w:val="16"/>
                <w:szCs w:val="16"/>
              </w:rPr>
              <w:br/>
              <w:t>No. of national IP strategies that address the promotion of creativity including innovation</w:t>
            </w:r>
          </w:p>
        </w:tc>
        <w:tc>
          <w:tcPr>
            <w:tcW w:w="1645" w:type="dxa"/>
            <w:tcBorders>
              <w:top w:val="nil"/>
              <w:left w:val="nil"/>
              <w:right w:val="nil"/>
            </w:tcBorders>
            <w:shd w:val="clear" w:color="000000" w:fill="FFFFFF"/>
            <w:hideMark/>
          </w:tcPr>
          <w:p w14:paraId="673E5BDB" w14:textId="2FD68ABF" w:rsidR="007D3B04" w:rsidRPr="00AE06F9" w:rsidRDefault="007D3B04" w:rsidP="008D4CE9">
            <w:pPr>
              <w:keepNext/>
              <w:keepLines/>
              <w:ind w:left="119" w:firstLineChars="36" w:firstLine="58"/>
              <w:rPr>
                <w:rFonts w:ascii="Arial" w:eastAsia="Times New Roman" w:hAnsi="Arial" w:cs="Arial"/>
                <w:color w:val="000000"/>
                <w:sz w:val="16"/>
                <w:szCs w:val="16"/>
              </w:rPr>
            </w:pPr>
            <w:r w:rsidRPr="00AE06F9">
              <w:rPr>
                <w:rFonts w:ascii="Arial" w:eastAsia="Times New Roman" w:hAnsi="Arial" w:cs="Arial"/>
                <w:color w:val="000000"/>
                <w:sz w:val="16"/>
                <w:szCs w:val="16"/>
              </w:rPr>
              <w:br/>
              <w:t xml:space="preserve"> </w:t>
            </w:r>
            <w:r w:rsidR="00AA1BB5">
              <w:rPr>
                <w:rFonts w:ascii="Arial" w:eastAsia="Times New Roman" w:hAnsi="Arial" w:cs="Arial"/>
                <w:color w:val="000000"/>
                <w:sz w:val="16"/>
                <w:szCs w:val="16"/>
              </w:rPr>
              <w:t>4 initiated (2014)</w:t>
            </w:r>
          </w:p>
        </w:tc>
        <w:tc>
          <w:tcPr>
            <w:tcW w:w="2115" w:type="dxa"/>
            <w:tcBorders>
              <w:top w:val="nil"/>
              <w:left w:val="nil"/>
              <w:right w:val="single" w:sz="4" w:space="0" w:color="auto"/>
            </w:tcBorders>
            <w:shd w:val="clear" w:color="000000" w:fill="FFFFFF"/>
            <w:hideMark/>
          </w:tcPr>
          <w:p w14:paraId="5E56E016" w14:textId="77777777" w:rsidR="007D3B04" w:rsidRPr="00AE06F9" w:rsidRDefault="007D3B04" w:rsidP="007D3B04">
            <w:pPr>
              <w:keepNext/>
              <w:keepLines/>
              <w:ind w:leftChars="140" w:left="310" w:hangingChars="1" w:hanging="2"/>
              <w:rPr>
                <w:rFonts w:ascii="Arial" w:eastAsia="Times New Roman" w:hAnsi="Arial" w:cs="Arial"/>
                <w:color w:val="000000"/>
                <w:sz w:val="16"/>
                <w:szCs w:val="16"/>
              </w:rPr>
            </w:pPr>
            <w:r w:rsidRPr="00AE06F9">
              <w:rPr>
                <w:rFonts w:ascii="Arial" w:eastAsia="Times New Roman" w:hAnsi="Arial" w:cs="Arial"/>
                <w:color w:val="000000"/>
                <w:sz w:val="16"/>
                <w:szCs w:val="16"/>
              </w:rPr>
              <w:br/>
              <w:t>5 countries</w:t>
            </w:r>
          </w:p>
        </w:tc>
      </w:tr>
      <w:tr w:rsidR="007D3B04" w:rsidRPr="00AE06F9" w14:paraId="4E81A9E6" w14:textId="77777777" w:rsidTr="008D4CE9">
        <w:trPr>
          <w:trHeight w:val="1449"/>
        </w:trPr>
        <w:tc>
          <w:tcPr>
            <w:tcW w:w="2820" w:type="dxa"/>
            <w:tcBorders>
              <w:top w:val="nil"/>
              <w:left w:val="single" w:sz="4" w:space="0" w:color="auto"/>
              <w:right w:val="nil"/>
            </w:tcBorders>
            <w:shd w:val="clear" w:color="000000" w:fill="FFFFFF"/>
            <w:hideMark/>
          </w:tcPr>
          <w:p w14:paraId="2BFE43F7"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780" w:type="dxa"/>
            <w:tcBorders>
              <w:top w:val="nil"/>
              <w:left w:val="nil"/>
              <w:right w:val="nil"/>
            </w:tcBorders>
            <w:shd w:val="clear" w:color="000000" w:fill="FFFFFF"/>
            <w:hideMark/>
          </w:tcPr>
          <w:p w14:paraId="54822595"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of trained IP professionals using upgraded skills in their work</w:t>
            </w:r>
          </w:p>
        </w:tc>
        <w:tc>
          <w:tcPr>
            <w:tcW w:w="1645" w:type="dxa"/>
            <w:tcBorders>
              <w:top w:val="nil"/>
              <w:left w:val="nil"/>
              <w:right w:val="nil"/>
            </w:tcBorders>
            <w:shd w:val="clear" w:color="000000" w:fill="FFFFFF"/>
            <w:hideMark/>
          </w:tcPr>
          <w:p w14:paraId="1FE8B094" w14:textId="06E47A9D" w:rsidR="007D3B04" w:rsidRPr="00AE06F9" w:rsidRDefault="00AA1BB5" w:rsidP="008D4CE9">
            <w:pPr>
              <w:ind w:left="119"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&gt;60%</w:t>
            </w:r>
          </w:p>
        </w:tc>
        <w:tc>
          <w:tcPr>
            <w:tcW w:w="2115" w:type="dxa"/>
            <w:tcBorders>
              <w:top w:val="nil"/>
              <w:left w:val="nil"/>
              <w:right w:val="single" w:sz="4" w:space="0" w:color="auto"/>
            </w:tcBorders>
            <w:shd w:val="clear" w:color="000000" w:fill="FFFFFF"/>
            <w:hideMark/>
          </w:tcPr>
          <w:p w14:paraId="3CCAE360" w14:textId="77777777" w:rsidR="007D3B04" w:rsidRPr="00AE06F9" w:rsidRDefault="007D3B04" w:rsidP="008D3EC2">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50%</w:t>
            </w:r>
          </w:p>
        </w:tc>
      </w:tr>
      <w:tr w:rsidR="007D3B04" w:rsidRPr="00AE06F9" w14:paraId="5C7A5C8C" w14:textId="77777777" w:rsidTr="008D4CE9">
        <w:trPr>
          <w:trHeight w:val="830"/>
        </w:trPr>
        <w:tc>
          <w:tcPr>
            <w:tcW w:w="2820" w:type="dxa"/>
            <w:tcBorders>
              <w:left w:val="single" w:sz="4" w:space="0" w:color="auto"/>
              <w:bottom w:val="nil"/>
              <w:right w:val="nil"/>
            </w:tcBorders>
            <w:shd w:val="clear" w:color="000000" w:fill="FFFFFF"/>
            <w:hideMark/>
          </w:tcPr>
          <w:p w14:paraId="5F5FB618"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III.6 Increased capacity of SMEs to successfully use IP to support innovation</w:t>
            </w:r>
          </w:p>
        </w:tc>
        <w:tc>
          <w:tcPr>
            <w:tcW w:w="2780" w:type="dxa"/>
            <w:tcBorders>
              <w:left w:val="nil"/>
              <w:bottom w:val="nil"/>
              <w:right w:val="nil"/>
            </w:tcBorders>
            <w:shd w:val="clear" w:color="000000" w:fill="FFFFFF"/>
            <w:hideMark/>
          </w:tcPr>
          <w:p w14:paraId="75D992E1" w14:textId="7579173D" w:rsidR="007D3B04" w:rsidRPr="00AE06F9" w:rsidRDefault="008547D7" w:rsidP="008D4CE9">
            <w:pPr>
              <w:ind w:left="64"/>
              <w:rPr>
                <w:rFonts w:ascii="Arial" w:eastAsia="Times New Roman" w:hAnsi="Arial" w:cs="Arial"/>
                <w:color w:val="000000"/>
                <w:sz w:val="16"/>
                <w:szCs w:val="16"/>
              </w:rPr>
            </w:pPr>
            <w:r>
              <w:rPr>
                <w:rFonts w:ascii="Arial" w:eastAsia="Times New Roman" w:hAnsi="Arial" w:cs="Arial"/>
                <w:color w:val="000000"/>
                <w:sz w:val="16"/>
                <w:szCs w:val="16"/>
              </w:rPr>
              <w:t>No. of subscriptions to the SME Newsletter</w:t>
            </w:r>
          </w:p>
        </w:tc>
        <w:tc>
          <w:tcPr>
            <w:tcW w:w="1645" w:type="dxa"/>
            <w:tcBorders>
              <w:left w:val="nil"/>
              <w:bottom w:val="nil"/>
              <w:right w:val="nil"/>
            </w:tcBorders>
            <w:shd w:val="clear" w:color="000000" w:fill="FFFFFF"/>
            <w:hideMark/>
          </w:tcPr>
          <w:p w14:paraId="582FB1F0" w14:textId="77777777" w:rsidR="008547D7" w:rsidRDefault="008547D7" w:rsidP="008547D7">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40,510</w:t>
            </w:r>
          </w:p>
          <w:p w14:paraId="36E4AB9D" w14:textId="38CA2452" w:rsidR="007D3B04" w:rsidRPr="00AE06F9" w:rsidRDefault="008547D7" w:rsidP="008547D7">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(2014)</w:t>
            </w:r>
          </w:p>
        </w:tc>
        <w:tc>
          <w:tcPr>
            <w:tcW w:w="2115" w:type="dxa"/>
            <w:tcBorders>
              <w:left w:val="nil"/>
              <w:bottom w:val="nil"/>
              <w:right w:val="single" w:sz="4" w:space="0" w:color="auto"/>
            </w:tcBorders>
            <w:shd w:val="clear" w:color="000000" w:fill="FFFFFF"/>
            <w:hideMark/>
          </w:tcPr>
          <w:p w14:paraId="7D9872D5" w14:textId="2CB161D4" w:rsidR="007D3B04" w:rsidRPr="00AE06F9" w:rsidRDefault="003F740F"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w:t>
            </w:r>
          </w:p>
        </w:tc>
      </w:tr>
      <w:tr w:rsidR="008547D7" w:rsidRPr="00AE06F9" w14:paraId="055546A8" w14:textId="77777777" w:rsidTr="008D4CE9">
        <w:trPr>
          <w:trHeight w:val="976"/>
        </w:trPr>
        <w:tc>
          <w:tcPr>
            <w:tcW w:w="2820" w:type="dxa"/>
            <w:tcBorders>
              <w:top w:val="nil"/>
              <w:left w:val="single" w:sz="4" w:space="0" w:color="auto"/>
              <w:bottom w:val="nil"/>
              <w:right w:val="nil"/>
            </w:tcBorders>
            <w:shd w:val="clear" w:color="000000" w:fill="FFFFFF"/>
          </w:tcPr>
          <w:p w14:paraId="1552380E" w14:textId="77777777" w:rsidR="008547D7" w:rsidRPr="00AE06F9" w:rsidRDefault="008547D7" w:rsidP="008D3EC2">
            <w:pPr>
              <w:rPr>
                <w:rFonts w:ascii="Arial" w:eastAsia="Times New Roman" w:hAnsi="Arial" w:cs="Arial"/>
                <w:color w:val="000000"/>
                <w:sz w:val="16"/>
                <w:szCs w:val="16"/>
              </w:rPr>
            </w:pPr>
          </w:p>
        </w:tc>
        <w:tc>
          <w:tcPr>
            <w:tcW w:w="2780" w:type="dxa"/>
            <w:tcBorders>
              <w:top w:val="nil"/>
              <w:left w:val="nil"/>
              <w:bottom w:val="nil"/>
              <w:right w:val="nil"/>
            </w:tcBorders>
            <w:shd w:val="clear" w:color="000000" w:fill="FFFFFF"/>
          </w:tcPr>
          <w:p w14:paraId="0E3D2038" w14:textId="02649AC6" w:rsidR="008547D7" w:rsidRPr="00AE06F9" w:rsidRDefault="008547D7" w:rsidP="008D4CE9">
            <w:pPr>
              <w:ind w:left="64"/>
              <w:rPr>
                <w:rFonts w:ascii="Arial" w:eastAsia="Times New Roman" w:hAnsi="Arial" w:cs="Arial"/>
                <w:color w:val="000000"/>
                <w:sz w:val="16"/>
                <w:szCs w:val="16"/>
              </w:rPr>
            </w:pPr>
            <w:r>
              <w:rPr>
                <w:rFonts w:ascii="Arial" w:eastAsia="Times New Roman" w:hAnsi="Arial" w:cs="Arial"/>
                <w:color w:val="000000"/>
                <w:sz w:val="16"/>
                <w:szCs w:val="16"/>
              </w:rPr>
              <w:t>No. of downloads of topical SME material and guidelines</w:t>
            </w:r>
          </w:p>
        </w:tc>
        <w:tc>
          <w:tcPr>
            <w:tcW w:w="1645" w:type="dxa"/>
            <w:tcBorders>
              <w:top w:val="nil"/>
              <w:left w:val="nil"/>
              <w:bottom w:val="nil"/>
              <w:right w:val="nil"/>
            </w:tcBorders>
            <w:shd w:val="clear" w:color="000000" w:fill="FFFFFF"/>
          </w:tcPr>
          <w:p w14:paraId="50827C45" w14:textId="27221B84" w:rsidR="008547D7" w:rsidRDefault="00255FD8">
            <w:pPr>
              <w:rPr>
                <w:rFonts w:ascii="Arial" w:eastAsia="Times New Roman" w:hAnsi="Arial" w:cs="Arial"/>
                <w:color w:val="000000"/>
                <w:sz w:val="16"/>
                <w:szCs w:val="16"/>
              </w:rPr>
            </w:pPr>
            <w:r>
              <w:rPr>
                <w:rFonts w:ascii="Arial" w:eastAsia="Times New Roman" w:hAnsi="Arial" w:cs="Arial"/>
                <w:color w:val="000000"/>
                <w:sz w:val="16"/>
                <w:szCs w:val="16"/>
              </w:rPr>
              <w:t>2014:</w:t>
            </w:r>
          </w:p>
          <w:p w14:paraId="28E002D2" w14:textId="77777777" w:rsidR="008547D7" w:rsidRDefault="008547D7" w:rsidP="008547D7">
            <w:pPr>
              <w:rPr>
                <w:rFonts w:ascii="Arial" w:eastAsia="Times New Roman" w:hAnsi="Arial" w:cs="Arial"/>
                <w:color w:val="000000"/>
                <w:sz w:val="16"/>
                <w:szCs w:val="16"/>
              </w:rPr>
            </w:pPr>
            <w:r>
              <w:rPr>
                <w:rFonts w:ascii="Arial" w:eastAsia="Times New Roman" w:hAnsi="Arial" w:cs="Arial"/>
                <w:color w:val="000000"/>
                <w:sz w:val="16"/>
                <w:szCs w:val="16"/>
              </w:rPr>
              <w:t>No. of downloads: 70,559</w:t>
            </w:r>
          </w:p>
          <w:p w14:paraId="3E0E954D" w14:textId="77777777" w:rsidR="008547D7" w:rsidRDefault="008547D7" w:rsidP="008D3EC2">
            <w:pPr>
              <w:ind w:firstLineChars="200" w:firstLine="320"/>
              <w:rPr>
                <w:rFonts w:ascii="Arial" w:eastAsia="Times New Roman" w:hAnsi="Arial" w:cs="Arial"/>
                <w:color w:val="000000"/>
                <w:sz w:val="16"/>
                <w:szCs w:val="16"/>
              </w:rPr>
            </w:pPr>
          </w:p>
          <w:p w14:paraId="3B4480D4" w14:textId="77777777" w:rsidR="008547D7" w:rsidRDefault="008547D7" w:rsidP="00255FD8">
            <w:pPr>
              <w:rPr>
                <w:rFonts w:ascii="Arial" w:eastAsia="Times New Roman" w:hAnsi="Arial" w:cs="Arial"/>
                <w:color w:val="000000"/>
                <w:sz w:val="16"/>
                <w:szCs w:val="16"/>
              </w:rPr>
            </w:pPr>
            <w:r>
              <w:rPr>
                <w:rFonts w:ascii="Arial" w:eastAsia="Times New Roman" w:hAnsi="Arial" w:cs="Arial"/>
                <w:color w:val="000000"/>
                <w:sz w:val="16"/>
                <w:szCs w:val="16"/>
              </w:rPr>
              <w:t>No. of page views of the SME web page: 821,150</w:t>
            </w:r>
          </w:p>
          <w:p w14:paraId="5A09C17C" w14:textId="2915A2AD" w:rsidR="00255FD8" w:rsidRDefault="00255FD8" w:rsidP="00255FD8">
            <w:pPr>
              <w:rPr>
                <w:rFonts w:ascii="Arial" w:eastAsia="Times New Roman" w:hAnsi="Arial" w:cs="Arial"/>
                <w:color w:val="000000"/>
                <w:sz w:val="16"/>
                <w:szCs w:val="16"/>
              </w:rPr>
            </w:pPr>
          </w:p>
        </w:tc>
        <w:tc>
          <w:tcPr>
            <w:tcW w:w="2115" w:type="dxa"/>
            <w:tcBorders>
              <w:top w:val="nil"/>
              <w:left w:val="nil"/>
              <w:bottom w:val="nil"/>
              <w:right w:val="single" w:sz="4" w:space="0" w:color="auto"/>
            </w:tcBorders>
            <w:shd w:val="clear" w:color="000000" w:fill="FFFFFF"/>
          </w:tcPr>
          <w:p w14:paraId="2C02CF1E" w14:textId="77777777" w:rsidR="008547D7" w:rsidRDefault="008547D7" w:rsidP="008D3EC2">
            <w:pPr>
              <w:ind w:firstLineChars="200" w:firstLine="320"/>
              <w:rPr>
                <w:rFonts w:ascii="Arial" w:eastAsia="Times New Roman" w:hAnsi="Arial" w:cs="Arial"/>
                <w:color w:val="000000"/>
                <w:sz w:val="16"/>
                <w:szCs w:val="16"/>
              </w:rPr>
            </w:pPr>
          </w:p>
          <w:p w14:paraId="02D08838" w14:textId="77777777" w:rsidR="003F740F" w:rsidRDefault="003F740F"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w:t>
            </w:r>
          </w:p>
          <w:p w14:paraId="36D25C69" w14:textId="77777777" w:rsidR="003F740F" w:rsidRDefault="003F740F" w:rsidP="008D3EC2">
            <w:pPr>
              <w:ind w:firstLineChars="200" w:firstLine="320"/>
              <w:rPr>
                <w:rFonts w:ascii="Arial" w:eastAsia="Times New Roman" w:hAnsi="Arial" w:cs="Arial"/>
                <w:color w:val="000000"/>
                <w:sz w:val="16"/>
                <w:szCs w:val="16"/>
              </w:rPr>
            </w:pPr>
          </w:p>
          <w:p w14:paraId="3F2FFBC4" w14:textId="77777777" w:rsidR="003F740F" w:rsidRDefault="003F740F" w:rsidP="008D3EC2">
            <w:pPr>
              <w:ind w:firstLineChars="200" w:firstLine="320"/>
              <w:rPr>
                <w:rFonts w:ascii="Arial" w:eastAsia="Times New Roman" w:hAnsi="Arial" w:cs="Arial"/>
                <w:color w:val="000000"/>
                <w:sz w:val="16"/>
                <w:szCs w:val="16"/>
              </w:rPr>
            </w:pPr>
          </w:p>
          <w:p w14:paraId="2EDA5CF4" w14:textId="77777777" w:rsidR="003F740F" w:rsidRDefault="003F740F" w:rsidP="008D3EC2">
            <w:pPr>
              <w:ind w:firstLineChars="200" w:firstLine="320"/>
              <w:rPr>
                <w:rFonts w:ascii="Arial" w:eastAsia="Times New Roman" w:hAnsi="Arial" w:cs="Arial"/>
                <w:color w:val="000000"/>
                <w:sz w:val="16"/>
                <w:szCs w:val="16"/>
              </w:rPr>
            </w:pPr>
          </w:p>
          <w:p w14:paraId="43509447" w14:textId="0A2CD2D0" w:rsidR="003F740F" w:rsidRDefault="003F740F"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w:t>
            </w:r>
          </w:p>
        </w:tc>
      </w:tr>
      <w:tr w:rsidR="008547D7" w:rsidRPr="00AE06F9" w14:paraId="79BDB2D2" w14:textId="77777777" w:rsidTr="008D4CE9">
        <w:trPr>
          <w:trHeight w:val="976"/>
        </w:trPr>
        <w:tc>
          <w:tcPr>
            <w:tcW w:w="2820" w:type="dxa"/>
            <w:tcBorders>
              <w:top w:val="nil"/>
              <w:left w:val="single" w:sz="4" w:space="0" w:color="auto"/>
              <w:bottom w:val="nil"/>
              <w:right w:val="nil"/>
            </w:tcBorders>
            <w:shd w:val="clear" w:color="000000" w:fill="FFFFFF"/>
          </w:tcPr>
          <w:p w14:paraId="6E4671ED" w14:textId="1506896A" w:rsidR="008547D7" w:rsidRPr="00AE06F9" w:rsidRDefault="008547D7" w:rsidP="008D3EC2">
            <w:pPr>
              <w:rPr>
                <w:rFonts w:ascii="Arial" w:eastAsia="Times New Roman" w:hAnsi="Arial" w:cs="Arial"/>
                <w:color w:val="000000"/>
                <w:sz w:val="16"/>
                <w:szCs w:val="16"/>
              </w:rPr>
            </w:pPr>
          </w:p>
        </w:tc>
        <w:tc>
          <w:tcPr>
            <w:tcW w:w="2780" w:type="dxa"/>
            <w:tcBorders>
              <w:top w:val="nil"/>
              <w:left w:val="nil"/>
              <w:bottom w:val="nil"/>
              <w:right w:val="nil"/>
            </w:tcBorders>
            <w:shd w:val="clear" w:color="000000" w:fill="FFFFFF"/>
          </w:tcPr>
          <w:p w14:paraId="5E8521BE" w14:textId="77777777" w:rsidR="008547D7" w:rsidRDefault="008547D7"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of participants in training programs targeting SME support institutions who express satisfaction with the content and organization of these events</w:t>
            </w:r>
          </w:p>
          <w:p w14:paraId="1F8D9486" w14:textId="2B279565" w:rsidR="008547D7" w:rsidRPr="00AE06F9" w:rsidRDefault="008547D7" w:rsidP="008D4CE9">
            <w:pPr>
              <w:ind w:left="64"/>
              <w:rPr>
                <w:rFonts w:ascii="Arial" w:eastAsia="Times New Roman" w:hAnsi="Arial" w:cs="Arial"/>
                <w:color w:val="000000"/>
                <w:sz w:val="16"/>
                <w:szCs w:val="16"/>
              </w:rPr>
            </w:pPr>
          </w:p>
        </w:tc>
        <w:tc>
          <w:tcPr>
            <w:tcW w:w="1645" w:type="dxa"/>
            <w:tcBorders>
              <w:top w:val="nil"/>
              <w:left w:val="nil"/>
              <w:bottom w:val="nil"/>
              <w:right w:val="nil"/>
            </w:tcBorders>
            <w:shd w:val="clear" w:color="000000" w:fill="FFFFFF"/>
          </w:tcPr>
          <w:p w14:paraId="1587A316" w14:textId="5EF45CAB" w:rsidR="008547D7" w:rsidRDefault="008547D7" w:rsidP="008547D7">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2115" w:type="dxa"/>
            <w:tcBorders>
              <w:top w:val="nil"/>
              <w:left w:val="nil"/>
              <w:bottom w:val="nil"/>
              <w:right w:val="single" w:sz="4" w:space="0" w:color="auto"/>
            </w:tcBorders>
            <w:shd w:val="clear" w:color="000000" w:fill="FFFFFF"/>
          </w:tcPr>
          <w:p w14:paraId="0F8844A2" w14:textId="48401C29" w:rsidR="008547D7" w:rsidRDefault="008547D7" w:rsidP="008547D7">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90%</w:t>
            </w:r>
          </w:p>
        </w:tc>
      </w:tr>
      <w:tr w:rsidR="007D3B04" w:rsidRPr="00AE06F9" w14:paraId="1EE2EA3F" w14:textId="77777777" w:rsidTr="008D4CE9">
        <w:trPr>
          <w:trHeight w:val="976"/>
        </w:trPr>
        <w:tc>
          <w:tcPr>
            <w:tcW w:w="2820" w:type="dxa"/>
            <w:tcBorders>
              <w:top w:val="nil"/>
              <w:left w:val="single" w:sz="4" w:space="0" w:color="auto"/>
              <w:bottom w:val="nil"/>
              <w:right w:val="nil"/>
            </w:tcBorders>
            <w:shd w:val="clear" w:color="000000" w:fill="FFFFFF"/>
            <w:hideMark/>
          </w:tcPr>
          <w:p w14:paraId="5D3D5AC6"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15D037B2"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of trained SMEs support institutions who provide information and advisory services on IP asset management</w:t>
            </w:r>
          </w:p>
        </w:tc>
        <w:tc>
          <w:tcPr>
            <w:tcW w:w="1645" w:type="dxa"/>
            <w:tcBorders>
              <w:top w:val="nil"/>
              <w:left w:val="nil"/>
              <w:bottom w:val="nil"/>
              <w:right w:val="nil"/>
            </w:tcBorders>
            <w:shd w:val="clear" w:color="000000" w:fill="FFFFFF"/>
            <w:hideMark/>
          </w:tcPr>
          <w:p w14:paraId="6FF5725D" w14:textId="25A28673"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2115" w:type="dxa"/>
            <w:tcBorders>
              <w:top w:val="nil"/>
              <w:left w:val="nil"/>
              <w:bottom w:val="nil"/>
              <w:right w:val="single" w:sz="4" w:space="0" w:color="auto"/>
            </w:tcBorders>
            <w:shd w:val="clear" w:color="000000" w:fill="FFFFFF"/>
            <w:hideMark/>
          </w:tcPr>
          <w:p w14:paraId="36315DA9" w14:textId="670CAB56"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80%</w:t>
            </w:r>
          </w:p>
        </w:tc>
      </w:tr>
      <w:tr w:rsidR="007142A5" w:rsidRPr="00AE06F9" w14:paraId="031465B4" w14:textId="77777777" w:rsidTr="008D4CE9">
        <w:trPr>
          <w:trHeight w:val="1059"/>
        </w:trPr>
        <w:tc>
          <w:tcPr>
            <w:tcW w:w="2820" w:type="dxa"/>
            <w:tcBorders>
              <w:top w:val="nil"/>
              <w:left w:val="single" w:sz="4" w:space="0" w:color="auto"/>
              <w:bottom w:val="nil"/>
              <w:right w:val="nil"/>
            </w:tcBorders>
            <w:shd w:val="clear" w:color="000000" w:fill="FFFFFF"/>
          </w:tcPr>
          <w:p w14:paraId="54555927" w14:textId="77777777" w:rsidR="007142A5" w:rsidRPr="00AE06F9" w:rsidRDefault="007142A5" w:rsidP="008D3EC2">
            <w:pPr>
              <w:rPr>
                <w:rFonts w:ascii="Arial" w:eastAsia="Times New Roman" w:hAnsi="Arial" w:cs="Arial"/>
                <w:color w:val="000000"/>
                <w:sz w:val="16"/>
                <w:szCs w:val="16"/>
              </w:rPr>
            </w:pPr>
          </w:p>
        </w:tc>
        <w:tc>
          <w:tcPr>
            <w:tcW w:w="2780" w:type="dxa"/>
            <w:tcBorders>
              <w:top w:val="nil"/>
              <w:left w:val="nil"/>
              <w:bottom w:val="nil"/>
              <w:right w:val="nil"/>
            </w:tcBorders>
            <w:shd w:val="clear" w:color="000000" w:fill="FFFFFF"/>
          </w:tcPr>
          <w:p w14:paraId="6949FDCA" w14:textId="2F26FE82" w:rsidR="007142A5" w:rsidRPr="00AE06F9" w:rsidRDefault="007142A5"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 of participants in training programs targeting SME support institutions using </w:t>
            </w:r>
            <w:r>
              <w:rPr>
                <w:rFonts w:ascii="Arial" w:eastAsia="Times New Roman" w:hAnsi="Arial" w:cs="Arial"/>
                <w:color w:val="000000"/>
                <w:sz w:val="16"/>
                <w:szCs w:val="16"/>
              </w:rPr>
              <w:t>enhanced knowledge</w:t>
            </w:r>
            <w:r w:rsidR="00225D2B">
              <w:rPr>
                <w:rFonts w:ascii="Arial" w:eastAsia="Times New Roman" w:hAnsi="Arial" w:cs="Arial"/>
                <w:color w:val="000000"/>
                <w:sz w:val="16"/>
                <w:szCs w:val="16"/>
              </w:rPr>
              <w:t xml:space="preserve"> and</w:t>
            </w:r>
            <w:r>
              <w:rPr>
                <w:rFonts w:ascii="Arial" w:eastAsia="Times New Roman" w:hAnsi="Arial" w:cs="Arial"/>
                <w:color w:val="000000"/>
                <w:sz w:val="16"/>
                <w:szCs w:val="16"/>
              </w:rPr>
              <w:t xml:space="preserve"> </w:t>
            </w:r>
            <w:r w:rsidRPr="00AE06F9">
              <w:rPr>
                <w:rFonts w:ascii="Arial" w:eastAsia="Times New Roman" w:hAnsi="Arial" w:cs="Arial"/>
                <w:color w:val="000000"/>
                <w:sz w:val="16"/>
                <w:szCs w:val="16"/>
              </w:rPr>
              <w:t>upgraded skills in their work</w:t>
            </w:r>
          </w:p>
        </w:tc>
        <w:tc>
          <w:tcPr>
            <w:tcW w:w="1645" w:type="dxa"/>
            <w:tcBorders>
              <w:top w:val="nil"/>
              <w:left w:val="nil"/>
              <w:bottom w:val="nil"/>
              <w:right w:val="nil"/>
            </w:tcBorders>
            <w:shd w:val="clear" w:color="000000" w:fill="FFFFFF"/>
          </w:tcPr>
          <w:p w14:paraId="569A194E" w14:textId="3FE3F3D1" w:rsidR="007142A5" w:rsidRDefault="007142A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n/a</w:t>
            </w:r>
          </w:p>
        </w:tc>
        <w:tc>
          <w:tcPr>
            <w:tcW w:w="2115" w:type="dxa"/>
            <w:tcBorders>
              <w:top w:val="nil"/>
              <w:left w:val="nil"/>
              <w:bottom w:val="nil"/>
              <w:right w:val="single" w:sz="4" w:space="0" w:color="auto"/>
            </w:tcBorders>
            <w:shd w:val="clear" w:color="000000" w:fill="FFFFFF"/>
          </w:tcPr>
          <w:p w14:paraId="70C9A6E4" w14:textId="5F82699C" w:rsidR="007142A5" w:rsidRPr="00AE06F9" w:rsidRDefault="00A32B86" w:rsidP="00AA1BB5">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50%</w:t>
            </w:r>
          </w:p>
        </w:tc>
      </w:tr>
      <w:tr w:rsidR="007D3B04" w:rsidRPr="00AE06F9" w14:paraId="7E9EA1D1" w14:textId="77777777" w:rsidTr="008D4CE9">
        <w:trPr>
          <w:trHeight w:val="720"/>
        </w:trPr>
        <w:tc>
          <w:tcPr>
            <w:tcW w:w="2820" w:type="dxa"/>
            <w:tcBorders>
              <w:top w:val="nil"/>
              <w:left w:val="single" w:sz="4" w:space="0" w:color="auto"/>
              <w:bottom w:val="nil"/>
              <w:right w:val="nil"/>
            </w:tcBorders>
            <w:shd w:val="clear" w:color="000000" w:fill="FFFFFF"/>
            <w:hideMark/>
          </w:tcPr>
          <w:p w14:paraId="0241422A"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1C93FF7B"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No. of countries having established or improved IP training programs for SMEs</w:t>
            </w:r>
          </w:p>
        </w:tc>
        <w:tc>
          <w:tcPr>
            <w:tcW w:w="1645" w:type="dxa"/>
            <w:tcBorders>
              <w:top w:val="nil"/>
              <w:left w:val="nil"/>
              <w:bottom w:val="nil"/>
              <w:right w:val="nil"/>
            </w:tcBorders>
            <w:shd w:val="clear" w:color="000000" w:fill="FFFFFF"/>
            <w:hideMark/>
          </w:tcPr>
          <w:p w14:paraId="74BCCA54" w14:textId="6C15FFF8"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13</w:t>
            </w:r>
          </w:p>
        </w:tc>
        <w:tc>
          <w:tcPr>
            <w:tcW w:w="2115" w:type="dxa"/>
            <w:tcBorders>
              <w:top w:val="nil"/>
              <w:left w:val="nil"/>
              <w:bottom w:val="nil"/>
              <w:right w:val="single" w:sz="4" w:space="0" w:color="auto"/>
            </w:tcBorders>
            <w:shd w:val="clear" w:color="000000" w:fill="FFFFFF"/>
            <w:hideMark/>
          </w:tcPr>
          <w:p w14:paraId="09AAF5A6" w14:textId="2309C55B" w:rsidR="007D3B04" w:rsidRPr="00AE06F9" w:rsidRDefault="007D3B04" w:rsidP="00AA1BB5">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10 </w:t>
            </w:r>
            <w:r w:rsidR="00AA1BB5">
              <w:rPr>
                <w:rFonts w:ascii="Arial" w:eastAsia="Times New Roman" w:hAnsi="Arial" w:cs="Arial"/>
                <w:color w:val="000000"/>
                <w:sz w:val="16"/>
                <w:szCs w:val="16"/>
              </w:rPr>
              <w:t>additional</w:t>
            </w:r>
          </w:p>
        </w:tc>
      </w:tr>
      <w:tr w:rsidR="007D3B04" w:rsidRPr="00AE06F9" w14:paraId="28E00BF5" w14:textId="77777777" w:rsidTr="008D4CE9">
        <w:trPr>
          <w:trHeight w:val="688"/>
        </w:trPr>
        <w:tc>
          <w:tcPr>
            <w:tcW w:w="2820" w:type="dxa"/>
            <w:tcBorders>
              <w:top w:val="nil"/>
              <w:left w:val="single" w:sz="4" w:space="0" w:color="auto"/>
              <w:bottom w:val="nil"/>
              <w:right w:val="nil"/>
            </w:tcBorders>
            <w:shd w:val="clear" w:color="000000" w:fill="FFFFFF"/>
            <w:hideMark/>
          </w:tcPr>
          <w:p w14:paraId="26B2B7D4"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3142FEE2"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No. of countries in which IP policies were developed or adopted for SMEs</w:t>
            </w:r>
          </w:p>
        </w:tc>
        <w:tc>
          <w:tcPr>
            <w:tcW w:w="1645" w:type="dxa"/>
            <w:tcBorders>
              <w:top w:val="nil"/>
              <w:left w:val="nil"/>
              <w:bottom w:val="nil"/>
              <w:right w:val="nil"/>
            </w:tcBorders>
            <w:shd w:val="clear" w:color="000000" w:fill="FFFFFF"/>
            <w:hideMark/>
          </w:tcPr>
          <w:p w14:paraId="7238E6C9" w14:textId="48E4FC11"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n/a</w:t>
            </w:r>
          </w:p>
        </w:tc>
        <w:tc>
          <w:tcPr>
            <w:tcW w:w="2115" w:type="dxa"/>
            <w:tcBorders>
              <w:top w:val="nil"/>
              <w:left w:val="nil"/>
              <w:bottom w:val="nil"/>
              <w:right w:val="single" w:sz="4" w:space="0" w:color="auto"/>
            </w:tcBorders>
            <w:shd w:val="clear" w:color="000000" w:fill="FFFFFF"/>
            <w:hideMark/>
          </w:tcPr>
          <w:p w14:paraId="0BFAA030" w14:textId="77777777" w:rsidR="007D3B04" w:rsidRPr="00AE06F9" w:rsidRDefault="007D3B04" w:rsidP="008D3EC2">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5 countries</w:t>
            </w:r>
          </w:p>
        </w:tc>
      </w:tr>
      <w:tr w:rsidR="007D3B04" w:rsidRPr="00AE06F9" w14:paraId="0EF4EAD9" w14:textId="77777777" w:rsidTr="008D4CE9">
        <w:trPr>
          <w:trHeight w:val="1209"/>
        </w:trPr>
        <w:tc>
          <w:tcPr>
            <w:tcW w:w="2820" w:type="dxa"/>
            <w:tcBorders>
              <w:top w:val="nil"/>
              <w:left w:val="single" w:sz="4" w:space="0" w:color="auto"/>
              <w:bottom w:val="nil"/>
              <w:right w:val="nil"/>
            </w:tcBorders>
            <w:shd w:val="clear" w:color="000000" w:fill="FFFFFF"/>
            <w:hideMark/>
          </w:tcPr>
          <w:p w14:paraId="36378A86"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IV.2 Enhanced access to, and use of, IP information by IP institutions and the public to promote innovation and creativity</w:t>
            </w:r>
          </w:p>
        </w:tc>
        <w:tc>
          <w:tcPr>
            <w:tcW w:w="2780" w:type="dxa"/>
            <w:tcBorders>
              <w:top w:val="nil"/>
              <w:left w:val="nil"/>
              <w:bottom w:val="nil"/>
              <w:right w:val="nil"/>
            </w:tcBorders>
            <w:shd w:val="clear" w:color="000000" w:fill="FFFFFF"/>
            <w:hideMark/>
          </w:tcPr>
          <w:p w14:paraId="0BCA0C54" w14:textId="0412D27C"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No. of  Technology </w:t>
            </w:r>
            <w:r w:rsidR="00C614B4">
              <w:rPr>
                <w:rFonts w:ascii="Arial" w:eastAsia="Times New Roman" w:hAnsi="Arial" w:cs="Arial"/>
                <w:color w:val="000000"/>
                <w:sz w:val="16"/>
                <w:szCs w:val="16"/>
              </w:rPr>
              <w:t>Transfer</w:t>
            </w:r>
            <w:r w:rsidRPr="00AE06F9">
              <w:rPr>
                <w:rFonts w:ascii="Arial" w:eastAsia="Times New Roman" w:hAnsi="Arial" w:cs="Arial"/>
                <w:color w:val="000000"/>
                <w:sz w:val="16"/>
                <w:szCs w:val="16"/>
              </w:rPr>
              <w:t xml:space="preserve"> </w:t>
            </w:r>
            <w:r w:rsidR="00C614B4">
              <w:rPr>
                <w:rFonts w:ascii="Arial" w:eastAsia="Times New Roman" w:hAnsi="Arial" w:cs="Arial"/>
                <w:color w:val="000000"/>
                <w:sz w:val="16"/>
                <w:szCs w:val="16"/>
              </w:rPr>
              <w:t xml:space="preserve">Offices </w:t>
            </w:r>
            <w:r w:rsidRPr="00AE06F9">
              <w:rPr>
                <w:rFonts w:ascii="Arial" w:eastAsia="Times New Roman" w:hAnsi="Arial" w:cs="Arial"/>
                <w:color w:val="000000"/>
                <w:sz w:val="16"/>
                <w:szCs w:val="16"/>
              </w:rPr>
              <w:t>(</w:t>
            </w:r>
            <w:r w:rsidR="00C614B4" w:rsidRPr="00AE06F9">
              <w:rPr>
                <w:rFonts w:ascii="Arial" w:eastAsia="Times New Roman" w:hAnsi="Arial" w:cs="Arial"/>
                <w:color w:val="000000"/>
                <w:sz w:val="16"/>
                <w:szCs w:val="16"/>
              </w:rPr>
              <w:t>T</w:t>
            </w:r>
            <w:r w:rsidR="00C614B4">
              <w:rPr>
                <w:rFonts w:ascii="Arial" w:eastAsia="Times New Roman" w:hAnsi="Arial" w:cs="Arial"/>
                <w:color w:val="000000"/>
                <w:sz w:val="16"/>
                <w:szCs w:val="16"/>
              </w:rPr>
              <w:t>TOs</w:t>
            </w:r>
            <w:r w:rsidRPr="00AE06F9">
              <w:rPr>
                <w:rFonts w:ascii="Arial" w:eastAsia="Times New Roman" w:hAnsi="Arial" w:cs="Arial"/>
                <w:color w:val="000000"/>
                <w:sz w:val="16"/>
                <w:szCs w:val="16"/>
              </w:rPr>
              <w:t>) that were established or strengthened in Universities or R&amp;D institutions under the WIPO University Initiative Program</w:t>
            </w:r>
          </w:p>
        </w:tc>
        <w:tc>
          <w:tcPr>
            <w:tcW w:w="1645" w:type="dxa"/>
            <w:tcBorders>
              <w:top w:val="nil"/>
              <w:left w:val="nil"/>
              <w:bottom w:val="nil"/>
              <w:right w:val="nil"/>
            </w:tcBorders>
            <w:shd w:val="clear" w:color="000000" w:fill="FFFFFF"/>
            <w:hideMark/>
          </w:tcPr>
          <w:p w14:paraId="6147973B" w14:textId="77777777" w:rsidR="007D3B04" w:rsidRPr="00AE06F9" w:rsidRDefault="007D3B04" w:rsidP="008D3EC2">
            <w:pPr>
              <w:ind w:firstLineChars="200" w:firstLine="320"/>
              <w:rPr>
                <w:rFonts w:ascii="Arial" w:eastAsia="Times New Roman" w:hAnsi="Arial" w:cs="Arial"/>
                <w:color w:val="000000"/>
                <w:sz w:val="16"/>
                <w:szCs w:val="16"/>
              </w:rPr>
            </w:pPr>
            <w:proofErr w:type="spellStart"/>
            <w:r w:rsidRPr="00AE06F9">
              <w:rPr>
                <w:rFonts w:ascii="Arial" w:eastAsia="Times New Roman" w:hAnsi="Arial" w:cs="Arial"/>
                <w:color w:val="000000"/>
                <w:sz w:val="16"/>
                <w:szCs w:val="16"/>
              </w:rPr>
              <w:t>tbd</w:t>
            </w:r>
            <w:proofErr w:type="spellEnd"/>
          </w:p>
        </w:tc>
        <w:tc>
          <w:tcPr>
            <w:tcW w:w="2115" w:type="dxa"/>
            <w:tcBorders>
              <w:top w:val="nil"/>
              <w:left w:val="nil"/>
              <w:bottom w:val="nil"/>
              <w:right w:val="single" w:sz="4" w:space="0" w:color="auto"/>
            </w:tcBorders>
            <w:shd w:val="clear" w:color="000000" w:fill="FFFFFF"/>
            <w:hideMark/>
          </w:tcPr>
          <w:p w14:paraId="12818C6D" w14:textId="6121A0D5" w:rsidR="007D3B04" w:rsidRPr="00AE06F9" w:rsidRDefault="007D3B04" w:rsidP="00C614B4">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6 </w:t>
            </w:r>
            <w:r w:rsidR="00C614B4" w:rsidRPr="00AE06F9">
              <w:rPr>
                <w:rFonts w:ascii="Arial" w:eastAsia="Times New Roman" w:hAnsi="Arial" w:cs="Arial"/>
                <w:color w:val="000000"/>
                <w:sz w:val="16"/>
                <w:szCs w:val="16"/>
              </w:rPr>
              <w:t>T</w:t>
            </w:r>
            <w:r w:rsidR="00C614B4">
              <w:rPr>
                <w:rFonts w:ascii="Arial" w:eastAsia="Times New Roman" w:hAnsi="Arial" w:cs="Arial"/>
                <w:color w:val="000000"/>
                <w:sz w:val="16"/>
                <w:szCs w:val="16"/>
              </w:rPr>
              <w:t>TOs</w:t>
            </w:r>
          </w:p>
        </w:tc>
      </w:tr>
      <w:tr w:rsidR="007D3B04" w:rsidRPr="002F6D85" w14:paraId="5AFA1B64" w14:textId="77777777" w:rsidTr="008D4CE9">
        <w:trPr>
          <w:trHeight w:val="800"/>
        </w:trPr>
        <w:tc>
          <w:tcPr>
            <w:tcW w:w="2820" w:type="dxa"/>
            <w:tcBorders>
              <w:top w:val="nil"/>
              <w:left w:val="single" w:sz="4" w:space="0" w:color="auto"/>
              <w:bottom w:val="single" w:sz="4" w:space="0" w:color="auto"/>
              <w:right w:val="nil"/>
            </w:tcBorders>
            <w:shd w:val="clear" w:color="000000" w:fill="FFFFFF"/>
            <w:hideMark/>
          </w:tcPr>
          <w:p w14:paraId="64E2319D"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single" w:sz="4" w:space="0" w:color="auto"/>
              <w:right w:val="nil"/>
            </w:tcBorders>
            <w:shd w:val="clear" w:color="000000" w:fill="FFFFFF"/>
            <w:hideMark/>
          </w:tcPr>
          <w:p w14:paraId="5496495F" w14:textId="77777777" w:rsidR="007D3B04" w:rsidRPr="00AE06F9" w:rsidRDefault="007D3B04" w:rsidP="008D4CE9">
            <w:pPr>
              <w:ind w:left="64"/>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No. of universities and/or research institutions having developed and/or improved their IP policies </w:t>
            </w:r>
          </w:p>
        </w:tc>
        <w:tc>
          <w:tcPr>
            <w:tcW w:w="1645" w:type="dxa"/>
            <w:tcBorders>
              <w:top w:val="nil"/>
              <w:left w:val="nil"/>
              <w:bottom w:val="single" w:sz="4" w:space="0" w:color="auto"/>
              <w:right w:val="nil"/>
            </w:tcBorders>
            <w:shd w:val="clear" w:color="000000" w:fill="FFFFFF"/>
            <w:hideMark/>
          </w:tcPr>
          <w:p w14:paraId="2489AC96" w14:textId="580B5985" w:rsidR="007D3B04" w:rsidRPr="00AE06F9" w:rsidRDefault="00AA1BB5" w:rsidP="00FB68E0">
            <w:pPr>
              <w:ind w:leftChars="64" w:left="157" w:hangingChars="10" w:hanging="16"/>
              <w:rPr>
                <w:rFonts w:ascii="Arial" w:eastAsia="Times New Roman" w:hAnsi="Arial" w:cs="Arial"/>
                <w:color w:val="000000"/>
                <w:sz w:val="16"/>
                <w:szCs w:val="16"/>
              </w:rPr>
            </w:pPr>
            <w:r>
              <w:rPr>
                <w:rFonts w:ascii="Arial" w:eastAsia="Times New Roman" w:hAnsi="Arial" w:cs="Arial"/>
                <w:color w:val="000000"/>
                <w:sz w:val="16"/>
                <w:szCs w:val="16"/>
              </w:rPr>
              <w:t>150 universities in transition countries</w:t>
            </w:r>
            <w:r w:rsidR="00CF7658">
              <w:rPr>
                <w:rFonts w:ascii="Arial" w:eastAsia="Times New Roman" w:hAnsi="Arial" w:cs="Arial"/>
                <w:color w:val="000000"/>
                <w:sz w:val="16"/>
                <w:szCs w:val="16"/>
              </w:rPr>
              <w:t xml:space="preserve"> (2014)</w:t>
            </w:r>
          </w:p>
        </w:tc>
        <w:tc>
          <w:tcPr>
            <w:tcW w:w="2115" w:type="dxa"/>
            <w:tcBorders>
              <w:top w:val="nil"/>
              <w:left w:val="nil"/>
              <w:bottom w:val="single" w:sz="4" w:space="0" w:color="auto"/>
              <w:right w:val="single" w:sz="4" w:space="0" w:color="auto"/>
            </w:tcBorders>
            <w:shd w:val="clear" w:color="000000" w:fill="FFFFFF"/>
            <w:hideMark/>
          </w:tcPr>
          <w:p w14:paraId="50AEBF9F" w14:textId="77777777" w:rsidR="007D3B04" w:rsidRPr="002F6D85" w:rsidRDefault="007D3B04" w:rsidP="007D3B04">
            <w:pPr>
              <w:ind w:leftChars="141" w:left="310"/>
              <w:rPr>
                <w:rFonts w:ascii="Arial" w:eastAsia="Times New Roman" w:hAnsi="Arial" w:cs="Arial"/>
                <w:color w:val="000000"/>
                <w:sz w:val="16"/>
                <w:szCs w:val="16"/>
              </w:rPr>
            </w:pPr>
            <w:r w:rsidRPr="00AE06F9">
              <w:rPr>
                <w:rFonts w:ascii="Arial" w:eastAsia="Times New Roman" w:hAnsi="Arial" w:cs="Arial"/>
                <w:color w:val="000000"/>
                <w:sz w:val="16"/>
                <w:szCs w:val="16"/>
              </w:rPr>
              <w:t>10 additional universities</w:t>
            </w:r>
          </w:p>
        </w:tc>
      </w:tr>
    </w:tbl>
    <w:p w14:paraId="47F9A2FE" w14:textId="77777777" w:rsidR="007D3B04" w:rsidRDefault="007D3B04" w:rsidP="008D3EC2">
      <w:pPr>
        <w:rPr>
          <w:rFonts w:ascii="Arial" w:eastAsia="Arial" w:hAnsi="Arial" w:cs="Arial"/>
        </w:rPr>
      </w:pPr>
    </w:p>
    <w:p w14:paraId="0D080866" w14:textId="77777777" w:rsidR="00E358DF" w:rsidRDefault="00E358DF" w:rsidP="008D3EC2">
      <w:pPr>
        <w:rPr>
          <w:rFonts w:ascii="Arial" w:eastAsia="Arial" w:hAnsi="Arial" w:cs="Arial"/>
        </w:rPr>
      </w:pPr>
    </w:p>
    <w:p w14:paraId="3BE2FBCF" w14:textId="3665F462" w:rsidR="007D3B04" w:rsidRDefault="007D3B04" w:rsidP="008D3EC2">
      <w:pPr>
        <w:rPr>
          <w:rFonts w:ascii="Arial" w:eastAsia="Arial" w:hAnsi="Arial" w:cs="Arial"/>
        </w:rPr>
      </w:pPr>
      <w:r>
        <w:rPr>
          <w:rFonts w:ascii="Arial" w:eastAsia="Arial" w:hAnsi="Arial" w:cs="Arial"/>
        </w:rPr>
        <w:t xml:space="preserve">RESOURCES FOR PROGRAM 30 </w:t>
      </w:r>
    </w:p>
    <w:p w14:paraId="0DE2F790" w14:textId="77777777" w:rsidR="007D3B04" w:rsidRDefault="007D3B04" w:rsidP="008D3EC2">
      <w:pPr>
        <w:rPr>
          <w:rFonts w:ascii="Arial" w:eastAsia="Arial" w:hAnsi="Arial" w:cs="Arial"/>
        </w:rPr>
      </w:pPr>
    </w:p>
    <w:p w14:paraId="57400E1A" w14:textId="7E152A12" w:rsidR="007D3B04" w:rsidRPr="00AC4500" w:rsidRDefault="007D3B04" w:rsidP="00B66A4A">
      <w:pPr>
        <w:pStyle w:val="ListParagraph"/>
        <w:numPr>
          <w:ilvl w:val="0"/>
          <w:numId w:val="26"/>
        </w:numPr>
        <w:tabs>
          <w:tab w:val="left" w:pos="709"/>
        </w:tabs>
        <w:ind w:left="0" w:firstLine="0"/>
        <w:jc w:val="both"/>
        <w:rPr>
          <w:rFonts w:ascii="Arial" w:eastAsia="Arial" w:hAnsi="Arial" w:cs="Arial"/>
        </w:rPr>
      </w:pPr>
      <w:r w:rsidRPr="001E11E0">
        <w:rPr>
          <w:rFonts w:ascii="Arial" w:eastAsia="Arial" w:hAnsi="Arial" w:cs="Arial"/>
          <w:sz w:val="20"/>
          <w:szCs w:val="20"/>
        </w:rPr>
        <w:t>An increase in the total resources for Program 30 in 2016/17 can be observed compared to the 2014/15 Budget after Transfer.  This reflects the redeployment of personnel resources to the Program in the 2014/15 biennium</w:t>
      </w:r>
      <w:r>
        <w:rPr>
          <w:rFonts w:ascii="Arial" w:eastAsia="Arial" w:hAnsi="Arial" w:cs="Arial"/>
          <w:sz w:val="20"/>
          <w:szCs w:val="20"/>
        </w:rPr>
        <w:t xml:space="preserve"> to strengthen, in particular, work on national IP strategies and capacity building </w:t>
      </w:r>
      <w:r w:rsidR="0079358B">
        <w:rPr>
          <w:rFonts w:ascii="Arial" w:eastAsia="Arial" w:hAnsi="Arial" w:cs="Arial"/>
          <w:sz w:val="20"/>
          <w:szCs w:val="20"/>
        </w:rPr>
        <w:t xml:space="preserve">for SMEs </w:t>
      </w:r>
      <w:r>
        <w:rPr>
          <w:rFonts w:ascii="Arial" w:eastAsia="Arial" w:hAnsi="Arial" w:cs="Arial"/>
          <w:sz w:val="20"/>
          <w:szCs w:val="20"/>
        </w:rPr>
        <w:t xml:space="preserve">as reflected under Expected Results III.1 and III.2.  </w:t>
      </w:r>
    </w:p>
    <w:p w14:paraId="147886C5" w14:textId="77777777" w:rsidR="00AC4500" w:rsidRPr="00FB68E0" w:rsidRDefault="00AC4500" w:rsidP="00AC4500">
      <w:pPr>
        <w:pStyle w:val="ListParagraph"/>
        <w:tabs>
          <w:tab w:val="left" w:pos="709"/>
        </w:tabs>
        <w:ind w:left="0"/>
        <w:jc w:val="both"/>
        <w:rPr>
          <w:rFonts w:ascii="Arial" w:eastAsia="Arial" w:hAnsi="Arial" w:cs="Arial"/>
        </w:rPr>
      </w:pPr>
    </w:p>
    <w:p w14:paraId="4A304C03" w14:textId="63AD417C" w:rsidR="00F83FB6" w:rsidRDefault="0079358B" w:rsidP="00B66A4A">
      <w:pPr>
        <w:pStyle w:val="ListParagraph"/>
        <w:numPr>
          <w:ilvl w:val="0"/>
          <w:numId w:val="26"/>
        </w:numPr>
        <w:tabs>
          <w:tab w:val="left" w:pos="709"/>
        </w:tabs>
        <w:ind w:left="0" w:firstLine="0"/>
        <w:jc w:val="both"/>
        <w:rPr>
          <w:rFonts w:ascii="Arial" w:eastAsia="Arial" w:hAnsi="Arial" w:cs="Arial"/>
          <w:sz w:val="20"/>
          <w:szCs w:val="20"/>
        </w:rPr>
      </w:pPr>
      <w:r w:rsidRPr="00725236">
        <w:rPr>
          <w:rFonts w:ascii="Arial" w:eastAsia="Arial" w:hAnsi="Arial" w:cs="Arial"/>
          <w:sz w:val="20"/>
          <w:szCs w:val="20"/>
        </w:rPr>
        <w:t>The decrease in personnel resources in the 2014/15 Budget after Transfers compared to the</w:t>
      </w:r>
      <w:r w:rsidR="00B472A8">
        <w:rPr>
          <w:rFonts w:ascii="Arial" w:eastAsia="Arial" w:hAnsi="Arial" w:cs="Arial"/>
          <w:sz w:val="20"/>
          <w:szCs w:val="20"/>
        </w:rPr>
        <w:t> </w:t>
      </w:r>
      <w:r w:rsidRPr="00725236">
        <w:rPr>
          <w:rFonts w:ascii="Arial" w:eastAsia="Arial" w:hAnsi="Arial" w:cs="Arial"/>
          <w:sz w:val="20"/>
          <w:szCs w:val="20"/>
        </w:rPr>
        <w:t>2014/15 Approved Budget reflects (</w:t>
      </w:r>
      <w:proofErr w:type="spellStart"/>
      <w:r w:rsidRPr="00725236">
        <w:rPr>
          <w:rFonts w:ascii="Arial" w:eastAsia="Arial" w:hAnsi="Arial" w:cs="Arial"/>
          <w:sz w:val="20"/>
          <w:szCs w:val="20"/>
        </w:rPr>
        <w:t>i</w:t>
      </w:r>
      <w:proofErr w:type="spellEnd"/>
      <w:r w:rsidRPr="00725236">
        <w:rPr>
          <w:rFonts w:ascii="Arial" w:eastAsia="Arial" w:hAnsi="Arial" w:cs="Arial"/>
          <w:sz w:val="20"/>
          <w:szCs w:val="20"/>
        </w:rPr>
        <w:t>) the transfer of responsibilities for the implementation of the DA projects Open Collaborative Models and Technology Transfer to Program 5 (The PCT System) and (ii)</w:t>
      </w:r>
      <w:r w:rsidR="002B31EF">
        <w:rPr>
          <w:rFonts w:ascii="Arial" w:eastAsia="Arial" w:hAnsi="Arial" w:cs="Arial"/>
          <w:sz w:val="20"/>
          <w:szCs w:val="20"/>
        </w:rPr>
        <w:t> </w:t>
      </w:r>
      <w:r w:rsidRPr="00725236">
        <w:rPr>
          <w:rFonts w:ascii="Arial" w:eastAsia="Arial" w:hAnsi="Arial" w:cs="Arial"/>
          <w:sz w:val="20"/>
          <w:szCs w:val="20"/>
        </w:rPr>
        <w:t>delays in identifying the right skills and competencies in support of the Program’</w:t>
      </w:r>
      <w:r>
        <w:rPr>
          <w:rFonts w:ascii="Arial" w:eastAsia="Arial" w:hAnsi="Arial" w:cs="Arial"/>
          <w:sz w:val="20"/>
          <w:szCs w:val="20"/>
        </w:rPr>
        <w:t xml:space="preserve">s activities to compensate for the transfer of a staff member out of the Program. </w:t>
      </w:r>
    </w:p>
    <w:p w14:paraId="263B0D23" w14:textId="77777777" w:rsidR="00F02482" w:rsidRPr="00FB68E0" w:rsidRDefault="00F02482" w:rsidP="00F02482">
      <w:pPr>
        <w:pStyle w:val="ListParagraph"/>
        <w:tabs>
          <w:tab w:val="left" w:pos="709"/>
        </w:tabs>
        <w:ind w:left="0"/>
        <w:jc w:val="both"/>
        <w:rPr>
          <w:rFonts w:ascii="Arial" w:eastAsia="Arial" w:hAnsi="Arial" w:cs="Arial"/>
          <w:sz w:val="20"/>
          <w:szCs w:val="20"/>
        </w:rPr>
      </w:pPr>
    </w:p>
    <w:p w14:paraId="4F69DD87" w14:textId="77777777" w:rsidR="007D3B04" w:rsidRPr="00E66698" w:rsidRDefault="007D3B04" w:rsidP="00F02482">
      <w:pPr>
        <w:tabs>
          <w:tab w:val="left" w:pos="1427"/>
        </w:tabs>
        <w:jc w:val="center"/>
        <w:rPr>
          <w:rFonts w:ascii="Arial" w:hAnsi="Arial" w:cs="Arial"/>
          <w:sz w:val="20"/>
          <w:szCs w:val="20"/>
        </w:rPr>
      </w:pPr>
      <w:r w:rsidRPr="00E66698">
        <w:rPr>
          <w:rFonts w:ascii="Arial" w:hAnsi="Arial" w:cs="Arial"/>
          <w:b/>
          <w:sz w:val="20"/>
          <w:szCs w:val="20"/>
        </w:rPr>
        <w:t>Program 30:  Resources by Result</w:t>
      </w:r>
    </w:p>
    <w:p w14:paraId="2B6454F8" w14:textId="77777777" w:rsidR="007D3B04" w:rsidRPr="00E66698" w:rsidRDefault="007D3B04" w:rsidP="00F02482">
      <w:pPr>
        <w:tabs>
          <w:tab w:val="left" w:pos="1427"/>
        </w:tabs>
        <w:spacing w:after="120"/>
        <w:jc w:val="center"/>
        <w:rPr>
          <w:rFonts w:ascii="Arial" w:hAnsi="Arial" w:cs="Arial"/>
          <w:i/>
          <w:sz w:val="20"/>
          <w:szCs w:val="20"/>
        </w:rPr>
      </w:pPr>
      <w:r w:rsidRPr="00E66698">
        <w:rPr>
          <w:rFonts w:ascii="Arial" w:hAnsi="Arial" w:cs="Arial"/>
          <w:i/>
          <w:sz w:val="20"/>
          <w:szCs w:val="20"/>
        </w:rPr>
        <w:t>(In thousands of Swiss francs)</w:t>
      </w:r>
    </w:p>
    <w:p w14:paraId="33D4E455" w14:textId="77777777" w:rsidR="007D3B04" w:rsidRDefault="007D3B04" w:rsidP="00F02482">
      <w:pPr>
        <w:tabs>
          <w:tab w:val="left" w:pos="1427"/>
        </w:tabs>
        <w:jc w:val="center"/>
        <w:rPr>
          <w:rFonts w:ascii="Arial" w:hAnsi="Arial" w:cs="Arial"/>
          <w:i/>
          <w:sz w:val="20"/>
          <w:szCs w:val="20"/>
        </w:rPr>
      </w:pPr>
      <w:r w:rsidRPr="007707AE">
        <w:rPr>
          <w:noProof/>
          <w:lang w:eastAsia="en-US"/>
        </w:rPr>
        <w:drawing>
          <wp:inline distT="0" distB="0" distL="0" distR="0" wp14:anchorId="5FDE8A8B" wp14:editId="6A9DD1A5">
            <wp:extent cx="5197637" cy="2676525"/>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49905" cy="2703440"/>
                    </a:xfrm>
                    <a:prstGeom prst="rect">
                      <a:avLst/>
                    </a:prstGeom>
                    <a:noFill/>
                    <a:ln>
                      <a:noFill/>
                    </a:ln>
                  </pic:spPr>
                </pic:pic>
              </a:graphicData>
            </a:graphic>
          </wp:inline>
        </w:drawing>
      </w:r>
    </w:p>
    <w:p w14:paraId="094858E3" w14:textId="77777777" w:rsidR="007D3B04" w:rsidRDefault="007D3B04" w:rsidP="00F02482">
      <w:pPr>
        <w:tabs>
          <w:tab w:val="left" w:pos="1427"/>
        </w:tabs>
        <w:jc w:val="center"/>
        <w:rPr>
          <w:rFonts w:ascii="Arial" w:hAnsi="Arial" w:cs="Arial"/>
          <w:i/>
          <w:sz w:val="20"/>
          <w:szCs w:val="20"/>
        </w:rPr>
      </w:pPr>
    </w:p>
    <w:p w14:paraId="58B83468" w14:textId="77777777" w:rsidR="00B472A8" w:rsidRPr="00E66698" w:rsidRDefault="00B472A8" w:rsidP="00F02482">
      <w:pPr>
        <w:tabs>
          <w:tab w:val="left" w:pos="1427"/>
        </w:tabs>
        <w:jc w:val="center"/>
        <w:rPr>
          <w:rFonts w:ascii="Arial" w:hAnsi="Arial" w:cs="Arial"/>
          <w:i/>
          <w:sz w:val="20"/>
          <w:szCs w:val="20"/>
        </w:rPr>
      </w:pPr>
    </w:p>
    <w:p w14:paraId="484BBD5D" w14:textId="77777777" w:rsidR="007D3B04" w:rsidRPr="00E66698" w:rsidRDefault="007D3B04" w:rsidP="008D4CE9">
      <w:pPr>
        <w:keepNext/>
        <w:keepLines/>
        <w:tabs>
          <w:tab w:val="left" w:pos="1427"/>
        </w:tabs>
        <w:jc w:val="center"/>
        <w:rPr>
          <w:rFonts w:ascii="Arial" w:hAnsi="Arial" w:cs="Arial"/>
          <w:sz w:val="20"/>
          <w:szCs w:val="20"/>
        </w:rPr>
      </w:pPr>
      <w:r w:rsidRPr="00E66698">
        <w:rPr>
          <w:rFonts w:ascii="Arial" w:hAnsi="Arial" w:cs="Arial"/>
          <w:b/>
          <w:sz w:val="20"/>
          <w:szCs w:val="20"/>
        </w:rPr>
        <w:lastRenderedPageBreak/>
        <w:t>Program 30:  Resources by Object of Expenditure</w:t>
      </w:r>
    </w:p>
    <w:p w14:paraId="1CAC80F0" w14:textId="77777777" w:rsidR="007D3B04" w:rsidRDefault="007D3B04" w:rsidP="008D4CE9">
      <w:pPr>
        <w:keepNext/>
        <w:keepLines/>
        <w:tabs>
          <w:tab w:val="left" w:pos="1427"/>
        </w:tabs>
        <w:jc w:val="center"/>
        <w:rPr>
          <w:rFonts w:ascii="Arial" w:hAnsi="Arial" w:cs="Arial"/>
          <w:i/>
          <w:sz w:val="20"/>
          <w:szCs w:val="20"/>
        </w:rPr>
      </w:pPr>
      <w:r w:rsidRPr="00E66698">
        <w:rPr>
          <w:rFonts w:ascii="Arial" w:hAnsi="Arial" w:cs="Arial"/>
          <w:i/>
          <w:sz w:val="20"/>
          <w:szCs w:val="20"/>
        </w:rPr>
        <w:t>(In thousands of Swiss francs)</w:t>
      </w:r>
    </w:p>
    <w:p w14:paraId="20DB3D19" w14:textId="77777777" w:rsidR="007D3B04" w:rsidRDefault="007D3B04">
      <w:pPr>
        <w:keepNext/>
        <w:keepLines/>
        <w:tabs>
          <w:tab w:val="left" w:pos="1427"/>
        </w:tabs>
        <w:jc w:val="center"/>
        <w:rPr>
          <w:rFonts w:ascii="Arial" w:hAnsi="Arial" w:cs="Arial"/>
          <w:i/>
          <w:sz w:val="20"/>
          <w:szCs w:val="20"/>
        </w:rPr>
      </w:pPr>
    </w:p>
    <w:p w14:paraId="15C3AD9E" w14:textId="77777777" w:rsidR="007D3B04" w:rsidRPr="00E66698" w:rsidRDefault="007D3B04" w:rsidP="008D3EC2">
      <w:pPr>
        <w:keepNext/>
        <w:keepLines/>
        <w:tabs>
          <w:tab w:val="left" w:pos="1427"/>
        </w:tabs>
        <w:jc w:val="center"/>
        <w:rPr>
          <w:rFonts w:ascii="Arial" w:hAnsi="Arial" w:cs="Arial"/>
          <w:i/>
          <w:sz w:val="20"/>
          <w:szCs w:val="20"/>
        </w:rPr>
      </w:pPr>
      <w:r w:rsidRPr="007707AE">
        <w:rPr>
          <w:noProof/>
          <w:lang w:eastAsia="en-US"/>
        </w:rPr>
        <w:drawing>
          <wp:inline distT="0" distB="0" distL="0" distR="0" wp14:anchorId="019A78D1" wp14:editId="261D9A61">
            <wp:extent cx="4933950" cy="5556019"/>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67016" cy="5593254"/>
                    </a:xfrm>
                    <a:prstGeom prst="rect">
                      <a:avLst/>
                    </a:prstGeom>
                    <a:noFill/>
                    <a:ln>
                      <a:noFill/>
                    </a:ln>
                  </pic:spPr>
                </pic:pic>
              </a:graphicData>
            </a:graphic>
          </wp:inline>
        </w:drawing>
      </w:r>
    </w:p>
    <w:p w14:paraId="155EB7D4" w14:textId="103DC9E4" w:rsidR="00E379D9" w:rsidRDefault="00E379D9">
      <w:pPr>
        <w:rPr>
          <w:rFonts w:ascii="Arial" w:eastAsia="Arial" w:hAnsi="Arial" w:cs="Arial"/>
          <w:sz w:val="20"/>
        </w:rPr>
      </w:pPr>
      <w:r>
        <w:rPr>
          <w:rFonts w:ascii="Arial" w:eastAsia="Arial" w:hAnsi="Arial" w:cs="Arial"/>
          <w:sz w:val="20"/>
        </w:rPr>
        <w:br w:type="page"/>
      </w:r>
    </w:p>
    <w:p w14:paraId="085672A2" w14:textId="31154AAC" w:rsidR="005363E7" w:rsidRPr="00B30215" w:rsidRDefault="004264B7" w:rsidP="004264B7">
      <w:pPr>
        <w:pStyle w:val="StyleHeading3ComplexItalic"/>
        <w:tabs>
          <w:tab w:val="clear" w:pos="1985"/>
          <w:tab w:val="left" w:pos="2835"/>
        </w:tabs>
        <w:ind w:left="2835" w:hanging="2835"/>
        <w:rPr>
          <w:rStyle w:val="StyleStyleHeading3ComplexItalicLatin12ptChar"/>
          <w:rFonts w:eastAsia="SimSun"/>
          <w:b/>
          <w:szCs w:val="24"/>
        </w:rPr>
      </w:pPr>
      <w:bookmarkStart w:id="45" w:name="_Toc367350587"/>
      <w:bookmarkStart w:id="46" w:name="_Toc431221421"/>
      <w:r w:rsidRPr="00B30215">
        <w:rPr>
          <w:rStyle w:val="StyleStyleHeading3ComplexItalicLatin12ptChar"/>
          <w:rFonts w:eastAsia="SimSun"/>
          <w:b/>
          <w:szCs w:val="24"/>
        </w:rPr>
        <w:lastRenderedPageBreak/>
        <w:t>STRATEGIC GOAL IV</w:t>
      </w:r>
      <w:r w:rsidRPr="00B30215">
        <w:rPr>
          <w:rStyle w:val="StyleStyleHeading3ComplexItalicLatin12ptChar"/>
          <w:rFonts w:eastAsia="SimSun"/>
          <w:b/>
          <w:szCs w:val="24"/>
        </w:rPr>
        <w:tab/>
        <w:t>COORDINATION AND DEVELOPMENT OF GLOBAL IP INFRASTRUCTURE</w:t>
      </w:r>
      <w:bookmarkEnd w:id="45"/>
      <w:bookmarkEnd w:id="46"/>
      <w:r w:rsidRPr="00B30215">
        <w:rPr>
          <w:rStyle w:val="StyleStyleHeading3ComplexItalicLatin12ptChar"/>
          <w:rFonts w:eastAsia="SimSun"/>
          <w:b/>
          <w:szCs w:val="24"/>
        </w:rPr>
        <w:t xml:space="preserve"> </w:t>
      </w:r>
    </w:p>
    <w:p w14:paraId="777874E2" w14:textId="77777777" w:rsidR="005363E7" w:rsidRPr="00A522FE" w:rsidRDefault="005363E7" w:rsidP="005363E7">
      <w:pPr>
        <w:tabs>
          <w:tab w:val="left" w:pos="1701"/>
        </w:tabs>
        <w:ind w:left="1701" w:hanging="1701"/>
        <w:jc w:val="center"/>
        <w:rPr>
          <w:rFonts w:ascii="Arial" w:hAnsi="Arial" w:cs="Arial"/>
          <w:b/>
          <w:bCs/>
          <w:caps/>
          <w:szCs w:val="24"/>
        </w:rPr>
      </w:pPr>
    </w:p>
    <w:p w14:paraId="6328FF9B" w14:textId="77777777" w:rsidR="005363E7" w:rsidRPr="00A522FE" w:rsidRDefault="005363E7" w:rsidP="005363E7">
      <w:pPr>
        <w:tabs>
          <w:tab w:val="left" w:pos="1701"/>
        </w:tabs>
        <w:ind w:left="1701" w:hanging="1701"/>
        <w:jc w:val="center"/>
        <w:rPr>
          <w:rFonts w:ascii="Arial" w:hAnsi="Arial" w:cs="Arial"/>
          <w:b/>
          <w:bCs/>
          <w:caps/>
          <w:szCs w:val="24"/>
        </w:rPr>
      </w:pPr>
    </w:p>
    <w:p w14:paraId="36E2C0BD" w14:textId="77777777" w:rsidR="005363E7" w:rsidRPr="00FA331B" w:rsidRDefault="005363E7" w:rsidP="005363E7">
      <w:pPr>
        <w:autoSpaceDE w:val="0"/>
        <w:autoSpaceDN w:val="0"/>
        <w:adjustRightInd w:val="0"/>
        <w:jc w:val="both"/>
        <w:rPr>
          <w:rFonts w:ascii="Arial" w:hAnsi="Arial" w:cs="Arial"/>
          <w:sz w:val="20"/>
        </w:rPr>
      </w:pPr>
      <w:r w:rsidRPr="00FA331B">
        <w:rPr>
          <w:rFonts w:ascii="Arial" w:hAnsi="Arial" w:cs="Arial"/>
          <w:sz w:val="20"/>
        </w:rPr>
        <w:t>Information and Communication Technology (ICT)</w:t>
      </w:r>
      <w:r>
        <w:rPr>
          <w:rFonts w:ascii="Arial" w:hAnsi="Arial" w:cs="Arial"/>
          <w:sz w:val="20"/>
        </w:rPr>
        <w:t xml:space="preserve"> </w:t>
      </w:r>
      <w:r w:rsidRPr="00FA331B">
        <w:rPr>
          <w:rFonts w:ascii="Arial" w:hAnsi="Arial" w:cs="Arial"/>
          <w:sz w:val="20"/>
        </w:rPr>
        <w:t xml:space="preserve">has created opportunities for greater efficiencies in the international IP system, more effective access to the output of the system, and increased participation in the system by least developed, developing and transition countries.  The aim of this Strategic Goal is to strengthen the infrastructure of </w:t>
      </w:r>
      <w:r>
        <w:rPr>
          <w:rFonts w:ascii="Arial" w:hAnsi="Arial" w:cs="Arial"/>
          <w:sz w:val="20"/>
        </w:rPr>
        <w:t xml:space="preserve">Member States, in particular, </w:t>
      </w:r>
      <w:r w:rsidRPr="00FA331B">
        <w:rPr>
          <w:rFonts w:ascii="Arial" w:hAnsi="Arial" w:cs="Arial"/>
          <w:sz w:val="20"/>
        </w:rPr>
        <w:t>least developed, developing and transition countries, to enhance international cooperation in infrastructure and data flows throughout the system, and to develop global IP databases and voluntary platforms for increased technical cooperation.</w:t>
      </w:r>
    </w:p>
    <w:p w14:paraId="3408EDED" w14:textId="77777777" w:rsidR="005363E7" w:rsidRPr="00A522FE" w:rsidRDefault="005363E7" w:rsidP="005363E7">
      <w:pPr>
        <w:autoSpaceDE w:val="0"/>
        <w:autoSpaceDN w:val="0"/>
        <w:adjustRightInd w:val="0"/>
        <w:spacing w:before="120"/>
        <w:jc w:val="both"/>
        <w:rPr>
          <w:rFonts w:ascii="Arial" w:hAnsi="Arial" w:cs="Arial"/>
          <w:i/>
          <w:iCs/>
        </w:rPr>
      </w:pPr>
      <w:r w:rsidRPr="00FA331B">
        <w:rPr>
          <w:rFonts w:ascii="Arial" w:hAnsi="Arial" w:cs="Arial"/>
          <w:sz w:val="20"/>
        </w:rPr>
        <w:t>The coordination and development of global IP infrastructure also contributes to Strategic Goal III (Use of IP for Development), Strategic Goal II (Provision of Premier Global IP Services) and Strategic Goal</w:t>
      </w:r>
      <w:r>
        <w:rPr>
          <w:rFonts w:ascii="Arial" w:hAnsi="Arial" w:cs="Arial"/>
          <w:sz w:val="20"/>
        </w:rPr>
        <w:t> </w:t>
      </w:r>
      <w:r w:rsidRPr="00FA331B">
        <w:rPr>
          <w:rFonts w:ascii="Arial" w:hAnsi="Arial" w:cs="Arial"/>
          <w:sz w:val="20"/>
        </w:rPr>
        <w:t xml:space="preserve">V (World Reference Source for IP Information).  It includes the implementation of </w:t>
      </w:r>
      <w:r>
        <w:rPr>
          <w:rFonts w:ascii="Arial" w:hAnsi="Arial" w:cs="Arial"/>
          <w:sz w:val="20"/>
        </w:rPr>
        <w:t>a number of Development Agenda r</w:t>
      </w:r>
      <w:r w:rsidRPr="00FA331B">
        <w:rPr>
          <w:rFonts w:ascii="Arial" w:hAnsi="Arial" w:cs="Arial"/>
          <w:sz w:val="20"/>
        </w:rPr>
        <w:t>ecommendations.</w:t>
      </w:r>
    </w:p>
    <w:p w14:paraId="559C59B7" w14:textId="77777777" w:rsidR="005363E7" w:rsidRPr="0089773D" w:rsidRDefault="005363E7" w:rsidP="005363E7">
      <w:pPr>
        <w:tabs>
          <w:tab w:val="left" w:pos="1701"/>
        </w:tabs>
        <w:ind w:left="1701" w:hanging="1701"/>
        <w:jc w:val="center"/>
        <w:rPr>
          <w:rFonts w:ascii="Arial" w:hAnsi="Arial" w:cs="Arial"/>
          <w:b/>
          <w:bCs/>
          <w:i/>
          <w:iCs/>
          <w:caps/>
          <w:sz w:val="20"/>
        </w:rPr>
      </w:pPr>
    </w:p>
    <w:p w14:paraId="013CF2CE" w14:textId="63B0EC1B" w:rsidR="007D3B04" w:rsidRDefault="007D3B04" w:rsidP="008D3EC2">
      <w:pPr>
        <w:rPr>
          <w:rFonts w:ascii="Arial" w:eastAsia="Arial" w:hAnsi="Arial" w:cs="Arial"/>
          <w:sz w:val="20"/>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C9789B" w:rsidRPr="00AF5E7C" w14:paraId="2C313519" w14:textId="77777777" w:rsidTr="00614B77">
        <w:trPr>
          <w:cantSplit/>
          <w:trHeight w:val="334"/>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685D4316" w14:textId="77777777" w:rsidR="00C9789B" w:rsidRPr="00923CBC" w:rsidRDefault="00C9789B" w:rsidP="005A1F7F">
            <w:pPr>
              <w:spacing w:after="120"/>
              <w:jc w:val="center"/>
              <w:rPr>
                <w:rFonts w:ascii="Arial" w:hAnsi="Arial" w:cs="Arial"/>
                <w:b/>
                <w:bCs/>
                <w:sz w:val="18"/>
                <w:szCs w:val="18"/>
              </w:rPr>
            </w:pPr>
            <w:r w:rsidRPr="00923CBC">
              <w:rPr>
                <w:rFonts w:ascii="Arial" w:hAnsi="Arial" w:cs="Arial"/>
                <w:b/>
                <w:bCs/>
                <w:sz w:val="18"/>
                <w:szCs w:val="18"/>
              </w:rPr>
              <w:t>Expected Results</w:t>
            </w:r>
          </w:p>
        </w:tc>
        <w:tc>
          <w:tcPr>
            <w:tcW w:w="1464" w:type="pct"/>
            <w:tcBorders>
              <w:top w:val="single" w:sz="4" w:space="0" w:color="auto"/>
              <w:bottom w:val="single" w:sz="4" w:space="0" w:color="auto"/>
            </w:tcBorders>
            <w:shd w:val="clear" w:color="auto" w:fill="C6D9F1" w:themeFill="text2" w:themeFillTint="33"/>
            <w:tcMar>
              <w:top w:w="85" w:type="dxa"/>
              <w:bottom w:w="85" w:type="dxa"/>
            </w:tcMar>
            <w:vAlign w:val="center"/>
          </w:tcPr>
          <w:p w14:paraId="5CE39841" w14:textId="77777777" w:rsidR="00C9789B" w:rsidRPr="00923CBC" w:rsidRDefault="00C9789B" w:rsidP="005A1F7F">
            <w:pPr>
              <w:spacing w:after="120"/>
              <w:jc w:val="center"/>
              <w:rPr>
                <w:rFonts w:ascii="Arial" w:hAnsi="Arial" w:cs="Arial"/>
                <w:b/>
                <w:sz w:val="18"/>
                <w:szCs w:val="18"/>
              </w:rPr>
            </w:pPr>
            <w:r w:rsidRPr="00923CBC">
              <w:rPr>
                <w:rFonts w:ascii="Arial" w:hAnsi="Arial" w:cs="Arial"/>
                <w:b/>
                <w:sz w:val="18"/>
                <w:szCs w:val="18"/>
              </w:rPr>
              <w:t>Performance Indicators</w:t>
            </w:r>
          </w:p>
        </w:tc>
        <w:tc>
          <w:tcPr>
            <w:tcW w:w="1645" w:type="pct"/>
            <w:tcBorders>
              <w:top w:val="single" w:sz="4" w:space="0" w:color="auto"/>
              <w:bottom w:val="single" w:sz="4" w:space="0" w:color="auto"/>
            </w:tcBorders>
            <w:shd w:val="clear" w:color="auto" w:fill="C6D9F1" w:themeFill="text2" w:themeFillTint="33"/>
            <w:tcMar>
              <w:top w:w="85" w:type="dxa"/>
              <w:bottom w:w="85" w:type="dxa"/>
            </w:tcMar>
            <w:vAlign w:val="center"/>
          </w:tcPr>
          <w:p w14:paraId="2254D9B8" w14:textId="77777777" w:rsidR="00C9789B" w:rsidRPr="00923CBC" w:rsidRDefault="00C9789B" w:rsidP="005A1F7F">
            <w:pPr>
              <w:spacing w:after="120"/>
              <w:ind w:left="85"/>
              <w:jc w:val="center"/>
              <w:rPr>
                <w:rFonts w:ascii="Arial" w:hAnsi="Arial" w:cs="Arial"/>
                <w:sz w:val="18"/>
                <w:szCs w:val="18"/>
              </w:rPr>
            </w:pPr>
            <w:r w:rsidRPr="00923CBC">
              <w:rPr>
                <w:rFonts w:ascii="Arial" w:hAnsi="Arial" w:cs="Arial"/>
                <w:b/>
                <w:bCs/>
                <w:sz w:val="18"/>
                <w:szCs w:val="18"/>
              </w:rPr>
              <w:t>Responsible Program(s)</w:t>
            </w:r>
          </w:p>
        </w:tc>
      </w:tr>
      <w:tr w:rsidR="00C9789B" w:rsidRPr="00AF5E7C" w14:paraId="66D6ACDC" w14:textId="77777777" w:rsidTr="00614B77">
        <w:trPr>
          <w:cantSplit/>
          <w:trHeight w:val="949"/>
        </w:trPr>
        <w:tc>
          <w:tcPr>
            <w:tcW w:w="1891" w:type="pct"/>
            <w:tcBorders>
              <w:top w:val="single" w:sz="4" w:space="0" w:color="auto"/>
            </w:tcBorders>
            <w:shd w:val="clear" w:color="auto" w:fill="auto"/>
            <w:tcMar>
              <w:top w:w="85" w:type="dxa"/>
              <w:bottom w:w="85" w:type="dxa"/>
            </w:tcMar>
          </w:tcPr>
          <w:p w14:paraId="76CEBDF8" w14:textId="77777777" w:rsidR="00C9789B" w:rsidRPr="00C10568" w:rsidRDefault="00C9789B" w:rsidP="005A1F7F">
            <w:pPr>
              <w:rPr>
                <w:rFonts w:ascii="Arial" w:hAnsi="Arial" w:cs="Arial"/>
                <w:sz w:val="16"/>
                <w:szCs w:val="16"/>
              </w:rPr>
            </w:pPr>
            <w:r w:rsidRPr="00C10568">
              <w:rPr>
                <w:rFonts w:ascii="Arial" w:hAnsi="Arial" w:cs="Arial"/>
                <w:sz w:val="16"/>
                <w:szCs w:val="16"/>
              </w:rPr>
              <w:t>IV.1</w:t>
            </w:r>
            <w:r>
              <w:rPr>
                <w:rFonts w:ascii="Arial" w:hAnsi="Arial" w:cs="Arial"/>
                <w:sz w:val="16"/>
                <w:szCs w:val="16"/>
              </w:rPr>
              <w:t xml:space="preserve">  </w:t>
            </w:r>
            <w:r>
              <w:rPr>
                <w:rFonts w:ascii="Arial" w:hAnsi="Arial" w:cs="Arial"/>
                <w:color w:val="000000"/>
                <w:sz w:val="16"/>
                <w:szCs w:val="16"/>
              </w:rPr>
              <w:t>Updated and globally accepted system of international classifications and WIPO standards to facilitate access, use and dissemination of IP information among stakeholders in the world</w:t>
            </w:r>
          </w:p>
        </w:tc>
        <w:tc>
          <w:tcPr>
            <w:tcW w:w="1464" w:type="pct"/>
            <w:tcBorders>
              <w:top w:val="single" w:sz="4" w:space="0" w:color="auto"/>
            </w:tcBorders>
            <w:shd w:val="clear" w:color="auto" w:fill="auto"/>
            <w:tcMar>
              <w:top w:w="85" w:type="dxa"/>
              <w:bottom w:w="85" w:type="dxa"/>
            </w:tcMar>
          </w:tcPr>
          <w:p w14:paraId="745AD4A4" w14:textId="77777777" w:rsidR="00C9789B" w:rsidRDefault="00C9789B" w:rsidP="005A1F7F">
            <w:pPr>
              <w:rPr>
                <w:rFonts w:ascii="Arial" w:hAnsi="Arial" w:cs="Arial"/>
                <w:sz w:val="16"/>
                <w:szCs w:val="16"/>
              </w:rPr>
            </w:pPr>
            <w:r>
              <w:rPr>
                <w:rFonts w:ascii="Arial" w:hAnsi="Arial" w:cs="Arial"/>
                <w:color w:val="000000"/>
                <w:sz w:val="16"/>
                <w:szCs w:val="16"/>
              </w:rPr>
              <w:t>No. of amendments and information files introduced into the Nice Classification</w:t>
            </w:r>
            <w:r w:rsidRPr="00C10568">
              <w:rPr>
                <w:rFonts w:ascii="Arial" w:hAnsi="Arial" w:cs="Arial"/>
                <w:sz w:val="16"/>
                <w:szCs w:val="16"/>
              </w:rPr>
              <w:t xml:space="preserve"> </w:t>
            </w:r>
          </w:p>
          <w:p w14:paraId="5B9C9A07" w14:textId="77777777" w:rsidR="00C9789B" w:rsidRDefault="00C9789B" w:rsidP="005A1F7F">
            <w:pPr>
              <w:rPr>
                <w:rFonts w:ascii="Arial" w:hAnsi="Arial" w:cs="Arial"/>
                <w:sz w:val="16"/>
                <w:szCs w:val="16"/>
              </w:rPr>
            </w:pPr>
          </w:p>
          <w:p w14:paraId="21CDE187" w14:textId="77777777" w:rsidR="00C9789B" w:rsidRPr="00C10568" w:rsidRDefault="00C9789B" w:rsidP="005A1F7F">
            <w:pPr>
              <w:rPr>
                <w:rFonts w:ascii="Arial" w:hAnsi="Arial" w:cs="Arial"/>
                <w:sz w:val="16"/>
                <w:szCs w:val="16"/>
              </w:rPr>
            </w:pPr>
            <w:r w:rsidRPr="00C10568">
              <w:rPr>
                <w:rFonts w:ascii="Arial" w:hAnsi="Arial" w:cs="Arial"/>
                <w:sz w:val="16"/>
                <w:szCs w:val="16"/>
              </w:rPr>
              <w:t>No</w:t>
            </w:r>
            <w:r>
              <w:rPr>
                <w:rFonts w:ascii="Arial" w:hAnsi="Arial" w:cs="Arial"/>
                <w:sz w:val="16"/>
                <w:szCs w:val="16"/>
              </w:rPr>
              <w:t>.</w:t>
            </w:r>
            <w:r w:rsidRPr="00C10568">
              <w:rPr>
                <w:rFonts w:ascii="Arial" w:hAnsi="Arial" w:cs="Arial"/>
                <w:sz w:val="16"/>
                <w:szCs w:val="16"/>
              </w:rPr>
              <w:t xml:space="preserve"> of new subdivisions introduced into the IPC per year</w:t>
            </w:r>
          </w:p>
        </w:tc>
        <w:tc>
          <w:tcPr>
            <w:tcW w:w="1645" w:type="pct"/>
            <w:tcBorders>
              <w:top w:val="single" w:sz="4" w:space="0" w:color="auto"/>
            </w:tcBorders>
            <w:shd w:val="clear" w:color="auto" w:fill="FFFFFF"/>
            <w:tcMar>
              <w:top w:w="85" w:type="dxa"/>
              <w:bottom w:w="85" w:type="dxa"/>
            </w:tcMar>
          </w:tcPr>
          <w:p w14:paraId="7251A97E"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12</w:t>
            </w:r>
          </w:p>
          <w:p w14:paraId="41E0427B" w14:textId="77777777" w:rsidR="00C9789B" w:rsidRDefault="00C9789B" w:rsidP="005A1F7F">
            <w:pPr>
              <w:ind w:left="660"/>
              <w:rPr>
                <w:rFonts w:ascii="Arial" w:hAnsi="Arial" w:cs="Arial"/>
                <w:sz w:val="16"/>
                <w:szCs w:val="16"/>
                <w:lang w:bidi="th-TH"/>
              </w:rPr>
            </w:pPr>
          </w:p>
          <w:p w14:paraId="53633E53" w14:textId="77777777" w:rsidR="00C9789B" w:rsidRDefault="00C9789B" w:rsidP="005A1F7F">
            <w:pPr>
              <w:ind w:left="660"/>
              <w:rPr>
                <w:rFonts w:ascii="Arial" w:hAnsi="Arial" w:cs="Arial"/>
                <w:sz w:val="16"/>
                <w:szCs w:val="16"/>
                <w:lang w:bidi="th-TH"/>
              </w:rPr>
            </w:pPr>
          </w:p>
          <w:p w14:paraId="215AE799" w14:textId="77777777" w:rsidR="00C9789B" w:rsidRDefault="00C9789B" w:rsidP="005A1F7F">
            <w:pPr>
              <w:ind w:left="660"/>
              <w:rPr>
                <w:rFonts w:ascii="Arial" w:hAnsi="Arial" w:cs="Arial"/>
                <w:sz w:val="16"/>
                <w:szCs w:val="16"/>
                <w:lang w:bidi="th-TH"/>
              </w:rPr>
            </w:pPr>
          </w:p>
          <w:p w14:paraId="37738C35"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202E28B5" w14:textId="77777777" w:rsidTr="00614B77">
        <w:trPr>
          <w:cantSplit/>
          <w:trHeight w:val="454"/>
        </w:trPr>
        <w:tc>
          <w:tcPr>
            <w:tcW w:w="1891" w:type="pct"/>
            <w:shd w:val="clear" w:color="auto" w:fill="auto"/>
            <w:tcMar>
              <w:top w:w="85" w:type="dxa"/>
              <w:bottom w:w="85" w:type="dxa"/>
            </w:tcMar>
          </w:tcPr>
          <w:p w14:paraId="54B26B6E"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BD0504C" w14:textId="77777777" w:rsidR="00C9789B" w:rsidRPr="00C10568" w:rsidRDefault="00C9789B" w:rsidP="005A1F7F">
            <w:pPr>
              <w:rPr>
                <w:rFonts w:ascii="Arial" w:hAnsi="Arial" w:cs="Arial"/>
                <w:sz w:val="16"/>
                <w:szCs w:val="16"/>
              </w:rPr>
            </w:pPr>
            <w:r>
              <w:rPr>
                <w:rFonts w:ascii="Arial" w:hAnsi="Arial" w:cs="Arial"/>
                <w:color w:val="000000"/>
                <w:sz w:val="16"/>
                <w:szCs w:val="16"/>
              </w:rPr>
              <w:t>No. of amended and new standards adopted</w:t>
            </w:r>
          </w:p>
        </w:tc>
        <w:tc>
          <w:tcPr>
            <w:tcW w:w="1645" w:type="pct"/>
            <w:shd w:val="clear" w:color="auto" w:fill="FFFFFF"/>
            <w:tcMar>
              <w:top w:w="85" w:type="dxa"/>
              <w:bottom w:w="85" w:type="dxa"/>
            </w:tcMar>
          </w:tcPr>
          <w:p w14:paraId="61A55EAE"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0B4F38F4" w14:textId="77777777" w:rsidTr="00614B77">
        <w:trPr>
          <w:cantSplit/>
          <w:trHeight w:val="883"/>
        </w:trPr>
        <w:tc>
          <w:tcPr>
            <w:tcW w:w="1891" w:type="pct"/>
            <w:shd w:val="clear" w:color="auto" w:fill="auto"/>
            <w:tcMar>
              <w:top w:w="85" w:type="dxa"/>
              <w:bottom w:w="85" w:type="dxa"/>
            </w:tcMar>
          </w:tcPr>
          <w:p w14:paraId="25DC6605"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342A57C" w14:textId="77777777" w:rsidR="00C9789B" w:rsidRPr="00C10568" w:rsidRDefault="00C9789B" w:rsidP="005A1F7F">
            <w:pPr>
              <w:rPr>
                <w:rFonts w:ascii="Arial" w:hAnsi="Arial" w:cs="Arial"/>
                <w:sz w:val="16"/>
                <w:szCs w:val="16"/>
              </w:rPr>
            </w:pPr>
            <w:r>
              <w:rPr>
                <w:rFonts w:ascii="Arial" w:hAnsi="Arial" w:cs="Arial"/>
                <w:color w:val="000000"/>
                <w:sz w:val="16"/>
                <w:szCs w:val="16"/>
              </w:rPr>
              <w:t>No. of users accessing the Internet publications of international classifications and standards, in particular from developing countries</w:t>
            </w:r>
          </w:p>
        </w:tc>
        <w:tc>
          <w:tcPr>
            <w:tcW w:w="1645" w:type="pct"/>
            <w:shd w:val="clear" w:color="auto" w:fill="FFFFFF"/>
            <w:tcMar>
              <w:top w:w="85" w:type="dxa"/>
              <w:bottom w:w="85" w:type="dxa"/>
            </w:tcMar>
          </w:tcPr>
          <w:p w14:paraId="7ED34D73"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3E7C233F" w14:textId="77777777" w:rsidTr="00614B77">
        <w:trPr>
          <w:cantSplit/>
          <w:trHeight w:val="693"/>
        </w:trPr>
        <w:tc>
          <w:tcPr>
            <w:tcW w:w="1891" w:type="pct"/>
            <w:shd w:val="clear" w:color="auto" w:fill="auto"/>
            <w:tcMar>
              <w:top w:w="85" w:type="dxa"/>
              <w:bottom w:w="85" w:type="dxa"/>
            </w:tcMar>
          </w:tcPr>
          <w:p w14:paraId="7948ABFF" w14:textId="77777777" w:rsidR="00C9789B" w:rsidRPr="00C628EB" w:rsidRDefault="00C9789B" w:rsidP="005A1F7F">
            <w:pPr>
              <w:rPr>
                <w:rFonts w:ascii="Arial" w:hAnsi="Arial" w:cs="Arial"/>
                <w:sz w:val="16"/>
                <w:szCs w:val="16"/>
              </w:rPr>
            </w:pPr>
            <w:r w:rsidRPr="00C628EB">
              <w:rPr>
                <w:rFonts w:ascii="Arial" w:hAnsi="Arial" w:cs="Arial"/>
                <w:sz w:val="16"/>
                <w:szCs w:val="16"/>
              </w:rPr>
              <w:t>IV.2</w:t>
            </w:r>
            <w:r>
              <w:rPr>
                <w:rFonts w:ascii="Arial" w:hAnsi="Arial" w:cs="Arial"/>
                <w:sz w:val="16"/>
                <w:szCs w:val="16"/>
              </w:rPr>
              <w:t xml:space="preserve">  </w:t>
            </w:r>
            <w:r>
              <w:rPr>
                <w:rFonts w:ascii="Arial" w:hAnsi="Arial" w:cs="Arial"/>
                <w:color w:val="000000"/>
                <w:sz w:val="16"/>
                <w:szCs w:val="16"/>
              </w:rPr>
              <w:t>Enhanced access to, and use of, IP information by IP institutions and the public to promote innovation and creativity</w:t>
            </w:r>
          </w:p>
        </w:tc>
        <w:tc>
          <w:tcPr>
            <w:tcW w:w="1464" w:type="pct"/>
            <w:shd w:val="clear" w:color="auto" w:fill="auto"/>
            <w:tcMar>
              <w:top w:w="85" w:type="dxa"/>
              <w:bottom w:w="85" w:type="dxa"/>
            </w:tcMar>
          </w:tcPr>
          <w:p w14:paraId="73FB6126"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ABC constituent members</w:t>
            </w:r>
            <w:r w:rsidRPr="002F442C">
              <w:rPr>
                <w:rFonts w:ascii="Arial" w:hAnsi="Arial" w:cs="Arial"/>
                <w:color w:val="000000"/>
                <w:sz w:val="16"/>
                <w:szCs w:val="16"/>
              </w:rPr>
              <w:br/>
            </w:r>
          </w:p>
        </w:tc>
        <w:tc>
          <w:tcPr>
            <w:tcW w:w="1645" w:type="pct"/>
            <w:shd w:val="clear" w:color="auto" w:fill="FFFFFF"/>
            <w:tcMar>
              <w:top w:w="85" w:type="dxa"/>
              <w:bottom w:w="85" w:type="dxa"/>
            </w:tcMar>
          </w:tcPr>
          <w:p w14:paraId="0DCAF741"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41AE48EF" w14:textId="77777777" w:rsidTr="00614B77">
        <w:trPr>
          <w:cantSplit/>
          <w:trHeight w:val="326"/>
        </w:trPr>
        <w:tc>
          <w:tcPr>
            <w:tcW w:w="1891" w:type="pct"/>
            <w:shd w:val="clear" w:color="auto" w:fill="auto"/>
            <w:tcMar>
              <w:top w:w="85" w:type="dxa"/>
              <w:bottom w:w="85" w:type="dxa"/>
            </w:tcMar>
          </w:tcPr>
          <w:p w14:paraId="3B610F4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59456D6"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donors</w:t>
            </w:r>
          </w:p>
        </w:tc>
        <w:tc>
          <w:tcPr>
            <w:tcW w:w="1645" w:type="pct"/>
            <w:shd w:val="clear" w:color="auto" w:fill="FFFFFF"/>
            <w:tcMar>
              <w:top w:w="85" w:type="dxa"/>
              <w:bottom w:w="85" w:type="dxa"/>
            </w:tcMar>
          </w:tcPr>
          <w:p w14:paraId="76D4181F"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64CF4AF2" w14:textId="77777777" w:rsidTr="00614B77">
        <w:trPr>
          <w:cantSplit/>
          <w:trHeight w:val="620"/>
        </w:trPr>
        <w:tc>
          <w:tcPr>
            <w:tcW w:w="1891" w:type="pct"/>
            <w:shd w:val="clear" w:color="auto" w:fill="auto"/>
            <w:tcMar>
              <w:top w:w="85" w:type="dxa"/>
              <w:bottom w:w="85" w:type="dxa"/>
            </w:tcMar>
          </w:tcPr>
          <w:p w14:paraId="5630D36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A2B5423"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legal instruments, guidelines, statements of principles other than binding instruments with the participation of the stakeholders concerned in areas such as new copyright treaties and Copyright in the Digital Environment</w:t>
            </w:r>
          </w:p>
        </w:tc>
        <w:tc>
          <w:tcPr>
            <w:tcW w:w="1645" w:type="pct"/>
            <w:shd w:val="clear" w:color="auto" w:fill="FFFFFF"/>
            <w:tcMar>
              <w:top w:w="85" w:type="dxa"/>
              <w:bottom w:w="85" w:type="dxa"/>
            </w:tcMar>
          </w:tcPr>
          <w:p w14:paraId="5B479941"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BF5EAA" w:rsidRPr="00AF5E7C" w14:paraId="4D646474" w14:textId="77777777" w:rsidTr="00614B77">
        <w:trPr>
          <w:cantSplit/>
          <w:trHeight w:val="620"/>
        </w:trPr>
        <w:tc>
          <w:tcPr>
            <w:tcW w:w="1891" w:type="pct"/>
            <w:shd w:val="clear" w:color="auto" w:fill="auto"/>
            <w:tcMar>
              <w:top w:w="85" w:type="dxa"/>
              <w:bottom w:w="85" w:type="dxa"/>
            </w:tcMar>
          </w:tcPr>
          <w:p w14:paraId="29C178BE" w14:textId="77777777" w:rsidR="00BF5EAA" w:rsidRPr="00AF5E7C" w:rsidRDefault="00BF5EAA" w:rsidP="005A1F7F">
            <w:pPr>
              <w:rPr>
                <w:rFonts w:ascii="Arial" w:hAnsi="Arial" w:cs="Arial"/>
                <w:sz w:val="16"/>
                <w:szCs w:val="16"/>
              </w:rPr>
            </w:pPr>
          </w:p>
        </w:tc>
        <w:tc>
          <w:tcPr>
            <w:tcW w:w="1464" w:type="pct"/>
            <w:shd w:val="clear" w:color="auto" w:fill="auto"/>
            <w:tcMar>
              <w:top w:w="85" w:type="dxa"/>
              <w:bottom w:w="85" w:type="dxa"/>
            </w:tcMar>
          </w:tcPr>
          <w:p w14:paraId="7E41EA2F" w14:textId="5FC6A5A5" w:rsidR="00BF5EAA" w:rsidRPr="002F442C" w:rsidRDefault="00BF5EAA" w:rsidP="005A1F7F">
            <w:pPr>
              <w:rPr>
                <w:rFonts w:ascii="Arial" w:hAnsi="Arial" w:cs="Arial"/>
                <w:color w:val="000000"/>
                <w:sz w:val="16"/>
                <w:szCs w:val="16"/>
              </w:rPr>
            </w:pPr>
            <w:r>
              <w:rPr>
                <w:rFonts w:ascii="Arial" w:hAnsi="Arial" w:cs="Arial"/>
                <w:color w:val="000000"/>
                <w:sz w:val="16"/>
                <w:szCs w:val="16"/>
              </w:rPr>
              <w:t>% of participants in seminars and workshops on copyright in the digital environment expressing positive feedback</w:t>
            </w:r>
          </w:p>
        </w:tc>
        <w:tc>
          <w:tcPr>
            <w:tcW w:w="1645" w:type="pct"/>
            <w:shd w:val="clear" w:color="auto" w:fill="FFFFFF"/>
            <w:tcMar>
              <w:top w:w="85" w:type="dxa"/>
              <w:bottom w:w="85" w:type="dxa"/>
            </w:tcMar>
          </w:tcPr>
          <w:p w14:paraId="41C2131F" w14:textId="7D4F9D62" w:rsidR="00BF5EAA" w:rsidRDefault="00BF5EAA"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0E6E1E84" w14:textId="77777777" w:rsidTr="00614B77">
        <w:trPr>
          <w:cantSplit/>
          <w:trHeight w:val="437"/>
        </w:trPr>
        <w:tc>
          <w:tcPr>
            <w:tcW w:w="1891" w:type="pct"/>
            <w:shd w:val="clear" w:color="auto" w:fill="auto"/>
            <w:tcMar>
              <w:top w:w="85" w:type="dxa"/>
              <w:bottom w:w="85" w:type="dxa"/>
            </w:tcMar>
          </w:tcPr>
          <w:p w14:paraId="7F7B1B2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0CE7174" w14:textId="6C4C3E9B" w:rsidR="00C9789B" w:rsidRPr="002B01EE" w:rsidRDefault="00C9789B" w:rsidP="005A1F7F">
            <w:pPr>
              <w:rPr>
                <w:rFonts w:ascii="Arial" w:hAnsi="Arial" w:cs="Arial"/>
                <w:color w:val="00B050"/>
                <w:sz w:val="16"/>
                <w:szCs w:val="16"/>
              </w:rPr>
            </w:pPr>
            <w:r w:rsidRPr="002B01EE">
              <w:rPr>
                <w:rFonts w:ascii="Arial" w:hAnsi="Arial" w:cs="Arial"/>
                <w:color w:val="000000"/>
                <w:sz w:val="16"/>
                <w:szCs w:val="16"/>
              </w:rPr>
              <w:t>No. of sustainable</w:t>
            </w:r>
            <w:r w:rsidR="00CF7658">
              <w:rPr>
                <w:rStyle w:val="FootnoteReference"/>
                <w:rFonts w:ascii="Arial" w:hAnsi="Arial" w:cs="Arial"/>
                <w:color w:val="000000"/>
                <w:sz w:val="16"/>
                <w:szCs w:val="16"/>
              </w:rPr>
              <w:footnoteReference w:id="20"/>
            </w:r>
            <w:r w:rsidRPr="002B01EE">
              <w:rPr>
                <w:rFonts w:ascii="Arial" w:hAnsi="Arial" w:cs="Arial"/>
                <w:color w:val="000000"/>
                <w:sz w:val="16"/>
                <w:szCs w:val="16"/>
              </w:rPr>
              <w:t xml:space="preserve"> national TISC networks (numbers cumulative)</w:t>
            </w:r>
          </w:p>
        </w:tc>
        <w:tc>
          <w:tcPr>
            <w:tcW w:w="1645" w:type="pct"/>
            <w:shd w:val="clear" w:color="auto" w:fill="FFFFFF"/>
            <w:tcMar>
              <w:top w:w="85" w:type="dxa"/>
              <w:bottom w:w="85" w:type="dxa"/>
            </w:tcMar>
          </w:tcPr>
          <w:p w14:paraId="7AE33C63" w14:textId="77777777" w:rsidR="00C9789B" w:rsidRPr="00962F07" w:rsidRDefault="00C9789B" w:rsidP="005A1F7F">
            <w:pPr>
              <w:ind w:left="660"/>
              <w:rPr>
                <w:rFonts w:ascii="Arial" w:hAnsi="Arial" w:cs="Arial"/>
                <w:sz w:val="16"/>
                <w:szCs w:val="16"/>
                <w:lang w:bidi="th-TH"/>
              </w:rPr>
            </w:pPr>
            <w:r w:rsidRPr="00962F07">
              <w:rPr>
                <w:rFonts w:ascii="Arial" w:hAnsi="Arial" w:cs="Arial"/>
                <w:sz w:val="16"/>
                <w:szCs w:val="16"/>
                <w:lang w:bidi="th-TH"/>
              </w:rPr>
              <w:t>Program 9</w:t>
            </w:r>
          </w:p>
          <w:p w14:paraId="7A90AC94" w14:textId="77777777" w:rsidR="00C9789B" w:rsidRDefault="00C9789B" w:rsidP="005A1F7F">
            <w:pPr>
              <w:ind w:left="660"/>
              <w:rPr>
                <w:rFonts w:ascii="Arial" w:hAnsi="Arial" w:cs="Arial"/>
                <w:color w:val="000000"/>
                <w:sz w:val="16"/>
                <w:szCs w:val="16"/>
                <w:lang w:bidi="th-TH"/>
              </w:rPr>
            </w:pPr>
            <w:r w:rsidRPr="00C93758">
              <w:rPr>
                <w:rFonts w:ascii="Arial" w:hAnsi="Arial" w:cs="Arial"/>
                <w:color w:val="000000"/>
                <w:sz w:val="16"/>
                <w:szCs w:val="16"/>
                <w:lang w:bidi="th-TH"/>
              </w:rPr>
              <w:t>Program 14</w:t>
            </w:r>
          </w:p>
          <w:p w14:paraId="1B39AB52" w14:textId="77777777" w:rsidR="00C9789B" w:rsidRPr="00C93758" w:rsidRDefault="00C9789B" w:rsidP="005A1F7F">
            <w:pPr>
              <w:ind w:left="660"/>
              <w:rPr>
                <w:rFonts w:ascii="Arial" w:hAnsi="Arial" w:cs="Arial"/>
                <w:color w:val="000000"/>
                <w:sz w:val="16"/>
                <w:szCs w:val="16"/>
                <w:lang w:bidi="th-TH"/>
              </w:rPr>
            </w:pPr>
            <w:r>
              <w:rPr>
                <w:rFonts w:ascii="Arial" w:hAnsi="Arial" w:cs="Arial"/>
                <w:color w:val="000000"/>
                <w:sz w:val="16"/>
                <w:szCs w:val="16"/>
                <w:lang w:bidi="th-TH"/>
              </w:rPr>
              <w:t xml:space="preserve">Program 20 </w:t>
            </w:r>
          </w:p>
        </w:tc>
      </w:tr>
      <w:tr w:rsidR="00C9789B" w:rsidRPr="00AF5E7C" w14:paraId="06F1FB4A" w14:textId="77777777" w:rsidTr="00614B77">
        <w:trPr>
          <w:cantSplit/>
          <w:trHeight w:val="762"/>
        </w:trPr>
        <w:tc>
          <w:tcPr>
            <w:tcW w:w="1891" w:type="pct"/>
            <w:shd w:val="clear" w:color="auto" w:fill="auto"/>
            <w:tcMar>
              <w:top w:w="85" w:type="dxa"/>
              <w:bottom w:w="85" w:type="dxa"/>
            </w:tcMar>
          </w:tcPr>
          <w:p w14:paraId="31956A7F"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4C235AFC" w14:textId="77777777" w:rsidR="00C9789B" w:rsidRPr="00FC0907" w:rsidRDefault="00C9789B" w:rsidP="005A1F7F">
            <w:pPr>
              <w:rPr>
                <w:rFonts w:ascii="Arial" w:hAnsi="Arial" w:cs="Arial"/>
                <w:sz w:val="16"/>
                <w:szCs w:val="16"/>
                <w:highlight w:val="yellow"/>
              </w:rPr>
            </w:pPr>
            <w:r w:rsidRPr="00FC0907">
              <w:rPr>
                <w:rFonts w:ascii="Arial" w:hAnsi="Arial" w:cs="Arial"/>
                <w:color w:val="000000"/>
                <w:sz w:val="16"/>
                <w:szCs w:val="16"/>
              </w:rPr>
              <w:t>No. of organizations, communities, individuals that applied and used the Appropriate Technology as a solution to identified development challenges in LDCs</w:t>
            </w:r>
          </w:p>
        </w:tc>
        <w:tc>
          <w:tcPr>
            <w:tcW w:w="1645" w:type="pct"/>
            <w:shd w:val="clear" w:color="auto" w:fill="FFFFFF"/>
            <w:tcMar>
              <w:top w:w="85" w:type="dxa"/>
              <w:bottom w:w="85" w:type="dxa"/>
            </w:tcMar>
          </w:tcPr>
          <w:p w14:paraId="03664F04" w14:textId="77777777" w:rsidR="00C9789B" w:rsidRPr="00DD2110" w:rsidRDefault="00C9789B" w:rsidP="005A1F7F">
            <w:pPr>
              <w:ind w:left="660"/>
              <w:rPr>
                <w:rFonts w:ascii="Arial" w:hAnsi="Arial" w:cs="Arial"/>
                <w:sz w:val="16"/>
                <w:szCs w:val="16"/>
                <w:highlight w:val="yellow"/>
                <w:lang w:bidi="th-TH"/>
              </w:rPr>
            </w:pPr>
            <w:r w:rsidRPr="00BE2B00">
              <w:rPr>
                <w:rFonts w:ascii="Arial" w:hAnsi="Arial" w:cs="Arial"/>
                <w:sz w:val="16"/>
                <w:szCs w:val="16"/>
                <w:lang w:bidi="th-TH"/>
              </w:rPr>
              <w:t>Program 9</w:t>
            </w:r>
          </w:p>
        </w:tc>
      </w:tr>
      <w:tr w:rsidR="00C9789B" w:rsidRPr="00AF5E7C" w14:paraId="53AAD920" w14:textId="77777777" w:rsidTr="00614B77">
        <w:trPr>
          <w:cantSplit/>
          <w:trHeight w:val="762"/>
        </w:trPr>
        <w:tc>
          <w:tcPr>
            <w:tcW w:w="1891" w:type="pct"/>
            <w:shd w:val="clear" w:color="auto" w:fill="auto"/>
            <w:tcMar>
              <w:top w:w="85" w:type="dxa"/>
              <w:bottom w:w="85" w:type="dxa"/>
            </w:tcMar>
          </w:tcPr>
          <w:p w14:paraId="0C41E728"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574D8F85"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Use of Appropriate Technology for development through  patent searches and reports, technology landscapes, business plans (Number of experts, National Expert Groups (NEGs) in LDCs)</w:t>
            </w:r>
          </w:p>
        </w:tc>
        <w:tc>
          <w:tcPr>
            <w:tcW w:w="1645" w:type="pct"/>
            <w:shd w:val="clear" w:color="auto" w:fill="FFFFFF"/>
            <w:tcMar>
              <w:top w:w="85" w:type="dxa"/>
              <w:bottom w:w="85" w:type="dxa"/>
            </w:tcMar>
          </w:tcPr>
          <w:p w14:paraId="5587BEAD"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616BE1A3" w14:textId="77777777" w:rsidTr="00614B77">
        <w:trPr>
          <w:cantSplit/>
          <w:trHeight w:val="475"/>
        </w:trPr>
        <w:tc>
          <w:tcPr>
            <w:tcW w:w="1891" w:type="pct"/>
            <w:shd w:val="clear" w:color="auto" w:fill="auto"/>
            <w:tcMar>
              <w:top w:w="85" w:type="dxa"/>
              <w:bottom w:w="85" w:type="dxa"/>
            </w:tcMar>
          </w:tcPr>
          <w:p w14:paraId="5C587824"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4905DCE9"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Identified Appropriate Technology commercialized in LDCs</w:t>
            </w:r>
          </w:p>
        </w:tc>
        <w:tc>
          <w:tcPr>
            <w:tcW w:w="1645" w:type="pct"/>
            <w:shd w:val="clear" w:color="auto" w:fill="FFFFFF"/>
            <w:tcMar>
              <w:top w:w="85" w:type="dxa"/>
              <w:bottom w:w="85" w:type="dxa"/>
            </w:tcMar>
          </w:tcPr>
          <w:p w14:paraId="00F8BCB3"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56AC61D2" w14:textId="77777777" w:rsidTr="00614B77">
        <w:trPr>
          <w:cantSplit/>
          <w:trHeight w:val="386"/>
        </w:trPr>
        <w:tc>
          <w:tcPr>
            <w:tcW w:w="1891" w:type="pct"/>
            <w:shd w:val="clear" w:color="auto" w:fill="auto"/>
            <w:tcMar>
              <w:top w:w="85" w:type="dxa"/>
              <w:bottom w:w="85" w:type="dxa"/>
            </w:tcMar>
          </w:tcPr>
          <w:p w14:paraId="02BC166B"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04B4AA8A"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Projects replicated in other areas in LDCs</w:t>
            </w:r>
          </w:p>
        </w:tc>
        <w:tc>
          <w:tcPr>
            <w:tcW w:w="1645" w:type="pct"/>
            <w:shd w:val="clear" w:color="auto" w:fill="FFFFFF"/>
            <w:tcMar>
              <w:top w:w="85" w:type="dxa"/>
              <w:bottom w:w="85" w:type="dxa"/>
            </w:tcMar>
          </w:tcPr>
          <w:p w14:paraId="21FF354C"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4CDE1421" w14:textId="77777777" w:rsidTr="00614B77">
        <w:trPr>
          <w:cantSplit/>
          <w:trHeight w:val="652"/>
        </w:trPr>
        <w:tc>
          <w:tcPr>
            <w:tcW w:w="1891" w:type="pct"/>
            <w:shd w:val="clear" w:color="auto" w:fill="auto"/>
            <w:tcMar>
              <w:top w:w="85" w:type="dxa"/>
              <w:bottom w:w="85" w:type="dxa"/>
            </w:tcMar>
          </w:tcPr>
          <w:p w14:paraId="2E3196D9"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3F74C957"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Institutions established to continue working on Appropriate Technology in LDCs</w:t>
            </w:r>
          </w:p>
        </w:tc>
        <w:tc>
          <w:tcPr>
            <w:tcW w:w="1645" w:type="pct"/>
            <w:shd w:val="clear" w:color="auto" w:fill="FFFFFF"/>
            <w:tcMar>
              <w:top w:w="85" w:type="dxa"/>
              <w:bottom w:w="85" w:type="dxa"/>
            </w:tcMar>
          </w:tcPr>
          <w:p w14:paraId="7E5CE585"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7F46FD64" w14:textId="77777777" w:rsidTr="00614B77">
        <w:trPr>
          <w:cantSplit/>
          <w:trHeight w:val="762"/>
        </w:trPr>
        <w:tc>
          <w:tcPr>
            <w:tcW w:w="1891" w:type="pct"/>
            <w:shd w:val="clear" w:color="auto" w:fill="auto"/>
            <w:tcMar>
              <w:top w:w="85" w:type="dxa"/>
              <w:bottom w:w="85" w:type="dxa"/>
            </w:tcMar>
          </w:tcPr>
          <w:p w14:paraId="7EB716B8"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50EF7DCA"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Continuation and expansion of national technological capacity building programs on Appropriate Technology  in LDCs</w:t>
            </w:r>
          </w:p>
        </w:tc>
        <w:tc>
          <w:tcPr>
            <w:tcW w:w="1645" w:type="pct"/>
            <w:shd w:val="clear" w:color="auto" w:fill="FFFFFF"/>
            <w:tcMar>
              <w:top w:w="85" w:type="dxa"/>
              <w:bottom w:w="85" w:type="dxa"/>
            </w:tcMar>
          </w:tcPr>
          <w:p w14:paraId="0EB98C45"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02BF749E" w14:textId="77777777" w:rsidTr="00614B77">
        <w:trPr>
          <w:cantSplit/>
          <w:trHeight w:val="762"/>
        </w:trPr>
        <w:tc>
          <w:tcPr>
            <w:tcW w:w="1891" w:type="pct"/>
            <w:shd w:val="clear" w:color="auto" w:fill="auto"/>
            <w:tcMar>
              <w:top w:w="85" w:type="dxa"/>
              <w:bottom w:w="85" w:type="dxa"/>
            </w:tcMar>
          </w:tcPr>
          <w:p w14:paraId="6173ECB9"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374D57BD"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Utilization of Appropriate Technology for economic development included in the national innovation and IP policies and strategies in LDCs</w:t>
            </w:r>
          </w:p>
        </w:tc>
        <w:tc>
          <w:tcPr>
            <w:tcW w:w="1645" w:type="pct"/>
            <w:shd w:val="clear" w:color="auto" w:fill="FFFFFF"/>
            <w:tcMar>
              <w:top w:w="85" w:type="dxa"/>
              <w:bottom w:w="85" w:type="dxa"/>
            </w:tcMar>
          </w:tcPr>
          <w:p w14:paraId="2D2BC208"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4CAEDCA0" w14:textId="77777777" w:rsidTr="00614B77">
        <w:trPr>
          <w:cantSplit/>
          <w:trHeight w:val="550"/>
        </w:trPr>
        <w:tc>
          <w:tcPr>
            <w:tcW w:w="1891" w:type="pct"/>
            <w:shd w:val="clear" w:color="auto" w:fill="auto"/>
            <w:tcMar>
              <w:top w:w="85" w:type="dxa"/>
              <w:bottom w:w="85" w:type="dxa"/>
            </w:tcMar>
          </w:tcPr>
          <w:p w14:paraId="05E97E5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69A1424C" w14:textId="77777777" w:rsidR="00C9789B" w:rsidRPr="003E1C54" w:rsidRDefault="00C9789B" w:rsidP="005A1F7F">
            <w:pPr>
              <w:rPr>
                <w:rFonts w:ascii="Arial" w:hAnsi="Arial" w:cs="Arial"/>
                <w:sz w:val="16"/>
                <w:szCs w:val="16"/>
              </w:rPr>
            </w:pPr>
            <w:r>
              <w:rPr>
                <w:rFonts w:ascii="Arial" w:hAnsi="Arial" w:cs="Arial"/>
                <w:color w:val="000000"/>
                <w:sz w:val="16"/>
                <w:szCs w:val="16"/>
              </w:rPr>
              <w:t>No. of different users per quarter in all Global Database systems</w:t>
            </w:r>
          </w:p>
        </w:tc>
        <w:tc>
          <w:tcPr>
            <w:tcW w:w="1645" w:type="pct"/>
            <w:shd w:val="clear" w:color="auto" w:fill="FFFFFF"/>
            <w:tcMar>
              <w:top w:w="85" w:type="dxa"/>
              <w:bottom w:w="85" w:type="dxa"/>
            </w:tcMar>
          </w:tcPr>
          <w:p w14:paraId="6A795B42"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20A31F30" w14:textId="77777777" w:rsidTr="00614B77">
        <w:trPr>
          <w:cantSplit/>
          <w:trHeight w:val="399"/>
        </w:trPr>
        <w:tc>
          <w:tcPr>
            <w:tcW w:w="1891" w:type="pct"/>
            <w:shd w:val="clear" w:color="auto" w:fill="auto"/>
            <w:tcMar>
              <w:top w:w="85" w:type="dxa"/>
              <w:bottom w:w="85" w:type="dxa"/>
            </w:tcMar>
          </w:tcPr>
          <w:p w14:paraId="6B52C44F"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6141F0E6" w14:textId="77777777" w:rsidR="00C9789B" w:rsidRPr="003E1C54" w:rsidRDefault="00C9789B" w:rsidP="005A1F7F">
            <w:pPr>
              <w:rPr>
                <w:rFonts w:ascii="Arial" w:hAnsi="Arial" w:cs="Arial"/>
                <w:sz w:val="16"/>
                <w:szCs w:val="16"/>
              </w:rPr>
            </w:pPr>
            <w:r>
              <w:rPr>
                <w:rFonts w:ascii="Arial" w:hAnsi="Arial" w:cs="Arial"/>
                <w:color w:val="000000"/>
                <w:sz w:val="16"/>
                <w:szCs w:val="16"/>
              </w:rPr>
              <w:t>No. of languages in which cross-lingual search is available</w:t>
            </w:r>
          </w:p>
        </w:tc>
        <w:tc>
          <w:tcPr>
            <w:tcW w:w="1645" w:type="pct"/>
            <w:shd w:val="clear" w:color="auto" w:fill="FFFFFF"/>
            <w:tcMar>
              <w:top w:w="85" w:type="dxa"/>
              <w:bottom w:w="85" w:type="dxa"/>
            </w:tcMar>
          </w:tcPr>
          <w:p w14:paraId="39C39E77"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3D045335" w14:textId="77777777" w:rsidTr="00614B77">
        <w:trPr>
          <w:cantSplit/>
          <w:trHeight w:val="615"/>
        </w:trPr>
        <w:tc>
          <w:tcPr>
            <w:tcW w:w="1891" w:type="pct"/>
            <w:shd w:val="clear" w:color="auto" w:fill="auto"/>
            <w:tcMar>
              <w:top w:w="85" w:type="dxa"/>
              <w:bottom w:w="85" w:type="dxa"/>
            </w:tcMar>
          </w:tcPr>
          <w:p w14:paraId="2CF033C1"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5FE3940" w14:textId="77777777" w:rsidR="00C9789B" w:rsidRPr="003E1C54" w:rsidRDefault="00C9789B" w:rsidP="005A1F7F">
            <w:pPr>
              <w:rPr>
                <w:rFonts w:ascii="Arial" w:hAnsi="Arial" w:cs="Arial"/>
                <w:sz w:val="16"/>
                <w:szCs w:val="16"/>
              </w:rPr>
            </w:pPr>
            <w:r>
              <w:rPr>
                <w:rFonts w:ascii="Arial" w:hAnsi="Arial" w:cs="Arial"/>
                <w:color w:val="000000"/>
                <w:sz w:val="16"/>
                <w:szCs w:val="16"/>
              </w:rPr>
              <w:t>No. of language pairs available for translation of descriptions and claims</w:t>
            </w:r>
          </w:p>
        </w:tc>
        <w:tc>
          <w:tcPr>
            <w:tcW w:w="1645" w:type="pct"/>
            <w:shd w:val="clear" w:color="auto" w:fill="FFFFFF"/>
            <w:tcMar>
              <w:top w:w="85" w:type="dxa"/>
              <w:bottom w:w="85" w:type="dxa"/>
            </w:tcMar>
          </w:tcPr>
          <w:p w14:paraId="54E7005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68A16373" w14:textId="77777777" w:rsidTr="00614B77">
        <w:trPr>
          <w:cantSplit/>
          <w:trHeight w:val="524"/>
        </w:trPr>
        <w:tc>
          <w:tcPr>
            <w:tcW w:w="1891" w:type="pct"/>
            <w:shd w:val="clear" w:color="auto" w:fill="auto"/>
            <w:tcMar>
              <w:top w:w="85" w:type="dxa"/>
              <w:bottom w:w="85" w:type="dxa"/>
            </w:tcMar>
          </w:tcPr>
          <w:p w14:paraId="69F8F70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0F2A0BDC" w14:textId="77777777" w:rsidR="00C9789B" w:rsidRDefault="00C9789B" w:rsidP="005A1F7F">
            <w:pPr>
              <w:rPr>
                <w:rFonts w:ascii="Arial" w:hAnsi="Arial" w:cs="Arial"/>
                <w:color w:val="000000"/>
                <w:sz w:val="16"/>
                <w:szCs w:val="16"/>
              </w:rPr>
            </w:pPr>
            <w:r>
              <w:rPr>
                <w:rFonts w:ascii="Arial" w:hAnsi="Arial" w:cs="Arial"/>
                <w:color w:val="000000"/>
                <w:sz w:val="16"/>
                <w:szCs w:val="16"/>
              </w:rPr>
              <w:t>No. of records contained in PATENTSCOPE</w:t>
            </w:r>
          </w:p>
        </w:tc>
        <w:tc>
          <w:tcPr>
            <w:tcW w:w="1645" w:type="pct"/>
            <w:shd w:val="clear" w:color="auto" w:fill="FFFFFF"/>
            <w:tcMar>
              <w:top w:w="85" w:type="dxa"/>
              <w:bottom w:w="85" w:type="dxa"/>
            </w:tcMar>
          </w:tcPr>
          <w:p w14:paraId="5B15A680"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5D4F01" w:rsidRPr="00AF5E7C" w14:paraId="06C203F9" w14:textId="77777777" w:rsidTr="00614B77">
        <w:trPr>
          <w:cantSplit/>
          <w:trHeight w:val="389"/>
        </w:trPr>
        <w:tc>
          <w:tcPr>
            <w:tcW w:w="1891" w:type="pct"/>
            <w:shd w:val="clear" w:color="auto" w:fill="auto"/>
            <w:tcMar>
              <w:top w:w="85" w:type="dxa"/>
              <w:bottom w:w="85" w:type="dxa"/>
            </w:tcMar>
          </w:tcPr>
          <w:p w14:paraId="10ECD77F" w14:textId="77777777" w:rsidR="005D4F01" w:rsidRPr="00AF5E7C" w:rsidRDefault="005D4F01" w:rsidP="005A1F7F">
            <w:pPr>
              <w:rPr>
                <w:rFonts w:ascii="Arial" w:hAnsi="Arial" w:cs="Arial"/>
                <w:sz w:val="16"/>
                <w:szCs w:val="16"/>
              </w:rPr>
            </w:pPr>
          </w:p>
        </w:tc>
        <w:tc>
          <w:tcPr>
            <w:tcW w:w="1464" w:type="pct"/>
            <w:shd w:val="clear" w:color="auto" w:fill="auto"/>
            <w:tcMar>
              <w:top w:w="85" w:type="dxa"/>
              <w:bottom w:w="85" w:type="dxa"/>
            </w:tcMar>
          </w:tcPr>
          <w:p w14:paraId="6913CF31" w14:textId="043B5BE7" w:rsidR="005D4F01" w:rsidRPr="00BF6D38" w:rsidRDefault="005D4F01" w:rsidP="005A1F7F">
            <w:pPr>
              <w:rPr>
                <w:rFonts w:ascii="Arial" w:hAnsi="Arial" w:cs="Arial"/>
                <w:color w:val="000000"/>
                <w:sz w:val="16"/>
                <w:szCs w:val="16"/>
              </w:rPr>
            </w:pPr>
            <w:r w:rsidRPr="005D4F01">
              <w:rPr>
                <w:rFonts w:ascii="Arial" w:hAnsi="Arial" w:cs="Arial"/>
                <w:color w:val="000000"/>
                <w:sz w:val="16"/>
                <w:szCs w:val="16"/>
              </w:rPr>
              <w:t>Timeliness of data uploading (the average delay in days between the publication date of the records in their official register and availability in Global Databases for a representative subset of national collections)</w:t>
            </w:r>
          </w:p>
        </w:tc>
        <w:tc>
          <w:tcPr>
            <w:tcW w:w="1645" w:type="pct"/>
            <w:shd w:val="clear" w:color="auto" w:fill="FFFFFF"/>
            <w:tcMar>
              <w:top w:w="85" w:type="dxa"/>
              <w:bottom w:w="85" w:type="dxa"/>
            </w:tcMar>
          </w:tcPr>
          <w:p w14:paraId="38008383" w14:textId="2ECC6658" w:rsidR="005D4F01" w:rsidRDefault="005D4F01"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1C1C064D" w14:textId="77777777" w:rsidTr="00614B77">
        <w:trPr>
          <w:cantSplit/>
          <w:trHeight w:val="389"/>
        </w:trPr>
        <w:tc>
          <w:tcPr>
            <w:tcW w:w="1891" w:type="pct"/>
            <w:shd w:val="clear" w:color="auto" w:fill="auto"/>
            <w:tcMar>
              <w:top w:w="85" w:type="dxa"/>
              <w:bottom w:w="85" w:type="dxa"/>
            </w:tcMar>
          </w:tcPr>
          <w:p w14:paraId="127122A6"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94AF50D" w14:textId="77777777" w:rsidR="00C9789B" w:rsidRDefault="00C9789B" w:rsidP="005A1F7F">
            <w:pPr>
              <w:rPr>
                <w:rFonts w:ascii="Arial" w:hAnsi="Arial" w:cs="Arial"/>
                <w:color w:val="000000"/>
                <w:sz w:val="16"/>
                <w:szCs w:val="16"/>
              </w:rPr>
            </w:pPr>
            <w:r w:rsidRPr="00BF6D38">
              <w:rPr>
                <w:rFonts w:ascii="Arial" w:hAnsi="Arial" w:cs="Arial"/>
                <w:color w:val="000000"/>
                <w:sz w:val="16"/>
                <w:szCs w:val="16"/>
              </w:rPr>
              <w:t>Average no. of users serviced by TISCs per annum</w:t>
            </w:r>
          </w:p>
        </w:tc>
        <w:tc>
          <w:tcPr>
            <w:tcW w:w="1645" w:type="pct"/>
            <w:shd w:val="clear" w:color="auto" w:fill="FFFFFF"/>
            <w:tcMar>
              <w:top w:w="85" w:type="dxa"/>
              <w:bottom w:w="85" w:type="dxa"/>
            </w:tcMar>
          </w:tcPr>
          <w:p w14:paraId="6BA7B6C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111B8FC3" w14:textId="77777777" w:rsidTr="00614B77">
        <w:trPr>
          <w:cantSplit/>
          <w:trHeight w:val="769"/>
        </w:trPr>
        <w:tc>
          <w:tcPr>
            <w:tcW w:w="1891" w:type="pct"/>
            <w:shd w:val="clear" w:color="auto" w:fill="auto"/>
            <w:tcMar>
              <w:top w:w="85" w:type="dxa"/>
              <w:bottom w:w="85" w:type="dxa"/>
            </w:tcMar>
          </w:tcPr>
          <w:p w14:paraId="7A2A842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4C1D81C5" w14:textId="77777777" w:rsidR="00C9789B" w:rsidRPr="00861788" w:rsidRDefault="00C9789B" w:rsidP="005A1F7F">
            <w:pPr>
              <w:rPr>
                <w:rFonts w:ascii="Arial" w:hAnsi="Arial" w:cs="Arial"/>
                <w:sz w:val="16"/>
                <w:szCs w:val="16"/>
              </w:rPr>
            </w:pPr>
            <w:r>
              <w:rPr>
                <w:rFonts w:ascii="Arial" w:hAnsi="Arial" w:cs="Arial"/>
                <w:color w:val="000000"/>
                <w:sz w:val="16"/>
                <w:szCs w:val="16"/>
              </w:rPr>
              <w:t>No. of Member States in the respective regions collaborating with Global Databases</w:t>
            </w:r>
          </w:p>
        </w:tc>
        <w:tc>
          <w:tcPr>
            <w:tcW w:w="1645" w:type="pct"/>
            <w:shd w:val="clear" w:color="auto" w:fill="FFFFFF"/>
            <w:tcMar>
              <w:top w:w="85" w:type="dxa"/>
              <w:bottom w:w="85" w:type="dxa"/>
            </w:tcMar>
          </w:tcPr>
          <w:p w14:paraId="23085116"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5D486376" w14:textId="77777777" w:rsidTr="00614B77">
        <w:trPr>
          <w:cantSplit/>
          <w:trHeight w:val="163"/>
        </w:trPr>
        <w:tc>
          <w:tcPr>
            <w:tcW w:w="1891" w:type="pct"/>
            <w:shd w:val="clear" w:color="auto" w:fill="auto"/>
            <w:tcMar>
              <w:top w:w="85" w:type="dxa"/>
              <w:bottom w:w="85" w:type="dxa"/>
            </w:tcMar>
          </w:tcPr>
          <w:p w14:paraId="6966EC5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C862199" w14:textId="77777777" w:rsidR="00C9789B" w:rsidRPr="00861788" w:rsidRDefault="00C9789B" w:rsidP="005A1F7F">
            <w:pPr>
              <w:rPr>
                <w:rFonts w:ascii="Arial" w:hAnsi="Arial" w:cs="Arial"/>
                <w:sz w:val="16"/>
                <w:szCs w:val="16"/>
              </w:rPr>
            </w:pPr>
            <w:r>
              <w:rPr>
                <w:rFonts w:ascii="Arial" w:hAnsi="Arial" w:cs="Arial"/>
                <w:color w:val="000000"/>
                <w:sz w:val="16"/>
                <w:szCs w:val="16"/>
              </w:rPr>
              <w:t>No. of active registered users of ARDI and ASPI</w:t>
            </w:r>
          </w:p>
        </w:tc>
        <w:tc>
          <w:tcPr>
            <w:tcW w:w="1645" w:type="pct"/>
            <w:shd w:val="clear" w:color="auto" w:fill="FFFFFF"/>
            <w:tcMar>
              <w:top w:w="85" w:type="dxa"/>
              <w:bottom w:w="85" w:type="dxa"/>
            </w:tcMar>
          </w:tcPr>
          <w:p w14:paraId="30C3A97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647206AB" w14:textId="77777777" w:rsidTr="00614B77">
        <w:trPr>
          <w:cantSplit/>
          <w:trHeight w:val="163"/>
        </w:trPr>
        <w:tc>
          <w:tcPr>
            <w:tcW w:w="1891" w:type="pct"/>
            <w:shd w:val="clear" w:color="auto" w:fill="auto"/>
            <w:tcMar>
              <w:top w:w="85" w:type="dxa"/>
              <w:bottom w:w="85" w:type="dxa"/>
            </w:tcMar>
          </w:tcPr>
          <w:p w14:paraId="3D1C9908"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0D27A8B8" w14:textId="77777777" w:rsidR="00C9789B" w:rsidRDefault="00C9789B" w:rsidP="005A1F7F">
            <w:pPr>
              <w:rPr>
                <w:rFonts w:ascii="Arial" w:hAnsi="Arial" w:cs="Arial"/>
                <w:color w:val="000000"/>
                <w:sz w:val="16"/>
                <w:szCs w:val="16"/>
              </w:rPr>
            </w:pPr>
            <w:r>
              <w:rPr>
                <w:rFonts w:ascii="Arial" w:hAnsi="Arial" w:cs="Arial"/>
                <w:color w:val="000000"/>
                <w:sz w:val="16"/>
                <w:szCs w:val="16"/>
              </w:rPr>
              <w:t>No. of TISC Clinic requests submitted to TISCs</w:t>
            </w:r>
          </w:p>
        </w:tc>
        <w:tc>
          <w:tcPr>
            <w:tcW w:w="1645" w:type="pct"/>
            <w:shd w:val="clear" w:color="auto" w:fill="FFFFFF"/>
            <w:tcMar>
              <w:top w:w="85" w:type="dxa"/>
              <w:bottom w:w="85" w:type="dxa"/>
            </w:tcMar>
          </w:tcPr>
          <w:p w14:paraId="4580420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1AE1D244" w14:textId="77777777" w:rsidTr="00614B77">
        <w:trPr>
          <w:cantSplit/>
          <w:trHeight w:val="516"/>
        </w:trPr>
        <w:tc>
          <w:tcPr>
            <w:tcW w:w="1891" w:type="pct"/>
            <w:shd w:val="clear" w:color="auto" w:fill="auto"/>
            <w:tcMar>
              <w:top w:w="85" w:type="dxa"/>
              <w:bottom w:w="85" w:type="dxa"/>
            </w:tcMar>
          </w:tcPr>
          <w:p w14:paraId="0576BF31"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79171F3" w14:textId="77777777" w:rsidR="00C9789B" w:rsidRDefault="00C9789B" w:rsidP="005A1F7F">
            <w:pPr>
              <w:rPr>
                <w:rFonts w:ascii="Arial" w:hAnsi="Arial" w:cs="Arial"/>
                <w:color w:val="000000"/>
                <w:sz w:val="16"/>
                <w:szCs w:val="16"/>
              </w:rPr>
            </w:pPr>
            <w:r>
              <w:rPr>
                <w:rFonts w:ascii="Arial" w:hAnsi="Arial" w:cs="Arial"/>
                <w:color w:val="000000"/>
                <w:sz w:val="16"/>
                <w:szCs w:val="16"/>
              </w:rPr>
              <w:t>No. of TISCs offering patent analytical services</w:t>
            </w:r>
          </w:p>
        </w:tc>
        <w:tc>
          <w:tcPr>
            <w:tcW w:w="1645" w:type="pct"/>
            <w:shd w:val="clear" w:color="auto" w:fill="FFFFFF"/>
            <w:tcMar>
              <w:top w:w="85" w:type="dxa"/>
              <w:bottom w:w="85" w:type="dxa"/>
            </w:tcMar>
          </w:tcPr>
          <w:p w14:paraId="61CD4520"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307C44C0" w14:textId="77777777" w:rsidTr="00614B77">
        <w:trPr>
          <w:cantSplit/>
          <w:trHeight w:val="163"/>
        </w:trPr>
        <w:tc>
          <w:tcPr>
            <w:tcW w:w="1891" w:type="pct"/>
            <w:shd w:val="clear" w:color="auto" w:fill="auto"/>
            <w:tcMar>
              <w:top w:w="85" w:type="dxa"/>
              <w:bottom w:w="85" w:type="dxa"/>
            </w:tcMar>
          </w:tcPr>
          <w:p w14:paraId="644C34E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A9720BE" w14:textId="77777777" w:rsidR="00C9789B" w:rsidRDefault="00C9789B" w:rsidP="005A1F7F">
            <w:pPr>
              <w:rPr>
                <w:rFonts w:ascii="Arial" w:hAnsi="Arial" w:cs="Arial"/>
                <w:color w:val="000000"/>
                <w:sz w:val="16"/>
                <w:szCs w:val="16"/>
              </w:rPr>
            </w:pPr>
            <w:r>
              <w:rPr>
                <w:rFonts w:ascii="Arial" w:hAnsi="Arial" w:cs="Arial"/>
                <w:color w:val="000000"/>
                <w:sz w:val="16"/>
                <w:szCs w:val="16"/>
              </w:rPr>
              <w:t xml:space="preserve">No. of users of WIPO’s global Databases, PATENTSCOPE, Global Brands Database, and Designs Database  </w:t>
            </w:r>
          </w:p>
        </w:tc>
        <w:tc>
          <w:tcPr>
            <w:tcW w:w="1645" w:type="pct"/>
            <w:shd w:val="clear" w:color="auto" w:fill="FFFFFF"/>
            <w:tcMar>
              <w:top w:w="85" w:type="dxa"/>
              <w:bottom w:w="85" w:type="dxa"/>
            </w:tcMar>
          </w:tcPr>
          <w:p w14:paraId="72CFFF26"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20 </w:t>
            </w:r>
          </w:p>
        </w:tc>
      </w:tr>
      <w:tr w:rsidR="00C9789B" w:rsidRPr="00AF5E7C" w14:paraId="70C357B4" w14:textId="77777777" w:rsidTr="00614B77">
        <w:trPr>
          <w:cantSplit/>
          <w:trHeight w:val="346"/>
        </w:trPr>
        <w:tc>
          <w:tcPr>
            <w:tcW w:w="1891" w:type="pct"/>
            <w:shd w:val="clear" w:color="auto" w:fill="auto"/>
            <w:tcMar>
              <w:top w:w="85" w:type="dxa"/>
              <w:bottom w:w="85" w:type="dxa"/>
            </w:tcMar>
          </w:tcPr>
          <w:p w14:paraId="2A663B77"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F04032C" w14:textId="77777777" w:rsidR="00C9789B" w:rsidRDefault="00C9789B" w:rsidP="005A1F7F">
            <w:pPr>
              <w:rPr>
                <w:rFonts w:ascii="Arial" w:hAnsi="Arial" w:cs="Arial"/>
                <w:sz w:val="16"/>
                <w:szCs w:val="16"/>
              </w:rPr>
            </w:pPr>
            <w:r>
              <w:rPr>
                <w:rFonts w:ascii="Arial" w:hAnsi="Arial" w:cs="Arial"/>
                <w:sz w:val="16"/>
                <w:szCs w:val="16"/>
              </w:rPr>
              <w:t>I</w:t>
            </w:r>
            <w:r w:rsidRPr="0092679D">
              <w:rPr>
                <w:rFonts w:ascii="Arial" w:hAnsi="Arial" w:cs="Arial"/>
                <w:sz w:val="16"/>
                <w:szCs w:val="16"/>
              </w:rPr>
              <w:t xml:space="preserve">ncrease in the </w:t>
            </w:r>
            <w:r>
              <w:rPr>
                <w:rFonts w:ascii="Arial" w:hAnsi="Arial" w:cs="Arial"/>
                <w:sz w:val="16"/>
                <w:szCs w:val="16"/>
              </w:rPr>
              <w:t>no.</w:t>
            </w:r>
            <w:r w:rsidRPr="0092679D">
              <w:rPr>
                <w:rFonts w:ascii="Arial" w:hAnsi="Arial" w:cs="Arial"/>
                <w:sz w:val="16"/>
                <w:szCs w:val="16"/>
              </w:rPr>
              <w:t xml:space="preserve"> of WIPO Lex users </w:t>
            </w:r>
          </w:p>
          <w:p w14:paraId="47FA78A4" w14:textId="77777777" w:rsidR="00C9789B" w:rsidRPr="00DD2110" w:rsidRDefault="00C9789B" w:rsidP="005A1F7F">
            <w:pPr>
              <w:rPr>
                <w:rFonts w:ascii="Arial" w:hAnsi="Arial" w:cs="Arial"/>
                <w:sz w:val="16"/>
                <w:szCs w:val="16"/>
              </w:rPr>
            </w:pPr>
          </w:p>
          <w:p w14:paraId="6EF2F442" w14:textId="08B63088" w:rsidR="00C9789B" w:rsidRPr="00DD2110" w:rsidRDefault="00C9789B" w:rsidP="005A1F7F">
            <w:pPr>
              <w:rPr>
                <w:rFonts w:ascii="Arial" w:hAnsi="Arial" w:cs="Arial"/>
                <w:sz w:val="16"/>
                <w:szCs w:val="16"/>
                <w:highlight w:val="yellow"/>
              </w:rPr>
            </w:pPr>
            <w:r>
              <w:rPr>
                <w:rFonts w:ascii="Arial" w:hAnsi="Arial" w:cs="Arial"/>
                <w:color w:val="000000"/>
                <w:sz w:val="16"/>
                <w:szCs w:val="16"/>
              </w:rPr>
              <w:t xml:space="preserve">No. of  </w:t>
            </w:r>
            <w:r w:rsidR="008547D7" w:rsidRPr="00AE06F9">
              <w:rPr>
                <w:rFonts w:ascii="Arial" w:eastAsia="Times New Roman" w:hAnsi="Arial" w:cs="Arial"/>
                <w:color w:val="000000"/>
                <w:sz w:val="16"/>
                <w:szCs w:val="16"/>
              </w:rPr>
              <w:t xml:space="preserve">Technology </w:t>
            </w:r>
            <w:r w:rsidR="008547D7">
              <w:rPr>
                <w:rFonts w:ascii="Arial" w:eastAsia="Times New Roman" w:hAnsi="Arial" w:cs="Arial"/>
                <w:color w:val="000000"/>
                <w:sz w:val="16"/>
                <w:szCs w:val="16"/>
              </w:rPr>
              <w:t>Transfer</w:t>
            </w:r>
            <w:r w:rsidR="008547D7" w:rsidRPr="00AE06F9">
              <w:rPr>
                <w:rFonts w:ascii="Arial" w:eastAsia="Times New Roman" w:hAnsi="Arial" w:cs="Arial"/>
                <w:color w:val="000000"/>
                <w:sz w:val="16"/>
                <w:szCs w:val="16"/>
              </w:rPr>
              <w:t xml:space="preserve"> </w:t>
            </w:r>
            <w:r w:rsidR="008547D7">
              <w:rPr>
                <w:rFonts w:ascii="Arial" w:eastAsia="Times New Roman" w:hAnsi="Arial" w:cs="Arial"/>
                <w:color w:val="000000"/>
                <w:sz w:val="16"/>
                <w:szCs w:val="16"/>
              </w:rPr>
              <w:t xml:space="preserve">Offices </w:t>
            </w:r>
            <w:r w:rsidR="008547D7" w:rsidRPr="00AE06F9">
              <w:rPr>
                <w:rFonts w:ascii="Arial" w:eastAsia="Times New Roman" w:hAnsi="Arial" w:cs="Arial"/>
                <w:color w:val="000000"/>
                <w:sz w:val="16"/>
                <w:szCs w:val="16"/>
              </w:rPr>
              <w:t>(T</w:t>
            </w:r>
            <w:r w:rsidR="008547D7">
              <w:rPr>
                <w:rFonts w:ascii="Arial" w:eastAsia="Times New Roman" w:hAnsi="Arial" w:cs="Arial"/>
                <w:color w:val="000000"/>
                <w:sz w:val="16"/>
                <w:szCs w:val="16"/>
              </w:rPr>
              <w:t>TOs</w:t>
            </w:r>
            <w:r w:rsidR="008547D7" w:rsidRPr="00AE06F9">
              <w:rPr>
                <w:rFonts w:ascii="Arial" w:eastAsia="Times New Roman" w:hAnsi="Arial" w:cs="Arial"/>
                <w:color w:val="000000"/>
                <w:sz w:val="16"/>
                <w:szCs w:val="16"/>
              </w:rPr>
              <w:t>)</w:t>
            </w:r>
            <w:r>
              <w:rPr>
                <w:rFonts w:ascii="Arial" w:hAnsi="Arial" w:cs="Arial"/>
                <w:color w:val="000000"/>
                <w:sz w:val="16"/>
                <w:szCs w:val="16"/>
              </w:rPr>
              <w:t xml:space="preserve"> that were established or strengthened in Universities or R&amp;D institutions under the WIPO University Initiative Program</w:t>
            </w:r>
          </w:p>
          <w:p w14:paraId="79916928" w14:textId="77777777" w:rsidR="00C9789B" w:rsidRPr="00DD2110" w:rsidRDefault="00C9789B" w:rsidP="005A1F7F">
            <w:pPr>
              <w:rPr>
                <w:rFonts w:ascii="Arial" w:hAnsi="Arial" w:cs="Arial"/>
                <w:sz w:val="16"/>
                <w:szCs w:val="16"/>
                <w:highlight w:val="yellow"/>
              </w:rPr>
            </w:pPr>
          </w:p>
          <w:p w14:paraId="5A7C13FF" w14:textId="77777777" w:rsidR="00C9789B" w:rsidRPr="007C1AA9" w:rsidRDefault="00C9789B" w:rsidP="005A1F7F">
            <w:pPr>
              <w:rPr>
                <w:rFonts w:ascii="Arial" w:hAnsi="Arial" w:cs="Arial"/>
                <w:sz w:val="16"/>
                <w:szCs w:val="16"/>
              </w:rPr>
            </w:pPr>
            <w:r>
              <w:rPr>
                <w:rFonts w:ascii="Arial" w:hAnsi="Arial" w:cs="Arial"/>
                <w:color w:val="000000"/>
                <w:sz w:val="16"/>
                <w:szCs w:val="16"/>
              </w:rPr>
              <w:t xml:space="preserve">No. of universities and/or research institutions having developed and/or improved their IP policies </w:t>
            </w:r>
          </w:p>
        </w:tc>
        <w:tc>
          <w:tcPr>
            <w:tcW w:w="1645" w:type="pct"/>
            <w:shd w:val="clear" w:color="auto" w:fill="FFFFFF"/>
            <w:tcMar>
              <w:top w:w="85" w:type="dxa"/>
              <w:bottom w:w="85" w:type="dxa"/>
            </w:tcMar>
          </w:tcPr>
          <w:p w14:paraId="65181033"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21</w:t>
            </w:r>
          </w:p>
          <w:p w14:paraId="67326A50" w14:textId="77777777" w:rsidR="00C9789B" w:rsidRDefault="00C9789B" w:rsidP="005A1F7F">
            <w:pPr>
              <w:ind w:left="660"/>
              <w:rPr>
                <w:rFonts w:ascii="Arial" w:hAnsi="Arial" w:cs="Arial"/>
                <w:sz w:val="16"/>
                <w:szCs w:val="16"/>
                <w:lang w:bidi="th-TH"/>
              </w:rPr>
            </w:pPr>
          </w:p>
          <w:p w14:paraId="14256D96" w14:textId="77777777" w:rsidR="00C9789B" w:rsidRDefault="00C9789B" w:rsidP="005A1F7F">
            <w:pPr>
              <w:ind w:left="660"/>
              <w:rPr>
                <w:rFonts w:ascii="Arial" w:hAnsi="Arial" w:cs="Arial"/>
                <w:sz w:val="16"/>
                <w:szCs w:val="16"/>
                <w:lang w:bidi="th-TH"/>
              </w:rPr>
            </w:pPr>
          </w:p>
          <w:p w14:paraId="7AE9C3E5" w14:textId="77777777" w:rsidR="00C9789B" w:rsidRPr="003406CD" w:rsidRDefault="00C9789B" w:rsidP="005A1F7F">
            <w:pPr>
              <w:ind w:left="660"/>
              <w:rPr>
                <w:rFonts w:ascii="Arial" w:hAnsi="Arial" w:cs="Arial"/>
                <w:sz w:val="16"/>
                <w:szCs w:val="16"/>
                <w:lang w:bidi="th-TH"/>
              </w:rPr>
            </w:pPr>
            <w:r w:rsidRPr="003406CD">
              <w:rPr>
                <w:rFonts w:ascii="Arial" w:hAnsi="Arial" w:cs="Arial"/>
                <w:sz w:val="16"/>
                <w:szCs w:val="16"/>
                <w:lang w:bidi="th-TH"/>
              </w:rPr>
              <w:t>Program 30</w:t>
            </w:r>
          </w:p>
          <w:p w14:paraId="750D0F11" w14:textId="77777777" w:rsidR="00C9789B" w:rsidRPr="00DD2110" w:rsidRDefault="00C9789B" w:rsidP="005A1F7F">
            <w:pPr>
              <w:ind w:left="660"/>
              <w:rPr>
                <w:rFonts w:ascii="Arial" w:hAnsi="Arial" w:cs="Arial"/>
                <w:sz w:val="16"/>
                <w:szCs w:val="16"/>
                <w:highlight w:val="yellow"/>
                <w:lang w:bidi="th-TH"/>
              </w:rPr>
            </w:pPr>
          </w:p>
          <w:p w14:paraId="1107E827" w14:textId="77777777" w:rsidR="00C9789B" w:rsidRPr="00DD2110" w:rsidRDefault="00C9789B" w:rsidP="005A1F7F">
            <w:pPr>
              <w:ind w:left="660"/>
              <w:rPr>
                <w:rFonts w:ascii="Arial" w:hAnsi="Arial" w:cs="Arial"/>
                <w:sz w:val="16"/>
                <w:szCs w:val="16"/>
                <w:highlight w:val="yellow"/>
                <w:lang w:bidi="th-TH"/>
              </w:rPr>
            </w:pPr>
          </w:p>
          <w:p w14:paraId="7761E613" w14:textId="77777777" w:rsidR="00C9789B" w:rsidRPr="00DD2110" w:rsidRDefault="00C9789B" w:rsidP="005A1F7F">
            <w:pPr>
              <w:ind w:left="660"/>
              <w:rPr>
                <w:rFonts w:ascii="Arial" w:hAnsi="Arial" w:cs="Arial"/>
                <w:sz w:val="16"/>
                <w:szCs w:val="16"/>
                <w:highlight w:val="yellow"/>
                <w:lang w:bidi="th-TH"/>
              </w:rPr>
            </w:pPr>
          </w:p>
          <w:p w14:paraId="01C452CE" w14:textId="77777777" w:rsidR="00C9789B" w:rsidRDefault="00C9789B" w:rsidP="005A1F7F">
            <w:pPr>
              <w:ind w:left="660"/>
              <w:rPr>
                <w:rFonts w:ascii="Arial" w:hAnsi="Arial" w:cs="Arial"/>
                <w:sz w:val="16"/>
                <w:szCs w:val="16"/>
                <w:highlight w:val="yellow"/>
                <w:lang w:bidi="th-TH"/>
              </w:rPr>
            </w:pPr>
          </w:p>
          <w:p w14:paraId="78400D24" w14:textId="77777777" w:rsidR="00C9789B" w:rsidRPr="00DD2110" w:rsidRDefault="00C9789B" w:rsidP="005A1F7F">
            <w:pPr>
              <w:ind w:left="660"/>
              <w:rPr>
                <w:rFonts w:ascii="Arial" w:hAnsi="Arial" w:cs="Arial"/>
                <w:sz w:val="16"/>
                <w:szCs w:val="16"/>
                <w:highlight w:val="yellow"/>
                <w:lang w:bidi="th-TH"/>
              </w:rPr>
            </w:pPr>
          </w:p>
          <w:p w14:paraId="63A94B87" w14:textId="77777777" w:rsidR="00C9789B" w:rsidRPr="001D5827" w:rsidRDefault="00C9789B" w:rsidP="005A1F7F">
            <w:pPr>
              <w:ind w:left="660"/>
              <w:rPr>
                <w:rFonts w:ascii="Arial" w:hAnsi="Arial" w:cs="Arial"/>
                <w:color w:val="00B050"/>
                <w:sz w:val="16"/>
                <w:szCs w:val="16"/>
                <w:lang w:bidi="th-TH"/>
              </w:rPr>
            </w:pPr>
            <w:r w:rsidRPr="003406CD">
              <w:rPr>
                <w:rFonts w:ascii="Arial" w:hAnsi="Arial" w:cs="Arial"/>
                <w:sz w:val="16"/>
                <w:szCs w:val="16"/>
                <w:lang w:bidi="th-TH"/>
              </w:rPr>
              <w:t>Program 30</w:t>
            </w:r>
          </w:p>
        </w:tc>
      </w:tr>
      <w:tr w:rsidR="00C9789B" w:rsidRPr="00AF5E7C" w14:paraId="57FA3419" w14:textId="77777777" w:rsidTr="00614B77">
        <w:trPr>
          <w:cantSplit/>
          <w:trHeight w:val="157"/>
        </w:trPr>
        <w:tc>
          <w:tcPr>
            <w:tcW w:w="1891" w:type="pct"/>
            <w:shd w:val="clear" w:color="auto" w:fill="auto"/>
            <w:tcMar>
              <w:top w:w="85" w:type="dxa"/>
              <w:bottom w:w="85" w:type="dxa"/>
            </w:tcMar>
          </w:tcPr>
          <w:p w14:paraId="1108872F" w14:textId="77777777" w:rsidR="00C9789B" w:rsidRPr="003E1C54" w:rsidRDefault="00C9789B" w:rsidP="005A1F7F">
            <w:pPr>
              <w:rPr>
                <w:rFonts w:ascii="Arial" w:hAnsi="Arial" w:cs="Arial"/>
                <w:sz w:val="16"/>
                <w:szCs w:val="16"/>
              </w:rPr>
            </w:pPr>
            <w:r w:rsidRPr="003E1C54">
              <w:rPr>
                <w:rFonts w:ascii="Arial" w:hAnsi="Arial" w:cs="Arial"/>
                <w:sz w:val="16"/>
                <w:szCs w:val="16"/>
              </w:rPr>
              <w:t>IV.</w:t>
            </w:r>
            <w:r w:rsidRPr="00BD3063">
              <w:rPr>
                <w:rFonts w:ascii="Arial" w:hAnsi="Arial" w:cs="Arial"/>
                <w:sz w:val="16"/>
                <w:szCs w:val="16"/>
              </w:rPr>
              <w:t xml:space="preserve">3 </w:t>
            </w:r>
            <w:r>
              <w:rPr>
                <w:rFonts w:ascii="Arial" w:hAnsi="Arial" w:cs="Arial"/>
                <w:sz w:val="16"/>
                <w:szCs w:val="16"/>
              </w:rPr>
              <w:t xml:space="preserve"> </w:t>
            </w:r>
            <w:r>
              <w:rPr>
                <w:rFonts w:ascii="Arial" w:hAnsi="Arial" w:cs="Arial"/>
                <w:color w:val="000000"/>
                <w:sz w:val="16"/>
                <w:szCs w:val="16"/>
              </w:rPr>
              <w:t>Broad geographical coverage of the content and use of WIPO Global IP Databases</w:t>
            </w:r>
          </w:p>
        </w:tc>
        <w:tc>
          <w:tcPr>
            <w:tcW w:w="1464" w:type="pct"/>
            <w:shd w:val="clear" w:color="auto" w:fill="auto"/>
            <w:tcMar>
              <w:top w:w="85" w:type="dxa"/>
              <w:bottom w:w="85" w:type="dxa"/>
            </w:tcMar>
          </w:tcPr>
          <w:p w14:paraId="0F36D40B" w14:textId="5BBCABD5" w:rsidR="00C9789B" w:rsidRDefault="00C9789B" w:rsidP="005A1F7F">
            <w:pPr>
              <w:rPr>
                <w:rFonts w:ascii="Arial" w:hAnsi="Arial" w:cs="Arial"/>
                <w:color w:val="000000"/>
                <w:sz w:val="16"/>
                <w:szCs w:val="16"/>
              </w:rPr>
            </w:pPr>
            <w:r>
              <w:rPr>
                <w:rFonts w:ascii="Arial" w:hAnsi="Arial" w:cs="Arial"/>
                <w:color w:val="000000"/>
                <w:sz w:val="16"/>
                <w:szCs w:val="16"/>
              </w:rPr>
              <w:t>No. of records contained in Global Brand</w:t>
            </w:r>
            <w:r w:rsidR="00656EEF">
              <w:rPr>
                <w:rFonts w:ascii="Arial" w:hAnsi="Arial" w:cs="Arial"/>
                <w:color w:val="000000"/>
                <w:sz w:val="16"/>
                <w:szCs w:val="16"/>
              </w:rPr>
              <w:t>s</w:t>
            </w:r>
            <w:r>
              <w:rPr>
                <w:rFonts w:ascii="Arial" w:hAnsi="Arial" w:cs="Arial"/>
                <w:color w:val="000000"/>
                <w:sz w:val="16"/>
                <w:szCs w:val="16"/>
              </w:rPr>
              <w:t xml:space="preserve"> Database </w:t>
            </w:r>
          </w:p>
          <w:p w14:paraId="457165CA" w14:textId="77777777" w:rsidR="00C9789B" w:rsidRDefault="00C9789B" w:rsidP="005A1F7F">
            <w:pPr>
              <w:rPr>
                <w:rFonts w:ascii="Arial" w:hAnsi="Arial" w:cs="Arial"/>
                <w:sz w:val="16"/>
                <w:szCs w:val="16"/>
              </w:rPr>
            </w:pPr>
          </w:p>
          <w:p w14:paraId="2A5ACE46" w14:textId="08F4A79E" w:rsidR="00C9789B" w:rsidRPr="003E1C54" w:rsidRDefault="00C9789B" w:rsidP="005A1F7F">
            <w:pPr>
              <w:rPr>
                <w:rFonts w:ascii="Arial" w:hAnsi="Arial" w:cs="Arial"/>
                <w:sz w:val="16"/>
                <w:szCs w:val="16"/>
              </w:rPr>
            </w:pPr>
            <w:r>
              <w:rPr>
                <w:rFonts w:ascii="Arial" w:hAnsi="Arial" w:cs="Arial"/>
                <w:color w:val="000000"/>
                <w:sz w:val="16"/>
                <w:szCs w:val="16"/>
              </w:rPr>
              <w:t>No. of records contained in Global Design</w:t>
            </w:r>
            <w:r w:rsidR="00656EEF">
              <w:rPr>
                <w:rFonts w:ascii="Arial" w:hAnsi="Arial" w:cs="Arial"/>
                <w:color w:val="000000"/>
                <w:sz w:val="16"/>
                <w:szCs w:val="16"/>
              </w:rPr>
              <w:t>s</w:t>
            </w:r>
            <w:r>
              <w:rPr>
                <w:rFonts w:ascii="Arial" w:hAnsi="Arial" w:cs="Arial"/>
                <w:color w:val="000000"/>
                <w:sz w:val="16"/>
                <w:szCs w:val="16"/>
              </w:rPr>
              <w:t xml:space="preserve"> Database</w:t>
            </w:r>
          </w:p>
        </w:tc>
        <w:tc>
          <w:tcPr>
            <w:tcW w:w="1645" w:type="pct"/>
            <w:shd w:val="clear" w:color="auto" w:fill="FFFFFF"/>
            <w:tcMar>
              <w:top w:w="85" w:type="dxa"/>
              <w:bottom w:w="85" w:type="dxa"/>
            </w:tcMar>
          </w:tcPr>
          <w:p w14:paraId="78A82FBD"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13 </w:t>
            </w:r>
          </w:p>
          <w:p w14:paraId="673C5D78" w14:textId="77777777" w:rsidR="00C9789B" w:rsidRDefault="00C9789B" w:rsidP="005A1F7F">
            <w:pPr>
              <w:ind w:left="660"/>
              <w:rPr>
                <w:rFonts w:ascii="Arial" w:hAnsi="Arial" w:cs="Arial"/>
                <w:sz w:val="16"/>
                <w:szCs w:val="16"/>
                <w:lang w:bidi="th-TH"/>
              </w:rPr>
            </w:pPr>
          </w:p>
          <w:p w14:paraId="11DAAF85" w14:textId="77777777" w:rsidR="00C9789B" w:rsidRDefault="00C9789B" w:rsidP="005A1F7F">
            <w:pPr>
              <w:ind w:left="660"/>
              <w:rPr>
                <w:rFonts w:ascii="Arial" w:hAnsi="Arial" w:cs="Arial"/>
                <w:sz w:val="16"/>
                <w:szCs w:val="16"/>
                <w:lang w:bidi="th-TH"/>
              </w:rPr>
            </w:pPr>
          </w:p>
          <w:p w14:paraId="0D8C3C8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6D0CD44D" w14:textId="77777777" w:rsidTr="00614B77">
        <w:trPr>
          <w:cantSplit/>
          <w:trHeight w:val="370"/>
        </w:trPr>
        <w:tc>
          <w:tcPr>
            <w:tcW w:w="1891" w:type="pct"/>
            <w:shd w:val="clear" w:color="auto" w:fill="auto"/>
            <w:tcMar>
              <w:top w:w="85" w:type="dxa"/>
              <w:bottom w:w="85" w:type="dxa"/>
            </w:tcMar>
          </w:tcPr>
          <w:p w14:paraId="34AD7A00"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7E2E2072" w14:textId="77777777" w:rsidR="00C9789B" w:rsidRPr="003E1C54" w:rsidRDefault="00C9789B" w:rsidP="005A1F7F">
            <w:pPr>
              <w:rPr>
                <w:rFonts w:ascii="Arial" w:hAnsi="Arial" w:cs="Arial"/>
                <w:sz w:val="16"/>
                <w:szCs w:val="16"/>
              </w:rPr>
            </w:pPr>
            <w:r>
              <w:rPr>
                <w:rFonts w:ascii="Arial" w:hAnsi="Arial" w:cs="Arial"/>
                <w:color w:val="000000"/>
                <w:sz w:val="16"/>
                <w:szCs w:val="16"/>
              </w:rPr>
              <w:t>No. of National Collections in PATENTSCOPE</w:t>
            </w:r>
          </w:p>
        </w:tc>
        <w:tc>
          <w:tcPr>
            <w:tcW w:w="1645" w:type="pct"/>
            <w:shd w:val="clear" w:color="auto" w:fill="FFFFFF"/>
            <w:tcMar>
              <w:top w:w="85" w:type="dxa"/>
              <w:bottom w:w="85" w:type="dxa"/>
            </w:tcMar>
          </w:tcPr>
          <w:p w14:paraId="4A9FBC6F"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0854E8C5" w14:textId="77777777" w:rsidTr="00614B77">
        <w:trPr>
          <w:cantSplit/>
          <w:trHeight w:val="445"/>
        </w:trPr>
        <w:tc>
          <w:tcPr>
            <w:tcW w:w="1891" w:type="pct"/>
            <w:shd w:val="clear" w:color="auto" w:fill="auto"/>
            <w:tcMar>
              <w:top w:w="85" w:type="dxa"/>
              <w:bottom w:w="85" w:type="dxa"/>
            </w:tcMar>
          </w:tcPr>
          <w:p w14:paraId="20396FFB"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689BA23" w14:textId="7018F825" w:rsidR="00C9789B" w:rsidRPr="003E1C54" w:rsidRDefault="00C9789B" w:rsidP="005A1F7F">
            <w:pPr>
              <w:rPr>
                <w:rFonts w:ascii="Arial" w:hAnsi="Arial" w:cs="Arial"/>
                <w:sz w:val="16"/>
                <w:szCs w:val="16"/>
              </w:rPr>
            </w:pPr>
            <w:r>
              <w:rPr>
                <w:rFonts w:ascii="Arial" w:hAnsi="Arial" w:cs="Arial"/>
                <w:color w:val="000000"/>
                <w:sz w:val="16"/>
                <w:szCs w:val="16"/>
              </w:rPr>
              <w:t>No. of National Collections in Global Brand</w:t>
            </w:r>
            <w:r w:rsidR="00656EEF">
              <w:rPr>
                <w:rFonts w:ascii="Arial" w:hAnsi="Arial" w:cs="Arial"/>
                <w:color w:val="000000"/>
                <w:sz w:val="16"/>
                <w:szCs w:val="16"/>
              </w:rPr>
              <w:t>s</w:t>
            </w:r>
            <w:r>
              <w:rPr>
                <w:rFonts w:ascii="Arial" w:hAnsi="Arial" w:cs="Arial"/>
                <w:color w:val="000000"/>
                <w:sz w:val="16"/>
                <w:szCs w:val="16"/>
              </w:rPr>
              <w:t xml:space="preserve"> Database</w:t>
            </w:r>
          </w:p>
        </w:tc>
        <w:tc>
          <w:tcPr>
            <w:tcW w:w="1645" w:type="pct"/>
            <w:shd w:val="clear" w:color="auto" w:fill="FFFFFF"/>
            <w:tcMar>
              <w:top w:w="85" w:type="dxa"/>
              <w:bottom w:w="85" w:type="dxa"/>
            </w:tcMar>
          </w:tcPr>
          <w:p w14:paraId="7CB6B544"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2EB5D7F7" w14:textId="77777777" w:rsidTr="00614B77">
        <w:trPr>
          <w:cantSplit/>
          <w:trHeight w:val="853"/>
        </w:trPr>
        <w:tc>
          <w:tcPr>
            <w:tcW w:w="1891" w:type="pct"/>
            <w:shd w:val="clear" w:color="auto" w:fill="auto"/>
            <w:tcMar>
              <w:top w:w="85" w:type="dxa"/>
              <w:bottom w:w="85" w:type="dxa"/>
            </w:tcMar>
          </w:tcPr>
          <w:p w14:paraId="3C7272CE" w14:textId="77777777" w:rsidR="00C9789B" w:rsidRPr="00B004F2" w:rsidRDefault="00C9789B" w:rsidP="005A1F7F">
            <w:pPr>
              <w:rPr>
                <w:rFonts w:ascii="Arial" w:hAnsi="Arial" w:cs="Arial"/>
                <w:sz w:val="16"/>
                <w:szCs w:val="16"/>
              </w:rPr>
            </w:pPr>
            <w:r w:rsidRPr="00B004F2">
              <w:rPr>
                <w:rFonts w:ascii="Arial" w:hAnsi="Arial" w:cs="Arial"/>
                <w:sz w:val="16"/>
                <w:szCs w:val="16"/>
              </w:rPr>
              <w:t>IV.4</w:t>
            </w:r>
            <w:r>
              <w:rPr>
                <w:rFonts w:ascii="Arial" w:hAnsi="Arial" w:cs="Arial"/>
                <w:sz w:val="16"/>
                <w:szCs w:val="16"/>
              </w:rPr>
              <w:t xml:space="preserve">  </w:t>
            </w:r>
            <w:r>
              <w:rPr>
                <w:rFonts w:ascii="Arial" w:hAnsi="Arial" w:cs="Arial"/>
                <w:color w:val="000000"/>
                <w:sz w:val="16"/>
                <w:szCs w:val="16"/>
              </w:rPr>
              <w:t>Enhanced technical and knowledge infrastructure for IP Offices and other IP institutions leading to better services (cheaper, faster, higher quality) to their stakeholders and better outcome of IP Administration</w:t>
            </w:r>
          </w:p>
        </w:tc>
        <w:tc>
          <w:tcPr>
            <w:tcW w:w="1464" w:type="pct"/>
            <w:shd w:val="clear" w:color="auto" w:fill="auto"/>
            <w:tcMar>
              <w:top w:w="85" w:type="dxa"/>
              <w:bottom w:w="85" w:type="dxa"/>
            </w:tcMar>
          </w:tcPr>
          <w:p w14:paraId="0DAB2D3E" w14:textId="77777777" w:rsidR="00C9789B" w:rsidRPr="00B004F2" w:rsidRDefault="00C9789B" w:rsidP="005A1F7F">
            <w:pPr>
              <w:rPr>
                <w:rFonts w:ascii="Arial" w:hAnsi="Arial" w:cs="Arial"/>
                <w:sz w:val="16"/>
                <w:szCs w:val="16"/>
              </w:rPr>
            </w:pPr>
            <w:r>
              <w:rPr>
                <w:rFonts w:ascii="Arial" w:hAnsi="Arial" w:cs="Arial"/>
                <w:color w:val="000000"/>
                <w:sz w:val="16"/>
                <w:szCs w:val="16"/>
              </w:rPr>
              <w:t>No. of Offices using WIPO Infrastructure Platforms</w:t>
            </w:r>
          </w:p>
        </w:tc>
        <w:tc>
          <w:tcPr>
            <w:tcW w:w="1645" w:type="pct"/>
            <w:shd w:val="clear" w:color="auto" w:fill="FFFFFF"/>
            <w:tcMar>
              <w:top w:w="85" w:type="dxa"/>
              <w:bottom w:w="85" w:type="dxa"/>
            </w:tcMar>
          </w:tcPr>
          <w:p w14:paraId="7AF3664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15</w:t>
            </w:r>
          </w:p>
          <w:p w14:paraId="66A7D24A"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20 </w:t>
            </w:r>
          </w:p>
          <w:p w14:paraId="4F3B3D92" w14:textId="77777777" w:rsidR="00C9789B" w:rsidRPr="00AF5E7C" w:rsidRDefault="00C9789B" w:rsidP="005A1F7F">
            <w:pPr>
              <w:ind w:left="660"/>
              <w:rPr>
                <w:rFonts w:ascii="Arial" w:hAnsi="Arial" w:cs="Arial"/>
                <w:sz w:val="16"/>
                <w:szCs w:val="16"/>
                <w:lang w:bidi="th-TH"/>
              </w:rPr>
            </w:pPr>
          </w:p>
        </w:tc>
      </w:tr>
      <w:tr w:rsidR="00C9789B" w:rsidRPr="00AF5E7C" w14:paraId="3B839A2F" w14:textId="77777777" w:rsidTr="00614B77">
        <w:trPr>
          <w:cantSplit/>
          <w:trHeight w:val="546"/>
        </w:trPr>
        <w:tc>
          <w:tcPr>
            <w:tcW w:w="1891" w:type="pct"/>
            <w:shd w:val="clear" w:color="auto" w:fill="auto"/>
            <w:tcMar>
              <w:top w:w="85" w:type="dxa"/>
              <w:bottom w:w="85" w:type="dxa"/>
            </w:tcMar>
          </w:tcPr>
          <w:p w14:paraId="112AF4F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804D0EB" w14:textId="77777777" w:rsidR="00C9789B" w:rsidRPr="005362F0" w:rsidRDefault="00C9789B" w:rsidP="005A1F7F">
            <w:pPr>
              <w:rPr>
                <w:rFonts w:ascii="Arial" w:hAnsi="Arial" w:cs="Arial"/>
                <w:sz w:val="16"/>
                <w:szCs w:val="16"/>
              </w:rPr>
            </w:pPr>
            <w:r>
              <w:rPr>
                <w:rFonts w:ascii="Arial" w:hAnsi="Arial" w:cs="Arial"/>
                <w:color w:val="000000"/>
                <w:sz w:val="16"/>
                <w:szCs w:val="16"/>
              </w:rPr>
              <w:t>Average Service Level of IP Offices assisted (ranging from 1 to 5</w:t>
            </w:r>
          </w:p>
        </w:tc>
        <w:tc>
          <w:tcPr>
            <w:tcW w:w="1645" w:type="pct"/>
            <w:shd w:val="clear" w:color="auto" w:fill="FFFFFF"/>
            <w:tcMar>
              <w:top w:w="85" w:type="dxa"/>
              <w:bottom w:w="85" w:type="dxa"/>
            </w:tcMar>
          </w:tcPr>
          <w:p w14:paraId="2BCFA6C2" w14:textId="77777777" w:rsidR="00C9789B" w:rsidRPr="00470336" w:rsidRDefault="00C9789B" w:rsidP="005A1F7F">
            <w:pPr>
              <w:ind w:left="660"/>
              <w:rPr>
                <w:rFonts w:ascii="Arial" w:hAnsi="Arial" w:cs="Arial"/>
                <w:sz w:val="16"/>
                <w:szCs w:val="16"/>
                <w:lang w:bidi="th-TH"/>
              </w:rPr>
            </w:pPr>
            <w:r w:rsidRPr="00470336">
              <w:rPr>
                <w:rFonts w:ascii="Arial" w:hAnsi="Arial" w:cs="Arial"/>
                <w:sz w:val="16"/>
                <w:szCs w:val="16"/>
                <w:lang w:bidi="th-TH"/>
              </w:rPr>
              <w:t>Program 9</w:t>
            </w:r>
          </w:p>
          <w:p w14:paraId="583D1CB8" w14:textId="77777777" w:rsidR="00C9789B" w:rsidRDefault="00C9789B" w:rsidP="005A1F7F">
            <w:pPr>
              <w:ind w:left="660"/>
              <w:rPr>
                <w:rFonts w:ascii="Arial" w:hAnsi="Arial" w:cs="Arial"/>
                <w:sz w:val="16"/>
                <w:szCs w:val="16"/>
                <w:lang w:bidi="th-TH"/>
              </w:rPr>
            </w:pPr>
            <w:r w:rsidRPr="00C93758">
              <w:rPr>
                <w:rFonts w:ascii="Arial" w:hAnsi="Arial" w:cs="Arial"/>
                <w:color w:val="000000"/>
                <w:sz w:val="16"/>
                <w:szCs w:val="16"/>
                <w:lang w:bidi="th-TH"/>
              </w:rPr>
              <w:t>Program 15</w:t>
            </w:r>
          </w:p>
        </w:tc>
      </w:tr>
      <w:tr w:rsidR="00C9789B" w:rsidRPr="00AF5E7C" w14:paraId="032331F4" w14:textId="77777777" w:rsidTr="00614B77">
        <w:trPr>
          <w:cantSplit/>
          <w:trHeight w:val="404"/>
        </w:trPr>
        <w:tc>
          <w:tcPr>
            <w:tcW w:w="1891" w:type="pct"/>
            <w:shd w:val="clear" w:color="auto" w:fill="auto"/>
            <w:tcMar>
              <w:top w:w="85" w:type="dxa"/>
              <w:bottom w:w="85" w:type="dxa"/>
            </w:tcMar>
          </w:tcPr>
          <w:p w14:paraId="42BEC0A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AF1E717" w14:textId="77777777" w:rsidR="00C9789B" w:rsidRPr="004475FB" w:rsidRDefault="00C9789B" w:rsidP="005A1F7F">
            <w:pPr>
              <w:rPr>
                <w:rFonts w:ascii="Arial" w:hAnsi="Arial" w:cs="Arial"/>
                <w:sz w:val="16"/>
                <w:szCs w:val="16"/>
              </w:rPr>
            </w:pPr>
            <w:r>
              <w:rPr>
                <w:rFonts w:ascii="Arial" w:hAnsi="Arial" w:cs="Arial"/>
                <w:color w:val="000000"/>
                <w:sz w:val="16"/>
                <w:szCs w:val="16"/>
              </w:rPr>
              <w:t>No. of Collective Management Organizations (CMOs) in developing countries and LDCs participating in regional and global networks facilitated by WIPO )</w:t>
            </w:r>
          </w:p>
        </w:tc>
        <w:tc>
          <w:tcPr>
            <w:tcW w:w="1645" w:type="pct"/>
            <w:shd w:val="clear" w:color="auto" w:fill="FFFFFF"/>
            <w:tcMar>
              <w:top w:w="85" w:type="dxa"/>
              <w:bottom w:w="85" w:type="dxa"/>
            </w:tcMar>
          </w:tcPr>
          <w:p w14:paraId="1D3B3313" w14:textId="77777777" w:rsidR="00C9789B" w:rsidRPr="00AF5E7C" w:rsidRDefault="00C9789B" w:rsidP="005A1F7F">
            <w:pPr>
              <w:ind w:left="660"/>
              <w:rPr>
                <w:rFonts w:ascii="Arial" w:hAnsi="Arial" w:cs="Arial"/>
                <w:sz w:val="16"/>
                <w:szCs w:val="16"/>
                <w:lang w:bidi="th-TH"/>
              </w:rPr>
            </w:pPr>
            <w:r w:rsidRPr="00C93758">
              <w:rPr>
                <w:rFonts w:ascii="Arial" w:hAnsi="Arial" w:cs="Arial"/>
                <w:color w:val="000000"/>
                <w:sz w:val="16"/>
                <w:szCs w:val="16"/>
                <w:lang w:bidi="th-TH"/>
              </w:rPr>
              <w:t>Program 15</w:t>
            </w:r>
          </w:p>
        </w:tc>
      </w:tr>
    </w:tbl>
    <w:p w14:paraId="1A3B7E43" w14:textId="77777777" w:rsidR="007D3B04" w:rsidRPr="00AE06F9" w:rsidRDefault="007D3B04" w:rsidP="008D3EC2">
      <w:pPr>
        <w:rPr>
          <w:rFonts w:ascii="Arial" w:eastAsia="Arial" w:hAnsi="Arial" w:cs="Arial"/>
          <w:sz w:val="20"/>
        </w:rPr>
      </w:pPr>
    </w:p>
    <w:p w14:paraId="52231FD9" w14:textId="69585C38" w:rsidR="00865AEC" w:rsidRPr="009B4A78" w:rsidRDefault="00865AEC">
      <w:pPr>
        <w:rPr>
          <w:rFonts w:ascii="Arial" w:hAnsi="Arial" w:cs="Arial"/>
          <w:sz w:val="20"/>
        </w:rPr>
      </w:pPr>
      <w:r w:rsidRPr="009B4A78">
        <w:rPr>
          <w:rFonts w:ascii="Arial" w:hAnsi="Arial" w:cs="Arial"/>
          <w:sz w:val="20"/>
        </w:rPr>
        <w:br w:type="page"/>
      </w:r>
    </w:p>
    <w:p w14:paraId="6DFCD1E9" w14:textId="77777777" w:rsidR="00865AEC" w:rsidRPr="009B4A78" w:rsidRDefault="00865AEC" w:rsidP="00F33E49">
      <w:pPr>
        <w:pStyle w:val="StyleHeading3ComplexItalic"/>
        <w:ind w:left="1985" w:hanging="1985"/>
        <w:rPr>
          <w:rStyle w:val="StyleStyleHeading3ComplexItalicLatin12ptChar"/>
          <w:b/>
        </w:rPr>
      </w:pPr>
      <w:bookmarkStart w:id="47" w:name="_Toc431221422"/>
      <w:r w:rsidRPr="009B4A78">
        <w:rPr>
          <w:rStyle w:val="StyleStyleHeading3ComplexItalicLatin12ptChar"/>
          <w:b/>
        </w:rPr>
        <w:lastRenderedPageBreak/>
        <w:t xml:space="preserve">PROGRAM 12 </w:t>
      </w:r>
      <w:r w:rsidRPr="009B4A78">
        <w:rPr>
          <w:rStyle w:val="StyleStyleHeading3ComplexItalicLatin12ptChar"/>
          <w:b/>
        </w:rPr>
        <w:tab/>
        <w:t>INTERNATIONAL CLASSIFICATIONS AND STANDARDS</w:t>
      </w:r>
      <w:bookmarkEnd w:id="47"/>
    </w:p>
    <w:p w14:paraId="170DB7A1" w14:textId="77777777" w:rsidR="00865AEC" w:rsidRPr="009B4A78" w:rsidRDefault="00865AEC">
      <w:pPr>
        <w:pStyle w:val="Body1"/>
        <w:rPr>
          <w:rFonts w:ascii="Arial" w:hAnsi="Arial" w:cs="Arial"/>
        </w:rPr>
      </w:pPr>
    </w:p>
    <w:p w14:paraId="044A6931" w14:textId="77777777" w:rsidR="00865AEC" w:rsidRPr="009B4A78" w:rsidRDefault="00865AEC">
      <w:pPr>
        <w:pStyle w:val="Body1"/>
        <w:rPr>
          <w:rFonts w:ascii="Arial" w:hAnsi="Arial" w:cs="Arial"/>
        </w:rPr>
      </w:pPr>
    </w:p>
    <w:p w14:paraId="35B23E24" w14:textId="77777777" w:rsidR="00865AEC" w:rsidRPr="009B4A78" w:rsidRDefault="00865AEC">
      <w:pPr>
        <w:pStyle w:val="Body1"/>
        <w:rPr>
          <w:rFonts w:ascii="Arial" w:hAnsi="Arial" w:cs="Arial"/>
          <w:sz w:val="22"/>
          <w:szCs w:val="24"/>
        </w:rPr>
      </w:pPr>
      <w:r w:rsidRPr="009B4A78">
        <w:rPr>
          <w:rFonts w:ascii="Arial" w:hAnsi="Arial" w:cs="Arial"/>
          <w:sz w:val="22"/>
          <w:szCs w:val="24"/>
        </w:rPr>
        <w:t>PLANNING CONTEXT</w:t>
      </w:r>
    </w:p>
    <w:p w14:paraId="1206AD8B" w14:textId="77777777" w:rsidR="00865AEC" w:rsidRPr="009B4A78" w:rsidRDefault="00865AEC" w:rsidP="00F33E49">
      <w:pPr>
        <w:pStyle w:val="Body1"/>
        <w:jc w:val="both"/>
        <w:rPr>
          <w:rFonts w:ascii="Arial" w:hAnsi="Arial" w:cs="Arial"/>
          <w:sz w:val="20"/>
          <w:szCs w:val="22"/>
        </w:rPr>
      </w:pPr>
    </w:p>
    <w:p w14:paraId="253C6565"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szCs w:val="22"/>
        </w:rPr>
      </w:pPr>
      <w:r w:rsidRPr="009B4A78">
        <w:rPr>
          <w:rFonts w:ascii="Arial" w:hAnsi="Arial" w:cs="Arial"/>
          <w:sz w:val="20"/>
          <w:szCs w:val="22"/>
        </w:rPr>
        <w:t>The global infrastructure of IP systems increasingly needs interlinked and interoperable platforms and databases.  International classifications and standards are crucial tools and instruments to bridge various IP Offices working in different systems and languages, and to enable data to flow between Offices and on common platforms and databases.  With technologies, business solutions and collaborative arrangements of IP Offices constantly evolving, International Classifications and WIPO Standards also need to be dynamically updated and refined.</w:t>
      </w:r>
    </w:p>
    <w:p w14:paraId="190A9A80" w14:textId="77777777" w:rsidR="00865AEC" w:rsidRPr="009B4A78" w:rsidRDefault="00865AEC" w:rsidP="00F33E49">
      <w:pPr>
        <w:pStyle w:val="Body1"/>
        <w:jc w:val="both"/>
        <w:rPr>
          <w:rFonts w:ascii="Arial" w:hAnsi="Arial" w:cs="Arial"/>
          <w:sz w:val="20"/>
          <w:szCs w:val="22"/>
        </w:rPr>
      </w:pPr>
    </w:p>
    <w:p w14:paraId="46D5ECED" w14:textId="18E08734" w:rsidR="00865AEC" w:rsidRPr="009B4A78" w:rsidRDefault="00865AEC" w:rsidP="00B66A4A">
      <w:pPr>
        <w:pStyle w:val="Body1"/>
        <w:numPr>
          <w:ilvl w:val="0"/>
          <w:numId w:val="14"/>
        </w:numPr>
        <w:tabs>
          <w:tab w:val="left" w:pos="709"/>
        </w:tabs>
        <w:ind w:left="0" w:firstLine="0"/>
        <w:jc w:val="both"/>
        <w:rPr>
          <w:rFonts w:ascii="Arial" w:hAnsi="Arial" w:cs="Arial"/>
          <w:sz w:val="20"/>
          <w:szCs w:val="22"/>
        </w:rPr>
      </w:pPr>
      <w:r w:rsidRPr="009B4A78">
        <w:rPr>
          <w:rFonts w:ascii="Arial" w:hAnsi="Arial" w:cs="Arial"/>
          <w:sz w:val="20"/>
          <w:szCs w:val="22"/>
        </w:rPr>
        <w:t xml:space="preserve">Against this background, WIPO aims at providing Member States with the most updated and globally accepted system of international classifications and WIPO standards to facilitate access, use and dissemination of IP information among various stakeholders worldwide. In that respect, the activities of this Program </w:t>
      </w:r>
      <w:r w:rsidR="00764DA3">
        <w:rPr>
          <w:rFonts w:ascii="Arial" w:hAnsi="Arial" w:cs="Arial"/>
          <w:sz w:val="20"/>
          <w:szCs w:val="22"/>
        </w:rPr>
        <w:t xml:space="preserve">are </w:t>
      </w:r>
      <w:r w:rsidRPr="009B4A78">
        <w:rPr>
          <w:rFonts w:ascii="Arial" w:hAnsi="Arial" w:cs="Arial"/>
          <w:sz w:val="20"/>
          <w:szCs w:val="22"/>
        </w:rPr>
        <w:t>link</w:t>
      </w:r>
      <w:r w:rsidR="00764DA3">
        <w:rPr>
          <w:rFonts w:ascii="Arial" w:hAnsi="Arial" w:cs="Arial"/>
          <w:sz w:val="20"/>
          <w:szCs w:val="22"/>
        </w:rPr>
        <w:t>ed</w:t>
      </w:r>
      <w:r w:rsidRPr="009B4A78">
        <w:rPr>
          <w:rFonts w:ascii="Arial" w:hAnsi="Arial" w:cs="Arial"/>
          <w:sz w:val="20"/>
          <w:szCs w:val="22"/>
        </w:rPr>
        <w:t xml:space="preserve"> to DA Recommendations 30 and 31.</w:t>
      </w:r>
    </w:p>
    <w:p w14:paraId="17EF246E" w14:textId="77777777" w:rsidR="00865AEC" w:rsidRPr="009B4A78" w:rsidRDefault="00865AEC" w:rsidP="00F33E49">
      <w:pPr>
        <w:pStyle w:val="Body1"/>
        <w:jc w:val="both"/>
        <w:rPr>
          <w:rFonts w:ascii="Arial" w:hAnsi="Arial" w:cs="Arial"/>
          <w:sz w:val="20"/>
          <w:szCs w:val="22"/>
        </w:rPr>
      </w:pPr>
    </w:p>
    <w:p w14:paraId="4C554BC1" w14:textId="77777777" w:rsidR="00865AEC" w:rsidRPr="009B4A78" w:rsidRDefault="00865AEC" w:rsidP="00F33E49">
      <w:pPr>
        <w:pStyle w:val="Body1"/>
        <w:jc w:val="both"/>
        <w:rPr>
          <w:rFonts w:ascii="Arial" w:hAnsi="Arial" w:cs="Arial"/>
          <w:sz w:val="20"/>
          <w:szCs w:val="22"/>
        </w:rPr>
      </w:pPr>
    </w:p>
    <w:p w14:paraId="7F480300" w14:textId="77777777" w:rsidR="00865AEC" w:rsidRPr="009B4A78" w:rsidRDefault="00865AEC" w:rsidP="00F33E49">
      <w:pPr>
        <w:pStyle w:val="Body1"/>
        <w:jc w:val="both"/>
        <w:rPr>
          <w:rFonts w:ascii="Arial" w:hAnsi="Arial" w:cs="Arial"/>
          <w:sz w:val="22"/>
          <w:szCs w:val="24"/>
        </w:rPr>
      </w:pPr>
      <w:r w:rsidRPr="009B4A78">
        <w:rPr>
          <w:rFonts w:ascii="Arial" w:hAnsi="Arial" w:cs="Arial"/>
          <w:sz w:val="22"/>
          <w:szCs w:val="24"/>
        </w:rPr>
        <w:t xml:space="preserve">IMPLEMENTATION STRATEGIES </w:t>
      </w:r>
    </w:p>
    <w:p w14:paraId="08A819AE" w14:textId="77777777" w:rsidR="00865AEC" w:rsidRPr="009B4A78" w:rsidRDefault="00865AEC" w:rsidP="00F33E49">
      <w:pPr>
        <w:pStyle w:val="Body1"/>
        <w:jc w:val="both"/>
        <w:rPr>
          <w:rFonts w:ascii="Arial" w:hAnsi="Arial" w:cs="Arial"/>
          <w:sz w:val="20"/>
        </w:rPr>
      </w:pPr>
    </w:p>
    <w:p w14:paraId="33EDD34C"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Strategies in the 2016/17 biennium will focus on further improving and developing International Classifications and Standards through extensive use of e-fora, on-line conferences and physical meetings of the respective Committees.  Actions will be taken to increase the awareness of Classifications and Standards amongst all groups of users.  In that respect, demand-driven training will be provided for the use of Classifications and Standards, in particular in developing countries.</w:t>
      </w:r>
    </w:p>
    <w:p w14:paraId="45CFCF18" w14:textId="77777777" w:rsidR="00865AEC" w:rsidRPr="009B4A78" w:rsidRDefault="00865AEC" w:rsidP="00F33E49">
      <w:pPr>
        <w:pStyle w:val="Body1"/>
        <w:jc w:val="both"/>
        <w:rPr>
          <w:rFonts w:ascii="Arial" w:hAnsi="Arial" w:cs="Arial"/>
          <w:sz w:val="20"/>
        </w:rPr>
      </w:pPr>
    </w:p>
    <w:p w14:paraId="5048A64E"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IPC (International Patent Classification)</w:t>
      </w:r>
    </w:p>
    <w:p w14:paraId="0E20EF55" w14:textId="77777777" w:rsidR="00865AEC" w:rsidRPr="009B4A78" w:rsidRDefault="00865AEC" w:rsidP="00F33E49">
      <w:pPr>
        <w:pStyle w:val="Body1"/>
        <w:jc w:val="both"/>
        <w:rPr>
          <w:rFonts w:ascii="Arial" w:hAnsi="Arial" w:cs="Arial"/>
          <w:sz w:val="20"/>
        </w:rPr>
      </w:pPr>
    </w:p>
    <w:p w14:paraId="208A400F"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Enhancement of the IPC will continue within the framework of the IPC Revision Roadmap adopted by the IPC Committee of Experts in 2013.  The Roadmap aims at developing the IPC in those technical areas where a large amount of patent applications, with an increased growth rate, is submitted in emerging countries.  Under the auspices of the Committee of Experts, WIPO will closely facilitate and monitor the implementation of the Roadmap and will train IP Office officials to allow for a wider participation in the IPC revision process.  The international cooperation on reclassification of patent documents, according to the latest version of the IPC, will be enhanced and entirely administered by WIPO.  WIPO will further promote and facilitate wider use of the IPC system through assistance in the implementation of national translations of the IPC.</w:t>
      </w:r>
    </w:p>
    <w:p w14:paraId="72C8516B" w14:textId="77777777" w:rsidR="00865AEC" w:rsidRPr="009B4A78" w:rsidRDefault="00865AEC" w:rsidP="00F33E49">
      <w:pPr>
        <w:pStyle w:val="Body1"/>
        <w:jc w:val="both"/>
        <w:rPr>
          <w:rFonts w:ascii="Arial" w:hAnsi="Arial" w:cs="Arial"/>
          <w:sz w:val="20"/>
        </w:rPr>
      </w:pPr>
    </w:p>
    <w:p w14:paraId="09E86B23"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Nice Classification (list of goods and services for registration of trademarks)</w:t>
      </w:r>
    </w:p>
    <w:p w14:paraId="3462DB88" w14:textId="77777777" w:rsidR="00865AEC" w:rsidRPr="009B4A78" w:rsidRDefault="00865AEC" w:rsidP="00F33E49">
      <w:pPr>
        <w:pStyle w:val="Body1"/>
        <w:jc w:val="both"/>
        <w:rPr>
          <w:rFonts w:ascii="Arial" w:hAnsi="Arial" w:cs="Arial"/>
          <w:sz w:val="20"/>
        </w:rPr>
      </w:pPr>
    </w:p>
    <w:p w14:paraId="4F8CC4A0" w14:textId="77777777" w:rsidR="00865AEC" w:rsidRPr="009B4A78" w:rsidRDefault="00865AEC" w:rsidP="00B66A4A">
      <w:pPr>
        <w:pStyle w:val="Body1"/>
        <w:numPr>
          <w:ilvl w:val="0"/>
          <w:numId w:val="14"/>
        </w:numPr>
        <w:tabs>
          <w:tab w:val="left" w:pos="709"/>
        </w:tabs>
        <w:ind w:left="0" w:firstLine="0"/>
        <w:jc w:val="both"/>
        <w:rPr>
          <w:rFonts w:ascii="Arial" w:eastAsia="MS Mincho" w:hAnsi="Arial" w:cs="Arial"/>
          <w:sz w:val="20"/>
          <w:lang w:eastAsia="ja-JP"/>
        </w:rPr>
      </w:pPr>
      <w:r w:rsidRPr="009B4A78">
        <w:rPr>
          <w:rFonts w:ascii="Arial" w:hAnsi="Arial" w:cs="Arial"/>
          <w:sz w:val="20"/>
        </w:rPr>
        <w:t>Enhancement</w:t>
      </w:r>
      <w:r w:rsidRPr="009B4A78">
        <w:rPr>
          <w:rFonts w:ascii="Arial" w:eastAsia="MS Mincho" w:hAnsi="Arial" w:cs="Arial"/>
          <w:sz w:val="20"/>
          <w:lang w:eastAsia="ja-JP"/>
        </w:rPr>
        <w:t xml:space="preserve"> of the Nice Classification will continue under the auspices of the Nice Committee of Experts.  Emphasis will be given to ensuring that the list of goods and services takes due account of the specificities of emerging markets and the speedier integration in the list of goods and services of new widely-used indications.  This will be achieved by closely monitoring the Madrid and national databases, and by removing obsolete indications through a planned streamlined revision management system.  The development of a seamless platform for the Nice listed goods and services and the Madrid Goods and Services Manager database will be advanced.  WIPO will actively participate in regional and international cooperation initiatives related to trademark classification to facilitate the introduction of widely accepted practices into the Nice Classification.  Self-explanatory material and interactive training courses on how to classify will be further developed and made available on-line. IP Offices will be more closely involved in these processes.</w:t>
      </w:r>
    </w:p>
    <w:p w14:paraId="66600E42" w14:textId="77777777" w:rsidR="00865AEC" w:rsidRPr="009B4A78" w:rsidRDefault="00865AEC" w:rsidP="00F33E49">
      <w:pPr>
        <w:pStyle w:val="Body1"/>
        <w:jc w:val="both"/>
        <w:rPr>
          <w:rFonts w:ascii="Arial" w:hAnsi="Arial" w:cs="Arial"/>
          <w:sz w:val="20"/>
        </w:rPr>
      </w:pPr>
    </w:p>
    <w:p w14:paraId="0E0FD58B" w14:textId="77777777" w:rsidR="00865AEC" w:rsidRPr="009B4A78" w:rsidRDefault="00865AEC" w:rsidP="000D7C57">
      <w:pPr>
        <w:pStyle w:val="Body1"/>
        <w:keepNext/>
        <w:keepLines/>
        <w:jc w:val="both"/>
        <w:rPr>
          <w:rFonts w:ascii="Arial" w:hAnsi="Arial" w:cs="Arial"/>
          <w:sz w:val="20"/>
          <w:u w:val="single"/>
        </w:rPr>
      </w:pPr>
      <w:r w:rsidRPr="009B4A78">
        <w:rPr>
          <w:rFonts w:ascii="Arial" w:hAnsi="Arial" w:cs="Arial"/>
          <w:sz w:val="20"/>
          <w:u w:val="single"/>
        </w:rPr>
        <w:lastRenderedPageBreak/>
        <w:t>Vienna Classification (figurative elements of trademarks) and Locarno Classification (Industrial Designs)</w:t>
      </w:r>
    </w:p>
    <w:p w14:paraId="107FE7A0" w14:textId="77777777" w:rsidR="00865AEC" w:rsidRPr="009B4A78" w:rsidRDefault="00865AEC" w:rsidP="000D7C57">
      <w:pPr>
        <w:pStyle w:val="Body1"/>
        <w:keepNext/>
        <w:keepLines/>
        <w:jc w:val="both"/>
        <w:rPr>
          <w:rFonts w:ascii="Arial" w:hAnsi="Arial" w:cs="Arial"/>
          <w:sz w:val="20"/>
          <w:u w:val="single"/>
        </w:rPr>
      </w:pPr>
    </w:p>
    <w:p w14:paraId="15E5AC76" w14:textId="77777777" w:rsidR="00865AEC" w:rsidRPr="009B4A78" w:rsidRDefault="00865AEC" w:rsidP="00B66A4A">
      <w:pPr>
        <w:pStyle w:val="Body1"/>
        <w:keepNext/>
        <w:keepLines/>
        <w:numPr>
          <w:ilvl w:val="0"/>
          <w:numId w:val="14"/>
        </w:numPr>
        <w:tabs>
          <w:tab w:val="left" w:pos="709"/>
        </w:tabs>
        <w:ind w:left="0" w:firstLine="0"/>
        <w:jc w:val="both"/>
        <w:rPr>
          <w:rFonts w:ascii="Arial" w:hAnsi="Arial" w:cs="Arial"/>
          <w:sz w:val="20"/>
        </w:rPr>
      </w:pPr>
      <w:r w:rsidRPr="009B4A78">
        <w:rPr>
          <w:rFonts w:ascii="Arial" w:hAnsi="Arial" w:cs="Arial"/>
          <w:sz w:val="20"/>
        </w:rPr>
        <w:t>The new publication platforms for Vienna and Locarno Classifications, following the example of the Nice Classification, will be finalized.  IP Offices will be more closely involved in the revision process of Vienna and Locarno Classifications. Following the decision of the Locarno Committee of Experts in fall 2015, the Locarno subclasses will be further subdivided in order to allow more efficient searching in design databases.  Self-</w:t>
      </w:r>
      <w:r w:rsidRPr="009B4A78">
        <w:rPr>
          <w:rFonts w:ascii="Arial" w:eastAsia="MS Mincho" w:hAnsi="Arial" w:cs="Arial"/>
          <w:sz w:val="20"/>
          <w:lang w:eastAsia="ja-JP"/>
        </w:rPr>
        <w:t>explanatory material and interactive training courses on how to classify will be developed and made available on-line.</w:t>
      </w:r>
    </w:p>
    <w:p w14:paraId="0C8CACD1" w14:textId="77777777" w:rsidR="00865AEC" w:rsidRPr="009B4A78" w:rsidRDefault="00865AEC" w:rsidP="00F33E49">
      <w:pPr>
        <w:pStyle w:val="Body1"/>
        <w:jc w:val="both"/>
        <w:rPr>
          <w:rFonts w:ascii="Arial" w:hAnsi="Arial" w:cs="Arial"/>
          <w:sz w:val="20"/>
        </w:rPr>
      </w:pPr>
    </w:p>
    <w:p w14:paraId="0BCE8C58" w14:textId="77777777" w:rsidR="00865AEC" w:rsidRPr="009B4A78" w:rsidRDefault="00865AEC" w:rsidP="00AC4500">
      <w:pPr>
        <w:pStyle w:val="Body1"/>
        <w:keepNext/>
        <w:keepLines/>
        <w:jc w:val="both"/>
        <w:rPr>
          <w:rFonts w:ascii="Arial" w:hAnsi="Arial" w:cs="Arial"/>
          <w:sz w:val="20"/>
          <w:u w:val="single"/>
        </w:rPr>
      </w:pPr>
      <w:r w:rsidRPr="009B4A78">
        <w:rPr>
          <w:rFonts w:ascii="Arial" w:hAnsi="Arial" w:cs="Arial"/>
          <w:sz w:val="20"/>
          <w:u w:val="single"/>
        </w:rPr>
        <w:t>WIPO Standards</w:t>
      </w:r>
    </w:p>
    <w:p w14:paraId="0DEACB36" w14:textId="77777777" w:rsidR="00865AEC" w:rsidRPr="009B4A78" w:rsidRDefault="00865AEC" w:rsidP="00AC4500">
      <w:pPr>
        <w:pStyle w:val="Body1"/>
        <w:keepNext/>
        <w:keepLines/>
        <w:jc w:val="both"/>
        <w:rPr>
          <w:rFonts w:ascii="Arial" w:hAnsi="Arial" w:cs="Arial"/>
          <w:sz w:val="20"/>
        </w:rPr>
      </w:pPr>
    </w:p>
    <w:p w14:paraId="038295C9" w14:textId="77777777" w:rsidR="00865AEC" w:rsidRPr="009B4A78" w:rsidRDefault="00865AEC" w:rsidP="00AC4500">
      <w:pPr>
        <w:pStyle w:val="Body1"/>
        <w:keepNext/>
        <w:keepLines/>
        <w:numPr>
          <w:ilvl w:val="0"/>
          <w:numId w:val="14"/>
        </w:numPr>
        <w:tabs>
          <w:tab w:val="left" w:pos="709"/>
        </w:tabs>
        <w:ind w:left="0" w:firstLine="0"/>
        <w:jc w:val="both"/>
        <w:rPr>
          <w:rFonts w:ascii="Arial" w:hAnsi="Arial" w:cs="Arial"/>
          <w:sz w:val="20"/>
        </w:rPr>
      </w:pPr>
      <w:r w:rsidRPr="009B4A78">
        <w:rPr>
          <w:rFonts w:ascii="Arial" w:hAnsi="Arial" w:cs="Arial"/>
          <w:sz w:val="20"/>
        </w:rPr>
        <w:t>WIPO Standards provide a basis for the processing, transmission, exchange, dissemination and sharing of IP information and documentation.  In developing new WIPO Standards, or revising existing Standards, WIPO will coordinate with IP Offices in a more flexible and efficient way in order to better respond to users’ needs and requests. Further use of electronic means for the revision and adoption of Standards will also be promoted.  The revision of existing Standards will include the updating of XML Standards (for a better structured digital data format) and of relevant tools to facilitate their use, whereas the development of new Standards will address the dissemination and exchange of patent legal status information and data on new types of trademarks.  WIPO will continue collaboration with IP Offices in order to publish up-to-date information on their practices related to WIPO Standards and will assist the Offices in the implementation of WIPO Standards.  WIPO Standards and related surveys will be accessible from IP databases in a more efficient manner.</w:t>
      </w:r>
    </w:p>
    <w:p w14:paraId="43B8F837" w14:textId="77777777" w:rsidR="00865AEC" w:rsidRPr="009B4A78" w:rsidRDefault="00865AEC" w:rsidP="00F33E49">
      <w:pPr>
        <w:pStyle w:val="Body1"/>
        <w:jc w:val="both"/>
        <w:rPr>
          <w:rFonts w:ascii="Arial" w:hAnsi="Arial" w:cs="Arial"/>
          <w:sz w:val="20"/>
        </w:rPr>
      </w:pPr>
    </w:p>
    <w:p w14:paraId="2A1738AA"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ICT systems for International Classifications and Standards</w:t>
      </w:r>
    </w:p>
    <w:p w14:paraId="57E58DB3" w14:textId="77777777" w:rsidR="00865AEC" w:rsidRPr="009B4A78" w:rsidRDefault="00865AEC" w:rsidP="00F33E49">
      <w:pPr>
        <w:pStyle w:val="Body1"/>
        <w:jc w:val="both"/>
        <w:rPr>
          <w:rFonts w:ascii="Arial" w:hAnsi="Arial" w:cs="Arial"/>
          <w:sz w:val="20"/>
        </w:rPr>
      </w:pPr>
    </w:p>
    <w:p w14:paraId="1C79F1DB" w14:textId="77777777" w:rsidR="00865AEC" w:rsidRPr="009B4A78"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 xml:space="preserve">The ICT systems for managing International Classifications and Standards will be upgraded and consolidated. New tools will be developed to increase the efficiency of the international cooperation in the reclassification of patent documents.  Revision management systems will be developed for the Nice, Vienna and Locarno Classifications in order to facilitate control of the respective data by WIPO, allow more efficient exchanges with IP Offices during the revision process and foster cost and time-efficiency in the regular publication of the Classifications.  The publication of the Standards and surveys will be reviewed to allow better integration with IP information databases.  </w:t>
      </w:r>
    </w:p>
    <w:p w14:paraId="7F82772E" w14:textId="77777777" w:rsidR="00865AEC" w:rsidRDefault="00865AEC" w:rsidP="00865AEC">
      <w:pPr>
        <w:pStyle w:val="Body1"/>
        <w:tabs>
          <w:tab w:val="left" w:pos="709"/>
        </w:tabs>
        <w:jc w:val="both"/>
        <w:rPr>
          <w:rFonts w:ascii="Arial" w:hAnsi="Arial" w:cs="Arial"/>
          <w:sz w:val="20"/>
        </w:rPr>
      </w:pPr>
    </w:p>
    <w:p w14:paraId="1EB00E16" w14:textId="63192A99" w:rsidR="007A5A68" w:rsidRPr="00CB32BD" w:rsidRDefault="007A5A68" w:rsidP="00B66A4A">
      <w:pPr>
        <w:pStyle w:val="Body1"/>
        <w:numPr>
          <w:ilvl w:val="0"/>
          <w:numId w:val="14"/>
        </w:numPr>
        <w:tabs>
          <w:tab w:val="left" w:pos="709"/>
        </w:tabs>
        <w:ind w:left="0" w:firstLine="0"/>
        <w:jc w:val="both"/>
        <w:rPr>
          <w:rFonts w:ascii="Arial" w:hAnsi="Arial" w:cs="Arial"/>
          <w:sz w:val="20"/>
        </w:rPr>
      </w:pPr>
      <w:r>
        <w:rPr>
          <w:rFonts w:ascii="Arial" w:hAnsi="Arial" w:cs="Arial"/>
          <w:sz w:val="20"/>
        </w:rPr>
        <w:t xml:space="preserve">Program 12 collaborates primarily with </w:t>
      </w:r>
      <w:r w:rsidRPr="00CB32BD">
        <w:rPr>
          <w:rFonts w:ascii="Arial" w:hAnsi="Arial" w:cs="Arial"/>
          <w:sz w:val="20"/>
        </w:rPr>
        <w:t xml:space="preserve">other Programs as illustrated below: </w:t>
      </w:r>
    </w:p>
    <w:p w14:paraId="75AD9167" w14:textId="77777777" w:rsidR="007A5A68" w:rsidRPr="009B4A78" w:rsidRDefault="007A5A68" w:rsidP="00865AEC">
      <w:pPr>
        <w:pStyle w:val="Body1"/>
        <w:tabs>
          <w:tab w:val="left" w:pos="709"/>
        </w:tabs>
        <w:jc w:val="both"/>
        <w:rPr>
          <w:rFonts w:ascii="Arial" w:hAnsi="Arial" w:cs="Arial"/>
          <w:sz w:val="20"/>
        </w:rPr>
      </w:pPr>
    </w:p>
    <w:p w14:paraId="0D4032A2" w14:textId="78AF9EF1" w:rsidR="00865AEC" w:rsidRPr="009B4A78" w:rsidRDefault="00550487" w:rsidP="00865AEC">
      <w:pPr>
        <w:pStyle w:val="Body1"/>
        <w:tabs>
          <w:tab w:val="left" w:pos="709"/>
        </w:tabs>
        <w:jc w:val="both"/>
        <w:rPr>
          <w:rFonts w:ascii="Arial" w:hAnsi="Arial" w:cs="Arial"/>
          <w:sz w:val="20"/>
        </w:rPr>
      </w:pPr>
      <w:r w:rsidRPr="000229D9">
        <w:rPr>
          <w:rFonts w:ascii="Arial" w:hAnsi="Arial" w:cs="Arial"/>
          <w:noProof/>
        </w:rPr>
        <w:drawing>
          <wp:inline distT="0" distB="0" distL="0" distR="0" wp14:anchorId="6DB5AB55" wp14:editId="1D3380D8">
            <wp:extent cx="5760085" cy="1615408"/>
            <wp:effectExtent l="57150" t="19050" r="31115" b="99695"/>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0DD04962" w14:textId="25E28E86" w:rsidR="00865AEC" w:rsidRPr="009B4A78" w:rsidRDefault="00865AEC" w:rsidP="00F33E49">
      <w:pPr>
        <w:pStyle w:val="Body1"/>
        <w:rPr>
          <w:rFonts w:ascii="Arial" w:hAnsi="Arial" w:cs="Arial"/>
          <w:sz w:val="22"/>
          <w:szCs w:val="22"/>
        </w:rPr>
      </w:pPr>
    </w:p>
    <w:p w14:paraId="19D29C90" w14:textId="77777777" w:rsidR="00865AEC" w:rsidRPr="009B4A78" w:rsidRDefault="00865AEC" w:rsidP="00F33E49">
      <w:pPr>
        <w:rPr>
          <w:rFonts w:ascii="Arial" w:eastAsia="SimSun" w:hAnsi="Arial" w:cs="Arial"/>
        </w:rPr>
      </w:pPr>
      <w:r w:rsidRPr="009B4A78">
        <w:rPr>
          <w:rFonts w:ascii="Arial" w:eastAsia="SimSun" w:hAnsi="Arial" w:cs="Arial"/>
        </w:rPr>
        <w:t>MAJOR RISKS AND MITIGATION STRATEGIES</w:t>
      </w:r>
    </w:p>
    <w:p w14:paraId="3FCCF3A4" w14:textId="77777777" w:rsidR="00865AEC" w:rsidRPr="009B4A78" w:rsidRDefault="00865AEC" w:rsidP="00F33E49">
      <w:pPr>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865AEC" w:rsidRPr="009B4A78" w14:paraId="14892E25" w14:textId="77777777" w:rsidTr="00F33E49">
        <w:trPr>
          <w:trHeight w:val="558"/>
        </w:trPr>
        <w:tc>
          <w:tcPr>
            <w:tcW w:w="4253" w:type="dxa"/>
            <w:tcBorders>
              <w:top w:val="single" w:sz="4" w:space="0" w:color="auto"/>
              <w:bottom w:val="single" w:sz="4" w:space="0" w:color="auto"/>
            </w:tcBorders>
            <w:shd w:val="clear" w:color="auto" w:fill="C6D9F1" w:themeFill="text2" w:themeFillTint="33"/>
            <w:vAlign w:val="center"/>
          </w:tcPr>
          <w:p w14:paraId="34AB9E50" w14:textId="77777777" w:rsidR="00865AEC" w:rsidRPr="009B4A78" w:rsidRDefault="00865AEC" w:rsidP="00F33E49">
            <w:pPr>
              <w:jc w:val="center"/>
              <w:rPr>
                <w:rFonts w:ascii="Arial" w:hAnsi="Arial" w:cs="Arial"/>
                <w:b/>
                <w:bCs/>
                <w:sz w:val="18"/>
                <w:szCs w:val="18"/>
              </w:rPr>
            </w:pPr>
            <w:r w:rsidRPr="009B4A78">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36E544B2" w14:textId="77777777" w:rsidR="00865AEC" w:rsidRPr="009B4A78" w:rsidRDefault="00865AEC" w:rsidP="00F33E49">
            <w:pPr>
              <w:jc w:val="center"/>
              <w:rPr>
                <w:rFonts w:ascii="Arial" w:hAnsi="Arial" w:cs="Arial"/>
                <w:b/>
                <w:bCs/>
                <w:sz w:val="18"/>
                <w:szCs w:val="18"/>
              </w:rPr>
            </w:pPr>
            <w:r w:rsidRPr="009B4A78">
              <w:rPr>
                <w:rFonts w:ascii="Arial" w:hAnsi="Arial" w:cs="Arial"/>
                <w:b/>
                <w:bCs/>
                <w:sz w:val="18"/>
                <w:szCs w:val="18"/>
              </w:rPr>
              <w:t>Mitigation</w:t>
            </w:r>
          </w:p>
        </w:tc>
      </w:tr>
      <w:tr w:rsidR="00865AEC" w:rsidRPr="009B4A78" w14:paraId="16B376AB" w14:textId="77777777" w:rsidTr="00F33E49">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DBBEDDF"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Divergent opinions between groups of countries result in limitation of technical development of standards and classifications.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5DA17933"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 xml:space="preserve">Discuss and resolve political issues outside of the Committees. Strengthen the technical discussions within the Committees.  Monitor the implementation of long term plans. </w:t>
            </w:r>
          </w:p>
        </w:tc>
      </w:tr>
      <w:tr w:rsidR="00865AEC" w:rsidRPr="009B4A78" w14:paraId="0967B570" w14:textId="77777777" w:rsidTr="00F33E49">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7DDC2920" w14:textId="77777777" w:rsidR="00865AEC" w:rsidRPr="009B4A78" w:rsidRDefault="00865AEC" w:rsidP="00F33E49">
            <w:pPr>
              <w:rPr>
                <w:rFonts w:ascii="Arial" w:hAnsi="Arial" w:cs="Arial"/>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0222BADF"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Undertake training missions in developing countries, in particular at regional level, to increase awareness on classifications and standards.  Take into account regional needs in the development of classifications and standards</w:t>
            </w:r>
          </w:p>
        </w:tc>
      </w:tr>
    </w:tbl>
    <w:p w14:paraId="51F4CBCC" w14:textId="77777777" w:rsidR="00865AEC" w:rsidRPr="009B4A78" w:rsidRDefault="00865AEC">
      <w:pPr>
        <w:pStyle w:val="Body1"/>
        <w:rPr>
          <w:rFonts w:ascii="Arial" w:hAnsi="Arial" w:cs="Arial"/>
          <w:sz w:val="20"/>
          <w:szCs w:val="22"/>
        </w:rPr>
      </w:pPr>
    </w:p>
    <w:p w14:paraId="373B1FB6" w14:textId="77777777" w:rsidR="00865AEC" w:rsidRPr="009B4A78" w:rsidRDefault="00865AEC" w:rsidP="00F33E49">
      <w:pPr>
        <w:pStyle w:val="Body1"/>
        <w:keepNext/>
        <w:keepLines/>
        <w:rPr>
          <w:rFonts w:ascii="Arial" w:hAnsi="Arial" w:cs="Arial"/>
          <w:sz w:val="22"/>
        </w:rPr>
      </w:pPr>
      <w:r w:rsidRPr="009B4A78">
        <w:rPr>
          <w:rFonts w:ascii="Arial" w:hAnsi="Arial" w:cs="Arial"/>
          <w:sz w:val="22"/>
        </w:rPr>
        <w:lastRenderedPageBreak/>
        <w:t>RESULTS FRAMEWORK</w:t>
      </w:r>
    </w:p>
    <w:p w14:paraId="723C5158" w14:textId="77777777" w:rsidR="00865AEC" w:rsidRPr="009B4A78" w:rsidRDefault="00865AEC" w:rsidP="00F33E49">
      <w:pPr>
        <w:pStyle w:val="Body1"/>
        <w:keepNext/>
        <w:keepLines/>
        <w:rPr>
          <w:rFonts w:ascii="Arial" w:hAnsi="Arial" w:cs="Arial"/>
          <w:sz w:val="20"/>
        </w:rPr>
      </w:pPr>
    </w:p>
    <w:tbl>
      <w:tblPr>
        <w:tblW w:w="9280" w:type="dxa"/>
        <w:tblInd w:w="93" w:type="dxa"/>
        <w:tblLook w:val="04A0" w:firstRow="1" w:lastRow="0" w:firstColumn="1" w:lastColumn="0" w:noHBand="0" w:noVBand="1"/>
      </w:tblPr>
      <w:tblGrid>
        <w:gridCol w:w="2200"/>
        <w:gridCol w:w="2640"/>
        <w:gridCol w:w="2300"/>
        <w:gridCol w:w="2140"/>
      </w:tblGrid>
      <w:tr w:rsidR="00865AEC" w:rsidRPr="009B4A78" w14:paraId="7CE26302" w14:textId="77777777" w:rsidTr="00F33E49">
        <w:trPr>
          <w:trHeight w:val="630"/>
        </w:trPr>
        <w:tc>
          <w:tcPr>
            <w:tcW w:w="220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0F09A112"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 xml:space="preserve">Expected Results </w:t>
            </w:r>
          </w:p>
        </w:tc>
        <w:tc>
          <w:tcPr>
            <w:tcW w:w="2640" w:type="dxa"/>
            <w:tcBorders>
              <w:top w:val="single" w:sz="4" w:space="0" w:color="auto"/>
              <w:left w:val="nil"/>
              <w:bottom w:val="single" w:sz="4" w:space="0" w:color="auto"/>
              <w:right w:val="nil"/>
            </w:tcBorders>
            <w:shd w:val="clear" w:color="auto" w:fill="C6D9F1" w:themeFill="text2" w:themeFillTint="33"/>
            <w:vAlign w:val="center"/>
            <w:hideMark/>
          </w:tcPr>
          <w:p w14:paraId="7F74EC01"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300" w:type="dxa"/>
            <w:tcBorders>
              <w:top w:val="single" w:sz="4" w:space="0" w:color="auto"/>
              <w:left w:val="nil"/>
              <w:bottom w:val="single" w:sz="4" w:space="0" w:color="auto"/>
              <w:right w:val="nil"/>
            </w:tcBorders>
            <w:shd w:val="clear" w:color="auto" w:fill="C6D9F1" w:themeFill="text2" w:themeFillTint="33"/>
            <w:vAlign w:val="center"/>
            <w:hideMark/>
          </w:tcPr>
          <w:p w14:paraId="438ED29B"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21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3261E5"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865AEC" w:rsidRPr="009B4A78" w14:paraId="0D54F1E3" w14:textId="77777777" w:rsidTr="00F33E49">
        <w:trPr>
          <w:trHeight w:val="1312"/>
        </w:trPr>
        <w:tc>
          <w:tcPr>
            <w:tcW w:w="2200" w:type="dxa"/>
            <w:vMerge w:val="restart"/>
            <w:tcBorders>
              <w:top w:val="nil"/>
              <w:left w:val="single" w:sz="4" w:space="0" w:color="auto"/>
              <w:bottom w:val="single" w:sz="4" w:space="0" w:color="000000"/>
              <w:right w:val="nil"/>
            </w:tcBorders>
            <w:shd w:val="clear" w:color="000000" w:fill="FFFFFF"/>
            <w:hideMark/>
          </w:tcPr>
          <w:p w14:paraId="13FD353F" w14:textId="77777777" w:rsidR="00865AEC" w:rsidRPr="009B4A78" w:rsidRDefault="00865AEC" w:rsidP="00F33E49">
            <w:pPr>
              <w:keepNext/>
              <w:keepLines/>
              <w:rPr>
                <w:rFonts w:ascii="Arial" w:hAnsi="Arial" w:cs="Arial"/>
                <w:color w:val="000000"/>
                <w:sz w:val="16"/>
                <w:szCs w:val="16"/>
              </w:rPr>
            </w:pPr>
            <w:r w:rsidRPr="009B4A78">
              <w:rPr>
                <w:rFonts w:ascii="Arial" w:hAnsi="Arial" w:cs="Arial"/>
                <w:color w:val="000000"/>
                <w:sz w:val="16"/>
                <w:szCs w:val="16"/>
              </w:rPr>
              <w:br/>
              <w:t>IV.1 Updated and globally accepted system of international classifications and WIPO standards to facilitate access, use and dissemination of IP information among stakeholders in the world</w:t>
            </w:r>
          </w:p>
        </w:tc>
        <w:tc>
          <w:tcPr>
            <w:tcW w:w="2640" w:type="dxa"/>
            <w:tcBorders>
              <w:top w:val="nil"/>
              <w:left w:val="nil"/>
              <w:bottom w:val="nil"/>
              <w:right w:val="nil"/>
            </w:tcBorders>
            <w:shd w:val="clear" w:color="000000" w:fill="FFFFFF"/>
            <w:hideMark/>
          </w:tcPr>
          <w:p w14:paraId="73F06C8D" w14:textId="77777777" w:rsidR="00865AEC" w:rsidRPr="009B4A78" w:rsidRDefault="00865AEC" w:rsidP="00F33E49">
            <w:pPr>
              <w:keepNext/>
              <w:keepLines/>
              <w:ind w:left="259" w:firstLineChars="38" w:firstLine="61"/>
              <w:rPr>
                <w:rFonts w:ascii="Arial" w:hAnsi="Arial" w:cs="Arial"/>
                <w:color w:val="000000"/>
                <w:sz w:val="16"/>
                <w:szCs w:val="16"/>
              </w:rPr>
            </w:pPr>
            <w:r w:rsidRPr="009B4A78">
              <w:rPr>
                <w:rFonts w:ascii="Arial" w:hAnsi="Arial" w:cs="Arial"/>
                <w:color w:val="000000"/>
                <w:sz w:val="16"/>
                <w:szCs w:val="16"/>
              </w:rPr>
              <w:br/>
              <w:t>No. of amendments and information files introduced into the Nice Classification</w:t>
            </w:r>
          </w:p>
        </w:tc>
        <w:tc>
          <w:tcPr>
            <w:tcW w:w="2300" w:type="dxa"/>
            <w:tcBorders>
              <w:top w:val="nil"/>
              <w:left w:val="nil"/>
              <w:bottom w:val="nil"/>
              <w:right w:val="nil"/>
            </w:tcBorders>
            <w:shd w:val="clear" w:color="000000" w:fill="FFFFFF"/>
            <w:hideMark/>
          </w:tcPr>
          <w:p w14:paraId="6981660A" w14:textId="77777777" w:rsidR="00865AEC" w:rsidRPr="009B4A78" w:rsidRDefault="00865AEC" w:rsidP="00F33E49">
            <w:pPr>
              <w:keepNext/>
              <w:keepLines/>
              <w:ind w:left="170" w:firstLineChars="93" w:firstLine="149"/>
              <w:rPr>
                <w:rFonts w:ascii="Arial" w:hAnsi="Arial" w:cs="Arial"/>
                <w:color w:val="000000"/>
                <w:sz w:val="16"/>
                <w:szCs w:val="16"/>
              </w:rPr>
            </w:pPr>
            <w:r w:rsidRPr="009B4A78">
              <w:rPr>
                <w:rFonts w:ascii="Arial" w:hAnsi="Arial" w:cs="Arial"/>
                <w:color w:val="000000"/>
                <w:sz w:val="16"/>
                <w:szCs w:val="16"/>
              </w:rPr>
              <w:br/>
              <w:t xml:space="preserve">570 amendments in English and French, </w:t>
            </w:r>
            <w:r w:rsidRPr="009B4A78">
              <w:rPr>
                <w:rFonts w:ascii="Arial" w:hAnsi="Arial" w:cs="Arial"/>
                <w:color w:val="000000"/>
                <w:sz w:val="16"/>
                <w:szCs w:val="16"/>
              </w:rPr>
              <w:br/>
              <w:t>50 new or amended info files (2014)</w:t>
            </w:r>
          </w:p>
        </w:tc>
        <w:tc>
          <w:tcPr>
            <w:tcW w:w="2140" w:type="dxa"/>
            <w:tcBorders>
              <w:top w:val="nil"/>
              <w:left w:val="nil"/>
              <w:bottom w:val="nil"/>
              <w:right w:val="single" w:sz="4" w:space="0" w:color="auto"/>
            </w:tcBorders>
            <w:shd w:val="clear" w:color="000000" w:fill="FFFFFF"/>
            <w:hideMark/>
          </w:tcPr>
          <w:p w14:paraId="24348166" w14:textId="77777777" w:rsidR="00865AEC" w:rsidRPr="009B4A78" w:rsidRDefault="00865AEC" w:rsidP="00F33E49">
            <w:pPr>
              <w:keepNext/>
              <w:keepLines/>
              <w:ind w:left="280" w:firstLineChars="25" w:firstLine="40"/>
              <w:rPr>
                <w:rFonts w:ascii="Arial" w:hAnsi="Arial" w:cs="Arial"/>
                <w:color w:val="000000"/>
                <w:sz w:val="16"/>
                <w:szCs w:val="16"/>
              </w:rPr>
            </w:pPr>
            <w:r w:rsidRPr="009B4A78">
              <w:rPr>
                <w:rFonts w:ascii="Arial" w:hAnsi="Arial" w:cs="Arial"/>
                <w:color w:val="000000"/>
                <w:sz w:val="16"/>
                <w:szCs w:val="16"/>
              </w:rPr>
              <w:br/>
              <w:t>Increase compared to baseline</w:t>
            </w:r>
          </w:p>
        </w:tc>
      </w:tr>
      <w:tr w:rsidR="00865AEC" w:rsidRPr="009B4A78" w14:paraId="50EC2881" w14:textId="77777777" w:rsidTr="00F33E49">
        <w:trPr>
          <w:trHeight w:val="661"/>
        </w:trPr>
        <w:tc>
          <w:tcPr>
            <w:tcW w:w="2200" w:type="dxa"/>
            <w:vMerge/>
            <w:tcBorders>
              <w:top w:val="nil"/>
              <w:left w:val="single" w:sz="4" w:space="0" w:color="auto"/>
              <w:bottom w:val="single" w:sz="4" w:space="0" w:color="000000"/>
              <w:right w:val="nil"/>
            </w:tcBorders>
            <w:vAlign w:val="center"/>
            <w:hideMark/>
          </w:tcPr>
          <w:p w14:paraId="0ED03E0D" w14:textId="77777777" w:rsidR="00865AEC" w:rsidRPr="009B4A78" w:rsidRDefault="00865AEC" w:rsidP="00F33E49">
            <w:pPr>
              <w:keepNext/>
              <w:keepLines/>
              <w:rPr>
                <w:rFonts w:ascii="Arial" w:hAnsi="Arial" w:cs="Arial"/>
                <w:color w:val="000000"/>
                <w:sz w:val="16"/>
                <w:szCs w:val="16"/>
              </w:rPr>
            </w:pPr>
          </w:p>
        </w:tc>
        <w:tc>
          <w:tcPr>
            <w:tcW w:w="2640" w:type="dxa"/>
            <w:tcBorders>
              <w:top w:val="nil"/>
              <w:left w:val="nil"/>
              <w:bottom w:val="nil"/>
              <w:right w:val="nil"/>
            </w:tcBorders>
            <w:shd w:val="clear" w:color="000000" w:fill="FFFFFF"/>
            <w:hideMark/>
          </w:tcPr>
          <w:p w14:paraId="65E92F1E" w14:textId="77777777" w:rsidR="00865AEC" w:rsidRPr="009B4A78" w:rsidRDefault="00865AEC" w:rsidP="00F33E49">
            <w:pPr>
              <w:keepNext/>
              <w:keepLines/>
              <w:ind w:left="259"/>
              <w:rPr>
                <w:rFonts w:ascii="Arial" w:hAnsi="Arial" w:cs="Arial"/>
                <w:color w:val="000000"/>
                <w:sz w:val="16"/>
                <w:szCs w:val="16"/>
              </w:rPr>
            </w:pPr>
            <w:r w:rsidRPr="009B4A78">
              <w:rPr>
                <w:rFonts w:ascii="Arial" w:hAnsi="Arial" w:cs="Arial"/>
                <w:color w:val="000000"/>
                <w:sz w:val="16"/>
                <w:szCs w:val="16"/>
              </w:rPr>
              <w:t>No. of new subdivisions introduced into the IPC per year</w:t>
            </w:r>
          </w:p>
        </w:tc>
        <w:tc>
          <w:tcPr>
            <w:tcW w:w="2300" w:type="dxa"/>
            <w:tcBorders>
              <w:top w:val="nil"/>
              <w:left w:val="nil"/>
              <w:bottom w:val="nil"/>
              <w:right w:val="nil"/>
            </w:tcBorders>
            <w:shd w:val="clear" w:color="000000" w:fill="FFFFFF"/>
            <w:hideMark/>
          </w:tcPr>
          <w:p w14:paraId="3DC18D28" w14:textId="77777777" w:rsidR="00865AEC" w:rsidRPr="009B4A78" w:rsidRDefault="00865AEC" w:rsidP="00F33E49">
            <w:pPr>
              <w:keepNext/>
              <w:keepLines/>
              <w:ind w:firstLineChars="106" w:firstLine="170"/>
              <w:rPr>
                <w:rFonts w:ascii="Arial" w:hAnsi="Arial" w:cs="Arial"/>
                <w:color w:val="000000"/>
                <w:sz w:val="16"/>
                <w:szCs w:val="16"/>
              </w:rPr>
            </w:pPr>
            <w:r w:rsidRPr="009B4A78">
              <w:rPr>
                <w:rFonts w:ascii="Arial" w:hAnsi="Arial" w:cs="Arial"/>
                <w:color w:val="000000"/>
                <w:sz w:val="16"/>
                <w:szCs w:val="16"/>
              </w:rPr>
              <w:t>337 new groups (2014)</w:t>
            </w:r>
          </w:p>
        </w:tc>
        <w:tc>
          <w:tcPr>
            <w:tcW w:w="2140" w:type="dxa"/>
            <w:tcBorders>
              <w:top w:val="nil"/>
              <w:left w:val="nil"/>
              <w:bottom w:val="nil"/>
              <w:right w:val="single" w:sz="4" w:space="0" w:color="auto"/>
            </w:tcBorders>
            <w:shd w:val="clear" w:color="000000" w:fill="FFFFFF"/>
            <w:hideMark/>
          </w:tcPr>
          <w:p w14:paraId="455109A7" w14:textId="77777777" w:rsidR="00865AEC" w:rsidRPr="009B4A78" w:rsidRDefault="00865AEC" w:rsidP="00F33E49">
            <w:pPr>
              <w:keepNext/>
              <w:keepLines/>
              <w:ind w:left="280"/>
              <w:rPr>
                <w:rFonts w:ascii="Arial" w:hAnsi="Arial" w:cs="Arial"/>
                <w:color w:val="000000"/>
                <w:sz w:val="16"/>
                <w:szCs w:val="16"/>
              </w:rPr>
            </w:pPr>
            <w:r w:rsidRPr="009B4A78">
              <w:rPr>
                <w:rFonts w:ascii="Arial" w:hAnsi="Arial" w:cs="Arial"/>
                <w:color w:val="000000"/>
                <w:sz w:val="16"/>
                <w:szCs w:val="16"/>
              </w:rPr>
              <w:t>Increase compared to baseline</w:t>
            </w:r>
          </w:p>
        </w:tc>
      </w:tr>
      <w:tr w:rsidR="00865AEC" w:rsidRPr="009B4A78" w14:paraId="03DC9AB1" w14:textId="77777777" w:rsidTr="00F33E49">
        <w:trPr>
          <w:trHeight w:val="557"/>
        </w:trPr>
        <w:tc>
          <w:tcPr>
            <w:tcW w:w="2200" w:type="dxa"/>
            <w:vMerge/>
            <w:tcBorders>
              <w:top w:val="nil"/>
              <w:left w:val="single" w:sz="4" w:space="0" w:color="auto"/>
              <w:bottom w:val="single" w:sz="4" w:space="0" w:color="000000"/>
              <w:right w:val="nil"/>
            </w:tcBorders>
            <w:vAlign w:val="center"/>
            <w:hideMark/>
          </w:tcPr>
          <w:p w14:paraId="0EDAB8BB" w14:textId="77777777" w:rsidR="00865AEC" w:rsidRPr="009B4A78" w:rsidRDefault="00865AEC">
            <w:pPr>
              <w:rPr>
                <w:rFonts w:ascii="Arial" w:hAnsi="Arial" w:cs="Arial"/>
                <w:color w:val="000000"/>
                <w:sz w:val="16"/>
                <w:szCs w:val="16"/>
              </w:rPr>
            </w:pPr>
          </w:p>
        </w:tc>
        <w:tc>
          <w:tcPr>
            <w:tcW w:w="2640" w:type="dxa"/>
            <w:tcBorders>
              <w:top w:val="nil"/>
              <w:left w:val="nil"/>
              <w:bottom w:val="nil"/>
              <w:right w:val="nil"/>
            </w:tcBorders>
            <w:shd w:val="clear" w:color="000000" w:fill="FFFFFF"/>
            <w:hideMark/>
          </w:tcPr>
          <w:p w14:paraId="77ED8591" w14:textId="77777777" w:rsidR="00865AEC" w:rsidRPr="009B4A78" w:rsidRDefault="00865AEC" w:rsidP="00F33E49">
            <w:pPr>
              <w:ind w:left="259"/>
              <w:rPr>
                <w:rFonts w:ascii="Arial" w:hAnsi="Arial" w:cs="Arial"/>
                <w:color w:val="000000"/>
                <w:sz w:val="16"/>
                <w:szCs w:val="16"/>
              </w:rPr>
            </w:pPr>
            <w:r w:rsidRPr="009B4A78">
              <w:rPr>
                <w:rFonts w:ascii="Arial" w:hAnsi="Arial" w:cs="Arial"/>
                <w:color w:val="000000"/>
                <w:sz w:val="16"/>
                <w:szCs w:val="16"/>
              </w:rPr>
              <w:t>No. of amended and new standards adopted</w:t>
            </w:r>
          </w:p>
        </w:tc>
        <w:tc>
          <w:tcPr>
            <w:tcW w:w="2300" w:type="dxa"/>
            <w:tcBorders>
              <w:top w:val="nil"/>
              <w:left w:val="nil"/>
              <w:bottom w:val="nil"/>
              <w:right w:val="nil"/>
            </w:tcBorders>
            <w:shd w:val="clear" w:color="000000" w:fill="FFFFFF"/>
            <w:hideMark/>
          </w:tcPr>
          <w:p w14:paraId="6E2A0F3F" w14:textId="77777777" w:rsidR="00865AEC" w:rsidRPr="009B4A78" w:rsidRDefault="00865AEC" w:rsidP="00F33E49">
            <w:pPr>
              <w:ind w:left="170"/>
              <w:rPr>
                <w:rFonts w:ascii="Arial" w:hAnsi="Arial" w:cs="Arial"/>
                <w:color w:val="000000"/>
                <w:sz w:val="16"/>
                <w:szCs w:val="16"/>
              </w:rPr>
            </w:pPr>
            <w:r w:rsidRPr="009B4A78">
              <w:rPr>
                <w:rFonts w:ascii="Arial" w:hAnsi="Arial" w:cs="Arial"/>
                <w:color w:val="000000"/>
                <w:sz w:val="16"/>
                <w:szCs w:val="16"/>
              </w:rPr>
              <w:t>Two new standards (2014)</w:t>
            </w:r>
          </w:p>
        </w:tc>
        <w:tc>
          <w:tcPr>
            <w:tcW w:w="2140" w:type="dxa"/>
            <w:tcBorders>
              <w:top w:val="nil"/>
              <w:left w:val="nil"/>
              <w:bottom w:val="nil"/>
              <w:right w:val="single" w:sz="4" w:space="0" w:color="auto"/>
            </w:tcBorders>
            <w:shd w:val="clear" w:color="000000" w:fill="FFFFFF"/>
            <w:hideMark/>
          </w:tcPr>
          <w:p w14:paraId="5E97E297" w14:textId="77777777" w:rsidR="00865AEC" w:rsidRPr="009B4A78" w:rsidRDefault="00865AEC" w:rsidP="00F33E49">
            <w:pPr>
              <w:ind w:left="280"/>
              <w:rPr>
                <w:rFonts w:ascii="Arial" w:hAnsi="Arial" w:cs="Arial"/>
                <w:color w:val="000000"/>
                <w:sz w:val="16"/>
                <w:szCs w:val="16"/>
              </w:rPr>
            </w:pPr>
            <w:r w:rsidRPr="009B4A78">
              <w:rPr>
                <w:rFonts w:ascii="Arial" w:hAnsi="Arial" w:cs="Arial"/>
                <w:color w:val="000000"/>
                <w:sz w:val="16"/>
                <w:szCs w:val="16"/>
              </w:rPr>
              <w:t>Increase compared to baseline</w:t>
            </w:r>
          </w:p>
        </w:tc>
      </w:tr>
      <w:tr w:rsidR="00865AEC" w:rsidRPr="009B4A78" w14:paraId="50B53E4F" w14:textId="77777777" w:rsidTr="00F33E49">
        <w:trPr>
          <w:trHeight w:val="1409"/>
        </w:trPr>
        <w:tc>
          <w:tcPr>
            <w:tcW w:w="2200" w:type="dxa"/>
            <w:vMerge/>
            <w:tcBorders>
              <w:top w:val="nil"/>
              <w:left w:val="single" w:sz="4" w:space="0" w:color="auto"/>
              <w:bottom w:val="single" w:sz="4" w:space="0" w:color="000000"/>
              <w:right w:val="nil"/>
            </w:tcBorders>
            <w:vAlign w:val="center"/>
            <w:hideMark/>
          </w:tcPr>
          <w:p w14:paraId="412737FD" w14:textId="77777777" w:rsidR="00865AEC" w:rsidRPr="009B4A78" w:rsidRDefault="00865AEC">
            <w:pPr>
              <w:rPr>
                <w:rFonts w:ascii="Arial" w:hAnsi="Arial" w:cs="Arial"/>
                <w:color w:val="000000"/>
                <w:sz w:val="16"/>
                <w:szCs w:val="16"/>
              </w:rPr>
            </w:pPr>
          </w:p>
        </w:tc>
        <w:tc>
          <w:tcPr>
            <w:tcW w:w="2640" w:type="dxa"/>
            <w:tcBorders>
              <w:top w:val="nil"/>
              <w:left w:val="nil"/>
              <w:bottom w:val="single" w:sz="4" w:space="0" w:color="auto"/>
              <w:right w:val="nil"/>
            </w:tcBorders>
            <w:shd w:val="clear" w:color="000000" w:fill="FFFFFF"/>
            <w:hideMark/>
          </w:tcPr>
          <w:p w14:paraId="189BCDE3" w14:textId="77777777" w:rsidR="00865AEC" w:rsidRPr="009B4A78" w:rsidRDefault="00865AEC" w:rsidP="00F33E49">
            <w:pPr>
              <w:ind w:left="259"/>
              <w:rPr>
                <w:rFonts w:ascii="Arial" w:hAnsi="Arial" w:cs="Arial"/>
                <w:color w:val="000000"/>
                <w:sz w:val="16"/>
                <w:szCs w:val="16"/>
              </w:rPr>
            </w:pPr>
            <w:r w:rsidRPr="009B4A78">
              <w:rPr>
                <w:rFonts w:ascii="Arial" w:hAnsi="Arial" w:cs="Arial"/>
                <w:color w:val="000000"/>
                <w:sz w:val="16"/>
                <w:szCs w:val="16"/>
              </w:rPr>
              <w:t>No. of users accessing the Internet publications of international classifications and standards, in particular from developing countries</w:t>
            </w:r>
          </w:p>
        </w:tc>
        <w:tc>
          <w:tcPr>
            <w:tcW w:w="2300" w:type="dxa"/>
            <w:tcBorders>
              <w:top w:val="nil"/>
              <w:left w:val="nil"/>
              <w:bottom w:val="single" w:sz="4" w:space="0" w:color="auto"/>
              <w:right w:val="nil"/>
            </w:tcBorders>
            <w:shd w:val="clear" w:color="000000" w:fill="FFFFFF"/>
            <w:hideMark/>
          </w:tcPr>
          <w:p w14:paraId="2C36434D" w14:textId="77777777" w:rsidR="00865AEC" w:rsidRPr="009B4A78" w:rsidRDefault="00865AEC" w:rsidP="00F33E49">
            <w:pPr>
              <w:ind w:left="170"/>
              <w:rPr>
                <w:rFonts w:ascii="Arial" w:hAnsi="Arial" w:cs="Arial"/>
                <w:color w:val="000000"/>
                <w:sz w:val="16"/>
                <w:szCs w:val="16"/>
              </w:rPr>
            </w:pPr>
            <w:proofErr w:type="spellStart"/>
            <w:r w:rsidRPr="009B4A78">
              <w:rPr>
                <w:rFonts w:ascii="Arial" w:hAnsi="Arial" w:cs="Arial"/>
                <w:color w:val="000000"/>
                <w:sz w:val="16"/>
                <w:szCs w:val="16"/>
              </w:rPr>
              <w:t>NicePub</w:t>
            </w:r>
            <w:proofErr w:type="spellEnd"/>
            <w:r w:rsidRPr="009B4A78">
              <w:rPr>
                <w:rFonts w:ascii="Arial" w:hAnsi="Arial" w:cs="Arial"/>
                <w:color w:val="000000"/>
                <w:sz w:val="16"/>
                <w:szCs w:val="16"/>
              </w:rPr>
              <w:t>: 2,587,788</w:t>
            </w:r>
            <w:r w:rsidRPr="009B4A78">
              <w:rPr>
                <w:rFonts w:ascii="Arial" w:hAnsi="Arial" w:cs="Arial"/>
                <w:color w:val="000000"/>
                <w:sz w:val="16"/>
                <w:szCs w:val="16"/>
              </w:rPr>
              <w:br/>
              <w:t>Locarno Home:  44,557</w:t>
            </w:r>
            <w:r w:rsidRPr="009B4A78">
              <w:rPr>
                <w:rFonts w:ascii="Arial" w:hAnsi="Arial" w:cs="Arial"/>
                <w:color w:val="000000"/>
                <w:sz w:val="16"/>
                <w:szCs w:val="16"/>
              </w:rPr>
              <w:br/>
              <w:t>Vienna Home: 29,596</w:t>
            </w:r>
            <w:r w:rsidRPr="009B4A78">
              <w:rPr>
                <w:rFonts w:ascii="Arial" w:hAnsi="Arial" w:cs="Arial"/>
                <w:color w:val="000000"/>
                <w:sz w:val="16"/>
                <w:szCs w:val="16"/>
              </w:rPr>
              <w:br/>
            </w:r>
            <w:proofErr w:type="spellStart"/>
            <w:r w:rsidRPr="009B4A78">
              <w:rPr>
                <w:rFonts w:ascii="Arial" w:hAnsi="Arial" w:cs="Arial"/>
                <w:color w:val="000000"/>
                <w:sz w:val="16"/>
                <w:szCs w:val="16"/>
              </w:rPr>
              <w:t>IPCPub</w:t>
            </w:r>
            <w:proofErr w:type="spellEnd"/>
            <w:r w:rsidRPr="009B4A78">
              <w:rPr>
                <w:rFonts w:ascii="Arial" w:hAnsi="Arial" w:cs="Arial"/>
                <w:color w:val="000000"/>
                <w:sz w:val="16"/>
                <w:szCs w:val="16"/>
              </w:rPr>
              <w:t>: 1,170,000</w:t>
            </w:r>
            <w:r w:rsidRPr="009B4A78">
              <w:rPr>
                <w:rFonts w:ascii="Arial" w:hAnsi="Arial" w:cs="Arial"/>
                <w:color w:val="000000"/>
                <w:sz w:val="16"/>
                <w:szCs w:val="16"/>
              </w:rPr>
              <w:br/>
              <w:t>WIPO Standards(Handbook):  66,399</w:t>
            </w:r>
          </w:p>
        </w:tc>
        <w:tc>
          <w:tcPr>
            <w:tcW w:w="2140" w:type="dxa"/>
            <w:tcBorders>
              <w:top w:val="nil"/>
              <w:left w:val="nil"/>
              <w:bottom w:val="single" w:sz="4" w:space="0" w:color="auto"/>
              <w:right w:val="single" w:sz="4" w:space="0" w:color="auto"/>
            </w:tcBorders>
            <w:shd w:val="clear" w:color="000000" w:fill="FFFFFF"/>
            <w:hideMark/>
          </w:tcPr>
          <w:p w14:paraId="38C09F8A" w14:textId="77777777" w:rsidR="00865AEC" w:rsidRPr="009B4A78" w:rsidRDefault="00865AEC" w:rsidP="00F33E49">
            <w:pPr>
              <w:ind w:left="280"/>
              <w:rPr>
                <w:rFonts w:ascii="Arial" w:hAnsi="Arial" w:cs="Arial"/>
                <w:color w:val="000000"/>
                <w:sz w:val="16"/>
                <w:szCs w:val="16"/>
              </w:rPr>
            </w:pPr>
            <w:r w:rsidRPr="009B4A78">
              <w:rPr>
                <w:rFonts w:ascii="Arial" w:hAnsi="Arial" w:cs="Arial"/>
                <w:color w:val="000000"/>
                <w:sz w:val="16"/>
                <w:szCs w:val="16"/>
              </w:rPr>
              <w:t xml:space="preserve">5% increase compared to baseline </w:t>
            </w:r>
          </w:p>
        </w:tc>
      </w:tr>
    </w:tbl>
    <w:p w14:paraId="542439FC" w14:textId="77777777" w:rsidR="00865AEC" w:rsidRPr="009B4A78" w:rsidRDefault="00865AEC">
      <w:pPr>
        <w:pStyle w:val="Body1"/>
        <w:rPr>
          <w:rFonts w:ascii="Arial" w:hAnsi="Arial" w:cs="Arial"/>
          <w:sz w:val="20"/>
        </w:rPr>
      </w:pPr>
    </w:p>
    <w:p w14:paraId="0CD157DC" w14:textId="77777777" w:rsidR="00865AEC" w:rsidRPr="009B4A78" w:rsidRDefault="00865AEC">
      <w:pPr>
        <w:pStyle w:val="Body1"/>
        <w:rPr>
          <w:rFonts w:ascii="Arial" w:hAnsi="Arial" w:cs="Arial"/>
          <w:sz w:val="20"/>
        </w:rPr>
      </w:pPr>
    </w:p>
    <w:p w14:paraId="56244832" w14:textId="77777777" w:rsidR="00865AEC" w:rsidRPr="009B4A78" w:rsidRDefault="00865AEC" w:rsidP="00F33E49">
      <w:pPr>
        <w:pStyle w:val="Body1"/>
        <w:rPr>
          <w:rFonts w:ascii="Arial" w:hAnsi="Arial" w:cs="Arial"/>
          <w:sz w:val="22"/>
        </w:rPr>
      </w:pPr>
      <w:r w:rsidRPr="009B4A78">
        <w:rPr>
          <w:rFonts w:ascii="Arial" w:hAnsi="Arial" w:cs="Arial"/>
          <w:sz w:val="22"/>
        </w:rPr>
        <w:t>RESOURCES FOR PROGRAM 12</w:t>
      </w:r>
    </w:p>
    <w:p w14:paraId="48F2859F" w14:textId="77777777" w:rsidR="00865AEC" w:rsidRPr="009B4A78" w:rsidRDefault="00865AEC" w:rsidP="00F33E49">
      <w:pPr>
        <w:pStyle w:val="Body1"/>
        <w:rPr>
          <w:rFonts w:ascii="Arial" w:hAnsi="Arial" w:cs="Arial"/>
          <w:sz w:val="22"/>
        </w:rPr>
      </w:pPr>
    </w:p>
    <w:p w14:paraId="1AFD0E57" w14:textId="38310C01" w:rsidR="00865AEC" w:rsidRPr="00FB68E0" w:rsidRDefault="00865AEC" w:rsidP="00B66A4A">
      <w:pPr>
        <w:pStyle w:val="Body1"/>
        <w:numPr>
          <w:ilvl w:val="0"/>
          <w:numId w:val="14"/>
        </w:numPr>
        <w:tabs>
          <w:tab w:val="left" w:pos="709"/>
        </w:tabs>
        <w:ind w:left="0" w:firstLine="0"/>
        <w:jc w:val="both"/>
        <w:rPr>
          <w:rFonts w:ascii="Arial" w:hAnsi="Arial" w:cs="Arial"/>
          <w:sz w:val="20"/>
        </w:rPr>
      </w:pPr>
      <w:r w:rsidRPr="009B4A78">
        <w:rPr>
          <w:rFonts w:ascii="Arial" w:hAnsi="Arial" w:cs="Arial"/>
          <w:sz w:val="20"/>
        </w:rPr>
        <w:t>A slight decrease can be observed in the overall resources for the Program in 2016/17 compared to the 2014/15 Budget after Transfers.  N</w:t>
      </w:r>
      <w:r w:rsidRPr="00FB68E0">
        <w:rPr>
          <w:rFonts w:ascii="Arial" w:hAnsi="Arial" w:cs="Arial"/>
          <w:sz w:val="20"/>
        </w:rPr>
        <w:t xml:space="preserve">on-personnel resources </w:t>
      </w:r>
      <w:r w:rsidRPr="009B4A78">
        <w:rPr>
          <w:rFonts w:ascii="Arial" w:hAnsi="Arial" w:cs="Arial"/>
          <w:sz w:val="20"/>
        </w:rPr>
        <w:t>in 2016/17 are</w:t>
      </w:r>
      <w:r w:rsidRPr="00FB68E0">
        <w:rPr>
          <w:rFonts w:ascii="Arial" w:hAnsi="Arial" w:cs="Arial"/>
          <w:sz w:val="20"/>
        </w:rPr>
        <w:t xml:space="preserve"> maintained at the level of </w:t>
      </w:r>
      <w:r w:rsidRPr="009B4A78">
        <w:rPr>
          <w:rFonts w:ascii="Arial" w:hAnsi="Arial" w:cs="Arial"/>
          <w:sz w:val="20"/>
        </w:rPr>
        <w:t xml:space="preserve">the </w:t>
      </w:r>
      <w:r w:rsidRPr="00FB68E0">
        <w:rPr>
          <w:rFonts w:ascii="Arial" w:hAnsi="Arial" w:cs="Arial"/>
          <w:sz w:val="20"/>
        </w:rPr>
        <w:t xml:space="preserve">2014/15 </w:t>
      </w:r>
      <w:r w:rsidRPr="009B4A78">
        <w:rPr>
          <w:rFonts w:ascii="Arial" w:hAnsi="Arial" w:cs="Arial"/>
          <w:sz w:val="20"/>
        </w:rPr>
        <w:t>Budget after Transfers.  The</w:t>
      </w:r>
      <w:r w:rsidRPr="00FB68E0">
        <w:rPr>
          <w:rFonts w:ascii="Arial" w:hAnsi="Arial" w:cs="Arial"/>
          <w:sz w:val="20"/>
        </w:rPr>
        <w:t xml:space="preserve"> decrease in personnel </w:t>
      </w:r>
      <w:r w:rsidRPr="009B4A78">
        <w:rPr>
          <w:rFonts w:ascii="Arial" w:hAnsi="Arial" w:cs="Arial"/>
          <w:sz w:val="20"/>
        </w:rPr>
        <w:t xml:space="preserve">resources is due to </w:t>
      </w:r>
      <w:r w:rsidRPr="00FB68E0">
        <w:rPr>
          <w:rFonts w:ascii="Arial" w:hAnsi="Arial" w:cs="Arial"/>
          <w:sz w:val="20"/>
        </w:rPr>
        <w:t xml:space="preserve">the transfer </w:t>
      </w:r>
      <w:r w:rsidRPr="009B4A78">
        <w:rPr>
          <w:rFonts w:ascii="Arial" w:hAnsi="Arial" w:cs="Arial"/>
          <w:sz w:val="20"/>
        </w:rPr>
        <w:t>of one</w:t>
      </w:r>
      <w:r w:rsidRPr="00FB68E0">
        <w:rPr>
          <w:rFonts w:ascii="Arial" w:hAnsi="Arial" w:cs="Arial"/>
          <w:sz w:val="20"/>
        </w:rPr>
        <w:t xml:space="preserve"> post</w:t>
      </w:r>
      <w:r w:rsidRPr="009B4A78">
        <w:rPr>
          <w:rFonts w:ascii="Arial" w:hAnsi="Arial" w:cs="Arial"/>
          <w:sz w:val="20"/>
        </w:rPr>
        <w:t xml:space="preserve"> to Program 15 (Business Solutions for IP Offices) to reinforce the support to IP Offices globally.</w:t>
      </w:r>
    </w:p>
    <w:p w14:paraId="791BD075" w14:textId="77777777" w:rsidR="00865AEC" w:rsidRPr="009B4A78" w:rsidRDefault="00865AEC" w:rsidP="00F33E49">
      <w:pPr>
        <w:pStyle w:val="Body1"/>
        <w:rPr>
          <w:rFonts w:ascii="Arial" w:hAnsi="Arial" w:cs="Arial"/>
          <w:sz w:val="22"/>
        </w:rPr>
      </w:pPr>
    </w:p>
    <w:p w14:paraId="3B1902D4" w14:textId="77777777" w:rsidR="00865AEC" w:rsidRPr="009B4A78" w:rsidRDefault="00865AEC" w:rsidP="00F33E49">
      <w:pPr>
        <w:pStyle w:val="Body1"/>
        <w:rPr>
          <w:rFonts w:ascii="Arial" w:hAnsi="Arial" w:cs="Arial"/>
          <w:sz w:val="22"/>
        </w:rPr>
      </w:pPr>
    </w:p>
    <w:p w14:paraId="498E4F43"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t>Program 12:  Resources by Result</w:t>
      </w:r>
    </w:p>
    <w:p w14:paraId="7383ABC8"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D620DD2" w14:textId="77777777" w:rsidR="00865AEC" w:rsidRPr="009B4A78" w:rsidRDefault="00865AEC" w:rsidP="00F33E49">
      <w:pPr>
        <w:keepNext/>
        <w:keepLines/>
        <w:autoSpaceDE w:val="0"/>
        <w:autoSpaceDN w:val="0"/>
        <w:jc w:val="center"/>
        <w:rPr>
          <w:rFonts w:ascii="Arial" w:hAnsi="Arial" w:cs="Arial"/>
          <w:i/>
          <w:sz w:val="20"/>
        </w:rPr>
      </w:pPr>
    </w:p>
    <w:p w14:paraId="55B8F5FF" w14:textId="77777777" w:rsidR="00865AEC" w:rsidRPr="009B4A78" w:rsidRDefault="00865AEC" w:rsidP="002B052A">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6FDBB9AD" wp14:editId="69D0AF4C">
            <wp:extent cx="5192202" cy="12109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12321" cy="1215602"/>
                    </a:xfrm>
                    <a:prstGeom prst="rect">
                      <a:avLst/>
                    </a:prstGeom>
                    <a:noFill/>
                    <a:ln>
                      <a:noFill/>
                    </a:ln>
                  </pic:spPr>
                </pic:pic>
              </a:graphicData>
            </a:graphic>
          </wp:inline>
        </w:drawing>
      </w:r>
    </w:p>
    <w:p w14:paraId="33C22722" w14:textId="77777777" w:rsidR="00865AEC" w:rsidRPr="009B4A78" w:rsidRDefault="00865AEC" w:rsidP="00865AEC">
      <w:pPr>
        <w:autoSpaceDE w:val="0"/>
        <w:autoSpaceDN w:val="0"/>
        <w:ind w:left="-141" w:hanging="284"/>
        <w:rPr>
          <w:rFonts w:ascii="Arial" w:hAnsi="Arial" w:cs="Arial"/>
          <w:i/>
          <w:sz w:val="20"/>
        </w:rPr>
      </w:pPr>
    </w:p>
    <w:p w14:paraId="3A64019E" w14:textId="77777777" w:rsidR="00865AEC" w:rsidRPr="009B4A78" w:rsidRDefault="00865AEC" w:rsidP="00865AEC">
      <w:pPr>
        <w:autoSpaceDE w:val="0"/>
        <w:autoSpaceDN w:val="0"/>
        <w:ind w:left="-141" w:hanging="284"/>
        <w:rPr>
          <w:rFonts w:ascii="Arial" w:hAnsi="Arial" w:cs="Arial"/>
          <w:i/>
          <w:sz w:val="20"/>
        </w:rPr>
      </w:pPr>
    </w:p>
    <w:p w14:paraId="299EE211" w14:textId="77777777" w:rsidR="00865AEC" w:rsidRPr="009B4A78" w:rsidRDefault="00865AEC" w:rsidP="00F33E49">
      <w:pPr>
        <w:keepNext/>
        <w:keepLines/>
        <w:autoSpaceDE w:val="0"/>
        <w:autoSpaceDN w:val="0"/>
        <w:ind w:left="-142" w:hanging="284"/>
        <w:jc w:val="center"/>
        <w:rPr>
          <w:rFonts w:ascii="Arial" w:hAnsi="Arial" w:cs="Arial"/>
          <w:b/>
          <w:sz w:val="20"/>
        </w:rPr>
      </w:pPr>
      <w:r w:rsidRPr="009B4A78">
        <w:rPr>
          <w:rFonts w:ascii="Arial" w:hAnsi="Arial" w:cs="Arial"/>
          <w:b/>
          <w:sz w:val="20"/>
        </w:rPr>
        <w:lastRenderedPageBreak/>
        <w:t>Program 12:  Resources by Object of Expenditure</w:t>
      </w:r>
    </w:p>
    <w:p w14:paraId="4F536D95" w14:textId="77777777" w:rsidR="00865AEC" w:rsidRPr="009B4A78" w:rsidRDefault="00865AEC" w:rsidP="00F33E49">
      <w:pPr>
        <w:keepNext/>
        <w:keepLines/>
        <w:autoSpaceDE w:val="0"/>
        <w:autoSpaceDN w:val="0"/>
        <w:ind w:left="-142" w:hanging="284"/>
        <w:jc w:val="center"/>
        <w:rPr>
          <w:rFonts w:ascii="Arial" w:hAnsi="Arial" w:cs="Arial"/>
          <w:i/>
          <w:sz w:val="20"/>
        </w:rPr>
      </w:pPr>
      <w:r w:rsidRPr="009B4A78">
        <w:rPr>
          <w:rFonts w:ascii="Arial" w:hAnsi="Arial" w:cs="Arial"/>
          <w:i/>
          <w:sz w:val="20"/>
        </w:rPr>
        <w:t xml:space="preserve">(In thousands of Swiss francs) </w:t>
      </w:r>
    </w:p>
    <w:p w14:paraId="4E9FCAF0" w14:textId="77777777" w:rsidR="00865AEC" w:rsidRPr="009B4A78" w:rsidRDefault="00865AEC" w:rsidP="00F33E49">
      <w:pPr>
        <w:keepNext/>
        <w:keepLines/>
        <w:autoSpaceDE w:val="0"/>
        <w:autoSpaceDN w:val="0"/>
        <w:ind w:left="-142" w:hanging="284"/>
        <w:jc w:val="center"/>
        <w:rPr>
          <w:rFonts w:ascii="Arial" w:hAnsi="Arial" w:cs="Arial"/>
          <w:i/>
          <w:sz w:val="20"/>
        </w:rPr>
      </w:pPr>
    </w:p>
    <w:p w14:paraId="26C8C9CD" w14:textId="70E95FD3" w:rsidR="00865AEC" w:rsidRPr="009B4A78" w:rsidRDefault="00865AEC" w:rsidP="002B052A">
      <w:pPr>
        <w:keepNext/>
        <w:keepLines/>
        <w:tabs>
          <w:tab w:val="left" w:pos="9356"/>
        </w:tab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4EEABBF5" wp14:editId="62FC9D82">
            <wp:extent cx="4949377" cy="5572746"/>
            <wp:effectExtent l="0" t="0" r="381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64885" cy="5590207"/>
                    </a:xfrm>
                    <a:prstGeom prst="rect">
                      <a:avLst/>
                    </a:prstGeom>
                    <a:noFill/>
                    <a:ln>
                      <a:noFill/>
                    </a:ln>
                  </pic:spPr>
                </pic:pic>
              </a:graphicData>
            </a:graphic>
          </wp:inline>
        </w:drawing>
      </w:r>
    </w:p>
    <w:p w14:paraId="7FF27930" w14:textId="77777777" w:rsidR="00865AEC" w:rsidRPr="009B4A78" w:rsidRDefault="00865AEC" w:rsidP="00F33E49">
      <w:pPr>
        <w:pStyle w:val="Body1"/>
        <w:rPr>
          <w:rFonts w:ascii="Arial" w:hAnsi="Arial" w:cs="Arial"/>
          <w:sz w:val="22"/>
        </w:rPr>
      </w:pPr>
    </w:p>
    <w:p w14:paraId="7DD6CFCB" w14:textId="40D21D97" w:rsidR="00F33E49" w:rsidRPr="009B4A78" w:rsidRDefault="00F33E49">
      <w:pPr>
        <w:rPr>
          <w:rFonts w:ascii="Arial" w:hAnsi="Arial" w:cs="Arial"/>
          <w:sz w:val="20"/>
        </w:rPr>
      </w:pPr>
      <w:r w:rsidRPr="009B4A78">
        <w:rPr>
          <w:rFonts w:ascii="Arial" w:hAnsi="Arial" w:cs="Arial"/>
          <w:sz w:val="20"/>
        </w:rPr>
        <w:br w:type="page"/>
      </w:r>
    </w:p>
    <w:p w14:paraId="05F6AC34" w14:textId="77777777" w:rsidR="00EF472A" w:rsidRPr="009B4A78" w:rsidRDefault="00EF472A" w:rsidP="00984F70">
      <w:pPr>
        <w:pStyle w:val="StyleHeading3ComplexItalic"/>
        <w:ind w:left="1985" w:hanging="1985"/>
        <w:rPr>
          <w:rStyle w:val="StyleStyleHeading3ComplexItalicLatin12ptChar"/>
          <w:b/>
        </w:rPr>
      </w:pPr>
      <w:bookmarkStart w:id="48" w:name="_Toc431221423"/>
      <w:r w:rsidRPr="009B4A78">
        <w:rPr>
          <w:rStyle w:val="StyleStyleHeading3ComplexItalicLatin12ptChar"/>
          <w:b/>
        </w:rPr>
        <w:lastRenderedPageBreak/>
        <w:t>PROGRAM 13</w:t>
      </w:r>
      <w:r w:rsidRPr="009B4A78">
        <w:rPr>
          <w:rStyle w:val="StyleStyleHeading3ComplexItalicLatin12ptChar"/>
          <w:b/>
        </w:rPr>
        <w:tab/>
        <w:t>GLOBAL DATABASES SERVICE</w:t>
      </w:r>
      <w:bookmarkEnd w:id="48"/>
    </w:p>
    <w:p w14:paraId="6338FC9D" w14:textId="77777777" w:rsidR="00EF472A" w:rsidRPr="009B4A78" w:rsidRDefault="00EF472A" w:rsidP="00984F70">
      <w:pPr>
        <w:autoSpaceDE w:val="0"/>
        <w:autoSpaceDN w:val="0"/>
        <w:adjustRightInd w:val="0"/>
        <w:rPr>
          <w:rFonts w:ascii="Arial" w:hAnsi="Arial" w:cs="Arial"/>
          <w:color w:val="000000"/>
        </w:rPr>
      </w:pPr>
    </w:p>
    <w:p w14:paraId="1C3FF5F1" w14:textId="77777777" w:rsidR="00EF472A" w:rsidRPr="009B4A78" w:rsidRDefault="00EF472A" w:rsidP="00984F70">
      <w:pPr>
        <w:autoSpaceDE w:val="0"/>
        <w:autoSpaceDN w:val="0"/>
        <w:adjustRightInd w:val="0"/>
        <w:rPr>
          <w:rFonts w:ascii="Arial" w:hAnsi="Arial" w:cs="Arial"/>
          <w:color w:val="000000"/>
        </w:rPr>
      </w:pPr>
    </w:p>
    <w:p w14:paraId="5CCAEF66" w14:textId="77777777" w:rsidR="00EF472A" w:rsidRPr="009B4A78" w:rsidRDefault="00EF472A" w:rsidP="00984F70">
      <w:pPr>
        <w:autoSpaceDE w:val="0"/>
        <w:autoSpaceDN w:val="0"/>
        <w:adjustRightInd w:val="0"/>
        <w:rPr>
          <w:rFonts w:ascii="Arial" w:hAnsi="Arial" w:cs="Arial"/>
          <w:color w:val="000000"/>
        </w:rPr>
      </w:pPr>
      <w:r w:rsidRPr="009B4A78">
        <w:rPr>
          <w:rFonts w:ascii="Arial" w:hAnsi="Arial" w:cs="Arial"/>
          <w:color w:val="000000"/>
        </w:rPr>
        <w:t>PLANNING CONTEXT</w:t>
      </w:r>
    </w:p>
    <w:p w14:paraId="704EF584" w14:textId="77777777" w:rsidR="00EF472A" w:rsidRPr="009B4A78" w:rsidRDefault="00EF472A" w:rsidP="00984F70">
      <w:pPr>
        <w:tabs>
          <w:tab w:val="left" w:pos="567"/>
        </w:tabs>
        <w:autoSpaceDE w:val="0"/>
        <w:autoSpaceDN w:val="0"/>
        <w:adjustRightInd w:val="0"/>
        <w:jc w:val="both"/>
        <w:rPr>
          <w:rFonts w:ascii="Arial" w:hAnsi="Arial" w:cs="Arial"/>
          <w:color w:val="000000"/>
          <w:sz w:val="20"/>
        </w:rPr>
      </w:pPr>
    </w:p>
    <w:p w14:paraId="202DC483" w14:textId="0D133702"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rPr>
      </w:pPr>
      <w:r w:rsidRPr="009B4A78">
        <w:rPr>
          <w:rFonts w:ascii="Arial" w:hAnsi="Arial" w:cs="Arial"/>
          <w:color w:val="000000"/>
          <w:sz w:val="20"/>
        </w:rPr>
        <w:t>WIPO contributes to developing global IP infrastructure by providing IP knowledge content, as public goods, available through global databases.  WIPO global databases (PATENTSCOPE, Global Brand</w:t>
      </w:r>
      <w:r w:rsidR="00656EEF">
        <w:rPr>
          <w:rFonts w:ascii="Arial" w:hAnsi="Arial" w:cs="Arial"/>
          <w:color w:val="000000"/>
          <w:sz w:val="20"/>
        </w:rPr>
        <w:t>s</w:t>
      </w:r>
      <w:r w:rsidRPr="009B4A78">
        <w:rPr>
          <w:rFonts w:ascii="Arial" w:hAnsi="Arial" w:cs="Arial"/>
          <w:color w:val="000000"/>
          <w:sz w:val="20"/>
        </w:rPr>
        <w:t xml:space="preserve"> Database and Global Design</w:t>
      </w:r>
      <w:r w:rsidR="00656EEF">
        <w:rPr>
          <w:rFonts w:ascii="Arial" w:hAnsi="Arial" w:cs="Arial"/>
          <w:color w:val="000000"/>
          <w:sz w:val="20"/>
        </w:rPr>
        <w:t>s</w:t>
      </w:r>
      <w:r w:rsidRPr="009B4A78">
        <w:rPr>
          <w:rFonts w:ascii="Arial" w:hAnsi="Arial" w:cs="Arial"/>
          <w:color w:val="000000"/>
          <w:sz w:val="20"/>
        </w:rPr>
        <w:t xml:space="preserve"> Database) include data from the collections of PCT, Madrid, Lisbon, Paris 6</w:t>
      </w:r>
      <w:r w:rsidRPr="009B4A78">
        <w:rPr>
          <w:rFonts w:ascii="Arial" w:hAnsi="Arial" w:cs="Arial"/>
          <w:i/>
          <w:iCs/>
          <w:color w:val="000000"/>
          <w:sz w:val="20"/>
        </w:rPr>
        <w:t xml:space="preserve">ter </w:t>
      </w:r>
      <w:r w:rsidRPr="009B4A78">
        <w:rPr>
          <w:rFonts w:ascii="Arial" w:hAnsi="Arial" w:cs="Arial"/>
          <w:color w:val="000000"/>
          <w:sz w:val="20"/>
        </w:rPr>
        <w:t>emblems and the Hague systems.  The databases also include national and regional applications/registrations contributed by IP Offices which have agreed to cooperate in expanding WIPO database coverage.  The databases narrow the knowledge gap by promoting the utilization of IP information, including in developing countries and LDCs, and provide data to promote innovation.</w:t>
      </w:r>
    </w:p>
    <w:p w14:paraId="16D89D4D" w14:textId="77777777" w:rsidR="00EF472A" w:rsidRPr="009B4A78" w:rsidRDefault="00EF472A" w:rsidP="00984F70">
      <w:pPr>
        <w:tabs>
          <w:tab w:val="left" w:pos="567"/>
        </w:tabs>
        <w:autoSpaceDE w:val="0"/>
        <w:autoSpaceDN w:val="0"/>
        <w:adjustRightInd w:val="0"/>
        <w:jc w:val="both"/>
        <w:rPr>
          <w:rFonts w:ascii="Arial" w:hAnsi="Arial" w:cs="Arial"/>
          <w:color w:val="000000"/>
          <w:sz w:val="20"/>
        </w:rPr>
      </w:pPr>
    </w:p>
    <w:p w14:paraId="0F173FEF" w14:textId="28153C37"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rPr>
      </w:pPr>
      <w:r w:rsidRPr="009B4A78">
        <w:rPr>
          <w:rFonts w:ascii="Arial" w:hAnsi="Arial" w:cs="Arial"/>
          <w:color w:val="000000"/>
          <w:sz w:val="20"/>
        </w:rPr>
        <w:t>The Program ensures publication of the PCT international applications and will aim to ensure also the publication of Madrid</w:t>
      </w:r>
      <w:r w:rsidR="00073FB6">
        <w:rPr>
          <w:rFonts w:ascii="Arial" w:hAnsi="Arial" w:cs="Arial"/>
          <w:color w:val="000000"/>
          <w:sz w:val="20"/>
        </w:rPr>
        <w:t>,</w:t>
      </w:r>
      <w:r w:rsidRPr="009B4A78">
        <w:rPr>
          <w:rFonts w:ascii="Arial" w:hAnsi="Arial" w:cs="Arial"/>
          <w:color w:val="000000"/>
          <w:sz w:val="20"/>
        </w:rPr>
        <w:t xml:space="preserve"> the Hague</w:t>
      </w:r>
      <w:r w:rsidR="00073FB6">
        <w:rPr>
          <w:rFonts w:ascii="Arial" w:hAnsi="Arial" w:cs="Arial"/>
          <w:color w:val="000000"/>
          <w:sz w:val="20"/>
        </w:rPr>
        <w:t>, and Lisbon</w:t>
      </w:r>
      <w:r w:rsidRPr="009B4A78">
        <w:rPr>
          <w:rFonts w:ascii="Arial" w:hAnsi="Arial" w:cs="Arial"/>
          <w:color w:val="000000"/>
          <w:sz w:val="20"/>
        </w:rPr>
        <w:t xml:space="preserve"> applications.  WIPO Global Databases support Programs 5 (The PCT System), 6 (Madrid System), 31 (The Hague System) </w:t>
      </w:r>
      <w:r w:rsidR="00507827">
        <w:rPr>
          <w:rFonts w:ascii="Arial" w:hAnsi="Arial" w:cs="Arial"/>
          <w:color w:val="000000"/>
          <w:sz w:val="20"/>
        </w:rPr>
        <w:t xml:space="preserve">and 32 (Lisbon System) </w:t>
      </w:r>
      <w:r w:rsidRPr="009B4A78">
        <w:rPr>
          <w:rFonts w:ascii="Arial" w:hAnsi="Arial" w:cs="Arial"/>
          <w:color w:val="000000"/>
          <w:sz w:val="20"/>
        </w:rPr>
        <w:t>and contribute to Development Agenda Recommendation 8.</w:t>
      </w:r>
    </w:p>
    <w:p w14:paraId="09FC66B4" w14:textId="77777777" w:rsidR="00EF472A" w:rsidRPr="009B4A78" w:rsidRDefault="00EF472A" w:rsidP="00984F70">
      <w:pPr>
        <w:autoSpaceDE w:val="0"/>
        <w:autoSpaceDN w:val="0"/>
        <w:adjustRightInd w:val="0"/>
        <w:jc w:val="both"/>
        <w:rPr>
          <w:rFonts w:ascii="Arial" w:hAnsi="Arial" w:cs="Arial"/>
          <w:color w:val="000000"/>
          <w:sz w:val="20"/>
        </w:rPr>
      </w:pPr>
    </w:p>
    <w:p w14:paraId="32FCC7AE" w14:textId="77777777" w:rsidR="00EF472A" w:rsidRPr="009B4A78" w:rsidRDefault="00EF472A" w:rsidP="00984F70">
      <w:pPr>
        <w:autoSpaceDE w:val="0"/>
        <w:autoSpaceDN w:val="0"/>
        <w:adjustRightInd w:val="0"/>
        <w:jc w:val="both"/>
        <w:rPr>
          <w:rFonts w:ascii="Arial" w:hAnsi="Arial" w:cs="Arial"/>
          <w:color w:val="000000"/>
          <w:sz w:val="20"/>
        </w:rPr>
      </w:pPr>
    </w:p>
    <w:p w14:paraId="26853235" w14:textId="77777777" w:rsidR="00EF472A" w:rsidRPr="009B4A78" w:rsidRDefault="00EF472A" w:rsidP="00984F70">
      <w:pPr>
        <w:jc w:val="both"/>
        <w:rPr>
          <w:rFonts w:ascii="Arial" w:hAnsi="Arial" w:cs="Arial"/>
          <w:bCs/>
        </w:rPr>
      </w:pPr>
      <w:r w:rsidRPr="009B4A78">
        <w:rPr>
          <w:rFonts w:ascii="Arial" w:hAnsi="Arial" w:cs="Arial"/>
          <w:bCs/>
        </w:rPr>
        <w:t>IMPLEMENTATION STRATEGIES</w:t>
      </w:r>
    </w:p>
    <w:p w14:paraId="5EE3E67B" w14:textId="77777777" w:rsidR="00EF472A" w:rsidRPr="009B4A78" w:rsidRDefault="00EF472A" w:rsidP="00984F70">
      <w:pPr>
        <w:jc w:val="both"/>
        <w:rPr>
          <w:rFonts w:ascii="Arial" w:hAnsi="Arial" w:cs="Arial"/>
          <w:b/>
          <w:bCs/>
          <w:sz w:val="20"/>
        </w:rPr>
      </w:pPr>
    </w:p>
    <w:p w14:paraId="680DE49B" w14:textId="77777777"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color w:val="000000"/>
          <w:sz w:val="20"/>
          <w:szCs w:val="20"/>
        </w:rPr>
        <w:t xml:space="preserve">WIPO will continue to expand global databases in terms of their geographical coverage of national data collections, and to improve the quality of data and timeliness of updating.  The sophisticated search tools will be further refined to aid innovators and other users to search and analyze IP data.  In particular, multilingual searching of patents with the Cross Lingual Information Retrieval (CLIR) tool, the machine translation tool WIPO Translate and the content-based image retrieval system for visually-similar brands will continue to be developed.  The possibility to search complex work units (like chemical formulae) in the patent texts available in PATENTSCOPE will also be investigated. </w:t>
      </w:r>
    </w:p>
    <w:p w14:paraId="78080C09" w14:textId="77777777" w:rsidR="00EF472A" w:rsidRPr="009B4A78" w:rsidRDefault="00EF472A" w:rsidP="00984F70">
      <w:pPr>
        <w:autoSpaceDE w:val="0"/>
        <w:autoSpaceDN w:val="0"/>
        <w:adjustRightInd w:val="0"/>
        <w:jc w:val="both"/>
        <w:rPr>
          <w:rFonts w:ascii="Arial" w:hAnsi="Arial" w:cs="Arial"/>
          <w:color w:val="000000"/>
          <w:sz w:val="20"/>
        </w:rPr>
      </w:pPr>
    </w:p>
    <w:p w14:paraId="67C2AD87" w14:textId="77777777"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b/>
          <w:bCs/>
          <w:color w:val="000000"/>
          <w:sz w:val="20"/>
          <w:szCs w:val="20"/>
        </w:rPr>
        <w:t>PATENTSCOPE</w:t>
      </w:r>
      <w:r w:rsidRPr="009B4A78">
        <w:rPr>
          <w:rFonts w:ascii="Arial" w:hAnsi="Arial" w:cs="Arial"/>
          <w:color w:val="000000"/>
          <w:sz w:val="20"/>
          <w:szCs w:val="20"/>
        </w:rPr>
        <w:t xml:space="preserve">: PATENTSCOPE is not only the global patent database covering national and regional patent data collections but also the legal mechanism for meeting the treaty obligation under the PCT, namely, the international publication of PCT applications.  National data collections will be converted to full text using WIPO’s Optical Character Recognition (OCR) conversion processes.  The system will be further expanded to cover some 50 national/regional data collections and 50 million inventions by the end of the biennium.  Main challenges include the processing of the high volume of data and improving the quality of the data received, ensuring timeliness and completeness of the disseminated data, overcoming linguistic barriers with sophisticated translation tools and maximizing the number of national collections.  Dossier information will be made available to the public through linkages with WIPO-CASE and with other IP offices public global dossier systems.  Finally, a study will be carried out to evaluate the feasibility of indexing open access scientific literature in PATENTSCOPE to facilitate non-patent literature prior art searching. </w:t>
      </w:r>
    </w:p>
    <w:p w14:paraId="3288026A" w14:textId="77777777" w:rsidR="00EF472A" w:rsidRPr="009B4A78" w:rsidRDefault="00EF472A" w:rsidP="00984F70">
      <w:pPr>
        <w:autoSpaceDE w:val="0"/>
        <w:autoSpaceDN w:val="0"/>
        <w:adjustRightInd w:val="0"/>
        <w:jc w:val="both"/>
        <w:rPr>
          <w:rFonts w:ascii="Arial" w:hAnsi="Arial" w:cs="Arial"/>
          <w:color w:val="000000"/>
          <w:sz w:val="20"/>
        </w:rPr>
      </w:pPr>
    </w:p>
    <w:p w14:paraId="26D16557" w14:textId="51B3DFFF" w:rsidR="00EF472A" w:rsidRPr="009B4A78"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b/>
          <w:bCs/>
          <w:color w:val="000000"/>
          <w:sz w:val="20"/>
          <w:szCs w:val="20"/>
        </w:rPr>
        <w:t>WIPO GLOBAL BRANDS DATABASE</w:t>
      </w:r>
      <w:r w:rsidRPr="009B4A78">
        <w:rPr>
          <w:rFonts w:ascii="Arial" w:hAnsi="Arial" w:cs="Arial"/>
          <w:color w:val="000000"/>
          <w:sz w:val="20"/>
          <w:szCs w:val="20"/>
        </w:rPr>
        <w:t xml:space="preserve">: The database covering international registrations under the Madrid and Lisbon </w:t>
      </w:r>
      <w:r w:rsidR="00941451">
        <w:rPr>
          <w:rFonts w:ascii="Arial" w:hAnsi="Arial" w:cs="Arial"/>
          <w:color w:val="000000"/>
          <w:sz w:val="20"/>
          <w:szCs w:val="20"/>
        </w:rPr>
        <w:t>S</w:t>
      </w:r>
      <w:r w:rsidRPr="009B4A78">
        <w:rPr>
          <w:rFonts w:ascii="Arial" w:hAnsi="Arial" w:cs="Arial"/>
          <w:color w:val="000000"/>
          <w:sz w:val="20"/>
          <w:szCs w:val="20"/>
        </w:rPr>
        <w:t>ystems, national and regional trademark data collections, and emblems protected under the Paris Convention Article 6</w:t>
      </w:r>
      <w:r w:rsidRPr="009B4A78">
        <w:rPr>
          <w:rFonts w:ascii="Arial" w:hAnsi="Arial" w:cs="Arial"/>
          <w:i/>
          <w:iCs/>
          <w:color w:val="000000"/>
          <w:sz w:val="20"/>
          <w:szCs w:val="20"/>
        </w:rPr>
        <w:t>ter</w:t>
      </w:r>
      <w:r w:rsidRPr="009B4A78">
        <w:rPr>
          <w:rFonts w:ascii="Arial" w:hAnsi="Arial" w:cs="Arial"/>
          <w:color w:val="000000"/>
          <w:sz w:val="20"/>
          <w:szCs w:val="20"/>
        </w:rPr>
        <w:t>, will be further developed to cover some 30 national data collections during the biennium.  Main challenges include the uploading of more data in different data formats and the research to improve the efficiency of the image similarity search system for trademarks.</w:t>
      </w:r>
    </w:p>
    <w:p w14:paraId="4A29835C" w14:textId="77777777" w:rsidR="00EF472A" w:rsidRPr="009B4A78" w:rsidRDefault="00EF472A" w:rsidP="00984F70">
      <w:pPr>
        <w:autoSpaceDE w:val="0"/>
        <w:autoSpaceDN w:val="0"/>
        <w:adjustRightInd w:val="0"/>
        <w:jc w:val="both"/>
        <w:rPr>
          <w:rFonts w:ascii="Arial" w:hAnsi="Arial" w:cs="Arial"/>
          <w:color w:val="000000"/>
          <w:sz w:val="20"/>
        </w:rPr>
      </w:pPr>
    </w:p>
    <w:p w14:paraId="35A14893" w14:textId="77777777" w:rsidR="00EF472A" w:rsidRDefault="00EF472A" w:rsidP="00B66A4A">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color w:val="000000"/>
          <w:sz w:val="20"/>
          <w:szCs w:val="20"/>
        </w:rPr>
        <w:t xml:space="preserve"> </w:t>
      </w:r>
      <w:r w:rsidRPr="009B4A78">
        <w:rPr>
          <w:rFonts w:ascii="Arial" w:hAnsi="Arial" w:cs="Arial"/>
          <w:b/>
          <w:bCs/>
          <w:color w:val="000000"/>
          <w:sz w:val="20"/>
          <w:szCs w:val="20"/>
        </w:rPr>
        <w:t>WIPO GLOBAL DESIGNS DATABASE</w:t>
      </w:r>
      <w:r w:rsidRPr="009B4A78">
        <w:rPr>
          <w:rFonts w:ascii="Arial" w:hAnsi="Arial" w:cs="Arial"/>
          <w:color w:val="000000"/>
          <w:sz w:val="20"/>
          <w:szCs w:val="20"/>
        </w:rPr>
        <w:t>:  The database covering international registrations under the Hague system, and national and regional design data collections will be further developed to cover some 10 national data collections during the biennium.  Main challenges include the uploading of image data in different data formats and the implementation of an efficient image similarity search system for registered designs in two dimensions (Locarno class 32).</w:t>
      </w:r>
    </w:p>
    <w:p w14:paraId="45E0A61E" w14:textId="77777777" w:rsidR="002B052A" w:rsidRPr="00FB68E0" w:rsidRDefault="002B052A" w:rsidP="00FB68E0">
      <w:pPr>
        <w:pStyle w:val="ListParagraph"/>
        <w:rPr>
          <w:rFonts w:ascii="Arial" w:hAnsi="Arial" w:cs="Arial"/>
          <w:color w:val="000000"/>
          <w:sz w:val="20"/>
          <w:szCs w:val="20"/>
        </w:rPr>
      </w:pPr>
    </w:p>
    <w:p w14:paraId="071E0CCB" w14:textId="26DD692A" w:rsidR="007A5A68" w:rsidRPr="00FB68E0" w:rsidRDefault="007A5A68" w:rsidP="00B66A4A">
      <w:pPr>
        <w:pStyle w:val="ListParagraph"/>
        <w:keepNext/>
        <w:keepLines/>
        <w:numPr>
          <w:ilvl w:val="0"/>
          <w:numId w:val="15"/>
        </w:numPr>
        <w:tabs>
          <w:tab w:val="left" w:pos="709"/>
        </w:tabs>
        <w:autoSpaceDE w:val="0"/>
        <w:autoSpaceDN w:val="0"/>
        <w:adjustRightInd w:val="0"/>
        <w:ind w:left="0" w:firstLine="0"/>
        <w:jc w:val="both"/>
        <w:rPr>
          <w:rFonts w:ascii="Arial" w:hAnsi="Arial" w:cs="Arial"/>
          <w:color w:val="000000"/>
          <w:sz w:val="20"/>
          <w:szCs w:val="20"/>
        </w:rPr>
      </w:pPr>
      <w:r w:rsidRPr="00FB68E0">
        <w:rPr>
          <w:rFonts w:ascii="Arial" w:hAnsi="Arial" w:cs="Arial"/>
          <w:color w:val="000000"/>
          <w:sz w:val="20"/>
          <w:szCs w:val="20"/>
        </w:rPr>
        <w:lastRenderedPageBreak/>
        <w:t xml:space="preserve">Program 13 collaborates primarily with other Programs as illustrated below: </w:t>
      </w:r>
    </w:p>
    <w:p w14:paraId="5268C020" w14:textId="77777777" w:rsidR="007A5A68" w:rsidRPr="009B4A78" w:rsidRDefault="007A5A68" w:rsidP="007E19DB">
      <w:pPr>
        <w:pStyle w:val="ListParagraph"/>
        <w:keepNext/>
        <w:keepLines/>
        <w:tabs>
          <w:tab w:val="left" w:pos="709"/>
        </w:tabs>
        <w:autoSpaceDE w:val="0"/>
        <w:autoSpaceDN w:val="0"/>
        <w:adjustRightInd w:val="0"/>
        <w:ind w:left="0"/>
        <w:jc w:val="both"/>
        <w:rPr>
          <w:rFonts w:ascii="Arial" w:hAnsi="Arial" w:cs="Arial"/>
          <w:color w:val="000000"/>
          <w:sz w:val="20"/>
          <w:szCs w:val="20"/>
        </w:rPr>
      </w:pPr>
    </w:p>
    <w:p w14:paraId="0769F550" w14:textId="77777777" w:rsidR="00EF472A" w:rsidRPr="009B4A78" w:rsidRDefault="00EF472A" w:rsidP="007E19DB">
      <w:pPr>
        <w:keepNext/>
        <w:keepLines/>
        <w:jc w:val="both"/>
        <w:rPr>
          <w:rFonts w:ascii="Arial" w:hAnsi="Arial" w:cs="Arial"/>
          <w:bCs/>
        </w:rPr>
      </w:pPr>
    </w:p>
    <w:p w14:paraId="06F4C39A" w14:textId="7CA5278E" w:rsidR="00EF472A" w:rsidRPr="009B4A78" w:rsidRDefault="00FA2257" w:rsidP="007E19DB">
      <w:pPr>
        <w:keepNext/>
        <w:keepLines/>
        <w:rPr>
          <w:rFonts w:ascii="Arial" w:hAnsi="Arial" w:cs="Arial"/>
          <w:bCs/>
        </w:rPr>
      </w:pPr>
      <w:r>
        <w:rPr>
          <w:noProof/>
          <w:lang w:eastAsia="en-US"/>
        </w:rPr>
        <w:drawing>
          <wp:inline distT="0" distB="0" distL="0" distR="0" wp14:anchorId="5B136EBD" wp14:editId="2E5CB7E0">
            <wp:extent cx="5943600" cy="1691640"/>
            <wp:effectExtent l="0" t="38100" r="0" b="3810"/>
            <wp:docPr id="3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7008DA2" w14:textId="77777777" w:rsidR="00EF472A" w:rsidRPr="009B4A78" w:rsidRDefault="00EF472A" w:rsidP="007E19DB">
      <w:pPr>
        <w:keepNext/>
        <w:keepLines/>
        <w:rPr>
          <w:rFonts w:ascii="Arial" w:hAnsi="Arial" w:cs="Arial"/>
          <w:bCs/>
          <w:sz w:val="20"/>
        </w:rPr>
      </w:pPr>
    </w:p>
    <w:p w14:paraId="6B4683DF" w14:textId="77777777" w:rsidR="00EF472A" w:rsidRPr="009B4A78" w:rsidRDefault="00EF472A" w:rsidP="00984F70">
      <w:pPr>
        <w:rPr>
          <w:rFonts w:ascii="Arial" w:hAnsi="Arial" w:cs="Arial"/>
          <w:bCs/>
          <w:sz w:val="20"/>
        </w:rPr>
      </w:pPr>
    </w:p>
    <w:p w14:paraId="0B3E042A" w14:textId="77777777" w:rsidR="00EF472A" w:rsidRPr="009B4A78" w:rsidRDefault="00EF472A" w:rsidP="00984F70">
      <w:pPr>
        <w:tabs>
          <w:tab w:val="num" w:pos="709"/>
        </w:tabs>
        <w:rPr>
          <w:rFonts w:ascii="Arial" w:hAnsi="Arial" w:cs="Arial"/>
          <w:bCs/>
        </w:rPr>
      </w:pPr>
      <w:r w:rsidRPr="009B4A78">
        <w:rPr>
          <w:rFonts w:ascii="Arial" w:hAnsi="Arial" w:cs="Arial"/>
          <w:bCs/>
        </w:rPr>
        <w:t xml:space="preserve">MAJOR RISKS AND MITIGATION STRATEGIES  </w:t>
      </w:r>
    </w:p>
    <w:p w14:paraId="6532865D" w14:textId="77777777" w:rsidR="00EF472A" w:rsidRPr="009B4A78" w:rsidRDefault="00EF472A" w:rsidP="00984F70">
      <w:pPr>
        <w:keepNext/>
        <w:keepLines/>
        <w:rPr>
          <w:rFonts w:ascii="Arial" w:hAnsi="Arial" w:cs="Arial"/>
          <w:sz w:val="20"/>
        </w:rPr>
      </w:pPr>
    </w:p>
    <w:tbl>
      <w:tblPr>
        <w:tblW w:w="917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73"/>
        <w:gridCol w:w="5006"/>
      </w:tblGrid>
      <w:tr w:rsidR="00EF472A" w:rsidRPr="009B4A78" w14:paraId="7ADA6E65" w14:textId="77777777" w:rsidTr="00984F70">
        <w:trPr>
          <w:trHeight w:val="533"/>
        </w:trPr>
        <w:tc>
          <w:tcPr>
            <w:tcW w:w="4173" w:type="dxa"/>
            <w:tcBorders>
              <w:top w:val="single" w:sz="4" w:space="0" w:color="auto"/>
              <w:bottom w:val="single" w:sz="4" w:space="0" w:color="auto"/>
            </w:tcBorders>
            <w:shd w:val="clear" w:color="auto" w:fill="C6D9F1" w:themeFill="text2" w:themeFillTint="33"/>
            <w:vAlign w:val="center"/>
          </w:tcPr>
          <w:p w14:paraId="5E598615" w14:textId="77777777" w:rsidR="00EF472A" w:rsidRPr="009B4A78" w:rsidRDefault="00EF472A" w:rsidP="00984F70">
            <w:pPr>
              <w:keepNext/>
              <w:keepLines/>
              <w:jc w:val="center"/>
              <w:rPr>
                <w:rFonts w:ascii="Arial" w:hAnsi="Arial" w:cs="Arial"/>
                <w:b/>
                <w:bCs/>
                <w:sz w:val="18"/>
                <w:szCs w:val="18"/>
              </w:rPr>
            </w:pPr>
            <w:r w:rsidRPr="009B4A78">
              <w:rPr>
                <w:rFonts w:ascii="Arial" w:hAnsi="Arial" w:cs="Arial"/>
                <w:b/>
                <w:bCs/>
                <w:sz w:val="18"/>
                <w:szCs w:val="18"/>
              </w:rPr>
              <w:t>Risk</w:t>
            </w:r>
          </w:p>
        </w:tc>
        <w:tc>
          <w:tcPr>
            <w:tcW w:w="5006" w:type="dxa"/>
            <w:tcBorders>
              <w:top w:val="single" w:sz="4" w:space="0" w:color="auto"/>
              <w:bottom w:val="single" w:sz="4" w:space="0" w:color="auto"/>
            </w:tcBorders>
            <w:shd w:val="clear" w:color="auto" w:fill="C6D9F1" w:themeFill="text2" w:themeFillTint="33"/>
            <w:vAlign w:val="center"/>
          </w:tcPr>
          <w:p w14:paraId="2B79CDD7" w14:textId="77777777" w:rsidR="00EF472A" w:rsidRPr="009B4A78" w:rsidRDefault="00EF472A" w:rsidP="00984F70">
            <w:pPr>
              <w:keepNext/>
              <w:keepLines/>
              <w:jc w:val="center"/>
              <w:rPr>
                <w:rFonts w:ascii="Arial" w:hAnsi="Arial" w:cs="Arial"/>
                <w:b/>
                <w:bCs/>
                <w:sz w:val="18"/>
                <w:szCs w:val="18"/>
              </w:rPr>
            </w:pPr>
            <w:r w:rsidRPr="009B4A78">
              <w:rPr>
                <w:rFonts w:ascii="Arial" w:hAnsi="Arial" w:cs="Arial"/>
                <w:b/>
                <w:bCs/>
                <w:sz w:val="18"/>
                <w:szCs w:val="18"/>
              </w:rPr>
              <w:t>Mitigation</w:t>
            </w:r>
          </w:p>
        </w:tc>
      </w:tr>
      <w:tr w:rsidR="00EF472A" w:rsidRPr="009B4A78" w14:paraId="6DE484F1" w14:textId="77777777" w:rsidTr="00984F70">
        <w:trPr>
          <w:trHeight w:val="720"/>
        </w:trPr>
        <w:tc>
          <w:tcPr>
            <w:tcW w:w="417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8CA08DC" w14:textId="77777777" w:rsidR="00EF472A" w:rsidRPr="009B4A78" w:rsidRDefault="00EF472A" w:rsidP="00984F70">
            <w:pPr>
              <w:keepNext/>
              <w:keepLines/>
              <w:rPr>
                <w:rFonts w:ascii="Arial" w:hAnsi="Arial" w:cs="Arial"/>
                <w:sz w:val="12"/>
                <w:szCs w:val="16"/>
              </w:rPr>
            </w:pPr>
            <w:r w:rsidRPr="009B4A78">
              <w:rPr>
                <w:rFonts w:ascii="Arial" w:hAnsi="Arial" w:cs="Arial"/>
                <w:color w:val="000000"/>
                <w:sz w:val="16"/>
              </w:rPr>
              <w:t>Loss of access to Global Databases owing to localized internet service disruption or technical failure at Geneva HQ.</w:t>
            </w:r>
          </w:p>
        </w:tc>
        <w:tc>
          <w:tcPr>
            <w:tcW w:w="500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69C2B69D" w14:textId="77777777" w:rsidR="00EF472A" w:rsidRPr="009B4A78" w:rsidRDefault="00EF472A" w:rsidP="00984F70">
            <w:pPr>
              <w:keepNext/>
              <w:keepLines/>
              <w:rPr>
                <w:rFonts w:ascii="Arial" w:hAnsi="Arial" w:cs="Arial"/>
                <w:sz w:val="12"/>
                <w:szCs w:val="16"/>
              </w:rPr>
            </w:pPr>
            <w:r w:rsidRPr="009B4A78">
              <w:rPr>
                <w:rFonts w:ascii="Arial" w:hAnsi="Arial" w:cs="Arial"/>
                <w:color w:val="000000"/>
                <w:sz w:val="16"/>
              </w:rPr>
              <w:t>Service duplication and geographical diversity will be achieved by means of installing remote mirror servers to provide improved service to users and maintain access to data in the case of local disruption in Geneva.</w:t>
            </w:r>
          </w:p>
        </w:tc>
      </w:tr>
    </w:tbl>
    <w:p w14:paraId="72CCFE92" w14:textId="77777777" w:rsidR="00EF472A" w:rsidRPr="009B4A78" w:rsidRDefault="00EF472A" w:rsidP="00984F70">
      <w:pPr>
        <w:rPr>
          <w:rFonts w:ascii="Arial" w:hAnsi="Arial" w:cs="Arial"/>
          <w:b/>
          <w:bCs/>
          <w:sz w:val="20"/>
        </w:rPr>
      </w:pPr>
    </w:p>
    <w:p w14:paraId="3D4F0BF8" w14:textId="77777777" w:rsidR="00EF472A" w:rsidRPr="009B4A78" w:rsidRDefault="00EF472A" w:rsidP="00984F70">
      <w:pPr>
        <w:rPr>
          <w:rFonts w:ascii="Arial" w:hAnsi="Arial" w:cs="Arial"/>
          <w:b/>
          <w:bCs/>
          <w:sz w:val="20"/>
        </w:rPr>
      </w:pPr>
    </w:p>
    <w:p w14:paraId="1C8AF659" w14:textId="77777777" w:rsidR="00EF472A" w:rsidRPr="009B4A78" w:rsidRDefault="00EF472A" w:rsidP="00984F70">
      <w:pPr>
        <w:tabs>
          <w:tab w:val="left" w:pos="567"/>
          <w:tab w:val="left" w:pos="1985"/>
        </w:tabs>
        <w:jc w:val="both"/>
        <w:rPr>
          <w:rFonts w:ascii="Arial" w:hAnsi="Arial" w:cs="Arial"/>
          <w:bCs/>
        </w:rPr>
      </w:pPr>
      <w:r w:rsidRPr="009B4A78">
        <w:rPr>
          <w:rFonts w:ascii="Arial" w:hAnsi="Arial" w:cs="Arial"/>
          <w:bCs/>
        </w:rPr>
        <w:t>RESULTS FRAMEWORK</w:t>
      </w:r>
    </w:p>
    <w:p w14:paraId="1A19723A" w14:textId="77777777" w:rsidR="00EF472A" w:rsidRPr="009B4A78" w:rsidRDefault="00EF472A" w:rsidP="00984F70">
      <w:pPr>
        <w:tabs>
          <w:tab w:val="left" w:pos="567"/>
          <w:tab w:val="left" w:pos="1985"/>
        </w:tabs>
        <w:jc w:val="both"/>
        <w:rPr>
          <w:rFonts w:ascii="Arial" w:hAnsi="Arial" w:cs="Arial"/>
          <w:bCs/>
        </w:rPr>
      </w:pPr>
    </w:p>
    <w:tbl>
      <w:tblPr>
        <w:tblW w:w="9229" w:type="dxa"/>
        <w:tblInd w:w="93" w:type="dxa"/>
        <w:tblLook w:val="04A0" w:firstRow="1" w:lastRow="0" w:firstColumn="1" w:lastColumn="0" w:noHBand="0" w:noVBand="1"/>
      </w:tblPr>
      <w:tblGrid>
        <w:gridCol w:w="2320"/>
        <w:gridCol w:w="2798"/>
        <w:gridCol w:w="2127"/>
        <w:gridCol w:w="1984"/>
      </w:tblGrid>
      <w:tr w:rsidR="00EF472A" w:rsidRPr="009B4A78" w14:paraId="1C584783" w14:textId="77777777" w:rsidTr="008D4CE9">
        <w:trPr>
          <w:trHeight w:val="510"/>
        </w:trPr>
        <w:tc>
          <w:tcPr>
            <w:tcW w:w="23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D3FCFE5"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Expected Results</w:t>
            </w:r>
          </w:p>
        </w:tc>
        <w:tc>
          <w:tcPr>
            <w:tcW w:w="2798" w:type="dxa"/>
            <w:tcBorders>
              <w:top w:val="single" w:sz="4" w:space="0" w:color="auto"/>
              <w:left w:val="nil"/>
              <w:bottom w:val="single" w:sz="4" w:space="0" w:color="auto"/>
              <w:right w:val="nil"/>
            </w:tcBorders>
            <w:shd w:val="clear" w:color="auto" w:fill="C6D9F1" w:themeFill="text2" w:themeFillTint="33"/>
            <w:vAlign w:val="center"/>
            <w:hideMark/>
          </w:tcPr>
          <w:p w14:paraId="74176033"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127" w:type="dxa"/>
            <w:tcBorders>
              <w:top w:val="single" w:sz="4" w:space="0" w:color="auto"/>
              <w:left w:val="nil"/>
              <w:bottom w:val="single" w:sz="4" w:space="0" w:color="auto"/>
              <w:right w:val="nil"/>
            </w:tcBorders>
            <w:shd w:val="clear" w:color="auto" w:fill="C6D9F1" w:themeFill="text2" w:themeFillTint="33"/>
            <w:vAlign w:val="center"/>
            <w:hideMark/>
          </w:tcPr>
          <w:p w14:paraId="3FD286D4"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8B4810"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EF472A" w:rsidRPr="009B4A78" w14:paraId="11E8E80C" w14:textId="77777777" w:rsidTr="008D4CE9">
        <w:trPr>
          <w:trHeight w:val="1093"/>
        </w:trPr>
        <w:tc>
          <w:tcPr>
            <w:tcW w:w="2320" w:type="dxa"/>
            <w:vMerge w:val="restart"/>
            <w:tcBorders>
              <w:top w:val="nil"/>
              <w:left w:val="single" w:sz="4" w:space="0" w:color="auto"/>
              <w:bottom w:val="nil"/>
              <w:right w:val="nil"/>
            </w:tcBorders>
            <w:shd w:val="clear" w:color="000000" w:fill="FFFFFF"/>
            <w:hideMark/>
          </w:tcPr>
          <w:p w14:paraId="01BC1AD3" w14:textId="77777777" w:rsidR="00EF472A" w:rsidRPr="009B4A78" w:rsidRDefault="00EF472A" w:rsidP="00984F70">
            <w:pPr>
              <w:rPr>
                <w:rFonts w:ascii="Arial" w:hAnsi="Arial" w:cs="Arial"/>
                <w:color w:val="000000"/>
                <w:sz w:val="16"/>
                <w:szCs w:val="16"/>
              </w:rPr>
            </w:pPr>
            <w:r w:rsidRPr="009B4A78">
              <w:rPr>
                <w:rFonts w:ascii="Arial" w:hAnsi="Arial" w:cs="Arial"/>
                <w:color w:val="000000"/>
                <w:sz w:val="16"/>
                <w:szCs w:val="16"/>
              </w:rPr>
              <w:br/>
              <w:t>IV.2 Enhanced access to, and use of, IP information by IP institutions and the public to promote innovation and creativity</w:t>
            </w:r>
          </w:p>
        </w:tc>
        <w:tc>
          <w:tcPr>
            <w:tcW w:w="2798" w:type="dxa"/>
            <w:tcBorders>
              <w:top w:val="nil"/>
              <w:left w:val="nil"/>
              <w:bottom w:val="nil"/>
              <w:right w:val="nil"/>
            </w:tcBorders>
            <w:shd w:val="clear" w:color="000000" w:fill="FFFFFF"/>
            <w:hideMark/>
          </w:tcPr>
          <w:p w14:paraId="285DC6E7" w14:textId="77777777" w:rsidR="00EF472A" w:rsidRPr="009B4A78" w:rsidRDefault="00EF472A" w:rsidP="008D4CE9">
            <w:pPr>
              <w:ind w:firstLineChars="200" w:firstLine="320"/>
              <w:rPr>
                <w:rFonts w:ascii="Arial" w:hAnsi="Arial" w:cs="Arial"/>
                <w:color w:val="000000"/>
                <w:sz w:val="16"/>
                <w:szCs w:val="16"/>
              </w:rPr>
            </w:pPr>
            <w:r w:rsidRPr="009B4A78">
              <w:rPr>
                <w:rFonts w:ascii="Arial" w:hAnsi="Arial" w:cs="Arial"/>
                <w:color w:val="000000"/>
                <w:sz w:val="16"/>
                <w:szCs w:val="16"/>
              </w:rPr>
              <w:br/>
              <w:t xml:space="preserve">No. of different users per quarter in all Global Database systems </w:t>
            </w:r>
          </w:p>
        </w:tc>
        <w:tc>
          <w:tcPr>
            <w:tcW w:w="2127" w:type="dxa"/>
            <w:tcBorders>
              <w:top w:val="nil"/>
              <w:left w:val="nil"/>
              <w:bottom w:val="nil"/>
              <w:right w:val="nil"/>
            </w:tcBorders>
            <w:shd w:val="clear" w:color="000000" w:fill="FFFFFF"/>
            <w:hideMark/>
          </w:tcPr>
          <w:p w14:paraId="30A452E1" w14:textId="77777777" w:rsidR="00EF472A" w:rsidRPr="009B4A78" w:rsidRDefault="00EF472A" w:rsidP="008D4CE9">
            <w:pPr>
              <w:ind w:left="175" w:firstLineChars="200" w:firstLine="320"/>
              <w:rPr>
                <w:rFonts w:ascii="Arial" w:hAnsi="Arial" w:cs="Arial"/>
                <w:color w:val="000000"/>
                <w:sz w:val="16"/>
                <w:szCs w:val="16"/>
                <w:lang w:val="fr-CH"/>
              </w:rPr>
            </w:pPr>
            <w:r w:rsidRPr="00D331F7">
              <w:rPr>
                <w:rFonts w:ascii="Arial" w:hAnsi="Arial" w:cs="Arial"/>
                <w:color w:val="000000"/>
                <w:sz w:val="16"/>
                <w:szCs w:val="16"/>
                <w:lang w:val="fr-FR"/>
              </w:rPr>
              <w:br/>
            </w:r>
            <w:r w:rsidRPr="009B4A78">
              <w:rPr>
                <w:rFonts w:ascii="Arial" w:hAnsi="Arial" w:cs="Arial"/>
                <w:color w:val="000000"/>
                <w:sz w:val="16"/>
                <w:szCs w:val="16"/>
                <w:lang w:val="fr-CH"/>
              </w:rPr>
              <w:t xml:space="preserve">Unique </w:t>
            </w:r>
            <w:proofErr w:type="spellStart"/>
            <w:r w:rsidRPr="00AC4500">
              <w:rPr>
                <w:rFonts w:ascii="Arial" w:hAnsi="Arial" w:cs="Arial"/>
                <w:color w:val="000000"/>
                <w:sz w:val="16"/>
                <w:szCs w:val="16"/>
                <w:lang w:val="fr-CH"/>
              </w:rPr>
              <w:t>visitors</w:t>
            </w:r>
            <w:proofErr w:type="spellEnd"/>
            <w:r w:rsidRPr="009B4A78">
              <w:rPr>
                <w:rFonts w:ascii="Arial" w:hAnsi="Arial" w:cs="Arial"/>
                <w:color w:val="000000"/>
                <w:sz w:val="16"/>
                <w:szCs w:val="16"/>
                <w:lang w:val="fr-CH"/>
              </w:rPr>
              <w:t xml:space="preserve"> (Q4 2014) PATENTSCOPE 592,000; GBD 49,000; GDD N/A</w:t>
            </w:r>
          </w:p>
        </w:tc>
        <w:tc>
          <w:tcPr>
            <w:tcW w:w="1984" w:type="dxa"/>
            <w:tcBorders>
              <w:top w:val="nil"/>
              <w:left w:val="nil"/>
              <w:bottom w:val="nil"/>
              <w:right w:val="single" w:sz="4" w:space="0" w:color="auto"/>
            </w:tcBorders>
            <w:shd w:val="clear" w:color="000000" w:fill="FFFFFF"/>
            <w:hideMark/>
          </w:tcPr>
          <w:p w14:paraId="2B0C4CBE" w14:textId="77777777" w:rsidR="00EF472A" w:rsidRPr="009B4A78" w:rsidRDefault="00EF472A" w:rsidP="00984F70">
            <w:pPr>
              <w:ind w:left="340" w:firstLineChars="200" w:firstLine="320"/>
              <w:rPr>
                <w:rFonts w:ascii="Arial" w:hAnsi="Arial" w:cs="Arial"/>
                <w:color w:val="000000"/>
                <w:sz w:val="16"/>
                <w:szCs w:val="16"/>
              </w:rPr>
            </w:pPr>
            <w:r w:rsidRPr="009B4A78">
              <w:rPr>
                <w:rFonts w:ascii="Arial" w:hAnsi="Arial" w:cs="Arial"/>
                <w:color w:val="000000"/>
                <w:sz w:val="16"/>
                <w:szCs w:val="16"/>
                <w:lang w:val="fr-CH"/>
              </w:rPr>
              <w:br/>
            </w:r>
            <w:r w:rsidRPr="009B4A78">
              <w:rPr>
                <w:rFonts w:ascii="Arial" w:hAnsi="Arial" w:cs="Arial"/>
                <w:color w:val="000000"/>
                <w:sz w:val="16"/>
                <w:szCs w:val="16"/>
              </w:rPr>
              <w:t>PATENTSCOPE 650,000; GBD 70,000; GDD 15,000</w:t>
            </w:r>
          </w:p>
        </w:tc>
      </w:tr>
      <w:tr w:rsidR="00EF472A" w:rsidRPr="009B4A78" w14:paraId="3C479B1E" w14:textId="77777777" w:rsidTr="008D4CE9">
        <w:trPr>
          <w:trHeight w:val="449"/>
        </w:trPr>
        <w:tc>
          <w:tcPr>
            <w:tcW w:w="2320" w:type="dxa"/>
            <w:vMerge/>
            <w:tcBorders>
              <w:top w:val="nil"/>
              <w:left w:val="single" w:sz="4" w:space="0" w:color="auto"/>
              <w:bottom w:val="nil"/>
              <w:right w:val="nil"/>
            </w:tcBorders>
            <w:vAlign w:val="center"/>
            <w:hideMark/>
          </w:tcPr>
          <w:p w14:paraId="2F1AD1BA"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32EC9D58" w14:textId="7777777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languages in which cross-lingual search is available</w:t>
            </w:r>
          </w:p>
        </w:tc>
        <w:tc>
          <w:tcPr>
            <w:tcW w:w="2127" w:type="dxa"/>
            <w:tcBorders>
              <w:top w:val="nil"/>
              <w:left w:val="nil"/>
              <w:bottom w:val="nil"/>
              <w:right w:val="nil"/>
            </w:tcBorders>
            <w:shd w:val="clear" w:color="000000" w:fill="FFFFFF"/>
            <w:hideMark/>
          </w:tcPr>
          <w:p w14:paraId="3A5D0B77" w14:textId="77777777" w:rsidR="00EF472A" w:rsidRPr="009B4A78" w:rsidRDefault="00EF472A" w:rsidP="008D4CE9">
            <w:pPr>
              <w:ind w:left="175"/>
              <w:rPr>
                <w:rFonts w:ascii="Arial" w:hAnsi="Arial" w:cs="Arial"/>
                <w:color w:val="000000"/>
                <w:sz w:val="16"/>
                <w:szCs w:val="16"/>
              </w:rPr>
            </w:pPr>
            <w:r w:rsidRPr="009B4A78">
              <w:rPr>
                <w:rFonts w:ascii="Arial" w:hAnsi="Arial" w:cs="Arial"/>
                <w:color w:val="000000"/>
                <w:sz w:val="16"/>
                <w:szCs w:val="16"/>
              </w:rPr>
              <w:t>12 (end 2014)</w:t>
            </w:r>
          </w:p>
        </w:tc>
        <w:tc>
          <w:tcPr>
            <w:tcW w:w="1984" w:type="dxa"/>
            <w:tcBorders>
              <w:top w:val="nil"/>
              <w:left w:val="nil"/>
              <w:bottom w:val="nil"/>
              <w:right w:val="single" w:sz="4" w:space="0" w:color="auto"/>
            </w:tcBorders>
            <w:shd w:val="clear" w:color="000000" w:fill="FFFFFF"/>
            <w:hideMark/>
          </w:tcPr>
          <w:p w14:paraId="1E8DAD8C"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14</w:t>
            </w:r>
          </w:p>
        </w:tc>
      </w:tr>
      <w:tr w:rsidR="00EF472A" w:rsidRPr="009B4A78" w14:paraId="2EE066EC" w14:textId="77777777" w:rsidTr="008D4CE9">
        <w:trPr>
          <w:trHeight w:val="810"/>
        </w:trPr>
        <w:tc>
          <w:tcPr>
            <w:tcW w:w="2320" w:type="dxa"/>
            <w:vMerge/>
            <w:tcBorders>
              <w:top w:val="nil"/>
              <w:left w:val="single" w:sz="4" w:space="0" w:color="auto"/>
              <w:bottom w:val="nil"/>
              <w:right w:val="nil"/>
            </w:tcBorders>
            <w:vAlign w:val="center"/>
            <w:hideMark/>
          </w:tcPr>
          <w:p w14:paraId="22169DC6"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58AF8088" w14:textId="7777777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language pairs available for translation of descriptions and claims.</w:t>
            </w:r>
          </w:p>
        </w:tc>
        <w:tc>
          <w:tcPr>
            <w:tcW w:w="2127" w:type="dxa"/>
            <w:tcBorders>
              <w:top w:val="nil"/>
              <w:left w:val="nil"/>
              <w:bottom w:val="nil"/>
              <w:right w:val="nil"/>
            </w:tcBorders>
            <w:shd w:val="clear" w:color="000000" w:fill="FFFFFF"/>
            <w:hideMark/>
          </w:tcPr>
          <w:p w14:paraId="5FE2C5CF" w14:textId="77777777" w:rsidR="00EF472A" w:rsidRPr="009B4A78" w:rsidRDefault="00EF472A" w:rsidP="008D4CE9">
            <w:pPr>
              <w:ind w:left="175"/>
              <w:rPr>
                <w:rFonts w:ascii="Arial" w:hAnsi="Arial" w:cs="Arial"/>
                <w:color w:val="000000"/>
                <w:sz w:val="16"/>
                <w:szCs w:val="16"/>
              </w:rPr>
            </w:pPr>
            <w:r w:rsidRPr="009B4A78">
              <w:rPr>
                <w:rFonts w:ascii="Arial" w:hAnsi="Arial" w:cs="Arial"/>
                <w:color w:val="000000"/>
                <w:sz w:val="16"/>
                <w:szCs w:val="16"/>
              </w:rPr>
              <w:t xml:space="preserve"> 0 (end 2014)</w:t>
            </w:r>
          </w:p>
        </w:tc>
        <w:tc>
          <w:tcPr>
            <w:tcW w:w="1984" w:type="dxa"/>
            <w:tcBorders>
              <w:top w:val="nil"/>
              <w:left w:val="nil"/>
              <w:bottom w:val="nil"/>
              <w:right w:val="single" w:sz="4" w:space="0" w:color="auto"/>
            </w:tcBorders>
            <w:shd w:val="clear" w:color="000000" w:fill="FFFFFF"/>
            <w:hideMark/>
          </w:tcPr>
          <w:p w14:paraId="19CB7F54"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4</w:t>
            </w:r>
          </w:p>
        </w:tc>
      </w:tr>
      <w:tr w:rsidR="00EF472A" w:rsidRPr="009B4A78" w14:paraId="3D7438BB" w14:textId="77777777" w:rsidTr="008D4CE9">
        <w:trPr>
          <w:trHeight w:val="518"/>
        </w:trPr>
        <w:tc>
          <w:tcPr>
            <w:tcW w:w="2320" w:type="dxa"/>
            <w:vMerge/>
            <w:tcBorders>
              <w:top w:val="nil"/>
              <w:left w:val="single" w:sz="4" w:space="0" w:color="auto"/>
              <w:bottom w:val="nil"/>
              <w:right w:val="nil"/>
            </w:tcBorders>
            <w:vAlign w:val="center"/>
            <w:hideMark/>
          </w:tcPr>
          <w:p w14:paraId="71D9486B"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37BC2529" w14:textId="7777777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records contained in PATENTSCOPE</w:t>
            </w:r>
          </w:p>
        </w:tc>
        <w:tc>
          <w:tcPr>
            <w:tcW w:w="2127" w:type="dxa"/>
            <w:tcBorders>
              <w:top w:val="nil"/>
              <w:left w:val="nil"/>
              <w:bottom w:val="nil"/>
              <w:right w:val="nil"/>
            </w:tcBorders>
            <w:shd w:val="clear" w:color="000000" w:fill="FFFFFF"/>
            <w:hideMark/>
          </w:tcPr>
          <w:p w14:paraId="47EA6C23" w14:textId="77777777" w:rsidR="00EF472A" w:rsidRPr="009B4A78" w:rsidRDefault="00EF472A" w:rsidP="008D4CE9">
            <w:pPr>
              <w:ind w:left="175"/>
              <w:rPr>
                <w:rFonts w:ascii="Arial" w:hAnsi="Arial" w:cs="Arial"/>
                <w:color w:val="000000"/>
                <w:sz w:val="16"/>
                <w:szCs w:val="16"/>
              </w:rPr>
            </w:pPr>
            <w:r w:rsidRPr="009B4A78">
              <w:rPr>
                <w:rFonts w:ascii="Arial" w:hAnsi="Arial" w:cs="Arial"/>
                <w:color w:val="000000"/>
                <w:sz w:val="16"/>
                <w:szCs w:val="16"/>
              </w:rPr>
              <w:t>43,000,000 (end 2014)</w:t>
            </w:r>
          </w:p>
        </w:tc>
        <w:tc>
          <w:tcPr>
            <w:tcW w:w="1984" w:type="dxa"/>
            <w:tcBorders>
              <w:top w:val="nil"/>
              <w:left w:val="nil"/>
              <w:bottom w:val="nil"/>
              <w:right w:val="single" w:sz="4" w:space="0" w:color="auto"/>
            </w:tcBorders>
            <w:shd w:val="clear" w:color="000000" w:fill="FFFFFF"/>
            <w:hideMark/>
          </w:tcPr>
          <w:p w14:paraId="0743572E" w14:textId="126AEE31" w:rsidR="00EF472A" w:rsidRPr="009B4A78" w:rsidRDefault="00EF472A" w:rsidP="00BF5BD2">
            <w:pPr>
              <w:ind w:firstLineChars="200" w:firstLine="320"/>
              <w:rPr>
                <w:rFonts w:ascii="Arial" w:hAnsi="Arial" w:cs="Arial"/>
                <w:color w:val="000000"/>
                <w:sz w:val="16"/>
                <w:szCs w:val="16"/>
              </w:rPr>
            </w:pPr>
            <w:r w:rsidRPr="009B4A78">
              <w:rPr>
                <w:rFonts w:ascii="Arial" w:hAnsi="Arial" w:cs="Arial"/>
                <w:color w:val="000000"/>
                <w:sz w:val="16"/>
                <w:szCs w:val="16"/>
              </w:rPr>
              <w:t>50</w:t>
            </w:r>
            <w:r w:rsidR="00BF5BD2">
              <w:rPr>
                <w:rFonts w:ascii="Arial" w:hAnsi="Arial" w:cs="Arial"/>
                <w:color w:val="000000"/>
                <w:sz w:val="16"/>
                <w:szCs w:val="16"/>
              </w:rPr>
              <w:t>,</w:t>
            </w:r>
            <w:r w:rsidRPr="009B4A78">
              <w:rPr>
                <w:rFonts w:ascii="Arial" w:hAnsi="Arial" w:cs="Arial"/>
                <w:color w:val="000000"/>
                <w:sz w:val="16"/>
                <w:szCs w:val="16"/>
              </w:rPr>
              <w:t>000</w:t>
            </w:r>
            <w:r w:rsidR="00BF5BD2">
              <w:rPr>
                <w:rFonts w:ascii="Arial" w:hAnsi="Arial" w:cs="Arial"/>
                <w:color w:val="000000"/>
                <w:sz w:val="16"/>
                <w:szCs w:val="16"/>
              </w:rPr>
              <w:t>,</w:t>
            </w:r>
            <w:r w:rsidRPr="009B4A78">
              <w:rPr>
                <w:rFonts w:ascii="Arial" w:hAnsi="Arial" w:cs="Arial"/>
                <w:color w:val="000000"/>
                <w:sz w:val="16"/>
                <w:szCs w:val="16"/>
              </w:rPr>
              <w:t>000</w:t>
            </w:r>
          </w:p>
        </w:tc>
      </w:tr>
      <w:tr w:rsidR="005D4F01" w:rsidRPr="009B4A78" w14:paraId="655F4D58" w14:textId="77777777" w:rsidTr="008D4CE9">
        <w:trPr>
          <w:trHeight w:val="518"/>
        </w:trPr>
        <w:tc>
          <w:tcPr>
            <w:tcW w:w="2320" w:type="dxa"/>
            <w:tcBorders>
              <w:top w:val="nil"/>
              <w:left w:val="single" w:sz="4" w:space="0" w:color="auto"/>
              <w:bottom w:val="nil"/>
              <w:right w:val="nil"/>
            </w:tcBorders>
            <w:vAlign w:val="center"/>
          </w:tcPr>
          <w:p w14:paraId="17684969" w14:textId="77777777" w:rsidR="005D4F01" w:rsidRPr="009B4A78" w:rsidRDefault="005D4F01" w:rsidP="00984F70">
            <w:pPr>
              <w:rPr>
                <w:rFonts w:ascii="Arial" w:hAnsi="Arial" w:cs="Arial"/>
                <w:color w:val="000000"/>
                <w:sz w:val="16"/>
                <w:szCs w:val="16"/>
              </w:rPr>
            </w:pPr>
          </w:p>
        </w:tc>
        <w:tc>
          <w:tcPr>
            <w:tcW w:w="2798" w:type="dxa"/>
            <w:tcBorders>
              <w:top w:val="nil"/>
              <w:left w:val="nil"/>
              <w:bottom w:val="nil"/>
              <w:right w:val="nil"/>
            </w:tcBorders>
            <w:shd w:val="clear" w:color="000000" w:fill="FFFFFF"/>
          </w:tcPr>
          <w:p w14:paraId="3BE2FAEB" w14:textId="77777777" w:rsidR="005D4F01" w:rsidRDefault="005D4F01" w:rsidP="008D4CE9">
            <w:pPr>
              <w:rPr>
                <w:rFonts w:ascii="Arial" w:hAnsi="Arial" w:cs="Arial"/>
                <w:color w:val="000000"/>
                <w:sz w:val="16"/>
                <w:szCs w:val="16"/>
              </w:rPr>
            </w:pPr>
            <w:r w:rsidRPr="005D4F01">
              <w:rPr>
                <w:rFonts w:ascii="Arial" w:hAnsi="Arial" w:cs="Arial"/>
                <w:color w:val="000000"/>
                <w:sz w:val="16"/>
                <w:szCs w:val="16"/>
              </w:rPr>
              <w:t>Timeliness of data uploading (the average delay in days between the publication date of the records in their official register and availability in Global Databases for a representative subset of national collections)</w:t>
            </w:r>
          </w:p>
          <w:p w14:paraId="16D4F599" w14:textId="5D17617E" w:rsidR="00CF7658" w:rsidRPr="009B4A78" w:rsidRDefault="00CF7658" w:rsidP="008D4CE9">
            <w:pPr>
              <w:rPr>
                <w:rFonts w:ascii="Arial" w:hAnsi="Arial" w:cs="Arial"/>
                <w:color w:val="000000"/>
                <w:sz w:val="16"/>
                <w:szCs w:val="16"/>
              </w:rPr>
            </w:pPr>
          </w:p>
        </w:tc>
        <w:tc>
          <w:tcPr>
            <w:tcW w:w="2127" w:type="dxa"/>
            <w:tcBorders>
              <w:top w:val="nil"/>
              <w:left w:val="nil"/>
              <w:bottom w:val="nil"/>
              <w:right w:val="nil"/>
            </w:tcBorders>
            <w:shd w:val="clear" w:color="000000" w:fill="FFFFFF"/>
          </w:tcPr>
          <w:p w14:paraId="02DEA7C2" w14:textId="5713BCD4" w:rsidR="005D4F01" w:rsidRPr="009B4A78" w:rsidRDefault="005D4F01" w:rsidP="008D4CE9">
            <w:pPr>
              <w:ind w:left="175" w:firstLineChars="200" w:firstLine="320"/>
              <w:rPr>
                <w:rFonts w:ascii="Arial" w:hAnsi="Arial" w:cs="Arial"/>
                <w:color w:val="000000"/>
                <w:sz w:val="16"/>
                <w:szCs w:val="16"/>
              </w:rPr>
            </w:pPr>
            <w:r>
              <w:rPr>
                <w:rFonts w:ascii="Arial" w:hAnsi="Arial" w:cs="Arial"/>
                <w:color w:val="000000"/>
                <w:sz w:val="16"/>
                <w:szCs w:val="16"/>
              </w:rPr>
              <w:t>n/a</w:t>
            </w:r>
          </w:p>
        </w:tc>
        <w:tc>
          <w:tcPr>
            <w:tcW w:w="1984" w:type="dxa"/>
            <w:tcBorders>
              <w:top w:val="nil"/>
              <w:left w:val="nil"/>
              <w:bottom w:val="nil"/>
              <w:right w:val="single" w:sz="4" w:space="0" w:color="auto"/>
            </w:tcBorders>
            <w:shd w:val="clear" w:color="000000" w:fill="FFFFFF"/>
          </w:tcPr>
          <w:p w14:paraId="32D6614B" w14:textId="2B3FFD24" w:rsidR="005D4F01" w:rsidRPr="009B4A78" w:rsidRDefault="005D4F01" w:rsidP="00BF5BD2">
            <w:pPr>
              <w:ind w:firstLineChars="200" w:firstLine="320"/>
              <w:rPr>
                <w:rFonts w:ascii="Arial" w:hAnsi="Arial" w:cs="Arial"/>
                <w:color w:val="000000"/>
                <w:sz w:val="16"/>
                <w:szCs w:val="16"/>
              </w:rPr>
            </w:pPr>
            <w:r>
              <w:rPr>
                <w:rFonts w:ascii="Arial" w:hAnsi="Arial" w:cs="Arial"/>
                <w:color w:val="000000"/>
                <w:sz w:val="16"/>
                <w:szCs w:val="16"/>
              </w:rPr>
              <w:t>45 days</w:t>
            </w:r>
          </w:p>
        </w:tc>
      </w:tr>
      <w:tr w:rsidR="00EF472A" w:rsidRPr="009B4A78" w14:paraId="7FB5EF84" w14:textId="77777777" w:rsidTr="008D4CE9">
        <w:trPr>
          <w:trHeight w:val="480"/>
        </w:trPr>
        <w:tc>
          <w:tcPr>
            <w:tcW w:w="2320" w:type="dxa"/>
            <w:vMerge w:val="restart"/>
            <w:tcBorders>
              <w:top w:val="nil"/>
              <w:left w:val="single" w:sz="4" w:space="0" w:color="auto"/>
              <w:bottom w:val="single" w:sz="4" w:space="0" w:color="000000"/>
              <w:right w:val="nil"/>
            </w:tcBorders>
            <w:shd w:val="clear" w:color="000000" w:fill="FFFFFF"/>
            <w:hideMark/>
          </w:tcPr>
          <w:p w14:paraId="2EB1408A" w14:textId="77777777" w:rsidR="00EF472A" w:rsidRPr="009B4A78" w:rsidRDefault="00EF472A" w:rsidP="00984F70">
            <w:pPr>
              <w:rPr>
                <w:rFonts w:ascii="Arial" w:hAnsi="Arial" w:cs="Arial"/>
                <w:color w:val="000000"/>
                <w:sz w:val="16"/>
                <w:szCs w:val="16"/>
              </w:rPr>
            </w:pPr>
            <w:r w:rsidRPr="009B4A78">
              <w:rPr>
                <w:rFonts w:ascii="Arial" w:hAnsi="Arial" w:cs="Arial"/>
                <w:color w:val="000000"/>
                <w:sz w:val="16"/>
                <w:szCs w:val="16"/>
              </w:rPr>
              <w:t>IV.3 Broad geographical coverage of the content and use of WIPO Global IP Databases</w:t>
            </w:r>
          </w:p>
        </w:tc>
        <w:tc>
          <w:tcPr>
            <w:tcW w:w="2798" w:type="dxa"/>
            <w:tcBorders>
              <w:top w:val="nil"/>
              <w:left w:val="nil"/>
              <w:bottom w:val="nil"/>
              <w:right w:val="nil"/>
            </w:tcBorders>
            <w:shd w:val="clear" w:color="000000" w:fill="FFFFFF"/>
            <w:hideMark/>
          </w:tcPr>
          <w:p w14:paraId="6105C978" w14:textId="4F253BDE"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 xml:space="preserve">No. of records contained in Global Brand </w:t>
            </w:r>
            <w:r w:rsidR="00656EEF">
              <w:rPr>
                <w:rFonts w:ascii="Arial" w:hAnsi="Arial" w:cs="Arial"/>
                <w:color w:val="000000"/>
                <w:sz w:val="16"/>
                <w:szCs w:val="16"/>
              </w:rPr>
              <w:t xml:space="preserve">s </w:t>
            </w:r>
            <w:r w:rsidRPr="009B4A78">
              <w:rPr>
                <w:rFonts w:ascii="Arial" w:hAnsi="Arial" w:cs="Arial"/>
                <w:color w:val="000000"/>
                <w:sz w:val="16"/>
                <w:szCs w:val="16"/>
              </w:rPr>
              <w:t xml:space="preserve">Database </w:t>
            </w:r>
          </w:p>
        </w:tc>
        <w:tc>
          <w:tcPr>
            <w:tcW w:w="2127" w:type="dxa"/>
            <w:tcBorders>
              <w:top w:val="nil"/>
              <w:left w:val="nil"/>
              <w:bottom w:val="nil"/>
              <w:right w:val="nil"/>
            </w:tcBorders>
            <w:shd w:val="clear" w:color="000000" w:fill="FFFFFF"/>
            <w:hideMark/>
          </w:tcPr>
          <w:p w14:paraId="360EEA8B" w14:textId="77777777" w:rsidR="00EF472A" w:rsidRPr="009B4A78" w:rsidRDefault="00EF472A" w:rsidP="008D4CE9">
            <w:pPr>
              <w:ind w:left="175"/>
              <w:rPr>
                <w:rFonts w:ascii="Arial" w:hAnsi="Arial" w:cs="Arial"/>
                <w:color w:val="000000"/>
                <w:sz w:val="16"/>
                <w:szCs w:val="16"/>
              </w:rPr>
            </w:pPr>
            <w:r w:rsidRPr="009B4A78">
              <w:rPr>
                <w:rFonts w:ascii="Arial" w:hAnsi="Arial" w:cs="Arial"/>
                <w:color w:val="000000"/>
                <w:sz w:val="16"/>
                <w:szCs w:val="16"/>
              </w:rPr>
              <w:t>15,800,000 (end 2014)</w:t>
            </w:r>
          </w:p>
        </w:tc>
        <w:tc>
          <w:tcPr>
            <w:tcW w:w="1984" w:type="dxa"/>
            <w:tcBorders>
              <w:top w:val="nil"/>
              <w:left w:val="nil"/>
              <w:bottom w:val="nil"/>
              <w:right w:val="single" w:sz="4" w:space="0" w:color="auto"/>
            </w:tcBorders>
            <w:shd w:val="clear" w:color="000000" w:fill="FFFFFF"/>
            <w:hideMark/>
          </w:tcPr>
          <w:p w14:paraId="7548AA30" w14:textId="2B4094D6" w:rsidR="00EF472A" w:rsidRPr="009B4A78" w:rsidRDefault="00BF5BD2" w:rsidP="00BF5BD2">
            <w:pPr>
              <w:ind w:firstLineChars="200" w:firstLine="320"/>
              <w:rPr>
                <w:rFonts w:ascii="Arial" w:hAnsi="Arial" w:cs="Arial"/>
                <w:color w:val="000000"/>
                <w:sz w:val="16"/>
                <w:szCs w:val="16"/>
              </w:rPr>
            </w:pPr>
            <w:r w:rsidRPr="009B4A78">
              <w:rPr>
                <w:rFonts w:ascii="Arial" w:hAnsi="Arial" w:cs="Arial"/>
                <w:color w:val="000000"/>
                <w:sz w:val="16"/>
                <w:szCs w:val="16"/>
              </w:rPr>
              <w:t>25</w:t>
            </w:r>
            <w:r>
              <w:rPr>
                <w:rFonts w:ascii="Arial" w:hAnsi="Arial" w:cs="Arial"/>
                <w:color w:val="000000"/>
                <w:sz w:val="16"/>
                <w:szCs w:val="16"/>
              </w:rPr>
              <w:t>,</w:t>
            </w:r>
            <w:r w:rsidRPr="009B4A78">
              <w:rPr>
                <w:rFonts w:ascii="Arial" w:hAnsi="Arial" w:cs="Arial"/>
                <w:color w:val="000000"/>
                <w:sz w:val="16"/>
                <w:szCs w:val="16"/>
              </w:rPr>
              <w:t>000</w:t>
            </w:r>
            <w:r>
              <w:rPr>
                <w:rFonts w:ascii="Arial" w:hAnsi="Arial" w:cs="Arial"/>
                <w:color w:val="000000"/>
                <w:sz w:val="16"/>
                <w:szCs w:val="16"/>
              </w:rPr>
              <w:t>,</w:t>
            </w:r>
            <w:r w:rsidRPr="009B4A78">
              <w:rPr>
                <w:rFonts w:ascii="Arial" w:hAnsi="Arial" w:cs="Arial"/>
                <w:color w:val="000000"/>
                <w:sz w:val="16"/>
                <w:szCs w:val="16"/>
              </w:rPr>
              <w:t>000</w:t>
            </w:r>
          </w:p>
        </w:tc>
      </w:tr>
      <w:tr w:rsidR="00EF472A" w:rsidRPr="009B4A78" w14:paraId="6DF95C7A" w14:textId="77777777" w:rsidTr="008D4CE9">
        <w:trPr>
          <w:trHeight w:val="548"/>
        </w:trPr>
        <w:tc>
          <w:tcPr>
            <w:tcW w:w="2320" w:type="dxa"/>
            <w:vMerge/>
            <w:tcBorders>
              <w:top w:val="nil"/>
              <w:left w:val="single" w:sz="4" w:space="0" w:color="auto"/>
              <w:bottom w:val="single" w:sz="4" w:space="0" w:color="000000"/>
              <w:right w:val="nil"/>
            </w:tcBorders>
            <w:vAlign w:val="center"/>
            <w:hideMark/>
          </w:tcPr>
          <w:p w14:paraId="01B2935E"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3ACC2CBB" w14:textId="627693C8"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 xml:space="preserve">No. of records contained in Global Design </w:t>
            </w:r>
            <w:r w:rsidR="00656EEF">
              <w:rPr>
                <w:rFonts w:ascii="Arial" w:hAnsi="Arial" w:cs="Arial"/>
                <w:color w:val="000000"/>
                <w:sz w:val="16"/>
                <w:szCs w:val="16"/>
              </w:rPr>
              <w:t xml:space="preserve">s </w:t>
            </w:r>
            <w:r w:rsidRPr="009B4A78">
              <w:rPr>
                <w:rFonts w:ascii="Arial" w:hAnsi="Arial" w:cs="Arial"/>
                <w:color w:val="000000"/>
                <w:sz w:val="16"/>
                <w:szCs w:val="16"/>
              </w:rPr>
              <w:t>Database</w:t>
            </w:r>
          </w:p>
        </w:tc>
        <w:tc>
          <w:tcPr>
            <w:tcW w:w="2127" w:type="dxa"/>
            <w:tcBorders>
              <w:top w:val="nil"/>
              <w:left w:val="nil"/>
              <w:bottom w:val="nil"/>
              <w:right w:val="nil"/>
            </w:tcBorders>
            <w:shd w:val="clear" w:color="000000" w:fill="FFFFFF"/>
            <w:hideMark/>
          </w:tcPr>
          <w:p w14:paraId="45DCC286" w14:textId="77777777" w:rsidR="00EF472A" w:rsidRPr="009B4A78" w:rsidRDefault="00EF472A" w:rsidP="008D4CE9">
            <w:pPr>
              <w:ind w:left="175" w:firstLineChars="200" w:firstLine="320"/>
              <w:rPr>
                <w:rFonts w:ascii="Arial" w:hAnsi="Arial" w:cs="Arial"/>
                <w:color w:val="000000"/>
                <w:sz w:val="16"/>
                <w:szCs w:val="16"/>
              </w:rPr>
            </w:pPr>
            <w:r w:rsidRPr="009B4A78">
              <w:rPr>
                <w:rFonts w:ascii="Arial" w:hAnsi="Arial" w:cs="Arial"/>
                <w:color w:val="000000"/>
                <w:sz w:val="16"/>
                <w:szCs w:val="16"/>
              </w:rPr>
              <w:t>n/a</w:t>
            </w:r>
          </w:p>
        </w:tc>
        <w:tc>
          <w:tcPr>
            <w:tcW w:w="1984" w:type="dxa"/>
            <w:tcBorders>
              <w:top w:val="nil"/>
              <w:left w:val="nil"/>
              <w:bottom w:val="nil"/>
              <w:right w:val="single" w:sz="4" w:space="0" w:color="auto"/>
            </w:tcBorders>
            <w:shd w:val="clear" w:color="000000" w:fill="FFFFFF"/>
            <w:hideMark/>
          </w:tcPr>
          <w:p w14:paraId="411F6F3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1'000'000</w:t>
            </w:r>
          </w:p>
        </w:tc>
      </w:tr>
      <w:tr w:rsidR="00EF472A" w:rsidRPr="009B4A78" w14:paraId="20201AFC" w14:textId="77777777" w:rsidTr="008D4CE9">
        <w:trPr>
          <w:trHeight w:val="530"/>
        </w:trPr>
        <w:tc>
          <w:tcPr>
            <w:tcW w:w="2320" w:type="dxa"/>
            <w:vMerge/>
            <w:tcBorders>
              <w:top w:val="nil"/>
              <w:left w:val="single" w:sz="4" w:space="0" w:color="auto"/>
              <w:bottom w:val="single" w:sz="4" w:space="0" w:color="000000"/>
              <w:right w:val="nil"/>
            </w:tcBorders>
            <w:vAlign w:val="center"/>
            <w:hideMark/>
          </w:tcPr>
          <w:p w14:paraId="125D9E92" w14:textId="77777777" w:rsidR="00EF472A" w:rsidRPr="009B4A78" w:rsidRDefault="00EF472A" w:rsidP="00984F70">
            <w:pPr>
              <w:rPr>
                <w:rFonts w:ascii="Arial" w:hAnsi="Arial" w:cs="Arial"/>
                <w:color w:val="000000"/>
                <w:sz w:val="16"/>
                <w:szCs w:val="16"/>
              </w:rPr>
            </w:pPr>
          </w:p>
        </w:tc>
        <w:tc>
          <w:tcPr>
            <w:tcW w:w="2798" w:type="dxa"/>
            <w:tcBorders>
              <w:top w:val="nil"/>
              <w:left w:val="nil"/>
              <w:bottom w:val="nil"/>
              <w:right w:val="nil"/>
            </w:tcBorders>
            <w:shd w:val="clear" w:color="000000" w:fill="FFFFFF"/>
            <w:hideMark/>
          </w:tcPr>
          <w:p w14:paraId="2C99103F" w14:textId="7777777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National Collections in PATENTSCOPE</w:t>
            </w:r>
          </w:p>
        </w:tc>
        <w:tc>
          <w:tcPr>
            <w:tcW w:w="2127" w:type="dxa"/>
            <w:tcBorders>
              <w:top w:val="nil"/>
              <w:left w:val="nil"/>
              <w:bottom w:val="nil"/>
              <w:right w:val="nil"/>
            </w:tcBorders>
            <w:shd w:val="clear" w:color="000000" w:fill="FFFFFF"/>
            <w:hideMark/>
          </w:tcPr>
          <w:p w14:paraId="0711062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40 (end 2014)</w:t>
            </w:r>
          </w:p>
        </w:tc>
        <w:tc>
          <w:tcPr>
            <w:tcW w:w="1984" w:type="dxa"/>
            <w:tcBorders>
              <w:top w:val="nil"/>
              <w:left w:val="nil"/>
              <w:bottom w:val="nil"/>
              <w:right w:val="single" w:sz="4" w:space="0" w:color="auto"/>
            </w:tcBorders>
            <w:shd w:val="clear" w:color="000000" w:fill="FFFFFF"/>
            <w:hideMark/>
          </w:tcPr>
          <w:p w14:paraId="3324A6CF"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50</w:t>
            </w:r>
          </w:p>
        </w:tc>
      </w:tr>
      <w:tr w:rsidR="00EF472A" w:rsidRPr="009B4A78" w14:paraId="3AC002D0" w14:textId="77777777" w:rsidTr="008D4CE9">
        <w:trPr>
          <w:trHeight w:val="570"/>
        </w:trPr>
        <w:tc>
          <w:tcPr>
            <w:tcW w:w="2320" w:type="dxa"/>
            <w:vMerge/>
            <w:tcBorders>
              <w:top w:val="nil"/>
              <w:left w:val="single" w:sz="4" w:space="0" w:color="auto"/>
              <w:bottom w:val="single" w:sz="4" w:space="0" w:color="000000"/>
              <w:right w:val="nil"/>
            </w:tcBorders>
            <w:vAlign w:val="center"/>
            <w:hideMark/>
          </w:tcPr>
          <w:p w14:paraId="0AB7E97A" w14:textId="77777777" w:rsidR="00EF472A" w:rsidRPr="009B4A78" w:rsidRDefault="00EF472A" w:rsidP="00984F70">
            <w:pPr>
              <w:rPr>
                <w:rFonts w:ascii="Arial" w:hAnsi="Arial" w:cs="Arial"/>
                <w:color w:val="000000"/>
                <w:sz w:val="16"/>
                <w:szCs w:val="16"/>
              </w:rPr>
            </w:pPr>
          </w:p>
        </w:tc>
        <w:tc>
          <w:tcPr>
            <w:tcW w:w="2798" w:type="dxa"/>
            <w:tcBorders>
              <w:top w:val="nil"/>
              <w:left w:val="nil"/>
              <w:bottom w:val="single" w:sz="4" w:space="0" w:color="auto"/>
              <w:right w:val="nil"/>
            </w:tcBorders>
            <w:shd w:val="clear" w:color="000000" w:fill="FFFFFF"/>
            <w:hideMark/>
          </w:tcPr>
          <w:p w14:paraId="4C849C13" w14:textId="7A103B37" w:rsidR="00EF472A" w:rsidRPr="009B4A78" w:rsidRDefault="00EF472A" w:rsidP="008D4CE9">
            <w:pPr>
              <w:rPr>
                <w:rFonts w:ascii="Arial" w:hAnsi="Arial" w:cs="Arial"/>
                <w:color w:val="000000"/>
                <w:sz w:val="16"/>
                <w:szCs w:val="16"/>
              </w:rPr>
            </w:pPr>
            <w:r w:rsidRPr="009B4A78">
              <w:rPr>
                <w:rFonts w:ascii="Arial" w:hAnsi="Arial" w:cs="Arial"/>
                <w:color w:val="000000"/>
                <w:sz w:val="16"/>
                <w:szCs w:val="16"/>
              </w:rPr>
              <w:t>No. of National Collections in Global Brand</w:t>
            </w:r>
            <w:r w:rsidR="00656EEF">
              <w:rPr>
                <w:rFonts w:ascii="Arial" w:hAnsi="Arial" w:cs="Arial"/>
                <w:color w:val="000000"/>
                <w:sz w:val="16"/>
                <w:szCs w:val="16"/>
              </w:rPr>
              <w:t>s</w:t>
            </w:r>
            <w:r w:rsidRPr="009B4A78">
              <w:rPr>
                <w:rFonts w:ascii="Arial" w:hAnsi="Arial" w:cs="Arial"/>
                <w:color w:val="000000"/>
                <w:sz w:val="16"/>
                <w:szCs w:val="16"/>
              </w:rPr>
              <w:t xml:space="preserve"> Database</w:t>
            </w:r>
          </w:p>
        </w:tc>
        <w:tc>
          <w:tcPr>
            <w:tcW w:w="2127" w:type="dxa"/>
            <w:tcBorders>
              <w:top w:val="nil"/>
              <w:left w:val="nil"/>
              <w:bottom w:val="single" w:sz="4" w:space="0" w:color="auto"/>
              <w:right w:val="nil"/>
            </w:tcBorders>
            <w:shd w:val="clear" w:color="000000" w:fill="FFFFFF"/>
            <w:hideMark/>
          </w:tcPr>
          <w:p w14:paraId="16646BEE"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18 (end 2014)</w:t>
            </w:r>
          </w:p>
        </w:tc>
        <w:tc>
          <w:tcPr>
            <w:tcW w:w="1984" w:type="dxa"/>
            <w:tcBorders>
              <w:top w:val="nil"/>
              <w:left w:val="nil"/>
              <w:bottom w:val="single" w:sz="4" w:space="0" w:color="auto"/>
              <w:right w:val="single" w:sz="4" w:space="0" w:color="auto"/>
            </w:tcBorders>
            <w:shd w:val="clear" w:color="000000" w:fill="FFFFFF"/>
            <w:hideMark/>
          </w:tcPr>
          <w:p w14:paraId="258D59F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32</w:t>
            </w:r>
          </w:p>
        </w:tc>
      </w:tr>
    </w:tbl>
    <w:p w14:paraId="7338A8FF" w14:textId="77777777" w:rsidR="00EF472A" w:rsidRPr="009B4A78" w:rsidRDefault="00EF472A" w:rsidP="00984F70">
      <w:pPr>
        <w:tabs>
          <w:tab w:val="left" w:pos="567"/>
          <w:tab w:val="left" w:pos="1985"/>
        </w:tabs>
        <w:jc w:val="both"/>
        <w:rPr>
          <w:rFonts w:ascii="Arial" w:hAnsi="Arial" w:cs="Arial"/>
          <w:bCs/>
        </w:rPr>
      </w:pPr>
    </w:p>
    <w:p w14:paraId="374D3283" w14:textId="77777777" w:rsidR="00EF472A" w:rsidRPr="009B4A78" w:rsidRDefault="00EF472A" w:rsidP="00734F09">
      <w:pPr>
        <w:keepNext/>
        <w:keepLines/>
        <w:tabs>
          <w:tab w:val="left" w:pos="567"/>
          <w:tab w:val="left" w:pos="1985"/>
        </w:tabs>
        <w:jc w:val="both"/>
        <w:rPr>
          <w:rFonts w:ascii="Arial" w:hAnsi="Arial" w:cs="Arial"/>
          <w:bCs/>
        </w:rPr>
      </w:pPr>
      <w:r w:rsidRPr="009B4A78">
        <w:rPr>
          <w:rFonts w:ascii="Arial" w:hAnsi="Arial" w:cs="Arial"/>
          <w:bCs/>
        </w:rPr>
        <w:lastRenderedPageBreak/>
        <w:t>RESOURCES FOR PROGRAM 13</w:t>
      </w:r>
    </w:p>
    <w:p w14:paraId="2797A3DB" w14:textId="77777777" w:rsidR="00EF472A" w:rsidRPr="009B4A78" w:rsidRDefault="00EF472A" w:rsidP="00734F09">
      <w:pPr>
        <w:keepNext/>
        <w:keepLines/>
        <w:tabs>
          <w:tab w:val="left" w:pos="567"/>
          <w:tab w:val="left" w:pos="1985"/>
        </w:tabs>
        <w:jc w:val="both"/>
        <w:rPr>
          <w:rFonts w:ascii="Arial" w:hAnsi="Arial" w:cs="Arial"/>
          <w:bCs/>
        </w:rPr>
      </w:pPr>
    </w:p>
    <w:p w14:paraId="7F75E158" w14:textId="2E95D0BE" w:rsidR="00EF472A" w:rsidRPr="00FB68E0" w:rsidRDefault="00EF472A" w:rsidP="00B66A4A">
      <w:pPr>
        <w:pStyle w:val="ListParagraph"/>
        <w:keepNext/>
        <w:keepLines/>
        <w:numPr>
          <w:ilvl w:val="0"/>
          <w:numId w:val="15"/>
        </w:numPr>
        <w:tabs>
          <w:tab w:val="left" w:pos="709"/>
        </w:tabs>
        <w:autoSpaceDE w:val="0"/>
        <w:autoSpaceDN w:val="0"/>
        <w:adjustRightInd w:val="0"/>
        <w:ind w:left="0" w:firstLine="0"/>
        <w:jc w:val="both"/>
        <w:rPr>
          <w:rFonts w:ascii="Arial" w:hAnsi="Arial" w:cs="Arial"/>
          <w:sz w:val="20"/>
          <w:szCs w:val="20"/>
        </w:rPr>
      </w:pPr>
      <w:r w:rsidRPr="00FB68E0">
        <w:rPr>
          <w:rFonts w:ascii="Arial" w:hAnsi="Arial" w:cs="Arial"/>
          <w:sz w:val="20"/>
        </w:rPr>
        <w:t>Overall res</w:t>
      </w:r>
      <w:r w:rsidR="00BF5BD2">
        <w:rPr>
          <w:rFonts w:ascii="Arial" w:hAnsi="Arial" w:cs="Arial"/>
          <w:sz w:val="20"/>
        </w:rPr>
        <w:t>ources for the Program increase</w:t>
      </w:r>
      <w:r w:rsidRPr="00FB68E0">
        <w:rPr>
          <w:rFonts w:ascii="Arial" w:hAnsi="Arial" w:cs="Arial"/>
          <w:sz w:val="20"/>
        </w:rPr>
        <w:t xml:space="preserve"> by</w:t>
      </w:r>
      <w:r w:rsidRPr="009B4A78">
        <w:rPr>
          <w:rFonts w:ascii="Arial" w:hAnsi="Arial" w:cs="Arial"/>
          <w:sz w:val="20"/>
        </w:rPr>
        <w:t xml:space="preserve"> approximately 20 per cent in 2016/17 compared to the 2014/15 Budget after Transfers. N</w:t>
      </w:r>
      <w:r w:rsidRPr="00FB68E0">
        <w:rPr>
          <w:rFonts w:ascii="Arial" w:hAnsi="Arial" w:cs="Arial"/>
          <w:sz w:val="20"/>
          <w:szCs w:val="20"/>
        </w:rPr>
        <w:t>on-personnel resources have been maintained at the level of 2014/15</w:t>
      </w:r>
      <w:r w:rsidRPr="009B4A78">
        <w:rPr>
          <w:rFonts w:ascii="Arial" w:hAnsi="Arial" w:cs="Arial"/>
          <w:sz w:val="20"/>
        </w:rPr>
        <w:t xml:space="preserve"> Budget after Transfers. The increase in personnel resources is due to the internal redeployment of resources in support of activities related to the development of the search engine and search interface for the Global Databases.  In addition, resources have been reallocated within the Program reflecting the enhanced emphasis on </w:t>
      </w:r>
      <w:r w:rsidRPr="009B4A78">
        <w:rPr>
          <w:rFonts w:ascii="Arial" w:hAnsi="Arial" w:cs="Arial"/>
          <w:color w:val="000000"/>
          <w:sz w:val="20"/>
        </w:rPr>
        <w:t>expanding the geographical coverage of the Global Databases.</w:t>
      </w:r>
      <w:r w:rsidRPr="009B4A78">
        <w:rPr>
          <w:rFonts w:ascii="Arial" w:hAnsi="Arial" w:cs="Arial"/>
          <w:sz w:val="20"/>
        </w:rPr>
        <w:t xml:space="preserve"> The net result of the above is reflected as an increase in resource under Expected </w:t>
      </w:r>
      <w:r w:rsidRPr="00FB68E0">
        <w:rPr>
          <w:rFonts w:ascii="Arial" w:hAnsi="Arial" w:cs="Arial"/>
          <w:sz w:val="20"/>
          <w:szCs w:val="20"/>
        </w:rPr>
        <w:t>Result</w:t>
      </w:r>
      <w:r w:rsidRPr="009B4A78">
        <w:rPr>
          <w:rFonts w:ascii="Arial" w:hAnsi="Arial" w:cs="Arial"/>
          <w:sz w:val="20"/>
        </w:rPr>
        <w:t>s</w:t>
      </w:r>
      <w:r w:rsidRPr="00FB68E0">
        <w:rPr>
          <w:rFonts w:ascii="Arial" w:hAnsi="Arial" w:cs="Arial"/>
          <w:sz w:val="20"/>
          <w:szCs w:val="20"/>
        </w:rPr>
        <w:t xml:space="preserve"> IV.2</w:t>
      </w:r>
      <w:r w:rsidRPr="009B4A78">
        <w:rPr>
          <w:rFonts w:ascii="Arial" w:hAnsi="Arial" w:cs="Arial"/>
          <w:sz w:val="20"/>
        </w:rPr>
        <w:t xml:space="preserve"> and </w:t>
      </w:r>
      <w:r w:rsidRPr="00FB68E0">
        <w:rPr>
          <w:rFonts w:ascii="Arial" w:hAnsi="Arial" w:cs="Arial"/>
          <w:sz w:val="20"/>
          <w:szCs w:val="20"/>
        </w:rPr>
        <w:t>IV.3</w:t>
      </w:r>
      <w:r w:rsidRPr="009B4A78">
        <w:rPr>
          <w:rFonts w:ascii="Arial" w:hAnsi="Arial" w:cs="Arial"/>
          <w:sz w:val="20"/>
        </w:rPr>
        <w:t>.</w:t>
      </w:r>
      <w:r w:rsidRPr="00FB68E0">
        <w:rPr>
          <w:rFonts w:ascii="Arial" w:hAnsi="Arial" w:cs="Arial"/>
          <w:sz w:val="20"/>
          <w:szCs w:val="20"/>
        </w:rPr>
        <w:t xml:space="preserve"> </w:t>
      </w:r>
    </w:p>
    <w:p w14:paraId="51C8D27D" w14:textId="77777777" w:rsidR="00EF472A" w:rsidRPr="009B4A78" w:rsidRDefault="00EF472A" w:rsidP="008B4CD5">
      <w:pPr>
        <w:tabs>
          <w:tab w:val="left" w:pos="567"/>
          <w:tab w:val="left" w:pos="1985"/>
        </w:tabs>
        <w:jc w:val="center"/>
        <w:rPr>
          <w:rFonts w:ascii="Arial" w:hAnsi="Arial" w:cs="Arial"/>
          <w:bCs/>
        </w:rPr>
      </w:pPr>
      <w:r w:rsidRPr="009B4A78">
        <w:rPr>
          <w:rFonts w:ascii="Arial" w:hAnsi="Arial" w:cs="Arial"/>
          <w:b/>
          <w:sz w:val="20"/>
          <w:szCs w:val="24"/>
        </w:rPr>
        <w:t>Program 13:  Resources by Result</w:t>
      </w:r>
    </w:p>
    <w:p w14:paraId="203FF4C2" w14:textId="4D85822C" w:rsidR="00EF472A" w:rsidRDefault="00EF472A" w:rsidP="008B4CD5">
      <w:pPr>
        <w:tabs>
          <w:tab w:val="left" w:pos="567"/>
          <w:tab w:val="left" w:pos="1985"/>
        </w:tabs>
        <w:jc w:val="center"/>
        <w:rPr>
          <w:rFonts w:ascii="Arial" w:hAnsi="Arial" w:cs="Arial"/>
          <w:i/>
          <w:sz w:val="20"/>
          <w:szCs w:val="24"/>
        </w:rPr>
      </w:pPr>
      <w:r w:rsidRPr="009B4A78">
        <w:rPr>
          <w:rFonts w:ascii="Arial" w:hAnsi="Arial" w:cs="Arial"/>
          <w:i/>
          <w:sz w:val="20"/>
          <w:szCs w:val="24"/>
        </w:rPr>
        <w:t>(In thousands of Swiss francs)</w:t>
      </w:r>
    </w:p>
    <w:p w14:paraId="5B3B2657" w14:textId="77777777" w:rsidR="005B0A1C" w:rsidRPr="0005653D" w:rsidRDefault="005B0A1C" w:rsidP="008B4CD5">
      <w:pPr>
        <w:tabs>
          <w:tab w:val="left" w:pos="567"/>
          <w:tab w:val="left" w:pos="1985"/>
        </w:tabs>
        <w:jc w:val="center"/>
        <w:rPr>
          <w:rFonts w:ascii="Arial" w:hAnsi="Arial" w:cs="Arial"/>
          <w:i/>
          <w:sz w:val="18"/>
          <w:szCs w:val="24"/>
        </w:rPr>
      </w:pPr>
    </w:p>
    <w:p w14:paraId="073AAD8D" w14:textId="3CA8ED76" w:rsidR="005B0A1C" w:rsidRDefault="005B0A1C" w:rsidP="008B4CD5">
      <w:pPr>
        <w:tabs>
          <w:tab w:val="left" w:pos="567"/>
          <w:tab w:val="left" w:pos="1985"/>
        </w:tabs>
        <w:jc w:val="center"/>
        <w:rPr>
          <w:rFonts w:ascii="Arial" w:hAnsi="Arial" w:cs="Arial"/>
          <w:i/>
          <w:sz w:val="20"/>
          <w:szCs w:val="24"/>
        </w:rPr>
      </w:pPr>
      <w:r w:rsidRPr="005B0A1C">
        <w:rPr>
          <w:noProof/>
          <w:lang w:eastAsia="en-US"/>
        </w:rPr>
        <w:drawing>
          <wp:inline distT="0" distB="0" distL="0" distR="0" wp14:anchorId="43AA3021" wp14:editId="28C56281">
            <wp:extent cx="4848422" cy="133916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5799" cy="1341198"/>
                    </a:xfrm>
                    <a:prstGeom prst="rect">
                      <a:avLst/>
                    </a:prstGeom>
                    <a:noFill/>
                    <a:ln>
                      <a:noFill/>
                    </a:ln>
                  </pic:spPr>
                </pic:pic>
              </a:graphicData>
            </a:graphic>
          </wp:inline>
        </w:drawing>
      </w:r>
    </w:p>
    <w:p w14:paraId="7120BACF" w14:textId="77777777" w:rsidR="005B0A1C" w:rsidRDefault="005B0A1C" w:rsidP="008B4CD5">
      <w:pPr>
        <w:tabs>
          <w:tab w:val="left" w:pos="567"/>
          <w:tab w:val="left" w:pos="1985"/>
        </w:tabs>
        <w:jc w:val="center"/>
        <w:rPr>
          <w:rFonts w:ascii="Arial" w:hAnsi="Arial" w:cs="Arial"/>
          <w:i/>
          <w:sz w:val="20"/>
          <w:szCs w:val="24"/>
        </w:rPr>
      </w:pPr>
    </w:p>
    <w:p w14:paraId="0FAB8712" w14:textId="77777777" w:rsidR="005B0A1C" w:rsidRDefault="005B0A1C" w:rsidP="008B4CD5">
      <w:pPr>
        <w:tabs>
          <w:tab w:val="left" w:pos="567"/>
          <w:tab w:val="left" w:pos="1985"/>
        </w:tabs>
        <w:jc w:val="center"/>
        <w:rPr>
          <w:rFonts w:ascii="Arial" w:hAnsi="Arial" w:cs="Arial"/>
          <w:i/>
          <w:sz w:val="20"/>
          <w:szCs w:val="24"/>
        </w:rPr>
      </w:pPr>
    </w:p>
    <w:p w14:paraId="1D9DC4DA" w14:textId="77777777" w:rsidR="00EF472A" w:rsidRPr="009B4A78" w:rsidRDefault="00EF472A" w:rsidP="00984F70">
      <w:pPr>
        <w:keepNext/>
        <w:keepLines/>
        <w:tabs>
          <w:tab w:val="left" w:pos="1427"/>
        </w:tabs>
        <w:jc w:val="center"/>
        <w:rPr>
          <w:rFonts w:ascii="Arial" w:hAnsi="Arial" w:cs="Arial"/>
        </w:rPr>
      </w:pPr>
      <w:r w:rsidRPr="009B4A78">
        <w:rPr>
          <w:rFonts w:ascii="Arial" w:hAnsi="Arial" w:cs="Arial"/>
          <w:b/>
          <w:sz w:val="20"/>
          <w:szCs w:val="24"/>
        </w:rPr>
        <w:t>Program 13:  Resources by Object of Expenditure</w:t>
      </w:r>
    </w:p>
    <w:p w14:paraId="4895A567" w14:textId="77777777" w:rsidR="00EF472A" w:rsidRPr="009B4A78" w:rsidRDefault="00EF472A" w:rsidP="00984F70">
      <w:pPr>
        <w:keepNext/>
        <w:keepLines/>
        <w:tabs>
          <w:tab w:val="left" w:pos="1427"/>
        </w:tabs>
        <w:jc w:val="center"/>
        <w:rPr>
          <w:rFonts w:ascii="Arial" w:hAnsi="Arial" w:cs="Arial"/>
          <w:i/>
          <w:sz w:val="20"/>
          <w:szCs w:val="24"/>
        </w:rPr>
      </w:pPr>
      <w:r w:rsidRPr="009B4A78">
        <w:rPr>
          <w:rFonts w:ascii="Arial" w:hAnsi="Arial" w:cs="Arial"/>
          <w:i/>
          <w:sz w:val="20"/>
          <w:szCs w:val="24"/>
        </w:rPr>
        <w:t>(In thousands of Swiss francs)</w:t>
      </w:r>
    </w:p>
    <w:p w14:paraId="2FF741D3" w14:textId="77777777" w:rsidR="00EF472A" w:rsidRPr="0005653D" w:rsidRDefault="00EF472A" w:rsidP="00984F70">
      <w:pPr>
        <w:keepNext/>
        <w:keepLines/>
        <w:tabs>
          <w:tab w:val="left" w:pos="1427"/>
        </w:tabs>
        <w:jc w:val="center"/>
        <w:rPr>
          <w:rFonts w:ascii="Arial" w:hAnsi="Arial" w:cs="Arial"/>
          <w:sz w:val="18"/>
        </w:rPr>
      </w:pPr>
    </w:p>
    <w:p w14:paraId="785064D9" w14:textId="3760A93C" w:rsidR="00EF472A" w:rsidRPr="009B4A78" w:rsidRDefault="00EF472A" w:rsidP="0005653D">
      <w:pPr>
        <w:keepNext/>
        <w:keepLines/>
        <w:autoSpaceDE w:val="0"/>
        <w:autoSpaceDN w:val="0"/>
        <w:ind w:left="-142" w:firstLine="142"/>
        <w:jc w:val="center"/>
        <w:rPr>
          <w:rFonts w:ascii="Arial" w:hAnsi="Arial" w:cs="Arial"/>
          <w:bCs/>
          <w:sz w:val="20"/>
        </w:rPr>
      </w:pPr>
      <w:r w:rsidRPr="009B4A78">
        <w:rPr>
          <w:rFonts w:ascii="Arial" w:hAnsi="Arial" w:cs="Arial"/>
          <w:noProof/>
          <w:lang w:eastAsia="en-US"/>
        </w:rPr>
        <w:drawing>
          <wp:inline distT="0" distB="0" distL="0" distR="0" wp14:anchorId="7869CAE5" wp14:editId="7B0631F3">
            <wp:extent cx="4465122" cy="5024675"/>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73298" cy="5033875"/>
                    </a:xfrm>
                    <a:prstGeom prst="rect">
                      <a:avLst/>
                    </a:prstGeom>
                    <a:noFill/>
                    <a:ln>
                      <a:noFill/>
                    </a:ln>
                  </pic:spPr>
                </pic:pic>
              </a:graphicData>
            </a:graphic>
          </wp:inline>
        </w:drawing>
      </w:r>
      <w:r w:rsidRPr="009B4A78">
        <w:rPr>
          <w:rFonts w:ascii="Arial" w:hAnsi="Arial" w:cs="Arial"/>
          <w:i/>
          <w:sz w:val="20"/>
          <w:szCs w:val="24"/>
        </w:rPr>
        <w:t xml:space="preserve"> </w:t>
      </w:r>
      <w:r w:rsidRPr="009B4A78">
        <w:rPr>
          <w:rFonts w:ascii="Arial" w:hAnsi="Arial" w:cs="Arial"/>
          <w:bCs/>
          <w:sz w:val="20"/>
        </w:rPr>
        <w:br w:type="page"/>
      </w:r>
    </w:p>
    <w:p w14:paraId="2BC77C72" w14:textId="0AEF0AF0" w:rsidR="00BF4CC1" w:rsidRPr="009B4A78" w:rsidRDefault="00BF4CC1" w:rsidP="007D51CF">
      <w:pPr>
        <w:pStyle w:val="StyleHeading3ComplexItalic"/>
        <w:tabs>
          <w:tab w:val="clear" w:pos="1985"/>
          <w:tab w:val="left" w:pos="1843"/>
        </w:tabs>
        <w:ind w:left="1843" w:hanging="1843"/>
        <w:rPr>
          <w:rStyle w:val="StyleStyleHeading3ComplexItalicLatin12ptChar"/>
          <w:rFonts w:eastAsia="SimSun"/>
          <w:b/>
        </w:rPr>
      </w:pPr>
      <w:bookmarkStart w:id="49" w:name="_Toc367350590"/>
      <w:bookmarkStart w:id="50" w:name="_Toc431221424"/>
      <w:r w:rsidRPr="009B4A78">
        <w:rPr>
          <w:rStyle w:val="StyleStyleHeading3ComplexItalicLatin12ptChar"/>
          <w:rFonts w:eastAsia="SimSun"/>
          <w:b/>
        </w:rPr>
        <w:lastRenderedPageBreak/>
        <w:t>P</w:t>
      </w:r>
      <w:r w:rsidR="007D51CF" w:rsidRPr="009B4A78">
        <w:rPr>
          <w:rStyle w:val="StyleStyleHeading3ComplexItalicLatin12ptChar"/>
          <w:rFonts w:eastAsia="SimSun"/>
          <w:b/>
        </w:rPr>
        <w:t>ROGRAM</w:t>
      </w:r>
      <w:r w:rsidRPr="009B4A78">
        <w:rPr>
          <w:rStyle w:val="StyleStyleHeading3ComplexItalicLatin12ptChar"/>
          <w:rFonts w:eastAsia="SimSun"/>
          <w:b/>
        </w:rPr>
        <w:t xml:space="preserve"> 14</w:t>
      </w:r>
      <w:r w:rsidRPr="009B4A78">
        <w:rPr>
          <w:rStyle w:val="StyleStyleHeading3ComplexItalicLatin12ptChar"/>
          <w:rFonts w:eastAsia="SimSun"/>
          <w:b/>
        </w:rPr>
        <w:tab/>
        <w:t>S</w:t>
      </w:r>
      <w:r w:rsidR="007D51CF" w:rsidRPr="009B4A78">
        <w:rPr>
          <w:rStyle w:val="StyleStyleHeading3ComplexItalicLatin12ptChar"/>
          <w:rFonts w:eastAsia="SimSun"/>
          <w:b/>
        </w:rPr>
        <w:t>ERVICES FOR ACCESS TO INFORMATION AND KNOWLEDGE</w:t>
      </w:r>
      <w:bookmarkEnd w:id="49"/>
      <w:bookmarkEnd w:id="50"/>
      <w:r w:rsidR="007D51CF" w:rsidRPr="009B4A78">
        <w:rPr>
          <w:rStyle w:val="StyleStyleHeading3ComplexItalicLatin12ptChar"/>
          <w:rFonts w:eastAsia="SimSun"/>
          <w:b/>
        </w:rPr>
        <w:t xml:space="preserve"> </w:t>
      </w:r>
    </w:p>
    <w:p w14:paraId="1EFDDC76" w14:textId="77777777" w:rsidR="00BF4CC1" w:rsidRPr="009B4A78" w:rsidRDefault="00BF4CC1" w:rsidP="00984F70">
      <w:pPr>
        <w:rPr>
          <w:rFonts w:ascii="Arial" w:eastAsia="Times New Roman" w:hAnsi="Arial" w:cs="Arial"/>
          <w:sz w:val="20"/>
          <w:szCs w:val="20"/>
        </w:rPr>
      </w:pPr>
    </w:p>
    <w:p w14:paraId="0BFF5371" w14:textId="77777777" w:rsidR="00BF4CC1" w:rsidRPr="009B4A78" w:rsidRDefault="00BF4CC1" w:rsidP="00984F70">
      <w:pPr>
        <w:rPr>
          <w:rFonts w:ascii="Arial" w:eastAsia="Times New Roman" w:hAnsi="Arial" w:cs="Arial"/>
          <w:sz w:val="20"/>
          <w:szCs w:val="20"/>
        </w:rPr>
      </w:pPr>
    </w:p>
    <w:p w14:paraId="5D30CED8" w14:textId="77777777" w:rsidR="00BF4CC1" w:rsidRPr="009B4A78" w:rsidRDefault="00BF4CC1" w:rsidP="00984F70">
      <w:pPr>
        <w:ind w:left="1985" w:hanging="1985"/>
        <w:jc w:val="both"/>
        <w:rPr>
          <w:rFonts w:ascii="Arial" w:eastAsia="Times New Roman" w:hAnsi="Arial" w:cs="Arial"/>
        </w:rPr>
      </w:pPr>
      <w:r w:rsidRPr="009B4A78">
        <w:rPr>
          <w:rFonts w:ascii="Arial" w:eastAsia="Times New Roman" w:hAnsi="Arial" w:cs="Arial"/>
        </w:rPr>
        <w:t>PLANNING CONTEXT</w:t>
      </w:r>
    </w:p>
    <w:p w14:paraId="347C2889" w14:textId="77777777" w:rsidR="00BF4CC1" w:rsidRPr="009B4A78" w:rsidRDefault="00BF4CC1" w:rsidP="00984F70">
      <w:pPr>
        <w:rPr>
          <w:rFonts w:ascii="Arial" w:eastAsia="Times New Roman" w:hAnsi="Arial" w:cs="Arial"/>
          <w:sz w:val="20"/>
          <w:szCs w:val="20"/>
        </w:rPr>
      </w:pPr>
    </w:p>
    <w:p w14:paraId="1A2BD11C" w14:textId="77777777"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Access to technological information contained in patent information as well as science and technical journals has been recognized as being critically important to narrow the global knowledge gap.  Having made good progress in providing access to such information, an emerging need now consists of building the capacity in developing and least developed countries to utilize and analyze the information.</w:t>
      </w:r>
    </w:p>
    <w:p w14:paraId="1E01E1A3" w14:textId="77777777" w:rsidR="00BF4CC1" w:rsidRPr="009B4A78" w:rsidRDefault="00BF4CC1" w:rsidP="00984F70">
      <w:pPr>
        <w:jc w:val="both"/>
        <w:rPr>
          <w:rFonts w:ascii="Arial" w:eastAsia="Times New Roman" w:hAnsi="Arial" w:cs="Arial"/>
          <w:bCs/>
          <w:sz w:val="20"/>
          <w:szCs w:val="20"/>
        </w:rPr>
      </w:pPr>
    </w:p>
    <w:p w14:paraId="4939E21C" w14:textId="77777777" w:rsidR="00BF4CC1" w:rsidRPr="009B4A78" w:rsidRDefault="00BF4CC1" w:rsidP="00B66A4A">
      <w:pPr>
        <w:pStyle w:val="ListParagraph"/>
        <w:numPr>
          <w:ilvl w:val="0"/>
          <w:numId w:val="16"/>
        </w:numPr>
        <w:tabs>
          <w:tab w:val="clear" w:pos="825"/>
          <w:tab w:val="num" w:pos="683"/>
        </w:tabs>
        <w:ind w:left="0"/>
        <w:jc w:val="both"/>
        <w:rPr>
          <w:rFonts w:ascii="Arial" w:eastAsia="MS Mincho" w:hAnsi="Arial" w:cs="Arial"/>
          <w:sz w:val="20"/>
          <w:szCs w:val="20"/>
          <w:lang w:bidi="th-TH"/>
        </w:rPr>
      </w:pPr>
      <w:r w:rsidRPr="009B4A78">
        <w:rPr>
          <w:rFonts w:ascii="Arial" w:eastAsia="MS Mincho" w:hAnsi="Arial" w:cs="Arial"/>
          <w:sz w:val="20"/>
          <w:szCs w:val="20"/>
          <w:lang w:bidi="th-TH"/>
        </w:rPr>
        <w:t>The work of the Program is related to the DA recommendations aimed at enhanced access to and utilization of technology information and strengthening of IP institutions, namely Recommendations 1, 8, 10, 11, 19, 30 and 31.  In addition, the Program will coordinate closely with Member States, IGOs and NGOs for the development of compatible platforms, tools and infrastructure.</w:t>
      </w:r>
    </w:p>
    <w:p w14:paraId="4CA43958" w14:textId="77777777" w:rsidR="00BF4CC1" w:rsidRPr="009B4A78" w:rsidRDefault="00BF4CC1" w:rsidP="00984F70">
      <w:pPr>
        <w:pStyle w:val="ListParagraph"/>
        <w:ind w:left="0"/>
        <w:rPr>
          <w:rFonts w:ascii="Arial" w:eastAsia="MS Mincho" w:hAnsi="Arial" w:cs="Arial"/>
          <w:sz w:val="20"/>
          <w:szCs w:val="20"/>
          <w:lang w:bidi="th-TH"/>
        </w:rPr>
      </w:pPr>
    </w:p>
    <w:p w14:paraId="5338B165" w14:textId="77777777" w:rsidR="00BF4CC1" w:rsidRPr="009B4A78" w:rsidRDefault="00BF4CC1" w:rsidP="00984F70">
      <w:pPr>
        <w:tabs>
          <w:tab w:val="num" w:pos="709"/>
        </w:tabs>
        <w:jc w:val="both"/>
        <w:rPr>
          <w:rFonts w:ascii="Arial" w:eastAsia="Times New Roman" w:hAnsi="Arial" w:cs="Arial"/>
          <w:sz w:val="20"/>
          <w:szCs w:val="20"/>
        </w:rPr>
      </w:pPr>
    </w:p>
    <w:p w14:paraId="40FA5405" w14:textId="77777777" w:rsidR="00BF4CC1" w:rsidRPr="009B4A78" w:rsidRDefault="00BF4CC1" w:rsidP="00984F70">
      <w:pPr>
        <w:tabs>
          <w:tab w:val="num" w:pos="709"/>
        </w:tabs>
        <w:jc w:val="both"/>
        <w:rPr>
          <w:rFonts w:ascii="Arial" w:eastAsia="Times New Roman" w:hAnsi="Arial" w:cs="Arial"/>
          <w:bCs/>
        </w:rPr>
      </w:pPr>
      <w:r w:rsidRPr="009B4A78">
        <w:rPr>
          <w:rFonts w:ascii="Arial" w:eastAsia="Times New Roman" w:hAnsi="Arial" w:cs="Arial"/>
          <w:bCs/>
        </w:rPr>
        <w:t>IMPLEMENTATION STRATEGIES</w:t>
      </w:r>
    </w:p>
    <w:p w14:paraId="5E7625F9" w14:textId="77777777" w:rsidR="00BF4CC1" w:rsidRPr="009B4A78" w:rsidRDefault="00BF4CC1" w:rsidP="00984F70">
      <w:pPr>
        <w:tabs>
          <w:tab w:val="num" w:pos="709"/>
        </w:tabs>
        <w:jc w:val="both"/>
        <w:rPr>
          <w:rFonts w:ascii="Arial" w:eastAsia="Times New Roman" w:hAnsi="Arial" w:cs="Arial"/>
          <w:bCs/>
        </w:rPr>
      </w:pPr>
    </w:p>
    <w:p w14:paraId="759B9958" w14:textId="77777777"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The Program continues to facilitate access by least developed countries to commercially available patent and non-patent search tools and databases and to assist Member States in establishing institutional access points to high quality technology information services.  The Program will focus its efforts on sustaining Technology and Innovation Support Centers (TISCs) and enhancing their capacity for information analysis to support local home-grown innovation.</w:t>
      </w:r>
    </w:p>
    <w:p w14:paraId="6D56C7A4" w14:textId="77777777" w:rsidR="00BF4CC1" w:rsidRPr="009B4A78" w:rsidRDefault="00BF4CC1" w:rsidP="00984F70">
      <w:pPr>
        <w:tabs>
          <w:tab w:val="num" w:pos="709"/>
        </w:tabs>
        <w:jc w:val="both"/>
        <w:rPr>
          <w:rFonts w:ascii="Arial" w:eastAsia="Times New Roman" w:hAnsi="Arial" w:cs="Arial"/>
          <w:bCs/>
          <w:u w:val="single"/>
        </w:rPr>
      </w:pPr>
    </w:p>
    <w:p w14:paraId="3535D664"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 xml:space="preserve">Providing access to commercial patent and scientific and technical information databases </w:t>
      </w:r>
    </w:p>
    <w:p w14:paraId="6D6E7EE3" w14:textId="77777777" w:rsidR="00BF4CC1" w:rsidRPr="009950B9" w:rsidRDefault="00BF4CC1" w:rsidP="00984F70">
      <w:pPr>
        <w:tabs>
          <w:tab w:val="num" w:pos="709"/>
        </w:tabs>
        <w:jc w:val="both"/>
        <w:rPr>
          <w:rFonts w:ascii="Arial" w:eastAsia="Times New Roman" w:hAnsi="Arial" w:cs="Arial"/>
          <w:bCs/>
          <w:sz w:val="20"/>
        </w:rPr>
      </w:pPr>
    </w:p>
    <w:p w14:paraId="4306AC06" w14:textId="77777777"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 xml:space="preserve">Free-of-charge or low-cost access to commercial patent and scientific and technical information databases will continue to be provided through the Access to Research for Development and Innovation (ARDI) and the Access to Specialized Patent Information (ASPI) programs.  Both programs enable IP Offices and academic and research institutions in over 100 eligible Member States to obtain free or low-cost access to over 20,000 peer-reviewed journals, books, reference works and sophisticated patent search and analysis tools, respectively.  ARDI will continue to be further integrated within the activities of the Research4Life (R4L) partnership, which includes WHO, FAO and UNEP, in particular as regards the technical back-office administration of the programs, communications, marketing and training. </w:t>
      </w:r>
    </w:p>
    <w:p w14:paraId="720228AF" w14:textId="77777777" w:rsidR="00BF4CC1" w:rsidRPr="009B4A78" w:rsidRDefault="00BF4CC1" w:rsidP="00984F70">
      <w:pPr>
        <w:tabs>
          <w:tab w:val="num" w:pos="709"/>
        </w:tabs>
        <w:jc w:val="both"/>
        <w:rPr>
          <w:rFonts w:ascii="Arial" w:eastAsia="Times New Roman" w:hAnsi="Arial" w:cs="Arial"/>
          <w:bCs/>
        </w:rPr>
      </w:pPr>
    </w:p>
    <w:p w14:paraId="57DFBEDA"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Developing effective and sustainable TISCs networks</w:t>
      </w:r>
    </w:p>
    <w:p w14:paraId="3DA9A602" w14:textId="77777777" w:rsidR="00BF4CC1" w:rsidRPr="009B4A78" w:rsidRDefault="00BF4CC1" w:rsidP="00984F70">
      <w:pPr>
        <w:tabs>
          <w:tab w:val="num" w:pos="709"/>
        </w:tabs>
        <w:jc w:val="both"/>
        <w:rPr>
          <w:rFonts w:ascii="Arial" w:eastAsia="Times New Roman" w:hAnsi="Arial" w:cs="Arial"/>
          <w:bCs/>
        </w:rPr>
      </w:pPr>
    </w:p>
    <w:p w14:paraId="30527B63" w14:textId="2FAE6E16"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 xml:space="preserve">While the previous two biennia aimed at the establishment of TISCs, efforts in 2016/17 will increasingly focus on supporting and reinforcing their long-term sustainability and effectiveness of their services.  Support will in particular include: </w:t>
      </w:r>
      <w:r w:rsidR="005C2A6F">
        <w:rPr>
          <w:rFonts w:ascii="Arial" w:eastAsia="Times New Roman" w:hAnsi="Arial" w:cs="Arial"/>
          <w:bCs/>
          <w:sz w:val="20"/>
          <w:szCs w:val="20"/>
        </w:rPr>
        <w:t xml:space="preserve">making available </w:t>
      </w:r>
      <w:r w:rsidRPr="009B4A78">
        <w:rPr>
          <w:rFonts w:ascii="Arial" w:eastAsia="Times New Roman" w:hAnsi="Arial" w:cs="Arial"/>
          <w:bCs/>
          <w:sz w:val="20"/>
          <w:szCs w:val="20"/>
        </w:rPr>
        <w:t xml:space="preserve">a greater variety of onsite and online training of trainers programs for TISC staff; developing further the interactive e-tutorial on using and exploiting patent information; </w:t>
      </w:r>
      <w:r w:rsidR="005C2A6F" w:rsidRPr="009B4A78">
        <w:rPr>
          <w:rFonts w:ascii="Arial" w:eastAsia="Times New Roman" w:hAnsi="Arial" w:cs="Arial"/>
          <w:bCs/>
          <w:sz w:val="20"/>
          <w:szCs w:val="20"/>
        </w:rPr>
        <w:t>encourag</w:t>
      </w:r>
      <w:r w:rsidR="005C2A6F">
        <w:rPr>
          <w:rFonts w:ascii="Arial" w:eastAsia="Times New Roman" w:hAnsi="Arial" w:cs="Arial"/>
          <w:bCs/>
          <w:sz w:val="20"/>
          <w:szCs w:val="20"/>
        </w:rPr>
        <w:t>ing</w:t>
      </w:r>
      <w:r w:rsidR="005C2A6F" w:rsidRPr="009B4A78">
        <w:rPr>
          <w:rFonts w:ascii="Arial" w:eastAsia="Times New Roman" w:hAnsi="Arial" w:cs="Arial"/>
          <w:bCs/>
          <w:sz w:val="20"/>
          <w:szCs w:val="20"/>
        </w:rPr>
        <w:t xml:space="preserve"> </w:t>
      </w:r>
      <w:r w:rsidRPr="009B4A78">
        <w:rPr>
          <w:rFonts w:ascii="Arial" w:eastAsia="Times New Roman" w:hAnsi="Arial" w:cs="Arial"/>
          <w:bCs/>
          <w:sz w:val="20"/>
          <w:szCs w:val="20"/>
        </w:rPr>
        <w:t xml:space="preserve">networking and knowledge sharing through the </w:t>
      </w:r>
      <w:proofErr w:type="spellStart"/>
      <w:r w:rsidRPr="009B4A78">
        <w:rPr>
          <w:rFonts w:ascii="Arial" w:eastAsia="Times New Roman" w:hAnsi="Arial" w:cs="Arial"/>
          <w:bCs/>
          <w:sz w:val="20"/>
          <w:szCs w:val="20"/>
        </w:rPr>
        <w:t>eTISC</w:t>
      </w:r>
      <w:proofErr w:type="spellEnd"/>
      <w:r w:rsidRPr="009B4A78">
        <w:rPr>
          <w:rFonts w:ascii="Arial" w:eastAsia="Times New Roman" w:hAnsi="Arial" w:cs="Arial"/>
          <w:bCs/>
          <w:sz w:val="20"/>
          <w:szCs w:val="20"/>
        </w:rPr>
        <w:t xml:space="preserve"> platform and development of regional TISC networks and platforms; conduct</w:t>
      </w:r>
      <w:r w:rsidR="005C2A6F">
        <w:rPr>
          <w:rFonts w:ascii="Arial" w:eastAsia="Times New Roman" w:hAnsi="Arial" w:cs="Arial"/>
          <w:bCs/>
          <w:sz w:val="20"/>
          <w:szCs w:val="20"/>
        </w:rPr>
        <w:t>ing</w:t>
      </w:r>
      <w:r w:rsidRPr="009B4A78">
        <w:rPr>
          <w:rFonts w:ascii="Arial" w:eastAsia="Times New Roman" w:hAnsi="Arial" w:cs="Arial"/>
          <w:bCs/>
          <w:sz w:val="20"/>
          <w:szCs w:val="20"/>
        </w:rPr>
        <w:t xml:space="preserve"> sustainability assessments</w:t>
      </w:r>
      <w:r w:rsidR="005C2A6F">
        <w:rPr>
          <w:rFonts w:ascii="Arial" w:eastAsia="Times New Roman" w:hAnsi="Arial" w:cs="Arial"/>
          <w:bCs/>
          <w:sz w:val="20"/>
          <w:szCs w:val="20"/>
        </w:rPr>
        <w:t xml:space="preserve"> on a continuous basis</w:t>
      </w:r>
      <w:r w:rsidRPr="009B4A78">
        <w:rPr>
          <w:rFonts w:ascii="Arial" w:eastAsia="Times New Roman" w:hAnsi="Arial" w:cs="Arial"/>
          <w:bCs/>
          <w:sz w:val="20"/>
          <w:szCs w:val="20"/>
        </w:rPr>
        <w:t>;  and sharing “success stories” on concrete results achieved by TISCs through the services they offer.</w:t>
      </w:r>
    </w:p>
    <w:p w14:paraId="67544494" w14:textId="77777777" w:rsidR="00BF4CC1" w:rsidRPr="009B4A78" w:rsidRDefault="00BF4CC1" w:rsidP="00984F70">
      <w:pPr>
        <w:tabs>
          <w:tab w:val="num" w:pos="709"/>
        </w:tabs>
        <w:jc w:val="both"/>
        <w:rPr>
          <w:rFonts w:ascii="Arial" w:eastAsia="Times New Roman" w:hAnsi="Arial" w:cs="Arial"/>
          <w:bCs/>
        </w:rPr>
      </w:pPr>
    </w:p>
    <w:p w14:paraId="26D7C3C6"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 xml:space="preserve">Enhancement of value-added services  </w:t>
      </w:r>
    </w:p>
    <w:p w14:paraId="3E7E4CE2" w14:textId="77777777" w:rsidR="00BF4CC1" w:rsidRPr="009950B9" w:rsidRDefault="00BF4CC1" w:rsidP="00984F70">
      <w:pPr>
        <w:tabs>
          <w:tab w:val="num" w:pos="709"/>
        </w:tabs>
        <w:jc w:val="both"/>
        <w:rPr>
          <w:rFonts w:ascii="Arial" w:eastAsia="Times New Roman" w:hAnsi="Arial" w:cs="Arial"/>
          <w:bCs/>
          <w:sz w:val="20"/>
        </w:rPr>
      </w:pPr>
    </w:p>
    <w:p w14:paraId="0E585EA9" w14:textId="77777777" w:rsidR="00BF4CC1" w:rsidRPr="009B4A7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TISCs services will be further enhanced, taking into account demands from users for a broader range of value-added services such as patent information analysis.  Support will allow TISCs to provide users with value-added services such as: state-of-the-art search provided to date by the WIPO Patent Information Services; and patent landscape reports (PLRs) through the use of WIPO’s guidelines for patent information analytics (</w:t>
      </w:r>
      <w:r w:rsidRPr="009B4A78">
        <w:rPr>
          <w:rFonts w:ascii="Arial" w:eastAsia="Times New Roman" w:hAnsi="Arial" w:cs="Arial"/>
          <w:bCs/>
          <w:sz w:val="20"/>
          <w:szCs w:val="20"/>
          <w:lang w:val="en-GB"/>
        </w:rPr>
        <w:t>“Guidelines for Preparing Patent Landscape Reports” and the “Manual on Open Source Patent Analytics Tools”).</w:t>
      </w:r>
      <w:r w:rsidRPr="009B4A78">
        <w:rPr>
          <w:rFonts w:ascii="Arial" w:eastAsia="Times New Roman" w:hAnsi="Arial" w:cs="Arial"/>
          <w:bCs/>
          <w:sz w:val="20"/>
          <w:szCs w:val="20"/>
        </w:rPr>
        <w:t xml:space="preserve">  To address demands for advice on IP asset management and commercialization, TISCs services will also launch two projects: WIPO’s portal of available national patent legal status databases; and the “TISC Clinic” which will allow eligible local inventors to submit an invention for a state-of-the-art search carried out by a TISC and receive advice from a pro bono attorney on how best to gain value from the invention, including possible patent filing and subsequent business related aspects.  </w:t>
      </w:r>
    </w:p>
    <w:p w14:paraId="6F3423BA" w14:textId="77777777" w:rsidR="00BF4CC1" w:rsidRPr="009B4A78" w:rsidRDefault="00BF4CC1" w:rsidP="00984F70">
      <w:pPr>
        <w:jc w:val="both"/>
        <w:rPr>
          <w:rFonts w:ascii="Arial" w:eastAsia="Times New Roman" w:hAnsi="Arial" w:cs="Arial"/>
          <w:bCs/>
          <w:sz w:val="20"/>
          <w:szCs w:val="20"/>
        </w:rPr>
      </w:pPr>
    </w:p>
    <w:p w14:paraId="41E8AAD9" w14:textId="77777777" w:rsidR="007A5A68" w:rsidRDefault="00BF4CC1" w:rsidP="00B66A4A">
      <w:pPr>
        <w:numPr>
          <w:ilvl w:val="0"/>
          <w:numId w:val="16"/>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In coordination with Program 13 (Global Databases) and 15 (Business Solutions for IP offices), the Program will continue to assist developing countries in creating digital and machine-readable full text and legal status information of patents through partnerships programs such as LATIPAT (a regional database for Latin American countries) and ARABPAT (a regional database for certain Arab countries).</w:t>
      </w:r>
    </w:p>
    <w:p w14:paraId="105DE853" w14:textId="77777777" w:rsidR="007A5A68" w:rsidRDefault="007A5A68" w:rsidP="00FB68E0">
      <w:pPr>
        <w:pStyle w:val="ListParagraph"/>
        <w:rPr>
          <w:rFonts w:ascii="Arial" w:eastAsia="Times New Roman" w:hAnsi="Arial" w:cs="Arial"/>
          <w:bCs/>
          <w:sz w:val="20"/>
          <w:szCs w:val="20"/>
        </w:rPr>
      </w:pPr>
    </w:p>
    <w:p w14:paraId="7DA67B96" w14:textId="76E0159C" w:rsidR="007A5A68" w:rsidRPr="00FB68E0" w:rsidRDefault="007A5A68" w:rsidP="00B66A4A">
      <w:pPr>
        <w:numPr>
          <w:ilvl w:val="0"/>
          <w:numId w:val="16"/>
        </w:numPr>
        <w:tabs>
          <w:tab w:val="clear" w:pos="825"/>
        </w:tabs>
        <w:ind w:left="0"/>
        <w:jc w:val="both"/>
        <w:rPr>
          <w:rFonts w:ascii="Arial" w:eastAsia="Times New Roman" w:hAnsi="Arial" w:cs="Arial"/>
          <w:bCs/>
          <w:sz w:val="20"/>
          <w:szCs w:val="20"/>
        </w:rPr>
      </w:pPr>
      <w:r w:rsidRPr="00FB68E0">
        <w:rPr>
          <w:rFonts w:ascii="Arial" w:eastAsia="Times New Roman" w:hAnsi="Arial" w:cs="Arial"/>
          <w:bCs/>
          <w:sz w:val="20"/>
          <w:szCs w:val="20"/>
        </w:rPr>
        <w:t xml:space="preserve">Program 14 collaborates primarily with other Programs as illustrated below: </w:t>
      </w:r>
    </w:p>
    <w:p w14:paraId="3E4B8876" w14:textId="1A5CFDF9" w:rsidR="00BF4CC1" w:rsidRPr="009B4A78" w:rsidRDefault="00BF4CC1" w:rsidP="00FB68E0">
      <w:pPr>
        <w:jc w:val="both"/>
        <w:rPr>
          <w:rFonts w:ascii="Arial" w:eastAsia="Times New Roman" w:hAnsi="Arial" w:cs="Arial"/>
          <w:bCs/>
          <w:sz w:val="20"/>
          <w:szCs w:val="20"/>
        </w:rPr>
      </w:pPr>
    </w:p>
    <w:p w14:paraId="72BEF44D" w14:textId="77777777" w:rsidR="00BF4CC1" w:rsidRPr="009B4A78" w:rsidRDefault="00BF4CC1" w:rsidP="00984F70">
      <w:pPr>
        <w:ind w:left="142"/>
        <w:jc w:val="both"/>
        <w:rPr>
          <w:rFonts w:ascii="Arial" w:eastAsia="Times New Roman" w:hAnsi="Arial" w:cs="Arial"/>
          <w:bCs/>
          <w:sz w:val="20"/>
          <w:szCs w:val="20"/>
        </w:rPr>
      </w:pPr>
    </w:p>
    <w:p w14:paraId="22AF1B38" w14:textId="77777777" w:rsidR="00BF4CC1" w:rsidRPr="009B4A78" w:rsidRDefault="00BF4CC1" w:rsidP="00984F70">
      <w:pPr>
        <w:ind w:left="142"/>
        <w:jc w:val="both"/>
        <w:rPr>
          <w:rFonts w:ascii="Arial" w:eastAsia="Times New Roman" w:hAnsi="Arial" w:cs="Arial"/>
          <w:bCs/>
        </w:rPr>
      </w:pPr>
      <w:r w:rsidRPr="009B4A78">
        <w:rPr>
          <w:rFonts w:ascii="Arial" w:eastAsia="Times New Roman" w:hAnsi="Arial" w:cs="Arial"/>
          <w:noProof/>
          <w:szCs w:val="20"/>
          <w:lang w:eastAsia="en-US"/>
        </w:rPr>
        <w:drawing>
          <wp:inline distT="0" distB="0" distL="0" distR="0" wp14:anchorId="6C6560A3" wp14:editId="083950CB">
            <wp:extent cx="5943600" cy="1898650"/>
            <wp:effectExtent l="0" t="0" r="5715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32B406BD" w14:textId="77777777" w:rsidR="00BF4CC1" w:rsidRPr="009B4A78" w:rsidRDefault="00BF4CC1" w:rsidP="00984F70">
      <w:pPr>
        <w:ind w:left="142"/>
        <w:jc w:val="both"/>
        <w:rPr>
          <w:rFonts w:ascii="Arial" w:eastAsia="Times New Roman" w:hAnsi="Arial" w:cs="Arial"/>
          <w:bCs/>
        </w:rPr>
      </w:pPr>
    </w:p>
    <w:p w14:paraId="3F7360DE" w14:textId="77777777" w:rsidR="00BF4CC1" w:rsidRPr="009B4A78" w:rsidRDefault="00BF4CC1" w:rsidP="00984F70">
      <w:pPr>
        <w:ind w:left="142"/>
        <w:jc w:val="both"/>
        <w:rPr>
          <w:rFonts w:ascii="Arial" w:eastAsia="Times New Roman" w:hAnsi="Arial" w:cs="Arial"/>
          <w:bCs/>
        </w:rPr>
      </w:pPr>
    </w:p>
    <w:p w14:paraId="4858072E" w14:textId="77777777" w:rsidR="00BF4CC1" w:rsidRPr="009B4A78" w:rsidRDefault="00BF4CC1" w:rsidP="00984F70">
      <w:pPr>
        <w:jc w:val="both"/>
        <w:rPr>
          <w:rFonts w:ascii="Arial" w:eastAsia="Times New Roman" w:hAnsi="Arial" w:cs="Arial"/>
          <w:bCs/>
        </w:rPr>
      </w:pPr>
      <w:r w:rsidRPr="009B4A78">
        <w:rPr>
          <w:rFonts w:ascii="Arial" w:eastAsia="Times New Roman" w:hAnsi="Arial" w:cs="Arial"/>
          <w:bCs/>
        </w:rPr>
        <w:t>MAJOR RISKS AND MITIGATION STRATEGIES</w:t>
      </w:r>
    </w:p>
    <w:p w14:paraId="74184414" w14:textId="77777777" w:rsidR="00BF4CC1" w:rsidRPr="009B4A78" w:rsidRDefault="00BF4CC1" w:rsidP="00984F70">
      <w:pPr>
        <w:keepNext/>
        <w:keepLines/>
        <w:rPr>
          <w:rFonts w:ascii="Arial" w:eastAsia="Times New Roman" w:hAnsi="Arial" w:cs="Arial"/>
          <w:sz w:val="20"/>
          <w:szCs w:val="20"/>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819"/>
      </w:tblGrid>
      <w:tr w:rsidR="00BF4CC1" w:rsidRPr="009B4A78" w14:paraId="5E93D46C" w14:textId="77777777" w:rsidTr="00FB68E0">
        <w:trPr>
          <w:trHeight w:val="459"/>
        </w:trPr>
        <w:tc>
          <w:tcPr>
            <w:tcW w:w="4253" w:type="dxa"/>
            <w:tcBorders>
              <w:top w:val="single" w:sz="4" w:space="0" w:color="auto"/>
              <w:bottom w:val="single" w:sz="4" w:space="0" w:color="auto"/>
            </w:tcBorders>
            <w:shd w:val="clear" w:color="auto" w:fill="C6D9F1" w:themeFill="text2" w:themeFillTint="33"/>
            <w:vAlign w:val="center"/>
          </w:tcPr>
          <w:p w14:paraId="61F8A155" w14:textId="77777777" w:rsidR="00BF4CC1" w:rsidRPr="009B4A78" w:rsidRDefault="00BF4CC1" w:rsidP="00984F70">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4819" w:type="dxa"/>
            <w:tcBorders>
              <w:top w:val="single" w:sz="4" w:space="0" w:color="auto"/>
              <w:bottom w:val="single" w:sz="4" w:space="0" w:color="auto"/>
            </w:tcBorders>
            <w:shd w:val="clear" w:color="auto" w:fill="C6D9F1" w:themeFill="text2" w:themeFillTint="33"/>
            <w:vAlign w:val="center"/>
          </w:tcPr>
          <w:p w14:paraId="1A5233A4" w14:textId="77777777" w:rsidR="00BF4CC1" w:rsidRPr="009B4A78" w:rsidRDefault="00BF4CC1" w:rsidP="00984F70">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BF4CC1" w:rsidRPr="009B4A78" w14:paraId="3DEBD31C" w14:textId="77777777" w:rsidTr="00FB68E0">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684915C3" w14:textId="77777777" w:rsidR="00BF4CC1" w:rsidRPr="009B4A78" w:rsidRDefault="00BF4CC1" w:rsidP="00984F70">
            <w:pPr>
              <w:rPr>
                <w:rFonts w:ascii="Arial" w:eastAsia="Times New Roman" w:hAnsi="Arial" w:cs="Arial"/>
                <w:sz w:val="16"/>
                <w:szCs w:val="20"/>
              </w:rPr>
            </w:pPr>
            <w:r w:rsidRPr="009B4A78">
              <w:rPr>
                <w:rFonts w:ascii="Arial" w:eastAsia="Times New Roman" w:hAnsi="Arial" w:cs="Arial"/>
                <w:color w:val="000000"/>
                <w:sz w:val="16"/>
                <w:szCs w:val="20"/>
              </w:rPr>
              <w:t>Inability of the host country to sustain and continue self-supporting operation of TISC network.  This could lead to closure of certain TISC centers.</w:t>
            </w:r>
          </w:p>
        </w:tc>
        <w:tc>
          <w:tcPr>
            <w:tcW w:w="4819"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6D4D492" w14:textId="77777777" w:rsidR="00BF4CC1" w:rsidRPr="009B4A78" w:rsidRDefault="00BF4CC1" w:rsidP="00984F70">
            <w:pPr>
              <w:rPr>
                <w:rFonts w:ascii="Arial" w:eastAsia="Times New Roman" w:hAnsi="Arial" w:cs="Arial"/>
                <w:sz w:val="16"/>
                <w:szCs w:val="20"/>
              </w:rPr>
            </w:pPr>
            <w:r w:rsidRPr="009B4A78">
              <w:rPr>
                <w:rFonts w:ascii="Arial" w:eastAsia="Times New Roman" w:hAnsi="Arial" w:cs="Arial"/>
                <w:color w:val="000000"/>
                <w:sz w:val="16"/>
                <w:szCs w:val="20"/>
              </w:rPr>
              <w:t>Greater involvement with host countries in the planning and implementation of the TISC project</w:t>
            </w:r>
          </w:p>
        </w:tc>
      </w:tr>
    </w:tbl>
    <w:p w14:paraId="1B0EAC7F" w14:textId="77777777" w:rsidR="00BF4CC1" w:rsidRPr="009B4A78" w:rsidRDefault="00BF4CC1" w:rsidP="00984F70">
      <w:pPr>
        <w:rPr>
          <w:rFonts w:ascii="Arial" w:eastAsia="Times New Roman" w:hAnsi="Arial" w:cs="Arial"/>
        </w:rPr>
      </w:pPr>
    </w:p>
    <w:p w14:paraId="1CFC3704" w14:textId="77777777" w:rsidR="00BF4CC1" w:rsidRPr="009B4A78" w:rsidRDefault="00BF4CC1" w:rsidP="00984F70">
      <w:pPr>
        <w:rPr>
          <w:rFonts w:ascii="Arial" w:eastAsia="Times New Roman" w:hAnsi="Arial" w:cs="Arial"/>
        </w:rPr>
      </w:pPr>
    </w:p>
    <w:p w14:paraId="12D754BF" w14:textId="77777777" w:rsidR="00BF4CC1" w:rsidRPr="009B4A78" w:rsidRDefault="00BF4CC1" w:rsidP="00984F70">
      <w:pPr>
        <w:tabs>
          <w:tab w:val="left" w:pos="567"/>
          <w:tab w:val="left" w:pos="1985"/>
        </w:tabs>
        <w:jc w:val="both"/>
        <w:rPr>
          <w:rFonts w:ascii="Arial" w:eastAsia="Times New Roman" w:hAnsi="Arial" w:cs="Arial"/>
        </w:rPr>
      </w:pPr>
      <w:r w:rsidRPr="009B4A78">
        <w:rPr>
          <w:rFonts w:ascii="Arial" w:eastAsia="Times New Roman" w:hAnsi="Arial" w:cs="Arial"/>
          <w:bCs/>
        </w:rPr>
        <w:t>RESULTS FRAMEWORK</w:t>
      </w:r>
    </w:p>
    <w:p w14:paraId="69DAD104" w14:textId="77777777" w:rsidR="00BF4CC1" w:rsidRPr="009B4A78" w:rsidRDefault="00BF4CC1" w:rsidP="00984F70">
      <w:pPr>
        <w:tabs>
          <w:tab w:val="left" w:pos="567"/>
          <w:tab w:val="left" w:pos="1985"/>
        </w:tabs>
        <w:jc w:val="both"/>
        <w:rPr>
          <w:rFonts w:ascii="Arial" w:eastAsia="Times New Roman" w:hAnsi="Arial" w:cs="Arial"/>
        </w:rPr>
      </w:pPr>
    </w:p>
    <w:tbl>
      <w:tblPr>
        <w:tblW w:w="9229" w:type="dxa"/>
        <w:tblInd w:w="93" w:type="dxa"/>
        <w:tblLook w:val="04A0" w:firstRow="1" w:lastRow="0" w:firstColumn="1" w:lastColumn="0" w:noHBand="0" w:noVBand="1"/>
      </w:tblPr>
      <w:tblGrid>
        <w:gridCol w:w="2380"/>
        <w:gridCol w:w="2200"/>
        <w:gridCol w:w="2560"/>
        <w:gridCol w:w="2089"/>
      </w:tblGrid>
      <w:tr w:rsidR="00BF4CC1" w:rsidRPr="009B4A78" w14:paraId="2ACCC8E7" w14:textId="77777777" w:rsidTr="009950B9">
        <w:trPr>
          <w:trHeight w:val="465"/>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0A91780C"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20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09B725ED" w14:textId="77777777" w:rsidR="00BF4CC1" w:rsidRPr="009B4A78" w:rsidRDefault="00BF4CC1" w:rsidP="00984F70">
            <w:pPr>
              <w:ind w:hanging="63"/>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236A61A"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08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58F0558"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BF4CC1" w:rsidRPr="009B4A78" w14:paraId="1DEC1401" w14:textId="77777777" w:rsidTr="009950B9">
        <w:trPr>
          <w:trHeight w:val="1971"/>
        </w:trPr>
        <w:tc>
          <w:tcPr>
            <w:tcW w:w="2380" w:type="dxa"/>
            <w:vMerge w:val="restart"/>
            <w:tcBorders>
              <w:top w:val="single" w:sz="4" w:space="0" w:color="auto"/>
              <w:left w:val="single" w:sz="4" w:space="0" w:color="auto"/>
              <w:bottom w:val="single" w:sz="4" w:space="0" w:color="auto"/>
              <w:right w:val="nil"/>
            </w:tcBorders>
            <w:shd w:val="clear" w:color="000000" w:fill="FFFFFF"/>
            <w:tcMar>
              <w:top w:w="85" w:type="dxa"/>
            </w:tcMar>
            <w:hideMark/>
          </w:tcPr>
          <w:p w14:paraId="5117053B" w14:textId="77777777" w:rsidR="007979F6" w:rsidRDefault="007979F6" w:rsidP="00984F70">
            <w:pPr>
              <w:rPr>
                <w:rFonts w:ascii="Arial" w:eastAsia="Times New Roman" w:hAnsi="Arial" w:cs="Arial"/>
                <w:color w:val="000000"/>
                <w:sz w:val="16"/>
                <w:szCs w:val="16"/>
              </w:rPr>
            </w:pPr>
          </w:p>
          <w:p w14:paraId="0D4407C9" w14:textId="77777777" w:rsidR="00BF4CC1" w:rsidRPr="009B4A78" w:rsidRDefault="00BF4CC1" w:rsidP="00984F70">
            <w:pPr>
              <w:rPr>
                <w:rFonts w:ascii="Arial" w:eastAsia="Times New Roman" w:hAnsi="Arial" w:cs="Arial"/>
                <w:color w:val="000000"/>
                <w:sz w:val="16"/>
                <w:szCs w:val="16"/>
              </w:rPr>
            </w:pPr>
            <w:r w:rsidRPr="009B4A78">
              <w:rPr>
                <w:rFonts w:ascii="Arial" w:eastAsia="Times New Roman" w:hAnsi="Arial" w:cs="Arial"/>
                <w:color w:val="000000"/>
                <w:sz w:val="16"/>
                <w:szCs w:val="16"/>
              </w:rPr>
              <w:t>IV.2 Enhanced access to, and use of, IP information by IP institutions and the public to promote innovation and creativity</w:t>
            </w:r>
          </w:p>
        </w:tc>
        <w:tc>
          <w:tcPr>
            <w:tcW w:w="2200" w:type="dxa"/>
            <w:tcBorders>
              <w:top w:val="single" w:sz="4" w:space="0" w:color="auto"/>
              <w:left w:val="nil"/>
              <w:right w:val="nil"/>
            </w:tcBorders>
            <w:shd w:val="clear" w:color="000000" w:fill="FFFFFF"/>
            <w:tcMar>
              <w:top w:w="85" w:type="dxa"/>
            </w:tcMar>
            <w:hideMark/>
          </w:tcPr>
          <w:p w14:paraId="7B3077B4" w14:textId="77777777" w:rsidR="007979F6" w:rsidRDefault="007979F6" w:rsidP="00984F70">
            <w:pPr>
              <w:ind w:left="221"/>
              <w:rPr>
                <w:rFonts w:ascii="Arial" w:eastAsia="Times New Roman" w:hAnsi="Arial" w:cs="Arial"/>
                <w:color w:val="000000"/>
                <w:sz w:val="16"/>
                <w:szCs w:val="16"/>
              </w:rPr>
            </w:pPr>
          </w:p>
          <w:p w14:paraId="3F37D0A9" w14:textId="309DC8BF" w:rsidR="008E568A" w:rsidRDefault="00BF4CC1" w:rsidP="00C53E9A">
            <w:pPr>
              <w:ind w:left="79"/>
              <w:rPr>
                <w:rFonts w:ascii="Arial" w:eastAsia="Times New Roman" w:hAnsi="Arial" w:cs="Arial"/>
                <w:color w:val="000000"/>
                <w:sz w:val="16"/>
                <w:szCs w:val="16"/>
              </w:rPr>
            </w:pPr>
            <w:r w:rsidRPr="009B4A78">
              <w:rPr>
                <w:rFonts w:ascii="Arial" w:eastAsia="Times New Roman" w:hAnsi="Arial" w:cs="Arial"/>
                <w:color w:val="000000"/>
                <w:sz w:val="16"/>
                <w:szCs w:val="16"/>
              </w:rPr>
              <w:t>No. of sustainable</w:t>
            </w:r>
            <w:r w:rsidR="00B46E15">
              <w:rPr>
                <w:rStyle w:val="FootnoteReference"/>
                <w:rFonts w:ascii="Arial" w:eastAsia="Times New Roman" w:hAnsi="Arial" w:cs="Arial"/>
                <w:color w:val="000000"/>
                <w:sz w:val="16"/>
                <w:szCs w:val="16"/>
              </w:rPr>
              <w:footnoteReference w:id="21"/>
            </w:r>
            <w:r w:rsidRPr="009B4A78">
              <w:rPr>
                <w:rFonts w:ascii="Arial" w:eastAsia="Times New Roman" w:hAnsi="Arial" w:cs="Arial"/>
                <w:color w:val="000000"/>
                <w:sz w:val="16"/>
                <w:szCs w:val="16"/>
              </w:rPr>
              <w:t xml:space="preserve"> national </w:t>
            </w:r>
            <w:r w:rsidR="008E568A">
              <w:rPr>
                <w:rFonts w:ascii="Arial" w:eastAsia="Times New Roman" w:hAnsi="Arial" w:cs="Arial"/>
                <w:color w:val="000000"/>
                <w:sz w:val="16"/>
                <w:szCs w:val="16"/>
              </w:rPr>
              <w:t xml:space="preserve">TISCs </w:t>
            </w:r>
            <w:r w:rsidRPr="009B4A78">
              <w:rPr>
                <w:rFonts w:ascii="Arial" w:eastAsia="Times New Roman" w:hAnsi="Arial" w:cs="Arial"/>
                <w:color w:val="000000"/>
                <w:sz w:val="16"/>
                <w:szCs w:val="16"/>
              </w:rPr>
              <w:t xml:space="preserve">networks </w:t>
            </w:r>
          </w:p>
          <w:p w14:paraId="05EB5089" w14:textId="7C87FE50" w:rsidR="00BF4CC1" w:rsidRPr="009B4A78" w:rsidRDefault="008E568A" w:rsidP="00C53E9A">
            <w:pPr>
              <w:ind w:left="79"/>
              <w:rPr>
                <w:rFonts w:ascii="Arial" w:eastAsia="Times New Roman" w:hAnsi="Arial" w:cs="Arial"/>
                <w:color w:val="000000"/>
                <w:sz w:val="16"/>
                <w:szCs w:val="16"/>
              </w:rPr>
            </w:pPr>
            <w:r>
              <w:rPr>
                <w:rFonts w:ascii="Arial" w:eastAsia="Times New Roman" w:hAnsi="Arial" w:cs="Arial"/>
                <w:color w:val="000000"/>
                <w:sz w:val="16"/>
                <w:szCs w:val="16"/>
              </w:rPr>
              <w:t>(numbers cumulative)</w:t>
            </w:r>
          </w:p>
        </w:tc>
        <w:tc>
          <w:tcPr>
            <w:tcW w:w="2560" w:type="dxa"/>
            <w:tcBorders>
              <w:top w:val="single" w:sz="4" w:space="0" w:color="auto"/>
              <w:left w:val="nil"/>
              <w:right w:val="nil"/>
            </w:tcBorders>
            <w:shd w:val="clear" w:color="000000" w:fill="FFFFFF"/>
            <w:tcMar>
              <w:top w:w="85" w:type="dxa"/>
            </w:tcMar>
            <w:hideMark/>
          </w:tcPr>
          <w:p w14:paraId="0D6D3B57" w14:textId="77777777" w:rsidR="007979F6" w:rsidRDefault="007979F6" w:rsidP="008D4CE9">
            <w:pPr>
              <w:ind w:left="5" w:firstLineChars="19" w:firstLine="30"/>
              <w:rPr>
                <w:rFonts w:ascii="Arial" w:eastAsia="Times New Roman" w:hAnsi="Arial" w:cs="Arial"/>
                <w:color w:val="000000"/>
                <w:sz w:val="16"/>
                <w:szCs w:val="16"/>
              </w:rPr>
            </w:pPr>
          </w:p>
          <w:p w14:paraId="2F7D592F" w14:textId="77777777" w:rsidR="00BF4CC1" w:rsidRPr="009B4A78" w:rsidRDefault="00BF4CC1" w:rsidP="008D4CE9">
            <w:pPr>
              <w:ind w:left="5" w:firstLineChars="19" w:firstLine="30"/>
              <w:rPr>
                <w:rFonts w:ascii="Arial" w:eastAsia="Times New Roman" w:hAnsi="Arial" w:cs="Arial"/>
                <w:color w:val="000000"/>
                <w:sz w:val="16"/>
                <w:szCs w:val="16"/>
              </w:rPr>
            </w:pPr>
            <w:r w:rsidRPr="009B4A78">
              <w:rPr>
                <w:rFonts w:ascii="Arial" w:eastAsia="Times New Roman" w:hAnsi="Arial" w:cs="Arial"/>
                <w:color w:val="000000"/>
                <w:sz w:val="16"/>
                <w:szCs w:val="16"/>
              </w:rPr>
              <w:t>20 sustainable national TISC networks out of 45 established (cumulative):  Africa (9 of which 6 LDCs); Arab region (2); Asia and Pacific (3 of which 1 LDC);  Latin America and the Caribbean (5); Certain Countries in Europe and Asia (1)</w:t>
            </w:r>
          </w:p>
        </w:tc>
        <w:tc>
          <w:tcPr>
            <w:tcW w:w="2089" w:type="dxa"/>
            <w:tcBorders>
              <w:top w:val="single" w:sz="4" w:space="0" w:color="auto"/>
              <w:left w:val="nil"/>
              <w:right w:val="single" w:sz="4" w:space="0" w:color="auto"/>
            </w:tcBorders>
            <w:shd w:val="clear" w:color="000000" w:fill="FFFFFF"/>
            <w:tcMar>
              <w:top w:w="85" w:type="dxa"/>
            </w:tcMar>
            <w:hideMark/>
          </w:tcPr>
          <w:p w14:paraId="328A3154" w14:textId="77777777" w:rsidR="007979F6" w:rsidRDefault="007979F6" w:rsidP="00984F70">
            <w:pPr>
              <w:ind w:left="280" w:firstLineChars="25" w:firstLine="40"/>
              <w:rPr>
                <w:rFonts w:ascii="Arial" w:eastAsia="Times New Roman" w:hAnsi="Arial" w:cs="Arial"/>
                <w:color w:val="000000"/>
                <w:sz w:val="16"/>
                <w:szCs w:val="16"/>
              </w:rPr>
            </w:pPr>
          </w:p>
          <w:p w14:paraId="76D32980" w14:textId="77777777" w:rsidR="00BF4CC1" w:rsidRPr="009B4A78" w:rsidRDefault="00BF4CC1" w:rsidP="008D4CE9">
            <w:pPr>
              <w:ind w:left="-3"/>
              <w:rPr>
                <w:rFonts w:ascii="Arial" w:eastAsia="Times New Roman" w:hAnsi="Arial" w:cs="Arial"/>
                <w:color w:val="000000"/>
                <w:sz w:val="16"/>
                <w:szCs w:val="16"/>
              </w:rPr>
            </w:pPr>
            <w:r w:rsidRPr="009B4A78">
              <w:rPr>
                <w:rFonts w:ascii="Arial" w:eastAsia="Times New Roman" w:hAnsi="Arial" w:cs="Arial"/>
                <w:color w:val="000000"/>
                <w:sz w:val="16"/>
                <w:szCs w:val="16"/>
              </w:rPr>
              <w:t>30 national TISC networks (cumulative): Africa region (11 of which 8 LDCs); Arab region (4); Asia and the Pacific region (5 of which 2  LDCs); Latin America and the Caribbean region (7); Certain Countries in Europe and Asia (3)</w:t>
            </w:r>
          </w:p>
        </w:tc>
      </w:tr>
      <w:tr w:rsidR="00BF4CC1" w:rsidRPr="009B4A78" w14:paraId="58B46C2A" w14:textId="77777777" w:rsidTr="009950B9">
        <w:trPr>
          <w:trHeight w:val="633"/>
        </w:trPr>
        <w:tc>
          <w:tcPr>
            <w:tcW w:w="2380" w:type="dxa"/>
            <w:vMerge/>
            <w:tcBorders>
              <w:left w:val="single" w:sz="4" w:space="0" w:color="auto"/>
              <w:bottom w:val="single" w:sz="4" w:space="0" w:color="auto"/>
              <w:right w:val="nil"/>
            </w:tcBorders>
            <w:tcMar>
              <w:top w:w="85" w:type="dxa"/>
            </w:tcMar>
            <w:vAlign w:val="center"/>
            <w:hideMark/>
          </w:tcPr>
          <w:p w14:paraId="49207859" w14:textId="77777777" w:rsidR="00BF4CC1" w:rsidRPr="009B4A78" w:rsidRDefault="00BF4CC1" w:rsidP="00984F70">
            <w:pPr>
              <w:rPr>
                <w:rFonts w:ascii="Arial" w:eastAsia="Times New Roman" w:hAnsi="Arial" w:cs="Arial"/>
                <w:color w:val="000000"/>
                <w:sz w:val="16"/>
                <w:szCs w:val="16"/>
              </w:rPr>
            </w:pPr>
          </w:p>
        </w:tc>
        <w:tc>
          <w:tcPr>
            <w:tcW w:w="2200" w:type="dxa"/>
            <w:tcBorders>
              <w:left w:val="nil"/>
              <w:right w:val="nil"/>
            </w:tcBorders>
            <w:shd w:val="clear" w:color="000000" w:fill="FFFFFF"/>
            <w:tcMar>
              <w:top w:w="85" w:type="dxa"/>
            </w:tcMar>
            <w:hideMark/>
          </w:tcPr>
          <w:p w14:paraId="7DB5CB04"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Average no. of users serviced by TISCs per annum </w:t>
            </w:r>
          </w:p>
        </w:tc>
        <w:tc>
          <w:tcPr>
            <w:tcW w:w="2560" w:type="dxa"/>
            <w:tcBorders>
              <w:left w:val="nil"/>
              <w:right w:val="nil"/>
            </w:tcBorders>
            <w:shd w:val="clear" w:color="000000" w:fill="FFFFFF"/>
            <w:tcMar>
              <w:top w:w="85" w:type="dxa"/>
            </w:tcMar>
            <w:hideMark/>
          </w:tcPr>
          <w:p w14:paraId="423A4CBE" w14:textId="77777777" w:rsidR="00BF4CC1" w:rsidRPr="009B4A78" w:rsidRDefault="00BF4CC1" w:rsidP="008D4CE9">
            <w:pPr>
              <w:ind w:left="5" w:firstLineChars="19" w:firstLine="30"/>
              <w:rPr>
                <w:rFonts w:ascii="Arial" w:eastAsia="Times New Roman" w:hAnsi="Arial" w:cs="Arial"/>
                <w:color w:val="000000"/>
                <w:sz w:val="16"/>
                <w:szCs w:val="16"/>
              </w:rPr>
            </w:pPr>
            <w:r w:rsidRPr="009B4A78">
              <w:rPr>
                <w:rFonts w:ascii="Arial" w:eastAsia="Times New Roman" w:hAnsi="Arial" w:cs="Arial"/>
                <w:color w:val="000000"/>
                <w:sz w:val="16"/>
                <w:szCs w:val="16"/>
              </w:rPr>
              <w:t>548 (min) to 1625 (max)</w:t>
            </w:r>
          </w:p>
        </w:tc>
        <w:tc>
          <w:tcPr>
            <w:tcW w:w="2089" w:type="dxa"/>
            <w:tcBorders>
              <w:left w:val="nil"/>
              <w:right w:val="single" w:sz="4" w:space="0" w:color="auto"/>
            </w:tcBorders>
            <w:shd w:val="clear" w:color="000000" w:fill="FFFFFF"/>
            <w:tcMar>
              <w:top w:w="85" w:type="dxa"/>
            </w:tcMar>
            <w:hideMark/>
          </w:tcPr>
          <w:p w14:paraId="519EEB44" w14:textId="77777777" w:rsidR="00BF4CC1" w:rsidRPr="009B4A78" w:rsidRDefault="00BF4CC1" w:rsidP="008D4CE9">
            <w:pPr>
              <w:ind w:left="-3" w:firstLineChars="25" w:firstLine="40"/>
              <w:rPr>
                <w:rFonts w:ascii="Arial" w:eastAsia="Times New Roman" w:hAnsi="Arial" w:cs="Arial"/>
                <w:color w:val="000000"/>
                <w:sz w:val="16"/>
                <w:szCs w:val="16"/>
              </w:rPr>
            </w:pPr>
            <w:r w:rsidRPr="009B4A78">
              <w:rPr>
                <w:rFonts w:ascii="Arial" w:eastAsia="Times New Roman" w:hAnsi="Arial" w:cs="Arial"/>
                <w:color w:val="000000"/>
                <w:sz w:val="16"/>
                <w:szCs w:val="16"/>
              </w:rPr>
              <w:t>1100</w:t>
            </w:r>
          </w:p>
        </w:tc>
      </w:tr>
      <w:tr w:rsidR="00BF4CC1" w:rsidRPr="009B4A78" w14:paraId="6758E469" w14:textId="77777777" w:rsidTr="008D4CE9">
        <w:trPr>
          <w:trHeight w:val="864"/>
        </w:trPr>
        <w:tc>
          <w:tcPr>
            <w:tcW w:w="2380" w:type="dxa"/>
            <w:vMerge/>
            <w:tcBorders>
              <w:left w:val="single" w:sz="4" w:space="0" w:color="auto"/>
              <w:bottom w:val="single" w:sz="4" w:space="0" w:color="auto"/>
              <w:right w:val="nil"/>
            </w:tcBorders>
            <w:tcMar>
              <w:top w:w="85" w:type="dxa"/>
            </w:tcMar>
            <w:vAlign w:val="center"/>
            <w:hideMark/>
          </w:tcPr>
          <w:p w14:paraId="1CA666A5" w14:textId="77777777" w:rsidR="00BF4CC1" w:rsidRPr="009B4A78" w:rsidRDefault="00BF4CC1" w:rsidP="00984F70">
            <w:pPr>
              <w:rPr>
                <w:rFonts w:ascii="Arial" w:eastAsia="Times New Roman" w:hAnsi="Arial" w:cs="Arial"/>
                <w:color w:val="000000"/>
                <w:sz w:val="16"/>
                <w:szCs w:val="16"/>
              </w:rPr>
            </w:pPr>
          </w:p>
        </w:tc>
        <w:tc>
          <w:tcPr>
            <w:tcW w:w="2200" w:type="dxa"/>
            <w:tcBorders>
              <w:left w:val="nil"/>
              <w:right w:val="nil"/>
            </w:tcBorders>
            <w:shd w:val="clear" w:color="000000" w:fill="FFFFFF"/>
            <w:tcMar>
              <w:top w:w="85" w:type="dxa"/>
            </w:tcMar>
            <w:hideMark/>
          </w:tcPr>
          <w:p w14:paraId="36BC842F"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No. of Member States in the respective regions collaborating with Global Databases.</w:t>
            </w:r>
          </w:p>
        </w:tc>
        <w:tc>
          <w:tcPr>
            <w:tcW w:w="2560" w:type="dxa"/>
            <w:tcBorders>
              <w:left w:val="nil"/>
              <w:right w:val="nil"/>
            </w:tcBorders>
            <w:shd w:val="clear" w:color="000000" w:fill="FFFFFF"/>
            <w:tcMar>
              <w:top w:w="85" w:type="dxa"/>
            </w:tcMar>
            <w:hideMark/>
          </w:tcPr>
          <w:p w14:paraId="7927DA69" w14:textId="77777777" w:rsidR="00BF4CC1" w:rsidRPr="009B4A78" w:rsidRDefault="00BF4CC1" w:rsidP="008D4CE9">
            <w:pPr>
              <w:ind w:left="5"/>
              <w:rPr>
                <w:rFonts w:ascii="Arial" w:eastAsia="Times New Roman" w:hAnsi="Arial" w:cs="Arial"/>
                <w:color w:val="000000"/>
                <w:sz w:val="16"/>
                <w:szCs w:val="16"/>
              </w:rPr>
            </w:pPr>
            <w:r w:rsidRPr="009B4A78">
              <w:rPr>
                <w:rFonts w:ascii="Arial" w:eastAsia="Times New Roman" w:hAnsi="Arial" w:cs="Arial"/>
                <w:color w:val="000000"/>
                <w:sz w:val="16"/>
                <w:szCs w:val="16"/>
              </w:rPr>
              <w:t>15 PATENTSCOPE, 1 GBD, 0 GDD LATIPAT</w:t>
            </w:r>
            <w:r w:rsidRPr="009B4A78">
              <w:rPr>
                <w:rFonts w:ascii="Arial" w:eastAsia="Times New Roman" w:hAnsi="Arial" w:cs="Arial"/>
                <w:color w:val="000000"/>
                <w:sz w:val="16"/>
                <w:szCs w:val="16"/>
              </w:rPr>
              <w:br/>
              <w:t>3 PATENTSCOPE, 1 GBD, 0 GDD ARABPAT (Feb 2015)</w:t>
            </w:r>
          </w:p>
        </w:tc>
        <w:tc>
          <w:tcPr>
            <w:tcW w:w="2089" w:type="dxa"/>
            <w:tcBorders>
              <w:left w:val="nil"/>
              <w:right w:val="single" w:sz="4" w:space="0" w:color="auto"/>
            </w:tcBorders>
            <w:shd w:val="clear" w:color="000000" w:fill="FFFFFF"/>
            <w:tcMar>
              <w:top w:w="85" w:type="dxa"/>
            </w:tcMar>
            <w:hideMark/>
          </w:tcPr>
          <w:p w14:paraId="08F2D819" w14:textId="77777777" w:rsidR="00BF4CC1" w:rsidRPr="009B4A78" w:rsidRDefault="00BF4CC1" w:rsidP="008D4CE9">
            <w:pPr>
              <w:ind w:left="-3"/>
              <w:rPr>
                <w:rFonts w:ascii="Arial" w:eastAsia="Times New Roman" w:hAnsi="Arial" w:cs="Arial"/>
                <w:color w:val="000000"/>
                <w:sz w:val="16"/>
                <w:szCs w:val="16"/>
              </w:rPr>
            </w:pPr>
            <w:r w:rsidRPr="009B4A78">
              <w:rPr>
                <w:rFonts w:ascii="Arial" w:eastAsia="Times New Roman" w:hAnsi="Arial" w:cs="Arial"/>
                <w:color w:val="000000"/>
                <w:sz w:val="16"/>
                <w:szCs w:val="16"/>
              </w:rPr>
              <w:t>+2 PATENTSCOPE, +4 GBD, +2 GDD overall</w:t>
            </w:r>
          </w:p>
        </w:tc>
      </w:tr>
      <w:tr w:rsidR="00BF4CC1" w:rsidRPr="009B4A78" w14:paraId="68182871" w14:textId="77777777" w:rsidTr="009950B9">
        <w:trPr>
          <w:trHeight w:val="660"/>
        </w:trPr>
        <w:tc>
          <w:tcPr>
            <w:tcW w:w="2380" w:type="dxa"/>
            <w:vMerge/>
            <w:tcBorders>
              <w:top w:val="nil"/>
              <w:left w:val="single" w:sz="4" w:space="0" w:color="auto"/>
              <w:bottom w:val="single" w:sz="4" w:space="0" w:color="auto"/>
              <w:right w:val="nil"/>
            </w:tcBorders>
            <w:tcMar>
              <w:top w:w="85" w:type="dxa"/>
            </w:tcMar>
            <w:vAlign w:val="center"/>
            <w:hideMark/>
          </w:tcPr>
          <w:p w14:paraId="583F8C3A" w14:textId="77777777" w:rsidR="00BF4CC1" w:rsidRPr="009B4A78" w:rsidRDefault="00BF4CC1" w:rsidP="00984F70">
            <w:pPr>
              <w:rPr>
                <w:rFonts w:ascii="Arial" w:eastAsia="Times New Roman" w:hAnsi="Arial" w:cs="Arial"/>
                <w:color w:val="000000"/>
                <w:sz w:val="16"/>
                <w:szCs w:val="16"/>
              </w:rPr>
            </w:pPr>
          </w:p>
        </w:tc>
        <w:tc>
          <w:tcPr>
            <w:tcW w:w="2200" w:type="dxa"/>
            <w:tcBorders>
              <w:top w:val="nil"/>
              <w:left w:val="nil"/>
              <w:bottom w:val="single" w:sz="4" w:space="0" w:color="auto"/>
              <w:right w:val="nil"/>
            </w:tcBorders>
            <w:shd w:val="clear" w:color="000000" w:fill="FFFFFF"/>
            <w:tcMar>
              <w:top w:w="85" w:type="dxa"/>
            </w:tcMar>
            <w:hideMark/>
          </w:tcPr>
          <w:p w14:paraId="18F35F1F"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No. of active registered users of ARDI and ASPI</w:t>
            </w:r>
          </w:p>
        </w:tc>
        <w:tc>
          <w:tcPr>
            <w:tcW w:w="2560" w:type="dxa"/>
            <w:tcBorders>
              <w:top w:val="nil"/>
              <w:left w:val="nil"/>
              <w:bottom w:val="single" w:sz="4" w:space="0" w:color="auto"/>
              <w:right w:val="nil"/>
            </w:tcBorders>
            <w:shd w:val="clear" w:color="000000" w:fill="FFFFFF"/>
            <w:tcMar>
              <w:top w:w="85" w:type="dxa"/>
            </w:tcMar>
            <w:hideMark/>
          </w:tcPr>
          <w:p w14:paraId="4B94D7C4" w14:textId="77777777" w:rsidR="00BF4CC1" w:rsidRPr="009B4A78" w:rsidRDefault="00BF4CC1" w:rsidP="008D4CE9">
            <w:pPr>
              <w:ind w:left="5"/>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ARDI 411 active users </w:t>
            </w:r>
          </w:p>
          <w:p w14:paraId="28265A30" w14:textId="77777777" w:rsidR="00BF4CC1" w:rsidRPr="009B4A78" w:rsidRDefault="00BF4CC1" w:rsidP="00C53E9A">
            <w:pPr>
              <w:ind w:left="5"/>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ASPI (35 active users) </w:t>
            </w:r>
          </w:p>
          <w:p w14:paraId="625EB110" w14:textId="110C2CD2" w:rsidR="00BF4CC1" w:rsidRPr="009B4A78" w:rsidRDefault="00BF4CC1" w:rsidP="00C53E9A">
            <w:pPr>
              <w:tabs>
                <w:tab w:val="left" w:pos="1453"/>
              </w:tabs>
              <w:ind w:left="5"/>
              <w:rPr>
                <w:rFonts w:ascii="Arial" w:eastAsia="Times New Roman" w:hAnsi="Arial" w:cs="Arial"/>
                <w:color w:val="000000"/>
                <w:sz w:val="16"/>
                <w:szCs w:val="16"/>
              </w:rPr>
            </w:pPr>
            <w:r w:rsidRPr="009B4A78">
              <w:rPr>
                <w:rFonts w:ascii="Arial" w:eastAsia="Times New Roman" w:hAnsi="Arial" w:cs="Arial"/>
                <w:color w:val="000000"/>
                <w:sz w:val="16"/>
                <w:szCs w:val="16"/>
              </w:rPr>
              <w:t>(end 2014)</w:t>
            </w:r>
            <w:r w:rsidR="009950B9">
              <w:rPr>
                <w:rFonts w:ascii="Arial" w:eastAsia="Times New Roman" w:hAnsi="Arial" w:cs="Arial"/>
                <w:color w:val="000000"/>
                <w:sz w:val="16"/>
                <w:szCs w:val="16"/>
              </w:rPr>
              <w:tab/>
            </w:r>
          </w:p>
        </w:tc>
        <w:tc>
          <w:tcPr>
            <w:tcW w:w="2089" w:type="dxa"/>
            <w:tcBorders>
              <w:top w:val="nil"/>
              <w:left w:val="nil"/>
              <w:bottom w:val="single" w:sz="4" w:space="0" w:color="auto"/>
              <w:right w:val="single" w:sz="4" w:space="0" w:color="auto"/>
            </w:tcBorders>
            <w:shd w:val="clear" w:color="000000" w:fill="FFFFFF"/>
            <w:tcMar>
              <w:top w:w="85" w:type="dxa"/>
            </w:tcMar>
            <w:hideMark/>
          </w:tcPr>
          <w:p w14:paraId="65BB938B" w14:textId="77777777" w:rsidR="00BF4CC1" w:rsidRPr="009B4A78" w:rsidRDefault="00BF4CC1" w:rsidP="008D4CE9">
            <w:pPr>
              <w:ind w:left="-3"/>
              <w:rPr>
                <w:rFonts w:ascii="Arial" w:eastAsia="Times New Roman" w:hAnsi="Arial" w:cs="Arial"/>
                <w:color w:val="000000"/>
                <w:sz w:val="16"/>
                <w:szCs w:val="16"/>
              </w:rPr>
            </w:pPr>
            <w:r w:rsidRPr="009B4A78">
              <w:rPr>
                <w:rFonts w:ascii="Arial" w:eastAsia="Times New Roman" w:hAnsi="Arial" w:cs="Arial"/>
                <w:color w:val="000000"/>
                <w:sz w:val="16"/>
                <w:szCs w:val="16"/>
              </w:rPr>
              <w:t>ARDI - 600</w:t>
            </w:r>
            <w:r w:rsidRPr="009B4A78">
              <w:rPr>
                <w:rFonts w:ascii="Arial" w:eastAsia="Times New Roman" w:hAnsi="Arial" w:cs="Arial"/>
                <w:color w:val="000000"/>
                <w:sz w:val="16"/>
                <w:szCs w:val="16"/>
              </w:rPr>
              <w:br/>
              <w:t>ASPI - 60</w:t>
            </w:r>
          </w:p>
        </w:tc>
      </w:tr>
      <w:tr w:rsidR="00BF4CC1" w:rsidRPr="009B4A78" w14:paraId="6315FB0F" w14:textId="77777777" w:rsidTr="009950B9">
        <w:trPr>
          <w:trHeight w:val="735"/>
        </w:trPr>
        <w:tc>
          <w:tcPr>
            <w:tcW w:w="2380" w:type="dxa"/>
            <w:vMerge/>
            <w:tcBorders>
              <w:left w:val="single" w:sz="4" w:space="0" w:color="auto"/>
              <w:bottom w:val="single" w:sz="4" w:space="0" w:color="auto"/>
              <w:right w:val="nil"/>
            </w:tcBorders>
            <w:tcMar>
              <w:top w:w="85" w:type="dxa"/>
            </w:tcMar>
            <w:vAlign w:val="center"/>
            <w:hideMark/>
          </w:tcPr>
          <w:p w14:paraId="01D454F1" w14:textId="77777777" w:rsidR="00BF4CC1" w:rsidRPr="009B4A78" w:rsidRDefault="00BF4CC1" w:rsidP="00984F70">
            <w:pPr>
              <w:rPr>
                <w:rFonts w:ascii="Arial" w:eastAsia="Times New Roman" w:hAnsi="Arial" w:cs="Arial"/>
                <w:color w:val="000000"/>
                <w:sz w:val="16"/>
                <w:szCs w:val="16"/>
              </w:rPr>
            </w:pPr>
          </w:p>
        </w:tc>
        <w:tc>
          <w:tcPr>
            <w:tcW w:w="2200" w:type="dxa"/>
            <w:tcBorders>
              <w:top w:val="single" w:sz="4" w:space="0" w:color="auto"/>
              <w:left w:val="nil"/>
              <w:bottom w:val="nil"/>
              <w:right w:val="nil"/>
            </w:tcBorders>
            <w:shd w:val="clear" w:color="000000" w:fill="FFFFFF"/>
            <w:tcMar>
              <w:top w:w="85" w:type="dxa"/>
            </w:tcMar>
            <w:hideMark/>
          </w:tcPr>
          <w:p w14:paraId="49CB4584"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No. of TISC Clinic requests submitted to TISCs</w:t>
            </w:r>
          </w:p>
        </w:tc>
        <w:tc>
          <w:tcPr>
            <w:tcW w:w="2560" w:type="dxa"/>
            <w:tcBorders>
              <w:top w:val="single" w:sz="4" w:space="0" w:color="auto"/>
              <w:left w:val="nil"/>
              <w:bottom w:val="nil"/>
              <w:right w:val="nil"/>
            </w:tcBorders>
            <w:shd w:val="clear" w:color="000000" w:fill="FFFFFF"/>
            <w:tcMar>
              <w:top w:w="85" w:type="dxa"/>
            </w:tcMar>
            <w:hideMark/>
          </w:tcPr>
          <w:p w14:paraId="1636B9FE" w14:textId="77777777" w:rsidR="00BF4CC1" w:rsidRPr="009B4A78" w:rsidRDefault="00BF4CC1" w:rsidP="00984F70">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n/a (new)</w:t>
            </w:r>
          </w:p>
        </w:tc>
        <w:tc>
          <w:tcPr>
            <w:tcW w:w="2089" w:type="dxa"/>
            <w:tcBorders>
              <w:top w:val="single" w:sz="4" w:space="0" w:color="auto"/>
              <w:left w:val="nil"/>
              <w:bottom w:val="nil"/>
              <w:right w:val="single" w:sz="4" w:space="0" w:color="auto"/>
            </w:tcBorders>
            <w:shd w:val="clear" w:color="000000" w:fill="FFFFFF"/>
            <w:tcMar>
              <w:top w:w="85" w:type="dxa"/>
            </w:tcMar>
            <w:hideMark/>
          </w:tcPr>
          <w:p w14:paraId="4C89F201" w14:textId="77777777" w:rsidR="00BF4CC1" w:rsidRPr="009B4A78" w:rsidRDefault="00BF4CC1" w:rsidP="008D4CE9">
            <w:pPr>
              <w:ind w:firstLineChars="200" w:firstLine="320"/>
              <w:jc w:val="center"/>
              <w:rPr>
                <w:rFonts w:ascii="Arial" w:eastAsia="Times New Roman" w:hAnsi="Arial" w:cs="Arial"/>
                <w:color w:val="000000"/>
                <w:sz w:val="16"/>
                <w:szCs w:val="16"/>
              </w:rPr>
            </w:pPr>
            <w:r w:rsidRPr="009B4A78">
              <w:rPr>
                <w:rFonts w:ascii="Arial" w:eastAsia="Times New Roman" w:hAnsi="Arial" w:cs="Arial"/>
                <w:color w:val="000000"/>
                <w:sz w:val="16"/>
                <w:szCs w:val="16"/>
              </w:rPr>
              <w:t>10</w:t>
            </w:r>
          </w:p>
        </w:tc>
      </w:tr>
      <w:tr w:rsidR="00BF4CC1" w:rsidRPr="009B4A78" w14:paraId="35DFA4F7" w14:textId="77777777" w:rsidTr="009950B9">
        <w:trPr>
          <w:trHeight w:val="692"/>
        </w:trPr>
        <w:tc>
          <w:tcPr>
            <w:tcW w:w="2380" w:type="dxa"/>
            <w:vMerge/>
            <w:tcBorders>
              <w:top w:val="nil"/>
              <w:left w:val="single" w:sz="4" w:space="0" w:color="auto"/>
              <w:bottom w:val="single" w:sz="4" w:space="0" w:color="auto"/>
              <w:right w:val="nil"/>
            </w:tcBorders>
            <w:tcMar>
              <w:top w:w="85" w:type="dxa"/>
            </w:tcMar>
            <w:vAlign w:val="center"/>
            <w:hideMark/>
          </w:tcPr>
          <w:p w14:paraId="5D4D6176" w14:textId="77777777" w:rsidR="00BF4CC1" w:rsidRPr="009B4A78" w:rsidRDefault="00BF4CC1" w:rsidP="00984F70">
            <w:pPr>
              <w:rPr>
                <w:rFonts w:ascii="Arial" w:eastAsia="Times New Roman" w:hAnsi="Arial" w:cs="Arial"/>
                <w:color w:val="000000"/>
                <w:sz w:val="16"/>
                <w:szCs w:val="16"/>
              </w:rPr>
            </w:pPr>
          </w:p>
        </w:tc>
        <w:tc>
          <w:tcPr>
            <w:tcW w:w="2200" w:type="dxa"/>
            <w:tcBorders>
              <w:top w:val="nil"/>
              <w:left w:val="nil"/>
              <w:bottom w:val="single" w:sz="4" w:space="0" w:color="auto"/>
              <w:right w:val="nil"/>
            </w:tcBorders>
            <w:shd w:val="clear" w:color="000000" w:fill="FFFFFF"/>
            <w:tcMar>
              <w:top w:w="85" w:type="dxa"/>
            </w:tcMar>
            <w:hideMark/>
          </w:tcPr>
          <w:p w14:paraId="7CA0E519" w14:textId="77777777" w:rsidR="00BF4CC1" w:rsidRPr="009B4A78" w:rsidRDefault="00BF4CC1" w:rsidP="008D4CE9">
            <w:pPr>
              <w:rPr>
                <w:rFonts w:ascii="Arial" w:eastAsia="Times New Roman" w:hAnsi="Arial" w:cs="Arial"/>
                <w:color w:val="000000"/>
                <w:sz w:val="16"/>
                <w:szCs w:val="16"/>
              </w:rPr>
            </w:pPr>
            <w:r w:rsidRPr="009B4A78">
              <w:rPr>
                <w:rFonts w:ascii="Arial" w:eastAsia="Times New Roman" w:hAnsi="Arial" w:cs="Arial"/>
                <w:color w:val="000000"/>
                <w:sz w:val="16"/>
                <w:szCs w:val="16"/>
              </w:rPr>
              <w:t>No. of TISCs offering patent analytical services</w:t>
            </w:r>
          </w:p>
        </w:tc>
        <w:tc>
          <w:tcPr>
            <w:tcW w:w="2560" w:type="dxa"/>
            <w:tcBorders>
              <w:top w:val="nil"/>
              <w:left w:val="nil"/>
              <w:bottom w:val="single" w:sz="4" w:space="0" w:color="auto"/>
              <w:right w:val="nil"/>
            </w:tcBorders>
            <w:shd w:val="clear" w:color="000000" w:fill="FFFFFF"/>
            <w:tcMar>
              <w:top w:w="85" w:type="dxa"/>
            </w:tcMar>
            <w:hideMark/>
          </w:tcPr>
          <w:p w14:paraId="4381EC3D" w14:textId="77777777" w:rsidR="00BF4CC1" w:rsidRPr="009B4A78" w:rsidRDefault="00BF4CC1" w:rsidP="00984F70">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n/a (new)</w:t>
            </w:r>
          </w:p>
        </w:tc>
        <w:tc>
          <w:tcPr>
            <w:tcW w:w="2089" w:type="dxa"/>
            <w:tcBorders>
              <w:top w:val="nil"/>
              <w:left w:val="nil"/>
              <w:bottom w:val="single" w:sz="4" w:space="0" w:color="auto"/>
              <w:right w:val="single" w:sz="4" w:space="0" w:color="auto"/>
            </w:tcBorders>
            <w:shd w:val="clear" w:color="000000" w:fill="FFFFFF"/>
            <w:tcMar>
              <w:top w:w="85" w:type="dxa"/>
            </w:tcMar>
            <w:hideMark/>
          </w:tcPr>
          <w:p w14:paraId="6A50B93F" w14:textId="77777777" w:rsidR="00BF4CC1" w:rsidRPr="009B4A78" w:rsidRDefault="00BF4CC1" w:rsidP="008D4CE9">
            <w:pPr>
              <w:ind w:firstLineChars="200" w:firstLine="320"/>
              <w:jc w:val="center"/>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r>
    </w:tbl>
    <w:p w14:paraId="5FC873F7" w14:textId="77777777" w:rsidR="00BF4CC1" w:rsidRPr="009B4A78" w:rsidRDefault="00BF4CC1" w:rsidP="00984F70">
      <w:pPr>
        <w:rPr>
          <w:rFonts w:ascii="Arial" w:eastAsia="Times New Roman" w:hAnsi="Arial" w:cs="Arial"/>
          <w:sz w:val="20"/>
        </w:rPr>
      </w:pPr>
    </w:p>
    <w:p w14:paraId="2815BB93" w14:textId="77777777" w:rsidR="00BF4CC1" w:rsidRPr="009B4A78" w:rsidRDefault="00BF4CC1" w:rsidP="00984F70">
      <w:pPr>
        <w:rPr>
          <w:rFonts w:ascii="Arial" w:eastAsia="Times New Roman" w:hAnsi="Arial" w:cs="Arial"/>
          <w:sz w:val="20"/>
        </w:rPr>
      </w:pPr>
    </w:p>
    <w:p w14:paraId="64C9BF02" w14:textId="77777777" w:rsidR="00BF4CC1" w:rsidRPr="009B4A78" w:rsidRDefault="00BF4CC1" w:rsidP="00984F70">
      <w:pPr>
        <w:rPr>
          <w:rFonts w:ascii="Arial" w:eastAsia="Times New Roman" w:hAnsi="Arial" w:cs="Arial"/>
        </w:rPr>
      </w:pPr>
      <w:r w:rsidRPr="009B4A78">
        <w:rPr>
          <w:rFonts w:ascii="Arial" w:eastAsia="Times New Roman" w:hAnsi="Arial" w:cs="Arial"/>
        </w:rPr>
        <w:t>RESOURCES FOR PROGRAM 14</w:t>
      </w:r>
    </w:p>
    <w:p w14:paraId="2AB189F1" w14:textId="77777777" w:rsidR="00BF4CC1" w:rsidRPr="009B4A78" w:rsidRDefault="00BF4CC1" w:rsidP="00984F70">
      <w:pPr>
        <w:rPr>
          <w:rFonts w:ascii="Arial" w:eastAsia="Times New Roman" w:hAnsi="Arial" w:cs="Arial"/>
        </w:rPr>
      </w:pPr>
    </w:p>
    <w:p w14:paraId="7805B0B3" w14:textId="32EEC18C" w:rsidR="00BF4CC1" w:rsidRPr="009B4A78" w:rsidRDefault="00BF4CC1" w:rsidP="00B66A4A">
      <w:pPr>
        <w:numPr>
          <w:ilvl w:val="0"/>
          <w:numId w:val="16"/>
        </w:numPr>
        <w:tabs>
          <w:tab w:val="clear" w:pos="825"/>
        </w:tabs>
        <w:ind w:left="0"/>
        <w:jc w:val="both"/>
        <w:rPr>
          <w:rFonts w:ascii="Arial" w:eastAsia="Times New Roman" w:hAnsi="Arial" w:cs="Arial"/>
          <w:sz w:val="20"/>
          <w:szCs w:val="20"/>
        </w:rPr>
      </w:pPr>
      <w:r w:rsidRPr="009B4A78">
        <w:rPr>
          <w:rFonts w:ascii="Arial" w:hAnsi="Arial" w:cs="Arial"/>
          <w:sz w:val="20"/>
        </w:rPr>
        <w:t xml:space="preserve">The overall resources for Program 14 in 2016/17 remain at approximately the same level as </w:t>
      </w:r>
      <w:r w:rsidR="005C2A6F">
        <w:rPr>
          <w:rFonts w:ascii="Arial" w:hAnsi="Arial" w:cs="Arial"/>
          <w:sz w:val="20"/>
        </w:rPr>
        <w:t xml:space="preserve">compared to the </w:t>
      </w:r>
      <w:r w:rsidRPr="009B4A78">
        <w:rPr>
          <w:rFonts w:ascii="Arial" w:hAnsi="Arial" w:cs="Arial"/>
          <w:sz w:val="20"/>
        </w:rPr>
        <w:t>2014/15</w:t>
      </w:r>
      <w:r w:rsidR="005C2A6F">
        <w:rPr>
          <w:rFonts w:ascii="Arial" w:hAnsi="Arial" w:cs="Arial"/>
          <w:sz w:val="20"/>
        </w:rPr>
        <w:t xml:space="preserve"> Budget after Transfers</w:t>
      </w:r>
      <w:r w:rsidRPr="009B4A78">
        <w:rPr>
          <w:rFonts w:ascii="Arial" w:hAnsi="Arial" w:cs="Arial"/>
          <w:sz w:val="20"/>
        </w:rPr>
        <w:t xml:space="preserve">. This is the net result of a decrease in personnel resources due to </w:t>
      </w:r>
      <w:r w:rsidRPr="009B4A78">
        <w:rPr>
          <w:rFonts w:ascii="Arial" w:hAnsi="Arial" w:cs="Arial"/>
          <w:sz w:val="20"/>
          <w:szCs w:val="20"/>
        </w:rPr>
        <w:t>the redeployment of a post from the Program and an overall increase of 450,000 Swiss francs for the implementation of the DA project “</w:t>
      </w:r>
      <w:r w:rsidRPr="009B4A78">
        <w:rPr>
          <w:rFonts w:ascii="Arial" w:eastAsia="Times New Roman" w:hAnsi="Arial" w:cs="Arial"/>
          <w:sz w:val="20"/>
          <w:szCs w:val="20"/>
        </w:rPr>
        <w:t>Use of Information in the Public Domain for Research and Development in Developing Countries”</w:t>
      </w:r>
      <w:r w:rsidRPr="009B4A78">
        <w:rPr>
          <w:rFonts w:ascii="Arial" w:hAnsi="Arial" w:cs="Arial"/>
          <w:sz w:val="20"/>
          <w:szCs w:val="20"/>
        </w:rPr>
        <w:t xml:space="preserve">. </w:t>
      </w:r>
    </w:p>
    <w:p w14:paraId="0D58AE2E" w14:textId="77777777" w:rsidR="00BF4CC1" w:rsidRPr="009B4A78" w:rsidRDefault="00BF4CC1" w:rsidP="00984F70">
      <w:pPr>
        <w:rPr>
          <w:rFonts w:ascii="Arial" w:eastAsia="Times New Roman" w:hAnsi="Arial" w:cs="Arial"/>
        </w:rPr>
      </w:pPr>
    </w:p>
    <w:p w14:paraId="1E1EC473" w14:textId="77777777" w:rsidR="00BF4CC1" w:rsidRPr="009B4A78" w:rsidRDefault="00BF4CC1" w:rsidP="00984F70">
      <w:pPr>
        <w:tabs>
          <w:tab w:val="left" w:pos="1427"/>
        </w:tabs>
        <w:jc w:val="center"/>
        <w:rPr>
          <w:rFonts w:ascii="Arial" w:hAnsi="Arial" w:cs="Arial"/>
          <w:szCs w:val="20"/>
        </w:rPr>
      </w:pPr>
      <w:r w:rsidRPr="009B4A78">
        <w:rPr>
          <w:rFonts w:ascii="Arial" w:hAnsi="Arial" w:cs="Arial"/>
          <w:b/>
          <w:sz w:val="20"/>
          <w:szCs w:val="24"/>
        </w:rPr>
        <w:t>Program 14:  Resources by Result</w:t>
      </w:r>
    </w:p>
    <w:p w14:paraId="1D6329ED" w14:textId="77777777" w:rsidR="00BF4CC1" w:rsidRPr="009B4A78" w:rsidRDefault="00BF4CC1" w:rsidP="00984F70">
      <w:pPr>
        <w:tabs>
          <w:tab w:val="left" w:pos="1427"/>
        </w:tabs>
        <w:jc w:val="center"/>
        <w:rPr>
          <w:rFonts w:ascii="Arial" w:hAnsi="Arial" w:cs="Arial"/>
          <w:i/>
          <w:sz w:val="20"/>
          <w:szCs w:val="24"/>
        </w:rPr>
      </w:pPr>
      <w:r w:rsidRPr="009B4A78">
        <w:rPr>
          <w:rFonts w:ascii="Arial" w:hAnsi="Arial" w:cs="Arial"/>
          <w:i/>
          <w:sz w:val="20"/>
          <w:szCs w:val="24"/>
        </w:rPr>
        <w:t>(In thousands of Swiss francs)</w:t>
      </w:r>
    </w:p>
    <w:p w14:paraId="004C1AC8" w14:textId="77777777" w:rsidR="00BF4CC1" w:rsidRPr="009B4A78" w:rsidRDefault="00BF4CC1" w:rsidP="00984F70">
      <w:pPr>
        <w:tabs>
          <w:tab w:val="left" w:pos="1427"/>
        </w:tabs>
        <w:jc w:val="center"/>
        <w:rPr>
          <w:rFonts w:ascii="Arial" w:hAnsi="Arial" w:cs="Arial"/>
          <w:i/>
          <w:sz w:val="20"/>
          <w:szCs w:val="24"/>
        </w:rPr>
      </w:pPr>
    </w:p>
    <w:p w14:paraId="02AC082F" w14:textId="77777777" w:rsidR="00BF4CC1" w:rsidRPr="009B4A78" w:rsidRDefault="00BF4CC1" w:rsidP="00984F70">
      <w:pPr>
        <w:tabs>
          <w:tab w:val="left" w:pos="1427"/>
        </w:tabs>
        <w:jc w:val="center"/>
        <w:rPr>
          <w:rFonts w:ascii="Arial" w:hAnsi="Arial" w:cs="Arial"/>
          <w:i/>
          <w:sz w:val="20"/>
          <w:szCs w:val="24"/>
        </w:rPr>
      </w:pPr>
      <w:r w:rsidRPr="009B4A78">
        <w:rPr>
          <w:rFonts w:ascii="Arial" w:hAnsi="Arial" w:cs="Arial"/>
          <w:noProof/>
          <w:lang w:eastAsia="en-US"/>
        </w:rPr>
        <w:drawing>
          <wp:inline distT="0" distB="0" distL="0" distR="0" wp14:anchorId="19DD2DBA" wp14:editId="1477AE07">
            <wp:extent cx="5112689" cy="1099749"/>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28637" cy="1103179"/>
                    </a:xfrm>
                    <a:prstGeom prst="rect">
                      <a:avLst/>
                    </a:prstGeom>
                    <a:noFill/>
                    <a:ln>
                      <a:noFill/>
                    </a:ln>
                  </pic:spPr>
                </pic:pic>
              </a:graphicData>
            </a:graphic>
          </wp:inline>
        </w:drawing>
      </w:r>
    </w:p>
    <w:p w14:paraId="1CC295EB" w14:textId="77777777" w:rsidR="00BF4CC1" w:rsidRPr="009B4A78" w:rsidRDefault="00BF4CC1" w:rsidP="00984F70">
      <w:pPr>
        <w:tabs>
          <w:tab w:val="left" w:pos="1427"/>
        </w:tabs>
        <w:jc w:val="center"/>
        <w:rPr>
          <w:rFonts w:ascii="Arial" w:hAnsi="Arial" w:cs="Arial"/>
          <w:i/>
          <w:sz w:val="20"/>
          <w:szCs w:val="24"/>
        </w:rPr>
      </w:pPr>
    </w:p>
    <w:p w14:paraId="6FFE2BFA" w14:textId="77777777" w:rsidR="00BF4CC1" w:rsidRPr="009B4A78" w:rsidRDefault="00BF4CC1" w:rsidP="00984F70">
      <w:pPr>
        <w:tabs>
          <w:tab w:val="left" w:pos="1427"/>
        </w:tabs>
        <w:jc w:val="center"/>
        <w:rPr>
          <w:rFonts w:ascii="Arial" w:hAnsi="Arial" w:cs="Arial"/>
          <w:i/>
          <w:sz w:val="20"/>
          <w:szCs w:val="24"/>
        </w:rPr>
      </w:pPr>
    </w:p>
    <w:p w14:paraId="04EA0B0D" w14:textId="77777777" w:rsidR="00BF4CC1" w:rsidRPr="009B4A78" w:rsidRDefault="00BF4CC1" w:rsidP="00984F70">
      <w:pPr>
        <w:keepNext/>
        <w:keepLines/>
        <w:tabs>
          <w:tab w:val="left" w:pos="1427"/>
        </w:tabs>
        <w:jc w:val="center"/>
        <w:rPr>
          <w:rFonts w:ascii="Arial" w:hAnsi="Arial" w:cs="Arial"/>
          <w:szCs w:val="20"/>
        </w:rPr>
      </w:pPr>
      <w:r w:rsidRPr="009B4A78">
        <w:rPr>
          <w:rFonts w:ascii="Arial" w:hAnsi="Arial" w:cs="Arial"/>
          <w:b/>
          <w:sz w:val="20"/>
          <w:szCs w:val="24"/>
        </w:rPr>
        <w:lastRenderedPageBreak/>
        <w:t>Program 14:  Resources by Object of Expenditure</w:t>
      </w:r>
    </w:p>
    <w:p w14:paraId="21B698C3" w14:textId="77777777" w:rsidR="00BF4CC1" w:rsidRPr="009B4A78" w:rsidRDefault="00BF4CC1" w:rsidP="00984F70">
      <w:pPr>
        <w:keepNext/>
        <w:keepLines/>
        <w:tabs>
          <w:tab w:val="left" w:pos="1427"/>
        </w:tabs>
        <w:jc w:val="center"/>
        <w:rPr>
          <w:rFonts w:ascii="Arial" w:hAnsi="Arial" w:cs="Arial"/>
          <w:szCs w:val="20"/>
        </w:rPr>
      </w:pPr>
      <w:r w:rsidRPr="009B4A78">
        <w:rPr>
          <w:rFonts w:ascii="Arial" w:hAnsi="Arial" w:cs="Arial"/>
          <w:i/>
          <w:sz w:val="20"/>
          <w:szCs w:val="24"/>
        </w:rPr>
        <w:t>(In thousands of Swiss francs)</w:t>
      </w:r>
    </w:p>
    <w:p w14:paraId="750F3CAA" w14:textId="77777777" w:rsidR="00BF4CC1" w:rsidRPr="009B4A78" w:rsidRDefault="00BF4CC1" w:rsidP="00984F70">
      <w:pPr>
        <w:keepNext/>
        <w:keepLines/>
        <w:tabs>
          <w:tab w:val="left" w:pos="1427"/>
        </w:tabs>
        <w:jc w:val="center"/>
        <w:rPr>
          <w:rFonts w:ascii="Arial" w:hAnsi="Arial" w:cs="Arial"/>
          <w:szCs w:val="20"/>
        </w:rPr>
      </w:pPr>
    </w:p>
    <w:p w14:paraId="195B4C04" w14:textId="4F5074A3" w:rsidR="00BF4CC1" w:rsidRPr="009B4A78" w:rsidRDefault="00BF4CC1" w:rsidP="00FB68E0">
      <w:pPr>
        <w:jc w:val="center"/>
        <w:rPr>
          <w:rFonts w:ascii="Arial" w:eastAsia="Times New Roman" w:hAnsi="Arial" w:cs="Arial"/>
          <w:sz w:val="20"/>
        </w:rPr>
      </w:pPr>
      <w:r w:rsidRPr="009B4A78">
        <w:rPr>
          <w:rFonts w:ascii="Arial" w:hAnsi="Arial" w:cs="Arial"/>
          <w:noProof/>
          <w:lang w:eastAsia="en-US"/>
        </w:rPr>
        <w:drawing>
          <wp:inline distT="0" distB="0" distL="0" distR="0" wp14:anchorId="2B626FD1" wp14:editId="6B50E9A8">
            <wp:extent cx="4981488" cy="60827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89306" cy="6092294"/>
                    </a:xfrm>
                    <a:prstGeom prst="rect">
                      <a:avLst/>
                    </a:prstGeom>
                    <a:noFill/>
                    <a:ln>
                      <a:noFill/>
                    </a:ln>
                  </pic:spPr>
                </pic:pic>
              </a:graphicData>
            </a:graphic>
          </wp:inline>
        </w:drawing>
      </w:r>
    </w:p>
    <w:p w14:paraId="5E7FEAF3" w14:textId="77777777" w:rsidR="00BF4CC1" w:rsidRPr="009B4A78" w:rsidRDefault="00BF4CC1" w:rsidP="00984F70">
      <w:pPr>
        <w:rPr>
          <w:rFonts w:ascii="Arial" w:eastAsia="Times New Roman" w:hAnsi="Arial" w:cs="Arial"/>
          <w:sz w:val="20"/>
        </w:rPr>
      </w:pPr>
    </w:p>
    <w:p w14:paraId="3F39C1A8" w14:textId="22C7AB3D" w:rsidR="00186D1C" w:rsidRPr="009B4A78" w:rsidRDefault="00186D1C">
      <w:pPr>
        <w:rPr>
          <w:rFonts w:ascii="Arial" w:hAnsi="Arial" w:cs="Arial"/>
          <w:bCs/>
          <w:sz w:val="20"/>
        </w:rPr>
      </w:pPr>
      <w:r w:rsidRPr="009B4A78">
        <w:rPr>
          <w:rFonts w:ascii="Arial" w:hAnsi="Arial" w:cs="Arial"/>
          <w:bCs/>
          <w:sz w:val="20"/>
        </w:rPr>
        <w:br w:type="page"/>
      </w:r>
    </w:p>
    <w:p w14:paraId="7907AC04" w14:textId="77777777" w:rsidR="00186D1C" w:rsidRPr="009B4A78" w:rsidRDefault="00186D1C" w:rsidP="00186D1C">
      <w:pPr>
        <w:pStyle w:val="StyleHeading3ComplexItalic"/>
        <w:rPr>
          <w:rStyle w:val="StyleStyleHeading3ComplexItalicLatin12ptChar"/>
          <w:rFonts w:eastAsia="SimSun"/>
          <w:b/>
          <w:szCs w:val="24"/>
        </w:rPr>
      </w:pPr>
      <w:bookmarkStart w:id="51" w:name="_Toc431221425"/>
      <w:r w:rsidRPr="009B4A78">
        <w:rPr>
          <w:rStyle w:val="StyleStyleHeading3ComplexItalicLatin12ptChar"/>
          <w:rFonts w:eastAsia="SimSun"/>
          <w:b/>
          <w:szCs w:val="24"/>
        </w:rPr>
        <w:lastRenderedPageBreak/>
        <w:t>PROGRAM 15</w:t>
      </w:r>
      <w:r w:rsidRPr="009B4A78">
        <w:rPr>
          <w:rStyle w:val="StyleStyleHeading3ComplexItalicLatin12ptChar"/>
          <w:rFonts w:eastAsia="SimSun"/>
          <w:b/>
          <w:szCs w:val="24"/>
        </w:rPr>
        <w:tab/>
        <w:t>BUSINESS SOLUTIONS FOR IP OFFICES</w:t>
      </w:r>
      <w:bookmarkEnd w:id="51"/>
    </w:p>
    <w:p w14:paraId="365F1D4D" w14:textId="77777777" w:rsidR="00186D1C" w:rsidRPr="009B4A78" w:rsidRDefault="00186D1C">
      <w:pPr>
        <w:rPr>
          <w:rFonts w:ascii="Arial" w:hAnsi="Arial" w:cs="Arial"/>
          <w:bCs/>
          <w:sz w:val="20"/>
          <w:szCs w:val="24"/>
        </w:rPr>
      </w:pPr>
    </w:p>
    <w:p w14:paraId="79F3D295" w14:textId="77777777" w:rsidR="00186D1C" w:rsidRPr="009B4A78" w:rsidRDefault="00186D1C">
      <w:pPr>
        <w:rPr>
          <w:rFonts w:ascii="Arial" w:hAnsi="Arial" w:cs="Arial"/>
          <w:bCs/>
          <w:sz w:val="20"/>
          <w:szCs w:val="24"/>
        </w:rPr>
      </w:pPr>
    </w:p>
    <w:p w14:paraId="19E2A680" w14:textId="77777777" w:rsidR="00186D1C" w:rsidRPr="009B4A78" w:rsidRDefault="00186D1C">
      <w:pPr>
        <w:rPr>
          <w:rFonts w:ascii="Arial" w:hAnsi="Arial" w:cs="Arial"/>
          <w:b/>
          <w:bCs/>
          <w:sz w:val="18"/>
        </w:rPr>
      </w:pPr>
      <w:r w:rsidRPr="009B4A78">
        <w:rPr>
          <w:rFonts w:ascii="Arial" w:hAnsi="Arial" w:cs="Arial"/>
          <w:bCs/>
          <w:szCs w:val="24"/>
        </w:rPr>
        <w:t>PLANNING CONTEXT</w:t>
      </w:r>
    </w:p>
    <w:p w14:paraId="271A4675" w14:textId="77777777" w:rsidR="00186D1C" w:rsidRPr="009B4A78" w:rsidRDefault="00186D1C" w:rsidP="00984F70">
      <w:pPr>
        <w:jc w:val="both"/>
        <w:rPr>
          <w:rFonts w:ascii="Arial" w:hAnsi="Arial" w:cs="Arial"/>
          <w:b/>
          <w:bCs/>
          <w:sz w:val="20"/>
          <w:szCs w:val="21"/>
        </w:rPr>
      </w:pPr>
    </w:p>
    <w:p w14:paraId="360DB4B2" w14:textId="77777777" w:rsidR="00186D1C" w:rsidRPr="009B4A78" w:rsidRDefault="00186D1C" w:rsidP="00B66A4A">
      <w:pPr>
        <w:numPr>
          <w:ilvl w:val="0"/>
          <w:numId w:val="17"/>
        </w:numPr>
        <w:shd w:val="clear" w:color="auto" w:fill="FFFFFF"/>
        <w:tabs>
          <w:tab w:val="left" w:pos="709"/>
        </w:tabs>
        <w:suppressAutoHyphens/>
        <w:ind w:left="0" w:firstLine="0"/>
        <w:jc w:val="both"/>
        <w:rPr>
          <w:rFonts w:ascii="Arial" w:hAnsi="Arial" w:cs="Arial"/>
          <w:color w:val="000000"/>
          <w:sz w:val="18"/>
        </w:rPr>
      </w:pPr>
      <w:r w:rsidRPr="009B4A78">
        <w:rPr>
          <w:rFonts w:ascii="Arial" w:hAnsi="Arial" w:cs="Arial"/>
          <w:color w:val="000000"/>
          <w:sz w:val="20"/>
          <w:szCs w:val="21"/>
        </w:rPr>
        <w:t>This Program forms the basis of global infrastructure with the technical architecture of the IP system complementing the legal and operational architecture.</w:t>
      </w:r>
      <w:r w:rsidRPr="009B4A78">
        <w:rPr>
          <w:rFonts w:ascii="Arial" w:hAnsi="Arial" w:cs="Arial"/>
          <w:sz w:val="20"/>
        </w:rPr>
        <w:t xml:space="preserve">  </w:t>
      </w:r>
      <w:r w:rsidRPr="009B4A78">
        <w:rPr>
          <w:rFonts w:ascii="Arial" w:eastAsia="Calibri" w:hAnsi="Arial" w:cs="Arial"/>
          <w:color w:val="000000"/>
          <w:sz w:val="20"/>
          <w:szCs w:val="21"/>
        </w:rPr>
        <w:t>The Program provides customized software solutions and associated training and project management services to support the efficient processing of IP applications in Member States, effective collaboration between IP Offices, and support to copyright collective management organizations (CMOs).  The activities of the Program are targeted particularly for IP Offices in developing and least developed countries</w:t>
      </w:r>
      <w:r w:rsidRPr="009B4A78">
        <w:rPr>
          <w:rFonts w:ascii="Arial" w:hAnsi="Arial" w:cs="Arial"/>
          <w:color w:val="000000"/>
          <w:sz w:val="20"/>
          <w:szCs w:val="21"/>
        </w:rPr>
        <w:t>.</w:t>
      </w:r>
    </w:p>
    <w:p w14:paraId="46D9E15D" w14:textId="77777777" w:rsidR="00186D1C" w:rsidRPr="009B4A78" w:rsidRDefault="00186D1C" w:rsidP="00984F70">
      <w:pPr>
        <w:shd w:val="clear" w:color="auto" w:fill="FFFFFF"/>
        <w:ind w:left="360"/>
        <w:jc w:val="both"/>
        <w:rPr>
          <w:rFonts w:ascii="Arial" w:hAnsi="Arial" w:cs="Arial"/>
          <w:color w:val="000000"/>
          <w:sz w:val="18"/>
        </w:rPr>
      </w:pPr>
    </w:p>
    <w:p w14:paraId="2FA77850" w14:textId="77777777" w:rsidR="00186D1C" w:rsidRPr="009B4A78" w:rsidRDefault="00186D1C" w:rsidP="00984F70">
      <w:pPr>
        <w:shd w:val="clear" w:color="auto" w:fill="FFFFFF"/>
        <w:ind w:left="360"/>
        <w:jc w:val="both"/>
        <w:rPr>
          <w:rFonts w:ascii="Arial" w:hAnsi="Arial" w:cs="Arial"/>
          <w:color w:val="000000"/>
          <w:sz w:val="18"/>
        </w:rPr>
      </w:pPr>
    </w:p>
    <w:p w14:paraId="46BF727F" w14:textId="77777777" w:rsidR="00186D1C" w:rsidRPr="009B4A78" w:rsidRDefault="00186D1C" w:rsidP="00984F70">
      <w:pPr>
        <w:pStyle w:val="p1"/>
        <w:shd w:val="clear" w:color="auto" w:fill="FFFFFF"/>
        <w:jc w:val="center"/>
        <w:rPr>
          <w:rFonts w:ascii="Arial" w:hAnsi="Arial" w:cs="Arial"/>
          <w:noProof/>
          <w:lang w:val="en-GB" w:eastAsia="en-GB"/>
        </w:rPr>
      </w:pPr>
      <w:r w:rsidRPr="009B4A78">
        <w:rPr>
          <w:rFonts w:ascii="Arial" w:hAnsi="Arial" w:cs="Arial"/>
          <w:noProof/>
          <w:lang w:eastAsia="en-US"/>
        </w:rPr>
        <w:drawing>
          <wp:inline distT="0" distB="0" distL="0" distR="0" wp14:anchorId="4DFE8D80" wp14:editId="398755DF">
            <wp:extent cx="5519420" cy="3239770"/>
            <wp:effectExtent l="0" t="0" r="24130" b="1778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9985F62" w14:textId="77777777" w:rsidR="00186D1C" w:rsidRPr="009B4A78" w:rsidRDefault="00186D1C" w:rsidP="00984F70">
      <w:pPr>
        <w:shd w:val="clear" w:color="auto" w:fill="FFFFFF"/>
        <w:ind w:left="360"/>
        <w:jc w:val="both"/>
        <w:rPr>
          <w:rFonts w:ascii="Arial" w:eastAsia="Calibri" w:hAnsi="Arial" w:cs="Arial"/>
          <w:color w:val="000000"/>
          <w:sz w:val="20"/>
          <w:szCs w:val="21"/>
        </w:rPr>
      </w:pPr>
    </w:p>
    <w:p w14:paraId="25900600" w14:textId="77777777" w:rsidR="00186D1C" w:rsidRPr="009B4A78" w:rsidRDefault="00186D1C" w:rsidP="00984F70">
      <w:pPr>
        <w:shd w:val="clear" w:color="auto" w:fill="FFFFFF"/>
        <w:ind w:left="360"/>
        <w:jc w:val="both"/>
        <w:rPr>
          <w:rFonts w:ascii="Arial" w:eastAsia="Calibri" w:hAnsi="Arial" w:cs="Arial"/>
          <w:color w:val="000000"/>
          <w:sz w:val="20"/>
          <w:szCs w:val="21"/>
        </w:rPr>
      </w:pPr>
    </w:p>
    <w:p w14:paraId="2142E7D9" w14:textId="77777777" w:rsidR="00186D1C" w:rsidRPr="009B4A78" w:rsidRDefault="00186D1C" w:rsidP="00B66A4A">
      <w:pPr>
        <w:numPr>
          <w:ilvl w:val="0"/>
          <w:numId w:val="17"/>
        </w:numPr>
        <w:shd w:val="clear" w:color="auto" w:fill="FFFFFF"/>
        <w:tabs>
          <w:tab w:val="left" w:pos="709"/>
        </w:tabs>
        <w:suppressAutoHyphens/>
        <w:ind w:left="0" w:firstLine="0"/>
        <w:jc w:val="both"/>
        <w:rPr>
          <w:rFonts w:ascii="Arial" w:eastAsia="Calibri" w:hAnsi="Arial" w:cs="Arial"/>
          <w:color w:val="000000"/>
          <w:sz w:val="20"/>
          <w:szCs w:val="21"/>
        </w:rPr>
      </w:pPr>
      <w:r w:rsidRPr="009B4A78">
        <w:rPr>
          <w:rFonts w:ascii="Arial" w:hAnsi="Arial" w:cs="Arial"/>
          <w:color w:val="000000"/>
          <w:sz w:val="20"/>
          <w:szCs w:val="21"/>
        </w:rPr>
        <w:t xml:space="preserve">All WIPO business solutions are provided at no cost, although the remaining project costs (for example IT hardware and staff costs) are borne by the IP Office.  </w:t>
      </w:r>
      <w:r w:rsidRPr="009B4A78">
        <w:rPr>
          <w:rFonts w:ascii="Arial" w:eastAsia="Calibri" w:hAnsi="Arial" w:cs="Arial"/>
          <w:color w:val="000000"/>
          <w:sz w:val="20"/>
          <w:szCs w:val="21"/>
        </w:rPr>
        <w:t xml:space="preserve">17 of the IP Offices using WIPO software platforms are in LDCs.  </w:t>
      </w:r>
      <w:r w:rsidRPr="009B4A78">
        <w:rPr>
          <w:rFonts w:ascii="Arial" w:hAnsi="Arial" w:cs="Arial"/>
          <w:color w:val="000000"/>
          <w:sz w:val="20"/>
          <w:szCs w:val="21"/>
        </w:rPr>
        <w:t xml:space="preserve">The systems provided include </w:t>
      </w:r>
      <w:r w:rsidRPr="009B4A78">
        <w:rPr>
          <w:rFonts w:ascii="Arial" w:eastAsia="Calibri" w:hAnsi="Arial" w:cs="Arial"/>
          <w:color w:val="000000"/>
          <w:sz w:val="20"/>
          <w:szCs w:val="21"/>
        </w:rPr>
        <w:t xml:space="preserve">the IP Office Administration System (IPAS), WIPO Scan, WIPO EDMS (Electronic Document Management System).  This Program also develops and provides international platforms for processing and prosecution of IP applications such as WIPO DAS (Digital Access Service for transmission of priority documents) and WIPO CASE (Central Access to Search and Examination dossier information) to facilitate international cooperation by IP Offices and to provide cost-effective and efficient services to global users of the IP system. </w:t>
      </w:r>
    </w:p>
    <w:p w14:paraId="1EC52C00" w14:textId="77777777" w:rsidR="00186D1C" w:rsidRPr="009B4A78" w:rsidRDefault="00186D1C" w:rsidP="00984F70">
      <w:pPr>
        <w:pStyle w:val="p1"/>
        <w:shd w:val="clear" w:color="auto" w:fill="FFFFFF"/>
        <w:jc w:val="both"/>
        <w:rPr>
          <w:rFonts w:ascii="Arial" w:hAnsi="Arial" w:cs="Arial"/>
          <w:color w:val="000000"/>
          <w:sz w:val="20"/>
          <w:szCs w:val="21"/>
        </w:rPr>
      </w:pPr>
    </w:p>
    <w:p w14:paraId="0D35D05F" w14:textId="77777777" w:rsidR="00186D1C" w:rsidRPr="009B4A78" w:rsidRDefault="00186D1C" w:rsidP="00984F70">
      <w:pPr>
        <w:pStyle w:val="p1"/>
        <w:shd w:val="clear" w:color="auto" w:fill="FFFFFF"/>
        <w:jc w:val="both"/>
        <w:rPr>
          <w:rFonts w:ascii="Arial" w:hAnsi="Arial" w:cs="Arial"/>
          <w:color w:val="000000"/>
          <w:sz w:val="20"/>
          <w:szCs w:val="21"/>
        </w:rPr>
      </w:pPr>
    </w:p>
    <w:p w14:paraId="64879437" w14:textId="77777777" w:rsidR="00186D1C" w:rsidRPr="009B4A78" w:rsidRDefault="00186D1C" w:rsidP="00984F70">
      <w:pPr>
        <w:jc w:val="both"/>
        <w:rPr>
          <w:rFonts w:ascii="Arial" w:hAnsi="Arial" w:cs="Arial"/>
          <w:bCs/>
          <w:szCs w:val="21"/>
        </w:rPr>
      </w:pPr>
      <w:r w:rsidRPr="009B4A78">
        <w:rPr>
          <w:rFonts w:ascii="Arial" w:hAnsi="Arial" w:cs="Arial"/>
          <w:bCs/>
          <w:szCs w:val="21"/>
        </w:rPr>
        <w:t xml:space="preserve">IMPLEMENTATION STRATEGIES   </w:t>
      </w:r>
    </w:p>
    <w:p w14:paraId="404DFBAA" w14:textId="77777777" w:rsidR="00186D1C" w:rsidRPr="009B4A78" w:rsidRDefault="00186D1C" w:rsidP="00984F70">
      <w:pPr>
        <w:pStyle w:val="p2"/>
        <w:shd w:val="clear" w:color="auto" w:fill="FFFFFF"/>
        <w:jc w:val="both"/>
        <w:rPr>
          <w:rFonts w:ascii="Arial" w:hAnsi="Arial" w:cs="Arial"/>
          <w:color w:val="000000"/>
          <w:sz w:val="20"/>
          <w:szCs w:val="21"/>
        </w:rPr>
      </w:pPr>
    </w:p>
    <w:p w14:paraId="0ABC8200" w14:textId="5C975F5D" w:rsidR="00186D1C" w:rsidRPr="009B4A78" w:rsidRDefault="00186D1C" w:rsidP="00B66A4A">
      <w:pPr>
        <w:numPr>
          <w:ilvl w:val="0"/>
          <w:numId w:val="17"/>
        </w:numPr>
        <w:shd w:val="clear" w:color="auto" w:fill="FFFFFF"/>
        <w:tabs>
          <w:tab w:val="left" w:pos="709"/>
        </w:tabs>
        <w:suppressAutoHyphens/>
        <w:ind w:left="0" w:firstLine="0"/>
        <w:jc w:val="both"/>
        <w:rPr>
          <w:rFonts w:ascii="Arial" w:eastAsia="Calibri" w:hAnsi="Arial" w:cs="Arial"/>
          <w:color w:val="000000"/>
          <w:sz w:val="20"/>
          <w:szCs w:val="21"/>
        </w:rPr>
      </w:pPr>
      <w:r w:rsidRPr="009B4A78">
        <w:rPr>
          <w:rFonts w:ascii="Arial" w:eastAsia="Calibri" w:hAnsi="Arial" w:cs="Arial"/>
          <w:color w:val="000000"/>
          <w:sz w:val="20"/>
          <w:szCs w:val="21"/>
        </w:rPr>
        <w:t>In view of current trends and demands from IP Offices,</w:t>
      </w:r>
      <w:r w:rsidRPr="009B4A78">
        <w:rPr>
          <w:rFonts w:ascii="Arial" w:hAnsi="Arial" w:cs="Arial"/>
          <w:color w:val="000000"/>
          <w:sz w:val="20"/>
          <w:szCs w:val="21"/>
        </w:rPr>
        <w:t xml:space="preserve"> i</w:t>
      </w:r>
      <w:r w:rsidRPr="009B4A78">
        <w:rPr>
          <w:rFonts w:ascii="Arial" w:eastAsia="Calibri" w:hAnsi="Arial" w:cs="Arial"/>
          <w:color w:val="000000"/>
          <w:sz w:val="20"/>
          <w:szCs w:val="21"/>
        </w:rPr>
        <w:t>t is expected that the growth in the number of IP Offices benefiting from the WIPO solutions will reach a total of around 80.  While responding to new demands, implementation strategies will see a progressive shift towards improvement, consolidation and integration of WIPO’s software platforms and its services as well as resultant sustainability and ownerships of administration systems at IP Offices.</w:t>
      </w:r>
    </w:p>
    <w:p w14:paraId="7CD3FA49" w14:textId="77777777" w:rsidR="00186D1C" w:rsidRPr="009B4A78" w:rsidRDefault="00186D1C" w:rsidP="000D2861">
      <w:pPr>
        <w:shd w:val="clear" w:color="auto" w:fill="FFFFFF"/>
        <w:ind w:left="360"/>
        <w:jc w:val="both"/>
        <w:rPr>
          <w:rFonts w:ascii="Arial" w:eastAsia="Calibri" w:hAnsi="Arial" w:cs="Arial"/>
          <w:color w:val="000000"/>
          <w:sz w:val="20"/>
          <w:szCs w:val="21"/>
        </w:rPr>
      </w:pPr>
    </w:p>
    <w:p w14:paraId="6B35BCE0" w14:textId="274DB490" w:rsidR="00186D1C" w:rsidRPr="009B4A78" w:rsidRDefault="00186D1C" w:rsidP="00B66A4A">
      <w:pPr>
        <w:numPr>
          <w:ilvl w:val="0"/>
          <w:numId w:val="17"/>
        </w:numPr>
        <w:shd w:val="clear" w:color="auto" w:fill="FFFFFF"/>
        <w:tabs>
          <w:tab w:val="left" w:pos="709"/>
          <w:tab w:val="left" w:pos="1985"/>
        </w:tabs>
        <w:suppressAutoHyphens/>
        <w:ind w:left="0" w:firstLine="0"/>
        <w:jc w:val="both"/>
        <w:rPr>
          <w:rFonts w:ascii="Arial" w:hAnsi="Arial" w:cs="Arial"/>
          <w:color w:val="000000"/>
          <w:sz w:val="20"/>
          <w:szCs w:val="21"/>
        </w:rPr>
      </w:pPr>
      <w:r w:rsidRPr="009B4A78">
        <w:rPr>
          <w:rFonts w:ascii="Arial" w:hAnsi="Arial" w:cs="Arial"/>
          <w:color w:val="000000"/>
          <w:sz w:val="20"/>
          <w:szCs w:val="21"/>
        </w:rPr>
        <w:t xml:space="preserve">The use of WIPO business solutions will continue to be a very cost-effective option for IP Offices, resulting in costs savings and lower risk than other available alternatives.  WIPO’s business solutions will continue to be improved and </w:t>
      </w:r>
      <w:r w:rsidR="00764DA3">
        <w:rPr>
          <w:rFonts w:ascii="Arial" w:hAnsi="Arial" w:cs="Arial"/>
          <w:color w:val="000000"/>
          <w:sz w:val="20"/>
          <w:szCs w:val="21"/>
        </w:rPr>
        <w:t xml:space="preserve">its </w:t>
      </w:r>
      <w:r w:rsidRPr="009B4A78">
        <w:rPr>
          <w:rFonts w:ascii="Arial" w:hAnsi="Arial" w:cs="Arial"/>
          <w:color w:val="000000"/>
          <w:sz w:val="20"/>
          <w:szCs w:val="21"/>
        </w:rPr>
        <w:t xml:space="preserve">services consolidated.  The challenge for the biennium will be to continue the provision of high quality services in a cost-effective manner, while demand continues to increase.  </w:t>
      </w:r>
    </w:p>
    <w:p w14:paraId="079BCF0C" w14:textId="77777777" w:rsidR="00186D1C" w:rsidRPr="009B4A78" w:rsidRDefault="00186D1C" w:rsidP="00B62F81">
      <w:pPr>
        <w:pStyle w:val="p1"/>
        <w:shd w:val="clear" w:color="auto" w:fill="FFFFFF"/>
        <w:ind w:left="360"/>
        <w:jc w:val="both"/>
        <w:rPr>
          <w:rFonts w:ascii="Arial" w:hAnsi="Arial" w:cs="Arial"/>
          <w:color w:val="000000"/>
          <w:sz w:val="20"/>
          <w:szCs w:val="21"/>
        </w:rPr>
      </w:pPr>
    </w:p>
    <w:p w14:paraId="7F62A199" w14:textId="77777777" w:rsidR="00186D1C" w:rsidRPr="009B4A78" w:rsidRDefault="00186D1C" w:rsidP="00B66A4A">
      <w:pPr>
        <w:numPr>
          <w:ilvl w:val="0"/>
          <w:numId w:val="17"/>
        </w:numPr>
        <w:shd w:val="clear" w:color="auto" w:fill="FFFFFF"/>
        <w:tabs>
          <w:tab w:val="left" w:pos="709"/>
        </w:tabs>
        <w:suppressAutoHyphens/>
        <w:ind w:left="0" w:firstLine="0"/>
        <w:jc w:val="both"/>
        <w:rPr>
          <w:rFonts w:ascii="Arial" w:hAnsi="Arial" w:cs="Arial"/>
          <w:color w:val="000000"/>
          <w:sz w:val="20"/>
          <w:szCs w:val="21"/>
        </w:rPr>
      </w:pPr>
      <w:r w:rsidRPr="009B4A78">
        <w:rPr>
          <w:rFonts w:ascii="Arial" w:hAnsi="Arial" w:cs="Arial"/>
          <w:color w:val="000000"/>
          <w:sz w:val="20"/>
          <w:szCs w:val="21"/>
        </w:rPr>
        <w:t>The following outlines the specific priorities for the biennium:</w:t>
      </w:r>
    </w:p>
    <w:p w14:paraId="05DE6B2A" w14:textId="77777777" w:rsidR="00186D1C" w:rsidRPr="009B4A78" w:rsidRDefault="00186D1C" w:rsidP="00B62F81">
      <w:pPr>
        <w:pStyle w:val="p1"/>
        <w:shd w:val="clear" w:color="auto" w:fill="FFFFFF"/>
        <w:ind w:left="360"/>
        <w:jc w:val="both"/>
        <w:rPr>
          <w:rFonts w:ascii="Arial" w:hAnsi="Arial" w:cs="Arial"/>
          <w:color w:val="000000"/>
          <w:sz w:val="18"/>
          <w:szCs w:val="21"/>
        </w:rPr>
      </w:pPr>
    </w:p>
    <w:p w14:paraId="40C1D20C"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Sustainability of service levels and business continuity will continue to be enhanced by implementing a business continuity and contingency plan and by prioritizing knowledge transfer, training activities and reactive support services;</w:t>
      </w:r>
    </w:p>
    <w:p w14:paraId="66A3DB24" w14:textId="77777777" w:rsidR="00186D1C" w:rsidRPr="009B4A78" w:rsidRDefault="00186D1C" w:rsidP="00B62F81">
      <w:pPr>
        <w:pStyle w:val="p1"/>
        <w:shd w:val="clear" w:color="auto" w:fill="FFFFFF"/>
        <w:ind w:left="993" w:hanging="426"/>
        <w:jc w:val="both"/>
        <w:rPr>
          <w:rFonts w:ascii="Arial" w:hAnsi="Arial" w:cs="Arial"/>
          <w:color w:val="000000"/>
          <w:sz w:val="20"/>
          <w:szCs w:val="21"/>
        </w:rPr>
      </w:pPr>
    </w:p>
    <w:p w14:paraId="371AEA8A"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New software modules for online filing (WIPO File) and for online publication and data exchange (WIPO Publish) will be completed and made available to IP Offices that are ready to deploy them;</w:t>
      </w:r>
    </w:p>
    <w:p w14:paraId="1EA490A5"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2A4DBB9F"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The IPAS system will be enhanced to support new features, including better support for Madrid and PCT applications, better support for industrial designs, and other features requested by users;</w:t>
      </w:r>
    </w:p>
    <w:p w14:paraId="032386A7"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04F15783"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The AIPMS system will be phased out and replaced by IPAS which now fully supports the Arabic language;</w:t>
      </w:r>
    </w:p>
    <w:p w14:paraId="39B701D4"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3CCDE632"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Support processes will continue to be refined (online helpdesk);</w:t>
      </w:r>
    </w:p>
    <w:p w14:paraId="4204E99A" w14:textId="77777777" w:rsidR="00186D1C" w:rsidRPr="009B4A78" w:rsidRDefault="00186D1C" w:rsidP="00984F70">
      <w:pPr>
        <w:pStyle w:val="ListParagraph"/>
        <w:ind w:left="993" w:hanging="426"/>
        <w:jc w:val="both"/>
        <w:rPr>
          <w:rFonts w:ascii="Arial" w:hAnsi="Arial" w:cs="Arial"/>
          <w:color w:val="000000"/>
          <w:sz w:val="20"/>
          <w:szCs w:val="21"/>
        </w:rPr>
      </w:pPr>
    </w:p>
    <w:p w14:paraId="51827FD4" w14:textId="77777777" w:rsidR="00186D1C" w:rsidRPr="009B4A78" w:rsidRDefault="00186D1C" w:rsidP="00B66A4A">
      <w:pPr>
        <w:pStyle w:val="p1"/>
        <w:numPr>
          <w:ilvl w:val="0"/>
          <w:numId w:val="18"/>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A first version of the WCC (WIPO Copyright Connection) system will be made available to a first group of CMOs in developing countries or LDCs;</w:t>
      </w:r>
    </w:p>
    <w:p w14:paraId="166EBB6A"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31188B5B" w14:textId="77777777" w:rsidR="00186D1C" w:rsidRPr="009B4A78" w:rsidRDefault="00186D1C" w:rsidP="00B66A4A">
      <w:pPr>
        <w:pStyle w:val="p1"/>
        <w:numPr>
          <w:ilvl w:val="0"/>
          <w:numId w:val="18"/>
        </w:numPr>
        <w:shd w:val="clear" w:color="auto" w:fill="FFFFFF"/>
        <w:ind w:left="993" w:hanging="426"/>
        <w:jc w:val="both"/>
        <w:rPr>
          <w:rFonts w:ascii="Arial" w:hAnsi="Arial" w:cs="Arial"/>
          <w:bCs/>
          <w:sz w:val="20"/>
          <w:szCs w:val="21"/>
        </w:rPr>
      </w:pPr>
      <w:r w:rsidRPr="009B4A78">
        <w:rPr>
          <w:rFonts w:ascii="Arial" w:hAnsi="Arial" w:cs="Arial"/>
          <w:color w:val="000000"/>
          <w:sz w:val="20"/>
          <w:szCs w:val="21"/>
        </w:rPr>
        <w:t>The WIPO CASE (Centralized Access to Search and Examination results) system will be extended to new participating offices and a public version will be developed to provide global access to the dossier content of participating offices;​</w:t>
      </w:r>
    </w:p>
    <w:p w14:paraId="15A6DE3B" w14:textId="77777777" w:rsidR="00186D1C" w:rsidRPr="009B4A78" w:rsidRDefault="00186D1C" w:rsidP="00984F70">
      <w:pPr>
        <w:pStyle w:val="p1"/>
        <w:shd w:val="clear" w:color="auto" w:fill="FFFFFF"/>
        <w:ind w:left="993" w:hanging="426"/>
        <w:jc w:val="both"/>
        <w:rPr>
          <w:rFonts w:ascii="Arial" w:hAnsi="Arial" w:cs="Arial"/>
          <w:bCs/>
          <w:sz w:val="20"/>
          <w:szCs w:val="21"/>
        </w:rPr>
      </w:pPr>
    </w:p>
    <w:p w14:paraId="3DA82B71" w14:textId="77777777" w:rsidR="00186D1C" w:rsidRPr="009B4A78" w:rsidRDefault="00186D1C" w:rsidP="00B66A4A">
      <w:pPr>
        <w:pStyle w:val="p1"/>
        <w:numPr>
          <w:ilvl w:val="0"/>
          <w:numId w:val="18"/>
        </w:numPr>
        <w:shd w:val="clear" w:color="auto" w:fill="FFFFFF"/>
        <w:ind w:left="993" w:hanging="426"/>
        <w:jc w:val="both"/>
        <w:rPr>
          <w:rFonts w:ascii="Arial" w:hAnsi="Arial" w:cs="Arial"/>
          <w:bCs/>
          <w:sz w:val="20"/>
          <w:szCs w:val="21"/>
        </w:rPr>
      </w:pPr>
      <w:r w:rsidRPr="009B4A78">
        <w:rPr>
          <w:rFonts w:ascii="Arial" w:hAnsi="Arial" w:cs="Arial"/>
          <w:bCs/>
          <w:sz w:val="20"/>
          <w:szCs w:val="21"/>
        </w:rPr>
        <w:t xml:space="preserve">Technical assistance for IP Offices in LDCs for the digitization and data capturing of backlog IP records.  </w:t>
      </w:r>
    </w:p>
    <w:p w14:paraId="779755C1" w14:textId="77777777" w:rsidR="00186D1C" w:rsidRPr="009B4A78" w:rsidRDefault="00186D1C" w:rsidP="00984F70">
      <w:pPr>
        <w:pStyle w:val="ListParagraph"/>
        <w:jc w:val="both"/>
        <w:rPr>
          <w:rFonts w:ascii="Arial" w:hAnsi="Arial" w:cs="Arial"/>
          <w:bCs/>
          <w:sz w:val="20"/>
          <w:szCs w:val="21"/>
        </w:rPr>
      </w:pPr>
    </w:p>
    <w:p w14:paraId="03C1C6CD" w14:textId="77777777" w:rsidR="00186D1C" w:rsidRDefault="00186D1C" w:rsidP="00B66A4A">
      <w:pPr>
        <w:numPr>
          <w:ilvl w:val="0"/>
          <w:numId w:val="17"/>
        </w:numPr>
        <w:shd w:val="clear" w:color="auto" w:fill="FFFFFF"/>
        <w:tabs>
          <w:tab w:val="left" w:pos="709"/>
        </w:tabs>
        <w:suppressAutoHyphens/>
        <w:ind w:left="0" w:firstLine="0"/>
        <w:jc w:val="both"/>
        <w:rPr>
          <w:rFonts w:ascii="Arial" w:hAnsi="Arial" w:cs="Arial"/>
          <w:color w:val="000000"/>
          <w:sz w:val="20"/>
          <w:szCs w:val="21"/>
        </w:rPr>
      </w:pPr>
      <w:r w:rsidRPr="009B4A78">
        <w:rPr>
          <w:rFonts w:ascii="Arial" w:hAnsi="Arial" w:cs="Arial"/>
          <w:color w:val="000000"/>
          <w:sz w:val="20"/>
          <w:szCs w:val="21"/>
        </w:rPr>
        <w:t xml:space="preserve">The design, planning and implementation of activities undertaken by Program 15 are informed and guided by the relevant DA Recommendations in particular 1, 2 and 10.  </w:t>
      </w:r>
    </w:p>
    <w:p w14:paraId="793C6F7E" w14:textId="77777777" w:rsidR="007A5A68" w:rsidRDefault="007A5A68" w:rsidP="00FB68E0">
      <w:pPr>
        <w:shd w:val="clear" w:color="auto" w:fill="FFFFFF"/>
        <w:tabs>
          <w:tab w:val="left" w:pos="709"/>
        </w:tabs>
        <w:suppressAutoHyphens/>
        <w:jc w:val="both"/>
        <w:rPr>
          <w:rFonts w:ascii="Arial" w:hAnsi="Arial" w:cs="Arial"/>
          <w:color w:val="000000"/>
          <w:sz w:val="20"/>
          <w:szCs w:val="21"/>
        </w:rPr>
      </w:pPr>
    </w:p>
    <w:p w14:paraId="515C6383" w14:textId="294558D5" w:rsidR="007A5A68" w:rsidRPr="00FB68E0" w:rsidRDefault="007A5A68" w:rsidP="00B66A4A">
      <w:pPr>
        <w:numPr>
          <w:ilvl w:val="0"/>
          <w:numId w:val="17"/>
        </w:numPr>
        <w:shd w:val="clear" w:color="auto" w:fill="FFFFFF"/>
        <w:tabs>
          <w:tab w:val="left" w:pos="709"/>
        </w:tabs>
        <w:suppressAutoHyphens/>
        <w:ind w:left="0" w:firstLine="0"/>
        <w:jc w:val="both"/>
        <w:rPr>
          <w:rFonts w:ascii="Arial" w:hAnsi="Arial" w:cs="Arial"/>
          <w:color w:val="000000"/>
          <w:sz w:val="20"/>
          <w:szCs w:val="21"/>
        </w:rPr>
      </w:pPr>
      <w:r w:rsidRPr="00FB68E0">
        <w:rPr>
          <w:rFonts w:ascii="Arial" w:hAnsi="Arial" w:cs="Arial"/>
          <w:color w:val="000000"/>
          <w:sz w:val="20"/>
          <w:szCs w:val="21"/>
        </w:rPr>
        <w:t>Program 1</w:t>
      </w:r>
      <w:r>
        <w:rPr>
          <w:rFonts w:ascii="Arial" w:hAnsi="Arial" w:cs="Arial"/>
          <w:color w:val="000000"/>
          <w:sz w:val="20"/>
          <w:szCs w:val="21"/>
        </w:rPr>
        <w:t>5</w:t>
      </w:r>
      <w:r w:rsidRPr="00FB68E0">
        <w:rPr>
          <w:rFonts w:ascii="Arial" w:hAnsi="Arial" w:cs="Arial"/>
          <w:color w:val="000000"/>
          <w:sz w:val="20"/>
          <w:szCs w:val="21"/>
        </w:rPr>
        <w:t xml:space="preserve"> collaborates primarily with other Programs as illustrated below: </w:t>
      </w:r>
    </w:p>
    <w:p w14:paraId="1E8E3A39" w14:textId="77777777" w:rsidR="007A5A68" w:rsidRPr="009B4A78" w:rsidRDefault="007A5A68" w:rsidP="00FB68E0">
      <w:pPr>
        <w:shd w:val="clear" w:color="auto" w:fill="FFFFFF"/>
        <w:tabs>
          <w:tab w:val="left" w:pos="709"/>
        </w:tabs>
        <w:suppressAutoHyphens/>
        <w:jc w:val="both"/>
        <w:rPr>
          <w:rFonts w:ascii="Arial" w:hAnsi="Arial" w:cs="Arial"/>
          <w:color w:val="000000"/>
          <w:sz w:val="20"/>
          <w:szCs w:val="21"/>
        </w:rPr>
      </w:pPr>
    </w:p>
    <w:p w14:paraId="3BF45959" w14:textId="77777777" w:rsidR="00186D1C" w:rsidRPr="009B4A78" w:rsidRDefault="00186D1C" w:rsidP="00984F70">
      <w:pPr>
        <w:rPr>
          <w:rFonts w:ascii="Arial" w:hAnsi="Arial" w:cs="Arial"/>
          <w:sz w:val="18"/>
        </w:rPr>
      </w:pPr>
    </w:p>
    <w:p w14:paraId="281491FC" w14:textId="77777777" w:rsidR="00186D1C" w:rsidRPr="009B4A78" w:rsidRDefault="00186D1C" w:rsidP="00984F70">
      <w:pPr>
        <w:pStyle w:val="p1"/>
        <w:shd w:val="clear" w:color="auto" w:fill="FFFFFF"/>
        <w:ind w:left="720"/>
        <w:rPr>
          <w:rFonts w:ascii="Arial" w:hAnsi="Arial" w:cs="Arial"/>
          <w:bCs/>
          <w:sz w:val="20"/>
          <w:szCs w:val="21"/>
        </w:rPr>
      </w:pPr>
    </w:p>
    <w:p w14:paraId="3831448B" w14:textId="77777777" w:rsidR="00186D1C" w:rsidRPr="009B4A78" w:rsidRDefault="00186D1C" w:rsidP="00984F70">
      <w:pPr>
        <w:pStyle w:val="p1"/>
        <w:shd w:val="clear" w:color="auto" w:fill="FFFFFF"/>
        <w:rPr>
          <w:rFonts w:ascii="Arial" w:hAnsi="Arial" w:cs="Arial"/>
          <w:bCs/>
          <w:sz w:val="20"/>
        </w:rPr>
      </w:pPr>
      <w:r w:rsidRPr="009B4A78">
        <w:rPr>
          <w:rFonts w:ascii="Arial" w:hAnsi="Arial" w:cs="Arial"/>
          <w:noProof/>
          <w:lang w:eastAsia="en-US"/>
        </w:rPr>
        <w:drawing>
          <wp:anchor distT="0" distB="0" distL="114300" distR="114300" simplePos="0" relativeHeight="251663360" behindDoc="0" locked="0" layoutInCell="1" allowOverlap="1" wp14:anchorId="17F614D8" wp14:editId="684B1F38">
            <wp:simplePos x="0" y="0"/>
            <wp:positionH relativeFrom="column">
              <wp:posOffset>-1270</wp:posOffset>
            </wp:positionH>
            <wp:positionV relativeFrom="paragraph">
              <wp:posOffset>635</wp:posOffset>
            </wp:positionV>
            <wp:extent cx="5759450" cy="1794510"/>
            <wp:effectExtent l="0" t="0" r="0" b="15240"/>
            <wp:wrapTopAndBottom/>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14:sizeRelH relativeFrom="page">
              <wp14:pctWidth>0</wp14:pctWidth>
            </wp14:sizeRelH>
            <wp14:sizeRelV relativeFrom="page">
              <wp14:pctHeight>0</wp14:pctHeight>
            </wp14:sizeRelV>
          </wp:anchor>
        </w:drawing>
      </w:r>
    </w:p>
    <w:p w14:paraId="551F53B9" w14:textId="77777777" w:rsidR="00186D1C" w:rsidRPr="009B4A78" w:rsidRDefault="00186D1C" w:rsidP="00984F70">
      <w:pPr>
        <w:pStyle w:val="p1"/>
        <w:shd w:val="clear" w:color="auto" w:fill="FFFFFF"/>
        <w:rPr>
          <w:rFonts w:ascii="Arial" w:hAnsi="Arial" w:cs="Arial"/>
          <w:bCs/>
          <w:sz w:val="20"/>
        </w:rPr>
      </w:pPr>
    </w:p>
    <w:p w14:paraId="214933ED" w14:textId="1059C35F" w:rsidR="00B62F81" w:rsidRPr="009B4A78" w:rsidRDefault="00B62F81">
      <w:pPr>
        <w:rPr>
          <w:rFonts w:ascii="Arial" w:eastAsia="Calibri" w:hAnsi="Arial" w:cs="Arial"/>
          <w:bCs/>
          <w:szCs w:val="24"/>
          <w:lang w:eastAsia="ar-SA"/>
        </w:rPr>
      </w:pPr>
    </w:p>
    <w:p w14:paraId="2DDBC822" w14:textId="50532898" w:rsidR="00186D1C" w:rsidRPr="009B4A78" w:rsidRDefault="00186D1C" w:rsidP="00734F09">
      <w:pPr>
        <w:pStyle w:val="p1"/>
        <w:keepNext/>
        <w:keepLines/>
        <w:shd w:val="clear" w:color="auto" w:fill="FFFFFF"/>
        <w:rPr>
          <w:rFonts w:ascii="Arial" w:hAnsi="Arial" w:cs="Arial"/>
          <w:bCs/>
          <w:sz w:val="22"/>
        </w:rPr>
      </w:pPr>
      <w:r w:rsidRPr="009B4A78">
        <w:rPr>
          <w:rFonts w:ascii="Arial" w:hAnsi="Arial" w:cs="Arial"/>
          <w:bCs/>
          <w:sz w:val="22"/>
        </w:rPr>
        <w:lastRenderedPageBreak/>
        <w:t xml:space="preserve">MAJOR RISKS AND MITIGATION STRATEGIES  </w:t>
      </w:r>
    </w:p>
    <w:p w14:paraId="639997B7" w14:textId="77777777" w:rsidR="00186D1C" w:rsidRPr="009B4A78" w:rsidRDefault="00186D1C" w:rsidP="00734F09">
      <w:pPr>
        <w:keepNext/>
        <w:keepLines/>
        <w:rPr>
          <w:rFonts w:ascii="Arial" w:hAnsi="Arial" w:cs="Arial"/>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186D1C" w:rsidRPr="009B4A78" w14:paraId="3E302FDE" w14:textId="77777777" w:rsidTr="00984F70">
        <w:trPr>
          <w:trHeight w:val="577"/>
        </w:trPr>
        <w:tc>
          <w:tcPr>
            <w:tcW w:w="4253" w:type="dxa"/>
            <w:tcBorders>
              <w:top w:val="single" w:sz="4" w:space="0" w:color="auto"/>
              <w:bottom w:val="single" w:sz="4" w:space="0" w:color="auto"/>
            </w:tcBorders>
            <w:shd w:val="clear" w:color="auto" w:fill="C6D9F1" w:themeFill="text2" w:themeFillTint="33"/>
            <w:vAlign w:val="center"/>
          </w:tcPr>
          <w:p w14:paraId="165E3FBE" w14:textId="77777777" w:rsidR="00186D1C" w:rsidRPr="009B4A78" w:rsidRDefault="00186D1C" w:rsidP="00734F09">
            <w:pPr>
              <w:keepNext/>
              <w:keepLines/>
              <w:jc w:val="center"/>
              <w:rPr>
                <w:rFonts w:ascii="Arial" w:hAnsi="Arial" w:cs="Arial"/>
                <w:b/>
                <w:bCs/>
                <w:sz w:val="18"/>
                <w:szCs w:val="18"/>
                <w:lang w:eastAsia="en-US"/>
              </w:rPr>
            </w:pPr>
            <w:r w:rsidRPr="009B4A78">
              <w:rPr>
                <w:rFonts w:ascii="Arial" w:hAnsi="Arial" w:cs="Arial"/>
                <w:b/>
                <w:bCs/>
                <w:sz w:val="18"/>
                <w:szCs w:val="18"/>
                <w:lang w:eastAsia="en-US"/>
              </w:rPr>
              <w:t>Risk</w:t>
            </w:r>
          </w:p>
        </w:tc>
        <w:tc>
          <w:tcPr>
            <w:tcW w:w="4961" w:type="dxa"/>
            <w:tcBorders>
              <w:top w:val="single" w:sz="4" w:space="0" w:color="auto"/>
              <w:bottom w:val="single" w:sz="4" w:space="0" w:color="auto"/>
            </w:tcBorders>
            <w:shd w:val="clear" w:color="auto" w:fill="C6D9F1" w:themeFill="text2" w:themeFillTint="33"/>
            <w:vAlign w:val="center"/>
          </w:tcPr>
          <w:p w14:paraId="38C023F5" w14:textId="77777777" w:rsidR="00186D1C" w:rsidRPr="009B4A78" w:rsidRDefault="00186D1C" w:rsidP="00734F09">
            <w:pPr>
              <w:keepNext/>
              <w:keepLines/>
              <w:jc w:val="center"/>
              <w:rPr>
                <w:rFonts w:ascii="Arial" w:hAnsi="Arial" w:cs="Arial"/>
                <w:b/>
                <w:bCs/>
                <w:sz w:val="18"/>
                <w:szCs w:val="18"/>
                <w:lang w:eastAsia="en-US"/>
              </w:rPr>
            </w:pPr>
            <w:r w:rsidRPr="009B4A78">
              <w:rPr>
                <w:rFonts w:ascii="Arial" w:hAnsi="Arial" w:cs="Arial"/>
                <w:b/>
                <w:bCs/>
                <w:sz w:val="18"/>
                <w:szCs w:val="18"/>
                <w:lang w:eastAsia="en-US"/>
              </w:rPr>
              <w:t>Mitigation</w:t>
            </w:r>
          </w:p>
        </w:tc>
      </w:tr>
      <w:tr w:rsidR="00186D1C" w:rsidRPr="009B4A78" w14:paraId="7CE321EE" w14:textId="77777777" w:rsidTr="00984F70">
        <w:trPr>
          <w:trHeight w:val="54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59A92486" w14:textId="77777777" w:rsidR="00186D1C" w:rsidRPr="009B4A78" w:rsidRDefault="00186D1C" w:rsidP="00734F09">
            <w:pPr>
              <w:keepNext/>
              <w:keepLines/>
              <w:rPr>
                <w:rFonts w:ascii="Arial" w:hAnsi="Arial" w:cs="Arial"/>
                <w:sz w:val="16"/>
                <w:szCs w:val="16"/>
                <w:lang w:eastAsia="en-US"/>
              </w:rPr>
            </w:pPr>
            <w:r w:rsidRPr="009B4A78">
              <w:rPr>
                <w:rFonts w:ascii="Arial" w:hAnsi="Arial" w:cs="Arial"/>
                <w:color w:val="000000"/>
                <w:sz w:val="16"/>
                <w:lang w:eastAsia="en-US"/>
              </w:rPr>
              <w:t>Inability of IP offices to sustain and continue self-supporting operation of WIPO software systems used for their core business.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48EB1075" w14:textId="77777777" w:rsidR="00186D1C" w:rsidRPr="009B4A78" w:rsidRDefault="00186D1C" w:rsidP="00734F09">
            <w:pPr>
              <w:keepNext/>
              <w:keepLines/>
              <w:rPr>
                <w:rFonts w:ascii="Arial" w:hAnsi="Arial" w:cs="Arial"/>
                <w:sz w:val="16"/>
                <w:szCs w:val="16"/>
                <w:lang w:eastAsia="en-US"/>
              </w:rPr>
            </w:pPr>
            <w:r w:rsidRPr="009B4A78">
              <w:rPr>
                <w:rFonts w:ascii="Arial" w:hAnsi="Arial" w:cs="Arial"/>
                <w:color w:val="000000"/>
                <w:sz w:val="16"/>
                <w:lang w:eastAsia="en-US"/>
              </w:rPr>
              <w:t xml:space="preserve">Ensure training for local IP Office staff. Establish formal procedures for software support and maintenance.  </w:t>
            </w:r>
          </w:p>
        </w:tc>
      </w:tr>
      <w:tr w:rsidR="00186D1C" w:rsidRPr="009B4A78" w14:paraId="12343AC9" w14:textId="77777777" w:rsidTr="00984F70">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3099A7F7" w14:textId="77777777" w:rsidR="00186D1C" w:rsidRPr="009B4A78" w:rsidRDefault="00186D1C" w:rsidP="00734F09">
            <w:pPr>
              <w:keepNext/>
              <w:keepLines/>
              <w:rPr>
                <w:rFonts w:ascii="Arial" w:hAnsi="Arial" w:cs="Arial"/>
                <w:color w:val="000000"/>
                <w:sz w:val="16"/>
                <w:lang w:eastAsia="en-US"/>
              </w:rPr>
            </w:pPr>
            <w:r w:rsidRPr="009B4A78">
              <w:rPr>
                <w:rFonts w:ascii="Arial" w:hAnsi="Arial" w:cs="Arial"/>
                <w:color w:val="000000"/>
                <w:sz w:val="16"/>
                <w:lang w:eastAsia="en-US"/>
              </w:rPr>
              <w:t>Lack of access to technical and proprietary information held by relevant stakeholders, which may be required for the implementation of the WCC project.</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11CD75FE" w14:textId="77777777" w:rsidR="00186D1C" w:rsidRPr="009B4A78" w:rsidRDefault="00186D1C" w:rsidP="00734F09">
            <w:pPr>
              <w:keepNext/>
              <w:keepLines/>
              <w:rPr>
                <w:rFonts w:ascii="Arial" w:hAnsi="Arial" w:cs="Arial"/>
                <w:color w:val="000000"/>
                <w:sz w:val="16"/>
                <w:lang w:eastAsia="en-US"/>
              </w:rPr>
            </w:pPr>
            <w:r w:rsidRPr="009B4A78">
              <w:rPr>
                <w:rFonts w:ascii="Arial" w:hAnsi="Arial" w:cs="Arial"/>
                <w:color w:val="000000"/>
                <w:sz w:val="16"/>
                <w:lang w:eastAsia="en-US"/>
              </w:rPr>
              <w:t>Invite relevant stakeholders to participate in the WCC project Business expert Group meetings to share relevant information.</w:t>
            </w:r>
          </w:p>
        </w:tc>
      </w:tr>
    </w:tbl>
    <w:p w14:paraId="78BFFC9E" w14:textId="77777777" w:rsidR="00186D1C" w:rsidRPr="009B4A78" w:rsidRDefault="00186D1C" w:rsidP="00984F70">
      <w:pPr>
        <w:rPr>
          <w:rFonts w:ascii="Arial" w:hAnsi="Arial" w:cs="Arial"/>
          <w:lang w:eastAsia="en-US"/>
        </w:rPr>
      </w:pPr>
    </w:p>
    <w:p w14:paraId="784B442A" w14:textId="77777777" w:rsidR="00186D1C" w:rsidRPr="009B4A78" w:rsidRDefault="00186D1C">
      <w:pPr>
        <w:jc w:val="center"/>
        <w:rPr>
          <w:rFonts w:ascii="Arial" w:hAnsi="Arial" w:cs="Arial"/>
          <w:b/>
          <w:bCs/>
          <w:sz w:val="20"/>
        </w:rPr>
      </w:pPr>
    </w:p>
    <w:p w14:paraId="7A82E861" w14:textId="77777777" w:rsidR="00186D1C" w:rsidRPr="009B4A78" w:rsidRDefault="00186D1C">
      <w:pPr>
        <w:rPr>
          <w:rFonts w:ascii="Arial" w:hAnsi="Arial" w:cs="Arial"/>
          <w:bCs/>
          <w:szCs w:val="24"/>
        </w:rPr>
      </w:pPr>
      <w:r w:rsidRPr="009B4A78">
        <w:rPr>
          <w:rFonts w:ascii="Arial" w:hAnsi="Arial" w:cs="Arial"/>
          <w:bCs/>
          <w:szCs w:val="24"/>
        </w:rPr>
        <w:t>RESULTS FRAMEWORK</w:t>
      </w:r>
    </w:p>
    <w:p w14:paraId="0B19CB73" w14:textId="77777777" w:rsidR="00186D1C" w:rsidRPr="009B4A78" w:rsidRDefault="00186D1C">
      <w:pPr>
        <w:rPr>
          <w:rFonts w:ascii="Arial" w:hAnsi="Arial" w:cs="Arial"/>
          <w:sz w:val="20"/>
        </w:rPr>
      </w:pPr>
    </w:p>
    <w:tbl>
      <w:tblPr>
        <w:tblW w:w="9229" w:type="dxa"/>
        <w:tblInd w:w="93" w:type="dxa"/>
        <w:tblLook w:val="04A0" w:firstRow="1" w:lastRow="0" w:firstColumn="1" w:lastColumn="0" w:noHBand="0" w:noVBand="1"/>
      </w:tblPr>
      <w:tblGrid>
        <w:gridCol w:w="2940"/>
        <w:gridCol w:w="2543"/>
        <w:gridCol w:w="2250"/>
        <w:gridCol w:w="1496"/>
      </w:tblGrid>
      <w:tr w:rsidR="00186D1C" w:rsidRPr="009B4A78" w14:paraId="0C8BC57A" w14:textId="77777777" w:rsidTr="00B30215">
        <w:trPr>
          <w:trHeight w:val="585"/>
        </w:trPr>
        <w:tc>
          <w:tcPr>
            <w:tcW w:w="294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779EB824"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Expected Results</w:t>
            </w:r>
          </w:p>
        </w:tc>
        <w:tc>
          <w:tcPr>
            <w:tcW w:w="2543" w:type="dxa"/>
            <w:tcBorders>
              <w:top w:val="single" w:sz="4" w:space="0" w:color="auto"/>
              <w:left w:val="nil"/>
              <w:bottom w:val="single" w:sz="4" w:space="0" w:color="auto"/>
              <w:right w:val="nil"/>
            </w:tcBorders>
            <w:shd w:val="clear" w:color="auto" w:fill="C6D9F1" w:themeFill="text2" w:themeFillTint="33"/>
            <w:noWrap/>
            <w:vAlign w:val="center"/>
            <w:hideMark/>
          </w:tcPr>
          <w:p w14:paraId="1F0B3437"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Performance Indicators</w:t>
            </w:r>
          </w:p>
        </w:tc>
        <w:tc>
          <w:tcPr>
            <w:tcW w:w="2250" w:type="dxa"/>
            <w:tcBorders>
              <w:top w:val="single" w:sz="4" w:space="0" w:color="auto"/>
              <w:left w:val="nil"/>
              <w:bottom w:val="single" w:sz="4" w:space="0" w:color="auto"/>
              <w:right w:val="nil"/>
            </w:tcBorders>
            <w:shd w:val="clear" w:color="auto" w:fill="C6D9F1" w:themeFill="text2" w:themeFillTint="33"/>
            <w:noWrap/>
            <w:vAlign w:val="center"/>
            <w:hideMark/>
          </w:tcPr>
          <w:p w14:paraId="0BDEF47B"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Baselines</w:t>
            </w:r>
          </w:p>
        </w:tc>
        <w:tc>
          <w:tcPr>
            <w:tcW w:w="149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55C5A4"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Targets</w:t>
            </w:r>
          </w:p>
        </w:tc>
      </w:tr>
      <w:tr w:rsidR="00186D1C" w:rsidRPr="009B4A78" w14:paraId="5366548B" w14:textId="77777777" w:rsidTr="008D4CE9">
        <w:trPr>
          <w:trHeight w:val="1297"/>
        </w:trPr>
        <w:tc>
          <w:tcPr>
            <w:tcW w:w="2940" w:type="dxa"/>
            <w:vMerge w:val="restart"/>
            <w:tcBorders>
              <w:top w:val="nil"/>
              <w:left w:val="single" w:sz="4" w:space="0" w:color="auto"/>
              <w:bottom w:val="single" w:sz="4" w:space="0" w:color="000000"/>
              <w:right w:val="nil"/>
            </w:tcBorders>
            <w:shd w:val="clear" w:color="000000" w:fill="FFFFFF"/>
            <w:hideMark/>
          </w:tcPr>
          <w:p w14:paraId="692382D4" w14:textId="77777777" w:rsidR="00186D1C" w:rsidRPr="009B4A78" w:rsidRDefault="00186D1C" w:rsidP="00984F70">
            <w:pPr>
              <w:rPr>
                <w:rFonts w:ascii="Arial" w:hAnsi="Arial" w:cs="Arial"/>
                <w:color w:val="000000"/>
                <w:sz w:val="16"/>
                <w:szCs w:val="16"/>
                <w:lang w:eastAsia="en-US"/>
              </w:rPr>
            </w:pPr>
          </w:p>
          <w:p w14:paraId="125EF0FC" w14:textId="77777777" w:rsidR="00186D1C" w:rsidRPr="009B4A78" w:rsidRDefault="00186D1C" w:rsidP="00984F70">
            <w:pPr>
              <w:rPr>
                <w:rFonts w:ascii="Arial" w:hAnsi="Arial" w:cs="Arial"/>
                <w:color w:val="000000"/>
                <w:sz w:val="16"/>
                <w:szCs w:val="16"/>
                <w:lang w:eastAsia="en-US"/>
              </w:rPr>
            </w:pPr>
            <w:r w:rsidRPr="009B4A78">
              <w:rPr>
                <w:rFonts w:ascii="Arial" w:hAnsi="Arial" w:cs="Arial"/>
                <w:color w:val="000000"/>
                <w:sz w:val="16"/>
                <w:szCs w:val="16"/>
                <w:lang w:eastAsia="en-US"/>
              </w:rPr>
              <w:t>IV.4 Enhanced technical and knowledge infrastructure for IP Offices and other IP institutions leading to better services (cheaper, faster, higher quality) to their stakeholders and better outcome of IP Administration</w:t>
            </w:r>
          </w:p>
        </w:tc>
        <w:tc>
          <w:tcPr>
            <w:tcW w:w="2543" w:type="dxa"/>
            <w:tcBorders>
              <w:top w:val="nil"/>
              <w:left w:val="nil"/>
              <w:bottom w:val="nil"/>
              <w:right w:val="nil"/>
            </w:tcBorders>
            <w:shd w:val="clear" w:color="000000" w:fill="FFFFFF"/>
            <w:hideMark/>
          </w:tcPr>
          <w:p w14:paraId="5F4FB196" w14:textId="77777777" w:rsidR="00186D1C" w:rsidRPr="009B4A78" w:rsidRDefault="00186D1C" w:rsidP="008D4CE9">
            <w:pPr>
              <w:ind w:left="86"/>
              <w:rPr>
                <w:rFonts w:ascii="Arial" w:hAnsi="Arial" w:cs="Arial"/>
                <w:color w:val="000000"/>
                <w:sz w:val="16"/>
                <w:szCs w:val="16"/>
                <w:highlight w:val="yellow"/>
                <w:lang w:eastAsia="en-US"/>
              </w:rPr>
            </w:pPr>
          </w:p>
          <w:p w14:paraId="0F5CB09F" w14:textId="77777777" w:rsidR="00186D1C" w:rsidRPr="009B4A78" w:rsidRDefault="00186D1C" w:rsidP="008D4CE9">
            <w:pPr>
              <w:ind w:left="86"/>
              <w:rPr>
                <w:rFonts w:ascii="Arial" w:hAnsi="Arial" w:cs="Arial"/>
                <w:color w:val="000000"/>
                <w:sz w:val="16"/>
                <w:szCs w:val="16"/>
                <w:highlight w:val="yellow"/>
                <w:lang w:eastAsia="en-US"/>
              </w:rPr>
            </w:pPr>
            <w:r w:rsidRPr="009B4A78">
              <w:rPr>
                <w:rFonts w:ascii="Arial" w:hAnsi="Arial" w:cs="Arial"/>
                <w:color w:val="000000"/>
                <w:sz w:val="16"/>
                <w:szCs w:val="16"/>
                <w:lang w:eastAsia="en-US"/>
              </w:rPr>
              <w:t>No. of Offices using WIPO Infrastructure Platforms</w:t>
            </w:r>
          </w:p>
        </w:tc>
        <w:tc>
          <w:tcPr>
            <w:tcW w:w="2250" w:type="dxa"/>
            <w:tcBorders>
              <w:top w:val="nil"/>
              <w:left w:val="nil"/>
              <w:bottom w:val="nil"/>
              <w:right w:val="nil"/>
            </w:tcBorders>
            <w:shd w:val="clear" w:color="000000" w:fill="FFFFFF"/>
            <w:hideMark/>
          </w:tcPr>
          <w:p w14:paraId="71F0712A" w14:textId="77777777" w:rsidR="00186D1C" w:rsidRPr="009B4A78" w:rsidRDefault="00186D1C" w:rsidP="008D4CE9">
            <w:pPr>
              <w:ind w:left="94"/>
              <w:rPr>
                <w:rFonts w:ascii="Arial" w:hAnsi="Arial" w:cs="Arial"/>
                <w:color w:val="000000"/>
                <w:sz w:val="16"/>
                <w:szCs w:val="16"/>
                <w:highlight w:val="yellow"/>
                <w:lang w:eastAsia="en-US"/>
              </w:rPr>
            </w:pPr>
          </w:p>
          <w:p w14:paraId="30325B4F" w14:textId="77777777" w:rsidR="00186D1C" w:rsidRPr="009B4A78" w:rsidRDefault="00186D1C" w:rsidP="008D4CE9">
            <w:pPr>
              <w:ind w:left="94"/>
              <w:rPr>
                <w:rFonts w:ascii="Arial" w:hAnsi="Arial" w:cs="Arial"/>
                <w:color w:val="000000"/>
                <w:sz w:val="16"/>
                <w:szCs w:val="16"/>
                <w:lang w:eastAsia="en-US"/>
              </w:rPr>
            </w:pPr>
            <w:r w:rsidRPr="009B4A78">
              <w:rPr>
                <w:rFonts w:ascii="Arial" w:hAnsi="Arial" w:cs="Arial"/>
                <w:color w:val="000000"/>
                <w:sz w:val="16"/>
                <w:szCs w:val="16"/>
                <w:lang w:eastAsia="en-US"/>
              </w:rPr>
              <w:t>22 Offices as of March 2015</w:t>
            </w:r>
          </w:p>
          <w:p w14:paraId="16E5B3B4" w14:textId="22DF4A79" w:rsidR="00186D1C" w:rsidRPr="009B4A78" w:rsidRDefault="005A4F9B" w:rsidP="008D4CE9">
            <w:pPr>
              <w:ind w:left="94"/>
              <w:rPr>
                <w:rFonts w:ascii="Arial" w:hAnsi="Arial" w:cs="Arial"/>
                <w:color w:val="000000"/>
                <w:sz w:val="16"/>
                <w:szCs w:val="16"/>
                <w:lang w:eastAsia="en-US"/>
              </w:rPr>
            </w:pPr>
            <w:r>
              <w:rPr>
                <w:rFonts w:ascii="Arial" w:hAnsi="Arial" w:cs="Arial"/>
                <w:color w:val="000000"/>
                <w:sz w:val="16"/>
                <w:szCs w:val="16"/>
                <w:lang w:eastAsia="en-US"/>
              </w:rPr>
              <w:t>Asia and the Pacific</w:t>
            </w:r>
            <w:r w:rsidR="00186D1C" w:rsidRPr="009B4A78">
              <w:rPr>
                <w:rFonts w:ascii="Arial" w:hAnsi="Arial" w:cs="Arial"/>
                <w:color w:val="000000"/>
                <w:sz w:val="16"/>
                <w:szCs w:val="16"/>
                <w:lang w:eastAsia="en-US"/>
              </w:rPr>
              <w:t>: 12</w:t>
            </w:r>
          </w:p>
          <w:p w14:paraId="052BB73E" w14:textId="6B38C059" w:rsidR="00186D1C" w:rsidRPr="009B4A78" w:rsidRDefault="005A4F9B" w:rsidP="008D4CE9">
            <w:pPr>
              <w:ind w:left="94"/>
              <w:rPr>
                <w:rFonts w:ascii="Arial" w:hAnsi="Arial" w:cs="Arial"/>
                <w:color w:val="000000"/>
                <w:sz w:val="16"/>
                <w:szCs w:val="16"/>
                <w:lang w:eastAsia="en-US"/>
              </w:rPr>
            </w:pPr>
            <w:r>
              <w:rPr>
                <w:rFonts w:ascii="Arial" w:hAnsi="Arial" w:cs="Arial"/>
                <w:color w:val="000000"/>
                <w:sz w:val="16"/>
                <w:szCs w:val="16"/>
                <w:lang w:eastAsia="en-US"/>
              </w:rPr>
              <w:t>Transition countries</w:t>
            </w:r>
            <w:r w:rsidR="00186D1C" w:rsidRPr="009B4A78">
              <w:rPr>
                <w:rFonts w:ascii="Arial" w:hAnsi="Arial" w:cs="Arial"/>
                <w:color w:val="000000"/>
                <w:sz w:val="16"/>
                <w:szCs w:val="16"/>
                <w:lang w:eastAsia="en-US"/>
              </w:rPr>
              <w:t>: 1</w:t>
            </w:r>
          </w:p>
          <w:p w14:paraId="7921777F" w14:textId="7B37FF9A" w:rsidR="00186D1C" w:rsidRPr="009B4A78" w:rsidRDefault="00186D1C" w:rsidP="008D4CE9">
            <w:pPr>
              <w:ind w:left="94"/>
              <w:rPr>
                <w:rFonts w:ascii="Arial" w:hAnsi="Arial" w:cs="Arial"/>
                <w:color w:val="000000"/>
                <w:sz w:val="16"/>
                <w:szCs w:val="16"/>
                <w:highlight w:val="yellow"/>
                <w:lang w:eastAsia="en-US"/>
              </w:rPr>
            </w:pPr>
            <w:r w:rsidRPr="009B4A78">
              <w:rPr>
                <w:rFonts w:ascii="Arial" w:hAnsi="Arial" w:cs="Arial"/>
                <w:color w:val="000000"/>
                <w:sz w:val="16"/>
                <w:szCs w:val="16"/>
                <w:lang w:eastAsia="en-US"/>
              </w:rPr>
              <w:t>D</w:t>
            </w:r>
            <w:r w:rsidR="005A4F9B">
              <w:rPr>
                <w:rFonts w:ascii="Arial" w:hAnsi="Arial" w:cs="Arial"/>
                <w:color w:val="000000"/>
                <w:sz w:val="16"/>
                <w:szCs w:val="16"/>
                <w:lang w:eastAsia="en-US"/>
              </w:rPr>
              <w:t>eveloped countries</w:t>
            </w:r>
            <w:r w:rsidRPr="009B4A78">
              <w:rPr>
                <w:rFonts w:ascii="Arial" w:hAnsi="Arial" w:cs="Arial"/>
                <w:color w:val="000000"/>
                <w:sz w:val="16"/>
                <w:szCs w:val="16"/>
                <w:lang w:eastAsia="en-US"/>
              </w:rPr>
              <w:t>: 9</w:t>
            </w:r>
          </w:p>
        </w:tc>
        <w:tc>
          <w:tcPr>
            <w:tcW w:w="1496" w:type="dxa"/>
            <w:tcBorders>
              <w:top w:val="nil"/>
              <w:left w:val="nil"/>
              <w:bottom w:val="nil"/>
              <w:right w:val="single" w:sz="4" w:space="0" w:color="auto"/>
            </w:tcBorders>
            <w:shd w:val="clear" w:color="000000" w:fill="FFFFFF"/>
            <w:hideMark/>
          </w:tcPr>
          <w:p w14:paraId="13F24943" w14:textId="77777777" w:rsidR="00186D1C" w:rsidRPr="009B4A78" w:rsidRDefault="00186D1C" w:rsidP="008D4CE9">
            <w:pPr>
              <w:rPr>
                <w:rFonts w:ascii="Arial" w:hAnsi="Arial" w:cs="Arial"/>
                <w:color w:val="000000"/>
                <w:sz w:val="16"/>
                <w:szCs w:val="16"/>
                <w:highlight w:val="yellow"/>
                <w:lang w:eastAsia="en-US"/>
              </w:rPr>
            </w:pPr>
          </w:p>
          <w:p w14:paraId="50F1480F" w14:textId="77777777" w:rsidR="00186D1C" w:rsidRPr="009B4A78" w:rsidRDefault="00186D1C" w:rsidP="008D4CE9">
            <w:pPr>
              <w:rPr>
                <w:rFonts w:ascii="Arial" w:hAnsi="Arial" w:cs="Arial"/>
                <w:color w:val="000000"/>
                <w:sz w:val="16"/>
                <w:szCs w:val="16"/>
                <w:highlight w:val="yellow"/>
                <w:lang w:eastAsia="en-US"/>
              </w:rPr>
            </w:pPr>
            <w:r w:rsidRPr="009B4A78">
              <w:rPr>
                <w:rFonts w:ascii="Arial" w:hAnsi="Arial" w:cs="Arial"/>
                <w:color w:val="000000"/>
                <w:sz w:val="16"/>
                <w:szCs w:val="16"/>
                <w:lang w:eastAsia="en-US"/>
              </w:rPr>
              <w:t>29 Offices end 2017</w:t>
            </w:r>
          </w:p>
        </w:tc>
      </w:tr>
      <w:tr w:rsidR="00186D1C" w:rsidRPr="009B4A78" w14:paraId="03EDE979" w14:textId="77777777" w:rsidTr="00B30215">
        <w:trPr>
          <w:trHeight w:val="716"/>
        </w:trPr>
        <w:tc>
          <w:tcPr>
            <w:tcW w:w="2940" w:type="dxa"/>
            <w:vMerge/>
            <w:tcBorders>
              <w:top w:val="nil"/>
              <w:left w:val="single" w:sz="4" w:space="0" w:color="auto"/>
              <w:bottom w:val="single" w:sz="4" w:space="0" w:color="000000"/>
              <w:right w:val="nil"/>
            </w:tcBorders>
            <w:vAlign w:val="center"/>
            <w:hideMark/>
          </w:tcPr>
          <w:p w14:paraId="17C64452" w14:textId="77777777" w:rsidR="00186D1C" w:rsidRPr="009B4A78" w:rsidRDefault="00186D1C" w:rsidP="00984F70">
            <w:pPr>
              <w:rPr>
                <w:rFonts w:ascii="Arial" w:hAnsi="Arial" w:cs="Arial"/>
                <w:color w:val="000000"/>
                <w:sz w:val="16"/>
                <w:szCs w:val="16"/>
                <w:lang w:eastAsia="en-US"/>
              </w:rPr>
            </w:pPr>
          </w:p>
        </w:tc>
        <w:tc>
          <w:tcPr>
            <w:tcW w:w="2543" w:type="dxa"/>
            <w:tcBorders>
              <w:top w:val="nil"/>
              <w:left w:val="nil"/>
              <w:bottom w:val="nil"/>
              <w:right w:val="nil"/>
            </w:tcBorders>
            <w:shd w:val="clear" w:color="000000" w:fill="FFFFFF"/>
            <w:hideMark/>
          </w:tcPr>
          <w:p w14:paraId="2C37BFE1" w14:textId="77777777" w:rsidR="00186D1C" w:rsidRPr="009B4A78" w:rsidRDefault="00186D1C" w:rsidP="008D4CE9">
            <w:pPr>
              <w:ind w:left="86"/>
              <w:rPr>
                <w:rFonts w:ascii="Arial" w:hAnsi="Arial" w:cs="Arial"/>
                <w:color w:val="000000"/>
                <w:sz w:val="16"/>
                <w:szCs w:val="16"/>
                <w:lang w:eastAsia="en-US"/>
              </w:rPr>
            </w:pPr>
            <w:r w:rsidRPr="009B4A78">
              <w:rPr>
                <w:rFonts w:ascii="Arial" w:hAnsi="Arial" w:cs="Arial"/>
                <w:color w:val="000000"/>
                <w:sz w:val="16"/>
                <w:szCs w:val="16"/>
                <w:lang w:eastAsia="en-US"/>
              </w:rPr>
              <w:t>Average Service Level of IP Offices assisted (ranging from 1 to 5)</w:t>
            </w:r>
          </w:p>
        </w:tc>
        <w:tc>
          <w:tcPr>
            <w:tcW w:w="2250" w:type="dxa"/>
            <w:tcBorders>
              <w:top w:val="nil"/>
              <w:left w:val="nil"/>
              <w:bottom w:val="nil"/>
              <w:right w:val="nil"/>
            </w:tcBorders>
            <w:shd w:val="clear" w:color="000000" w:fill="FFFFFF"/>
            <w:hideMark/>
          </w:tcPr>
          <w:p w14:paraId="71C8D627" w14:textId="77777777" w:rsidR="00186D1C" w:rsidRPr="009B4A78" w:rsidRDefault="00186D1C" w:rsidP="008D4CE9">
            <w:pPr>
              <w:ind w:left="94" w:firstLineChars="200" w:firstLine="320"/>
              <w:rPr>
                <w:rFonts w:ascii="Arial" w:hAnsi="Arial" w:cs="Arial"/>
                <w:color w:val="000000"/>
                <w:sz w:val="16"/>
                <w:szCs w:val="16"/>
                <w:lang w:eastAsia="en-US"/>
              </w:rPr>
            </w:pPr>
            <w:r w:rsidRPr="009B4A78">
              <w:rPr>
                <w:rFonts w:ascii="Arial" w:hAnsi="Arial" w:cs="Arial"/>
                <w:color w:val="000000"/>
                <w:sz w:val="16"/>
                <w:szCs w:val="16"/>
                <w:lang w:eastAsia="en-US"/>
              </w:rPr>
              <w:t>2.9 end 2015</w:t>
            </w:r>
          </w:p>
        </w:tc>
        <w:tc>
          <w:tcPr>
            <w:tcW w:w="1496" w:type="dxa"/>
            <w:tcBorders>
              <w:top w:val="nil"/>
              <w:left w:val="nil"/>
              <w:bottom w:val="nil"/>
              <w:right w:val="single" w:sz="4" w:space="0" w:color="auto"/>
            </w:tcBorders>
            <w:shd w:val="clear" w:color="000000" w:fill="FFFFFF"/>
            <w:hideMark/>
          </w:tcPr>
          <w:p w14:paraId="40CC97F2" w14:textId="77777777" w:rsidR="00186D1C" w:rsidRPr="009B4A78" w:rsidRDefault="00186D1C" w:rsidP="008D4CE9">
            <w:pPr>
              <w:rPr>
                <w:rFonts w:ascii="Arial" w:hAnsi="Arial" w:cs="Arial"/>
                <w:color w:val="000000"/>
                <w:sz w:val="16"/>
                <w:szCs w:val="16"/>
                <w:lang w:eastAsia="en-US"/>
              </w:rPr>
            </w:pPr>
            <w:r w:rsidRPr="009B4A78">
              <w:rPr>
                <w:rFonts w:ascii="Arial" w:hAnsi="Arial" w:cs="Arial"/>
                <w:color w:val="000000"/>
                <w:sz w:val="16"/>
                <w:szCs w:val="16"/>
                <w:lang w:eastAsia="en-US"/>
              </w:rPr>
              <w:t>3 end 2017</w:t>
            </w:r>
          </w:p>
        </w:tc>
      </w:tr>
      <w:tr w:rsidR="00186D1C" w:rsidRPr="009B4A78" w14:paraId="2609AAC5" w14:textId="77777777" w:rsidTr="00B30215">
        <w:trPr>
          <w:trHeight w:val="1166"/>
        </w:trPr>
        <w:tc>
          <w:tcPr>
            <w:tcW w:w="2940" w:type="dxa"/>
            <w:vMerge/>
            <w:tcBorders>
              <w:top w:val="nil"/>
              <w:left w:val="single" w:sz="4" w:space="0" w:color="auto"/>
              <w:bottom w:val="single" w:sz="4" w:space="0" w:color="000000"/>
              <w:right w:val="nil"/>
            </w:tcBorders>
            <w:vAlign w:val="center"/>
            <w:hideMark/>
          </w:tcPr>
          <w:p w14:paraId="5922702B" w14:textId="77777777" w:rsidR="00186D1C" w:rsidRPr="009B4A78" w:rsidRDefault="00186D1C" w:rsidP="00984F70">
            <w:pPr>
              <w:rPr>
                <w:rFonts w:ascii="Arial" w:hAnsi="Arial" w:cs="Arial"/>
                <w:color w:val="000000"/>
                <w:sz w:val="16"/>
                <w:szCs w:val="16"/>
                <w:lang w:eastAsia="en-US"/>
              </w:rPr>
            </w:pPr>
          </w:p>
        </w:tc>
        <w:tc>
          <w:tcPr>
            <w:tcW w:w="2543" w:type="dxa"/>
            <w:tcBorders>
              <w:top w:val="nil"/>
              <w:left w:val="nil"/>
              <w:bottom w:val="single" w:sz="4" w:space="0" w:color="auto"/>
              <w:right w:val="nil"/>
            </w:tcBorders>
            <w:shd w:val="clear" w:color="000000" w:fill="FFFFFF"/>
            <w:hideMark/>
          </w:tcPr>
          <w:p w14:paraId="1935F7B7" w14:textId="77777777" w:rsidR="00186D1C" w:rsidRPr="009B4A78" w:rsidRDefault="00186D1C" w:rsidP="008D4CE9">
            <w:pPr>
              <w:ind w:left="86"/>
              <w:rPr>
                <w:rFonts w:ascii="Arial" w:hAnsi="Arial" w:cs="Arial"/>
                <w:color w:val="000000"/>
                <w:sz w:val="16"/>
                <w:szCs w:val="16"/>
                <w:lang w:eastAsia="en-US"/>
              </w:rPr>
            </w:pPr>
            <w:r w:rsidRPr="009B4A78">
              <w:rPr>
                <w:rFonts w:ascii="Arial" w:hAnsi="Arial" w:cs="Arial"/>
                <w:color w:val="000000"/>
                <w:sz w:val="16"/>
                <w:szCs w:val="16"/>
                <w:lang w:eastAsia="en-US"/>
              </w:rPr>
              <w:t>No. of Collective Management Organizations (CMOs) in developing countries and LDCs participating in regional and global networks facilitated by WIPO</w:t>
            </w:r>
          </w:p>
        </w:tc>
        <w:tc>
          <w:tcPr>
            <w:tcW w:w="2250" w:type="dxa"/>
            <w:tcBorders>
              <w:top w:val="nil"/>
              <w:left w:val="nil"/>
              <w:bottom w:val="single" w:sz="4" w:space="0" w:color="auto"/>
              <w:right w:val="nil"/>
            </w:tcBorders>
            <w:shd w:val="clear" w:color="000000" w:fill="FFFFFF"/>
            <w:hideMark/>
          </w:tcPr>
          <w:p w14:paraId="466CF601" w14:textId="77777777" w:rsidR="00186D1C" w:rsidRPr="009B4A78" w:rsidRDefault="00186D1C" w:rsidP="008D4CE9">
            <w:pPr>
              <w:ind w:left="94"/>
              <w:rPr>
                <w:rFonts w:ascii="Arial" w:hAnsi="Arial" w:cs="Arial"/>
                <w:color w:val="000000"/>
                <w:sz w:val="16"/>
                <w:szCs w:val="16"/>
                <w:lang w:eastAsia="en-US"/>
              </w:rPr>
            </w:pPr>
            <w:r w:rsidRPr="009B4A78">
              <w:rPr>
                <w:rFonts w:ascii="Arial" w:hAnsi="Arial" w:cs="Arial"/>
                <w:color w:val="000000"/>
                <w:sz w:val="16"/>
                <w:szCs w:val="16"/>
                <w:lang w:eastAsia="en-US"/>
              </w:rPr>
              <w:t>Zero CMOs end 2015</w:t>
            </w:r>
          </w:p>
        </w:tc>
        <w:tc>
          <w:tcPr>
            <w:tcW w:w="1496" w:type="dxa"/>
            <w:tcBorders>
              <w:top w:val="nil"/>
              <w:left w:val="nil"/>
              <w:bottom w:val="single" w:sz="4" w:space="0" w:color="auto"/>
              <w:right w:val="single" w:sz="4" w:space="0" w:color="auto"/>
            </w:tcBorders>
            <w:shd w:val="clear" w:color="000000" w:fill="FFFFFF"/>
            <w:hideMark/>
          </w:tcPr>
          <w:p w14:paraId="5D266BFD" w14:textId="77777777" w:rsidR="00186D1C" w:rsidRPr="009B4A78" w:rsidRDefault="00186D1C" w:rsidP="008D4CE9">
            <w:pPr>
              <w:rPr>
                <w:rFonts w:ascii="Arial" w:hAnsi="Arial" w:cs="Arial"/>
                <w:color w:val="000000"/>
                <w:sz w:val="16"/>
                <w:szCs w:val="16"/>
                <w:lang w:eastAsia="en-US"/>
              </w:rPr>
            </w:pPr>
            <w:r w:rsidRPr="009B4A78">
              <w:rPr>
                <w:rFonts w:ascii="Arial" w:hAnsi="Arial" w:cs="Arial"/>
                <w:color w:val="000000"/>
                <w:sz w:val="16"/>
                <w:szCs w:val="16"/>
                <w:lang w:eastAsia="en-US"/>
              </w:rPr>
              <w:t>7 CMOs end 2017</w:t>
            </w:r>
          </w:p>
        </w:tc>
      </w:tr>
    </w:tbl>
    <w:p w14:paraId="5BE90395" w14:textId="77777777" w:rsidR="00186D1C" w:rsidRPr="009B4A78" w:rsidRDefault="00186D1C">
      <w:pPr>
        <w:rPr>
          <w:rFonts w:ascii="Arial" w:hAnsi="Arial" w:cs="Arial"/>
          <w:sz w:val="20"/>
        </w:rPr>
      </w:pPr>
    </w:p>
    <w:p w14:paraId="153B57ED" w14:textId="77777777" w:rsidR="00186D1C" w:rsidRPr="009B4A78" w:rsidRDefault="00186D1C">
      <w:pPr>
        <w:rPr>
          <w:rFonts w:ascii="Arial" w:hAnsi="Arial" w:cs="Arial"/>
          <w:sz w:val="20"/>
        </w:rPr>
      </w:pPr>
    </w:p>
    <w:p w14:paraId="20A8EF0C" w14:textId="77777777" w:rsidR="00186D1C" w:rsidRPr="009B4A78" w:rsidRDefault="00186D1C">
      <w:pPr>
        <w:rPr>
          <w:rFonts w:ascii="Arial" w:hAnsi="Arial" w:cs="Arial"/>
        </w:rPr>
      </w:pPr>
      <w:r w:rsidRPr="009B4A78">
        <w:rPr>
          <w:rFonts w:ascii="Arial" w:hAnsi="Arial" w:cs="Arial"/>
        </w:rPr>
        <w:t>RESOURCES FOR PROGRAM 15</w:t>
      </w:r>
    </w:p>
    <w:p w14:paraId="0BE771EF" w14:textId="77777777" w:rsidR="00186D1C" w:rsidRPr="009B4A78" w:rsidRDefault="00186D1C">
      <w:pPr>
        <w:rPr>
          <w:rFonts w:ascii="Arial" w:hAnsi="Arial" w:cs="Arial"/>
        </w:rPr>
      </w:pPr>
    </w:p>
    <w:p w14:paraId="490A97BE" w14:textId="77777777" w:rsidR="00186D1C" w:rsidRPr="00FB68E0" w:rsidRDefault="00186D1C" w:rsidP="00B66A4A">
      <w:pPr>
        <w:numPr>
          <w:ilvl w:val="0"/>
          <w:numId w:val="17"/>
        </w:numPr>
        <w:shd w:val="clear" w:color="auto" w:fill="FFFFFF"/>
        <w:tabs>
          <w:tab w:val="left" w:pos="709"/>
        </w:tabs>
        <w:suppressAutoHyphens/>
        <w:ind w:left="0" w:firstLine="0"/>
        <w:jc w:val="both"/>
        <w:rPr>
          <w:rFonts w:ascii="Arial" w:hAnsi="Arial" w:cs="Arial"/>
          <w:sz w:val="20"/>
          <w:szCs w:val="20"/>
        </w:rPr>
      </w:pPr>
      <w:r w:rsidRPr="00FB68E0">
        <w:rPr>
          <w:rFonts w:ascii="Arial" w:hAnsi="Arial" w:cs="Arial"/>
          <w:sz w:val="20"/>
          <w:szCs w:val="20"/>
        </w:rPr>
        <w:t xml:space="preserve">The </w:t>
      </w:r>
      <w:r w:rsidRPr="009B4A78">
        <w:rPr>
          <w:rFonts w:ascii="Arial" w:hAnsi="Arial" w:cs="Arial"/>
          <w:sz w:val="20"/>
        </w:rPr>
        <w:t xml:space="preserve">increase in the overall resources (both personnel and non-personnel resources) in 2016/17 compared to the 2014/15 Budget after Transfers reflects </w:t>
      </w:r>
      <w:r w:rsidRPr="00FB68E0">
        <w:rPr>
          <w:rFonts w:ascii="Arial" w:hAnsi="Arial" w:cs="Arial"/>
          <w:sz w:val="20"/>
          <w:szCs w:val="20"/>
        </w:rPr>
        <w:t xml:space="preserve">the transfer of </w:t>
      </w:r>
      <w:r w:rsidRPr="009B4A78">
        <w:rPr>
          <w:rFonts w:ascii="Arial" w:hAnsi="Arial" w:cs="Arial"/>
          <w:sz w:val="20"/>
        </w:rPr>
        <w:t xml:space="preserve">responsibilities for the development, deployment of the </w:t>
      </w:r>
      <w:r w:rsidRPr="009B4A78">
        <w:rPr>
          <w:rFonts w:ascii="Arial" w:hAnsi="Arial" w:cs="Arial"/>
          <w:color w:val="000000"/>
          <w:sz w:val="20"/>
        </w:rPr>
        <w:t xml:space="preserve">WCC </w:t>
      </w:r>
      <w:r w:rsidRPr="009B4A78">
        <w:rPr>
          <w:rFonts w:ascii="Arial" w:hAnsi="Arial" w:cs="Arial"/>
          <w:sz w:val="20"/>
        </w:rPr>
        <w:t>software platform and related support to CMOs from Program 3 (Copyright and Related rights) to the Program. In addition, the increase reflects the additional personnel resources deployed from Program 12 to reinforce the support to IP Offices globally</w:t>
      </w:r>
      <w:r w:rsidRPr="00FB68E0">
        <w:rPr>
          <w:rFonts w:ascii="Arial" w:hAnsi="Arial" w:cs="Arial"/>
          <w:sz w:val="20"/>
          <w:szCs w:val="20"/>
        </w:rPr>
        <w:t xml:space="preserve">. </w:t>
      </w:r>
    </w:p>
    <w:p w14:paraId="366C3D86" w14:textId="77777777" w:rsidR="00186D1C" w:rsidRPr="009B4A78" w:rsidRDefault="00186D1C" w:rsidP="00984F70">
      <w:pPr>
        <w:rPr>
          <w:rFonts w:ascii="Arial" w:hAnsi="Arial" w:cs="Arial"/>
          <w:sz w:val="24"/>
          <w:szCs w:val="24"/>
        </w:rPr>
      </w:pPr>
    </w:p>
    <w:p w14:paraId="71810DED" w14:textId="77777777" w:rsidR="00186D1C" w:rsidRPr="009B4A78" w:rsidRDefault="00186D1C">
      <w:pPr>
        <w:rPr>
          <w:rFonts w:ascii="Arial" w:hAnsi="Arial" w:cs="Arial"/>
        </w:rPr>
      </w:pPr>
    </w:p>
    <w:p w14:paraId="7F002B8A" w14:textId="77777777" w:rsidR="00186D1C" w:rsidRPr="009B4A78" w:rsidRDefault="00186D1C" w:rsidP="00984F70">
      <w:pPr>
        <w:tabs>
          <w:tab w:val="left" w:pos="1427"/>
        </w:tabs>
        <w:jc w:val="center"/>
        <w:rPr>
          <w:rFonts w:ascii="Arial" w:hAnsi="Arial" w:cs="Arial"/>
          <w:lang w:eastAsia="en-US"/>
        </w:rPr>
      </w:pPr>
      <w:r w:rsidRPr="009B4A78">
        <w:rPr>
          <w:rFonts w:ascii="Arial" w:hAnsi="Arial" w:cs="Arial"/>
          <w:b/>
          <w:sz w:val="20"/>
          <w:szCs w:val="24"/>
        </w:rPr>
        <w:t>Program 15:  Resources by Result</w:t>
      </w:r>
    </w:p>
    <w:p w14:paraId="4493434B" w14:textId="77777777" w:rsidR="00186D1C" w:rsidRPr="009B4A78" w:rsidRDefault="00186D1C" w:rsidP="00984F70">
      <w:pPr>
        <w:tabs>
          <w:tab w:val="left" w:pos="1427"/>
        </w:tabs>
        <w:jc w:val="center"/>
        <w:rPr>
          <w:rFonts w:ascii="Arial" w:hAnsi="Arial" w:cs="Arial"/>
          <w:lang w:eastAsia="en-US"/>
        </w:rPr>
      </w:pPr>
      <w:r w:rsidRPr="009B4A78">
        <w:rPr>
          <w:rFonts w:ascii="Arial" w:hAnsi="Arial" w:cs="Arial"/>
          <w:i/>
          <w:sz w:val="20"/>
          <w:szCs w:val="24"/>
        </w:rPr>
        <w:t>(In thousands of Swiss francs)</w:t>
      </w:r>
    </w:p>
    <w:p w14:paraId="60897F51" w14:textId="77777777" w:rsidR="00186D1C" w:rsidRPr="009B4A78" w:rsidRDefault="00186D1C">
      <w:pPr>
        <w:rPr>
          <w:rFonts w:ascii="Arial" w:hAnsi="Arial" w:cs="Arial"/>
        </w:rPr>
      </w:pPr>
    </w:p>
    <w:p w14:paraId="3BAF5D00" w14:textId="79124796" w:rsidR="00186D1C" w:rsidRPr="009B4A78" w:rsidRDefault="00186D1C" w:rsidP="00186D1C">
      <w:pPr>
        <w:jc w:val="center"/>
        <w:rPr>
          <w:rFonts w:ascii="Arial" w:hAnsi="Arial" w:cs="Arial"/>
        </w:rPr>
      </w:pPr>
      <w:r w:rsidRPr="009B4A78">
        <w:rPr>
          <w:rFonts w:ascii="Arial" w:hAnsi="Arial" w:cs="Arial"/>
          <w:noProof/>
          <w:lang w:eastAsia="en-US"/>
        </w:rPr>
        <w:drawing>
          <wp:inline distT="0" distB="0" distL="0" distR="0" wp14:anchorId="174051DC" wp14:editId="62355029">
            <wp:extent cx="5181600" cy="1171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16614" cy="1179492"/>
                    </a:xfrm>
                    <a:prstGeom prst="rect">
                      <a:avLst/>
                    </a:prstGeom>
                    <a:noFill/>
                    <a:ln>
                      <a:noFill/>
                    </a:ln>
                  </pic:spPr>
                </pic:pic>
              </a:graphicData>
            </a:graphic>
          </wp:inline>
        </w:drawing>
      </w:r>
    </w:p>
    <w:p w14:paraId="518FA0AA" w14:textId="77777777" w:rsidR="00186D1C" w:rsidRPr="009B4A78" w:rsidRDefault="00186D1C">
      <w:pPr>
        <w:rPr>
          <w:rFonts w:ascii="Arial" w:hAnsi="Arial" w:cs="Arial"/>
          <w:sz w:val="20"/>
        </w:rPr>
      </w:pPr>
    </w:p>
    <w:p w14:paraId="0E138788" w14:textId="77777777" w:rsidR="00186D1C" w:rsidRPr="009B4A78" w:rsidRDefault="00186D1C" w:rsidP="00984F70">
      <w:pPr>
        <w:keepNext/>
        <w:keepLines/>
        <w:tabs>
          <w:tab w:val="left" w:pos="1427"/>
        </w:tabs>
        <w:jc w:val="center"/>
        <w:rPr>
          <w:rFonts w:ascii="Arial" w:hAnsi="Arial" w:cs="Arial"/>
          <w:lang w:eastAsia="en-US"/>
        </w:rPr>
      </w:pPr>
      <w:r w:rsidRPr="009B4A78">
        <w:rPr>
          <w:rFonts w:ascii="Arial" w:hAnsi="Arial" w:cs="Arial"/>
          <w:b/>
          <w:sz w:val="20"/>
          <w:szCs w:val="24"/>
        </w:rPr>
        <w:lastRenderedPageBreak/>
        <w:t>Program 15:  Resources by Object of Expenditure</w:t>
      </w:r>
    </w:p>
    <w:p w14:paraId="1E4323DB" w14:textId="77777777" w:rsidR="00186D1C" w:rsidRPr="009B4A78" w:rsidRDefault="00186D1C" w:rsidP="00984F70">
      <w:pPr>
        <w:keepNext/>
        <w:keepLines/>
        <w:tabs>
          <w:tab w:val="left" w:pos="1427"/>
        </w:tabs>
        <w:jc w:val="center"/>
        <w:rPr>
          <w:rFonts w:ascii="Arial" w:hAnsi="Arial" w:cs="Arial"/>
          <w:lang w:eastAsia="en-US"/>
        </w:rPr>
      </w:pPr>
      <w:r w:rsidRPr="009B4A78">
        <w:rPr>
          <w:rFonts w:ascii="Arial" w:hAnsi="Arial" w:cs="Arial"/>
          <w:i/>
          <w:sz w:val="20"/>
          <w:szCs w:val="24"/>
        </w:rPr>
        <w:t>(In thousands of Swiss francs)</w:t>
      </w:r>
    </w:p>
    <w:p w14:paraId="10C34BEC" w14:textId="77777777" w:rsidR="00186D1C" w:rsidRPr="009B4A78" w:rsidRDefault="00186D1C" w:rsidP="00984F70">
      <w:pPr>
        <w:keepNext/>
        <w:keepLines/>
        <w:rPr>
          <w:rFonts w:ascii="Arial" w:hAnsi="Arial" w:cs="Arial"/>
          <w:sz w:val="20"/>
        </w:rPr>
      </w:pPr>
    </w:p>
    <w:p w14:paraId="5381DAC3" w14:textId="0B932B57" w:rsidR="00186D1C" w:rsidRPr="009B4A78" w:rsidRDefault="00186D1C" w:rsidP="00186D1C">
      <w:pPr>
        <w:jc w:val="center"/>
        <w:rPr>
          <w:rFonts w:ascii="Arial" w:hAnsi="Arial" w:cs="Arial"/>
          <w:sz w:val="20"/>
        </w:rPr>
      </w:pPr>
      <w:r w:rsidRPr="009B4A78">
        <w:rPr>
          <w:rFonts w:ascii="Arial" w:hAnsi="Arial" w:cs="Arial"/>
          <w:noProof/>
          <w:lang w:eastAsia="en-US"/>
        </w:rPr>
        <w:drawing>
          <wp:inline distT="0" distB="0" distL="0" distR="0" wp14:anchorId="12792850" wp14:editId="0D52020E">
            <wp:extent cx="4893308" cy="5510254"/>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06037" cy="5524588"/>
                    </a:xfrm>
                    <a:prstGeom prst="rect">
                      <a:avLst/>
                    </a:prstGeom>
                    <a:noFill/>
                    <a:ln>
                      <a:noFill/>
                    </a:ln>
                  </pic:spPr>
                </pic:pic>
              </a:graphicData>
            </a:graphic>
          </wp:inline>
        </w:drawing>
      </w:r>
    </w:p>
    <w:p w14:paraId="37B24B46" w14:textId="2419862F" w:rsidR="000D7C57" w:rsidRDefault="000D7C57">
      <w:pPr>
        <w:rPr>
          <w:rFonts w:ascii="Arial" w:hAnsi="Arial" w:cs="Arial"/>
          <w:sz w:val="20"/>
        </w:rPr>
      </w:pPr>
      <w:r>
        <w:rPr>
          <w:rFonts w:ascii="Arial" w:hAnsi="Arial" w:cs="Arial"/>
          <w:sz w:val="20"/>
        </w:rPr>
        <w:br w:type="page"/>
      </w:r>
    </w:p>
    <w:p w14:paraId="298DFEC5" w14:textId="0BD3AC2C" w:rsidR="005363E7" w:rsidRPr="00B30215" w:rsidRDefault="005363E7" w:rsidP="00584F84">
      <w:pPr>
        <w:pStyle w:val="StyleHeading3ComplexItalic"/>
        <w:tabs>
          <w:tab w:val="clear" w:pos="1985"/>
          <w:tab w:val="left" w:pos="2835"/>
        </w:tabs>
        <w:ind w:left="2835" w:hanging="2835"/>
        <w:rPr>
          <w:rStyle w:val="StyleStyleHeading3ComplexItalicLatin12ptChar"/>
          <w:rFonts w:eastAsia="SimSun"/>
          <w:b/>
          <w:szCs w:val="24"/>
        </w:rPr>
      </w:pPr>
      <w:bookmarkStart w:id="52" w:name="_Toc367350592"/>
      <w:bookmarkStart w:id="53" w:name="_Toc431221426"/>
      <w:r w:rsidRPr="00B30215">
        <w:rPr>
          <w:rStyle w:val="StyleStyleHeading3ComplexItalicLatin12ptChar"/>
          <w:rFonts w:eastAsia="SimSun"/>
          <w:b/>
          <w:szCs w:val="24"/>
        </w:rPr>
        <w:lastRenderedPageBreak/>
        <w:t>STRATEGIC GOAL V</w:t>
      </w:r>
      <w:r w:rsidR="00584F84" w:rsidRPr="00B30215">
        <w:rPr>
          <w:rStyle w:val="StyleStyleHeading3ComplexItalicLatin12ptChar"/>
          <w:rFonts w:eastAsia="SimSun"/>
          <w:b/>
          <w:szCs w:val="24"/>
        </w:rPr>
        <w:tab/>
        <w:t>WORLD REFERENCE SOURCE FOR IP INFORMATION AND ANALYSIS</w:t>
      </w:r>
      <w:bookmarkEnd w:id="52"/>
      <w:bookmarkEnd w:id="53"/>
      <w:r w:rsidR="00584F84" w:rsidRPr="00B30215">
        <w:rPr>
          <w:rStyle w:val="StyleStyleHeading3ComplexItalicLatin12ptChar"/>
          <w:rFonts w:eastAsia="SimSun"/>
          <w:b/>
          <w:szCs w:val="24"/>
        </w:rPr>
        <w:t xml:space="preserve"> </w:t>
      </w:r>
    </w:p>
    <w:p w14:paraId="47739D50" w14:textId="77777777" w:rsidR="005363E7" w:rsidRPr="00A522FE" w:rsidRDefault="005363E7" w:rsidP="005363E7">
      <w:pPr>
        <w:tabs>
          <w:tab w:val="left" w:pos="1701"/>
        </w:tabs>
        <w:ind w:left="1701" w:hanging="1701"/>
        <w:jc w:val="center"/>
        <w:rPr>
          <w:rFonts w:ascii="Arial" w:hAnsi="Arial" w:cs="Arial"/>
          <w:b/>
          <w:bCs/>
          <w:caps/>
          <w:szCs w:val="24"/>
        </w:rPr>
      </w:pPr>
    </w:p>
    <w:p w14:paraId="3966E66C" w14:textId="77777777" w:rsidR="005363E7" w:rsidRPr="00A522FE" w:rsidRDefault="005363E7" w:rsidP="005363E7">
      <w:pPr>
        <w:tabs>
          <w:tab w:val="left" w:pos="1701"/>
        </w:tabs>
        <w:ind w:left="1701" w:hanging="1701"/>
        <w:jc w:val="center"/>
        <w:rPr>
          <w:rFonts w:ascii="Arial" w:hAnsi="Arial" w:cs="Arial"/>
          <w:b/>
          <w:bCs/>
          <w:caps/>
          <w:szCs w:val="24"/>
        </w:rPr>
      </w:pPr>
    </w:p>
    <w:p w14:paraId="3BA28757" w14:textId="49796C6F" w:rsidR="005363E7" w:rsidRPr="00F3719C" w:rsidRDefault="005363E7" w:rsidP="005363E7">
      <w:pPr>
        <w:jc w:val="both"/>
        <w:rPr>
          <w:rFonts w:ascii="Arial" w:hAnsi="Arial" w:cs="Arial"/>
          <w:sz w:val="20"/>
        </w:rPr>
      </w:pPr>
      <w:r w:rsidRPr="00F3719C">
        <w:rPr>
          <w:rFonts w:ascii="Arial" w:hAnsi="Arial" w:cs="Arial"/>
          <w:sz w:val="20"/>
        </w:rPr>
        <w:t xml:space="preserve">WIPO is the generator and repository of outstanding collections of technology disclosures, brand data, and technical and legal IP information.  These collections provide a window onto what is happening in important sectors of the economy and in the IP system.  They are of immense value to policy-makers; industry, business and other users of the IP system; and the interested public.  That value has also been recognized in the Development Agenda, where there is strong demand for the Organization to provide empirical economic analysis and studies.  </w:t>
      </w:r>
    </w:p>
    <w:p w14:paraId="652EE0BB" w14:textId="77777777" w:rsidR="005363E7" w:rsidRDefault="005363E7" w:rsidP="005363E7">
      <w:pPr>
        <w:autoSpaceDE w:val="0"/>
        <w:autoSpaceDN w:val="0"/>
        <w:adjustRightInd w:val="0"/>
        <w:spacing w:before="120"/>
        <w:jc w:val="both"/>
        <w:rPr>
          <w:rFonts w:ascii="Arial" w:hAnsi="Arial" w:cs="Arial"/>
          <w:sz w:val="20"/>
        </w:rPr>
      </w:pPr>
      <w:r w:rsidRPr="00F3719C">
        <w:rPr>
          <w:rFonts w:ascii="Arial" w:hAnsi="Arial" w:cs="Arial"/>
          <w:sz w:val="20"/>
        </w:rPr>
        <w:t>The value of WIPO’s data reference collections, however, depends upon the collections being accurate, up</w:t>
      </w:r>
      <w:r w:rsidRPr="00F3719C">
        <w:rPr>
          <w:rFonts w:ascii="Arial" w:hAnsi="Arial" w:cs="Arial"/>
          <w:sz w:val="20"/>
        </w:rPr>
        <w:noBreakHyphen/>
        <w:t>to-date and responsive to the needs of stakeholders, as well as freely and univer</w:t>
      </w:r>
      <w:smartTag w:uri="urn:schemas-microsoft-com:office:smarttags" w:element="PersonName">
        <w:r w:rsidRPr="00F3719C">
          <w:rPr>
            <w:rFonts w:ascii="Arial" w:hAnsi="Arial" w:cs="Arial"/>
            <w:sz w:val="20"/>
          </w:rPr>
          <w:t>sally</w:t>
        </w:r>
      </w:smartTag>
      <w:r w:rsidRPr="00F3719C">
        <w:rPr>
          <w:rFonts w:ascii="Arial" w:hAnsi="Arial" w:cs="Arial"/>
          <w:sz w:val="20"/>
        </w:rPr>
        <w:t xml:space="preserve"> accessible.  WIPO is in a unique position to serve as a host and portal to the world’s most comprehensive and valuable collections of IP information.  Under this strategic goal, WIPO would strive to realize the potential of that unique position.</w:t>
      </w:r>
    </w:p>
    <w:p w14:paraId="527054C0" w14:textId="77777777" w:rsidR="005363E7" w:rsidRPr="00EC781A" w:rsidRDefault="005363E7" w:rsidP="005363E7">
      <w:pPr>
        <w:tabs>
          <w:tab w:val="left" w:pos="1701"/>
        </w:tabs>
        <w:ind w:left="1701" w:hanging="1701"/>
        <w:jc w:val="center"/>
        <w:rPr>
          <w:rFonts w:ascii="Arial" w:hAnsi="Arial" w:cs="Arial"/>
          <w:b/>
          <w:bCs/>
          <w:caps/>
          <w:sz w:val="20"/>
        </w:rPr>
      </w:pPr>
    </w:p>
    <w:p w14:paraId="5ED375F9" w14:textId="7F47CDF3" w:rsidR="00984F70" w:rsidRDefault="00984F70">
      <w:pPr>
        <w:rPr>
          <w:rFonts w:ascii="Arial" w:hAnsi="Arial" w:cs="Arial"/>
          <w:bC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DD40DE" w:rsidRPr="00B35175" w14:paraId="6FB038F3" w14:textId="77777777" w:rsidTr="005A1F7F">
        <w:trPr>
          <w:cantSplit/>
          <w:trHeight w:val="470"/>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B573331" w14:textId="77777777" w:rsidR="00DD40DE" w:rsidRPr="00B35175" w:rsidRDefault="00DD40DE" w:rsidP="005A1F7F">
            <w:pPr>
              <w:spacing w:after="120"/>
              <w:jc w:val="center"/>
              <w:rPr>
                <w:rFonts w:ascii="Arial" w:hAnsi="Arial" w:cs="Arial"/>
                <w:b/>
                <w:bCs/>
                <w:sz w:val="18"/>
                <w:szCs w:val="18"/>
              </w:rPr>
            </w:pPr>
            <w:r w:rsidRPr="00B35175">
              <w:rPr>
                <w:rFonts w:ascii="Arial" w:hAnsi="Arial" w:cs="Arial"/>
                <w:b/>
                <w:bCs/>
                <w:sz w:val="18"/>
                <w:szCs w:val="18"/>
              </w:rPr>
              <w:t>Expected Results</w:t>
            </w:r>
          </w:p>
        </w:tc>
        <w:tc>
          <w:tcPr>
            <w:tcW w:w="146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0B53D8A3" w14:textId="77777777" w:rsidR="00DD40DE" w:rsidRPr="00B35175" w:rsidRDefault="00DD40DE" w:rsidP="005A1F7F">
            <w:pPr>
              <w:spacing w:after="120"/>
              <w:jc w:val="center"/>
              <w:rPr>
                <w:rFonts w:ascii="Arial" w:hAnsi="Arial" w:cs="Arial"/>
                <w:b/>
                <w:bCs/>
                <w:sz w:val="18"/>
                <w:szCs w:val="18"/>
              </w:rPr>
            </w:pPr>
            <w:r w:rsidRPr="00B35175">
              <w:rPr>
                <w:rFonts w:ascii="Arial" w:hAnsi="Arial" w:cs="Arial"/>
                <w:b/>
                <w:bCs/>
                <w:sz w:val="18"/>
                <w:szCs w:val="18"/>
              </w:rPr>
              <w:t>Performance Indicators</w:t>
            </w:r>
          </w:p>
        </w:tc>
        <w:tc>
          <w:tcPr>
            <w:tcW w:w="164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2AAAA608" w14:textId="77777777" w:rsidR="00DD40DE" w:rsidRPr="00B35175" w:rsidRDefault="00DD40DE" w:rsidP="005A1F7F">
            <w:pPr>
              <w:spacing w:after="120"/>
              <w:ind w:left="85"/>
              <w:jc w:val="center"/>
              <w:rPr>
                <w:rFonts w:ascii="Arial" w:hAnsi="Arial" w:cs="Arial"/>
                <w:b/>
                <w:bCs/>
                <w:sz w:val="18"/>
                <w:szCs w:val="18"/>
              </w:rPr>
            </w:pPr>
            <w:r w:rsidRPr="00B35175">
              <w:rPr>
                <w:rFonts w:ascii="Arial" w:hAnsi="Arial" w:cs="Arial"/>
                <w:b/>
                <w:bCs/>
                <w:sz w:val="18"/>
                <w:szCs w:val="18"/>
              </w:rPr>
              <w:t>Responsible Program(s)</w:t>
            </w:r>
          </w:p>
        </w:tc>
      </w:tr>
      <w:tr w:rsidR="00DD40DE" w:rsidRPr="00AF5E7C" w14:paraId="241C3C1B" w14:textId="77777777" w:rsidTr="005A1F7F">
        <w:trPr>
          <w:cantSplit/>
        </w:trPr>
        <w:tc>
          <w:tcPr>
            <w:tcW w:w="1891" w:type="pct"/>
            <w:tcBorders>
              <w:top w:val="single" w:sz="4" w:space="0" w:color="auto"/>
            </w:tcBorders>
            <w:shd w:val="clear" w:color="auto" w:fill="auto"/>
            <w:tcMar>
              <w:top w:w="113" w:type="dxa"/>
              <w:bottom w:w="85" w:type="dxa"/>
            </w:tcMar>
          </w:tcPr>
          <w:p w14:paraId="5685BD62" w14:textId="77777777" w:rsidR="00DD40DE" w:rsidRPr="00A020B6" w:rsidRDefault="00DD40DE" w:rsidP="005A1F7F">
            <w:pPr>
              <w:rPr>
                <w:rFonts w:ascii="Arial" w:hAnsi="Arial" w:cs="Arial"/>
                <w:sz w:val="16"/>
                <w:szCs w:val="16"/>
              </w:rPr>
            </w:pPr>
            <w:r w:rsidRPr="00A020B6">
              <w:rPr>
                <w:rFonts w:ascii="Arial" w:hAnsi="Arial" w:cs="Arial"/>
                <w:sz w:val="16"/>
                <w:szCs w:val="16"/>
              </w:rPr>
              <w:t>V.</w:t>
            </w:r>
            <w:r w:rsidRPr="0067218E">
              <w:rPr>
                <w:rFonts w:ascii="Arial" w:hAnsi="Arial" w:cs="Arial"/>
                <w:sz w:val="16"/>
                <w:szCs w:val="16"/>
              </w:rPr>
              <w:t xml:space="preserve">1 </w:t>
            </w:r>
            <w:r>
              <w:rPr>
                <w:rFonts w:ascii="Arial" w:hAnsi="Arial" w:cs="Arial"/>
                <w:sz w:val="16"/>
                <w:szCs w:val="16"/>
              </w:rPr>
              <w:t xml:space="preserve"> </w:t>
            </w:r>
            <w:r w:rsidRPr="0067218E">
              <w:rPr>
                <w:rFonts w:ascii="Arial" w:hAnsi="Arial" w:cs="Arial"/>
                <w:sz w:val="16"/>
                <w:szCs w:val="16"/>
              </w:rPr>
              <w:t>Wider and better use of WIPO IP statistical information</w:t>
            </w:r>
          </w:p>
        </w:tc>
        <w:tc>
          <w:tcPr>
            <w:tcW w:w="1465" w:type="pct"/>
            <w:tcBorders>
              <w:top w:val="single" w:sz="4" w:space="0" w:color="auto"/>
            </w:tcBorders>
            <w:shd w:val="clear" w:color="auto" w:fill="auto"/>
            <w:tcMar>
              <w:top w:w="113" w:type="dxa"/>
              <w:bottom w:w="85" w:type="dxa"/>
            </w:tcMar>
          </w:tcPr>
          <w:p w14:paraId="63BF4339" w14:textId="77777777" w:rsidR="00DD40DE" w:rsidRPr="00F60057" w:rsidRDefault="00DD40DE" w:rsidP="005A1F7F">
            <w:pPr>
              <w:rPr>
                <w:rFonts w:ascii="Arial" w:hAnsi="Arial" w:cs="Arial"/>
                <w:sz w:val="16"/>
                <w:szCs w:val="16"/>
              </w:rPr>
            </w:pPr>
            <w:r w:rsidRPr="00F60057">
              <w:rPr>
                <w:rFonts w:ascii="Arial" w:hAnsi="Arial" w:cs="Arial"/>
                <w:color w:val="000000"/>
                <w:sz w:val="16"/>
                <w:szCs w:val="16"/>
              </w:rPr>
              <w:t>No. of searches on IP Statistics Data Center</w:t>
            </w:r>
          </w:p>
        </w:tc>
        <w:tc>
          <w:tcPr>
            <w:tcW w:w="1644" w:type="pct"/>
            <w:tcBorders>
              <w:top w:val="single" w:sz="4" w:space="0" w:color="auto"/>
            </w:tcBorders>
            <w:shd w:val="clear" w:color="auto" w:fill="FFFFFF"/>
            <w:tcMar>
              <w:top w:w="113" w:type="dxa"/>
              <w:bottom w:w="85" w:type="dxa"/>
            </w:tcMar>
          </w:tcPr>
          <w:p w14:paraId="3B82CDC1"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3557E7E1" w14:textId="77777777" w:rsidTr="005A1F7F">
        <w:trPr>
          <w:cantSplit/>
          <w:trHeight w:val="500"/>
        </w:trPr>
        <w:tc>
          <w:tcPr>
            <w:tcW w:w="1891" w:type="pct"/>
            <w:shd w:val="clear" w:color="auto" w:fill="auto"/>
            <w:tcMar>
              <w:top w:w="113" w:type="dxa"/>
              <w:bottom w:w="85" w:type="dxa"/>
            </w:tcMar>
          </w:tcPr>
          <w:p w14:paraId="6A3AAD39"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6814669B" w14:textId="77777777" w:rsidR="00DD40DE" w:rsidRPr="00F60057" w:rsidRDefault="00DD40DE" w:rsidP="005A1F7F">
            <w:pPr>
              <w:rPr>
                <w:rFonts w:ascii="Arial" w:hAnsi="Arial" w:cs="Arial"/>
                <w:sz w:val="16"/>
                <w:szCs w:val="16"/>
              </w:rPr>
            </w:pPr>
            <w:r w:rsidRPr="00F60057">
              <w:rPr>
                <w:rFonts w:ascii="Arial" w:hAnsi="Arial" w:cs="Arial"/>
                <w:color w:val="000000"/>
                <w:sz w:val="16"/>
                <w:szCs w:val="16"/>
              </w:rPr>
              <w:t>No. of downloads of annual statistics reports within 6 months of their publication</w:t>
            </w:r>
          </w:p>
        </w:tc>
        <w:tc>
          <w:tcPr>
            <w:tcW w:w="1644" w:type="pct"/>
            <w:shd w:val="clear" w:color="auto" w:fill="FFFFFF"/>
            <w:tcMar>
              <w:top w:w="113" w:type="dxa"/>
              <w:bottom w:w="85" w:type="dxa"/>
            </w:tcMar>
          </w:tcPr>
          <w:p w14:paraId="71B12EA8"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4D426FC3" w14:textId="77777777" w:rsidTr="005A1F7F">
        <w:trPr>
          <w:cantSplit/>
          <w:trHeight w:val="500"/>
        </w:trPr>
        <w:tc>
          <w:tcPr>
            <w:tcW w:w="1891" w:type="pct"/>
            <w:shd w:val="clear" w:color="auto" w:fill="auto"/>
            <w:tcMar>
              <w:top w:w="113" w:type="dxa"/>
              <w:bottom w:w="85" w:type="dxa"/>
            </w:tcMar>
          </w:tcPr>
          <w:p w14:paraId="08677E87"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056DC814" w14:textId="77777777" w:rsidR="00DD40DE" w:rsidRPr="001D624E" w:rsidRDefault="00DD40DE" w:rsidP="005A1F7F">
            <w:pPr>
              <w:rPr>
                <w:rFonts w:ascii="Arial" w:hAnsi="Arial" w:cs="Arial"/>
                <w:color w:val="000000"/>
                <w:sz w:val="16"/>
                <w:szCs w:val="16"/>
              </w:rPr>
            </w:pPr>
            <w:r w:rsidRPr="001D624E">
              <w:rPr>
                <w:rFonts w:ascii="Arial" w:hAnsi="Arial" w:cs="Arial"/>
                <w:color w:val="000000"/>
                <w:sz w:val="16"/>
                <w:szCs w:val="16"/>
              </w:rPr>
              <w:t>Difference between January forecasts and actual numbers of PCT, Madrid, and Hague filings are within threshold ranges</w:t>
            </w:r>
          </w:p>
        </w:tc>
        <w:tc>
          <w:tcPr>
            <w:tcW w:w="1644" w:type="pct"/>
            <w:shd w:val="clear" w:color="auto" w:fill="FFFFFF"/>
            <w:tcMar>
              <w:top w:w="113" w:type="dxa"/>
              <w:bottom w:w="85" w:type="dxa"/>
            </w:tcMar>
          </w:tcPr>
          <w:p w14:paraId="5FA1623C" w14:textId="77777777" w:rsidR="00DD40DE" w:rsidRDefault="00DD40DE" w:rsidP="005A1F7F">
            <w:pPr>
              <w:ind w:left="768"/>
              <w:rPr>
                <w:rFonts w:ascii="Arial" w:hAnsi="Arial" w:cs="Arial"/>
                <w:sz w:val="16"/>
                <w:szCs w:val="16"/>
                <w:lang w:bidi="th-TH"/>
              </w:rPr>
            </w:pPr>
            <w:r>
              <w:rPr>
                <w:rFonts w:ascii="Arial" w:hAnsi="Arial" w:cs="Arial"/>
                <w:sz w:val="16"/>
                <w:szCs w:val="16"/>
                <w:lang w:bidi="th-TH"/>
              </w:rPr>
              <w:t>Program 16</w:t>
            </w:r>
          </w:p>
        </w:tc>
      </w:tr>
      <w:tr w:rsidR="00DD40DE" w:rsidRPr="00AF5E7C" w14:paraId="1776A18D" w14:textId="77777777" w:rsidTr="005A1F7F">
        <w:trPr>
          <w:cantSplit/>
          <w:trHeight w:val="522"/>
        </w:trPr>
        <w:tc>
          <w:tcPr>
            <w:tcW w:w="1891" w:type="pct"/>
            <w:shd w:val="clear" w:color="auto" w:fill="auto"/>
            <w:tcMar>
              <w:top w:w="113" w:type="dxa"/>
              <w:bottom w:w="85" w:type="dxa"/>
            </w:tcMar>
          </w:tcPr>
          <w:p w14:paraId="08C66F20" w14:textId="77777777" w:rsidR="00DD40DE" w:rsidRPr="003E2A85" w:rsidRDefault="00DD40DE" w:rsidP="005A1F7F">
            <w:pPr>
              <w:tabs>
                <w:tab w:val="right" w:pos="2835"/>
              </w:tabs>
              <w:spacing w:after="60"/>
              <w:rPr>
                <w:rFonts w:ascii="Arial" w:hAnsi="Arial" w:cs="Arial"/>
                <w:sz w:val="16"/>
                <w:szCs w:val="16"/>
              </w:rPr>
            </w:pPr>
            <w:r w:rsidRPr="003E2A85">
              <w:rPr>
                <w:rFonts w:ascii="Arial" w:hAnsi="Arial" w:cs="Arial"/>
                <w:sz w:val="16"/>
                <w:szCs w:val="16"/>
              </w:rPr>
              <w:t>V.</w:t>
            </w:r>
            <w:r w:rsidRPr="0067218E">
              <w:rPr>
                <w:rFonts w:ascii="Arial" w:hAnsi="Arial" w:cs="Arial"/>
                <w:sz w:val="16"/>
                <w:szCs w:val="16"/>
              </w:rPr>
              <w:t>2</w:t>
            </w:r>
            <w:r w:rsidRPr="0067218E">
              <w:rPr>
                <w:rFonts w:ascii="Arial" w:hAnsi="Arial" w:cs="Arial"/>
                <w:sz w:val="15"/>
                <w:szCs w:val="15"/>
              </w:rPr>
              <w:t xml:space="preserve"> </w:t>
            </w:r>
            <w:r>
              <w:rPr>
                <w:rFonts w:ascii="Arial" w:hAnsi="Arial" w:cs="Arial"/>
                <w:sz w:val="15"/>
                <w:szCs w:val="15"/>
              </w:rPr>
              <w:t xml:space="preserve"> </w:t>
            </w:r>
            <w:r w:rsidRPr="0067218E">
              <w:rPr>
                <w:rFonts w:ascii="Arial" w:hAnsi="Arial" w:cs="Arial"/>
                <w:sz w:val="16"/>
                <w:szCs w:val="16"/>
              </w:rPr>
              <w:t>Wider and better use of WIPO economic analysis in policy formulation</w:t>
            </w:r>
          </w:p>
        </w:tc>
        <w:tc>
          <w:tcPr>
            <w:tcW w:w="1465" w:type="pct"/>
            <w:shd w:val="clear" w:color="auto" w:fill="auto"/>
            <w:tcMar>
              <w:top w:w="113" w:type="dxa"/>
              <w:bottom w:w="85" w:type="dxa"/>
            </w:tcMar>
          </w:tcPr>
          <w:p w14:paraId="3FA1C597" w14:textId="77777777" w:rsidR="00DD40DE" w:rsidRPr="00ED69C7" w:rsidRDefault="00DD40DE" w:rsidP="005A1F7F">
            <w:pPr>
              <w:rPr>
                <w:rFonts w:ascii="Arial" w:hAnsi="Arial" w:cs="Arial"/>
                <w:sz w:val="16"/>
                <w:szCs w:val="16"/>
              </w:rPr>
            </w:pPr>
            <w:r w:rsidRPr="00ED69C7">
              <w:rPr>
                <w:rFonts w:ascii="Arial" w:hAnsi="Arial" w:cs="Arial"/>
                <w:color w:val="000000"/>
                <w:sz w:val="16"/>
                <w:szCs w:val="16"/>
              </w:rPr>
              <w:t>Annual number of visitors to Global Innovation Index websites</w:t>
            </w:r>
          </w:p>
        </w:tc>
        <w:tc>
          <w:tcPr>
            <w:tcW w:w="1644" w:type="pct"/>
            <w:shd w:val="clear" w:color="auto" w:fill="FFFFFF"/>
            <w:tcMar>
              <w:top w:w="113" w:type="dxa"/>
              <w:bottom w:w="85" w:type="dxa"/>
            </w:tcMar>
          </w:tcPr>
          <w:p w14:paraId="3C25F6B7"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724E52FD" w14:textId="77777777" w:rsidTr="005A1F7F">
        <w:trPr>
          <w:cantSplit/>
          <w:trHeight w:val="720"/>
        </w:trPr>
        <w:tc>
          <w:tcPr>
            <w:tcW w:w="1891" w:type="pct"/>
            <w:shd w:val="clear" w:color="auto" w:fill="auto"/>
            <w:tcMar>
              <w:top w:w="113" w:type="dxa"/>
              <w:bottom w:w="85" w:type="dxa"/>
            </w:tcMar>
          </w:tcPr>
          <w:p w14:paraId="3D20543F"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1C4CCD4E" w14:textId="77777777" w:rsidR="00DD40DE" w:rsidRPr="00ED69C7" w:rsidRDefault="00DD40DE" w:rsidP="005A1F7F">
            <w:pPr>
              <w:rPr>
                <w:rFonts w:ascii="Arial" w:hAnsi="Arial" w:cs="Arial"/>
                <w:sz w:val="16"/>
                <w:szCs w:val="16"/>
              </w:rPr>
            </w:pPr>
            <w:r w:rsidRPr="00ED69C7">
              <w:rPr>
                <w:rFonts w:ascii="Arial" w:hAnsi="Arial" w:cs="Arial"/>
                <w:color w:val="000000"/>
                <w:sz w:val="16"/>
                <w:szCs w:val="16"/>
              </w:rPr>
              <w:t>No. of downloads of World IP Report within 6 months of publication</w:t>
            </w:r>
          </w:p>
        </w:tc>
        <w:tc>
          <w:tcPr>
            <w:tcW w:w="1644" w:type="pct"/>
            <w:shd w:val="clear" w:color="auto" w:fill="FFFFFF"/>
            <w:tcMar>
              <w:top w:w="113" w:type="dxa"/>
              <w:bottom w:w="85" w:type="dxa"/>
            </w:tcMar>
          </w:tcPr>
          <w:p w14:paraId="496CE9B3"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bl>
    <w:p w14:paraId="6A2A994B" w14:textId="77777777" w:rsidR="005363E7" w:rsidRDefault="005363E7">
      <w:pPr>
        <w:rPr>
          <w:rFonts w:ascii="Arial" w:hAnsi="Arial" w:cs="Arial"/>
          <w:bCs/>
          <w:sz w:val="20"/>
        </w:rPr>
      </w:pPr>
    </w:p>
    <w:p w14:paraId="7161CBF6" w14:textId="16654D93" w:rsidR="00984F70" w:rsidRDefault="00984F70">
      <w:pPr>
        <w:rPr>
          <w:rFonts w:ascii="Arial" w:hAnsi="Arial" w:cs="Arial"/>
          <w:bCs/>
          <w:sz w:val="20"/>
        </w:rPr>
      </w:pPr>
      <w:r>
        <w:rPr>
          <w:rFonts w:ascii="Arial" w:hAnsi="Arial" w:cs="Arial"/>
          <w:bCs/>
          <w:sz w:val="20"/>
        </w:rPr>
        <w:br w:type="page"/>
      </w:r>
    </w:p>
    <w:p w14:paraId="01ED7C2C" w14:textId="77777777" w:rsidR="009B4A78" w:rsidRPr="009B4A78" w:rsidRDefault="009B4A78" w:rsidP="00984F70">
      <w:pPr>
        <w:pStyle w:val="StyleHeading3ComplexItalic"/>
      </w:pPr>
      <w:bookmarkStart w:id="54" w:name="_Toc431221427"/>
      <w:r w:rsidRPr="009B4A78">
        <w:lastRenderedPageBreak/>
        <w:t>PROGRAM 16</w:t>
      </w:r>
      <w:r w:rsidRPr="009B4A78">
        <w:tab/>
        <w:t>ECONOMICS AND STATISTICS</w:t>
      </w:r>
      <w:bookmarkEnd w:id="54"/>
    </w:p>
    <w:p w14:paraId="0EC15391" w14:textId="77777777" w:rsidR="009B4A78" w:rsidRPr="009B4A78" w:rsidRDefault="009B4A78" w:rsidP="00984F70">
      <w:pPr>
        <w:rPr>
          <w:rFonts w:ascii="Arial" w:hAnsi="Arial" w:cs="Arial"/>
          <w:bCs/>
          <w:i/>
        </w:rPr>
      </w:pPr>
    </w:p>
    <w:p w14:paraId="29AFA245" w14:textId="77777777" w:rsidR="009B4A78" w:rsidRPr="009B4A78" w:rsidRDefault="009B4A78" w:rsidP="00984F70">
      <w:pPr>
        <w:rPr>
          <w:rFonts w:ascii="Arial" w:hAnsi="Arial" w:cs="Arial"/>
          <w:bCs/>
          <w:i/>
        </w:rPr>
      </w:pPr>
    </w:p>
    <w:p w14:paraId="51F0EB36" w14:textId="77777777" w:rsidR="009B4A78" w:rsidRPr="009B4A78" w:rsidRDefault="009B4A78" w:rsidP="00984F70">
      <w:pPr>
        <w:rPr>
          <w:rFonts w:ascii="Arial" w:hAnsi="Arial" w:cs="Arial"/>
          <w:bCs/>
          <w:sz w:val="24"/>
          <w:szCs w:val="24"/>
        </w:rPr>
      </w:pPr>
      <w:r w:rsidRPr="009B4A78">
        <w:rPr>
          <w:rFonts w:ascii="Arial" w:hAnsi="Arial" w:cs="Arial"/>
          <w:bCs/>
        </w:rPr>
        <w:t>PLANNING CONTEXT</w:t>
      </w:r>
      <w:r w:rsidRPr="009B4A78">
        <w:rPr>
          <w:rFonts w:ascii="Arial" w:hAnsi="Arial" w:cs="Arial"/>
          <w:bCs/>
          <w:sz w:val="24"/>
          <w:szCs w:val="24"/>
        </w:rPr>
        <w:t xml:space="preserve">  </w:t>
      </w:r>
    </w:p>
    <w:p w14:paraId="227C4EA9" w14:textId="77777777" w:rsidR="009B4A78" w:rsidRPr="009B4A78" w:rsidRDefault="009B4A78" w:rsidP="00984F70">
      <w:pPr>
        <w:rPr>
          <w:rFonts w:ascii="Arial" w:hAnsi="Arial" w:cs="Arial"/>
          <w:sz w:val="20"/>
        </w:rPr>
      </w:pPr>
    </w:p>
    <w:p w14:paraId="15E26D48"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As the recovery of the world economy continues at an uneven pace, innovation will remain essential in sustaining long-term growth and improving human development.  Fortunately, a changing innovation landscape offers new opportunities for harnessing knowledge for societies’ benefit. In particular, countries are investing more resources than ever before in the knowledge economy, and new sources of innovation have emerged – especially in Asia.  However, despite rapid economic growth in certain developing countries, a significant share of the world’s population continues to live in poverty and has not been able to harness knowledge for economic prosperity.</w:t>
      </w:r>
    </w:p>
    <w:p w14:paraId="2A872C5D" w14:textId="77777777" w:rsidR="009B4A78" w:rsidRPr="009B4A78" w:rsidRDefault="009B4A78" w:rsidP="00984F70">
      <w:pPr>
        <w:tabs>
          <w:tab w:val="num" w:pos="709"/>
        </w:tabs>
        <w:jc w:val="both"/>
        <w:rPr>
          <w:rFonts w:ascii="Arial" w:hAnsi="Arial" w:cs="Arial"/>
          <w:bCs/>
          <w:sz w:val="20"/>
        </w:rPr>
      </w:pPr>
    </w:p>
    <w:p w14:paraId="1EBDB105"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Against this background, the global IP system faces significant challenges.  Policymakers need to respond to an ever rising demand for IP rights, new technologies and business models and the need for fostering an international framework that promotes balanced IP protection.  For policymakers in developing countries special challenges exist in tailoring IP policy to the needs of their economies, taking into account different resource endowments and different industrial structures.</w:t>
      </w:r>
    </w:p>
    <w:p w14:paraId="6E3CE05C" w14:textId="77777777" w:rsidR="009B4A78" w:rsidRPr="009B4A78" w:rsidRDefault="009B4A78" w:rsidP="00984F70">
      <w:pPr>
        <w:tabs>
          <w:tab w:val="num" w:pos="709"/>
        </w:tabs>
        <w:jc w:val="both"/>
        <w:rPr>
          <w:rFonts w:ascii="Arial" w:hAnsi="Arial" w:cs="Arial"/>
          <w:bCs/>
          <w:sz w:val="20"/>
        </w:rPr>
      </w:pPr>
    </w:p>
    <w:p w14:paraId="30781791"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Thus, there are two objectives: first, to provide accurate, comprehensive and timely statistical information on the performance of the IP system worldwide; and second, to provide high quality empirical analysis in support of evidence-based policymaking.</w:t>
      </w:r>
    </w:p>
    <w:p w14:paraId="0A2CEFF8" w14:textId="77777777" w:rsidR="009B4A78" w:rsidRPr="009B4A78" w:rsidRDefault="009B4A78" w:rsidP="00984F70">
      <w:pPr>
        <w:tabs>
          <w:tab w:val="num" w:pos="709"/>
        </w:tabs>
        <w:jc w:val="both"/>
        <w:rPr>
          <w:rFonts w:ascii="Arial" w:hAnsi="Arial" w:cs="Arial"/>
          <w:bCs/>
          <w:sz w:val="20"/>
        </w:rPr>
      </w:pPr>
    </w:p>
    <w:p w14:paraId="78FEABD9" w14:textId="77777777" w:rsidR="009B4A78" w:rsidRPr="009B4A78" w:rsidRDefault="009B4A78" w:rsidP="00984F70">
      <w:pPr>
        <w:tabs>
          <w:tab w:val="num" w:pos="709"/>
        </w:tabs>
        <w:jc w:val="both"/>
        <w:rPr>
          <w:rFonts w:ascii="Arial" w:hAnsi="Arial" w:cs="Arial"/>
          <w:bCs/>
        </w:rPr>
      </w:pPr>
    </w:p>
    <w:p w14:paraId="5D138ADB" w14:textId="77777777" w:rsidR="009B4A78" w:rsidRPr="009B4A78" w:rsidRDefault="009B4A78" w:rsidP="00984F70">
      <w:pPr>
        <w:tabs>
          <w:tab w:val="num" w:pos="709"/>
        </w:tabs>
        <w:jc w:val="both"/>
        <w:rPr>
          <w:rFonts w:ascii="Arial" w:hAnsi="Arial" w:cs="Arial"/>
          <w:bCs/>
        </w:rPr>
      </w:pPr>
      <w:r w:rsidRPr="009B4A78">
        <w:rPr>
          <w:rFonts w:ascii="Arial" w:hAnsi="Arial" w:cs="Arial"/>
          <w:bCs/>
        </w:rPr>
        <w:t>IMPLEMENTATION STRATEGIES</w:t>
      </w:r>
    </w:p>
    <w:p w14:paraId="51C2EA78" w14:textId="77777777" w:rsidR="009B4A78" w:rsidRPr="009B4A78" w:rsidRDefault="009B4A78" w:rsidP="00984F70">
      <w:pPr>
        <w:tabs>
          <w:tab w:val="num" w:pos="709"/>
        </w:tabs>
        <w:jc w:val="both"/>
        <w:rPr>
          <w:rFonts w:ascii="Arial" w:hAnsi="Arial" w:cs="Arial"/>
          <w:bCs/>
          <w:sz w:val="20"/>
        </w:rPr>
      </w:pPr>
    </w:p>
    <w:p w14:paraId="3DA9E18C" w14:textId="13A73C9F"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 xml:space="preserve">In the area of IP statistics, WIPO works with national and regional IP offices in collecting data on IP activity worldwide through its annual statistics survey.  The statistics on the WIPO-administered filing treaties are generated in-house. WIPO’s statistical flagship publication – the World Intellectual Property Indicators – will continue to summarize the main statistical trends in the area of patents, utility models, trademarks, industrial designs and plant varieties. Separate statistical publications will report on the performance of the PCT, Madrid, and the Hague </w:t>
      </w:r>
      <w:r w:rsidR="00A21D1B">
        <w:rPr>
          <w:rFonts w:ascii="Arial" w:hAnsi="Arial" w:cs="Arial"/>
          <w:bCs/>
          <w:sz w:val="20"/>
        </w:rPr>
        <w:t>S</w:t>
      </w:r>
      <w:r w:rsidRPr="009B4A78">
        <w:rPr>
          <w:rFonts w:ascii="Arial" w:hAnsi="Arial" w:cs="Arial"/>
          <w:bCs/>
          <w:sz w:val="20"/>
        </w:rPr>
        <w:t>ystems.  The IP Statistics Data Center will continue to make available all statistics to users worldwide. In light of the priorities identified above, the Program will make special efforts to collect and report new statistics on geographical indications</w:t>
      </w:r>
      <w:r w:rsidR="00A21D1B">
        <w:rPr>
          <w:rFonts w:ascii="Arial" w:hAnsi="Arial" w:cs="Arial"/>
          <w:bCs/>
          <w:sz w:val="20"/>
        </w:rPr>
        <w:t xml:space="preserve">, </w:t>
      </w:r>
      <w:r w:rsidR="002B6D96">
        <w:rPr>
          <w:rFonts w:ascii="Arial" w:hAnsi="Arial" w:cs="Arial"/>
          <w:bCs/>
          <w:sz w:val="20"/>
        </w:rPr>
        <w:t>collective and certification trademarks</w:t>
      </w:r>
      <w:r w:rsidR="00A21D1B">
        <w:rPr>
          <w:rFonts w:ascii="Arial" w:hAnsi="Arial" w:cs="Arial"/>
          <w:bCs/>
          <w:sz w:val="20"/>
        </w:rPr>
        <w:t>,</w:t>
      </w:r>
      <w:r w:rsidRPr="009B4A78">
        <w:rPr>
          <w:rFonts w:ascii="Arial" w:hAnsi="Arial" w:cs="Arial"/>
          <w:bCs/>
          <w:sz w:val="20"/>
        </w:rPr>
        <w:t xml:space="preserve"> and copyright-related activities and to further improve the user-friendliness of WIPO statistics.</w:t>
      </w:r>
    </w:p>
    <w:p w14:paraId="393E9D8A" w14:textId="77777777" w:rsidR="009B4A78" w:rsidRPr="009B4A78" w:rsidRDefault="009B4A78" w:rsidP="00984F70">
      <w:pPr>
        <w:tabs>
          <w:tab w:val="num" w:pos="709"/>
        </w:tabs>
        <w:jc w:val="both"/>
        <w:rPr>
          <w:rFonts w:ascii="Arial" w:hAnsi="Arial" w:cs="Arial"/>
          <w:bCs/>
          <w:sz w:val="20"/>
        </w:rPr>
      </w:pPr>
    </w:p>
    <w:p w14:paraId="322E7D44" w14:textId="0567BDA4"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 xml:space="preserve">In the area of economic analysis, WIPO will continue to be a co-publisher of the Global Innovation Index (GII), seeking to contribute to the measurement of innovation and providing policymakers with </w:t>
      </w:r>
      <w:r w:rsidR="002B6D96">
        <w:rPr>
          <w:rFonts w:ascii="Arial" w:hAnsi="Arial" w:cs="Arial"/>
          <w:bCs/>
          <w:sz w:val="20"/>
        </w:rPr>
        <w:t>information on</w:t>
      </w:r>
      <w:r w:rsidR="002B6D96" w:rsidRPr="009B4A78">
        <w:rPr>
          <w:rFonts w:ascii="Arial" w:hAnsi="Arial" w:cs="Arial"/>
          <w:bCs/>
          <w:sz w:val="20"/>
        </w:rPr>
        <w:t xml:space="preserve"> </w:t>
      </w:r>
      <w:r w:rsidRPr="009B4A78">
        <w:rPr>
          <w:rFonts w:ascii="Arial" w:hAnsi="Arial" w:cs="Arial"/>
          <w:bCs/>
          <w:sz w:val="20"/>
        </w:rPr>
        <w:t xml:space="preserve">innovation performance.  </w:t>
      </w:r>
      <w:r w:rsidR="002B6D96">
        <w:rPr>
          <w:rFonts w:ascii="Arial" w:hAnsi="Arial" w:cs="Arial"/>
          <w:bCs/>
          <w:sz w:val="20"/>
        </w:rPr>
        <w:t>WIPO will continue to seek feedback from Member States on how to improve the Index.</w:t>
      </w:r>
      <w:r w:rsidR="00A21D1B">
        <w:rPr>
          <w:rFonts w:ascii="Arial" w:hAnsi="Arial" w:cs="Arial"/>
          <w:bCs/>
          <w:sz w:val="20"/>
        </w:rPr>
        <w:t xml:space="preserve">  </w:t>
      </w:r>
      <w:r w:rsidRPr="009B4A78">
        <w:rPr>
          <w:rFonts w:ascii="Arial" w:hAnsi="Arial" w:cs="Arial"/>
          <w:bCs/>
          <w:sz w:val="20"/>
        </w:rPr>
        <w:t>WIPO’s World Intellectual Property Report series will equally continue, seeking to explore new themes and deepen the analysis on global IP topics provided to date.  In addition, the Program will seek to establish a new line of research on policy and performance in the creative economy.</w:t>
      </w:r>
      <w:r w:rsidR="00D86441">
        <w:rPr>
          <w:rFonts w:ascii="Arial" w:hAnsi="Arial" w:cs="Arial"/>
          <w:bCs/>
          <w:sz w:val="20"/>
        </w:rPr>
        <w:t xml:space="preserve">  In implementing this new line of research, the Program will collaborate closely with Program 3.</w:t>
      </w:r>
      <w:r w:rsidRPr="009B4A78">
        <w:rPr>
          <w:rFonts w:ascii="Arial" w:hAnsi="Arial" w:cs="Arial"/>
          <w:bCs/>
          <w:sz w:val="20"/>
        </w:rPr>
        <w:t xml:space="preserve">  </w:t>
      </w:r>
      <w:r w:rsidR="002B6D96">
        <w:rPr>
          <w:rFonts w:ascii="Arial" w:hAnsi="Arial" w:cs="Arial"/>
          <w:bCs/>
          <w:sz w:val="20"/>
        </w:rPr>
        <w:t xml:space="preserve"> </w:t>
      </w:r>
    </w:p>
    <w:p w14:paraId="3C887424" w14:textId="77777777" w:rsidR="009B4A78" w:rsidRPr="009B4A78" w:rsidRDefault="009B4A78" w:rsidP="00984F70">
      <w:pPr>
        <w:tabs>
          <w:tab w:val="num" w:pos="709"/>
        </w:tabs>
        <w:jc w:val="both"/>
        <w:rPr>
          <w:rFonts w:ascii="Arial" w:hAnsi="Arial" w:cs="Arial"/>
          <w:bCs/>
          <w:sz w:val="20"/>
        </w:rPr>
      </w:pPr>
    </w:p>
    <w:p w14:paraId="59DC6C22"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 xml:space="preserve">As in the past, the Program will stand ready to respond to requests for economic analysis from WIPO committees.  Finally, the study work in developing countries, as part of a DA project, will be extended to four to five new countries. Responding to the needs of Member States, these studies will continue to be informed by the relevant DA Recommendations, especially Recommendations 34, 35, 37, and 39, and provide empirical input into understanding the economic effects of different IP policy choices.  </w:t>
      </w:r>
    </w:p>
    <w:p w14:paraId="782D3322" w14:textId="77777777" w:rsidR="009B4A78" w:rsidRPr="009B4A78" w:rsidRDefault="009B4A78" w:rsidP="00984F70">
      <w:pPr>
        <w:tabs>
          <w:tab w:val="num" w:pos="709"/>
        </w:tabs>
        <w:jc w:val="both"/>
        <w:rPr>
          <w:rFonts w:ascii="Arial" w:hAnsi="Arial" w:cs="Arial"/>
          <w:bCs/>
          <w:sz w:val="20"/>
        </w:rPr>
      </w:pPr>
    </w:p>
    <w:p w14:paraId="790F96EF" w14:textId="77777777"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To promote high quality economic analysis and to maximize synergies, WIPO will draw on its wide international network of academic economists and continue to coordinate the global network of IP office economists.</w:t>
      </w:r>
    </w:p>
    <w:p w14:paraId="661E4B21" w14:textId="77777777" w:rsidR="009B4A78" w:rsidRDefault="009B4A78" w:rsidP="00984F70">
      <w:pPr>
        <w:tabs>
          <w:tab w:val="num" w:pos="709"/>
        </w:tabs>
        <w:jc w:val="both"/>
        <w:rPr>
          <w:rFonts w:ascii="Arial" w:hAnsi="Arial" w:cs="Arial"/>
          <w:bCs/>
          <w:sz w:val="20"/>
        </w:rPr>
      </w:pPr>
    </w:p>
    <w:p w14:paraId="60B62260" w14:textId="4EFCC45B" w:rsidR="007A5A68" w:rsidRPr="00D86441" w:rsidRDefault="007A5A68" w:rsidP="00B66A4A">
      <w:pPr>
        <w:keepNext/>
        <w:keepLines/>
        <w:numPr>
          <w:ilvl w:val="0"/>
          <w:numId w:val="19"/>
        </w:numPr>
        <w:jc w:val="both"/>
        <w:rPr>
          <w:rFonts w:ascii="Arial" w:hAnsi="Arial" w:cs="Arial"/>
          <w:bCs/>
          <w:sz w:val="20"/>
        </w:rPr>
      </w:pPr>
      <w:r w:rsidRPr="00B70B7D">
        <w:rPr>
          <w:rFonts w:ascii="Arial" w:hAnsi="Arial" w:cs="Arial"/>
          <w:bCs/>
          <w:sz w:val="20"/>
        </w:rPr>
        <w:lastRenderedPageBreak/>
        <w:t>Program 1</w:t>
      </w:r>
      <w:r>
        <w:rPr>
          <w:rFonts w:ascii="Arial" w:hAnsi="Arial" w:cs="Arial"/>
          <w:bCs/>
          <w:sz w:val="20"/>
        </w:rPr>
        <w:t>6</w:t>
      </w:r>
      <w:r w:rsidRPr="00B70B7D">
        <w:rPr>
          <w:rFonts w:ascii="Arial" w:hAnsi="Arial" w:cs="Arial"/>
          <w:bCs/>
          <w:sz w:val="20"/>
        </w:rPr>
        <w:t xml:space="preserve"> collaborates primarily with other Programs as illustrated below</w:t>
      </w:r>
      <w:r w:rsidRPr="00D86441">
        <w:rPr>
          <w:rFonts w:ascii="Arial" w:hAnsi="Arial" w:cs="Arial"/>
          <w:bCs/>
          <w:sz w:val="20"/>
        </w:rPr>
        <w:t xml:space="preserve">: </w:t>
      </w:r>
    </w:p>
    <w:p w14:paraId="646DBB45" w14:textId="77777777" w:rsidR="007A5A68" w:rsidRDefault="007A5A68" w:rsidP="00DF28E6">
      <w:pPr>
        <w:keepNext/>
        <w:keepLines/>
        <w:tabs>
          <w:tab w:val="num" w:pos="709"/>
        </w:tabs>
        <w:jc w:val="both"/>
        <w:rPr>
          <w:rFonts w:ascii="Arial" w:hAnsi="Arial" w:cs="Arial"/>
          <w:bCs/>
          <w:sz w:val="20"/>
        </w:rPr>
      </w:pPr>
    </w:p>
    <w:p w14:paraId="6024EFBC" w14:textId="77E3022F" w:rsidR="00F850AF" w:rsidRDefault="007B5015" w:rsidP="00DF28E6">
      <w:pPr>
        <w:keepNext/>
        <w:keepLines/>
        <w:tabs>
          <w:tab w:val="num" w:pos="709"/>
        </w:tabs>
        <w:jc w:val="both"/>
        <w:rPr>
          <w:rFonts w:ascii="Arial" w:hAnsi="Arial" w:cs="Arial"/>
          <w:bCs/>
          <w:sz w:val="20"/>
        </w:rPr>
      </w:pPr>
      <w:r>
        <w:rPr>
          <w:noProof/>
          <w:lang w:eastAsia="en-US"/>
        </w:rPr>
        <w:drawing>
          <wp:inline distT="0" distB="0" distL="0" distR="0" wp14:anchorId="51D8663C" wp14:editId="2924660A">
            <wp:extent cx="5760085" cy="2258197"/>
            <wp:effectExtent l="0" t="0" r="0" b="0"/>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33351804" w14:textId="108E971A" w:rsidR="009B4A78" w:rsidRPr="009B4A78" w:rsidRDefault="009B4A78" w:rsidP="00DF28E6">
      <w:pPr>
        <w:keepNext/>
        <w:keepLines/>
        <w:tabs>
          <w:tab w:val="num" w:pos="709"/>
        </w:tabs>
        <w:jc w:val="both"/>
        <w:rPr>
          <w:rFonts w:ascii="Arial" w:hAnsi="Arial" w:cs="Arial"/>
          <w:bCs/>
        </w:rPr>
      </w:pPr>
    </w:p>
    <w:p w14:paraId="16E721EE" w14:textId="77777777" w:rsidR="009B4A78" w:rsidRPr="009B4A78" w:rsidRDefault="009B4A78" w:rsidP="00984F70">
      <w:pPr>
        <w:tabs>
          <w:tab w:val="num" w:pos="709"/>
        </w:tabs>
        <w:jc w:val="both"/>
        <w:rPr>
          <w:rFonts w:ascii="Arial" w:hAnsi="Arial" w:cs="Arial"/>
          <w:bCs/>
        </w:rPr>
      </w:pPr>
    </w:p>
    <w:p w14:paraId="3C0D5E16" w14:textId="77777777" w:rsidR="009B4A78" w:rsidRPr="009B4A78" w:rsidRDefault="009B4A78" w:rsidP="00984F70">
      <w:pPr>
        <w:rPr>
          <w:rFonts w:ascii="Arial" w:hAnsi="Arial" w:cs="Arial"/>
        </w:rPr>
      </w:pPr>
      <w:r w:rsidRPr="009B4A78">
        <w:rPr>
          <w:rFonts w:ascii="Arial" w:hAnsi="Arial" w:cs="Arial"/>
        </w:rPr>
        <w:t>MAJOR RISKS AND MITIGATION STRATEGIES</w:t>
      </w:r>
    </w:p>
    <w:p w14:paraId="67DF356D" w14:textId="77777777" w:rsidR="009B4A78" w:rsidRPr="009B4A78" w:rsidRDefault="009B4A78" w:rsidP="00984F70">
      <w:pPr>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B4A78" w:rsidRPr="009B4A78" w14:paraId="73357221" w14:textId="77777777" w:rsidTr="008B0282">
        <w:trPr>
          <w:trHeight w:val="484"/>
        </w:trPr>
        <w:tc>
          <w:tcPr>
            <w:tcW w:w="4253" w:type="dxa"/>
            <w:tcBorders>
              <w:top w:val="single" w:sz="4" w:space="0" w:color="auto"/>
              <w:bottom w:val="single" w:sz="4" w:space="0" w:color="auto"/>
            </w:tcBorders>
            <w:shd w:val="clear" w:color="auto" w:fill="C6D9F1" w:themeFill="text2" w:themeFillTint="33"/>
            <w:vAlign w:val="center"/>
          </w:tcPr>
          <w:p w14:paraId="791182B7" w14:textId="77777777" w:rsidR="009B4A78" w:rsidRPr="009B4A78" w:rsidRDefault="009B4A78" w:rsidP="00984F70">
            <w:pPr>
              <w:keepNext/>
              <w:keepLines/>
              <w:jc w:val="center"/>
              <w:rPr>
                <w:rFonts w:ascii="Arial" w:hAnsi="Arial" w:cs="Arial"/>
                <w:b/>
                <w:bCs/>
                <w:sz w:val="18"/>
                <w:szCs w:val="18"/>
              </w:rPr>
            </w:pPr>
            <w:r w:rsidRPr="009B4A78">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2FD0AACE" w14:textId="77777777" w:rsidR="009B4A78" w:rsidRPr="009B4A78" w:rsidRDefault="009B4A78" w:rsidP="00984F70">
            <w:pPr>
              <w:keepNext/>
              <w:keepLines/>
              <w:jc w:val="center"/>
              <w:rPr>
                <w:rFonts w:ascii="Arial" w:hAnsi="Arial" w:cs="Arial"/>
                <w:b/>
                <w:bCs/>
                <w:sz w:val="18"/>
                <w:szCs w:val="18"/>
              </w:rPr>
            </w:pPr>
            <w:r w:rsidRPr="009B4A78">
              <w:rPr>
                <w:rFonts w:ascii="Arial" w:hAnsi="Arial" w:cs="Arial"/>
                <w:b/>
                <w:bCs/>
                <w:sz w:val="18"/>
                <w:szCs w:val="18"/>
              </w:rPr>
              <w:t>Mitigation</w:t>
            </w:r>
          </w:p>
        </w:tc>
      </w:tr>
      <w:tr w:rsidR="009B4A78" w:rsidRPr="009B4A78" w14:paraId="1EAB11DE" w14:textId="77777777" w:rsidTr="008B0282">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4685F43"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Publication of incomplete statistical information (WIPI).</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131B702C"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Provide sufficient time for response, and contribute to building statistical capacity at the national level.</w:t>
            </w:r>
          </w:p>
        </w:tc>
      </w:tr>
      <w:tr w:rsidR="009B4A78" w:rsidRPr="009B4A78" w14:paraId="285C0189" w14:textId="77777777" w:rsidTr="008B0282">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23D928DF"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 xml:space="preserve">WIPO publications misreport statistical data or reflect analytical shortcomings.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5D01C7D4"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Control mechanisms are instituted that identify data inconsistencies during the collection of IP statistics; all statistical publications are carefully reviewed by statistical experts and relevant WIPO sectors;  all analytical publications are externally peer reviewed.</w:t>
            </w:r>
          </w:p>
        </w:tc>
      </w:tr>
    </w:tbl>
    <w:p w14:paraId="6CB39F5C" w14:textId="77777777" w:rsidR="009B4A78" w:rsidRPr="009B4A78" w:rsidRDefault="009B4A78" w:rsidP="00984F70">
      <w:pPr>
        <w:spacing w:after="200" w:line="276" w:lineRule="auto"/>
        <w:rPr>
          <w:rFonts w:ascii="Arial" w:hAnsi="Arial" w:cs="Arial"/>
        </w:rPr>
      </w:pPr>
    </w:p>
    <w:p w14:paraId="41F58E46" w14:textId="77777777" w:rsidR="009B4A78" w:rsidRPr="009B4A78" w:rsidRDefault="009B4A78" w:rsidP="00984F70">
      <w:pPr>
        <w:jc w:val="both"/>
        <w:rPr>
          <w:rFonts w:ascii="Arial" w:hAnsi="Arial" w:cs="Arial"/>
          <w:bCs/>
        </w:rPr>
      </w:pPr>
      <w:r w:rsidRPr="009B4A78">
        <w:rPr>
          <w:rFonts w:ascii="Arial" w:hAnsi="Arial" w:cs="Arial"/>
          <w:bCs/>
        </w:rPr>
        <w:t>RESULTS FRAMEWORK</w:t>
      </w:r>
    </w:p>
    <w:p w14:paraId="045FE508" w14:textId="77777777" w:rsidR="009B4A78" w:rsidRPr="009B4A78" w:rsidRDefault="009B4A78" w:rsidP="00984F70">
      <w:pPr>
        <w:jc w:val="both"/>
        <w:rPr>
          <w:rFonts w:ascii="Arial" w:hAnsi="Arial" w:cs="Arial"/>
          <w:bCs/>
        </w:rPr>
      </w:pPr>
    </w:p>
    <w:tbl>
      <w:tblPr>
        <w:tblW w:w="9371" w:type="dxa"/>
        <w:tblInd w:w="93" w:type="dxa"/>
        <w:tblLook w:val="04A0" w:firstRow="1" w:lastRow="0" w:firstColumn="1" w:lastColumn="0" w:noHBand="0" w:noVBand="1"/>
      </w:tblPr>
      <w:tblGrid>
        <w:gridCol w:w="2460"/>
        <w:gridCol w:w="3367"/>
        <w:gridCol w:w="1701"/>
        <w:gridCol w:w="1843"/>
      </w:tblGrid>
      <w:tr w:rsidR="009B4A78" w:rsidRPr="009B4A78" w14:paraId="78A4F410" w14:textId="77777777" w:rsidTr="008D4CE9">
        <w:trPr>
          <w:trHeight w:val="492"/>
        </w:trPr>
        <w:tc>
          <w:tcPr>
            <w:tcW w:w="246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DE20FF6"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 xml:space="preserve">Expected Results </w:t>
            </w:r>
          </w:p>
        </w:tc>
        <w:tc>
          <w:tcPr>
            <w:tcW w:w="3367" w:type="dxa"/>
            <w:tcBorders>
              <w:top w:val="single" w:sz="4" w:space="0" w:color="auto"/>
              <w:left w:val="nil"/>
              <w:bottom w:val="single" w:sz="4" w:space="0" w:color="auto"/>
              <w:right w:val="nil"/>
            </w:tcBorders>
            <w:shd w:val="clear" w:color="auto" w:fill="C6D9F1" w:themeFill="text2" w:themeFillTint="33"/>
            <w:noWrap/>
            <w:vAlign w:val="center"/>
            <w:hideMark/>
          </w:tcPr>
          <w:p w14:paraId="148B4914"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1701" w:type="dxa"/>
            <w:tcBorders>
              <w:top w:val="single" w:sz="4" w:space="0" w:color="auto"/>
              <w:left w:val="nil"/>
              <w:bottom w:val="single" w:sz="4" w:space="0" w:color="auto"/>
              <w:right w:val="nil"/>
            </w:tcBorders>
            <w:shd w:val="clear" w:color="auto" w:fill="C6D9F1" w:themeFill="text2" w:themeFillTint="33"/>
            <w:noWrap/>
            <w:vAlign w:val="center"/>
            <w:hideMark/>
          </w:tcPr>
          <w:p w14:paraId="3E7F4FB8"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184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221C50"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9B4A78" w:rsidRPr="009B4A78" w14:paraId="4B71F346" w14:textId="77777777" w:rsidTr="008D4CE9">
        <w:trPr>
          <w:trHeight w:val="698"/>
        </w:trPr>
        <w:tc>
          <w:tcPr>
            <w:tcW w:w="2460" w:type="dxa"/>
            <w:vMerge w:val="restart"/>
            <w:tcBorders>
              <w:top w:val="single" w:sz="4" w:space="0" w:color="auto"/>
              <w:left w:val="single" w:sz="4" w:space="0" w:color="auto"/>
              <w:bottom w:val="nil"/>
              <w:right w:val="nil"/>
            </w:tcBorders>
            <w:shd w:val="clear" w:color="000000" w:fill="FFFFFF"/>
            <w:hideMark/>
          </w:tcPr>
          <w:p w14:paraId="6B340332" w14:textId="77777777" w:rsidR="009B4A78" w:rsidRPr="009B4A78" w:rsidRDefault="009B4A78" w:rsidP="00984F70">
            <w:pPr>
              <w:rPr>
                <w:rFonts w:ascii="Arial" w:hAnsi="Arial" w:cs="Arial"/>
                <w:color w:val="000000"/>
                <w:sz w:val="16"/>
                <w:szCs w:val="16"/>
              </w:rPr>
            </w:pPr>
            <w:r w:rsidRPr="009B4A78">
              <w:rPr>
                <w:rFonts w:ascii="Arial" w:hAnsi="Arial" w:cs="Arial"/>
                <w:color w:val="000000"/>
                <w:sz w:val="16"/>
                <w:szCs w:val="16"/>
              </w:rPr>
              <w:br/>
              <w:t>V.1 Wider and better use of WIPO IP statistical information</w:t>
            </w:r>
          </w:p>
        </w:tc>
        <w:tc>
          <w:tcPr>
            <w:tcW w:w="3367" w:type="dxa"/>
            <w:tcBorders>
              <w:top w:val="single" w:sz="4" w:space="0" w:color="auto"/>
              <w:left w:val="nil"/>
              <w:bottom w:val="nil"/>
              <w:right w:val="nil"/>
            </w:tcBorders>
            <w:shd w:val="clear" w:color="000000" w:fill="FFFFFF"/>
            <w:hideMark/>
          </w:tcPr>
          <w:p w14:paraId="456B78E5" w14:textId="77777777" w:rsidR="009B4A78" w:rsidRPr="009B4A78" w:rsidRDefault="009B4A78" w:rsidP="008D4CE9">
            <w:pPr>
              <w:ind w:left="141" w:firstLineChars="23" w:firstLine="37"/>
              <w:rPr>
                <w:rFonts w:ascii="Arial" w:hAnsi="Arial" w:cs="Arial"/>
                <w:color w:val="000000"/>
                <w:sz w:val="16"/>
                <w:szCs w:val="16"/>
              </w:rPr>
            </w:pPr>
            <w:r w:rsidRPr="009B4A78">
              <w:rPr>
                <w:rFonts w:ascii="Arial" w:hAnsi="Arial" w:cs="Arial"/>
                <w:color w:val="000000"/>
                <w:sz w:val="16"/>
                <w:szCs w:val="16"/>
              </w:rPr>
              <w:br/>
              <w:t>No. of searches on IP Statistics Data Center</w:t>
            </w:r>
          </w:p>
        </w:tc>
        <w:tc>
          <w:tcPr>
            <w:tcW w:w="1701" w:type="dxa"/>
            <w:tcBorders>
              <w:top w:val="single" w:sz="4" w:space="0" w:color="auto"/>
              <w:left w:val="nil"/>
              <w:bottom w:val="nil"/>
              <w:right w:val="nil"/>
            </w:tcBorders>
            <w:shd w:val="clear" w:color="000000" w:fill="FFFFFF"/>
            <w:hideMark/>
          </w:tcPr>
          <w:p w14:paraId="4709BA0A" w14:textId="77777777" w:rsidR="009B4A78" w:rsidRPr="009B4A78" w:rsidRDefault="009B4A78" w:rsidP="008D4CE9">
            <w:pPr>
              <w:ind w:left="179"/>
              <w:rPr>
                <w:rFonts w:ascii="Arial" w:hAnsi="Arial" w:cs="Arial"/>
                <w:color w:val="000000"/>
                <w:sz w:val="16"/>
                <w:szCs w:val="16"/>
              </w:rPr>
            </w:pPr>
            <w:r w:rsidRPr="009B4A78">
              <w:rPr>
                <w:rFonts w:ascii="Arial" w:hAnsi="Arial" w:cs="Arial"/>
                <w:color w:val="000000"/>
                <w:sz w:val="16"/>
                <w:szCs w:val="16"/>
              </w:rPr>
              <w:br/>
            </w:r>
            <w:proofErr w:type="spellStart"/>
            <w:r w:rsidRPr="009B4A78">
              <w:rPr>
                <w:rFonts w:ascii="Arial" w:hAnsi="Arial" w:cs="Arial"/>
                <w:color w:val="000000"/>
                <w:sz w:val="16"/>
                <w:szCs w:val="16"/>
              </w:rPr>
              <w:t>tbd</w:t>
            </w:r>
            <w:proofErr w:type="spellEnd"/>
            <w:r w:rsidRPr="009B4A78">
              <w:rPr>
                <w:rFonts w:ascii="Arial" w:hAnsi="Arial" w:cs="Arial"/>
                <w:color w:val="000000"/>
                <w:sz w:val="16"/>
                <w:szCs w:val="16"/>
              </w:rPr>
              <w:t xml:space="preserve"> end 2015</w:t>
            </w:r>
          </w:p>
        </w:tc>
        <w:tc>
          <w:tcPr>
            <w:tcW w:w="1843" w:type="dxa"/>
            <w:tcBorders>
              <w:top w:val="single" w:sz="4" w:space="0" w:color="auto"/>
              <w:left w:val="nil"/>
              <w:bottom w:val="nil"/>
              <w:right w:val="single" w:sz="4" w:space="0" w:color="auto"/>
            </w:tcBorders>
            <w:shd w:val="clear" w:color="000000" w:fill="FFFFFF"/>
            <w:hideMark/>
          </w:tcPr>
          <w:p w14:paraId="5B32EB19" w14:textId="77777777" w:rsidR="009B4A78" w:rsidRPr="009B4A78" w:rsidRDefault="009B4A78" w:rsidP="00984F70">
            <w:pPr>
              <w:ind w:left="382" w:firstLineChars="50" w:firstLine="80"/>
              <w:rPr>
                <w:rFonts w:ascii="Arial" w:hAnsi="Arial" w:cs="Arial"/>
                <w:color w:val="000000"/>
                <w:sz w:val="16"/>
                <w:szCs w:val="16"/>
              </w:rPr>
            </w:pPr>
            <w:r w:rsidRPr="009B4A78">
              <w:rPr>
                <w:rFonts w:ascii="Arial" w:hAnsi="Arial" w:cs="Arial"/>
                <w:color w:val="000000"/>
                <w:sz w:val="16"/>
                <w:szCs w:val="16"/>
              </w:rPr>
              <w:br/>
            </w:r>
            <w:proofErr w:type="spellStart"/>
            <w:r w:rsidRPr="009B4A78">
              <w:rPr>
                <w:rFonts w:ascii="Arial" w:hAnsi="Arial" w:cs="Arial"/>
                <w:color w:val="000000"/>
                <w:sz w:val="16"/>
                <w:szCs w:val="16"/>
              </w:rPr>
              <w:t>tbd</w:t>
            </w:r>
            <w:proofErr w:type="spellEnd"/>
          </w:p>
        </w:tc>
      </w:tr>
      <w:tr w:rsidR="009B4A78" w:rsidRPr="009B4A78" w14:paraId="3BDA002E" w14:textId="77777777" w:rsidTr="008D4CE9">
        <w:trPr>
          <w:trHeight w:val="574"/>
        </w:trPr>
        <w:tc>
          <w:tcPr>
            <w:tcW w:w="2460" w:type="dxa"/>
            <w:vMerge/>
            <w:tcBorders>
              <w:top w:val="nil"/>
              <w:left w:val="single" w:sz="4" w:space="0" w:color="auto"/>
              <w:bottom w:val="nil"/>
              <w:right w:val="nil"/>
            </w:tcBorders>
            <w:vAlign w:val="center"/>
            <w:hideMark/>
          </w:tcPr>
          <w:p w14:paraId="6D8EB26C" w14:textId="77777777" w:rsidR="009B4A78" w:rsidRPr="009B4A78" w:rsidRDefault="009B4A78" w:rsidP="00984F70">
            <w:pPr>
              <w:rPr>
                <w:rFonts w:ascii="Arial" w:hAnsi="Arial" w:cs="Arial"/>
                <w:color w:val="000000"/>
                <w:sz w:val="16"/>
                <w:szCs w:val="16"/>
              </w:rPr>
            </w:pPr>
          </w:p>
        </w:tc>
        <w:tc>
          <w:tcPr>
            <w:tcW w:w="3367" w:type="dxa"/>
            <w:tcBorders>
              <w:top w:val="nil"/>
              <w:left w:val="nil"/>
              <w:bottom w:val="nil"/>
              <w:right w:val="nil"/>
            </w:tcBorders>
            <w:shd w:val="clear" w:color="000000" w:fill="FFFFFF"/>
            <w:hideMark/>
          </w:tcPr>
          <w:p w14:paraId="165FCBF4" w14:textId="77777777" w:rsidR="009B4A78" w:rsidRPr="009B4A78" w:rsidRDefault="009B4A78" w:rsidP="008D4CE9">
            <w:pPr>
              <w:ind w:left="141"/>
              <w:rPr>
                <w:rFonts w:ascii="Arial" w:hAnsi="Arial" w:cs="Arial"/>
                <w:color w:val="000000"/>
                <w:sz w:val="16"/>
                <w:szCs w:val="16"/>
              </w:rPr>
            </w:pPr>
            <w:r w:rsidRPr="009B4A78">
              <w:rPr>
                <w:rFonts w:ascii="Arial" w:hAnsi="Arial" w:cs="Arial"/>
                <w:color w:val="000000"/>
                <w:sz w:val="16"/>
                <w:szCs w:val="16"/>
              </w:rPr>
              <w:t>No. of downloads of annual statistics reports within 6 months of their publication</w:t>
            </w:r>
          </w:p>
        </w:tc>
        <w:tc>
          <w:tcPr>
            <w:tcW w:w="1701" w:type="dxa"/>
            <w:tcBorders>
              <w:top w:val="nil"/>
              <w:left w:val="nil"/>
              <w:bottom w:val="nil"/>
              <w:right w:val="nil"/>
            </w:tcBorders>
            <w:shd w:val="clear" w:color="000000" w:fill="FFFFFF"/>
            <w:hideMark/>
          </w:tcPr>
          <w:p w14:paraId="742006B6" w14:textId="5202C5AD" w:rsidR="009B4A78" w:rsidRPr="009B4A78" w:rsidRDefault="009B4A78" w:rsidP="008D4CE9">
            <w:pPr>
              <w:ind w:left="179"/>
              <w:rPr>
                <w:rFonts w:ascii="Arial" w:hAnsi="Arial" w:cs="Arial"/>
                <w:color w:val="000000"/>
                <w:sz w:val="16"/>
                <w:szCs w:val="16"/>
              </w:rPr>
            </w:pPr>
            <w:proofErr w:type="spellStart"/>
            <w:r w:rsidRPr="009B4A78">
              <w:rPr>
                <w:rFonts w:ascii="Arial" w:hAnsi="Arial" w:cs="Arial"/>
                <w:color w:val="000000"/>
                <w:sz w:val="16"/>
                <w:szCs w:val="16"/>
              </w:rPr>
              <w:t>tbd</w:t>
            </w:r>
            <w:proofErr w:type="spellEnd"/>
            <w:r w:rsidR="00764DA3">
              <w:rPr>
                <w:rStyle w:val="FootnoteReference"/>
                <w:rFonts w:ascii="Arial" w:hAnsi="Arial" w:cs="Arial"/>
                <w:color w:val="000000"/>
                <w:sz w:val="16"/>
                <w:szCs w:val="16"/>
              </w:rPr>
              <w:footnoteReference w:id="22"/>
            </w:r>
          </w:p>
        </w:tc>
        <w:tc>
          <w:tcPr>
            <w:tcW w:w="1843" w:type="dxa"/>
            <w:tcBorders>
              <w:top w:val="nil"/>
              <w:left w:val="nil"/>
              <w:bottom w:val="nil"/>
              <w:right w:val="single" w:sz="4" w:space="0" w:color="auto"/>
            </w:tcBorders>
            <w:shd w:val="clear" w:color="000000" w:fill="FFFFFF"/>
            <w:hideMark/>
          </w:tcPr>
          <w:p w14:paraId="0BAE615E" w14:textId="77777777" w:rsidR="009B4A78" w:rsidRPr="009B4A78" w:rsidRDefault="009B4A78" w:rsidP="00984F70">
            <w:pPr>
              <w:ind w:left="382"/>
              <w:rPr>
                <w:rFonts w:ascii="Arial" w:hAnsi="Arial" w:cs="Arial"/>
                <w:color w:val="000000"/>
                <w:sz w:val="16"/>
                <w:szCs w:val="16"/>
              </w:rPr>
            </w:pPr>
            <w:proofErr w:type="spellStart"/>
            <w:r w:rsidRPr="009B4A78">
              <w:rPr>
                <w:rFonts w:ascii="Arial" w:hAnsi="Arial" w:cs="Arial"/>
                <w:color w:val="000000"/>
                <w:sz w:val="16"/>
                <w:szCs w:val="16"/>
              </w:rPr>
              <w:t>tbd</w:t>
            </w:r>
            <w:proofErr w:type="spellEnd"/>
          </w:p>
        </w:tc>
      </w:tr>
      <w:tr w:rsidR="009B4A78" w:rsidRPr="009B4A78" w14:paraId="31771D2D" w14:textId="77777777" w:rsidTr="008D4CE9">
        <w:trPr>
          <w:trHeight w:val="822"/>
        </w:trPr>
        <w:tc>
          <w:tcPr>
            <w:tcW w:w="2460" w:type="dxa"/>
            <w:vMerge/>
            <w:tcBorders>
              <w:top w:val="nil"/>
              <w:left w:val="single" w:sz="4" w:space="0" w:color="auto"/>
              <w:bottom w:val="nil"/>
              <w:right w:val="nil"/>
            </w:tcBorders>
            <w:vAlign w:val="center"/>
            <w:hideMark/>
          </w:tcPr>
          <w:p w14:paraId="3545C4EB" w14:textId="77777777" w:rsidR="009B4A78" w:rsidRPr="009B4A78" w:rsidRDefault="009B4A78" w:rsidP="00984F70">
            <w:pPr>
              <w:rPr>
                <w:rFonts w:ascii="Arial" w:hAnsi="Arial" w:cs="Arial"/>
                <w:color w:val="000000"/>
                <w:sz w:val="16"/>
                <w:szCs w:val="16"/>
              </w:rPr>
            </w:pPr>
          </w:p>
        </w:tc>
        <w:tc>
          <w:tcPr>
            <w:tcW w:w="3367" w:type="dxa"/>
            <w:tcBorders>
              <w:top w:val="nil"/>
              <w:left w:val="nil"/>
              <w:bottom w:val="nil"/>
              <w:right w:val="nil"/>
            </w:tcBorders>
            <w:shd w:val="clear" w:color="000000" w:fill="FFFFFF"/>
            <w:hideMark/>
          </w:tcPr>
          <w:p w14:paraId="50A04DE7" w14:textId="77777777" w:rsidR="009B4A78" w:rsidRPr="009B4A78" w:rsidRDefault="009B4A78" w:rsidP="008D4CE9">
            <w:pPr>
              <w:ind w:left="141"/>
              <w:rPr>
                <w:rFonts w:ascii="Arial" w:hAnsi="Arial" w:cs="Arial"/>
                <w:color w:val="000000"/>
                <w:sz w:val="16"/>
                <w:szCs w:val="16"/>
              </w:rPr>
            </w:pPr>
            <w:r w:rsidRPr="009B4A78">
              <w:rPr>
                <w:rFonts w:ascii="Arial" w:hAnsi="Arial" w:cs="Arial"/>
                <w:color w:val="000000"/>
                <w:sz w:val="16"/>
                <w:szCs w:val="16"/>
              </w:rPr>
              <w:t xml:space="preserve">Difference between January forecasts and actual numbers of PCT, Madrid, and Hague filings are within threshold ranges </w:t>
            </w:r>
          </w:p>
        </w:tc>
        <w:tc>
          <w:tcPr>
            <w:tcW w:w="1701" w:type="dxa"/>
            <w:tcBorders>
              <w:top w:val="nil"/>
              <w:left w:val="nil"/>
              <w:bottom w:val="nil"/>
              <w:right w:val="nil"/>
            </w:tcBorders>
            <w:shd w:val="clear" w:color="000000" w:fill="FFFFFF"/>
            <w:hideMark/>
          </w:tcPr>
          <w:p w14:paraId="30D96B4A" w14:textId="77777777" w:rsidR="009B4A78" w:rsidRPr="009B4A78" w:rsidRDefault="009B4A78" w:rsidP="008D4CE9">
            <w:pPr>
              <w:ind w:left="179"/>
              <w:rPr>
                <w:rFonts w:ascii="Arial" w:hAnsi="Arial" w:cs="Arial"/>
                <w:color w:val="000000"/>
                <w:sz w:val="16"/>
                <w:szCs w:val="16"/>
              </w:rPr>
            </w:pPr>
            <w:proofErr w:type="spellStart"/>
            <w:r w:rsidRPr="009B4A78">
              <w:rPr>
                <w:rFonts w:ascii="Arial" w:hAnsi="Arial" w:cs="Arial"/>
                <w:color w:val="000000"/>
                <w:sz w:val="16"/>
                <w:szCs w:val="16"/>
              </w:rPr>
              <w:t>tbd</w:t>
            </w:r>
            <w:proofErr w:type="spellEnd"/>
            <w:r w:rsidRPr="009B4A78">
              <w:rPr>
                <w:rFonts w:ascii="Arial" w:hAnsi="Arial" w:cs="Arial"/>
                <w:color w:val="000000"/>
                <w:sz w:val="16"/>
                <w:szCs w:val="16"/>
              </w:rPr>
              <w:t xml:space="preserve"> in early 2016</w:t>
            </w:r>
          </w:p>
        </w:tc>
        <w:tc>
          <w:tcPr>
            <w:tcW w:w="1843" w:type="dxa"/>
            <w:tcBorders>
              <w:top w:val="nil"/>
              <w:left w:val="nil"/>
              <w:bottom w:val="nil"/>
              <w:right w:val="single" w:sz="4" w:space="0" w:color="auto"/>
            </w:tcBorders>
            <w:shd w:val="clear" w:color="000000" w:fill="FFFFFF"/>
            <w:hideMark/>
          </w:tcPr>
          <w:p w14:paraId="1FF5BD97" w14:textId="454A69EC" w:rsidR="009B4A78" w:rsidRPr="009B4A78" w:rsidRDefault="009B4A78" w:rsidP="00764DA3">
            <w:pPr>
              <w:ind w:left="382"/>
              <w:rPr>
                <w:rFonts w:ascii="Arial" w:hAnsi="Arial" w:cs="Arial"/>
                <w:color w:val="000000"/>
                <w:sz w:val="16"/>
                <w:szCs w:val="16"/>
              </w:rPr>
            </w:pPr>
            <w:r w:rsidRPr="009B4A78">
              <w:rPr>
                <w:rFonts w:ascii="Arial" w:hAnsi="Arial" w:cs="Arial"/>
                <w:color w:val="000000"/>
                <w:sz w:val="16"/>
                <w:szCs w:val="16"/>
              </w:rPr>
              <w:t>Forecasts within 80 </w:t>
            </w:r>
            <w:r w:rsidR="00764DA3">
              <w:rPr>
                <w:rFonts w:ascii="Arial" w:hAnsi="Arial" w:cs="Arial"/>
                <w:color w:val="000000"/>
                <w:sz w:val="16"/>
                <w:szCs w:val="16"/>
              </w:rPr>
              <w:t>%</w:t>
            </w:r>
            <w:r w:rsidR="00764DA3" w:rsidRPr="009B4A78">
              <w:rPr>
                <w:rFonts w:ascii="Arial" w:hAnsi="Arial" w:cs="Arial"/>
                <w:color w:val="000000"/>
                <w:sz w:val="16"/>
                <w:szCs w:val="16"/>
              </w:rPr>
              <w:t xml:space="preserve"> </w:t>
            </w:r>
            <w:r w:rsidRPr="009B4A78">
              <w:rPr>
                <w:rFonts w:ascii="Arial" w:hAnsi="Arial" w:cs="Arial"/>
                <w:color w:val="000000"/>
                <w:sz w:val="16"/>
                <w:szCs w:val="16"/>
              </w:rPr>
              <w:t>confidence interval</w:t>
            </w:r>
          </w:p>
        </w:tc>
      </w:tr>
      <w:tr w:rsidR="009B4A78" w:rsidRPr="009B4A78" w14:paraId="0119FBF0" w14:textId="77777777" w:rsidTr="008D4CE9">
        <w:trPr>
          <w:trHeight w:val="563"/>
        </w:trPr>
        <w:tc>
          <w:tcPr>
            <w:tcW w:w="2460" w:type="dxa"/>
            <w:vMerge w:val="restart"/>
            <w:tcBorders>
              <w:top w:val="nil"/>
              <w:left w:val="single" w:sz="4" w:space="0" w:color="auto"/>
              <w:bottom w:val="single" w:sz="4" w:space="0" w:color="000000"/>
              <w:right w:val="nil"/>
            </w:tcBorders>
            <w:shd w:val="clear" w:color="000000" w:fill="FFFFFF"/>
            <w:hideMark/>
          </w:tcPr>
          <w:p w14:paraId="41A72096" w14:textId="77777777" w:rsidR="009B4A78" w:rsidRPr="009B4A78" w:rsidRDefault="009B4A78" w:rsidP="00984F70">
            <w:pPr>
              <w:rPr>
                <w:rFonts w:ascii="Arial" w:hAnsi="Arial" w:cs="Arial"/>
                <w:color w:val="000000"/>
                <w:sz w:val="16"/>
                <w:szCs w:val="16"/>
              </w:rPr>
            </w:pPr>
            <w:r w:rsidRPr="009B4A78">
              <w:rPr>
                <w:rFonts w:ascii="Arial" w:hAnsi="Arial" w:cs="Arial"/>
                <w:color w:val="000000"/>
                <w:sz w:val="16"/>
                <w:szCs w:val="16"/>
              </w:rPr>
              <w:t>V.2 Wider and better use of WIPO economic analysis in policy formulation</w:t>
            </w:r>
          </w:p>
        </w:tc>
        <w:tc>
          <w:tcPr>
            <w:tcW w:w="3367" w:type="dxa"/>
            <w:tcBorders>
              <w:top w:val="nil"/>
              <w:left w:val="nil"/>
              <w:bottom w:val="nil"/>
              <w:right w:val="nil"/>
            </w:tcBorders>
            <w:shd w:val="clear" w:color="000000" w:fill="FFFFFF"/>
            <w:hideMark/>
          </w:tcPr>
          <w:p w14:paraId="439A0125" w14:textId="52CE633E" w:rsidR="009B4A78" w:rsidRPr="009B4A78" w:rsidRDefault="009B4A78" w:rsidP="008D4CE9">
            <w:pPr>
              <w:ind w:left="141"/>
              <w:rPr>
                <w:rFonts w:ascii="Arial" w:hAnsi="Arial" w:cs="Arial"/>
                <w:color w:val="000000"/>
                <w:sz w:val="16"/>
                <w:szCs w:val="16"/>
              </w:rPr>
            </w:pPr>
            <w:r w:rsidRPr="009B4A78">
              <w:rPr>
                <w:rFonts w:ascii="Arial" w:hAnsi="Arial" w:cs="Arial"/>
                <w:color w:val="000000"/>
                <w:sz w:val="16"/>
                <w:szCs w:val="16"/>
              </w:rPr>
              <w:t xml:space="preserve">Annual </w:t>
            </w:r>
            <w:proofErr w:type="spellStart"/>
            <w:r w:rsidRPr="009B4A78">
              <w:rPr>
                <w:rFonts w:ascii="Arial" w:hAnsi="Arial" w:cs="Arial"/>
                <w:color w:val="000000"/>
                <w:sz w:val="16"/>
                <w:szCs w:val="16"/>
              </w:rPr>
              <w:t>n</w:t>
            </w:r>
            <w:r w:rsidR="00764DA3">
              <w:rPr>
                <w:rFonts w:ascii="Arial" w:hAnsi="Arial" w:cs="Arial"/>
                <w:color w:val="000000"/>
                <w:sz w:val="16"/>
                <w:szCs w:val="16"/>
              </w:rPr>
              <w:t>o.</w:t>
            </w:r>
            <w:r w:rsidRPr="009B4A78">
              <w:rPr>
                <w:rFonts w:ascii="Arial" w:hAnsi="Arial" w:cs="Arial"/>
                <w:color w:val="000000"/>
                <w:sz w:val="16"/>
                <w:szCs w:val="16"/>
              </w:rPr>
              <w:t>of</w:t>
            </w:r>
            <w:proofErr w:type="spellEnd"/>
            <w:r w:rsidRPr="009B4A78">
              <w:rPr>
                <w:rFonts w:ascii="Arial" w:hAnsi="Arial" w:cs="Arial"/>
                <w:color w:val="000000"/>
                <w:sz w:val="16"/>
                <w:szCs w:val="16"/>
              </w:rPr>
              <w:t xml:space="preserve"> visitors to Global Innovation Index websites</w:t>
            </w:r>
          </w:p>
        </w:tc>
        <w:tc>
          <w:tcPr>
            <w:tcW w:w="1701" w:type="dxa"/>
            <w:tcBorders>
              <w:top w:val="nil"/>
              <w:left w:val="nil"/>
              <w:bottom w:val="nil"/>
              <w:right w:val="nil"/>
            </w:tcBorders>
            <w:shd w:val="clear" w:color="000000" w:fill="FFFFFF"/>
            <w:hideMark/>
          </w:tcPr>
          <w:p w14:paraId="062ABC71" w14:textId="77777777" w:rsidR="009B4A78" w:rsidRPr="009B4A78" w:rsidRDefault="009B4A78" w:rsidP="008D4CE9">
            <w:pPr>
              <w:ind w:left="179"/>
              <w:rPr>
                <w:rFonts w:ascii="Arial" w:hAnsi="Arial" w:cs="Arial"/>
                <w:color w:val="000000"/>
                <w:sz w:val="16"/>
                <w:szCs w:val="16"/>
              </w:rPr>
            </w:pPr>
            <w:proofErr w:type="spellStart"/>
            <w:r w:rsidRPr="009B4A78">
              <w:rPr>
                <w:rFonts w:ascii="Arial" w:hAnsi="Arial" w:cs="Arial"/>
                <w:color w:val="000000"/>
                <w:sz w:val="16"/>
                <w:szCs w:val="16"/>
              </w:rPr>
              <w:t>tbd</w:t>
            </w:r>
            <w:proofErr w:type="spellEnd"/>
            <w:r w:rsidRPr="009B4A78">
              <w:rPr>
                <w:rFonts w:ascii="Arial" w:hAnsi="Arial" w:cs="Arial"/>
                <w:color w:val="000000"/>
                <w:sz w:val="16"/>
                <w:szCs w:val="16"/>
              </w:rPr>
              <w:t xml:space="preserve"> end 2015</w:t>
            </w:r>
          </w:p>
        </w:tc>
        <w:tc>
          <w:tcPr>
            <w:tcW w:w="1843" w:type="dxa"/>
            <w:tcBorders>
              <w:top w:val="nil"/>
              <w:left w:val="nil"/>
              <w:bottom w:val="nil"/>
              <w:right w:val="single" w:sz="4" w:space="0" w:color="auto"/>
            </w:tcBorders>
            <w:shd w:val="clear" w:color="000000" w:fill="FFFFFF"/>
            <w:hideMark/>
          </w:tcPr>
          <w:p w14:paraId="308BDFEB" w14:textId="77777777" w:rsidR="009B4A78" w:rsidRPr="009B4A78" w:rsidRDefault="009B4A78" w:rsidP="00984F70">
            <w:pPr>
              <w:tabs>
                <w:tab w:val="left" w:pos="169"/>
              </w:tabs>
              <w:ind w:left="382"/>
              <w:rPr>
                <w:rFonts w:ascii="Arial" w:hAnsi="Arial" w:cs="Arial"/>
                <w:color w:val="000000"/>
                <w:sz w:val="16"/>
                <w:szCs w:val="16"/>
              </w:rPr>
            </w:pPr>
            <w:proofErr w:type="spellStart"/>
            <w:r w:rsidRPr="009B4A78">
              <w:rPr>
                <w:rFonts w:ascii="Arial" w:hAnsi="Arial" w:cs="Arial"/>
                <w:color w:val="000000"/>
                <w:sz w:val="16"/>
                <w:szCs w:val="16"/>
              </w:rPr>
              <w:t>tbd</w:t>
            </w:r>
            <w:proofErr w:type="spellEnd"/>
          </w:p>
        </w:tc>
      </w:tr>
      <w:tr w:rsidR="009B4A78" w:rsidRPr="009B4A78" w14:paraId="42B4EE95" w14:textId="77777777" w:rsidTr="008D4CE9">
        <w:trPr>
          <w:trHeight w:val="452"/>
        </w:trPr>
        <w:tc>
          <w:tcPr>
            <w:tcW w:w="2460" w:type="dxa"/>
            <w:vMerge/>
            <w:tcBorders>
              <w:top w:val="nil"/>
              <w:left w:val="single" w:sz="4" w:space="0" w:color="auto"/>
              <w:bottom w:val="single" w:sz="4" w:space="0" w:color="auto"/>
              <w:right w:val="nil"/>
            </w:tcBorders>
            <w:vAlign w:val="center"/>
            <w:hideMark/>
          </w:tcPr>
          <w:p w14:paraId="5CE2D730" w14:textId="77777777" w:rsidR="009B4A78" w:rsidRPr="009B4A78" w:rsidRDefault="009B4A78" w:rsidP="00984F70">
            <w:pPr>
              <w:rPr>
                <w:rFonts w:ascii="Arial" w:hAnsi="Arial" w:cs="Arial"/>
                <w:color w:val="000000"/>
                <w:sz w:val="16"/>
                <w:szCs w:val="16"/>
              </w:rPr>
            </w:pPr>
          </w:p>
        </w:tc>
        <w:tc>
          <w:tcPr>
            <w:tcW w:w="3367" w:type="dxa"/>
            <w:tcBorders>
              <w:top w:val="nil"/>
              <w:left w:val="nil"/>
              <w:bottom w:val="single" w:sz="4" w:space="0" w:color="auto"/>
              <w:right w:val="nil"/>
            </w:tcBorders>
            <w:shd w:val="clear" w:color="000000" w:fill="FFFFFF"/>
            <w:hideMark/>
          </w:tcPr>
          <w:p w14:paraId="056644B4" w14:textId="77777777" w:rsidR="009B4A78" w:rsidRPr="009B4A78" w:rsidRDefault="009B4A78" w:rsidP="008D4CE9">
            <w:pPr>
              <w:ind w:left="141"/>
              <w:rPr>
                <w:rFonts w:ascii="Arial" w:hAnsi="Arial" w:cs="Arial"/>
                <w:color w:val="000000"/>
                <w:sz w:val="16"/>
                <w:szCs w:val="16"/>
              </w:rPr>
            </w:pPr>
            <w:r w:rsidRPr="009B4A78">
              <w:rPr>
                <w:rFonts w:ascii="Arial" w:hAnsi="Arial" w:cs="Arial"/>
                <w:color w:val="000000"/>
                <w:sz w:val="16"/>
                <w:szCs w:val="16"/>
              </w:rPr>
              <w:t>No. of downloads of World IP Report within 6 months of publication</w:t>
            </w:r>
          </w:p>
        </w:tc>
        <w:tc>
          <w:tcPr>
            <w:tcW w:w="1701" w:type="dxa"/>
            <w:tcBorders>
              <w:top w:val="nil"/>
              <w:left w:val="nil"/>
              <w:bottom w:val="single" w:sz="4" w:space="0" w:color="auto"/>
              <w:right w:val="nil"/>
            </w:tcBorders>
            <w:shd w:val="clear" w:color="000000" w:fill="FFFFFF"/>
            <w:hideMark/>
          </w:tcPr>
          <w:p w14:paraId="3F665A6C" w14:textId="26F46D65" w:rsidR="009B4A78" w:rsidRPr="009B4A78" w:rsidRDefault="00764DA3" w:rsidP="008D4CE9">
            <w:pPr>
              <w:ind w:left="179"/>
              <w:rPr>
                <w:rFonts w:ascii="Arial" w:hAnsi="Arial" w:cs="Arial"/>
                <w:color w:val="000000"/>
                <w:sz w:val="16"/>
                <w:szCs w:val="16"/>
              </w:rPr>
            </w:pPr>
            <w:r w:rsidRPr="009B4A78">
              <w:rPr>
                <w:rFonts w:ascii="Arial" w:hAnsi="Arial" w:cs="Arial"/>
                <w:color w:val="000000"/>
                <w:sz w:val="16"/>
                <w:szCs w:val="16"/>
              </w:rPr>
              <w:t>T</w:t>
            </w:r>
            <w:r w:rsidR="009B4A78" w:rsidRPr="009B4A78">
              <w:rPr>
                <w:rFonts w:ascii="Arial" w:hAnsi="Arial" w:cs="Arial"/>
                <w:color w:val="000000"/>
                <w:sz w:val="16"/>
                <w:szCs w:val="16"/>
              </w:rPr>
              <w:t>bd</w:t>
            </w:r>
            <w:r w:rsidRPr="00FB68E0">
              <w:rPr>
                <w:rFonts w:ascii="Arial" w:hAnsi="Arial" w:cs="Arial"/>
                <w:color w:val="000000"/>
                <w:sz w:val="16"/>
                <w:szCs w:val="16"/>
                <w:vertAlign w:val="superscript"/>
              </w:rPr>
              <w:t>18</w:t>
            </w:r>
          </w:p>
        </w:tc>
        <w:tc>
          <w:tcPr>
            <w:tcW w:w="1843" w:type="dxa"/>
            <w:tcBorders>
              <w:top w:val="nil"/>
              <w:left w:val="nil"/>
              <w:bottom w:val="single" w:sz="4" w:space="0" w:color="auto"/>
              <w:right w:val="single" w:sz="4" w:space="0" w:color="auto"/>
            </w:tcBorders>
            <w:shd w:val="clear" w:color="000000" w:fill="FFFFFF"/>
            <w:hideMark/>
          </w:tcPr>
          <w:p w14:paraId="54A7C171" w14:textId="77777777" w:rsidR="009B4A78" w:rsidRPr="009B4A78" w:rsidRDefault="009B4A78" w:rsidP="00984F70">
            <w:pPr>
              <w:ind w:left="382"/>
              <w:rPr>
                <w:rFonts w:ascii="Arial" w:hAnsi="Arial" w:cs="Arial"/>
                <w:color w:val="000000"/>
                <w:sz w:val="16"/>
                <w:szCs w:val="16"/>
              </w:rPr>
            </w:pPr>
            <w:proofErr w:type="spellStart"/>
            <w:r w:rsidRPr="009B4A78">
              <w:rPr>
                <w:rFonts w:ascii="Arial" w:hAnsi="Arial" w:cs="Arial"/>
                <w:color w:val="000000"/>
                <w:sz w:val="16"/>
                <w:szCs w:val="16"/>
              </w:rPr>
              <w:t>tbd</w:t>
            </w:r>
            <w:proofErr w:type="spellEnd"/>
          </w:p>
        </w:tc>
      </w:tr>
    </w:tbl>
    <w:p w14:paraId="32319E80" w14:textId="77777777" w:rsidR="009B4A78" w:rsidRPr="009B4A78" w:rsidRDefault="009B4A78" w:rsidP="00984F70">
      <w:pPr>
        <w:jc w:val="both"/>
        <w:rPr>
          <w:rFonts w:ascii="Arial" w:hAnsi="Arial" w:cs="Arial"/>
          <w:bCs/>
        </w:rPr>
      </w:pPr>
    </w:p>
    <w:p w14:paraId="349A5C35" w14:textId="77777777" w:rsidR="009B4A78" w:rsidRPr="009B4A78" w:rsidRDefault="009B4A78" w:rsidP="00984F70">
      <w:pPr>
        <w:jc w:val="both"/>
        <w:rPr>
          <w:rFonts w:ascii="Arial" w:hAnsi="Arial" w:cs="Arial"/>
          <w:bCs/>
        </w:rPr>
      </w:pPr>
    </w:p>
    <w:p w14:paraId="6DE450A4" w14:textId="77777777" w:rsidR="009B4A78" w:rsidRPr="009B4A78" w:rsidRDefault="009B4A78" w:rsidP="008D4CE9">
      <w:pPr>
        <w:rPr>
          <w:rFonts w:ascii="Arial" w:hAnsi="Arial" w:cs="Arial"/>
          <w:bCs/>
        </w:rPr>
      </w:pPr>
      <w:r w:rsidRPr="009B4A78">
        <w:rPr>
          <w:rFonts w:ascii="Arial" w:hAnsi="Arial" w:cs="Arial"/>
          <w:bCs/>
        </w:rPr>
        <w:t xml:space="preserve">RESOURCES FOR PROGRAM 16 </w:t>
      </w:r>
    </w:p>
    <w:p w14:paraId="6AF68A3A" w14:textId="77777777" w:rsidR="009B4A78" w:rsidRPr="009B4A78" w:rsidRDefault="009B4A78" w:rsidP="00984F70">
      <w:pPr>
        <w:jc w:val="both"/>
        <w:rPr>
          <w:rFonts w:ascii="Arial" w:hAnsi="Arial" w:cs="Arial"/>
          <w:bCs/>
          <w:sz w:val="20"/>
        </w:rPr>
      </w:pPr>
    </w:p>
    <w:p w14:paraId="0F21CD6E" w14:textId="5205C8F3" w:rsidR="009B4A78" w:rsidRPr="009B4A78" w:rsidRDefault="009B4A78" w:rsidP="00B66A4A">
      <w:pPr>
        <w:numPr>
          <w:ilvl w:val="0"/>
          <w:numId w:val="19"/>
        </w:numPr>
        <w:jc w:val="both"/>
        <w:rPr>
          <w:rFonts w:ascii="Arial" w:hAnsi="Arial" w:cs="Arial"/>
          <w:bCs/>
          <w:sz w:val="20"/>
        </w:rPr>
      </w:pPr>
      <w:r w:rsidRPr="009B4A78">
        <w:rPr>
          <w:rFonts w:ascii="Arial" w:hAnsi="Arial" w:cs="Arial"/>
          <w:sz w:val="20"/>
        </w:rPr>
        <w:t>The increase in both personnel and non-personnel resources under Expected Result V.1 (Wider and better use of WIPO IP Statistical information) reflects</w:t>
      </w:r>
      <w:r w:rsidRPr="009B4A78">
        <w:rPr>
          <w:rFonts w:ascii="Arial" w:hAnsi="Arial" w:cs="Arial"/>
          <w:bCs/>
          <w:sz w:val="20"/>
        </w:rPr>
        <w:t xml:space="preserve"> strengthened efforts for the provision of statistical information on the performance of the IP system worldwide in particular for the collection </w:t>
      </w:r>
      <w:r w:rsidRPr="009B4A78">
        <w:rPr>
          <w:rFonts w:ascii="Arial" w:hAnsi="Arial" w:cs="Arial"/>
          <w:bCs/>
          <w:sz w:val="20"/>
        </w:rPr>
        <w:lastRenderedPageBreak/>
        <w:t xml:space="preserve">and report of new statistics on </w:t>
      </w:r>
      <w:r w:rsidR="00D86441">
        <w:rPr>
          <w:rFonts w:ascii="Arial" w:hAnsi="Arial" w:cs="Arial"/>
          <w:bCs/>
          <w:sz w:val="20"/>
        </w:rPr>
        <w:t xml:space="preserve">trademarks, </w:t>
      </w:r>
      <w:r w:rsidRPr="009B4A78">
        <w:rPr>
          <w:rFonts w:ascii="Arial" w:hAnsi="Arial" w:cs="Arial"/>
          <w:bCs/>
          <w:sz w:val="20"/>
        </w:rPr>
        <w:t>geographical indications and copyright</w:t>
      </w:r>
      <w:r w:rsidR="007B5015">
        <w:rPr>
          <w:rFonts w:ascii="Arial" w:hAnsi="Arial" w:cs="Arial"/>
          <w:bCs/>
          <w:sz w:val="20"/>
        </w:rPr>
        <w:t>, the latter in close cooperation with Program 3</w:t>
      </w:r>
      <w:r w:rsidRPr="009B4A78">
        <w:rPr>
          <w:rFonts w:ascii="Arial" w:hAnsi="Arial" w:cs="Arial"/>
          <w:bCs/>
          <w:sz w:val="20"/>
        </w:rPr>
        <w:t>.</w:t>
      </w:r>
    </w:p>
    <w:p w14:paraId="1ED2C044" w14:textId="77777777" w:rsidR="009B4A78" w:rsidRPr="009B4A78" w:rsidRDefault="009B4A78" w:rsidP="00984F70">
      <w:pPr>
        <w:jc w:val="both"/>
        <w:rPr>
          <w:rFonts w:ascii="Arial" w:hAnsi="Arial" w:cs="Arial"/>
          <w:bCs/>
          <w:sz w:val="20"/>
        </w:rPr>
      </w:pPr>
    </w:p>
    <w:p w14:paraId="1626B93D" w14:textId="6BFB836C" w:rsidR="009B4A78" w:rsidRPr="009B4A78" w:rsidRDefault="009B4A78" w:rsidP="00B66A4A">
      <w:pPr>
        <w:numPr>
          <w:ilvl w:val="0"/>
          <w:numId w:val="19"/>
        </w:numPr>
        <w:jc w:val="both"/>
        <w:rPr>
          <w:rFonts w:ascii="Arial" w:hAnsi="Arial" w:cs="Arial"/>
          <w:bCs/>
          <w:sz w:val="20"/>
        </w:rPr>
      </w:pPr>
      <w:r w:rsidRPr="009B4A78">
        <w:rPr>
          <w:rFonts w:ascii="Arial" w:hAnsi="Arial" w:cs="Arial"/>
          <w:bCs/>
          <w:sz w:val="20"/>
        </w:rPr>
        <w:t xml:space="preserve">Increased </w:t>
      </w:r>
      <w:r w:rsidRPr="009B4A78">
        <w:rPr>
          <w:rFonts w:ascii="Arial" w:hAnsi="Arial" w:cs="Arial"/>
          <w:sz w:val="20"/>
        </w:rPr>
        <w:t>personnel and non-personnel</w:t>
      </w:r>
      <w:r w:rsidRPr="009B4A78">
        <w:rPr>
          <w:rFonts w:ascii="Arial" w:hAnsi="Arial" w:cs="Arial"/>
          <w:bCs/>
          <w:sz w:val="20"/>
        </w:rPr>
        <w:t xml:space="preserve"> resources under Expected Result </w:t>
      </w:r>
      <w:r w:rsidRPr="009B4A78">
        <w:rPr>
          <w:rFonts w:ascii="Arial" w:hAnsi="Arial" w:cs="Arial"/>
          <w:sz w:val="20"/>
        </w:rPr>
        <w:t>V.2 (Wider and better use of WIPO economic analysis) illustrate the enhanced research commitments notably</w:t>
      </w:r>
      <w:r w:rsidRPr="009B4A78">
        <w:rPr>
          <w:rFonts w:ascii="Arial" w:hAnsi="Arial" w:cs="Arial"/>
          <w:bCs/>
          <w:sz w:val="20"/>
        </w:rPr>
        <w:t xml:space="preserve"> on policy and performance in the creative industries and on studies under the DA project IP</w:t>
      </w:r>
      <w:r w:rsidR="00C53E9A">
        <w:rPr>
          <w:rFonts w:ascii="Arial" w:hAnsi="Arial" w:cs="Arial"/>
          <w:bCs/>
          <w:sz w:val="20"/>
        </w:rPr>
        <w:t> </w:t>
      </w:r>
      <w:r w:rsidRPr="009B4A78">
        <w:rPr>
          <w:rFonts w:ascii="Arial" w:hAnsi="Arial" w:cs="Arial"/>
          <w:bCs/>
          <w:sz w:val="20"/>
        </w:rPr>
        <w:t>&amp;</w:t>
      </w:r>
      <w:r w:rsidR="00C53E9A">
        <w:rPr>
          <w:rFonts w:ascii="Arial" w:hAnsi="Arial" w:cs="Arial"/>
          <w:bCs/>
          <w:sz w:val="20"/>
        </w:rPr>
        <w:t> </w:t>
      </w:r>
      <w:r w:rsidRPr="009B4A78">
        <w:rPr>
          <w:rFonts w:ascii="Arial" w:hAnsi="Arial" w:cs="Arial"/>
          <w:bCs/>
          <w:sz w:val="20"/>
        </w:rPr>
        <w:t>Socio</w:t>
      </w:r>
      <w:r w:rsidR="00C53E9A">
        <w:rPr>
          <w:rFonts w:ascii="Arial" w:hAnsi="Arial" w:cs="Arial"/>
          <w:bCs/>
          <w:sz w:val="20"/>
        </w:rPr>
        <w:noBreakHyphen/>
      </w:r>
      <w:r w:rsidRPr="009B4A78">
        <w:rPr>
          <w:rFonts w:ascii="Arial" w:hAnsi="Arial" w:cs="Arial"/>
          <w:bCs/>
          <w:sz w:val="20"/>
        </w:rPr>
        <w:t xml:space="preserve">Economic Development. </w:t>
      </w:r>
    </w:p>
    <w:p w14:paraId="0DE0697B" w14:textId="77777777" w:rsidR="009B4A78" w:rsidRDefault="009B4A78" w:rsidP="00984F70">
      <w:pPr>
        <w:rPr>
          <w:rFonts w:ascii="Arial" w:hAnsi="Arial" w:cs="Arial"/>
          <w:sz w:val="20"/>
        </w:rPr>
      </w:pPr>
    </w:p>
    <w:p w14:paraId="3124F577" w14:textId="77777777" w:rsidR="00C53E9A" w:rsidRPr="0024401F" w:rsidRDefault="00C53E9A" w:rsidP="00984F70">
      <w:pPr>
        <w:rPr>
          <w:rFonts w:ascii="Arial" w:hAnsi="Arial" w:cs="Arial"/>
          <w:sz w:val="20"/>
        </w:rPr>
      </w:pPr>
    </w:p>
    <w:p w14:paraId="753B40F0" w14:textId="77777777" w:rsidR="009B4A78" w:rsidRPr="009B4A78" w:rsidRDefault="009B4A78" w:rsidP="00984F70">
      <w:pPr>
        <w:tabs>
          <w:tab w:val="left" w:pos="1427"/>
        </w:tabs>
        <w:jc w:val="center"/>
        <w:rPr>
          <w:rFonts w:ascii="Arial" w:hAnsi="Arial" w:cs="Arial"/>
        </w:rPr>
      </w:pPr>
      <w:r w:rsidRPr="009B4A78">
        <w:rPr>
          <w:rFonts w:ascii="Arial" w:hAnsi="Arial" w:cs="Arial"/>
          <w:b/>
          <w:szCs w:val="24"/>
        </w:rPr>
        <w:t xml:space="preserve">Program 16:  Resources by Result </w:t>
      </w:r>
    </w:p>
    <w:p w14:paraId="7D372C4C" w14:textId="77777777" w:rsidR="009B4A78" w:rsidRPr="009B4A78" w:rsidRDefault="009B4A78" w:rsidP="00984F70">
      <w:pPr>
        <w:tabs>
          <w:tab w:val="left" w:pos="1427"/>
        </w:tabs>
        <w:jc w:val="center"/>
        <w:rPr>
          <w:rFonts w:ascii="Arial" w:hAnsi="Arial" w:cs="Arial"/>
          <w:i/>
          <w:szCs w:val="24"/>
        </w:rPr>
      </w:pPr>
      <w:r w:rsidRPr="009B4A78">
        <w:rPr>
          <w:rFonts w:ascii="Arial" w:hAnsi="Arial" w:cs="Arial"/>
          <w:i/>
          <w:szCs w:val="24"/>
        </w:rPr>
        <w:t>(In thousands of Swiss francs)</w:t>
      </w:r>
    </w:p>
    <w:p w14:paraId="48AB5C37" w14:textId="77777777" w:rsidR="009B4A78" w:rsidRPr="0024401F" w:rsidRDefault="009B4A78" w:rsidP="00984F70">
      <w:pPr>
        <w:tabs>
          <w:tab w:val="left" w:pos="1427"/>
        </w:tabs>
        <w:jc w:val="center"/>
        <w:rPr>
          <w:rFonts w:ascii="Arial" w:hAnsi="Arial" w:cs="Arial"/>
          <w:i/>
          <w:sz w:val="18"/>
          <w:szCs w:val="24"/>
        </w:rPr>
      </w:pPr>
    </w:p>
    <w:p w14:paraId="70FD8684" w14:textId="77777777" w:rsidR="009B4A78" w:rsidRPr="009B4A78" w:rsidRDefault="009B4A78" w:rsidP="00984F70">
      <w:pPr>
        <w:tabs>
          <w:tab w:val="left" w:pos="1427"/>
        </w:tabs>
        <w:jc w:val="center"/>
        <w:rPr>
          <w:rFonts w:ascii="Arial" w:hAnsi="Arial" w:cs="Arial"/>
        </w:rPr>
      </w:pPr>
      <w:r w:rsidRPr="009B4A78">
        <w:rPr>
          <w:rFonts w:ascii="Arial" w:hAnsi="Arial" w:cs="Arial"/>
          <w:noProof/>
          <w:lang w:eastAsia="en-US"/>
        </w:rPr>
        <w:drawing>
          <wp:inline distT="0" distB="0" distL="0" distR="0" wp14:anchorId="1E1D3004" wp14:editId="65523C38">
            <wp:extent cx="5114925" cy="12402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54825" cy="1249898"/>
                    </a:xfrm>
                    <a:prstGeom prst="rect">
                      <a:avLst/>
                    </a:prstGeom>
                    <a:noFill/>
                    <a:ln>
                      <a:noFill/>
                    </a:ln>
                  </pic:spPr>
                </pic:pic>
              </a:graphicData>
            </a:graphic>
          </wp:inline>
        </w:drawing>
      </w:r>
    </w:p>
    <w:p w14:paraId="491E5C4E" w14:textId="77777777" w:rsidR="009B4A78" w:rsidRPr="009B4A78" w:rsidRDefault="009B4A78" w:rsidP="00984F70">
      <w:pPr>
        <w:tabs>
          <w:tab w:val="left" w:pos="1427"/>
        </w:tabs>
        <w:jc w:val="center"/>
        <w:rPr>
          <w:rFonts w:ascii="Arial" w:hAnsi="Arial" w:cs="Arial"/>
        </w:rPr>
      </w:pPr>
    </w:p>
    <w:p w14:paraId="0EEE2601" w14:textId="77777777" w:rsidR="009B4A78" w:rsidRPr="009B4A78" w:rsidRDefault="009B4A78" w:rsidP="00984F70">
      <w:pPr>
        <w:keepNext/>
        <w:keepLines/>
        <w:tabs>
          <w:tab w:val="left" w:pos="1427"/>
        </w:tabs>
        <w:jc w:val="center"/>
        <w:rPr>
          <w:rFonts w:ascii="Arial" w:hAnsi="Arial" w:cs="Arial"/>
        </w:rPr>
      </w:pPr>
      <w:r w:rsidRPr="009B4A78">
        <w:rPr>
          <w:rFonts w:ascii="Arial" w:hAnsi="Arial" w:cs="Arial"/>
          <w:b/>
          <w:szCs w:val="24"/>
        </w:rPr>
        <w:t>Program 16:  Resources by Object of Expenditure</w:t>
      </w:r>
    </w:p>
    <w:p w14:paraId="6134B46D" w14:textId="77777777" w:rsidR="009B4A78" w:rsidRPr="009B4A78" w:rsidRDefault="009B4A78" w:rsidP="00984F70">
      <w:pPr>
        <w:keepNext/>
        <w:keepLines/>
        <w:tabs>
          <w:tab w:val="left" w:pos="1427"/>
        </w:tabs>
        <w:jc w:val="center"/>
        <w:rPr>
          <w:rFonts w:ascii="Arial" w:hAnsi="Arial" w:cs="Arial"/>
          <w:i/>
          <w:szCs w:val="24"/>
        </w:rPr>
      </w:pPr>
      <w:r w:rsidRPr="009B4A78">
        <w:rPr>
          <w:rFonts w:ascii="Arial" w:hAnsi="Arial" w:cs="Arial"/>
          <w:i/>
          <w:szCs w:val="24"/>
        </w:rPr>
        <w:t>(In thousands of Swiss francs)</w:t>
      </w:r>
    </w:p>
    <w:p w14:paraId="3DFA9F0D" w14:textId="77777777" w:rsidR="009B4A78" w:rsidRPr="0024401F" w:rsidRDefault="009B4A78" w:rsidP="00984F70">
      <w:pPr>
        <w:keepNext/>
        <w:keepLines/>
        <w:tabs>
          <w:tab w:val="left" w:pos="1427"/>
        </w:tabs>
        <w:jc w:val="center"/>
        <w:rPr>
          <w:rFonts w:ascii="Arial" w:hAnsi="Arial" w:cs="Arial"/>
          <w:i/>
          <w:sz w:val="18"/>
          <w:szCs w:val="24"/>
        </w:rPr>
      </w:pPr>
    </w:p>
    <w:p w14:paraId="739E1CDC" w14:textId="1D5988A8" w:rsidR="000D7C57" w:rsidRDefault="009B4A78" w:rsidP="0024401F">
      <w:pPr>
        <w:jc w:val="center"/>
        <w:rPr>
          <w:rFonts w:ascii="Arial" w:hAnsi="Arial" w:cs="Arial"/>
          <w:bCs/>
        </w:rPr>
      </w:pPr>
      <w:r w:rsidRPr="009B4A78">
        <w:rPr>
          <w:rFonts w:ascii="Arial" w:hAnsi="Arial" w:cs="Arial"/>
          <w:noProof/>
          <w:lang w:eastAsia="en-US"/>
        </w:rPr>
        <w:drawing>
          <wp:inline distT="0" distB="0" distL="0" distR="0" wp14:anchorId="6DD7F7E4" wp14:editId="2412566F">
            <wp:extent cx="4486275" cy="544802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35831" cy="5508205"/>
                    </a:xfrm>
                    <a:prstGeom prst="rect">
                      <a:avLst/>
                    </a:prstGeom>
                    <a:noFill/>
                    <a:ln>
                      <a:noFill/>
                    </a:ln>
                  </pic:spPr>
                </pic:pic>
              </a:graphicData>
            </a:graphic>
          </wp:inline>
        </w:drawing>
      </w:r>
      <w:r w:rsidR="000D7C57">
        <w:rPr>
          <w:rFonts w:ascii="Arial" w:hAnsi="Arial" w:cs="Arial"/>
          <w:bCs/>
        </w:rPr>
        <w:br w:type="page"/>
      </w:r>
    </w:p>
    <w:p w14:paraId="2DBA6246" w14:textId="51945D08" w:rsidR="00DA434C" w:rsidRPr="00B30215" w:rsidRDefault="00DA434C" w:rsidP="003D65C6">
      <w:pPr>
        <w:pStyle w:val="StyleHeading3ComplexItalic"/>
        <w:tabs>
          <w:tab w:val="clear" w:pos="1985"/>
          <w:tab w:val="left" w:pos="2835"/>
        </w:tabs>
        <w:ind w:left="2835" w:hanging="2835"/>
        <w:rPr>
          <w:rStyle w:val="StyleStyleHeading3ComplexItalicLatin12ptChar"/>
          <w:rFonts w:eastAsia="SimSun"/>
          <w:b/>
          <w:szCs w:val="24"/>
        </w:rPr>
      </w:pPr>
      <w:bookmarkStart w:id="55" w:name="_Toc367350594"/>
      <w:bookmarkStart w:id="56" w:name="_Toc431221428"/>
      <w:r w:rsidRPr="00B30215">
        <w:rPr>
          <w:rStyle w:val="StyleStyleHeading3ComplexItalicLatin12ptChar"/>
          <w:rFonts w:eastAsia="SimSun"/>
          <w:b/>
          <w:szCs w:val="24"/>
        </w:rPr>
        <w:lastRenderedPageBreak/>
        <w:t>STRATEGIC GOAL VI</w:t>
      </w:r>
      <w:r w:rsidR="003D65C6" w:rsidRPr="00B30215">
        <w:rPr>
          <w:rStyle w:val="StyleStyleHeading3ComplexItalicLatin12ptChar"/>
          <w:rFonts w:eastAsia="SimSun"/>
          <w:b/>
          <w:szCs w:val="24"/>
        </w:rPr>
        <w:tab/>
        <w:t>INTERNATIONAL COOPERATION ON BUILDING RESPECT FOR IP</w:t>
      </w:r>
      <w:bookmarkEnd w:id="55"/>
      <w:bookmarkEnd w:id="56"/>
      <w:r w:rsidR="003D65C6" w:rsidRPr="00B30215">
        <w:rPr>
          <w:rStyle w:val="StyleStyleHeading3ComplexItalicLatin12ptChar"/>
          <w:rFonts w:eastAsia="SimSun"/>
          <w:b/>
          <w:szCs w:val="24"/>
        </w:rPr>
        <w:t xml:space="preserve"> </w:t>
      </w:r>
    </w:p>
    <w:p w14:paraId="6258EC22" w14:textId="77777777" w:rsidR="00DA434C" w:rsidRPr="00A522FE" w:rsidRDefault="00DA434C" w:rsidP="00DA434C">
      <w:pPr>
        <w:tabs>
          <w:tab w:val="left" w:pos="1701"/>
        </w:tabs>
        <w:ind w:left="1701" w:hanging="1701"/>
        <w:jc w:val="center"/>
        <w:rPr>
          <w:rFonts w:ascii="Arial" w:hAnsi="Arial" w:cs="Arial"/>
          <w:b/>
          <w:bCs/>
          <w:caps/>
          <w:szCs w:val="24"/>
        </w:rPr>
      </w:pPr>
    </w:p>
    <w:p w14:paraId="0867CE9A" w14:textId="77777777" w:rsidR="00DA434C" w:rsidRPr="00A522FE" w:rsidRDefault="00DA434C" w:rsidP="00DA434C">
      <w:pPr>
        <w:tabs>
          <w:tab w:val="left" w:pos="1701"/>
        </w:tabs>
        <w:ind w:left="1701" w:hanging="1701"/>
        <w:jc w:val="center"/>
        <w:rPr>
          <w:rFonts w:ascii="Arial" w:hAnsi="Arial" w:cs="Arial"/>
          <w:b/>
          <w:bCs/>
          <w:caps/>
          <w:szCs w:val="24"/>
        </w:rPr>
      </w:pPr>
    </w:p>
    <w:p w14:paraId="116D9794" w14:textId="77777777" w:rsidR="00DA434C" w:rsidRPr="00F3719C" w:rsidRDefault="00DA434C" w:rsidP="00DA434C">
      <w:pPr>
        <w:jc w:val="both"/>
        <w:rPr>
          <w:rFonts w:ascii="Arial" w:hAnsi="Arial" w:cs="Arial"/>
          <w:sz w:val="20"/>
        </w:rPr>
      </w:pPr>
      <w:r w:rsidRPr="00F3719C">
        <w:rPr>
          <w:rFonts w:ascii="Arial" w:hAnsi="Arial" w:cs="Arial"/>
          <w:sz w:val="20"/>
        </w:rPr>
        <w:t>Building respect for IP embodies a broader approach than that covered by the enforcement of IP rights alone.  It calls for a focus on international cooperation where WIPO can make a difference.  This is a broad, cross</w:t>
      </w:r>
      <w:r w:rsidRPr="00F3719C">
        <w:rPr>
          <w:rFonts w:ascii="Arial" w:hAnsi="Arial" w:cs="Arial"/>
          <w:sz w:val="20"/>
        </w:rPr>
        <w:noBreakHyphen/>
        <w:t>cutting goal, supported by many different areas of WIPO’s activities.  The WIPO Advisory Committee on Enforcement (ACE) serves as a mechanism for Member States to coordinate work towards this goal.  Work under this Strategic Goal is guided by DA Recommendation 45.</w:t>
      </w:r>
    </w:p>
    <w:p w14:paraId="345CD3FF" w14:textId="77777777" w:rsidR="00DA434C" w:rsidRDefault="00DA434C" w:rsidP="00DA434C">
      <w:pPr>
        <w:tabs>
          <w:tab w:val="left" w:pos="1701"/>
        </w:tabs>
        <w:ind w:left="1701" w:hanging="1701"/>
        <w:jc w:val="center"/>
        <w:rPr>
          <w:rFonts w:ascii="Arial" w:hAnsi="Arial" w:cs="Arial"/>
          <w:bCs/>
          <w:iCs/>
          <w:caps/>
          <w:sz w:val="20"/>
        </w:rPr>
      </w:pPr>
    </w:p>
    <w:p w14:paraId="6CB0E9F4" w14:textId="77777777" w:rsidR="008B0282" w:rsidRPr="00407F24" w:rsidRDefault="008B0282" w:rsidP="00DA434C">
      <w:pPr>
        <w:tabs>
          <w:tab w:val="left" w:pos="1701"/>
        </w:tabs>
        <w:ind w:left="1701" w:hanging="1701"/>
        <w:jc w:val="center"/>
        <w:rPr>
          <w:rFonts w:ascii="Arial" w:hAnsi="Arial" w:cs="Arial"/>
          <w:bCs/>
          <w:iCs/>
          <w:caps/>
          <w:sz w:val="20"/>
        </w:rPr>
      </w:pP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9"/>
        <w:gridCol w:w="2641"/>
        <w:gridCol w:w="3120"/>
      </w:tblGrid>
      <w:tr w:rsidR="00DD40DE" w:rsidRPr="00AF5E7C" w14:paraId="7BD1AF70" w14:textId="77777777" w:rsidTr="00DD40DE">
        <w:trPr>
          <w:cantSplit/>
          <w:trHeight w:val="415"/>
        </w:trPr>
        <w:tc>
          <w:tcPr>
            <w:tcW w:w="1859" w:type="pct"/>
            <w:tcBorders>
              <w:top w:val="single" w:sz="4" w:space="0" w:color="auto"/>
              <w:bottom w:val="single" w:sz="4" w:space="0" w:color="auto"/>
            </w:tcBorders>
            <w:shd w:val="clear" w:color="auto" w:fill="C6D9F1" w:themeFill="text2" w:themeFillTint="33"/>
            <w:vAlign w:val="center"/>
          </w:tcPr>
          <w:p w14:paraId="41EFB6F5" w14:textId="77777777" w:rsidR="00DD40DE" w:rsidRPr="002A1191" w:rsidRDefault="00DD40DE" w:rsidP="005A1F7F">
            <w:pPr>
              <w:spacing w:after="120"/>
              <w:jc w:val="center"/>
              <w:rPr>
                <w:rFonts w:ascii="Arial" w:hAnsi="Arial" w:cs="Arial"/>
                <w:b/>
                <w:bCs/>
                <w:sz w:val="18"/>
                <w:szCs w:val="18"/>
              </w:rPr>
            </w:pPr>
            <w:r w:rsidRPr="002A1191">
              <w:rPr>
                <w:rFonts w:ascii="Arial" w:hAnsi="Arial" w:cs="Arial"/>
                <w:b/>
                <w:bCs/>
                <w:sz w:val="18"/>
                <w:szCs w:val="18"/>
              </w:rPr>
              <w:t>Expected Results</w:t>
            </w:r>
          </w:p>
        </w:tc>
        <w:tc>
          <w:tcPr>
            <w:tcW w:w="1440" w:type="pct"/>
            <w:tcBorders>
              <w:top w:val="single" w:sz="4" w:space="0" w:color="auto"/>
              <w:bottom w:val="single" w:sz="4" w:space="0" w:color="auto"/>
            </w:tcBorders>
            <w:shd w:val="clear" w:color="auto" w:fill="C6D9F1" w:themeFill="text2" w:themeFillTint="33"/>
            <w:tcMar>
              <w:top w:w="110" w:type="dxa"/>
            </w:tcMar>
            <w:vAlign w:val="center"/>
          </w:tcPr>
          <w:p w14:paraId="244A9AFD" w14:textId="77777777" w:rsidR="00DD40DE" w:rsidRPr="002A1191" w:rsidRDefault="00DD40DE" w:rsidP="005A1F7F">
            <w:pPr>
              <w:spacing w:after="120"/>
              <w:jc w:val="center"/>
              <w:rPr>
                <w:rFonts w:ascii="Arial" w:hAnsi="Arial" w:cs="Arial"/>
                <w:b/>
                <w:bCs/>
                <w:sz w:val="18"/>
                <w:szCs w:val="18"/>
              </w:rPr>
            </w:pPr>
            <w:r>
              <w:rPr>
                <w:rFonts w:ascii="Arial" w:hAnsi="Arial" w:cs="Arial"/>
                <w:b/>
                <w:bCs/>
                <w:sz w:val="18"/>
                <w:szCs w:val="18"/>
              </w:rPr>
              <w:t>Performance I</w:t>
            </w:r>
            <w:r w:rsidRPr="002A1191">
              <w:rPr>
                <w:rFonts w:ascii="Arial" w:hAnsi="Arial" w:cs="Arial"/>
                <w:b/>
                <w:bCs/>
                <w:sz w:val="18"/>
                <w:szCs w:val="18"/>
              </w:rPr>
              <w:t>ndicator</w:t>
            </w:r>
            <w:r>
              <w:rPr>
                <w:rFonts w:ascii="Arial" w:hAnsi="Arial" w:cs="Arial"/>
                <w:b/>
                <w:bCs/>
                <w:sz w:val="18"/>
                <w:szCs w:val="18"/>
              </w:rPr>
              <w:t>s</w:t>
            </w:r>
          </w:p>
        </w:tc>
        <w:tc>
          <w:tcPr>
            <w:tcW w:w="1701" w:type="pct"/>
            <w:tcBorders>
              <w:top w:val="single" w:sz="4" w:space="0" w:color="auto"/>
              <w:bottom w:val="single" w:sz="4" w:space="0" w:color="auto"/>
            </w:tcBorders>
            <w:shd w:val="clear" w:color="auto" w:fill="C6D9F1" w:themeFill="text2" w:themeFillTint="33"/>
            <w:tcMar>
              <w:top w:w="110" w:type="dxa"/>
            </w:tcMar>
            <w:vAlign w:val="center"/>
          </w:tcPr>
          <w:p w14:paraId="5D28A869" w14:textId="77777777" w:rsidR="00DD40DE" w:rsidRPr="002A1191" w:rsidRDefault="00DD40DE" w:rsidP="005A1F7F">
            <w:pPr>
              <w:spacing w:after="120"/>
              <w:ind w:left="85"/>
              <w:jc w:val="center"/>
              <w:rPr>
                <w:rFonts w:ascii="Arial" w:hAnsi="Arial" w:cs="Arial"/>
                <w:b/>
                <w:bCs/>
                <w:sz w:val="18"/>
                <w:szCs w:val="18"/>
              </w:rPr>
            </w:pPr>
            <w:r w:rsidRPr="002A1191">
              <w:rPr>
                <w:rFonts w:ascii="Arial" w:hAnsi="Arial" w:cs="Arial"/>
                <w:b/>
                <w:bCs/>
                <w:sz w:val="18"/>
                <w:szCs w:val="18"/>
              </w:rPr>
              <w:t>Responsible Program(s)</w:t>
            </w:r>
          </w:p>
        </w:tc>
      </w:tr>
      <w:tr w:rsidR="00DD40DE" w:rsidRPr="00AF5E7C" w14:paraId="61311C4C" w14:textId="77777777" w:rsidTr="00DD40DE">
        <w:trPr>
          <w:cantSplit/>
          <w:trHeight w:val="944"/>
        </w:trPr>
        <w:tc>
          <w:tcPr>
            <w:tcW w:w="1859" w:type="pct"/>
            <w:tcBorders>
              <w:top w:val="single" w:sz="4" w:space="0" w:color="auto"/>
            </w:tcBorders>
            <w:shd w:val="clear" w:color="auto" w:fill="auto"/>
            <w:tcMar>
              <w:top w:w="113" w:type="dxa"/>
              <w:bottom w:w="85" w:type="dxa"/>
            </w:tcMar>
          </w:tcPr>
          <w:p w14:paraId="36446016" w14:textId="77777777" w:rsidR="00DD40DE" w:rsidRPr="00DC5B92" w:rsidRDefault="00DD40DE" w:rsidP="005A1F7F">
            <w:pPr>
              <w:rPr>
                <w:rFonts w:ascii="Arial" w:hAnsi="Arial" w:cs="Arial"/>
                <w:sz w:val="16"/>
                <w:szCs w:val="16"/>
              </w:rPr>
            </w:pPr>
            <w:r w:rsidRPr="00DC5B92">
              <w:rPr>
                <w:rFonts w:ascii="Arial" w:hAnsi="Arial" w:cs="Arial"/>
                <w:sz w:val="16"/>
                <w:szCs w:val="16"/>
              </w:rPr>
              <w:t>VI.1</w:t>
            </w:r>
            <w:r>
              <w:rPr>
                <w:rFonts w:ascii="Arial" w:hAnsi="Arial" w:cs="Arial"/>
                <w:sz w:val="16"/>
                <w:szCs w:val="16"/>
              </w:rPr>
              <w:t xml:space="preserve">  </w:t>
            </w:r>
            <w:r w:rsidRPr="00DC5B92">
              <w:rPr>
                <w:rFonts w:ascii="Arial" w:hAnsi="Arial" w:cs="Arial"/>
                <w:sz w:val="16"/>
                <w:szCs w:val="16"/>
              </w:rPr>
              <w:t>Progress in the international policy dialogue among WIPO Member States on building respect for IP, guided by Recommendation 45 of the WIPO Development Agenda</w:t>
            </w:r>
          </w:p>
        </w:tc>
        <w:tc>
          <w:tcPr>
            <w:tcW w:w="1440" w:type="pct"/>
            <w:tcBorders>
              <w:top w:val="single" w:sz="4" w:space="0" w:color="auto"/>
            </w:tcBorders>
            <w:shd w:val="clear" w:color="auto" w:fill="auto"/>
            <w:tcMar>
              <w:top w:w="113" w:type="dxa"/>
              <w:bottom w:w="85" w:type="dxa"/>
            </w:tcMar>
          </w:tcPr>
          <w:p w14:paraId="78270454" w14:textId="77777777" w:rsidR="00DD40DE" w:rsidRPr="003A3A66" w:rsidRDefault="00DD40DE" w:rsidP="005A1F7F">
            <w:pPr>
              <w:rPr>
                <w:rFonts w:ascii="Arial" w:hAnsi="Arial" w:cs="Arial"/>
                <w:sz w:val="16"/>
                <w:szCs w:val="16"/>
              </w:rPr>
            </w:pPr>
            <w:r w:rsidRPr="003A3A66">
              <w:rPr>
                <w:rFonts w:ascii="Arial" w:hAnsi="Arial" w:cs="Arial"/>
                <w:color w:val="000000"/>
                <w:sz w:val="16"/>
                <w:szCs w:val="16"/>
              </w:rPr>
              <w:t>Continued agreement by Member States on the substantive work of the WIPO Advisory Committee on Enforcement (ACE), incorporating development-oriented concerns</w:t>
            </w:r>
          </w:p>
        </w:tc>
        <w:tc>
          <w:tcPr>
            <w:tcW w:w="1701" w:type="pct"/>
            <w:tcBorders>
              <w:top w:val="single" w:sz="4" w:space="0" w:color="auto"/>
            </w:tcBorders>
            <w:shd w:val="clear" w:color="auto" w:fill="FFFFFF"/>
            <w:tcMar>
              <w:top w:w="113" w:type="dxa"/>
              <w:bottom w:w="85" w:type="dxa"/>
            </w:tcMar>
          </w:tcPr>
          <w:p w14:paraId="0BDE10A4" w14:textId="77777777" w:rsidR="00DD40DE" w:rsidRPr="00AF5E7C" w:rsidRDefault="00DD40DE" w:rsidP="005A1F7F">
            <w:pPr>
              <w:ind w:left="769"/>
              <w:rPr>
                <w:rFonts w:ascii="Arial" w:hAnsi="Arial" w:cs="Arial"/>
                <w:sz w:val="16"/>
                <w:szCs w:val="16"/>
              </w:rPr>
            </w:pPr>
            <w:r>
              <w:rPr>
                <w:rFonts w:ascii="Arial" w:hAnsi="Arial" w:cs="Arial"/>
                <w:sz w:val="16"/>
                <w:szCs w:val="16"/>
                <w:lang w:bidi="th-TH"/>
              </w:rPr>
              <w:t>Program 17</w:t>
            </w:r>
          </w:p>
        </w:tc>
      </w:tr>
      <w:tr w:rsidR="00DD40DE" w:rsidRPr="00AF5E7C" w14:paraId="4269A6F5" w14:textId="77777777" w:rsidTr="00DD40DE">
        <w:trPr>
          <w:cantSplit/>
          <w:trHeight w:val="704"/>
        </w:trPr>
        <w:tc>
          <w:tcPr>
            <w:tcW w:w="1859" w:type="pct"/>
            <w:shd w:val="clear" w:color="auto" w:fill="auto"/>
            <w:tcMar>
              <w:top w:w="113" w:type="dxa"/>
              <w:bottom w:w="85" w:type="dxa"/>
            </w:tcMar>
          </w:tcPr>
          <w:p w14:paraId="34177CB5" w14:textId="77777777" w:rsidR="00DD40DE" w:rsidRPr="00DC5B92" w:rsidRDefault="00DD40DE" w:rsidP="005A1F7F">
            <w:pPr>
              <w:rPr>
                <w:rFonts w:ascii="Arial" w:hAnsi="Arial" w:cs="Arial"/>
                <w:sz w:val="16"/>
                <w:szCs w:val="16"/>
              </w:rPr>
            </w:pPr>
            <w:r w:rsidRPr="00DC5B92">
              <w:rPr>
                <w:rFonts w:ascii="Arial" w:hAnsi="Arial" w:cs="Arial"/>
                <w:sz w:val="16"/>
                <w:szCs w:val="16"/>
              </w:rPr>
              <w:t>VI.2</w:t>
            </w:r>
            <w:r>
              <w:rPr>
                <w:rFonts w:ascii="Arial" w:hAnsi="Arial" w:cs="Arial"/>
                <w:sz w:val="16"/>
                <w:szCs w:val="16"/>
              </w:rPr>
              <w:t xml:space="preserve">  </w:t>
            </w:r>
            <w:r w:rsidRPr="00DC5B92">
              <w:rPr>
                <w:rFonts w:ascii="Arial" w:hAnsi="Arial" w:cs="Arial"/>
                <w:sz w:val="16"/>
                <w:szCs w:val="16"/>
              </w:rPr>
              <w:t>Systematic</w:t>
            </w:r>
            <w:r>
              <w:rPr>
                <w:rFonts w:ascii="Arial" w:hAnsi="Arial" w:cs="Arial"/>
                <w:sz w:val="16"/>
                <w:szCs w:val="16"/>
              </w:rPr>
              <w:t>,</w:t>
            </w:r>
            <w:r w:rsidRPr="00DC5B92">
              <w:rPr>
                <w:rFonts w:ascii="Arial" w:hAnsi="Arial" w:cs="Arial"/>
                <w:sz w:val="16"/>
                <w:szCs w:val="16"/>
              </w:rPr>
              <w:t xml:space="preserve"> effective</w:t>
            </w:r>
            <w:r>
              <w:rPr>
                <w:rFonts w:ascii="Arial" w:hAnsi="Arial" w:cs="Arial"/>
                <w:sz w:val="16"/>
                <w:szCs w:val="16"/>
              </w:rPr>
              <w:t xml:space="preserve"> and transparent</w:t>
            </w:r>
            <w:r w:rsidRPr="00DC5B92">
              <w:rPr>
                <w:rFonts w:ascii="Arial" w:hAnsi="Arial" w:cs="Arial"/>
                <w:sz w:val="16"/>
                <w:szCs w:val="16"/>
              </w:rPr>
              <w:t xml:space="preserve"> cooperation and coordination between the work of WIPO and other international organizations in the field of building respect for IP</w:t>
            </w:r>
          </w:p>
        </w:tc>
        <w:tc>
          <w:tcPr>
            <w:tcW w:w="1440" w:type="pct"/>
            <w:shd w:val="clear" w:color="auto" w:fill="auto"/>
            <w:tcMar>
              <w:top w:w="113" w:type="dxa"/>
              <w:bottom w:w="85" w:type="dxa"/>
            </w:tcMar>
          </w:tcPr>
          <w:p w14:paraId="0417F137" w14:textId="77777777" w:rsidR="00DD40DE" w:rsidRPr="00286DC5" w:rsidRDefault="00DD40DE" w:rsidP="005A1F7F">
            <w:pPr>
              <w:rPr>
                <w:rFonts w:ascii="Arial" w:hAnsi="Arial" w:cs="Arial"/>
                <w:sz w:val="16"/>
                <w:szCs w:val="16"/>
              </w:rPr>
            </w:pPr>
            <w:r w:rsidRPr="00286DC5">
              <w:rPr>
                <w:rFonts w:ascii="Arial" w:hAnsi="Arial" w:cs="Arial"/>
                <w:color w:val="000000"/>
                <w:sz w:val="16"/>
                <w:szCs w:val="16"/>
              </w:rPr>
              <w:t>No. of strategic collaborations or other joint activities with partner organizations on building respect for IP</w:t>
            </w:r>
          </w:p>
        </w:tc>
        <w:tc>
          <w:tcPr>
            <w:tcW w:w="1701" w:type="pct"/>
            <w:shd w:val="clear" w:color="auto" w:fill="FFFFFF"/>
            <w:tcMar>
              <w:top w:w="113" w:type="dxa"/>
              <w:bottom w:w="85" w:type="dxa"/>
            </w:tcMar>
          </w:tcPr>
          <w:p w14:paraId="258D8D12" w14:textId="77777777" w:rsidR="00DD40DE" w:rsidRPr="00AF5E7C" w:rsidRDefault="00DD40DE" w:rsidP="005A1F7F">
            <w:pPr>
              <w:ind w:left="769"/>
              <w:rPr>
                <w:rFonts w:ascii="Arial" w:hAnsi="Arial" w:cs="Arial"/>
                <w:sz w:val="16"/>
                <w:szCs w:val="16"/>
              </w:rPr>
            </w:pPr>
            <w:r>
              <w:rPr>
                <w:rFonts w:ascii="Arial" w:hAnsi="Arial" w:cs="Arial"/>
                <w:sz w:val="16"/>
                <w:szCs w:val="16"/>
                <w:lang w:bidi="th-TH"/>
              </w:rPr>
              <w:t>Program 17</w:t>
            </w:r>
          </w:p>
        </w:tc>
      </w:tr>
    </w:tbl>
    <w:p w14:paraId="6C89951C" w14:textId="752A4DD4" w:rsidR="00DA434C" w:rsidRPr="009B4A78" w:rsidRDefault="00DA434C" w:rsidP="00984F70">
      <w:pPr>
        <w:rPr>
          <w:rFonts w:ascii="Arial" w:hAnsi="Arial" w:cs="Arial"/>
          <w:bCs/>
        </w:rPr>
      </w:pPr>
    </w:p>
    <w:p w14:paraId="7382311C" w14:textId="64A2FF13" w:rsidR="00984F70" w:rsidRDefault="00984F70">
      <w:pPr>
        <w:rPr>
          <w:rFonts w:ascii="Arial" w:hAnsi="Arial" w:cs="Arial"/>
          <w:bCs/>
        </w:rPr>
      </w:pPr>
      <w:r>
        <w:rPr>
          <w:rFonts w:ascii="Arial" w:hAnsi="Arial" w:cs="Arial"/>
          <w:bCs/>
        </w:rPr>
        <w:br w:type="page"/>
      </w:r>
    </w:p>
    <w:p w14:paraId="504F5F4A" w14:textId="40A25E8A" w:rsidR="003971D8" w:rsidRPr="003971D8" w:rsidRDefault="003971D8" w:rsidP="003971D8">
      <w:pPr>
        <w:pStyle w:val="StyleHeading3ComplexItalic"/>
      </w:pPr>
      <w:bookmarkStart w:id="57" w:name="_Toc431221429"/>
      <w:r w:rsidRPr="00682442">
        <w:lastRenderedPageBreak/>
        <w:t>P</w:t>
      </w:r>
      <w:r>
        <w:t>ROGRAM</w:t>
      </w:r>
      <w:r w:rsidRPr="00682442">
        <w:t> 17</w:t>
      </w:r>
      <w:r w:rsidRPr="00682442">
        <w:tab/>
      </w:r>
      <w:r w:rsidRPr="00682442">
        <w:rPr>
          <w:caps w:val="0"/>
        </w:rPr>
        <w:t>BUILDING RESPECT FOR IP</w:t>
      </w:r>
      <w:bookmarkEnd w:id="57"/>
    </w:p>
    <w:p w14:paraId="10076BDC" w14:textId="77777777" w:rsidR="003971D8" w:rsidRPr="003971D8" w:rsidRDefault="003971D8" w:rsidP="00E641D8">
      <w:pPr>
        <w:rPr>
          <w:rFonts w:ascii="Arial" w:hAnsi="Arial" w:cs="Arial"/>
        </w:rPr>
      </w:pPr>
    </w:p>
    <w:p w14:paraId="3011A415" w14:textId="77777777" w:rsidR="003971D8" w:rsidRDefault="003971D8" w:rsidP="00E641D8">
      <w:pPr>
        <w:rPr>
          <w:rFonts w:ascii="Arial" w:hAnsi="Arial" w:cs="Arial"/>
        </w:rPr>
      </w:pPr>
    </w:p>
    <w:p w14:paraId="07C17F76" w14:textId="77777777" w:rsidR="003971D8" w:rsidRPr="003971D8" w:rsidRDefault="003971D8" w:rsidP="00E641D8">
      <w:pPr>
        <w:rPr>
          <w:rFonts w:ascii="Arial" w:hAnsi="Arial" w:cs="Arial"/>
          <w:b/>
        </w:rPr>
      </w:pPr>
      <w:r w:rsidRPr="003971D8">
        <w:rPr>
          <w:rFonts w:ascii="Arial" w:hAnsi="Arial" w:cs="Arial"/>
        </w:rPr>
        <w:t>PLANNING CONTEXT</w:t>
      </w:r>
    </w:p>
    <w:p w14:paraId="25438F9C" w14:textId="77777777" w:rsidR="003971D8" w:rsidRPr="003971D8" w:rsidRDefault="003971D8" w:rsidP="00E641D8">
      <w:pPr>
        <w:tabs>
          <w:tab w:val="left" w:pos="567"/>
          <w:tab w:val="left" w:pos="1985"/>
        </w:tabs>
        <w:jc w:val="both"/>
        <w:rPr>
          <w:rFonts w:ascii="Arial" w:hAnsi="Arial" w:cs="Arial"/>
          <w:bCs/>
          <w:sz w:val="20"/>
        </w:rPr>
      </w:pPr>
    </w:p>
    <w:p w14:paraId="2BE920ED" w14:textId="77777777" w:rsidR="003971D8" w:rsidRPr="003971D8" w:rsidRDefault="003971D8" w:rsidP="00B66A4A">
      <w:pPr>
        <w:numPr>
          <w:ilvl w:val="0"/>
          <w:numId w:val="22"/>
        </w:numPr>
        <w:jc w:val="both"/>
        <w:rPr>
          <w:rFonts w:ascii="Arial" w:hAnsi="Arial" w:cs="Arial"/>
          <w:bCs/>
          <w:iCs/>
          <w:sz w:val="18"/>
        </w:rPr>
      </w:pPr>
      <w:r w:rsidRPr="003971D8">
        <w:rPr>
          <w:rFonts w:ascii="Arial" w:hAnsi="Arial" w:cs="Arial"/>
          <w:sz w:val="20"/>
        </w:rPr>
        <w:t>Respect for IP is a basic principle shared by all WIPO Member States.  Yet its full realization remains elusive as IP infringing activities – most notably counterfeiting and piracy – represent a prevalent phenomenon in many parts of the world.  In order to devise appropriate responses, it is necessary to have a solid understanding of the motivations of producers and consumers of IP-infringing goods and the impact IP infringements have on the welfare of societies.  A broad spectrum of both curative and preventive measures may then be adopted in light of national strategic needs, targeting, for example, improvements in legislation and enforcement frameworks, awareness and cultural change recognizing the value of IP, business and technology solutions that foster legal alternatives, or institutional collaboration.</w:t>
      </w:r>
      <w:r w:rsidRPr="003971D8">
        <w:rPr>
          <w:rFonts w:ascii="Arial" w:hAnsi="Arial" w:cs="Arial"/>
          <w:bCs/>
          <w:iCs/>
          <w:sz w:val="18"/>
        </w:rPr>
        <w:t xml:space="preserve">     </w:t>
      </w:r>
    </w:p>
    <w:p w14:paraId="29A0E1FD" w14:textId="77777777" w:rsidR="003971D8" w:rsidRPr="003971D8" w:rsidRDefault="003971D8" w:rsidP="00E641D8">
      <w:pPr>
        <w:jc w:val="both"/>
        <w:rPr>
          <w:rFonts w:ascii="Arial" w:hAnsi="Arial" w:cs="Arial"/>
          <w:sz w:val="20"/>
        </w:rPr>
      </w:pPr>
    </w:p>
    <w:p w14:paraId="1C0A821A" w14:textId="77777777" w:rsidR="003971D8" w:rsidRPr="003971D8" w:rsidRDefault="003971D8" w:rsidP="00B66A4A">
      <w:pPr>
        <w:numPr>
          <w:ilvl w:val="0"/>
          <w:numId w:val="22"/>
        </w:numPr>
        <w:jc w:val="both"/>
        <w:rPr>
          <w:rFonts w:ascii="Arial" w:hAnsi="Arial" w:cs="Arial"/>
          <w:sz w:val="20"/>
        </w:rPr>
      </w:pPr>
      <w:r w:rsidRPr="003971D8">
        <w:rPr>
          <w:rFonts w:ascii="Arial" w:hAnsi="Arial" w:cs="Arial"/>
          <w:sz w:val="20"/>
        </w:rPr>
        <w:t xml:space="preserve">A multiplicity of actors influence international and national IP policies in the area of building respect for IP, often with varied interests and perspectives.  In parallel, Member States endeavor to adopt measures attuned to the diverse social and economic realities in their respective countries.  The challenge for Program 17 will be to safeguard WIPO’s continued relevance in steering the debate on the proper balance in the protection and enforcement of IP rights.  The Program will seek to ensure that WIPO’s contributions to building an environment respectful of IP have a sustainable impact.  The contributions aim to strengthen the capacities of Member States to reinforce legitimate markets for IP protected goods and services and improve IP compliance, in the interests of broader societal benefits, especially consumer protection, and development-oriented concerns.  </w:t>
      </w:r>
    </w:p>
    <w:p w14:paraId="5A2DD518" w14:textId="77777777" w:rsidR="003971D8" w:rsidRPr="003971D8" w:rsidRDefault="003971D8" w:rsidP="00E641D8">
      <w:pPr>
        <w:jc w:val="both"/>
        <w:rPr>
          <w:rFonts w:ascii="Arial" w:hAnsi="Arial" w:cs="Arial"/>
          <w:sz w:val="20"/>
        </w:rPr>
      </w:pPr>
    </w:p>
    <w:p w14:paraId="2B54D5A8" w14:textId="77777777" w:rsidR="003971D8" w:rsidRPr="003971D8" w:rsidRDefault="003971D8" w:rsidP="00B66A4A">
      <w:pPr>
        <w:numPr>
          <w:ilvl w:val="0"/>
          <w:numId w:val="22"/>
        </w:numPr>
        <w:jc w:val="both"/>
        <w:rPr>
          <w:rFonts w:ascii="Arial" w:hAnsi="Arial" w:cs="Arial"/>
          <w:sz w:val="20"/>
        </w:rPr>
      </w:pPr>
      <w:r w:rsidRPr="003971D8">
        <w:rPr>
          <w:rFonts w:ascii="Arial" w:hAnsi="Arial" w:cs="Arial"/>
          <w:sz w:val="20"/>
        </w:rPr>
        <w:t xml:space="preserve">Program 17 continues to facilitate policy dialogue on building respect for IP among Member States through the Advisory Committee on Enforcement (ACE) and engages in systematic, effective, and transparent partnerships to achieve synergies in this area.  In its demand-driven technical assistance activities, Program 17 focuses on providing balanced legislative and policy advice, enhancing national capacities to promote respect for IP, offering strategic support for the incorporation of respect for IP in national strategies, and encouraging consumer participation, including by young people, with a view to fostering a shared understanding of the social benefits of a solid IP ecosystem.  </w:t>
      </w:r>
    </w:p>
    <w:p w14:paraId="709562FF" w14:textId="77777777" w:rsidR="003971D8" w:rsidRPr="003971D8" w:rsidRDefault="003971D8" w:rsidP="00E641D8">
      <w:pPr>
        <w:jc w:val="both"/>
        <w:rPr>
          <w:rFonts w:ascii="Arial" w:hAnsi="Arial" w:cs="Arial"/>
          <w:sz w:val="20"/>
        </w:rPr>
      </w:pPr>
    </w:p>
    <w:p w14:paraId="2E03D017" w14:textId="77777777" w:rsidR="003971D8" w:rsidRPr="003971D8" w:rsidRDefault="003971D8" w:rsidP="00E641D8">
      <w:pPr>
        <w:jc w:val="both"/>
        <w:rPr>
          <w:rFonts w:ascii="Arial" w:hAnsi="Arial" w:cs="Arial"/>
          <w:sz w:val="20"/>
        </w:rPr>
      </w:pPr>
    </w:p>
    <w:p w14:paraId="6352DB25" w14:textId="77777777" w:rsidR="003971D8" w:rsidRPr="003971D8" w:rsidRDefault="003971D8" w:rsidP="00E641D8">
      <w:pPr>
        <w:rPr>
          <w:rFonts w:ascii="Arial" w:hAnsi="Arial" w:cs="Arial"/>
          <w:b/>
        </w:rPr>
      </w:pPr>
      <w:r w:rsidRPr="003971D8">
        <w:rPr>
          <w:rFonts w:ascii="Arial" w:hAnsi="Arial" w:cs="Arial"/>
        </w:rPr>
        <w:t>IMPLEMENTATION STRATEGIES</w:t>
      </w:r>
    </w:p>
    <w:p w14:paraId="7CADFDA5" w14:textId="77777777" w:rsidR="003971D8" w:rsidRPr="003971D8" w:rsidRDefault="003971D8" w:rsidP="00E641D8">
      <w:pPr>
        <w:jc w:val="both"/>
        <w:rPr>
          <w:rFonts w:ascii="Arial" w:hAnsi="Arial" w:cs="Arial"/>
        </w:rPr>
      </w:pPr>
    </w:p>
    <w:p w14:paraId="39E88FAA" w14:textId="6EC03C4E" w:rsidR="003971D8" w:rsidRPr="003971D8" w:rsidRDefault="003971D8" w:rsidP="00B66A4A">
      <w:pPr>
        <w:numPr>
          <w:ilvl w:val="0"/>
          <w:numId w:val="22"/>
        </w:numPr>
        <w:jc w:val="both"/>
        <w:rPr>
          <w:rFonts w:ascii="Arial" w:hAnsi="Arial" w:cs="Arial"/>
          <w:sz w:val="20"/>
        </w:rPr>
      </w:pPr>
      <w:r w:rsidRPr="003971D8">
        <w:rPr>
          <w:rFonts w:ascii="Arial" w:hAnsi="Arial" w:cs="Arial"/>
          <w:sz w:val="20"/>
        </w:rPr>
        <w:t>In all its activities, Program 17 is guided by DA Recommendation 45.  Valued as a “marketplace of ideas”, the ACE provides a forum for the exchange of national practices and experiences.  The Program will facilitate Member States’ continued agreement on a theme-based work program that advances the building respect for IP discourse and explores it in all its complexities</w:t>
      </w:r>
      <w:r w:rsidR="00F56680" w:rsidRPr="00F56680">
        <w:rPr>
          <w:rFonts w:ascii="Arial" w:hAnsi="Arial" w:cs="Arial"/>
          <w:sz w:val="20"/>
        </w:rPr>
        <w:t>,</w:t>
      </w:r>
      <w:r w:rsidR="00F56680">
        <w:t xml:space="preserve"> </w:t>
      </w:r>
      <w:r w:rsidR="00F56680" w:rsidRPr="00F56680">
        <w:rPr>
          <w:rFonts w:ascii="Arial" w:hAnsi="Arial" w:cs="Arial"/>
          <w:sz w:val="20"/>
        </w:rPr>
        <w:t>by organizing two ACE meetings in the biennium</w:t>
      </w:r>
      <w:r w:rsidRPr="003971D8">
        <w:rPr>
          <w:rFonts w:ascii="Arial" w:hAnsi="Arial" w:cs="Arial"/>
          <w:sz w:val="20"/>
        </w:rPr>
        <w:t xml:space="preserve">.  Based on the ACE discussions, Member States may individually configure national strategies for building respect for IP relying, as the case may be, on preventive or curative measures and taking full account of the social and economic realities in the country concerned as well as its level of development.  </w:t>
      </w:r>
    </w:p>
    <w:p w14:paraId="29DC35D1" w14:textId="77777777" w:rsidR="003971D8" w:rsidRPr="003971D8" w:rsidRDefault="003971D8" w:rsidP="00E641D8">
      <w:pPr>
        <w:jc w:val="both"/>
        <w:rPr>
          <w:rFonts w:ascii="Arial" w:hAnsi="Arial" w:cs="Arial"/>
          <w:sz w:val="20"/>
        </w:rPr>
      </w:pPr>
    </w:p>
    <w:p w14:paraId="00094A3A" w14:textId="77777777" w:rsidR="003971D8" w:rsidRPr="003971D8" w:rsidRDefault="003971D8" w:rsidP="00B66A4A">
      <w:pPr>
        <w:numPr>
          <w:ilvl w:val="0"/>
          <w:numId w:val="22"/>
        </w:numPr>
        <w:jc w:val="both"/>
        <w:rPr>
          <w:rFonts w:ascii="Arial" w:hAnsi="Arial" w:cs="Arial"/>
          <w:sz w:val="20"/>
        </w:rPr>
      </w:pPr>
      <w:r w:rsidRPr="003971D8">
        <w:rPr>
          <w:rFonts w:ascii="Arial" w:hAnsi="Arial" w:cs="Arial"/>
          <w:sz w:val="20"/>
        </w:rPr>
        <w:t>With the aim of achieving international policy cohesion and maximum impact through shared resources, Program 17 will build strategic collaborative partnerships, develop joint building respect for IP activities, and participate in relevant activities of its partners.  In addition, the sharing of practical experiences in building respect for IP will be facilitated by creating fora that bring together a broad array of relevant international actors and field experts.  The collaborations, which mainstream WIPO’s development-oriented approach to building respect for IP, are informed by DA Recommendation 40.</w:t>
      </w:r>
    </w:p>
    <w:p w14:paraId="7F71487E" w14:textId="77777777" w:rsidR="003971D8" w:rsidRPr="003971D8" w:rsidRDefault="003971D8" w:rsidP="00E641D8">
      <w:pPr>
        <w:jc w:val="both"/>
        <w:rPr>
          <w:rFonts w:ascii="Arial" w:hAnsi="Arial" w:cs="Arial"/>
          <w:sz w:val="20"/>
        </w:rPr>
      </w:pPr>
    </w:p>
    <w:p w14:paraId="37F6F72C" w14:textId="77777777" w:rsidR="003971D8" w:rsidRPr="003971D8" w:rsidRDefault="003971D8" w:rsidP="00B66A4A">
      <w:pPr>
        <w:numPr>
          <w:ilvl w:val="0"/>
          <w:numId w:val="22"/>
        </w:numPr>
        <w:jc w:val="both"/>
        <w:rPr>
          <w:rFonts w:ascii="Arial" w:hAnsi="Arial" w:cs="Arial"/>
          <w:sz w:val="20"/>
        </w:rPr>
      </w:pPr>
      <w:r w:rsidRPr="003971D8">
        <w:rPr>
          <w:rFonts w:ascii="Arial" w:hAnsi="Arial" w:cs="Arial"/>
          <w:sz w:val="20"/>
        </w:rPr>
        <w:t xml:space="preserve">Program 17 continues to assist Member States, on request, in formulating tailored and balanced legislative, regulatory, or policy frameworks for building respect for IP, in line with a country’s specific characteristics and needs.  Assistance is equally provided to a variety of audiences in the form of capacity building activities on building respect for IP.  To achieve sustainable results, a particular focus will be on increasing the capacities of national legal training institutions, such as police or judicial academies, to act as multipliers, supplemented by making available specifically designed training material on building respect for IP. Program 17 will also support the development of national awareness raising strategies aimed at reducing IP infringement through behavioral change.  This will be complemented by activities aimed at increasing popular understanding of the value of IP, such as </w:t>
      </w:r>
      <w:r w:rsidRPr="003971D8">
        <w:rPr>
          <w:rFonts w:ascii="Arial" w:hAnsi="Arial" w:cs="Arial"/>
          <w:sz w:val="20"/>
        </w:rPr>
        <w:lastRenderedPageBreak/>
        <w:t xml:space="preserve">competitions on the occasion of the annual IP Day and the WIPO Awards Program, with a particular focus on helping young people appreciate the benefits of IP for society.  Technical assistance activities are guided by DA Recommendations 1, 6, 12, 13, 14, 17 (legislative, regulatory, and policy assistance), 45 (legislative, regulatory, and policy assistance) and 3, 10 and 11 (capacity building and awareness raising). </w:t>
      </w:r>
    </w:p>
    <w:p w14:paraId="18751B98" w14:textId="77777777" w:rsidR="003971D8" w:rsidRDefault="003971D8" w:rsidP="00E641D8">
      <w:pPr>
        <w:jc w:val="both"/>
        <w:rPr>
          <w:rFonts w:ascii="Arial" w:hAnsi="Arial" w:cs="Arial"/>
          <w:sz w:val="20"/>
        </w:rPr>
      </w:pPr>
    </w:p>
    <w:p w14:paraId="12447EB4" w14:textId="3F2234A9" w:rsidR="007A5A68" w:rsidRPr="00B70B7D" w:rsidRDefault="007A5A68" w:rsidP="00B66A4A">
      <w:pPr>
        <w:numPr>
          <w:ilvl w:val="0"/>
          <w:numId w:val="22"/>
        </w:numPr>
        <w:jc w:val="both"/>
        <w:rPr>
          <w:rFonts w:ascii="Arial" w:hAnsi="Arial" w:cs="Arial"/>
          <w:sz w:val="20"/>
        </w:rPr>
      </w:pPr>
      <w:r w:rsidRPr="00B70B7D">
        <w:rPr>
          <w:rFonts w:ascii="Arial" w:hAnsi="Arial" w:cs="Arial"/>
          <w:sz w:val="20"/>
        </w:rPr>
        <w:t>Program 1</w:t>
      </w:r>
      <w:r>
        <w:rPr>
          <w:rFonts w:ascii="Arial" w:hAnsi="Arial" w:cs="Arial"/>
          <w:sz w:val="20"/>
        </w:rPr>
        <w:t>7</w:t>
      </w:r>
      <w:r w:rsidRPr="00B70B7D">
        <w:rPr>
          <w:rFonts w:ascii="Arial" w:hAnsi="Arial" w:cs="Arial"/>
          <w:sz w:val="20"/>
        </w:rPr>
        <w:t xml:space="preserve"> collaborates primarily with other Programs as illustrated below: </w:t>
      </w:r>
    </w:p>
    <w:p w14:paraId="67967647" w14:textId="77777777" w:rsidR="007A5A68" w:rsidRPr="003971D8" w:rsidRDefault="007A5A68" w:rsidP="00E641D8">
      <w:pPr>
        <w:jc w:val="both"/>
        <w:rPr>
          <w:rFonts w:ascii="Arial" w:hAnsi="Arial" w:cs="Arial"/>
          <w:sz w:val="20"/>
        </w:rPr>
      </w:pPr>
    </w:p>
    <w:p w14:paraId="5FB04A11" w14:textId="77777777" w:rsidR="003971D8" w:rsidRPr="003971D8" w:rsidRDefault="003971D8" w:rsidP="00E641D8">
      <w:pPr>
        <w:jc w:val="both"/>
        <w:rPr>
          <w:rFonts w:ascii="Arial" w:hAnsi="Arial" w:cs="Arial"/>
        </w:rPr>
      </w:pPr>
      <w:r w:rsidRPr="003971D8">
        <w:rPr>
          <w:rFonts w:ascii="Arial" w:hAnsi="Arial" w:cs="Arial"/>
          <w:noProof/>
          <w:lang w:eastAsia="en-US"/>
        </w:rPr>
        <w:drawing>
          <wp:inline distT="0" distB="0" distL="0" distR="0" wp14:anchorId="3D278E8A" wp14:editId="31941309">
            <wp:extent cx="5940425" cy="1793875"/>
            <wp:effectExtent l="38100" t="38100" r="60325"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091662B1" w14:textId="77777777" w:rsidR="003971D8" w:rsidRPr="003971D8" w:rsidRDefault="003971D8" w:rsidP="00E641D8">
      <w:pPr>
        <w:jc w:val="both"/>
        <w:rPr>
          <w:rFonts w:ascii="Arial" w:hAnsi="Arial" w:cs="Arial"/>
        </w:rPr>
      </w:pPr>
    </w:p>
    <w:p w14:paraId="3AD4E516" w14:textId="77777777" w:rsidR="003971D8" w:rsidRPr="003971D8" w:rsidRDefault="003971D8" w:rsidP="00E641D8">
      <w:pPr>
        <w:jc w:val="both"/>
        <w:rPr>
          <w:rFonts w:ascii="Arial" w:eastAsia="Times New Roman" w:hAnsi="Arial" w:cs="Arial"/>
          <w:lang w:eastAsia="en-US"/>
        </w:rPr>
      </w:pPr>
    </w:p>
    <w:p w14:paraId="14654D18" w14:textId="77777777" w:rsidR="003971D8" w:rsidRPr="003971D8" w:rsidRDefault="003971D8" w:rsidP="00E641D8">
      <w:pPr>
        <w:rPr>
          <w:rFonts w:ascii="Arial" w:hAnsi="Arial" w:cs="Arial"/>
          <w:lang w:eastAsia="en-US"/>
        </w:rPr>
      </w:pPr>
      <w:r w:rsidRPr="003971D8">
        <w:rPr>
          <w:rFonts w:ascii="Arial" w:hAnsi="Arial" w:cs="Arial"/>
          <w:lang w:eastAsia="en-US"/>
        </w:rPr>
        <w:t>MAJOR RISKS AND MITIGATION STRATEGIES</w:t>
      </w:r>
    </w:p>
    <w:p w14:paraId="0D4B4BDE" w14:textId="77777777" w:rsidR="003971D8" w:rsidRPr="003971D8" w:rsidRDefault="003971D8" w:rsidP="00E641D8">
      <w:pPr>
        <w:rPr>
          <w:rFonts w:ascii="Arial" w:eastAsia="Times New Roman" w:hAnsi="Arial" w:cs="Arial"/>
          <w:sz w:val="24"/>
          <w:lang w:eastAsia="en-US"/>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3971D8" w:rsidRPr="003971D8" w14:paraId="6C72879F" w14:textId="77777777" w:rsidTr="00E641D8">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1CAA3554" w14:textId="77777777" w:rsidR="003971D8" w:rsidRPr="003971D8" w:rsidRDefault="003971D8" w:rsidP="00E641D8">
            <w:pPr>
              <w:jc w:val="center"/>
              <w:rPr>
                <w:rFonts w:ascii="Arial" w:eastAsiaTheme="minorHAnsi" w:hAnsi="Arial" w:cs="Arial"/>
                <w:b/>
                <w:bCs/>
                <w:sz w:val="18"/>
                <w:szCs w:val="18"/>
                <w:lang w:eastAsia="en-US"/>
              </w:rPr>
            </w:pPr>
            <w:r w:rsidRPr="003971D8">
              <w:rPr>
                <w:rFonts w:ascii="Arial" w:eastAsia="Times New Roman" w:hAnsi="Arial" w:cs="Arial"/>
                <w:b/>
                <w:bCs/>
                <w:sz w:val="18"/>
                <w:szCs w:val="18"/>
                <w:lang w:eastAsia="en-US"/>
              </w:rPr>
              <w:t>Risk</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8CC9B67" w14:textId="77777777" w:rsidR="003971D8" w:rsidRPr="003971D8" w:rsidRDefault="003971D8" w:rsidP="00E641D8">
            <w:pPr>
              <w:jc w:val="center"/>
              <w:rPr>
                <w:rFonts w:ascii="Arial" w:eastAsiaTheme="minorHAnsi" w:hAnsi="Arial" w:cs="Arial"/>
                <w:b/>
                <w:bCs/>
                <w:sz w:val="18"/>
                <w:szCs w:val="18"/>
                <w:lang w:eastAsia="en-US"/>
              </w:rPr>
            </w:pPr>
            <w:r w:rsidRPr="003971D8">
              <w:rPr>
                <w:rFonts w:ascii="Arial" w:eastAsia="Times New Roman" w:hAnsi="Arial" w:cs="Arial"/>
                <w:b/>
                <w:bCs/>
                <w:sz w:val="18"/>
                <w:szCs w:val="18"/>
                <w:lang w:eastAsia="en-US"/>
              </w:rPr>
              <w:t>Mitigation</w:t>
            </w:r>
          </w:p>
        </w:tc>
      </w:tr>
      <w:tr w:rsidR="003971D8" w:rsidRPr="003971D8" w14:paraId="359637E1" w14:textId="77777777" w:rsidTr="00E641D8">
        <w:trPr>
          <w:trHeight w:val="309"/>
        </w:trPr>
        <w:tc>
          <w:tcPr>
            <w:tcW w:w="4253" w:type="dxa"/>
            <w:tcBorders>
              <w:top w:val="nil"/>
              <w:left w:val="single" w:sz="8" w:space="0" w:color="auto"/>
              <w:bottom w:val="nil"/>
              <w:right w:val="nil"/>
            </w:tcBorders>
            <w:tcMar>
              <w:top w:w="113" w:type="dxa"/>
              <w:left w:w="108" w:type="dxa"/>
              <w:bottom w:w="113" w:type="dxa"/>
              <w:right w:w="108" w:type="dxa"/>
            </w:tcMar>
            <w:hideMark/>
          </w:tcPr>
          <w:p w14:paraId="00C9CA5D"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 xml:space="preserve">Lack of agreement among, and of political support by, Member States in the work of WIPO in the field of building respect for IP.  WIPO’s role in building respect for IP may be compromised.   </w:t>
            </w:r>
          </w:p>
        </w:tc>
        <w:tc>
          <w:tcPr>
            <w:tcW w:w="4961" w:type="dxa"/>
            <w:tcBorders>
              <w:top w:val="nil"/>
              <w:left w:val="nil"/>
              <w:bottom w:val="nil"/>
              <w:right w:val="single" w:sz="8" w:space="0" w:color="auto"/>
            </w:tcBorders>
            <w:tcMar>
              <w:top w:w="113" w:type="dxa"/>
              <w:left w:w="108" w:type="dxa"/>
              <w:bottom w:w="113" w:type="dxa"/>
              <w:right w:w="108" w:type="dxa"/>
            </w:tcMar>
            <w:hideMark/>
          </w:tcPr>
          <w:p w14:paraId="5864FEF7"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Engage in regular consultations with Member States aiming at facilitating the convergence of Member State views on the relevance, the work and the policy function of the ACE and related capacity building activities.  Rigorous standards are applied in all activities, ensuring high quality, transparency, neutrality and a balanced approach.</w:t>
            </w:r>
          </w:p>
        </w:tc>
      </w:tr>
      <w:tr w:rsidR="003971D8" w:rsidRPr="003971D8" w14:paraId="443A0C2D" w14:textId="77777777" w:rsidTr="00E641D8">
        <w:trPr>
          <w:trHeight w:val="1188"/>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5EEA7220"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Countries/stakeholders turning away from WIPO to look towards other international or regional organizations developing activities in the area of building respect for IP.</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63292916"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Leverage partnerships, identify and build synergies with clear, delineated roles between the partners.</w:t>
            </w:r>
          </w:p>
          <w:p w14:paraId="3D1A2DAC" w14:textId="77777777" w:rsidR="003971D8" w:rsidRPr="003971D8" w:rsidRDefault="003971D8" w:rsidP="00E641D8">
            <w:pPr>
              <w:rPr>
                <w:rFonts w:ascii="Arial" w:eastAsia="Times New Roman" w:hAnsi="Arial" w:cs="Arial"/>
                <w:sz w:val="16"/>
                <w:szCs w:val="16"/>
                <w:lang w:eastAsia="en-US"/>
              </w:rPr>
            </w:pPr>
          </w:p>
          <w:p w14:paraId="305702EA" w14:textId="77777777" w:rsidR="003971D8" w:rsidRPr="003971D8" w:rsidRDefault="003971D8" w:rsidP="00E641D8">
            <w:pPr>
              <w:rPr>
                <w:rFonts w:ascii="Arial" w:eastAsia="Times New Roman" w:hAnsi="Arial" w:cs="Arial"/>
                <w:sz w:val="16"/>
                <w:szCs w:val="16"/>
                <w:lang w:eastAsia="en-US"/>
              </w:rPr>
            </w:pPr>
            <w:r w:rsidRPr="003971D8">
              <w:rPr>
                <w:rFonts w:ascii="Arial" w:eastAsia="Times New Roman" w:hAnsi="Arial" w:cs="Arial"/>
                <w:sz w:val="16"/>
                <w:szCs w:val="16"/>
                <w:lang w:eastAsia="en-US"/>
              </w:rPr>
              <w:t>Integrate activities and strategies on building respect for IP into IP national policies in cooperation with WIPO regional bureaus and the Department for Transition and Developed Countries.</w:t>
            </w:r>
          </w:p>
          <w:p w14:paraId="1517A646" w14:textId="77777777" w:rsidR="003971D8" w:rsidRPr="003971D8" w:rsidRDefault="003971D8" w:rsidP="00E641D8">
            <w:pPr>
              <w:rPr>
                <w:rFonts w:ascii="Arial" w:eastAsia="Times New Roman" w:hAnsi="Arial" w:cs="Arial"/>
                <w:sz w:val="16"/>
                <w:szCs w:val="16"/>
                <w:lang w:eastAsia="en-US"/>
              </w:rPr>
            </w:pPr>
          </w:p>
          <w:p w14:paraId="4752880C"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Focus on policy-oriented activities where WIPO can offer a distinct role and competitive advantage.</w:t>
            </w:r>
          </w:p>
        </w:tc>
      </w:tr>
    </w:tbl>
    <w:p w14:paraId="01F1EFB2" w14:textId="77777777" w:rsidR="003971D8" w:rsidRPr="003971D8" w:rsidRDefault="003971D8" w:rsidP="00E641D8">
      <w:pPr>
        <w:rPr>
          <w:rFonts w:ascii="Arial" w:eastAsiaTheme="minorHAnsi" w:hAnsi="Arial" w:cs="Arial"/>
          <w:lang w:eastAsia="en-US"/>
        </w:rPr>
      </w:pPr>
    </w:p>
    <w:p w14:paraId="39852EDF" w14:textId="77777777" w:rsidR="003971D8" w:rsidRPr="003971D8" w:rsidRDefault="003971D8" w:rsidP="00E641D8">
      <w:pPr>
        <w:rPr>
          <w:rFonts w:ascii="Arial" w:eastAsiaTheme="minorHAnsi" w:hAnsi="Arial" w:cs="Arial"/>
          <w:lang w:eastAsia="en-US"/>
        </w:rPr>
      </w:pPr>
    </w:p>
    <w:p w14:paraId="4563E520" w14:textId="77777777" w:rsidR="003971D8" w:rsidRPr="003971D8" w:rsidRDefault="003971D8" w:rsidP="00FD3ECD">
      <w:pPr>
        <w:rPr>
          <w:rFonts w:ascii="Arial" w:eastAsiaTheme="minorHAnsi" w:hAnsi="Arial" w:cs="Arial"/>
          <w:lang w:eastAsia="en-US"/>
        </w:rPr>
      </w:pPr>
      <w:r w:rsidRPr="003971D8">
        <w:rPr>
          <w:rFonts w:ascii="Arial" w:eastAsiaTheme="minorHAnsi" w:hAnsi="Arial" w:cs="Arial"/>
          <w:lang w:eastAsia="en-US"/>
        </w:rPr>
        <w:t>RESULTS FRAMEWORK</w:t>
      </w:r>
    </w:p>
    <w:p w14:paraId="2459CB60" w14:textId="77777777" w:rsidR="003971D8" w:rsidRPr="003971D8" w:rsidRDefault="003971D8" w:rsidP="00FD3ECD">
      <w:pPr>
        <w:jc w:val="both"/>
        <w:rPr>
          <w:rFonts w:ascii="Arial" w:hAnsi="Arial" w:cs="Arial"/>
        </w:rPr>
      </w:pPr>
    </w:p>
    <w:tbl>
      <w:tblPr>
        <w:tblW w:w="9229" w:type="dxa"/>
        <w:tblInd w:w="93" w:type="dxa"/>
        <w:tblLook w:val="04A0" w:firstRow="1" w:lastRow="0" w:firstColumn="1" w:lastColumn="0" w:noHBand="0" w:noVBand="1"/>
      </w:tblPr>
      <w:tblGrid>
        <w:gridCol w:w="2480"/>
        <w:gridCol w:w="2660"/>
        <w:gridCol w:w="2120"/>
        <w:gridCol w:w="1969"/>
      </w:tblGrid>
      <w:tr w:rsidR="003971D8" w:rsidRPr="003971D8" w14:paraId="1ECA3706" w14:textId="77777777" w:rsidTr="00AC4500">
        <w:trPr>
          <w:trHeight w:val="466"/>
          <w:tblHeader/>
        </w:trPr>
        <w:tc>
          <w:tcPr>
            <w:tcW w:w="24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23DBF80B"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Expected Results</w:t>
            </w:r>
          </w:p>
        </w:tc>
        <w:tc>
          <w:tcPr>
            <w:tcW w:w="26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8C7937D"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Performance Indicators</w:t>
            </w:r>
          </w:p>
        </w:tc>
        <w:tc>
          <w:tcPr>
            <w:tcW w:w="21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B7205EB"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Baselines</w:t>
            </w:r>
          </w:p>
        </w:tc>
        <w:tc>
          <w:tcPr>
            <w:tcW w:w="196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059C43D"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Targets</w:t>
            </w:r>
          </w:p>
        </w:tc>
      </w:tr>
      <w:tr w:rsidR="003971D8" w:rsidRPr="003971D8" w14:paraId="4A0AA1AE" w14:textId="77777777" w:rsidTr="00AC4500">
        <w:trPr>
          <w:trHeight w:val="1793"/>
        </w:trPr>
        <w:tc>
          <w:tcPr>
            <w:tcW w:w="2480" w:type="dxa"/>
            <w:vMerge w:val="restart"/>
            <w:tcBorders>
              <w:top w:val="single" w:sz="4" w:space="0" w:color="auto"/>
              <w:left w:val="single" w:sz="4" w:space="0" w:color="auto"/>
              <w:bottom w:val="single" w:sz="4" w:space="0" w:color="auto"/>
              <w:right w:val="nil"/>
            </w:tcBorders>
            <w:shd w:val="clear" w:color="000000" w:fill="FFFFFF"/>
            <w:tcMar>
              <w:top w:w="85" w:type="dxa"/>
            </w:tcMar>
            <w:hideMark/>
          </w:tcPr>
          <w:p w14:paraId="4EAD9302" w14:textId="77777777" w:rsidR="003971D8" w:rsidRPr="003971D8" w:rsidRDefault="003971D8" w:rsidP="00FD3ECD">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I.2 Tailored and balanced IP legislative, regulatory and policy frameworks</w:t>
            </w:r>
          </w:p>
        </w:tc>
        <w:tc>
          <w:tcPr>
            <w:tcW w:w="2660" w:type="dxa"/>
            <w:tcBorders>
              <w:top w:val="single" w:sz="4" w:space="0" w:color="auto"/>
              <w:left w:val="nil"/>
              <w:right w:val="nil"/>
            </w:tcBorders>
            <w:shd w:val="clear" w:color="000000" w:fill="FFFFFF"/>
            <w:tcMar>
              <w:top w:w="85" w:type="dxa"/>
            </w:tcMar>
            <w:hideMark/>
          </w:tcPr>
          <w:p w14:paraId="73ED858C" w14:textId="6D92E5E3"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countries/regional organizations having adopted or amended relevant frameworks towards effective IP enforcement in the light of Part III of the TRIPS Agreement</w:t>
            </w:r>
            <w:r w:rsidR="00F56680">
              <w:rPr>
                <w:rFonts w:ascii="Arial" w:eastAsia="Times New Roman" w:hAnsi="Arial" w:cs="Arial"/>
                <w:color w:val="000000"/>
                <w:sz w:val="16"/>
                <w:szCs w:val="16"/>
                <w:lang w:eastAsia="en-US"/>
              </w:rPr>
              <w:t xml:space="preserve"> </w:t>
            </w:r>
            <w:r w:rsidR="00F56680" w:rsidRPr="00F56680">
              <w:rPr>
                <w:rFonts w:ascii="Arial" w:eastAsia="Times New Roman" w:hAnsi="Arial" w:cs="Arial"/>
                <w:color w:val="000000"/>
                <w:sz w:val="16"/>
                <w:szCs w:val="16"/>
                <w:lang w:eastAsia="en-US"/>
              </w:rPr>
              <w:t>and DA Recommendation 45</w:t>
            </w:r>
            <w:r w:rsidRPr="003971D8">
              <w:rPr>
                <w:rFonts w:ascii="Arial" w:eastAsia="Times New Roman" w:hAnsi="Arial" w:cs="Arial"/>
                <w:color w:val="000000"/>
                <w:sz w:val="16"/>
                <w:szCs w:val="16"/>
                <w:lang w:eastAsia="en-US"/>
              </w:rPr>
              <w:t>, or being in the process of doing so, further to WIPO assistance</w:t>
            </w:r>
          </w:p>
        </w:tc>
        <w:tc>
          <w:tcPr>
            <w:tcW w:w="2120" w:type="dxa"/>
            <w:tcBorders>
              <w:top w:val="single" w:sz="4" w:space="0" w:color="auto"/>
              <w:left w:val="nil"/>
              <w:right w:val="nil"/>
            </w:tcBorders>
            <w:shd w:val="clear" w:color="000000" w:fill="FFFFFF"/>
            <w:tcMar>
              <w:top w:w="85" w:type="dxa"/>
            </w:tcMar>
            <w:hideMark/>
          </w:tcPr>
          <w:p w14:paraId="7A29332F" w14:textId="77777777" w:rsidR="003971D8" w:rsidRPr="003971D8" w:rsidRDefault="003971D8" w:rsidP="00FD3ECD">
            <w:pPr>
              <w:ind w:firstLineChars="7" w:firstLine="1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13 countries in the process of amending and/or adopting relevant frameworks towards effective IP enforcement</w:t>
            </w:r>
            <w:r w:rsidRPr="003971D8">
              <w:rPr>
                <w:rFonts w:ascii="Arial" w:eastAsia="Times New Roman" w:hAnsi="Arial" w:cs="Arial"/>
                <w:color w:val="000000"/>
                <w:sz w:val="16"/>
                <w:szCs w:val="16"/>
                <w:lang w:eastAsia="en-US"/>
              </w:rPr>
              <w:br/>
              <w:t>(as at February 15, 2015)</w:t>
            </w:r>
          </w:p>
        </w:tc>
        <w:tc>
          <w:tcPr>
            <w:tcW w:w="1969" w:type="dxa"/>
            <w:tcBorders>
              <w:top w:val="single" w:sz="4" w:space="0" w:color="auto"/>
              <w:left w:val="nil"/>
              <w:right w:val="single" w:sz="4" w:space="0" w:color="auto"/>
            </w:tcBorders>
            <w:shd w:val="clear" w:color="000000" w:fill="FFFFFF"/>
            <w:tcMar>
              <w:top w:w="85" w:type="dxa"/>
            </w:tcMar>
            <w:hideMark/>
          </w:tcPr>
          <w:p w14:paraId="199D7E80" w14:textId="77777777" w:rsidR="003971D8" w:rsidRPr="003971D8" w:rsidRDefault="003971D8" w:rsidP="008D4CE9">
            <w:pPr>
              <w:ind w:left="16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xml:space="preserve">1 country/regional organization having adopted and/or amended relevant frameworks towards effective IP enforcement </w:t>
            </w:r>
          </w:p>
        </w:tc>
      </w:tr>
      <w:tr w:rsidR="003971D8" w:rsidRPr="003971D8" w14:paraId="296B82B0" w14:textId="77777777" w:rsidTr="00AC4500">
        <w:trPr>
          <w:trHeight w:val="1260"/>
        </w:trPr>
        <w:tc>
          <w:tcPr>
            <w:tcW w:w="2480" w:type="dxa"/>
            <w:vMerge/>
            <w:tcBorders>
              <w:top w:val="single" w:sz="4" w:space="0" w:color="auto"/>
              <w:left w:val="single" w:sz="4" w:space="0" w:color="auto"/>
              <w:bottom w:val="single" w:sz="4" w:space="0" w:color="auto"/>
              <w:right w:val="nil"/>
            </w:tcBorders>
            <w:tcMar>
              <w:top w:w="85" w:type="dxa"/>
            </w:tcMar>
            <w:vAlign w:val="center"/>
            <w:hideMark/>
          </w:tcPr>
          <w:p w14:paraId="14E97E5C" w14:textId="77777777" w:rsidR="003971D8" w:rsidRPr="003971D8" w:rsidRDefault="003971D8" w:rsidP="00E641D8">
            <w:pPr>
              <w:rPr>
                <w:rFonts w:ascii="Arial" w:eastAsia="Times New Roman" w:hAnsi="Arial" w:cs="Arial"/>
                <w:color w:val="000000"/>
                <w:sz w:val="16"/>
                <w:szCs w:val="16"/>
                <w:lang w:eastAsia="en-US"/>
              </w:rPr>
            </w:pPr>
          </w:p>
        </w:tc>
        <w:tc>
          <w:tcPr>
            <w:tcW w:w="2660" w:type="dxa"/>
            <w:tcBorders>
              <w:left w:val="nil"/>
              <w:bottom w:val="single" w:sz="4" w:space="0" w:color="auto"/>
              <w:right w:val="nil"/>
            </w:tcBorders>
            <w:shd w:val="clear" w:color="000000" w:fill="FFFFFF"/>
            <w:tcMar>
              <w:top w:w="85" w:type="dxa"/>
            </w:tcMar>
            <w:hideMark/>
          </w:tcPr>
          <w:p w14:paraId="5CA14359" w14:textId="7B5B938F"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countries that have adopted and/or implemented a national strategy on Building Respect for IP, or are in the process of doing so, with WIPO assistance</w:t>
            </w:r>
          </w:p>
        </w:tc>
        <w:tc>
          <w:tcPr>
            <w:tcW w:w="2120" w:type="dxa"/>
            <w:tcBorders>
              <w:left w:val="nil"/>
              <w:bottom w:val="single" w:sz="4" w:space="0" w:color="auto"/>
              <w:right w:val="nil"/>
            </w:tcBorders>
            <w:shd w:val="clear" w:color="000000" w:fill="FFFFFF"/>
            <w:tcMar>
              <w:top w:w="85" w:type="dxa"/>
            </w:tcMar>
            <w:hideMark/>
          </w:tcPr>
          <w:p w14:paraId="31A18274" w14:textId="77777777" w:rsidR="003971D8" w:rsidRPr="003971D8" w:rsidRDefault="003971D8" w:rsidP="00E641D8">
            <w:pPr>
              <w:ind w:left="77"/>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2 countries in the process of adopting such strategy</w:t>
            </w:r>
          </w:p>
          <w:p w14:paraId="1C165CCE" w14:textId="77777777" w:rsidR="003971D8" w:rsidRPr="003971D8" w:rsidRDefault="003971D8" w:rsidP="00E641D8">
            <w:pPr>
              <w:ind w:firstLineChars="200" w:firstLine="320"/>
              <w:rPr>
                <w:rFonts w:ascii="Arial" w:eastAsia="Times New Roman" w:hAnsi="Arial" w:cs="Arial"/>
                <w:color w:val="000000"/>
                <w:sz w:val="16"/>
                <w:szCs w:val="16"/>
                <w:lang w:eastAsia="en-US"/>
              </w:rPr>
            </w:pPr>
          </w:p>
        </w:tc>
        <w:tc>
          <w:tcPr>
            <w:tcW w:w="1969" w:type="dxa"/>
            <w:tcBorders>
              <w:left w:val="nil"/>
              <w:bottom w:val="single" w:sz="4" w:space="0" w:color="auto"/>
              <w:right w:val="single" w:sz="4" w:space="0" w:color="auto"/>
            </w:tcBorders>
            <w:shd w:val="clear" w:color="000000" w:fill="FFFFFF"/>
            <w:tcMar>
              <w:top w:w="85" w:type="dxa"/>
            </w:tcMar>
            <w:hideMark/>
          </w:tcPr>
          <w:p w14:paraId="20F31B50" w14:textId="77777777" w:rsidR="003971D8" w:rsidRPr="003971D8" w:rsidRDefault="003971D8" w:rsidP="00E641D8">
            <w:pPr>
              <w:ind w:left="117"/>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2 countries have adopted such strategy</w:t>
            </w:r>
          </w:p>
        </w:tc>
      </w:tr>
      <w:tr w:rsidR="003971D8" w:rsidRPr="003971D8" w14:paraId="421D59D5" w14:textId="77777777" w:rsidTr="00AC4500">
        <w:trPr>
          <w:trHeight w:val="1449"/>
        </w:trPr>
        <w:tc>
          <w:tcPr>
            <w:tcW w:w="2480" w:type="dxa"/>
            <w:tcBorders>
              <w:top w:val="single" w:sz="4" w:space="0" w:color="auto"/>
              <w:left w:val="single" w:sz="4" w:space="0" w:color="auto"/>
              <w:bottom w:val="nil"/>
              <w:right w:val="nil"/>
            </w:tcBorders>
            <w:shd w:val="clear" w:color="000000" w:fill="FFFFFF"/>
            <w:tcMar>
              <w:top w:w="85" w:type="dxa"/>
            </w:tcMar>
            <w:hideMark/>
          </w:tcPr>
          <w:p w14:paraId="1C815D60"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lastRenderedPageBreak/>
              <w:t>III.2 Enhanced human resource capacities able to deal with the broad range of requirements for the effective use of IP for development in developing countries, LDCs and countries with economies in transition</w:t>
            </w:r>
          </w:p>
        </w:tc>
        <w:tc>
          <w:tcPr>
            <w:tcW w:w="2660" w:type="dxa"/>
            <w:tcBorders>
              <w:top w:val="single" w:sz="4" w:space="0" w:color="auto"/>
              <w:left w:val="nil"/>
              <w:bottom w:val="nil"/>
              <w:right w:val="nil"/>
            </w:tcBorders>
            <w:shd w:val="clear" w:color="000000" w:fill="FFFFFF"/>
            <w:tcMar>
              <w:top w:w="85" w:type="dxa"/>
            </w:tcMar>
            <w:hideMark/>
          </w:tcPr>
          <w:p w14:paraId="29E7F1A3" w14:textId="77777777"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of trained participants reporting satisfaction with the usefulness and relevance of the training provided for the exercising of their professional duties</w:t>
            </w:r>
          </w:p>
        </w:tc>
        <w:tc>
          <w:tcPr>
            <w:tcW w:w="2120" w:type="dxa"/>
            <w:tcBorders>
              <w:top w:val="single" w:sz="4" w:space="0" w:color="auto"/>
              <w:left w:val="nil"/>
              <w:bottom w:val="nil"/>
              <w:right w:val="nil"/>
            </w:tcBorders>
            <w:shd w:val="clear" w:color="000000" w:fill="FFFFFF"/>
            <w:tcMar>
              <w:top w:w="85" w:type="dxa"/>
            </w:tcMar>
            <w:hideMark/>
          </w:tcPr>
          <w:p w14:paraId="422DB1D0"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Relevance : 90%</w:t>
            </w:r>
            <w:r w:rsidRPr="003971D8">
              <w:rPr>
                <w:rFonts w:ascii="Arial" w:eastAsia="Times New Roman" w:hAnsi="Arial" w:cs="Arial"/>
                <w:color w:val="000000"/>
                <w:sz w:val="16"/>
                <w:szCs w:val="16"/>
                <w:lang w:eastAsia="en-US"/>
              </w:rPr>
              <w:br/>
              <w:t>Usefulness : 90%</w:t>
            </w:r>
            <w:r w:rsidRPr="003971D8">
              <w:rPr>
                <w:rFonts w:ascii="Arial" w:eastAsia="Times New Roman" w:hAnsi="Arial" w:cs="Arial"/>
                <w:color w:val="000000"/>
                <w:sz w:val="16"/>
                <w:szCs w:val="16"/>
                <w:lang w:eastAsia="en-US"/>
              </w:rPr>
              <w:br/>
              <w:t>(as at February 15, 2015)</w:t>
            </w:r>
          </w:p>
        </w:tc>
        <w:tc>
          <w:tcPr>
            <w:tcW w:w="1969" w:type="dxa"/>
            <w:tcBorders>
              <w:top w:val="single" w:sz="4" w:space="0" w:color="auto"/>
              <w:left w:val="nil"/>
              <w:bottom w:val="nil"/>
              <w:right w:val="single" w:sz="4" w:space="0" w:color="auto"/>
            </w:tcBorders>
            <w:shd w:val="clear" w:color="000000" w:fill="FFFFFF"/>
            <w:tcMar>
              <w:top w:w="85" w:type="dxa"/>
            </w:tcMar>
            <w:hideMark/>
          </w:tcPr>
          <w:p w14:paraId="6E0B49DB" w14:textId="77777777" w:rsidR="003971D8" w:rsidRPr="003971D8" w:rsidRDefault="003971D8" w:rsidP="008D4CE9">
            <w:pPr>
              <w:ind w:left="16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Relevance: &gt;85%</w:t>
            </w:r>
            <w:r w:rsidRPr="003971D8">
              <w:rPr>
                <w:rFonts w:ascii="Arial" w:eastAsia="Times New Roman" w:hAnsi="Arial" w:cs="Arial"/>
                <w:color w:val="000000"/>
                <w:sz w:val="16"/>
                <w:szCs w:val="16"/>
                <w:lang w:eastAsia="en-US"/>
              </w:rPr>
              <w:br/>
              <w:t>Usefulness: &gt; 85%</w:t>
            </w:r>
          </w:p>
        </w:tc>
      </w:tr>
      <w:tr w:rsidR="003971D8" w:rsidRPr="003971D8" w14:paraId="322732B2" w14:textId="77777777" w:rsidTr="00E641D8">
        <w:trPr>
          <w:trHeight w:val="1440"/>
        </w:trPr>
        <w:tc>
          <w:tcPr>
            <w:tcW w:w="2480" w:type="dxa"/>
            <w:tcBorders>
              <w:top w:val="nil"/>
              <w:left w:val="single" w:sz="4" w:space="0" w:color="auto"/>
              <w:bottom w:val="nil"/>
              <w:right w:val="nil"/>
            </w:tcBorders>
            <w:shd w:val="clear" w:color="000000" w:fill="FFFFFF"/>
            <w:tcMar>
              <w:top w:w="85" w:type="dxa"/>
            </w:tcMar>
            <w:hideMark/>
          </w:tcPr>
          <w:p w14:paraId="7B0C2335"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VI.1 Progress in the international policy dialogue among WIPO Member States on building respect for IP, guided by Recommendation 45 of the WIPO Development Agenda</w:t>
            </w:r>
          </w:p>
        </w:tc>
        <w:tc>
          <w:tcPr>
            <w:tcW w:w="2660" w:type="dxa"/>
            <w:tcBorders>
              <w:top w:val="nil"/>
              <w:left w:val="nil"/>
              <w:bottom w:val="nil"/>
              <w:right w:val="nil"/>
            </w:tcBorders>
            <w:shd w:val="clear" w:color="000000" w:fill="FFFFFF"/>
            <w:tcMar>
              <w:top w:w="85" w:type="dxa"/>
            </w:tcMar>
            <w:hideMark/>
          </w:tcPr>
          <w:p w14:paraId="1BAF9880" w14:textId="77777777"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Continued agreement by Member States on the substantive work of the WIPO Advisory Committee on Enforcement (ACE), incorporating development-oriented concerns</w:t>
            </w:r>
          </w:p>
        </w:tc>
        <w:tc>
          <w:tcPr>
            <w:tcW w:w="2120" w:type="dxa"/>
            <w:tcBorders>
              <w:top w:val="nil"/>
              <w:left w:val="nil"/>
              <w:bottom w:val="nil"/>
              <w:right w:val="nil"/>
            </w:tcBorders>
            <w:shd w:val="clear" w:color="000000" w:fill="FFFFFF"/>
            <w:tcMar>
              <w:top w:w="85" w:type="dxa"/>
            </w:tcMar>
            <w:hideMark/>
          </w:tcPr>
          <w:p w14:paraId="3A7A1DB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Agreement on the work program for the 10th session of the ACE</w:t>
            </w:r>
          </w:p>
        </w:tc>
        <w:tc>
          <w:tcPr>
            <w:tcW w:w="1969" w:type="dxa"/>
            <w:tcBorders>
              <w:top w:val="nil"/>
              <w:left w:val="nil"/>
              <w:bottom w:val="nil"/>
              <w:right w:val="single" w:sz="4" w:space="0" w:color="auto"/>
            </w:tcBorders>
            <w:shd w:val="clear" w:color="000000" w:fill="FFFFFF"/>
            <w:tcMar>
              <w:top w:w="85" w:type="dxa"/>
            </w:tcMar>
            <w:hideMark/>
          </w:tcPr>
          <w:p w14:paraId="79D31706" w14:textId="77777777" w:rsidR="003971D8" w:rsidRPr="003971D8" w:rsidRDefault="003971D8" w:rsidP="008D4CE9">
            <w:pPr>
              <w:ind w:left="16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Agreement on the work program for the next ACE session</w:t>
            </w:r>
          </w:p>
        </w:tc>
      </w:tr>
      <w:tr w:rsidR="003971D8" w:rsidRPr="003971D8" w14:paraId="0AABF250" w14:textId="77777777" w:rsidTr="00E641D8">
        <w:trPr>
          <w:trHeight w:val="1260"/>
        </w:trPr>
        <w:tc>
          <w:tcPr>
            <w:tcW w:w="2480" w:type="dxa"/>
            <w:tcBorders>
              <w:top w:val="nil"/>
              <w:left w:val="single" w:sz="4" w:space="0" w:color="auto"/>
              <w:bottom w:val="nil"/>
              <w:right w:val="nil"/>
            </w:tcBorders>
            <w:shd w:val="clear" w:color="000000" w:fill="FFFFFF"/>
            <w:tcMar>
              <w:top w:w="85" w:type="dxa"/>
            </w:tcMar>
            <w:hideMark/>
          </w:tcPr>
          <w:p w14:paraId="24D0B7B3"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VI.2 Systematic, effective and transparent cooperation and coordination between the work of WIPO and other international organizations in the field of building respect for IP</w:t>
            </w:r>
          </w:p>
        </w:tc>
        <w:tc>
          <w:tcPr>
            <w:tcW w:w="2660" w:type="dxa"/>
            <w:tcBorders>
              <w:top w:val="nil"/>
              <w:left w:val="nil"/>
              <w:bottom w:val="nil"/>
              <w:right w:val="nil"/>
            </w:tcBorders>
            <w:shd w:val="clear" w:color="000000" w:fill="FFFFFF"/>
            <w:tcMar>
              <w:top w:w="85" w:type="dxa"/>
            </w:tcMar>
            <w:hideMark/>
          </w:tcPr>
          <w:p w14:paraId="76240A1E" w14:textId="77777777"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xml:space="preserve">No. of strategic collaborations or other joint activities with partner organizations on building respect for IP </w:t>
            </w:r>
          </w:p>
        </w:tc>
        <w:tc>
          <w:tcPr>
            <w:tcW w:w="2120" w:type="dxa"/>
            <w:tcBorders>
              <w:top w:val="nil"/>
              <w:left w:val="nil"/>
              <w:bottom w:val="nil"/>
              <w:right w:val="nil"/>
            </w:tcBorders>
            <w:shd w:val="clear" w:color="000000" w:fill="FFFFFF"/>
            <w:tcMar>
              <w:top w:w="85" w:type="dxa"/>
            </w:tcMar>
            <w:hideMark/>
          </w:tcPr>
          <w:p w14:paraId="5FA514A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6 strategic collaborations;  24 other joint activities (as at February 15, 2015)</w:t>
            </w:r>
          </w:p>
        </w:tc>
        <w:tc>
          <w:tcPr>
            <w:tcW w:w="1969" w:type="dxa"/>
            <w:tcBorders>
              <w:top w:val="nil"/>
              <w:left w:val="nil"/>
              <w:bottom w:val="nil"/>
              <w:right w:val="single" w:sz="4" w:space="0" w:color="auto"/>
            </w:tcBorders>
            <w:shd w:val="clear" w:color="000000" w:fill="FFFFFF"/>
            <w:tcMar>
              <w:top w:w="85" w:type="dxa"/>
            </w:tcMar>
            <w:hideMark/>
          </w:tcPr>
          <w:p w14:paraId="5B1689A9" w14:textId="77777777" w:rsidR="003971D8" w:rsidRPr="003971D8" w:rsidRDefault="003971D8" w:rsidP="008D4CE9">
            <w:pPr>
              <w:ind w:left="16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6 strategic collaborations;  25 other joint activities</w:t>
            </w:r>
          </w:p>
        </w:tc>
      </w:tr>
      <w:tr w:rsidR="003971D8" w:rsidRPr="003971D8" w14:paraId="2F5555AC" w14:textId="77777777" w:rsidTr="00E641D8">
        <w:trPr>
          <w:trHeight w:val="932"/>
        </w:trPr>
        <w:tc>
          <w:tcPr>
            <w:tcW w:w="2480" w:type="dxa"/>
            <w:tcBorders>
              <w:top w:val="nil"/>
              <w:left w:val="single" w:sz="4" w:space="0" w:color="auto"/>
              <w:bottom w:val="single" w:sz="4" w:space="0" w:color="auto"/>
              <w:right w:val="nil"/>
            </w:tcBorders>
            <w:shd w:val="clear" w:color="000000" w:fill="FFFFFF"/>
            <w:tcMar>
              <w:top w:w="85" w:type="dxa"/>
            </w:tcMar>
            <w:hideMark/>
          </w:tcPr>
          <w:p w14:paraId="017B9958"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VIII.1 More effective communication to a broad public about intellectual property and WIPO’s role</w:t>
            </w:r>
          </w:p>
        </w:tc>
        <w:tc>
          <w:tcPr>
            <w:tcW w:w="2660" w:type="dxa"/>
            <w:tcBorders>
              <w:top w:val="nil"/>
              <w:left w:val="nil"/>
              <w:bottom w:val="single" w:sz="4" w:space="0" w:color="auto"/>
              <w:right w:val="nil"/>
            </w:tcBorders>
            <w:shd w:val="clear" w:color="000000" w:fill="FFFFFF"/>
            <w:tcMar>
              <w:top w:w="85" w:type="dxa"/>
            </w:tcMar>
            <w:hideMark/>
          </w:tcPr>
          <w:p w14:paraId="7DB673DF" w14:textId="77777777" w:rsidR="003971D8" w:rsidRPr="003971D8" w:rsidRDefault="003971D8" w:rsidP="008D4CE9">
            <w:pPr>
              <w:ind w:left="12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Member States participating in the WIPO Awards Program</w:t>
            </w:r>
          </w:p>
        </w:tc>
        <w:tc>
          <w:tcPr>
            <w:tcW w:w="2120" w:type="dxa"/>
            <w:tcBorders>
              <w:top w:val="nil"/>
              <w:left w:val="nil"/>
              <w:bottom w:val="single" w:sz="4" w:space="0" w:color="auto"/>
              <w:right w:val="nil"/>
            </w:tcBorders>
            <w:shd w:val="clear" w:color="000000" w:fill="FFFFFF"/>
            <w:tcMar>
              <w:top w:w="85" w:type="dxa"/>
            </w:tcMar>
            <w:hideMark/>
          </w:tcPr>
          <w:p w14:paraId="5B8826F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38 (in 2014)</w:t>
            </w:r>
          </w:p>
        </w:tc>
        <w:tc>
          <w:tcPr>
            <w:tcW w:w="1969" w:type="dxa"/>
            <w:tcBorders>
              <w:top w:val="nil"/>
              <w:left w:val="nil"/>
              <w:bottom w:val="single" w:sz="4" w:space="0" w:color="auto"/>
              <w:right w:val="single" w:sz="4" w:space="0" w:color="auto"/>
            </w:tcBorders>
            <w:shd w:val="clear" w:color="000000" w:fill="FFFFFF"/>
            <w:tcMar>
              <w:top w:w="85" w:type="dxa"/>
            </w:tcMar>
            <w:hideMark/>
          </w:tcPr>
          <w:p w14:paraId="114C1885" w14:textId="77777777" w:rsidR="003971D8" w:rsidRPr="003971D8" w:rsidRDefault="003971D8" w:rsidP="00E641D8">
            <w:pPr>
              <w:ind w:firstLineChars="200" w:firstLine="32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45 in 2016/17</w:t>
            </w:r>
          </w:p>
        </w:tc>
      </w:tr>
    </w:tbl>
    <w:p w14:paraId="77C47987" w14:textId="77777777" w:rsidR="003971D8" w:rsidRPr="003971D8" w:rsidRDefault="003971D8" w:rsidP="00E641D8">
      <w:pPr>
        <w:jc w:val="both"/>
        <w:rPr>
          <w:rFonts w:ascii="Arial" w:hAnsi="Arial" w:cs="Arial"/>
          <w:sz w:val="20"/>
        </w:rPr>
      </w:pPr>
    </w:p>
    <w:p w14:paraId="50054184" w14:textId="03456BFB" w:rsidR="00FD3ECD" w:rsidRDefault="00FD3ECD">
      <w:pPr>
        <w:rPr>
          <w:rFonts w:ascii="Arial" w:hAnsi="Arial" w:cs="Arial"/>
        </w:rPr>
      </w:pPr>
    </w:p>
    <w:p w14:paraId="41EA596A" w14:textId="23C4CD50" w:rsidR="003971D8" w:rsidRPr="003971D8" w:rsidRDefault="003971D8" w:rsidP="00E641D8">
      <w:pPr>
        <w:jc w:val="both"/>
        <w:rPr>
          <w:rFonts w:ascii="Arial" w:hAnsi="Arial" w:cs="Arial"/>
        </w:rPr>
      </w:pPr>
      <w:r w:rsidRPr="003971D8">
        <w:rPr>
          <w:rFonts w:ascii="Arial" w:hAnsi="Arial" w:cs="Arial"/>
        </w:rPr>
        <w:t>RESOURCES FOR PROGRAM 17</w:t>
      </w:r>
    </w:p>
    <w:p w14:paraId="56750522" w14:textId="77777777" w:rsidR="003971D8" w:rsidRPr="00FB68E0" w:rsidRDefault="003971D8" w:rsidP="00E641D8">
      <w:pPr>
        <w:jc w:val="both"/>
        <w:rPr>
          <w:rFonts w:ascii="Arial" w:hAnsi="Arial" w:cs="Arial"/>
          <w:sz w:val="20"/>
        </w:rPr>
      </w:pPr>
    </w:p>
    <w:p w14:paraId="6252CA15" w14:textId="77777777" w:rsidR="003971D8" w:rsidRPr="003971D8" w:rsidRDefault="003971D8" w:rsidP="00B66A4A">
      <w:pPr>
        <w:numPr>
          <w:ilvl w:val="0"/>
          <w:numId w:val="22"/>
        </w:numPr>
        <w:jc w:val="both"/>
        <w:rPr>
          <w:rFonts w:ascii="Arial" w:hAnsi="Arial" w:cs="Arial"/>
          <w:sz w:val="20"/>
        </w:rPr>
      </w:pPr>
      <w:r w:rsidRPr="00FB68E0">
        <w:rPr>
          <w:rFonts w:ascii="Arial" w:hAnsi="Arial" w:cs="Arial"/>
          <w:sz w:val="20"/>
        </w:rPr>
        <w:t xml:space="preserve">The overall resources for Program 17 </w:t>
      </w:r>
      <w:r w:rsidRPr="003971D8">
        <w:rPr>
          <w:rFonts w:ascii="Arial" w:hAnsi="Arial" w:cs="Arial"/>
          <w:sz w:val="20"/>
        </w:rPr>
        <w:t>in the 2016/17 biennium remain at the same level as the 2014/15 Approved Budget (the decrease compared to the 2014/15 Budget after Transfers reflect a temporary assignment of a legal officer in 2014/15 to the Program).</w:t>
      </w:r>
    </w:p>
    <w:p w14:paraId="1D1F7494" w14:textId="77777777" w:rsidR="003971D8" w:rsidRPr="003971D8" w:rsidRDefault="003971D8" w:rsidP="00E641D8">
      <w:pPr>
        <w:jc w:val="both"/>
        <w:rPr>
          <w:rFonts w:ascii="Arial" w:hAnsi="Arial" w:cs="Arial"/>
          <w:sz w:val="20"/>
        </w:rPr>
      </w:pPr>
    </w:p>
    <w:p w14:paraId="5AC80949" w14:textId="77777777" w:rsidR="003971D8" w:rsidRPr="003971D8" w:rsidRDefault="003971D8" w:rsidP="00B66A4A">
      <w:pPr>
        <w:numPr>
          <w:ilvl w:val="0"/>
          <w:numId w:val="22"/>
        </w:numPr>
        <w:jc w:val="both"/>
        <w:rPr>
          <w:rFonts w:ascii="Arial" w:hAnsi="Arial" w:cs="Arial"/>
          <w:sz w:val="20"/>
        </w:rPr>
      </w:pPr>
      <w:r w:rsidRPr="00FB68E0">
        <w:rPr>
          <w:rFonts w:ascii="Arial" w:hAnsi="Arial" w:cs="Arial"/>
          <w:sz w:val="20"/>
        </w:rPr>
        <w:t xml:space="preserve">A shift in resources from Expected Result III.2 to Expected Results I.2 and VIII.1 can be observed. </w:t>
      </w:r>
      <w:r w:rsidRPr="003971D8">
        <w:rPr>
          <w:rFonts w:ascii="Arial" w:hAnsi="Arial" w:cs="Arial"/>
          <w:iCs/>
          <w:sz w:val="20"/>
        </w:rPr>
        <w:t>This reflects a better balance among the various Expected Results, with (</w:t>
      </w:r>
      <w:proofErr w:type="spellStart"/>
      <w:r w:rsidRPr="003971D8">
        <w:rPr>
          <w:rFonts w:ascii="Arial" w:hAnsi="Arial" w:cs="Arial"/>
          <w:iCs/>
          <w:sz w:val="20"/>
        </w:rPr>
        <w:t>i</w:t>
      </w:r>
      <w:proofErr w:type="spellEnd"/>
      <w:r w:rsidRPr="003971D8">
        <w:rPr>
          <w:rFonts w:ascii="Arial" w:hAnsi="Arial" w:cs="Arial"/>
          <w:iCs/>
          <w:sz w:val="20"/>
        </w:rPr>
        <w:t>) the assignment of resources for the assistance rendered, based on increasing requests from Member States, in relation to legislative assistance and national strategies on building respect for IP, and (ii) the assignment of resources for the WIPO Awards Program to Expected Result VIII.1 (rather than Expected Result III.2 in the biennium 2014/15).</w:t>
      </w:r>
      <w:r w:rsidRPr="003971D8" w:rsidDel="00953BFA">
        <w:rPr>
          <w:rFonts w:ascii="Arial" w:hAnsi="Arial" w:cs="Arial"/>
          <w:sz w:val="20"/>
        </w:rPr>
        <w:t xml:space="preserve"> </w:t>
      </w:r>
    </w:p>
    <w:p w14:paraId="47192636" w14:textId="77777777" w:rsidR="003971D8" w:rsidRPr="003971D8" w:rsidRDefault="003971D8" w:rsidP="00E641D8">
      <w:pPr>
        <w:jc w:val="both"/>
        <w:rPr>
          <w:rFonts w:ascii="Arial" w:hAnsi="Arial" w:cs="Arial"/>
          <w:sz w:val="20"/>
        </w:rPr>
      </w:pPr>
    </w:p>
    <w:p w14:paraId="2ADBC6A7" w14:textId="77777777" w:rsidR="003971D8" w:rsidRPr="003971D8" w:rsidRDefault="003971D8" w:rsidP="00E641D8">
      <w:pPr>
        <w:tabs>
          <w:tab w:val="left" w:pos="1427"/>
        </w:tabs>
        <w:jc w:val="center"/>
        <w:rPr>
          <w:rFonts w:ascii="Arial" w:hAnsi="Arial" w:cs="Arial"/>
          <w:b/>
          <w:sz w:val="20"/>
          <w:szCs w:val="24"/>
        </w:rPr>
      </w:pPr>
    </w:p>
    <w:p w14:paraId="4C60B0C3" w14:textId="77777777" w:rsidR="003971D8" w:rsidRPr="003971D8" w:rsidRDefault="003971D8" w:rsidP="00E641D8">
      <w:pPr>
        <w:keepNext/>
        <w:keepLines/>
        <w:tabs>
          <w:tab w:val="left" w:pos="1427"/>
        </w:tabs>
        <w:jc w:val="center"/>
        <w:rPr>
          <w:rFonts w:ascii="Arial" w:hAnsi="Arial" w:cs="Arial"/>
          <w:sz w:val="20"/>
        </w:rPr>
      </w:pPr>
      <w:r w:rsidRPr="003971D8">
        <w:rPr>
          <w:rFonts w:ascii="Arial" w:hAnsi="Arial" w:cs="Arial"/>
          <w:b/>
          <w:sz w:val="20"/>
          <w:szCs w:val="24"/>
        </w:rPr>
        <w:lastRenderedPageBreak/>
        <w:t>Program 17:  Resources by Result</w:t>
      </w:r>
    </w:p>
    <w:p w14:paraId="3469F63E" w14:textId="77777777" w:rsidR="003971D8" w:rsidRPr="003971D8" w:rsidRDefault="003971D8" w:rsidP="00E641D8">
      <w:pPr>
        <w:keepNext/>
        <w:keepLines/>
        <w:tabs>
          <w:tab w:val="left" w:pos="1427"/>
        </w:tabs>
        <w:jc w:val="center"/>
        <w:rPr>
          <w:rFonts w:ascii="Arial" w:hAnsi="Arial" w:cs="Arial"/>
          <w:i/>
          <w:sz w:val="20"/>
          <w:szCs w:val="24"/>
        </w:rPr>
      </w:pPr>
      <w:r w:rsidRPr="003971D8">
        <w:rPr>
          <w:rFonts w:ascii="Arial" w:hAnsi="Arial" w:cs="Arial"/>
          <w:i/>
          <w:sz w:val="20"/>
          <w:szCs w:val="24"/>
        </w:rPr>
        <w:t>(In thousands of Swiss francs)</w:t>
      </w:r>
    </w:p>
    <w:p w14:paraId="60187459" w14:textId="77777777" w:rsidR="003971D8" w:rsidRPr="00FD3ECD" w:rsidRDefault="003971D8" w:rsidP="00E641D8">
      <w:pPr>
        <w:keepNext/>
        <w:keepLines/>
        <w:tabs>
          <w:tab w:val="left" w:pos="1427"/>
        </w:tabs>
        <w:jc w:val="center"/>
        <w:rPr>
          <w:rFonts w:ascii="Arial" w:hAnsi="Arial" w:cs="Arial"/>
          <w:i/>
          <w:sz w:val="18"/>
          <w:szCs w:val="24"/>
        </w:rPr>
      </w:pPr>
    </w:p>
    <w:p w14:paraId="253473A5" w14:textId="77777777" w:rsidR="003971D8" w:rsidRDefault="003971D8" w:rsidP="008B4CD5">
      <w:pPr>
        <w:keepNext/>
        <w:keepLines/>
        <w:tabs>
          <w:tab w:val="left" w:pos="1427"/>
        </w:tabs>
        <w:ind w:hanging="142"/>
        <w:jc w:val="center"/>
        <w:rPr>
          <w:rFonts w:ascii="Arial" w:hAnsi="Arial" w:cs="Arial"/>
          <w:i/>
          <w:szCs w:val="24"/>
        </w:rPr>
      </w:pPr>
      <w:r w:rsidRPr="003971D8">
        <w:rPr>
          <w:rFonts w:ascii="Arial" w:hAnsi="Arial" w:cs="Arial"/>
          <w:noProof/>
          <w:lang w:eastAsia="en-US"/>
        </w:rPr>
        <w:drawing>
          <wp:inline distT="0" distB="0" distL="0" distR="0" wp14:anchorId="18AAFE03" wp14:editId="48DE94EB">
            <wp:extent cx="4521855" cy="2565070"/>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43551" cy="2577377"/>
                    </a:xfrm>
                    <a:prstGeom prst="rect">
                      <a:avLst/>
                    </a:prstGeom>
                    <a:noFill/>
                    <a:ln>
                      <a:noFill/>
                    </a:ln>
                  </pic:spPr>
                </pic:pic>
              </a:graphicData>
            </a:graphic>
          </wp:inline>
        </w:drawing>
      </w:r>
    </w:p>
    <w:p w14:paraId="505616F0" w14:textId="77777777" w:rsidR="00FD3ECD" w:rsidRPr="004B1807" w:rsidRDefault="00FD3ECD" w:rsidP="00FD3ECD">
      <w:pPr>
        <w:tabs>
          <w:tab w:val="left" w:pos="1427"/>
        </w:tabs>
        <w:ind w:hanging="142"/>
        <w:jc w:val="center"/>
        <w:rPr>
          <w:rFonts w:ascii="Arial" w:hAnsi="Arial" w:cs="Arial"/>
          <w:i/>
          <w:sz w:val="20"/>
          <w:szCs w:val="24"/>
        </w:rPr>
      </w:pPr>
    </w:p>
    <w:p w14:paraId="239BD0D2" w14:textId="77777777" w:rsidR="004B1807" w:rsidRPr="004B1807" w:rsidRDefault="004B1807" w:rsidP="00FD3ECD">
      <w:pPr>
        <w:tabs>
          <w:tab w:val="left" w:pos="1427"/>
        </w:tabs>
        <w:ind w:hanging="142"/>
        <w:jc w:val="center"/>
        <w:rPr>
          <w:rFonts w:ascii="Arial" w:hAnsi="Arial" w:cs="Arial"/>
          <w:i/>
          <w:sz w:val="20"/>
          <w:szCs w:val="24"/>
        </w:rPr>
      </w:pPr>
    </w:p>
    <w:p w14:paraId="4B6CD59F" w14:textId="77777777" w:rsidR="003971D8" w:rsidRPr="00FD3ECD" w:rsidRDefault="003971D8" w:rsidP="00E641D8">
      <w:pPr>
        <w:keepNext/>
        <w:keepLines/>
        <w:tabs>
          <w:tab w:val="left" w:pos="1427"/>
        </w:tabs>
        <w:jc w:val="center"/>
        <w:rPr>
          <w:rFonts w:ascii="Arial" w:hAnsi="Arial" w:cs="Arial"/>
          <w:sz w:val="20"/>
        </w:rPr>
      </w:pPr>
      <w:r w:rsidRPr="00FD3ECD">
        <w:rPr>
          <w:rFonts w:ascii="Arial" w:hAnsi="Arial" w:cs="Arial"/>
          <w:b/>
          <w:sz w:val="20"/>
          <w:szCs w:val="24"/>
        </w:rPr>
        <w:t>Program 17:  Resources by Object of Expenditure</w:t>
      </w:r>
    </w:p>
    <w:p w14:paraId="294C1199" w14:textId="77777777" w:rsidR="003971D8" w:rsidRPr="00FD3ECD" w:rsidRDefault="003971D8" w:rsidP="00E641D8">
      <w:pPr>
        <w:keepNext/>
        <w:keepLines/>
        <w:tabs>
          <w:tab w:val="left" w:pos="1427"/>
        </w:tabs>
        <w:jc w:val="center"/>
        <w:rPr>
          <w:rFonts w:ascii="Arial" w:hAnsi="Arial" w:cs="Arial"/>
          <w:i/>
          <w:sz w:val="20"/>
          <w:szCs w:val="24"/>
        </w:rPr>
      </w:pPr>
      <w:r w:rsidRPr="00FD3ECD">
        <w:rPr>
          <w:rFonts w:ascii="Arial" w:hAnsi="Arial" w:cs="Arial"/>
          <w:i/>
          <w:sz w:val="20"/>
          <w:szCs w:val="24"/>
        </w:rPr>
        <w:t>(In thousands of Swiss francs)</w:t>
      </w:r>
    </w:p>
    <w:p w14:paraId="664BF671" w14:textId="77777777" w:rsidR="003971D8" w:rsidRPr="00FD3ECD" w:rsidRDefault="003971D8" w:rsidP="00E641D8">
      <w:pPr>
        <w:keepNext/>
        <w:keepLines/>
        <w:tabs>
          <w:tab w:val="left" w:pos="1427"/>
        </w:tabs>
        <w:jc w:val="center"/>
        <w:rPr>
          <w:rFonts w:ascii="Arial" w:hAnsi="Arial" w:cs="Arial"/>
          <w:i/>
          <w:sz w:val="20"/>
          <w:szCs w:val="24"/>
        </w:rPr>
      </w:pPr>
    </w:p>
    <w:p w14:paraId="0B3A416B" w14:textId="77777777" w:rsidR="003971D8" w:rsidRPr="00FD3ECD" w:rsidRDefault="003971D8" w:rsidP="008B4CD5">
      <w:pPr>
        <w:ind w:hanging="142"/>
        <w:jc w:val="center"/>
        <w:rPr>
          <w:rFonts w:ascii="Arial" w:hAnsi="Arial" w:cs="Arial"/>
          <w:sz w:val="20"/>
        </w:rPr>
      </w:pPr>
      <w:r w:rsidRPr="0008204A">
        <w:rPr>
          <w:noProof/>
          <w:lang w:eastAsia="en-US"/>
        </w:rPr>
        <w:drawing>
          <wp:inline distT="0" distB="0" distL="0" distR="0" wp14:anchorId="04319BDD" wp14:editId="6912B4C7">
            <wp:extent cx="4536374" cy="511119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61177" cy="5139139"/>
                    </a:xfrm>
                    <a:prstGeom prst="rect">
                      <a:avLst/>
                    </a:prstGeom>
                    <a:noFill/>
                    <a:ln>
                      <a:noFill/>
                    </a:ln>
                  </pic:spPr>
                </pic:pic>
              </a:graphicData>
            </a:graphic>
          </wp:inline>
        </w:drawing>
      </w:r>
    </w:p>
    <w:p w14:paraId="54EC5CB8" w14:textId="77777777" w:rsidR="003971D8" w:rsidRPr="00FD3ECD" w:rsidRDefault="003971D8" w:rsidP="00E641D8">
      <w:pPr>
        <w:jc w:val="both"/>
        <w:rPr>
          <w:rFonts w:ascii="Arial" w:hAnsi="Arial" w:cs="Arial"/>
          <w:sz w:val="20"/>
        </w:rPr>
      </w:pPr>
    </w:p>
    <w:p w14:paraId="4A2505D5" w14:textId="77777777" w:rsidR="003971D8" w:rsidRPr="00FD3ECD" w:rsidRDefault="003971D8" w:rsidP="00E641D8">
      <w:pPr>
        <w:keepNext/>
        <w:keepLines/>
        <w:jc w:val="center"/>
        <w:rPr>
          <w:rFonts w:ascii="Arial" w:hAnsi="Arial" w:cs="Arial"/>
          <w:b/>
          <w:sz w:val="20"/>
        </w:rPr>
      </w:pPr>
      <w:r w:rsidRPr="00FD3ECD">
        <w:rPr>
          <w:rFonts w:ascii="Arial" w:hAnsi="Arial" w:cs="Arial"/>
          <w:b/>
          <w:sz w:val="20"/>
        </w:rPr>
        <w:lastRenderedPageBreak/>
        <w:t>Funds in Trust Potentially Available for Programming in 2016/17 (BY PROGRAM)</w:t>
      </w:r>
      <w:r w:rsidRPr="00FD3ECD">
        <w:rPr>
          <w:rFonts w:ascii="Arial" w:hAnsi="Arial" w:cs="Arial"/>
          <w:i/>
          <w:sz w:val="20"/>
          <w:vertAlign w:val="superscript"/>
        </w:rPr>
        <w:t xml:space="preserve"> </w:t>
      </w:r>
      <w:r w:rsidRPr="00FD3ECD">
        <w:rPr>
          <w:rFonts w:ascii="Arial" w:hAnsi="Arial" w:cs="Arial"/>
          <w:sz w:val="20"/>
          <w:vertAlign w:val="superscript"/>
        </w:rPr>
        <w:t>1</w:t>
      </w:r>
    </w:p>
    <w:p w14:paraId="095D9B77" w14:textId="77777777" w:rsidR="003971D8" w:rsidRPr="00FD3ECD" w:rsidRDefault="003971D8" w:rsidP="00E641D8">
      <w:pPr>
        <w:keepNext/>
        <w:keepLines/>
        <w:jc w:val="center"/>
        <w:rPr>
          <w:rFonts w:ascii="Arial" w:hAnsi="Arial" w:cs="Arial"/>
          <w:i/>
          <w:sz w:val="20"/>
        </w:rPr>
      </w:pPr>
      <w:r w:rsidRPr="00FD3ECD">
        <w:rPr>
          <w:rFonts w:ascii="Arial" w:hAnsi="Arial" w:cs="Arial"/>
          <w:i/>
          <w:sz w:val="20"/>
        </w:rPr>
        <w:t>(in thousands of Swiss francs)</w:t>
      </w:r>
    </w:p>
    <w:p w14:paraId="1B3FCB31" w14:textId="77777777" w:rsidR="003971D8" w:rsidRPr="00FD3ECD" w:rsidRDefault="003971D8" w:rsidP="00E641D8">
      <w:pPr>
        <w:keepNext/>
        <w:keepLines/>
        <w:jc w:val="center"/>
        <w:rPr>
          <w:rFonts w:ascii="Arial" w:hAnsi="Arial" w:cs="Arial"/>
          <w:i/>
          <w:sz w:val="20"/>
        </w:rPr>
      </w:pPr>
    </w:p>
    <w:p w14:paraId="7962D8E2" w14:textId="77777777" w:rsidR="003971D8" w:rsidRPr="00FD3ECD" w:rsidRDefault="003971D8" w:rsidP="000049A4">
      <w:pPr>
        <w:keepNext/>
        <w:keepLines/>
        <w:jc w:val="center"/>
        <w:rPr>
          <w:rFonts w:ascii="Arial" w:hAnsi="Arial" w:cs="Arial"/>
          <w:sz w:val="20"/>
        </w:rPr>
      </w:pPr>
      <w:r w:rsidRPr="007728AE">
        <w:rPr>
          <w:noProof/>
          <w:lang w:eastAsia="en-US"/>
        </w:rPr>
        <w:drawing>
          <wp:inline distT="0" distB="0" distL="0" distR="0" wp14:anchorId="576A682F" wp14:editId="4852FAA1">
            <wp:extent cx="5383033" cy="877703"/>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32890" cy="885832"/>
                    </a:xfrm>
                    <a:prstGeom prst="rect">
                      <a:avLst/>
                    </a:prstGeom>
                    <a:noFill/>
                    <a:ln>
                      <a:noFill/>
                    </a:ln>
                  </pic:spPr>
                </pic:pic>
              </a:graphicData>
            </a:graphic>
          </wp:inline>
        </w:drawing>
      </w:r>
    </w:p>
    <w:p w14:paraId="60275E3F" w14:textId="77777777" w:rsidR="003971D8" w:rsidRPr="00FD3ECD" w:rsidRDefault="003971D8" w:rsidP="00E641D8">
      <w:pPr>
        <w:keepNext/>
        <w:keepLines/>
        <w:jc w:val="both"/>
        <w:rPr>
          <w:rFonts w:ascii="Arial" w:hAnsi="Arial" w:cs="Arial"/>
          <w:sz w:val="20"/>
        </w:rPr>
      </w:pPr>
    </w:p>
    <w:p w14:paraId="6157725F" w14:textId="77777777" w:rsidR="003971D8" w:rsidRPr="00FD3ECD" w:rsidRDefault="003971D8" w:rsidP="00FB68E0">
      <w:pPr>
        <w:keepNext/>
        <w:keepLines/>
        <w:spacing w:after="60"/>
        <w:rPr>
          <w:rFonts w:ascii="Arial" w:hAnsi="Arial" w:cs="Arial"/>
          <w:i/>
          <w:sz w:val="16"/>
          <w:szCs w:val="14"/>
        </w:rPr>
      </w:pPr>
      <w:r w:rsidRPr="00FD3ECD">
        <w:rPr>
          <w:rFonts w:ascii="Arial" w:hAnsi="Arial" w:cs="Arial"/>
          <w:i/>
          <w:sz w:val="16"/>
          <w:szCs w:val="14"/>
          <w:vertAlign w:val="superscript"/>
        </w:rPr>
        <w:t>1</w:t>
      </w:r>
      <w:r w:rsidRPr="00FD3ECD">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08887A83" w14:textId="77777777" w:rsidR="003971D8" w:rsidRPr="00FD3ECD" w:rsidRDefault="003971D8" w:rsidP="00E641D8">
      <w:pPr>
        <w:keepNext/>
        <w:keepLines/>
        <w:rPr>
          <w:rFonts w:ascii="Arial" w:hAnsi="Arial" w:cs="Arial"/>
          <w:i/>
          <w:sz w:val="16"/>
          <w:szCs w:val="14"/>
        </w:rPr>
      </w:pPr>
      <w:r w:rsidRPr="00FD3ECD">
        <w:rPr>
          <w:rFonts w:ascii="Arial" w:hAnsi="Arial" w:cs="Arial"/>
          <w:i/>
          <w:sz w:val="16"/>
          <w:szCs w:val="14"/>
          <w:vertAlign w:val="superscript"/>
        </w:rPr>
        <w:t>2</w:t>
      </w:r>
      <w:r w:rsidRPr="00FD3ECD">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0BAF9FE7" w14:textId="6B96179D" w:rsidR="000D7C57" w:rsidRPr="00FD3ECD" w:rsidRDefault="000D7C57">
      <w:pPr>
        <w:rPr>
          <w:rFonts w:ascii="Arial" w:hAnsi="Arial" w:cs="Arial"/>
        </w:rPr>
      </w:pPr>
      <w:r w:rsidRPr="00FD3ECD">
        <w:rPr>
          <w:rFonts w:ascii="Arial" w:hAnsi="Arial" w:cs="Arial"/>
        </w:rPr>
        <w:br w:type="page"/>
      </w:r>
    </w:p>
    <w:p w14:paraId="7814D2CD" w14:textId="77777777" w:rsidR="000D7C57" w:rsidRPr="0010779B" w:rsidRDefault="000D7C57" w:rsidP="00E641D8">
      <w:pPr>
        <w:jc w:val="both"/>
      </w:pPr>
    </w:p>
    <w:p w14:paraId="381529EF" w14:textId="11909865" w:rsidR="00A55BB0" w:rsidRPr="00B30215" w:rsidRDefault="00A55BB0" w:rsidP="003D65C6">
      <w:pPr>
        <w:pStyle w:val="StyleHeading3ComplexItalic"/>
        <w:tabs>
          <w:tab w:val="clear" w:pos="1985"/>
          <w:tab w:val="left" w:pos="2835"/>
        </w:tabs>
        <w:ind w:left="2835" w:hanging="2835"/>
        <w:rPr>
          <w:rStyle w:val="StyleStyleHeading3ComplexItalicLatin12ptChar"/>
          <w:rFonts w:eastAsia="SimSun"/>
          <w:b/>
          <w:szCs w:val="24"/>
        </w:rPr>
      </w:pPr>
      <w:bookmarkStart w:id="58" w:name="_Toc367350596"/>
      <w:bookmarkStart w:id="59" w:name="_Toc431221430"/>
      <w:r w:rsidRPr="00B30215">
        <w:rPr>
          <w:rStyle w:val="StyleStyleHeading3ComplexItalicLatin12ptChar"/>
          <w:rFonts w:eastAsia="SimSun"/>
          <w:b/>
          <w:szCs w:val="24"/>
        </w:rPr>
        <w:t xml:space="preserve">STRATEGIC GOAL VII </w:t>
      </w:r>
      <w:r w:rsidR="003D65C6" w:rsidRPr="00B30215">
        <w:rPr>
          <w:rStyle w:val="StyleStyleHeading3ComplexItalicLatin12ptChar"/>
          <w:rFonts w:eastAsia="SimSun"/>
          <w:b/>
          <w:szCs w:val="24"/>
        </w:rPr>
        <w:tab/>
        <w:t>ADDRESSING IP IN RELATION TO GLOBAL POLICY ISSUES</w:t>
      </w:r>
      <w:bookmarkEnd w:id="58"/>
      <w:bookmarkEnd w:id="59"/>
      <w:r w:rsidR="003D65C6" w:rsidRPr="00B30215">
        <w:rPr>
          <w:rStyle w:val="StyleStyleHeading3ComplexItalicLatin12ptChar"/>
          <w:rFonts w:eastAsia="SimSun"/>
          <w:b/>
          <w:szCs w:val="24"/>
        </w:rPr>
        <w:t xml:space="preserve"> </w:t>
      </w:r>
    </w:p>
    <w:p w14:paraId="58E68472" w14:textId="77777777" w:rsidR="003D65C6" w:rsidRDefault="003D65C6" w:rsidP="00A55BB0">
      <w:pPr>
        <w:jc w:val="both"/>
        <w:rPr>
          <w:rFonts w:ascii="Arial" w:hAnsi="Arial" w:cs="Arial"/>
          <w:sz w:val="20"/>
        </w:rPr>
      </w:pPr>
    </w:p>
    <w:p w14:paraId="1E740114" w14:textId="77777777" w:rsidR="003D65C6" w:rsidRDefault="003D65C6" w:rsidP="00A55BB0">
      <w:pPr>
        <w:jc w:val="both"/>
        <w:rPr>
          <w:rFonts w:ascii="Arial" w:hAnsi="Arial" w:cs="Arial"/>
          <w:sz w:val="20"/>
        </w:rPr>
      </w:pPr>
    </w:p>
    <w:p w14:paraId="1EF680C1" w14:textId="77777777" w:rsidR="00A55BB0" w:rsidRPr="00636873" w:rsidRDefault="00A55BB0" w:rsidP="00A55BB0">
      <w:pPr>
        <w:jc w:val="both"/>
        <w:rPr>
          <w:rFonts w:ascii="Arial" w:hAnsi="Arial" w:cs="Arial"/>
          <w:bCs/>
          <w:i/>
          <w:iCs/>
          <w:caps/>
          <w:szCs w:val="24"/>
        </w:rPr>
      </w:pPr>
      <w:r w:rsidRPr="00F3719C">
        <w:rPr>
          <w:rFonts w:ascii="Arial" w:hAnsi="Arial" w:cs="Arial"/>
          <w:sz w:val="20"/>
        </w:rPr>
        <w:t>This Strategic Goal reflects WIPO’s potential to serve as the leading intergovernmental forum for addressing the intersection between IP, innovation and global public policy issues.  It implies proactive and substantive engagement with other UN, intergovernmental, and non</w:t>
      </w:r>
      <w:r w:rsidRPr="00F3719C">
        <w:rPr>
          <w:rFonts w:ascii="Arial" w:hAnsi="Arial" w:cs="Arial"/>
          <w:sz w:val="20"/>
        </w:rPr>
        <w:noBreakHyphen/>
        <w:t>governmental organizations in order to contribute to the search for shared solutions to the major challenges facing humanity, including climate change, food security, public health, the protection of biodiversity and meeting the Millennium Development Goals (MDGs).  The most immediate impact of many of these global problems is borne by developing and least developed countries, and the programs under this Strategic Goal will be closely involved in the realization of development objectives and Development Agenda recommendations.</w:t>
      </w:r>
    </w:p>
    <w:p w14:paraId="71B6382A" w14:textId="77777777" w:rsidR="00A55BB0" w:rsidRPr="00EB7BCC" w:rsidRDefault="00A55BB0" w:rsidP="00A55BB0">
      <w:pPr>
        <w:tabs>
          <w:tab w:val="left" w:pos="1701"/>
        </w:tabs>
        <w:ind w:left="1701" w:hanging="1701"/>
        <w:jc w:val="center"/>
        <w:rPr>
          <w:rFonts w:ascii="Arial" w:hAnsi="Arial" w:cs="Arial"/>
          <w:b/>
          <w:bCs/>
          <w:caps/>
          <w:sz w:val="20"/>
        </w:rPr>
      </w:pPr>
    </w:p>
    <w:p w14:paraId="48389BBF" w14:textId="430BE11E" w:rsidR="00A55BB0" w:rsidRDefault="00A55BB0">
      <w:pPr>
        <w:rPr>
          <w:rFonts w:ascii="Arial" w:hAnsi="Arial" w:cs="Arial"/>
          <w:bCs/>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7D76DC" w:rsidRPr="00AF5E7C" w14:paraId="3BD42B3A" w14:textId="77777777" w:rsidTr="005A1F7F">
        <w:trPr>
          <w:cantSplit/>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5C60D13" w14:textId="77777777" w:rsidR="007D76DC" w:rsidRPr="00206A01" w:rsidRDefault="007D76DC" w:rsidP="005A1F7F">
            <w:pPr>
              <w:spacing w:after="120"/>
              <w:jc w:val="center"/>
              <w:rPr>
                <w:rFonts w:ascii="Arial" w:hAnsi="Arial" w:cs="Arial"/>
                <w:b/>
                <w:bCs/>
                <w:sz w:val="18"/>
                <w:szCs w:val="18"/>
              </w:rPr>
            </w:pPr>
            <w:r w:rsidRPr="00206A01">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79F08C1A" w14:textId="77777777" w:rsidR="007D76DC" w:rsidRPr="00206A01" w:rsidRDefault="007D76DC" w:rsidP="005A1F7F">
            <w:pPr>
              <w:spacing w:after="120"/>
              <w:jc w:val="center"/>
              <w:rPr>
                <w:rFonts w:ascii="Arial" w:hAnsi="Arial" w:cs="Arial"/>
                <w:b/>
                <w:sz w:val="18"/>
                <w:szCs w:val="18"/>
              </w:rPr>
            </w:pPr>
            <w:r w:rsidRPr="00206A01">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1C3BC3D3" w14:textId="77777777" w:rsidR="007D76DC" w:rsidRPr="00206A01" w:rsidRDefault="007D76DC" w:rsidP="005A1F7F">
            <w:pPr>
              <w:spacing w:after="120"/>
              <w:ind w:left="85"/>
              <w:jc w:val="center"/>
              <w:rPr>
                <w:rFonts w:ascii="Arial" w:hAnsi="Arial" w:cs="Arial"/>
                <w:sz w:val="18"/>
                <w:szCs w:val="18"/>
              </w:rPr>
            </w:pPr>
            <w:r w:rsidRPr="00206A01">
              <w:rPr>
                <w:rFonts w:ascii="Arial" w:hAnsi="Arial" w:cs="Arial"/>
                <w:b/>
                <w:bCs/>
                <w:sz w:val="18"/>
                <w:szCs w:val="18"/>
              </w:rPr>
              <w:t>Responsible Program(s)</w:t>
            </w:r>
          </w:p>
        </w:tc>
      </w:tr>
      <w:tr w:rsidR="007D76DC" w:rsidRPr="00AF5E7C" w14:paraId="15E8388C" w14:textId="77777777" w:rsidTr="005A1F7F">
        <w:trPr>
          <w:cantSplit/>
        </w:trPr>
        <w:tc>
          <w:tcPr>
            <w:tcW w:w="1891" w:type="pct"/>
            <w:tcBorders>
              <w:top w:val="nil"/>
            </w:tcBorders>
            <w:shd w:val="clear" w:color="auto" w:fill="auto"/>
            <w:tcMar>
              <w:top w:w="113" w:type="dxa"/>
              <w:bottom w:w="85" w:type="dxa"/>
            </w:tcMar>
          </w:tcPr>
          <w:p w14:paraId="558B250A" w14:textId="77777777" w:rsidR="007D76DC" w:rsidRPr="00300636" w:rsidRDefault="007D76DC" w:rsidP="005A1F7F">
            <w:pPr>
              <w:rPr>
                <w:rFonts w:ascii="Arial" w:hAnsi="Arial" w:cs="Arial"/>
                <w:sz w:val="16"/>
                <w:szCs w:val="16"/>
              </w:rPr>
            </w:pPr>
            <w:r>
              <w:rPr>
                <w:rFonts w:ascii="Arial" w:hAnsi="Arial" w:cs="Arial"/>
                <w:sz w:val="16"/>
                <w:szCs w:val="16"/>
              </w:rPr>
              <w:t xml:space="preserve">VII.2  </w:t>
            </w:r>
            <w:r>
              <w:rPr>
                <w:rFonts w:ascii="Arial" w:hAnsi="Arial" w:cs="Arial"/>
                <w:color w:val="000000"/>
                <w:sz w:val="16"/>
                <w:szCs w:val="16"/>
              </w:rPr>
              <w:t>IP-based platforms and tools for knowledge transfer, technology adaptation and diffusion from developed to developing countries, particularly least developed countries, to address global challenges</w:t>
            </w:r>
          </w:p>
        </w:tc>
        <w:tc>
          <w:tcPr>
            <w:tcW w:w="1524" w:type="pct"/>
            <w:tcBorders>
              <w:top w:val="nil"/>
            </w:tcBorders>
            <w:shd w:val="clear" w:color="auto" w:fill="auto"/>
            <w:tcMar>
              <w:top w:w="113" w:type="dxa"/>
              <w:bottom w:w="85" w:type="dxa"/>
            </w:tcMar>
          </w:tcPr>
          <w:p w14:paraId="5618C9B9" w14:textId="77777777" w:rsidR="007D76DC" w:rsidRDefault="007D76DC" w:rsidP="005A1F7F">
            <w:pPr>
              <w:rPr>
                <w:rFonts w:ascii="Arial" w:hAnsi="Arial" w:cs="Arial"/>
                <w:sz w:val="16"/>
                <w:szCs w:val="16"/>
              </w:rPr>
            </w:pPr>
            <w:r w:rsidRPr="002E2072">
              <w:rPr>
                <w:rFonts w:ascii="Arial" w:hAnsi="Arial" w:cs="Arial"/>
                <w:color w:val="000000"/>
                <w:sz w:val="16"/>
                <w:szCs w:val="16"/>
              </w:rPr>
              <w:t xml:space="preserve">Increased membership in WIPO </w:t>
            </w:r>
            <w:proofErr w:type="spellStart"/>
            <w:r w:rsidRPr="002E2072">
              <w:rPr>
                <w:rFonts w:ascii="Arial" w:hAnsi="Arial" w:cs="Arial"/>
                <w:color w:val="000000"/>
                <w:sz w:val="16"/>
                <w:szCs w:val="16"/>
              </w:rPr>
              <w:t>Re:Search</w:t>
            </w:r>
            <w:proofErr w:type="spellEnd"/>
            <w:r w:rsidRPr="002E2072">
              <w:rPr>
                <w:rFonts w:ascii="Arial" w:hAnsi="Arial" w:cs="Arial"/>
                <w:color w:val="000000"/>
                <w:sz w:val="16"/>
                <w:szCs w:val="16"/>
              </w:rPr>
              <w:t>, including from developing countries and LDCs</w:t>
            </w:r>
            <w:r w:rsidRPr="002E2072">
              <w:rPr>
                <w:rFonts w:ascii="Arial" w:hAnsi="Arial" w:cs="Arial"/>
                <w:color w:val="000000"/>
                <w:sz w:val="16"/>
                <w:szCs w:val="16"/>
              </w:rPr>
              <w:br/>
            </w:r>
          </w:p>
          <w:p w14:paraId="0FFF96ED" w14:textId="77777777" w:rsidR="007D76DC" w:rsidRPr="00300636" w:rsidRDefault="007D76DC" w:rsidP="005A1F7F">
            <w:pPr>
              <w:rPr>
                <w:rFonts w:ascii="Arial" w:hAnsi="Arial" w:cs="Arial"/>
                <w:sz w:val="16"/>
                <w:szCs w:val="16"/>
              </w:rPr>
            </w:pPr>
            <w:r>
              <w:rPr>
                <w:rFonts w:ascii="Arial" w:hAnsi="Arial" w:cs="Arial"/>
                <w:color w:val="000000"/>
                <w:sz w:val="16"/>
                <w:szCs w:val="16"/>
              </w:rPr>
              <w:t xml:space="preserve">No. of records in the  WIPO </w:t>
            </w:r>
            <w:proofErr w:type="spellStart"/>
            <w:r>
              <w:rPr>
                <w:rFonts w:ascii="Arial" w:hAnsi="Arial" w:cs="Arial"/>
                <w:color w:val="000000"/>
                <w:sz w:val="16"/>
                <w:szCs w:val="16"/>
              </w:rPr>
              <w:t>Re:Search</w:t>
            </w:r>
            <w:proofErr w:type="spellEnd"/>
            <w:r>
              <w:rPr>
                <w:rFonts w:ascii="Arial" w:hAnsi="Arial" w:cs="Arial"/>
                <w:color w:val="000000"/>
                <w:sz w:val="16"/>
                <w:szCs w:val="16"/>
              </w:rPr>
              <w:t xml:space="preserve"> database</w:t>
            </w:r>
          </w:p>
        </w:tc>
        <w:tc>
          <w:tcPr>
            <w:tcW w:w="1585" w:type="pct"/>
            <w:tcBorders>
              <w:top w:val="nil"/>
            </w:tcBorders>
            <w:shd w:val="clear" w:color="auto" w:fill="FFFFFF"/>
            <w:tcMar>
              <w:top w:w="113" w:type="dxa"/>
              <w:bottom w:w="85" w:type="dxa"/>
            </w:tcMar>
          </w:tcPr>
          <w:p w14:paraId="5B4DB7F8"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 xml:space="preserve">Program 18 </w:t>
            </w:r>
          </w:p>
          <w:p w14:paraId="4F9795EF" w14:textId="77777777" w:rsidR="007D76DC" w:rsidRDefault="007D76DC" w:rsidP="005A1F7F">
            <w:pPr>
              <w:ind w:left="661"/>
              <w:rPr>
                <w:rFonts w:ascii="Arial" w:hAnsi="Arial" w:cs="Arial"/>
                <w:sz w:val="16"/>
                <w:szCs w:val="16"/>
                <w:lang w:bidi="th-TH"/>
              </w:rPr>
            </w:pPr>
          </w:p>
          <w:p w14:paraId="055FE0CC" w14:textId="77777777" w:rsidR="007D76DC" w:rsidRDefault="007D76DC" w:rsidP="005A1F7F">
            <w:pPr>
              <w:ind w:left="661"/>
              <w:rPr>
                <w:rFonts w:ascii="Arial" w:hAnsi="Arial" w:cs="Arial"/>
                <w:sz w:val="16"/>
                <w:szCs w:val="16"/>
                <w:lang w:bidi="th-TH"/>
              </w:rPr>
            </w:pPr>
          </w:p>
          <w:p w14:paraId="4A3FA5F6" w14:textId="77777777" w:rsidR="007D76DC" w:rsidRDefault="007D76DC" w:rsidP="005A1F7F">
            <w:pPr>
              <w:ind w:left="661"/>
              <w:rPr>
                <w:rFonts w:ascii="Arial" w:hAnsi="Arial" w:cs="Arial"/>
                <w:sz w:val="16"/>
                <w:szCs w:val="16"/>
                <w:lang w:bidi="th-TH"/>
              </w:rPr>
            </w:pPr>
          </w:p>
          <w:p w14:paraId="06CE9C85"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 xml:space="preserve">Program 18 </w:t>
            </w:r>
          </w:p>
          <w:p w14:paraId="3F575F1A" w14:textId="77777777" w:rsidR="007D76DC" w:rsidRPr="00AF5E7C" w:rsidRDefault="007D76DC" w:rsidP="005A1F7F">
            <w:pPr>
              <w:ind w:left="661"/>
              <w:rPr>
                <w:rFonts w:ascii="Arial" w:hAnsi="Arial" w:cs="Arial"/>
                <w:sz w:val="16"/>
                <w:szCs w:val="16"/>
              </w:rPr>
            </w:pPr>
          </w:p>
        </w:tc>
      </w:tr>
      <w:tr w:rsidR="007D76DC" w:rsidRPr="00AF5E7C" w14:paraId="5D906D53" w14:textId="77777777" w:rsidTr="005A1F7F">
        <w:trPr>
          <w:cantSplit/>
          <w:trHeight w:val="272"/>
        </w:trPr>
        <w:tc>
          <w:tcPr>
            <w:tcW w:w="1891" w:type="pct"/>
            <w:shd w:val="clear" w:color="auto" w:fill="auto"/>
            <w:tcMar>
              <w:top w:w="113" w:type="dxa"/>
              <w:bottom w:w="85" w:type="dxa"/>
            </w:tcMar>
          </w:tcPr>
          <w:p w14:paraId="08CE0D02"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63D5B767" w14:textId="77777777" w:rsidR="007D76DC" w:rsidRPr="00300636" w:rsidRDefault="007D76DC" w:rsidP="005A1F7F">
            <w:pPr>
              <w:rPr>
                <w:rFonts w:ascii="Arial" w:hAnsi="Arial" w:cs="Arial"/>
                <w:sz w:val="16"/>
                <w:szCs w:val="16"/>
              </w:rPr>
            </w:pPr>
            <w:r>
              <w:rPr>
                <w:rFonts w:ascii="Arial" w:hAnsi="Arial" w:cs="Arial"/>
                <w:color w:val="000000"/>
                <w:sz w:val="16"/>
                <w:szCs w:val="16"/>
              </w:rPr>
              <w:t xml:space="preserve">Increased no. of agreements under WIPO </w:t>
            </w:r>
            <w:proofErr w:type="spellStart"/>
            <w:r>
              <w:rPr>
                <w:rFonts w:ascii="Arial" w:hAnsi="Arial" w:cs="Arial"/>
                <w:color w:val="000000"/>
                <w:sz w:val="16"/>
                <w:szCs w:val="16"/>
              </w:rPr>
              <w:t>Re:Search</w:t>
            </w:r>
            <w:proofErr w:type="spellEnd"/>
            <w:r>
              <w:rPr>
                <w:rFonts w:ascii="Arial" w:hAnsi="Arial" w:cs="Arial"/>
                <w:color w:val="000000"/>
                <w:sz w:val="16"/>
                <w:szCs w:val="16"/>
              </w:rPr>
              <w:t xml:space="preserve"> which lead to new or accelerated R&amp;D in NTDs, Malaria and TB"</w:t>
            </w:r>
          </w:p>
        </w:tc>
        <w:tc>
          <w:tcPr>
            <w:tcW w:w="1585" w:type="pct"/>
            <w:shd w:val="clear" w:color="auto" w:fill="FFFFFF"/>
            <w:tcMar>
              <w:top w:w="113" w:type="dxa"/>
              <w:bottom w:w="85" w:type="dxa"/>
            </w:tcMar>
          </w:tcPr>
          <w:p w14:paraId="18E9D4AB" w14:textId="77777777" w:rsidR="007D76DC" w:rsidRPr="00AF5E7C" w:rsidRDefault="007D76DC" w:rsidP="005A1F7F">
            <w:pPr>
              <w:ind w:left="661"/>
              <w:rPr>
                <w:rFonts w:ascii="Arial" w:hAnsi="Arial" w:cs="Arial"/>
                <w:sz w:val="16"/>
                <w:szCs w:val="16"/>
              </w:rPr>
            </w:pPr>
            <w:r>
              <w:rPr>
                <w:rFonts w:ascii="Arial" w:hAnsi="Arial" w:cs="Arial"/>
                <w:sz w:val="16"/>
                <w:szCs w:val="16"/>
                <w:lang w:bidi="th-TH"/>
              </w:rPr>
              <w:t>Program 18</w:t>
            </w:r>
          </w:p>
        </w:tc>
      </w:tr>
      <w:tr w:rsidR="007D76DC" w:rsidRPr="00AF5E7C" w14:paraId="303E5A9E" w14:textId="77777777" w:rsidTr="005A1F7F">
        <w:trPr>
          <w:cantSplit/>
          <w:trHeight w:val="258"/>
        </w:trPr>
        <w:tc>
          <w:tcPr>
            <w:tcW w:w="1891" w:type="pct"/>
            <w:shd w:val="clear" w:color="auto" w:fill="auto"/>
            <w:tcMar>
              <w:top w:w="113" w:type="dxa"/>
              <w:bottom w:w="85" w:type="dxa"/>
            </w:tcMar>
          </w:tcPr>
          <w:p w14:paraId="08BEF4C1"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20C03D4C" w14:textId="77777777" w:rsidR="007D76DC" w:rsidRPr="00AF5E7C" w:rsidRDefault="007D76DC" w:rsidP="005A1F7F">
            <w:pPr>
              <w:rPr>
                <w:rFonts w:ascii="Arial" w:hAnsi="Arial" w:cs="Arial"/>
                <w:sz w:val="16"/>
                <w:szCs w:val="16"/>
              </w:rPr>
            </w:pPr>
            <w:r>
              <w:rPr>
                <w:rFonts w:ascii="Arial" w:hAnsi="Arial" w:cs="Arial"/>
                <w:color w:val="000000"/>
                <w:sz w:val="16"/>
                <w:szCs w:val="16"/>
              </w:rPr>
              <w:t>No. of WIPO GREEN Members</w:t>
            </w:r>
          </w:p>
        </w:tc>
        <w:tc>
          <w:tcPr>
            <w:tcW w:w="1585" w:type="pct"/>
            <w:shd w:val="clear" w:color="auto" w:fill="FFFFFF"/>
            <w:tcMar>
              <w:top w:w="113" w:type="dxa"/>
              <w:bottom w:w="85" w:type="dxa"/>
            </w:tcMar>
          </w:tcPr>
          <w:p w14:paraId="09FC5465" w14:textId="77777777" w:rsidR="007D76DC" w:rsidRPr="00AF5E7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24284505" w14:textId="77777777" w:rsidTr="005A1F7F">
        <w:trPr>
          <w:cantSplit/>
          <w:trHeight w:val="296"/>
        </w:trPr>
        <w:tc>
          <w:tcPr>
            <w:tcW w:w="1891" w:type="pct"/>
            <w:shd w:val="clear" w:color="auto" w:fill="auto"/>
            <w:tcMar>
              <w:top w:w="113" w:type="dxa"/>
              <w:bottom w:w="85" w:type="dxa"/>
            </w:tcMar>
          </w:tcPr>
          <w:p w14:paraId="63273484"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721692FA" w14:textId="77777777" w:rsidR="007D76DC" w:rsidRDefault="007D76DC" w:rsidP="005A1F7F">
            <w:pPr>
              <w:rPr>
                <w:rFonts w:ascii="Arial" w:hAnsi="Arial" w:cs="Arial"/>
                <w:sz w:val="16"/>
                <w:szCs w:val="16"/>
              </w:rPr>
            </w:pPr>
            <w:r>
              <w:rPr>
                <w:rFonts w:ascii="Arial" w:hAnsi="Arial" w:cs="Arial"/>
                <w:color w:val="000000"/>
                <w:sz w:val="16"/>
                <w:szCs w:val="16"/>
              </w:rPr>
              <w:t>No. of records in the WIPO GREEN database</w:t>
            </w:r>
          </w:p>
        </w:tc>
        <w:tc>
          <w:tcPr>
            <w:tcW w:w="1585" w:type="pct"/>
            <w:shd w:val="clear" w:color="auto" w:fill="FFFFFF"/>
            <w:tcMar>
              <w:top w:w="113" w:type="dxa"/>
              <w:bottom w:w="85" w:type="dxa"/>
            </w:tcMar>
          </w:tcPr>
          <w:p w14:paraId="671177A8"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01762442" w14:textId="77777777" w:rsidTr="005A1F7F">
        <w:trPr>
          <w:cantSplit/>
          <w:trHeight w:val="344"/>
        </w:trPr>
        <w:tc>
          <w:tcPr>
            <w:tcW w:w="1891" w:type="pct"/>
            <w:shd w:val="clear" w:color="auto" w:fill="auto"/>
            <w:tcMar>
              <w:top w:w="113" w:type="dxa"/>
              <w:bottom w:w="85" w:type="dxa"/>
            </w:tcMar>
          </w:tcPr>
          <w:p w14:paraId="37EC9441"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0A004760" w14:textId="77777777" w:rsidR="007D76DC" w:rsidRDefault="007D76DC" w:rsidP="005A1F7F">
            <w:pPr>
              <w:rPr>
                <w:rFonts w:ascii="Arial" w:hAnsi="Arial" w:cs="Arial"/>
                <w:sz w:val="16"/>
                <w:szCs w:val="16"/>
              </w:rPr>
            </w:pPr>
            <w:r>
              <w:rPr>
                <w:rFonts w:ascii="Arial" w:hAnsi="Arial" w:cs="Arial"/>
                <w:color w:val="000000"/>
                <w:sz w:val="16"/>
                <w:szCs w:val="16"/>
              </w:rPr>
              <w:t>No. of agreements catalyzed by WIPO GREEN facilitating knowledge transfer, technology adaptation, transfer and/or diffusion</w:t>
            </w:r>
          </w:p>
        </w:tc>
        <w:tc>
          <w:tcPr>
            <w:tcW w:w="1585" w:type="pct"/>
            <w:shd w:val="clear" w:color="auto" w:fill="FFFFFF"/>
            <w:tcMar>
              <w:top w:w="113" w:type="dxa"/>
              <w:bottom w:w="85" w:type="dxa"/>
            </w:tcMar>
          </w:tcPr>
          <w:p w14:paraId="47BEE579"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0B6E4955" w14:textId="77777777" w:rsidTr="005A1F7F">
        <w:trPr>
          <w:cantSplit/>
          <w:trHeight w:val="344"/>
        </w:trPr>
        <w:tc>
          <w:tcPr>
            <w:tcW w:w="1891" w:type="pct"/>
            <w:shd w:val="clear" w:color="auto" w:fill="auto"/>
            <w:tcMar>
              <w:top w:w="113" w:type="dxa"/>
              <w:bottom w:w="85" w:type="dxa"/>
            </w:tcMar>
          </w:tcPr>
          <w:p w14:paraId="2C59AE87"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07892D84" w14:textId="77777777" w:rsidR="007D76DC" w:rsidRDefault="007D76DC" w:rsidP="005A1F7F">
            <w:pPr>
              <w:rPr>
                <w:rFonts w:ascii="Arial" w:hAnsi="Arial" w:cs="Arial"/>
                <w:color w:val="000000"/>
                <w:sz w:val="16"/>
                <w:szCs w:val="16"/>
              </w:rPr>
            </w:pPr>
            <w:r>
              <w:rPr>
                <w:rFonts w:ascii="Arial" w:hAnsi="Arial" w:cs="Arial"/>
                <w:color w:val="000000"/>
                <w:sz w:val="16"/>
                <w:szCs w:val="16"/>
              </w:rPr>
              <w:t>Progress towards an international collaborative framework for effective contribution of IP to food security through consultative process</w:t>
            </w:r>
          </w:p>
        </w:tc>
        <w:tc>
          <w:tcPr>
            <w:tcW w:w="1585" w:type="pct"/>
            <w:shd w:val="clear" w:color="auto" w:fill="FFFFFF"/>
            <w:tcMar>
              <w:top w:w="113" w:type="dxa"/>
              <w:bottom w:w="85" w:type="dxa"/>
            </w:tcMar>
          </w:tcPr>
          <w:p w14:paraId="34A3CFF9"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6607D9E8" w14:textId="77777777" w:rsidTr="005A1F7F">
        <w:trPr>
          <w:cantSplit/>
          <w:trHeight w:val="344"/>
        </w:trPr>
        <w:tc>
          <w:tcPr>
            <w:tcW w:w="1891" w:type="pct"/>
            <w:shd w:val="clear" w:color="auto" w:fill="auto"/>
            <w:tcMar>
              <w:top w:w="113" w:type="dxa"/>
              <w:bottom w:w="85" w:type="dxa"/>
            </w:tcMar>
          </w:tcPr>
          <w:p w14:paraId="20FFF0C0"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15C3ADB0" w14:textId="77777777" w:rsidR="007D76DC" w:rsidRDefault="007D76DC" w:rsidP="005A1F7F">
            <w:pPr>
              <w:rPr>
                <w:rFonts w:ascii="Arial" w:hAnsi="Arial" w:cs="Arial"/>
                <w:color w:val="000000"/>
                <w:sz w:val="16"/>
                <w:szCs w:val="16"/>
              </w:rPr>
            </w:pPr>
            <w:r>
              <w:rPr>
                <w:rFonts w:ascii="Arial" w:hAnsi="Arial" w:cs="Arial"/>
                <w:color w:val="000000"/>
                <w:sz w:val="16"/>
                <w:szCs w:val="16"/>
              </w:rPr>
              <w:t>No. of visits to the Global Challenges website</w:t>
            </w:r>
          </w:p>
        </w:tc>
        <w:tc>
          <w:tcPr>
            <w:tcW w:w="1585" w:type="pct"/>
            <w:shd w:val="clear" w:color="auto" w:fill="FFFFFF"/>
            <w:tcMar>
              <w:top w:w="113" w:type="dxa"/>
              <w:bottom w:w="85" w:type="dxa"/>
            </w:tcMar>
          </w:tcPr>
          <w:p w14:paraId="0EEAF00D"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3B058D0C" w14:textId="77777777" w:rsidTr="005A1F7F">
        <w:trPr>
          <w:cantSplit/>
          <w:trHeight w:val="706"/>
        </w:trPr>
        <w:tc>
          <w:tcPr>
            <w:tcW w:w="1891" w:type="pct"/>
            <w:shd w:val="clear" w:color="auto" w:fill="auto"/>
            <w:tcMar>
              <w:top w:w="113" w:type="dxa"/>
              <w:bottom w:w="85" w:type="dxa"/>
            </w:tcMar>
          </w:tcPr>
          <w:p w14:paraId="563F7DCC" w14:textId="77777777" w:rsidR="007D76DC" w:rsidRPr="00DD2110" w:rsidRDefault="007D76DC" w:rsidP="005A1F7F">
            <w:pPr>
              <w:rPr>
                <w:rFonts w:ascii="Arial" w:hAnsi="Arial" w:cs="Arial"/>
                <w:sz w:val="16"/>
                <w:szCs w:val="16"/>
                <w:highlight w:val="yellow"/>
              </w:rPr>
            </w:pPr>
          </w:p>
        </w:tc>
        <w:tc>
          <w:tcPr>
            <w:tcW w:w="1524" w:type="pct"/>
            <w:shd w:val="clear" w:color="auto" w:fill="auto"/>
            <w:tcMar>
              <w:top w:w="113" w:type="dxa"/>
              <w:bottom w:w="85" w:type="dxa"/>
            </w:tcMar>
          </w:tcPr>
          <w:p w14:paraId="5CC9DB8A" w14:textId="77777777" w:rsidR="007D76DC" w:rsidRPr="007F2A1B" w:rsidRDefault="007D76DC" w:rsidP="005A1F7F">
            <w:pPr>
              <w:rPr>
                <w:rFonts w:ascii="Arial" w:hAnsi="Arial" w:cs="Arial"/>
                <w:sz w:val="16"/>
                <w:szCs w:val="16"/>
              </w:rPr>
            </w:pPr>
            <w:r w:rsidRPr="007F2A1B">
              <w:rPr>
                <w:rFonts w:ascii="Arial" w:hAnsi="Arial" w:cs="Arial"/>
                <w:sz w:val="16"/>
                <w:szCs w:val="16"/>
              </w:rPr>
              <w:t xml:space="preserve">Participation of stakeholders in WIPO's platform such as WIPO GREEN and WIPO </w:t>
            </w:r>
            <w:proofErr w:type="spellStart"/>
            <w:r w:rsidRPr="007F2A1B">
              <w:rPr>
                <w:rFonts w:ascii="Arial" w:hAnsi="Arial" w:cs="Arial"/>
                <w:sz w:val="16"/>
                <w:szCs w:val="16"/>
              </w:rPr>
              <w:t>Re:Search</w:t>
            </w:r>
            <w:proofErr w:type="spellEnd"/>
          </w:p>
        </w:tc>
        <w:tc>
          <w:tcPr>
            <w:tcW w:w="1585" w:type="pct"/>
            <w:shd w:val="clear" w:color="auto" w:fill="FFFFFF"/>
            <w:tcMar>
              <w:top w:w="113" w:type="dxa"/>
              <w:bottom w:w="85" w:type="dxa"/>
            </w:tcMar>
          </w:tcPr>
          <w:p w14:paraId="46F83492" w14:textId="77777777" w:rsidR="007D76DC" w:rsidRPr="007F2A1B" w:rsidRDefault="007D76DC" w:rsidP="005A1F7F">
            <w:pPr>
              <w:ind w:left="661"/>
              <w:rPr>
                <w:rFonts w:ascii="Arial" w:hAnsi="Arial" w:cs="Arial"/>
                <w:sz w:val="16"/>
                <w:szCs w:val="16"/>
                <w:lang w:bidi="th-TH"/>
              </w:rPr>
            </w:pPr>
            <w:r w:rsidRPr="007F2A1B">
              <w:rPr>
                <w:rFonts w:ascii="Arial" w:hAnsi="Arial" w:cs="Arial"/>
                <w:sz w:val="16"/>
                <w:szCs w:val="16"/>
                <w:lang w:bidi="th-TH"/>
              </w:rPr>
              <w:t>Program 20</w:t>
            </w:r>
          </w:p>
        </w:tc>
      </w:tr>
    </w:tbl>
    <w:p w14:paraId="3EBBBB43" w14:textId="77777777" w:rsidR="00A55BB0" w:rsidRDefault="00A55BB0">
      <w:pPr>
        <w:rPr>
          <w:rFonts w:ascii="Arial" w:hAnsi="Arial" w:cs="Arial"/>
          <w:bCs/>
        </w:rPr>
      </w:pPr>
    </w:p>
    <w:p w14:paraId="13C62C38" w14:textId="47685D02" w:rsidR="00723542" w:rsidRDefault="00723542">
      <w:pPr>
        <w:rPr>
          <w:rFonts w:ascii="Arial" w:hAnsi="Arial" w:cs="Arial"/>
          <w:bCs/>
        </w:rPr>
      </w:pPr>
      <w:r>
        <w:rPr>
          <w:rFonts w:ascii="Arial" w:hAnsi="Arial" w:cs="Arial"/>
          <w:bCs/>
        </w:rPr>
        <w:br w:type="page"/>
      </w:r>
    </w:p>
    <w:p w14:paraId="6972B7C6" w14:textId="77777777" w:rsidR="000C537C" w:rsidRPr="00A522FE" w:rsidRDefault="000C537C" w:rsidP="00984F70">
      <w:pPr>
        <w:pStyle w:val="StyleStyleHeading3ComplexItalicLatin12pt"/>
      </w:pPr>
      <w:bookmarkStart w:id="60" w:name="_Toc367350597"/>
      <w:bookmarkStart w:id="61" w:name="_Toc431221431"/>
      <w:r w:rsidRPr="00A522FE">
        <w:rPr>
          <w:caps w:val="0"/>
        </w:rPr>
        <w:lastRenderedPageBreak/>
        <w:t>PROGRAM 18</w:t>
      </w:r>
      <w:r w:rsidRPr="00A522FE">
        <w:rPr>
          <w:caps w:val="0"/>
        </w:rPr>
        <w:tab/>
        <w:t>IP AND GLOBAL CHALLENGES</w:t>
      </w:r>
      <w:bookmarkEnd w:id="60"/>
      <w:bookmarkEnd w:id="61"/>
    </w:p>
    <w:p w14:paraId="71011B4A" w14:textId="77777777" w:rsidR="000C537C" w:rsidRDefault="000C537C" w:rsidP="00984F70">
      <w:pPr>
        <w:rPr>
          <w:rFonts w:ascii="Arial" w:hAnsi="Arial"/>
          <w:sz w:val="20"/>
        </w:rPr>
      </w:pPr>
    </w:p>
    <w:p w14:paraId="5280E975" w14:textId="77777777" w:rsidR="000C537C" w:rsidRPr="000F60BC" w:rsidRDefault="000C537C" w:rsidP="00984F70">
      <w:pPr>
        <w:rPr>
          <w:rFonts w:ascii="Arial" w:hAnsi="Arial"/>
          <w:sz w:val="20"/>
        </w:rPr>
      </w:pPr>
    </w:p>
    <w:p w14:paraId="368905D8" w14:textId="77777777" w:rsidR="000C537C" w:rsidRPr="00E91DFE" w:rsidRDefault="000C537C" w:rsidP="00984F70">
      <w:pPr>
        <w:rPr>
          <w:rFonts w:ascii="Arial" w:hAnsi="Arial"/>
          <w:b/>
        </w:rPr>
      </w:pPr>
      <w:r w:rsidRPr="00E91DFE">
        <w:rPr>
          <w:rFonts w:ascii="Arial" w:hAnsi="Arial"/>
          <w:b/>
        </w:rPr>
        <w:t>IP AND GLOBAL CHALLENGES</w:t>
      </w:r>
    </w:p>
    <w:p w14:paraId="41B20F3A" w14:textId="77777777" w:rsidR="000C537C" w:rsidRPr="00026146" w:rsidRDefault="000C537C" w:rsidP="00984F70">
      <w:pPr>
        <w:rPr>
          <w:rFonts w:ascii="Arial" w:hAnsi="Arial"/>
          <w:b/>
          <w:sz w:val="20"/>
        </w:rPr>
      </w:pPr>
    </w:p>
    <w:p w14:paraId="66FF0327" w14:textId="77777777" w:rsidR="000C537C" w:rsidRDefault="000C537C" w:rsidP="00984F70">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6028DC43" w14:textId="77777777" w:rsidR="000C537C" w:rsidRPr="00A522FE" w:rsidRDefault="000C537C" w:rsidP="00984F70">
      <w:pPr>
        <w:pStyle w:val="BodyTextIndent"/>
        <w:tabs>
          <w:tab w:val="left" w:pos="709"/>
        </w:tabs>
        <w:ind w:left="1985" w:hanging="1985"/>
        <w:jc w:val="both"/>
        <w:rPr>
          <w:rFonts w:ascii="Arial" w:hAnsi="Arial" w:cs="Arial"/>
          <w:sz w:val="22"/>
          <w:szCs w:val="22"/>
        </w:rPr>
      </w:pPr>
    </w:p>
    <w:p w14:paraId="1A96E22A" w14:textId="77777777" w:rsidR="000C537C" w:rsidRPr="002F7AC4" w:rsidRDefault="000C537C" w:rsidP="00B66A4A">
      <w:pPr>
        <w:numPr>
          <w:ilvl w:val="0"/>
          <w:numId w:val="74"/>
        </w:numPr>
        <w:tabs>
          <w:tab w:val="left" w:pos="709"/>
        </w:tabs>
        <w:jc w:val="both"/>
        <w:rPr>
          <w:rFonts w:ascii="Arial" w:hAnsi="Arial" w:cs="Arial"/>
          <w:sz w:val="20"/>
        </w:rPr>
      </w:pPr>
      <w:r w:rsidRPr="002F7AC4">
        <w:rPr>
          <w:rFonts w:ascii="Arial" w:hAnsi="Arial" w:cs="Arial"/>
          <w:spacing w:val="8"/>
          <w:sz w:val="20"/>
        </w:rPr>
        <w:t xml:space="preserve">This Program addresses innovation and IP at the nexus of </w:t>
      </w:r>
      <w:r w:rsidRPr="000A5C7D">
        <w:rPr>
          <w:rFonts w:ascii="Arial" w:hAnsi="Arial" w:cs="Arial"/>
          <w:spacing w:val="8"/>
          <w:sz w:val="20"/>
        </w:rPr>
        <w:t xml:space="preserve">interconnected </w:t>
      </w:r>
      <w:r w:rsidRPr="002F7AC4">
        <w:rPr>
          <w:rFonts w:ascii="Arial" w:hAnsi="Arial" w:cs="Arial"/>
          <w:spacing w:val="8"/>
          <w:sz w:val="20"/>
        </w:rPr>
        <w:t xml:space="preserve">global </w:t>
      </w:r>
      <w:r w:rsidRPr="002F7AC4">
        <w:rPr>
          <w:rFonts w:ascii="Arial" w:hAnsi="Arial" w:cs="Arial"/>
          <w:spacing w:val="1"/>
          <w:sz w:val="20"/>
        </w:rPr>
        <w:t xml:space="preserve">issues, in particular </w:t>
      </w:r>
      <w:r>
        <w:rPr>
          <w:rFonts w:ascii="Arial" w:hAnsi="Arial" w:cs="Arial"/>
          <w:spacing w:val="1"/>
          <w:sz w:val="20"/>
        </w:rPr>
        <w:t>g</w:t>
      </w:r>
      <w:r w:rsidRPr="002F7AC4">
        <w:rPr>
          <w:rFonts w:ascii="Arial" w:hAnsi="Arial" w:cs="Arial"/>
          <w:spacing w:val="1"/>
          <w:sz w:val="20"/>
        </w:rPr>
        <w:t xml:space="preserve">lobal </w:t>
      </w:r>
      <w:r>
        <w:rPr>
          <w:rFonts w:ascii="Arial" w:hAnsi="Arial" w:cs="Arial"/>
          <w:spacing w:val="1"/>
          <w:sz w:val="20"/>
        </w:rPr>
        <w:t>h</w:t>
      </w:r>
      <w:r w:rsidRPr="002F7AC4">
        <w:rPr>
          <w:rFonts w:ascii="Arial" w:hAnsi="Arial" w:cs="Arial"/>
          <w:spacing w:val="1"/>
          <w:sz w:val="20"/>
        </w:rPr>
        <w:t>ealth</w:t>
      </w:r>
      <w:r>
        <w:rPr>
          <w:rFonts w:ascii="Arial" w:hAnsi="Arial" w:cs="Arial"/>
          <w:spacing w:val="1"/>
          <w:sz w:val="20"/>
        </w:rPr>
        <w:t xml:space="preserve"> and</w:t>
      </w:r>
      <w:r w:rsidRPr="002F7AC4">
        <w:rPr>
          <w:rFonts w:ascii="Arial" w:hAnsi="Arial" w:cs="Arial"/>
          <w:spacing w:val="1"/>
          <w:sz w:val="20"/>
        </w:rPr>
        <w:t xml:space="preserve"> </w:t>
      </w:r>
      <w:r>
        <w:rPr>
          <w:rFonts w:ascii="Arial" w:hAnsi="Arial" w:cs="Arial"/>
          <w:spacing w:val="1"/>
          <w:sz w:val="20"/>
        </w:rPr>
        <w:t>c</w:t>
      </w:r>
      <w:r w:rsidRPr="002F7AC4">
        <w:rPr>
          <w:rFonts w:ascii="Arial" w:hAnsi="Arial" w:cs="Arial"/>
          <w:spacing w:val="1"/>
          <w:sz w:val="20"/>
        </w:rPr>
        <w:t xml:space="preserve">limate </w:t>
      </w:r>
      <w:r>
        <w:rPr>
          <w:rFonts w:ascii="Arial" w:hAnsi="Arial" w:cs="Arial"/>
          <w:spacing w:val="1"/>
          <w:sz w:val="20"/>
        </w:rPr>
        <w:t>c</w:t>
      </w:r>
      <w:r w:rsidRPr="002F7AC4">
        <w:rPr>
          <w:rFonts w:ascii="Arial" w:hAnsi="Arial" w:cs="Arial"/>
          <w:spacing w:val="1"/>
          <w:sz w:val="20"/>
        </w:rPr>
        <w:t>hange</w:t>
      </w:r>
      <w:r>
        <w:rPr>
          <w:rFonts w:ascii="Arial" w:hAnsi="Arial" w:cs="Arial"/>
          <w:spacing w:val="1"/>
          <w:sz w:val="20"/>
        </w:rPr>
        <w:t>,</w:t>
      </w:r>
      <w:r w:rsidRPr="002F7AC4">
        <w:rPr>
          <w:rFonts w:ascii="Arial" w:hAnsi="Arial" w:cs="Arial"/>
          <w:spacing w:val="1"/>
          <w:sz w:val="20"/>
        </w:rPr>
        <w:t xml:space="preserve"> and</w:t>
      </w:r>
      <w:r>
        <w:rPr>
          <w:rFonts w:ascii="Arial" w:hAnsi="Arial" w:cs="Arial"/>
          <w:spacing w:val="1"/>
          <w:sz w:val="20"/>
        </w:rPr>
        <w:t>, to a lesser extent, f</w:t>
      </w:r>
      <w:r w:rsidRPr="002F7AC4">
        <w:rPr>
          <w:rFonts w:ascii="Arial" w:hAnsi="Arial" w:cs="Arial"/>
          <w:spacing w:val="1"/>
          <w:sz w:val="20"/>
        </w:rPr>
        <w:t xml:space="preserve">ood </w:t>
      </w:r>
      <w:r>
        <w:rPr>
          <w:rFonts w:ascii="Arial" w:hAnsi="Arial" w:cs="Arial"/>
          <w:spacing w:val="1"/>
          <w:sz w:val="20"/>
        </w:rPr>
        <w:t>s</w:t>
      </w:r>
      <w:r w:rsidRPr="002F7AC4">
        <w:rPr>
          <w:rFonts w:ascii="Arial" w:hAnsi="Arial" w:cs="Arial"/>
          <w:spacing w:val="1"/>
          <w:sz w:val="20"/>
        </w:rPr>
        <w:t>ecurity</w:t>
      </w:r>
      <w:r>
        <w:rPr>
          <w:rFonts w:ascii="Arial" w:hAnsi="Arial" w:cs="Arial"/>
          <w:spacing w:val="1"/>
          <w:sz w:val="20"/>
        </w:rPr>
        <w:t xml:space="preserve">.  </w:t>
      </w:r>
      <w:r w:rsidRPr="002F7AC4">
        <w:rPr>
          <w:rFonts w:ascii="Arial" w:hAnsi="Arial" w:cs="Arial"/>
          <w:spacing w:val="1"/>
          <w:sz w:val="20"/>
        </w:rPr>
        <w:t xml:space="preserve">The </w:t>
      </w:r>
      <w:r>
        <w:rPr>
          <w:rFonts w:ascii="Arial" w:hAnsi="Arial" w:cs="Arial"/>
          <w:spacing w:val="1"/>
          <w:sz w:val="20"/>
        </w:rPr>
        <w:t xml:space="preserve">choice of priorities reflects both the focus of Member States </w:t>
      </w:r>
      <w:r>
        <w:rPr>
          <w:rFonts w:ascii="Arial" w:hAnsi="Arial" w:cs="Arial"/>
          <w:sz w:val="20"/>
        </w:rPr>
        <w:t xml:space="preserve">(e.g., in the post-2015 Development Agenda) </w:t>
      </w:r>
      <w:r>
        <w:rPr>
          <w:rFonts w:ascii="Arial" w:hAnsi="Arial" w:cs="Arial"/>
          <w:spacing w:val="1"/>
          <w:sz w:val="20"/>
        </w:rPr>
        <w:t xml:space="preserve">and the potential for innovation-driven solutions to deliver tangible results. </w:t>
      </w:r>
    </w:p>
    <w:p w14:paraId="296F2759" w14:textId="77777777" w:rsidR="000C537C" w:rsidRDefault="000C537C" w:rsidP="00B66A4A">
      <w:pPr>
        <w:numPr>
          <w:ilvl w:val="0"/>
          <w:numId w:val="74"/>
        </w:numPr>
        <w:tabs>
          <w:tab w:val="left" w:pos="709"/>
        </w:tabs>
        <w:spacing w:before="216"/>
        <w:jc w:val="both"/>
        <w:rPr>
          <w:rFonts w:ascii="Arial" w:hAnsi="Arial" w:cs="Arial"/>
          <w:spacing w:val="2"/>
          <w:sz w:val="20"/>
        </w:rPr>
      </w:pPr>
      <w:r w:rsidRPr="002F7AC4">
        <w:rPr>
          <w:rFonts w:ascii="Arial" w:hAnsi="Arial" w:cs="Arial"/>
          <w:spacing w:val="4"/>
          <w:sz w:val="20"/>
        </w:rPr>
        <w:t xml:space="preserve">Solutions </w:t>
      </w:r>
      <w:r>
        <w:rPr>
          <w:rFonts w:ascii="Arial" w:hAnsi="Arial" w:cs="Arial"/>
          <w:spacing w:val="4"/>
          <w:sz w:val="20"/>
        </w:rPr>
        <w:t>to</w:t>
      </w:r>
      <w:r w:rsidRPr="002F7AC4">
        <w:rPr>
          <w:rFonts w:ascii="Arial" w:hAnsi="Arial" w:cs="Arial"/>
          <w:spacing w:val="4"/>
          <w:sz w:val="20"/>
        </w:rPr>
        <w:t xml:space="preserve"> </w:t>
      </w:r>
      <w:r>
        <w:rPr>
          <w:rFonts w:ascii="Arial" w:hAnsi="Arial" w:cs="Arial"/>
          <w:spacing w:val="4"/>
          <w:sz w:val="20"/>
        </w:rPr>
        <w:t xml:space="preserve">these </w:t>
      </w:r>
      <w:r w:rsidRPr="002F7AC4">
        <w:rPr>
          <w:rFonts w:ascii="Arial" w:hAnsi="Arial" w:cs="Arial"/>
          <w:spacing w:val="4"/>
          <w:sz w:val="20"/>
        </w:rPr>
        <w:t xml:space="preserve">global problems depend in part on </w:t>
      </w:r>
      <w:r w:rsidRPr="002F7AC4">
        <w:rPr>
          <w:rFonts w:ascii="Arial" w:hAnsi="Arial" w:cs="Arial"/>
          <w:spacing w:val="2"/>
          <w:sz w:val="20"/>
        </w:rPr>
        <w:t xml:space="preserve">unlocking the potential of innovation in such a </w:t>
      </w:r>
      <w:r w:rsidRPr="00924770">
        <w:rPr>
          <w:rFonts w:ascii="Arial" w:hAnsi="Arial" w:cs="Arial"/>
          <w:spacing w:val="2"/>
          <w:sz w:val="20"/>
        </w:rPr>
        <w:t>way that</w:t>
      </w:r>
      <w:r>
        <w:rPr>
          <w:rFonts w:ascii="Arial" w:hAnsi="Arial" w:cs="Arial"/>
          <w:spacing w:val="2"/>
          <w:sz w:val="20"/>
        </w:rPr>
        <w:t xml:space="preserve"> </w:t>
      </w:r>
      <w:r w:rsidRPr="00924770">
        <w:rPr>
          <w:rFonts w:ascii="Arial" w:hAnsi="Arial" w:cs="Arial"/>
          <w:spacing w:val="2"/>
          <w:sz w:val="20"/>
        </w:rPr>
        <w:t>countries</w:t>
      </w:r>
      <w:r>
        <w:rPr>
          <w:rFonts w:ascii="Arial" w:hAnsi="Arial" w:cs="Arial"/>
          <w:spacing w:val="2"/>
          <w:sz w:val="20"/>
        </w:rPr>
        <w:t>,</w:t>
      </w:r>
      <w:r w:rsidRPr="002F7AC4">
        <w:rPr>
          <w:rFonts w:ascii="Arial" w:hAnsi="Arial" w:cs="Arial"/>
          <w:spacing w:val="2"/>
          <w:sz w:val="20"/>
        </w:rPr>
        <w:t xml:space="preserve"> at all levels of development</w:t>
      </w:r>
      <w:r>
        <w:rPr>
          <w:rFonts w:ascii="Arial" w:hAnsi="Arial" w:cs="Arial"/>
          <w:spacing w:val="2"/>
          <w:sz w:val="20"/>
        </w:rPr>
        <w:t>,</w:t>
      </w:r>
      <w:r w:rsidRPr="002F7AC4">
        <w:rPr>
          <w:rFonts w:ascii="Arial" w:hAnsi="Arial" w:cs="Arial"/>
          <w:spacing w:val="2"/>
          <w:sz w:val="20"/>
        </w:rPr>
        <w:t xml:space="preserve"> benefit</w:t>
      </w:r>
      <w:r>
        <w:rPr>
          <w:rFonts w:ascii="Arial" w:hAnsi="Arial" w:cs="Arial"/>
          <w:spacing w:val="2"/>
          <w:sz w:val="20"/>
        </w:rPr>
        <w:t xml:space="preserve">.  </w:t>
      </w:r>
      <w:r w:rsidRPr="002F7AC4">
        <w:rPr>
          <w:rFonts w:ascii="Arial" w:hAnsi="Arial" w:cs="Arial"/>
          <w:spacing w:val="2"/>
          <w:sz w:val="20"/>
        </w:rPr>
        <w:t xml:space="preserve">Increasingly, capacity building, technology transfer and the diffusion of practical tools are taking place via novel forms of collaborations </w:t>
      </w:r>
      <w:r>
        <w:rPr>
          <w:rFonts w:ascii="Arial" w:hAnsi="Arial" w:cs="Arial"/>
          <w:spacing w:val="2"/>
          <w:sz w:val="20"/>
        </w:rPr>
        <w:t xml:space="preserve">involving a broad range of stakeholders.  </w:t>
      </w:r>
    </w:p>
    <w:p w14:paraId="03386D2B" w14:textId="3E45CBFC" w:rsidR="000C537C" w:rsidRPr="008E4276" w:rsidRDefault="000C537C" w:rsidP="00B66A4A">
      <w:pPr>
        <w:numPr>
          <w:ilvl w:val="0"/>
          <w:numId w:val="74"/>
        </w:numPr>
        <w:tabs>
          <w:tab w:val="left" w:pos="709"/>
        </w:tabs>
        <w:spacing w:before="216"/>
        <w:jc w:val="both"/>
        <w:rPr>
          <w:rFonts w:ascii="Arial" w:hAnsi="Arial" w:cs="Arial"/>
          <w:bCs/>
          <w:sz w:val="20"/>
        </w:rPr>
      </w:pPr>
      <w:r w:rsidRPr="005F606C">
        <w:rPr>
          <w:rFonts w:ascii="Arial" w:hAnsi="Arial" w:cs="Arial"/>
          <w:spacing w:val="2"/>
          <w:sz w:val="20"/>
        </w:rPr>
        <w:t>The Program</w:t>
      </w:r>
      <w:r w:rsidR="007824BC">
        <w:rPr>
          <w:rFonts w:ascii="Arial" w:hAnsi="Arial" w:cs="Arial"/>
          <w:spacing w:val="2"/>
          <w:sz w:val="20"/>
        </w:rPr>
        <w:t xml:space="preserve"> </w:t>
      </w:r>
      <w:r w:rsidR="00093750">
        <w:rPr>
          <w:rFonts w:ascii="Arial" w:hAnsi="Arial" w:cs="Arial"/>
          <w:spacing w:val="2"/>
          <w:sz w:val="20"/>
        </w:rPr>
        <w:t xml:space="preserve">has </w:t>
      </w:r>
      <w:r w:rsidR="00664CD3">
        <w:rPr>
          <w:rFonts w:ascii="Arial" w:hAnsi="Arial" w:cs="Arial"/>
          <w:spacing w:val="2"/>
          <w:sz w:val="20"/>
        </w:rPr>
        <w:t>implemented</w:t>
      </w:r>
      <w:r w:rsidR="007824BC">
        <w:rPr>
          <w:rFonts w:ascii="Arial" w:hAnsi="Arial" w:cs="Arial"/>
          <w:spacing w:val="2"/>
          <w:sz w:val="20"/>
        </w:rPr>
        <w:t xml:space="preserve"> </w:t>
      </w:r>
      <w:r w:rsidR="00093750">
        <w:rPr>
          <w:rFonts w:ascii="Arial" w:hAnsi="Arial" w:cs="Arial"/>
          <w:spacing w:val="2"/>
          <w:sz w:val="20"/>
        </w:rPr>
        <w:t>two</w:t>
      </w:r>
      <w:r w:rsidRPr="005F606C">
        <w:rPr>
          <w:rFonts w:ascii="Arial" w:hAnsi="Arial" w:cs="Arial"/>
          <w:spacing w:val="2"/>
          <w:sz w:val="20"/>
        </w:rPr>
        <w:t xml:space="preserve"> multi-stakeholder platforms</w:t>
      </w:r>
      <w:r>
        <w:rPr>
          <w:rFonts w:ascii="Arial" w:hAnsi="Arial" w:cs="Arial"/>
          <w:spacing w:val="2"/>
          <w:sz w:val="20"/>
        </w:rPr>
        <w:t xml:space="preserve">, WIPO </w:t>
      </w:r>
      <w:proofErr w:type="spellStart"/>
      <w:r>
        <w:rPr>
          <w:rFonts w:ascii="Arial" w:hAnsi="Arial" w:cs="Arial"/>
          <w:spacing w:val="2"/>
          <w:sz w:val="20"/>
        </w:rPr>
        <w:t>Re:Search</w:t>
      </w:r>
      <w:proofErr w:type="spellEnd"/>
      <w:r w:rsidR="00E66A2C">
        <w:rPr>
          <w:rFonts w:ascii="Arial" w:hAnsi="Arial" w:cs="Arial"/>
          <w:spacing w:val="2"/>
          <w:sz w:val="20"/>
        </w:rPr>
        <w:t xml:space="preserve"> (with the goal of facilitating access to IP to accelerate research and development into drugs against neglected tropical diseases, malaria and </w:t>
      </w:r>
      <w:r w:rsidR="00093750">
        <w:rPr>
          <w:rFonts w:ascii="Arial" w:hAnsi="Arial" w:cs="Arial"/>
          <w:spacing w:val="2"/>
          <w:sz w:val="20"/>
        </w:rPr>
        <w:t>T</w:t>
      </w:r>
      <w:r w:rsidR="00E66A2C">
        <w:rPr>
          <w:rFonts w:ascii="Arial" w:hAnsi="Arial" w:cs="Arial"/>
          <w:spacing w:val="2"/>
          <w:sz w:val="20"/>
        </w:rPr>
        <w:t xml:space="preserve">uberculosis) </w:t>
      </w:r>
      <w:r>
        <w:rPr>
          <w:rFonts w:ascii="Arial" w:hAnsi="Arial" w:cs="Arial"/>
          <w:spacing w:val="2"/>
          <w:sz w:val="20"/>
        </w:rPr>
        <w:t xml:space="preserve">in </w:t>
      </w:r>
      <w:r w:rsidR="00093750">
        <w:rPr>
          <w:rFonts w:ascii="Arial" w:hAnsi="Arial" w:cs="Arial"/>
          <w:spacing w:val="2"/>
          <w:sz w:val="20"/>
        </w:rPr>
        <w:t xml:space="preserve">global </w:t>
      </w:r>
      <w:r>
        <w:rPr>
          <w:rFonts w:ascii="Arial" w:hAnsi="Arial" w:cs="Arial"/>
          <w:spacing w:val="2"/>
          <w:sz w:val="20"/>
        </w:rPr>
        <w:t>health</w:t>
      </w:r>
      <w:r w:rsidR="007824BC">
        <w:rPr>
          <w:rFonts w:ascii="Arial" w:hAnsi="Arial" w:cs="Arial"/>
          <w:spacing w:val="2"/>
          <w:sz w:val="20"/>
        </w:rPr>
        <w:t xml:space="preserve"> </w:t>
      </w:r>
      <w:r>
        <w:rPr>
          <w:rFonts w:ascii="Arial" w:hAnsi="Arial" w:cs="Arial"/>
          <w:spacing w:val="2"/>
          <w:sz w:val="20"/>
        </w:rPr>
        <w:t xml:space="preserve">and WIPO GREEN </w:t>
      </w:r>
      <w:r w:rsidR="00E66A2C">
        <w:rPr>
          <w:rFonts w:ascii="Arial" w:hAnsi="Arial" w:cs="Arial"/>
          <w:spacing w:val="2"/>
          <w:sz w:val="20"/>
        </w:rPr>
        <w:t xml:space="preserve">(a marketplace to enhance the environment for innovation while enabling faster diffusion of green technologies) </w:t>
      </w:r>
      <w:r>
        <w:rPr>
          <w:rFonts w:ascii="Arial" w:hAnsi="Arial" w:cs="Arial"/>
          <w:spacing w:val="2"/>
          <w:sz w:val="20"/>
        </w:rPr>
        <w:t>in climate chang</w:t>
      </w:r>
      <w:r w:rsidR="009846BC">
        <w:rPr>
          <w:rFonts w:ascii="Arial" w:hAnsi="Arial" w:cs="Arial"/>
          <w:spacing w:val="2"/>
          <w:sz w:val="20"/>
        </w:rPr>
        <w:t xml:space="preserve">e.  </w:t>
      </w:r>
      <w:r w:rsidR="007824BC">
        <w:rPr>
          <w:rFonts w:ascii="Arial" w:hAnsi="Arial" w:cs="Arial"/>
          <w:spacing w:val="2"/>
          <w:sz w:val="20"/>
        </w:rPr>
        <w:t>.</w:t>
      </w:r>
      <w:r w:rsidRPr="008E4276">
        <w:rPr>
          <w:rFonts w:ascii="Arial" w:hAnsi="Arial" w:cs="Arial"/>
          <w:spacing w:val="2"/>
          <w:sz w:val="20"/>
        </w:rPr>
        <w:t xml:space="preserve">Across both platforms, </w:t>
      </w:r>
      <w:r>
        <w:rPr>
          <w:rFonts w:ascii="Arial" w:hAnsi="Arial" w:cs="Arial"/>
          <w:spacing w:val="2"/>
          <w:sz w:val="20"/>
        </w:rPr>
        <w:t>the Program will undertake a number of steps</w:t>
      </w:r>
      <w:r w:rsidR="00E66A2C">
        <w:rPr>
          <w:rFonts w:ascii="Arial" w:hAnsi="Arial" w:cs="Arial"/>
          <w:spacing w:val="2"/>
          <w:sz w:val="20"/>
        </w:rPr>
        <w:t xml:space="preserve">, in line with the functions of the Secretariat as defined in the Guiding Principles of WIPO </w:t>
      </w:r>
      <w:proofErr w:type="spellStart"/>
      <w:r w:rsidR="00E66A2C">
        <w:rPr>
          <w:rFonts w:ascii="Arial" w:hAnsi="Arial" w:cs="Arial"/>
          <w:spacing w:val="2"/>
          <w:sz w:val="20"/>
        </w:rPr>
        <w:t>Re:Search</w:t>
      </w:r>
      <w:proofErr w:type="spellEnd"/>
      <w:r w:rsidR="00E66A2C">
        <w:rPr>
          <w:rFonts w:ascii="Arial" w:hAnsi="Arial" w:cs="Arial"/>
          <w:spacing w:val="2"/>
          <w:sz w:val="20"/>
        </w:rPr>
        <w:t xml:space="preserve"> and the Charter of WIPO GREEN,</w:t>
      </w:r>
      <w:r>
        <w:rPr>
          <w:rFonts w:ascii="Arial" w:hAnsi="Arial" w:cs="Arial"/>
          <w:spacing w:val="2"/>
          <w:sz w:val="20"/>
        </w:rPr>
        <w:t xml:space="preserve"> </w:t>
      </w:r>
      <w:r w:rsidR="00093750">
        <w:rPr>
          <w:rFonts w:ascii="Arial" w:hAnsi="Arial" w:cs="Arial"/>
          <w:spacing w:val="2"/>
          <w:sz w:val="20"/>
        </w:rPr>
        <w:t xml:space="preserve">and </w:t>
      </w:r>
      <w:r>
        <w:rPr>
          <w:rFonts w:ascii="Arial" w:hAnsi="Arial" w:cs="Arial"/>
          <w:spacing w:val="2"/>
          <w:sz w:val="20"/>
        </w:rPr>
        <w:t xml:space="preserve">continue developing and implementing strategies to maintain momentum of the consortia and mobilize additional capacity to adequately resource </w:t>
      </w:r>
      <w:r w:rsidRPr="008E4276">
        <w:rPr>
          <w:rFonts w:ascii="Arial" w:hAnsi="Arial" w:cs="Arial"/>
          <w:bCs/>
          <w:sz w:val="20"/>
        </w:rPr>
        <w:t>ongoing and planned activities.</w:t>
      </w:r>
    </w:p>
    <w:p w14:paraId="26C0AED0" w14:textId="77777777" w:rsidR="000C537C" w:rsidRDefault="000C537C" w:rsidP="00984F70">
      <w:pPr>
        <w:tabs>
          <w:tab w:val="left" w:pos="567"/>
          <w:tab w:val="left" w:pos="709"/>
          <w:tab w:val="left" w:pos="1985"/>
        </w:tabs>
        <w:jc w:val="both"/>
        <w:rPr>
          <w:rFonts w:ascii="Arial" w:hAnsi="Arial" w:cs="Arial"/>
          <w:spacing w:val="2"/>
          <w:sz w:val="20"/>
        </w:rPr>
      </w:pPr>
    </w:p>
    <w:p w14:paraId="48FF3123" w14:textId="77777777" w:rsidR="000C537C" w:rsidRDefault="000C537C" w:rsidP="00984F70">
      <w:pPr>
        <w:tabs>
          <w:tab w:val="left" w:pos="567"/>
          <w:tab w:val="left" w:pos="709"/>
          <w:tab w:val="left" w:pos="1985"/>
        </w:tabs>
        <w:jc w:val="both"/>
        <w:rPr>
          <w:rFonts w:ascii="Arial" w:hAnsi="Arial" w:cs="Arial"/>
          <w:bCs/>
          <w:sz w:val="20"/>
        </w:rPr>
      </w:pPr>
    </w:p>
    <w:p w14:paraId="010CF8D1" w14:textId="77777777" w:rsidR="000C537C" w:rsidRPr="00455368" w:rsidRDefault="000C537C" w:rsidP="00984F70">
      <w:pPr>
        <w:tabs>
          <w:tab w:val="left" w:pos="567"/>
          <w:tab w:val="left" w:pos="709"/>
          <w:tab w:val="left" w:pos="1985"/>
        </w:tabs>
        <w:jc w:val="both"/>
        <w:rPr>
          <w:rFonts w:ascii="Arial" w:hAnsi="Arial" w:cs="Arial"/>
          <w:bCs/>
        </w:rPr>
      </w:pPr>
      <w:r w:rsidRPr="00976CAA">
        <w:rPr>
          <w:rFonts w:ascii="Arial" w:hAnsi="Arial" w:cs="Arial"/>
          <w:bCs/>
        </w:rPr>
        <w:t>IMPLEMENTATION STRATEGIES</w:t>
      </w:r>
    </w:p>
    <w:p w14:paraId="69B20905" w14:textId="77777777" w:rsidR="000C537C" w:rsidRPr="00455368" w:rsidRDefault="000C537C" w:rsidP="00984F70">
      <w:pPr>
        <w:tabs>
          <w:tab w:val="left" w:pos="709"/>
        </w:tabs>
        <w:jc w:val="both"/>
        <w:rPr>
          <w:rFonts w:ascii="Arial" w:hAnsi="Arial" w:cs="Arial"/>
          <w:sz w:val="20"/>
        </w:rPr>
      </w:pPr>
    </w:p>
    <w:p w14:paraId="6E10ED44" w14:textId="77777777" w:rsidR="000C537C" w:rsidRDefault="000C537C" w:rsidP="00B66A4A">
      <w:pPr>
        <w:numPr>
          <w:ilvl w:val="0"/>
          <w:numId w:val="74"/>
        </w:numPr>
        <w:tabs>
          <w:tab w:val="left" w:pos="709"/>
        </w:tabs>
        <w:jc w:val="both"/>
        <w:rPr>
          <w:rFonts w:ascii="Arial" w:hAnsi="Arial" w:cs="Arial"/>
          <w:sz w:val="20"/>
        </w:rPr>
      </w:pPr>
      <w:r w:rsidRPr="00E071FF">
        <w:rPr>
          <w:rFonts w:ascii="Arial" w:hAnsi="Arial" w:cs="Arial"/>
          <w:spacing w:val="1"/>
          <w:sz w:val="20"/>
        </w:rPr>
        <w:t>Effective</w:t>
      </w:r>
      <w:r w:rsidRPr="002F7AC4">
        <w:rPr>
          <w:rFonts w:ascii="Arial" w:hAnsi="Arial" w:cs="Arial"/>
          <w:spacing w:val="1"/>
          <w:sz w:val="20"/>
        </w:rPr>
        <w:t xml:space="preserve"> and constructive contribution to innovation-based solutions and to the global policy dialogue will be pursued through a </w:t>
      </w:r>
      <w:r w:rsidRPr="002F7AC4">
        <w:rPr>
          <w:rFonts w:ascii="Arial" w:hAnsi="Arial" w:cs="Arial"/>
          <w:sz w:val="20"/>
        </w:rPr>
        <w:t>three-pronged implementation strategy:</w:t>
      </w:r>
    </w:p>
    <w:p w14:paraId="1A6B36F4" w14:textId="77777777" w:rsidR="000C537C" w:rsidRDefault="000C537C" w:rsidP="00984F70">
      <w:pPr>
        <w:tabs>
          <w:tab w:val="left" w:pos="709"/>
        </w:tabs>
        <w:jc w:val="both"/>
        <w:rPr>
          <w:rFonts w:ascii="Arial" w:hAnsi="Arial" w:cs="Arial"/>
          <w:sz w:val="20"/>
        </w:rPr>
      </w:pPr>
    </w:p>
    <w:p w14:paraId="1E27DBAD" w14:textId="42E365F2" w:rsidR="000C537C" w:rsidRPr="000D7992" w:rsidRDefault="000C537C" w:rsidP="000D7992">
      <w:pPr>
        <w:rPr>
          <w:rFonts w:ascii="Arial" w:hAnsi="Arial" w:cs="Arial"/>
          <w:sz w:val="20"/>
          <w:u w:val="single"/>
        </w:rPr>
      </w:pPr>
      <w:r w:rsidRPr="000D7992">
        <w:rPr>
          <w:rFonts w:ascii="Arial" w:hAnsi="Arial" w:cs="Arial"/>
          <w:sz w:val="20"/>
          <w:u w:val="single"/>
        </w:rPr>
        <w:t xml:space="preserve">Developing and maintaining practical IP-based platforms and tools </w:t>
      </w:r>
      <w:r w:rsidR="00323604" w:rsidRPr="000D7992">
        <w:rPr>
          <w:rFonts w:ascii="Arial" w:hAnsi="Arial" w:cs="Arial"/>
          <w:sz w:val="20"/>
          <w:u w:val="single"/>
        </w:rPr>
        <w:t>for addressing global </w:t>
      </w:r>
      <w:r w:rsidRPr="000D7992">
        <w:rPr>
          <w:rFonts w:ascii="Arial" w:hAnsi="Arial" w:cs="Arial"/>
          <w:sz w:val="20"/>
          <w:u w:val="single"/>
        </w:rPr>
        <w:t>challenges</w:t>
      </w:r>
    </w:p>
    <w:p w14:paraId="7A2335B0" w14:textId="77777777" w:rsidR="000C537C" w:rsidRDefault="000C537C" w:rsidP="00984F70">
      <w:pPr>
        <w:tabs>
          <w:tab w:val="left" w:pos="709"/>
        </w:tabs>
        <w:jc w:val="both"/>
        <w:rPr>
          <w:rFonts w:ascii="Arial" w:hAnsi="Arial" w:cs="Arial"/>
          <w:sz w:val="20"/>
        </w:rPr>
      </w:pPr>
    </w:p>
    <w:p w14:paraId="33CFA9D5" w14:textId="77777777" w:rsidR="000C537C" w:rsidRDefault="000C537C" w:rsidP="00B66A4A">
      <w:pPr>
        <w:numPr>
          <w:ilvl w:val="0"/>
          <w:numId w:val="74"/>
        </w:numPr>
        <w:tabs>
          <w:tab w:val="left" w:pos="709"/>
        </w:tabs>
        <w:jc w:val="both"/>
        <w:rPr>
          <w:rFonts w:ascii="Arial" w:hAnsi="Arial" w:cs="Arial"/>
          <w:sz w:val="20"/>
        </w:rPr>
      </w:pPr>
      <w:r w:rsidRPr="002F7AC4">
        <w:rPr>
          <w:rFonts w:ascii="Arial" w:hAnsi="Arial" w:cs="Arial"/>
          <w:sz w:val="20"/>
        </w:rPr>
        <w:t xml:space="preserve">The core element of the Program’s strategy rests on the </w:t>
      </w:r>
      <w:r>
        <w:rPr>
          <w:rFonts w:ascii="Arial" w:hAnsi="Arial" w:cs="Arial"/>
          <w:sz w:val="20"/>
        </w:rPr>
        <w:t xml:space="preserve">further </w:t>
      </w:r>
      <w:r w:rsidRPr="002F7AC4">
        <w:rPr>
          <w:rFonts w:ascii="Arial" w:hAnsi="Arial" w:cs="Arial"/>
          <w:sz w:val="20"/>
        </w:rPr>
        <w:t xml:space="preserve">implementation and sustainability of </w:t>
      </w:r>
      <w:r>
        <w:rPr>
          <w:rFonts w:ascii="Arial" w:hAnsi="Arial" w:cs="Arial"/>
          <w:sz w:val="20"/>
        </w:rPr>
        <w:t xml:space="preserve">its two </w:t>
      </w:r>
      <w:r w:rsidRPr="002F7AC4">
        <w:rPr>
          <w:rFonts w:ascii="Arial" w:hAnsi="Arial" w:cs="Arial"/>
          <w:sz w:val="20"/>
        </w:rPr>
        <w:t>multi-</w:t>
      </w:r>
      <w:r>
        <w:rPr>
          <w:rFonts w:ascii="Arial" w:hAnsi="Arial" w:cs="Arial"/>
          <w:sz w:val="20"/>
        </w:rPr>
        <w:t>stakeholder</w:t>
      </w:r>
      <w:r w:rsidRPr="002F7AC4">
        <w:rPr>
          <w:rFonts w:ascii="Arial" w:hAnsi="Arial" w:cs="Arial"/>
          <w:sz w:val="20"/>
        </w:rPr>
        <w:t xml:space="preserve"> platforms that facilitate effective collaborative networks and technology transfer relevant </w:t>
      </w:r>
      <w:r w:rsidRPr="002F7AC4">
        <w:rPr>
          <w:rFonts w:ascii="Arial" w:hAnsi="Arial" w:cs="Arial"/>
          <w:spacing w:val="3"/>
          <w:sz w:val="20"/>
        </w:rPr>
        <w:t>to health and climate change</w:t>
      </w:r>
      <w:r>
        <w:rPr>
          <w:rFonts w:ascii="Arial" w:hAnsi="Arial" w:cs="Arial"/>
          <w:spacing w:val="3"/>
          <w:sz w:val="20"/>
        </w:rPr>
        <w:t xml:space="preserve">.  </w:t>
      </w:r>
      <w:r w:rsidRPr="002F7AC4">
        <w:rPr>
          <w:rFonts w:ascii="Arial" w:hAnsi="Arial" w:cs="Arial"/>
          <w:spacing w:val="3"/>
          <w:sz w:val="20"/>
        </w:rPr>
        <w:t xml:space="preserve">Initiatives will build on partnerships and collaborations </w:t>
      </w:r>
      <w:r>
        <w:rPr>
          <w:rFonts w:ascii="Arial" w:hAnsi="Arial" w:cs="Arial"/>
          <w:spacing w:val="4"/>
          <w:sz w:val="20"/>
        </w:rPr>
        <w:t xml:space="preserve">using </w:t>
      </w:r>
      <w:r w:rsidRPr="002F7AC4">
        <w:rPr>
          <w:rFonts w:ascii="Arial" w:hAnsi="Arial" w:cs="Arial"/>
          <w:spacing w:val="4"/>
          <w:sz w:val="20"/>
        </w:rPr>
        <w:t xml:space="preserve">open innovation structures, networked innovation and other forms of </w:t>
      </w:r>
      <w:r w:rsidRPr="002F7AC4">
        <w:rPr>
          <w:rFonts w:ascii="Arial" w:hAnsi="Arial" w:cs="Arial"/>
          <w:sz w:val="20"/>
        </w:rPr>
        <w:t xml:space="preserve">partnerships to accelerate </w:t>
      </w:r>
      <w:r>
        <w:rPr>
          <w:rFonts w:ascii="Arial" w:hAnsi="Arial" w:cs="Arial"/>
          <w:sz w:val="20"/>
        </w:rPr>
        <w:t>their</w:t>
      </w:r>
      <w:r w:rsidRPr="002F7AC4">
        <w:rPr>
          <w:rFonts w:ascii="Arial" w:hAnsi="Arial" w:cs="Arial"/>
          <w:sz w:val="20"/>
        </w:rPr>
        <w:t xml:space="preserve"> impact</w:t>
      </w:r>
      <w:r>
        <w:rPr>
          <w:rFonts w:ascii="Arial" w:hAnsi="Arial" w:cs="Arial"/>
          <w:sz w:val="20"/>
        </w:rPr>
        <w:t xml:space="preserve">.  </w:t>
      </w:r>
      <w:r w:rsidRPr="002F7AC4">
        <w:rPr>
          <w:rFonts w:ascii="Arial" w:hAnsi="Arial" w:cs="Arial"/>
          <w:sz w:val="20"/>
        </w:rPr>
        <w:t xml:space="preserve">Emphasis will also be placed on increasing </w:t>
      </w:r>
      <w:r w:rsidRPr="005C3BD0">
        <w:rPr>
          <w:rFonts w:ascii="Arial" w:hAnsi="Arial" w:cs="Arial"/>
          <w:sz w:val="20"/>
        </w:rPr>
        <w:t>North–South</w:t>
      </w:r>
      <w:r>
        <w:rPr>
          <w:rFonts w:ascii="Arial" w:hAnsi="Arial" w:cs="Arial"/>
          <w:sz w:val="20"/>
        </w:rPr>
        <w:t xml:space="preserve"> and S</w:t>
      </w:r>
      <w:r w:rsidRPr="002F7AC4">
        <w:rPr>
          <w:rFonts w:ascii="Arial" w:hAnsi="Arial" w:cs="Arial"/>
          <w:sz w:val="20"/>
        </w:rPr>
        <w:t>outh</w:t>
      </w:r>
      <w:r>
        <w:rPr>
          <w:rFonts w:ascii="Arial" w:hAnsi="Arial" w:cs="Arial"/>
          <w:sz w:val="20"/>
        </w:rPr>
        <w:t>–S</w:t>
      </w:r>
      <w:r w:rsidRPr="002F7AC4">
        <w:rPr>
          <w:rFonts w:ascii="Arial" w:hAnsi="Arial" w:cs="Arial"/>
          <w:sz w:val="20"/>
        </w:rPr>
        <w:t xml:space="preserve">outh collaborations and partnerships that facilitate the global connectivity of </w:t>
      </w:r>
      <w:r>
        <w:rPr>
          <w:rFonts w:ascii="Arial" w:hAnsi="Arial" w:cs="Arial"/>
          <w:sz w:val="20"/>
        </w:rPr>
        <w:t>developing country innovators.</w:t>
      </w:r>
    </w:p>
    <w:p w14:paraId="40B324D3" w14:textId="77777777" w:rsidR="000C537C" w:rsidRPr="002F7AC4" w:rsidRDefault="000C537C" w:rsidP="00984F70">
      <w:pPr>
        <w:tabs>
          <w:tab w:val="left" w:pos="709"/>
        </w:tabs>
        <w:jc w:val="both"/>
        <w:rPr>
          <w:rFonts w:ascii="Arial" w:hAnsi="Arial" w:cs="Arial"/>
          <w:sz w:val="20"/>
        </w:rPr>
      </w:pPr>
    </w:p>
    <w:p w14:paraId="33988154" w14:textId="77777777" w:rsidR="000C537C" w:rsidRDefault="000C537C" w:rsidP="00B66A4A">
      <w:pPr>
        <w:numPr>
          <w:ilvl w:val="0"/>
          <w:numId w:val="74"/>
        </w:numPr>
        <w:tabs>
          <w:tab w:val="left" w:pos="709"/>
        </w:tabs>
        <w:jc w:val="both"/>
        <w:rPr>
          <w:rFonts w:ascii="Arial" w:hAnsi="Arial" w:cs="Arial"/>
          <w:sz w:val="20"/>
        </w:rPr>
      </w:pPr>
      <w:r w:rsidRPr="002F7AC4">
        <w:rPr>
          <w:rFonts w:ascii="Arial" w:hAnsi="Arial" w:cs="Arial"/>
          <w:sz w:val="20"/>
        </w:rPr>
        <w:t>Together with external partners, technology sharing tools to facilitate the diffusion and transfer of both health</w:t>
      </w:r>
      <w:r>
        <w:rPr>
          <w:rFonts w:ascii="Arial" w:hAnsi="Arial" w:cs="Arial"/>
          <w:sz w:val="20"/>
        </w:rPr>
        <w:t xml:space="preserve"> </w:t>
      </w:r>
      <w:r w:rsidRPr="002F7AC4">
        <w:rPr>
          <w:rFonts w:ascii="Arial" w:hAnsi="Arial" w:cs="Arial"/>
          <w:sz w:val="20"/>
        </w:rPr>
        <w:t xml:space="preserve">and green technologies will be </w:t>
      </w:r>
      <w:r>
        <w:rPr>
          <w:rFonts w:ascii="Arial" w:hAnsi="Arial" w:cs="Arial"/>
          <w:sz w:val="20"/>
        </w:rPr>
        <w:t>increased</w:t>
      </w:r>
      <w:r w:rsidRPr="002F7AC4">
        <w:rPr>
          <w:rFonts w:ascii="Arial" w:hAnsi="Arial" w:cs="Arial"/>
          <w:sz w:val="20"/>
        </w:rPr>
        <w:t xml:space="preserve">, consistent with the goals of the </w:t>
      </w:r>
      <w:r>
        <w:rPr>
          <w:rFonts w:ascii="Arial" w:hAnsi="Arial" w:cs="Arial"/>
          <w:sz w:val="20"/>
        </w:rPr>
        <w:t>DA, in particular Recommendations 19 (access to knowledge and technology), 25 (transfer of technology) and 30, 40 and 42 (cooperation with IGOs and NGOs).</w:t>
      </w:r>
    </w:p>
    <w:p w14:paraId="7CA642B6" w14:textId="77777777" w:rsidR="000C537C" w:rsidRDefault="000C537C" w:rsidP="00984F70">
      <w:pPr>
        <w:pStyle w:val="ListParagraph"/>
        <w:tabs>
          <w:tab w:val="left" w:pos="709"/>
        </w:tabs>
        <w:rPr>
          <w:rFonts w:ascii="Arial" w:hAnsi="Arial" w:cs="Arial"/>
          <w:sz w:val="20"/>
        </w:rPr>
      </w:pPr>
    </w:p>
    <w:p w14:paraId="115A4019" w14:textId="77777777" w:rsidR="000C537C" w:rsidRDefault="000C537C" w:rsidP="00B66A4A">
      <w:pPr>
        <w:numPr>
          <w:ilvl w:val="0"/>
          <w:numId w:val="74"/>
        </w:numPr>
        <w:tabs>
          <w:tab w:val="left" w:pos="709"/>
        </w:tabs>
        <w:jc w:val="both"/>
        <w:rPr>
          <w:rFonts w:ascii="Arial" w:hAnsi="Arial" w:cs="Arial"/>
          <w:sz w:val="20"/>
        </w:rPr>
      </w:pPr>
      <w:r>
        <w:rPr>
          <w:rFonts w:ascii="Arial" w:hAnsi="Arial" w:cs="Arial"/>
          <w:sz w:val="20"/>
        </w:rPr>
        <w:t xml:space="preserve">A strategy to address IP and food security that builds upon WIPO’s previous activities in this area will also be developed during the biennium in consultation with relevant WIPO Programs, as well as external stakeholders, notably IGOs, the private sector </w:t>
      </w:r>
      <w:r w:rsidRPr="00F3719C">
        <w:rPr>
          <w:rFonts w:ascii="Arial" w:hAnsi="Arial" w:cs="Arial"/>
          <w:sz w:val="20"/>
        </w:rPr>
        <w:t xml:space="preserve">and </w:t>
      </w:r>
      <w:r>
        <w:rPr>
          <w:rFonts w:ascii="Arial" w:hAnsi="Arial" w:cs="Arial"/>
          <w:sz w:val="20"/>
        </w:rPr>
        <w:t>civil society.</w:t>
      </w:r>
    </w:p>
    <w:p w14:paraId="4E59BBD9" w14:textId="77777777" w:rsidR="000C537C" w:rsidRDefault="000C537C" w:rsidP="00984F70">
      <w:pPr>
        <w:rPr>
          <w:rFonts w:ascii="Arial" w:hAnsi="Arial" w:cs="Arial"/>
          <w:sz w:val="20"/>
        </w:rPr>
      </w:pPr>
    </w:p>
    <w:p w14:paraId="63885995" w14:textId="77777777" w:rsidR="000C537C" w:rsidRDefault="000C537C" w:rsidP="000D7992">
      <w:pPr>
        <w:keepNext/>
        <w:keepLines/>
        <w:rPr>
          <w:rFonts w:ascii="Arial" w:hAnsi="Arial" w:cs="Arial"/>
          <w:sz w:val="20"/>
          <w:u w:val="single"/>
        </w:rPr>
      </w:pPr>
      <w:r w:rsidRPr="002F7AC4">
        <w:rPr>
          <w:rFonts w:ascii="Arial" w:hAnsi="Arial" w:cs="Arial"/>
          <w:spacing w:val="-1"/>
          <w:sz w:val="20"/>
          <w:u w:val="single"/>
        </w:rPr>
        <w:lastRenderedPageBreak/>
        <w:t xml:space="preserve">Providing </w:t>
      </w:r>
      <w:r>
        <w:rPr>
          <w:rFonts w:ascii="Arial" w:hAnsi="Arial" w:cs="Arial"/>
          <w:spacing w:val="-1"/>
          <w:sz w:val="20"/>
          <w:u w:val="single"/>
        </w:rPr>
        <w:t xml:space="preserve">enhanced access to, and use of IP information to </w:t>
      </w:r>
      <w:r w:rsidRPr="002F7AC4">
        <w:rPr>
          <w:rFonts w:ascii="Arial" w:hAnsi="Arial" w:cs="Arial"/>
          <w:spacing w:val="-1"/>
          <w:sz w:val="20"/>
          <w:u w:val="single"/>
        </w:rPr>
        <w:t xml:space="preserve">support Member States, IGOs, </w:t>
      </w:r>
      <w:r>
        <w:rPr>
          <w:rFonts w:ascii="Arial" w:hAnsi="Arial" w:cs="Arial"/>
          <w:spacing w:val="-1"/>
          <w:sz w:val="20"/>
          <w:u w:val="single"/>
        </w:rPr>
        <w:t xml:space="preserve">the private sector, </w:t>
      </w:r>
      <w:r w:rsidRPr="002F7AC4">
        <w:rPr>
          <w:rFonts w:ascii="Arial" w:hAnsi="Arial" w:cs="Arial"/>
          <w:spacing w:val="-1"/>
          <w:sz w:val="20"/>
          <w:u w:val="single"/>
        </w:rPr>
        <w:t xml:space="preserve">civil society and other stakeholders and assisting them in </w:t>
      </w:r>
      <w:r w:rsidRPr="002F7AC4">
        <w:rPr>
          <w:rFonts w:ascii="Arial" w:hAnsi="Arial" w:cs="Arial"/>
          <w:sz w:val="20"/>
          <w:u w:val="single"/>
        </w:rPr>
        <w:t xml:space="preserve">the identification of feasible approaches </w:t>
      </w:r>
    </w:p>
    <w:p w14:paraId="00E19C99" w14:textId="1FF0B0B5" w:rsidR="000C537C" w:rsidRPr="00E009BD" w:rsidRDefault="000C537C" w:rsidP="00B66A4A">
      <w:pPr>
        <w:keepNext/>
        <w:keepLines/>
        <w:numPr>
          <w:ilvl w:val="0"/>
          <w:numId w:val="74"/>
        </w:numPr>
        <w:spacing w:before="216"/>
        <w:jc w:val="both"/>
        <w:rPr>
          <w:rFonts w:ascii="Arial" w:hAnsi="Arial" w:cs="Arial"/>
          <w:bCs/>
          <w:sz w:val="20"/>
        </w:rPr>
      </w:pPr>
      <w:r>
        <w:rPr>
          <w:rFonts w:ascii="Arial" w:hAnsi="Arial" w:cs="Arial"/>
          <w:sz w:val="20"/>
        </w:rPr>
        <w:t>T</w:t>
      </w:r>
      <w:r w:rsidRPr="002F7AC4">
        <w:rPr>
          <w:rFonts w:ascii="Arial" w:hAnsi="Arial" w:cs="Arial"/>
          <w:sz w:val="20"/>
        </w:rPr>
        <w:t xml:space="preserve">he Program will continue to </w:t>
      </w:r>
      <w:r w:rsidR="00C116BA">
        <w:rPr>
          <w:rFonts w:ascii="Arial" w:hAnsi="Arial" w:cs="Arial"/>
          <w:sz w:val="20"/>
        </w:rPr>
        <w:t>contribute to</w:t>
      </w:r>
      <w:r w:rsidR="009846BC">
        <w:rPr>
          <w:rFonts w:ascii="Arial" w:hAnsi="Arial" w:cs="Arial"/>
          <w:sz w:val="20"/>
        </w:rPr>
        <w:t xml:space="preserve"> </w:t>
      </w:r>
      <w:r w:rsidRPr="002F7AC4">
        <w:rPr>
          <w:rFonts w:ascii="Arial" w:hAnsi="Arial" w:cs="Arial"/>
          <w:sz w:val="20"/>
        </w:rPr>
        <w:t xml:space="preserve">policy dialogues on IP and global </w:t>
      </w:r>
      <w:r w:rsidRPr="002F7AC4">
        <w:rPr>
          <w:rFonts w:ascii="Arial" w:hAnsi="Arial" w:cs="Arial"/>
          <w:spacing w:val="-1"/>
          <w:sz w:val="20"/>
        </w:rPr>
        <w:t>challenges</w:t>
      </w:r>
      <w:r>
        <w:rPr>
          <w:rFonts w:ascii="Arial" w:hAnsi="Arial" w:cs="Arial"/>
          <w:spacing w:val="-1"/>
          <w:sz w:val="20"/>
        </w:rPr>
        <w:t>,</w:t>
      </w:r>
      <w:r w:rsidRPr="002F7AC4">
        <w:rPr>
          <w:rFonts w:ascii="Arial" w:hAnsi="Arial" w:cs="Arial"/>
          <w:spacing w:val="-1"/>
          <w:sz w:val="20"/>
        </w:rPr>
        <w:t xml:space="preserve"> with the aim of reinforcing WIPO’s </w:t>
      </w:r>
      <w:r>
        <w:rPr>
          <w:rFonts w:ascii="Arial" w:hAnsi="Arial" w:cs="Arial"/>
          <w:spacing w:val="-1"/>
          <w:sz w:val="20"/>
        </w:rPr>
        <w:t xml:space="preserve">role </w:t>
      </w:r>
      <w:r w:rsidRPr="002F7AC4">
        <w:rPr>
          <w:rFonts w:ascii="Arial" w:hAnsi="Arial" w:cs="Arial"/>
          <w:spacing w:val="-1"/>
          <w:sz w:val="20"/>
        </w:rPr>
        <w:t xml:space="preserve">as a </w:t>
      </w:r>
      <w:r>
        <w:rPr>
          <w:rFonts w:ascii="Arial" w:hAnsi="Arial" w:cs="Arial"/>
          <w:spacing w:val="-1"/>
          <w:sz w:val="20"/>
        </w:rPr>
        <w:t xml:space="preserve">credible </w:t>
      </w:r>
      <w:r w:rsidRPr="002F7AC4">
        <w:rPr>
          <w:rFonts w:ascii="Arial" w:hAnsi="Arial" w:cs="Arial"/>
          <w:spacing w:val="-1"/>
          <w:sz w:val="20"/>
        </w:rPr>
        <w:t xml:space="preserve">source of fact-based information and </w:t>
      </w:r>
      <w:r w:rsidRPr="002F7AC4">
        <w:rPr>
          <w:rFonts w:ascii="Arial" w:hAnsi="Arial" w:cs="Arial"/>
          <w:sz w:val="20"/>
        </w:rPr>
        <w:t xml:space="preserve">analysis, </w:t>
      </w:r>
      <w:r w:rsidR="00517572">
        <w:rPr>
          <w:rFonts w:ascii="Arial" w:hAnsi="Arial" w:cs="Arial"/>
          <w:sz w:val="20"/>
        </w:rPr>
        <w:t xml:space="preserve">offering WIPO </w:t>
      </w:r>
      <w:r w:rsidR="00C116BA">
        <w:rPr>
          <w:rFonts w:ascii="Arial" w:hAnsi="Arial" w:cs="Arial"/>
          <w:sz w:val="20"/>
        </w:rPr>
        <w:t xml:space="preserve">events </w:t>
      </w:r>
      <w:r>
        <w:rPr>
          <w:rFonts w:ascii="Arial" w:hAnsi="Arial" w:cs="Arial"/>
          <w:sz w:val="20"/>
        </w:rPr>
        <w:t xml:space="preserve">as </w:t>
      </w:r>
      <w:r w:rsidRPr="002F7AC4">
        <w:rPr>
          <w:rFonts w:ascii="Arial" w:hAnsi="Arial" w:cs="Arial"/>
          <w:sz w:val="20"/>
        </w:rPr>
        <w:t>a forum for discussion</w:t>
      </w:r>
      <w:r w:rsidR="00517572">
        <w:rPr>
          <w:rFonts w:ascii="Arial" w:hAnsi="Arial" w:cs="Arial"/>
          <w:sz w:val="20"/>
        </w:rPr>
        <w:t xml:space="preserve"> on these</w:t>
      </w:r>
      <w:r w:rsidR="00C116BA">
        <w:rPr>
          <w:rFonts w:ascii="Arial" w:hAnsi="Arial" w:cs="Arial"/>
          <w:sz w:val="20"/>
        </w:rPr>
        <w:t xml:space="preserve"> issues</w:t>
      </w:r>
      <w:r w:rsidR="00E66A2C">
        <w:rPr>
          <w:rFonts w:ascii="Arial" w:hAnsi="Arial" w:cs="Arial"/>
          <w:sz w:val="20"/>
        </w:rPr>
        <w:t>.  Working in close coordination with Program</w:t>
      </w:r>
      <w:r w:rsidR="009846BC">
        <w:rPr>
          <w:rFonts w:ascii="Arial" w:hAnsi="Arial" w:cs="Arial"/>
          <w:sz w:val="20"/>
        </w:rPr>
        <w:t> </w:t>
      </w:r>
      <w:r w:rsidR="00E66A2C">
        <w:rPr>
          <w:rFonts w:ascii="Arial" w:hAnsi="Arial" w:cs="Arial"/>
          <w:sz w:val="20"/>
        </w:rPr>
        <w:t xml:space="preserve">20, the Program will ensure that WIPO, as a part of the UN </w:t>
      </w:r>
      <w:r w:rsidR="00A7528A">
        <w:rPr>
          <w:rFonts w:ascii="Arial" w:hAnsi="Arial" w:cs="Arial"/>
          <w:sz w:val="20"/>
        </w:rPr>
        <w:t>S</w:t>
      </w:r>
      <w:r w:rsidR="00E66A2C">
        <w:rPr>
          <w:rFonts w:ascii="Arial" w:hAnsi="Arial" w:cs="Arial"/>
          <w:sz w:val="20"/>
        </w:rPr>
        <w:t xml:space="preserve">ystem and as an observer organization to various UN processes, responds in a timely and quality manner to requests for such information from </w:t>
      </w:r>
      <w:r w:rsidR="00517572">
        <w:rPr>
          <w:rFonts w:ascii="Arial" w:hAnsi="Arial" w:cs="Arial"/>
          <w:sz w:val="20"/>
        </w:rPr>
        <w:t xml:space="preserve">the UN, international organizations and </w:t>
      </w:r>
      <w:r w:rsidR="00E66A2C">
        <w:rPr>
          <w:rFonts w:ascii="Arial" w:hAnsi="Arial" w:cs="Arial"/>
          <w:sz w:val="20"/>
        </w:rPr>
        <w:t>Member States</w:t>
      </w:r>
      <w:r>
        <w:rPr>
          <w:rFonts w:ascii="Arial" w:hAnsi="Arial" w:cs="Arial"/>
          <w:sz w:val="20"/>
        </w:rPr>
        <w:t>.  W</w:t>
      </w:r>
      <w:r w:rsidRPr="002F7AC4">
        <w:rPr>
          <w:rFonts w:ascii="Arial" w:hAnsi="Arial" w:cs="Arial"/>
          <w:sz w:val="20"/>
        </w:rPr>
        <w:t xml:space="preserve">ork </w:t>
      </w:r>
      <w:r>
        <w:rPr>
          <w:rFonts w:ascii="Arial" w:hAnsi="Arial" w:cs="Arial"/>
          <w:sz w:val="20"/>
        </w:rPr>
        <w:t xml:space="preserve">will be </w:t>
      </w:r>
      <w:r w:rsidRPr="002F7AC4">
        <w:rPr>
          <w:rFonts w:ascii="Arial" w:hAnsi="Arial" w:cs="Arial"/>
          <w:sz w:val="20"/>
        </w:rPr>
        <w:t xml:space="preserve">guided </w:t>
      </w:r>
      <w:r>
        <w:rPr>
          <w:rFonts w:ascii="Arial" w:hAnsi="Arial" w:cs="Arial"/>
          <w:sz w:val="20"/>
        </w:rPr>
        <w:t xml:space="preserve">by the relevance of IP and innovation to global health, climate change, and food security, the DA and the </w:t>
      </w:r>
      <w:r w:rsidRPr="003252F3">
        <w:rPr>
          <w:rFonts w:ascii="Arial" w:hAnsi="Arial" w:cs="Arial"/>
          <w:sz w:val="20"/>
        </w:rPr>
        <w:t>UN post-2015 Development Agenda.</w:t>
      </w:r>
      <w:r>
        <w:rPr>
          <w:rFonts w:ascii="Arial" w:hAnsi="Arial" w:cs="Arial"/>
          <w:sz w:val="20"/>
        </w:rPr>
        <w:t xml:space="preserve">  </w:t>
      </w:r>
    </w:p>
    <w:p w14:paraId="6A414989" w14:textId="77777777" w:rsidR="000C537C" w:rsidRDefault="000C537C" w:rsidP="00984F70">
      <w:pPr>
        <w:jc w:val="both"/>
        <w:rPr>
          <w:rFonts w:ascii="Arial" w:hAnsi="Arial" w:cs="Arial"/>
          <w:sz w:val="20"/>
        </w:rPr>
      </w:pPr>
    </w:p>
    <w:p w14:paraId="65AEF033" w14:textId="51576D5D" w:rsidR="000C537C" w:rsidRPr="001A24BE" w:rsidRDefault="000C537C" w:rsidP="00B66A4A">
      <w:pPr>
        <w:numPr>
          <w:ilvl w:val="0"/>
          <w:numId w:val="74"/>
        </w:numPr>
        <w:jc w:val="both"/>
        <w:rPr>
          <w:rFonts w:ascii="Arial" w:hAnsi="Arial" w:cs="Arial"/>
          <w:sz w:val="20"/>
        </w:rPr>
      </w:pPr>
      <w:r>
        <w:rPr>
          <w:rFonts w:ascii="Arial" w:hAnsi="Arial" w:cs="Arial"/>
          <w:sz w:val="20"/>
        </w:rPr>
        <w:t>P</w:t>
      </w:r>
      <w:r w:rsidRPr="002D0B5E">
        <w:rPr>
          <w:rFonts w:ascii="Arial" w:hAnsi="Arial" w:cs="Arial"/>
          <w:sz w:val="20"/>
        </w:rPr>
        <w:t xml:space="preserve">olicy </w:t>
      </w:r>
      <w:r>
        <w:rPr>
          <w:rFonts w:ascii="Arial" w:hAnsi="Arial" w:cs="Arial"/>
          <w:sz w:val="20"/>
        </w:rPr>
        <w:t>studies</w:t>
      </w:r>
      <w:r w:rsidRPr="002D0B5E">
        <w:rPr>
          <w:rFonts w:ascii="Arial" w:hAnsi="Arial" w:cs="Arial"/>
          <w:sz w:val="20"/>
        </w:rPr>
        <w:t xml:space="preserve"> will </w:t>
      </w:r>
      <w:r w:rsidRPr="001A24BE">
        <w:rPr>
          <w:rFonts w:ascii="Arial" w:hAnsi="Arial" w:cs="Arial"/>
          <w:sz w:val="20"/>
        </w:rPr>
        <w:t xml:space="preserve">continue to be </w:t>
      </w:r>
      <w:r>
        <w:rPr>
          <w:rFonts w:ascii="Arial" w:hAnsi="Arial" w:cs="Arial"/>
          <w:sz w:val="20"/>
        </w:rPr>
        <w:t xml:space="preserve">developed </w:t>
      </w:r>
      <w:r w:rsidRPr="001A24BE">
        <w:rPr>
          <w:rFonts w:ascii="Arial" w:hAnsi="Arial" w:cs="Arial"/>
          <w:sz w:val="20"/>
        </w:rPr>
        <w:t xml:space="preserve">on topics such as the role of IP and IP management in innovation, technology transfer and technology diffusion in addressing global challenges.  </w:t>
      </w:r>
      <w:r>
        <w:rPr>
          <w:rFonts w:ascii="Arial" w:hAnsi="Arial" w:cs="Arial"/>
          <w:sz w:val="20"/>
        </w:rPr>
        <w:t xml:space="preserve">Substantive analyses, in the forms of reports and </w:t>
      </w:r>
      <w:r w:rsidRPr="001A24BE">
        <w:rPr>
          <w:rFonts w:ascii="Arial" w:hAnsi="Arial" w:cs="Arial"/>
          <w:sz w:val="20"/>
        </w:rPr>
        <w:t>briefs</w:t>
      </w:r>
      <w:r>
        <w:rPr>
          <w:rFonts w:ascii="Arial" w:hAnsi="Arial" w:cs="Arial"/>
          <w:sz w:val="20"/>
        </w:rPr>
        <w:t>,</w:t>
      </w:r>
      <w:r w:rsidRPr="001A24BE">
        <w:rPr>
          <w:rFonts w:ascii="Arial" w:hAnsi="Arial" w:cs="Arial"/>
          <w:sz w:val="20"/>
        </w:rPr>
        <w:t xml:space="preserve"> </w:t>
      </w:r>
      <w:r>
        <w:rPr>
          <w:rFonts w:ascii="Arial" w:hAnsi="Arial" w:cs="Arial"/>
          <w:sz w:val="20"/>
        </w:rPr>
        <w:t xml:space="preserve">will </w:t>
      </w:r>
      <w:r w:rsidRPr="001A24BE">
        <w:rPr>
          <w:rFonts w:ascii="Arial" w:hAnsi="Arial" w:cs="Arial"/>
          <w:sz w:val="20"/>
        </w:rPr>
        <w:t xml:space="preserve">aim to facilitate a better understanding of the policy and strategic drivers of innovation; </w:t>
      </w:r>
      <w:r>
        <w:rPr>
          <w:rFonts w:ascii="Arial" w:hAnsi="Arial" w:cs="Arial"/>
          <w:sz w:val="20"/>
        </w:rPr>
        <w:t xml:space="preserve">and </w:t>
      </w:r>
      <w:r w:rsidRPr="001A24BE">
        <w:rPr>
          <w:rFonts w:ascii="Arial" w:hAnsi="Arial" w:cs="Arial"/>
          <w:sz w:val="20"/>
        </w:rPr>
        <w:t xml:space="preserve">demonstrate proactively the </w:t>
      </w:r>
      <w:r>
        <w:rPr>
          <w:rFonts w:ascii="Arial" w:hAnsi="Arial" w:cs="Arial"/>
          <w:sz w:val="20"/>
        </w:rPr>
        <w:t xml:space="preserve">value </w:t>
      </w:r>
      <w:r w:rsidRPr="001A24BE">
        <w:rPr>
          <w:rFonts w:ascii="Arial" w:hAnsi="Arial" w:cs="Arial"/>
          <w:sz w:val="20"/>
        </w:rPr>
        <w:t xml:space="preserve">of IP </w:t>
      </w:r>
      <w:r>
        <w:rPr>
          <w:rFonts w:ascii="Arial" w:hAnsi="Arial" w:cs="Arial"/>
          <w:sz w:val="20"/>
        </w:rPr>
        <w:t xml:space="preserve">as a development </w:t>
      </w:r>
      <w:r w:rsidRPr="001A24BE">
        <w:rPr>
          <w:rFonts w:ascii="Arial" w:hAnsi="Arial" w:cs="Arial"/>
          <w:sz w:val="20"/>
        </w:rPr>
        <w:t>tool</w:t>
      </w:r>
      <w:r>
        <w:rPr>
          <w:rFonts w:ascii="Arial" w:hAnsi="Arial" w:cs="Arial"/>
          <w:sz w:val="20"/>
        </w:rPr>
        <w:t xml:space="preserve">. This </w:t>
      </w:r>
      <w:r w:rsidRPr="001A24BE">
        <w:rPr>
          <w:rFonts w:ascii="Arial" w:hAnsi="Arial" w:cs="Arial"/>
          <w:sz w:val="20"/>
        </w:rPr>
        <w:t>include</w:t>
      </w:r>
      <w:r>
        <w:rPr>
          <w:rFonts w:ascii="Arial" w:hAnsi="Arial" w:cs="Arial"/>
          <w:sz w:val="20"/>
        </w:rPr>
        <w:t>s</w:t>
      </w:r>
      <w:r w:rsidRPr="001A24BE">
        <w:rPr>
          <w:rFonts w:ascii="Arial" w:hAnsi="Arial" w:cs="Arial"/>
          <w:sz w:val="20"/>
        </w:rPr>
        <w:t xml:space="preserve"> the sharing of experiences from the two platforms through case studies aimed at raising awareness of the Program’s activities.</w:t>
      </w:r>
    </w:p>
    <w:p w14:paraId="0341BB42" w14:textId="77777777" w:rsidR="000C537C" w:rsidRPr="00816DF0" w:rsidRDefault="000C537C" w:rsidP="00984F70">
      <w:pPr>
        <w:jc w:val="both"/>
        <w:rPr>
          <w:rFonts w:ascii="Arial" w:hAnsi="Arial" w:cs="Arial"/>
          <w:sz w:val="20"/>
        </w:rPr>
      </w:pPr>
    </w:p>
    <w:p w14:paraId="0BB98794" w14:textId="77777777" w:rsidR="000C537C" w:rsidRDefault="000C537C" w:rsidP="00B66A4A">
      <w:pPr>
        <w:numPr>
          <w:ilvl w:val="0"/>
          <w:numId w:val="74"/>
        </w:numPr>
        <w:jc w:val="both"/>
        <w:rPr>
          <w:rFonts w:ascii="Arial" w:hAnsi="Arial" w:cs="Arial"/>
          <w:sz w:val="20"/>
        </w:rPr>
      </w:pPr>
      <w:r>
        <w:rPr>
          <w:rFonts w:ascii="Arial" w:hAnsi="Arial" w:cs="Arial"/>
          <w:spacing w:val="2"/>
          <w:sz w:val="20"/>
        </w:rPr>
        <w:t>A</w:t>
      </w:r>
      <w:r w:rsidRPr="002F7AC4">
        <w:rPr>
          <w:rFonts w:ascii="Arial" w:hAnsi="Arial" w:cs="Arial"/>
          <w:spacing w:val="2"/>
          <w:sz w:val="20"/>
        </w:rPr>
        <w:t xml:space="preserve">lso, in response to requests from Member States, IGOs, </w:t>
      </w:r>
      <w:r w:rsidRPr="002F7AC4">
        <w:rPr>
          <w:rFonts w:ascii="Arial" w:hAnsi="Arial" w:cs="Arial"/>
          <w:sz w:val="20"/>
        </w:rPr>
        <w:t xml:space="preserve">civil society, and other stakeholders, the Program will provide input, as appropriate, in fora </w:t>
      </w:r>
      <w:r w:rsidRPr="00D83A5B">
        <w:rPr>
          <w:rFonts w:ascii="Arial" w:hAnsi="Arial" w:cs="Arial"/>
          <w:sz w:val="20"/>
        </w:rPr>
        <w:t>related to the Program’s core issues</w:t>
      </w:r>
      <w:r>
        <w:rPr>
          <w:rFonts w:ascii="Arial" w:hAnsi="Arial" w:cs="Arial"/>
          <w:sz w:val="20"/>
        </w:rPr>
        <w:t xml:space="preserve">.  </w:t>
      </w:r>
      <w:r w:rsidRPr="002F7AC4">
        <w:rPr>
          <w:rFonts w:ascii="Arial" w:hAnsi="Arial" w:cs="Arial"/>
          <w:sz w:val="20"/>
        </w:rPr>
        <w:t xml:space="preserve">Ensuring </w:t>
      </w:r>
      <w:r w:rsidRPr="002F7AC4">
        <w:rPr>
          <w:rFonts w:ascii="Arial" w:hAnsi="Arial" w:cs="Arial"/>
          <w:spacing w:val="-1"/>
          <w:sz w:val="20"/>
        </w:rPr>
        <w:t xml:space="preserve">WIPO’s constructive engagement in relevant public policy </w:t>
      </w:r>
      <w:r>
        <w:rPr>
          <w:rFonts w:ascii="Arial" w:hAnsi="Arial" w:cs="Arial"/>
          <w:spacing w:val="-1"/>
          <w:sz w:val="20"/>
        </w:rPr>
        <w:t xml:space="preserve">discussions </w:t>
      </w:r>
      <w:r w:rsidRPr="002F7AC4">
        <w:rPr>
          <w:rFonts w:ascii="Arial" w:hAnsi="Arial" w:cs="Arial"/>
          <w:spacing w:val="-1"/>
          <w:sz w:val="20"/>
        </w:rPr>
        <w:t xml:space="preserve">provides support to other actors </w:t>
      </w:r>
      <w:r w:rsidRPr="002F7AC4">
        <w:rPr>
          <w:rFonts w:ascii="Arial" w:hAnsi="Arial" w:cs="Arial"/>
          <w:sz w:val="20"/>
        </w:rPr>
        <w:t>and helps establish WIPO as the forum and reference point on IP as it touches on global public policy issues</w:t>
      </w:r>
      <w:r>
        <w:rPr>
          <w:rFonts w:ascii="Arial" w:hAnsi="Arial" w:cs="Arial"/>
          <w:sz w:val="20"/>
        </w:rPr>
        <w:t>. Integral to this objective is the</w:t>
      </w:r>
      <w:r w:rsidRPr="00E009BD">
        <w:rPr>
          <w:rFonts w:ascii="Arial" w:hAnsi="Arial" w:cs="Arial"/>
          <w:sz w:val="20"/>
        </w:rPr>
        <w:t xml:space="preserve"> Program</w:t>
      </w:r>
      <w:r>
        <w:rPr>
          <w:rFonts w:ascii="Arial" w:hAnsi="Arial" w:cs="Arial"/>
          <w:sz w:val="20"/>
        </w:rPr>
        <w:t xml:space="preserve">’s ongoing </w:t>
      </w:r>
      <w:r w:rsidRPr="00E009BD">
        <w:rPr>
          <w:rFonts w:ascii="Arial" w:hAnsi="Arial" w:cs="Arial"/>
          <w:sz w:val="20"/>
        </w:rPr>
        <w:t>successful trilateral cooperation with the World Health Organization</w:t>
      </w:r>
      <w:r>
        <w:rPr>
          <w:rFonts w:ascii="Arial" w:hAnsi="Arial" w:cs="Arial"/>
          <w:sz w:val="20"/>
        </w:rPr>
        <w:t xml:space="preserve"> (WHO) and World Trade Organization (WTO).</w:t>
      </w:r>
    </w:p>
    <w:p w14:paraId="6792FFDF" w14:textId="77777777" w:rsidR="000C537C" w:rsidRPr="002F7AC4" w:rsidRDefault="000C537C" w:rsidP="00984F70">
      <w:pPr>
        <w:rPr>
          <w:rFonts w:ascii="Arial" w:hAnsi="Arial" w:cs="Arial"/>
          <w:sz w:val="20"/>
        </w:rPr>
      </w:pPr>
    </w:p>
    <w:p w14:paraId="0D6F0D4F" w14:textId="77777777" w:rsidR="000C537C" w:rsidRPr="000D7992" w:rsidRDefault="000C537C" w:rsidP="000D7992">
      <w:pPr>
        <w:rPr>
          <w:rFonts w:ascii="Arial" w:hAnsi="Arial" w:cs="Arial"/>
          <w:sz w:val="20"/>
          <w:szCs w:val="20"/>
          <w:u w:val="single"/>
        </w:rPr>
      </w:pPr>
      <w:r w:rsidRPr="000D7992">
        <w:rPr>
          <w:rFonts w:ascii="Arial" w:hAnsi="Arial" w:cs="Arial"/>
          <w:sz w:val="20"/>
          <w:szCs w:val="20"/>
          <w:u w:val="single"/>
        </w:rPr>
        <w:t xml:space="preserve">Enhancing human resource capacities on the relationships among global challenges, innovation and technology transfer </w:t>
      </w:r>
    </w:p>
    <w:p w14:paraId="785E4B30" w14:textId="77777777" w:rsidR="000C537C" w:rsidRDefault="000C537C" w:rsidP="00984F70">
      <w:pPr>
        <w:rPr>
          <w:rFonts w:ascii="Arial" w:hAnsi="Arial" w:cs="Arial"/>
          <w:sz w:val="20"/>
          <w:u w:val="single"/>
        </w:rPr>
      </w:pPr>
    </w:p>
    <w:p w14:paraId="5477792E" w14:textId="77777777" w:rsidR="000C537C" w:rsidRDefault="000C537C" w:rsidP="00B66A4A">
      <w:pPr>
        <w:numPr>
          <w:ilvl w:val="0"/>
          <w:numId w:val="74"/>
        </w:numPr>
        <w:jc w:val="both"/>
        <w:rPr>
          <w:rFonts w:ascii="Arial" w:hAnsi="Arial" w:cs="Arial"/>
          <w:sz w:val="20"/>
        </w:rPr>
      </w:pPr>
      <w:r w:rsidRPr="002F7AC4">
        <w:rPr>
          <w:rFonts w:ascii="Arial" w:hAnsi="Arial" w:cs="Arial"/>
          <w:sz w:val="20"/>
        </w:rPr>
        <w:t xml:space="preserve">A key aspect of this </w:t>
      </w:r>
      <w:r>
        <w:rPr>
          <w:rFonts w:ascii="Arial" w:hAnsi="Arial" w:cs="Arial"/>
          <w:sz w:val="20"/>
        </w:rPr>
        <w:t xml:space="preserve">work </w:t>
      </w:r>
      <w:r w:rsidRPr="002F7AC4">
        <w:rPr>
          <w:rFonts w:ascii="Arial" w:hAnsi="Arial" w:cs="Arial"/>
          <w:sz w:val="20"/>
        </w:rPr>
        <w:t xml:space="preserve">will be </w:t>
      </w:r>
      <w:r>
        <w:rPr>
          <w:rFonts w:ascii="Arial" w:hAnsi="Arial" w:cs="Arial"/>
          <w:sz w:val="20"/>
        </w:rPr>
        <w:t xml:space="preserve">the exploration of synergies with </w:t>
      </w:r>
      <w:r w:rsidRPr="002F7AC4">
        <w:rPr>
          <w:rFonts w:ascii="Arial" w:hAnsi="Arial" w:cs="Arial"/>
          <w:sz w:val="20"/>
        </w:rPr>
        <w:t xml:space="preserve">other </w:t>
      </w:r>
      <w:r>
        <w:rPr>
          <w:rFonts w:ascii="Arial" w:hAnsi="Arial" w:cs="Arial"/>
          <w:sz w:val="20"/>
        </w:rPr>
        <w:t>Programs</w:t>
      </w:r>
      <w:r w:rsidRPr="002F7AC4">
        <w:rPr>
          <w:rFonts w:ascii="Arial" w:hAnsi="Arial" w:cs="Arial"/>
          <w:sz w:val="20"/>
        </w:rPr>
        <w:t xml:space="preserve"> of WIPO</w:t>
      </w:r>
      <w:r>
        <w:rPr>
          <w:rFonts w:ascii="Arial" w:hAnsi="Arial" w:cs="Arial"/>
          <w:sz w:val="20"/>
        </w:rPr>
        <w:t xml:space="preserve">.  </w:t>
      </w:r>
      <w:r w:rsidRPr="002F7AC4">
        <w:rPr>
          <w:rFonts w:ascii="Arial" w:hAnsi="Arial" w:cs="Arial"/>
          <w:sz w:val="20"/>
        </w:rPr>
        <w:t xml:space="preserve">For example, as the substantive platforms </w:t>
      </w:r>
      <w:r>
        <w:rPr>
          <w:rFonts w:ascii="Arial" w:hAnsi="Arial" w:cs="Arial"/>
          <w:sz w:val="20"/>
        </w:rPr>
        <w:t xml:space="preserve">have been </w:t>
      </w:r>
      <w:r w:rsidRPr="002F7AC4">
        <w:rPr>
          <w:rFonts w:ascii="Arial" w:hAnsi="Arial" w:cs="Arial"/>
          <w:sz w:val="20"/>
        </w:rPr>
        <w:t>developed, the</w:t>
      </w:r>
      <w:r>
        <w:rPr>
          <w:rFonts w:ascii="Arial" w:hAnsi="Arial" w:cs="Arial"/>
          <w:sz w:val="20"/>
        </w:rPr>
        <w:t>y</w:t>
      </w:r>
      <w:r w:rsidRPr="002F7AC4">
        <w:rPr>
          <w:rFonts w:ascii="Arial" w:hAnsi="Arial" w:cs="Arial"/>
          <w:sz w:val="20"/>
        </w:rPr>
        <w:t xml:space="preserve"> </w:t>
      </w:r>
      <w:r>
        <w:rPr>
          <w:rFonts w:ascii="Arial" w:hAnsi="Arial" w:cs="Arial"/>
          <w:sz w:val="20"/>
        </w:rPr>
        <w:t xml:space="preserve">should increasingly </w:t>
      </w:r>
      <w:r w:rsidRPr="002F7AC4">
        <w:rPr>
          <w:rFonts w:ascii="Arial" w:hAnsi="Arial" w:cs="Arial"/>
          <w:sz w:val="20"/>
        </w:rPr>
        <w:t xml:space="preserve">serve as entry points for developing country institutions to access a range of </w:t>
      </w:r>
      <w:r>
        <w:rPr>
          <w:rFonts w:ascii="Arial" w:hAnsi="Arial" w:cs="Arial"/>
          <w:sz w:val="20"/>
        </w:rPr>
        <w:t xml:space="preserve">relevant </w:t>
      </w:r>
      <w:r w:rsidRPr="002F7AC4">
        <w:rPr>
          <w:rFonts w:ascii="Arial" w:hAnsi="Arial" w:cs="Arial"/>
          <w:sz w:val="20"/>
        </w:rPr>
        <w:t>WIPO services and training programs that facilitate access to technical IP information (e.g</w:t>
      </w:r>
      <w:r>
        <w:rPr>
          <w:rFonts w:ascii="Arial" w:hAnsi="Arial" w:cs="Arial"/>
          <w:sz w:val="20"/>
        </w:rPr>
        <w:t xml:space="preserve">. </w:t>
      </w:r>
      <w:r w:rsidRPr="002F7AC4">
        <w:rPr>
          <w:rFonts w:ascii="Arial" w:hAnsi="Arial" w:cs="Arial"/>
          <w:sz w:val="20"/>
        </w:rPr>
        <w:t>patent databases)</w:t>
      </w:r>
      <w:r>
        <w:rPr>
          <w:rFonts w:ascii="Arial" w:hAnsi="Arial" w:cs="Arial"/>
          <w:sz w:val="20"/>
        </w:rPr>
        <w:t xml:space="preserve">.  Projects funded under Funds-in-Trust will continue and build on previous accomplishments from earlier biennia.  </w:t>
      </w:r>
    </w:p>
    <w:p w14:paraId="3EFE1232" w14:textId="77777777" w:rsidR="007A5A68" w:rsidRDefault="007A5A68" w:rsidP="00FB68E0">
      <w:pPr>
        <w:jc w:val="both"/>
        <w:rPr>
          <w:rFonts w:ascii="Arial" w:hAnsi="Arial" w:cs="Arial"/>
          <w:sz w:val="20"/>
        </w:rPr>
      </w:pPr>
    </w:p>
    <w:p w14:paraId="0A866BD2" w14:textId="77777777" w:rsidR="00B46E15" w:rsidRDefault="00B46E15" w:rsidP="00B46E15">
      <w:pPr>
        <w:keepNext/>
        <w:keepLines/>
        <w:tabs>
          <w:tab w:val="left" w:pos="567"/>
          <w:tab w:val="left" w:pos="1985"/>
        </w:tabs>
        <w:jc w:val="both"/>
        <w:rPr>
          <w:rFonts w:ascii="Arial" w:hAnsi="Arial" w:cs="Arial"/>
          <w:b/>
          <w:bCs/>
        </w:rPr>
      </w:pPr>
    </w:p>
    <w:p w14:paraId="00CD74C9" w14:textId="77777777" w:rsidR="00B46E15" w:rsidRPr="00B619BE" w:rsidRDefault="00B46E15" w:rsidP="00B46E15">
      <w:pPr>
        <w:keepNext/>
        <w:keepLines/>
        <w:tabs>
          <w:tab w:val="left" w:pos="567"/>
          <w:tab w:val="left" w:pos="1985"/>
        </w:tabs>
        <w:jc w:val="both"/>
        <w:rPr>
          <w:rFonts w:ascii="Arial" w:hAnsi="Arial" w:cs="Arial"/>
          <w:b/>
          <w:bCs/>
        </w:rPr>
      </w:pPr>
      <w:r w:rsidRPr="00B619BE">
        <w:rPr>
          <w:rFonts w:ascii="Arial" w:hAnsi="Arial" w:cs="Arial"/>
          <w:b/>
          <w:bCs/>
        </w:rPr>
        <w:t>IP AND COMPETITION POLICY</w:t>
      </w:r>
    </w:p>
    <w:p w14:paraId="65060242" w14:textId="77777777" w:rsidR="00B46E15" w:rsidRDefault="00B46E15" w:rsidP="00B46E15">
      <w:pPr>
        <w:keepNext/>
        <w:keepLines/>
        <w:tabs>
          <w:tab w:val="left" w:pos="567"/>
          <w:tab w:val="left" w:pos="1985"/>
        </w:tabs>
        <w:jc w:val="both"/>
        <w:rPr>
          <w:rFonts w:ascii="Arial" w:hAnsi="Arial" w:cs="Arial"/>
          <w:bCs/>
          <w:sz w:val="20"/>
        </w:rPr>
      </w:pPr>
    </w:p>
    <w:p w14:paraId="1527EF9C" w14:textId="77777777" w:rsidR="00B46E15" w:rsidRPr="00FB68E0" w:rsidRDefault="00B46E15" w:rsidP="00B46E15">
      <w:pPr>
        <w:keepNext/>
        <w:keepLines/>
        <w:jc w:val="both"/>
        <w:rPr>
          <w:rFonts w:ascii="Arial" w:hAnsi="Arial" w:cs="Arial"/>
        </w:rPr>
      </w:pPr>
      <w:r w:rsidRPr="00FB68E0">
        <w:rPr>
          <w:rFonts w:ascii="Arial" w:hAnsi="Arial" w:cs="Arial"/>
        </w:rPr>
        <w:t>PLANNING CONTEXT</w:t>
      </w:r>
    </w:p>
    <w:p w14:paraId="381FE9C5" w14:textId="77777777" w:rsidR="00B46E15" w:rsidRPr="0077512B" w:rsidRDefault="00B46E15" w:rsidP="00B46E15">
      <w:pPr>
        <w:jc w:val="both"/>
        <w:rPr>
          <w:rFonts w:ascii="Arial" w:hAnsi="Arial" w:cs="Arial"/>
          <w:sz w:val="20"/>
        </w:rPr>
      </w:pPr>
    </w:p>
    <w:p w14:paraId="3B5809F3" w14:textId="77777777" w:rsidR="00B46E15" w:rsidRPr="0077512B" w:rsidRDefault="00B46E15" w:rsidP="00B46E15">
      <w:pPr>
        <w:numPr>
          <w:ilvl w:val="0"/>
          <w:numId w:val="74"/>
        </w:numPr>
        <w:tabs>
          <w:tab w:val="left" w:pos="709"/>
        </w:tabs>
        <w:jc w:val="both"/>
        <w:rPr>
          <w:rFonts w:ascii="Arial" w:hAnsi="Arial" w:cs="Arial"/>
          <w:sz w:val="20"/>
        </w:rPr>
      </w:pPr>
      <w:r w:rsidRPr="0077512B">
        <w:rPr>
          <w:rFonts w:ascii="Arial" w:hAnsi="Arial" w:cs="Arial"/>
          <w:sz w:val="20"/>
        </w:rPr>
        <w:t xml:space="preserve">WIPO’s work on IP and </w:t>
      </w:r>
      <w:r>
        <w:rPr>
          <w:rFonts w:ascii="Arial" w:hAnsi="Arial" w:cs="Arial"/>
          <w:sz w:val="20"/>
        </w:rPr>
        <w:t>c</w:t>
      </w:r>
      <w:r w:rsidRPr="0077512B">
        <w:rPr>
          <w:rFonts w:ascii="Arial" w:hAnsi="Arial" w:cs="Arial"/>
          <w:sz w:val="20"/>
        </w:rPr>
        <w:t xml:space="preserve">ompetition </w:t>
      </w:r>
      <w:r>
        <w:rPr>
          <w:rFonts w:ascii="Arial" w:hAnsi="Arial" w:cs="Arial"/>
          <w:sz w:val="20"/>
        </w:rPr>
        <w:t xml:space="preserve">policy </w:t>
      </w:r>
      <w:r w:rsidRPr="0077512B">
        <w:rPr>
          <w:rFonts w:ascii="Arial" w:hAnsi="Arial" w:cs="Arial"/>
          <w:sz w:val="20"/>
        </w:rPr>
        <w:t xml:space="preserve">is linked to Strategic Goals I and III. In the context of Strategic Goal I, the work aims at </w:t>
      </w:r>
      <w:r>
        <w:rPr>
          <w:rFonts w:ascii="Arial" w:hAnsi="Arial" w:cs="Arial"/>
          <w:sz w:val="20"/>
        </w:rPr>
        <w:t>providing</w:t>
      </w:r>
      <w:r w:rsidRPr="0077512B">
        <w:rPr>
          <w:rFonts w:ascii="Arial" w:hAnsi="Arial" w:cs="Arial"/>
          <w:sz w:val="20"/>
        </w:rPr>
        <w:t xml:space="preserve"> WIPO Member States the tools for establishing – at the national level – a balanced normative setting that ensures that IP remains the legal framework for free and open markets. </w:t>
      </w:r>
      <w:r>
        <w:rPr>
          <w:rFonts w:ascii="Arial" w:hAnsi="Arial" w:cs="Arial"/>
          <w:sz w:val="20"/>
        </w:rPr>
        <w:t xml:space="preserve"> </w:t>
      </w:r>
      <w:r w:rsidRPr="0077512B">
        <w:rPr>
          <w:rFonts w:ascii="Arial" w:hAnsi="Arial" w:cs="Arial"/>
          <w:sz w:val="20"/>
        </w:rPr>
        <w:t xml:space="preserve">At the same time, </w:t>
      </w:r>
      <w:r>
        <w:rPr>
          <w:rFonts w:ascii="Arial" w:hAnsi="Arial" w:cs="Arial"/>
          <w:sz w:val="20"/>
        </w:rPr>
        <w:t xml:space="preserve">ensuring the freedom of markets is a strong catalyst </w:t>
      </w:r>
      <w:r w:rsidRPr="0077512B">
        <w:rPr>
          <w:rFonts w:ascii="Arial" w:hAnsi="Arial" w:cs="Arial"/>
          <w:sz w:val="20"/>
        </w:rPr>
        <w:t>for development.</w:t>
      </w:r>
    </w:p>
    <w:p w14:paraId="3B8291E2" w14:textId="77777777" w:rsidR="00B46E15" w:rsidRDefault="00B46E15" w:rsidP="00B46E15">
      <w:pPr>
        <w:jc w:val="both"/>
        <w:rPr>
          <w:rFonts w:ascii="Arial" w:hAnsi="Arial" w:cs="Arial"/>
          <w:sz w:val="20"/>
        </w:rPr>
      </w:pPr>
    </w:p>
    <w:p w14:paraId="1B236671" w14:textId="77777777" w:rsidR="00B46E15" w:rsidRDefault="00B46E15" w:rsidP="00B46E15">
      <w:pPr>
        <w:numPr>
          <w:ilvl w:val="0"/>
          <w:numId w:val="74"/>
        </w:numPr>
        <w:tabs>
          <w:tab w:val="left" w:pos="709"/>
        </w:tabs>
        <w:jc w:val="both"/>
        <w:rPr>
          <w:rFonts w:ascii="Arial" w:hAnsi="Arial" w:cs="Arial"/>
          <w:sz w:val="20"/>
        </w:rPr>
      </w:pPr>
      <w:r w:rsidRPr="0077512B">
        <w:rPr>
          <w:rFonts w:ascii="Arial" w:hAnsi="Arial" w:cs="Arial"/>
          <w:sz w:val="20"/>
        </w:rPr>
        <w:t>WIPO will continue to serve as a forum for the sharing of experiences between Member States</w:t>
      </w:r>
      <w:r>
        <w:rPr>
          <w:rFonts w:ascii="Arial" w:hAnsi="Arial" w:cs="Arial"/>
          <w:sz w:val="20"/>
        </w:rPr>
        <w:t xml:space="preserve"> on IP and competition policy through awareness </w:t>
      </w:r>
      <w:r w:rsidRPr="0077512B">
        <w:rPr>
          <w:rFonts w:ascii="Arial" w:hAnsi="Arial" w:cs="Arial"/>
          <w:sz w:val="20"/>
        </w:rPr>
        <w:t>raising and dissemination of information, with a special focus on developing and least-developed countries.</w:t>
      </w:r>
    </w:p>
    <w:p w14:paraId="381DC0A3" w14:textId="77777777" w:rsidR="00B46E15" w:rsidRDefault="00B46E15" w:rsidP="00B46E15">
      <w:pPr>
        <w:jc w:val="both"/>
        <w:rPr>
          <w:rFonts w:ascii="Arial" w:hAnsi="Arial" w:cs="Arial"/>
          <w:sz w:val="20"/>
        </w:rPr>
      </w:pPr>
    </w:p>
    <w:p w14:paraId="687400E8" w14:textId="77777777" w:rsidR="00B46E15" w:rsidRPr="0077512B" w:rsidRDefault="00B46E15" w:rsidP="00B46E15">
      <w:pPr>
        <w:jc w:val="both"/>
        <w:rPr>
          <w:rFonts w:ascii="Arial" w:hAnsi="Arial" w:cs="Arial"/>
          <w:sz w:val="20"/>
        </w:rPr>
      </w:pPr>
    </w:p>
    <w:p w14:paraId="4553C05D" w14:textId="77777777" w:rsidR="00B46E15" w:rsidRPr="0035376F" w:rsidRDefault="00B46E15" w:rsidP="00B46E15">
      <w:pPr>
        <w:jc w:val="both"/>
        <w:rPr>
          <w:rFonts w:ascii="Arial" w:hAnsi="Arial" w:cs="Arial"/>
        </w:rPr>
      </w:pPr>
      <w:r w:rsidRPr="0035376F">
        <w:rPr>
          <w:rFonts w:ascii="Arial" w:hAnsi="Arial" w:cs="Arial"/>
        </w:rPr>
        <w:t>IMPLEMENTATION STRATEGIES</w:t>
      </w:r>
    </w:p>
    <w:p w14:paraId="390781D5" w14:textId="77777777" w:rsidR="00B46E15" w:rsidRPr="0077512B" w:rsidRDefault="00B46E15" w:rsidP="00B46E15">
      <w:pPr>
        <w:jc w:val="both"/>
        <w:rPr>
          <w:rFonts w:ascii="Arial" w:hAnsi="Arial" w:cs="Arial"/>
          <w:sz w:val="20"/>
        </w:rPr>
      </w:pPr>
    </w:p>
    <w:p w14:paraId="700C9E3E" w14:textId="77777777" w:rsidR="00B46E15" w:rsidRDefault="00B46E15" w:rsidP="00B46E15">
      <w:pPr>
        <w:numPr>
          <w:ilvl w:val="0"/>
          <w:numId w:val="74"/>
        </w:numPr>
        <w:tabs>
          <w:tab w:val="left" w:pos="709"/>
        </w:tabs>
        <w:jc w:val="both"/>
        <w:rPr>
          <w:rFonts w:ascii="Arial" w:hAnsi="Arial" w:cs="Arial"/>
          <w:sz w:val="20"/>
        </w:rPr>
      </w:pPr>
      <w:r w:rsidRPr="0077512B">
        <w:rPr>
          <w:rFonts w:ascii="Arial" w:hAnsi="Arial" w:cs="Arial"/>
          <w:sz w:val="20"/>
        </w:rPr>
        <w:t>Activities</w:t>
      </w:r>
      <w:r>
        <w:rPr>
          <w:rFonts w:ascii="Arial" w:hAnsi="Arial" w:cs="Arial"/>
          <w:sz w:val="20"/>
        </w:rPr>
        <w:t xml:space="preserve"> linked to the </w:t>
      </w:r>
      <w:r w:rsidRPr="0077512B">
        <w:rPr>
          <w:rFonts w:ascii="Arial" w:hAnsi="Arial" w:cs="Arial"/>
          <w:sz w:val="20"/>
        </w:rPr>
        <w:t xml:space="preserve">exchange of experiences and assistance to Member States in addressing the interface between IP and competition policy will be continued in 2016/17. </w:t>
      </w:r>
      <w:r>
        <w:rPr>
          <w:rFonts w:ascii="Arial" w:hAnsi="Arial" w:cs="Arial"/>
          <w:sz w:val="20"/>
        </w:rPr>
        <w:t xml:space="preserve"> </w:t>
      </w:r>
      <w:r w:rsidRPr="0077512B">
        <w:rPr>
          <w:rFonts w:ascii="Arial" w:hAnsi="Arial" w:cs="Arial"/>
          <w:sz w:val="20"/>
        </w:rPr>
        <w:t>These activities will include study and analysis of the use by a number of Member States of the rules of protection against unfair competition as complementary mechanisms to competition law enforcement.</w:t>
      </w:r>
    </w:p>
    <w:p w14:paraId="2F1FB6DF" w14:textId="77777777" w:rsidR="00B46E15" w:rsidRPr="0077512B" w:rsidRDefault="00B46E15" w:rsidP="00B46E15">
      <w:pPr>
        <w:jc w:val="both"/>
        <w:rPr>
          <w:rFonts w:ascii="Arial" w:hAnsi="Arial" w:cs="Arial"/>
          <w:sz w:val="20"/>
        </w:rPr>
      </w:pPr>
    </w:p>
    <w:p w14:paraId="6EB756B6" w14:textId="77777777" w:rsidR="00B46E15" w:rsidRPr="0077512B" w:rsidRDefault="00B46E15" w:rsidP="00B46E15">
      <w:pPr>
        <w:numPr>
          <w:ilvl w:val="0"/>
          <w:numId w:val="74"/>
        </w:numPr>
        <w:tabs>
          <w:tab w:val="left" w:pos="709"/>
        </w:tabs>
        <w:jc w:val="both"/>
        <w:rPr>
          <w:rFonts w:ascii="Arial" w:hAnsi="Arial" w:cs="Arial"/>
          <w:sz w:val="20"/>
        </w:rPr>
      </w:pPr>
      <w:r w:rsidRPr="0077512B">
        <w:rPr>
          <w:rFonts w:ascii="Arial" w:hAnsi="Arial" w:cs="Arial"/>
          <w:sz w:val="20"/>
        </w:rPr>
        <w:t xml:space="preserve">In addition, to ensure that efforts will not be duplicated with other intergovernmental organizations, WIPO will continue coordinating on a regular basis with the </w:t>
      </w:r>
      <w:proofErr w:type="spellStart"/>
      <w:r w:rsidRPr="005241F7">
        <w:rPr>
          <w:rFonts w:ascii="Arial" w:hAnsi="Arial" w:cs="Arial"/>
          <w:bCs/>
          <w:sz w:val="20"/>
        </w:rPr>
        <w:t>Organisation</w:t>
      </w:r>
      <w:proofErr w:type="spellEnd"/>
      <w:r w:rsidRPr="005241F7">
        <w:rPr>
          <w:rFonts w:ascii="Arial" w:hAnsi="Arial" w:cs="Arial"/>
          <w:bCs/>
          <w:sz w:val="20"/>
        </w:rPr>
        <w:t xml:space="preserve"> for Economic </w:t>
      </w:r>
      <w:r w:rsidRPr="005241F7">
        <w:rPr>
          <w:rFonts w:ascii="Arial" w:hAnsi="Arial" w:cs="Arial"/>
          <w:bCs/>
          <w:sz w:val="20"/>
        </w:rPr>
        <w:lastRenderedPageBreak/>
        <w:t>Co-operation and Development</w:t>
      </w:r>
      <w:r w:rsidRPr="005241F7">
        <w:rPr>
          <w:rFonts w:ascii="Arial" w:hAnsi="Arial" w:cs="Arial"/>
          <w:sz w:val="16"/>
        </w:rPr>
        <w:t xml:space="preserve"> </w:t>
      </w:r>
      <w:r>
        <w:rPr>
          <w:rFonts w:ascii="Arial" w:hAnsi="Arial" w:cs="Arial"/>
          <w:sz w:val="16"/>
        </w:rPr>
        <w:t>(</w:t>
      </w:r>
      <w:r w:rsidRPr="0077512B">
        <w:rPr>
          <w:rFonts w:ascii="Arial" w:hAnsi="Arial" w:cs="Arial"/>
          <w:sz w:val="20"/>
        </w:rPr>
        <w:t>OECD</w:t>
      </w:r>
      <w:r>
        <w:rPr>
          <w:rFonts w:ascii="Arial" w:hAnsi="Arial" w:cs="Arial"/>
          <w:sz w:val="20"/>
        </w:rPr>
        <w:t>)</w:t>
      </w:r>
      <w:r w:rsidRPr="0077512B">
        <w:rPr>
          <w:rFonts w:ascii="Arial" w:hAnsi="Arial" w:cs="Arial"/>
          <w:sz w:val="20"/>
        </w:rPr>
        <w:t xml:space="preserve">, the WTO, </w:t>
      </w:r>
      <w:r>
        <w:rPr>
          <w:rFonts w:ascii="Arial" w:hAnsi="Arial" w:cs="Arial"/>
          <w:sz w:val="20"/>
        </w:rPr>
        <w:t xml:space="preserve">the </w:t>
      </w:r>
      <w:r w:rsidRPr="005241F7">
        <w:rPr>
          <w:rFonts w:ascii="Arial" w:hAnsi="Arial" w:cs="Arial"/>
          <w:bCs/>
          <w:sz w:val="20"/>
        </w:rPr>
        <w:t>United Nations Conference on Trade and Development</w:t>
      </w:r>
      <w:r w:rsidRPr="005241F7">
        <w:rPr>
          <w:rFonts w:ascii="Arial" w:hAnsi="Arial" w:cs="Arial"/>
          <w:sz w:val="20"/>
        </w:rPr>
        <w:t xml:space="preserve"> (</w:t>
      </w:r>
      <w:r w:rsidRPr="005241F7">
        <w:rPr>
          <w:rFonts w:ascii="Arial" w:hAnsi="Arial" w:cs="Arial"/>
          <w:bCs/>
          <w:sz w:val="20"/>
        </w:rPr>
        <w:t>UNCTAD</w:t>
      </w:r>
      <w:r w:rsidRPr="005241F7">
        <w:rPr>
          <w:rFonts w:ascii="Arial" w:hAnsi="Arial" w:cs="Arial"/>
          <w:sz w:val="20"/>
        </w:rPr>
        <w:t>)</w:t>
      </w:r>
      <w:r w:rsidRPr="0077512B">
        <w:rPr>
          <w:rFonts w:ascii="Arial" w:hAnsi="Arial" w:cs="Arial"/>
          <w:sz w:val="20"/>
        </w:rPr>
        <w:t xml:space="preserve"> and, when appropriate, with the I</w:t>
      </w:r>
      <w:r>
        <w:rPr>
          <w:rFonts w:ascii="Arial" w:hAnsi="Arial" w:cs="Arial"/>
          <w:sz w:val="20"/>
        </w:rPr>
        <w:t>nternational Competition Network (I</w:t>
      </w:r>
      <w:r w:rsidRPr="0077512B">
        <w:rPr>
          <w:rFonts w:ascii="Arial" w:hAnsi="Arial" w:cs="Arial"/>
          <w:sz w:val="20"/>
        </w:rPr>
        <w:t>CN</w:t>
      </w:r>
      <w:r>
        <w:rPr>
          <w:rFonts w:ascii="Arial" w:hAnsi="Arial" w:cs="Arial"/>
          <w:sz w:val="20"/>
        </w:rPr>
        <w:t>)</w:t>
      </w:r>
      <w:r w:rsidRPr="0077512B">
        <w:rPr>
          <w:rFonts w:ascii="Arial" w:hAnsi="Arial" w:cs="Arial"/>
          <w:sz w:val="20"/>
        </w:rPr>
        <w:t>.</w:t>
      </w:r>
    </w:p>
    <w:p w14:paraId="017BADF6" w14:textId="77777777" w:rsidR="00B46E15" w:rsidRDefault="00B46E15" w:rsidP="00FB68E0">
      <w:pPr>
        <w:jc w:val="both"/>
        <w:rPr>
          <w:rFonts w:ascii="Arial" w:hAnsi="Arial" w:cs="Arial"/>
          <w:sz w:val="20"/>
        </w:rPr>
      </w:pPr>
    </w:p>
    <w:p w14:paraId="340CE35A" w14:textId="6D7ACFB4" w:rsidR="007A5A68" w:rsidRPr="00B70B7D" w:rsidRDefault="007A5A68" w:rsidP="00B66A4A">
      <w:pPr>
        <w:numPr>
          <w:ilvl w:val="0"/>
          <w:numId w:val="74"/>
        </w:numPr>
        <w:jc w:val="both"/>
        <w:rPr>
          <w:rFonts w:ascii="Arial" w:hAnsi="Arial" w:cs="Arial"/>
          <w:sz w:val="20"/>
        </w:rPr>
      </w:pPr>
      <w:r w:rsidRPr="00B70B7D">
        <w:rPr>
          <w:rFonts w:ascii="Arial" w:hAnsi="Arial" w:cs="Arial"/>
          <w:sz w:val="20"/>
        </w:rPr>
        <w:t xml:space="preserve">Program 18 collaborates primarily with other Programs as illustrated below: </w:t>
      </w:r>
    </w:p>
    <w:p w14:paraId="1E4B04A6" w14:textId="77777777" w:rsidR="007A5A68" w:rsidRDefault="007A5A68" w:rsidP="00FB68E0">
      <w:pPr>
        <w:jc w:val="both"/>
        <w:rPr>
          <w:rFonts w:ascii="Arial" w:hAnsi="Arial" w:cs="Arial"/>
          <w:sz w:val="20"/>
        </w:rPr>
      </w:pPr>
    </w:p>
    <w:p w14:paraId="0670C696" w14:textId="77777777" w:rsidR="000C537C" w:rsidRPr="008B29D8" w:rsidRDefault="000C537C" w:rsidP="00984F70">
      <w:pPr>
        <w:jc w:val="both"/>
        <w:rPr>
          <w:rFonts w:ascii="Arial" w:hAnsi="Arial" w:cs="Arial"/>
          <w:sz w:val="20"/>
        </w:rPr>
      </w:pPr>
    </w:p>
    <w:p w14:paraId="2F7F190C" w14:textId="77777777" w:rsidR="000C537C" w:rsidRDefault="000C537C" w:rsidP="00984F70">
      <w:pPr>
        <w:tabs>
          <w:tab w:val="left" w:pos="567"/>
          <w:tab w:val="left" w:pos="1985"/>
        </w:tabs>
        <w:jc w:val="both"/>
        <w:rPr>
          <w:rFonts w:ascii="Arial" w:hAnsi="Arial" w:cs="Arial"/>
          <w:bCs/>
          <w:sz w:val="20"/>
        </w:rPr>
      </w:pPr>
    </w:p>
    <w:p w14:paraId="39F0AFCF" w14:textId="77777777" w:rsidR="000C537C" w:rsidRDefault="000C537C" w:rsidP="00984F70">
      <w:pPr>
        <w:tabs>
          <w:tab w:val="left" w:pos="567"/>
          <w:tab w:val="left" w:pos="1985"/>
        </w:tabs>
        <w:jc w:val="both"/>
        <w:rPr>
          <w:rFonts w:ascii="Arial" w:hAnsi="Arial" w:cs="Arial"/>
          <w:bCs/>
          <w:sz w:val="20"/>
        </w:rPr>
      </w:pPr>
      <w:r w:rsidRPr="00B619BE">
        <w:rPr>
          <w:rFonts w:ascii="Arial" w:hAnsi="Arial" w:cs="Arial"/>
          <w:noProof/>
          <w:lang w:eastAsia="en-US"/>
        </w:rPr>
        <w:drawing>
          <wp:inline distT="0" distB="0" distL="0" distR="0" wp14:anchorId="4321FF0E" wp14:editId="0A4289A4">
            <wp:extent cx="5943600" cy="1413040"/>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14:paraId="3E4A4F89" w14:textId="77777777" w:rsidR="000C537C" w:rsidRDefault="000C537C" w:rsidP="00984F70">
      <w:pPr>
        <w:tabs>
          <w:tab w:val="left" w:pos="567"/>
          <w:tab w:val="left" w:pos="1985"/>
        </w:tabs>
        <w:jc w:val="both"/>
        <w:rPr>
          <w:rFonts w:ascii="Arial" w:hAnsi="Arial" w:cs="Arial"/>
          <w:bCs/>
          <w:sz w:val="20"/>
        </w:rPr>
      </w:pPr>
    </w:p>
    <w:p w14:paraId="28CAC829" w14:textId="77777777" w:rsidR="00323604" w:rsidRDefault="00323604" w:rsidP="00984F70">
      <w:pPr>
        <w:tabs>
          <w:tab w:val="left" w:pos="567"/>
          <w:tab w:val="left" w:pos="1985"/>
        </w:tabs>
        <w:jc w:val="both"/>
        <w:rPr>
          <w:rFonts w:ascii="Arial" w:hAnsi="Arial" w:cs="Arial"/>
          <w:bCs/>
          <w:sz w:val="20"/>
        </w:rPr>
      </w:pPr>
    </w:p>
    <w:p w14:paraId="43DA1CC7" w14:textId="77777777" w:rsidR="000C537C" w:rsidRDefault="000C537C" w:rsidP="00984F70">
      <w:pPr>
        <w:tabs>
          <w:tab w:val="left" w:pos="567"/>
          <w:tab w:val="left" w:pos="1985"/>
        </w:tabs>
        <w:jc w:val="both"/>
        <w:rPr>
          <w:rFonts w:ascii="Arial" w:hAnsi="Arial" w:cs="Arial"/>
          <w:bCs/>
        </w:rPr>
      </w:pPr>
      <w:r>
        <w:rPr>
          <w:rFonts w:ascii="Arial" w:hAnsi="Arial" w:cs="Arial"/>
          <w:bCs/>
        </w:rPr>
        <w:t>MAJOR RISKS AND MITIGATION STRATEGIES</w:t>
      </w:r>
    </w:p>
    <w:p w14:paraId="218EC840" w14:textId="77777777" w:rsidR="000C537C" w:rsidRPr="00E91DFE" w:rsidRDefault="000C537C" w:rsidP="00984F70">
      <w:pPr>
        <w:rPr>
          <w:rFonts w:ascii="Arial" w:hAnsi="Arial"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C537C" w14:paraId="17A5995B" w14:textId="77777777" w:rsidTr="00984F70">
        <w:trPr>
          <w:trHeight w:val="577"/>
        </w:trPr>
        <w:tc>
          <w:tcPr>
            <w:tcW w:w="4111" w:type="dxa"/>
            <w:tcBorders>
              <w:top w:val="single" w:sz="4" w:space="0" w:color="auto"/>
              <w:bottom w:val="single" w:sz="4" w:space="0" w:color="auto"/>
            </w:tcBorders>
            <w:shd w:val="clear" w:color="auto" w:fill="C6D9F1" w:themeFill="text2" w:themeFillTint="33"/>
            <w:vAlign w:val="center"/>
          </w:tcPr>
          <w:p w14:paraId="7DA4FD70" w14:textId="77777777" w:rsidR="000C537C" w:rsidRPr="003C527B" w:rsidRDefault="000C537C" w:rsidP="00984F70">
            <w:pPr>
              <w:jc w:val="center"/>
              <w:rPr>
                <w:rFonts w:ascii="Arial" w:hAnsi="Arial" w:cs="Arial"/>
                <w:b/>
                <w:bCs/>
                <w:sz w:val="18"/>
                <w:szCs w:val="18"/>
              </w:rPr>
            </w:pPr>
            <w:r>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3D9BA8C0" w14:textId="77777777" w:rsidR="000C537C" w:rsidRPr="003C527B" w:rsidRDefault="000C537C" w:rsidP="00984F70">
            <w:pPr>
              <w:jc w:val="center"/>
              <w:rPr>
                <w:rFonts w:ascii="Arial" w:hAnsi="Arial" w:cs="Arial"/>
                <w:b/>
                <w:bCs/>
                <w:sz w:val="18"/>
                <w:szCs w:val="18"/>
              </w:rPr>
            </w:pPr>
            <w:r>
              <w:rPr>
                <w:rFonts w:ascii="Arial" w:hAnsi="Arial" w:cs="Arial"/>
                <w:b/>
                <w:bCs/>
                <w:sz w:val="18"/>
                <w:szCs w:val="18"/>
              </w:rPr>
              <w:t>Mitigation</w:t>
            </w:r>
          </w:p>
        </w:tc>
      </w:tr>
      <w:tr w:rsidR="000C537C" w14:paraId="6C8757A5" w14:textId="77777777" w:rsidTr="00984F70">
        <w:trPr>
          <w:trHeight w:val="147"/>
        </w:trPr>
        <w:tc>
          <w:tcPr>
            <w:tcW w:w="4111" w:type="dxa"/>
            <w:tcBorders>
              <w:top w:val="single" w:sz="4" w:space="0" w:color="auto"/>
            </w:tcBorders>
            <w:shd w:val="clear" w:color="auto" w:fill="auto"/>
            <w:tcMar>
              <w:top w:w="113" w:type="dxa"/>
              <w:bottom w:w="113" w:type="dxa"/>
            </w:tcMar>
          </w:tcPr>
          <w:p w14:paraId="46F8F619" w14:textId="77777777" w:rsidR="000C537C" w:rsidRPr="00AA76F3" w:rsidRDefault="000C537C" w:rsidP="00984F70">
            <w:pPr>
              <w:rPr>
                <w:sz w:val="16"/>
                <w:szCs w:val="16"/>
              </w:rPr>
            </w:pPr>
            <w:r>
              <w:rPr>
                <w:rFonts w:ascii="Arial" w:hAnsi="Arial" w:cs="Arial"/>
                <w:color w:val="000000"/>
                <w:sz w:val="16"/>
                <w:szCs w:val="16"/>
              </w:rPr>
              <w:t xml:space="preserve">Lack of commitment of members or partners for WIPO </w:t>
            </w:r>
            <w:proofErr w:type="spellStart"/>
            <w:r>
              <w:rPr>
                <w:rFonts w:ascii="Arial" w:hAnsi="Arial" w:cs="Arial"/>
                <w:color w:val="000000"/>
                <w:sz w:val="16"/>
                <w:szCs w:val="16"/>
              </w:rPr>
              <w:t>Re:Search</w:t>
            </w:r>
            <w:proofErr w:type="spellEnd"/>
            <w:r>
              <w:rPr>
                <w:rFonts w:ascii="Arial" w:hAnsi="Arial" w:cs="Arial"/>
                <w:color w:val="000000"/>
                <w:sz w:val="16"/>
                <w:szCs w:val="16"/>
              </w:rPr>
              <w:t xml:space="preserve"> and WIPO GREEN could result in insufficient records and thus reduced credibility of the platforms.</w:t>
            </w:r>
            <w:r w:rsidDel="008D4CE6">
              <w:rPr>
                <w:rFonts w:ascii="Arial" w:hAnsi="Arial" w:cs="Arial"/>
                <w:color w:val="000000"/>
                <w:sz w:val="16"/>
                <w:szCs w:val="16"/>
              </w:rPr>
              <w:t xml:space="preserve"> </w:t>
            </w:r>
          </w:p>
        </w:tc>
        <w:tc>
          <w:tcPr>
            <w:tcW w:w="5103" w:type="dxa"/>
            <w:tcBorders>
              <w:top w:val="single" w:sz="4" w:space="0" w:color="auto"/>
            </w:tcBorders>
            <w:shd w:val="clear" w:color="auto" w:fill="auto"/>
            <w:tcMar>
              <w:top w:w="113" w:type="dxa"/>
              <w:bottom w:w="113" w:type="dxa"/>
            </w:tcMar>
          </w:tcPr>
          <w:p w14:paraId="58060635" w14:textId="77777777" w:rsidR="000C537C" w:rsidRDefault="000C537C" w:rsidP="00984F70">
            <w:pPr>
              <w:spacing w:line="276" w:lineRule="auto"/>
              <w:rPr>
                <w:rFonts w:ascii="Arial" w:hAnsi="Arial" w:cs="Arial"/>
                <w:color w:val="000000"/>
                <w:sz w:val="16"/>
                <w:szCs w:val="16"/>
              </w:rPr>
            </w:pPr>
            <w:r>
              <w:rPr>
                <w:rFonts w:ascii="Arial" w:hAnsi="Arial" w:cs="Arial"/>
                <w:color w:val="000000"/>
                <w:sz w:val="16"/>
                <w:szCs w:val="16"/>
              </w:rPr>
              <w:t xml:space="preserve">WIPO </w:t>
            </w:r>
            <w:proofErr w:type="spellStart"/>
            <w:r>
              <w:rPr>
                <w:rFonts w:ascii="Arial" w:hAnsi="Arial" w:cs="Arial"/>
                <w:color w:val="000000"/>
                <w:sz w:val="16"/>
                <w:szCs w:val="16"/>
              </w:rPr>
              <w:t>Re:Search</w:t>
            </w:r>
            <w:proofErr w:type="spellEnd"/>
            <w:r>
              <w:rPr>
                <w:rFonts w:ascii="Arial" w:hAnsi="Arial" w:cs="Arial"/>
                <w:color w:val="000000"/>
                <w:sz w:val="16"/>
                <w:szCs w:val="16"/>
              </w:rPr>
              <w:t>: Increase efforts to enhance resources and activities of Partnership Hub.</w:t>
            </w:r>
          </w:p>
          <w:p w14:paraId="7A28F305" w14:textId="77777777" w:rsidR="000C537C" w:rsidRPr="00E91DFE" w:rsidRDefault="000C537C" w:rsidP="00984F70">
            <w:pPr>
              <w:rPr>
                <w:rFonts w:ascii="Arial" w:hAnsi="Arial" w:cs="Arial"/>
                <w:color w:val="000000"/>
                <w:sz w:val="8"/>
                <w:szCs w:val="8"/>
              </w:rPr>
            </w:pPr>
          </w:p>
          <w:p w14:paraId="100009DF" w14:textId="77777777" w:rsidR="000C537C" w:rsidRPr="00AA76F3" w:rsidRDefault="000C537C" w:rsidP="00984F70">
            <w:pPr>
              <w:rPr>
                <w:sz w:val="16"/>
                <w:szCs w:val="16"/>
              </w:rPr>
            </w:pPr>
            <w:r>
              <w:rPr>
                <w:rFonts w:ascii="Arial" w:hAnsi="Arial" w:cs="Arial"/>
                <w:color w:val="000000"/>
                <w:sz w:val="16"/>
                <w:szCs w:val="16"/>
              </w:rPr>
              <w:t>WIPO GREEN: Ensure that the services offered are aligned with customers’ needs, effective marketing and maintain close collaboration with existing partners/stakeholders. </w:t>
            </w:r>
          </w:p>
        </w:tc>
      </w:tr>
    </w:tbl>
    <w:p w14:paraId="1F3A5885" w14:textId="77777777" w:rsidR="000C537C" w:rsidRDefault="000C537C" w:rsidP="00984F70">
      <w:pPr>
        <w:tabs>
          <w:tab w:val="left" w:pos="567"/>
          <w:tab w:val="left" w:pos="1985"/>
        </w:tabs>
        <w:jc w:val="both"/>
        <w:rPr>
          <w:rFonts w:ascii="Arial" w:hAnsi="Arial" w:cs="Arial"/>
          <w:bCs/>
        </w:rPr>
      </w:pPr>
    </w:p>
    <w:p w14:paraId="1C62984C" w14:textId="77777777" w:rsidR="000C537C" w:rsidRDefault="000C537C" w:rsidP="00984F70">
      <w:pPr>
        <w:tabs>
          <w:tab w:val="left" w:pos="567"/>
          <w:tab w:val="left" w:pos="1985"/>
        </w:tabs>
        <w:jc w:val="both"/>
        <w:rPr>
          <w:rFonts w:ascii="Arial" w:hAnsi="Arial" w:cs="Arial"/>
          <w:bCs/>
        </w:rPr>
      </w:pPr>
    </w:p>
    <w:p w14:paraId="0D795502" w14:textId="77777777" w:rsidR="000C537C" w:rsidRDefault="000C537C" w:rsidP="00AC4500">
      <w:pPr>
        <w:tabs>
          <w:tab w:val="left" w:pos="567"/>
          <w:tab w:val="left" w:pos="1985"/>
        </w:tabs>
        <w:jc w:val="both"/>
        <w:rPr>
          <w:rFonts w:ascii="Arial" w:hAnsi="Arial" w:cs="Arial"/>
          <w:bCs/>
        </w:rPr>
      </w:pPr>
      <w:r>
        <w:rPr>
          <w:rFonts w:ascii="Arial" w:hAnsi="Arial" w:cs="Arial"/>
          <w:bCs/>
        </w:rPr>
        <w:t>RESULTS FRAMEWORK</w:t>
      </w:r>
    </w:p>
    <w:p w14:paraId="02BEE674" w14:textId="77777777" w:rsidR="000C537C" w:rsidRDefault="000C537C" w:rsidP="00AC4500">
      <w:pPr>
        <w:tabs>
          <w:tab w:val="left" w:pos="567"/>
          <w:tab w:val="left" w:pos="1985"/>
        </w:tabs>
        <w:jc w:val="both"/>
        <w:rPr>
          <w:rFonts w:ascii="Arial" w:hAnsi="Arial" w:cs="Arial"/>
          <w:bCs/>
          <w:sz w:val="20"/>
        </w:rPr>
      </w:pPr>
    </w:p>
    <w:tbl>
      <w:tblPr>
        <w:tblW w:w="9260" w:type="dxa"/>
        <w:tblInd w:w="93" w:type="dxa"/>
        <w:tblLook w:val="04A0" w:firstRow="1" w:lastRow="0" w:firstColumn="1" w:lastColumn="0" w:noHBand="0" w:noVBand="1"/>
      </w:tblPr>
      <w:tblGrid>
        <w:gridCol w:w="2340"/>
        <w:gridCol w:w="2380"/>
        <w:gridCol w:w="2520"/>
        <w:gridCol w:w="2020"/>
      </w:tblGrid>
      <w:tr w:rsidR="000C537C" w:rsidRPr="002E2072" w14:paraId="6533EA07" w14:textId="77777777" w:rsidTr="00AC4500">
        <w:trPr>
          <w:trHeight w:val="675"/>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09B9082" w14:textId="77777777" w:rsidR="000C537C" w:rsidRPr="002E2072" w:rsidRDefault="000C537C" w:rsidP="00AC4500">
            <w:pPr>
              <w:jc w:val="center"/>
              <w:rPr>
                <w:rFonts w:ascii="Arial" w:hAnsi="Arial" w:cs="Arial"/>
                <w:b/>
                <w:bCs/>
                <w:color w:val="000000"/>
                <w:sz w:val="18"/>
                <w:szCs w:val="18"/>
              </w:rPr>
            </w:pPr>
            <w:r w:rsidRPr="002E2072">
              <w:rPr>
                <w:rFonts w:ascii="Arial" w:hAnsi="Arial" w:cs="Arial"/>
                <w:b/>
                <w:bCs/>
                <w:color w:val="000000"/>
                <w:sz w:val="18"/>
                <w:szCs w:val="18"/>
              </w:rPr>
              <w:t>Expected Results</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1B03B70E" w14:textId="77777777" w:rsidR="000C537C" w:rsidRPr="002E2072" w:rsidRDefault="000C537C" w:rsidP="00AC4500">
            <w:pPr>
              <w:jc w:val="center"/>
              <w:rPr>
                <w:rFonts w:ascii="Arial" w:hAnsi="Arial" w:cs="Arial"/>
                <w:b/>
                <w:bCs/>
                <w:color w:val="000000"/>
                <w:sz w:val="18"/>
                <w:szCs w:val="18"/>
              </w:rPr>
            </w:pPr>
            <w:r w:rsidRPr="002E2072">
              <w:rPr>
                <w:rFonts w:ascii="Arial" w:hAnsi="Arial" w:cs="Arial"/>
                <w:b/>
                <w:bCs/>
                <w:color w:val="000000"/>
                <w:sz w:val="18"/>
                <w:szCs w:val="18"/>
              </w:rPr>
              <w:t>Performance Indicators</w:t>
            </w:r>
          </w:p>
        </w:tc>
        <w:tc>
          <w:tcPr>
            <w:tcW w:w="2520" w:type="dxa"/>
            <w:tcBorders>
              <w:top w:val="single" w:sz="4" w:space="0" w:color="auto"/>
              <w:left w:val="nil"/>
              <w:bottom w:val="single" w:sz="4" w:space="0" w:color="auto"/>
              <w:right w:val="nil"/>
            </w:tcBorders>
            <w:shd w:val="clear" w:color="auto" w:fill="C6D9F1" w:themeFill="text2" w:themeFillTint="33"/>
            <w:vAlign w:val="center"/>
            <w:hideMark/>
          </w:tcPr>
          <w:p w14:paraId="789246CF" w14:textId="77777777" w:rsidR="000C537C" w:rsidRPr="002E2072" w:rsidRDefault="000C537C" w:rsidP="00AC4500">
            <w:pPr>
              <w:jc w:val="center"/>
              <w:rPr>
                <w:rFonts w:ascii="Arial" w:hAnsi="Arial" w:cs="Arial"/>
                <w:b/>
                <w:bCs/>
                <w:color w:val="000000"/>
                <w:sz w:val="18"/>
                <w:szCs w:val="18"/>
              </w:rPr>
            </w:pPr>
            <w:r w:rsidRPr="002E2072">
              <w:rPr>
                <w:rFonts w:ascii="Arial" w:hAnsi="Arial" w:cs="Arial"/>
                <w:b/>
                <w:bCs/>
                <w:color w:val="000000"/>
                <w:sz w:val="18"/>
                <w:szCs w:val="18"/>
              </w:rPr>
              <w:t>Baselines</w:t>
            </w:r>
          </w:p>
        </w:tc>
        <w:tc>
          <w:tcPr>
            <w:tcW w:w="20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EB37248" w14:textId="77777777" w:rsidR="000C537C" w:rsidRPr="002E2072" w:rsidRDefault="000C537C" w:rsidP="00AC4500">
            <w:pPr>
              <w:jc w:val="center"/>
              <w:rPr>
                <w:rFonts w:ascii="Arial" w:hAnsi="Arial" w:cs="Arial"/>
                <w:b/>
                <w:bCs/>
                <w:color w:val="000000"/>
                <w:sz w:val="18"/>
                <w:szCs w:val="18"/>
              </w:rPr>
            </w:pPr>
            <w:r w:rsidRPr="002E2072">
              <w:rPr>
                <w:rFonts w:ascii="Arial" w:hAnsi="Arial" w:cs="Arial"/>
                <w:b/>
                <w:bCs/>
                <w:color w:val="000000"/>
                <w:sz w:val="18"/>
                <w:szCs w:val="18"/>
              </w:rPr>
              <w:t>Targets</w:t>
            </w:r>
          </w:p>
        </w:tc>
      </w:tr>
      <w:tr w:rsidR="00B46E15" w:rsidRPr="002E2072" w14:paraId="61BE95A3" w14:textId="77777777" w:rsidTr="008D4CE9">
        <w:trPr>
          <w:trHeight w:val="955"/>
        </w:trPr>
        <w:tc>
          <w:tcPr>
            <w:tcW w:w="2340" w:type="dxa"/>
            <w:tcBorders>
              <w:top w:val="nil"/>
              <w:left w:val="single" w:sz="4" w:space="0" w:color="auto"/>
              <w:bottom w:val="nil"/>
              <w:right w:val="nil"/>
            </w:tcBorders>
            <w:shd w:val="clear" w:color="000000" w:fill="FFFFFF"/>
          </w:tcPr>
          <w:p w14:paraId="7D36BB48" w14:textId="77777777" w:rsidR="00F54443" w:rsidRDefault="00F54443" w:rsidP="00AC4500">
            <w:pPr>
              <w:rPr>
                <w:rFonts w:ascii="Arial" w:eastAsia="Times New Roman" w:hAnsi="Arial" w:cs="Arial"/>
                <w:color w:val="000000"/>
                <w:sz w:val="16"/>
                <w:szCs w:val="16"/>
                <w:lang w:eastAsia="en-US"/>
              </w:rPr>
            </w:pPr>
          </w:p>
          <w:p w14:paraId="5B8CA00D" w14:textId="2117AC9C" w:rsidR="00B46E15" w:rsidRPr="002E2072" w:rsidRDefault="00B46E15" w:rsidP="00AC4500">
            <w:pPr>
              <w:rPr>
                <w:rFonts w:ascii="Arial" w:hAnsi="Arial" w:cs="Arial"/>
                <w:color w:val="000000"/>
                <w:sz w:val="16"/>
                <w:szCs w:val="16"/>
              </w:rPr>
            </w:pPr>
            <w:r w:rsidRPr="009B4A78">
              <w:rPr>
                <w:rFonts w:ascii="Arial" w:eastAsia="Times New Roman" w:hAnsi="Arial" w:cs="Arial"/>
                <w:color w:val="000000"/>
                <w:sz w:val="16"/>
                <w:szCs w:val="16"/>
                <w:lang w:eastAsia="en-US"/>
              </w:rPr>
              <w:t>I.2 Tailored and balanced IP legislative, regulatory and policy frameworks</w:t>
            </w:r>
          </w:p>
        </w:tc>
        <w:tc>
          <w:tcPr>
            <w:tcW w:w="2380" w:type="dxa"/>
            <w:tcBorders>
              <w:top w:val="nil"/>
              <w:left w:val="nil"/>
              <w:bottom w:val="nil"/>
              <w:right w:val="nil"/>
            </w:tcBorders>
            <w:shd w:val="clear" w:color="000000" w:fill="FFFFFF"/>
          </w:tcPr>
          <w:p w14:paraId="37BBB922" w14:textId="77777777" w:rsidR="00F54443" w:rsidRDefault="00F54443" w:rsidP="00AC4500">
            <w:pPr>
              <w:ind w:left="119"/>
              <w:rPr>
                <w:rFonts w:ascii="Arial" w:hAnsi="Arial" w:cs="Arial"/>
                <w:color w:val="000000"/>
                <w:sz w:val="16"/>
                <w:szCs w:val="16"/>
              </w:rPr>
            </w:pPr>
          </w:p>
          <w:p w14:paraId="3CE5085C" w14:textId="6FB7E326" w:rsidR="00B46E15" w:rsidRPr="002E2072" w:rsidRDefault="00B46E15" w:rsidP="00AC4500">
            <w:pPr>
              <w:ind w:left="119"/>
              <w:rPr>
                <w:rFonts w:ascii="Arial" w:hAnsi="Arial" w:cs="Arial"/>
                <w:color w:val="000000"/>
                <w:sz w:val="16"/>
                <w:szCs w:val="16"/>
              </w:rPr>
            </w:pPr>
            <w:r w:rsidRPr="000A3927">
              <w:rPr>
                <w:rFonts w:ascii="Arial" w:hAnsi="Arial" w:cs="Arial"/>
                <w:color w:val="000000"/>
                <w:sz w:val="16"/>
                <w:szCs w:val="16"/>
              </w:rPr>
              <w:t xml:space="preserve">No. of countries requesting WIPO’s specific contribution on IP in relation to </w:t>
            </w:r>
            <w:r w:rsidR="00010CEF">
              <w:rPr>
                <w:rFonts w:ascii="Arial" w:hAnsi="Arial" w:cs="Arial"/>
                <w:color w:val="000000"/>
                <w:sz w:val="16"/>
                <w:szCs w:val="16"/>
              </w:rPr>
              <w:t>competition policy</w:t>
            </w:r>
            <w:r w:rsidRPr="000A3927">
              <w:rPr>
                <w:rFonts w:ascii="Arial" w:hAnsi="Arial" w:cs="Arial"/>
                <w:color w:val="000000"/>
                <w:sz w:val="16"/>
                <w:szCs w:val="16"/>
              </w:rPr>
              <w:t>-related issues</w:t>
            </w:r>
          </w:p>
        </w:tc>
        <w:tc>
          <w:tcPr>
            <w:tcW w:w="2520" w:type="dxa"/>
            <w:tcBorders>
              <w:top w:val="nil"/>
              <w:left w:val="nil"/>
              <w:bottom w:val="nil"/>
              <w:right w:val="nil"/>
            </w:tcBorders>
            <w:shd w:val="clear" w:color="000000" w:fill="FFFFFF"/>
          </w:tcPr>
          <w:p w14:paraId="37BA307C" w14:textId="77777777" w:rsidR="00F54443" w:rsidRDefault="00F54443" w:rsidP="00AC4500">
            <w:pPr>
              <w:ind w:left="149"/>
              <w:rPr>
                <w:rFonts w:ascii="Arial" w:hAnsi="Arial" w:cs="Arial"/>
                <w:color w:val="000000"/>
                <w:sz w:val="16"/>
                <w:szCs w:val="16"/>
              </w:rPr>
            </w:pPr>
          </w:p>
          <w:p w14:paraId="397E9201" w14:textId="0058F42E" w:rsidR="00B46E15" w:rsidRPr="002E2072" w:rsidRDefault="000A3927" w:rsidP="00AC4500">
            <w:pPr>
              <w:ind w:left="149"/>
              <w:rPr>
                <w:rFonts w:ascii="Arial" w:hAnsi="Arial" w:cs="Arial"/>
                <w:color w:val="000000"/>
                <w:sz w:val="16"/>
                <w:szCs w:val="16"/>
              </w:rPr>
            </w:pPr>
            <w:r w:rsidRPr="000A3927">
              <w:rPr>
                <w:rFonts w:ascii="Arial" w:hAnsi="Arial" w:cs="Arial"/>
                <w:color w:val="000000"/>
                <w:sz w:val="16"/>
                <w:szCs w:val="16"/>
              </w:rPr>
              <w:t>12 countries (2014)</w:t>
            </w:r>
          </w:p>
        </w:tc>
        <w:tc>
          <w:tcPr>
            <w:tcW w:w="2020" w:type="dxa"/>
            <w:tcBorders>
              <w:top w:val="nil"/>
              <w:left w:val="nil"/>
              <w:bottom w:val="nil"/>
              <w:right w:val="single" w:sz="4" w:space="0" w:color="auto"/>
            </w:tcBorders>
            <w:shd w:val="clear" w:color="000000" w:fill="FFFFFF"/>
          </w:tcPr>
          <w:p w14:paraId="7CE2C46F" w14:textId="77777777" w:rsidR="00F54443" w:rsidRDefault="00F54443" w:rsidP="00AC4500">
            <w:pPr>
              <w:ind w:left="180"/>
              <w:rPr>
                <w:rFonts w:ascii="Arial" w:hAnsi="Arial" w:cs="Arial"/>
                <w:color w:val="000000"/>
                <w:sz w:val="16"/>
                <w:szCs w:val="16"/>
              </w:rPr>
            </w:pPr>
          </w:p>
          <w:p w14:paraId="47B40F5F" w14:textId="69B2FB33" w:rsidR="00B46E15" w:rsidRPr="002E2072" w:rsidRDefault="000A3927" w:rsidP="00AC4500">
            <w:pPr>
              <w:ind w:left="180"/>
              <w:rPr>
                <w:rFonts w:ascii="Arial" w:hAnsi="Arial" w:cs="Arial"/>
                <w:color w:val="000000"/>
                <w:sz w:val="16"/>
                <w:szCs w:val="16"/>
              </w:rPr>
            </w:pPr>
            <w:r w:rsidRPr="000A3927">
              <w:rPr>
                <w:rFonts w:ascii="Arial" w:hAnsi="Arial" w:cs="Arial"/>
                <w:color w:val="000000"/>
                <w:sz w:val="16"/>
                <w:szCs w:val="16"/>
              </w:rPr>
              <w:t>12 countries</w:t>
            </w:r>
            <w:r w:rsidR="00F66697">
              <w:rPr>
                <w:rFonts w:ascii="Arial" w:hAnsi="Arial" w:cs="Arial"/>
                <w:color w:val="000000"/>
                <w:sz w:val="16"/>
                <w:szCs w:val="16"/>
              </w:rPr>
              <w:t xml:space="preserve"> in 2016/17</w:t>
            </w:r>
          </w:p>
        </w:tc>
      </w:tr>
      <w:tr w:rsidR="00B46E15" w:rsidRPr="002E2072" w14:paraId="11A17142" w14:textId="77777777" w:rsidTr="00F54443">
        <w:trPr>
          <w:trHeight w:val="1365"/>
        </w:trPr>
        <w:tc>
          <w:tcPr>
            <w:tcW w:w="2340" w:type="dxa"/>
            <w:tcBorders>
              <w:top w:val="nil"/>
              <w:left w:val="single" w:sz="4" w:space="0" w:color="auto"/>
              <w:right w:val="nil"/>
            </w:tcBorders>
            <w:shd w:val="clear" w:color="000000" w:fill="FFFFFF"/>
          </w:tcPr>
          <w:p w14:paraId="2C2D3684" w14:textId="77777777" w:rsidR="00B46E15" w:rsidRPr="002E2072" w:rsidRDefault="00B46E15" w:rsidP="00AC4500">
            <w:pPr>
              <w:rPr>
                <w:rFonts w:ascii="Arial" w:hAnsi="Arial" w:cs="Arial"/>
                <w:color w:val="000000"/>
                <w:sz w:val="16"/>
                <w:szCs w:val="16"/>
              </w:rPr>
            </w:pPr>
          </w:p>
        </w:tc>
        <w:tc>
          <w:tcPr>
            <w:tcW w:w="2380" w:type="dxa"/>
            <w:tcBorders>
              <w:top w:val="nil"/>
              <w:left w:val="nil"/>
              <w:right w:val="nil"/>
            </w:tcBorders>
            <w:shd w:val="clear" w:color="000000" w:fill="FFFFFF"/>
          </w:tcPr>
          <w:p w14:paraId="2296C9CA" w14:textId="77777777" w:rsidR="00F54443" w:rsidRDefault="00F54443" w:rsidP="00AC4500">
            <w:pPr>
              <w:ind w:left="119"/>
              <w:rPr>
                <w:rFonts w:ascii="Arial" w:hAnsi="Arial" w:cs="Arial"/>
                <w:color w:val="000000"/>
                <w:sz w:val="16"/>
                <w:szCs w:val="16"/>
              </w:rPr>
            </w:pPr>
          </w:p>
          <w:p w14:paraId="5D9121BF" w14:textId="0CDF8931" w:rsidR="00B46E15" w:rsidRPr="002E2072" w:rsidRDefault="000A3927" w:rsidP="00AC4500">
            <w:pPr>
              <w:ind w:left="119"/>
              <w:rPr>
                <w:rFonts w:ascii="Arial" w:hAnsi="Arial" w:cs="Arial"/>
                <w:color w:val="000000"/>
                <w:sz w:val="16"/>
                <w:szCs w:val="16"/>
              </w:rPr>
            </w:pPr>
            <w:r>
              <w:rPr>
                <w:rFonts w:ascii="Arial" w:hAnsi="Arial" w:cs="Arial"/>
                <w:color w:val="000000"/>
                <w:sz w:val="16"/>
                <w:szCs w:val="16"/>
              </w:rPr>
              <w:t>No. and diversity of stakeholders (IP offices, competition and authorities, relevant IGOs and NGOs) engaged in dialogue with WIPO</w:t>
            </w:r>
          </w:p>
        </w:tc>
        <w:tc>
          <w:tcPr>
            <w:tcW w:w="2520" w:type="dxa"/>
            <w:tcBorders>
              <w:top w:val="nil"/>
              <w:left w:val="nil"/>
              <w:right w:val="nil"/>
            </w:tcBorders>
            <w:shd w:val="clear" w:color="000000" w:fill="FFFFFF"/>
          </w:tcPr>
          <w:p w14:paraId="0DC820C7" w14:textId="77777777" w:rsidR="00F54443" w:rsidRDefault="00F54443" w:rsidP="00AC4500">
            <w:pPr>
              <w:ind w:left="149"/>
              <w:rPr>
                <w:rFonts w:ascii="Arial" w:hAnsi="Arial" w:cs="Arial"/>
                <w:color w:val="000000"/>
                <w:sz w:val="16"/>
                <w:szCs w:val="16"/>
              </w:rPr>
            </w:pPr>
          </w:p>
          <w:p w14:paraId="23C87448" w14:textId="7C83DC9A" w:rsidR="00B46E15" w:rsidRPr="002E2072" w:rsidRDefault="000A3927" w:rsidP="00AC4500">
            <w:pPr>
              <w:ind w:left="149"/>
              <w:rPr>
                <w:rFonts w:ascii="Arial" w:hAnsi="Arial" w:cs="Arial"/>
                <w:color w:val="000000"/>
                <w:sz w:val="16"/>
                <w:szCs w:val="16"/>
              </w:rPr>
            </w:pPr>
            <w:r w:rsidRPr="000A3927">
              <w:rPr>
                <w:rFonts w:ascii="Arial" w:hAnsi="Arial" w:cs="Arial"/>
                <w:color w:val="000000"/>
                <w:sz w:val="16"/>
                <w:szCs w:val="16"/>
              </w:rPr>
              <w:t>64 national IP/Competition authorities and 5 IGO's/NGO's</w:t>
            </w:r>
            <w:r w:rsidR="00F66697">
              <w:rPr>
                <w:rFonts w:ascii="Arial" w:hAnsi="Arial" w:cs="Arial"/>
                <w:color w:val="000000"/>
                <w:sz w:val="16"/>
                <w:szCs w:val="16"/>
              </w:rPr>
              <w:t xml:space="preserve"> (cumulative)</w:t>
            </w:r>
          </w:p>
        </w:tc>
        <w:tc>
          <w:tcPr>
            <w:tcW w:w="2020" w:type="dxa"/>
            <w:tcBorders>
              <w:top w:val="nil"/>
              <w:left w:val="nil"/>
              <w:right w:val="single" w:sz="4" w:space="0" w:color="auto"/>
            </w:tcBorders>
            <w:shd w:val="clear" w:color="000000" w:fill="FFFFFF"/>
          </w:tcPr>
          <w:p w14:paraId="519E3654" w14:textId="77777777" w:rsidR="00F54443" w:rsidRDefault="00F54443" w:rsidP="00AC4500">
            <w:pPr>
              <w:ind w:left="180"/>
              <w:rPr>
                <w:rFonts w:ascii="Arial" w:hAnsi="Arial" w:cs="Arial"/>
                <w:color w:val="000000"/>
                <w:sz w:val="16"/>
                <w:szCs w:val="16"/>
              </w:rPr>
            </w:pPr>
          </w:p>
          <w:p w14:paraId="5C21A41A" w14:textId="27DCEB02" w:rsidR="00B46E15" w:rsidRPr="002E2072" w:rsidRDefault="000A3927" w:rsidP="00AC4500">
            <w:pPr>
              <w:ind w:left="180"/>
              <w:rPr>
                <w:rFonts w:ascii="Arial" w:hAnsi="Arial" w:cs="Arial"/>
                <w:color w:val="000000"/>
                <w:sz w:val="16"/>
                <w:szCs w:val="16"/>
              </w:rPr>
            </w:pPr>
            <w:r w:rsidRPr="000A3927">
              <w:rPr>
                <w:rFonts w:ascii="Arial" w:hAnsi="Arial" w:cs="Arial"/>
                <w:color w:val="000000"/>
                <w:sz w:val="16"/>
                <w:szCs w:val="16"/>
              </w:rPr>
              <w:t>26 additional national IP/Competition authorities and 5 IGO's/NGO's</w:t>
            </w:r>
          </w:p>
        </w:tc>
      </w:tr>
      <w:tr w:rsidR="000C537C" w:rsidRPr="002E2072" w14:paraId="3DCED3FE" w14:textId="77777777" w:rsidTr="00F54443">
        <w:trPr>
          <w:trHeight w:val="2121"/>
        </w:trPr>
        <w:tc>
          <w:tcPr>
            <w:tcW w:w="2340" w:type="dxa"/>
            <w:tcBorders>
              <w:top w:val="nil"/>
              <w:left w:val="single" w:sz="4" w:space="0" w:color="auto"/>
              <w:bottom w:val="single" w:sz="4" w:space="0" w:color="auto"/>
              <w:right w:val="nil"/>
            </w:tcBorders>
            <w:shd w:val="clear" w:color="000000" w:fill="FFFFFF"/>
            <w:hideMark/>
          </w:tcPr>
          <w:p w14:paraId="13A5FF63" w14:textId="77777777" w:rsidR="000C537C" w:rsidRPr="002E2072" w:rsidRDefault="000C537C" w:rsidP="00AC4500">
            <w:pPr>
              <w:rPr>
                <w:rFonts w:ascii="Arial" w:hAnsi="Arial" w:cs="Arial"/>
                <w:color w:val="000000"/>
                <w:sz w:val="16"/>
                <w:szCs w:val="16"/>
              </w:rPr>
            </w:pPr>
            <w:r w:rsidRPr="002E2072">
              <w:rPr>
                <w:rFonts w:ascii="Arial" w:hAnsi="Arial" w:cs="Arial"/>
                <w:color w:val="000000"/>
                <w:sz w:val="16"/>
                <w:szCs w:val="16"/>
              </w:rPr>
              <w:br/>
              <w:t>III.2 Enhanced human resource capacities able to deal with the broad range of requirements for the effective use of IP for development in developing countries, LDCs and countries with economies in transition</w:t>
            </w:r>
          </w:p>
        </w:tc>
        <w:tc>
          <w:tcPr>
            <w:tcW w:w="2380" w:type="dxa"/>
            <w:tcBorders>
              <w:top w:val="nil"/>
              <w:left w:val="nil"/>
              <w:bottom w:val="single" w:sz="4" w:space="0" w:color="auto"/>
              <w:right w:val="nil"/>
            </w:tcBorders>
            <w:shd w:val="clear" w:color="000000" w:fill="FFFFFF"/>
            <w:hideMark/>
          </w:tcPr>
          <w:p w14:paraId="62434192" w14:textId="77777777" w:rsidR="000C537C" w:rsidRDefault="000C537C" w:rsidP="00AC4500">
            <w:pPr>
              <w:ind w:left="119"/>
              <w:rPr>
                <w:rFonts w:ascii="Arial" w:hAnsi="Arial" w:cs="Arial"/>
                <w:color w:val="000000"/>
                <w:sz w:val="16"/>
                <w:szCs w:val="16"/>
              </w:rPr>
            </w:pPr>
            <w:r w:rsidRPr="002E2072">
              <w:rPr>
                <w:rFonts w:ascii="Arial" w:hAnsi="Arial" w:cs="Arial"/>
                <w:color w:val="000000"/>
                <w:sz w:val="16"/>
                <w:szCs w:val="16"/>
              </w:rPr>
              <w:t xml:space="preserve"> </w:t>
            </w:r>
            <w:r w:rsidRPr="002E2072">
              <w:rPr>
                <w:rFonts w:ascii="Arial" w:hAnsi="Arial" w:cs="Arial"/>
                <w:color w:val="000000"/>
                <w:sz w:val="16"/>
                <w:szCs w:val="16"/>
              </w:rPr>
              <w:br/>
              <w:t>No. of hosting arrangements for developing country scientists</w:t>
            </w:r>
          </w:p>
          <w:p w14:paraId="49375841" w14:textId="77777777" w:rsidR="000C537C" w:rsidRDefault="000C537C" w:rsidP="00AC4500">
            <w:pPr>
              <w:ind w:left="119"/>
              <w:rPr>
                <w:rFonts w:ascii="Arial" w:hAnsi="Arial" w:cs="Arial"/>
                <w:color w:val="000000"/>
                <w:sz w:val="16"/>
                <w:szCs w:val="16"/>
              </w:rPr>
            </w:pPr>
          </w:p>
          <w:p w14:paraId="6B4183C3" w14:textId="77777777" w:rsidR="000C537C" w:rsidRPr="002E2072" w:rsidRDefault="000C537C" w:rsidP="00AC4500">
            <w:pPr>
              <w:ind w:left="119"/>
              <w:rPr>
                <w:rFonts w:ascii="Arial" w:hAnsi="Arial" w:cs="Arial"/>
                <w:color w:val="000000"/>
                <w:sz w:val="16"/>
                <w:szCs w:val="16"/>
              </w:rPr>
            </w:pPr>
            <w:r w:rsidRPr="002E2072">
              <w:rPr>
                <w:rFonts w:ascii="Arial" w:hAnsi="Arial" w:cs="Arial"/>
                <w:color w:val="000000"/>
                <w:sz w:val="16"/>
                <w:szCs w:val="16"/>
              </w:rPr>
              <w:t>% of participants of the IP and Health DL module who affirm use of IP for development through transfer of knowledge and creation of skills</w:t>
            </w:r>
          </w:p>
        </w:tc>
        <w:tc>
          <w:tcPr>
            <w:tcW w:w="2520" w:type="dxa"/>
            <w:tcBorders>
              <w:top w:val="nil"/>
              <w:left w:val="nil"/>
              <w:bottom w:val="single" w:sz="4" w:space="0" w:color="auto"/>
              <w:right w:val="nil"/>
            </w:tcBorders>
            <w:shd w:val="clear" w:color="000000" w:fill="FFFFFF"/>
            <w:hideMark/>
          </w:tcPr>
          <w:p w14:paraId="4B68BAFD" w14:textId="77777777" w:rsidR="000C537C" w:rsidRDefault="000C537C" w:rsidP="00AC4500">
            <w:pPr>
              <w:ind w:left="149"/>
              <w:rPr>
                <w:rFonts w:ascii="Arial" w:hAnsi="Arial" w:cs="Arial"/>
                <w:color w:val="000000"/>
                <w:sz w:val="16"/>
                <w:szCs w:val="16"/>
              </w:rPr>
            </w:pPr>
            <w:r w:rsidRPr="002E2072">
              <w:rPr>
                <w:rFonts w:ascii="Arial" w:hAnsi="Arial" w:cs="Arial"/>
                <w:color w:val="000000"/>
                <w:sz w:val="16"/>
                <w:szCs w:val="16"/>
              </w:rPr>
              <w:br/>
              <w:t xml:space="preserve">5 </w:t>
            </w:r>
          </w:p>
          <w:p w14:paraId="0BDA4C03" w14:textId="77777777" w:rsidR="000C537C" w:rsidRDefault="000C537C" w:rsidP="00AC4500">
            <w:pPr>
              <w:ind w:left="290" w:firstLineChars="18" w:firstLine="29"/>
              <w:rPr>
                <w:rFonts w:ascii="Arial" w:hAnsi="Arial" w:cs="Arial"/>
                <w:color w:val="000000"/>
                <w:sz w:val="16"/>
                <w:szCs w:val="16"/>
              </w:rPr>
            </w:pPr>
          </w:p>
          <w:p w14:paraId="50A2C93C" w14:textId="77777777" w:rsidR="000C537C" w:rsidRDefault="000C537C" w:rsidP="00AC4500">
            <w:pPr>
              <w:ind w:left="290" w:firstLineChars="18" w:firstLine="29"/>
              <w:rPr>
                <w:rFonts w:ascii="Arial" w:hAnsi="Arial" w:cs="Arial"/>
                <w:color w:val="000000"/>
                <w:sz w:val="16"/>
                <w:szCs w:val="16"/>
              </w:rPr>
            </w:pPr>
          </w:p>
          <w:p w14:paraId="100EDAD7" w14:textId="77777777" w:rsidR="000C537C" w:rsidRDefault="000C537C" w:rsidP="00AC4500">
            <w:pPr>
              <w:ind w:left="290" w:firstLineChars="18" w:firstLine="29"/>
              <w:rPr>
                <w:rFonts w:ascii="Arial" w:hAnsi="Arial" w:cs="Arial"/>
                <w:color w:val="000000"/>
                <w:sz w:val="16"/>
                <w:szCs w:val="16"/>
              </w:rPr>
            </w:pPr>
          </w:p>
          <w:p w14:paraId="24EE2DFE" w14:textId="77777777" w:rsidR="000C537C" w:rsidRDefault="000C537C" w:rsidP="00AC4500">
            <w:pPr>
              <w:ind w:left="290" w:firstLineChars="18" w:firstLine="29"/>
              <w:rPr>
                <w:rFonts w:ascii="Arial" w:hAnsi="Arial" w:cs="Arial"/>
                <w:color w:val="000000"/>
                <w:sz w:val="16"/>
                <w:szCs w:val="16"/>
              </w:rPr>
            </w:pPr>
          </w:p>
          <w:p w14:paraId="6067327A" w14:textId="77777777" w:rsidR="000C537C" w:rsidRPr="002E2072" w:rsidRDefault="000C537C" w:rsidP="00AC4500">
            <w:pPr>
              <w:ind w:left="290" w:firstLineChars="18" w:firstLine="29"/>
              <w:rPr>
                <w:rFonts w:ascii="Arial" w:hAnsi="Arial" w:cs="Arial"/>
                <w:color w:val="000000"/>
                <w:sz w:val="16"/>
                <w:szCs w:val="16"/>
              </w:rPr>
            </w:pPr>
            <w:r w:rsidRPr="002E2072">
              <w:rPr>
                <w:rFonts w:ascii="Arial" w:hAnsi="Arial" w:cs="Arial"/>
                <w:color w:val="000000"/>
                <w:sz w:val="16"/>
                <w:szCs w:val="16"/>
              </w:rPr>
              <w:t>n/a</w:t>
            </w:r>
          </w:p>
        </w:tc>
        <w:tc>
          <w:tcPr>
            <w:tcW w:w="2020" w:type="dxa"/>
            <w:tcBorders>
              <w:top w:val="nil"/>
              <w:left w:val="nil"/>
              <w:bottom w:val="single" w:sz="4" w:space="0" w:color="auto"/>
              <w:right w:val="single" w:sz="4" w:space="0" w:color="auto"/>
            </w:tcBorders>
            <w:shd w:val="clear" w:color="000000" w:fill="FFFFFF"/>
            <w:hideMark/>
          </w:tcPr>
          <w:p w14:paraId="72085DEA" w14:textId="77777777" w:rsidR="000C537C" w:rsidRDefault="000C537C" w:rsidP="00AC4500">
            <w:pPr>
              <w:ind w:left="180" w:firstLineChars="87" w:firstLine="139"/>
              <w:rPr>
                <w:rFonts w:ascii="Arial" w:hAnsi="Arial" w:cs="Arial"/>
                <w:color w:val="000000"/>
                <w:sz w:val="16"/>
                <w:szCs w:val="16"/>
              </w:rPr>
            </w:pPr>
            <w:r w:rsidRPr="002E2072">
              <w:rPr>
                <w:rFonts w:ascii="Arial" w:hAnsi="Arial" w:cs="Arial"/>
                <w:color w:val="000000"/>
                <w:sz w:val="16"/>
                <w:szCs w:val="16"/>
              </w:rPr>
              <w:br/>
              <w:t xml:space="preserve">2 additional hosting arrangements </w:t>
            </w:r>
          </w:p>
          <w:p w14:paraId="4607D3EB" w14:textId="77777777" w:rsidR="000C537C" w:rsidRDefault="000C537C" w:rsidP="00AC4500">
            <w:pPr>
              <w:ind w:left="180" w:firstLineChars="87" w:firstLine="139"/>
              <w:rPr>
                <w:rFonts w:ascii="Arial" w:hAnsi="Arial" w:cs="Arial"/>
                <w:color w:val="000000"/>
                <w:sz w:val="16"/>
                <w:szCs w:val="16"/>
              </w:rPr>
            </w:pPr>
          </w:p>
          <w:p w14:paraId="3559A63A" w14:textId="77777777" w:rsidR="000C537C" w:rsidRDefault="000C537C" w:rsidP="00AC4500">
            <w:pPr>
              <w:ind w:left="180" w:firstLineChars="87" w:firstLine="139"/>
              <w:rPr>
                <w:rFonts w:ascii="Arial" w:hAnsi="Arial" w:cs="Arial"/>
                <w:color w:val="000000"/>
                <w:sz w:val="16"/>
                <w:szCs w:val="16"/>
              </w:rPr>
            </w:pPr>
          </w:p>
          <w:p w14:paraId="4B4AE054" w14:textId="77777777" w:rsidR="000C537C" w:rsidRDefault="000C537C" w:rsidP="00AC4500">
            <w:pPr>
              <w:ind w:left="180"/>
              <w:rPr>
                <w:rFonts w:ascii="Arial" w:hAnsi="Arial" w:cs="Arial"/>
                <w:color w:val="000000"/>
                <w:sz w:val="16"/>
                <w:szCs w:val="16"/>
              </w:rPr>
            </w:pPr>
          </w:p>
          <w:p w14:paraId="128CC784" w14:textId="77777777" w:rsidR="000C537C" w:rsidRPr="002E2072" w:rsidRDefault="000C537C" w:rsidP="00AC4500">
            <w:pPr>
              <w:ind w:left="180"/>
              <w:rPr>
                <w:rFonts w:ascii="Arial" w:hAnsi="Arial" w:cs="Arial"/>
                <w:color w:val="000000"/>
                <w:sz w:val="16"/>
                <w:szCs w:val="16"/>
              </w:rPr>
            </w:pPr>
            <w:r w:rsidRPr="002E2072">
              <w:rPr>
                <w:rFonts w:ascii="Arial" w:hAnsi="Arial" w:cs="Arial"/>
                <w:color w:val="000000"/>
                <w:sz w:val="16"/>
                <w:szCs w:val="16"/>
              </w:rPr>
              <w:t>At least 70% of respondents</w:t>
            </w:r>
          </w:p>
        </w:tc>
      </w:tr>
      <w:tr w:rsidR="000C537C" w:rsidRPr="002E2072" w14:paraId="15B16FF5" w14:textId="77777777" w:rsidTr="00F54443">
        <w:trPr>
          <w:trHeight w:val="2580"/>
        </w:trPr>
        <w:tc>
          <w:tcPr>
            <w:tcW w:w="2340" w:type="dxa"/>
            <w:tcBorders>
              <w:top w:val="single" w:sz="4" w:space="0" w:color="auto"/>
              <w:left w:val="single" w:sz="4" w:space="0" w:color="auto"/>
              <w:bottom w:val="nil"/>
              <w:right w:val="nil"/>
            </w:tcBorders>
            <w:shd w:val="clear" w:color="000000" w:fill="FFFFFF"/>
            <w:hideMark/>
          </w:tcPr>
          <w:p w14:paraId="3D970BA8" w14:textId="77777777" w:rsidR="00F54443" w:rsidRDefault="00F54443" w:rsidP="00984F70">
            <w:pPr>
              <w:rPr>
                <w:rFonts w:ascii="Arial" w:hAnsi="Arial" w:cs="Arial"/>
                <w:color w:val="000000"/>
                <w:sz w:val="16"/>
                <w:szCs w:val="16"/>
              </w:rPr>
            </w:pPr>
          </w:p>
          <w:p w14:paraId="42A7843A"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VII.2 IP-based platforms and tools for knowledge transfer, technology adaptation and diffusion from developed to developing countries, particularly least developed countries, to address global challenges</w:t>
            </w:r>
          </w:p>
        </w:tc>
        <w:tc>
          <w:tcPr>
            <w:tcW w:w="2380" w:type="dxa"/>
            <w:tcBorders>
              <w:top w:val="single" w:sz="4" w:space="0" w:color="auto"/>
              <w:left w:val="nil"/>
              <w:bottom w:val="nil"/>
              <w:right w:val="nil"/>
            </w:tcBorders>
            <w:shd w:val="clear" w:color="000000" w:fill="FFFFFF"/>
            <w:hideMark/>
          </w:tcPr>
          <w:p w14:paraId="66A70F62" w14:textId="2F9D5414" w:rsidR="00F54443" w:rsidRDefault="00F54443" w:rsidP="008D4CE9">
            <w:pPr>
              <w:keepNext/>
              <w:keepLines/>
              <w:ind w:left="119"/>
              <w:rPr>
                <w:rFonts w:ascii="Arial" w:hAnsi="Arial" w:cs="Arial"/>
                <w:color w:val="000000"/>
                <w:sz w:val="16"/>
                <w:szCs w:val="16"/>
              </w:rPr>
            </w:pPr>
          </w:p>
          <w:p w14:paraId="370E1EB7" w14:textId="77777777" w:rsidR="00F54443" w:rsidRDefault="00F54443" w:rsidP="008D4CE9">
            <w:pPr>
              <w:keepNext/>
              <w:keepLines/>
              <w:ind w:left="119"/>
              <w:rPr>
                <w:rFonts w:ascii="Arial" w:hAnsi="Arial" w:cs="Arial"/>
                <w:color w:val="000000"/>
                <w:sz w:val="16"/>
                <w:szCs w:val="16"/>
              </w:rPr>
            </w:pPr>
            <w:r>
              <w:rPr>
                <w:rFonts w:ascii="Arial" w:hAnsi="Arial" w:cs="Arial"/>
                <w:color w:val="000000"/>
                <w:sz w:val="16"/>
                <w:szCs w:val="16"/>
              </w:rPr>
              <w:t>I</w:t>
            </w:r>
            <w:r w:rsidR="000C537C" w:rsidRPr="002E2072">
              <w:rPr>
                <w:rFonts w:ascii="Arial" w:hAnsi="Arial" w:cs="Arial"/>
                <w:color w:val="000000"/>
                <w:sz w:val="16"/>
                <w:szCs w:val="16"/>
              </w:rPr>
              <w:t xml:space="preserve">ncreased membership in WIPO </w:t>
            </w:r>
            <w:proofErr w:type="spellStart"/>
            <w:r w:rsidR="000C537C" w:rsidRPr="002E2072">
              <w:rPr>
                <w:rFonts w:ascii="Arial" w:hAnsi="Arial" w:cs="Arial"/>
                <w:color w:val="000000"/>
                <w:sz w:val="16"/>
                <w:szCs w:val="16"/>
              </w:rPr>
              <w:t>Re:Search</w:t>
            </w:r>
            <w:proofErr w:type="spellEnd"/>
            <w:r w:rsidR="000C537C" w:rsidRPr="002E2072">
              <w:rPr>
                <w:rFonts w:ascii="Arial" w:hAnsi="Arial" w:cs="Arial"/>
                <w:color w:val="000000"/>
                <w:sz w:val="16"/>
                <w:szCs w:val="16"/>
              </w:rPr>
              <w:t>, including from developing countries and LDCs</w:t>
            </w:r>
            <w:r w:rsidR="000C537C" w:rsidRPr="002E2072">
              <w:rPr>
                <w:rFonts w:ascii="Arial" w:hAnsi="Arial" w:cs="Arial"/>
                <w:color w:val="000000"/>
                <w:sz w:val="16"/>
                <w:szCs w:val="16"/>
              </w:rPr>
              <w:br/>
            </w:r>
            <w:r w:rsidR="000C537C" w:rsidRPr="002E2072">
              <w:rPr>
                <w:rFonts w:ascii="Arial" w:hAnsi="Arial" w:cs="Arial"/>
                <w:color w:val="000000"/>
                <w:sz w:val="16"/>
                <w:szCs w:val="16"/>
              </w:rPr>
              <w:br/>
              <w:t xml:space="preserve">No. of records in the  WIPO </w:t>
            </w:r>
            <w:proofErr w:type="spellStart"/>
            <w:r w:rsidR="000C537C" w:rsidRPr="002E2072">
              <w:rPr>
                <w:rFonts w:ascii="Arial" w:hAnsi="Arial" w:cs="Arial"/>
                <w:color w:val="000000"/>
                <w:sz w:val="16"/>
                <w:szCs w:val="16"/>
              </w:rPr>
              <w:t>Re:Search</w:t>
            </w:r>
            <w:proofErr w:type="spellEnd"/>
            <w:r w:rsidR="000C537C" w:rsidRPr="002E2072">
              <w:rPr>
                <w:rFonts w:ascii="Arial" w:hAnsi="Arial" w:cs="Arial"/>
                <w:color w:val="000000"/>
                <w:sz w:val="16"/>
                <w:szCs w:val="16"/>
              </w:rPr>
              <w:t xml:space="preserve"> database </w:t>
            </w:r>
            <w:r w:rsidR="000C537C" w:rsidRPr="002E2072">
              <w:rPr>
                <w:rFonts w:ascii="Arial" w:hAnsi="Arial" w:cs="Arial"/>
                <w:color w:val="000000"/>
                <w:sz w:val="16"/>
                <w:szCs w:val="16"/>
              </w:rPr>
              <w:br/>
            </w:r>
            <w:r w:rsidR="000C537C" w:rsidRPr="002E2072">
              <w:rPr>
                <w:rFonts w:ascii="Arial" w:hAnsi="Arial" w:cs="Arial"/>
                <w:color w:val="000000"/>
                <w:sz w:val="16"/>
                <w:szCs w:val="16"/>
              </w:rPr>
              <w:br/>
              <w:t xml:space="preserve">Increased no. of agreements under WIPO </w:t>
            </w:r>
            <w:proofErr w:type="spellStart"/>
            <w:r w:rsidR="000C537C" w:rsidRPr="002E2072">
              <w:rPr>
                <w:rFonts w:ascii="Arial" w:hAnsi="Arial" w:cs="Arial"/>
                <w:color w:val="000000"/>
                <w:sz w:val="16"/>
                <w:szCs w:val="16"/>
              </w:rPr>
              <w:t>Re:Search</w:t>
            </w:r>
            <w:proofErr w:type="spellEnd"/>
            <w:r w:rsidR="000C537C" w:rsidRPr="002E2072">
              <w:rPr>
                <w:rFonts w:ascii="Arial" w:hAnsi="Arial" w:cs="Arial"/>
                <w:color w:val="000000"/>
                <w:sz w:val="16"/>
                <w:szCs w:val="16"/>
              </w:rPr>
              <w:t xml:space="preserve"> which lead to new or accelerated R&amp;D in NTDs, Malaria and TB</w:t>
            </w:r>
          </w:p>
          <w:p w14:paraId="2F886D74" w14:textId="33BD22CE"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w:t>
            </w:r>
          </w:p>
        </w:tc>
        <w:tc>
          <w:tcPr>
            <w:tcW w:w="2520" w:type="dxa"/>
            <w:tcBorders>
              <w:top w:val="single" w:sz="4" w:space="0" w:color="auto"/>
              <w:left w:val="nil"/>
              <w:bottom w:val="nil"/>
              <w:right w:val="nil"/>
            </w:tcBorders>
            <w:shd w:val="clear" w:color="000000" w:fill="FFFFFF"/>
            <w:hideMark/>
          </w:tcPr>
          <w:p w14:paraId="7F37AA9E" w14:textId="77777777" w:rsidR="00F54443" w:rsidRDefault="00F54443" w:rsidP="008D4CE9">
            <w:pPr>
              <w:keepNext/>
              <w:keepLines/>
              <w:ind w:left="149"/>
              <w:rPr>
                <w:rFonts w:ascii="Arial" w:hAnsi="Arial" w:cs="Arial"/>
                <w:color w:val="000000"/>
                <w:sz w:val="16"/>
                <w:szCs w:val="16"/>
              </w:rPr>
            </w:pPr>
          </w:p>
          <w:p w14:paraId="1FDBC074" w14:textId="220B6972"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96 Members; </w:t>
            </w:r>
            <w:r>
              <w:rPr>
                <w:rFonts w:ascii="Arial" w:hAnsi="Arial" w:cs="Arial"/>
                <w:color w:val="000000"/>
                <w:sz w:val="16"/>
                <w:szCs w:val="16"/>
              </w:rPr>
              <w:t>27</w:t>
            </w:r>
            <w:r w:rsidRPr="002E2072">
              <w:rPr>
                <w:rFonts w:ascii="Arial" w:hAnsi="Arial" w:cs="Arial"/>
                <w:color w:val="000000"/>
                <w:sz w:val="16"/>
                <w:szCs w:val="16"/>
              </w:rPr>
              <w:t xml:space="preserve">  from developing countries </w:t>
            </w:r>
          </w:p>
          <w:p w14:paraId="4C72D64A"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(as at </w:t>
            </w:r>
            <w:r>
              <w:rPr>
                <w:rFonts w:ascii="Arial" w:hAnsi="Arial" w:cs="Arial"/>
                <w:color w:val="000000"/>
                <w:sz w:val="16"/>
                <w:szCs w:val="16"/>
              </w:rPr>
              <w:t xml:space="preserve">end </w:t>
            </w:r>
            <w:r w:rsidRPr="002E2072">
              <w:rPr>
                <w:rFonts w:ascii="Arial" w:hAnsi="Arial" w:cs="Arial"/>
                <w:color w:val="000000"/>
                <w:sz w:val="16"/>
                <w:szCs w:val="16"/>
              </w:rPr>
              <w:t>December 2014)</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186 database records </w:t>
            </w:r>
          </w:p>
          <w:p w14:paraId="6C93BEE7"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r>
          </w:p>
          <w:p w14:paraId="7B0FA4F1"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90 agreements </w:t>
            </w:r>
          </w:p>
          <w:p w14:paraId="2237A983" w14:textId="77777777" w:rsidR="000C537C" w:rsidRPr="002E2072"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(as at April 9, 2015)</w:t>
            </w:r>
          </w:p>
        </w:tc>
        <w:tc>
          <w:tcPr>
            <w:tcW w:w="2020" w:type="dxa"/>
            <w:tcBorders>
              <w:top w:val="single" w:sz="4" w:space="0" w:color="auto"/>
              <w:left w:val="nil"/>
              <w:bottom w:val="nil"/>
              <w:right w:val="single" w:sz="4" w:space="0" w:color="auto"/>
            </w:tcBorders>
            <w:shd w:val="clear" w:color="000000" w:fill="FFFFFF"/>
            <w:hideMark/>
          </w:tcPr>
          <w:p w14:paraId="15995993" w14:textId="77777777" w:rsidR="00F54443" w:rsidRDefault="00F54443" w:rsidP="00984F70">
            <w:pPr>
              <w:ind w:left="180"/>
              <w:rPr>
                <w:rFonts w:ascii="Arial" w:hAnsi="Arial" w:cs="Arial"/>
                <w:color w:val="000000"/>
                <w:sz w:val="16"/>
                <w:szCs w:val="16"/>
              </w:rPr>
            </w:pPr>
          </w:p>
          <w:p w14:paraId="4C6ED916" w14:textId="2AD8FA08" w:rsidR="000C537C" w:rsidRDefault="000C537C" w:rsidP="00984F70">
            <w:pPr>
              <w:ind w:left="180"/>
              <w:rPr>
                <w:rFonts w:ascii="Arial" w:hAnsi="Arial" w:cs="Arial"/>
                <w:color w:val="000000"/>
                <w:sz w:val="16"/>
                <w:szCs w:val="16"/>
              </w:rPr>
            </w:pPr>
            <w:r>
              <w:rPr>
                <w:rFonts w:ascii="Arial" w:hAnsi="Arial" w:cs="Arial"/>
                <w:color w:val="000000"/>
                <w:sz w:val="16"/>
                <w:szCs w:val="16"/>
              </w:rPr>
              <w:t>8</w:t>
            </w:r>
            <w:r w:rsidRPr="002E2072">
              <w:rPr>
                <w:rFonts w:ascii="Arial" w:hAnsi="Arial" w:cs="Arial"/>
                <w:color w:val="000000"/>
                <w:sz w:val="16"/>
                <w:szCs w:val="16"/>
              </w:rPr>
              <w:t xml:space="preserve"> new Members; 7  from developing countries</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300 database records in total </w:t>
            </w:r>
            <w:r w:rsidRPr="002E2072">
              <w:rPr>
                <w:rFonts w:ascii="Arial" w:hAnsi="Arial" w:cs="Arial"/>
                <w:color w:val="000000"/>
                <w:sz w:val="16"/>
                <w:szCs w:val="16"/>
              </w:rPr>
              <w:br/>
            </w:r>
            <w:r w:rsidRPr="002E2072">
              <w:rPr>
                <w:rFonts w:ascii="Arial" w:hAnsi="Arial" w:cs="Arial"/>
                <w:color w:val="000000"/>
                <w:sz w:val="16"/>
                <w:szCs w:val="16"/>
              </w:rPr>
              <w:br/>
            </w:r>
          </w:p>
          <w:p w14:paraId="538AFA4E"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t>30 new agreements of which 20 are follow-on agreements</w:t>
            </w:r>
          </w:p>
        </w:tc>
      </w:tr>
      <w:tr w:rsidR="000C537C" w:rsidRPr="002E2072" w14:paraId="56D08F39" w14:textId="77777777" w:rsidTr="008D4CE9">
        <w:trPr>
          <w:trHeight w:val="2479"/>
        </w:trPr>
        <w:tc>
          <w:tcPr>
            <w:tcW w:w="2340" w:type="dxa"/>
            <w:tcBorders>
              <w:top w:val="nil"/>
              <w:left w:val="single" w:sz="4" w:space="0" w:color="auto"/>
              <w:bottom w:val="nil"/>
              <w:right w:val="nil"/>
            </w:tcBorders>
            <w:shd w:val="clear" w:color="000000" w:fill="FFFFFF"/>
            <w:hideMark/>
          </w:tcPr>
          <w:p w14:paraId="5320D9E0"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nil"/>
              <w:right w:val="nil"/>
            </w:tcBorders>
            <w:shd w:val="clear" w:color="000000" w:fill="FFFFFF"/>
            <w:hideMark/>
          </w:tcPr>
          <w:p w14:paraId="2E535858" w14:textId="77777777"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 xml:space="preserve">No. of WIPO GREEN Members </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No. of records in the WIPO GREEN database</w:t>
            </w:r>
            <w:r w:rsidRPr="002E2072">
              <w:rPr>
                <w:rFonts w:ascii="Arial" w:hAnsi="Arial" w:cs="Arial"/>
                <w:color w:val="000000"/>
                <w:sz w:val="16"/>
                <w:szCs w:val="16"/>
              </w:rPr>
              <w:br/>
            </w:r>
            <w:r w:rsidRPr="002E2072">
              <w:rPr>
                <w:rFonts w:ascii="Arial" w:hAnsi="Arial" w:cs="Arial"/>
                <w:color w:val="000000"/>
                <w:sz w:val="16"/>
                <w:szCs w:val="16"/>
              </w:rPr>
              <w:br/>
              <w:t xml:space="preserve">No. of agreements catalyzed by WIPO GREEN facilitating knowledge transfer, technology adaptation, transfer and/or diffusion </w:t>
            </w:r>
          </w:p>
        </w:tc>
        <w:tc>
          <w:tcPr>
            <w:tcW w:w="2520" w:type="dxa"/>
            <w:tcBorders>
              <w:top w:val="nil"/>
              <w:left w:val="nil"/>
              <w:bottom w:val="nil"/>
              <w:right w:val="nil"/>
            </w:tcBorders>
            <w:shd w:val="clear" w:color="000000" w:fill="FFFFFF"/>
            <w:hideMark/>
          </w:tcPr>
          <w:p w14:paraId="4E70E602"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57 Partners; 430 users </w:t>
            </w:r>
          </w:p>
          <w:p w14:paraId="5C34C3D9"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2,050 records </w:t>
            </w:r>
          </w:p>
          <w:p w14:paraId="6F4A55F6" w14:textId="2FD5E2BE" w:rsidR="000C537C" w:rsidRPr="002E2072"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t xml:space="preserve">7 agreements (AUTM, DKPTO, EACIN, Eco-patent commons, KOTEC, </w:t>
            </w:r>
            <w:proofErr w:type="spellStart"/>
            <w:r w:rsidRPr="002E2072">
              <w:rPr>
                <w:rFonts w:ascii="Arial" w:hAnsi="Arial" w:cs="Arial"/>
                <w:color w:val="000000"/>
                <w:sz w:val="16"/>
                <w:szCs w:val="16"/>
              </w:rPr>
              <w:t>TechnologieAllianz</w:t>
            </w:r>
            <w:proofErr w:type="spellEnd"/>
            <w:r w:rsidRPr="002E2072">
              <w:rPr>
                <w:rFonts w:ascii="Arial" w:hAnsi="Arial" w:cs="Arial"/>
                <w:color w:val="000000"/>
                <w:sz w:val="16"/>
                <w:szCs w:val="16"/>
              </w:rPr>
              <w:t>, UNOS</w:t>
            </w:r>
            <w:r w:rsidR="004F51AB">
              <w:rPr>
                <w:rFonts w:ascii="Arial" w:hAnsi="Arial" w:cs="Arial"/>
                <w:color w:val="000000"/>
                <w:sz w:val="16"/>
                <w:szCs w:val="16"/>
              </w:rPr>
              <w:t>S</w:t>
            </w:r>
            <w:r w:rsidRPr="002E2072">
              <w:rPr>
                <w:rFonts w:ascii="Arial" w:hAnsi="Arial" w:cs="Arial"/>
                <w:color w:val="000000"/>
                <w:sz w:val="16"/>
                <w:szCs w:val="16"/>
              </w:rPr>
              <w:t>C) (as at April 24, 2015)</w:t>
            </w:r>
          </w:p>
        </w:tc>
        <w:tc>
          <w:tcPr>
            <w:tcW w:w="2020" w:type="dxa"/>
            <w:tcBorders>
              <w:top w:val="nil"/>
              <w:left w:val="nil"/>
              <w:bottom w:val="nil"/>
              <w:right w:val="single" w:sz="4" w:space="0" w:color="auto"/>
            </w:tcBorders>
            <w:shd w:val="clear" w:color="000000" w:fill="FFFFFF"/>
            <w:hideMark/>
          </w:tcPr>
          <w:p w14:paraId="11D0C16B" w14:textId="77777777" w:rsidR="000C537C" w:rsidRDefault="000C537C" w:rsidP="00984F70">
            <w:pPr>
              <w:ind w:left="180"/>
              <w:rPr>
                <w:rFonts w:ascii="Arial" w:hAnsi="Arial" w:cs="Arial"/>
                <w:color w:val="000000"/>
                <w:sz w:val="16"/>
                <w:szCs w:val="16"/>
              </w:rPr>
            </w:pPr>
            <w:r w:rsidRPr="002E2072">
              <w:rPr>
                <w:rFonts w:ascii="Arial" w:hAnsi="Arial" w:cs="Arial"/>
                <w:color w:val="000000"/>
                <w:sz w:val="16"/>
                <w:szCs w:val="16"/>
              </w:rPr>
              <w:t>14 additional Partners; 200 additional users</w:t>
            </w:r>
          </w:p>
          <w:p w14:paraId="1098F3E0"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br/>
            </w:r>
            <w:r w:rsidRPr="002E2072">
              <w:rPr>
                <w:rFonts w:ascii="Arial" w:hAnsi="Arial" w:cs="Arial"/>
                <w:color w:val="000000"/>
                <w:sz w:val="16"/>
                <w:szCs w:val="16"/>
              </w:rPr>
              <w:br/>
              <w:t xml:space="preserve">1,200 additional records </w:t>
            </w:r>
            <w:r w:rsidRPr="002E2072">
              <w:rPr>
                <w:rFonts w:ascii="Arial" w:hAnsi="Arial" w:cs="Arial"/>
                <w:color w:val="000000"/>
                <w:sz w:val="16"/>
                <w:szCs w:val="16"/>
              </w:rPr>
              <w:br/>
            </w:r>
            <w:r w:rsidRPr="002E2072">
              <w:rPr>
                <w:rFonts w:ascii="Arial" w:hAnsi="Arial" w:cs="Arial"/>
                <w:color w:val="000000"/>
                <w:sz w:val="16"/>
                <w:szCs w:val="16"/>
              </w:rPr>
              <w:br/>
              <w:t>10 agreements</w:t>
            </w:r>
          </w:p>
        </w:tc>
      </w:tr>
      <w:tr w:rsidR="000C537C" w:rsidRPr="002E2072" w14:paraId="054A287D" w14:textId="77777777" w:rsidTr="00984F70">
        <w:trPr>
          <w:trHeight w:val="1269"/>
        </w:trPr>
        <w:tc>
          <w:tcPr>
            <w:tcW w:w="2340" w:type="dxa"/>
            <w:tcBorders>
              <w:top w:val="nil"/>
              <w:left w:val="single" w:sz="4" w:space="0" w:color="auto"/>
              <w:bottom w:val="nil"/>
              <w:right w:val="nil"/>
            </w:tcBorders>
            <w:shd w:val="clear" w:color="000000" w:fill="FFFFFF"/>
            <w:hideMark/>
          </w:tcPr>
          <w:p w14:paraId="1A13560D"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nil"/>
              <w:right w:val="nil"/>
            </w:tcBorders>
            <w:shd w:val="clear" w:color="000000" w:fill="FFFFFF"/>
            <w:hideMark/>
          </w:tcPr>
          <w:p w14:paraId="72D8EA1D" w14:textId="77777777"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Progress towards an international collaborative framework for effective contribution of IP to food security through consultative process</w:t>
            </w:r>
          </w:p>
        </w:tc>
        <w:tc>
          <w:tcPr>
            <w:tcW w:w="2520" w:type="dxa"/>
            <w:tcBorders>
              <w:top w:val="nil"/>
              <w:left w:val="nil"/>
              <w:bottom w:val="nil"/>
              <w:right w:val="nil"/>
            </w:tcBorders>
            <w:shd w:val="clear" w:color="000000" w:fill="FFFFFF"/>
            <w:hideMark/>
          </w:tcPr>
          <w:p w14:paraId="069A5FFC" w14:textId="77777777" w:rsidR="000C537C" w:rsidRPr="002E2072" w:rsidRDefault="000C537C" w:rsidP="00984F70">
            <w:pPr>
              <w:ind w:firstLineChars="200" w:firstLine="320"/>
              <w:rPr>
                <w:rFonts w:ascii="Arial" w:hAnsi="Arial" w:cs="Arial"/>
                <w:color w:val="000000"/>
                <w:sz w:val="16"/>
                <w:szCs w:val="16"/>
              </w:rPr>
            </w:pPr>
            <w:r w:rsidRPr="002E2072">
              <w:rPr>
                <w:rFonts w:ascii="Arial" w:hAnsi="Arial" w:cs="Arial"/>
                <w:color w:val="000000"/>
                <w:sz w:val="16"/>
                <w:szCs w:val="16"/>
              </w:rPr>
              <w:t>n/a</w:t>
            </w:r>
          </w:p>
        </w:tc>
        <w:tc>
          <w:tcPr>
            <w:tcW w:w="2020" w:type="dxa"/>
            <w:tcBorders>
              <w:top w:val="nil"/>
              <w:left w:val="nil"/>
              <w:bottom w:val="nil"/>
              <w:right w:val="single" w:sz="4" w:space="0" w:color="auto"/>
            </w:tcBorders>
            <w:shd w:val="clear" w:color="000000" w:fill="FFFFFF"/>
            <w:hideMark/>
          </w:tcPr>
          <w:p w14:paraId="6B610D5A"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t>A comprehensive draft framework developed</w:t>
            </w:r>
          </w:p>
        </w:tc>
      </w:tr>
      <w:tr w:rsidR="000C537C" w:rsidRPr="002E2072" w14:paraId="7CB589E8" w14:textId="77777777" w:rsidTr="00984F70">
        <w:trPr>
          <w:trHeight w:val="1521"/>
        </w:trPr>
        <w:tc>
          <w:tcPr>
            <w:tcW w:w="2340" w:type="dxa"/>
            <w:tcBorders>
              <w:top w:val="nil"/>
              <w:left w:val="single" w:sz="4" w:space="0" w:color="auto"/>
              <w:bottom w:val="single" w:sz="4" w:space="0" w:color="auto"/>
              <w:right w:val="nil"/>
            </w:tcBorders>
            <w:shd w:val="clear" w:color="000000" w:fill="FFFFFF"/>
            <w:hideMark/>
          </w:tcPr>
          <w:p w14:paraId="09000161"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single" w:sz="4" w:space="0" w:color="auto"/>
              <w:right w:val="nil"/>
            </w:tcBorders>
            <w:shd w:val="clear" w:color="000000" w:fill="FFFFFF"/>
            <w:hideMark/>
          </w:tcPr>
          <w:p w14:paraId="6041A208" w14:textId="77777777" w:rsidR="000C537C" w:rsidRPr="002E2072" w:rsidRDefault="000C537C" w:rsidP="008D4CE9">
            <w:pPr>
              <w:keepNext/>
              <w:keepLines/>
              <w:ind w:left="119"/>
              <w:rPr>
                <w:rFonts w:ascii="Arial" w:hAnsi="Arial" w:cs="Arial"/>
                <w:color w:val="000000"/>
                <w:sz w:val="16"/>
                <w:szCs w:val="16"/>
              </w:rPr>
            </w:pPr>
            <w:r w:rsidRPr="002E2072">
              <w:rPr>
                <w:rFonts w:ascii="Arial" w:hAnsi="Arial" w:cs="Arial"/>
                <w:color w:val="000000"/>
                <w:sz w:val="16"/>
                <w:szCs w:val="16"/>
              </w:rPr>
              <w:t>No. of visits to the Global Challenges website</w:t>
            </w:r>
          </w:p>
        </w:tc>
        <w:tc>
          <w:tcPr>
            <w:tcW w:w="2520" w:type="dxa"/>
            <w:tcBorders>
              <w:top w:val="nil"/>
              <w:left w:val="nil"/>
              <w:bottom w:val="single" w:sz="4" w:space="0" w:color="auto"/>
              <w:right w:val="nil"/>
            </w:tcBorders>
            <w:shd w:val="clear" w:color="000000" w:fill="FFFFFF"/>
            <w:hideMark/>
          </w:tcPr>
          <w:p w14:paraId="50F1E4CC" w14:textId="77777777" w:rsidR="000C537C" w:rsidRDefault="000C537C" w:rsidP="008D4CE9">
            <w:pPr>
              <w:keepNext/>
              <w:keepLines/>
              <w:ind w:left="149"/>
              <w:rPr>
                <w:rFonts w:ascii="Arial" w:hAnsi="Arial" w:cs="Arial"/>
                <w:color w:val="000000"/>
                <w:sz w:val="16"/>
                <w:szCs w:val="16"/>
              </w:rPr>
            </w:pPr>
            <w:r w:rsidRPr="002E2072">
              <w:rPr>
                <w:rFonts w:ascii="Arial" w:hAnsi="Arial" w:cs="Arial"/>
                <w:color w:val="000000"/>
                <w:sz w:val="16"/>
                <w:szCs w:val="16"/>
              </w:rPr>
              <w:t xml:space="preserve">No. of page views: </w:t>
            </w:r>
            <w:r w:rsidRPr="002E2072">
              <w:rPr>
                <w:rFonts w:ascii="Arial" w:hAnsi="Arial" w:cs="Arial"/>
                <w:color w:val="000000"/>
                <w:sz w:val="16"/>
                <w:szCs w:val="16"/>
              </w:rPr>
              <w:br/>
              <w:t xml:space="preserve">- GCD: 1,353 </w:t>
            </w:r>
            <w:r w:rsidRPr="002E2072">
              <w:rPr>
                <w:rFonts w:ascii="Arial" w:hAnsi="Arial" w:cs="Arial"/>
                <w:color w:val="000000"/>
                <w:sz w:val="16"/>
                <w:szCs w:val="16"/>
              </w:rPr>
              <w:br/>
              <w:t>- Global Health and IP:</w:t>
            </w:r>
          </w:p>
          <w:p w14:paraId="6AE3426B" w14:textId="77777777" w:rsidR="000C537C" w:rsidRDefault="000C537C" w:rsidP="008D4CE9">
            <w:pPr>
              <w:keepNext/>
              <w:keepLines/>
              <w:ind w:left="149"/>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w:t>
            </w:r>
            <w:r>
              <w:rPr>
                <w:rFonts w:ascii="Arial" w:hAnsi="Arial" w:cs="Arial"/>
                <w:color w:val="000000"/>
                <w:sz w:val="16"/>
                <w:szCs w:val="16"/>
              </w:rPr>
              <w:t xml:space="preserve"> </w:t>
            </w:r>
            <w:r w:rsidRPr="002E2072">
              <w:rPr>
                <w:rFonts w:ascii="Arial" w:hAnsi="Arial" w:cs="Arial"/>
                <w:color w:val="000000"/>
                <w:sz w:val="16"/>
                <w:szCs w:val="16"/>
              </w:rPr>
              <w:t>4,778</w:t>
            </w:r>
            <w:r w:rsidRPr="002E2072">
              <w:rPr>
                <w:rFonts w:ascii="Arial" w:hAnsi="Arial" w:cs="Arial"/>
                <w:color w:val="000000"/>
                <w:sz w:val="16"/>
                <w:szCs w:val="16"/>
              </w:rPr>
              <w:br/>
              <w:t>- Climate Change and IP:</w:t>
            </w:r>
          </w:p>
          <w:p w14:paraId="2B77FAAF" w14:textId="77777777" w:rsidR="000C537C" w:rsidRPr="002E2072" w:rsidRDefault="000C537C" w:rsidP="008D4CE9">
            <w:pPr>
              <w:keepNext/>
              <w:keepLines/>
              <w:ind w:left="149"/>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2,462 </w:t>
            </w:r>
            <w:r w:rsidRPr="002E2072">
              <w:rPr>
                <w:rFonts w:ascii="Arial" w:hAnsi="Arial" w:cs="Arial"/>
                <w:color w:val="000000"/>
                <w:sz w:val="16"/>
                <w:szCs w:val="16"/>
              </w:rPr>
              <w:br/>
              <w:t xml:space="preserve">- WIPO </w:t>
            </w:r>
            <w:proofErr w:type="spellStart"/>
            <w:r w:rsidRPr="002E2072">
              <w:rPr>
                <w:rFonts w:ascii="Arial" w:hAnsi="Arial" w:cs="Arial"/>
                <w:color w:val="000000"/>
                <w:sz w:val="16"/>
                <w:szCs w:val="16"/>
              </w:rPr>
              <w:t>Re:Search</w:t>
            </w:r>
            <w:proofErr w:type="spellEnd"/>
            <w:r w:rsidRPr="002E2072">
              <w:rPr>
                <w:rFonts w:ascii="Arial" w:hAnsi="Arial" w:cs="Arial"/>
                <w:color w:val="000000"/>
                <w:sz w:val="16"/>
                <w:szCs w:val="16"/>
              </w:rPr>
              <w:t xml:space="preserve">: 38,852 </w:t>
            </w:r>
            <w:r w:rsidRPr="002E2072">
              <w:rPr>
                <w:rFonts w:ascii="Arial" w:hAnsi="Arial" w:cs="Arial"/>
                <w:color w:val="000000"/>
                <w:sz w:val="16"/>
                <w:szCs w:val="16"/>
              </w:rPr>
              <w:br/>
              <w:t>- WIPO GREEN:  77,752</w:t>
            </w:r>
          </w:p>
        </w:tc>
        <w:tc>
          <w:tcPr>
            <w:tcW w:w="2020" w:type="dxa"/>
            <w:tcBorders>
              <w:top w:val="nil"/>
              <w:left w:val="nil"/>
              <w:bottom w:val="single" w:sz="4" w:space="0" w:color="auto"/>
              <w:right w:val="single" w:sz="4" w:space="0" w:color="auto"/>
            </w:tcBorders>
            <w:shd w:val="clear" w:color="000000" w:fill="FFFFFF"/>
            <w:hideMark/>
          </w:tcPr>
          <w:p w14:paraId="34D8D022" w14:textId="77777777" w:rsidR="000C537C" w:rsidRPr="002E2072" w:rsidRDefault="000C537C" w:rsidP="00984F70">
            <w:pPr>
              <w:ind w:left="180" w:hanging="180"/>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10% increase </w:t>
            </w:r>
          </w:p>
        </w:tc>
      </w:tr>
    </w:tbl>
    <w:p w14:paraId="5B787627" w14:textId="77777777" w:rsidR="000C537C" w:rsidRDefault="000C537C" w:rsidP="00984F70">
      <w:pPr>
        <w:tabs>
          <w:tab w:val="left" w:pos="567"/>
          <w:tab w:val="left" w:pos="1985"/>
        </w:tabs>
        <w:jc w:val="both"/>
        <w:rPr>
          <w:rFonts w:ascii="Arial" w:hAnsi="Arial" w:cs="Arial"/>
          <w:bCs/>
          <w:sz w:val="20"/>
        </w:rPr>
      </w:pPr>
    </w:p>
    <w:p w14:paraId="402A9372" w14:textId="77777777" w:rsidR="000C537C" w:rsidRPr="00BC78B8" w:rsidRDefault="000C537C" w:rsidP="00984F70">
      <w:pPr>
        <w:tabs>
          <w:tab w:val="left" w:pos="567"/>
          <w:tab w:val="left" w:pos="1985"/>
        </w:tabs>
        <w:jc w:val="both"/>
        <w:rPr>
          <w:rFonts w:ascii="Arial" w:hAnsi="Arial" w:cs="Arial"/>
          <w:bCs/>
          <w:sz w:val="20"/>
        </w:rPr>
      </w:pPr>
    </w:p>
    <w:p w14:paraId="64E8DBD3" w14:textId="77777777" w:rsidR="000C537C" w:rsidRDefault="000C537C">
      <w:pPr>
        <w:tabs>
          <w:tab w:val="left" w:pos="567"/>
          <w:tab w:val="left" w:pos="1985"/>
        </w:tabs>
        <w:jc w:val="both"/>
        <w:rPr>
          <w:rFonts w:ascii="Arial" w:hAnsi="Arial" w:cs="Arial"/>
          <w:bCs/>
        </w:rPr>
      </w:pPr>
      <w:r w:rsidRPr="00BC78B8">
        <w:rPr>
          <w:rFonts w:ascii="Arial" w:hAnsi="Arial" w:cs="Arial"/>
          <w:bCs/>
        </w:rPr>
        <w:t xml:space="preserve">RESOURCES FOR PROGRAM 18 </w:t>
      </w:r>
    </w:p>
    <w:p w14:paraId="54461A26" w14:textId="77777777" w:rsidR="000C537C" w:rsidRDefault="000C537C" w:rsidP="000C537C">
      <w:pPr>
        <w:tabs>
          <w:tab w:val="left" w:pos="709"/>
          <w:tab w:val="left" w:pos="1985"/>
        </w:tabs>
        <w:jc w:val="both"/>
        <w:rPr>
          <w:rFonts w:ascii="Arial" w:hAnsi="Arial" w:cs="Arial"/>
          <w:bCs/>
        </w:rPr>
      </w:pPr>
    </w:p>
    <w:p w14:paraId="2065FE3F" w14:textId="77777777" w:rsidR="000C537C" w:rsidRPr="00D81CA2" w:rsidRDefault="000C537C" w:rsidP="00B66A4A">
      <w:pPr>
        <w:numPr>
          <w:ilvl w:val="0"/>
          <w:numId w:val="74"/>
        </w:numPr>
        <w:tabs>
          <w:tab w:val="left" w:pos="709"/>
        </w:tabs>
        <w:jc w:val="both"/>
        <w:rPr>
          <w:rFonts w:ascii="Arial" w:hAnsi="Arial" w:cs="Arial"/>
          <w:sz w:val="20"/>
        </w:rPr>
      </w:pPr>
      <w:r w:rsidRPr="00FB68E0">
        <w:rPr>
          <w:rFonts w:ascii="Arial" w:hAnsi="Arial" w:cs="Arial"/>
          <w:bCs/>
          <w:sz w:val="20"/>
        </w:rPr>
        <w:t xml:space="preserve">A slight reduction can be observed in the total resources for 2016/17 for Program 18 compared to the 2014/15 Budget after Transfers. This is due to a reduction in non-personnel resources for IP and competition policy and a reduction in personnel resources for the Program in 2016/17 </w:t>
      </w:r>
      <w:r w:rsidRPr="00D81CA2">
        <w:rPr>
          <w:rFonts w:ascii="Arial" w:hAnsi="Arial" w:cs="Arial"/>
          <w:sz w:val="20"/>
        </w:rPr>
        <w:t xml:space="preserve">due to the </w:t>
      </w:r>
      <w:r w:rsidRPr="00DD392F">
        <w:rPr>
          <w:rFonts w:ascii="Arial" w:hAnsi="Arial" w:cs="Arial"/>
          <w:sz w:val="20"/>
        </w:rPr>
        <w:t>change in the costing methodology for personnel resources</w:t>
      </w:r>
      <w:r w:rsidRPr="00D81CA2">
        <w:rPr>
          <w:rFonts w:ascii="Arial" w:hAnsi="Arial" w:cs="Arial"/>
          <w:sz w:val="20"/>
        </w:rPr>
        <w:t xml:space="preserve"> in 2016/17 based on actuals based costing. </w:t>
      </w:r>
    </w:p>
    <w:p w14:paraId="03D77395" w14:textId="77777777" w:rsidR="000C537C" w:rsidRDefault="000C537C" w:rsidP="000C537C">
      <w:pPr>
        <w:tabs>
          <w:tab w:val="left" w:pos="709"/>
          <w:tab w:val="left" w:pos="1985"/>
        </w:tabs>
        <w:jc w:val="both"/>
        <w:rPr>
          <w:rFonts w:ascii="Arial" w:hAnsi="Arial" w:cs="Arial"/>
          <w:sz w:val="20"/>
        </w:rPr>
      </w:pPr>
    </w:p>
    <w:p w14:paraId="7B79D38C" w14:textId="7127A786" w:rsidR="000C537C" w:rsidRDefault="000C537C" w:rsidP="00B66A4A">
      <w:pPr>
        <w:numPr>
          <w:ilvl w:val="0"/>
          <w:numId w:val="74"/>
        </w:numPr>
        <w:tabs>
          <w:tab w:val="left" w:pos="709"/>
        </w:tabs>
        <w:jc w:val="both"/>
        <w:rPr>
          <w:rFonts w:ascii="Arial" w:hAnsi="Arial" w:cs="Arial"/>
          <w:sz w:val="20"/>
        </w:rPr>
      </w:pPr>
      <w:r>
        <w:rPr>
          <w:rFonts w:ascii="Arial" w:hAnsi="Arial" w:cs="Arial"/>
          <w:sz w:val="20"/>
        </w:rPr>
        <w:t>The Expected Result VII.3 has been merged with Expected</w:t>
      </w:r>
      <w:r w:rsidR="00ED6FE3">
        <w:rPr>
          <w:rFonts w:ascii="Arial" w:hAnsi="Arial" w:cs="Arial"/>
          <w:sz w:val="20"/>
        </w:rPr>
        <w:t xml:space="preserve"> Result </w:t>
      </w:r>
      <w:r>
        <w:rPr>
          <w:rFonts w:ascii="Arial" w:hAnsi="Arial" w:cs="Arial"/>
          <w:sz w:val="20"/>
        </w:rPr>
        <w:t xml:space="preserve">I.2 in 2016/17 resulting in a shift of resources from </w:t>
      </w:r>
      <w:r w:rsidR="00ED6FE3">
        <w:rPr>
          <w:rFonts w:ascii="Arial" w:hAnsi="Arial" w:cs="Arial"/>
          <w:sz w:val="20"/>
        </w:rPr>
        <w:t xml:space="preserve">VII.3 in 2014/15 to </w:t>
      </w:r>
      <w:r>
        <w:rPr>
          <w:rFonts w:ascii="Arial" w:hAnsi="Arial" w:cs="Arial"/>
          <w:sz w:val="20"/>
        </w:rPr>
        <w:t xml:space="preserve">I.2 in 2016/17.  </w:t>
      </w:r>
    </w:p>
    <w:p w14:paraId="0BB59973" w14:textId="77777777" w:rsidR="000C537C" w:rsidRDefault="000C537C" w:rsidP="000C537C">
      <w:pPr>
        <w:tabs>
          <w:tab w:val="left" w:pos="709"/>
          <w:tab w:val="left" w:pos="1985"/>
        </w:tabs>
        <w:jc w:val="both"/>
        <w:rPr>
          <w:rFonts w:ascii="Arial" w:hAnsi="Arial" w:cs="Arial"/>
          <w:sz w:val="20"/>
        </w:rPr>
      </w:pPr>
    </w:p>
    <w:p w14:paraId="50CC805B" w14:textId="4D484A45" w:rsidR="000C537C" w:rsidRDefault="000C537C" w:rsidP="00B66A4A">
      <w:pPr>
        <w:numPr>
          <w:ilvl w:val="0"/>
          <w:numId w:val="74"/>
        </w:numPr>
        <w:tabs>
          <w:tab w:val="left" w:pos="709"/>
        </w:tabs>
        <w:jc w:val="both"/>
        <w:rPr>
          <w:rFonts w:ascii="Arial" w:hAnsi="Arial" w:cs="Arial"/>
          <w:sz w:val="20"/>
        </w:rPr>
      </w:pPr>
      <w:r>
        <w:rPr>
          <w:rFonts w:ascii="Arial" w:hAnsi="Arial" w:cs="Arial"/>
          <w:sz w:val="20"/>
        </w:rPr>
        <w:t xml:space="preserve">Resources associated with global health related activities have been linked to Expected Result VIII.5 in the biennium 2016/17 to better reflect the trilateral </w:t>
      </w:r>
      <w:r w:rsidRPr="00E009BD">
        <w:rPr>
          <w:rFonts w:ascii="Arial" w:hAnsi="Arial" w:cs="Arial"/>
          <w:sz w:val="20"/>
        </w:rPr>
        <w:t xml:space="preserve">cooperation with the </w:t>
      </w:r>
      <w:r>
        <w:rPr>
          <w:rFonts w:ascii="Arial" w:hAnsi="Arial" w:cs="Arial"/>
          <w:sz w:val="20"/>
        </w:rPr>
        <w:t xml:space="preserve">WHO and WTO. This is compensated by a </w:t>
      </w:r>
      <w:r w:rsidR="00ED6FE3">
        <w:rPr>
          <w:rFonts w:ascii="Arial" w:hAnsi="Arial" w:cs="Arial"/>
          <w:sz w:val="20"/>
        </w:rPr>
        <w:t>shift of</w:t>
      </w:r>
      <w:r>
        <w:rPr>
          <w:rFonts w:ascii="Arial" w:hAnsi="Arial" w:cs="Arial"/>
          <w:sz w:val="20"/>
        </w:rPr>
        <w:t xml:space="preserve"> resources linked to Expected Result IV.2.</w:t>
      </w:r>
    </w:p>
    <w:p w14:paraId="50650A02" w14:textId="77777777" w:rsidR="000C537C" w:rsidRDefault="000C537C" w:rsidP="000C537C">
      <w:pPr>
        <w:tabs>
          <w:tab w:val="left" w:pos="709"/>
          <w:tab w:val="left" w:pos="1985"/>
        </w:tabs>
        <w:jc w:val="both"/>
        <w:rPr>
          <w:rFonts w:ascii="Arial" w:hAnsi="Arial" w:cs="Arial"/>
          <w:sz w:val="20"/>
        </w:rPr>
      </w:pPr>
    </w:p>
    <w:p w14:paraId="4F3DDE98" w14:textId="77777777" w:rsidR="000C537C" w:rsidRDefault="000C537C" w:rsidP="00B66A4A">
      <w:pPr>
        <w:numPr>
          <w:ilvl w:val="0"/>
          <w:numId w:val="74"/>
        </w:numPr>
        <w:tabs>
          <w:tab w:val="left" w:pos="709"/>
        </w:tabs>
        <w:jc w:val="both"/>
        <w:rPr>
          <w:rFonts w:ascii="Arial" w:hAnsi="Arial" w:cs="Arial"/>
          <w:bCs/>
        </w:rPr>
      </w:pPr>
      <w:r>
        <w:rPr>
          <w:rFonts w:ascii="Arial" w:hAnsi="Arial" w:cs="Arial"/>
          <w:sz w:val="20"/>
        </w:rPr>
        <w:t xml:space="preserve">Resources linked to Expected Results I.1, VI.1, VI.2 and VIII.5 under this Program reflects efforts dedicated by the Office of the Assistance Director General of the Global Issues Sector to the activities of Programs 4, 17 and 20 respectively.          </w:t>
      </w:r>
      <w:r>
        <w:rPr>
          <w:rFonts w:ascii="Arial" w:hAnsi="Arial" w:cs="Arial"/>
          <w:bCs/>
        </w:rPr>
        <w:t xml:space="preserve"> </w:t>
      </w:r>
    </w:p>
    <w:p w14:paraId="13914E54" w14:textId="77777777" w:rsidR="000C537C" w:rsidRDefault="000C537C">
      <w:pPr>
        <w:tabs>
          <w:tab w:val="left" w:pos="567"/>
          <w:tab w:val="left" w:pos="1985"/>
        </w:tabs>
        <w:jc w:val="both"/>
        <w:rPr>
          <w:rFonts w:ascii="Arial" w:hAnsi="Arial" w:cs="Arial"/>
          <w:bCs/>
        </w:rPr>
      </w:pPr>
    </w:p>
    <w:p w14:paraId="4876AF94" w14:textId="77777777" w:rsidR="000C537C" w:rsidRPr="00BC78B8" w:rsidRDefault="000C537C">
      <w:pPr>
        <w:tabs>
          <w:tab w:val="left" w:pos="567"/>
          <w:tab w:val="left" w:pos="1985"/>
        </w:tabs>
        <w:jc w:val="both"/>
        <w:rPr>
          <w:rFonts w:ascii="Arial" w:hAnsi="Arial" w:cs="Arial"/>
          <w:bCs/>
        </w:rPr>
      </w:pPr>
      <w:r>
        <w:rPr>
          <w:rFonts w:ascii="Arial" w:hAnsi="Arial" w:cs="Arial"/>
          <w:bCs/>
        </w:rPr>
        <w:t xml:space="preserve"> </w:t>
      </w:r>
    </w:p>
    <w:p w14:paraId="0C3A8A0D" w14:textId="77777777" w:rsidR="000C537C" w:rsidRPr="00E53EEC" w:rsidRDefault="000C537C" w:rsidP="000C537C">
      <w:pPr>
        <w:keepNext/>
        <w:keepLines/>
        <w:tabs>
          <w:tab w:val="left" w:pos="1427"/>
        </w:tabs>
        <w:jc w:val="center"/>
        <w:rPr>
          <w:rFonts w:ascii="Arial" w:hAnsi="Arial" w:cs="Arial"/>
          <w:sz w:val="20"/>
        </w:rPr>
      </w:pPr>
      <w:r>
        <w:rPr>
          <w:rFonts w:ascii="Arial" w:hAnsi="Arial" w:cs="Arial"/>
          <w:b/>
          <w:sz w:val="20"/>
          <w:szCs w:val="24"/>
        </w:rPr>
        <w:lastRenderedPageBreak/>
        <w:t>Program 18</w:t>
      </w:r>
      <w:r w:rsidRPr="00E53EEC">
        <w:rPr>
          <w:rFonts w:ascii="Arial" w:hAnsi="Arial" w:cs="Arial"/>
          <w:b/>
          <w:sz w:val="20"/>
          <w:szCs w:val="24"/>
        </w:rPr>
        <w:t xml:space="preserve">:  Resources by </w:t>
      </w:r>
      <w:r>
        <w:rPr>
          <w:rFonts w:ascii="Arial" w:hAnsi="Arial" w:cs="Arial"/>
          <w:b/>
          <w:sz w:val="20"/>
          <w:szCs w:val="24"/>
        </w:rPr>
        <w:t>Result</w:t>
      </w:r>
    </w:p>
    <w:p w14:paraId="3CCEBA90" w14:textId="77777777" w:rsidR="000C537C" w:rsidRDefault="000C537C" w:rsidP="000C537C">
      <w:pPr>
        <w:keepNext/>
        <w:keepLines/>
        <w:tabs>
          <w:tab w:val="left" w:pos="1427"/>
        </w:tabs>
        <w:jc w:val="center"/>
        <w:rPr>
          <w:rFonts w:ascii="Arial" w:hAnsi="Arial" w:cs="Arial"/>
          <w:i/>
          <w:sz w:val="20"/>
          <w:szCs w:val="24"/>
        </w:rPr>
      </w:pPr>
      <w:r w:rsidRPr="00E53EEC">
        <w:rPr>
          <w:rFonts w:ascii="Arial" w:hAnsi="Arial" w:cs="Arial"/>
          <w:i/>
          <w:sz w:val="20"/>
          <w:szCs w:val="24"/>
        </w:rPr>
        <w:t>(In thousands of Swiss francs)</w:t>
      </w:r>
    </w:p>
    <w:p w14:paraId="61D7F5BC" w14:textId="77777777" w:rsidR="000C537C" w:rsidRPr="00E53EEC" w:rsidRDefault="000C537C" w:rsidP="000C537C">
      <w:pPr>
        <w:keepNext/>
        <w:keepLines/>
        <w:tabs>
          <w:tab w:val="left" w:pos="1427"/>
        </w:tabs>
        <w:jc w:val="center"/>
        <w:rPr>
          <w:rFonts w:ascii="Arial" w:hAnsi="Arial" w:cs="Arial"/>
          <w:i/>
          <w:sz w:val="20"/>
          <w:szCs w:val="24"/>
        </w:rPr>
      </w:pPr>
    </w:p>
    <w:p w14:paraId="34FB1BD1" w14:textId="77777777" w:rsidR="000C537C" w:rsidRPr="00E53EEC" w:rsidRDefault="000C537C" w:rsidP="000C537C">
      <w:pPr>
        <w:keepNext/>
        <w:keepLines/>
        <w:tabs>
          <w:tab w:val="left" w:pos="567"/>
          <w:tab w:val="left" w:pos="1985"/>
          <w:tab w:val="left" w:pos="9072"/>
        </w:tabs>
        <w:jc w:val="center"/>
        <w:rPr>
          <w:rFonts w:ascii="Arial" w:hAnsi="Arial" w:cs="Arial"/>
          <w:bCs/>
          <w:sz w:val="18"/>
        </w:rPr>
      </w:pPr>
      <w:r w:rsidRPr="007749B4">
        <w:rPr>
          <w:noProof/>
          <w:lang w:eastAsia="en-US"/>
        </w:rPr>
        <w:drawing>
          <wp:inline distT="0" distB="0" distL="0" distR="0" wp14:anchorId="35A70BFB" wp14:editId="1C649715">
            <wp:extent cx="4857027" cy="4579951"/>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72340" cy="4594391"/>
                    </a:xfrm>
                    <a:prstGeom prst="rect">
                      <a:avLst/>
                    </a:prstGeom>
                    <a:noFill/>
                    <a:ln>
                      <a:noFill/>
                    </a:ln>
                  </pic:spPr>
                </pic:pic>
              </a:graphicData>
            </a:graphic>
          </wp:inline>
        </w:drawing>
      </w:r>
    </w:p>
    <w:p w14:paraId="11B65D5C" w14:textId="77777777" w:rsidR="000C537C" w:rsidRDefault="000C537C" w:rsidP="000C537C">
      <w:pPr>
        <w:tabs>
          <w:tab w:val="left" w:pos="1427"/>
        </w:tabs>
        <w:jc w:val="center"/>
        <w:rPr>
          <w:rFonts w:ascii="Arial" w:hAnsi="Arial" w:cs="Arial"/>
          <w:b/>
          <w:sz w:val="20"/>
          <w:szCs w:val="24"/>
        </w:rPr>
      </w:pPr>
    </w:p>
    <w:p w14:paraId="1C284CDE" w14:textId="77777777" w:rsidR="000C537C" w:rsidRDefault="000C537C" w:rsidP="000C537C">
      <w:pPr>
        <w:tabs>
          <w:tab w:val="left" w:pos="1427"/>
        </w:tabs>
        <w:jc w:val="center"/>
        <w:rPr>
          <w:rFonts w:ascii="Arial" w:hAnsi="Arial" w:cs="Arial"/>
          <w:b/>
          <w:sz w:val="20"/>
          <w:szCs w:val="24"/>
        </w:rPr>
      </w:pPr>
    </w:p>
    <w:p w14:paraId="613CB44A" w14:textId="77777777" w:rsidR="000C537C" w:rsidRDefault="000C537C">
      <w:pPr>
        <w:rPr>
          <w:rFonts w:ascii="Arial" w:hAnsi="Arial" w:cs="Arial"/>
          <w:b/>
          <w:sz w:val="20"/>
          <w:szCs w:val="24"/>
        </w:rPr>
      </w:pPr>
      <w:r>
        <w:rPr>
          <w:rFonts w:ascii="Arial" w:hAnsi="Arial" w:cs="Arial"/>
          <w:b/>
          <w:sz w:val="20"/>
          <w:szCs w:val="24"/>
        </w:rPr>
        <w:br w:type="page"/>
      </w:r>
    </w:p>
    <w:p w14:paraId="2066F7B2" w14:textId="5119AE33" w:rsidR="000C537C" w:rsidRPr="00E53EEC" w:rsidRDefault="000C537C" w:rsidP="000C537C">
      <w:pPr>
        <w:tabs>
          <w:tab w:val="left" w:pos="1427"/>
        </w:tabs>
        <w:jc w:val="center"/>
        <w:rPr>
          <w:rFonts w:ascii="Arial" w:hAnsi="Arial" w:cs="Arial"/>
          <w:sz w:val="20"/>
        </w:rPr>
      </w:pPr>
      <w:r>
        <w:rPr>
          <w:rFonts w:ascii="Arial" w:hAnsi="Arial" w:cs="Arial"/>
          <w:b/>
          <w:sz w:val="20"/>
          <w:szCs w:val="24"/>
        </w:rPr>
        <w:lastRenderedPageBreak/>
        <w:t>Program 18</w:t>
      </w:r>
      <w:r w:rsidRPr="00E53EEC">
        <w:rPr>
          <w:rFonts w:ascii="Arial" w:hAnsi="Arial" w:cs="Arial"/>
          <w:b/>
          <w:sz w:val="20"/>
          <w:szCs w:val="24"/>
        </w:rPr>
        <w:t>:  Resources by Object of Expenditure</w:t>
      </w:r>
    </w:p>
    <w:p w14:paraId="2939282E" w14:textId="77777777" w:rsidR="000C537C" w:rsidRDefault="000C537C" w:rsidP="000C537C">
      <w:pPr>
        <w:tabs>
          <w:tab w:val="left" w:pos="1427"/>
        </w:tabs>
        <w:jc w:val="center"/>
        <w:rPr>
          <w:rFonts w:ascii="Arial" w:hAnsi="Arial" w:cs="Arial"/>
          <w:i/>
          <w:sz w:val="20"/>
          <w:szCs w:val="24"/>
        </w:rPr>
      </w:pPr>
      <w:r w:rsidRPr="00E53EEC">
        <w:rPr>
          <w:rFonts w:ascii="Arial" w:hAnsi="Arial" w:cs="Arial"/>
          <w:i/>
          <w:sz w:val="20"/>
          <w:szCs w:val="24"/>
        </w:rPr>
        <w:t>(In thousands of Swiss francs)</w:t>
      </w:r>
    </w:p>
    <w:p w14:paraId="10C72F40" w14:textId="77777777" w:rsidR="000C537C" w:rsidRDefault="000C537C" w:rsidP="000C537C">
      <w:pPr>
        <w:tabs>
          <w:tab w:val="left" w:pos="1427"/>
        </w:tabs>
        <w:jc w:val="center"/>
        <w:rPr>
          <w:rFonts w:ascii="Arial" w:hAnsi="Arial" w:cs="Arial"/>
          <w:i/>
          <w:sz w:val="20"/>
          <w:szCs w:val="24"/>
        </w:rPr>
      </w:pPr>
    </w:p>
    <w:p w14:paraId="446C691D" w14:textId="77777777" w:rsidR="000C537C" w:rsidRPr="000E77D3" w:rsidRDefault="000C537C" w:rsidP="008B4CD5">
      <w:pPr>
        <w:tabs>
          <w:tab w:val="left" w:pos="567"/>
          <w:tab w:val="left" w:pos="1985"/>
        </w:tabs>
        <w:jc w:val="center"/>
        <w:rPr>
          <w:rFonts w:ascii="Arial" w:hAnsi="Arial" w:cs="Arial"/>
          <w:bCs/>
          <w:sz w:val="20"/>
        </w:rPr>
      </w:pPr>
      <w:r w:rsidRPr="00143A2F">
        <w:rPr>
          <w:noProof/>
          <w:lang w:eastAsia="en-US"/>
        </w:rPr>
        <w:drawing>
          <wp:inline distT="0" distB="0" distL="0" distR="0" wp14:anchorId="200EEFFA" wp14:editId="66817B86">
            <wp:extent cx="5041199" cy="5672941"/>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045658" cy="5677959"/>
                    </a:xfrm>
                    <a:prstGeom prst="rect">
                      <a:avLst/>
                    </a:prstGeom>
                    <a:noFill/>
                    <a:ln>
                      <a:noFill/>
                    </a:ln>
                  </pic:spPr>
                </pic:pic>
              </a:graphicData>
            </a:graphic>
          </wp:inline>
        </w:drawing>
      </w:r>
    </w:p>
    <w:p w14:paraId="0E096697" w14:textId="77777777" w:rsidR="000C537C" w:rsidRPr="000E77D3" w:rsidRDefault="000C537C" w:rsidP="00984F70">
      <w:pPr>
        <w:tabs>
          <w:tab w:val="left" w:pos="567"/>
          <w:tab w:val="left" w:pos="1985"/>
        </w:tabs>
        <w:jc w:val="both"/>
        <w:rPr>
          <w:rFonts w:ascii="Arial" w:hAnsi="Arial" w:cs="Arial"/>
          <w:bCs/>
          <w:sz w:val="20"/>
        </w:rPr>
      </w:pPr>
    </w:p>
    <w:p w14:paraId="19B1554C" w14:textId="51E7EA8C" w:rsidR="000D7C57" w:rsidRDefault="000D7C57">
      <w:pPr>
        <w:rPr>
          <w:rFonts w:ascii="Arial" w:hAnsi="Arial" w:cs="Arial"/>
          <w:bCs/>
          <w:sz w:val="20"/>
        </w:rPr>
      </w:pPr>
      <w:r>
        <w:rPr>
          <w:rFonts w:ascii="Arial" w:hAnsi="Arial" w:cs="Arial"/>
          <w:bCs/>
          <w:sz w:val="20"/>
        </w:rPr>
        <w:br w:type="page"/>
      </w:r>
    </w:p>
    <w:p w14:paraId="0A49C6D1" w14:textId="0D634944" w:rsidR="00A52130" w:rsidRPr="00B30215" w:rsidRDefault="00A52130" w:rsidP="003D65C6">
      <w:pPr>
        <w:pStyle w:val="StyleHeading3ComplexItalic"/>
        <w:tabs>
          <w:tab w:val="clear" w:pos="1985"/>
          <w:tab w:val="left" w:pos="3119"/>
        </w:tabs>
        <w:ind w:left="3119" w:hanging="3119"/>
        <w:rPr>
          <w:rStyle w:val="StyleStyleHeading3ComplexItalicLatin12ptChar"/>
          <w:rFonts w:eastAsia="SimSun"/>
          <w:b/>
          <w:szCs w:val="24"/>
        </w:rPr>
      </w:pPr>
      <w:bookmarkStart w:id="62" w:name="_Toc367350598"/>
      <w:bookmarkStart w:id="63" w:name="_Toc431221432"/>
      <w:r w:rsidRPr="00B30215">
        <w:rPr>
          <w:rStyle w:val="StyleStyleHeading3ComplexItalicLatin12ptChar"/>
          <w:rFonts w:eastAsia="SimSun"/>
          <w:b/>
          <w:szCs w:val="24"/>
        </w:rPr>
        <w:lastRenderedPageBreak/>
        <w:t xml:space="preserve">STRATEGIC GOAL </w:t>
      </w:r>
      <w:r w:rsidR="003D65C6" w:rsidRPr="00B30215">
        <w:rPr>
          <w:rStyle w:val="StyleStyleHeading3ComplexItalicLatin12ptChar"/>
          <w:rFonts w:eastAsia="SimSun"/>
          <w:b/>
          <w:szCs w:val="24"/>
        </w:rPr>
        <w:t>VIII</w:t>
      </w:r>
      <w:r w:rsidR="003D65C6" w:rsidRPr="00B30215">
        <w:rPr>
          <w:rStyle w:val="StyleStyleHeading3ComplexItalicLatin12ptChar"/>
          <w:rFonts w:eastAsia="SimSun"/>
          <w:b/>
          <w:szCs w:val="24"/>
        </w:rPr>
        <w:tab/>
        <w:t>A RESPONSIVE COMMUNICATIONS INTERFACE BETWEEN WIPO, ITS</w:t>
      </w:r>
      <w:r w:rsidR="003D65C6" w:rsidRPr="00B30215">
        <w:rPr>
          <w:rStyle w:val="StyleStyleHeading3ComplexItalicLatin12ptChar"/>
          <w:rFonts w:eastAsia="SimSun"/>
          <w:szCs w:val="24"/>
        </w:rPr>
        <w:t xml:space="preserve"> </w:t>
      </w:r>
      <w:r w:rsidR="003D65C6" w:rsidRPr="00B30215">
        <w:rPr>
          <w:rStyle w:val="StyleStyleHeading3ComplexItalicLatin12ptChar"/>
          <w:rFonts w:eastAsia="SimSun"/>
          <w:b/>
          <w:szCs w:val="24"/>
        </w:rPr>
        <w:t>MEMBERS AND ALL STAKEHOLDERS</w:t>
      </w:r>
      <w:bookmarkEnd w:id="62"/>
      <w:bookmarkEnd w:id="63"/>
      <w:r w:rsidR="003D65C6" w:rsidRPr="00B30215">
        <w:rPr>
          <w:rStyle w:val="StyleStyleHeading3ComplexItalicLatin12ptChar"/>
          <w:rFonts w:eastAsia="SimSun"/>
          <w:b/>
          <w:szCs w:val="24"/>
        </w:rPr>
        <w:t xml:space="preserve"> </w:t>
      </w:r>
    </w:p>
    <w:p w14:paraId="4B5D0802" w14:textId="77777777" w:rsidR="00A52130" w:rsidRPr="00A522FE" w:rsidRDefault="00A52130" w:rsidP="00A52130">
      <w:pPr>
        <w:tabs>
          <w:tab w:val="left" w:pos="1701"/>
        </w:tabs>
        <w:ind w:left="1701" w:hanging="1701"/>
        <w:jc w:val="center"/>
        <w:rPr>
          <w:rFonts w:ascii="Arial" w:hAnsi="Arial" w:cs="Arial"/>
          <w:b/>
          <w:bCs/>
          <w:caps/>
          <w:szCs w:val="24"/>
        </w:rPr>
      </w:pPr>
    </w:p>
    <w:p w14:paraId="4B090486" w14:textId="77777777" w:rsidR="00A52130" w:rsidRPr="00A522FE" w:rsidRDefault="00A52130" w:rsidP="00A52130">
      <w:pPr>
        <w:tabs>
          <w:tab w:val="left" w:pos="1701"/>
        </w:tabs>
        <w:ind w:left="1701" w:hanging="1701"/>
        <w:jc w:val="center"/>
        <w:rPr>
          <w:rFonts w:ascii="Arial" w:hAnsi="Arial" w:cs="Arial"/>
          <w:b/>
          <w:bCs/>
          <w:caps/>
          <w:szCs w:val="24"/>
        </w:rPr>
      </w:pPr>
    </w:p>
    <w:p w14:paraId="33FF73AE" w14:textId="77777777" w:rsidR="00A52130" w:rsidRPr="00F3719C" w:rsidRDefault="00A52130" w:rsidP="00A52130">
      <w:pPr>
        <w:autoSpaceDE w:val="0"/>
        <w:autoSpaceDN w:val="0"/>
        <w:adjustRightInd w:val="0"/>
        <w:spacing w:before="120"/>
        <w:jc w:val="both"/>
        <w:rPr>
          <w:rFonts w:ascii="Arial" w:hAnsi="Arial" w:cs="Arial"/>
          <w:sz w:val="20"/>
        </w:rPr>
      </w:pPr>
      <w:r w:rsidRPr="00F3719C">
        <w:rPr>
          <w:rFonts w:ascii="Arial" w:hAnsi="Arial" w:cs="Arial"/>
          <w:sz w:val="20"/>
        </w:rPr>
        <w:t>This Strategic Goal signals the high priority which the WIPO Secretariat attaches to effective communication as an essential enabler of success in every aspect of its work, and to service as a core, corporate value.  WIPO provides diverse services to a wide range of stakeholders – first and foremost, as a United Nations Specialized Agency, to its Member States.  Such services include support to the Committees in their normative activities, capacity building services to developing countries, information and technical services, as well as the global IP registration, filing and dispute resolution services.</w:t>
      </w:r>
    </w:p>
    <w:p w14:paraId="6A059C5F" w14:textId="77777777" w:rsidR="00A52130" w:rsidRDefault="00A52130" w:rsidP="00A52130">
      <w:pPr>
        <w:tabs>
          <w:tab w:val="left" w:pos="1701"/>
        </w:tabs>
        <w:ind w:left="1701" w:hanging="1701"/>
        <w:jc w:val="center"/>
        <w:rPr>
          <w:rFonts w:ascii="Arial" w:hAnsi="Arial" w:cs="Arial"/>
          <w:bCs/>
          <w:iCs/>
          <w:caps/>
          <w:sz w:val="20"/>
        </w:rPr>
      </w:pPr>
    </w:p>
    <w:p w14:paraId="4AD32571" w14:textId="339C50DC" w:rsidR="00984F70" w:rsidRDefault="00984F70">
      <w:pPr>
        <w:rPr>
          <w:rFonts w:ascii="Arial" w:hAnsi="Arial" w:cs="Arial"/>
          <w:bC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292B80" w:rsidRPr="00AF5E7C" w14:paraId="32BD4184" w14:textId="77777777" w:rsidTr="007644FB">
        <w:trPr>
          <w:cantSplit/>
          <w:trHeight w:val="383"/>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0C3201A0" w14:textId="77777777" w:rsidR="00292B80" w:rsidRPr="00396294" w:rsidRDefault="00292B80" w:rsidP="005A1F7F">
            <w:pPr>
              <w:spacing w:after="120"/>
              <w:jc w:val="center"/>
              <w:rPr>
                <w:rFonts w:ascii="Arial" w:hAnsi="Arial" w:cs="Arial"/>
                <w:b/>
                <w:bCs/>
                <w:sz w:val="18"/>
                <w:szCs w:val="18"/>
              </w:rPr>
            </w:pPr>
            <w:r w:rsidRPr="00396294">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751CA8" w14:textId="77777777" w:rsidR="00292B80" w:rsidRPr="00396294" w:rsidRDefault="00292B80" w:rsidP="005A1F7F">
            <w:pPr>
              <w:spacing w:after="120"/>
              <w:jc w:val="center"/>
              <w:rPr>
                <w:rFonts w:ascii="Arial" w:hAnsi="Arial" w:cs="Arial"/>
                <w:b/>
                <w:sz w:val="18"/>
                <w:szCs w:val="18"/>
              </w:rPr>
            </w:pPr>
            <w:r w:rsidRPr="00396294">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28D94874" w14:textId="77777777" w:rsidR="00292B80" w:rsidRPr="00396294" w:rsidRDefault="00292B80" w:rsidP="005A1F7F">
            <w:pPr>
              <w:spacing w:after="120"/>
              <w:ind w:left="85"/>
              <w:jc w:val="center"/>
              <w:rPr>
                <w:rFonts w:ascii="Arial" w:hAnsi="Arial" w:cs="Arial"/>
                <w:sz w:val="18"/>
                <w:szCs w:val="18"/>
              </w:rPr>
            </w:pPr>
            <w:r w:rsidRPr="00396294">
              <w:rPr>
                <w:rFonts w:ascii="Arial" w:hAnsi="Arial" w:cs="Arial"/>
                <w:b/>
                <w:bCs/>
                <w:sz w:val="18"/>
                <w:szCs w:val="18"/>
              </w:rPr>
              <w:t>Responsible Program(s)</w:t>
            </w:r>
          </w:p>
        </w:tc>
      </w:tr>
      <w:tr w:rsidR="00292B80" w:rsidRPr="00AF5E7C" w14:paraId="03F79F6B" w14:textId="77777777" w:rsidTr="007644FB">
        <w:trPr>
          <w:cantSplit/>
          <w:trHeight w:val="593"/>
        </w:trPr>
        <w:tc>
          <w:tcPr>
            <w:tcW w:w="1891" w:type="pct"/>
            <w:tcBorders>
              <w:top w:val="single" w:sz="4" w:space="0" w:color="auto"/>
              <w:left w:val="single" w:sz="4" w:space="0" w:color="auto"/>
              <w:bottom w:val="nil"/>
            </w:tcBorders>
            <w:shd w:val="clear" w:color="auto" w:fill="auto"/>
            <w:tcMar>
              <w:top w:w="85" w:type="dxa"/>
              <w:bottom w:w="85" w:type="dxa"/>
            </w:tcMar>
          </w:tcPr>
          <w:p w14:paraId="21872159" w14:textId="77777777" w:rsidR="00292B80" w:rsidRPr="00D2533A" w:rsidRDefault="00292B80" w:rsidP="005A1F7F">
            <w:pPr>
              <w:rPr>
                <w:rFonts w:ascii="Arial" w:hAnsi="Arial" w:cs="Arial"/>
                <w:sz w:val="16"/>
                <w:szCs w:val="16"/>
              </w:rPr>
            </w:pPr>
            <w:r w:rsidRPr="00D2533A">
              <w:rPr>
                <w:rFonts w:ascii="Arial" w:hAnsi="Arial" w:cs="Arial"/>
                <w:sz w:val="16"/>
                <w:szCs w:val="16"/>
              </w:rPr>
              <w:t>VIII.1</w:t>
            </w:r>
            <w:r>
              <w:rPr>
                <w:rFonts w:ascii="Arial" w:hAnsi="Arial" w:cs="Arial"/>
                <w:sz w:val="16"/>
                <w:szCs w:val="16"/>
              </w:rPr>
              <w:t xml:space="preserve">  </w:t>
            </w:r>
            <w:r w:rsidRPr="00D2533A">
              <w:rPr>
                <w:rFonts w:ascii="Arial" w:hAnsi="Arial" w:cs="Arial"/>
                <w:sz w:val="16"/>
                <w:szCs w:val="16"/>
              </w:rPr>
              <w:t>More effective communication to a broad public about intellectual property and WIPO’s role</w:t>
            </w:r>
          </w:p>
        </w:tc>
        <w:tc>
          <w:tcPr>
            <w:tcW w:w="1524" w:type="pct"/>
            <w:tcBorders>
              <w:top w:val="single" w:sz="4" w:space="0" w:color="auto"/>
              <w:bottom w:val="nil"/>
            </w:tcBorders>
            <w:shd w:val="clear" w:color="auto" w:fill="auto"/>
            <w:tcMar>
              <w:top w:w="85" w:type="dxa"/>
              <w:bottom w:w="85" w:type="dxa"/>
            </w:tcMar>
          </w:tcPr>
          <w:p w14:paraId="5817163E" w14:textId="77777777" w:rsidR="00292B80" w:rsidRPr="00633368" w:rsidRDefault="00292B80" w:rsidP="005A1F7F">
            <w:pPr>
              <w:rPr>
                <w:rFonts w:ascii="Arial" w:hAnsi="Arial" w:cs="Arial"/>
                <w:sz w:val="16"/>
                <w:szCs w:val="16"/>
              </w:rPr>
            </w:pPr>
            <w:r w:rsidRPr="00633368">
              <w:rPr>
                <w:rFonts w:ascii="Arial" w:hAnsi="Arial" w:cs="Arial"/>
                <w:color w:val="000000"/>
                <w:sz w:val="16"/>
                <w:szCs w:val="16"/>
              </w:rPr>
              <w:t>No. of Member States participating in the WIPO Awards Program</w:t>
            </w:r>
          </w:p>
        </w:tc>
        <w:tc>
          <w:tcPr>
            <w:tcW w:w="1585" w:type="pct"/>
            <w:tcBorders>
              <w:top w:val="single" w:sz="4" w:space="0" w:color="auto"/>
              <w:bottom w:val="nil"/>
              <w:right w:val="single" w:sz="4" w:space="0" w:color="auto"/>
            </w:tcBorders>
            <w:shd w:val="clear" w:color="auto" w:fill="FFFFFF"/>
            <w:tcMar>
              <w:top w:w="85" w:type="dxa"/>
              <w:bottom w:w="85" w:type="dxa"/>
            </w:tcMar>
          </w:tcPr>
          <w:p w14:paraId="08BD2A3C"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17</w:t>
            </w:r>
          </w:p>
          <w:p w14:paraId="5C09EDE0" w14:textId="77777777" w:rsidR="00292B80" w:rsidRPr="00AF5E7C" w:rsidRDefault="00292B80" w:rsidP="005A1F7F">
            <w:pPr>
              <w:ind w:left="768"/>
              <w:rPr>
                <w:rFonts w:ascii="Arial" w:hAnsi="Arial" w:cs="Arial"/>
                <w:sz w:val="16"/>
                <w:szCs w:val="16"/>
              </w:rPr>
            </w:pPr>
          </w:p>
        </w:tc>
      </w:tr>
      <w:tr w:rsidR="00292B80" w:rsidRPr="00AF5E7C" w14:paraId="4BFC9EF6" w14:textId="77777777" w:rsidTr="007644FB">
        <w:trPr>
          <w:cantSplit/>
          <w:trHeight w:val="501"/>
        </w:trPr>
        <w:tc>
          <w:tcPr>
            <w:tcW w:w="1891" w:type="pct"/>
            <w:tcBorders>
              <w:top w:val="nil"/>
              <w:bottom w:val="nil"/>
            </w:tcBorders>
            <w:shd w:val="clear" w:color="auto" w:fill="auto"/>
            <w:tcMar>
              <w:top w:w="85" w:type="dxa"/>
              <w:bottom w:w="85" w:type="dxa"/>
            </w:tcMar>
          </w:tcPr>
          <w:p w14:paraId="4DAB74B5" w14:textId="77777777" w:rsidR="00292B80" w:rsidRPr="00D2533A"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5A91D5E" w14:textId="77777777" w:rsidR="00292B80" w:rsidRDefault="00292B80" w:rsidP="005A1F7F">
            <w:pPr>
              <w:rPr>
                <w:rFonts w:ascii="Arial" w:hAnsi="Arial" w:cs="Arial"/>
                <w:color w:val="000000"/>
                <w:sz w:val="16"/>
                <w:szCs w:val="16"/>
              </w:rPr>
            </w:pPr>
            <w:r>
              <w:rPr>
                <w:rFonts w:ascii="Arial" w:hAnsi="Arial" w:cs="Arial"/>
                <w:color w:val="000000"/>
                <w:sz w:val="16"/>
                <w:szCs w:val="16"/>
              </w:rPr>
              <w:t>S</w:t>
            </w:r>
            <w:r w:rsidRPr="0080719C">
              <w:rPr>
                <w:rFonts w:ascii="Arial" w:hAnsi="Arial" w:cs="Arial"/>
                <w:color w:val="000000"/>
                <w:sz w:val="16"/>
                <w:szCs w:val="16"/>
              </w:rPr>
              <w:t>takeholders with a positive perception of WIPO's reputation; and increased brand recognition of WIPO.</w:t>
            </w:r>
          </w:p>
        </w:tc>
        <w:tc>
          <w:tcPr>
            <w:tcW w:w="1585" w:type="pct"/>
            <w:tcBorders>
              <w:top w:val="nil"/>
              <w:bottom w:val="nil"/>
            </w:tcBorders>
            <w:shd w:val="clear" w:color="auto" w:fill="FFFFFF"/>
            <w:tcMar>
              <w:top w:w="85" w:type="dxa"/>
              <w:bottom w:w="85" w:type="dxa"/>
            </w:tcMar>
          </w:tcPr>
          <w:p w14:paraId="03D88248"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19</w:t>
            </w:r>
          </w:p>
          <w:p w14:paraId="240AC38C" w14:textId="77777777" w:rsidR="00292B80" w:rsidRDefault="00292B80" w:rsidP="005A1F7F">
            <w:pPr>
              <w:ind w:left="768"/>
              <w:rPr>
                <w:rFonts w:ascii="Arial" w:hAnsi="Arial" w:cs="Arial"/>
                <w:sz w:val="16"/>
                <w:szCs w:val="16"/>
                <w:lang w:bidi="th-TH"/>
              </w:rPr>
            </w:pPr>
          </w:p>
        </w:tc>
      </w:tr>
      <w:tr w:rsidR="00292B80" w:rsidRPr="00AF5E7C" w14:paraId="571FEFB3" w14:textId="77777777" w:rsidTr="007644FB">
        <w:trPr>
          <w:cantSplit/>
        </w:trPr>
        <w:tc>
          <w:tcPr>
            <w:tcW w:w="1891" w:type="pct"/>
            <w:tcBorders>
              <w:top w:val="nil"/>
              <w:bottom w:val="nil"/>
            </w:tcBorders>
            <w:shd w:val="clear" w:color="auto" w:fill="auto"/>
            <w:tcMar>
              <w:top w:w="85" w:type="dxa"/>
              <w:bottom w:w="85" w:type="dxa"/>
            </w:tcMar>
          </w:tcPr>
          <w:p w14:paraId="356B19B0"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68C53200" w14:textId="77777777" w:rsidR="00292B80" w:rsidRPr="00D2533A" w:rsidRDefault="00292B80" w:rsidP="005A1F7F">
            <w:pPr>
              <w:rPr>
                <w:rFonts w:ascii="Arial" w:hAnsi="Arial" w:cs="Arial"/>
                <w:sz w:val="16"/>
                <w:szCs w:val="16"/>
              </w:rPr>
            </w:pPr>
            <w:r>
              <w:rPr>
                <w:rFonts w:ascii="Arial" w:hAnsi="Arial" w:cs="Arial"/>
                <w:color w:val="000000"/>
                <w:sz w:val="16"/>
                <w:szCs w:val="16"/>
              </w:rPr>
              <w:t>No. of people who view content about major WIPO events, achievements, activities</w:t>
            </w:r>
          </w:p>
        </w:tc>
        <w:tc>
          <w:tcPr>
            <w:tcW w:w="1585" w:type="pct"/>
            <w:tcBorders>
              <w:top w:val="nil"/>
              <w:bottom w:val="nil"/>
            </w:tcBorders>
            <w:shd w:val="clear" w:color="auto" w:fill="FFFFFF"/>
            <w:tcMar>
              <w:top w:w="85" w:type="dxa"/>
              <w:bottom w:w="85" w:type="dxa"/>
            </w:tcMar>
          </w:tcPr>
          <w:p w14:paraId="701C2BA0"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 xml:space="preserve">Program 19 </w:t>
            </w:r>
          </w:p>
          <w:p w14:paraId="03C27C1C" w14:textId="77777777" w:rsidR="00292B80" w:rsidRPr="00AF5E7C" w:rsidRDefault="00292B80" w:rsidP="005A1F7F">
            <w:pPr>
              <w:ind w:left="768"/>
              <w:rPr>
                <w:rFonts w:ascii="Arial" w:hAnsi="Arial" w:cs="Arial"/>
                <w:sz w:val="16"/>
                <w:szCs w:val="16"/>
              </w:rPr>
            </w:pPr>
          </w:p>
        </w:tc>
      </w:tr>
      <w:tr w:rsidR="00292B80" w:rsidRPr="00AF5E7C" w14:paraId="070F6180" w14:textId="77777777" w:rsidTr="007644FB">
        <w:trPr>
          <w:cantSplit/>
          <w:trHeight w:val="472"/>
        </w:trPr>
        <w:tc>
          <w:tcPr>
            <w:tcW w:w="1891" w:type="pct"/>
            <w:tcBorders>
              <w:top w:val="nil"/>
              <w:bottom w:val="nil"/>
            </w:tcBorders>
            <w:shd w:val="clear" w:color="auto" w:fill="auto"/>
            <w:tcMar>
              <w:top w:w="85" w:type="dxa"/>
              <w:bottom w:w="85" w:type="dxa"/>
            </w:tcMar>
          </w:tcPr>
          <w:p w14:paraId="7F3B825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904150E" w14:textId="77777777" w:rsidR="00292B80" w:rsidRPr="00D2533A" w:rsidRDefault="00292B80" w:rsidP="005A1F7F">
            <w:pPr>
              <w:rPr>
                <w:rFonts w:ascii="Arial" w:hAnsi="Arial" w:cs="Arial"/>
                <w:sz w:val="16"/>
                <w:szCs w:val="16"/>
              </w:rPr>
            </w:pPr>
            <w:r w:rsidRPr="0080719C">
              <w:rPr>
                <w:rFonts w:ascii="Arial" w:hAnsi="Arial" w:cs="Arial"/>
                <w:color w:val="000000"/>
                <w:sz w:val="16"/>
                <w:szCs w:val="16"/>
              </w:rPr>
              <w:t>Global participation in World IP Day campaign</w:t>
            </w:r>
          </w:p>
        </w:tc>
        <w:tc>
          <w:tcPr>
            <w:tcW w:w="1585" w:type="pct"/>
            <w:tcBorders>
              <w:top w:val="nil"/>
              <w:bottom w:val="nil"/>
            </w:tcBorders>
            <w:shd w:val="clear" w:color="auto" w:fill="FFFFFF"/>
            <w:tcMar>
              <w:top w:w="85" w:type="dxa"/>
              <w:bottom w:w="85" w:type="dxa"/>
            </w:tcMar>
          </w:tcPr>
          <w:p w14:paraId="1CA87EA6" w14:textId="77777777" w:rsidR="00292B80" w:rsidRPr="00AF5E7C" w:rsidRDefault="00292B80" w:rsidP="005A1F7F">
            <w:pPr>
              <w:ind w:left="768"/>
              <w:rPr>
                <w:rFonts w:ascii="Arial" w:hAnsi="Arial" w:cs="Arial"/>
                <w:sz w:val="16"/>
                <w:szCs w:val="16"/>
              </w:rPr>
            </w:pPr>
            <w:r>
              <w:rPr>
                <w:rFonts w:ascii="Arial" w:hAnsi="Arial" w:cs="Arial"/>
                <w:sz w:val="16"/>
                <w:szCs w:val="16"/>
                <w:lang w:bidi="th-TH"/>
              </w:rPr>
              <w:t>Program 19</w:t>
            </w:r>
          </w:p>
        </w:tc>
      </w:tr>
      <w:tr w:rsidR="00292B80" w:rsidRPr="00AF5E7C" w14:paraId="18B2BA10" w14:textId="77777777" w:rsidTr="007644FB">
        <w:trPr>
          <w:cantSplit/>
          <w:trHeight w:val="429"/>
        </w:trPr>
        <w:tc>
          <w:tcPr>
            <w:tcW w:w="1891" w:type="pct"/>
            <w:tcBorders>
              <w:top w:val="nil"/>
              <w:bottom w:val="nil"/>
            </w:tcBorders>
            <w:shd w:val="clear" w:color="auto" w:fill="auto"/>
            <w:tcMar>
              <w:top w:w="85" w:type="dxa"/>
              <w:bottom w:w="85" w:type="dxa"/>
            </w:tcMar>
          </w:tcPr>
          <w:p w14:paraId="741C3201"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8B74DA4" w14:textId="77777777" w:rsidR="00292B80" w:rsidRPr="00D2533A" w:rsidRDefault="00292B80" w:rsidP="005A1F7F">
            <w:pPr>
              <w:rPr>
                <w:rFonts w:ascii="Arial" w:hAnsi="Arial" w:cs="Arial"/>
                <w:sz w:val="16"/>
                <w:szCs w:val="16"/>
              </w:rPr>
            </w:pPr>
            <w:r>
              <w:rPr>
                <w:rFonts w:ascii="Arial" w:hAnsi="Arial" w:cs="Arial"/>
                <w:color w:val="000000"/>
                <w:sz w:val="16"/>
                <w:szCs w:val="16"/>
              </w:rPr>
              <w:t>O</w:t>
            </w:r>
            <w:r w:rsidRPr="0080719C">
              <w:rPr>
                <w:rFonts w:ascii="Arial" w:hAnsi="Arial" w:cs="Arial"/>
                <w:color w:val="000000"/>
                <w:sz w:val="16"/>
                <w:szCs w:val="16"/>
              </w:rPr>
              <w:t>nline traffic to the WIPO Publications site and WIPO Magazine site</w:t>
            </w:r>
          </w:p>
        </w:tc>
        <w:tc>
          <w:tcPr>
            <w:tcW w:w="1585" w:type="pct"/>
            <w:tcBorders>
              <w:top w:val="nil"/>
              <w:bottom w:val="nil"/>
            </w:tcBorders>
            <w:shd w:val="clear" w:color="auto" w:fill="FFFFFF"/>
            <w:tcMar>
              <w:top w:w="85" w:type="dxa"/>
              <w:bottom w:w="85" w:type="dxa"/>
            </w:tcMar>
          </w:tcPr>
          <w:p w14:paraId="2B2A8165" w14:textId="77777777" w:rsidR="00292B80" w:rsidRPr="00AF5E7C" w:rsidRDefault="00292B80" w:rsidP="005A1F7F">
            <w:pPr>
              <w:ind w:left="768"/>
              <w:rPr>
                <w:rFonts w:ascii="Arial" w:hAnsi="Arial" w:cs="Arial"/>
                <w:sz w:val="16"/>
                <w:szCs w:val="16"/>
              </w:rPr>
            </w:pPr>
            <w:r>
              <w:rPr>
                <w:rFonts w:ascii="Arial" w:hAnsi="Arial" w:cs="Arial"/>
                <w:sz w:val="16"/>
                <w:szCs w:val="16"/>
                <w:lang w:bidi="th-TH"/>
              </w:rPr>
              <w:t>Program 19</w:t>
            </w:r>
          </w:p>
        </w:tc>
      </w:tr>
      <w:tr w:rsidR="00292B80" w:rsidRPr="00AF5E7C" w14:paraId="14FC47C1" w14:textId="77777777" w:rsidTr="007644FB">
        <w:trPr>
          <w:cantSplit/>
          <w:trHeight w:val="353"/>
        </w:trPr>
        <w:tc>
          <w:tcPr>
            <w:tcW w:w="1891" w:type="pct"/>
            <w:tcBorders>
              <w:top w:val="nil"/>
              <w:bottom w:val="nil"/>
            </w:tcBorders>
            <w:shd w:val="clear" w:color="auto" w:fill="auto"/>
            <w:tcMar>
              <w:top w:w="85" w:type="dxa"/>
              <w:bottom w:w="85" w:type="dxa"/>
            </w:tcMar>
          </w:tcPr>
          <w:p w14:paraId="1B98BE6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DCD0693" w14:textId="77777777" w:rsidR="00292B80" w:rsidRPr="00512DF2" w:rsidRDefault="00292B80" w:rsidP="005A1F7F">
            <w:pPr>
              <w:rPr>
                <w:rFonts w:ascii="Arial" w:hAnsi="Arial" w:cs="Arial"/>
                <w:sz w:val="16"/>
                <w:szCs w:val="16"/>
              </w:rPr>
            </w:pPr>
            <w:r>
              <w:rPr>
                <w:rFonts w:ascii="Arial" w:hAnsi="Arial" w:cs="Arial"/>
                <w:color w:val="000000"/>
                <w:sz w:val="16"/>
                <w:szCs w:val="16"/>
              </w:rPr>
              <w:t>V</w:t>
            </w:r>
            <w:r w:rsidRPr="0080719C">
              <w:rPr>
                <w:rFonts w:ascii="Arial" w:hAnsi="Arial" w:cs="Arial"/>
                <w:color w:val="000000"/>
                <w:sz w:val="16"/>
                <w:szCs w:val="16"/>
              </w:rPr>
              <w:t>iews of WIPO press, video and photographic content</w:t>
            </w:r>
          </w:p>
        </w:tc>
        <w:tc>
          <w:tcPr>
            <w:tcW w:w="1585" w:type="pct"/>
            <w:tcBorders>
              <w:top w:val="nil"/>
              <w:bottom w:val="nil"/>
            </w:tcBorders>
            <w:shd w:val="clear" w:color="auto" w:fill="FFFFFF"/>
            <w:tcMar>
              <w:top w:w="85" w:type="dxa"/>
              <w:bottom w:w="85" w:type="dxa"/>
            </w:tcMar>
          </w:tcPr>
          <w:p w14:paraId="4D822618"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7DEF4FDD" w14:textId="77777777" w:rsidTr="007644FB">
        <w:trPr>
          <w:cantSplit/>
          <w:trHeight w:val="330"/>
        </w:trPr>
        <w:tc>
          <w:tcPr>
            <w:tcW w:w="1891" w:type="pct"/>
            <w:tcBorders>
              <w:top w:val="nil"/>
              <w:bottom w:val="nil"/>
            </w:tcBorders>
            <w:shd w:val="clear" w:color="auto" w:fill="auto"/>
            <w:tcMar>
              <w:top w:w="85" w:type="dxa"/>
              <w:bottom w:w="85" w:type="dxa"/>
            </w:tcMar>
          </w:tcPr>
          <w:p w14:paraId="2D597335"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BA585A7" w14:textId="60FCC08C" w:rsidR="00292B80" w:rsidRPr="00512DF2" w:rsidRDefault="00292B80" w:rsidP="005A1F7F">
            <w:pPr>
              <w:rPr>
                <w:rFonts w:ascii="Arial" w:hAnsi="Arial" w:cs="Arial"/>
                <w:sz w:val="16"/>
                <w:szCs w:val="16"/>
              </w:rPr>
            </w:pPr>
            <w:r w:rsidRPr="0080719C">
              <w:rPr>
                <w:rFonts w:ascii="Arial" w:hAnsi="Arial" w:cs="Arial"/>
                <w:color w:val="000000"/>
                <w:sz w:val="16"/>
                <w:szCs w:val="16"/>
              </w:rPr>
              <w:t>Fewer users who leave the WIPO website directly from the portal and key gateway pages.</w:t>
            </w:r>
          </w:p>
        </w:tc>
        <w:tc>
          <w:tcPr>
            <w:tcW w:w="1585" w:type="pct"/>
            <w:tcBorders>
              <w:top w:val="nil"/>
              <w:bottom w:val="nil"/>
            </w:tcBorders>
            <w:shd w:val="clear" w:color="auto" w:fill="FFFFFF"/>
            <w:tcMar>
              <w:top w:w="85" w:type="dxa"/>
              <w:bottom w:w="85" w:type="dxa"/>
            </w:tcMar>
          </w:tcPr>
          <w:p w14:paraId="780549DB"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4E47ED0B" w14:textId="77777777" w:rsidTr="007644FB">
        <w:trPr>
          <w:cantSplit/>
          <w:trHeight w:val="336"/>
        </w:trPr>
        <w:tc>
          <w:tcPr>
            <w:tcW w:w="1891" w:type="pct"/>
            <w:tcBorders>
              <w:top w:val="nil"/>
              <w:bottom w:val="nil"/>
            </w:tcBorders>
            <w:shd w:val="clear" w:color="auto" w:fill="auto"/>
            <w:tcMar>
              <w:top w:w="85" w:type="dxa"/>
              <w:bottom w:w="85" w:type="dxa"/>
            </w:tcMar>
          </w:tcPr>
          <w:p w14:paraId="60D7D47C"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2FF74FC"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WIPO influence and stakeholder engagement on social media</w:t>
            </w:r>
          </w:p>
        </w:tc>
        <w:tc>
          <w:tcPr>
            <w:tcW w:w="1585" w:type="pct"/>
            <w:tcBorders>
              <w:top w:val="nil"/>
              <w:bottom w:val="nil"/>
            </w:tcBorders>
            <w:shd w:val="clear" w:color="auto" w:fill="FFFFFF"/>
            <w:tcMar>
              <w:top w:w="85" w:type="dxa"/>
              <w:bottom w:w="85" w:type="dxa"/>
            </w:tcMar>
          </w:tcPr>
          <w:p w14:paraId="2D37BC84"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5E51B4BD" w14:textId="77777777" w:rsidTr="007644FB">
        <w:trPr>
          <w:cantSplit/>
          <w:trHeight w:val="335"/>
        </w:trPr>
        <w:tc>
          <w:tcPr>
            <w:tcW w:w="1891" w:type="pct"/>
            <w:tcBorders>
              <w:top w:val="nil"/>
              <w:bottom w:val="nil"/>
            </w:tcBorders>
            <w:shd w:val="clear" w:color="auto" w:fill="auto"/>
            <w:tcMar>
              <w:top w:w="85" w:type="dxa"/>
              <w:bottom w:w="85" w:type="dxa"/>
            </w:tcMar>
          </w:tcPr>
          <w:p w14:paraId="385D97B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991FD5A" w14:textId="77777777" w:rsidR="00292B80" w:rsidRPr="007F2A1B" w:rsidRDefault="00292B80" w:rsidP="005A1F7F">
            <w:pPr>
              <w:rPr>
                <w:rFonts w:ascii="Arial" w:hAnsi="Arial" w:cs="Arial"/>
                <w:sz w:val="16"/>
                <w:szCs w:val="16"/>
              </w:rPr>
            </w:pPr>
            <w:r w:rsidRPr="007F2A1B">
              <w:rPr>
                <w:rFonts w:ascii="Arial" w:hAnsi="Arial" w:cs="Arial"/>
                <w:sz w:val="16"/>
                <w:szCs w:val="16"/>
              </w:rPr>
              <w:t>Increased traffic to the website of WIPO External Offices</w:t>
            </w:r>
          </w:p>
        </w:tc>
        <w:tc>
          <w:tcPr>
            <w:tcW w:w="1585" w:type="pct"/>
            <w:tcBorders>
              <w:top w:val="nil"/>
              <w:bottom w:val="nil"/>
            </w:tcBorders>
            <w:shd w:val="clear" w:color="auto" w:fill="FFFFFF"/>
            <w:tcMar>
              <w:top w:w="85" w:type="dxa"/>
              <w:bottom w:w="85" w:type="dxa"/>
            </w:tcMar>
          </w:tcPr>
          <w:p w14:paraId="70B15689" w14:textId="77777777" w:rsidR="00292B80" w:rsidRPr="007F2A1B" w:rsidRDefault="00292B80" w:rsidP="005A1F7F">
            <w:pPr>
              <w:ind w:left="768"/>
              <w:rPr>
                <w:rFonts w:ascii="Arial" w:hAnsi="Arial" w:cs="Arial"/>
                <w:sz w:val="16"/>
                <w:szCs w:val="16"/>
                <w:lang w:bidi="th-TH"/>
              </w:rPr>
            </w:pPr>
            <w:r w:rsidRPr="007F2A1B">
              <w:rPr>
                <w:rFonts w:ascii="Arial" w:hAnsi="Arial" w:cs="Arial"/>
                <w:sz w:val="16"/>
                <w:szCs w:val="16"/>
                <w:lang w:bidi="th-TH"/>
              </w:rPr>
              <w:t>Program 20</w:t>
            </w:r>
          </w:p>
        </w:tc>
      </w:tr>
      <w:tr w:rsidR="00292B80" w:rsidRPr="00AF5E7C" w14:paraId="2A28EF52" w14:textId="77777777" w:rsidTr="007644FB">
        <w:trPr>
          <w:cantSplit/>
          <w:trHeight w:val="385"/>
        </w:trPr>
        <w:tc>
          <w:tcPr>
            <w:tcW w:w="1891" w:type="pct"/>
            <w:tcBorders>
              <w:top w:val="nil"/>
              <w:bottom w:val="nil"/>
            </w:tcBorders>
            <w:shd w:val="clear" w:color="auto" w:fill="auto"/>
            <w:tcMar>
              <w:top w:w="85" w:type="dxa"/>
              <w:bottom w:w="85" w:type="dxa"/>
            </w:tcMar>
          </w:tcPr>
          <w:p w14:paraId="7F8F90F2" w14:textId="77777777" w:rsidR="00292B80" w:rsidRPr="00512DF2" w:rsidRDefault="00292B80" w:rsidP="005A1F7F">
            <w:pPr>
              <w:rPr>
                <w:rFonts w:ascii="Arial" w:hAnsi="Arial" w:cs="Arial"/>
                <w:sz w:val="16"/>
                <w:szCs w:val="16"/>
              </w:rPr>
            </w:pPr>
            <w:r w:rsidRPr="00512DF2">
              <w:rPr>
                <w:rFonts w:ascii="Arial" w:hAnsi="Arial" w:cs="Arial"/>
                <w:sz w:val="16"/>
                <w:szCs w:val="16"/>
              </w:rPr>
              <w:t>VIII.2</w:t>
            </w:r>
            <w:r>
              <w:rPr>
                <w:rFonts w:ascii="Arial" w:hAnsi="Arial" w:cs="Arial"/>
                <w:sz w:val="16"/>
                <w:szCs w:val="16"/>
              </w:rPr>
              <w:t xml:space="preserve"> </w:t>
            </w:r>
            <w:r w:rsidRPr="00512DF2">
              <w:rPr>
                <w:rFonts w:ascii="Arial" w:hAnsi="Arial" w:cs="Arial"/>
                <w:sz w:val="16"/>
                <w:szCs w:val="16"/>
              </w:rPr>
              <w:t xml:space="preserve"> Improved service orientation and responsiveness to inquiries</w:t>
            </w:r>
          </w:p>
        </w:tc>
        <w:tc>
          <w:tcPr>
            <w:tcW w:w="1524" w:type="pct"/>
            <w:tcBorders>
              <w:top w:val="nil"/>
              <w:bottom w:val="nil"/>
            </w:tcBorders>
            <w:shd w:val="clear" w:color="auto" w:fill="auto"/>
            <w:tcMar>
              <w:top w:w="85" w:type="dxa"/>
              <w:bottom w:w="85" w:type="dxa"/>
            </w:tcMar>
          </w:tcPr>
          <w:p w14:paraId="41B88F65" w14:textId="77777777" w:rsidR="00292B80" w:rsidRPr="00512DF2" w:rsidRDefault="00292B80" w:rsidP="005A1F7F">
            <w:pPr>
              <w:rPr>
                <w:rFonts w:ascii="Arial" w:hAnsi="Arial" w:cs="Arial"/>
                <w:sz w:val="16"/>
                <w:szCs w:val="16"/>
              </w:rPr>
            </w:pPr>
            <w:r>
              <w:rPr>
                <w:rFonts w:ascii="Arial" w:hAnsi="Arial" w:cs="Arial"/>
                <w:color w:val="000000"/>
                <w:sz w:val="16"/>
                <w:szCs w:val="16"/>
              </w:rPr>
              <w:t>U</w:t>
            </w:r>
            <w:r w:rsidRPr="0080719C">
              <w:rPr>
                <w:rFonts w:ascii="Arial" w:hAnsi="Arial" w:cs="Arial"/>
                <w:color w:val="000000"/>
                <w:sz w:val="16"/>
                <w:szCs w:val="16"/>
              </w:rPr>
              <w:t>ser satisf</w:t>
            </w:r>
            <w:r>
              <w:rPr>
                <w:rFonts w:ascii="Arial" w:hAnsi="Arial" w:cs="Arial"/>
                <w:color w:val="000000"/>
                <w:sz w:val="16"/>
                <w:szCs w:val="16"/>
              </w:rPr>
              <w:t>action</w:t>
            </w:r>
            <w:r w:rsidRPr="0080719C">
              <w:rPr>
                <w:rFonts w:ascii="Arial" w:hAnsi="Arial" w:cs="Arial"/>
                <w:color w:val="000000"/>
                <w:sz w:val="16"/>
                <w:szCs w:val="16"/>
              </w:rPr>
              <w:t xml:space="preserve"> with Library services</w:t>
            </w:r>
          </w:p>
        </w:tc>
        <w:tc>
          <w:tcPr>
            <w:tcW w:w="1585" w:type="pct"/>
            <w:tcBorders>
              <w:top w:val="nil"/>
              <w:bottom w:val="nil"/>
            </w:tcBorders>
            <w:shd w:val="clear" w:color="auto" w:fill="FFFFFF"/>
            <w:tcMar>
              <w:top w:w="85" w:type="dxa"/>
              <w:bottom w:w="85" w:type="dxa"/>
            </w:tcMar>
          </w:tcPr>
          <w:p w14:paraId="6061FCB7"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17EE07B7" w14:textId="77777777" w:rsidTr="007644FB">
        <w:trPr>
          <w:cantSplit/>
          <w:trHeight w:val="337"/>
        </w:trPr>
        <w:tc>
          <w:tcPr>
            <w:tcW w:w="1891" w:type="pct"/>
            <w:tcBorders>
              <w:top w:val="nil"/>
              <w:bottom w:val="nil"/>
            </w:tcBorders>
            <w:shd w:val="clear" w:color="auto" w:fill="auto"/>
            <w:tcMar>
              <w:top w:w="85" w:type="dxa"/>
              <w:bottom w:w="85" w:type="dxa"/>
            </w:tcMar>
          </w:tcPr>
          <w:p w14:paraId="7F71D369"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CC84CF1"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Customer/stakeholder satisfaction rate</w:t>
            </w:r>
          </w:p>
        </w:tc>
        <w:tc>
          <w:tcPr>
            <w:tcW w:w="1585" w:type="pct"/>
            <w:tcBorders>
              <w:top w:val="nil"/>
              <w:bottom w:val="nil"/>
            </w:tcBorders>
            <w:shd w:val="clear" w:color="auto" w:fill="FFFFFF"/>
            <w:tcMar>
              <w:top w:w="85" w:type="dxa"/>
              <w:bottom w:w="85" w:type="dxa"/>
            </w:tcMar>
          </w:tcPr>
          <w:p w14:paraId="3B3CA5AC"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19</w:t>
            </w:r>
          </w:p>
          <w:p w14:paraId="20AC9572" w14:textId="77777777" w:rsidR="00292B80" w:rsidRPr="00AF5E7C" w:rsidRDefault="00292B80" w:rsidP="005A1F7F">
            <w:pPr>
              <w:ind w:left="768"/>
              <w:rPr>
                <w:rFonts w:ascii="Arial" w:hAnsi="Arial" w:cs="Arial"/>
                <w:sz w:val="16"/>
                <w:szCs w:val="16"/>
                <w:lang w:bidi="th-TH"/>
              </w:rPr>
            </w:pPr>
          </w:p>
        </w:tc>
      </w:tr>
      <w:tr w:rsidR="00292B80" w:rsidRPr="00AF5E7C" w14:paraId="3F39D2B3" w14:textId="77777777" w:rsidTr="007644FB">
        <w:trPr>
          <w:cantSplit/>
          <w:trHeight w:val="317"/>
        </w:trPr>
        <w:tc>
          <w:tcPr>
            <w:tcW w:w="1891" w:type="pct"/>
            <w:tcBorders>
              <w:top w:val="nil"/>
              <w:bottom w:val="nil"/>
            </w:tcBorders>
            <w:shd w:val="clear" w:color="auto" w:fill="auto"/>
            <w:tcMar>
              <w:top w:w="85" w:type="dxa"/>
              <w:bottom w:w="85" w:type="dxa"/>
            </w:tcMar>
          </w:tcPr>
          <w:p w14:paraId="21AAAE08"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BE32560"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Service Standards for the WIPO Customer Service Center</w:t>
            </w:r>
          </w:p>
        </w:tc>
        <w:tc>
          <w:tcPr>
            <w:tcW w:w="1585" w:type="pct"/>
            <w:tcBorders>
              <w:top w:val="nil"/>
              <w:bottom w:val="nil"/>
            </w:tcBorders>
            <w:shd w:val="clear" w:color="auto" w:fill="FFFFFF"/>
            <w:tcMar>
              <w:top w:w="85" w:type="dxa"/>
              <w:bottom w:w="85" w:type="dxa"/>
            </w:tcMar>
          </w:tcPr>
          <w:p w14:paraId="441D9DC1"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04B4805B" w14:textId="77777777" w:rsidTr="007644FB">
        <w:trPr>
          <w:cantSplit/>
          <w:trHeight w:val="297"/>
        </w:trPr>
        <w:tc>
          <w:tcPr>
            <w:tcW w:w="1891" w:type="pct"/>
            <w:tcBorders>
              <w:top w:val="nil"/>
              <w:left w:val="single" w:sz="4" w:space="0" w:color="auto"/>
              <w:bottom w:val="nil"/>
            </w:tcBorders>
            <w:shd w:val="clear" w:color="auto" w:fill="auto"/>
            <w:tcMar>
              <w:top w:w="85" w:type="dxa"/>
              <w:bottom w:w="85" w:type="dxa"/>
            </w:tcMar>
          </w:tcPr>
          <w:p w14:paraId="2854F1D9"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DCEDCFC" w14:textId="0CBC6FA3" w:rsidR="00292B80" w:rsidRPr="001E1EA0" w:rsidRDefault="00292B80">
            <w:pPr>
              <w:rPr>
                <w:rFonts w:ascii="Arial" w:hAnsi="Arial" w:cs="Arial"/>
                <w:sz w:val="16"/>
                <w:szCs w:val="16"/>
              </w:rPr>
            </w:pPr>
            <w:r w:rsidRPr="001E1EA0">
              <w:rPr>
                <w:rFonts w:ascii="Arial" w:hAnsi="Arial" w:cs="Arial"/>
                <w:sz w:val="16"/>
                <w:szCs w:val="16"/>
              </w:rPr>
              <w:t xml:space="preserve">Processing time of </w:t>
            </w:r>
            <w:r w:rsidR="00117C7E">
              <w:rPr>
                <w:rFonts w:ascii="Arial" w:hAnsi="Arial" w:cs="Arial"/>
                <w:sz w:val="16"/>
                <w:szCs w:val="16"/>
              </w:rPr>
              <w:t>i</w:t>
            </w:r>
            <w:r w:rsidRPr="001E1EA0">
              <w:rPr>
                <w:rFonts w:ascii="Arial" w:hAnsi="Arial" w:cs="Arial"/>
                <w:sz w:val="16"/>
                <w:szCs w:val="16"/>
              </w:rPr>
              <w:t>nquiries</w:t>
            </w:r>
          </w:p>
        </w:tc>
        <w:tc>
          <w:tcPr>
            <w:tcW w:w="1585" w:type="pct"/>
            <w:tcBorders>
              <w:top w:val="nil"/>
              <w:bottom w:val="nil"/>
              <w:right w:val="single" w:sz="4" w:space="0" w:color="auto"/>
            </w:tcBorders>
            <w:shd w:val="clear" w:color="auto" w:fill="FFFFFF"/>
            <w:tcMar>
              <w:top w:w="85" w:type="dxa"/>
              <w:bottom w:w="85" w:type="dxa"/>
            </w:tcMar>
          </w:tcPr>
          <w:p w14:paraId="64009081" w14:textId="77777777" w:rsidR="00292B80" w:rsidRPr="001E1EA0" w:rsidRDefault="00292B80" w:rsidP="005A1F7F">
            <w:pPr>
              <w:ind w:left="768"/>
              <w:rPr>
                <w:rFonts w:ascii="Arial" w:hAnsi="Arial" w:cs="Arial"/>
                <w:sz w:val="16"/>
                <w:szCs w:val="16"/>
                <w:lang w:bidi="th-TH"/>
              </w:rPr>
            </w:pPr>
            <w:r w:rsidRPr="001E1EA0">
              <w:rPr>
                <w:rFonts w:ascii="Arial" w:hAnsi="Arial" w:cs="Arial"/>
                <w:sz w:val="16"/>
                <w:szCs w:val="16"/>
                <w:lang w:bidi="th-TH"/>
              </w:rPr>
              <w:t>Program 20</w:t>
            </w:r>
          </w:p>
        </w:tc>
      </w:tr>
      <w:tr w:rsidR="00292B80" w:rsidRPr="00AF5E7C" w14:paraId="38FCADC5" w14:textId="77777777" w:rsidTr="007644FB">
        <w:trPr>
          <w:cantSplit/>
          <w:trHeight w:val="622"/>
        </w:trPr>
        <w:tc>
          <w:tcPr>
            <w:tcW w:w="1891" w:type="pct"/>
            <w:tcBorders>
              <w:top w:val="nil"/>
              <w:left w:val="single" w:sz="4" w:space="0" w:color="auto"/>
              <w:bottom w:val="nil"/>
            </w:tcBorders>
            <w:shd w:val="clear" w:color="auto" w:fill="auto"/>
            <w:tcMar>
              <w:top w:w="85" w:type="dxa"/>
              <w:bottom w:w="85" w:type="dxa"/>
            </w:tcMar>
          </w:tcPr>
          <w:p w14:paraId="1BACCE38" w14:textId="77777777" w:rsidR="00292B80" w:rsidRPr="0092679D" w:rsidRDefault="00292B80" w:rsidP="005A1F7F">
            <w:pPr>
              <w:rPr>
                <w:rFonts w:ascii="Arial" w:hAnsi="Arial" w:cs="Arial"/>
                <w:sz w:val="16"/>
                <w:szCs w:val="16"/>
              </w:rPr>
            </w:pPr>
            <w:r w:rsidRPr="0092679D">
              <w:rPr>
                <w:rFonts w:ascii="Arial" w:hAnsi="Arial" w:cs="Arial"/>
                <w:sz w:val="16"/>
                <w:szCs w:val="16"/>
              </w:rPr>
              <w:t>VIII.3</w:t>
            </w:r>
            <w:r>
              <w:rPr>
                <w:rFonts w:ascii="Arial" w:hAnsi="Arial" w:cs="Arial"/>
                <w:sz w:val="16"/>
                <w:szCs w:val="16"/>
              </w:rPr>
              <w:t xml:space="preserve"> </w:t>
            </w:r>
            <w:r>
              <w:rPr>
                <w:rFonts w:ascii="Arial" w:hAnsi="Arial" w:cs="Arial"/>
                <w:color w:val="000000"/>
                <w:sz w:val="16"/>
                <w:szCs w:val="16"/>
              </w:rPr>
              <w:t>Effective engagement with Member States</w:t>
            </w:r>
          </w:p>
        </w:tc>
        <w:tc>
          <w:tcPr>
            <w:tcW w:w="1524" w:type="pct"/>
            <w:tcBorders>
              <w:top w:val="nil"/>
              <w:bottom w:val="nil"/>
            </w:tcBorders>
            <w:shd w:val="clear" w:color="auto" w:fill="auto"/>
            <w:tcMar>
              <w:top w:w="85" w:type="dxa"/>
              <w:bottom w:w="85" w:type="dxa"/>
            </w:tcMar>
          </w:tcPr>
          <w:p w14:paraId="4F7005CC" w14:textId="77777777" w:rsidR="00292B80" w:rsidRPr="0092679D" w:rsidRDefault="00292B80" w:rsidP="005A1F7F">
            <w:pPr>
              <w:rPr>
                <w:rFonts w:ascii="Arial" w:hAnsi="Arial" w:cs="Arial"/>
                <w:sz w:val="16"/>
                <w:szCs w:val="16"/>
              </w:rPr>
            </w:pPr>
            <w:r>
              <w:rPr>
                <w:rFonts w:ascii="Arial" w:hAnsi="Arial" w:cs="Arial"/>
                <w:color w:val="000000"/>
                <w:sz w:val="16"/>
                <w:szCs w:val="16"/>
              </w:rPr>
              <w:t>% of Committee meetings for which pre-Committee information meetings for Member States are held</w:t>
            </w:r>
          </w:p>
        </w:tc>
        <w:tc>
          <w:tcPr>
            <w:tcW w:w="1585" w:type="pct"/>
            <w:tcBorders>
              <w:top w:val="nil"/>
              <w:bottom w:val="nil"/>
              <w:right w:val="single" w:sz="4" w:space="0" w:color="auto"/>
            </w:tcBorders>
            <w:shd w:val="clear" w:color="auto" w:fill="FFFFFF"/>
            <w:tcMar>
              <w:top w:w="85" w:type="dxa"/>
              <w:bottom w:w="85" w:type="dxa"/>
            </w:tcMar>
          </w:tcPr>
          <w:p w14:paraId="179B3994"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1F06132F" w14:textId="77777777" w:rsidTr="007644FB">
        <w:trPr>
          <w:cantSplit/>
          <w:trHeight w:val="584"/>
        </w:trPr>
        <w:tc>
          <w:tcPr>
            <w:tcW w:w="1891" w:type="pct"/>
            <w:tcBorders>
              <w:top w:val="nil"/>
              <w:bottom w:val="single" w:sz="4" w:space="0" w:color="auto"/>
            </w:tcBorders>
            <w:shd w:val="clear" w:color="auto" w:fill="auto"/>
            <w:tcMar>
              <w:top w:w="85" w:type="dxa"/>
              <w:bottom w:w="85" w:type="dxa"/>
            </w:tcMar>
          </w:tcPr>
          <w:p w14:paraId="50A33196" w14:textId="77777777" w:rsidR="00292B80" w:rsidRPr="00AF5E7C" w:rsidRDefault="00292B80" w:rsidP="005A1F7F">
            <w:pPr>
              <w:rPr>
                <w:rFonts w:ascii="Arial" w:hAnsi="Arial" w:cs="Arial"/>
                <w:sz w:val="16"/>
                <w:szCs w:val="16"/>
              </w:rPr>
            </w:pPr>
          </w:p>
        </w:tc>
        <w:tc>
          <w:tcPr>
            <w:tcW w:w="1524" w:type="pct"/>
            <w:tcBorders>
              <w:top w:val="nil"/>
              <w:bottom w:val="single" w:sz="4" w:space="0" w:color="auto"/>
            </w:tcBorders>
            <w:shd w:val="clear" w:color="auto" w:fill="auto"/>
            <w:tcMar>
              <w:top w:w="85" w:type="dxa"/>
              <w:bottom w:w="85" w:type="dxa"/>
            </w:tcMar>
          </w:tcPr>
          <w:p w14:paraId="1FB22B39" w14:textId="77777777" w:rsidR="00292B80" w:rsidRPr="0092679D" w:rsidRDefault="00292B80" w:rsidP="005A1F7F">
            <w:pPr>
              <w:rPr>
                <w:rFonts w:ascii="Arial" w:hAnsi="Arial" w:cs="Arial"/>
                <w:sz w:val="16"/>
                <w:szCs w:val="16"/>
              </w:rPr>
            </w:pPr>
            <w:r>
              <w:rPr>
                <w:rFonts w:ascii="Arial" w:hAnsi="Arial" w:cs="Arial"/>
                <w:color w:val="000000"/>
                <w:sz w:val="16"/>
                <w:szCs w:val="16"/>
              </w:rPr>
              <w:t>% of adherence and other WIPO Treaty-related actions by Member States processed in a timely manner</w:t>
            </w:r>
          </w:p>
        </w:tc>
        <w:tc>
          <w:tcPr>
            <w:tcW w:w="1585" w:type="pct"/>
            <w:tcBorders>
              <w:top w:val="nil"/>
              <w:bottom w:val="single" w:sz="4" w:space="0" w:color="auto"/>
            </w:tcBorders>
            <w:shd w:val="clear" w:color="auto" w:fill="FFFFFF"/>
            <w:tcMar>
              <w:top w:w="85" w:type="dxa"/>
              <w:bottom w:w="85" w:type="dxa"/>
            </w:tcMar>
          </w:tcPr>
          <w:p w14:paraId="1130FA7C"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03296DF0" w14:textId="77777777" w:rsidTr="007644FB">
        <w:trPr>
          <w:cantSplit/>
          <w:trHeight w:val="490"/>
        </w:trPr>
        <w:tc>
          <w:tcPr>
            <w:tcW w:w="1891" w:type="pct"/>
            <w:tcBorders>
              <w:top w:val="single" w:sz="4" w:space="0" w:color="auto"/>
              <w:bottom w:val="nil"/>
            </w:tcBorders>
            <w:shd w:val="clear" w:color="auto" w:fill="auto"/>
            <w:tcMar>
              <w:top w:w="85" w:type="dxa"/>
              <w:bottom w:w="85" w:type="dxa"/>
            </w:tcMar>
          </w:tcPr>
          <w:p w14:paraId="471AA506" w14:textId="77777777" w:rsidR="00292B80" w:rsidRPr="00AF5E7C" w:rsidRDefault="00292B80" w:rsidP="005A1F7F">
            <w:pPr>
              <w:rPr>
                <w:rFonts w:ascii="Arial" w:hAnsi="Arial" w:cs="Arial"/>
                <w:sz w:val="16"/>
                <w:szCs w:val="16"/>
              </w:rPr>
            </w:pPr>
          </w:p>
        </w:tc>
        <w:tc>
          <w:tcPr>
            <w:tcW w:w="1524" w:type="pct"/>
            <w:tcBorders>
              <w:top w:val="single" w:sz="4" w:space="0" w:color="auto"/>
              <w:bottom w:val="nil"/>
            </w:tcBorders>
            <w:shd w:val="clear" w:color="auto" w:fill="auto"/>
            <w:tcMar>
              <w:top w:w="85" w:type="dxa"/>
              <w:bottom w:w="85" w:type="dxa"/>
            </w:tcMar>
          </w:tcPr>
          <w:p w14:paraId="6439C4CC" w14:textId="77777777" w:rsidR="00292B80" w:rsidRPr="00D81234" w:rsidRDefault="00292B80" w:rsidP="005A1F7F">
            <w:pPr>
              <w:rPr>
                <w:rFonts w:ascii="Arial" w:hAnsi="Arial" w:cs="Arial"/>
                <w:sz w:val="16"/>
                <w:szCs w:val="16"/>
              </w:rPr>
            </w:pPr>
            <w:r>
              <w:rPr>
                <w:rFonts w:ascii="Arial" w:hAnsi="Arial" w:cs="Arial"/>
                <w:color w:val="000000"/>
                <w:sz w:val="16"/>
                <w:szCs w:val="16"/>
              </w:rPr>
              <w:t>Timeliness of publication of Assemblies documents</w:t>
            </w:r>
          </w:p>
        </w:tc>
        <w:tc>
          <w:tcPr>
            <w:tcW w:w="1585" w:type="pct"/>
            <w:tcBorders>
              <w:top w:val="single" w:sz="4" w:space="0" w:color="auto"/>
              <w:bottom w:val="nil"/>
            </w:tcBorders>
            <w:shd w:val="clear" w:color="auto" w:fill="FFFFFF"/>
            <w:tcMar>
              <w:top w:w="85" w:type="dxa"/>
              <w:bottom w:w="85" w:type="dxa"/>
            </w:tcMar>
          </w:tcPr>
          <w:p w14:paraId="173FBC59"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39BB02CF" w14:textId="77777777" w:rsidTr="007644FB">
        <w:trPr>
          <w:cantSplit/>
          <w:trHeight w:val="524"/>
        </w:trPr>
        <w:tc>
          <w:tcPr>
            <w:tcW w:w="1891" w:type="pct"/>
            <w:tcBorders>
              <w:top w:val="nil"/>
              <w:bottom w:val="nil"/>
            </w:tcBorders>
            <w:shd w:val="clear" w:color="auto" w:fill="auto"/>
            <w:tcMar>
              <w:top w:w="85" w:type="dxa"/>
              <w:bottom w:w="85" w:type="dxa"/>
            </w:tcMar>
          </w:tcPr>
          <w:p w14:paraId="676B4E3A"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1AA4F033" w14:textId="77777777" w:rsidR="00292B80" w:rsidRPr="00970B2F" w:rsidRDefault="00292B80" w:rsidP="005A1F7F">
            <w:pPr>
              <w:rPr>
                <w:rFonts w:ascii="Arial" w:hAnsi="Arial" w:cs="Arial"/>
                <w:sz w:val="16"/>
                <w:szCs w:val="16"/>
              </w:rPr>
            </w:pPr>
            <w:r>
              <w:rPr>
                <w:rFonts w:ascii="Arial" w:hAnsi="Arial" w:cs="Arial"/>
                <w:color w:val="000000"/>
                <w:sz w:val="16"/>
                <w:szCs w:val="16"/>
              </w:rPr>
              <w:t>Satisfaction rate of Member States and stakeholders with the organization of events</w:t>
            </w:r>
          </w:p>
        </w:tc>
        <w:tc>
          <w:tcPr>
            <w:tcW w:w="1585" w:type="pct"/>
            <w:tcBorders>
              <w:top w:val="nil"/>
              <w:bottom w:val="nil"/>
            </w:tcBorders>
            <w:shd w:val="clear" w:color="auto" w:fill="FFFFFF"/>
            <w:tcMar>
              <w:top w:w="85" w:type="dxa"/>
              <w:bottom w:w="85" w:type="dxa"/>
            </w:tcMar>
          </w:tcPr>
          <w:p w14:paraId="449F98F0"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28E2AACA" w14:textId="77777777" w:rsidTr="007644FB">
        <w:trPr>
          <w:cantSplit/>
          <w:trHeight w:val="503"/>
        </w:trPr>
        <w:tc>
          <w:tcPr>
            <w:tcW w:w="1891" w:type="pct"/>
            <w:tcBorders>
              <w:top w:val="nil"/>
              <w:bottom w:val="nil"/>
            </w:tcBorders>
            <w:shd w:val="clear" w:color="auto" w:fill="auto"/>
            <w:tcMar>
              <w:top w:w="85" w:type="dxa"/>
              <w:bottom w:w="85" w:type="dxa"/>
            </w:tcMar>
          </w:tcPr>
          <w:p w14:paraId="56678DF3"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DBD7972" w14:textId="77777777" w:rsidR="00292B80" w:rsidRPr="00970B2F" w:rsidRDefault="00292B80" w:rsidP="005A1F7F">
            <w:pPr>
              <w:rPr>
                <w:rFonts w:ascii="Arial" w:hAnsi="Arial" w:cs="Arial"/>
                <w:sz w:val="16"/>
                <w:szCs w:val="16"/>
              </w:rPr>
            </w:pPr>
            <w:r>
              <w:rPr>
                <w:rFonts w:ascii="Arial" w:hAnsi="Arial" w:cs="Arial"/>
                <w:color w:val="000000"/>
                <w:sz w:val="16"/>
                <w:szCs w:val="16"/>
              </w:rPr>
              <w:t>Delegates’ satisfaction levels with the organization of the Assemblies</w:t>
            </w:r>
          </w:p>
        </w:tc>
        <w:tc>
          <w:tcPr>
            <w:tcW w:w="1585" w:type="pct"/>
            <w:tcBorders>
              <w:top w:val="nil"/>
              <w:bottom w:val="nil"/>
            </w:tcBorders>
            <w:shd w:val="clear" w:color="auto" w:fill="FFFFFF"/>
            <w:tcMar>
              <w:top w:w="85" w:type="dxa"/>
              <w:bottom w:w="85" w:type="dxa"/>
            </w:tcMar>
          </w:tcPr>
          <w:p w14:paraId="48E8DFE8"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2299D89C" w14:textId="77777777" w:rsidTr="007644FB">
        <w:trPr>
          <w:cantSplit/>
          <w:trHeight w:val="522"/>
        </w:trPr>
        <w:tc>
          <w:tcPr>
            <w:tcW w:w="1891" w:type="pct"/>
            <w:tcBorders>
              <w:top w:val="nil"/>
              <w:bottom w:val="nil"/>
            </w:tcBorders>
            <w:shd w:val="clear" w:color="auto" w:fill="auto"/>
            <w:tcMar>
              <w:top w:w="85" w:type="dxa"/>
              <w:bottom w:w="85" w:type="dxa"/>
            </w:tcMar>
          </w:tcPr>
          <w:p w14:paraId="1ABEC341" w14:textId="77777777" w:rsidR="00292B80" w:rsidRPr="00DF155F" w:rsidRDefault="00292B80" w:rsidP="005A1F7F">
            <w:pPr>
              <w:rPr>
                <w:rFonts w:ascii="Arial" w:hAnsi="Arial" w:cs="Arial"/>
                <w:sz w:val="16"/>
                <w:szCs w:val="16"/>
              </w:rPr>
            </w:pPr>
            <w:r w:rsidRPr="006947C1">
              <w:rPr>
                <w:rFonts w:ascii="Arial" w:hAnsi="Arial" w:cs="Arial"/>
                <w:sz w:val="16"/>
                <w:szCs w:val="16"/>
              </w:rPr>
              <w:t>VIII.4  Open, transparent and responsive interaction with non-governmental stakeholders</w:t>
            </w:r>
          </w:p>
        </w:tc>
        <w:tc>
          <w:tcPr>
            <w:tcW w:w="1524" w:type="pct"/>
            <w:tcBorders>
              <w:top w:val="nil"/>
              <w:bottom w:val="nil"/>
            </w:tcBorders>
            <w:shd w:val="clear" w:color="auto" w:fill="auto"/>
            <w:tcMar>
              <w:top w:w="85" w:type="dxa"/>
              <w:bottom w:w="85" w:type="dxa"/>
            </w:tcMar>
          </w:tcPr>
          <w:p w14:paraId="23554D1C" w14:textId="77777777" w:rsidR="00292B80" w:rsidRPr="00383FE3" w:rsidRDefault="00292B80" w:rsidP="005A1F7F">
            <w:pPr>
              <w:rPr>
                <w:rFonts w:ascii="Arial" w:hAnsi="Arial" w:cs="Arial"/>
                <w:sz w:val="16"/>
                <w:szCs w:val="16"/>
              </w:rPr>
            </w:pPr>
            <w:r w:rsidRPr="00383FE3">
              <w:rPr>
                <w:rFonts w:ascii="Arial" w:hAnsi="Arial" w:cs="Arial"/>
                <w:sz w:val="16"/>
                <w:szCs w:val="16"/>
              </w:rPr>
              <w:t xml:space="preserve">No. of permanent observer NGOs engaging in WIPO’s work and vice versa </w:t>
            </w:r>
          </w:p>
        </w:tc>
        <w:tc>
          <w:tcPr>
            <w:tcW w:w="1585" w:type="pct"/>
            <w:tcBorders>
              <w:top w:val="nil"/>
              <w:bottom w:val="nil"/>
            </w:tcBorders>
            <w:shd w:val="clear" w:color="auto" w:fill="FFFFFF"/>
            <w:tcMar>
              <w:top w:w="85" w:type="dxa"/>
              <w:bottom w:w="85" w:type="dxa"/>
            </w:tcMar>
          </w:tcPr>
          <w:p w14:paraId="1A7C035D" w14:textId="34138AD8" w:rsidR="00292B80" w:rsidRPr="00383FE3" w:rsidRDefault="00292B80">
            <w:pPr>
              <w:ind w:left="768"/>
              <w:rPr>
                <w:rFonts w:ascii="Arial" w:hAnsi="Arial" w:cs="Arial"/>
                <w:sz w:val="16"/>
                <w:szCs w:val="16"/>
                <w:lang w:bidi="th-TH"/>
              </w:rPr>
            </w:pPr>
            <w:r w:rsidRPr="00383FE3">
              <w:rPr>
                <w:rFonts w:ascii="Arial" w:hAnsi="Arial" w:cs="Arial"/>
                <w:sz w:val="16"/>
                <w:szCs w:val="16"/>
                <w:lang w:bidi="th-TH"/>
              </w:rPr>
              <w:t>Program 2</w:t>
            </w:r>
            <w:r w:rsidR="00C240B2">
              <w:rPr>
                <w:rFonts w:ascii="Arial" w:hAnsi="Arial" w:cs="Arial"/>
                <w:sz w:val="16"/>
                <w:szCs w:val="16"/>
                <w:lang w:bidi="th-TH"/>
              </w:rPr>
              <w:t>1</w:t>
            </w:r>
          </w:p>
        </w:tc>
      </w:tr>
      <w:tr w:rsidR="00292B80" w:rsidRPr="00AF5E7C" w14:paraId="743AEA82" w14:textId="77777777" w:rsidTr="007644FB">
        <w:trPr>
          <w:cantSplit/>
          <w:trHeight w:val="537"/>
        </w:trPr>
        <w:tc>
          <w:tcPr>
            <w:tcW w:w="1891" w:type="pct"/>
            <w:tcBorders>
              <w:top w:val="nil"/>
              <w:bottom w:val="nil"/>
            </w:tcBorders>
            <w:shd w:val="clear" w:color="auto" w:fill="auto"/>
            <w:tcMar>
              <w:top w:w="85" w:type="dxa"/>
              <w:bottom w:w="85" w:type="dxa"/>
            </w:tcMar>
          </w:tcPr>
          <w:p w14:paraId="031799A4" w14:textId="77777777" w:rsidR="00292B80" w:rsidRPr="00DF155F" w:rsidRDefault="00292B80" w:rsidP="005A1F7F">
            <w:pPr>
              <w:rPr>
                <w:rFonts w:ascii="Arial" w:hAnsi="Arial" w:cs="Arial"/>
                <w:sz w:val="16"/>
                <w:szCs w:val="16"/>
              </w:rPr>
            </w:pPr>
            <w:r w:rsidRPr="00DF155F">
              <w:rPr>
                <w:rFonts w:ascii="Arial" w:hAnsi="Arial" w:cs="Arial"/>
                <w:sz w:val="16"/>
                <w:szCs w:val="16"/>
              </w:rPr>
              <w:t>VIII.5</w:t>
            </w:r>
            <w:r>
              <w:rPr>
                <w:rFonts w:ascii="Arial" w:hAnsi="Arial" w:cs="Arial"/>
                <w:sz w:val="16"/>
                <w:szCs w:val="16"/>
              </w:rPr>
              <w:t xml:space="preserve"> </w:t>
            </w:r>
            <w:r w:rsidRPr="00DF155F">
              <w:rPr>
                <w:rFonts w:ascii="Arial" w:hAnsi="Arial" w:cs="Arial"/>
                <w:sz w:val="16"/>
                <w:szCs w:val="16"/>
              </w:rPr>
              <w:t xml:space="preserve"> </w:t>
            </w:r>
            <w:r>
              <w:rPr>
                <w:rFonts w:ascii="Arial" w:hAnsi="Arial" w:cs="Arial"/>
                <w:color w:val="000000"/>
                <w:sz w:val="16"/>
                <w:szCs w:val="16"/>
              </w:rPr>
              <w:t>WIPO effectively interacts and partners with UN and other IGO processes and negotiations</w:t>
            </w:r>
          </w:p>
        </w:tc>
        <w:tc>
          <w:tcPr>
            <w:tcW w:w="1524" w:type="pct"/>
            <w:tcBorders>
              <w:top w:val="nil"/>
              <w:bottom w:val="nil"/>
            </w:tcBorders>
            <w:shd w:val="clear" w:color="auto" w:fill="auto"/>
            <w:tcMar>
              <w:top w:w="85" w:type="dxa"/>
              <w:bottom w:w="85" w:type="dxa"/>
            </w:tcMar>
          </w:tcPr>
          <w:p w14:paraId="3B6DC833" w14:textId="77777777" w:rsidR="00292B80" w:rsidRDefault="00292B80" w:rsidP="005A1F7F">
            <w:pPr>
              <w:jc w:val="both"/>
              <w:rPr>
                <w:rFonts w:ascii="Arial" w:hAnsi="Arial" w:cs="Arial"/>
                <w:color w:val="000000"/>
                <w:sz w:val="16"/>
                <w:szCs w:val="16"/>
              </w:rPr>
            </w:pPr>
            <w:r w:rsidRPr="00870F2F">
              <w:rPr>
                <w:rFonts w:ascii="Arial" w:hAnsi="Arial" w:cs="Arial"/>
                <w:color w:val="000000"/>
                <w:sz w:val="16"/>
                <w:szCs w:val="16"/>
              </w:rPr>
              <w:t>WIPO's contributions reflected in UN and IGO reports, resolutions and documents from relevant, targeted processes</w:t>
            </w:r>
          </w:p>
          <w:p w14:paraId="7DA61907" w14:textId="77777777" w:rsidR="00292B80" w:rsidRPr="00E123A3" w:rsidRDefault="00292B80" w:rsidP="005A1F7F">
            <w:pPr>
              <w:rPr>
                <w:rFonts w:ascii="Arial" w:hAnsi="Arial" w:cs="Arial"/>
                <w:sz w:val="16"/>
                <w:szCs w:val="16"/>
                <w:highlight w:val="yellow"/>
              </w:rPr>
            </w:pPr>
          </w:p>
        </w:tc>
        <w:tc>
          <w:tcPr>
            <w:tcW w:w="1585" w:type="pct"/>
            <w:tcBorders>
              <w:top w:val="nil"/>
              <w:bottom w:val="nil"/>
            </w:tcBorders>
            <w:shd w:val="clear" w:color="auto" w:fill="FFFFFF"/>
            <w:tcMar>
              <w:top w:w="85" w:type="dxa"/>
              <w:bottom w:w="85" w:type="dxa"/>
            </w:tcMar>
          </w:tcPr>
          <w:p w14:paraId="681B23D7" w14:textId="77777777" w:rsidR="00292B80" w:rsidRPr="00E123A3" w:rsidRDefault="00292B80" w:rsidP="005A1F7F">
            <w:pPr>
              <w:ind w:left="768"/>
              <w:rPr>
                <w:rFonts w:ascii="Arial" w:hAnsi="Arial" w:cs="Arial"/>
                <w:sz w:val="16"/>
                <w:szCs w:val="16"/>
                <w:highlight w:val="yellow"/>
                <w:lang w:bidi="th-TH"/>
              </w:rPr>
            </w:pPr>
            <w:r w:rsidRPr="0052668A">
              <w:rPr>
                <w:rFonts w:ascii="Arial" w:hAnsi="Arial" w:cs="Arial"/>
                <w:sz w:val="16"/>
                <w:szCs w:val="16"/>
                <w:lang w:bidi="th-TH"/>
              </w:rPr>
              <w:t>Program 20</w:t>
            </w:r>
          </w:p>
        </w:tc>
      </w:tr>
      <w:tr w:rsidR="00292B80" w:rsidRPr="00AF5E7C" w14:paraId="0BE49F95" w14:textId="77777777" w:rsidTr="007644FB">
        <w:trPr>
          <w:cantSplit/>
          <w:trHeight w:val="514"/>
        </w:trPr>
        <w:tc>
          <w:tcPr>
            <w:tcW w:w="1891" w:type="pct"/>
            <w:tcBorders>
              <w:top w:val="nil"/>
              <w:bottom w:val="nil"/>
            </w:tcBorders>
            <w:shd w:val="clear" w:color="auto" w:fill="auto"/>
            <w:tcMar>
              <w:top w:w="85" w:type="dxa"/>
              <w:bottom w:w="85" w:type="dxa"/>
            </w:tcMar>
          </w:tcPr>
          <w:p w14:paraId="134383A7"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01E4BE7" w14:textId="6CC25702" w:rsidR="00292B80" w:rsidRPr="00E123A3" w:rsidRDefault="00292B80">
            <w:pPr>
              <w:rPr>
                <w:rFonts w:ascii="Arial" w:hAnsi="Arial" w:cs="Arial"/>
                <w:sz w:val="16"/>
                <w:szCs w:val="16"/>
                <w:highlight w:val="yellow"/>
              </w:rPr>
            </w:pPr>
            <w:r w:rsidRPr="00870F2F">
              <w:rPr>
                <w:rFonts w:ascii="Arial" w:hAnsi="Arial" w:cs="Arial"/>
                <w:color w:val="000000"/>
                <w:sz w:val="16"/>
                <w:szCs w:val="16"/>
              </w:rPr>
              <w:t>No. of WIPO-led initiatives in partnership with UN and other IGOs to implement the SDGs</w:t>
            </w:r>
          </w:p>
        </w:tc>
        <w:tc>
          <w:tcPr>
            <w:tcW w:w="1585" w:type="pct"/>
            <w:tcBorders>
              <w:top w:val="nil"/>
              <w:bottom w:val="nil"/>
            </w:tcBorders>
            <w:shd w:val="clear" w:color="auto" w:fill="FFFFFF"/>
            <w:tcMar>
              <w:top w:w="85" w:type="dxa"/>
              <w:bottom w:w="85" w:type="dxa"/>
            </w:tcMar>
          </w:tcPr>
          <w:p w14:paraId="4552932B" w14:textId="77777777" w:rsidR="00292B80" w:rsidRPr="00E123A3" w:rsidRDefault="00292B80" w:rsidP="005A1F7F">
            <w:pPr>
              <w:ind w:left="768"/>
              <w:rPr>
                <w:rFonts w:ascii="Arial" w:hAnsi="Arial" w:cs="Arial"/>
                <w:sz w:val="16"/>
                <w:szCs w:val="16"/>
                <w:highlight w:val="yellow"/>
                <w:lang w:bidi="th-TH"/>
              </w:rPr>
            </w:pPr>
            <w:r w:rsidRPr="0052668A">
              <w:rPr>
                <w:rFonts w:ascii="Arial" w:hAnsi="Arial" w:cs="Arial"/>
                <w:sz w:val="16"/>
                <w:szCs w:val="16"/>
                <w:lang w:bidi="th-TH"/>
              </w:rPr>
              <w:t>Program 20</w:t>
            </w:r>
          </w:p>
        </w:tc>
      </w:tr>
      <w:tr w:rsidR="00292B80" w:rsidRPr="00AF5E7C" w14:paraId="6D437A0B" w14:textId="77777777" w:rsidTr="007644FB">
        <w:trPr>
          <w:cantSplit/>
          <w:trHeight w:val="514"/>
        </w:trPr>
        <w:tc>
          <w:tcPr>
            <w:tcW w:w="1891" w:type="pct"/>
            <w:tcBorders>
              <w:top w:val="nil"/>
              <w:bottom w:val="nil"/>
            </w:tcBorders>
            <w:shd w:val="clear" w:color="auto" w:fill="auto"/>
            <w:tcMar>
              <w:top w:w="85" w:type="dxa"/>
              <w:bottom w:w="85" w:type="dxa"/>
            </w:tcMar>
          </w:tcPr>
          <w:p w14:paraId="5CCACB21"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6ADF8D13" w14:textId="77777777" w:rsidR="00292B80" w:rsidRPr="00870F2F" w:rsidRDefault="00292B80" w:rsidP="005A1F7F">
            <w:pPr>
              <w:rPr>
                <w:rFonts w:ascii="Arial" w:hAnsi="Arial" w:cs="Arial"/>
                <w:color w:val="000000"/>
                <w:sz w:val="16"/>
                <w:szCs w:val="16"/>
              </w:rPr>
            </w:pPr>
            <w:r>
              <w:rPr>
                <w:rFonts w:ascii="Arial" w:hAnsi="Arial" w:cs="Arial"/>
                <w:color w:val="000000"/>
                <w:sz w:val="16"/>
                <w:szCs w:val="16"/>
              </w:rPr>
              <w:t>No. of joint activities with ASEAN Secretariat, ECAP/OHIM, Asia/Europe Foundation, AANZFTA</w:t>
            </w:r>
          </w:p>
        </w:tc>
        <w:tc>
          <w:tcPr>
            <w:tcW w:w="1585" w:type="pct"/>
            <w:tcBorders>
              <w:top w:val="nil"/>
              <w:bottom w:val="nil"/>
            </w:tcBorders>
            <w:shd w:val="clear" w:color="auto" w:fill="FFFFFF"/>
            <w:tcMar>
              <w:top w:w="85" w:type="dxa"/>
              <w:bottom w:w="85" w:type="dxa"/>
            </w:tcMar>
          </w:tcPr>
          <w:p w14:paraId="1D33F4CF" w14:textId="77777777" w:rsidR="00292B80" w:rsidRPr="0052668A" w:rsidRDefault="00292B80" w:rsidP="005A1F7F">
            <w:pPr>
              <w:ind w:left="768"/>
              <w:rPr>
                <w:rFonts w:ascii="Arial" w:hAnsi="Arial" w:cs="Arial"/>
                <w:sz w:val="16"/>
                <w:szCs w:val="16"/>
                <w:lang w:bidi="th-TH"/>
              </w:rPr>
            </w:pPr>
            <w:r>
              <w:rPr>
                <w:rFonts w:ascii="Arial" w:hAnsi="Arial" w:cs="Arial"/>
                <w:sz w:val="16"/>
                <w:szCs w:val="16"/>
                <w:lang w:bidi="th-TH"/>
              </w:rPr>
              <w:t xml:space="preserve">Program 20 </w:t>
            </w:r>
          </w:p>
        </w:tc>
      </w:tr>
      <w:tr w:rsidR="00292B80" w:rsidRPr="00AF5E7C" w14:paraId="39065B95" w14:textId="77777777" w:rsidTr="007644FB">
        <w:trPr>
          <w:cantSplit/>
          <w:trHeight w:val="356"/>
        </w:trPr>
        <w:tc>
          <w:tcPr>
            <w:tcW w:w="1891" w:type="pct"/>
            <w:tcBorders>
              <w:top w:val="nil"/>
              <w:bottom w:val="nil"/>
            </w:tcBorders>
            <w:shd w:val="clear" w:color="auto" w:fill="auto"/>
            <w:tcMar>
              <w:top w:w="85" w:type="dxa"/>
              <w:bottom w:w="85" w:type="dxa"/>
            </w:tcMar>
          </w:tcPr>
          <w:p w14:paraId="50ADF7D3" w14:textId="77777777" w:rsidR="00292B80" w:rsidRPr="0092679D"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3D092ED9" w14:textId="77777777" w:rsidR="00292B80" w:rsidRPr="0092679D" w:rsidRDefault="00292B80" w:rsidP="005A1F7F">
            <w:pPr>
              <w:rPr>
                <w:rFonts w:ascii="Arial" w:hAnsi="Arial" w:cs="Arial"/>
                <w:sz w:val="16"/>
                <w:szCs w:val="16"/>
              </w:rPr>
            </w:pPr>
            <w:r>
              <w:rPr>
                <w:rFonts w:ascii="Arial" w:hAnsi="Arial" w:cs="Arial"/>
                <w:color w:val="000000"/>
                <w:sz w:val="16"/>
                <w:szCs w:val="16"/>
              </w:rPr>
              <w:t>New joint initiatives with other UN agencies/IGOs</w:t>
            </w:r>
          </w:p>
        </w:tc>
        <w:tc>
          <w:tcPr>
            <w:tcW w:w="1585" w:type="pct"/>
            <w:tcBorders>
              <w:top w:val="nil"/>
              <w:bottom w:val="nil"/>
            </w:tcBorders>
            <w:shd w:val="clear" w:color="auto" w:fill="FFFFFF"/>
            <w:tcMar>
              <w:top w:w="85" w:type="dxa"/>
              <w:bottom w:w="85" w:type="dxa"/>
            </w:tcMar>
          </w:tcPr>
          <w:p w14:paraId="24570277"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74FEE5F9" w14:textId="77777777" w:rsidTr="007644FB">
        <w:trPr>
          <w:cantSplit/>
          <w:trHeight w:val="383"/>
        </w:trPr>
        <w:tc>
          <w:tcPr>
            <w:tcW w:w="1891" w:type="pct"/>
            <w:tcBorders>
              <w:top w:val="nil"/>
              <w:bottom w:val="nil"/>
            </w:tcBorders>
            <w:shd w:val="clear" w:color="auto" w:fill="auto"/>
            <w:tcMar>
              <w:top w:w="85" w:type="dxa"/>
              <w:bottom w:w="85" w:type="dxa"/>
            </w:tcMar>
          </w:tcPr>
          <w:p w14:paraId="43F4407D"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0C5AE1B1" w14:textId="77777777" w:rsidR="00292B80" w:rsidRPr="006A3FC3" w:rsidRDefault="00292B80" w:rsidP="005A1F7F">
            <w:pPr>
              <w:rPr>
                <w:rFonts w:ascii="Arial" w:hAnsi="Arial" w:cs="Arial"/>
                <w:bCs/>
                <w:sz w:val="16"/>
                <w:szCs w:val="16"/>
              </w:rPr>
            </w:pPr>
            <w:r>
              <w:rPr>
                <w:rFonts w:ascii="Arial" w:hAnsi="Arial" w:cs="Arial"/>
                <w:color w:val="000000"/>
                <w:sz w:val="16"/>
                <w:szCs w:val="16"/>
              </w:rPr>
              <w:t>% of locally sourced goods and services compared to total amount procured for development activity</w:t>
            </w:r>
          </w:p>
        </w:tc>
        <w:tc>
          <w:tcPr>
            <w:tcW w:w="1585" w:type="pct"/>
            <w:tcBorders>
              <w:top w:val="nil"/>
              <w:bottom w:val="nil"/>
            </w:tcBorders>
            <w:shd w:val="clear" w:color="auto" w:fill="FFFFFF"/>
            <w:tcMar>
              <w:top w:w="85" w:type="dxa"/>
              <w:bottom w:w="85" w:type="dxa"/>
            </w:tcMar>
          </w:tcPr>
          <w:p w14:paraId="1590F475"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24</w:t>
            </w:r>
          </w:p>
        </w:tc>
      </w:tr>
      <w:tr w:rsidR="00292B80" w:rsidRPr="00AF5E7C" w14:paraId="47AD5502" w14:textId="77777777" w:rsidTr="007644FB">
        <w:trPr>
          <w:cantSplit/>
          <w:trHeight w:val="515"/>
        </w:trPr>
        <w:tc>
          <w:tcPr>
            <w:tcW w:w="1891" w:type="pct"/>
            <w:tcBorders>
              <w:top w:val="nil"/>
              <w:bottom w:val="single" w:sz="4" w:space="0" w:color="auto"/>
            </w:tcBorders>
            <w:shd w:val="clear" w:color="auto" w:fill="auto"/>
            <w:tcMar>
              <w:top w:w="85" w:type="dxa"/>
              <w:bottom w:w="85" w:type="dxa"/>
            </w:tcMar>
          </w:tcPr>
          <w:p w14:paraId="71C96782" w14:textId="77777777" w:rsidR="00292B80" w:rsidRPr="00AF5E7C" w:rsidRDefault="00292B80" w:rsidP="005A1F7F">
            <w:pPr>
              <w:rPr>
                <w:rFonts w:ascii="Arial" w:hAnsi="Arial" w:cs="Arial"/>
                <w:sz w:val="16"/>
                <w:szCs w:val="16"/>
              </w:rPr>
            </w:pPr>
          </w:p>
        </w:tc>
        <w:tc>
          <w:tcPr>
            <w:tcW w:w="1524" w:type="pct"/>
            <w:tcBorders>
              <w:top w:val="nil"/>
              <w:bottom w:val="single" w:sz="4" w:space="0" w:color="auto"/>
            </w:tcBorders>
            <w:shd w:val="clear" w:color="auto" w:fill="auto"/>
            <w:tcMar>
              <w:top w:w="85" w:type="dxa"/>
              <w:bottom w:w="85" w:type="dxa"/>
            </w:tcMar>
          </w:tcPr>
          <w:p w14:paraId="5694CF33" w14:textId="77777777" w:rsidR="00292B80" w:rsidRPr="00F7400E" w:rsidRDefault="00292B80" w:rsidP="005A1F7F">
            <w:pPr>
              <w:rPr>
                <w:rFonts w:ascii="Arial" w:hAnsi="Arial" w:cs="Arial"/>
                <w:sz w:val="16"/>
                <w:szCs w:val="16"/>
              </w:rPr>
            </w:pPr>
            <w:r>
              <w:rPr>
                <w:rFonts w:ascii="Arial" w:hAnsi="Arial" w:cs="Arial"/>
                <w:color w:val="000000"/>
                <w:sz w:val="16"/>
                <w:szCs w:val="16"/>
              </w:rPr>
              <w:t>% of spend subject to UN leverage (either common tender or piggy-backing)</w:t>
            </w:r>
          </w:p>
        </w:tc>
        <w:tc>
          <w:tcPr>
            <w:tcW w:w="1585" w:type="pct"/>
            <w:tcBorders>
              <w:top w:val="nil"/>
              <w:bottom w:val="single" w:sz="4" w:space="0" w:color="auto"/>
            </w:tcBorders>
            <w:shd w:val="clear" w:color="auto" w:fill="FFFFFF"/>
            <w:tcMar>
              <w:top w:w="85" w:type="dxa"/>
              <w:bottom w:w="85" w:type="dxa"/>
            </w:tcMar>
          </w:tcPr>
          <w:p w14:paraId="25DDC3CD"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24</w:t>
            </w:r>
          </w:p>
        </w:tc>
      </w:tr>
    </w:tbl>
    <w:p w14:paraId="63183B00" w14:textId="77777777" w:rsidR="00A52130" w:rsidRDefault="00A52130">
      <w:pPr>
        <w:rPr>
          <w:rFonts w:ascii="Arial" w:hAnsi="Arial" w:cs="Arial"/>
          <w:bCs/>
          <w:sz w:val="20"/>
        </w:rPr>
      </w:pPr>
    </w:p>
    <w:p w14:paraId="09C4F617" w14:textId="129B6B9B" w:rsidR="00B66294" w:rsidRDefault="00B66294">
      <w:pPr>
        <w:rPr>
          <w:rFonts w:ascii="Arial" w:hAnsi="Arial" w:cs="Arial"/>
          <w:bCs/>
          <w:sz w:val="20"/>
        </w:rPr>
      </w:pPr>
      <w:r>
        <w:rPr>
          <w:rFonts w:ascii="Arial" w:hAnsi="Arial" w:cs="Arial"/>
          <w:bCs/>
          <w:sz w:val="20"/>
        </w:rPr>
        <w:br w:type="page"/>
      </w:r>
    </w:p>
    <w:p w14:paraId="35644957" w14:textId="77777777" w:rsidR="00B66294" w:rsidRPr="00B66294" w:rsidRDefault="00B66294" w:rsidP="00B66294">
      <w:pPr>
        <w:pStyle w:val="StyleStyleHeading3ComplexItalicLatin12pt"/>
        <w:rPr>
          <w:caps w:val="0"/>
        </w:rPr>
      </w:pPr>
      <w:bookmarkStart w:id="64" w:name="_Toc431221433"/>
      <w:r w:rsidRPr="00B66294">
        <w:rPr>
          <w:caps w:val="0"/>
        </w:rPr>
        <w:lastRenderedPageBreak/>
        <w:t xml:space="preserve">PROGRAM 19 </w:t>
      </w:r>
      <w:r w:rsidRPr="00B66294">
        <w:rPr>
          <w:caps w:val="0"/>
        </w:rPr>
        <w:tab/>
        <w:t>COMMUNICATIONS</w:t>
      </w:r>
      <w:bookmarkEnd w:id="64"/>
    </w:p>
    <w:p w14:paraId="635E6632" w14:textId="77777777" w:rsidR="00B66294" w:rsidRPr="00945C16" w:rsidRDefault="00B66294" w:rsidP="00984F70">
      <w:pPr>
        <w:rPr>
          <w:rFonts w:ascii="Arial" w:eastAsia="MS Mincho" w:hAnsi="Arial" w:cs="Arial"/>
          <w:bCs/>
          <w:i/>
        </w:rPr>
      </w:pPr>
    </w:p>
    <w:p w14:paraId="378372F7" w14:textId="77777777" w:rsidR="00B66294" w:rsidRDefault="00B66294" w:rsidP="00984F70">
      <w:pPr>
        <w:rPr>
          <w:rFonts w:ascii="Arial" w:eastAsia="MS Mincho" w:hAnsi="Arial" w:cs="Arial"/>
        </w:rPr>
      </w:pPr>
    </w:p>
    <w:p w14:paraId="48DE4FA9" w14:textId="77777777" w:rsidR="00B66294" w:rsidRPr="00945C16" w:rsidRDefault="00B66294" w:rsidP="00984F70">
      <w:pPr>
        <w:rPr>
          <w:rFonts w:ascii="Arial" w:eastAsia="MS Mincho" w:hAnsi="Arial" w:cs="Arial"/>
        </w:rPr>
      </w:pPr>
      <w:r w:rsidRPr="00945C16">
        <w:rPr>
          <w:rFonts w:ascii="Arial" w:eastAsia="MS Mincho" w:hAnsi="Arial" w:cs="Arial"/>
        </w:rPr>
        <w:t xml:space="preserve">PLANNING CONTEXT    </w:t>
      </w:r>
    </w:p>
    <w:p w14:paraId="13A2EFBF" w14:textId="77777777" w:rsidR="00B66294" w:rsidRPr="00945C16" w:rsidRDefault="00B66294" w:rsidP="00984F70">
      <w:pPr>
        <w:tabs>
          <w:tab w:val="num" w:pos="709"/>
        </w:tabs>
        <w:ind w:left="1140" w:hanging="1140"/>
        <w:jc w:val="both"/>
        <w:rPr>
          <w:rFonts w:ascii="Arial" w:eastAsia="MS Mincho" w:hAnsi="Arial" w:cs="Arial"/>
          <w:bCs/>
        </w:rPr>
      </w:pPr>
    </w:p>
    <w:p w14:paraId="6CD434B2" w14:textId="5B73AB2D" w:rsidR="00B66294" w:rsidRDefault="00B66294" w:rsidP="00B66A4A">
      <w:pPr>
        <w:numPr>
          <w:ilvl w:val="0"/>
          <w:numId w:val="20"/>
        </w:numPr>
        <w:jc w:val="both"/>
        <w:rPr>
          <w:rFonts w:ascii="Arial" w:eastAsia="MS Mincho" w:hAnsi="Arial" w:cs="Arial"/>
          <w:sz w:val="20"/>
        </w:rPr>
      </w:pPr>
      <w:r>
        <w:rPr>
          <w:rFonts w:ascii="Arial" w:eastAsia="MS Mincho" w:hAnsi="Arial" w:cs="Arial"/>
          <w:sz w:val="20"/>
        </w:rPr>
        <w:t>WIPO is a multifaceted</w:t>
      </w:r>
      <w:r w:rsidRPr="00351B9D">
        <w:rPr>
          <w:rFonts w:ascii="Arial" w:eastAsia="MS Mincho" w:hAnsi="Arial" w:cs="Arial"/>
          <w:sz w:val="20"/>
        </w:rPr>
        <w:t xml:space="preserve"> organization dealing with </w:t>
      </w:r>
      <w:r>
        <w:rPr>
          <w:rFonts w:ascii="Arial" w:eastAsia="MS Mincho" w:hAnsi="Arial" w:cs="Arial"/>
          <w:sz w:val="20"/>
        </w:rPr>
        <w:t xml:space="preserve">many </w:t>
      </w:r>
      <w:r w:rsidRPr="00351B9D">
        <w:rPr>
          <w:rFonts w:ascii="Arial" w:eastAsia="MS Mincho" w:hAnsi="Arial" w:cs="Arial"/>
          <w:sz w:val="20"/>
        </w:rPr>
        <w:t>complex subject matters</w:t>
      </w:r>
      <w:r>
        <w:rPr>
          <w:rFonts w:ascii="Arial" w:eastAsia="MS Mincho" w:hAnsi="Arial" w:cs="Arial"/>
          <w:sz w:val="20"/>
        </w:rPr>
        <w:t xml:space="preserve"> </w:t>
      </w:r>
      <w:r w:rsidRPr="00351B9D">
        <w:rPr>
          <w:rFonts w:ascii="Arial" w:eastAsia="MS Mincho" w:hAnsi="Arial" w:cs="Arial"/>
          <w:sz w:val="20"/>
        </w:rPr>
        <w:t xml:space="preserve">and activities. </w:t>
      </w:r>
      <w:r w:rsidR="009843A4">
        <w:rPr>
          <w:rFonts w:ascii="Arial" w:eastAsia="MS Mincho" w:hAnsi="Arial" w:cs="Arial"/>
          <w:sz w:val="20"/>
        </w:rPr>
        <w:t xml:space="preserve"> </w:t>
      </w:r>
      <w:r w:rsidRPr="00351B9D">
        <w:rPr>
          <w:rFonts w:ascii="Arial" w:eastAsia="MS Mincho" w:hAnsi="Arial" w:cs="Arial"/>
          <w:sz w:val="20"/>
        </w:rPr>
        <w:t>The challenge for Communications is to cut through the complexity and connect with diverse audiences worldwide. To build the understanding, engagement and trust needed to fulfill its mandate, WIPO must communicate clearly its purpose, values, and what it does to make IP work for innovation and creativity.</w:t>
      </w:r>
      <w:r w:rsidR="009843A4">
        <w:rPr>
          <w:rFonts w:ascii="Arial" w:eastAsia="MS Mincho" w:hAnsi="Arial" w:cs="Arial"/>
          <w:sz w:val="20"/>
        </w:rPr>
        <w:t xml:space="preserve"> </w:t>
      </w:r>
      <w:r w:rsidRPr="00351B9D">
        <w:rPr>
          <w:rFonts w:ascii="Arial" w:eastAsia="MS Mincho" w:hAnsi="Arial" w:cs="Arial"/>
          <w:sz w:val="20"/>
        </w:rPr>
        <w:t xml:space="preserve"> It must strengthen recognition of its unique position as the global forum for IP, and the demand for WIPO IP tools and services. </w:t>
      </w:r>
    </w:p>
    <w:p w14:paraId="23F6875A" w14:textId="77777777" w:rsidR="00B66294" w:rsidRDefault="00B66294" w:rsidP="00984F70">
      <w:pPr>
        <w:jc w:val="both"/>
        <w:rPr>
          <w:rFonts w:ascii="Arial" w:eastAsia="MS Mincho" w:hAnsi="Arial" w:cs="Arial"/>
          <w:sz w:val="20"/>
        </w:rPr>
      </w:pPr>
    </w:p>
    <w:p w14:paraId="43B356BF" w14:textId="425098CD" w:rsidR="00B66294" w:rsidRPr="00351B9D" w:rsidRDefault="00B66294" w:rsidP="00B66A4A">
      <w:pPr>
        <w:numPr>
          <w:ilvl w:val="0"/>
          <w:numId w:val="20"/>
        </w:numPr>
        <w:jc w:val="both"/>
        <w:rPr>
          <w:rFonts w:ascii="Arial" w:eastAsia="MS Mincho" w:hAnsi="Arial" w:cs="Arial"/>
          <w:sz w:val="20"/>
        </w:rPr>
      </w:pPr>
      <w:r w:rsidRPr="00351B9D">
        <w:rPr>
          <w:rFonts w:ascii="Arial" w:eastAsia="MS Mincho" w:hAnsi="Arial" w:cs="Arial"/>
          <w:sz w:val="20"/>
        </w:rPr>
        <w:t xml:space="preserve">IP is a crowded field, in which WIPO’s marketing and promotional communications for its services, products, events and achievements compete for the attention of stakeholders. </w:t>
      </w:r>
      <w:r w:rsidR="009843A4">
        <w:rPr>
          <w:rFonts w:ascii="Arial" w:eastAsia="MS Mincho" w:hAnsi="Arial" w:cs="Arial"/>
          <w:sz w:val="20"/>
        </w:rPr>
        <w:t xml:space="preserve"> </w:t>
      </w:r>
      <w:r w:rsidRPr="00351B9D">
        <w:rPr>
          <w:rFonts w:ascii="Arial" w:eastAsia="MS Mincho" w:hAnsi="Arial" w:cs="Arial"/>
          <w:sz w:val="20"/>
        </w:rPr>
        <w:t>To maximize impact</w:t>
      </w:r>
      <w:r>
        <w:rPr>
          <w:rFonts w:ascii="Arial" w:eastAsia="MS Mincho" w:hAnsi="Arial" w:cs="Arial"/>
          <w:sz w:val="20"/>
        </w:rPr>
        <w:t xml:space="preserve">, </w:t>
      </w:r>
      <w:r w:rsidRPr="00351B9D">
        <w:rPr>
          <w:rFonts w:ascii="Arial" w:eastAsia="MS Mincho" w:hAnsi="Arial" w:cs="Arial"/>
          <w:sz w:val="20"/>
        </w:rPr>
        <w:t xml:space="preserve">more integrated internal coordination will be required; external partnerships should be more systematically exploited; and WIPO’s communications must be innovative, accessible, engaging and user-centric, with a strong focus on the relevance of IP to people and economies around the world. </w:t>
      </w:r>
      <w:r w:rsidR="009843A4">
        <w:rPr>
          <w:rFonts w:ascii="Arial" w:eastAsia="MS Mincho" w:hAnsi="Arial" w:cs="Arial"/>
          <w:sz w:val="20"/>
        </w:rPr>
        <w:t xml:space="preserve"> </w:t>
      </w:r>
      <w:r w:rsidRPr="00351B9D">
        <w:rPr>
          <w:rFonts w:ascii="Arial" w:eastAsia="MS Mincho" w:hAnsi="Arial" w:cs="Arial"/>
          <w:sz w:val="20"/>
        </w:rPr>
        <w:t>To be able to keep pace with the rapidly evolving global digital communications environment, and to exploit the opportunities presented by new technologies, the focus will continue on building multimedia skills in digital content creation and management, and on accelerati</w:t>
      </w:r>
      <w:r>
        <w:rPr>
          <w:rFonts w:ascii="Arial" w:eastAsia="MS Mincho" w:hAnsi="Arial" w:cs="Arial"/>
          <w:sz w:val="20"/>
        </w:rPr>
        <w:t>ng</w:t>
      </w:r>
      <w:r w:rsidRPr="00351B9D">
        <w:rPr>
          <w:rFonts w:ascii="Arial" w:eastAsia="MS Mincho" w:hAnsi="Arial" w:cs="Arial"/>
          <w:sz w:val="20"/>
        </w:rPr>
        <w:t xml:space="preserve">  the transition from traditional to “born digital” publishing. </w:t>
      </w:r>
    </w:p>
    <w:p w14:paraId="5213A910" w14:textId="77777777" w:rsidR="00B66294" w:rsidRPr="00351B9D" w:rsidRDefault="00B66294" w:rsidP="00984F70">
      <w:pPr>
        <w:jc w:val="both"/>
        <w:rPr>
          <w:rFonts w:ascii="Arial" w:eastAsia="MS Mincho" w:hAnsi="Arial" w:cs="Arial"/>
          <w:sz w:val="20"/>
        </w:rPr>
      </w:pPr>
    </w:p>
    <w:p w14:paraId="5749B62F" w14:textId="77777777" w:rsidR="00B66294" w:rsidRPr="00351B9D" w:rsidRDefault="00B66294" w:rsidP="00B66A4A">
      <w:pPr>
        <w:numPr>
          <w:ilvl w:val="0"/>
          <w:numId w:val="20"/>
        </w:numPr>
        <w:jc w:val="both"/>
        <w:rPr>
          <w:rFonts w:ascii="Arial" w:eastAsia="MS Mincho" w:hAnsi="Arial" w:cs="Arial"/>
          <w:sz w:val="20"/>
        </w:rPr>
      </w:pPr>
      <w:r w:rsidRPr="00351B9D">
        <w:rPr>
          <w:rFonts w:ascii="Arial" w:eastAsia="MS Mincho" w:hAnsi="Arial" w:cs="Arial"/>
          <w:sz w:val="20"/>
        </w:rPr>
        <w:t xml:space="preserve">Good communication and responsiveness constitute an essential element in service delivery </w:t>
      </w:r>
      <w:r>
        <w:rPr>
          <w:rFonts w:ascii="Arial" w:eastAsia="MS Mincho" w:hAnsi="Arial" w:cs="Arial"/>
          <w:sz w:val="20"/>
        </w:rPr>
        <w:noBreakHyphen/>
      </w:r>
      <w:r w:rsidRPr="00351B9D">
        <w:rPr>
          <w:rFonts w:ascii="Arial" w:eastAsia="MS Mincho" w:hAnsi="Arial" w:cs="Arial"/>
          <w:sz w:val="20"/>
        </w:rPr>
        <w:t xml:space="preserve"> both internal and external. WIPO must continue to improve its understanding of the needs and expectations of its many different stakeholders and to foster an Organization-wide culture of service orientation supported by improved technical tools and applications.</w:t>
      </w:r>
    </w:p>
    <w:p w14:paraId="41DF0E14" w14:textId="77777777" w:rsidR="00B66294" w:rsidRPr="00945C16" w:rsidRDefault="00B66294" w:rsidP="00984F70">
      <w:pPr>
        <w:tabs>
          <w:tab w:val="num" w:pos="709"/>
        </w:tabs>
        <w:ind w:left="1140" w:hanging="1140"/>
        <w:jc w:val="both"/>
        <w:rPr>
          <w:rFonts w:ascii="Arial" w:eastAsia="MS Mincho" w:hAnsi="Arial" w:cs="Arial"/>
        </w:rPr>
      </w:pPr>
    </w:p>
    <w:p w14:paraId="252BE969" w14:textId="77777777" w:rsidR="00B66294" w:rsidRDefault="00B66294" w:rsidP="00984F70">
      <w:pPr>
        <w:jc w:val="both"/>
        <w:rPr>
          <w:rFonts w:ascii="Arial" w:eastAsia="MS Mincho" w:hAnsi="Arial" w:cs="Arial"/>
        </w:rPr>
      </w:pPr>
    </w:p>
    <w:p w14:paraId="20A63A50" w14:textId="77777777" w:rsidR="00B66294" w:rsidRPr="00945C16" w:rsidRDefault="00B66294" w:rsidP="00984F70">
      <w:pPr>
        <w:jc w:val="both"/>
        <w:rPr>
          <w:rFonts w:ascii="Arial" w:eastAsia="MS Mincho" w:hAnsi="Arial" w:cs="Arial"/>
        </w:rPr>
      </w:pPr>
      <w:r w:rsidRPr="00945C16">
        <w:rPr>
          <w:rFonts w:ascii="Arial" w:eastAsia="MS Mincho" w:hAnsi="Arial" w:cs="Arial"/>
        </w:rPr>
        <w:t xml:space="preserve">IMPLEMENTATION STRATEGIES   </w:t>
      </w:r>
    </w:p>
    <w:p w14:paraId="2417C862" w14:textId="77777777" w:rsidR="00B66294" w:rsidRDefault="00B66294" w:rsidP="00984F70">
      <w:pPr>
        <w:tabs>
          <w:tab w:val="num" w:pos="709"/>
        </w:tabs>
        <w:jc w:val="both"/>
        <w:rPr>
          <w:rFonts w:ascii="Arial" w:eastAsia="MS Mincho" w:hAnsi="Arial" w:cs="Arial"/>
        </w:rPr>
      </w:pPr>
    </w:p>
    <w:p w14:paraId="3F6F2FB8" w14:textId="77777777" w:rsidR="00B66294" w:rsidRPr="00351B9D" w:rsidRDefault="00B66294" w:rsidP="00B66A4A">
      <w:pPr>
        <w:numPr>
          <w:ilvl w:val="0"/>
          <w:numId w:val="20"/>
        </w:numPr>
        <w:jc w:val="both"/>
        <w:rPr>
          <w:rFonts w:ascii="Arial" w:eastAsia="MS Mincho" w:hAnsi="Arial" w:cs="Arial"/>
          <w:sz w:val="20"/>
        </w:rPr>
      </w:pPr>
      <w:r w:rsidRPr="00351B9D">
        <w:rPr>
          <w:rFonts w:ascii="Arial" w:eastAsia="MS Mincho" w:hAnsi="Arial" w:cs="Arial"/>
          <w:sz w:val="20"/>
        </w:rPr>
        <w:t xml:space="preserve">The work of Program 19 in 2016/17 should result in effective communication about IP and WIPO. The success of the Program’s contribution will be measured through increased reach of public information content, including publications, videos, visuals, media materials and web-based resources; as well as </w:t>
      </w:r>
      <w:r>
        <w:rPr>
          <w:rFonts w:ascii="Arial" w:eastAsia="MS Mincho" w:hAnsi="Arial" w:cs="Arial"/>
          <w:sz w:val="20"/>
        </w:rPr>
        <w:t>enhanced</w:t>
      </w:r>
      <w:r w:rsidRPr="00351B9D">
        <w:rPr>
          <w:rFonts w:ascii="Arial" w:eastAsia="MS Mincho" w:hAnsi="Arial" w:cs="Arial"/>
          <w:sz w:val="20"/>
        </w:rPr>
        <w:t xml:space="preserve"> stakeholder engagement on social media platforms and in events. Successful communication of key events and achievements will result in increased visibility in international media, and in positive</w:t>
      </w:r>
      <w:r>
        <w:rPr>
          <w:rFonts w:ascii="Arial" w:eastAsia="MS Mincho" w:hAnsi="Arial" w:cs="Arial"/>
          <w:sz w:val="20"/>
        </w:rPr>
        <w:t xml:space="preserve"> </w:t>
      </w:r>
      <w:r w:rsidRPr="00351B9D">
        <w:rPr>
          <w:rFonts w:ascii="Arial" w:eastAsia="MS Mincho" w:hAnsi="Arial" w:cs="Arial"/>
          <w:sz w:val="20"/>
        </w:rPr>
        <w:t>recognition of WIPO’s role and reputation by stakeholders. Improved responsiveness in handling external enquiries will result in an increased stakeholder satisfaction rate.</w:t>
      </w:r>
      <w:r>
        <w:rPr>
          <w:rFonts w:ascii="Arial" w:eastAsia="MS Mincho" w:hAnsi="Arial" w:cs="Arial"/>
          <w:sz w:val="20"/>
        </w:rPr>
        <w:t xml:space="preserve">  S</w:t>
      </w:r>
      <w:r w:rsidRPr="00351B9D">
        <w:rPr>
          <w:rFonts w:ascii="Arial" w:eastAsia="MS Mincho" w:hAnsi="Arial" w:cs="Arial"/>
          <w:sz w:val="20"/>
        </w:rPr>
        <w:t>trategies to achieve these results will continue to include the following:</w:t>
      </w:r>
    </w:p>
    <w:p w14:paraId="278670B3" w14:textId="77777777" w:rsidR="00B66294" w:rsidRPr="00351B9D" w:rsidRDefault="00B66294" w:rsidP="00984F70">
      <w:pPr>
        <w:jc w:val="both"/>
        <w:rPr>
          <w:rFonts w:ascii="Arial" w:eastAsia="MS Mincho" w:hAnsi="Arial" w:cs="Arial"/>
          <w:sz w:val="20"/>
        </w:rPr>
      </w:pPr>
    </w:p>
    <w:p w14:paraId="6B9E481C" w14:textId="77777777" w:rsidR="00B66294" w:rsidRPr="00351B9D" w:rsidRDefault="00B66294" w:rsidP="00984F70">
      <w:pPr>
        <w:tabs>
          <w:tab w:val="left" w:pos="1100"/>
        </w:tabs>
        <w:ind w:left="567"/>
        <w:jc w:val="both"/>
        <w:rPr>
          <w:rFonts w:ascii="Arial" w:eastAsia="MS Mincho" w:hAnsi="Arial" w:cs="Arial"/>
          <w:iCs/>
          <w:sz w:val="20"/>
        </w:rPr>
      </w:pPr>
      <w:r w:rsidRPr="00260AD8">
        <w:rPr>
          <w:rFonts w:ascii="Arial" w:eastAsia="MS Mincho" w:hAnsi="Arial" w:cs="Arial"/>
          <w:iCs/>
          <w:sz w:val="20"/>
        </w:rPr>
        <w:t>(</w:t>
      </w:r>
      <w:proofErr w:type="spellStart"/>
      <w:r w:rsidRPr="00260AD8">
        <w:rPr>
          <w:rFonts w:ascii="Arial" w:eastAsia="MS Mincho" w:hAnsi="Arial" w:cs="Arial"/>
          <w:iCs/>
          <w:sz w:val="20"/>
        </w:rPr>
        <w:t>i</w:t>
      </w:r>
      <w:proofErr w:type="spellEnd"/>
      <w:r w:rsidRPr="00260AD8">
        <w:rPr>
          <w:rFonts w:ascii="Arial" w:eastAsia="MS Mincho" w:hAnsi="Arial" w:cs="Arial"/>
          <w:iCs/>
          <w:sz w:val="20"/>
        </w:rPr>
        <w:t>)</w:t>
      </w:r>
      <w:r>
        <w:rPr>
          <w:rFonts w:ascii="Arial" w:eastAsia="MS Mincho" w:hAnsi="Arial" w:cs="Arial"/>
          <w:i/>
          <w:iCs/>
          <w:sz w:val="20"/>
        </w:rPr>
        <w:tab/>
      </w:r>
      <w:r w:rsidRPr="00351B9D">
        <w:rPr>
          <w:rFonts w:ascii="Arial" w:eastAsia="MS Mincho" w:hAnsi="Arial" w:cs="Arial"/>
          <w:i/>
          <w:iCs/>
          <w:sz w:val="20"/>
        </w:rPr>
        <w:t>Prioritization.</w:t>
      </w:r>
      <w:r>
        <w:rPr>
          <w:rFonts w:ascii="Arial" w:eastAsia="MS Mincho" w:hAnsi="Arial" w:cs="Arial"/>
          <w:i/>
          <w:iCs/>
          <w:sz w:val="20"/>
        </w:rPr>
        <w:t xml:space="preserve"> </w:t>
      </w:r>
      <w:r w:rsidRPr="00351B9D">
        <w:rPr>
          <w:rFonts w:ascii="Arial" w:eastAsia="MS Mincho" w:hAnsi="Arial" w:cs="Arial"/>
          <w:i/>
          <w:iCs/>
          <w:sz w:val="20"/>
        </w:rPr>
        <w:t xml:space="preserve"> </w:t>
      </w:r>
      <w:r w:rsidRPr="00351B9D">
        <w:rPr>
          <w:rFonts w:ascii="Arial" w:eastAsia="MS Mincho" w:hAnsi="Arial" w:cs="Arial"/>
          <w:bCs/>
          <w:iCs/>
          <w:sz w:val="20"/>
        </w:rPr>
        <w:t xml:space="preserve">Focus will be tightened on content production in support of top organizational objectives. </w:t>
      </w:r>
      <w:r w:rsidRPr="00351B9D">
        <w:rPr>
          <w:rFonts w:ascii="Arial" w:eastAsia="MS Mincho" w:hAnsi="Arial" w:cs="Arial"/>
          <w:sz w:val="20"/>
        </w:rPr>
        <w:t xml:space="preserve">A limited number of major WIPO events, products and achievements will be identified each year as strategic communications and marketing priorities. </w:t>
      </w:r>
      <w:r>
        <w:rPr>
          <w:rFonts w:ascii="Arial" w:eastAsia="MS Mincho" w:hAnsi="Arial" w:cs="Arial"/>
          <w:sz w:val="20"/>
        </w:rPr>
        <w:t xml:space="preserve"> </w:t>
      </w:r>
      <w:r w:rsidRPr="00351B9D">
        <w:rPr>
          <w:rFonts w:ascii="Arial" w:eastAsia="MS Mincho" w:hAnsi="Arial" w:cs="Arial"/>
          <w:sz w:val="20"/>
        </w:rPr>
        <w:t xml:space="preserve">These will be given higher media visibility, with tailored communications plans as a means of mobilizing available resources for greater impact and reach. </w:t>
      </w:r>
      <w:r>
        <w:rPr>
          <w:rFonts w:ascii="Arial" w:eastAsia="MS Mincho" w:hAnsi="Arial" w:cs="Arial"/>
          <w:sz w:val="20"/>
        </w:rPr>
        <w:t xml:space="preserve"> </w:t>
      </w:r>
      <w:r>
        <w:rPr>
          <w:rFonts w:ascii="Arial" w:eastAsia="MS Mincho" w:hAnsi="Arial" w:cs="Arial"/>
          <w:bCs/>
          <w:sz w:val="20"/>
        </w:rPr>
        <w:t>S</w:t>
      </w:r>
      <w:r w:rsidRPr="00351B9D">
        <w:rPr>
          <w:rFonts w:ascii="Arial" w:eastAsia="MS Mincho" w:hAnsi="Arial" w:cs="Arial"/>
          <w:bCs/>
          <w:sz w:val="20"/>
        </w:rPr>
        <w:t xml:space="preserve">trategic media partnerships </w:t>
      </w:r>
      <w:r>
        <w:rPr>
          <w:rFonts w:ascii="Arial" w:eastAsia="MS Mincho" w:hAnsi="Arial" w:cs="Arial"/>
          <w:bCs/>
          <w:sz w:val="20"/>
        </w:rPr>
        <w:t xml:space="preserve">will be developed </w:t>
      </w:r>
      <w:r w:rsidRPr="00351B9D">
        <w:rPr>
          <w:rFonts w:ascii="Arial" w:eastAsia="MS Mincho" w:hAnsi="Arial" w:cs="Arial"/>
          <w:bCs/>
          <w:sz w:val="20"/>
        </w:rPr>
        <w:t>to increase the visibility and reach of high profile events. Newly-developed marketing tools</w:t>
      </w:r>
      <w:r>
        <w:rPr>
          <w:rFonts w:ascii="Arial" w:eastAsia="MS Mincho" w:hAnsi="Arial" w:cs="Arial"/>
          <w:bCs/>
          <w:sz w:val="20"/>
        </w:rPr>
        <w:t>,</w:t>
      </w:r>
      <w:r w:rsidRPr="00351B9D">
        <w:rPr>
          <w:rFonts w:ascii="Arial" w:eastAsia="MS Mincho" w:hAnsi="Arial" w:cs="Arial"/>
          <w:bCs/>
          <w:sz w:val="20"/>
        </w:rPr>
        <w:t xml:space="preserve"> such as the </w:t>
      </w:r>
      <w:r>
        <w:rPr>
          <w:rFonts w:ascii="Arial" w:eastAsia="MS Mincho" w:hAnsi="Arial" w:cs="Arial"/>
          <w:sz w:val="20"/>
        </w:rPr>
        <w:t xml:space="preserve">central Contact Database </w:t>
      </w:r>
      <w:r w:rsidRPr="00351B9D">
        <w:rPr>
          <w:rFonts w:ascii="Arial" w:eastAsia="MS Mincho" w:hAnsi="Arial" w:cs="Arial"/>
          <w:sz w:val="20"/>
        </w:rPr>
        <w:t>and email newsletter platform</w:t>
      </w:r>
      <w:r>
        <w:rPr>
          <w:rFonts w:ascii="Arial" w:eastAsia="MS Mincho" w:hAnsi="Arial" w:cs="Arial"/>
          <w:sz w:val="20"/>
        </w:rPr>
        <w:t>,</w:t>
      </w:r>
      <w:r w:rsidRPr="00351B9D">
        <w:rPr>
          <w:rFonts w:ascii="Arial" w:eastAsia="MS Mincho" w:hAnsi="Arial" w:cs="Arial"/>
          <w:sz w:val="20"/>
        </w:rPr>
        <w:t xml:space="preserve"> will help ensure that promotional communications reach intended audiences.</w:t>
      </w:r>
    </w:p>
    <w:p w14:paraId="32414625" w14:textId="77777777" w:rsidR="00B66294" w:rsidRPr="00351B9D" w:rsidRDefault="00B66294" w:rsidP="00984F70">
      <w:pPr>
        <w:tabs>
          <w:tab w:val="left" w:pos="1100"/>
        </w:tabs>
        <w:ind w:left="567"/>
        <w:jc w:val="both"/>
        <w:rPr>
          <w:rFonts w:ascii="Arial" w:eastAsia="MS Mincho" w:hAnsi="Arial" w:cs="Arial"/>
          <w:sz w:val="20"/>
        </w:rPr>
      </w:pPr>
    </w:p>
    <w:p w14:paraId="0D2CC98B" w14:textId="77777777" w:rsidR="00B66294" w:rsidRPr="00351B9D" w:rsidRDefault="00B66294" w:rsidP="00984F70">
      <w:pPr>
        <w:tabs>
          <w:tab w:val="left" w:pos="1100"/>
        </w:tabs>
        <w:ind w:left="567"/>
        <w:jc w:val="both"/>
        <w:rPr>
          <w:rFonts w:ascii="Arial" w:eastAsia="MS Mincho" w:hAnsi="Arial" w:cs="Arial"/>
          <w:iCs/>
          <w:sz w:val="20"/>
        </w:rPr>
      </w:pPr>
      <w:r w:rsidRPr="00260AD8">
        <w:rPr>
          <w:rFonts w:ascii="Arial" w:eastAsia="MS Mincho" w:hAnsi="Arial" w:cs="Arial"/>
          <w:sz w:val="20"/>
        </w:rPr>
        <w:t>(ii)</w:t>
      </w:r>
      <w:r>
        <w:rPr>
          <w:rFonts w:ascii="Arial" w:eastAsia="MS Mincho" w:hAnsi="Arial" w:cs="Arial"/>
          <w:i/>
          <w:sz w:val="20"/>
        </w:rPr>
        <w:tab/>
      </w:r>
      <w:r w:rsidRPr="00351B9D">
        <w:rPr>
          <w:rFonts w:ascii="Arial" w:eastAsia="MS Mincho" w:hAnsi="Arial" w:cs="Arial"/>
          <w:i/>
          <w:sz w:val="20"/>
        </w:rPr>
        <w:t>User-focused content and delivery</w:t>
      </w:r>
      <w:r w:rsidRPr="00351B9D">
        <w:rPr>
          <w:rFonts w:ascii="Arial" w:eastAsia="MS Mincho" w:hAnsi="Arial" w:cs="Arial"/>
          <w:sz w:val="20"/>
        </w:rPr>
        <w:t xml:space="preserve">. </w:t>
      </w:r>
      <w:r>
        <w:rPr>
          <w:rFonts w:ascii="Arial" w:eastAsia="MS Mincho" w:hAnsi="Arial" w:cs="Arial"/>
          <w:sz w:val="20"/>
        </w:rPr>
        <w:t xml:space="preserve"> </w:t>
      </w:r>
      <w:r w:rsidRPr="00351B9D">
        <w:rPr>
          <w:rFonts w:ascii="Arial" w:eastAsia="MS Mincho" w:hAnsi="Arial" w:cs="Arial"/>
          <w:sz w:val="20"/>
        </w:rPr>
        <w:t>High quality content, from data-based information products to IP stories, will be created, tailored and disseminated through diverse channels to meet the needs and interests of different audiences and different levels of IP knowledge.</w:t>
      </w:r>
      <w:r w:rsidRPr="00351B9D">
        <w:rPr>
          <w:rFonts w:ascii="Arial" w:eastAsia="MS Mincho" w:hAnsi="Arial" w:cs="Arial"/>
          <w:iCs/>
          <w:sz w:val="20"/>
        </w:rPr>
        <w:t xml:space="preserve">  Close attention will continue to be paid to geographical considerations and gender balance; and to telling the stories of how innovators around the world are using IP to improve lives. </w:t>
      </w:r>
      <w:r>
        <w:rPr>
          <w:rFonts w:ascii="Arial" w:eastAsia="MS Mincho" w:hAnsi="Arial" w:cs="Arial"/>
          <w:iCs/>
          <w:sz w:val="20"/>
        </w:rPr>
        <w:t xml:space="preserve"> </w:t>
      </w:r>
      <w:r w:rsidRPr="00351B9D">
        <w:rPr>
          <w:rFonts w:ascii="Arial" w:eastAsia="MS Mincho" w:hAnsi="Arial" w:cs="Arial"/>
          <w:sz w:val="20"/>
        </w:rPr>
        <w:t xml:space="preserve">The new </w:t>
      </w:r>
      <w:r w:rsidRPr="00351B9D">
        <w:rPr>
          <w:rFonts w:ascii="Arial" w:eastAsia="MS Mincho" w:hAnsi="Arial" w:cs="Arial"/>
          <w:i/>
          <w:sz w:val="20"/>
        </w:rPr>
        <w:t>WIPO Wire</w:t>
      </w:r>
      <w:r w:rsidRPr="00351B9D">
        <w:rPr>
          <w:rFonts w:ascii="Arial" w:eastAsia="MS Mincho" w:hAnsi="Arial" w:cs="Arial"/>
          <w:sz w:val="20"/>
        </w:rPr>
        <w:t xml:space="preserve"> fortnightly newsletter will help stakeholders stay abreast of WIPO news and resources; and the new mailing platform will </w:t>
      </w:r>
      <w:r>
        <w:rPr>
          <w:rFonts w:ascii="Arial" w:eastAsia="MS Mincho" w:hAnsi="Arial" w:cs="Arial"/>
          <w:sz w:val="20"/>
        </w:rPr>
        <w:t>make</w:t>
      </w:r>
      <w:r w:rsidRPr="00351B9D">
        <w:rPr>
          <w:rFonts w:ascii="Arial" w:eastAsia="MS Mincho" w:hAnsi="Arial" w:cs="Arial"/>
          <w:sz w:val="20"/>
        </w:rPr>
        <w:t xml:space="preserve"> all WIPO’s e-newsletters and e-alerts</w:t>
      </w:r>
      <w:r>
        <w:rPr>
          <w:rFonts w:ascii="Arial" w:eastAsia="MS Mincho" w:hAnsi="Arial" w:cs="Arial"/>
          <w:sz w:val="20"/>
        </w:rPr>
        <w:t xml:space="preserve"> more user-friendly</w:t>
      </w:r>
      <w:r w:rsidRPr="00351B9D">
        <w:rPr>
          <w:rFonts w:ascii="Arial" w:eastAsia="MS Mincho" w:hAnsi="Arial" w:cs="Arial"/>
          <w:sz w:val="20"/>
        </w:rPr>
        <w:t xml:space="preserve">. </w:t>
      </w:r>
      <w:r>
        <w:rPr>
          <w:rFonts w:ascii="Arial" w:eastAsia="MS Mincho" w:hAnsi="Arial" w:cs="Arial"/>
          <w:sz w:val="20"/>
        </w:rPr>
        <w:t>F</w:t>
      </w:r>
      <w:r w:rsidRPr="00351B9D">
        <w:rPr>
          <w:rFonts w:ascii="Arial" w:eastAsia="MS Mincho" w:hAnsi="Arial" w:cs="Arial"/>
          <w:sz w:val="20"/>
        </w:rPr>
        <w:t xml:space="preserve">urther improvements to the information architecture, design and content </w:t>
      </w:r>
      <w:r>
        <w:rPr>
          <w:rFonts w:ascii="Arial" w:eastAsia="MS Mincho" w:hAnsi="Arial" w:cs="Arial"/>
          <w:sz w:val="20"/>
        </w:rPr>
        <w:t>o</w:t>
      </w:r>
      <w:r w:rsidRPr="004314D4">
        <w:rPr>
          <w:rFonts w:ascii="Arial" w:eastAsia="MS Mincho" w:hAnsi="Arial" w:cs="Arial"/>
          <w:sz w:val="20"/>
        </w:rPr>
        <w:t xml:space="preserve">n the WIPO website </w:t>
      </w:r>
      <w:r w:rsidRPr="00351B9D">
        <w:rPr>
          <w:rFonts w:ascii="Arial" w:eastAsia="MS Mincho" w:hAnsi="Arial" w:cs="Arial"/>
          <w:sz w:val="20"/>
        </w:rPr>
        <w:t>will help different users find what they need more easily</w:t>
      </w:r>
      <w:r>
        <w:rPr>
          <w:rFonts w:ascii="Arial" w:eastAsia="MS Mincho" w:hAnsi="Arial" w:cs="Arial"/>
          <w:sz w:val="20"/>
        </w:rPr>
        <w:t xml:space="preserve">. </w:t>
      </w:r>
      <w:r w:rsidRPr="00351B9D">
        <w:rPr>
          <w:rFonts w:ascii="Arial" w:eastAsia="MS Mincho" w:hAnsi="Arial" w:cs="Arial"/>
          <w:sz w:val="20"/>
        </w:rPr>
        <w:t xml:space="preserve"> Analytics tools will provide insights to help gauge communications effectiveness and better serve users’ interests. </w:t>
      </w:r>
    </w:p>
    <w:p w14:paraId="0A3C93A5" w14:textId="77777777" w:rsidR="00B66294" w:rsidRPr="00351B9D" w:rsidRDefault="00B66294" w:rsidP="00984F70">
      <w:pPr>
        <w:tabs>
          <w:tab w:val="left" w:pos="1100"/>
        </w:tabs>
        <w:ind w:left="567"/>
        <w:jc w:val="both"/>
        <w:rPr>
          <w:rFonts w:ascii="Arial" w:eastAsia="MS Mincho" w:hAnsi="Arial" w:cs="Arial"/>
          <w:sz w:val="20"/>
        </w:rPr>
      </w:pPr>
    </w:p>
    <w:p w14:paraId="50F8D29E" w14:textId="7F7AC1E6"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(ii</w:t>
      </w:r>
      <w:r w:rsidR="009843A4" w:rsidRPr="00260AD8">
        <w:rPr>
          <w:rFonts w:ascii="Arial" w:eastAsia="MS Mincho" w:hAnsi="Arial" w:cs="Arial"/>
          <w:iCs/>
          <w:sz w:val="20"/>
        </w:rPr>
        <w:t>i</w:t>
      </w:r>
      <w:r w:rsidRPr="00260AD8">
        <w:rPr>
          <w:rFonts w:ascii="Arial" w:eastAsia="MS Mincho" w:hAnsi="Arial" w:cs="Arial"/>
          <w:iCs/>
          <w:sz w:val="20"/>
        </w:rPr>
        <w:t>)</w:t>
      </w:r>
      <w:r>
        <w:rPr>
          <w:rFonts w:ascii="Arial" w:eastAsia="MS Mincho" w:hAnsi="Arial" w:cs="Arial"/>
          <w:i/>
          <w:iCs/>
          <w:sz w:val="20"/>
        </w:rPr>
        <w:tab/>
      </w:r>
      <w:r w:rsidRPr="00351B9D">
        <w:rPr>
          <w:rFonts w:ascii="Arial" w:eastAsia="MS Mincho" w:hAnsi="Arial" w:cs="Arial"/>
          <w:i/>
          <w:iCs/>
          <w:sz w:val="20"/>
        </w:rPr>
        <w:t>Widening access.</w:t>
      </w:r>
      <w:r>
        <w:rPr>
          <w:rFonts w:ascii="Arial" w:eastAsia="MS Mincho" w:hAnsi="Arial" w:cs="Arial"/>
          <w:i/>
          <w:iCs/>
          <w:sz w:val="20"/>
        </w:rPr>
        <w:t xml:space="preserve"> </w:t>
      </w:r>
      <w:r w:rsidRPr="00351B9D">
        <w:rPr>
          <w:rFonts w:ascii="Arial" w:eastAsia="MS Mincho" w:hAnsi="Arial" w:cs="Arial"/>
          <w:i/>
          <w:iCs/>
          <w:sz w:val="20"/>
        </w:rPr>
        <w:t xml:space="preserve"> </w:t>
      </w:r>
      <w:r w:rsidRPr="00351B9D">
        <w:rPr>
          <w:rFonts w:ascii="Arial" w:eastAsia="MS Mincho" w:hAnsi="Arial" w:cs="Arial"/>
          <w:sz w:val="20"/>
        </w:rPr>
        <w:t xml:space="preserve">The WIPO Open Access policy – supported by Creative Commons licensing tools - will be rolled out on the website. </w:t>
      </w:r>
      <w:r>
        <w:rPr>
          <w:rFonts w:ascii="Arial" w:eastAsia="MS Mincho" w:hAnsi="Arial" w:cs="Arial"/>
          <w:sz w:val="20"/>
        </w:rPr>
        <w:t>A</w:t>
      </w:r>
      <w:r w:rsidRPr="00351B9D">
        <w:rPr>
          <w:rFonts w:ascii="Arial" w:eastAsia="MS Mincho" w:hAnsi="Arial" w:cs="Arial"/>
          <w:sz w:val="20"/>
        </w:rPr>
        <w:t xml:space="preserve"> new comprehensive, text-searchable, online </w:t>
      </w:r>
      <w:r w:rsidRPr="00351B9D">
        <w:rPr>
          <w:rFonts w:ascii="Arial" w:eastAsia="MS Mincho" w:hAnsi="Arial" w:cs="Arial"/>
          <w:sz w:val="20"/>
        </w:rPr>
        <w:lastRenderedPageBreak/>
        <w:t xml:space="preserve">publication platform (launched in 2015 together with print-on-demand) will make all WIPO publications and studies freely and easily available online, including facilitating access to different language versions. Archived WIPO publications will be digitized and added to the collection.  Alternative formats of WIPO flagship titles will be explored for wider accessibility, and to build on WIPO’s commitments to accessible publishing.  In the Library, as many </w:t>
      </w:r>
      <w:proofErr w:type="spellStart"/>
      <w:r w:rsidRPr="00351B9D">
        <w:rPr>
          <w:rFonts w:ascii="Arial" w:eastAsia="MS Mincho" w:hAnsi="Arial" w:cs="Arial"/>
          <w:sz w:val="20"/>
        </w:rPr>
        <w:t>ebooks</w:t>
      </w:r>
      <w:proofErr w:type="spellEnd"/>
      <w:r w:rsidRPr="00351B9D">
        <w:rPr>
          <w:rFonts w:ascii="Arial" w:eastAsia="MS Mincho" w:hAnsi="Arial" w:cs="Arial"/>
          <w:sz w:val="20"/>
        </w:rPr>
        <w:t xml:space="preserve"> and journals as possible will be made available in electronic format for WIPO staff and visitors. The WIPO Depository Library program will continue to respond to requests from developing countries for printed and digital IP reference materials.  </w:t>
      </w:r>
    </w:p>
    <w:p w14:paraId="74B4E1A5" w14:textId="77777777" w:rsidR="00B66294" w:rsidRPr="00351B9D" w:rsidRDefault="00B66294" w:rsidP="00984F70">
      <w:pPr>
        <w:tabs>
          <w:tab w:val="left" w:pos="1100"/>
        </w:tabs>
        <w:ind w:left="567"/>
        <w:jc w:val="both"/>
        <w:rPr>
          <w:rFonts w:ascii="Arial" w:eastAsia="MS Mincho" w:hAnsi="Arial" w:cs="Arial"/>
          <w:sz w:val="20"/>
        </w:rPr>
      </w:pPr>
    </w:p>
    <w:p w14:paraId="5A416682" w14:textId="77777777" w:rsidR="00B66294" w:rsidRPr="00351B9D" w:rsidRDefault="00B66294" w:rsidP="00984F70">
      <w:pPr>
        <w:tabs>
          <w:tab w:val="left" w:pos="1100"/>
        </w:tabs>
        <w:ind w:left="567"/>
        <w:jc w:val="both"/>
        <w:rPr>
          <w:rFonts w:ascii="Arial" w:eastAsia="MS Mincho" w:hAnsi="Arial" w:cs="Arial"/>
          <w:bCs/>
          <w:sz w:val="20"/>
        </w:rPr>
      </w:pPr>
      <w:r w:rsidRPr="00260AD8">
        <w:rPr>
          <w:rFonts w:ascii="Arial" w:eastAsia="MS Mincho" w:hAnsi="Arial" w:cs="Arial"/>
          <w:iCs/>
          <w:sz w:val="20"/>
        </w:rPr>
        <w:t>(iv</w:t>
      </w:r>
      <w:r>
        <w:rPr>
          <w:rFonts w:ascii="Arial" w:eastAsia="MS Mincho" w:hAnsi="Arial" w:cs="Arial"/>
          <w:i/>
          <w:iCs/>
          <w:sz w:val="20"/>
        </w:rPr>
        <w:t>)</w:t>
      </w:r>
      <w:r>
        <w:rPr>
          <w:rFonts w:ascii="Arial" w:eastAsia="MS Mincho" w:hAnsi="Arial" w:cs="Arial"/>
          <w:i/>
          <w:iCs/>
          <w:sz w:val="20"/>
        </w:rPr>
        <w:tab/>
      </w:r>
      <w:r w:rsidRPr="00351B9D">
        <w:rPr>
          <w:rFonts w:ascii="Arial" w:eastAsia="MS Mincho" w:hAnsi="Arial" w:cs="Arial"/>
          <w:i/>
          <w:iCs/>
          <w:sz w:val="20"/>
        </w:rPr>
        <w:t xml:space="preserve">Stakeholder engagement. </w:t>
      </w:r>
      <w:r>
        <w:rPr>
          <w:rFonts w:ascii="Arial" w:eastAsia="MS Mincho" w:hAnsi="Arial" w:cs="Arial"/>
          <w:i/>
          <w:iCs/>
          <w:sz w:val="20"/>
        </w:rPr>
        <w:t xml:space="preserve"> </w:t>
      </w:r>
      <w:r w:rsidRPr="00351B9D">
        <w:rPr>
          <w:rFonts w:ascii="Arial" w:eastAsia="MS Mincho" w:hAnsi="Arial" w:cs="Arial"/>
          <w:iCs/>
          <w:sz w:val="20"/>
        </w:rPr>
        <w:t xml:space="preserve">Program 19 will continue to lead the integration and expansion of social media tools and strategies to enable multi-directional communication, improve WIPO’s responsiveness, and increase the direct engagement and voice of stakeholders. </w:t>
      </w:r>
      <w:r>
        <w:rPr>
          <w:rFonts w:ascii="Arial" w:eastAsia="MS Mincho" w:hAnsi="Arial" w:cs="Arial"/>
          <w:iCs/>
          <w:sz w:val="20"/>
        </w:rPr>
        <w:t xml:space="preserve"> </w:t>
      </w:r>
      <w:r w:rsidRPr="00351B9D">
        <w:rPr>
          <w:rFonts w:ascii="Arial" w:eastAsia="MS Mincho" w:hAnsi="Arial" w:cs="Arial"/>
          <w:sz w:val="20"/>
        </w:rPr>
        <w:t>Shareable media content will be created and disseminated via a greater diversity of platforms.</w:t>
      </w:r>
      <w:r>
        <w:rPr>
          <w:rFonts w:ascii="Arial" w:eastAsia="MS Mincho" w:hAnsi="Arial" w:cs="Arial"/>
          <w:sz w:val="20"/>
        </w:rPr>
        <w:t xml:space="preserve"> </w:t>
      </w:r>
      <w:r w:rsidRPr="00351B9D">
        <w:rPr>
          <w:rFonts w:ascii="Arial" w:eastAsia="MS Mincho" w:hAnsi="Arial" w:cs="Arial"/>
          <w:iCs/>
          <w:sz w:val="20"/>
        </w:rPr>
        <w:t xml:space="preserve"> </w:t>
      </w:r>
      <w:r w:rsidRPr="00351B9D">
        <w:rPr>
          <w:rFonts w:ascii="Arial" w:eastAsia="MS Mincho" w:hAnsi="Arial" w:cs="Arial"/>
          <w:sz w:val="20"/>
        </w:rPr>
        <w:t xml:space="preserve">A more interactive online WIPO Magazine will be launched.  </w:t>
      </w:r>
      <w:r w:rsidRPr="00351B9D">
        <w:rPr>
          <w:rFonts w:ascii="Arial" w:eastAsia="MS Mincho" w:hAnsi="Arial" w:cs="Arial"/>
          <w:iCs/>
          <w:sz w:val="20"/>
        </w:rPr>
        <w:t xml:space="preserve">The annual World IP Day campaign will be further expanded as a popular platform for connecting with new audiences and promoting the positive association between IP and innovation. </w:t>
      </w:r>
      <w:r>
        <w:rPr>
          <w:rFonts w:ascii="Arial" w:eastAsia="MS Mincho" w:hAnsi="Arial" w:cs="Arial"/>
          <w:iCs/>
          <w:sz w:val="20"/>
        </w:rPr>
        <w:t xml:space="preserve"> </w:t>
      </w:r>
      <w:r w:rsidRPr="00351B9D">
        <w:rPr>
          <w:rFonts w:ascii="Arial" w:eastAsia="MS Mincho" w:hAnsi="Arial" w:cs="Arial"/>
          <w:bCs/>
          <w:sz w:val="20"/>
        </w:rPr>
        <w:t xml:space="preserve">Media engagement will remain a powerful tool. To strengthen WIPO’s position as the world reference source and trusted authority on IP, </w:t>
      </w:r>
      <w:r w:rsidRPr="00351B9D">
        <w:rPr>
          <w:rFonts w:ascii="Arial" w:eastAsia="MS Mincho" w:hAnsi="Arial" w:cs="Arial"/>
          <w:bCs/>
          <w:iCs/>
          <w:sz w:val="20"/>
        </w:rPr>
        <w:t xml:space="preserve">and to help change public perceptions where necessary, </w:t>
      </w:r>
      <w:r w:rsidRPr="00351B9D">
        <w:rPr>
          <w:rFonts w:ascii="Arial" w:eastAsia="MS Mincho" w:hAnsi="Arial" w:cs="Arial"/>
          <w:bCs/>
          <w:sz w:val="20"/>
        </w:rPr>
        <w:t xml:space="preserve">there will be continued </w:t>
      </w:r>
      <w:r w:rsidRPr="00351B9D">
        <w:rPr>
          <w:rFonts w:ascii="Arial" w:eastAsia="MS Mincho" w:hAnsi="Arial" w:cs="Arial"/>
          <w:sz w:val="20"/>
        </w:rPr>
        <w:t xml:space="preserve">proactive </w:t>
      </w:r>
      <w:r w:rsidRPr="00351B9D">
        <w:rPr>
          <w:rFonts w:ascii="Arial" w:eastAsia="MS Mincho" w:hAnsi="Arial" w:cs="Arial"/>
          <w:bCs/>
          <w:sz w:val="20"/>
        </w:rPr>
        <w:t>outreach to targeted influential press, blogs and digital media.</w:t>
      </w:r>
    </w:p>
    <w:p w14:paraId="1A0674E7" w14:textId="77777777" w:rsidR="00B66294" w:rsidRPr="00351B9D" w:rsidRDefault="00B66294" w:rsidP="00984F70">
      <w:pPr>
        <w:tabs>
          <w:tab w:val="left" w:pos="1100"/>
        </w:tabs>
        <w:ind w:left="567"/>
        <w:jc w:val="both"/>
        <w:rPr>
          <w:rFonts w:ascii="Arial" w:eastAsia="MS Mincho" w:hAnsi="Arial" w:cs="Arial"/>
          <w:bCs/>
          <w:sz w:val="20"/>
        </w:rPr>
      </w:pPr>
    </w:p>
    <w:p w14:paraId="04BF7612" w14:textId="77777777"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w:t>
      </w:r>
      <w:r>
        <w:rPr>
          <w:rFonts w:ascii="Arial" w:eastAsia="MS Mincho" w:hAnsi="Arial" w:cs="Arial"/>
          <w:i/>
          <w:iCs/>
          <w:sz w:val="20"/>
        </w:rPr>
        <w:tab/>
      </w:r>
      <w:r w:rsidRPr="00351B9D">
        <w:rPr>
          <w:rFonts w:ascii="Arial" w:eastAsia="MS Mincho" w:hAnsi="Arial" w:cs="Arial"/>
          <w:i/>
          <w:iCs/>
          <w:sz w:val="20"/>
        </w:rPr>
        <w:t>Video and visual communication.</w:t>
      </w:r>
      <w:r w:rsidRPr="00351B9D">
        <w:rPr>
          <w:rFonts w:ascii="Arial" w:eastAsia="MS Mincho" w:hAnsi="Arial" w:cs="Arial"/>
          <w:iCs/>
          <w:sz w:val="20"/>
        </w:rPr>
        <w:t xml:space="preserve">  Meaningful images, graphics and design will be used creatively across web-based, digital and print media to enhance the visual impact and immediacy of WIPO communications. Capacity will be built to increase production of q</w:t>
      </w:r>
      <w:r w:rsidRPr="00351B9D">
        <w:rPr>
          <w:rFonts w:ascii="Arial" w:eastAsia="MS Mincho" w:hAnsi="Arial" w:cs="Arial"/>
          <w:sz w:val="20"/>
        </w:rPr>
        <w:t xml:space="preserve">uality infographics and visuals in order to promote high value data-rich content, such as WIPO’s unique statistical and economic reports. </w:t>
      </w:r>
      <w:r>
        <w:rPr>
          <w:rFonts w:ascii="Arial" w:eastAsia="MS Mincho" w:hAnsi="Arial" w:cs="Arial"/>
          <w:sz w:val="20"/>
        </w:rPr>
        <w:t xml:space="preserve"> </w:t>
      </w:r>
      <w:r w:rsidRPr="00351B9D">
        <w:rPr>
          <w:rFonts w:ascii="Arial" w:eastAsia="MS Mincho" w:hAnsi="Arial" w:cs="Arial"/>
          <w:iCs/>
          <w:sz w:val="20"/>
        </w:rPr>
        <w:t xml:space="preserve">The global public appetite for video will be exploited through increased production of interviews, news content, stories, motion graphics, video-tutorials and other audiovisual content which explain WIPO’s work and products. </w:t>
      </w:r>
    </w:p>
    <w:p w14:paraId="40215433" w14:textId="77777777" w:rsidR="00B66294" w:rsidRPr="00351B9D" w:rsidRDefault="00B66294" w:rsidP="00984F70">
      <w:pPr>
        <w:tabs>
          <w:tab w:val="left" w:pos="1100"/>
        </w:tabs>
        <w:ind w:left="567"/>
        <w:jc w:val="both"/>
        <w:rPr>
          <w:rFonts w:ascii="Arial" w:eastAsia="MS Mincho" w:hAnsi="Arial" w:cs="Arial"/>
          <w:sz w:val="20"/>
        </w:rPr>
      </w:pPr>
    </w:p>
    <w:p w14:paraId="59A80330" w14:textId="699CC1CE"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sz w:val="20"/>
        </w:rPr>
        <w:t>(v</w:t>
      </w:r>
      <w:r w:rsidR="009843A4" w:rsidRPr="00260AD8">
        <w:rPr>
          <w:rFonts w:ascii="Arial" w:eastAsia="MS Mincho" w:hAnsi="Arial" w:cs="Arial"/>
          <w:sz w:val="20"/>
        </w:rPr>
        <w:t>i</w:t>
      </w:r>
      <w:r w:rsidRPr="00260AD8">
        <w:rPr>
          <w:rFonts w:ascii="Arial" w:eastAsia="MS Mincho" w:hAnsi="Arial" w:cs="Arial"/>
          <w:sz w:val="20"/>
        </w:rPr>
        <w:t>)</w:t>
      </w:r>
      <w:r>
        <w:rPr>
          <w:rFonts w:ascii="Arial" w:eastAsia="MS Mincho" w:hAnsi="Arial" w:cs="Arial"/>
          <w:i/>
          <w:sz w:val="20"/>
        </w:rPr>
        <w:tab/>
      </w:r>
      <w:r w:rsidRPr="00351B9D">
        <w:rPr>
          <w:rFonts w:ascii="Arial" w:eastAsia="MS Mincho" w:hAnsi="Arial" w:cs="Arial"/>
          <w:i/>
          <w:sz w:val="20"/>
        </w:rPr>
        <w:t>A strong</w:t>
      </w:r>
      <w:r w:rsidRPr="00351B9D">
        <w:rPr>
          <w:rFonts w:ascii="Arial" w:eastAsia="MS Mincho" w:hAnsi="Arial" w:cs="Arial"/>
          <w:i/>
          <w:iCs/>
          <w:sz w:val="20"/>
        </w:rPr>
        <w:t xml:space="preserve"> WIPO identity</w:t>
      </w:r>
      <w:r w:rsidRPr="00351B9D">
        <w:rPr>
          <w:rFonts w:ascii="Arial" w:eastAsia="MS Mincho" w:hAnsi="Arial" w:cs="Arial"/>
          <w:i/>
          <w:iCs/>
          <w:color w:val="808080"/>
          <w:sz w:val="20"/>
        </w:rPr>
        <w:t xml:space="preserve">. </w:t>
      </w:r>
      <w:r>
        <w:rPr>
          <w:rFonts w:ascii="Arial" w:eastAsia="MS Mincho" w:hAnsi="Arial" w:cs="Arial"/>
          <w:i/>
          <w:iCs/>
          <w:color w:val="808080"/>
          <w:sz w:val="20"/>
        </w:rPr>
        <w:t xml:space="preserve"> </w:t>
      </w:r>
      <w:r w:rsidRPr="00351B9D">
        <w:rPr>
          <w:rFonts w:ascii="Arial" w:eastAsia="MS Mincho" w:hAnsi="Arial" w:cs="Arial"/>
          <w:iCs/>
          <w:sz w:val="20"/>
        </w:rPr>
        <w:t xml:space="preserve">A consistent verbal and visual expression of </w:t>
      </w:r>
      <w:r w:rsidRPr="00351B9D">
        <w:rPr>
          <w:rFonts w:ascii="Arial" w:eastAsia="MS Mincho" w:hAnsi="Arial" w:cs="Arial"/>
          <w:sz w:val="20"/>
        </w:rPr>
        <w:t xml:space="preserve">WIPO’s “brand” - its mission, values and role </w:t>
      </w:r>
      <w:r>
        <w:rPr>
          <w:rFonts w:ascii="Arial" w:eastAsia="MS Mincho" w:hAnsi="Arial" w:cs="Arial"/>
          <w:sz w:val="20"/>
        </w:rPr>
        <w:t xml:space="preserve">- </w:t>
      </w:r>
      <w:r w:rsidRPr="00351B9D">
        <w:rPr>
          <w:rFonts w:ascii="Arial" w:eastAsia="MS Mincho" w:hAnsi="Arial" w:cs="Arial"/>
          <w:sz w:val="20"/>
        </w:rPr>
        <w:t>will be mainstreamed Organization-wide into editorial, design, content creation, media</w:t>
      </w:r>
      <w:r>
        <w:rPr>
          <w:rFonts w:ascii="Arial" w:eastAsia="MS Mincho" w:hAnsi="Arial" w:cs="Arial"/>
          <w:sz w:val="20"/>
        </w:rPr>
        <w:t>,</w:t>
      </w:r>
      <w:r w:rsidRPr="00351B9D">
        <w:rPr>
          <w:rFonts w:ascii="Arial" w:eastAsia="MS Mincho" w:hAnsi="Arial" w:cs="Arial"/>
          <w:sz w:val="20"/>
        </w:rPr>
        <w:t xml:space="preserve"> publishing </w:t>
      </w:r>
      <w:r>
        <w:rPr>
          <w:rFonts w:ascii="Arial" w:eastAsia="MS Mincho" w:hAnsi="Arial" w:cs="Arial"/>
          <w:sz w:val="20"/>
        </w:rPr>
        <w:t xml:space="preserve">and customer service </w:t>
      </w:r>
      <w:r w:rsidRPr="00351B9D">
        <w:rPr>
          <w:rFonts w:ascii="Arial" w:eastAsia="MS Mincho" w:hAnsi="Arial" w:cs="Arial"/>
          <w:sz w:val="20"/>
        </w:rPr>
        <w:t xml:space="preserve">activities. Implementation of the updated corporate look will be completed. </w:t>
      </w:r>
      <w:r>
        <w:rPr>
          <w:rFonts w:ascii="Arial" w:eastAsia="MS Mincho" w:hAnsi="Arial" w:cs="Arial"/>
          <w:sz w:val="20"/>
        </w:rPr>
        <w:t xml:space="preserve"> </w:t>
      </w:r>
      <w:r w:rsidRPr="00351B9D">
        <w:rPr>
          <w:rFonts w:ascii="Arial" w:eastAsia="MS Mincho" w:hAnsi="Arial" w:cs="Arial"/>
          <w:sz w:val="20"/>
        </w:rPr>
        <w:t>Stakeholder perceptions of WIPO’s image and performance in relation to key reputational drivers</w:t>
      </w:r>
      <w:r>
        <w:rPr>
          <w:rFonts w:ascii="Arial" w:eastAsia="MS Mincho" w:hAnsi="Arial" w:cs="Arial"/>
          <w:sz w:val="20"/>
        </w:rPr>
        <w:t xml:space="preserve"> </w:t>
      </w:r>
      <w:r w:rsidRPr="00351B9D">
        <w:rPr>
          <w:rFonts w:ascii="Arial" w:eastAsia="MS Mincho" w:hAnsi="Arial" w:cs="Arial"/>
          <w:sz w:val="20"/>
        </w:rPr>
        <w:t>will be surveyed and lessons will be drawn to improve areas of weakness.</w:t>
      </w:r>
    </w:p>
    <w:p w14:paraId="1D8F4066" w14:textId="77777777" w:rsidR="00B66294" w:rsidRPr="00351B9D" w:rsidRDefault="00B66294" w:rsidP="00984F70">
      <w:pPr>
        <w:tabs>
          <w:tab w:val="left" w:pos="1100"/>
        </w:tabs>
        <w:ind w:left="567"/>
        <w:jc w:val="both"/>
        <w:rPr>
          <w:rFonts w:ascii="Arial" w:eastAsia="MS Mincho" w:hAnsi="Arial" w:cs="Arial"/>
          <w:sz w:val="20"/>
        </w:rPr>
      </w:pPr>
    </w:p>
    <w:p w14:paraId="1BA65B7A" w14:textId="3C91F800"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(vi</w:t>
      </w:r>
      <w:r w:rsidR="009843A4" w:rsidRPr="00260AD8">
        <w:rPr>
          <w:rFonts w:ascii="Arial" w:eastAsia="MS Mincho" w:hAnsi="Arial" w:cs="Arial"/>
          <w:iCs/>
          <w:sz w:val="20"/>
        </w:rPr>
        <w:t>i</w:t>
      </w:r>
      <w:r w:rsidRPr="00260AD8">
        <w:rPr>
          <w:rFonts w:ascii="Arial" w:eastAsia="MS Mincho" w:hAnsi="Arial" w:cs="Arial"/>
          <w:iCs/>
          <w:sz w:val="20"/>
        </w:rPr>
        <w:t>)</w:t>
      </w:r>
      <w:r>
        <w:rPr>
          <w:rFonts w:ascii="Arial" w:eastAsia="MS Mincho" w:hAnsi="Arial" w:cs="Arial"/>
          <w:i/>
          <w:iCs/>
          <w:sz w:val="20"/>
        </w:rPr>
        <w:tab/>
      </w:r>
      <w:r w:rsidRPr="00351B9D">
        <w:rPr>
          <w:rFonts w:ascii="Arial" w:eastAsia="MS Mincho" w:hAnsi="Arial" w:cs="Arial"/>
          <w:i/>
          <w:iCs/>
          <w:sz w:val="20"/>
        </w:rPr>
        <w:t>Internal coordination.</w:t>
      </w:r>
      <w:r w:rsidRPr="00351B9D">
        <w:rPr>
          <w:rFonts w:ascii="Arial" w:eastAsia="MS Mincho" w:hAnsi="Arial" w:cs="Arial"/>
          <w:iCs/>
          <w:sz w:val="20"/>
        </w:rPr>
        <w:t xml:space="preserve">  </w:t>
      </w:r>
      <w:r w:rsidRPr="00351B9D">
        <w:rPr>
          <w:rFonts w:ascii="Arial" w:eastAsia="MS Mincho" w:hAnsi="Arial" w:cs="Arial"/>
          <w:sz w:val="20"/>
        </w:rPr>
        <w:t>A more strategic approach to communications</w:t>
      </w:r>
      <w:r>
        <w:rPr>
          <w:rFonts w:ascii="Arial" w:eastAsia="MS Mincho" w:hAnsi="Arial" w:cs="Arial"/>
          <w:sz w:val="20"/>
        </w:rPr>
        <w:t xml:space="preserve"> and marketing</w:t>
      </w:r>
      <w:r w:rsidRPr="00351B9D">
        <w:rPr>
          <w:rFonts w:ascii="Arial" w:eastAsia="MS Mincho" w:hAnsi="Arial" w:cs="Arial"/>
          <w:sz w:val="20"/>
        </w:rPr>
        <w:t xml:space="preserve"> will continue to be fostered across the Organization, supported by more systematic cross-sector planning and coordination. </w:t>
      </w:r>
      <w:r>
        <w:rPr>
          <w:rFonts w:ascii="Arial" w:eastAsia="MS Mincho" w:hAnsi="Arial" w:cs="Arial"/>
          <w:sz w:val="20"/>
        </w:rPr>
        <w:t xml:space="preserve"> </w:t>
      </w:r>
      <w:r w:rsidRPr="00351B9D">
        <w:rPr>
          <w:rFonts w:ascii="Arial" w:eastAsia="MS Mincho" w:hAnsi="Arial" w:cs="Arial"/>
          <w:sz w:val="20"/>
        </w:rPr>
        <w:t xml:space="preserve">Program 19 will lead </w:t>
      </w:r>
      <w:r>
        <w:rPr>
          <w:rFonts w:ascii="Arial" w:eastAsia="MS Mincho" w:hAnsi="Arial" w:cs="Arial"/>
          <w:sz w:val="20"/>
        </w:rPr>
        <w:t>i</w:t>
      </w:r>
      <w:r w:rsidRPr="00351B9D">
        <w:rPr>
          <w:rFonts w:ascii="Arial" w:eastAsia="MS Mincho" w:hAnsi="Arial" w:cs="Arial"/>
          <w:sz w:val="20"/>
        </w:rPr>
        <w:t>nitiatives to strengthen “same page” communication</w:t>
      </w:r>
      <w:r>
        <w:rPr>
          <w:rFonts w:ascii="Arial" w:eastAsia="MS Mincho" w:hAnsi="Arial" w:cs="Arial"/>
          <w:sz w:val="20"/>
        </w:rPr>
        <w:t xml:space="preserve"> </w:t>
      </w:r>
      <w:r w:rsidRPr="00351B9D">
        <w:rPr>
          <w:rFonts w:ascii="Arial" w:eastAsia="MS Mincho" w:hAnsi="Arial" w:cs="Arial"/>
          <w:sz w:val="20"/>
        </w:rPr>
        <w:t>and</w:t>
      </w:r>
      <w:r>
        <w:rPr>
          <w:rFonts w:ascii="Arial" w:eastAsia="MS Mincho" w:hAnsi="Arial" w:cs="Arial"/>
          <w:sz w:val="20"/>
        </w:rPr>
        <w:t xml:space="preserve"> will </w:t>
      </w:r>
      <w:r w:rsidRPr="00351B9D">
        <w:rPr>
          <w:rFonts w:ascii="Arial" w:eastAsia="MS Mincho" w:hAnsi="Arial" w:cs="Arial"/>
          <w:sz w:val="20"/>
        </w:rPr>
        <w:t xml:space="preserve">continue to support efforts to encourage horizontal communication and information-sharing.   </w:t>
      </w:r>
    </w:p>
    <w:p w14:paraId="581029AA" w14:textId="77777777" w:rsidR="00B66294" w:rsidRPr="00351B9D" w:rsidRDefault="00B66294" w:rsidP="00984F70">
      <w:pPr>
        <w:tabs>
          <w:tab w:val="left" w:pos="1100"/>
        </w:tabs>
        <w:ind w:left="567"/>
        <w:jc w:val="both"/>
        <w:rPr>
          <w:rFonts w:ascii="Arial" w:eastAsia="MS Mincho" w:hAnsi="Arial" w:cs="Arial"/>
          <w:sz w:val="20"/>
        </w:rPr>
      </w:pPr>
    </w:p>
    <w:p w14:paraId="7F1B507F" w14:textId="77777777"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(viii)</w:t>
      </w:r>
      <w:r>
        <w:rPr>
          <w:rFonts w:ascii="Arial" w:eastAsia="MS Mincho" w:hAnsi="Arial" w:cs="Arial"/>
          <w:i/>
          <w:iCs/>
          <w:sz w:val="20"/>
        </w:rPr>
        <w:tab/>
      </w:r>
      <w:r w:rsidRPr="00351B9D">
        <w:rPr>
          <w:rFonts w:ascii="Arial" w:eastAsia="MS Mincho" w:hAnsi="Arial" w:cs="Arial"/>
          <w:i/>
          <w:iCs/>
          <w:sz w:val="20"/>
        </w:rPr>
        <w:t xml:space="preserve">Service-oriented culture. </w:t>
      </w:r>
      <w:r>
        <w:rPr>
          <w:rFonts w:ascii="Arial" w:eastAsia="MS Mincho" w:hAnsi="Arial" w:cs="Arial"/>
          <w:i/>
          <w:iCs/>
          <w:sz w:val="20"/>
        </w:rPr>
        <w:t xml:space="preserve"> </w:t>
      </w:r>
      <w:r w:rsidRPr="00351B9D">
        <w:rPr>
          <w:rFonts w:ascii="Arial" w:eastAsia="MS Mincho" w:hAnsi="Arial" w:cs="Arial"/>
          <w:iCs/>
          <w:sz w:val="20"/>
        </w:rPr>
        <w:t xml:space="preserve">Program 19 will continue to strengthen the organizational culture of service and responsiveness to WIPO’s stakeholders and to support customer services across the Organization. </w:t>
      </w:r>
      <w:r>
        <w:rPr>
          <w:rFonts w:ascii="Arial" w:eastAsia="MS Mincho" w:hAnsi="Arial" w:cs="Arial"/>
          <w:iCs/>
          <w:sz w:val="20"/>
        </w:rPr>
        <w:t xml:space="preserve"> </w:t>
      </w:r>
      <w:r w:rsidRPr="00351B9D">
        <w:rPr>
          <w:rFonts w:ascii="Arial" w:eastAsia="MS Mincho" w:hAnsi="Arial" w:cs="Arial"/>
          <w:sz w:val="20"/>
        </w:rPr>
        <w:t xml:space="preserve">The service orientation of staff will be further improved through training and awareness activities based on the WIPO Service Charter. </w:t>
      </w:r>
      <w:r>
        <w:rPr>
          <w:rFonts w:ascii="Arial" w:eastAsia="MS Mincho" w:hAnsi="Arial" w:cs="Arial"/>
          <w:sz w:val="20"/>
        </w:rPr>
        <w:t xml:space="preserve"> </w:t>
      </w:r>
      <w:r w:rsidRPr="00351B9D">
        <w:rPr>
          <w:rFonts w:ascii="Arial" w:eastAsia="MS Mincho" w:hAnsi="Arial" w:cs="Arial"/>
          <w:sz w:val="20"/>
        </w:rPr>
        <w:t xml:space="preserve">Tools will continue to be provided to streamline the handling of enquiries (central contact database, ticketing systems, enquiry volume measurement, etc.). </w:t>
      </w:r>
      <w:r>
        <w:rPr>
          <w:rFonts w:ascii="Arial" w:eastAsia="MS Mincho" w:hAnsi="Arial" w:cs="Arial"/>
          <w:sz w:val="20"/>
        </w:rPr>
        <w:t xml:space="preserve"> </w:t>
      </w:r>
      <w:r w:rsidRPr="00351B9D">
        <w:rPr>
          <w:rFonts w:ascii="Arial" w:eastAsia="MS Mincho" w:hAnsi="Arial" w:cs="Arial"/>
          <w:sz w:val="20"/>
        </w:rPr>
        <w:t>External expectations will be systematically monitored through customer feedback and surveys in order to help improve satisfaction.</w:t>
      </w:r>
    </w:p>
    <w:p w14:paraId="55EC0DFF" w14:textId="77777777" w:rsidR="00B66294" w:rsidRDefault="00B66294" w:rsidP="00984F70">
      <w:pPr>
        <w:jc w:val="both"/>
        <w:rPr>
          <w:rFonts w:ascii="Arial" w:hAnsi="Arial" w:cs="Arial"/>
        </w:rPr>
      </w:pPr>
    </w:p>
    <w:p w14:paraId="5BE1E533" w14:textId="77777777" w:rsidR="00B66294" w:rsidRPr="00984AD2" w:rsidRDefault="00B66294" w:rsidP="00984F70">
      <w:pPr>
        <w:jc w:val="both"/>
        <w:rPr>
          <w:rFonts w:ascii="Arial" w:hAnsi="Arial" w:cs="Arial"/>
        </w:rPr>
      </w:pPr>
    </w:p>
    <w:p w14:paraId="0422AF25" w14:textId="77777777" w:rsidR="00B66294" w:rsidRPr="004E4371" w:rsidRDefault="00B66294" w:rsidP="00984F70">
      <w:pPr>
        <w:pStyle w:val="BodyText"/>
        <w:keepNext/>
        <w:keepLines/>
        <w:rPr>
          <w:rFonts w:eastAsia="SimSun"/>
        </w:rPr>
      </w:pPr>
      <w:r w:rsidRPr="004E4371">
        <w:rPr>
          <w:rFonts w:eastAsia="SimSun"/>
        </w:rPr>
        <w:lastRenderedPageBreak/>
        <w:t>MAJOR RISKS AND MITIGATION STRATEGIES</w:t>
      </w: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B66294" w:rsidRPr="00984AD2" w14:paraId="6C7127D3" w14:textId="77777777" w:rsidTr="00984F70">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41A5DB35" w14:textId="77777777" w:rsidR="00B66294" w:rsidRPr="00984AD2" w:rsidRDefault="00B66294" w:rsidP="00984F70">
            <w:pPr>
              <w:keepNext/>
              <w:keepLines/>
              <w:spacing w:line="276" w:lineRule="auto"/>
              <w:jc w:val="center"/>
              <w:rPr>
                <w:rFonts w:ascii="Arial" w:eastAsiaTheme="minorHAnsi" w:hAnsi="Arial" w:cs="Arial"/>
                <w:b/>
                <w:bCs/>
                <w:sz w:val="18"/>
                <w:szCs w:val="18"/>
              </w:rPr>
            </w:pPr>
            <w:r w:rsidRPr="00984AD2">
              <w:rPr>
                <w:rFonts w:ascii="Arial" w:hAnsi="Arial" w:cs="Arial"/>
                <w:b/>
                <w:bCs/>
                <w:sz w:val="18"/>
                <w:szCs w:val="18"/>
              </w:rPr>
              <w:t>Risk</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12D76602" w14:textId="77777777" w:rsidR="00B66294" w:rsidRPr="00984AD2" w:rsidRDefault="00B66294" w:rsidP="00984F70">
            <w:pPr>
              <w:keepNext/>
              <w:keepLines/>
              <w:spacing w:line="276" w:lineRule="auto"/>
              <w:jc w:val="center"/>
              <w:rPr>
                <w:rFonts w:ascii="Arial" w:eastAsiaTheme="minorHAnsi" w:hAnsi="Arial" w:cs="Arial"/>
                <w:b/>
                <w:bCs/>
                <w:sz w:val="18"/>
                <w:szCs w:val="18"/>
              </w:rPr>
            </w:pPr>
            <w:r w:rsidRPr="00984AD2">
              <w:rPr>
                <w:rFonts w:ascii="Arial" w:hAnsi="Arial" w:cs="Arial"/>
                <w:b/>
                <w:bCs/>
                <w:sz w:val="18"/>
                <w:szCs w:val="18"/>
              </w:rPr>
              <w:t>Mitigation</w:t>
            </w:r>
          </w:p>
        </w:tc>
      </w:tr>
      <w:tr w:rsidR="00B66294" w:rsidRPr="00984AD2" w14:paraId="40B78B59" w14:textId="77777777" w:rsidTr="00984F70">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14:paraId="4C11C655"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WIPO must adhere to the highest standards of transparency and accountability and is subject to continuous scrutiny from its customers, stakeholders, staff, as well as the general public. Reputational impact may result from the occurrence of any risk event and can cause significant harm to the credibility of the Organization’s work.</w:t>
            </w:r>
          </w:p>
        </w:tc>
        <w:tc>
          <w:tcPr>
            <w:tcW w:w="4961" w:type="dxa"/>
            <w:tcBorders>
              <w:top w:val="nil"/>
              <w:left w:val="nil"/>
              <w:bottom w:val="nil"/>
              <w:right w:val="single" w:sz="8" w:space="0" w:color="auto"/>
            </w:tcBorders>
            <w:tcMar>
              <w:top w:w="113" w:type="dxa"/>
              <w:left w:w="108" w:type="dxa"/>
              <w:bottom w:w="113" w:type="dxa"/>
              <w:right w:w="108" w:type="dxa"/>
            </w:tcMar>
          </w:tcPr>
          <w:p w14:paraId="60F28E4F"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Public disclosure, proactive provision of information, media awareness and openness in responding to queries. Continuous monitoring of press and social media coverage to enable timely reaction if required.</w:t>
            </w:r>
          </w:p>
          <w:p w14:paraId="544A47F6" w14:textId="77777777" w:rsidR="00B66294" w:rsidRPr="00984AD2" w:rsidRDefault="00B66294" w:rsidP="00984F70">
            <w:pPr>
              <w:keepNext/>
              <w:keepLines/>
              <w:rPr>
                <w:rFonts w:ascii="Arial" w:eastAsiaTheme="minorHAnsi" w:hAnsi="Arial" w:cs="Arial"/>
                <w:color w:val="000000"/>
                <w:sz w:val="16"/>
                <w:szCs w:val="16"/>
              </w:rPr>
            </w:pPr>
          </w:p>
        </w:tc>
      </w:tr>
      <w:tr w:rsidR="00B66294" w:rsidRPr="00984AD2" w14:paraId="20F66244" w14:textId="77777777" w:rsidTr="00984F70">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14:paraId="5C69AD26"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WIPO's web and social media presences fail to keep pace with evolving trends in digital communications or with stakeholder preferences.</w:t>
            </w:r>
          </w:p>
          <w:p w14:paraId="5D246026" w14:textId="77777777" w:rsidR="00B66294" w:rsidRPr="00984AD2" w:rsidRDefault="00B66294" w:rsidP="00984F70">
            <w:pPr>
              <w:keepNext/>
              <w:keepLines/>
              <w:rPr>
                <w:rFonts w:eastAsiaTheme="minorHAnsi"/>
                <w:sz w:val="16"/>
                <w:szCs w:val="16"/>
              </w:rPr>
            </w:pP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5789675F"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Implementation of responsive web design across the WIPO website to ensure optimal display in mobile devices.</w:t>
            </w:r>
          </w:p>
          <w:p w14:paraId="4D4F91FC" w14:textId="77777777" w:rsidR="00B66294" w:rsidRPr="00984AD2" w:rsidRDefault="00B66294" w:rsidP="00984F70">
            <w:pPr>
              <w:keepNext/>
              <w:keepLines/>
              <w:rPr>
                <w:rFonts w:ascii="Arial" w:hAnsi="Arial" w:cs="Arial"/>
                <w:color w:val="000000"/>
                <w:sz w:val="16"/>
                <w:szCs w:val="16"/>
              </w:rPr>
            </w:pPr>
          </w:p>
          <w:p w14:paraId="00A04EA9" w14:textId="77777777" w:rsidR="00B66294" w:rsidRPr="00984AD2" w:rsidRDefault="00B66294" w:rsidP="00984F70">
            <w:pPr>
              <w:keepNext/>
              <w:keepLines/>
              <w:rPr>
                <w:rFonts w:eastAsiaTheme="minorHAnsi"/>
                <w:sz w:val="16"/>
                <w:szCs w:val="16"/>
              </w:rPr>
            </w:pPr>
            <w:r w:rsidRPr="00984AD2">
              <w:rPr>
                <w:rFonts w:ascii="Arial" w:hAnsi="Arial" w:cs="Arial"/>
                <w:color w:val="000000"/>
                <w:sz w:val="16"/>
                <w:szCs w:val="16"/>
              </w:rPr>
              <w:t>Use of external resources and partnerships to extend in-house capacity.</w:t>
            </w:r>
          </w:p>
        </w:tc>
      </w:tr>
    </w:tbl>
    <w:p w14:paraId="27249F60" w14:textId="77777777" w:rsidR="00B66294" w:rsidRDefault="00B66294" w:rsidP="00984F70">
      <w:pPr>
        <w:autoSpaceDE w:val="0"/>
        <w:autoSpaceDN w:val="0"/>
        <w:adjustRightInd w:val="0"/>
        <w:rPr>
          <w:rFonts w:ascii="Arial" w:hAnsi="Arial" w:cs="Arial"/>
        </w:rPr>
      </w:pPr>
    </w:p>
    <w:p w14:paraId="4302EE98" w14:textId="77777777" w:rsidR="00B66294" w:rsidRDefault="00B66294" w:rsidP="00984F70">
      <w:pPr>
        <w:autoSpaceDE w:val="0"/>
        <w:autoSpaceDN w:val="0"/>
        <w:adjustRightInd w:val="0"/>
        <w:rPr>
          <w:rFonts w:ascii="Arial" w:hAnsi="Arial" w:cs="Arial"/>
        </w:rPr>
      </w:pPr>
    </w:p>
    <w:p w14:paraId="62880EB4" w14:textId="77777777" w:rsidR="00B66294" w:rsidRDefault="00B66294" w:rsidP="00984F70">
      <w:pPr>
        <w:autoSpaceDE w:val="0"/>
        <w:autoSpaceDN w:val="0"/>
        <w:adjustRightInd w:val="0"/>
        <w:rPr>
          <w:rFonts w:ascii="Arial" w:hAnsi="Arial" w:cs="Arial"/>
        </w:rPr>
      </w:pPr>
      <w:r>
        <w:rPr>
          <w:rFonts w:ascii="Arial" w:hAnsi="Arial" w:cs="Arial"/>
        </w:rPr>
        <w:t>RESULTS FRAMEWORK</w:t>
      </w:r>
    </w:p>
    <w:p w14:paraId="18A8EA95" w14:textId="77777777" w:rsidR="00B66294" w:rsidRDefault="00B66294" w:rsidP="00984F70">
      <w:pPr>
        <w:autoSpaceDE w:val="0"/>
        <w:autoSpaceDN w:val="0"/>
        <w:adjustRightInd w:val="0"/>
        <w:rPr>
          <w:rFonts w:ascii="Arial" w:hAnsi="Arial" w:cs="Arial"/>
        </w:rPr>
      </w:pPr>
    </w:p>
    <w:tbl>
      <w:tblPr>
        <w:tblW w:w="9195" w:type="dxa"/>
        <w:tblInd w:w="93" w:type="dxa"/>
        <w:tblLook w:val="04A0" w:firstRow="1" w:lastRow="0" w:firstColumn="1" w:lastColumn="0" w:noHBand="0" w:noVBand="1"/>
      </w:tblPr>
      <w:tblGrid>
        <w:gridCol w:w="2140"/>
        <w:gridCol w:w="2140"/>
        <w:gridCol w:w="2485"/>
        <w:gridCol w:w="2430"/>
      </w:tblGrid>
      <w:tr w:rsidR="00B66294" w:rsidRPr="0080719C" w14:paraId="554DE8F1" w14:textId="77777777" w:rsidTr="00984F70">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233C0BC8"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Expected Results</w:t>
            </w:r>
          </w:p>
        </w:tc>
        <w:tc>
          <w:tcPr>
            <w:tcW w:w="2140" w:type="dxa"/>
            <w:tcBorders>
              <w:top w:val="single" w:sz="4" w:space="0" w:color="auto"/>
              <w:left w:val="nil"/>
              <w:bottom w:val="single" w:sz="4" w:space="0" w:color="auto"/>
              <w:right w:val="nil"/>
            </w:tcBorders>
            <w:shd w:val="clear" w:color="000000" w:fill="C5D9F1"/>
            <w:tcMar>
              <w:top w:w="85" w:type="dxa"/>
            </w:tcMar>
            <w:vAlign w:val="center"/>
            <w:hideMark/>
          </w:tcPr>
          <w:p w14:paraId="519CAD3B"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Performance Indicators</w:t>
            </w:r>
          </w:p>
        </w:tc>
        <w:tc>
          <w:tcPr>
            <w:tcW w:w="2485" w:type="dxa"/>
            <w:tcBorders>
              <w:top w:val="single" w:sz="4" w:space="0" w:color="auto"/>
              <w:left w:val="nil"/>
              <w:bottom w:val="single" w:sz="4" w:space="0" w:color="auto"/>
              <w:right w:val="nil"/>
            </w:tcBorders>
            <w:shd w:val="clear" w:color="000000" w:fill="C5D9F1"/>
            <w:tcMar>
              <w:top w:w="85" w:type="dxa"/>
            </w:tcMar>
            <w:vAlign w:val="center"/>
            <w:hideMark/>
          </w:tcPr>
          <w:p w14:paraId="02AE8568"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Baselines</w:t>
            </w:r>
          </w:p>
        </w:tc>
        <w:tc>
          <w:tcPr>
            <w:tcW w:w="243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7C409981"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Targets</w:t>
            </w:r>
          </w:p>
        </w:tc>
      </w:tr>
      <w:tr w:rsidR="00B66294" w:rsidRPr="0080719C" w14:paraId="2533A610" w14:textId="77777777" w:rsidTr="00984F70">
        <w:trPr>
          <w:trHeight w:val="1567"/>
        </w:trPr>
        <w:tc>
          <w:tcPr>
            <w:tcW w:w="2140" w:type="dxa"/>
            <w:tcBorders>
              <w:top w:val="nil"/>
              <w:left w:val="single" w:sz="4" w:space="0" w:color="auto"/>
              <w:bottom w:val="nil"/>
              <w:right w:val="nil"/>
            </w:tcBorders>
            <w:shd w:val="clear" w:color="000000" w:fill="FFFFFF"/>
            <w:tcMar>
              <w:top w:w="85" w:type="dxa"/>
            </w:tcMar>
            <w:hideMark/>
          </w:tcPr>
          <w:p w14:paraId="28EE58B8"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VIII.1 More effective communication to a broad public about intellectual property and WIPO’s role</w:t>
            </w:r>
          </w:p>
        </w:tc>
        <w:tc>
          <w:tcPr>
            <w:tcW w:w="2140" w:type="dxa"/>
            <w:tcBorders>
              <w:top w:val="nil"/>
              <w:left w:val="nil"/>
              <w:bottom w:val="nil"/>
              <w:right w:val="nil"/>
            </w:tcBorders>
            <w:shd w:val="clear" w:color="000000" w:fill="FFFFFF"/>
            <w:tcMar>
              <w:top w:w="85" w:type="dxa"/>
            </w:tcMar>
            <w:hideMark/>
          </w:tcPr>
          <w:p w14:paraId="5ACE4549"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S</w:t>
            </w:r>
            <w:r w:rsidRPr="0080719C">
              <w:rPr>
                <w:rFonts w:ascii="Arial" w:hAnsi="Arial" w:cs="Arial"/>
                <w:color w:val="000000"/>
                <w:sz w:val="16"/>
                <w:szCs w:val="16"/>
              </w:rPr>
              <w:t>takeholders with a positive perception of WIPO's reputation; and increased brand recognition of WIPO.</w:t>
            </w:r>
          </w:p>
        </w:tc>
        <w:tc>
          <w:tcPr>
            <w:tcW w:w="2485" w:type="dxa"/>
            <w:tcBorders>
              <w:top w:val="nil"/>
              <w:left w:val="nil"/>
              <w:bottom w:val="nil"/>
              <w:right w:val="nil"/>
            </w:tcBorders>
            <w:shd w:val="clear" w:color="000000" w:fill="FFFFFF"/>
            <w:tcMar>
              <w:top w:w="85" w:type="dxa"/>
            </w:tcMar>
            <w:hideMark/>
          </w:tcPr>
          <w:p w14:paraId="3644F56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85.3% of survey respondents agree/strongly agree that WIPO has a good overall reputation. 70.2% of respondents perceived WIPO as the global forum for IP  (WIPO Stakeholders Perceptions Survey, Jun 2014)</w:t>
            </w:r>
          </w:p>
        </w:tc>
        <w:tc>
          <w:tcPr>
            <w:tcW w:w="2430" w:type="dxa"/>
            <w:tcBorders>
              <w:top w:val="nil"/>
              <w:left w:val="nil"/>
              <w:bottom w:val="nil"/>
              <w:right w:val="single" w:sz="4" w:space="0" w:color="auto"/>
            </w:tcBorders>
            <w:shd w:val="clear" w:color="000000" w:fill="FFFFFF"/>
            <w:tcMar>
              <w:top w:w="85" w:type="dxa"/>
            </w:tcMar>
            <w:hideMark/>
          </w:tcPr>
          <w:p w14:paraId="0E887D1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xml:space="preserve">85% have a positive perception of WIPO's reputation. 75% recognize WIPO as the global forum for IP.  </w:t>
            </w:r>
          </w:p>
        </w:tc>
      </w:tr>
      <w:tr w:rsidR="00B66294" w:rsidRPr="0080719C" w14:paraId="0096A132" w14:textId="77777777" w:rsidTr="00984F70">
        <w:trPr>
          <w:trHeight w:val="754"/>
        </w:trPr>
        <w:tc>
          <w:tcPr>
            <w:tcW w:w="2140" w:type="dxa"/>
            <w:tcBorders>
              <w:top w:val="nil"/>
              <w:left w:val="single" w:sz="4" w:space="0" w:color="auto"/>
              <w:bottom w:val="nil"/>
              <w:right w:val="nil"/>
            </w:tcBorders>
            <w:shd w:val="clear" w:color="000000" w:fill="FFFFFF"/>
            <w:tcMar>
              <w:top w:w="85" w:type="dxa"/>
            </w:tcMar>
            <w:hideMark/>
          </w:tcPr>
          <w:p w14:paraId="49766AF6"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5EF22D3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No. of people who view content about major WIPO events, achievements, activities</w:t>
            </w:r>
          </w:p>
        </w:tc>
        <w:tc>
          <w:tcPr>
            <w:tcW w:w="2485" w:type="dxa"/>
            <w:tcBorders>
              <w:top w:val="nil"/>
              <w:left w:val="nil"/>
              <w:bottom w:val="nil"/>
              <w:right w:val="nil"/>
            </w:tcBorders>
            <w:shd w:val="clear" w:color="000000" w:fill="FFFFFF"/>
            <w:tcMar>
              <w:top w:w="85" w:type="dxa"/>
            </w:tcMar>
            <w:hideMark/>
          </w:tcPr>
          <w:p w14:paraId="0BBD8C9F" w14:textId="77777777" w:rsidR="00B66294" w:rsidRPr="0080719C" w:rsidRDefault="00B66294" w:rsidP="00984F70">
            <w:pPr>
              <w:rPr>
                <w:rFonts w:ascii="Arial" w:hAnsi="Arial" w:cs="Arial"/>
                <w:color w:val="000000"/>
                <w:sz w:val="16"/>
                <w:szCs w:val="16"/>
              </w:rPr>
            </w:pPr>
            <w:proofErr w:type="spellStart"/>
            <w:r w:rsidRPr="0080719C">
              <w:rPr>
                <w:rFonts w:ascii="Arial" w:hAnsi="Arial" w:cs="Arial"/>
                <w:color w:val="000000"/>
                <w:sz w:val="16"/>
                <w:szCs w:val="16"/>
              </w:rPr>
              <w:t>tbd</w:t>
            </w:r>
            <w:proofErr w:type="spellEnd"/>
          </w:p>
        </w:tc>
        <w:tc>
          <w:tcPr>
            <w:tcW w:w="2430" w:type="dxa"/>
            <w:tcBorders>
              <w:top w:val="nil"/>
              <w:left w:val="nil"/>
              <w:bottom w:val="nil"/>
              <w:right w:val="single" w:sz="4" w:space="0" w:color="auto"/>
            </w:tcBorders>
            <w:shd w:val="clear" w:color="000000" w:fill="FFFFFF"/>
            <w:tcMar>
              <w:top w:w="85" w:type="dxa"/>
            </w:tcMar>
            <w:hideMark/>
          </w:tcPr>
          <w:p w14:paraId="01C869FC" w14:textId="46E3FC6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23% of recipients of the WIPO Wire newsletter open it to view content</w:t>
            </w:r>
          </w:p>
        </w:tc>
      </w:tr>
      <w:tr w:rsidR="00B66294" w:rsidRPr="0080719C" w14:paraId="288FC337" w14:textId="77777777" w:rsidTr="00984F70">
        <w:trPr>
          <w:trHeight w:val="766"/>
        </w:trPr>
        <w:tc>
          <w:tcPr>
            <w:tcW w:w="2140" w:type="dxa"/>
            <w:tcBorders>
              <w:top w:val="nil"/>
              <w:left w:val="single" w:sz="4" w:space="0" w:color="auto"/>
              <w:bottom w:val="nil"/>
              <w:right w:val="nil"/>
            </w:tcBorders>
            <w:shd w:val="clear" w:color="000000" w:fill="FFFFFF"/>
            <w:tcMar>
              <w:top w:w="85" w:type="dxa"/>
            </w:tcMar>
            <w:hideMark/>
          </w:tcPr>
          <w:p w14:paraId="2DB2BAE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3CBA1D0A"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Global participation in World IP Day campaign</w:t>
            </w:r>
          </w:p>
        </w:tc>
        <w:tc>
          <w:tcPr>
            <w:tcW w:w="2485" w:type="dxa"/>
            <w:tcBorders>
              <w:top w:val="nil"/>
              <w:left w:val="nil"/>
              <w:bottom w:val="nil"/>
              <w:right w:val="nil"/>
            </w:tcBorders>
            <w:shd w:val="clear" w:color="000000" w:fill="FFFFFF"/>
            <w:tcMar>
              <w:top w:w="85" w:type="dxa"/>
            </w:tcMar>
            <w:hideMark/>
          </w:tcPr>
          <w:p w14:paraId="4AF8D48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Events in 110 countries were published on the 2014 World IP Day Events Map</w:t>
            </w:r>
          </w:p>
        </w:tc>
        <w:tc>
          <w:tcPr>
            <w:tcW w:w="2430" w:type="dxa"/>
            <w:tcBorders>
              <w:top w:val="nil"/>
              <w:left w:val="nil"/>
              <w:bottom w:val="nil"/>
              <w:right w:val="single" w:sz="4" w:space="0" w:color="auto"/>
            </w:tcBorders>
            <w:shd w:val="clear" w:color="000000" w:fill="FFFFFF"/>
            <w:tcMar>
              <w:top w:w="85" w:type="dxa"/>
            </w:tcMar>
            <w:hideMark/>
          </w:tcPr>
          <w:p w14:paraId="46FE65A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Events in ≥ 100 countries published on the World IP Day Events Map</w:t>
            </w:r>
          </w:p>
        </w:tc>
      </w:tr>
      <w:tr w:rsidR="00B66294" w:rsidRPr="0080719C" w14:paraId="625A74A2" w14:textId="77777777" w:rsidTr="00984F70">
        <w:trPr>
          <w:trHeight w:val="974"/>
        </w:trPr>
        <w:tc>
          <w:tcPr>
            <w:tcW w:w="2140" w:type="dxa"/>
            <w:tcBorders>
              <w:top w:val="nil"/>
              <w:left w:val="single" w:sz="4" w:space="0" w:color="auto"/>
              <w:bottom w:val="nil"/>
              <w:right w:val="nil"/>
            </w:tcBorders>
            <w:shd w:val="clear" w:color="000000" w:fill="FFFFFF"/>
            <w:tcMar>
              <w:top w:w="85" w:type="dxa"/>
            </w:tcMar>
            <w:hideMark/>
          </w:tcPr>
          <w:p w14:paraId="2E40EA4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0B6767DA"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O</w:t>
            </w:r>
            <w:r w:rsidRPr="0080719C">
              <w:rPr>
                <w:rFonts w:ascii="Arial" w:hAnsi="Arial" w:cs="Arial"/>
                <w:color w:val="000000"/>
                <w:sz w:val="16"/>
                <w:szCs w:val="16"/>
              </w:rPr>
              <w:t>nline traffic to the WIPO Publications site and WIPO Magazine site</w:t>
            </w:r>
          </w:p>
        </w:tc>
        <w:tc>
          <w:tcPr>
            <w:tcW w:w="2485" w:type="dxa"/>
            <w:tcBorders>
              <w:top w:val="nil"/>
              <w:left w:val="nil"/>
              <w:bottom w:val="nil"/>
              <w:right w:val="nil"/>
            </w:tcBorders>
            <w:shd w:val="clear" w:color="000000" w:fill="FFFFFF"/>
            <w:tcMar>
              <w:top w:w="85" w:type="dxa"/>
            </w:tcMar>
            <w:hideMark/>
          </w:tcPr>
          <w:p w14:paraId="1907DE6E" w14:textId="77777777" w:rsidR="00B66294" w:rsidRPr="0080719C" w:rsidRDefault="00B66294" w:rsidP="00984F70">
            <w:pPr>
              <w:rPr>
                <w:rFonts w:ascii="Arial" w:hAnsi="Arial" w:cs="Arial"/>
                <w:sz w:val="16"/>
                <w:szCs w:val="16"/>
              </w:rPr>
            </w:pPr>
            <w:r w:rsidRPr="0080719C">
              <w:rPr>
                <w:rFonts w:ascii="Arial" w:hAnsi="Arial" w:cs="Arial"/>
                <w:sz w:val="16"/>
                <w:szCs w:val="16"/>
              </w:rPr>
              <w:t>(</w:t>
            </w:r>
            <w:proofErr w:type="spellStart"/>
            <w:r w:rsidRPr="0080719C">
              <w:rPr>
                <w:rFonts w:ascii="Arial" w:hAnsi="Arial" w:cs="Arial"/>
                <w:sz w:val="16"/>
                <w:szCs w:val="16"/>
              </w:rPr>
              <w:t>i</w:t>
            </w:r>
            <w:proofErr w:type="spellEnd"/>
            <w:r w:rsidRPr="0080719C">
              <w:rPr>
                <w:rFonts w:ascii="Arial" w:hAnsi="Arial" w:cs="Arial"/>
                <w:sz w:val="16"/>
                <w:szCs w:val="16"/>
              </w:rPr>
              <w:t>) 97,804 unique page views of the publications site; (ii) 432,342 unique views of the WIPO Magazine site in 2014</w:t>
            </w:r>
          </w:p>
        </w:tc>
        <w:tc>
          <w:tcPr>
            <w:tcW w:w="2430" w:type="dxa"/>
            <w:tcBorders>
              <w:top w:val="nil"/>
              <w:left w:val="nil"/>
              <w:bottom w:val="nil"/>
              <w:right w:val="single" w:sz="4" w:space="0" w:color="auto"/>
            </w:tcBorders>
            <w:shd w:val="clear" w:color="000000" w:fill="FFFFFF"/>
            <w:tcMar>
              <w:top w:w="85" w:type="dxa"/>
            </w:tcMar>
            <w:hideMark/>
          </w:tcPr>
          <w:p w14:paraId="5DECD955"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20% increase in unique page views of the publications site; (ii) 10% increase in unique page views of the Magazine site</w:t>
            </w:r>
          </w:p>
        </w:tc>
      </w:tr>
      <w:tr w:rsidR="00B66294" w:rsidRPr="0080719C" w14:paraId="68C5E836" w14:textId="77777777" w:rsidTr="007644FB">
        <w:trPr>
          <w:trHeight w:val="1871"/>
        </w:trPr>
        <w:tc>
          <w:tcPr>
            <w:tcW w:w="2140" w:type="dxa"/>
            <w:tcBorders>
              <w:top w:val="nil"/>
              <w:left w:val="single" w:sz="4" w:space="0" w:color="auto"/>
              <w:right w:val="nil"/>
            </w:tcBorders>
            <w:shd w:val="clear" w:color="000000" w:fill="FFFFFF"/>
            <w:tcMar>
              <w:top w:w="85" w:type="dxa"/>
            </w:tcMar>
            <w:hideMark/>
          </w:tcPr>
          <w:p w14:paraId="4339542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right w:val="nil"/>
            </w:tcBorders>
            <w:shd w:val="clear" w:color="000000" w:fill="FFFFFF"/>
            <w:tcMar>
              <w:top w:w="85" w:type="dxa"/>
            </w:tcMar>
            <w:hideMark/>
          </w:tcPr>
          <w:p w14:paraId="095D3156"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V</w:t>
            </w:r>
            <w:r w:rsidRPr="0080719C">
              <w:rPr>
                <w:rFonts w:ascii="Arial" w:hAnsi="Arial" w:cs="Arial"/>
                <w:color w:val="000000"/>
                <w:sz w:val="16"/>
                <w:szCs w:val="16"/>
              </w:rPr>
              <w:t>iews of WIPO press, video and photographic content</w:t>
            </w:r>
          </w:p>
        </w:tc>
        <w:tc>
          <w:tcPr>
            <w:tcW w:w="2485" w:type="dxa"/>
            <w:tcBorders>
              <w:top w:val="nil"/>
              <w:left w:val="nil"/>
              <w:right w:val="nil"/>
            </w:tcBorders>
            <w:shd w:val="clear" w:color="000000" w:fill="FFFFFF"/>
            <w:tcMar>
              <w:top w:w="85" w:type="dxa"/>
            </w:tcMar>
            <w:hideMark/>
          </w:tcPr>
          <w:p w14:paraId="573A5E52"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xml:space="preserve">). 250,000 unique page views of Media Center web content (all </w:t>
            </w:r>
            <w:proofErr w:type="spellStart"/>
            <w:r w:rsidRPr="0080719C">
              <w:rPr>
                <w:rFonts w:ascii="Arial" w:hAnsi="Arial" w:cs="Arial"/>
                <w:color w:val="000000"/>
                <w:sz w:val="16"/>
                <w:szCs w:val="16"/>
              </w:rPr>
              <w:t>lang.s</w:t>
            </w:r>
            <w:proofErr w:type="spellEnd"/>
            <w:r w:rsidRPr="0080719C">
              <w:rPr>
                <w:rFonts w:ascii="Arial" w:hAnsi="Arial" w:cs="Arial"/>
                <w:color w:val="000000"/>
                <w:sz w:val="16"/>
                <w:szCs w:val="16"/>
              </w:rPr>
              <w:t xml:space="preserve">) in 2014 </w:t>
            </w:r>
            <w:r w:rsidRPr="0080719C">
              <w:rPr>
                <w:rFonts w:ascii="Arial" w:hAnsi="Arial" w:cs="Arial"/>
                <w:color w:val="000000"/>
                <w:sz w:val="16"/>
                <w:szCs w:val="16"/>
              </w:rPr>
              <w:br/>
              <w:t xml:space="preserve">(ii).467,180 views on WIPO YouTube channel in 2013/14 (excl. pre-school)  </w:t>
            </w:r>
            <w:r w:rsidRPr="0080719C">
              <w:rPr>
                <w:rFonts w:ascii="Arial" w:hAnsi="Arial" w:cs="Arial"/>
                <w:color w:val="000000"/>
                <w:sz w:val="16"/>
                <w:szCs w:val="16"/>
              </w:rPr>
              <w:br/>
              <w:t>(iii). 1.44 million additional photo</w:t>
            </w:r>
            <w:r>
              <w:rPr>
                <w:rFonts w:ascii="Arial" w:hAnsi="Arial" w:cs="Arial"/>
                <w:color w:val="000000"/>
                <w:sz w:val="16"/>
                <w:szCs w:val="16"/>
              </w:rPr>
              <w:t xml:space="preserve"> </w:t>
            </w:r>
            <w:r w:rsidRPr="0080719C">
              <w:rPr>
                <w:rFonts w:ascii="Arial" w:hAnsi="Arial" w:cs="Arial"/>
                <w:color w:val="000000"/>
                <w:sz w:val="16"/>
                <w:szCs w:val="16"/>
              </w:rPr>
              <w:t>views on Flickr in 2014. (Lifetime views end 2014: 2.41 million)</w:t>
            </w:r>
          </w:p>
        </w:tc>
        <w:tc>
          <w:tcPr>
            <w:tcW w:w="2430" w:type="dxa"/>
            <w:tcBorders>
              <w:top w:val="nil"/>
              <w:left w:val="nil"/>
              <w:right w:val="single" w:sz="4" w:space="0" w:color="auto"/>
            </w:tcBorders>
            <w:shd w:val="clear" w:color="000000" w:fill="FFFFFF"/>
            <w:tcMar>
              <w:top w:w="85" w:type="dxa"/>
            </w:tcMar>
            <w:hideMark/>
          </w:tcPr>
          <w:p w14:paraId="754164D3"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xml:space="preserve">) 10% increase in unique page views of Media Center web content </w:t>
            </w:r>
            <w:r w:rsidRPr="0080719C">
              <w:rPr>
                <w:rFonts w:ascii="Arial" w:hAnsi="Arial" w:cs="Arial"/>
                <w:color w:val="000000"/>
                <w:sz w:val="16"/>
                <w:szCs w:val="16"/>
              </w:rPr>
              <w:br/>
              <w:t xml:space="preserve">(ii) 10% increase in total videos views on the WIPO YouTube channel (excl. pre-school) </w:t>
            </w:r>
            <w:r w:rsidRPr="0080719C">
              <w:rPr>
                <w:rFonts w:ascii="Arial" w:hAnsi="Arial" w:cs="Arial"/>
                <w:color w:val="000000"/>
                <w:sz w:val="16"/>
                <w:szCs w:val="16"/>
              </w:rPr>
              <w:br/>
              <w:t>(iii) Target: 1 million additional photo</w:t>
            </w:r>
            <w:r>
              <w:rPr>
                <w:rFonts w:ascii="Arial" w:hAnsi="Arial" w:cs="Arial"/>
                <w:color w:val="000000"/>
                <w:sz w:val="16"/>
                <w:szCs w:val="16"/>
              </w:rPr>
              <w:t xml:space="preserve"> </w:t>
            </w:r>
            <w:r w:rsidRPr="0080719C">
              <w:rPr>
                <w:rFonts w:ascii="Arial" w:hAnsi="Arial" w:cs="Arial"/>
                <w:color w:val="000000"/>
                <w:sz w:val="16"/>
                <w:szCs w:val="16"/>
              </w:rPr>
              <w:t>views on Flickr (by end 2017)</w:t>
            </w:r>
          </w:p>
        </w:tc>
      </w:tr>
      <w:tr w:rsidR="00B66294" w:rsidRPr="0080719C" w14:paraId="44B85868" w14:textId="77777777" w:rsidTr="007644FB">
        <w:trPr>
          <w:trHeight w:val="1345"/>
        </w:trPr>
        <w:tc>
          <w:tcPr>
            <w:tcW w:w="2140" w:type="dxa"/>
            <w:tcBorders>
              <w:top w:val="nil"/>
              <w:left w:val="single" w:sz="4" w:space="0" w:color="auto"/>
              <w:right w:val="nil"/>
            </w:tcBorders>
            <w:shd w:val="clear" w:color="000000" w:fill="FFFFFF"/>
            <w:tcMar>
              <w:top w:w="85" w:type="dxa"/>
            </w:tcMar>
            <w:hideMark/>
          </w:tcPr>
          <w:p w14:paraId="0B6A5FAC"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right w:val="nil"/>
            </w:tcBorders>
            <w:shd w:val="clear" w:color="000000" w:fill="FFFFFF"/>
            <w:tcMar>
              <w:top w:w="85" w:type="dxa"/>
            </w:tcMar>
            <w:hideMark/>
          </w:tcPr>
          <w:p w14:paraId="0AE50D39" w14:textId="3356E48B"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Fewer users who leave the WIPO website directly from the portal and key gateway pages.</w:t>
            </w:r>
          </w:p>
        </w:tc>
        <w:tc>
          <w:tcPr>
            <w:tcW w:w="2485" w:type="dxa"/>
            <w:tcBorders>
              <w:top w:val="nil"/>
              <w:left w:val="nil"/>
              <w:right w:val="nil"/>
            </w:tcBorders>
            <w:shd w:val="clear" w:color="000000" w:fill="FFFFFF"/>
            <w:tcMar>
              <w:top w:w="85" w:type="dxa"/>
            </w:tcMar>
            <w:hideMark/>
          </w:tcPr>
          <w:p w14:paraId="1038FEFB"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Portal bounce rate 25.1% (ii) Exit rates from “gateway” pages: Services: 13%; Policy: 16.9%; Cooperation: 15.3%; Reference: 19.1%; About IP: 55.1%; Inside WIPO: 23.5%</w:t>
            </w:r>
          </w:p>
        </w:tc>
        <w:tc>
          <w:tcPr>
            <w:tcW w:w="2430" w:type="dxa"/>
            <w:tcBorders>
              <w:top w:val="nil"/>
              <w:left w:val="nil"/>
              <w:right w:val="single" w:sz="4" w:space="0" w:color="auto"/>
            </w:tcBorders>
            <w:shd w:val="clear" w:color="000000" w:fill="FFFFFF"/>
            <w:tcMar>
              <w:top w:w="85" w:type="dxa"/>
            </w:tcMar>
            <w:hideMark/>
          </w:tcPr>
          <w:p w14:paraId="759A8A4B"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stable bounce rate from the portal; (ii) stable exit rate from the "gateway" page for each of the 6 main areas of the website (IP Services, Policy, Cooperation, Reference, About IP, About WIPO)</w:t>
            </w:r>
          </w:p>
        </w:tc>
      </w:tr>
      <w:tr w:rsidR="00B66294" w:rsidRPr="0080719C" w14:paraId="66630CA2" w14:textId="77777777" w:rsidTr="007644FB">
        <w:trPr>
          <w:trHeight w:val="1045"/>
        </w:trPr>
        <w:tc>
          <w:tcPr>
            <w:tcW w:w="2140" w:type="dxa"/>
            <w:tcBorders>
              <w:left w:val="single" w:sz="4" w:space="0" w:color="auto"/>
              <w:bottom w:val="single" w:sz="4" w:space="0" w:color="auto"/>
              <w:right w:val="nil"/>
            </w:tcBorders>
            <w:shd w:val="clear" w:color="000000" w:fill="FFFFFF"/>
            <w:tcMar>
              <w:top w:w="85" w:type="dxa"/>
            </w:tcMar>
            <w:hideMark/>
          </w:tcPr>
          <w:p w14:paraId="6F245CA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left w:val="nil"/>
              <w:bottom w:val="single" w:sz="4" w:space="0" w:color="auto"/>
              <w:right w:val="nil"/>
            </w:tcBorders>
            <w:shd w:val="clear" w:color="000000" w:fill="FFFFFF"/>
            <w:tcMar>
              <w:top w:w="85" w:type="dxa"/>
            </w:tcMar>
            <w:hideMark/>
          </w:tcPr>
          <w:p w14:paraId="6104635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WIPO influence and stakeholder engagement on social media</w:t>
            </w:r>
          </w:p>
        </w:tc>
        <w:tc>
          <w:tcPr>
            <w:tcW w:w="2485" w:type="dxa"/>
            <w:tcBorders>
              <w:left w:val="nil"/>
              <w:bottom w:val="single" w:sz="4" w:space="0" w:color="auto"/>
              <w:right w:val="nil"/>
            </w:tcBorders>
            <w:shd w:val="clear" w:color="000000" w:fill="FFFFFF"/>
            <w:tcMar>
              <w:top w:w="85" w:type="dxa"/>
            </w:tcMar>
            <w:hideMark/>
          </w:tcPr>
          <w:p w14:paraId="0062E7A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number of favorites (2014=5,121)</w:t>
            </w:r>
            <w:r w:rsidRPr="0080719C">
              <w:rPr>
                <w:rFonts w:ascii="Arial" w:hAnsi="Arial" w:cs="Arial"/>
                <w:color w:val="000000"/>
                <w:sz w:val="16"/>
                <w:szCs w:val="16"/>
              </w:rPr>
              <w:br/>
              <w:t>(ii) total retweets (2014 = 11,920)</w:t>
            </w:r>
          </w:p>
        </w:tc>
        <w:tc>
          <w:tcPr>
            <w:tcW w:w="2430" w:type="dxa"/>
            <w:tcBorders>
              <w:left w:val="nil"/>
              <w:bottom w:val="single" w:sz="4" w:space="0" w:color="auto"/>
              <w:right w:val="single" w:sz="4" w:space="0" w:color="auto"/>
            </w:tcBorders>
            <w:shd w:val="clear" w:color="000000" w:fill="FFFFFF"/>
            <w:tcMar>
              <w:top w:w="85" w:type="dxa"/>
            </w:tcMar>
            <w:hideMark/>
          </w:tcPr>
          <w:p w14:paraId="6D5EBC1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25% increase in yearly number of "favorited" WIPO tweets</w:t>
            </w:r>
            <w:r w:rsidRPr="0080719C">
              <w:rPr>
                <w:rFonts w:ascii="Arial" w:hAnsi="Arial" w:cs="Arial"/>
                <w:color w:val="000000"/>
                <w:sz w:val="16"/>
                <w:szCs w:val="16"/>
              </w:rPr>
              <w:br/>
              <w:t>(ii) 15</w:t>
            </w:r>
            <w:r>
              <w:rPr>
                <w:rFonts w:ascii="Arial" w:hAnsi="Arial" w:cs="Arial"/>
                <w:color w:val="000000"/>
                <w:sz w:val="16"/>
                <w:szCs w:val="16"/>
              </w:rPr>
              <w:t>%</w:t>
            </w:r>
            <w:r w:rsidRPr="0080719C">
              <w:rPr>
                <w:rFonts w:ascii="Arial" w:hAnsi="Arial" w:cs="Arial"/>
                <w:color w:val="000000"/>
                <w:sz w:val="16"/>
                <w:szCs w:val="16"/>
              </w:rPr>
              <w:t xml:space="preserve"> increase in total yearly number of retweets</w:t>
            </w:r>
          </w:p>
        </w:tc>
      </w:tr>
      <w:tr w:rsidR="00B66294" w:rsidRPr="0080719C" w14:paraId="22DE33AC" w14:textId="77777777" w:rsidTr="00FB68E0">
        <w:trPr>
          <w:trHeight w:val="882"/>
        </w:trPr>
        <w:tc>
          <w:tcPr>
            <w:tcW w:w="2140" w:type="dxa"/>
            <w:tcBorders>
              <w:top w:val="single" w:sz="4" w:space="0" w:color="auto"/>
              <w:left w:val="single" w:sz="4" w:space="0" w:color="auto"/>
              <w:bottom w:val="nil"/>
              <w:right w:val="nil"/>
            </w:tcBorders>
            <w:shd w:val="clear" w:color="000000" w:fill="FFFFFF"/>
            <w:tcMar>
              <w:top w:w="85" w:type="dxa"/>
            </w:tcMar>
            <w:hideMark/>
          </w:tcPr>
          <w:p w14:paraId="00E88D2E"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lastRenderedPageBreak/>
              <w:t>VIII.2 Improved service orientation and responsiveness to inquiries</w:t>
            </w:r>
          </w:p>
        </w:tc>
        <w:tc>
          <w:tcPr>
            <w:tcW w:w="2140" w:type="dxa"/>
            <w:tcBorders>
              <w:top w:val="single" w:sz="4" w:space="0" w:color="auto"/>
              <w:left w:val="nil"/>
              <w:bottom w:val="nil"/>
              <w:right w:val="nil"/>
            </w:tcBorders>
            <w:shd w:val="clear" w:color="000000" w:fill="FFFFFF"/>
            <w:tcMar>
              <w:top w:w="85" w:type="dxa"/>
            </w:tcMar>
            <w:hideMark/>
          </w:tcPr>
          <w:p w14:paraId="747CC785" w14:textId="278A7C45" w:rsidR="00B66294" w:rsidRPr="0080719C" w:rsidRDefault="00B66294" w:rsidP="00984F70">
            <w:pPr>
              <w:keepNext/>
              <w:keepLines/>
              <w:rPr>
                <w:rFonts w:ascii="Arial" w:hAnsi="Arial" w:cs="Arial"/>
                <w:color w:val="000000"/>
                <w:sz w:val="16"/>
                <w:szCs w:val="16"/>
              </w:rPr>
            </w:pPr>
            <w:r>
              <w:rPr>
                <w:rFonts w:ascii="Arial" w:hAnsi="Arial" w:cs="Arial"/>
                <w:color w:val="000000"/>
                <w:sz w:val="16"/>
                <w:szCs w:val="16"/>
              </w:rPr>
              <w:t>U</w:t>
            </w:r>
            <w:r w:rsidRPr="0080719C">
              <w:rPr>
                <w:rFonts w:ascii="Arial" w:hAnsi="Arial" w:cs="Arial"/>
                <w:color w:val="000000"/>
                <w:sz w:val="16"/>
                <w:szCs w:val="16"/>
              </w:rPr>
              <w:t>ser satisf</w:t>
            </w:r>
            <w:r>
              <w:rPr>
                <w:rFonts w:ascii="Arial" w:hAnsi="Arial" w:cs="Arial"/>
                <w:color w:val="000000"/>
                <w:sz w:val="16"/>
                <w:szCs w:val="16"/>
              </w:rPr>
              <w:t>action</w:t>
            </w:r>
            <w:r w:rsidRPr="0080719C">
              <w:rPr>
                <w:rFonts w:ascii="Arial" w:hAnsi="Arial" w:cs="Arial"/>
                <w:color w:val="000000"/>
                <w:sz w:val="16"/>
                <w:szCs w:val="16"/>
              </w:rPr>
              <w:t xml:space="preserve"> with Library services</w:t>
            </w:r>
          </w:p>
        </w:tc>
        <w:tc>
          <w:tcPr>
            <w:tcW w:w="2485" w:type="dxa"/>
            <w:tcBorders>
              <w:top w:val="single" w:sz="4" w:space="0" w:color="auto"/>
              <w:left w:val="nil"/>
              <w:bottom w:val="nil"/>
              <w:right w:val="nil"/>
            </w:tcBorders>
            <w:shd w:val="clear" w:color="000000" w:fill="FFFFFF"/>
            <w:tcMar>
              <w:top w:w="85" w:type="dxa"/>
            </w:tcMar>
            <w:hideMark/>
          </w:tcPr>
          <w:p w14:paraId="71FF20CA"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xml:space="preserve">72.2% of respondents to a feedback questionnaire to users of Library services in 2014 were highly satisfied </w:t>
            </w:r>
          </w:p>
        </w:tc>
        <w:tc>
          <w:tcPr>
            <w:tcW w:w="2430" w:type="dxa"/>
            <w:tcBorders>
              <w:top w:val="single" w:sz="4" w:space="0" w:color="auto"/>
              <w:left w:val="nil"/>
              <w:bottom w:val="nil"/>
              <w:right w:val="single" w:sz="4" w:space="0" w:color="auto"/>
            </w:tcBorders>
            <w:shd w:val="clear" w:color="000000" w:fill="FFFFFF"/>
            <w:tcMar>
              <w:top w:w="85" w:type="dxa"/>
            </w:tcMar>
            <w:hideMark/>
          </w:tcPr>
          <w:p w14:paraId="6399EB21"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 70 % highly satisfied visitors and online customers</w:t>
            </w:r>
          </w:p>
        </w:tc>
      </w:tr>
      <w:tr w:rsidR="00B66294" w:rsidRPr="0080719C" w14:paraId="1BB8223C" w14:textId="77777777" w:rsidTr="00FB68E0">
        <w:trPr>
          <w:trHeight w:val="720"/>
        </w:trPr>
        <w:tc>
          <w:tcPr>
            <w:tcW w:w="2140" w:type="dxa"/>
            <w:tcBorders>
              <w:top w:val="nil"/>
              <w:left w:val="single" w:sz="4" w:space="0" w:color="auto"/>
              <w:bottom w:val="nil"/>
              <w:right w:val="nil"/>
            </w:tcBorders>
            <w:shd w:val="clear" w:color="000000" w:fill="FFFFFF"/>
            <w:tcMar>
              <w:top w:w="85" w:type="dxa"/>
            </w:tcMar>
            <w:hideMark/>
          </w:tcPr>
          <w:p w14:paraId="4171096D"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2883806D"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Customer/stakeholder satisfaction rate</w:t>
            </w:r>
          </w:p>
        </w:tc>
        <w:tc>
          <w:tcPr>
            <w:tcW w:w="2485" w:type="dxa"/>
            <w:tcBorders>
              <w:top w:val="nil"/>
              <w:left w:val="nil"/>
              <w:bottom w:val="nil"/>
              <w:right w:val="nil"/>
            </w:tcBorders>
            <w:shd w:val="clear" w:color="000000" w:fill="FFFFFF"/>
            <w:tcMar>
              <w:top w:w="85" w:type="dxa"/>
            </w:tcMar>
            <w:hideMark/>
          </w:tcPr>
          <w:p w14:paraId="57E2A9AB"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86% of Madrid and Hague customers satisfied or highly satisfied (2013 survey)</w:t>
            </w:r>
          </w:p>
        </w:tc>
        <w:tc>
          <w:tcPr>
            <w:tcW w:w="2430" w:type="dxa"/>
            <w:tcBorders>
              <w:top w:val="nil"/>
              <w:left w:val="nil"/>
              <w:bottom w:val="nil"/>
              <w:right w:val="single" w:sz="4" w:space="0" w:color="auto"/>
            </w:tcBorders>
            <w:shd w:val="clear" w:color="000000" w:fill="FFFFFF"/>
            <w:tcMar>
              <w:top w:w="85" w:type="dxa"/>
            </w:tcMar>
            <w:hideMark/>
          </w:tcPr>
          <w:p w14:paraId="2D93D752" w14:textId="77777777" w:rsidR="00B66294" w:rsidRPr="0080719C" w:rsidRDefault="00B66294" w:rsidP="00984F70">
            <w:pPr>
              <w:keepNext/>
              <w:keepLines/>
              <w:ind w:firstLineChars="200" w:firstLine="320"/>
              <w:rPr>
                <w:rFonts w:ascii="Arial" w:hAnsi="Arial" w:cs="Arial"/>
                <w:color w:val="000000"/>
                <w:sz w:val="16"/>
                <w:szCs w:val="16"/>
              </w:rPr>
            </w:pPr>
            <w:r>
              <w:rPr>
                <w:rFonts w:ascii="Arial" w:hAnsi="Arial" w:cs="Arial"/>
                <w:color w:val="000000"/>
                <w:sz w:val="16"/>
                <w:szCs w:val="16"/>
              </w:rPr>
              <w:t> </w:t>
            </w:r>
            <w:r w:rsidRPr="0080719C">
              <w:rPr>
                <w:rFonts w:ascii="Arial" w:hAnsi="Arial" w:cs="Arial"/>
                <w:color w:val="000000"/>
                <w:sz w:val="16"/>
                <w:szCs w:val="16"/>
              </w:rPr>
              <w:t>≥ 90% satisfied or highly satisfied</w:t>
            </w:r>
          </w:p>
        </w:tc>
      </w:tr>
      <w:tr w:rsidR="00B66294" w:rsidRPr="0080719C" w14:paraId="1B6796D0" w14:textId="77777777" w:rsidTr="00984F70">
        <w:trPr>
          <w:trHeight w:val="887"/>
        </w:trPr>
        <w:tc>
          <w:tcPr>
            <w:tcW w:w="2140" w:type="dxa"/>
            <w:tcBorders>
              <w:top w:val="nil"/>
              <w:left w:val="single" w:sz="4" w:space="0" w:color="auto"/>
              <w:bottom w:val="single" w:sz="4" w:space="0" w:color="auto"/>
              <w:right w:val="nil"/>
            </w:tcBorders>
            <w:shd w:val="clear" w:color="000000" w:fill="FFFFFF"/>
            <w:tcMar>
              <w:top w:w="85" w:type="dxa"/>
            </w:tcMar>
            <w:hideMark/>
          </w:tcPr>
          <w:p w14:paraId="0206092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single" w:sz="4" w:space="0" w:color="auto"/>
              <w:right w:val="nil"/>
            </w:tcBorders>
            <w:shd w:val="clear" w:color="000000" w:fill="FFFFFF"/>
            <w:tcMar>
              <w:top w:w="85" w:type="dxa"/>
            </w:tcMar>
            <w:hideMark/>
          </w:tcPr>
          <w:p w14:paraId="3C9AD1B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xml:space="preserve">Service Standards for the WIPO Customer Service Center </w:t>
            </w:r>
          </w:p>
        </w:tc>
        <w:tc>
          <w:tcPr>
            <w:tcW w:w="2485" w:type="dxa"/>
            <w:tcBorders>
              <w:top w:val="nil"/>
              <w:left w:val="nil"/>
              <w:bottom w:val="single" w:sz="4" w:space="0" w:color="auto"/>
              <w:right w:val="nil"/>
            </w:tcBorders>
            <w:shd w:val="clear" w:color="000000" w:fill="FFFFFF"/>
            <w:tcMar>
              <w:top w:w="85" w:type="dxa"/>
            </w:tcMar>
            <w:hideMark/>
          </w:tcPr>
          <w:p w14:paraId="1A6C7FE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92% of tickets processed within 1 day; 100% of complaints processed within 8 working hours</w:t>
            </w:r>
          </w:p>
        </w:tc>
        <w:tc>
          <w:tcPr>
            <w:tcW w:w="2430" w:type="dxa"/>
            <w:tcBorders>
              <w:top w:val="nil"/>
              <w:left w:val="nil"/>
              <w:bottom w:val="single" w:sz="4" w:space="0" w:color="auto"/>
              <w:right w:val="single" w:sz="4" w:space="0" w:color="auto"/>
            </w:tcBorders>
            <w:shd w:val="clear" w:color="000000" w:fill="FFFFFF"/>
            <w:tcMar>
              <w:top w:w="85" w:type="dxa"/>
            </w:tcMar>
            <w:hideMark/>
          </w:tcPr>
          <w:p w14:paraId="4F73754B" w14:textId="06CE1965"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90% of tickets processed within 1 day</w:t>
            </w:r>
            <w:r>
              <w:rPr>
                <w:rFonts w:ascii="Arial" w:hAnsi="Arial" w:cs="Arial"/>
                <w:color w:val="000000"/>
                <w:sz w:val="16"/>
                <w:szCs w:val="16"/>
              </w:rPr>
              <w:t>;</w:t>
            </w:r>
            <w:r w:rsidRPr="0080719C">
              <w:rPr>
                <w:rFonts w:ascii="Arial" w:hAnsi="Arial" w:cs="Arial"/>
                <w:color w:val="000000"/>
                <w:sz w:val="16"/>
                <w:szCs w:val="16"/>
              </w:rPr>
              <w:t xml:space="preserve"> ii. 90% of complaints processed within 8 working hours</w:t>
            </w:r>
          </w:p>
        </w:tc>
      </w:tr>
    </w:tbl>
    <w:p w14:paraId="701177DC" w14:textId="77777777" w:rsidR="00B66294" w:rsidRDefault="00B66294" w:rsidP="00984F70">
      <w:pPr>
        <w:autoSpaceDE w:val="0"/>
        <w:autoSpaceDN w:val="0"/>
        <w:adjustRightInd w:val="0"/>
        <w:rPr>
          <w:rFonts w:ascii="Arial" w:hAnsi="Arial" w:cs="Arial"/>
        </w:rPr>
      </w:pPr>
    </w:p>
    <w:p w14:paraId="69302C01" w14:textId="77777777" w:rsidR="00B66294" w:rsidRDefault="00B66294" w:rsidP="00984F70">
      <w:pPr>
        <w:autoSpaceDE w:val="0"/>
        <w:autoSpaceDN w:val="0"/>
        <w:adjustRightInd w:val="0"/>
        <w:rPr>
          <w:rFonts w:ascii="Arial" w:hAnsi="Arial" w:cs="Arial"/>
        </w:rPr>
      </w:pPr>
    </w:p>
    <w:p w14:paraId="78151094" w14:textId="77777777" w:rsidR="00B66294" w:rsidRDefault="00B66294" w:rsidP="00984F70">
      <w:pPr>
        <w:autoSpaceDE w:val="0"/>
        <w:autoSpaceDN w:val="0"/>
        <w:adjustRightInd w:val="0"/>
        <w:rPr>
          <w:rFonts w:ascii="Arial" w:hAnsi="Arial" w:cs="Arial"/>
        </w:rPr>
      </w:pPr>
      <w:r>
        <w:rPr>
          <w:rFonts w:ascii="Arial" w:hAnsi="Arial" w:cs="Arial"/>
        </w:rPr>
        <w:t>RESOURCES FOR PROGRAM 19</w:t>
      </w:r>
    </w:p>
    <w:p w14:paraId="5B2A0562" w14:textId="77777777" w:rsidR="00B66294" w:rsidRDefault="00B66294" w:rsidP="00984F70">
      <w:pPr>
        <w:autoSpaceDE w:val="0"/>
        <w:autoSpaceDN w:val="0"/>
        <w:adjustRightInd w:val="0"/>
        <w:rPr>
          <w:rFonts w:ascii="Arial" w:hAnsi="Arial" w:cs="Arial"/>
        </w:rPr>
      </w:pPr>
    </w:p>
    <w:p w14:paraId="761D77F6" w14:textId="77777777" w:rsidR="00B66294" w:rsidRPr="00FB68E0" w:rsidRDefault="00B66294" w:rsidP="00B66A4A">
      <w:pPr>
        <w:numPr>
          <w:ilvl w:val="0"/>
          <w:numId w:val="20"/>
        </w:numPr>
        <w:jc w:val="both"/>
        <w:rPr>
          <w:rFonts w:ascii="Arial" w:hAnsi="Arial" w:cs="Arial"/>
          <w:sz w:val="20"/>
          <w:szCs w:val="20"/>
        </w:rPr>
      </w:pPr>
      <w:r w:rsidRPr="001E2F7D">
        <w:rPr>
          <w:rFonts w:ascii="Arial" w:hAnsi="Arial" w:cs="Arial"/>
          <w:sz w:val="20"/>
        </w:rPr>
        <w:t xml:space="preserve">The overall resources for Program 19 in the 2016/17 biennium remain at the same level as the 2014/15 Budget after Transfers.  </w:t>
      </w:r>
      <w:r w:rsidRPr="00FB68E0">
        <w:rPr>
          <w:rFonts w:ascii="Arial" w:hAnsi="Arial" w:cs="Arial"/>
          <w:sz w:val="20"/>
          <w:szCs w:val="20"/>
        </w:rPr>
        <w:t xml:space="preserve">The shift in resources across the two Expected Results reflects a further strengthening </w:t>
      </w:r>
      <w:r w:rsidRPr="001E2F7D">
        <w:rPr>
          <w:rFonts w:ascii="Arial" w:eastAsia="MS Mincho" w:hAnsi="Arial" w:cs="Arial"/>
          <w:iCs/>
          <w:sz w:val="20"/>
        </w:rPr>
        <w:t>of the support to customer services across the Organization</w:t>
      </w:r>
      <w:r w:rsidRPr="00FB68E0">
        <w:rPr>
          <w:rFonts w:ascii="Arial" w:hAnsi="Arial" w:cs="Arial"/>
          <w:sz w:val="20"/>
          <w:szCs w:val="20"/>
        </w:rPr>
        <w:t xml:space="preserve">. </w:t>
      </w:r>
    </w:p>
    <w:p w14:paraId="638FFFC4" w14:textId="77777777" w:rsidR="00B66294" w:rsidRDefault="00B66294" w:rsidP="00984F70">
      <w:pPr>
        <w:autoSpaceDE w:val="0"/>
        <w:autoSpaceDN w:val="0"/>
        <w:adjustRightInd w:val="0"/>
        <w:rPr>
          <w:rFonts w:ascii="Arial" w:hAnsi="Arial" w:cs="Arial"/>
        </w:rPr>
      </w:pPr>
    </w:p>
    <w:p w14:paraId="2653F585" w14:textId="77777777" w:rsidR="00B66294" w:rsidRDefault="00B66294" w:rsidP="00984F70">
      <w:pPr>
        <w:autoSpaceDE w:val="0"/>
        <w:autoSpaceDN w:val="0"/>
        <w:adjustRightInd w:val="0"/>
        <w:rPr>
          <w:rFonts w:ascii="Arial" w:hAnsi="Arial" w:cs="Arial"/>
        </w:rPr>
      </w:pPr>
    </w:p>
    <w:p w14:paraId="7DFEB7B2" w14:textId="77777777" w:rsidR="00B66294" w:rsidRPr="004444B4" w:rsidRDefault="00B66294" w:rsidP="00984F70">
      <w:pPr>
        <w:spacing w:after="240"/>
        <w:contextualSpacing/>
        <w:jc w:val="center"/>
        <w:rPr>
          <w:rFonts w:ascii="Arial" w:hAnsi="Arial" w:cs="Arial"/>
          <w:b/>
          <w:sz w:val="20"/>
        </w:rPr>
      </w:pPr>
      <w:r w:rsidRPr="004444B4">
        <w:rPr>
          <w:rFonts w:ascii="Arial" w:hAnsi="Arial" w:cs="Arial"/>
          <w:b/>
          <w:sz w:val="20"/>
        </w:rPr>
        <w:t xml:space="preserve">Program </w:t>
      </w:r>
      <w:r>
        <w:rPr>
          <w:rFonts w:ascii="Arial" w:hAnsi="Arial" w:cs="Arial"/>
          <w:b/>
          <w:sz w:val="20"/>
        </w:rPr>
        <w:t>1</w:t>
      </w:r>
      <w:r w:rsidRPr="004444B4">
        <w:rPr>
          <w:rFonts w:ascii="Arial" w:hAnsi="Arial" w:cs="Arial"/>
          <w:b/>
          <w:sz w:val="20"/>
        </w:rPr>
        <w:t xml:space="preserve">9: Resources by </w:t>
      </w:r>
      <w:r>
        <w:rPr>
          <w:rFonts w:ascii="Arial" w:hAnsi="Arial" w:cs="Arial"/>
          <w:b/>
          <w:sz w:val="20"/>
        </w:rPr>
        <w:t>Result</w:t>
      </w:r>
      <w:r w:rsidRPr="004444B4">
        <w:rPr>
          <w:rFonts w:ascii="Arial" w:hAnsi="Arial" w:cs="Arial"/>
          <w:b/>
          <w:sz w:val="20"/>
        </w:rPr>
        <w:t xml:space="preserve"> </w:t>
      </w:r>
    </w:p>
    <w:p w14:paraId="2FDA1356" w14:textId="77777777" w:rsidR="00B66294" w:rsidRDefault="00B66294" w:rsidP="00984F70">
      <w:pPr>
        <w:spacing w:after="240"/>
        <w:contextualSpacing/>
        <w:jc w:val="center"/>
        <w:rPr>
          <w:rFonts w:ascii="Arial" w:hAnsi="Arial" w:cs="Arial"/>
          <w:i/>
          <w:sz w:val="20"/>
        </w:rPr>
      </w:pPr>
      <w:r w:rsidRPr="004444B4">
        <w:rPr>
          <w:rFonts w:ascii="Arial" w:hAnsi="Arial" w:cs="Arial"/>
          <w:i/>
          <w:sz w:val="20"/>
        </w:rPr>
        <w:t>(in thousands of Swiss francs)</w:t>
      </w:r>
    </w:p>
    <w:p w14:paraId="5C24A4D4" w14:textId="77777777" w:rsidR="00B66294" w:rsidRDefault="00B66294" w:rsidP="00984F70">
      <w:pPr>
        <w:spacing w:after="240"/>
        <w:contextualSpacing/>
        <w:jc w:val="center"/>
        <w:rPr>
          <w:rFonts w:ascii="Arial" w:hAnsi="Arial" w:cs="Arial"/>
          <w:i/>
          <w:sz w:val="20"/>
        </w:rPr>
      </w:pPr>
    </w:p>
    <w:p w14:paraId="04D44A03" w14:textId="77777777" w:rsidR="00B66294" w:rsidRDefault="00B66294" w:rsidP="00984F70">
      <w:pPr>
        <w:spacing w:after="240"/>
        <w:contextualSpacing/>
        <w:jc w:val="center"/>
        <w:rPr>
          <w:rFonts w:ascii="Arial" w:hAnsi="Arial" w:cs="Arial"/>
          <w:i/>
          <w:sz w:val="20"/>
        </w:rPr>
      </w:pPr>
      <w:r w:rsidRPr="00E9194F">
        <w:rPr>
          <w:noProof/>
          <w:lang w:eastAsia="en-US"/>
        </w:rPr>
        <w:drawing>
          <wp:inline distT="0" distB="0" distL="0" distR="0" wp14:anchorId="66E40082" wp14:editId="075EC640">
            <wp:extent cx="5200650" cy="1298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12486" cy="1301220"/>
                    </a:xfrm>
                    <a:prstGeom prst="rect">
                      <a:avLst/>
                    </a:prstGeom>
                    <a:noFill/>
                    <a:ln>
                      <a:noFill/>
                    </a:ln>
                  </pic:spPr>
                </pic:pic>
              </a:graphicData>
            </a:graphic>
          </wp:inline>
        </w:drawing>
      </w:r>
    </w:p>
    <w:p w14:paraId="5F280544" w14:textId="77777777" w:rsidR="00B66294" w:rsidRDefault="00B66294" w:rsidP="00984F70">
      <w:pPr>
        <w:spacing w:after="240"/>
        <w:contextualSpacing/>
        <w:jc w:val="center"/>
        <w:rPr>
          <w:rFonts w:ascii="Arial" w:hAnsi="Arial" w:cs="Arial"/>
          <w:i/>
          <w:sz w:val="20"/>
        </w:rPr>
      </w:pPr>
    </w:p>
    <w:p w14:paraId="1D5EFA0A" w14:textId="77777777" w:rsidR="00B66294" w:rsidRPr="004444B4" w:rsidRDefault="00B66294" w:rsidP="00984F70">
      <w:pPr>
        <w:spacing w:after="240"/>
        <w:contextualSpacing/>
        <w:jc w:val="center"/>
        <w:rPr>
          <w:rFonts w:ascii="Arial" w:hAnsi="Arial" w:cs="Arial"/>
          <w:i/>
          <w:sz w:val="20"/>
        </w:rPr>
      </w:pPr>
    </w:p>
    <w:p w14:paraId="5FAB2088" w14:textId="77777777" w:rsidR="00B66294" w:rsidRPr="004444B4" w:rsidRDefault="00B66294" w:rsidP="00984F70">
      <w:pPr>
        <w:keepNext/>
        <w:keepLines/>
        <w:contextualSpacing/>
        <w:jc w:val="center"/>
        <w:rPr>
          <w:rFonts w:ascii="Arial" w:hAnsi="Arial" w:cs="Arial"/>
          <w:b/>
          <w:sz w:val="20"/>
        </w:rPr>
      </w:pPr>
      <w:r w:rsidRPr="004444B4">
        <w:rPr>
          <w:rFonts w:ascii="Arial" w:hAnsi="Arial" w:cs="Arial"/>
          <w:b/>
          <w:sz w:val="20"/>
        </w:rPr>
        <w:lastRenderedPageBreak/>
        <w:t xml:space="preserve">Program </w:t>
      </w:r>
      <w:r>
        <w:rPr>
          <w:rFonts w:ascii="Arial" w:hAnsi="Arial" w:cs="Arial"/>
          <w:b/>
          <w:sz w:val="20"/>
        </w:rPr>
        <w:t>1</w:t>
      </w:r>
      <w:r w:rsidRPr="004444B4">
        <w:rPr>
          <w:rFonts w:ascii="Arial" w:hAnsi="Arial" w:cs="Arial"/>
          <w:b/>
          <w:sz w:val="20"/>
        </w:rPr>
        <w:t xml:space="preserve">9: Resources by Object of Expenditure </w:t>
      </w:r>
    </w:p>
    <w:p w14:paraId="430BE583" w14:textId="77777777" w:rsidR="00B66294" w:rsidRDefault="00B66294" w:rsidP="00984F70">
      <w:pPr>
        <w:keepNext/>
        <w:keepLines/>
        <w:contextualSpacing/>
        <w:jc w:val="center"/>
        <w:rPr>
          <w:rFonts w:ascii="Arial" w:hAnsi="Arial" w:cs="Arial"/>
          <w:i/>
          <w:sz w:val="20"/>
        </w:rPr>
      </w:pPr>
      <w:r w:rsidRPr="004444B4">
        <w:rPr>
          <w:rFonts w:ascii="Arial" w:hAnsi="Arial" w:cs="Arial"/>
          <w:i/>
          <w:sz w:val="20"/>
        </w:rPr>
        <w:t>(in thousands of Swiss francs)</w:t>
      </w:r>
    </w:p>
    <w:p w14:paraId="3A709FD7" w14:textId="77777777" w:rsidR="00B66294" w:rsidRDefault="00B66294" w:rsidP="00984F70">
      <w:pPr>
        <w:keepNext/>
        <w:keepLines/>
        <w:contextualSpacing/>
        <w:jc w:val="center"/>
        <w:rPr>
          <w:rFonts w:ascii="Arial" w:hAnsi="Arial" w:cs="Arial"/>
          <w:i/>
          <w:sz w:val="20"/>
        </w:rPr>
      </w:pPr>
    </w:p>
    <w:p w14:paraId="0DB0DF5D" w14:textId="77777777" w:rsidR="00B66294" w:rsidRDefault="00B66294" w:rsidP="00984F70">
      <w:pPr>
        <w:autoSpaceDE w:val="0"/>
        <w:autoSpaceDN w:val="0"/>
        <w:adjustRightInd w:val="0"/>
        <w:jc w:val="center"/>
        <w:rPr>
          <w:rFonts w:ascii="Arial" w:hAnsi="Arial" w:cs="Arial"/>
          <w:sz w:val="20"/>
        </w:rPr>
      </w:pPr>
      <w:r w:rsidRPr="00881D66">
        <w:rPr>
          <w:noProof/>
          <w:lang w:eastAsia="en-US"/>
        </w:rPr>
        <w:drawing>
          <wp:inline distT="0" distB="0" distL="0" distR="0" wp14:anchorId="64752509" wp14:editId="41F7B5B2">
            <wp:extent cx="5001750" cy="5628551"/>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07355" cy="5634859"/>
                    </a:xfrm>
                    <a:prstGeom prst="rect">
                      <a:avLst/>
                    </a:prstGeom>
                    <a:noFill/>
                    <a:ln>
                      <a:noFill/>
                    </a:ln>
                  </pic:spPr>
                </pic:pic>
              </a:graphicData>
            </a:graphic>
          </wp:inline>
        </w:drawing>
      </w:r>
    </w:p>
    <w:p w14:paraId="5575A79C" w14:textId="77777777" w:rsidR="00B66294" w:rsidRDefault="00B66294" w:rsidP="00984F70">
      <w:pPr>
        <w:autoSpaceDE w:val="0"/>
        <w:autoSpaceDN w:val="0"/>
        <w:adjustRightInd w:val="0"/>
        <w:rPr>
          <w:rFonts w:ascii="Arial" w:hAnsi="Arial" w:cs="Arial"/>
          <w:sz w:val="20"/>
        </w:rPr>
      </w:pPr>
    </w:p>
    <w:p w14:paraId="1DABE7B0" w14:textId="77777777" w:rsidR="00B66294" w:rsidRDefault="00B66294" w:rsidP="00984F70">
      <w:pPr>
        <w:autoSpaceDE w:val="0"/>
        <w:autoSpaceDN w:val="0"/>
        <w:adjustRightInd w:val="0"/>
        <w:rPr>
          <w:rFonts w:ascii="Arial" w:hAnsi="Arial" w:cs="Arial"/>
          <w:sz w:val="20"/>
        </w:rPr>
      </w:pPr>
    </w:p>
    <w:p w14:paraId="6B82CF91" w14:textId="08496C72" w:rsidR="00971C84" w:rsidRDefault="00971C84">
      <w:pPr>
        <w:rPr>
          <w:rFonts w:ascii="Arial" w:hAnsi="Arial" w:cs="Arial"/>
          <w:sz w:val="20"/>
        </w:rPr>
      </w:pPr>
      <w:r>
        <w:rPr>
          <w:rFonts w:ascii="Arial" w:hAnsi="Arial" w:cs="Arial"/>
          <w:sz w:val="20"/>
        </w:rPr>
        <w:br w:type="page"/>
      </w:r>
    </w:p>
    <w:p w14:paraId="647A5464" w14:textId="77777777" w:rsidR="00971C84" w:rsidRPr="00F74F51" w:rsidRDefault="00971C84" w:rsidP="00102279">
      <w:pPr>
        <w:pStyle w:val="StyleHeading3ComplexItalic"/>
        <w:keepLines/>
        <w:ind w:left="1985" w:hanging="1985"/>
      </w:pPr>
      <w:bookmarkStart w:id="65" w:name="_Toc431221434"/>
      <w:r w:rsidRPr="006B3627">
        <w:lastRenderedPageBreak/>
        <w:t>PROGRAM 20</w:t>
      </w:r>
      <w:r w:rsidRPr="006B3627">
        <w:tab/>
        <w:t>EXTERNAL RELATIONS, PARTNERSHIPS AND</w:t>
      </w:r>
      <w:r>
        <w:t xml:space="preserve"> </w:t>
      </w:r>
      <w:r w:rsidRPr="006B3627">
        <w:t>EXTERNAL OFFICES</w:t>
      </w:r>
      <w:bookmarkEnd w:id="65"/>
    </w:p>
    <w:p w14:paraId="7A428468" w14:textId="77777777" w:rsidR="00971C84" w:rsidRDefault="00971C84" w:rsidP="00971C84">
      <w:pPr>
        <w:jc w:val="both"/>
        <w:rPr>
          <w:rFonts w:ascii="Arial" w:hAnsi="Arial" w:cs="Arial"/>
          <w:b/>
          <w:bCs/>
        </w:rPr>
      </w:pPr>
    </w:p>
    <w:p w14:paraId="133F13B6" w14:textId="77777777" w:rsidR="00102279" w:rsidRPr="006B3627" w:rsidRDefault="00102279" w:rsidP="00971C84">
      <w:pPr>
        <w:jc w:val="both"/>
        <w:rPr>
          <w:rFonts w:ascii="Arial" w:hAnsi="Arial" w:cs="Arial"/>
          <w:b/>
          <w:bCs/>
        </w:rPr>
      </w:pPr>
    </w:p>
    <w:p w14:paraId="64DE724E" w14:textId="77777777" w:rsidR="00971C84" w:rsidRPr="006B3627" w:rsidRDefault="00971C84" w:rsidP="00971C84">
      <w:pPr>
        <w:jc w:val="both"/>
        <w:rPr>
          <w:rFonts w:ascii="Arial" w:hAnsi="Arial" w:cs="Arial"/>
        </w:rPr>
      </w:pPr>
      <w:r w:rsidRPr="006B3627">
        <w:rPr>
          <w:rFonts w:ascii="Arial" w:hAnsi="Arial" w:cs="Arial"/>
        </w:rPr>
        <w:t xml:space="preserve">PLANNING CONTEXT   </w:t>
      </w:r>
      <w:r>
        <w:rPr>
          <w:rFonts w:ascii="Arial" w:hAnsi="Arial" w:cs="Arial"/>
        </w:rPr>
        <w:t xml:space="preserve"> </w:t>
      </w:r>
    </w:p>
    <w:p w14:paraId="44D40329" w14:textId="77777777" w:rsidR="00971C84" w:rsidRPr="006B3627" w:rsidRDefault="00971C84" w:rsidP="00971C84">
      <w:pPr>
        <w:tabs>
          <w:tab w:val="num" w:pos="709"/>
        </w:tabs>
        <w:jc w:val="both"/>
        <w:rPr>
          <w:rFonts w:ascii="Arial" w:hAnsi="Arial" w:cs="Arial"/>
          <w:bCs/>
        </w:rPr>
      </w:pPr>
    </w:p>
    <w:p w14:paraId="148A1A28" w14:textId="77777777" w:rsidR="00971C84" w:rsidRDefault="00971C84" w:rsidP="00B66A4A">
      <w:pPr>
        <w:pStyle w:val="ListParagraph"/>
        <w:numPr>
          <w:ilvl w:val="0"/>
          <w:numId w:val="72"/>
        </w:numPr>
        <w:jc w:val="both"/>
        <w:rPr>
          <w:rFonts w:ascii="Arial" w:hAnsi="Arial" w:cs="Arial"/>
          <w:sz w:val="20"/>
        </w:rPr>
      </w:pPr>
      <w:r w:rsidRPr="00E9644C">
        <w:rPr>
          <w:rFonts w:ascii="Arial" w:hAnsi="Arial" w:cs="Arial"/>
          <w:bCs/>
          <w:sz w:val="20"/>
        </w:rPr>
        <w:t xml:space="preserve">In the 2016/17 biennium, the UN is set to shift from negotiation to implementation as a number of major negotiating processes converge and conclude towards the end of 2015. </w:t>
      </w:r>
      <w:r>
        <w:rPr>
          <w:rFonts w:ascii="Arial" w:hAnsi="Arial" w:cs="Arial"/>
          <w:bCs/>
          <w:sz w:val="20"/>
        </w:rPr>
        <w:t xml:space="preserve"> </w:t>
      </w:r>
      <w:r w:rsidRPr="00E9644C">
        <w:rPr>
          <w:rFonts w:ascii="Arial" w:hAnsi="Arial" w:cs="Arial"/>
          <w:bCs/>
          <w:sz w:val="20"/>
        </w:rPr>
        <w:t xml:space="preserve">The expectation is that Member States will finalize negotiations on the post-2015 Development Agenda at the UN Summit in New York in September 2015: </w:t>
      </w:r>
      <w:r w:rsidRPr="00E9644C">
        <w:rPr>
          <w:rFonts w:ascii="Arial" w:hAnsi="Arial" w:cs="Arial"/>
          <w:bCs/>
          <w:i/>
          <w:sz w:val="20"/>
        </w:rPr>
        <w:t>“Delivering on and Implementing a Transformative Post–2015 Development Agenda”</w:t>
      </w:r>
      <w:r w:rsidRPr="00E9644C">
        <w:rPr>
          <w:rFonts w:ascii="Arial" w:hAnsi="Arial" w:cs="Arial"/>
          <w:bCs/>
          <w:sz w:val="20"/>
        </w:rPr>
        <w:t xml:space="preserve">. </w:t>
      </w:r>
      <w:r>
        <w:rPr>
          <w:rFonts w:ascii="Arial" w:hAnsi="Arial" w:cs="Arial"/>
          <w:bCs/>
          <w:sz w:val="20"/>
        </w:rPr>
        <w:t xml:space="preserve"> </w:t>
      </w:r>
      <w:r w:rsidRPr="00E9644C">
        <w:rPr>
          <w:rFonts w:ascii="Arial" w:hAnsi="Arial" w:cs="Arial"/>
          <w:bCs/>
          <w:sz w:val="20"/>
        </w:rPr>
        <w:t>Prior to that, in July 2015, Member States are expected to agree on the Outcome Document of the Third International Conference on Financing for Development (</w:t>
      </w:r>
      <w:proofErr w:type="spellStart"/>
      <w:r w:rsidRPr="00E9644C">
        <w:rPr>
          <w:rFonts w:ascii="Arial" w:hAnsi="Arial" w:cs="Arial"/>
          <w:bCs/>
          <w:sz w:val="20"/>
        </w:rPr>
        <w:t>FfD</w:t>
      </w:r>
      <w:proofErr w:type="spellEnd"/>
      <w:r w:rsidRPr="00E9644C">
        <w:rPr>
          <w:rFonts w:ascii="Arial" w:hAnsi="Arial" w:cs="Arial"/>
          <w:bCs/>
          <w:sz w:val="20"/>
        </w:rPr>
        <w:t xml:space="preserve">).  This is connected to discussions on the “Means of Implementation” for the Sustainable Development Goals (SDGs) covering both finance and the scaling up of support for innovation capacity building and the development and transfer of technologies for sustainable development. </w:t>
      </w:r>
      <w:r>
        <w:rPr>
          <w:rFonts w:ascii="Arial" w:hAnsi="Arial" w:cs="Arial"/>
          <w:bCs/>
          <w:sz w:val="20"/>
        </w:rPr>
        <w:t xml:space="preserve"> </w:t>
      </w:r>
      <w:r w:rsidRPr="00E9644C">
        <w:rPr>
          <w:rFonts w:ascii="Arial" w:hAnsi="Arial" w:cs="Arial"/>
          <w:bCs/>
          <w:sz w:val="20"/>
        </w:rPr>
        <w:t xml:space="preserve">Also closely linked to this is work on a technology transfer facilitation mechanism, originating in the Rio+20 Outcome Document and subsequent follow-up processes. </w:t>
      </w:r>
      <w:r>
        <w:rPr>
          <w:rFonts w:ascii="Arial" w:hAnsi="Arial" w:cs="Arial"/>
          <w:bCs/>
          <w:sz w:val="20"/>
        </w:rPr>
        <w:t xml:space="preserve"> </w:t>
      </w:r>
      <w:r w:rsidRPr="00E9644C">
        <w:rPr>
          <w:rFonts w:ascii="Arial" w:hAnsi="Arial" w:cs="Arial"/>
          <w:bCs/>
          <w:sz w:val="20"/>
        </w:rPr>
        <w:t xml:space="preserve">Concurrently, </w:t>
      </w:r>
      <w:r>
        <w:rPr>
          <w:rFonts w:ascii="Arial" w:hAnsi="Arial" w:cs="Arial"/>
          <w:bCs/>
          <w:sz w:val="20"/>
        </w:rPr>
        <w:t>n</w:t>
      </w:r>
      <w:r w:rsidRPr="00E9644C">
        <w:rPr>
          <w:rFonts w:ascii="Arial" w:hAnsi="Arial" w:cs="Arial"/>
          <w:sz w:val="20"/>
        </w:rPr>
        <w:t xml:space="preserve">egotiations </w:t>
      </w:r>
      <w:r>
        <w:rPr>
          <w:rFonts w:ascii="Arial" w:hAnsi="Arial" w:cs="Arial"/>
          <w:sz w:val="20"/>
        </w:rPr>
        <w:t xml:space="preserve">also </w:t>
      </w:r>
      <w:r w:rsidRPr="00E9644C">
        <w:rPr>
          <w:rFonts w:ascii="Arial" w:hAnsi="Arial" w:cs="Arial"/>
          <w:sz w:val="20"/>
        </w:rPr>
        <w:t>continue apace to agree on a new international climate change agreement under the framework of the UN Framework Convention on Climate Change (UNFCCC)</w:t>
      </w:r>
      <w:r>
        <w:rPr>
          <w:rFonts w:ascii="Arial" w:hAnsi="Arial" w:cs="Arial"/>
          <w:sz w:val="20"/>
        </w:rPr>
        <w:t>,</w:t>
      </w:r>
      <w:r w:rsidRPr="00E9644C">
        <w:rPr>
          <w:rFonts w:ascii="Arial" w:hAnsi="Arial" w:cs="Arial"/>
          <w:sz w:val="20"/>
        </w:rPr>
        <w:t xml:space="preserve"> due to be adopted at the UNFCCC 21st Conference of the Parties in Paris in December 2015.</w:t>
      </w:r>
      <w:r>
        <w:rPr>
          <w:rFonts w:ascii="Arial" w:hAnsi="Arial" w:cs="Arial"/>
          <w:sz w:val="20"/>
        </w:rPr>
        <w:t xml:space="preserve">  In addition, work continues on a number of other IGO processes of importance to WIPO such as on the digital divide, public health, and non-communicable diseases.</w:t>
      </w:r>
      <w:r w:rsidRPr="00E9644C">
        <w:rPr>
          <w:rFonts w:ascii="Arial" w:hAnsi="Arial" w:cs="Arial"/>
          <w:sz w:val="20"/>
        </w:rPr>
        <w:t xml:space="preserve"> </w:t>
      </w:r>
    </w:p>
    <w:p w14:paraId="111A3757" w14:textId="77777777" w:rsidR="00971C84" w:rsidRDefault="00971C84" w:rsidP="00971C84">
      <w:pPr>
        <w:jc w:val="both"/>
        <w:rPr>
          <w:rFonts w:ascii="Arial" w:hAnsi="Arial" w:cs="Arial"/>
          <w:sz w:val="20"/>
        </w:rPr>
      </w:pPr>
    </w:p>
    <w:p w14:paraId="35C9D109" w14:textId="77777777" w:rsidR="00971C84" w:rsidRPr="00E9644C" w:rsidRDefault="00971C84" w:rsidP="00B66A4A">
      <w:pPr>
        <w:pStyle w:val="ListParagraph"/>
        <w:numPr>
          <w:ilvl w:val="0"/>
          <w:numId w:val="72"/>
        </w:numPr>
        <w:jc w:val="both"/>
        <w:rPr>
          <w:rFonts w:ascii="Arial" w:hAnsi="Arial" w:cs="Arial"/>
          <w:bCs/>
          <w:sz w:val="20"/>
        </w:rPr>
      </w:pPr>
      <w:r w:rsidRPr="00E9644C">
        <w:rPr>
          <w:rFonts w:ascii="Arial" w:hAnsi="Arial" w:cs="Arial"/>
          <w:bCs/>
          <w:sz w:val="20"/>
        </w:rPr>
        <w:t xml:space="preserve">Technology, innovation, creativity and cultural development remain central components of all of these processes.  </w:t>
      </w:r>
      <w:r>
        <w:rPr>
          <w:rFonts w:ascii="Arial" w:hAnsi="Arial" w:cs="Arial"/>
          <w:bCs/>
          <w:sz w:val="20"/>
        </w:rPr>
        <w:t>T</w:t>
      </w:r>
      <w:r w:rsidRPr="00D1215D">
        <w:rPr>
          <w:rFonts w:ascii="Arial" w:hAnsi="Arial" w:cs="Arial"/>
          <w:bCs/>
          <w:sz w:val="20"/>
        </w:rPr>
        <w:t xml:space="preserve">he </w:t>
      </w:r>
      <w:r>
        <w:rPr>
          <w:rFonts w:ascii="Arial" w:hAnsi="Arial" w:cs="Arial"/>
          <w:bCs/>
          <w:sz w:val="20"/>
        </w:rPr>
        <w:t xml:space="preserve">Global Partnership for the </w:t>
      </w:r>
      <w:r w:rsidRPr="00E9644C">
        <w:rPr>
          <w:rFonts w:ascii="Arial" w:hAnsi="Arial" w:cs="Arial"/>
          <w:bCs/>
          <w:sz w:val="20"/>
        </w:rPr>
        <w:t>post-2015 Development Agenda</w:t>
      </w:r>
      <w:r>
        <w:rPr>
          <w:rFonts w:ascii="Arial" w:hAnsi="Arial" w:cs="Arial"/>
          <w:bCs/>
          <w:sz w:val="20"/>
        </w:rPr>
        <w:t xml:space="preserve"> </w:t>
      </w:r>
      <w:r w:rsidRPr="00E9644C">
        <w:rPr>
          <w:rFonts w:ascii="Arial" w:hAnsi="Arial" w:cs="Arial"/>
          <w:bCs/>
          <w:sz w:val="20"/>
        </w:rPr>
        <w:t xml:space="preserve">envisages the creation of multi-stakeholder alliances around </w:t>
      </w:r>
      <w:r>
        <w:rPr>
          <w:rFonts w:ascii="Arial" w:hAnsi="Arial" w:cs="Arial"/>
          <w:bCs/>
          <w:sz w:val="20"/>
        </w:rPr>
        <w:t xml:space="preserve">key </w:t>
      </w:r>
      <w:r w:rsidRPr="00E9644C">
        <w:rPr>
          <w:rFonts w:ascii="Arial" w:hAnsi="Arial" w:cs="Arial"/>
          <w:bCs/>
          <w:sz w:val="20"/>
        </w:rPr>
        <w:t xml:space="preserve">issues. </w:t>
      </w:r>
      <w:r>
        <w:rPr>
          <w:rFonts w:ascii="Arial" w:hAnsi="Arial" w:cs="Arial"/>
          <w:bCs/>
          <w:sz w:val="20"/>
        </w:rPr>
        <w:t xml:space="preserve"> </w:t>
      </w:r>
      <w:r w:rsidRPr="00E9644C">
        <w:rPr>
          <w:rFonts w:ascii="Arial" w:hAnsi="Arial" w:cs="Arial"/>
          <w:bCs/>
          <w:sz w:val="20"/>
        </w:rPr>
        <w:t>WIPO will play its full part in facilitating such partnerships</w:t>
      </w:r>
      <w:r>
        <w:rPr>
          <w:rFonts w:ascii="Arial" w:hAnsi="Arial" w:cs="Arial"/>
          <w:bCs/>
          <w:sz w:val="20"/>
        </w:rPr>
        <w:t>.</w:t>
      </w:r>
      <w:r w:rsidRPr="00E9644C">
        <w:rPr>
          <w:rFonts w:ascii="Arial" w:hAnsi="Arial" w:cs="Arial"/>
          <w:bCs/>
          <w:sz w:val="20"/>
        </w:rPr>
        <w:t xml:space="preserve"> </w:t>
      </w:r>
      <w:r>
        <w:rPr>
          <w:rFonts w:ascii="Arial" w:hAnsi="Arial" w:cs="Arial"/>
          <w:bCs/>
          <w:sz w:val="20"/>
        </w:rPr>
        <w:t xml:space="preserve">and </w:t>
      </w:r>
      <w:r w:rsidRPr="00E9644C">
        <w:rPr>
          <w:rFonts w:ascii="Arial" w:hAnsi="Arial" w:cs="Arial"/>
          <w:bCs/>
          <w:sz w:val="20"/>
        </w:rPr>
        <w:t>will work to strengthen its relationships with traditional partners such as the W</w:t>
      </w:r>
      <w:r>
        <w:rPr>
          <w:rFonts w:ascii="Arial" w:hAnsi="Arial" w:cs="Arial"/>
          <w:bCs/>
          <w:sz w:val="20"/>
        </w:rPr>
        <w:t>orld Trade Organization (W</w:t>
      </w:r>
      <w:r w:rsidRPr="00E9644C">
        <w:rPr>
          <w:rFonts w:ascii="Arial" w:hAnsi="Arial" w:cs="Arial"/>
          <w:bCs/>
          <w:sz w:val="20"/>
        </w:rPr>
        <w:t>TO</w:t>
      </w:r>
      <w:r>
        <w:rPr>
          <w:rFonts w:ascii="Arial" w:hAnsi="Arial" w:cs="Arial"/>
          <w:bCs/>
          <w:sz w:val="20"/>
        </w:rPr>
        <w:t>)</w:t>
      </w:r>
      <w:r w:rsidRPr="00E9644C">
        <w:rPr>
          <w:rFonts w:ascii="Arial" w:hAnsi="Arial" w:cs="Arial"/>
          <w:bCs/>
          <w:sz w:val="20"/>
        </w:rPr>
        <w:t xml:space="preserve">, </w:t>
      </w:r>
      <w:r>
        <w:rPr>
          <w:rFonts w:ascii="Arial" w:hAnsi="Arial" w:cs="Arial"/>
          <w:bCs/>
          <w:sz w:val="20"/>
        </w:rPr>
        <w:t>World Health Organization (</w:t>
      </w:r>
      <w:r w:rsidRPr="00E9644C">
        <w:rPr>
          <w:rFonts w:ascii="Arial" w:hAnsi="Arial" w:cs="Arial"/>
          <w:bCs/>
          <w:sz w:val="20"/>
        </w:rPr>
        <w:t>WHO</w:t>
      </w:r>
      <w:r>
        <w:rPr>
          <w:rFonts w:ascii="Arial" w:hAnsi="Arial" w:cs="Arial"/>
          <w:bCs/>
          <w:sz w:val="20"/>
        </w:rPr>
        <w:t>)</w:t>
      </w:r>
      <w:r w:rsidRPr="00E9644C">
        <w:rPr>
          <w:rFonts w:ascii="Arial" w:hAnsi="Arial" w:cs="Arial"/>
          <w:bCs/>
          <w:sz w:val="20"/>
        </w:rPr>
        <w:t>, U</w:t>
      </w:r>
      <w:r>
        <w:rPr>
          <w:rFonts w:ascii="Arial" w:hAnsi="Arial" w:cs="Arial"/>
          <w:bCs/>
          <w:sz w:val="20"/>
        </w:rPr>
        <w:t>nited Nations Conference on Trade and Development (U</w:t>
      </w:r>
      <w:r w:rsidRPr="00E9644C">
        <w:rPr>
          <w:rFonts w:ascii="Arial" w:hAnsi="Arial" w:cs="Arial"/>
          <w:bCs/>
          <w:sz w:val="20"/>
        </w:rPr>
        <w:t>NCTAD</w:t>
      </w:r>
      <w:r>
        <w:rPr>
          <w:rFonts w:ascii="Arial" w:hAnsi="Arial" w:cs="Arial"/>
          <w:bCs/>
          <w:sz w:val="20"/>
        </w:rPr>
        <w:t>)</w:t>
      </w:r>
      <w:r w:rsidRPr="00E9644C">
        <w:rPr>
          <w:rFonts w:ascii="Arial" w:hAnsi="Arial" w:cs="Arial"/>
          <w:bCs/>
          <w:sz w:val="20"/>
        </w:rPr>
        <w:t xml:space="preserve">, </w:t>
      </w:r>
      <w:r>
        <w:rPr>
          <w:rFonts w:ascii="Arial" w:hAnsi="Arial" w:cs="Arial"/>
          <w:bCs/>
          <w:sz w:val="20"/>
        </w:rPr>
        <w:t xml:space="preserve">United Nations Environment </w:t>
      </w:r>
      <w:proofErr w:type="spellStart"/>
      <w:r>
        <w:rPr>
          <w:rFonts w:ascii="Arial" w:hAnsi="Arial" w:cs="Arial"/>
          <w:bCs/>
          <w:sz w:val="20"/>
        </w:rPr>
        <w:t>Programme</w:t>
      </w:r>
      <w:proofErr w:type="spellEnd"/>
      <w:r>
        <w:rPr>
          <w:rFonts w:ascii="Arial" w:hAnsi="Arial" w:cs="Arial"/>
          <w:bCs/>
          <w:sz w:val="20"/>
        </w:rPr>
        <w:t xml:space="preserve"> (</w:t>
      </w:r>
      <w:r w:rsidRPr="00E9644C">
        <w:rPr>
          <w:rFonts w:ascii="Arial" w:hAnsi="Arial" w:cs="Arial"/>
          <w:bCs/>
          <w:sz w:val="20"/>
        </w:rPr>
        <w:t>UNEP</w:t>
      </w:r>
      <w:r>
        <w:rPr>
          <w:rFonts w:ascii="Arial" w:hAnsi="Arial" w:cs="Arial"/>
          <w:bCs/>
          <w:sz w:val="20"/>
        </w:rPr>
        <w:t>)</w:t>
      </w:r>
      <w:r w:rsidRPr="00E9644C">
        <w:rPr>
          <w:rFonts w:ascii="Arial" w:hAnsi="Arial" w:cs="Arial"/>
          <w:bCs/>
          <w:sz w:val="20"/>
        </w:rPr>
        <w:t xml:space="preserve">, </w:t>
      </w:r>
      <w:r>
        <w:rPr>
          <w:rFonts w:ascii="Arial" w:hAnsi="Arial" w:cs="Arial"/>
          <w:bCs/>
          <w:sz w:val="20"/>
        </w:rPr>
        <w:t>United Nations Industrial  Development Organization (</w:t>
      </w:r>
      <w:r w:rsidRPr="00E9644C">
        <w:rPr>
          <w:rFonts w:ascii="Arial" w:hAnsi="Arial" w:cs="Arial"/>
          <w:bCs/>
          <w:sz w:val="20"/>
        </w:rPr>
        <w:t>UNIDO</w:t>
      </w:r>
      <w:r>
        <w:rPr>
          <w:rFonts w:ascii="Arial" w:hAnsi="Arial" w:cs="Arial"/>
          <w:bCs/>
          <w:sz w:val="20"/>
        </w:rPr>
        <w:t>)</w:t>
      </w:r>
      <w:r w:rsidRPr="00E9644C">
        <w:rPr>
          <w:rFonts w:ascii="Arial" w:hAnsi="Arial" w:cs="Arial"/>
          <w:bCs/>
          <w:sz w:val="20"/>
        </w:rPr>
        <w:t xml:space="preserve">, </w:t>
      </w:r>
      <w:r w:rsidRPr="008D44F2">
        <w:rPr>
          <w:rFonts w:ascii="Arial" w:hAnsi="Arial" w:cs="Arial"/>
          <w:bCs/>
          <w:sz w:val="20"/>
        </w:rPr>
        <w:t>United Nations</w:t>
      </w:r>
      <w:r w:rsidRPr="008D44F2">
        <w:rPr>
          <w:rFonts w:ascii="Arial" w:hAnsi="Arial" w:cs="Arial"/>
          <w:bCs/>
          <w:i/>
          <w:sz w:val="20"/>
        </w:rPr>
        <w:t xml:space="preserve"> </w:t>
      </w:r>
      <w:r w:rsidRPr="008D44F2">
        <w:rPr>
          <w:rStyle w:val="Emphasis"/>
          <w:rFonts w:ascii="Arial" w:hAnsi="Arial" w:cs="Arial"/>
          <w:sz w:val="20"/>
        </w:rPr>
        <w:t>Educational, Scientific and Cultural Organization</w:t>
      </w:r>
      <w:r w:rsidRPr="008D44F2">
        <w:rPr>
          <w:rFonts w:ascii="Arial" w:hAnsi="Arial" w:cs="Arial"/>
          <w:bCs/>
          <w:i/>
          <w:sz w:val="20"/>
        </w:rPr>
        <w:t xml:space="preserve"> </w:t>
      </w:r>
      <w:r>
        <w:rPr>
          <w:rFonts w:ascii="Arial" w:hAnsi="Arial" w:cs="Arial"/>
          <w:bCs/>
          <w:i/>
          <w:sz w:val="20"/>
        </w:rPr>
        <w:t>(</w:t>
      </w:r>
      <w:r w:rsidRPr="00E9644C">
        <w:rPr>
          <w:rFonts w:ascii="Arial" w:hAnsi="Arial" w:cs="Arial"/>
          <w:bCs/>
          <w:sz w:val="20"/>
        </w:rPr>
        <w:t>UNESCO</w:t>
      </w:r>
      <w:r>
        <w:rPr>
          <w:rFonts w:ascii="Arial" w:hAnsi="Arial" w:cs="Arial"/>
          <w:bCs/>
          <w:sz w:val="20"/>
        </w:rPr>
        <w:t>)</w:t>
      </w:r>
      <w:r w:rsidRPr="00E9644C">
        <w:rPr>
          <w:rFonts w:ascii="Arial" w:hAnsi="Arial" w:cs="Arial"/>
          <w:bCs/>
          <w:sz w:val="20"/>
        </w:rPr>
        <w:t xml:space="preserve">, </w:t>
      </w:r>
      <w:r>
        <w:rPr>
          <w:rFonts w:ascii="Arial" w:hAnsi="Arial" w:cs="Arial"/>
          <w:bCs/>
          <w:sz w:val="20"/>
        </w:rPr>
        <w:t>International Telecommunications Union (</w:t>
      </w:r>
      <w:r w:rsidRPr="00E9644C">
        <w:rPr>
          <w:rFonts w:ascii="Arial" w:hAnsi="Arial" w:cs="Arial"/>
          <w:bCs/>
          <w:sz w:val="20"/>
        </w:rPr>
        <w:t>ITU</w:t>
      </w:r>
      <w:r>
        <w:rPr>
          <w:rFonts w:ascii="Arial" w:hAnsi="Arial" w:cs="Arial"/>
          <w:bCs/>
          <w:sz w:val="20"/>
        </w:rPr>
        <w:t>)</w:t>
      </w:r>
      <w:r w:rsidRPr="00E9644C">
        <w:rPr>
          <w:rFonts w:ascii="Arial" w:hAnsi="Arial" w:cs="Arial"/>
          <w:bCs/>
          <w:sz w:val="20"/>
        </w:rPr>
        <w:t xml:space="preserve">, UNFCCC, </w:t>
      </w:r>
      <w:r>
        <w:rPr>
          <w:rFonts w:ascii="Arial" w:hAnsi="Arial" w:cs="Arial"/>
          <w:bCs/>
          <w:sz w:val="20"/>
        </w:rPr>
        <w:t>United Nations department for Economic and Social Affairs (</w:t>
      </w:r>
      <w:r w:rsidRPr="00E9644C">
        <w:rPr>
          <w:rFonts w:ascii="Arial" w:hAnsi="Arial" w:cs="Arial"/>
          <w:bCs/>
          <w:sz w:val="20"/>
        </w:rPr>
        <w:t>UN-DESA</w:t>
      </w:r>
      <w:r>
        <w:rPr>
          <w:rFonts w:ascii="Arial" w:hAnsi="Arial" w:cs="Arial"/>
          <w:bCs/>
          <w:sz w:val="20"/>
        </w:rPr>
        <w:t>)</w:t>
      </w:r>
      <w:r w:rsidRPr="00E9644C">
        <w:rPr>
          <w:rFonts w:ascii="Arial" w:hAnsi="Arial" w:cs="Arial"/>
          <w:bCs/>
          <w:sz w:val="20"/>
        </w:rPr>
        <w:t xml:space="preserve">, as well as with the United Nations Economic Commissions.  Program 20  will also look afresh at how WIPO can work with the full range of stakeholders </w:t>
      </w:r>
      <w:r>
        <w:rPr>
          <w:rFonts w:ascii="Arial" w:hAnsi="Arial" w:cs="Arial"/>
          <w:bCs/>
          <w:sz w:val="20"/>
        </w:rPr>
        <w:t xml:space="preserve">(IGOs, NGOs and the private sector) </w:t>
      </w:r>
      <w:r w:rsidRPr="00E9644C">
        <w:rPr>
          <w:rFonts w:ascii="Arial" w:hAnsi="Arial" w:cs="Arial"/>
          <w:bCs/>
          <w:sz w:val="20"/>
        </w:rPr>
        <w:t xml:space="preserve">at the global, regional and national levels to ensure greater coordination and coherence in the delivery of WIPO’s specialized technical assistance. </w:t>
      </w:r>
      <w:r>
        <w:rPr>
          <w:rFonts w:ascii="Arial" w:hAnsi="Arial" w:cs="Arial"/>
          <w:bCs/>
          <w:sz w:val="20"/>
        </w:rPr>
        <w:t xml:space="preserve"> Th</w:t>
      </w:r>
      <w:r w:rsidRPr="00E9644C">
        <w:rPr>
          <w:rFonts w:ascii="Arial" w:hAnsi="Arial" w:cs="Arial"/>
          <w:bCs/>
          <w:sz w:val="20"/>
        </w:rPr>
        <w:t xml:space="preserve">is must be </w:t>
      </w:r>
      <w:r>
        <w:rPr>
          <w:rFonts w:ascii="Arial" w:hAnsi="Arial" w:cs="Arial"/>
          <w:bCs/>
          <w:sz w:val="20"/>
        </w:rPr>
        <w:t xml:space="preserve">done in a </w:t>
      </w:r>
      <w:r w:rsidRPr="00E9644C">
        <w:rPr>
          <w:rFonts w:ascii="Arial" w:hAnsi="Arial" w:cs="Arial"/>
          <w:bCs/>
          <w:sz w:val="20"/>
        </w:rPr>
        <w:t xml:space="preserve">strategic, focused </w:t>
      </w:r>
      <w:r>
        <w:rPr>
          <w:rFonts w:ascii="Arial" w:hAnsi="Arial" w:cs="Arial"/>
          <w:bCs/>
          <w:sz w:val="20"/>
        </w:rPr>
        <w:t xml:space="preserve">manner </w:t>
      </w:r>
      <w:r w:rsidRPr="00E9644C">
        <w:rPr>
          <w:rFonts w:ascii="Arial" w:hAnsi="Arial" w:cs="Arial"/>
          <w:bCs/>
          <w:sz w:val="20"/>
        </w:rPr>
        <w:t xml:space="preserve">and deliver on WIPO’s mandate and relevant WIPO Development Agenda </w:t>
      </w:r>
      <w:r>
        <w:rPr>
          <w:rFonts w:ascii="Arial" w:hAnsi="Arial" w:cs="Arial"/>
          <w:bCs/>
          <w:sz w:val="20"/>
        </w:rPr>
        <w:t xml:space="preserve">(DA) </w:t>
      </w:r>
      <w:r w:rsidRPr="00E9644C">
        <w:rPr>
          <w:rFonts w:ascii="Arial" w:hAnsi="Arial" w:cs="Arial"/>
          <w:bCs/>
          <w:sz w:val="20"/>
        </w:rPr>
        <w:t>Recommendations (DA Recommendations 2, 9, 22, 30, 40 and 42).</w:t>
      </w:r>
    </w:p>
    <w:p w14:paraId="1A65043D" w14:textId="77777777" w:rsidR="00971C84" w:rsidRPr="00E9644C" w:rsidRDefault="00971C84" w:rsidP="00971C84">
      <w:pPr>
        <w:pStyle w:val="ListParagraph"/>
        <w:ind w:left="0"/>
        <w:jc w:val="both"/>
        <w:rPr>
          <w:rFonts w:ascii="Arial" w:hAnsi="Arial" w:cs="Arial"/>
          <w:bCs/>
          <w:sz w:val="20"/>
        </w:rPr>
      </w:pPr>
    </w:p>
    <w:p w14:paraId="306053F4" w14:textId="77777777" w:rsidR="00971C84" w:rsidRPr="00E9644C" w:rsidRDefault="00971C84" w:rsidP="00B66A4A">
      <w:pPr>
        <w:pStyle w:val="ListParagraph"/>
        <w:numPr>
          <w:ilvl w:val="0"/>
          <w:numId w:val="72"/>
        </w:numPr>
        <w:jc w:val="both"/>
        <w:rPr>
          <w:rFonts w:ascii="Arial" w:hAnsi="Arial" w:cs="Arial"/>
          <w:bCs/>
          <w:sz w:val="20"/>
        </w:rPr>
      </w:pPr>
      <w:r w:rsidRPr="00E9644C">
        <w:rPr>
          <w:rFonts w:ascii="Arial" w:hAnsi="Arial" w:cs="Arial"/>
          <w:bCs/>
          <w:sz w:val="20"/>
        </w:rPr>
        <w:t>WIPO also seeks strategic and effective engagement with a wide range of non-governmental stakeholders, including non-governmental organizations (NGOs), private enterprise and civil society at large, whose varied technical expertise and insights help advance this goal.  WIPO benefits from the strong participation of a broad range of international and national NGOs accredited as observers at its official meetings, as well as their contributions – and those of their respective constituencies – to WIPO programs and events.  Representatives of private enterprise who are directly engaged in the creation and use of innovation and creative works can also offer a unique and valuable contribution to the work of WIPO through their first-hand experience in the use of IP for economic growth and development. Securing more strategic and effective engagement with all these non-governmental stakeholders will be a critical component of a policy dialogue that can truly contribute to the use of IP as a tool for development through international and multi-stakeholder cooperation.</w:t>
      </w:r>
    </w:p>
    <w:p w14:paraId="7A818F87" w14:textId="77777777" w:rsidR="00971C84" w:rsidRPr="00E9644C" w:rsidRDefault="00971C84" w:rsidP="00971C84">
      <w:pPr>
        <w:pStyle w:val="ListParagraph"/>
        <w:ind w:left="0"/>
        <w:jc w:val="both"/>
        <w:rPr>
          <w:rFonts w:ascii="Arial" w:hAnsi="Arial" w:cs="Arial"/>
          <w:bCs/>
          <w:sz w:val="20"/>
        </w:rPr>
      </w:pPr>
    </w:p>
    <w:p w14:paraId="576C30B8" w14:textId="77777777" w:rsidR="00971C84" w:rsidRPr="006B3627" w:rsidRDefault="00971C84" w:rsidP="00971C84">
      <w:pPr>
        <w:pStyle w:val="ListParagraph"/>
        <w:ind w:left="0"/>
        <w:jc w:val="both"/>
        <w:rPr>
          <w:rFonts w:ascii="Arial" w:hAnsi="Arial" w:cs="Arial"/>
          <w:bCs/>
        </w:rPr>
      </w:pPr>
    </w:p>
    <w:p w14:paraId="6C95D44A" w14:textId="77777777" w:rsidR="00971C84" w:rsidRPr="006B3627" w:rsidRDefault="00971C84" w:rsidP="00971C84">
      <w:pPr>
        <w:pStyle w:val="ListParagraph"/>
        <w:ind w:left="0"/>
        <w:jc w:val="both"/>
        <w:rPr>
          <w:rFonts w:ascii="Arial" w:hAnsi="Arial" w:cs="Arial"/>
          <w:bCs/>
        </w:rPr>
      </w:pPr>
      <w:r w:rsidRPr="006B3627">
        <w:rPr>
          <w:rFonts w:ascii="Arial" w:hAnsi="Arial" w:cs="Arial"/>
          <w:bCs/>
        </w:rPr>
        <w:t>IMPLEMENTATION STRATEGIES</w:t>
      </w:r>
    </w:p>
    <w:p w14:paraId="4AFE05BB" w14:textId="77777777" w:rsidR="00971C84" w:rsidRPr="00E9644C" w:rsidRDefault="00971C84" w:rsidP="00971C84">
      <w:pPr>
        <w:pStyle w:val="ListParagraph"/>
        <w:ind w:left="0"/>
        <w:jc w:val="both"/>
        <w:rPr>
          <w:rFonts w:ascii="Arial" w:hAnsi="Arial" w:cs="Arial"/>
          <w:bCs/>
          <w:sz w:val="20"/>
        </w:rPr>
      </w:pPr>
    </w:p>
    <w:p w14:paraId="0E2EB186" w14:textId="66EB5E55" w:rsidR="00971C84" w:rsidRPr="00E9644C" w:rsidRDefault="00971C84" w:rsidP="00B66A4A">
      <w:pPr>
        <w:numPr>
          <w:ilvl w:val="0"/>
          <w:numId w:val="72"/>
        </w:numPr>
        <w:jc w:val="both"/>
        <w:rPr>
          <w:rFonts w:ascii="Arial" w:hAnsi="Arial" w:cs="Arial"/>
          <w:bCs/>
          <w:sz w:val="20"/>
        </w:rPr>
      </w:pPr>
      <w:r w:rsidRPr="00E9644C">
        <w:rPr>
          <w:rFonts w:ascii="Arial" w:hAnsi="Arial" w:cs="Arial"/>
          <w:bCs/>
          <w:sz w:val="20"/>
        </w:rPr>
        <w:t xml:space="preserve">Program 20’s primary role is one of coordination, engagement, monitoring and reporting aimed at ensuring that WIPO’s contributions </w:t>
      </w:r>
      <w:r>
        <w:rPr>
          <w:rFonts w:ascii="Arial" w:hAnsi="Arial" w:cs="Arial"/>
          <w:bCs/>
          <w:sz w:val="20"/>
        </w:rPr>
        <w:t xml:space="preserve">to these processes </w:t>
      </w:r>
      <w:r w:rsidRPr="00E9644C">
        <w:rPr>
          <w:rFonts w:ascii="Arial" w:hAnsi="Arial" w:cs="Arial"/>
          <w:bCs/>
          <w:sz w:val="20"/>
        </w:rPr>
        <w:t xml:space="preserve">are </w:t>
      </w:r>
      <w:r>
        <w:rPr>
          <w:rFonts w:ascii="Arial" w:hAnsi="Arial" w:cs="Arial"/>
          <w:bCs/>
          <w:sz w:val="20"/>
        </w:rPr>
        <w:t xml:space="preserve">relevant to </w:t>
      </w:r>
      <w:r w:rsidRPr="00E9644C">
        <w:rPr>
          <w:rFonts w:ascii="Arial" w:hAnsi="Arial" w:cs="Arial"/>
          <w:bCs/>
          <w:sz w:val="20"/>
        </w:rPr>
        <w:t>the Organization’s mandate</w:t>
      </w:r>
      <w:r>
        <w:rPr>
          <w:rFonts w:ascii="Arial" w:hAnsi="Arial" w:cs="Arial"/>
          <w:bCs/>
          <w:sz w:val="20"/>
        </w:rPr>
        <w:t xml:space="preserve"> and focused on where our specialist expertise can best add value</w:t>
      </w:r>
      <w:r w:rsidRPr="00E9644C">
        <w:rPr>
          <w:rFonts w:ascii="Arial" w:hAnsi="Arial" w:cs="Arial"/>
          <w:bCs/>
          <w:sz w:val="20"/>
        </w:rPr>
        <w:t>.</w:t>
      </w:r>
      <w:r>
        <w:rPr>
          <w:rFonts w:ascii="Arial" w:hAnsi="Arial" w:cs="Arial"/>
          <w:bCs/>
          <w:sz w:val="20"/>
        </w:rPr>
        <w:t xml:space="preserve"> Implementation s</w:t>
      </w:r>
      <w:r w:rsidRPr="00E9644C">
        <w:rPr>
          <w:rFonts w:ascii="Arial" w:hAnsi="Arial" w:cs="Arial"/>
          <w:bCs/>
          <w:sz w:val="20"/>
        </w:rPr>
        <w:t>trategi</w:t>
      </w:r>
      <w:r>
        <w:rPr>
          <w:rFonts w:ascii="Arial" w:hAnsi="Arial" w:cs="Arial"/>
          <w:bCs/>
          <w:sz w:val="20"/>
        </w:rPr>
        <w:t>es</w:t>
      </w:r>
      <w:r w:rsidRPr="00E9644C">
        <w:rPr>
          <w:rFonts w:ascii="Arial" w:hAnsi="Arial" w:cs="Arial"/>
          <w:bCs/>
          <w:sz w:val="20"/>
        </w:rPr>
        <w:t xml:space="preserve"> in the biennium 2016/17 </w:t>
      </w:r>
      <w:r>
        <w:rPr>
          <w:rFonts w:ascii="Arial" w:hAnsi="Arial" w:cs="Arial"/>
          <w:bCs/>
          <w:sz w:val="20"/>
        </w:rPr>
        <w:t xml:space="preserve">address these aims and in addition the focus will shift to ways in which WIPO can best support implementation of the post 2015 Development Agenda.  These </w:t>
      </w:r>
      <w:r w:rsidRPr="00E9644C">
        <w:rPr>
          <w:rFonts w:ascii="Arial" w:hAnsi="Arial" w:cs="Arial"/>
          <w:bCs/>
          <w:sz w:val="20"/>
        </w:rPr>
        <w:t xml:space="preserve">will include:  </w:t>
      </w:r>
    </w:p>
    <w:p w14:paraId="305D2C4F" w14:textId="77777777" w:rsidR="00971C84" w:rsidRPr="00E9644C" w:rsidRDefault="00971C84">
      <w:pPr>
        <w:tabs>
          <w:tab w:val="num" w:pos="709"/>
        </w:tabs>
        <w:jc w:val="both"/>
        <w:rPr>
          <w:rFonts w:ascii="Arial" w:hAnsi="Arial" w:cs="Arial"/>
          <w:bCs/>
          <w:sz w:val="20"/>
        </w:rPr>
      </w:pPr>
    </w:p>
    <w:p w14:paraId="0179A93F" w14:textId="15CA5107" w:rsidR="00971C84" w:rsidRPr="00E9644C" w:rsidRDefault="00971C84" w:rsidP="00B66A4A">
      <w:pPr>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Further strengthening existing partnerships and developing new and innovative multi</w:t>
      </w:r>
      <w:r w:rsidR="007644FB">
        <w:rPr>
          <w:rFonts w:ascii="Arial" w:hAnsi="Arial" w:cs="Arial"/>
          <w:bCs/>
          <w:sz w:val="20"/>
        </w:rPr>
        <w:t>-</w:t>
      </w:r>
      <w:r w:rsidRPr="00E9644C">
        <w:rPr>
          <w:rFonts w:ascii="Arial" w:hAnsi="Arial" w:cs="Arial"/>
          <w:bCs/>
          <w:sz w:val="20"/>
        </w:rPr>
        <w:t>stakeholder partnerships, issues-based alliances and coalitions to support sustainable development and the implementation of the post-2015 Development Agenda;</w:t>
      </w:r>
    </w:p>
    <w:p w14:paraId="335E817F" w14:textId="77777777" w:rsidR="00971C84" w:rsidRPr="00E9644C" w:rsidRDefault="00971C84" w:rsidP="00971C84">
      <w:pPr>
        <w:tabs>
          <w:tab w:val="num" w:pos="1134"/>
        </w:tabs>
        <w:ind w:left="1134" w:hanging="567"/>
        <w:jc w:val="both"/>
        <w:rPr>
          <w:rFonts w:ascii="Arial" w:hAnsi="Arial" w:cs="Arial"/>
          <w:bCs/>
          <w:sz w:val="20"/>
        </w:rPr>
      </w:pPr>
    </w:p>
    <w:p w14:paraId="4B9AB409" w14:textId="77777777" w:rsidR="00971C84" w:rsidRDefault="00971C84" w:rsidP="00B66A4A">
      <w:pPr>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 xml:space="preserve">Working in close cooperation with other Programs </w:t>
      </w:r>
      <w:r>
        <w:rPr>
          <w:rFonts w:ascii="Arial" w:hAnsi="Arial" w:cs="Arial"/>
          <w:bCs/>
          <w:sz w:val="20"/>
        </w:rPr>
        <w:t xml:space="preserve">(see diagram below) </w:t>
      </w:r>
      <w:r w:rsidRPr="00E9644C">
        <w:rPr>
          <w:rFonts w:ascii="Arial" w:hAnsi="Arial" w:cs="Arial"/>
          <w:bCs/>
          <w:sz w:val="20"/>
        </w:rPr>
        <w:t>to enhance the integration of WIPO’s expertise into cooperation and collaboration at the global, regional and national levels, working more closely with sister UN organizations, including the UN Regional Economic Organizations, regional development banks and UN Country teams;</w:t>
      </w:r>
    </w:p>
    <w:p w14:paraId="08F9ACE1" w14:textId="77777777" w:rsidR="00971C84" w:rsidRDefault="00971C84" w:rsidP="00971C84">
      <w:pPr>
        <w:tabs>
          <w:tab w:val="num" w:pos="1134"/>
        </w:tabs>
        <w:ind w:left="1134" w:hanging="567"/>
        <w:jc w:val="both"/>
        <w:rPr>
          <w:rFonts w:ascii="Arial" w:hAnsi="Arial" w:cs="Arial"/>
          <w:bCs/>
          <w:sz w:val="20"/>
        </w:rPr>
      </w:pPr>
    </w:p>
    <w:p w14:paraId="6D69E94F" w14:textId="77777777" w:rsidR="00971C84" w:rsidRPr="00E9644C" w:rsidRDefault="00971C84" w:rsidP="00B66A4A">
      <w:pPr>
        <w:numPr>
          <w:ilvl w:val="0"/>
          <w:numId w:val="73"/>
        </w:numPr>
        <w:tabs>
          <w:tab w:val="clear" w:pos="1174"/>
          <w:tab w:val="num" w:pos="1134"/>
        </w:tabs>
        <w:ind w:left="1134" w:hanging="567"/>
        <w:jc w:val="both"/>
        <w:rPr>
          <w:rFonts w:ascii="Arial" w:hAnsi="Arial" w:cs="Arial"/>
          <w:bCs/>
          <w:sz w:val="20"/>
        </w:rPr>
      </w:pPr>
      <w:r>
        <w:rPr>
          <w:rFonts w:ascii="Arial" w:hAnsi="Arial" w:cs="Arial"/>
          <w:bCs/>
          <w:sz w:val="20"/>
        </w:rPr>
        <w:t>Improving the quality of WIPO’s contributions to the post 2015 Development Agenda monitoring, review and accountability mechanisms;</w:t>
      </w:r>
    </w:p>
    <w:p w14:paraId="13287709" w14:textId="77777777" w:rsidR="00971C84" w:rsidRPr="00142A87" w:rsidRDefault="00971C84" w:rsidP="00971C84">
      <w:pPr>
        <w:tabs>
          <w:tab w:val="num" w:pos="1134"/>
        </w:tabs>
        <w:ind w:left="1134" w:hanging="567"/>
        <w:jc w:val="both"/>
        <w:rPr>
          <w:rFonts w:ascii="Arial" w:hAnsi="Arial" w:cs="Arial"/>
          <w:sz w:val="20"/>
        </w:rPr>
      </w:pPr>
    </w:p>
    <w:p w14:paraId="126B4700" w14:textId="77777777" w:rsidR="00971C84" w:rsidRDefault="00971C84" w:rsidP="00B66A4A">
      <w:pPr>
        <w:numPr>
          <w:ilvl w:val="0"/>
          <w:numId w:val="73"/>
        </w:numPr>
        <w:tabs>
          <w:tab w:val="clear" w:pos="1174"/>
          <w:tab w:val="num" w:pos="1134"/>
        </w:tabs>
        <w:ind w:left="1134" w:hanging="567"/>
        <w:jc w:val="both"/>
        <w:rPr>
          <w:rFonts w:ascii="Arial" w:hAnsi="Arial" w:cs="Arial"/>
          <w:sz w:val="20"/>
        </w:rPr>
      </w:pPr>
      <w:r>
        <w:rPr>
          <w:rFonts w:ascii="Arial" w:hAnsi="Arial" w:cs="Arial"/>
          <w:sz w:val="20"/>
        </w:rPr>
        <w:t>S</w:t>
      </w:r>
      <w:r w:rsidRPr="00E9644C">
        <w:rPr>
          <w:rFonts w:ascii="Arial" w:hAnsi="Arial" w:cs="Arial"/>
          <w:sz w:val="20"/>
        </w:rPr>
        <w:t>upport to th</w:t>
      </w:r>
      <w:r>
        <w:rPr>
          <w:rFonts w:ascii="Arial" w:hAnsi="Arial" w:cs="Arial"/>
          <w:sz w:val="20"/>
        </w:rPr>
        <w:t>e</w:t>
      </w:r>
      <w:r w:rsidRPr="00E9644C">
        <w:rPr>
          <w:rFonts w:ascii="Arial" w:hAnsi="Arial" w:cs="Arial"/>
          <w:sz w:val="20"/>
        </w:rPr>
        <w:t xml:space="preserve"> </w:t>
      </w:r>
      <w:r>
        <w:rPr>
          <w:rFonts w:ascii="Arial" w:hAnsi="Arial" w:cs="Arial"/>
          <w:sz w:val="20"/>
        </w:rPr>
        <w:t xml:space="preserve">UNFCCC </w:t>
      </w:r>
      <w:r w:rsidRPr="00E9644C">
        <w:rPr>
          <w:rFonts w:ascii="Arial" w:hAnsi="Arial" w:cs="Arial"/>
          <w:sz w:val="20"/>
        </w:rPr>
        <w:t>process, in particular</w:t>
      </w:r>
      <w:r>
        <w:rPr>
          <w:rFonts w:ascii="Arial" w:hAnsi="Arial" w:cs="Arial"/>
          <w:sz w:val="20"/>
        </w:rPr>
        <w:t>,</w:t>
      </w:r>
      <w:r w:rsidRPr="00E9644C">
        <w:rPr>
          <w:rFonts w:ascii="Arial" w:hAnsi="Arial" w:cs="Arial"/>
          <w:sz w:val="20"/>
        </w:rPr>
        <w:t xml:space="preserve"> the UNFCCC Technology Mechanism</w:t>
      </w:r>
      <w:r>
        <w:rPr>
          <w:rFonts w:ascii="Arial" w:hAnsi="Arial" w:cs="Arial"/>
          <w:sz w:val="20"/>
        </w:rPr>
        <w:t>, including</w:t>
      </w:r>
      <w:r w:rsidRPr="00E9644C">
        <w:rPr>
          <w:rFonts w:ascii="Arial" w:hAnsi="Arial" w:cs="Arial"/>
          <w:sz w:val="20"/>
        </w:rPr>
        <w:t xml:space="preserve"> practical collaboration between WIPO GREEN and the UNFCCC Climate Technology Center and Network (CTCN). </w:t>
      </w:r>
    </w:p>
    <w:p w14:paraId="388F7D5A" w14:textId="77777777" w:rsidR="00971C84" w:rsidRDefault="00971C84" w:rsidP="00971C84">
      <w:pPr>
        <w:pStyle w:val="ListParagraph"/>
        <w:tabs>
          <w:tab w:val="num" w:pos="1134"/>
        </w:tabs>
        <w:ind w:left="1134" w:hanging="567"/>
        <w:jc w:val="both"/>
        <w:rPr>
          <w:rFonts w:ascii="Arial" w:hAnsi="Arial" w:cs="Arial"/>
          <w:sz w:val="20"/>
        </w:rPr>
      </w:pPr>
    </w:p>
    <w:p w14:paraId="73C8C1EE" w14:textId="77777777" w:rsidR="00971C84" w:rsidRPr="00E9644C" w:rsidRDefault="00971C84" w:rsidP="00B66A4A">
      <w:pPr>
        <w:numPr>
          <w:ilvl w:val="0"/>
          <w:numId w:val="73"/>
        </w:numPr>
        <w:tabs>
          <w:tab w:val="clear" w:pos="1174"/>
          <w:tab w:val="num" w:pos="1134"/>
        </w:tabs>
        <w:ind w:left="1134" w:hanging="567"/>
        <w:jc w:val="both"/>
        <w:rPr>
          <w:rFonts w:ascii="Arial" w:hAnsi="Arial" w:cs="Arial"/>
          <w:sz w:val="20"/>
        </w:rPr>
      </w:pPr>
      <w:r>
        <w:rPr>
          <w:rFonts w:ascii="Arial" w:hAnsi="Arial" w:cs="Arial"/>
          <w:sz w:val="20"/>
        </w:rPr>
        <w:t>C</w:t>
      </w:r>
      <w:r w:rsidRPr="00E9644C">
        <w:rPr>
          <w:rFonts w:ascii="Arial" w:hAnsi="Arial" w:cs="Arial"/>
          <w:sz w:val="20"/>
        </w:rPr>
        <w:t>ontinue</w:t>
      </w:r>
      <w:r>
        <w:rPr>
          <w:rFonts w:ascii="Arial" w:hAnsi="Arial" w:cs="Arial"/>
          <w:sz w:val="20"/>
        </w:rPr>
        <w:t>d</w:t>
      </w:r>
      <w:r w:rsidRPr="00E9644C">
        <w:rPr>
          <w:rFonts w:ascii="Arial" w:hAnsi="Arial" w:cs="Arial"/>
          <w:sz w:val="20"/>
        </w:rPr>
        <w:t xml:space="preserve"> </w:t>
      </w:r>
      <w:r>
        <w:rPr>
          <w:rFonts w:ascii="Arial" w:hAnsi="Arial" w:cs="Arial"/>
          <w:sz w:val="20"/>
        </w:rPr>
        <w:t>engagement in</w:t>
      </w:r>
      <w:r w:rsidRPr="00E9644C">
        <w:rPr>
          <w:rFonts w:ascii="Arial" w:hAnsi="Arial" w:cs="Arial"/>
          <w:sz w:val="20"/>
        </w:rPr>
        <w:t xml:space="preserve"> the WIPO-WTO-WHO trilateral work</w:t>
      </w:r>
      <w:r>
        <w:rPr>
          <w:rFonts w:ascii="Arial" w:hAnsi="Arial" w:cs="Arial"/>
          <w:sz w:val="20"/>
        </w:rPr>
        <w:t xml:space="preserve"> on public health</w:t>
      </w:r>
      <w:r w:rsidRPr="00E9644C">
        <w:rPr>
          <w:rFonts w:ascii="Arial" w:hAnsi="Arial" w:cs="Arial"/>
          <w:sz w:val="20"/>
        </w:rPr>
        <w:t xml:space="preserve">, the Global Coordination Mechanism on Non-Communicable Diseases; </w:t>
      </w:r>
      <w:r>
        <w:rPr>
          <w:rFonts w:ascii="Arial" w:hAnsi="Arial" w:cs="Arial"/>
          <w:sz w:val="20"/>
        </w:rPr>
        <w:t xml:space="preserve">and </w:t>
      </w:r>
      <w:r w:rsidRPr="003949F6">
        <w:rPr>
          <w:rFonts w:ascii="Arial" w:hAnsi="Arial" w:cs="Arial"/>
          <w:sz w:val="20"/>
        </w:rPr>
        <w:t>the World Summit on the Information Society (WSIS+10) and the Internet Governance Forum</w:t>
      </w:r>
      <w:r w:rsidRPr="00142A87">
        <w:rPr>
          <w:rFonts w:ascii="Arial" w:hAnsi="Arial" w:cs="Arial"/>
          <w:sz w:val="20"/>
        </w:rPr>
        <w:t xml:space="preserve"> </w:t>
      </w:r>
      <w:r w:rsidRPr="00E9644C">
        <w:rPr>
          <w:rFonts w:ascii="Arial" w:hAnsi="Arial" w:cs="Arial"/>
          <w:sz w:val="20"/>
        </w:rPr>
        <w:t>on the digital divide.</w:t>
      </w:r>
    </w:p>
    <w:p w14:paraId="77C4B84D" w14:textId="77777777" w:rsidR="00971C84" w:rsidRPr="00E9644C" w:rsidRDefault="00971C84" w:rsidP="00971C84">
      <w:pPr>
        <w:pStyle w:val="ListParagraph"/>
        <w:tabs>
          <w:tab w:val="num" w:pos="1134"/>
        </w:tabs>
        <w:ind w:left="1134" w:hanging="567"/>
        <w:rPr>
          <w:rFonts w:ascii="Arial" w:hAnsi="Arial" w:cs="Arial"/>
          <w:bCs/>
          <w:sz w:val="20"/>
        </w:rPr>
      </w:pPr>
    </w:p>
    <w:p w14:paraId="50DF50F1" w14:textId="0F74FAE8" w:rsidR="00971C84" w:rsidRPr="00E9644C" w:rsidRDefault="00971C84" w:rsidP="00B66A4A">
      <w:pPr>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Promoting WIPO’s expertise, projects, programs and tools with the UN and other IGOs to achieve greater awareness, recognition and use of  WIPO’s services;</w:t>
      </w:r>
    </w:p>
    <w:p w14:paraId="223107D7" w14:textId="77777777" w:rsidR="00971C84" w:rsidRPr="00E9644C" w:rsidRDefault="00971C84" w:rsidP="00971C84">
      <w:pPr>
        <w:pStyle w:val="ListParagraph"/>
        <w:tabs>
          <w:tab w:val="num" w:pos="1134"/>
        </w:tabs>
        <w:ind w:left="1134" w:hanging="567"/>
        <w:jc w:val="both"/>
        <w:rPr>
          <w:rFonts w:ascii="Arial" w:hAnsi="Arial" w:cs="Arial"/>
          <w:bCs/>
          <w:sz w:val="20"/>
        </w:rPr>
      </w:pPr>
    </w:p>
    <w:p w14:paraId="4E069839" w14:textId="77777777" w:rsidR="00971C84" w:rsidRPr="00E9644C" w:rsidRDefault="00971C84" w:rsidP="00B66A4A">
      <w:pPr>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Enhancing outreach efforts to donors and partners providing support to WIPO Member States and other WIPO Programs to increase partnership and resource mobilization for IP projects;</w:t>
      </w:r>
      <w:r>
        <w:rPr>
          <w:rFonts w:ascii="Arial" w:hAnsi="Arial" w:cs="Arial"/>
          <w:bCs/>
          <w:sz w:val="20"/>
        </w:rPr>
        <w:t xml:space="preserve"> </w:t>
      </w:r>
      <w:r w:rsidRPr="00E9644C">
        <w:rPr>
          <w:rFonts w:ascii="Arial" w:hAnsi="Arial" w:cs="Arial"/>
          <w:bCs/>
          <w:sz w:val="20"/>
        </w:rPr>
        <w:t xml:space="preserve"> and</w:t>
      </w:r>
    </w:p>
    <w:p w14:paraId="6E0AA9BB" w14:textId="77777777" w:rsidR="00971C84" w:rsidRPr="00E9644C" w:rsidRDefault="00971C84" w:rsidP="00971C84">
      <w:pPr>
        <w:tabs>
          <w:tab w:val="num" w:pos="1134"/>
        </w:tabs>
        <w:ind w:left="1134" w:hanging="567"/>
        <w:jc w:val="both"/>
        <w:rPr>
          <w:rFonts w:ascii="Arial" w:hAnsi="Arial" w:cs="Arial"/>
          <w:bCs/>
          <w:sz w:val="20"/>
        </w:rPr>
      </w:pPr>
    </w:p>
    <w:p w14:paraId="2A1E61C6" w14:textId="77777777" w:rsidR="00971C84" w:rsidRPr="00E9644C" w:rsidRDefault="00971C84" w:rsidP="00B66A4A">
      <w:pPr>
        <w:pStyle w:val="ListParagraph"/>
        <w:numPr>
          <w:ilvl w:val="0"/>
          <w:numId w:val="73"/>
        </w:numPr>
        <w:tabs>
          <w:tab w:val="clear" w:pos="1174"/>
          <w:tab w:val="num" w:pos="1134"/>
        </w:tabs>
        <w:ind w:left="1134" w:hanging="567"/>
        <w:jc w:val="both"/>
        <w:rPr>
          <w:rFonts w:ascii="Arial" w:hAnsi="Arial" w:cs="Arial"/>
          <w:bCs/>
          <w:sz w:val="20"/>
        </w:rPr>
      </w:pPr>
      <w:r w:rsidRPr="00E9644C">
        <w:rPr>
          <w:rFonts w:ascii="Arial" w:hAnsi="Arial" w:cs="Arial"/>
          <w:bCs/>
          <w:sz w:val="20"/>
        </w:rPr>
        <w:t xml:space="preserve">In coordination with other Programs, continue to develop institutional arrangements and practical partnerships with non-governmental stakeholders to harness the capacity and expertise of these stakeholders in advancing WIPO’s objectives, as well as to enhance their effective engagement in WIPO activities. </w:t>
      </w:r>
    </w:p>
    <w:p w14:paraId="228ACE06" w14:textId="77777777" w:rsidR="00971C84" w:rsidRDefault="00971C84" w:rsidP="00971C84">
      <w:pPr>
        <w:tabs>
          <w:tab w:val="num" w:pos="540"/>
        </w:tabs>
        <w:ind w:left="540" w:hanging="360"/>
        <w:jc w:val="both"/>
        <w:rPr>
          <w:rFonts w:ascii="Arial" w:hAnsi="Arial" w:cs="Arial"/>
          <w:bCs/>
          <w:sz w:val="20"/>
        </w:rPr>
      </w:pPr>
    </w:p>
    <w:p w14:paraId="420E81F0" w14:textId="77777777" w:rsidR="00971C84" w:rsidRDefault="00971C84" w:rsidP="00971C84">
      <w:pPr>
        <w:jc w:val="both"/>
        <w:rPr>
          <w:rFonts w:ascii="Arial" w:hAnsi="Arial" w:cs="Arial"/>
          <w:bCs/>
          <w:sz w:val="20"/>
          <w:u w:val="single"/>
          <w:lang w:eastAsia="zh-CN"/>
        </w:rPr>
      </w:pPr>
      <w:r w:rsidRPr="008503B0">
        <w:rPr>
          <w:rFonts w:ascii="Arial" w:hAnsi="Arial" w:cs="Arial"/>
          <w:bCs/>
          <w:sz w:val="20"/>
          <w:u w:val="single"/>
          <w:lang w:eastAsia="zh-CN"/>
        </w:rPr>
        <w:t xml:space="preserve">WIPO Coordination Office </w:t>
      </w:r>
      <w:r w:rsidRPr="00A157BB">
        <w:rPr>
          <w:rFonts w:ascii="Arial" w:hAnsi="Arial" w:cs="Arial"/>
          <w:bCs/>
          <w:sz w:val="20"/>
          <w:u w:val="single"/>
          <w:lang w:eastAsia="zh-CN"/>
        </w:rPr>
        <w:t>to the United Nations in New York</w:t>
      </w:r>
    </w:p>
    <w:p w14:paraId="60C93856" w14:textId="77777777" w:rsidR="005B55D4" w:rsidRPr="00A157BB" w:rsidRDefault="005B55D4" w:rsidP="00971C84">
      <w:pPr>
        <w:jc w:val="both"/>
        <w:rPr>
          <w:rFonts w:ascii="Arial" w:hAnsi="Arial" w:cs="Arial"/>
          <w:bCs/>
          <w:sz w:val="20"/>
          <w:u w:val="single"/>
          <w:lang w:eastAsia="zh-CN"/>
        </w:rPr>
      </w:pPr>
    </w:p>
    <w:p w14:paraId="73E51B5B" w14:textId="5A90C230" w:rsidR="00971C84" w:rsidRDefault="00971C84" w:rsidP="005B55D4">
      <w:pPr>
        <w:numPr>
          <w:ilvl w:val="0"/>
          <w:numId w:val="72"/>
        </w:numPr>
        <w:jc w:val="both"/>
        <w:rPr>
          <w:rFonts w:ascii="Arial" w:hAnsi="Arial" w:cs="Arial"/>
          <w:bCs/>
          <w:sz w:val="20"/>
        </w:rPr>
      </w:pPr>
      <w:r w:rsidRPr="00AC4500">
        <w:rPr>
          <w:rFonts w:ascii="Arial" w:hAnsi="Arial" w:cs="Arial"/>
          <w:sz w:val="20"/>
        </w:rPr>
        <w:t>The WIPO</w:t>
      </w:r>
      <w:r w:rsidRPr="00AC4500">
        <w:rPr>
          <w:rFonts w:ascii="Arial" w:hAnsi="Arial" w:cs="Arial"/>
          <w:bCs/>
          <w:sz w:val="20"/>
        </w:rPr>
        <w:t xml:space="preserve"> New York Office liaises between WIPO Headquarters in Geneva and the UN, and its stakeholders in New York.  The WIPO New York Office engages in a wide range of intergovernmental and civil society-led processes in NY, both to contribute to a balanced debate on IP issues and to provide information and analysis on IP issues to the diplomatic community and UN system organizations.  Working closely with various WIPO Programs, the Office engages in outreach and briefings to the UN diplomatic community to develop a greater understanding of WIPO’s work, promotes WIPO’s treaties, processes, services and platforms, and provides reports and briefings on New York based fora. </w:t>
      </w:r>
      <w:r w:rsidR="00C55502" w:rsidRPr="00AC4500">
        <w:rPr>
          <w:rFonts w:ascii="Arial" w:hAnsi="Arial" w:cs="Arial"/>
          <w:bCs/>
          <w:sz w:val="20"/>
        </w:rPr>
        <w:t>While deciding to extend throughout the biennium 2016/17 the current operating model of the WIPO Coordination Office to the UN in New York, the Secretariat will continue looking for further efficiencies in its operations.</w:t>
      </w:r>
      <w:r w:rsidR="00C55502" w:rsidRPr="00A157BB" w:rsidDel="00C55502">
        <w:rPr>
          <w:rFonts w:ascii="Arial" w:hAnsi="Arial" w:cs="Arial"/>
          <w:sz w:val="20"/>
          <w:lang w:eastAsia="zh-CN"/>
        </w:rPr>
        <w:t xml:space="preserve"> </w:t>
      </w:r>
      <w:r w:rsidRPr="00F74F51">
        <w:rPr>
          <w:rFonts w:ascii="Arial" w:hAnsi="Arial" w:cs="Arial"/>
          <w:noProof/>
          <w:lang w:eastAsia="en-US"/>
        </w:rPr>
        <w:drawing>
          <wp:anchor distT="0" distB="0" distL="114300" distR="114300" simplePos="0" relativeHeight="251673600" behindDoc="0" locked="0" layoutInCell="1" allowOverlap="1" wp14:anchorId="72EB52AB" wp14:editId="23EECB68">
            <wp:simplePos x="0" y="0"/>
            <wp:positionH relativeFrom="column">
              <wp:posOffset>151130</wp:posOffset>
            </wp:positionH>
            <wp:positionV relativeFrom="paragraph">
              <wp:posOffset>267335</wp:posOffset>
            </wp:positionV>
            <wp:extent cx="5759450" cy="2620010"/>
            <wp:effectExtent l="0" t="19050" r="0" b="0"/>
            <wp:wrapTopAndBottom/>
            <wp:docPr id="985" name="Diagram 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page">
              <wp14:pctWidth>0</wp14:pctWidth>
            </wp14:sizeRelH>
            <wp14:sizeRelV relativeFrom="page">
              <wp14:pctHeight>0</wp14:pctHeight>
            </wp14:sizeRelV>
          </wp:anchor>
        </w:drawing>
      </w:r>
    </w:p>
    <w:p w14:paraId="2C6078C9" w14:textId="77777777" w:rsidR="00971C84" w:rsidRPr="00A0530F" w:rsidRDefault="00971C84" w:rsidP="00971C84"/>
    <w:p w14:paraId="0C067537" w14:textId="77777777" w:rsidR="00971C84" w:rsidRPr="00F74F51" w:rsidRDefault="00971C84" w:rsidP="00971C84">
      <w:pPr>
        <w:keepNext/>
        <w:keepLines/>
        <w:rPr>
          <w:rFonts w:ascii="Arial" w:hAnsi="Arial" w:cs="Arial"/>
        </w:rPr>
      </w:pPr>
      <w:r w:rsidRPr="00F74F51">
        <w:rPr>
          <w:rFonts w:ascii="Arial" w:hAnsi="Arial" w:cs="Arial"/>
        </w:rPr>
        <w:t>MAJOR RISKS AND MITIGATION S</w:t>
      </w:r>
      <w:r>
        <w:rPr>
          <w:rFonts w:ascii="Arial" w:hAnsi="Arial" w:cs="Arial"/>
        </w:rPr>
        <w:t xml:space="preserve">TRATEGIES  </w:t>
      </w:r>
    </w:p>
    <w:p w14:paraId="6ECB6950" w14:textId="77777777" w:rsidR="00971C84" w:rsidRPr="000C7B40" w:rsidRDefault="00971C84" w:rsidP="00971C84">
      <w:pPr>
        <w:keepNext/>
        <w:keepLines/>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971C84" w:rsidRPr="000C7B40" w14:paraId="31A2A726" w14:textId="77777777" w:rsidTr="004E671F">
        <w:trPr>
          <w:trHeight w:val="577"/>
        </w:trPr>
        <w:tc>
          <w:tcPr>
            <w:tcW w:w="4111" w:type="dxa"/>
            <w:tcBorders>
              <w:top w:val="single" w:sz="4" w:space="0" w:color="auto"/>
              <w:bottom w:val="single" w:sz="4" w:space="0" w:color="auto"/>
            </w:tcBorders>
            <w:shd w:val="clear" w:color="auto" w:fill="B8CCE4" w:themeFill="accent1" w:themeFillTint="66"/>
            <w:vAlign w:val="center"/>
          </w:tcPr>
          <w:p w14:paraId="0C9413F5"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Risk</w:t>
            </w:r>
          </w:p>
        </w:tc>
        <w:tc>
          <w:tcPr>
            <w:tcW w:w="5103" w:type="dxa"/>
            <w:tcBorders>
              <w:top w:val="single" w:sz="4" w:space="0" w:color="auto"/>
              <w:bottom w:val="single" w:sz="4" w:space="0" w:color="auto"/>
            </w:tcBorders>
            <w:shd w:val="clear" w:color="auto" w:fill="B8CCE4" w:themeFill="accent1" w:themeFillTint="66"/>
            <w:vAlign w:val="center"/>
          </w:tcPr>
          <w:p w14:paraId="27CE5514"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Mitigation</w:t>
            </w:r>
          </w:p>
        </w:tc>
      </w:tr>
      <w:tr w:rsidR="00971C84" w:rsidRPr="000C7B40" w14:paraId="1DF7F4AC" w14:textId="77777777" w:rsidTr="004E671F">
        <w:trPr>
          <w:trHeight w:val="764"/>
        </w:trPr>
        <w:tc>
          <w:tcPr>
            <w:tcW w:w="4111" w:type="dxa"/>
            <w:tcBorders>
              <w:top w:val="single" w:sz="4" w:space="0" w:color="auto"/>
              <w:bottom w:val="single" w:sz="4" w:space="0" w:color="auto"/>
            </w:tcBorders>
            <w:shd w:val="clear" w:color="auto" w:fill="auto"/>
            <w:tcMar>
              <w:top w:w="72" w:type="dxa"/>
              <w:left w:w="72" w:type="dxa"/>
              <w:bottom w:w="72" w:type="dxa"/>
              <w:right w:w="72" w:type="dxa"/>
            </w:tcMar>
          </w:tcPr>
          <w:p w14:paraId="47F33033" w14:textId="77777777" w:rsidR="00971C84" w:rsidRPr="000C7B40" w:rsidRDefault="00971C84" w:rsidP="00971C84">
            <w:pPr>
              <w:keepNext/>
              <w:keepLines/>
              <w:rPr>
                <w:sz w:val="16"/>
                <w:szCs w:val="16"/>
              </w:rPr>
            </w:pPr>
            <w:r w:rsidRPr="000C7B40">
              <w:rPr>
                <w:rFonts w:ascii="Arial" w:hAnsi="Arial" w:cs="Arial"/>
                <w:sz w:val="16"/>
                <w:szCs w:val="16"/>
              </w:rPr>
              <w:t>Decisions/actions taken at the international level within the UN and other intergovernmental processes are detrimental to the international IP system.</w:t>
            </w:r>
          </w:p>
        </w:tc>
        <w:tc>
          <w:tcPr>
            <w:tcW w:w="5103" w:type="dxa"/>
            <w:tcBorders>
              <w:top w:val="single" w:sz="4" w:space="0" w:color="auto"/>
              <w:bottom w:val="single" w:sz="4" w:space="0" w:color="auto"/>
            </w:tcBorders>
            <w:shd w:val="clear" w:color="auto" w:fill="auto"/>
            <w:tcMar>
              <w:top w:w="72" w:type="dxa"/>
              <w:left w:w="72" w:type="dxa"/>
              <w:bottom w:w="72" w:type="dxa"/>
              <w:right w:w="72" w:type="dxa"/>
            </w:tcMar>
          </w:tcPr>
          <w:p w14:paraId="578CF4BC" w14:textId="77777777" w:rsidR="00971C84" w:rsidRPr="000C7B40" w:rsidRDefault="00971C84" w:rsidP="00971C84">
            <w:pPr>
              <w:keepNext/>
              <w:keepLines/>
              <w:rPr>
                <w:rFonts w:ascii="Arial" w:hAnsi="Arial" w:cs="Arial"/>
                <w:sz w:val="16"/>
                <w:szCs w:val="16"/>
              </w:rPr>
            </w:pPr>
            <w:r w:rsidRPr="000C7B40">
              <w:rPr>
                <w:rFonts w:ascii="Arial" w:hAnsi="Arial" w:cs="Arial"/>
                <w:sz w:val="16"/>
                <w:szCs w:val="16"/>
              </w:rPr>
              <w:t>Active engagement in major UN processes and ensuring an effective network of contacts within the UN Secretariat and UN Permanent Missions.</w:t>
            </w:r>
          </w:p>
          <w:p w14:paraId="5595B2D4" w14:textId="77777777" w:rsidR="00971C84" w:rsidRPr="00E9644C" w:rsidRDefault="00971C84" w:rsidP="00971C84">
            <w:pPr>
              <w:keepNext/>
              <w:keepLines/>
              <w:rPr>
                <w:rFonts w:ascii="Arial" w:hAnsi="Arial" w:cs="Arial"/>
                <w:sz w:val="8"/>
                <w:szCs w:val="8"/>
              </w:rPr>
            </w:pPr>
          </w:p>
          <w:p w14:paraId="6AFA4362" w14:textId="77777777" w:rsidR="00971C84" w:rsidRPr="000C7B40" w:rsidRDefault="00971C84" w:rsidP="00971C84">
            <w:pPr>
              <w:keepNext/>
              <w:keepLines/>
              <w:rPr>
                <w:rFonts w:ascii="Arial" w:hAnsi="Arial" w:cs="Arial"/>
                <w:color w:val="000000"/>
                <w:sz w:val="16"/>
                <w:szCs w:val="16"/>
              </w:rPr>
            </w:pPr>
            <w:r w:rsidRPr="000C7B40">
              <w:rPr>
                <w:rFonts w:ascii="Arial" w:hAnsi="Arial" w:cs="Arial"/>
                <w:sz w:val="16"/>
                <w:szCs w:val="16"/>
              </w:rPr>
              <w:t>Supporting a balanced and inclusive IP perspective by providing a space for all WIPO stakeholders (NGOs and business) to have a voice in WIPO's work.</w:t>
            </w:r>
          </w:p>
        </w:tc>
      </w:tr>
    </w:tbl>
    <w:p w14:paraId="44F321BA" w14:textId="77777777" w:rsidR="00971C84" w:rsidRDefault="00971C84" w:rsidP="00971C84">
      <w:pPr>
        <w:rPr>
          <w:rFonts w:ascii="Arial" w:hAnsi="Arial" w:cs="Arial"/>
        </w:rPr>
      </w:pPr>
    </w:p>
    <w:p w14:paraId="3E61AFE4" w14:textId="77777777" w:rsidR="00971C84" w:rsidRDefault="00971C84" w:rsidP="00971C84">
      <w:pPr>
        <w:rPr>
          <w:rFonts w:ascii="Arial" w:hAnsi="Arial" w:cs="Arial"/>
        </w:rPr>
      </w:pPr>
    </w:p>
    <w:p w14:paraId="44A59711" w14:textId="77777777" w:rsidR="00971C84" w:rsidRDefault="00971C84" w:rsidP="00971C84">
      <w:pPr>
        <w:rPr>
          <w:rFonts w:ascii="Arial" w:hAnsi="Arial" w:cs="Arial"/>
        </w:rPr>
      </w:pPr>
      <w:r w:rsidRPr="00934801">
        <w:rPr>
          <w:rFonts w:ascii="Arial" w:hAnsi="Arial" w:cs="Arial"/>
          <w:bCs/>
        </w:rPr>
        <w:t>RESULTS FRAMEWORK</w:t>
      </w:r>
    </w:p>
    <w:p w14:paraId="1FA14DD4" w14:textId="77777777" w:rsidR="00971C84" w:rsidRDefault="00971C84" w:rsidP="00971C84">
      <w:pPr>
        <w:jc w:val="both"/>
        <w:rPr>
          <w:rFonts w:ascii="Arial" w:hAnsi="Arial" w:cs="Arial"/>
          <w:bCs/>
          <w:lang w:eastAsia="zh-CN"/>
        </w:rPr>
      </w:pPr>
    </w:p>
    <w:tbl>
      <w:tblPr>
        <w:tblW w:w="9195" w:type="dxa"/>
        <w:tblInd w:w="93"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2160"/>
        <w:gridCol w:w="2880"/>
        <w:gridCol w:w="2840"/>
        <w:gridCol w:w="1315"/>
      </w:tblGrid>
      <w:tr w:rsidR="00971C84" w:rsidRPr="00870F2F" w14:paraId="226DA695" w14:textId="77777777" w:rsidTr="00F7225F">
        <w:trPr>
          <w:trHeight w:val="570"/>
        </w:trPr>
        <w:tc>
          <w:tcPr>
            <w:tcW w:w="2160" w:type="dxa"/>
            <w:tcBorders>
              <w:bottom w:val="single" w:sz="4" w:space="0" w:color="auto"/>
            </w:tcBorders>
            <w:shd w:val="clear" w:color="auto" w:fill="B8CCE4" w:themeFill="accent1" w:themeFillTint="66"/>
            <w:noWrap/>
            <w:vAlign w:val="center"/>
            <w:hideMark/>
          </w:tcPr>
          <w:p w14:paraId="0A339204"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Expected Results </w:t>
            </w:r>
          </w:p>
        </w:tc>
        <w:tc>
          <w:tcPr>
            <w:tcW w:w="2880" w:type="dxa"/>
            <w:tcBorders>
              <w:bottom w:val="single" w:sz="4" w:space="0" w:color="auto"/>
            </w:tcBorders>
            <w:shd w:val="clear" w:color="auto" w:fill="B8CCE4" w:themeFill="accent1" w:themeFillTint="66"/>
            <w:noWrap/>
            <w:vAlign w:val="center"/>
            <w:hideMark/>
          </w:tcPr>
          <w:p w14:paraId="77754851"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Performance Indicators</w:t>
            </w:r>
          </w:p>
        </w:tc>
        <w:tc>
          <w:tcPr>
            <w:tcW w:w="2840" w:type="dxa"/>
            <w:tcBorders>
              <w:bottom w:val="single" w:sz="4" w:space="0" w:color="auto"/>
            </w:tcBorders>
            <w:shd w:val="clear" w:color="auto" w:fill="B8CCE4" w:themeFill="accent1" w:themeFillTint="66"/>
            <w:noWrap/>
            <w:vAlign w:val="center"/>
            <w:hideMark/>
          </w:tcPr>
          <w:p w14:paraId="69643359"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 Baselines</w:t>
            </w:r>
          </w:p>
        </w:tc>
        <w:tc>
          <w:tcPr>
            <w:tcW w:w="1315" w:type="dxa"/>
            <w:tcBorders>
              <w:bottom w:val="single" w:sz="4" w:space="0" w:color="auto"/>
            </w:tcBorders>
            <w:shd w:val="clear" w:color="auto" w:fill="B8CCE4" w:themeFill="accent1" w:themeFillTint="66"/>
            <w:noWrap/>
            <w:vAlign w:val="center"/>
            <w:hideMark/>
          </w:tcPr>
          <w:p w14:paraId="4412DB23"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 Targets</w:t>
            </w:r>
          </w:p>
        </w:tc>
      </w:tr>
      <w:tr w:rsidR="00971C84" w:rsidRPr="00870F2F" w14:paraId="7187CF93" w14:textId="77777777" w:rsidTr="00F7225F">
        <w:trPr>
          <w:trHeight w:val="1859"/>
        </w:trPr>
        <w:tc>
          <w:tcPr>
            <w:tcW w:w="2160" w:type="dxa"/>
            <w:tcBorders>
              <w:bottom w:val="single" w:sz="4" w:space="0" w:color="auto"/>
            </w:tcBorders>
            <w:shd w:val="clear" w:color="000000" w:fill="FFFFFF"/>
            <w:hideMark/>
          </w:tcPr>
          <w:p w14:paraId="0CD94BD6" w14:textId="16FB2F40" w:rsidR="00971C84" w:rsidRDefault="00971C84" w:rsidP="00971C84">
            <w:pPr>
              <w:rPr>
                <w:rFonts w:ascii="Arial" w:hAnsi="Arial" w:cs="Arial"/>
                <w:color w:val="000000"/>
                <w:sz w:val="16"/>
                <w:szCs w:val="16"/>
              </w:rPr>
            </w:pPr>
            <w:r w:rsidRPr="00870F2F">
              <w:rPr>
                <w:rFonts w:ascii="Arial" w:hAnsi="Arial" w:cs="Arial"/>
                <w:color w:val="000000"/>
                <w:sz w:val="16"/>
                <w:szCs w:val="16"/>
              </w:rPr>
              <w:br/>
              <w:t>VIII.5 WIPO effectively interacts and partners with UN and other IGO processes and negotiations</w:t>
            </w:r>
            <w:r w:rsidRPr="00BE1D07">
              <w:rPr>
                <w:rFonts w:ascii="Arial" w:hAnsi="Arial" w:cs="Arial"/>
                <w:color w:val="000000"/>
                <w:sz w:val="16"/>
                <w:szCs w:val="16"/>
              </w:rPr>
              <w:t xml:space="preserve"> </w:t>
            </w:r>
          </w:p>
          <w:p w14:paraId="073F0CB0" w14:textId="77777777" w:rsidR="00971C84" w:rsidRPr="00870F2F" w:rsidRDefault="00971C84" w:rsidP="00971C84">
            <w:pPr>
              <w:rPr>
                <w:rFonts w:ascii="Arial" w:hAnsi="Arial" w:cs="Arial"/>
                <w:color w:val="000000"/>
                <w:sz w:val="16"/>
                <w:szCs w:val="16"/>
              </w:rPr>
            </w:pPr>
          </w:p>
        </w:tc>
        <w:tc>
          <w:tcPr>
            <w:tcW w:w="2880" w:type="dxa"/>
            <w:tcBorders>
              <w:bottom w:val="single" w:sz="4" w:space="0" w:color="auto"/>
            </w:tcBorders>
            <w:shd w:val="clear" w:color="000000" w:fill="FFFFFF"/>
            <w:hideMark/>
          </w:tcPr>
          <w:p w14:paraId="65026525" w14:textId="13D4FE08" w:rsidR="00971C84" w:rsidRDefault="00971C84" w:rsidP="00971C84">
            <w:pPr>
              <w:jc w:val="both"/>
              <w:rPr>
                <w:rFonts w:ascii="Arial" w:hAnsi="Arial" w:cs="Arial"/>
                <w:color w:val="000000"/>
                <w:sz w:val="16"/>
                <w:szCs w:val="16"/>
              </w:rPr>
            </w:pPr>
            <w:r w:rsidRPr="00870F2F">
              <w:rPr>
                <w:rFonts w:ascii="Arial" w:hAnsi="Arial" w:cs="Arial"/>
                <w:color w:val="000000"/>
                <w:sz w:val="16"/>
                <w:szCs w:val="16"/>
              </w:rPr>
              <w:t xml:space="preserve"> </w:t>
            </w:r>
            <w:r w:rsidRPr="00870F2F">
              <w:rPr>
                <w:rFonts w:ascii="Arial" w:hAnsi="Arial" w:cs="Arial"/>
                <w:color w:val="000000"/>
                <w:sz w:val="16"/>
                <w:szCs w:val="16"/>
              </w:rPr>
              <w:br/>
              <w:t>WIPO's contributions reflected in UN and IGO reports, resolutions and documents from relevant, targeted processes</w:t>
            </w:r>
          </w:p>
          <w:p w14:paraId="27EF2D0F" w14:textId="77777777" w:rsidR="00971C84" w:rsidRDefault="00971C84" w:rsidP="00971C84">
            <w:pPr>
              <w:jc w:val="both"/>
              <w:rPr>
                <w:rFonts w:ascii="Arial" w:hAnsi="Arial" w:cs="Arial"/>
                <w:color w:val="000000"/>
                <w:sz w:val="16"/>
                <w:szCs w:val="16"/>
              </w:rPr>
            </w:pPr>
          </w:p>
          <w:p w14:paraId="1DA07284" w14:textId="77777777" w:rsidR="00971C84" w:rsidRPr="00870F2F" w:rsidRDefault="00971C84" w:rsidP="00971C84">
            <w:pPr>
              <w:jc w:val="both"/>
              <w:rPr>
                <w:rFonts w:ascii="Arial" w:hAnsi="Arial" w:cs="Arial"/>
                <w:color w:val="000000"/>
                <w:sz w:val="16"/>
                <w:szCs w:val="16"/>
              </w:rPr>
            </w:pPr>
            <w:r w:rsidRPr="00870F2F">
              <w:rPr>
                <w:rFonts w:ascii="Arial" w:hAnsi="Arial" w:cs="Arial"/>
                <w:color w:val="000000"/>
                <w:sz w:val="16"/>
                <w:szCs w:val="16"/>
              </w:rPr>
              <w:t>No. of WIPO-led initiatives in partnership with UN and other IGOs to implementation of the SDGs</w:t>
            </w:r>
          </w:p>
        </w:tc>
        <w:tc>
          <w:tcPr>
            <w:tcW w:w="2840" w:type="dxa"/>
            <w:tcBorders>
              <w:bottom w:val="single" w:sz="4" w:space="0" w:color="auto"/>
            </w:tcBorders>
            <w:shd w:val="clear" w:color="000000" w:fill="FFFFFF"/>
            <w:hideMark/>
          </w:tcPr>
          <w:p w14:paraId="2B8D6A3F" w14:textId="7088B115" w:rsidR="00971C84" w:rsidRDefault="00971C84" w:rsidP="003E305D">
            <w:pPr>
              <w:ind w:left="87"/>
              <w:rPr>
                <w:rFonts w:ascii="Arial" w:hAnsi="Arial" w:cs="Arial"/>
                <w:color w:val="000000"/>
                <w:sz w:val="16"/>
                <w:szCs w:val="16"/>
              </w:rPr>
            </w:pPr>
            <w:r w:rsidRPr="00870F2F">
              <w:rPr>
                <w:rFonts w:ascii="Arial" w:hAnsi="Arial" w:cs="Arial"/>
                <w:color w:val="000000"/>
                <w:sz w:val="16"/>
                <w:szCs w:val="16"/>
              </w:rPr>
              <w:t xml:space="preserve"> </w:t>
            </w:r>
            <w:r w:rsidRPr="00870F2F">
              <w:rPr>
                <w:rFonts w:ascii="Arial" w:hAnsi="Arial" w:cs="Arial"/>
                <w:color w:val="000000"/>
                <w:sz w:val="16"/>
                <w:szCs w:val="16"/>
              </w:rPr>
              <w:br/>
              <w:t xml:space="preserve">2012/13 – 38 out of 38; </w:t>
            </w:r>
          </w:p>
          <w:p w14:paraId="6B31C65B" w14:textId="77777777" w:rsidR="00971C84" w:rsidRDefault="00971C84" w:rsidP="00971C84">
            <w:pPr>
              <w:ind w:left="87"/>
              <w:rPr>
                <w:rFonts w:ascii="Arial" w:hAnsi="Arial" w:cs="Arial"/>
                <w:color w:val="000000"/>
                <w:sz w:val="16"/>
                <w:szCs w:val="16"/>
              </w:rPr>
            </w:pPr>
            <w:r w:rsidRPr="00870F2F">
              <w:rPr>
                <w:rFonts w:ascii="Arial" w:hAnsi="Arial" w:cs="Arial"/>
                <w:color w:val="000000"/>
                <w:sz w:val="16"/>
                <w:szCs w:val="16"/>
              </w:rPr>
              <w:t>2014 12 out of 15, 3 on-going</w:t>
            </w:r>
          </w:p>
          <w:p w14:paraId="6F93783B" w14:textId="77777777" w:rsidR="00971C84" w:rsidRDefault="00971C84" w:rsidP="00971C84">
            <w:pPr>
              <w:ind w:left="87"/>
              <w:rPr>
                <w:rFonts w:ascii="Arial" w:hAnsi="Arial" w:cs="Arial"/>
                <w:color w:val="000000"/>
                <w:sz w:val="16"/>
                <w:szCs w:val="16"/>
              </w:rPr>
            </w:pPr>
          </w:p>
          <w:p w14:paraId="07787449" w14:textId="77777777" w:rsidR="00971C84" w:rsidRDefault="00971C84" w:rsidP="00971C84">
            <w:pPr>
              <w:ind w:left="87"/>
              <w:rPr>
                <w:rFonts w:ascii="Arial" w:hAnsi="Arial" w:cs="Arial"/>
                <w:color w:val="000000"/>
                <w:sz w:val="16"/>
                <w:szCs w:val="16"/>
              </w:rPr>
            </w:pPr>
          </w:p>
          <w:p w14:paraId="3311C9F2" w14:textId="77777777" w:rsidR="00971C84" w:rsidRDefault="00971C84" w:rsidP="00971C84">
            <w:pPr>
              <w:ind w:left="87"/>
              <w:rPr>
                <w:rFonts w:ascii="Arial" w:hAnsi="Arial" w:cs="Arial"/>
                <w:color w:val="000000"/>
                <w:sz w:val="16"/>
                <w:szCs w:val="16"/>
              </w:rPr>
            </w:pPr>
          </w:p>
          <w:p w14:paraId="4C7D0FF2" w14:textId="77777777" w:rsidR="00971C84" w:rsidRDefault="00971C84" w:rsidP="00971C84">
            <w:pPr>
              <w:ind w:left="87"/>
              <w:rPr>
                <w:rFonts w:ascii="Arial" w:hAnsi="Arial" w:cs="Arial"/>
                <w:color w:val="000000"/>
                <w:sz w:val="16"/>
                <w:szCs w:val="16"/>
              </w:rPr>
            </w:pPr>
            <w:r>
              <w:rPr>
                <w:rFonts w:ascii="Arial" w:hAnsi="Arial" w:cs="Arial"/>
                <w:color w:val="000000"/>
                <w:sz w:val="16"/>
                <w:szCs w:val="16"/>
              </w:rPr>
              <w:t>None</w:t>
            </w:r>
          </w:p>
          <w:p w14:paraId="74D9983E" w14:textId="2CAB8A53" w:rsidR="00971C84" w:rsidRPr="00870F2F" w:rsidRDefault="00971C84" w:rsidP="00971C84">
            <w:pPr>
              <w:ind w:left="87"/>
              <w:rPr>
                <w:rFonts w:ascii="Arial" w:hAnsi="Arial" w:cs="Arial"/>
                <w:color w:val="000000"/>
                <w:sz w:val="16"/>
                <w:szCs w:val="16"/>
              </w:rPr>
            </w:pPr>
          </w:p>
        </w:tc>
        <w:tc>
          <w:tcPr>
            <w:tcW w:w="1315" w:type="dxa"/>
            <w:tcBorders>
              <w:bottom w:val="single" w:sz="4" w:space="0" w:color="auto"/>
            </w:tcBorders>
            <w:shd w:val="clear" w:color="000000" w:fill="FFFFFF"/>
            <w:hideMark/>
          </w:tcPr>
          <w:p w14:paraId="7D34D652" w14:textId="48C0DBCC" w:rsidR="00971C84" w:rsidRDefault="00971C84" w:rsidP="00971C84">
            <w:pPr>
              <w:rPr>
                <w:rFonts w:ascii="Arial" w:hAnsi="Arial" w:cs="Arial"/>
                <w:color w:val="000000"/>
                <w:sz w:val="16"/>
                <w:szCs w:val="16"/>
              </w:rPr>
            </w:pPr>
            <w:r w:rsidRPr="00870F2F">
              <w:rPr>
                <w:rFonts w:ascii="Arial" w:hAnsi="Arial" w:cs="Arial"/>
                <w:color w:val="000000"/>
                <w:sz w:val="16"/>
                <w:szCs w:val="16"/>
              </w:rPr>
              <w:br/>
              <w:t>80%</w:t>
            </w:r>
          </w:p>
          <w:p w14:paraId="6F0F0A89" w14:textId="77777777" w:rsidR="00971C84" w:rsidRDefault="00971C84" w:rsidP="00971C84">
            <w:pPr>
              <w:ind w:firstLineChars="200" w:firstLine="320"/>
              <w:rPr>
                <w:rFonts w:ascii="Arial" w:hAnsi="Arial" w:cs="Arial"/>
                <w:color w:val="000000"/>
                <w:sz w:val="16"/>
                <w:szCs w:val="16"/>
              </w:rPr>
            </w:pPr>
          </w:p>
          <w:p w14:paraId="2F1428A0" w14:textId="77777777" w:rsidR="00971C84" w:rsidRDefault="00971C84" w:rsidP="00971C84">
            <w:pPr>
              <w:ind w:firstLineChars="200" w:firstLine="320"/>
              <w:rPr>
                <w:rFonts w:ascii="Arial" w:hAnsi="Arial" w:cs="Arial"/>
                <w:color w:val="000000"/>
                <w:sz w:val="16"/>
                <w:szCs w:val="16"/>
              </w:rPr>
            </w:pPr>
          </w:p>
          <w:p w14:paraId="33674988" w14:textId="77777777" w:rsidR="00971C84" w:rsidRDefault="00971C84" w:rsidP="00971C84">
            <w:pPr>
              <w:rPr>
                <w:rFonts w:ascii="Arial" w:hAnsi="Arial" w:cs="Arial"/>
                <w:color w:val="000000"/>
                <w:sz w:val="16"/>
                <w:szCs w:val="16"/>
              </w:rPr>
            </w:pPr>
          </w:p>
          <w:p w14:paraId="1C7CC438" w14:textId="77777777" w:rsidR="00971C84" w:rsidRDefault="00971C84" w:rsidP="00971C84">
            <w:pPr>
              <w:rPr>
                <w:rFonts w:ascii="Arial" w:hAnsi="Arial" w:cs="Arial"/>
                <w:color w:val="000000"/>
                <w:sz w:val="16"/>
                <w:szCs w:val="16"/>
              </w:rPr>
            </w:pPr>
          </w:p>
          <w:p w14:paraId="79805BB3" w14:textId="77777777" w:rsidR="00971C84" w:rsidRDefault="00971C84" w:rsidP="004E671F">
            <w:pPr>
              <w:rPr>
                <w:rFonts w:ascii="Arial" w:hAnsi="Arial" w:cs="Arial"/>
                <w:color w:val="000000"/>
                <w:sz w:val="16"/>
                <w:szCs w:val="16"/>
              </w:rPr>
            </w:pPr>
            <w:r>
              <w:rPr>
                <w:rFonts w:ascii="Arial" w:hAnsi="Arial" w:cs="Arial"/>
                <w:color w:val="000000"/>
                <w:sz w:val="16"/>
                <w:szCs w:val="16"/>
              </w:rPr>
              <w:t>5</w:t>
            </w:r>
          </w:p>
          <w:p w14:paraId="4C4AED8B" w14:textId="77777777" w:rsidR="00971C84" w:rsidRPr="00870F2F" w:rsidRDefault="00971C84" w:rsidP="004E671F">
            <w:pPr>
              <w:rPr>
                <w:rFonts w:ascii="Arial" w:hAnsi="Arial" w:cs="Arial"/>
                <w:color w:val="000000"/>
                <w:sz w:val="16"/>
                <w:szCs w:val="16"/>
              </w:rPr>
            </w:pPr>
          </w:p>
        </w:tc>
      </w:tr>
    </w:tbl>
    <w:p w14:paraId="023331B1" w14:textId="77777777" w:rsidR="00971C84" w:rsidRDefault="00971C84" w:rsidP="00971C84">
      <w:pPr>
        <w:jc w:val="both"/>
        <w:rPr>
          <w:rFonts w:ascii="Arial" w:hAnsi="Arial" w:cs="Arial"/>
          <w:bCs/>
          <w:lang w:eastAsia="zh-CN"/>
        </w:rPr>
      </w:pPr>
    </w:p>
    <w:p w14:paraId="51E04B1D" w14:textId="77777777" w:rsidR="00971C84" w:rsidRDefault="00971C84">
      <w:pPr>
        <w:rPr>
          <w:rFonts w:ascii="Arial" w:hAnsi="Arial" w:cs="Arial"/>
          <w:sz w:val="20"/>
          <w:lang w:eastAsia="zh-CN"/>
        </w:rPr>
      </w:pPr>
    </w:p>
    <w:p w14:paraId="24AE6A08" w14:textId="5EC18621" w:rsidR="00971C84" w:rsidRPr="00FB68E0" w:rsidRDefault="00971C84" w:rsidP="008B4CD5">
      <w:pPr>
        <w:pStyle w:val="Body"/>
        <w:keepNext/>
        <w:keepLines/>
        <w:rPr>
          <w:b/>
        </w:rPr>
      </w:pPr>
      <w:r w:rsidRPr="00FB68E0">
        <w:rPr>
          <w:b/>
        </w:rPr>
        <w:t>EXTERNAL OFFICES</w:t>
      </w:r>
    </w:p>
    <w:p w14:paraId="52268E38" w14:textId="77777777" w:rsidR="00971C84" w:rsidRDefault="00971C84" w:rsidP="008B4CD5">
      <w:pPr>
        <w:keepNext/>
        <w:keepLines/>
        <w:rPr>
          <w:rFonts w:ascii="Arial" w:hAnsi="Arial" w:cs="Arial"/>
        </w:rPr>
      </w:pPr>
    </w:p>
    <w:p w14:paraId="446CE74B" w14:textId="77777777" w:rsidR="00AA007C" w:rsidRDefault="00AA007C" w:rsidP="008B4CD5">
      <w:pPr>
        <w:keepNext/>
        <w:keepLines/>
        <w:rPr>
          <w:rFonts w:ascii="Arial" w:hAnsi="Arial" w:cs="Arial"/>
        </w:rPr>
      </w:pPr>
    </w:p>
    <w:p w14:paraId="2C2AE7F7" w14:textId="77777777" w:rsidR="00971C84" w:rsidRPr="004A5DFE" w:rsidRDefault="00971C84" w:rsidP="008B4CD5">
      <w:pPr>
        <w:keepNext/>
        <w:keepLines/>
        <w:rPr>
          <w:rFonts w:ascii="Arial" w:hAnsi="Arial" w:cs="Arial"/>
        </w:rPr>
      </w:pPr>
      <w:r w:rsidRPr="004A5DFE">
        <w:rPr>
          <w:rFonts w:ascii="Arial" w:hAnsi="Arial" w:cs="Arial"/>
        </w:rPr>
        <w:t>PLANNING CONTEXT</w:t>
      </w:r>
    </w:p>
    <w:p w14:paraId="0511BE9C" w14:textId="77777777" w:rsidR="00971C84" w:rsidRDefault="00971C84" w:rsidP="008B4CD5">
      <w:pPr>
        <w:keepNext/>
        <w:keepLines/>
        <w:rPr>
          <w:rFonts w:ascii="Arial" w:hAnsi="Arial" w:cs="Arial"/>
        </w:rPr>
      </w:pPr>
    </w:p>
    <w:p w14:paraId="14CA0BEA" w14:textId="7C920902" w:rsidR="00971C84" w:rsidRPr="00785BEE" w:rsidRDefault="00971C84" w:rsidP="00B66A4A">
      <w:pPr>
        <w:keepNext/>
        <w:keepLines/>
        <w:numPr>
          <w:ilvl w:val="0"/>
          <w:numId w:val="72"/>
        </w:numPr>
        <w:jc w:val="both"/>
        <w:rPr>
          <w:rFonts w:ascii="Arial" w:hAnsi="Arial" w:cs="Arial"/>
          <w:sz w:val="20"/>
        </w:rPr>
      </w:pPr>
      <w:r w:rsidRPr="00785BEE">
        <w:rPr>
          <w:rFonts w:ascii="Arial" w:hAnsi="Arial" w:cs="Arial"/>
          <w:sz w:val="20"/>
        </w:rPr>
        <w:t xml:space="preserve">The establishment of a network of WIPO External Offices commenced over ten years ago and at present comprises five offices: the WIPO Singapore Office (established in 2005), the WIPO Japan Office (established in 2006), the WIPO Brazil Office (established in 2010), the WIPO Office </w:t>
      </w:r>
      <w:r w:rsidR="00371BF2">
        <w:rPr>
          <w:rFonts w:ascii="Arial" w:hAnsi="Arial" w:cs="Arial"/>
          <w:sz w:val="20"/>
        </w:rPr>
        <w:t xml:space="preserve">in </w:t>
      </w:r>
      <w:r w:rsidR="00371BF2" w:rsidRPr="00785BEE">
        <w:rPr>
          <w:rFonts w:ascii="Arial" w:hAnsi="Arial" w:cs="Arial"/>
          <w:sz w:val="20"/>
        </w:rPr>
        <w:t xml:space="preserve">China </w:t>
      </w:r>
      <w:r w:rsidRPr="00785BEE">
        <w:rPr>
          <w:rFonts w:ascii="Arial" w:hAnsi="Arial" w:cs="Arial"/>
          <w:sz w:val="20"/>
        </w:rPr>
        <w:t xml:space="preserve">(established in 2014), and the WIPO Russia Office (established in 2014). </w:t>
      </w:r>
    </w:p>
    <w:p w14:paraId="2637CE0D" w14:textId="77777777" w:rsidR="00971C84" w:rsidRPr="00785BEE" w:rsidRDefault="00971C84" w:rsidP="00971C84">
      <w:pPr>
        <w:jc w:val="both"/>
        <w:rPr>
          <w:rFonts w:ascii="Arial" w:hAnsi="Arial" w:cs="Arial"/>
          <w:sz w:val="20"/>
        </w:rPr>
      </w:pPr>
    </w:p>
    <w:p w14:paraId="45E88B7C" w14:textId="5F5CD622"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WIPO’s External Offices form an integral part of the Organization, working with all </w:t>
      </w:r>
      <w:r>
        <w:rPr>
          <w:rFonts w:ascii="Arial" w:hAnsi="Arial" w:cs="Arial"/>
          <w:sz w:val="20"/>
        </w:rPr>
        <w:t>Programs</w:t>
      </w:r>
      <w:r w:rsidRPr="00785BEE">
        <w:rPr>
          <w:rFonts w:ascii="Arial" w:hAnsi="Arial" w:cs="Arial"/>
          <w:sz w:val="20"/>
        </w:rPr>
        <w:t xml:space="preserve"> </w:t>
      </w:r>
      <w:r>
        <w:rPr>
          <w:rFonts w:ascii="Arial" w:hAnsi="Arial" w:cs="Arial"/>
          <w:sz w:val="20"/>
        </w:rPr>
        <w:t>at</w:t>
      </w:r>
      <w:r w:rsidRPr="00785BEE">
        <w:rPr>
          <w:rFonts w:ascii="Arial" w:hAnsi="Arial" w:cs="Arial"/>
          <w:sz w:val="20"/>
        </w:rPr>
        <w:t xml:space="preserve"> Headquarters to contribute to the achievement of the Strategic Goals.  As such, the External Offices are an important physical extension of WIPO’s presence in the countries and/or surrounding region.  In this regard, they are ideally suited to bringing the Organization closer to its Member States and stakeholders.   </w:t>
      </w:r>
    </w:p>
    <w:p w14:paraId="053BE7D2" w14:textId="77777777" w:rsidR="00971C84" w:rsidRPr="00785BEE" w:rsidRDefault="00971C84" w:rsidP="00971C84">
      <w:pPr>
        <w:jc w:val="both"/>
        <w:rPr>
          <w:rFonts w:ascii="Arial" w:hAnsi="Arial" w:cs="Arial"/>
          <w:sz w:val="20"/>
        </w:rPr>
      </w:pPr>
    </w:p>
    <w:p w14:paraId="6639199C" w14:textId="57B7B115" w:rsidR="00971C84" w:rsidRPr="00785BEE" w:rsidRDefault="00971C84" w:rsidP="00B66A4A">
      <w:pPr>
        <w:numPr>
          <w:ilvl w:val="0"/>
          <w:numId w:val="72"/>
        </w:numPr>
        <w:jc w:val="both"/>
        <w:rPr>
          <w:rFonts w:ascii="Arial" w:hAnsi="Arial" w:cs="Arial"/>
          <w:sz w:val="20"/>
        </w:rPr>
      </w:pPr>
      <w:r w:rsidRPr="00785BEE">
        <w:rPr>
          <w:rFonts w:ascii="Arial" w:hAnsi="Arial" w:cs="Arial"/>
          <w:sz w:val="20"/>
        </w:rPr>
        <w:t>The establishment of the network of External Offices has been predicated upon the core principles that: (1) External Offices should add value, efficiency and effectiveness to program delivery</w:t>
      </w:r>
      <w:r>
        <w:rPr>
          <w:rFonts w:ascii="Arial" w:hAnsi="Arial" w:cs="Arial"/>
          <w:sz w:val="20"/>
        </w:rPr>
        <w:t xml:space="preserve"> </w:t>
      </w:r>
      <w:r w:rsidRPr="00785BEE">
        <w:rPr>
          <w:rFonts w:ascii="Arial" w:hAnsi="Arial" w:cs="Arial"/>
          <w:sz w:val="20"/>
        </w:rPr>
        <w:t xml:space="preserve">in a coordinated </w:t>
      </w:r>
      <w:r>
        <w:rPr>
          <w:rFonts w:ascii="Arial" w:hAnsi="Arial" w:cs="Arial"/>
          <w:sz w:val="20"/>
        </w:rPr>
        <w:t xml:space="preserve">manner </w:t>
      </w:r>
      <w:r w:rsidRPr="00785BEE">
        <w:rPr>
          <w:rFonts w:ascii="Arial" w:hAnsi="Arial" w:cs="Arial"/>
          <w:sz w:val="20"/>
        </w:rPr>
        <w:t xml:space="preserve">complementary </w:t>
      </w:r>
      <w:r>
        <w:rPr>
          <w:rFonts w:ascii="Arial" w:hAnsi="Arial" w:cs="Arial"/>
          <w:sz w:val="20"/>
        </w:rPr>
        <w:t xml:space="preserve">to the work at </w:t>
      </w:r>
      <w:r w:rsidRPr="00785BEE">
        <w:rPr>
          <w:rFonts w:ascii="Arial" w:hAnsi="Arial" w:cs="Arial"/>
          <w:sz w:val="20"/>
        </w:rPr>
        <w:t xml:space="preserve">Headquarters; (2) External Offices have different mixes of functions in response to local priorities and specificities; (3) External Offices </w:t>
      </w:r>
      <w:r>
        <w:rPr>
          <w:rFonts w:ascii="Arial" w:hAnsi="Arial" w:cs="Arial"/>
          <w:sz w:val="20"/>
        </w:rPr>
        <w:t>should</w:t>
      </w:r>
      <w:r w:rsidRPr="00785BEE">
        <w:rPr>
          <w:rFonts w:ascii="Arial" w:hAnsi="Arial" w:cs="Arial"/>
          <w:sz w:val="20"/>
        </w:rPr>
        <w:t xml:space="preserve"> be cost-effective; and (4) External Offices are an integral part of WIPO’s result based management and regulatory framework.</w:t>
      </w:r>
    </w:p>
    <w:p w14:paraId="379869F6" w14:textId="77777777" w:rsidR="00971C84" w:rsidRPr="00785BEE" w:rsidRDefault="00971C84" w:rsidP="00971C84">
      <w:pPr>
        <w:jc w:val="both"/>
        <w:rPr>
          <w:rFonts w:ascii="Arial" w:hAnsi="Arial" w:cs="Arial"/>
          <w:sz w:val="20"/>
        </w:rPr>
      </w:pPr>
    </w:p>
    <w:p w14:paraId="6D25D89B" w14:textId="1CEB6E1D"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In this context, WIPO’s External Offices have been contributing to the </w:t>
      </w:r>
      <w:r>
        <w:rPr>
          <w:rFonts w:ascii="Arial" w:hAnsi="Arial" w:cs="Arial"/>
          <w:sz w:val="20"/>
        </w:rPr>
        <w:t xml:space="preserve">Expected Results and </w:t>
      </w:r>
      <w:r w:rsidRPr="00785BEE">
        <w:rPr>
          <w:rFonts w:ascii="Arial" w:hAnsi="Arial" w:cs="Arial"/>
          <w:sz w:val="20"/>
        </w:rPr>
        <w:t>reali</w:t>
      </w:r>
      <w:r w:rsidR="003E305D">
        <w:rPr>
          <w:rFonts w:ascii="Arial" w:hAnsi="Arial" w:cs="Arial"/>
          <w:sz w:val="20"/>
        </w:rPr>
        <w:t>z</w:t>
      </w:r>
      <w:r w:rsidRPr="00785BEE">
        <w:rPr>
          <w:rFonts w:ascii="Arial" w:hAnsi="Arial" w:cs="Arial"/>
          <w:sz w:val="20"/>
        </w:rPr>
        <w:t>ation of WIPO Strategic Goals.  External Offices have</w:t>
      </w:r>
      <w:r>
        <w:rPr>
          <w:rFonts w:ascii="Arial" w:hAnsi="Arial" w:cs="Arial"/>
          <w:sz w:val="20"/>
        </w:rPr>
        <w:t xml:space="preserve"> </w:t>
      </w:r>
      <w:r w:rsidRPr="00785BEE">
        <w:rPr>
          <w:rFonts w:ascii="Arial" w:hAnsi="Arial" w:cs="Arial"/>
          <w:sz w:val="20"/>
        </w:rPr>
        <w:t xml:space="preserve">provided support services for WIPO’s Global IP Systems; delivered technical assistance in developing countries in relation to the global infrastructure programs of the Organization; delivered capacity building activities facilitating the use of IP for development; promoted WIPO’s treaties in furtherance of the balanced evolution of the </w:t>
      </w:r>
      <w:r>
        <w:rPr>
          <w:rFonts w:ascii="Arial" w:hAnsi="Arial" w:cs="Arial"/>
          <w:sz w:val="20"/>
        </w:rPr>
        <w:t>i</w:t>
      </w:r>
      <w:r w:rsidRPr="00785BEE">
        <w:rPr>
          <w:rFonts w:ascii="Arial" w:hAnsi="Arial" w:cs="Arial"/>
          <w:sz w:val="20"/>
        </w:rPr>
        <w:t xml:space="preserve">nternational </w:t>
      </w:r>
      <w:r>
        <w:rPr>
          <w:rFonts w:ascii="Arial" w:hAnsi="Arial" w:cs="Arial"/>
          <w:sz w:val="20"/>
        </w:rPr>
        <w:t>n</w:t>
      </w:r>
      <w:r w:rsidRPr="00785BEE">
        <w:rPr>
          <w:rFonts w:ascii="Arial" w:hAnsi="Arial" w:cs="Arial"/>
          <w:sz w:val="20"/>
        </w:rPr>
        <w:t xml:space="preserve">ormative </w:t>
      </w:r>
      <w:r>
        <w:rPr>
          <w:rFonts w:ascii="Arial" w:hAnsi="Arial" w:cs="Arial"/>
          <w:sz w:val="20"/>
        </w:rPr>
        <w:t>f</w:t>
      </w:r>
      <w:r w:rsidRPr="00785BEE">
        <w:rPr>
          <w:rFonts w:ascii="Arial" w:hAnsi="Arial" w:cs="Arial"/>
          <w:sz w:val="20"/>
        </w:rPr>
        <w:t>ramework for IP; provided more effective communications to a broad public, leveraged their close proximity to undertake targeted outreach and forged closer relationships with stakeholders; and offered ‘round the clock’ services to ensure the availability of WIPO outside of Geneva business hours.</w:t>
      </w:r>
    </w:p>
    <w:p w14:paraId="5FF3B522" w14:textId="77777777" w:rsidR="00971C84" w:rsidRPr="00785BEE" w:rsidRDefault="00971C84" w:rsidP="00971C84">
      <w:pPr>
        <w:jc w:val="both"/>
        <w:rPr>
          <w:rFonts w:ascii="Arial" w:hAnsi="Arial" w:cs="Arial"/>
          <w:sz w:val="20"/>
        </w:rPr>
      </w:pPr>
    </w:p>
    <w:p w14:paraId="2378B8BD" w14:textId="09709AA0" w:rsidR="00971C84" w:rsidRPr="00785BEE" w:rsidRDefault="00971C84" w:rsidP="00B66A4A">
      <w:pPr>
        <w:numPr>
          <w:ilvl w:val="0"/>
          <w:numId w:val="72"/>
        </w:numPr>
        <w:jc w:val="both"/>
        <w:rPr>
          <w:rFonts w:ascii="Arial" w:hAnsi="Arial" w:cs="Arial"/>
          <w:sz w:val="20"/>
        </w:rPr>
      </w:pPr>
      <w:r w:rsidRPr="00537B91">
        <w:rPr>
          <w:rFonts w:ascii="Arial" w:hAnsi="Arial" w:cs="Arial"/>
          <w:bCs/>
          <w:sz w:val="20"/>
        </w:rPr>
        <w:lastRenderedPageBreak/>
        <w:t>Recognizing</w:t>
      </w:r>
      <w:r w:rsidRPr="00785BEE">
        <w:rPr>
          <w:rFonts w:ascii="Arial" w:hAnsi="Arial" w:cs="Arial"/>
          <w:sz w:val="20"/>
        </w:rPr>
        <w:t xml:space="preserve"> the challenges of fully integrating a relatively new network into the operations of an Organization which is largely Headquarters</w:t>
      </w:r>
      <w:r>
        <w:rPr>
          <w:rFonts w:ascii="Arial" w:hAnsi="Arial" w:cs="Arial"/>
          <w:sz w:val="20"/>
        </w:rPr>
        <w:t>-</w:t>
      </w:r>
      <w:r w:rsidRPr="00785BEE">
        <w:rPr>
          <w:rFonts w:ascii="Arial" w:hAnsi="Arial" w:cs="Arial"/>
          <w:sz w:val="20"/>
        </w:rPr>
        <w:t xml:space="preserve">based, there has been a felt need to further improve the productivity and efficiency of the External Offices, streamline their coordination with all </w:t>
      </w:r>
      <w:r>
        <w:rPr>
          <w:rFonts w:ascii="Arial" w:hAnsi="Arial" w:cs="Arial"/>
          <w:sz w:val="20"/>
        </w:rPr>
        <w:t>Programs</w:t>
      </w:r>
      <w:r w:rsidRPr="00785BEE">
        <w:rPr>
          <w:rFonts w:ascii="Arial" w:hAnsi="Arial" w:cs="Arial"/>
          <w:sz w:val="20"/>
        </w:rPr>
        <w:t xml:space="preserve"> </w:t>
      </w:r>
      <w:r>
        <w:rPr>
          <w:rFonts w:ascii="Arial" w:hAnsi="Arial" w:cs="Arial"/>
          <w:sz w:val="20"/>
        </w:rPr>
        <w:t>at</w:t>
      </w:r>
      <w:r w:rsidRPr="00785BEE">
        <w:rPr>
          <w:rFonts w:ascii="Arial" w:hAnsi="Arial" w:cs="Arial"/>
          <w:sz w:val="20"/>
        </w:rPr>
        <w:t xml:space="preserve"> Headquarters and enhance the coherence of their overall management through concrete steps.  To this end, initiatives have been launched </w:t>
      </w:r>
      <w:r>
        <w:rPr>
          <w:rFonts w:ascii="Arial" w:hAnsi="Arial" w:cs="Arial"/>
          <w:sz w:val="20"/>
        </w:rPr>
        <w:t xml:space="preserve">in 2014/15 </w:t>
      </w:r>
      <w:r w:rsidRPr="00785BEE">
        <w:rPr>
          <w:rFonts w:ascii="Arial" w:hAnsi="Arial" w:cs="Arial"/>
          <w:sz w:val="20"/>
        </w:rPr>
        <w:t>to: improve the IT infrastructure in External Offices and integrate them seamlessly into the overall IT architecture of the Organization; improve and rationalize human resource policies concerning the staffing of External Offices; enhance program planning, implementation and monitoring of External Offices; evolve a comprehensive communications strategy for External Offices; improve and institutionalize reporting and communication between External Office</w:t>
      </w:r>
      <w:r>
        <w:rPr>
          <w:rFonts w:ascii="Arial" w:hAnsi="Arial" w:cs="Arial"/>
          <w:sz w:val="20"/>
        </w:rPr>
        <w:t>s</w:t>
      </w:r>
      <w:r w:rsidRPr="00785BEE">
        <w:rPr>
          <w:rFonts w:ascii="Arial" w:hAnsi="Arial" w:cs="Arial"/>
          <w:sz w:val="20"/>
        </w:rPr>
        <w:t xml:space="preserve"> and Headquarters; and evolve business continuity plans for each External Office.   </w:t>
      </w:r>
    </w:p>
    <w:p w14:paraId="6953E6E6" w14:textId="77777777" w:rsidR="00971C84" w:rsidRPr="00785BEE" w:rsidRDefault="00971C84" w:rsidP="00971C84">
      <w:pPr>
        <w:jc w:val="both"/>
        <w:rPr>
          <w:rFonts w:ascii="Arial" w:hAnsi="Arial" w:cs="Arial"/>
          <w:sz w:val="20"/>
        </w:rPr>
      </w:pPr>
    </w:p>
    <w:p w14:paraId="52CE0741" w14:textId="77777777" w:rsidR="00971C84" w:rsidRPr="00785BEE" w:rsidRDefault="00971C84" w:rsidP="00971C84">
      <w:pPr>
        <w:jc w:val="both"/>
        <w:rPr>
          <w:rFonts w:ascii="Arial" w:hAnsi="Arial" w:cs="Arial"/>
          <w:sz w:val="20"/>
        </w:rPr>
      </w:pPr>
    </w:p>
    <w:p w14:paraId="44F93290" w14:textId="77777777" w:rsidR="00971C84" w:rsidRPr="00FB68E0" w:rsidRDefault="00971C84" w:rsidP="00971C84">
      <w:pPr>
        <w:jc w:val="both"/>
        <w:rPr>
          <w:rFonts w:ascii="Arial" w:hAnsi="Arial" w:cs="Arial"/>
        </w:rPr>
      </w:pPr>
      <w:r w:rsidRPr="00FB68E0">
        <w:rPr>
          <w:rFonts w:ascii="Arial" w:hAnsi="Arial" w:cs="Arial"/>
        </w:rPr>
        <w:t>IMPLEMENTATION STRATEGIES</w:t>
      </w:r>
    </w:p>
    <w:p w14:paraId="27159202" w14:textId="77777777" w:rsidR="00971C84" w:rsidRPr="00785BEE" w:rsidRDefault="00971C84" w:rsidP="00971C84">
      <w:pPr>
        <w:jc w:val="both"/>
        <w:rPr>
          <w:rFonts w:ascii="Arial" w:hAnsi="Arial" w:cs="Arial"/>
          <w:sz w:val="20"/>
        </w:rPr>
      </w:pPr>
    </w:p>
    <w:p w14:paraId="018F2C73" w14:textId="6995CB7A"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Building upon the abovementioned initiatives, there will be continued efforts to improve the seamless integration of External Offices into all aspects of the functioning of the Organization.  This will be critical to ensuring that WIPO continues to evolve as a truly global Organization that is responsive to its Member States and stakeholders and </w:t>
      </w:r>
      <w:r w:rsidR="00323604">
        <w:rPr>
          <w:rFonts w:ascii="Arial" w:hAnsi="Arial" w:cs="Arial"/>
          <w:sz w:val="20"/>
        </w:rPr>
        <w:t>is able to realiz</w:t>
      </w:r>
      <w:r w:rsidRPr="00785BEE">
        <w:rPr>
          <w:rFonts w:ascii="Arial" w:hAnsi="Arial" w:cs="Arial"/>
          <w:sz w:val="20"/>
        </w:rPr>
        <w:t xml:space="preserve">e its ambitious goals of delivering its services more efficiently through closer co-operation.  In pursuit of this, WIPO’s External Offices will, within their respective host country and/or surrounding region, contribute to the achievement of </w:t>
      </w:r>
      <w:r>
        <w:rPr>
          <w:rFonts w:ascii="Arial" w:hAnsi="Arial" w:cs="Arial"/>
          <w:sz w:val="20"/>
        </w:rPr>
        <w:t xml:space="preserve">the Expected Results and </w:t>
      </w:r>
      <w:r w:rsidRPr="00785BEE">
        <w:rPr>
          <w:rFonts w:ascii="Arial" w:hAnsi="Arial" w:cs="Arial"/>
          <w:sz w:val="20"/>
        </w:rPr>
        <w:t>Strategic Goals in coordination with Headquarters.  In addition, the following specific strategies for the External Offices will be implemented.</w:t>
      </w:r>
    </w:p>
    <w:p w14:paraId="6CA8E375" w14:textId="77777777" w:rsidR="00971C84" w:rsidRPr="00785BEE" w:rsidRDefault="00971C84" w:rsidP="00971C84">
      <w:pPr>
        <w:jc w:val="both"/>
        <w:rPr>
          <w:rFonts w:ascii="Arial" w:hAnsi="Arial" w:cs="Arial"/>
          <w:sz w:val="20"/>
        </w:rPr>
      </w:pPr>
    </w:p>
    <w:p w14:paraId="262AFBBD" w14:textId="77777777" w:rsidR="00971C84" w:rsidRPr="00785BEE" w:rsidRDefault="00971C84" w:rsidP="008B4CD5">
      <w:pPr>
        <w:keepNext/>
        <w:keepLines/>
        <w:jc w:val="both"/>
        <w:rPr>
          <w:rFonts w:ascii="Arial" w:hAnsi="Arial" w:cs="Arial"/>
          <w:sz w:val="20"/>
          <w:u w:val="single"/>
        </w:rPr>
      </w:pPr>
      <w:r w:rsidRPr="00785BEE">
        <w:rPr>
          <w:rFonts w:ascii="Arial" w:hAnsi="Arial" w:cs="Arial"/>
          <w:sz w:val="20"/>
          <w:u w:val="single"/>
        </w:rPr>
        <w:t>WIPO Singapore Office (WSO)</w:t>
      </w:r>
    </w:p>
    <w:p w14:paraId="5A0846D1" w14:textId="77777777" w:rsidR="00971C84" w:rsidRPr="00785BEE" w:rsidRDefault="00971C84" w:rsidP="008B4CD5">
      <w:pPr>
        <w:keepNext/>
        <w:keepLines/>
        <w:jc w:val="both"/>
        <w:rPr>
          <w:rFonts w:ascii="Arial" w:hAnsi="Arial" w:cs="Arial"/>
          <w:sz w:val="20"/>
        </w:rPr>
      </w:pPr>
    </w:p>
    <w:p w14:paraId="0A91B2DF" w14:textId="77777777" w:rsidR="00971C84" w:rsidRPr="00785BEE" w:rsidRDefault="00971C84" w:rsidP="00B66A4A">
      <w:pPr>
        <w:keepNext/>
        <w:keepLines/>
        <w:numPr>
          <w:ilvl w:val="0"/>
          <w:numId w:val="72"/>
        </w:numPr>
        <w:jc w:val="both"/>
        <w:rPr>
          <w:rFonts w:ascii="Arial" w:hAnsi="Arial" w:cs="Arial"/>
          <w:sz w:val="20"/>
        </w:rPr>
      </w:pPr>
      <w:r w:rsidRPr="00785BEE">
        <w:rPr>
          <w:rFonts w:ascii="Arial" w:hAnsi="Arial" w:cs="Arial"/>
          <w:sz w:val="20"/>
        </w:rPr>
        <w:t>The WIPO Singapore Office (WSO) will continue to act as a Service Center in the region, including facilitating the use of IP for development, promoting WIPO’s Global IP Services and supporting and promoting the WIPO Arbitration and Mediation Center in Singapore.</w:t>
      </w:r>
    </w:p>
    <w:p w14:paraId="1287BA8E" w14:textId="77777777" w:rsidR="00971C84" w:rsidRPr="00785BEE" w:rsidRDefault="00971C84" w:rsidP="00971C84">
      <w:pPr>
        <w:jc w:val="both"/>
        <w:rPr>
          <w:rFonts w:ascii="Arial" w:hAnsi="Arial" w:cs="Arial"/>
          <w:sz w:val="20"/>
        </w:rPr>
      </w:pPr>
      <w:r w:rsidRPr="00785BEE">
        <w:rPr>
          <w:rFonts w:ascii="Arial" w:hAnsi="Arial" w:cs="Arial"/>
          <w:sz w:val="20"/>
        </w:rPr>
        <w:t xml:space="preserve"> </w:t>
      </w:r>
    </w:p>
    <w:p w14:paraId="7C0C8D22" w14:textId="77777777"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There will continue to be particular focus on the sub-region of the Association of South East Asian Nations (ASEAN) by assisting </w:t>
      </w:r>
      <w:r>
        <w:rPr>
          <w:rFonts w:ascii="Arial" w:hAnsi="Arial" w:cs="Arial"/>
          <w:sz w:val="20"/>
        </w:rPr>
        <w:t xml:space="preserve">in </w:t>
      </w:r>
      <w:r w:rsidRPr="00785BEE">
        <w:rPr>
          <w:rFonts w:ascii="Arial" w:hAnsi="Arial" w:cs="Arial"/>
          <w:sz w:val="20"/>
        </w:rPr>
        <w:t xml:space="preserve">the implementation of the ASEAN IP Action Plan (2016-2025) in accordance with the country plans and national IP strategies.  Close cooperation with the ASEAN Working Group on Intellectual Property Cooperation (AWGIPC) and the ASEAN Secretariat will be instrumental in this regard. </w:t>
      </w:r>
    </w:p>
    <w:p w14:paraId="088F505C" w14:textId="77777777" w:rsidR="00971C84" w:rsidRPr="00785BEE" w:rsidRDefault="00971C84" w:rsidP="00971C84">
      <w:pPr>
        <w:jc w:val="both"/>
        <w:rPr>
          <w:rFonts w:ascii="Arial" w:hAnsi="Arial" w:cs="Arial"/>
          <w:sz w:val="20"/>
        </w:rPr>
      </w:pPr>
      <w:r w:rsidRPr="00785BEE">
        <w:rPr>
          <w:rFonts w:ascii="Arial" w:hAnsi="Arial" w:cs="Arial"/>
          <w:sz w:val="20"/>
        </w:rPr>
        <w:t xml:space="preserve">  </w:t>
      </w:r>
    </w:p>
    <w:p w14:paraId="7D0A8866"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Brazil Office (WBO)</w:t>
      </w:r>
    </w:p>
    <w:p w14:paraId="181FACFD" w14:textId="77777777" w:rsidR="00971C84" w:rsidRPr="00785BEE" w:rsidRDefault="00971C84" w:rsidP="00971C84">
      <w:pPr>
        <w:jc w:val="both"/>
        <w:rPr>
          <w:rFonts w:ascii="Arial" w:hAnsi="Arial" w:cs="Arial"/>
          <w:sz w:val="20"/>
        </w:rPr>
      </w:pPr>
    </w:p>
    <w:p w14:paraId="123C2A06" w14:textId="77777777"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As </w:t>
      </w:r>
      <w:r>
        <w:rPr>
          <w:rFonts w:ascii="Arial" w:hAnsi="Arial" w:cs="Arial"/>
          <w:sz w:val="20"/>
        </w:rPr>
        <w:t xml:space="preserve">the </w:t>
      </w:r>
      <w:r w:rsidRPr="00785BEE">
        <w:rPr>
          <w:rFonts w:ascii="Arial" w:hAnsi="Arial" w:cs="Arial"/>
          <w:sz w:val="20"/>
        </w:rPr>
        <w:t>WIPO Service Center</w:t>
      </w:r>
      <w:r>
        <w:rPr>
          <w:rFonts w:ascii="Arial" w:hAnsi="Arial" w:cs="Arial"/>
          <w:sz w:val="20"/>
        </w:rPr>
        <w:t xml:space="preserve"> in Brazil</w:t>
      </w:r>
      <w:r w:rsidRPr="00785BEE">
        <w:rPr>
          <w:rFonts w:ascii="Arial" w:hAnsi="Arial" w:cs="Arial"/>
          <w:sz w:val="20"/>
        </w:rPr>
        <w:t>, the WIPO Brazil Office (WBO) will focus on the promotion of WIPO’s Global IP Services as well as on facilitating the use of IP for development through enhancing human resource capacities in particular in Brazil and in other developing countries having cooperation programs with Brazil.</w:t>
      </w:r>
    </w:p>
    <w:p w14:paraId="2924DFEE" w14:textId="77777777" w:rsidR="00971C84" w:rsidRPr="00785BEE" w:rsidRDefault="00971C84" w:rsidP="00971C84">
      <w:pPr>
        <w:jc w:val="both"/>
        <w:rPr>
          <w:rFonts w:ascii="Arial" w:hAnsi="Arial" w:cs="Arial"/>
          <w:sz w:val="20"/>
        </w:rPr>
      </w:pPr>
    </w:p>
    <w:p w14:paraId="06AF6656" w14:textId="77777777"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The WBO manages two Funds-in-Trust between the Government of Brazil and WIPO, which, </w:t>
      </w:r>
      <w:r w:rsidRPr="00785BEE">
        <w:rPr>
          <w:rFonts w:ascii="Arial" w:hAnsi="Arial" w:cs="Arial"/>
          <w:i/>
          <w:sz w:val="20"/>
        </w:rPr>
        <w:t>inter alia</w:t>
      </w:r>
      <w:r w:rsidRPr="00785BEE">
        <w:rPr>
          <w:rFonts w:ascii="Arial" w:hAnsi="Arial" w:cs="Arial"/>
          <w:sz w:val="20"/>
        </w:rPr>
        <w:t>, aims at promoting an IP culture among national and international institutions and users through south-south cooperation among developing countries within and outside the Latin American region.</w:t>
      </w:r>
    </w:p>
    <w:p w14:paraId="11F59F8D" w14:textId="77777777" w:rsidR="00971C84" w:rsidRPr="00785BEE" w:rsidRDefault="00971C84" w:rsidP="00971C84">
      <w:pPr>
        <w:jc w:val="both"/>
        <w:rPr>
          <w:rFonts w:ascii="Arial" w:hAnsi="Arial" w:cs="Arial"/>
          <w:sz w:val="20"/>
        </w:rPr>
      </w:pPr>
    </w:p>
    <w:p w14:paraId="16F6A171"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Japan Office (WJO)</w:t>
      </w:r>
    </w:p>
    <w:p w14:paraId="0E9C2EE4" w14:textId="77777777" w:rsidR="00971C84" w:rsidRPr="00785BEE" w:rsidRDefault="00971C84" w:rsidP="00971C84">
      <w:pPr>
        <w:jc w:val="both"/>
        <w:rPr>
          <w:rFonts w:ascii="Arial" w:hAnsi="Arial" w:cs="Arial"/>
          <w:sz w:val="20"/>
        </w:rPr>
      </w:pPr>
    </w:p>
    <w:p w14:paraId="18BF9535" w14:textId="48713E61" w:rsidR="00971C84" w:rsidRPr="00785BEE" w:rsidRDefault="00971C84" w:rsidP="00B66A4A">
      <w:pPr>
        <w:numPr>
          <w:ilvl w:val="0"/>
          <w:numId w:val="72"/>
        </w:numPr>
        <w:jc w:val="both"/>
        <w:rPr>
          <w:rFonts w:ascii="Arial" w:hAnsi="Arial" w:cs="Arial"/>
          <w:sz w:val="20"/>
        </w:rPr>
      </w:pPr>
      <w:r w:rsidRPr="00785BEE">
        <w:rPr>
          <w:rFonts w:ascii="Arial" w:hAnsi="Arial" w:cs="Arial"/>
          <w:sz w:val="20"/>
        </w:rPr>
        <w:t>The WIPO Japan Office (WJO) will reinforce its role as the WIPO Service Center in Japan, focusing, in particular, on the promotion of WIPO’s Global IP Services to current and potential future users.  Achievements in this area will be attained through further enhancing cooperation with Japanese institutions, academia, industry and other stakeholder groups.</w:t>
      </w:r>
    </w:p>
    <w:p w14:paraId="08CBC476" w14:textId="77777777" w:rsidR="00971C84" w:rsidRPr="00785BEE" w:rsidRDefault="00971C84" w:rsidP="00971C84">
      <w:pPr>
        <w:jc w:val="both"/>
        <w:rPr>
          <w:rFonts w:ascii="Arial" w:hAnsi="Arial" w:cs="Arial"/>
          <w:sz w:val="20"/>
        </w:rPr>
      </w:pPr>
    </w:p>
    <w:p w14:paraId="0C3C8ACF" w14:textId="580D08A4"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The WJO will continue its collaboration with the Government of Japan under the Funds-in-Trust agreement </w:t>
      </w:r>
      <w:r>
        <w:rPr>
          <w:rFonts w:ascii="Arial" w:hAnsi="Arial" w:cs="Arial"/>
          <w:sz w:val="20"/>
        </w:rPr>
        <w:t xml:space="preserve">for the </w:t>
      </w:r>
      <w:r w:rsidRPr="00785BEE">
        <w:rPr>
          <w:rFonts w:ascii="Arial" w:hAnsi="Arial" w:cs="Arial"/>
          <w:sz w:val="20"/>
        </w:rPr>
        <w:t>implement</w:t>
      </w:r>
      <w:r>
        <w:rPr>
          <w:rFonts w:ascii="Arial" w:hAnsi="Arial" w:cs="Arial"/>
          <w:sz w:val="20"/>
        </w:rPr>
        <w:t>ation</w:t>
      </w:r>
      <w:r w:rsidRPr="00785BEE">
        <w:rPr>
          <w:rFonts w:ascii="Arial" w:hAnsi="Arial" w:cs="Arial"/>
          <w:sz w:val="20"/>
        </w:rPr>
        <w:t xml:space="preserve"> </w:t>
      </w:r>
      <w:r>
        <w:rPr>
          <w:rFonts w:ascii="Arial" w:hAnsi="Arial" w:cs="Arial"/>
          <w:sz w:val="20"/>
        </w:rPr>
        <w:t xml:space="preserve">of </w:t>
      </w:r>
      <w:r w:rsidRPr="00785BEE">
        <w:rPr>
          <w:rFonts w:ascii="Arial" w:hAnsi="Arial" w:cs="Arial"/>
          <w:sz w:val="20"/>
        </w:rPr>
        <w:t xml:space="preserve">activities aimed at </w:t>
      </w:r>
      <w:r>
        <w:rPr>
          <w:rFonts w:ascii="Arial" w:hAnsi="Arial" w:cs="Arial"/>
          <w:sz w:val="20"/>
        </w:rPr>
        <w:t xml:space="preserve">capacity </w:t>
      </w:r>
      <w:r w:rsidRPr="00785BEE">
        <w:rPr>
          <w:rFonts w:ascii="Arial" w:hAnsi="Arial" w:cs="Arial"/>
          <w:sz w:val="20"/>
        </w:rPr>
        <w:t>building, reinforcing technical infrastructure and enhancing the use of IP in business</w:t>
      </w:r>
      <w:r>
        <w:rPr>
          <w:rFonts w:ascii="Arial" w:hAnsi="Arial" w:cs="Arial"/>
          <w:sz w:val="20"/>
        </w:rPr>
        <w:t>es</w:t>
      </w:r>
      <w:r w:rsidRPr="00785BEE">
        <w:rPr>
          <w:rFonts w:ascii="Arial" w:hAnsi="Arial" w:cs="Arial"/>
          <w:sz w:val="20"/>
        </w:rPr>
        <w:t xml:space="preserve">, including through special projects such as the </w:t>
      </w:r>
      <w:r>
        <w:rPr>
          <w:rFonts w:ascii="Arial" w:hAnsi="Arial" w:cs="Arial"/>
          <w:sz w:val="20"/>
        </w:rPr>
        <w:t xml:space="preserve">further </w:t>
      </w:r>
      <w:r w:rsidRPr="00785BEE">
        <w:rPr>
          <w:rFonts w:ascii="Arial" w:hAnsi="Arial" w:cs="Arial"/>
          <w:sz w:val="20"/>
        </w:rPr>
        <w:t xml:space="preserve">development of the IP Advantage database, in countries </w:t>
      </w:r>
      <w:r>
        <w:rPr>
          <w:rFonts w:ascii="Arial" w:hAnsi="Arial" w:cs="Arial"/>
          <w:sz w:val="20"/>
        </w:rPr>
        <w:t>primarily</w:t>
      </w:r>
      <w:r w:rsidRPr="00785BEE">
        <w:rPr>
          <w:rFonts w:ascii="Arial" w:hAnsi="Arial" w:cs="Arial"/>
          <w:sz w:val="20"/>
        </w:rPr>
        <w:t xml:space="preserve"> in the Asia Pacific</w:t>
      </w:r>
      <w:r>
        <w:rPr>
          <w:rFonts w:ascii="Arial" w:hAnsi="Arial" w:cs="Arial"/>
          <w:sz w:val="20"/>
        </w:rPr>
        <w:t xml:space="preserve"> region</w:t>
      </w:r>
      <w:r w:rsidRPr="00785BEE">
        <w:rPr>
          <w:rFonts w:ascii="Arial" w:hAnsi="Arial" w:cs="Arial"/>
          <w:sz w:val="20"/>
        </w:rPr>
        <w:t>.</w:t>
      </w:r>
    </w:p>
    <w:p w14:paraId="09A5D38F" w14:textId="77777777" w:rsidR="00971C84" w:rsidRPr="00785BEE" w:rsidRDefault="00971C84" w:rsidP="00971C84">
      <w:pPr>
        <w:jc w:val="both"/>
        <w:rPr>
          <w:rFonts w:ascii="Arial" w:hAnsi="Arial" w:cs="Arial"/>
          <w:sz w:val="20"/>
        </w:rPr>
      </w:pPr>
    </w:p>
    <w:p w14:paraId="39B1DCCE" w14:textId="77777777" w:rsidR="00971C84" w:rsidRPr="00785BEE" w:rsidRDefault="00971C84" w:rsidP="00B66A4A">
      <w:pPr>
        <w:numPr>
          <w:ilvl w:val="0"/>
          <w:numId w:val="72"/>
        </w:numPr>
        <w:jc w:val="both"/>
        <w:rPr>
          <w:rFonts w:ascii="Arial" w:hAnsi="Arial" w:cs="Arial"/>
          <w:sz w:val="20"/>
        </w:rPr>
      </w:pPr>
      <w:r w:rsidRPr="00537B91">
        <w:rPr>
          <w:rFonts w:ascii="Arial" w:hAnsi="Arial" w:cs="Arial"/>
          <w:bCs/>
          <w:sz w:val="20"/>
        </w:rPr>
        <w:t>The</w:t>
      </w:r>
      <w:r w:rsidRPr="00785BEE">
        <w:rPr>
          <w:rFonts w:ascii="Arial" w:hAnsi="Arial" w:cs="Arial"/>
          <w:sz w:val="20"/>
        </w:rPr>
        <w:t xml:space="preserve"> WJO will place particular emphasis on the promotion of the Hague System (bearing in mind the ratification of the Hague Agreement by Japan in 2015) and focus on reaching out to SMEs to encourage their use of WIPO Services.  </w:t>
      </w:r>
    </w:p>
    <w:p w14:paraId="7770AC17" w14:textId="77777777" w:rsidR="00971C84" w:rsidRPr="00785BEE" w:rsidRDefault="00971C84" w:rsidP="00971C84">
      <w:pPr>
        <w:jc w:val="both"/>
        <w:rPr>
          <w:rFonts w:ascii="Arial" w:hAnsi="Arial" w:cs="Arial"/>
          <w:sz w:val="20"/>
        </w:rPr>
      </w:pPr>
    </w:p>
    <w:p w14:paraId="3886E5B8" w14:textId="5970B1ED" w:rsidR="00971C84" w:rsidRPr="00785BEE" w:rsidRDefault="00971C84" w:rsidP="005B55D4">
      <w:pPr>
        <w:keepNext/>
        <w:keepLines/>
        <w:jc w:val="both"/>
        <w:rPr>
          <w:rFonts w:ascii="Arial" w:hAnsi="Arial" w:cs="Arial"/>
          <w:sz w:val="20"/>
          <w:u w:val="single"/>
        </w:rPr>
      </w:pPr>
      <w:r w:rsidRPr="00785BEE">
        <w:rPr>
          <w:rFonts w:ascii="Arial" w:hAnsi="Arial" w:cs="Arial"/>
          <w:sz w:val="20"/>
          <w:u w:val="single"/>
        </w:rPr>
        <w:t xml:space="preserve">WIPO </w:t>
      </w:r>
      <w:r w:rsidR="00371BF2">
        <w:rPr>
          <w:rFonts w:ascii="Arial" w:hAnsi="Arial" w:cs="Arial"/>
          <w:sz w:val="20"/>
          <w:u w:val="single"/>
        </w:rPr>
        <w:t xml:space="preserve">Office in </w:t>
      </w:r>
      <w:r w:rsidRPr="00785BEE">
        <w:rPr>
          <w:rFonts w:ascii="Arial" w:hAnsi="Arial" w:cs="Arial"/>
          <w:sz w:val="20"/>
          <w:u w:val="single"/>
        </w:rPr>
        <w:t>China (W</w:t>
      </w:r>
      <w:r w:rsidR="00371BF2">
        <w:rPr>
          <w:rFonts w:ascii="Arial" w:hAnsi="Arial" w:cs="Arial"/>
          <w:sz w:val="20"/>
          <w:u w:val="single"/>
        </w:rPr>
        <w:t>O</w:t>
      </w:r>
      <w:r w:rsidRPr="00785BEE">
        <w:rPr>
          <w:rFonts w:ascii="Arial" w:hAnsi="Arial" w:cs="Arial"/>
          <w:sz w:val="20"/>
          <w:u w:val="single"/>
        </w:rPr>
        <w:t>C)</w:t>
      </w:r>
    </w:p>
    <w:p w14:paraId="2A2784F5" w14:textId="77777777" w:rsidR="00971C84" w:rsidRPr="00785BEE" w:rsidRDefault="00971C84" w:rsidP="005B55D4">
      <w:pPr>
        <w:keepNext/>
        <w:keepLines/>
        <w:jc w:val="both"/>
        <w:rPr>
          <w:rFonts w:ascii="Arial" w:hAnsi="Arial" w:cs="Arial"/>
          <w:sz w:val="20"/>
        </w:rPr>
      </w:pPr>
    </w:p>
    <w:p w14:paraId="49247EEC" w14:textId="7063B329" w:rsidR="00971C84" w:rsidRPr="00785BEE" w:rsidRDefault="00971C84" w:rsidP="005B55D4">
      <w:pPr>
        <w:keepNext/>
        <w:keepLines/>
        <w:numPr>
          <w:ilvl w:val="0"/>
          <w:numId w:val="72"/>
        </w:numPr>
        <w:jc w:val="both"/>
        <w:rPr>
          <w:rFonts w:ascii="Arial" w:hAnsi="Arial" w:cs="Arial"/>
          <w:sz w:val="20"/>
        </w:rPr>
      </w:pPr>
      <w:r w:rsidRPr="00785BEE">
        <w:rPr>
          <w:rFonts w:ascii="Arial" w:hAnsi="Arial" w:cs="Arial"/>
          <w:sz w:val="20"/>
        </w:rPr>
        <w:t xml:space="preserve">As a relatively new Office, the WIPO </w:t>
      </w:r>
      <w:r w:rsidR="00371BF2">
        <w:rPr>
          <w:rFonts w:ascii="Arial" w:hAnsi="Arial" w:cs="Arial"/>
          <w:sz w:val="20"/>
        </w:rPr>
        <w:t xml:space="preserve">Office in </w:t>
      </w:r>
      <w:r w:rsidRPr="00785BEE">
        <w:rPr>
          <w:rFonts w:ascii="Arial" w:hAnsi="Arial" w:cs="Arial"/>
          <w:sz w:val="20"/>
        </w:rPr>
        <w:t>China (</w:t>
      </w:r>
      <w:r w:rsidR="00FA17AB">
        <w:rPr>
          <w:rFonts w:ascii="Arial" w:hAnsi="Arial" w:cs="Arial"/>
          <w:sz w:val="20"/>
        </w:rPr>
        <w:t>WOC</w:t>
      </w:r>
      <w:r w:rsidRPr="00785BEE">
        <w:rPr>
          <w:rFonts w:ascii="Arial" w:hAnsi="Arial" w:cs="Arial"/>
          <w:sz w:val="20"/>
        </w:rPr>
        <w:t>) will continue with targeted activities and initiatives to further enhance its role as the WIPO Service Center in China.  Central to this will be, in particular, the promotion of WIPO’s Global IP Services to current and potential future users.  Given China’s size, a particular challenge will be reaching out to the administrative and territorial regions of the country</w:t>
      </w:r>
      <w:r>
        <w:rPr>
          <w:rFonts w:ascii="Arial" w:hAnsi="Arial" w:cs="Arial"/>
          <w:sz w:val="20"/>
        </w:rPr>
        <w:t>.</w:t>
      </w:r>
      <w:r w:rsidRPr="00785BEE">
        <w:rPr>
          <w:rFonts w:ascii="Arial" w:hAnsi="Arial" w:cs="Arial"/>
          <w:sz w:val="20"/>
        </w:rPr>
        <w:t xml:space="preserve"> </w:t>
      </w:r>
      <w:r>
        <w:rPr>
          <w:rFonts w:ascii="Arial" w:hAnsi="Arial" w:cs="Arial"/>
          <w:sz w:val="20"/>
        </w:rPr>
        <w:t>E</w:t>
      </w:r>
      <w:r w:rsidRPr="00785BEE">
        <w:rPr>
          <w:rFonts w:ascii="Arial" w:hAnsi="Arial" w:cs="Arial"/>
          <w:sz w:val="20"/>
        </w:rPr>
        <w:t xml:space="preserve">fforts will </w:t>
      </w:r>
      <w:r>
        <w:rPr>
          <w:rFonts w:ascii="Arial" w:hAnsi="Arial" w:cs="Arial"/>
          <w:sz w:val="20"/>
        </w:rPr>
        <w:t xml:space="preserve">therefore </w:t>
      </w:r>
      <w:r w:rsidRPr="00785BEE">
        <w:rPr>
          <w:rFonts w:ascii="Arial" w:hAnsi="Arial" w:cs="Arial"/>
          <w:sz w:val="20"/>
        </w:rPr>
        <w:t>be based on further strengthening the constructive cooperation with the Government of China as well as broadening outreach to</w:t>
      </w:r>
      <w:r>
        <w:rPr>
          <w:rFonts w:ascii="Arial" w:hAnsi="Arial" w:cs="Arial"/>
          <w:sz w:val="20"/>
        </w:rPr>
        <w:t>,</w:t>
      </w:r>
      <w:r w:rsidRPr="00785BEE">
        <w:rPr>
          <w:rFonts w:ascii="Arial" w:hAnsi="Arial" w:cs="Arial"/>
          <w:sz w:val="20"/>
        </w:rPr>
        <w:t xml:space="preserve"> and strengthening links with</w:t>
      </w:r>
      <w:r>
        <w:rPr>
          <w:rFonts w:ascii="Arial" w:hAnsi="Arial" w:cs="Arial"/>
          <w:sz w:val="20"/>
        </w:rPr>
        <w:t>,</w:t>
      </w:r>
      <w:r w:rsidRPr="00785BEE">
        <w:rPr>
          <w:rFonts w:ascii="Arial" w:hAnsi="Arial" w:cs="Arial"/>
          <w:sz w:val="20"/>
        </w:rPr>
        <w:t xml:space="preserve"> industry and other stakeholders.</w:t>
      </w:r>
    </w:p>
    <w:p w14:paraId="18260E5C" w14:textId="77777777" w:rsidR="00971C84" w:rsidRPr="00785BEE" w:rsidRDefault="00971C84" w:rsidP="00971C84">
      <w:pPr>
        <w:jc w:val="both"/>
        <w:rPr>
          <w:rFonts w:ascii="Arial" w:hAnsi="Arial" w:cs="Arial"/>
          <w:sz w:val="20"/>
        </w:rPr>
      </w:pPr>
    </w:p>
    <w:p w14:paraId="0701A51C"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Russia Office (WRO)</w:t>
      </w:r>
    </w:p>
    <w:p w14:paraId="6527D3CC" w14:textId="77777777" w:rsidR="00971C84" w:rsidRPr="00785BEE" w:rsidRDefault="00971C84" w:rsidP="00971C84">
      <w:pPr>
        <w:jc w:val="both"/>
        <w:rPr>
          <w:rFonts w:ascii="Arial" w:hAnsi="Arial" w:cs="Arial"/>
          <w:sz w:val="20"/>
        </w:rPr>
      </w:pPr>
    </w:p>
    <w:p w14:paraId="43F534E4" w14:textId="26817A1E" w:rsidR="00971C84" w:rsidRPr="00785BEE" w:rsidRDefault="00971C84" w:rsidP="00B66A4A">
      <w:pPr>
        <w:numPr>
          <w:ilvl w:val="0"/>
          <w:numId w:val="72"/>
        </w:numPr>
        <w:jc w:val="both"/>
        <w:rPr>
          <w:rFonts w:ascii="Arial" w:hAnsi="Arial" w:cs="Arial"/>
          <w:sz w:val="20"/>
        </w:rPr>
      </w:pPr>
      <w:r w:rsidRPr="00785BEE">
        <w:rPr>
          <w:rFonts w:ascii="Arial" w:hAnsi="Arial" w:cs="Arial"/>
          <w:sz w:val="20"/>
        </w:rPr>
        <w:t xml:space="preserve">The WIPO Russia Office (WRO) </w:t>
      </w:r>
      <w:r>
        <w:rPr>
          <w:rFonts w:ascii="Arial" w:hAnsi="Arial" w:cs="Arial"/>
          <w:sz w:val="20"/>
        </w:rPr>
        <w:t>was established in 2014</w:t>
      </w:r>
      <w:r w:rsidRPr="00785BEE">
        <w:rPr>
          <w:rFonts w:ascii="Arial" w:hAnsi="Arial" w:cs="Arial"/>
          <w:sz w:val="20"/>
        </w:rPr>
        <w:t xml:space="preserve"> and will therefore be active in further establishing its role as the WIPO Service Center in the Russian Federation.  The promotion of WIPO’s Global IP Services will be important in this regard.  Given the size of the Russian Federation, a particular challenge will be reaching out to the </w:t>
      </w:r>
      <w:r>
        <w:rPr>
          <w:rFonts w:ascii="Arial" w:hAnsi="Arial" w:cs="Arial"/>
          <w:sz w:val="20"/>
        </w:rPr>
        <w:t xml:space="preserve">various </w:t>
      </w:r>
      <w:r w:rsidRPr="00785BEE">
        <w:rPr>
          <w:rFonts w:ascii="Arial" w:hAnsi="Arial" w:cs="Arial"/>
          <w:sz w:val="20"/>
        </w:rPr>
        <w:t xml:space="preserve">regions </w:t>
      </w:r>
      <w:r>
        <w:rPr>
          <w:rFonts w:ascii="Arial" w:hAnsi="Arial" w:cs="Arial"/>
          <w:sz w:val="20"/>
        </w:rPr>
        <w:t>in</w:t>
      </w:r>
      <w:r w:rsidRPr="00785BEE">
        <w:rPr>
          <w:rFonts w:ascii="Arial" w:hAnsi="Arial" w:cs="Arial"/>
          <w:sz w:val="20"/>
        </w:rPr>
        <w:t xml:space="preserve"> the country</w:t>
      </w:r>
      <w:r>
        <w:rPr>
          <w:rFonts w:ascii="Arial" w:hAnsi="Arial" w:cs="Arial"/>
          <w:sz w:val="20"/>
        </w:rPr>
        <w:t>.</w:t>
      </w:r>
      <w:r w:rsidRPr="00785BEE">
        <w:rPr>
          <w:rFonts w:ascii="Arial" w:hAnsi="Arial" w:cs="Arial"/>
          <w:sz w:val="20"/>
        </w:rPr>
        <w:t xml:space="preserve"> </w:t>
      </w:r>
      <w:r>
        <w:rPr>
          <w:rFonts w:ascii="Arial" w:hAnsi="Arial" w:cs="Arial"/>
          <w:sz w:val="20"/>
        </w:rPr>
        <w:t>The</w:t>
      </w:r>
      <w:r w:rsidRPr="00785BEE">
        <w:rPr>
          <w:rFonts w:ascii="Arial" w:hAnsi="Arial" w:cs="Arial"/>
          <w:sz w:val="20"/>
        </w:rPr>
        <w:t xml:space="preserve"> further strengthening </w:t>
      </w:r>
      <w:r>
        <w:rPr>
          <w:rFonts w:ascii="Arial" w:hAnsi="Arial" w:cs="Arial"/>
          <w:sz w:val="20"/>
        </w:rPr>
        <w:t xml:space="preserve">of </w:t>
      </w:r>
      <w:r w:rsidRPr="00785BEE">
        <w:rPr>
          <w:rFonts w:ascii="Arial" w:hAnsi="Arial" w:cs="Arial"/>
          <w:sz w:val="20"/>
        </w:rPr>
        <w:t xml:space="preserve">the constructive cooperation with the Government of the Russian Federation, </w:t>
      </w:r>
      <w:r>
        <w:rPr>
          <w:rFonts w:ascii="Arial" w:hAnsi="Arial" w:cs="Arial"/>
          <w:sz w:val="20"/>
        </w:rPr>
        <w:t xml:space="preserve">and targeted outreach to </w:t>
      </w:r>
      <w:r w:rsidRPr="00785BEE">
        <w:rPr>
          <w:rFonts w:ascii="Arial" w:hAnsi="Arial" w:cs="Arial"/>
          <w:sz w:val="20"/>
        </w:rPr>
        <w:t>academia, industry and other stakeholders, will be critical</w:t>
      </w:r>
      <w:r>
        <w:rPr>
          <w:rFonts w:ascii="Arial" w:hAnsi="Arial" w:cs="Arial"/>
          <w:sz w:val="20"/>
        </w:rPr>
        <w:t xml:space="preserve"> in this process</w:t>
      </w:r>
      <w:r w:rsidRPr="00785BEE">
        <w:rPr>
          <w:rFonts w:ascii="Arial" w:hAnsi="Arial" w:cs="Arial"/>
          <w:sz w:val="20"/>
        </w:rPr>
        <w:t>.</w:t>
      </w:r>
    </w:p>
    <w:p w14:paraId="30FAEB5E" w14:textId="77777777" w:rsidR="00971C84" w:rsidRPr="00785BEE" w:rsidRDefault="00971C84" w:rsidP="00971C84">
      <w:pPr>
        <w:jc w:val="both"/>
        <w:rPr>
          <w:rFonts w:ascii="Arial" w:hAnsi="Arial" w:cs="Arial"/>
          <w:sz w:val="20"/>
        </w:rPr>
      </w:pPr>
    </w:p>
    <w:p w14:paraId="25243524" w14:textId="59303523" w:rsidR="00971C84" w:rsidRDefault="00971C84" w:rsidP="00B66A4A">
      <w:pPr>
        <w:numPr>
          <w:ilvl w:val="0"/>
          <w:numId w:val="72"/>
        </w:numPr>
        <w:jc w:val="both"/>
        <w:rPr>
          <w:rFonts w:ascii="Arial" w:hAnsi="Arial" w:cs="Arial"/>
          <w:sz w:val="20"/>
        </w:rPr>
      </w:pPr>
      <w:r w:rsidRPr="00537B91">
        <w:rPr>
          <w:rFonts w:ascii="Arial" w:hAnsi="Arial" w:cs="Arial"/>
          <w:bCs/>
          <w:sz w:val="20"/>
        </w:rPr>
        <w:t>The</w:t>
      </w:r>
      <w:r w:rsidRPr="00785BEE">
        <w:rPr>
          <w:rFonts w:ascii="Arial" w:hAnsi="Arial" w:cs="Arial"/>
          <w:sz w:val="20"/>
        </w:rPr>
        <w:t xml:space="preserve"> WRO will focus, in particular, on delivering targeted and tailored capacity building and technical assistance programs, including continuing support </w:t>
      </w:r>
      <w:r>
        <w:rPr>
          <w:rFonts w:ascii="Arial" w:hAnsi="Arial" w:cs="Arial"/>
          <w:sz w:val="20"/>
        </w:rPr>
        <w:t>to</w:t>
      </w:r>
      <w:r w:rsidRPr="00785BEE">
        <w:rPr>
          <w:rFonts w:ascii="Arial" w:hAnsi="Arial" w:cs="Arial"/>
          <w:sz w:val="20"/>
        </w:rPr>
        <w:t xml:space="preserve"> the development of a sustainable </w:t>
      </w:r>
      <w:r>
        <w:rPr>
          <w:rFonts w:ascii="Arial" w:hAnsi="Arial" w:cs="Arial"/>
          <w:sz w:val="20"/>
        </w:rPr>
        <w:t>national</w:t>
      </w:r>
      <w:r w:rsidRPr="00785BEE">
        <w:rPr>
          <w:rFonts w:ascii="Arial" w:hAnsi="Arial" w:cs="Arial"/>
          <w:sz w:val="20"/>
        </w:rPr>
        <w:t xml:space="preserve"> TISC network.    </w:t>
      </w:r>
    </w:p>
    <w:p w14:paraId="79175E32" w14:textId="77777777" w:rsidR="00971C84" w:rsidRPr="00785BEE" w:rsidRDefault="00971C84" w:rsidP="00971C84">
      <w:pPr>
        <w:jc w:val="both"/>
        <w:rPr>
          <w:rFonts w:ascii="Arial" w:hAnsi="Arial" w:cs="Arial"/>
          <w:sz w:val="20"/>
        </w:rPr>
      </w:pPr>
    </w:p>
    <w:p w14:paraId="1085A63E" w14:textId="77777777" w:rsidR="00971C84" w:rsidRDefault="00971C84" w:rsidP="00971C84">
      <w:pPr>
        <w:jc w:val="both"/>
        <w:rPr>
          <w:sz w:val="20"/>
        </w:rPr>
      </w:pPr>
    </w:p>
    <w:p w14:paraId="72475896" w14:textId="77777777" w:rsidR="00971C84" w:rsidRPr="00F74F51" w:rsidRDefault="00971C84" w:rsidP="00971C84">
      <w:pPr>
        <w:keepNext/>
        <w:keepLines/>
        <w:rPr>
          <w:rFonts w:ascii="Arial" w:hAnsi="Arial" w:cs="Arial"/>
        </w:rPr>
      </w:pPr>
      <w:r w:rsidRPr="00F74F51">
        <w:rPr>
          <w:rFonts w:ascii="Arial" w:hAnsi="Arial" w:cs="Arial"/>
        </w:rPr>
        <w:t>MAJOR RISKS AND MITIGATION S</w:t>
      </w:r>
      <w:r>
        <w:rPr>
          <w:rFonts w:ascii="Arial" w:hAnsi="Arial" w:cs="Arial"/>
        </w:rPr>
        <w:t xml:space="preserve">TRATEGIES  </w:t>
      </w:r>
    </w:p>
    <w:p w14:paraId="361E57F2" w14:textId="77777777" w:rsidR="00971C84" w:rsidRDefault="00971C84" w:rsidP="00971C84">
      <w:pPr>
        <w:jc w:val="both"/>
        <w:rPr>
          <w:sz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11"/>
        <w:gridCol w:w="5103"/>
      </w:tblGrid>
      <w:tr w:rsidR="00971C84" w:rsidRPr="000C7B40" w14:paraId="75AAB0B0" w14:textId="77777777" w:rsidTr="00971C84">
        <w:trPr>
          <w:trHeight w:val="577"/>
        </w:trPr>
        <w:tc>
          <w:tcPr>
            <w:tcW w:w="4111" w:type="dxa"/>
            <w:shd w:val="clear" w:color="auto" w:fill="B8CCE4" w:themeFill="accent1" w:themeFillTint="66"/>
            <w:vAlign w:val="center"/>
          </w:tcPr>
          <w:p w14:paraId="4520B681"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Risk</w:t>
            </w:r>
          </w:p>
        </w:tc>
        <w:tc>
          <w:tcPr>
            <w:tcW w:w="5103" w:type="dxa"/>
            <w:shd w:val="clear" w:color="auto" w:fill="B8CCE4" w:themeFill="accent1" w:themeFillTint="66"/>
            <w:vAlign w:val="center"/>
          </w:tcPr>
          <w:p w14:paraId="130659AB"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Mitigation</w:t>
            </w:r>
          </w:p>
        </w:tc>
      </w:tr>
      <w:tr w:rsidR="00971C84" w:rsidRPr="000C7B40" w14:paraId="5DF85E75" w14:textId="77777777" w:rsidTr="00971C84">
        <w:trPr>
          <w:trHeight w:val="791"/>
        </w:trPr>
        <w:tc>
          <w:tcPr>
            <w:tcW w:w="4111" w:type="dxa"/>
            <w:shd w:val="clear" w:color="auto" w:fill="auto"/>
            <w:tcMar>
              <w:top w:w="72" w:type="dxa"/>
              <w:left w:w="72" w:type="dxa"/>
              <w:bottom w:w="72" w:type="dxa"/>
              <w:right w:w="72" w:type="dxa"/>
            </w:tcMar>
          </w:tcPr>
          <w:p w14:paraId="3049394A" w14:textId="77777777" w:rsidR="00971C84" w:rsidRDefault="00971C84" w:rsidP="00971C84">
            <w:pPr>
              <w:keepNext/>
              <w:keepLines/>
              <w:rPr>
                <w:rFonts w:ascii="Arial" w:hAnsi="Arial" w:cs="Arial"/>
                <w:sz w:val="16"/>
                <w:szCs w:val="16"/>
              </w:rPr>
            </w:pPr>
            <w:r w:rsidRPr="00827B76">
              <w:rPr>
                <w:rFonts w:ascii="Arial" w:hAnsi="Arial" w:cs="Arial"/>
                <w:sz w:val="16"/>
                <w:szCs w:val="16"/>
              </w:rPr>
              <w:t>The geographical separation of External Offices from Headquarters can potentially result in fragmentation in coordination and communication.</w:t>
            </w:r>
          </w:p>
          <w:p w14:paraId="04278E33" w14:textId="77777777" w:rsidR="00971C84" w:rsidRPr="000C7B40" w:rsidRDefault="00971C84" w:rsidP="00971C84">
            <w:pPr>
              <w:keepNext/>
              <w:keepLines/>
              <w:rPr>
                <w:rFonts w:ascii="Arial" w:hAnsi="Arial" w:cs="Arial"/>
                <w:sz w:val="16"/>
                <w:szCs w:val="16"/>
              </w:rPr>
            </w:pPr>
          </w:p>
        </w:tc>
        <w:tc>
          <w:tcPr>
            <w:tcW w:w="5103" w:type="dxa"/>
            <w:shd w:val="clear" w:color="auto" w:fill="auto"/>
            <w:tcMar>
              <w:top w:w="72" w:type="dxa"/>
              <w:left w:w="72" w:type="dxa"/>
              <w:bottom w:w="72" w:type="dxa"/>
              <w:right w:w="72" w:type="dxa"/>
            </w:tcMar>
          </w:tcPr>
          <w:p w14:paraId="7C86E47C" w14:textId="77777777" w:rsidR="00971C84" w:rsidRPr="000C7B40" w:rsidRDefault="00971C84" w:rsidP="00971C84">
            <w:pPr>
              <w:keepNext/>
              <w:keepLines/>
              <w:rPr>
                <w:rFonts w:ascii="Arial" w:hAnsi="Arial" w:cs="Arial"/>
                <w:sz w:val="16"/>
                <w:szCs w:val="16"/>
              </w:rPr>
            </w:pPr>
            <w:r w:rsidRPr="00827B76">
              <w:rPr>
                <w:rFonts w:ascii="Arial" w:hAnsi="Arial" w:cs="Arial"/>
                <w:sz w:val="16"/>
                <w:szCs w:val="16"/>
              </w:rPr>
              <w:t xml:space="preserve">Continued close, constant and structured engagement to ensure that the work of the External Offices is fully integrated into a coherent and coordinated network, in line with the Results Framework, </w:t>
            </w:r>
            <w:proofErr w:type="spellStart"/>
            <w:r w:rsidRPr="00827B76">
              <w:rPr>
                <w:rFonts w:ascii="Arial" w:hAnsi="Arial" w:cs="Arial"/>
                <w:sz w:val="16"/>
                <w:szCs w:val="16"/>
              </w:rPr>
              <w:t>workplans</w:t>
            </w:r>
            <w:proofErr w:type="spellEnd"/>
            <w:r w:rsidRPr="00827B76">
              <w:rPr>
                <w:rFonts w:ascii="Arial" w:hAnsi="Arial" w:cs="Arial"/>
                <w:sz w:val="16"/>
                <w:szCs w:val="16"/>
              </w:rPr>
              <w:t xml:space="preserve"> and day to day functioning of the Organization</w:t>
            </w:r>
          </w:p>
        </w:tc>
      </w:tr>
    </w:tbl>
    <w:p w14:paraId="1C4CA09F" w14:textId="77777777" w:rsidR="00971C84" w:rsidRDefault="00971C84" w:rsidP="00971C84">
      <w:pPr>
        <w:jc w:val="both"/>
        <w:rPr>
          <w:sz w:val="20"/>
        </w:rPr>
      </w:pPr>
    </w:p>
    <w:p w14:paraId="46FE67F7" w14:textId="77777777" w:rsidR="004E671F" w:rsidRDefault="004E671F" w:rsidP="00971C84">
      <w:pPr>
        <w:jc w:val="both"/>
        <w:rPr>
          <w:sz w:val="20"/>
        </w:rPr>
      </w:pPr>
    </w:p>
    <w:p w14:paraId="42BABFBD" w14:textId="4631745C" w:rsidR="00971C84" w:rsidRPr="00FB68E0" w:rsidRDefault="00971C84" w:rsidP="00971C84">
      <w:pPr>
        <w:jc w:val="both"/>
        <w:rPr>
          <w:rFonts w:ascii="Arial" w:hAnsi="Arial" w:cs="Arial"/>
        </w:rPr>
      </w:pPr>
      <w:r w:rsidRPr="00FB68E0">
        <w:rPr>
          <w:rFonts w:ascii="Arial" w:hAnsi="Arial" w:cs="Arial"/>
        </w:rPr>
        <w:t xml:space="preserve">RESULTS FRAMEWORK </w:t>
      </w:r>
    </w:p>
    <w:p w14:paraId="115A968C" w14:textId="77777777" w:rsidR="00971C84" w:rsidRDefault="00971C84" w:rsidP="00971C84">
      <w:pPr>
        <w:jc w:val="both"/>
        <w:rPr>
          <w:sz w:val="20"/>
        </w:rPr>
      </w:pPr>
    </w:p>
    <w:tbl>
      <w:tblPr>
        <w:tblW w:w="9195" w:type="dxa"/>
        <w:tblInd w:w="93" w:type="dxa"/>
        <w:tblLook w:val="04A0" w:firstRow="1" w:lastRow="0" w:firstColumn="1" w:lastColumn="0" w:noHBand="0" w:noVBand="1"/>
      </w:tblPr>
      <w:tblGrid>
        <w:gridCol w:w="2380"/>
        <w:gridCol w:w="2380"/>
        <w:gridCol w:w="2380"/>
        <w:gridCol w:w="2055"/>
      </w:tblGrid>
      <w:tr w:rsidR="00971C84" w:rsidRPr="00BE1D07" w14:paraId="0E215FB7" w14:textId="77777777" w:rsidTr="004E671F">
        <w:trPr>
          <w:trHeight w:val="553"/>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5B4E2704"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 xml:space="preserve">Expected Results </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03B9A18"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Performance Indicators</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9937C28"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Baselines</w:t>
            </w:r>
          </w:p>
        </w:tc>
        <w:tc>
          <w:tcPr>
            <w:tcW w:w="205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A0F0AE2"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Targets</w:t>
            </w:r>
          </w:p>
        </w:tc>
      </w:tr>
      <w:tr w:rsidR="00BE3F1B" w:rsidRPr="00BE1D07" w14:paraId="2608B7E8" w14:textId="77777777" w:rsidTr="004E671F">
        <w:trPr>
          <w:trHeight w:val="1255"/>
        </w:trPr>
        <w:tc>
          <w:tcPr>
            <w:tcW w:w="2380" w:type="dxa"/>
            <w:tcBorders>
              <w:top w:val="single" w:sz="4" w:space="0" w:color="auto"/>
              <w:left w:val="single" w:sz="4" w:space="0" w:color="auto"/>
              <w:bottom w:val="nil"/>
              <w:right w:val="nil"/>
            </w:tcBorders>
            <w:shd w:val="clear" w:color="auto" w:fill="auto"/>
            <w:tcMar>
              <w:top w:w="85" w:type="dxa"/>
            </w:tcMar>
            <w:hideMark/>
          </w:tcPr>
          <w:p w14:paraId="31619A44" w14:textId="77777777" w:rsidR="00BE3F1B" w:rsidRDefault="00BE3F1B" w:rsidP="00971C84">
            <w:pPr>
              <w:rPr>
                <w:rFonts w:ascii="Arial" w:hAnsi="Arial" w:cs="Arial"/>
                <w:color w:val="000000"/>
                <w:sz w:val="16"/>
                <w:szCs w:val="16"/>
              </w:rPr>
            </w:pPr>
          </w:p>
          <w:p w14:paraId="0867F1AE"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I.1 Enhanced cooperation among Member States on development of balanced international normative frameworks for IP </w:t>
            </w:r>
          </w:p>
        </w:tc>
        <w:tc>
          <w:tcPr>
            <w:tcW w:w="2380" w:type="dxa"/>
            <w:tcBorders>
              <w:top w:val="single" w:sz="4" w:space="0" w:color="auto"/>
              <w:left w:val="nil"/>
              <w:bottom w:val="nil"/>
              <w:right w:val="nil"/>
            </w:tcBorders>
            <w:shd w:val="clear" w:color="auto" w:fill="auto"/>
            <w:tcMar>
              <w:top w:w="85" w:type="dxa"/>
            </w:tcMar>
            <w:hideMark/>
          </w:tcPr>
          <w:p w14:paraId="16AF64EC" w14:textId="77777777" w:rsidR="00BE3F1B" w:rsidRDefault="00BE3F1B" w:rsidP="00971C84">
            <w:pPr>
              <w:ind w:firstLineChars="200" w:firstLine="320"/>
              <w:rPr>
                <w:rFonts w:ascii="Arial" w:hAnsi="Arial" w:cs="Arial"/>
                <w:color w:val="000000"/>
                <w:sz w:val="16"/>
                <w:szCs w:val="16"/>
              </w:rPr>
            </w:pPr>
          </w:p>
          <w:p w14:paraId="61BF7ADD"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Marrakesh Treaty </w:t>
            </w:r>
            <w:r w:rsidRPr="00BE1D07">
              <w:rPr>
                <w:rFonts w:ascii="Arial" w:hAnsi="Arial" w:cs="Arial"/>
                <w:color w:val="000000"/>
                <w:sz w:val="16"/>
                <w:szCs w:val="16"/>
              </w:rPr>
              <w:br/>
            </w:r>
            <w:r w:rsidRPr="00BE1D07">
              <w:rPr>
                <w:rFonts w:ascii="Arial" w:hAnsi="Arial" w:cs="Arial"/>
                <w:color w:val="000000"/>
                <w:sz w:val="16"/>
                <w:szCs w:val="16"/>
              </w:rPr>
              <w:br/>
            </w:r>
            <w:r w:rsidRPr="00BE1D07">
              <w:rPr>
                <w:rFonts w:ascii="Arial" w:hAnsi="Arial" w:cs="Arial"/>
                <w:color w:val="000000"/>
                <w:sz w:val="16"/>
                <w:szCs w:val="16"/>
              </w:rPr>
              <w:br/>
            </w:r>
          </w:p>
        </w:tc>
        <w:tc>
          <w:tcPr>
            <w:tcW w:w="2380" w:type="dxa"/>
            <w:tcBorders>
              <w:top w:val="single" w:sz="4" w:space="0" w:color="auto"/>
              <w:left w:val="nil"/>
              <w:bottom w:val="nil"/>
              <w:right w:val="nil"/>
            </w:tcBorders>
            <w:shd w:val="clear" w:color="auto" w:fill="auto"/>
            <w:tcMar>
              <w:top w:w="85" w:type="dxa"/>
            </w:tcMar>
            <w:hideMark/>
          </w:tcPr>
          <w:p w14:paraId="0AD61F5B" w14:textId="77777777" w:rsidR="00BE3F1B" w:rsidRPr="00CA2428" w:rsidRDefault="00BE3F1B" w:rsidP="00964B92">
            <w:pPr>
              <w:rPr>
                <w:rFonts w:ascii="Arial" w:hAnsi="Arial" w:cs="Arial"/>
                <w:color w:val="000000"/>
                <w:sz w:val="16"/>
                <w:szCs w:val="16"/>
              </w:rPr>
            </w:pPr>
          </w:p>
          <w:p w14:paraId="719B6CAC" w14:textId="3BDD2893" w:rsidR="00BE3F1B" w:rsidRPr="00BE1D07" w:rsidRDefault="00BE3F1B">
            <w:pPr>
              <w:rPr>
                <w:rFonts w:ascii="Arial" w:hAnsi="Arial" w:cs="Arial"/>
                <w:color w:val="000000"/>
                <w:sz w:val="16"/>
                <w:szCs w:val="16"/>
              </w:rPr>
            </w:pPr>
            <w:r w:rsidRPr="00CA2428">
              <w:rPr>
                <w:rFonts w:ascii="Arial" w:hAnsi="Arial" w:cs="Arial"/>
                <w:color w:val="000000"/>
                <w:sz w:val="16"/>
                <w:szCs w:val="16"/>
              </w:rPr>
              <w:t>0 (WSO)</w:t>
            </w:r>
            <w:r w:rsidRPr="00CA2428">
              <w:rPr>
                <w:rFonts w:ascii="Arial" w:hAnsi="Arial" w:cs="Arial"/>
                <w:color w:val="000000"/>
                <w:sz w:val="16"/>
                <w:szCs w:val="16"/>
              </w:rPr>
              <w:br/>
              <w:t xml:space="preserve">0 (WBO)   </w:t>
            </w:r>
            <w:r w:rsidRPr="00CA2428">
              <w:rPr>
                <w:rFonts w:ascii="Arial" w:hAnsi="Arial" w:cs="Arial"/>
                <w:color w:val="000000"/>
                <w:sz w:val="16"/>
                <w:szCs w:val="16"/>
              </w:rPr>
              <w:br/>
              <w:t>0 (WJO)</w:t>
            </w:r>
            <w:r w:rsidRPr="00CA2428">
              <w:rPr>
                <w:rFonts w:ascii="Arial" w:hAnsi="Arial" w:cs="Arial"/>
                <w:color w:val="000000"/>
                <w:sz w:val="16"/>
                <w:szCs w:val="16"/>
              </w:rPr>
              <w:br/>
              <w:t xml:space="preserve">0 (WRO)  </w:t>
            </w:r>
            <w:r w:rsidRPr="00CA2428">
              <w:rPr>
                <w:rFonts w:ascii="Arial" w:hAnsi="Arial" w:cs="Arial"/>
                <w:color w:val="000000"/>
                <w:sz w:val="16"/>
                <w:szCs w:val="16"/>
              </w:rPr>
              <w:br/>
              <w:t>0 (</w:t>
            </w:r>
            <w:r w:rsidR="00FA17AB" w:rsidRPr="00CA2428">
              <w:rPr>
                <w:rFonts w:ascii="Arial" w:hAnsi="Arial" w:cs="Arial"/>
                <w:color w:val="000000"/>
                <w:sz w:val="16"/>
                <w:szCs w:val="16"/>
              </w:rPr>
              <w:t>W</w:t>
            </w:r>
            <w:r w:rsidR="00FA17AB">
              <w:rPr>
                <w:rFonts w:ascii="Arial" w:hAnsi="Arial" w:cs="Arial"/>
                <w:color w:val="000000"/>
                <w:sz w:val="16"/>
                <w:szCs w:val="16"/>
              </w:rPr>
              <w:t>OC</w:t>
            </w:r>
            <w:r w:rsidRPr="00CA2428">
              <w:rPr>
                <w:rFonts w:ascii="Arial" w:hAnsi="Arial" w:cs="Arial"/>
                <w:color w:val="000000"/>
                <w:sz w:val="16"/>
                <w:szCs w:val="16"/>
              </w:rPr>
              <w:t>)</w:t>
            </w:r>
            <w:r w:rsidRPr="00CA2428">
              <w:rPr>
                <w:rFonts w:ascii="Arial" w:hAnsi="Arial" w:cs="Arial"/>
                <w:color w:val="000000"/>
                <w:sz w:val="16"/>
                <w:szCs w:val="16"/>
              </w:rPr>
              <w:br/>
              <w:t xml:space="preserve">                                                 </w:t>
            </w:r>
          </w:p>
        </w:tc>
        <w:tc>
          <w:tcPr>
            <w:tcW w:w="2055" w:type="dxa"/>
            <w:tcBorders>
              <w:top w:val="single" w:sz="4" w:space="0" w:color="auto"/>
              <w:left w:val="nil"/>
              <w:bottom w:val="nil"/>
              <w:right w:val="single" w:sz="4" w:space="0" w:color="auto"/>
            </w:tcBorders>
            <w:shd w:val="clear" w:color="auto" w:fill="auto"/>
            <w:tcMar>
              <w:top w:w="85" w:type="dxa"/>
            </w:tcMar>
            <w:hideMark/>
          </w:tcPr>
          <w:p w14:paraId="402C85BF" w14:textId="77777777" w:rsidR="00BE3F1B" w:rsidRPr="00D655F5" w:rsidRDefault="00BE3F1B" w:rsidP="00964B92">
            <w:pPr>
              <w:ind w:firstLineChars="200" w:firstLine="320"/>
              <w:rPr>
                <w:rFonts w:ascii="Arial" w:hAnsi="Arial" w:cs="Arial"/>
                <w:sz w:val="16"/>
                <w:szCs w:val="16"/>
              </w:rPr>
            </w:pPr>
            <w:r w:rsidRPr="00D655F5">
              <w:rPr>
                <w:rFonts w:ascii="Arial" w:hAnsi="Arial" w:cs="Arial"/>
                <w:sz w:val="16"/>
                <w:szCs w:val="16"/>
              </w:rPr>
              <w:t> </w:t>
            </w:r>
          </w:p>
          <w:p w14:paraId="0713CB47" w14:textId="77777777" w:rsidR="00BE3F1B" w:rsidRPr="00D655F5" w:rsidRDefault="00BE3F1B" w:rsidP="00964B92">
            <w:pPr>
              <w:rPr>
                <w:rFonts w:ascii="Arial" w:hAnsi="Arial" w:cs="Arial"/>
                <w:sz w:val="16"/>
                <w:szCs w:val="16"/>
              </w:rPr>
            </w:pPr>
            <w:r w:rsidRPr="00D655F5">
              <w:rPr>
                <w:rFonts w:ascii="Arial" w:hAnsi="Arial" w:cs="Arial"/>
                <w:sz w:val="16"/>
                <w:szCs w:val="16"/>
              </w:rPr>
              <w:t>2(WSO)</w:t>
            </w:r>
          </w:p>
          <w:p w14:paraId="1D6A22EF" w14:textId="77777777" w:rsidR="00BE3F1B" w:rsidRPr="00D655F5" w:rsidRDefault="00BE3F1B" w:rsidP="00964B92">
            <w:pPr>
              <w:rPr>
                <w:rFonts w:ascii="Arial" w:hAnsi="Arial" w:cs="Arial"/>
                <w:sz w:val="16"/>
                <w:szCs w:val="16"/>
              </w:rPr>
            </w:pPr>
            <w:r w:rsidRPr="00D655F5">
              <w:rPr>
                <w:rFonts w:ascii="Arial" w:hAnsi="Arial" w:cs="Arial"/>
                <w:sz w:val="16"/>
                <w:szCs w:val="16"/>
              </w:rPr>
              <w:t>1(WBO)</w:t>
            </w:r>
          </w:p>
          <w:p w14:paraId="3CA1CB80" w14:textId="2E6A72D5" w:rsidR="00BE3F1B" w:rsidRPr="00FD3DD2" w:rsidRDefault="00BE3F1B" w:rsidP="00FB68E0">
            <w:pPr>
              <w:rPr>
                <w:rFonts w:ascii="Arial" w:hAnsi="Arial" w:cs="Arial"/>
                <w:sz w:val="16"/>
                <w:szCs w:val="16"/>
              </w:rPr>
            </w:pPr>
            <w:r w:rsidRPr="00D655F5">
              <w:rPr>
                <w:rFonts w:ascii="Arial" w:hAnsi="Arial" w:cs="Arial"/>
                <w:sz w:val="16"/>
                <w:szCs w:val="16"/>
              </w:rPr>
              <w:t>1(WJO)</w:t>
            </w:r>
            <w:r w:rsidRPr="00D655F5">
              <w:rPr>
                <w:rFonts w:ascii="Arial" w:hAnsi="Arial" w:cs="Arial"/>
                <w:sz w:val="16"/>
                <w:szCs w:val="16"/>
              </w:rPr>
              <w:br/>
              <w:t xml:space="preserve">1(WRO)  </w:t>
            </w:r>
            <w:r w:rsidRPr="00D655F5">
              <w:rPr>
                <w:rFonts w:ascii="Arial" w:hAnsi="Arial" w:cs="Arial"/>
                <w:sz w:val="16"/>
                <w:szCs w:val="16"/>
              </w:rPr>
              <w:br/>
            </w:r>
            <w:r>
              <w:rPr>
                <w:rFonts w:ascii="Arial" w:hAnsi="Arial" w:cs="Arial"/>
                <w:color w:val="000000"/>
                <w:sz w:val="16"/>
                <w:szCs w:val="16"/>
              </w:rPr>
              <w:t>1</w:t>
            </w:r>
            <w:r w:rsidRPr="00BE1D07">
              <w:rPr>
                <w:rFonts w:ascii="Arial" w:hAnsi="Arial" w:cs="Arial"/>
                <w:color w:val="000000"/>
                <w:sz w:val="16"/>
                <w:szCs w:val="16"/>
              </w:rPr>
              <w:t>(</w:t>
            </w:r>
            <w:r w:rsidR="00FA17AB">
              <w:rPr>
                <w:rFonts w:ascii="Arial" w:hAnsi="Arial" w:cs="Arial"/>
                <w:color w:val="000000"/>
                <w:sz w:val="16"/>
                <w:szCs w:val="16"/>
              </w:rPr>
              <w:t>WOC</w:t>
            </w:r>
            <w:r w:rsidRPr="00BE1D07">
              <w:rPr>
                <w:rFonts w:ascii="Arial" w:hAnsi="Arial" w:cs="Arial"/>
                <w:color w:val="000000"/>
                <w:sz w:val="16"/>
                <w:szCs w:val="16"/>
              </w:rPr>
              <w:t>)</w:t>
            </w:r>
            <w:r w:rsidRPr="00BE1D07">
              <w:rPr>
                <w:rFonts w:ascii="Arial" w:hAnsi="Arial" w:cs="Arial"/>
                <w:color w:val="000000"/>
                <w:sz w:val="16"/>
                <w:szCs w:val="16"/>
              </w:rPr>
              <w:br/>
            </w:r>
          </w:p>
        </w:tc>
      </w:tr>
      <w:tr w:rsidR="00BE3F1B" w:rsidRPr="00BE1D07" w14:paraId="57B88DD2" w14:textId="77777777" w:rsidTr="005B55D4">
        <w:trPr>
          <w:trHeight w:val="344"/>
        </w:trPr>
        <w:tc>
          <w:tcPr>
            <w:tcW w:w="2380" w:type="dxa"/>
            <w:tcBorders>
              <w:top w:val="nil"/>
              <w:left w:val="single" w:sz="4" w:space="0" w:color="auto"/>
              <w:right w:val="nil"/>
            </w:tcBorders>
            <w:shd w:val="clear" w:color="auto" w:fill="auto"/>
            <w:tcMar>
              <w:top w:w="85" w:type="dxa"/>
            </w:tcMar>
            <w:hideMark/>
          </w:tcPr>
          <w:p w14:paraId="378400EB"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5E2415B4"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Beijing Treaty </w:t>
            </w:r>
          </w:p>
        </w:tc>
        <w:tc>
          <w:tcPr>
            <w:tcW w:w="2380" w:type="dxa"/>
            <w:tcBorders>
              <w:top w:val="nil"/>
              <w:left w:val="nil"/>
              <w:right w:val="nil"/>
            </w:tcBorders>
            <w:shd w:val="clear" w:color="auto" w:fill="auto"/>
            <w:tcMar>
              <w:top w:w="85" w:type="dxa"/>
            </w:tcMar>
            <w:hideMark/>
          </w:tcPr>
          <w:p w14:paraId="0118100F" w14:textId="77777777" w:rsidR="00BE3F1B" w:rsidRDefault="00BE3F1B" w:rsidP="00964B92">
            <w:pPr>
              <w:rPr>
                <w:rFonts w:ascii="Arial" w:hAnsi="Arial" w:cs="Arial"/>
                <w:color w:val="000000"/>
                <w:sz w:val="16"/>
                <w:szCs w:val="16"/>
              </w:rPr>
            </w:pPr>
            <w:r w:rsidRPr="00BE1D07">
              <w:rPr>
                <w:rFonts w:ascii="Arial" w:hAnsi="Arial" w:cs="Arial"/>
                <w:color w:val="000000"/>
                <w:sz w:val="16"/>
                <w:szCs w:val="16"/>
              </w:rPr>
              <w:t>0 (WSO)</w:t>
            </w:r>
            <w:r w:rsidRPr="00BE1D07">
              <w:rPr>
                <w:rFonts w:ascii="Arial" w:hAnsi="Arial" w:cs="Arial"/>
                <w:color w:val="000000"/>
                <w:sz w:val="16"/>
                <w:szCs w:val="16"/>
              </w:rPr>
              <w:br/>
            </w:r>
            <w:r w:rsidRPr="00C94792">
              <w:rPr>
                <w:rFonts w:ascii="Arial" w:hAnsi="Arial" w:cs="Arial"/>
                <w:color w:val="000000"/>
                <w:sz w:val="16"/>
                <w:szCs w:val="16"/>
              </w:rPr>
              <w:t>0 (WRO)</w:t>
            </w:r>
            <w:r>
              <w:rPr>
                <w:rFonts w:ascii="Arial" w:hAnsi="Arial" w:cs="Arial"/>
                <w:color w:val="000000"/>
                <w:sz w:val="16"/>
                <w:szCs w:val="16"/>
              </w:rPr>
              <w:t xml:space="preserve"> </w:t>
            </w:r>
          </w:p>
          <w:p w14:paraId="29618E88" w14:textId="6794E45B" w:rsidR="00BE3F1B" w:rsidRPr="00BE1D07" w:rsidRDefault="00BE3F1B" w:rsidP="00971C84">
            <w:pPr>
              <w:rPr>
                <w:rFonts w:ascii="Arial" w:hAnsi="Arial" w:cs="Arial"/>
                <w:color w:val="000000"/>
                <w:sz w:val="16"/>
                <w:szCs w:val="16"/>
              </w:rPr>
            </w:pPr>
            <w:r>
              <w:rPr>
                <w:rFonts w:ascii="Arial" w:hAnsi="Arial" w:cs="Arial"/>
                <w:color w:val="000000"/>
                <w:sz w:val="16"/>
                <w:szCs w:val="16"/>
              </w:rPr>
              <w:t xml:space="preserve">        </w:t>
            </w:r>
            <w:r w:rsidRPr="00BE1D07">
              <w:rPr>
                <w:rFonts w:ascii="Arial" w:hAnsi="Arial" w:cs="Arial"/>
                <w:color w:val="000000"/>
                <w:sz w:val="16"/>
                <w:szCs w:val="16"/>
              </w:rPr>
              <w:t xml:space="preserve">                  </w:t>
            </w:r>
          </w:p>
        </w:tc>
        <w:tc>
          <w:tcPr>
            <w:tcW w:w="2055" w:type="dxa"/>
            <w:tcBorders>
              <w:top w:val="nil"/>
              <w:left w:val="nil"/>
              <w:right w:val="single" w:sz="4" w:space="0" w:color="auto"/>
            </w:tcBorders>
            <w:shd w:val="clear" w:color="auto" w:fill="auto"/>
            <w:tcMar>
              <w:top w:w="85" w:type="dxa"/>
            </w:tcMar>
            <w:hideMark/>
          </w:tcPr>
          <w:p w14:paraId="1EFDAA3B" w14:textId="77777777" w:rsidR="00BE3F1B" w:rsidRDefault="00BE3F1B" w:rsidP="00964B92">
            <w:pPr>
              <w:rPr>
                <w:rFonts w:ascii="Arial" w:hAnsi="Arial" w:cs="Arial"/>
                <w:sz w:val="16"/>
                <w:szCs w:val="16"/>
              </w:rPr>
            </w:pPr>
            <w:r w:rsidRPr="00C94792">
              <w:rPr>
                <w:rFonts w:ascii="Arial" w:hAnsi="Arial" w:cs="Arial"/>
                <w:sz w:val="16"/>
                <w:szCs w:val="16"/>
              </w:rPr>
              <w:t>2(WSO)</w:t>
            </w:r>
          </w:p>
          <w:p w14:paraId="1EA5BFB7" w14:textId="56097310" w:rsidR="00BE3F1B" w:rsidRPr="00FD3DD2" w:rsidRDefault="00BE3F1B" w:rsidP="00FB68E0">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(WRO)  </w:t>
            </w:r>
            <w:r w:rsidRPr="00BE1D07">
              <w:rPr>
                <w:rFonts w:ascii="Arial" w:hAnsi="Arial" w:cs="Arial"/>
                <w:color w:val="000000"/>
                <w:sz w:val="16"/>
                <w:szCs w:val="16"/>
              </w:rPr>
              <w:br/>
            </w:r>
            <w:r w:rsidRPr="00BE1D07">
              <w:rPr>
                <w:rFonts w:ascii="Arial" w:hAnsi="Arial" w:cs="Arial"/>
                <w:color w:val="000000"/>
                <w:sz w:val="16"/>
                <w:szCs w:val="16"/>
              </w:rPr>
              <w:br/>
            </w:r>
            <w:r w:rsidRPr="00BE1D07">
              <w:rPr>
                <w:rFonts w:ascii="Arial" w:hAnsi="Arial" w:cs="Arial"/>
                <w:color w:val="FF0000"/>
                <w:sz w:val="16"/>
                <w:szCs w:val="16"/>
              </w:rPr>
              <w:t> </w:t>
            </w:r>
          </w:p>
        </w:tc>
      </w:tr>
      <w:tr w:rsidR="00BE3F1B" w:rsidRPr="00BE1D07" w14:paraId="4CCB0341" w14:textId="77777777" w:rsidTr="005B55D4">
        <w:trPr>
          <w:trHeight w:val="716"/>
        </w:trPr>
        <w:tc>
          <w:tcPr>
            <w:tcW w:w="2380" w:type="dxa"/>
            <w:tcBorders>
              <w:top w:val="nil"/>
              <w:left w:val="single" w:sz="4" w:space="0" w:color="auto"/>
              <w:right w:val="nil"/>
            </w:tcBorders>
            <w:shd w:val="clear" w:color="auto" w:fill="auto"/>
            <w:tcMar>
              <w:top w:w="85" w:type="dxa"/>
            </w:tcMar>
            <w:hideMark/>
          </w:tcPr>
          <w:p w14:paraId="5E258FEC"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620F3A62"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Singapore  Treaty </w:t>
            </w:r>
          </w:p>
        </w:tc>
        <w:tc>
          <w:tcPr>
            <w:tcW w:w="2380" w:type="dxa"/>
            <w:tcBorders>
              <w:top w:val="nil"/>
              <w:left w:val="nil"/>
              <w:right w:val="nil"/>
            </w:tcBorders>
            <w:shd w:val="clear" w:color="auto" w:fill="auto"/>
            <w:tcMar>
              <w:top w:w="85" w:type="dxa"/>
            </w:tcMar>
            <w:hideMark/>
          </w:tcPr>
          <w:p w14:paraId="7D3F9FC8" w14:textId="74D85CA3"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1 (WSO)</w:t>
            </w:r>
            <w:r w:rsidRPr="00BE1D07">
              <w:rPr>
                <w:rFonts w:ascii="Arial" w:hAnsi="Arial" w:cs="Arial"/>
                <w:color w:val="000000"/>
                <w:sz w:val="16"/>
                <w:szCs w:val="16"/>
              </w:rPr>
              <w:br/>
              <w:t>0 (WJO)</w:t>
            </w:r>
          </w:p>
        </w:tc>
        <w:tc>
          <w:tcPr>
            <w:tcW w:w="2055" w:type="dxa"/>
            <w:tcBorders>
              <w:top w:val="nil"/>
              <w:left w:val="nil"/>
              <w:right w:val="single" w:sz="4" w:space="0" w:color="auto"/>
            </w:tcBorders>
            <w:shd w:val="clear" w:color="auto" w:fill="auto"/>
            <w:tcMar>
              <w:top w:w="85" w:type="dxa"/>
            </w:tcMar>
            <w:hideMark/>
          </w:tcPr>
          <w:p w14:paraId="23791201" w14:textId="77777777" w:rsidR="00BE3F1B" w:rsidRDefault="00BE3F1B" w:rsidP="00BE3F1B">
            <w:pPr>
              <w:rPr>
                <w:rFonts w:ascii="Arial" w:hAnsi="Arial" w:cs="Arial"/>
                <w:color w:val="000000"/>
                <w:sz w:val="16"/>
                <w:szCs w:val="16"/>
              </w:rPr>
            </w:pPr>
            <w:r w:rsidRPr="00CA2428">
              <w:rPr>
                <w:rFonts w:ascii="Arial" w:hAnsi="Arial" w:cs="Arial"/>
                <w:sz w:val="16"/>
                <w:szCs w:val="16"/>
              </w:rPr>
              <w:t xml:space="preserve">1 </w:t>
            </w:r>
            <w:r>
              <w:rPr>
                <w:rFonts w:ascii="Arial" w:hAnsi="Arial" w:cs="Arial"/>
                <w:color w:val="000000"/>
                <w:sz w:val="16"/>
                <w:szCs w:val="16"/>
              </w:rPr>
              <w:t xml:space="preserve">additional </w:t>
            </w:r>
            <w:r w:rsidRPr="00BE1D07">
              <w:rPr>
                <w:rFonts w:ascii="Arial" w:hAnsi="Arial" w:cs="Arial"/>
                <w:color w:val="000000"/>
                <w:sz w:val="16"/>
                <w:szCs w:val="16"/>
              </w:rPr>
              <w:t>(WSO)</w:t>
            </w:r>
          </w:p>
          <w:p w14:paraId="0CE1C83A" w14:textId="76B464F6" w:rsidR="00BE3F1B" w:rsidRPr="00FD3DD2" w:rsidRDefault="00BE3F1B" w:rsidP="00BE3F1B">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 (WJO)</w:t>
            </w:r>
          </w:p>
        </w:tc>
      </w:tr>
      <w:tr w:rsidR="00BE3F1B" w:rsidRPr="00BE1D07" w14:paraId="142CFA38" w14:textId="77777777" w:rsidTr="005B55D4">
        <w:trPr>
          <w:trHeight w:val="1625"/>
        </w:trPr>
        <w:tc>
          <w:tcPr>
            <w:tcW w:w="2380" w:type="dxa"/>
            <w:tcBorders>
              <w:left w:val="single" w:sz="4" w:space="0" w:color="auto"/>
              <w:bottom w:val="single" w:sz="4" w:space="0" w:color="auto"/>
              <w:right w:val="nil"/>
            </w:tcBorders>
            <w:shd w:val="clear" w:color="auto" w:fill="auto"/>
            <w:tcMar>
              <w:top w:w="85" w:type="dxa"/>
            </w:tcMar>
            <w:hideMark/>
          </w:tcPr>
          <w:p w14:paraId="2348B892"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left w:val="nil"/>
              <w:bottom w:val="single" w:sz="4" w:space="0" w:color="auto"/>
              <w:right w:val="nil"/>
            </w:tcBorders>
            <w:shd w:val="clear" w:color="auto" w:fill="auto"/>
            <w:tcMar>
              <w:top w:w="85" w:type="dxa"/>
            </w:tcMar>
            <w:hideMark/>
          </w:tcPr>
          <w:p w14:paraId="37DD785B"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the Internet Treaties </w:t>
            </w:r>
          </w:p>
        </w:tc>
        <w:tc>
          <w:tcPr>
            <w:tcW w:w="2380" w:type="dxa"/>
            <w:tcBorders>
              <w:left w:val="nil"/>
              <w:bottom w:val="single" w:sz="4" w:space="0" w:color="auto"/>
              <w:right w:val="nil"/>
            </w:tcBorders>
            <w:shd w:val="clear" w:color="auto" w:fill="auto"/>
            <w:tcMar>
              <w:top w:w="85" w:type="dxa"/>
            </w:tcMar>
            <w:hideMark/>
          </w:tcPr>
          <w:p w14:paraId="465F0131" w14:textId="1ED418DD"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WIPO Copyright Treaty:</w:t>
            </w:r>
            <w:r w:rsidRPr="00BE1D07">
              <w:rPr>
                <w:rFonts w:ascii="Arial" w:hAnsi="Arial" w:cs="Arial"/>
                <w:color w:val="000000"/>
                <w:sz w:val="16"/>
                <w:szCs w:val="16"/>
              </w:rPr>
              <w:br/>
              <w:t xml:space="preserve">4 (WSO)   </w:t>
            </w:r>
            <w:r w:rsidRPr="00BE1D07">
              <w:rPr>
                <w:rFonts w:ascii="Arial" w:hAnsi="Arial" w:cs="Arial"/>
                <w:color w:val="000000"/>
                <w:sz w:val="16"/>
                <w:szCs w:val="16"/>
              </w:rPr>
              <w:br/>
              <w:t xml:space="preserve">                                                           </w:t>
            </w:r>
            <w:r w:rsidRPr="00BE1D07">
              <w:rPr>
                <w:rFonts w:ascii="Arial" w:hAnsi="Arial" w:cs="Arial"/>
                <w:color w:val="000000"/>
                <w:sz w:val="16"/>
                <w:szCs w:val="16"/>
              </w:rPr>
              <w:br/>
              <w:t>WIPO Performances and Phonog</w:t>
            </w:r>
            <w:r>
              <w:rPr>
                <w:rFonts w:ascii="Arial" w:hAnsi="Arial" w:cs="Arial"/>
                <w:color w:val="000000"/>
                <w:sz w:val="16"/>
                <w:szCs w:val="16"/>
              </w:rPr>
              <w:t>rams Treaty:</w:t>
            </w:r>
            <w:r>
              <w:rPr>
                <w:rFonts w:ascii="Arial" w:hAnsi="Arial" w:cs="Arial"/>
                <w:color w:val="000000"/>
                <w:sz w:val="16"/>
                <w:szCs w:val="16"/>
              </w:rPr>
              <w:br/>
              <w:t xml:space="preserve">4 (WSO)   </w:t>
            </w:r>
            <w:r>
              <w:rPr>
                <w:rFonts w:ascii="Arial" w:hAnsi="Arial" w:cs="Arial"/>
                <w:color w:val="000000"/>
                <w:sz w:val="16"/>
                <w:szCs w:val="16"/>
              </w:rPr>
              <w:br/>
            </w:r>
            <w:r w:rsidRPr="00BE1D07">
              <w:rPr>
                <w:rFonts w:ascii="Arial" w:hAnsi="Arial" w:cs="Arial"/>
                <w:color w:val="000000"/>
                <w:sz w:val="16"/>
                <w:szCs w:val="16"/>
              </w:rPr>
              <w:t xml:space="preserve">                          </w:t>
            </w:r>
          </w:p>
        </w:tc>
        <w:tc>
          <w:tcPr>
            <w:tcW w:w="2055" w:type="dxa"/>
            <w:tcBorders>
              <w:left w:val="nil"/>
              <w:bottom w:val="single" w:sz="4" w:space="0" w:color="auto"/>
              <w:right w:val="single" w:sz="4" w:space="0" w:color="auto"/>
            </w:tcBorders>
            <w:shd w:val="clear" w:color="auto" w:fill="auto"/>
            <w:tcMar>
              <w:top w:w="85" w:type="dxa"/>
            </w:tcMar>
            <w:hideMark/>
          </w:tcPr>
          <w:p w14:paraId="7B783F79" w14:textId="77777777" w:rsidR="00BE3F1B" w:rsidRPr="00D655F5" w:rsidRDefault="00BE3F1B" w:rsidP="00964B92">
            <w:pPr>
              <w:ind w:firstLineChars="200" w:firstLine="320"/>
              <w:rPr>
                <w:rFonts w:ascii="Arial" w:hAnsi="Arial" w:cs="Arial"/>
                <w:sz w:val="16"/>
                <w:szCs w:val="16"/>
              </w:rPr>
            </w:pPr>
            <w:r w:rsidRPr="00D655F5">
              <w:rPr>
                <w:rFonts w:ascii="Arial" w:hAnsi="Arial" w:cs="Arial"/>
                <w:sz w:val="16"/>
                <w:szCs w:val="16"/>
              </w:rPr>
              <w:t> </w:t>
            </w:r>
          </w:p>
          <w:p w14:paraId="4F27F86C" w14:textId="77777777" w:rsidR="00BE3F1B" w:rsidRDefault="00BE3F1B" w:rsidP="00964B92">
            <w:pPr>
              <w:ind w:firstLineChars="200" w:firstLine="320"/>
              <w:rPr>
                <w:rFonts w:ascii="Arial" w:hAnsi="Arial" w:cs="Arial"/>
                <w:color w:val="000000"/>
                <w:sz w:val="16"/>
                <w:szCs w:val="16"/>
              </w:rPr>
            </w:pPr>
            <w:r>
              <w:rPr>
                <w:rFonts w:ascii="Arial" w:hAnsi="Arial" w:cs="Arial"/>
                <w:color w:val="000000"/>
                <w:sz w:val="16"/>
                <w:szCs w:val="16"/>
              </w:rPr>
              <w:t>1</w:t>
            </w:r>
            <w:r w:rsidRPr="00BE1D07">
              <w:rPr>
                <w:rFonts w:ascii="Arial" w:hAnsi="Arial" w:cs="Arial"/>
                <w:color w:val="000000"/>
                <w:sz w:val="16"/>
                <w:szCs w:val="16"/>
              </w:rPr>
              <w:t xml:space="preserve"> </w:t>
            </w:r>
            <w:r>
              <w:rPr>
                <w:rFonts w:ascii="Arial" w:hAnsi="Arial" w:cs="Arial"/>
                <w:color w:val="000000"/>
                <w:sz w:val="16"/>
                <w:szCs w:val="16"/>
              </w:rPr>
              <w:t xml:space="preserve">additional </w:t>
            </w:r>
            <w:r w:rsidRPr="00BE1D07">
              <w:rPr>
                <w:rFonts w:ascii="Arial" w:hAnsi="Arial" w:cs="Arial"/>
                <w:color w:val="000000"/>
                <w:sz w:val="16"/>
                <w:szCs w:val="16"/>
              </w:rPr>
              <w:t>(WSO)</w:t>
            </w:r>
          </w:p>
          <w:p w14:paraId="4B721DA0" w14:textId="77777777" w:rsidR="00BE3F1B" w:rsidRDefault="00BE3F1B" w:rsidP="00964B92">
            <w:pPr>
              <w:ind w:firstLineChars="200" w:firstLine="320"/>
              <w:rPr>
                <w:rFonts w:ascii="Arial" w:hAnsi="Arial" w:cs="Arial"/>
                <w:color w:val="000000"/>
                <w:sz w:val="16"/>
                <w:szCs w:val="16"/>
              </w:rPr>
            </w:pPr>
          </w:p>
          <w:p w14:paraId="73E76D85" w14:textId="77777777" w:rsidR="00BE3F1B" w:rsidRDefault="00BE3F1B" w:rsidP="00964B92">
            <w:pPr>
              <w:ind w:firstLineChars="200" w:firstLine="320"/>
              <w:rPr>
                <w:rFonts w:ascii="Arial" w:hAnsi="Arial" w:cs="Arial"/>
                <w:color w:val="000000"/>
                <w:sz w:val="16"/>
                <w:szCs w:val="16"/>
              </w:rPr>
            </w:pPr>
          </w:p>
          <w:p w14:paraId="106184D3" w14:textId="77777777" w:rsidR="00BE3F1B" w:rsidRDefault="00BE3F1B" w:rsidP="00964B92">
            <w:pPr>
              <w:ind w:firstLineChars="200" w:firstLine="320"/>
              <w:rPr>
                <w:rFonts w:ascii="Arial" w:hAnsi="Arial" w:cs="Arial"/>
                <w:color w:val="000000"/>
                <w:sz w:val="16"/>
                <w:szCs w:val="16"/>
              </w:rPr>
            </w:pPr>
          </w:p>
          <w:p w14:paraId="45BD8F3D" w14:textId="08314FB9" w:rsidR="00BE3F1B" w:rsidRPr="00FD3DD2" w:rsidRDefault="00BE3F1B" w:rsidP="00971C84">
            <w:pPr>
              <w:ind w:firstLineChars="200" w:firstLine="320"/>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 </w:t>
            </w:r>
            <w:r>
              <w:rPr>
                <w:rFonts w:ascii="Arial" w:hAnsi="Arial" w:cs="Arial"/>
                <w:color w:val="000000"/>
                <w:sz w:val="16"/>
                <w:szCs w:val="16"/>
              </w:rPr>
              <w:t xml:space="preserve">additional </w:t>
            </w:r>
            <w:r w:rsidRPr="00BE1D07">
              <w:rPr>
                <w:rFonts w:ascii="Arial" w:hAnsi="Arial" w:cs="Arial"/>
                <w:color w:val="000000"/>
                <w:sz w:val="16"/>
                <w:szCs w:val="16"/>
              </w:rPr>
              <w:t xml:space="preserve">(WSO)   </w:t>
            </w:r>
          </w:p>
        </w:tc>
      </w:tr>
      <w:tr w:rsidR="00971C84" w:rsidRPr="00BE1D07" w14:paraId="23153780" w14:textId="77777777" w:rsidTr="005B55D4">
        <w:trPr>
          <w:trHeight w:val="1118"/>
        </w:trPr>
        <w:tc>
          <w:tcPr>
            <w:tcW w:w="2380" w:type="dxa"/>
            <w:tcBorders>
              <w:top w:val="single" w:sz="4" w:space="0" w:color="auto"/>
              <w:left w:val="single" w:sz="4" w:space="0" w:color="auto"/>
              <w:right w:val="nil"/>
            </w:tcBorders>
            <w:shd w:val="clear" w:color="auto" w:fill="auto"/>
            <w:tcMar>
              <w:top w:w="85" w:type="dxa"/>
            </w:tcMar>
            <w:hideMark/>
          </w:tcPr>
          <w:p w14:paraId="1C87EEC4"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lastRenderedPageBreak/>
              <w:t>II.1 Wider and more effective use of the PCT system for filing international patent applications</w:t>
            </w:r>
          </w:p>
        </w:tc>
        <w:tc>
          <w:tcPr>
            <w:tcW w:w="2380" w:type="dxa"/>
            <w:tcBorders>
              <w:top w:val="single" w:sz="4" w:space="0" w:color="auto"/>
              <w:left w:val="nil"/>
              <w:right w:val="nil"/>
            </w:tcBorders>
            <w:shd w:val="clear" w:color="auto" w:fill="auto"/>
            <w:tcMar>
              <w:top w:w="85" w:type="dxa"/>
            </w:tcMar>
            <w:hideMark/>
          </w:tcPr>
          <w:p w14:paraId="25DFA66D"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PCT applications</w:t>
            </w:r>
          </w:p>
        </w:tc>
        <w:tc>
          <w:tcPr>
            <w:tcW w:w="2380" w:type="dxa"/>
            <w:tcBorders>
              <w:top w:val="single" w:sz="4" w:space="0" w:color="auto"/>
              <w:left w:val="nil"/>
              <w:right w:val="nil"/>
            </w:tcBorders>
            <w:shd w:val="clear" w:color="auto" w:fill="auto"/>
            <w:tcMar>
              <w:top w:w="85" w:type="dxa"/>
            </w:tcMar>
            <w:hideMark/>
          </w:tcPr>
          <w:p w14:paraId="1000798B" w14:textId="44C430A4" w:rsidR="00971C84" w:rsidRPr="00BE1D07" w:rsidRDefault="00971C84" w:rsidP="00BE3F1B">
            <w:pPr>
              <w:rPr>
                <w:rFonts w:ascii="Arial" w:hAnsi="Arial" w:cs="Arial"/>
                <w:color w:val="000000"/>
                <w:sz w:val="16"/>
                <w:szCs w:val="16"/>
              </w:rPr>
            </w:pPr>
            <w:r w:rsidRPr="00BE1D07">
              <w:rPr>
                <w:rFonts w:ascii="Arial" w:hAnsi="Arial" w:cs="Arial"/>
                <w:color w:val="000000"/>
                <w:sz w:val="16"/>
                <w:szCs w:val="16"/>
              </w:rPr>
              <w:t>1,</w:t>
            </w:r>
            <w:r w:rsidR="00BE3F1B">
              <w:rPr>
                <w:rFonts w:ascii="Arial" w:hAnsi="Arial" w:cs="Arial"/>
                <w:color w:val="000000"/>
                <w:sz w:val="16"/>
                <w:szCs w:val="16"/>
              </w:rPr>
              <w:t xml:space="preserve">387 </w:t>
            </w:r>
            <w:r>
              <w:rPr>
                <w:rFonts w:ascii="Arial" w:hAnsi="Arial" w:cs="Arial"/>
                <w:color w:val="000000"/>
                <w:sz w:val="16"/>
                <w:szCs w:val="16"/>
              </w:rPr>
              <w:t xml:space="preserve">(in </w:t>
            </w:r>
            <w:r w:rsidRPr="00BE1D07">
              <w:rPr>
                <w:rFonts w:ascii="Arial" w:hAnsi="Arial" w:cs="Arial"/>
                <w:color w:val="000000"/>
                <w:sz w:val="16"/>
                <w:szCs w:val="16"/>
              </w:rPr>
              <w:t>201</w:t>
            </w:r>
            <w:r w:rsidR="00BE3F1B">
              <w:rPr>
                <w:rFonts w:ascii="Arial" w:hAnsi="Arial" w:cs="Arial"/>
                <w:color w:val="000000"/>
                <w:sz w:val="16"/>
                <w:szCs w:val="16"/>
              </w:rPr>
              <w:t>4</w:t>
            </w:r>
            <w:r>
              <w:rPr>
                <w:rFonts w:ascii="Arial" w:hAnsi="Arial" w:cs="Arial"/>
                <w:color w:val="000000"/>
                <w:sz w:val="16"/>
                <w:szCs w:val="16"/>
              </w:rPr>
              <w:t>)</w:t>
            </w:r>
            <w:r w:rsidRPr="00BE1D07">
              <w:rPr>
                <w:rFonts w:ascii="Arial" w:hAnsi="Arial" w:cs="Arial"/>
                <w:color w:val="000000"/>
                <w:sz w:val="16"/>
                <w:szCs w:val="16"/>
              </w:rPr>
              <w:t xml:space="preserve"> (WSO)</w:t>
            </w:r>
            <w:r w:rsidRPr="00BE1D07">
              <w:rPr>
                <w:rFonts w:ascii="Arial" w:hAnsi="Arial" w:cs="Arial"/>
                <w:color w:val="000000"/>
                <w:sz w:val="16"/>
                <w:szCs w:val="16"/>
              </w:rPr>
              <w:br/>
            </w:r>
            <w:r w:rsidR="00BE3F1B">
              <w:rPr>
                <w:rFonts w:ascii="Arial" w:hAnsi="Arial" w:cs="Arial"/>
                <w:color w:val="000000"/>
                <w:sz w:val="16"/>
                <w:szCs w:val="16"/>
              </w:rPr>
              <w:t>581</w:t>
            </w:r>
            <w:r w:rsidRPr="00BE1D07">
              <w:rPr>
                <w:rFonts w:ascii="Arial" w:hAnsi="Arial" w:cs="Arial"/>
                <w:color w:val="000000"/>
                <w:sz w:val="16"/>
                <w:szCs w:val="16"/>
              </w:rPr>
              <w:t xml:space="preserve"> </w:t>
            </w:r>
            <w:r>
              <w:rPr>
                <w:rFonts w:ascii="Arial" w:hAnsi="Arial" w:cs="Arial"/>
                <w:color w:val="000000"/>
                <w:sz w:val="16"/>
                <w:szCs w:val="16"/>
              </w:rPr>
              <w:t>(in</w:t>
            </w:r>
            <w:r w:rsidRPr="00BE1D07">
              <w:rPr>
                <w:rFonts w:ascii="Arial" w:hAnsi="Arial" w:cs="Arial"/>
                <w:color w:val="000000"/>
                <w:sz w:val="16"/>
                <w:szCs w:val="16"/>
              </w:rPr>
              <w:t xml:space="preserve"> 201</w:t>
            </w:r>
            <w:r w:rsidR="00BE3F1B">
              <w:rPr>
                <w:rFonts w:ascii="Arial" w:hAnsi="Arial" w:cs="Arial"/>
                <w:color w:val="000000"/>
                <w:sz w:val="16"/>
                <w:szCs w:val="16"/>
              </w:rPr>
              <w:t>4</w:t>
            </w:r>
            <w:r>
              <w:rPr>
                <w:rFonts w:ascii="Arial" w:hAnsi="Arial" w:cs="Arial"/>
                <w:color w:val="000000"/>
                <w:sz w:val="16"/>
                <w:szCs w:val="16"/>
              </w:rPr>
              <w:t xml:space="preserve">) (WBO)  </w:t>
            </w:r>
            <w:r>
              <w:rPr>
                <w:rFonts w:ascii="Arial" w:hAnsi="Arial" w:cs="Arial"/>
                <w:color w:val="000000"/>
                <w:sz w:val="16"/>
                <w:szCs w:val="16"/>
              </w:rPr>
              <w:br/>
              <w:t>42,459</w:t>
            </w:r>
            <w:r w:rsidRPr="00BE1D07">
              <w:rPr>
                <w:rFonts w:ascii="Arial" w:hAnsi="Arial" w:cs="Arial"/>
                <w:color w:val="000000"/>
                <w:sz w:val="16"/>
                <w:szCs w:val="16"/>
              </w:rPr>
              <w:t xml:space="preserve"> </w:t>
            </w:r>
            <w:r>
              <w:rPr>
                <w:rFonts w:ascii="Arial" w:hAnsi="Arial" w:cs="Arial"/>
                <w:color w:val="000000"/>
                <w:sz w:val="16"/>
                <w:szCs w:val="16"/>
              </w:rPr>
              <w:t>(</w:t>
            </w:r>
            <w:r w:rsidR="00BE3F1B">
              <w:rPr>
                <w:rFonts w:ascii="Arial" w:hAnsi="Arial" w:cs="Arial"/>
                <w:color w:val="000000"/>
                <w:sz w:val="16"/>
                <w:szCs w:val="16"/>
              </w:rPr>
              <w:t xml:space="preserve">in </w:t>
            </w:r>
            <w:r>
              <w:rPr>
                <w:rFonts w:ascii="Arial" w:hAnsi="Arial" w:cs="Arial"/>
                <w:color w:val="000000"/>
                <w:sz w:val="16"/>
                <w:szCs w:val="16"/>
              </w:rPr>
              <w:t>2014)</w:t>
            </w:r>
            <w:r w:rsidRPr="00BE1D07">
              <w:rPr>
                <w:rFonts w:ascii="Arial" w:hAnsi="Arial" w:cs="Arial"/>
                <w:color w:val="000000"/>
                <w:sz w:val="16"/>
                <w:szCs w:val="16"/>
              </w:rPr>
              <w:t xml:space="preserve"> (WJO)</w:t>
            </w:r>
            <w:r w:rsidRPr="00BE1D07">
              <w:rPr>
                <w:rFonts w:ascii="Arial" w:hAnsi="Arial" w:cs="Arial"/>
                <w:i/>
                <w:iCs/>
                <w:color w:val="000000"/>
                <w:sz w:val="16"/>
                <w:szCs w:val="16"/>
              </w:rPr>
              <w:br/>
            </w:r>
            <w:r w:rsidR="00BE3F1B" w:rsidRPr="00BE3F1B">
              <w:rPr>
                <w:rFonts w:ascii="Arial" w:hAnsi="Arial" w:cs="Arial"/>
                <w:color w:val="000000"/>
                <w:sz w:val="16"/>
                <w:szCs w:val="16"/>
              </w:rPr>
              <w:t>890</w:t>
            </w:r>
            <w:r w:rsidR="00BE3F1B">
              <w:rPr>
                <w:rFonts w:ascii="Arial" w:hAnsi="Arial" w:cs="Arial"/>
                <w:color w:val="000000"/>
                <w:sz w:val="16"/>
                <w:szCs w:val="16"/>
              </w:rPr>
              <w:t xml:space="preserve"> </w:t>
            </w:r>
            <w:r w:rsidR="00BE3F1B" w:rsidRPr="00BE3F1B">
              <w:rPr>
                <w:rFonts w:ascii="Arial" w:hAnsi="Arial" w:cs="Arial"/>
                <w:color w:val="000000"/>
                <w:sz w:val="16"/>
                <w:szCs w:val="16"/>
              </w:rPr>
              <w:t xml:space="preserve">(in 2014) </w:t>
            </w:r>
            <w:r w:rsidRPr="00BE3F1B">
              <w:rPr>
                <w:rFonts w:ascii="Arial" w:hAnsi="Arial" w:cs="Arial"/>
                <w:color w:val="000000"/>
                <w:sz w:val="16"/>
                <w:szCs w:val="16"/>
              </w:rPr>
              <w:t>(WRO)</w:t>
            </w:r>
            <w:r w:rsidRPr="00BE1D07">
              <w:rPr>
                <w:rFonts w:ascii="Arial" w:hAnsi="Arial" w:cs="Arial"/>
                <w:i/>
                <w:iCs/>
                <w:color w:val="000000"/>
                <w:sz w:val="16"/>
                <w:szCs w:val="16"/>
              </w:rPr>
              <w:br/>
            </w:r>
            <w:r w:rsidRPr="00BE1D07">
              <w:rPr>
                <w:rFonts w:ascii="Arial" w:hAnsi="Arial" w:cs="Arial"/>
                <w:color w:val="000000"/>
                <w:sz w:val="16"/>
                <w:szCs w:val="16"/>
              </w:rPr>
              <w:t>2</w:t>
            </w:r>
            <w:r w:rsidR="00BE3F1B">
              <w:rPr>
                <w:rFonts w:ascii="Arial" w:hAnsi="Arial" w:cs="Arial"/>
                <w:color w:val="000000"/>
                <w:sz w:val="16"/>
                <w:szCs w:val="16"/>
              </w:rPr>
              <w:t>5</w:t>
            </w:r>
            <w:r w:rsidRPr="00BE1D07">
              <w:rPr>
                <w:rFonts w:ascii="Arial" w:hAnsi="Arial" w:cs="Arial"/>
                <w:color w:val="000000"/>
                <w:sz w:val="16"/>
                <w:szCs w:val="16"/>
              </w:rPr>
              <w:t>,5</w:t>
            </w:r>
            <w:r w:rsidR="00BE3F1B">
              <w:rPr>
                <w:rFonts w:ascii="Arial" w:hAnsi="Arial" w:cs="Arial"/>
                <w:color w:val="000000"/>
                <w:sz w:val="16"/>
                <w:szCs w:val="16"/>
              </w:rPr>
              <w:t>39</w:t>
            </w:r>
            <w:r w:rsidRPr="00BE1D07">
              <w:rPr>
                <w:rFonts w:ascii="Arial" w:hAnsi="Arial" w:cs="Arial"/>
                <w:color w:val="000000"/>
                <w:sz w:val="16"/>
                <w:szCs w:val="16"/>
              </w:rPr>
              <w:t xml:space="preserve"> </w:t>
            </w:r>
            <w:r>
              <w:rPr>
                <w:rFonts w:ascii="Arial" w:hAnsi="Arial" w:cs="Arial"/>
                <w:color w:val="000000"/>
                <w:sz w:val="16"/>
                <w:szCs w:val="16"/>
              </w:rPr>
              <w:t>(in</w:t>
            </w:r>
            <w:r w:rsidRPr="00BE1D07">
              <w:rPr>
                <w:rFonts w:ascii="Arial" w:hAnsi="Arial" w:cs="Arial"/>
                <w:color w:val="000000"/>
                <w:sz w:val="16"/>
                <w:szCs w:val="16"/>
              </w:rPr>
              <w:t xml:space="preserve"> 201</w:t>
            </w:r>
            <w:r w:rsidR="00BE3F1B">
              <w:rPr>
                <w:rFonts w:ascii="Arial" w:hAnsi="Arial" w:cs="Arial"/>
                <w:color w:val="000000"/>
                <w:sz w:val="16"/>
                <w:szCs w:val="16"/>
              </w:rPr>
              <w:t>4</w:t>
            </w:r>
            <w:r>
              <w:rPr>
                <w:rFonts w:ascii="Arial" w:hAnsi="Arial" w:cs="Arial"/>
                <w:color w:val="000000"/>
                <w:sz w:val="16"/>
                <w:szCs w:val="16"/>
              </w:rPr>
              <w:t>)</w:t>
            </w:r>
            <w:r w:rsidRPr="00BE1D07">
              <w:rPr>
                <w:rFonts w:ascii="Arial" w:hAnsi="Arial" w:cs="Arial"/>
                <w:color w:val="000000"/>
                <w:sz w:val="16"/>
                <w:szCs w:val="16"/>
              </w:rPr>
              <w:t xml:space="preserve">  (</w:t>
            </w:r>
            <w:r w:rsidR="00FA17AB">
              <w:rPr>
                <w:rFonts w:ascii="Arial" w:hAnsi="Arial" w:cs="Arial"/>
                <w:color w:val="000000"/>
                <w:sz w:val="16"/>
                <w:szCs w:val="16"/>
              </w:rPr>
              <w:t>WOC</w:t>
            </w:r>
            <w:r w:rsidRPr="00BE1D07">
              <w:rPr>
                <w:rFonts w:ascii="Arial" w:hAnsi="Arial" w:cs="Arial"/>
                <w:color w:val="000000"/>
                <w:sz w:val="16"/>
                <w:szCs w:val="16"/>
              </w:rPr>
              <w:t xml:space="preserve">) </w:t>
            </w:r>
            <w:r w:rsidRPr="00BE1D07">
              <w:rPr>
                <w:rFonts w:ascii="Arial" w:hAnsi="Arial" w:cs="Arial"/>
                <w:color w:val="000000"/>
                <w:sz w:val="16"/>
                <w:szCs w:val="16"/>
              </w:rPr>
              <w:br/>
            </w:r>
          </w:p>
        </w:tc>
        <w:tc>
          <w:tcPr>
            <w:tcW w:w="2055" w:type="dxa"/>
            <w:tcBorders>
              <w:top w:val="single" w:sz="4" w:space="0" w:color="auto"/>
              <w:left w:val="nil"/>
              <w:right w:val="single" w:sz="4" w:space="0" w:color="auto"/>
            </w:tcBorders>
            <w:shd w:val="clear" w:color="auto" w:fill="auto"/>
            <w:tcMar>
              <w:top w:w="85" w:type="dxa"/>
            </w:tcMar>
            <w:hideMark/>
          </w:tcPr>
          <w:p w14:paraId="7D438A15" w14:textId="77777777" w:rsidR="00971C84" w:rsidRPr="00FD3DD2" w:rsidRDefault="00971C84" w:rsidP="00971C84">
            <w:pPr>
              <w:rPr>
                <w:rFonts w:ascii="Arial" w:hAnsi="Arial" w:cs="Arial"/>
                <w:sz w:val="16"/>
                <w:szCs w:val="16"/>
              </w:rPr>
            </w:pPr>
            <w:r w:rsidRPr="00FD3DD2">
              <w:rPr>
                <w:rFonts w:ascii="Arial" w:hAnsi="Arial" w:cs="Arial"/>
                <w:sz w:val="16"/>
                <w:szCs w:val="16"/>
              </w:rPr>
              <w:t>Annual increase of 2% (all Offices)</w:t>
            </w:r>
          </w:p>
        </w:tc>
      </w:tr>
      <w:tr w:rsidR="00971C84" w:rsidRPr="00BE1D07" w14:paraId="54A805E4" w14:textId="77777777" w:rsidTr="007644FB">
        <w:trPr>
          <w:trHeight w:val="1305"/>
        </w:trPr>
        <w:tc>
          <w:tcPr>
            <w:tcW w:w="2380" w:type="dxa"/>
            <w:tcBorders>
              <w:top w:val="nil"/>
              <w:left w:val="single" w:sz="4" w:space="0" w:color="auto"/>
              <w:right w:val="nil"/>
            </w:tcBorders>
            <w:shd w:val="clear" w:color="auto" w:fill="auto"/>
            <w:tcMar>
              <w:top w:w="85" w:type="dxa"/>
            </w:tcMar>
            <w:hideMark/>
          </w:tcPr>
          <w:p w14:paraId="7FFEE451"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7089E7D1"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of policy makers, government officials, and IP practitioners and participants in targeted workshops with enhanced understanding of PCT and related topics</w:t>
            </w:r>
          </w:p>
        </w:tc>
        <w:tc>
          <w:tcPr>
            <w:tcW w:w="2380" w:type="dxa"/>
            <w:tcBorders>
              <w:top w:val="nil"/>
              <w:left w:val="nil"/>
              <w:right w:val="nil"/>
            </w:tcBorders>
            <w:shd w:val="clear" w:color="auto" w:fill="auto"/>
            <w:tcMar>
              <w:top w:w="85" w:type="dxa"/>
            </w:tcMar>
            <w:hideMark/>
          </w:tcPr>
          <w:p w14:paraId="758F2872"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93% (WSO) </w:t>
            </w:r>
          </w:p>
          <w:p w14:paraId="100F906F" w14:textId="77777777" w:rsidR="00971C84" w:rsidRDefault="00971C84" w:rsidP="00971C84">
            <w:pPr>
              <w:rPr>
                <w:rFonts w:ascii="Arial" w:hAnsi="Arial" w:cs="Arial"/>
                <w:color w:val="000000"/>
                <w:sz w:val="16"/>
                <w:szCs w:val="16"/>
              </w:rPr>
            </w:pPr>
            <w:r>
              <w:rPr>
                <w:rFonts w:ascii="Arial" w:hAnsi="Arial" w:cs="Arial"/>
                <w:color w:val="000000"/>
                <w:sz w:val="16"/>
                <w:szCs w:val="16"/>
              </w:rPr>
              <w:t>75% (WBO)</w:t>
            </w:r>
          </w:p>
          <w:p w14:paraId="40249EE8"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94% (WJO)</w:t>
            </w:r>
            <w:r>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57F1070B" w14:textId="77777777" w:rsidR="00971C84" w:rsidRPr="00FD3DD2" w:rsidRDefault="00971C84" w:rsidP="00971C84">
            <w:pPr>
              <w:rPr>
                <w:rFonts w:ascii="Arial" w:hAnsi="Arial" w:cs="Arial"/>
                <w:sz w:val="16"/>
                <w:szCs w:val="16"/>
              </w:rPr>
            </w:pPr>
            <w:r w:rsidRPr="00FD3DD2">
              <w:rPr>
                <w:rFonts w:ascii="Arial" w:hAnsi="Arial" w:cs="Arial"/>
                <w:sz w:val="16"/>
                <w:szCs w:val="16"/>
              </w:rPr>
              <w:t>75% (all Offices)</w:t>
            </w:r>
          </w:p>
        </w:tc>
      </w:tr>
      <w:tr w:rsidR="00971C84" w:rsidRPr="00BE1D07" w14:paraId="66DE6CF3" w14:textId="77777777" w:rsidTr="007644FB">
        <w:trPr>
          <w:trHeight w:val="707"/>
        </w:trPr>
        <w:tc>
          <w:tcPr>
            <w:tcW w:w="2380" w:type="dxa"/>
            <w:tcBorders>
              <w:left w:val="single" w:sz="4" w:space="0" w:color="auto"/>
              <w:bottom w:val="nil"/>
              <w:right w:val="nil"/>
            </w:tcBorders>
            <w:shd w:val="clear" w:color="auto" w:fill="auto"/>
            <w:tcMar>
              <w:top w:w="85" w:type="dxa"/>
            </w:tcMar>
            <w:hideMark/>
          </w:tcPr>
          <w:p w14:paraId="4CF6CDF3"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II.4 Wider and better use of the Hague system, including by developing countries and LDCs</w:t>
            </w:r>
          </w:p>
        </w:tc>
        <w:tc>
          <w:tcPr>
            <w:tcW w:w="2380" w:type="dxa"/>
            <w:tcBorders>
              <w:left w:val="nil"/>
              <w:bottom w:val="nil"/>
              <w:right w:val="nil"/>
            </w:tcBorders>
            <w:shd w:val="clear" w:color="auto" w:fill="auto"/>
            <w:tcMar>
              <w:top w:w="85" w:type="dxa"/>
            </w:tcMar>
            <w:hideMark/>
          </w:tcPr>
          <w:p w14:paraId="3347C01D"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xml:space="preserve">Membership of the Geneva (1999) Act </w:t>
            </w:r>
          </w:p>
        </w:tc>
        <w:tc>
          <w:tcPr>
            <w:tcW w:w="2380" w:type="dxa"/>
            <w:tcBorders>
              <w:left w:val="nil"/>
              <w:bottom w:val="nil"/>
              <w:right w:val="nil"/>
            </w:tcBorders>
            <w:shd w:val="clear" w:color="auto" w:fill="auto"/>
            <w:tcMar>
              <w:top w:w="85" w:type="dxa"/>
            </w:tcMar>
            <w:hideMark/>
          </w:tcPr>
          <w:p w14:paraId="62A1F465" w14:textId="10B0786D" w:rsidR="00971C84" w:rsidRPr="00BE1D07" w:rsidRDefault="00971C84" w:rsidP="00CA42D8">
            <w:pPr>
              <w:rPr>
                <w:rFonts w:ascii="Arial" w:hAnsi="Arial" w:cs="Arial"/>
                <w:color w:val="000000"/>
                <w:sz w:val="16"/>
                <w:szCs w:val="16"/>
              </w:rPr>
            </w:pPr>
            <w:r w:rsidRPr="00BE1D07">
              <w:rPr>
                <w:rFonts w:ascii="Arial" w:hAnsi="Arial" w:cs="Arial"/>
                <w:color w:val="000000"/>
                <w:sz w:val="16"/>
                <w:szCs w:val="16"/>
              </w:rPr>
              <w:t>2 (WSO)</w:t>
            </w:r>
            <w:r w:rsidRPr="00BE1D07">
              <w:rPr>
                <w:rFonts w:ascii="Arial" w:hAnsi="Arial" w:cs="Arial"/>
                <w:color w:val="000000"/>
                <w:sz w:val="16"/>
                <w:szCs w:val="16"/>
              </w:rPr>
              <w:br/>
              <w:t>0 (WRO)</w:t>
            </w:r>
          </w:p>
        </w:tc>
        <w:tc>
          <w:tcPr>
            <w:tcW w:w="2055" w:type="dxa"/>
            <w:tcBorders>
              <w:left w:val="nil"/>
              <w:bottom w:val="nil"/>
              <w:right w:val="single" w:sz="4" w:space="0" w:color="auto"/>
            </w:tcBorders>
            <w:shd w:val="clear" w:color="auto" w:fill="auto"/>
            <w:tcMar>
              <w:top w:w="85" w:type="dxa"/>
            </w:tcMar>
            <w:hideMark/>
          </w:tcPr>
          <w:p w14:paraId="7A29BB0D" w14:textId="3ECEB919" w:rsidR="00971C84" w:rsidRPr="00FD3DD2" w:rsidRDefault="00BE3F1B" w:rsidP="00971C84">
            <w:pPr>
              <w:rPr>
                <w:rFonts w:ascii="Arial" w:hAnsi="Arial" w:cs="Arial"/>
                <w:sz w:val="16"/>
                <w:szCs w:val="16"/>
              </w:rPr>
            </w:pPr>
            <w:r>
              <w:rPr>
                <w:rFonts w:ascii="Arial" w:hAnsi="Arial" w:cs="Arial"/>
                <w:sz w:val="16"/>
                <w:szCs w:val="16"/>
              </w:rPr>
              <w:t>3</w:t>
            </w:r>
            <w:r w:rsidR="00971C84" w:rsidRPr="00FD3DD2">
              <w:rPr>
                <w:rFonts w:ascii="Arial" w:hAnsi="Arial" w:cs="Arial"/>
                <w:sz w:val="16"/>
                <w:szCs w:val="16"/>
              </w:rPr>
              <w:t xml:space="preserve"> </w:t>
            </w:r>
            <w:r>
              <w:rPr>
                <w:rFonts w:ascii="Arial" w:hAnsi="Arial" w:cs="Arial"/>
                <w:sz w:val="16"/>
                <w:szCs w:val="16"/>
              </w:rPr>
              <w:t xml:space="preserve">additional </w:t>
            </w:r>
            <w:r w:rsidR="00971C84" w:rsidRPr="00FD3DD2">
              <w:rPr>
                <w:rFonts w:ascii="Arial" w:hAnsi="Arial" w:cs="Arial"/>
                <w:sz w:val="16"/>
                <w:szCs w:val="16"/>
              </w:rPr>
              <w:t>(WSO)</w:t>
            </w:r>
          </w:p>
          <w:p w14:paraId="2DF9E54C" w14:textId="358AE68F" w:rsidR="00971C84" w:rsidRPr="00FD3DD2" w:rsidRDefault="00CA42D8" w:rsidP="00971C84">
            <w:pPr>
              <w:rPr>
                <w:rFonts w:ascii="Arial" w:hAnsi="Arial" w:cs="Arial"/>
                <w:sz w:val="16"/>
                <w:szCs w:val="16"/>
              </w:rPr>
            </w:pPr>
            <w:r w:rsidRPr="008D4CE9">
              <w:rPr>
                <w:rFonts w:ascii="Arial" w:hAnsi="Arial" w:cs="Arial"/>
                <w:color w:val="000000"/>
                <w:sz w:val="16"/>
                <w:szCs w:val="16"/>
              </w:rPr>
              <w:t>1</w:t>
            </w:r>
            <w:r w:rsidRPr="00CA42D8">
              <w:rPr>
                <w:rFonts w:ascii="Arial" w:hAnsi="Arial" w:cs="Arial"/>
                <w:color w:val="000000"/>
                <w:sz w:val="16"/>
                <w:szCs w:val="16"/>
              </w:rPr>
              <w:t xml:space="preserve"> </w:t>
            </w:r>
            <w:r w:rsidR="00BE3F1B" w:rsidRPr="00CA42D8">
              <w:rPr>
                <w:rFonts w:ascii="Arial" w:hAnsi="Arial" w:cs="Arial"/>
                <w:color w:val="000000"/>
                <w:sz w:val="16"/>
                <w:szCs w:val="16"/>
              </w:rPr>
              <w:t>(WRO)</w:t>
            </w:r>
          </w:p>
        </w:tc>
      </w:tr>
      <w:tr w:rsidR="00971C84" w:rsidRPr="00BE1D07" w14:paraId="7DD7D93A" w14:textId="77777777" w:rsidTr="004E671F">
        <w:trPr>
          <w:trHeight w:val="491"/>
        </w:trPr>
        <w:tc>
          <w:tcPr>
            <w:tcW w:w="2380" w:type="dxa"/>
            <w:tcBorders>
              <w:top w:val="nil"/>
              <w:left w:val="single" w:sz="4" w:space="0" w:color="auto"/>
              <w:bottom w:val="nil"/>
              <w:right w:val="nil"/>
            </w:tcBorders>
            <w:shd w:val="clear" w:color="auto" w:fill="auto"/>
            <w:tcMar>
              <w:top w:w="85" w:type="dxa"/>
            </w:tcMar>
            <w:hideMark/>
          </w:tcPr>
          <w:p w14:paraId="7E06860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nil"/>
              <w:right w:val="nil"/>
            </w:tcBorders>
            <w:shd w:val="clear" w:color="auto" w:fill="auto"/>
            <w:tcMar>
              <w:top w:w="85" w:type="dxa"/>
            </w:tcMar>
            <w:hideMark/>
          </w:tcPr>
          <w:p w14:paraId="5B50E65A"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Hague applications</w:t>
            </w:r>
          </w:p>
        </w:tc>
        <w:tc>
          <w:tcPr>
            <w:tcW w:w="2380" w:type="dxa"/>
            <w:tcBorders>
              <w:top w:val="nil"/>
              <w:left w:val="nil"/>
              <w:bottom w:val="nil"/>
              <w:right w:val="nil"/>
            </w:tcBorders>
            <w:shd w:val="clear" w:color="auto" w:fill="auto"/>
            <w:tcMar>
              <w:top w:w="85" w:type="dxa"/>
            </w:tcMar>
            <w:hideMark/>
          </w:tcPr>
          <w:p w14:paraId="49A1F7D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50 (WSO)</w:t>
            </w:r>
            <w:r w:rsidRPr="00BE1D07">
              <w:rPr>
                <w:rFonts w:ascii="Arial" w:hAnsi="Arial" w:cs="Arial"/>
                <w:color w:val="000000"/>
                <w:sz w:val="16"/>
                <w:szCs w:val="16"/>
              </w:rPr>
              <w:br/>
              <w:t>0 (WJO)</w:t>
            </w:r>
          </w:p>
        </w:tc>
        <w:tc>
          <w:tcPr>
            <w:tcW w:w="2055" w:type="dxa"/>
            <w:tcBorders>
              <w:top w:val="nil"/>
              <w:left w:val="nil"/>
              <w:bottom w:val="nil"/>
              <w:right w:val="single" w:sz="4" w:space="0" w:color="auto"/>
            </w:tcBorders>
            <w:shd w:val="clear" w:color="auto" w:fill="auto"/>
            <w:tcMar>
              <w:top w:w="85" w:type="dxa"/>
            </w:tcMar>
            <w:hideMark/>
          </w:tcPr>
          <w:p w14:paraId="65AECC13" w14:textId="77777777" w:rsidR="00971C84" w:rsidRPr="00FD3DD2" w:rsidRDefault="00971C84" w:rsidP="00971C84">
            <w:pPr>
              <w:rPr>
                <w:rFonts w:ascii="Arial" w:hAnsi="Arial" w:cs="Arial"/>
                <w:sz w:val="16"/>
                <w:szCs w:val="16"/>
              </w:rPr>
            </w:pPr>
            <w:r w:rsidRPr="00E358DF">
              <w:rPr>
                <w:rFonts w:ascii="Arial" w:hAnsi="Arial" w:cs="Arial"/>
                <w:sz w:val="16"/>
                <w:szCs w:val="16"/>
              </w:rPr>
              <w:t>2% annual growth</w:t>
            </w:r>
          </w:p>
        </w:tc>
      </w:tr>
      <w:tr w:rsidR="00971C84" w:rsidRPr="00BE1D07" w14:paraId="20BB2271" w14:textId="77777777" w:rsidTr="004E671F">
        <w:trPr>
          <w:trHeight w:val="1305"/>
        </w:trPr>
        <w:tc>
          <w:tcPr>
            <w:tcW w:w="2380" w:type="dxa"/>
            <w:tcBorders>
              <w:top w:val="nil"/>
              <w:left w:val="single" w:sz="4" w:space="0" w:color="auto"/>
              <w:bottom w:val="nil"/>
              <w:right w:val="nil"/>
            </w:tcBorders>
            <w:shd w:val="clear" w:color="auto" w:fill="auto"/>
            <w:tcMar>
              <w:top w:w="85" w:type="dxa"/>
            </w:tcMar>
            <w:hideMark/>
          </w:tcPr>
          <w:p w14:paraId="5CB58E97"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nil"/>
              <w:right w:val="nil"/>
            </w:tcBorders>
            <w:shd w:val="clear" w:color="auto" w:fill="auto"/>
            <w:tcMar>
              <w:top w:w="85" w:type="dxa"/>
            </w:tcMar>
            <w:hideMark/>
          </w:tcPr>
          <w:p w14:paraId="3C2C0EBF"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of policy makers, government officials, and IP practitioners and participants in targeted workshops with enhanced understanding of the Hague System</w:t>
            </w:r>
          </w:p>
        </w:tc>
        <w:tc>
          <w:tcPr>
            <w:tcW w:w="2380" w:type="dxa"/>
            <w:tcBorders>
              <w:top w:val="nil"/>
              <w:left w:val="nil"/>
              <w:bottom w:val="nil"/>
              <w:right w:val="nil"/>
            </w:tcBorders>
            <w:shd w:val="clear" w:color="auto" w:fill="auto"/>
            <w:tcMar>
              <w:top w:w="85" w:type="dxa"/>
            </w:tcMar>
            <w:hideMark/>
          </w:tcPr>
          <w:p w14:paraId="013E91B4"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85% (WSO) </w:t>
            </w:r>
          </w:p>
          <w:p w14:paraId="58685179" w14:textId="77777777" w:rsidR="00971C84" w:rsidRDefault="00971C84" w:rsidP="00971C84">
            <w:pPr>
              <w:rPr>
                <w:rFonts w:ascii="Arial" w:hAnsi="Arial" w:cs="Arial"/>
                <w:color w:val="000000"/>
                <w:sz w:val="16"/>
                <w:szCs w:val="16"/>
              </w:rPr>
            </w:pPr>
            <w:r>
              <w:rPr>
                <w:rFonts w:ascii="Arial" w:hAnsi="Arial" w:cs="Arial"/>
                <w:color w:val="000000"/>
                <w:sz w:val="16"/>
                <w:szCs w:val="16"/>
              </w:rPr>
              <w:t>75% (WBO)</w:t>
            </w:r>
          </w:p>
          <w:p w14:paraId="350A79CF"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94% (WJO)</w:t>
            </w:r>
          </w:p>
        </w:tc>
        <w:tc>
          <w:tcPr>
            <w:tcW w:w="2055" w:type="dxa"/>
            <w:tcBorders>
              <w:top w:val="nil"/>
              <w:left w:val="nil"/>
              <w:bottom w:val="nil"/>
              <w:right w:val="single" w:sz="4" w:space="0" w:color="auto"/>
            </w:tcBorders>
            <w:shd w:val="clear" w:color="auto" w:fill="auto"/>
            <w:tcMar>
              <w:top w:w="85" w:type="dxa"/>
            </w:tcMar>
            <w:hideMark/>
          </w:tcPr>
          <w:p w14:paraId="6DEFB9E3" w14:textId="77777777" w:rsidR="00971C84" w:rsidRPr="00FD3DD2" w:rsidRDefault="00971C84" w:rsidP="00971C84">
            <w:pPr>
              <w:rPr>
                <w:rFonts w:ascii="Arial" w:hAnsi="Arial" w:cs="Arial"/>
                <w:sz w:val="16"/>
                <w:szCs w:val="16"/>
              </w:rPr>
            </w:pPr>
            <w:r w:rsidRPr="00FD3DD2">
              <w:rPr>
                <w:rFonts w:ascii="Arial" w:hAnsi="Arial" w:cs="Arial"/>
                <w:sz w:val="16"/>
                <w:szCs w:val="16"/>
              </w:rPr>
              <w:t>75%</w:t>
            </w:r>
          </w:p>
        </w:tc>
      </w:tr>
      <w:tr w:rsidR="00971C84" w:rsidRPr="00BE1D07" w14:paraId="35316348" w14:textId="77777777" w:rsidTr="008E6294">
        <w:trPr>
          <w:trHeight w:val="536"/>
        </w:trPr>
        <w:tc>
          <w:tcPr>
            <w:tcW w:w="2380" w:type="dxa"/>
            <w:tcBorders>
              <w:top w:val="nil"/>
              <w:left w:val="single" w:sz="4" w:space="0" w:color="auto"/>
              <w:right w:val="nil"/>
            </w:tcBorders>
            <w:shd w:val="clear" w:color="auto" w:fill="auto"/>
            <w:tcMar>
              <w:top w:w="85" w:type="dxa"/>
            </w:tcMar>
            <w:hideMark/>
          </w:tcPr>
          <w:p w14:paraId="46250EF5" w14:textId="354E5DAC" w:rsidR="00971C84" w:rsidRPr="00BE1D07" w:rsidRDefault="00971C84" w:rsidP="00B5316B">
            <w:pPr>
              <w:rPr>
                <w:rFonts w:ascii="Arial" w:hAnsi="Arial" w:cs="Arial"/>
                <w:color w:val="000000"/>
                <w:sz w:val="16"/>
                <w:szCs w:val="16"/>
              </w:rPr>
            </w:pPr>
            <w:r w:rsidRPr="00BE1D07">
              <w:rPr>
                <w:rFonts w:ascii="Arial" w:hAnsi="Arial" w:cs="Arial"/>
                <w:color w:val="000000"/>
                <w:sz w:val="16"/>
                <w:szCs w:val="16"/>
              </w:rPr>
              <w:t xml:space="preserve">II.6 Wider and more effective use of the Madrid </w:t>
            </w:r>
            <w:r w:rsidR="00B5316B">
              <w:rPr>
                <w:rFonts w:ascii="Arial" w:hAnsi="Arial" w:cs="Arial"/>
                <w:color w:val="000000"/>
                <w:sz w:val="16"/>
                <w:szCs w:val="16"/>
              </w:rPr>
              <w:t>S</w:t>
            </w:r>
            <w:r w:rsidRPr="00BE1D07">
              <w:rPr>
                <w:rFonts w:ascii="Arial" w:hAnsi="Arial" w:cs="Arial"/>
                <w:color w:val="000000"/>
                <w:sz w:val="16"/>
                <w:szCs w:val="16"/>
              </w:rPr>
              <w:t>ystem, including by developing countries and LDCs</w:t>
            </w:r>
          </w:p>
        </w:tc>
        <w:tc>
          <w:tcPr>
            <w:tcW w:w="2380" w:type="dxa"/>
            <w:tcBorders>
              <w:top w:val="nil"/>
              <w:left w:val="nil"/>
              <w:right w:val="nil"/>
            </w:tcBorders>
            <w:shd w:val="clear" w:color="auto" w:fill="auto"/>
            <w:tcMar>
              <w:top w:w="85" w:type="dxa"/>
            </w:tcMar>
            <w:hideMark/>
          </w:tcPr>
          <w:p w14:paraId="16BBB8E7" w14:textId="77777777" w:rsidR="00971C84" w:rsidRDefault="00971C84" w:rsidP="00971C84">
            <w:pPr>
              <w:rPr>
                <w:rFonts w:ascii="Arial" w:hAnsi="Arial" w:cs="Arial"/>
                <w:color w:val="000000"/>
                <w:sz w:val="16"/>
                <w:szCs w:val="16"/>
              </w:rPr>
            </w:pPr>
            <w:r>
              <w:rPr>
                <w:rFonts w:ascii="Arial" w:hAnsi="Arial" w:cs="Arial"/>
                <w:color w:val="000000"/>
                <w:sz w:val="16"/>
                <w:szCs w:val="16"/>
              </w:rPr>
              <w:t>Total Membership of the Madrid System</w:t>
            </w:r>
            <w:r w:rsidRPr="00BE1D07">
              <w:rPr>
                <w:rFonts w:ascii="Arial" w:hAnsi="Arial" w:cs="Arial"/>
                <w:color w:val="000000"/>
                <w:sz w:val="16"/>
                <w:szCs w:val="16"/>
              </w:rPr>
              <w:t xml:space="preserve"> </w:t>
            </w:r>
          </w:p>
          <w:p w14:paraId="3AB13EF9" w14:textId="77777777" w:rsidR="00971C84" w:rsidRDefault="00971C84" w:rsidP="00971C84">
            <w:pPr>
              <w:rPr>
                <w:rFonts w:ascii="Arial" w:hAnsi="Arial" w:cs="Arial"/>
                <w:color w:val="000000"/>
                <w:sz w:val="16"/>
                <w:szCs w:val="16"/>
              </w:rPr>
            </w:pPr>
          </w:p>
          <w:p w14:paraId="3CC9B41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Madrid applications</w:t>
            </w:r>
          </w:p>
        </w:tc>
        <w:tc>
          <w:tcPr>
            <w:tcW w:w="2380" w:type="dxa"/>
            <w:tcBorders>
              <w:top w:val="nil"/>
              <w:left w:val="nil"/>
              <w:right w:val="nil"/>
            </w:tcBorders>
            <w:shd w:val="clear" w:color="auto" w:fill="auto"/>
            <w:tcMar>
              <w:top w:w="85" w:type="dxa"/>
            </w:tcMar>
            <w:hideMark/>
          </w:tcPr>
          <w:p w14:paraId="210FBEB0" w14:textId="47DED9F4" w:rsidR="00971C84" w:rsidRDefault="00971C84" w:rsidP="00971C84">
            <w:pPr>
              <w:rPr>
                <w:rFonts w:ascii="Arial" w:hAnsi="Arial" w:cs="Arial"/>
                <w:color w:val="000000"/>
                <w:sz w:val="16"/>
                <w:szCs w:val="16"/>
              </w:rPr>
            </w:pPr>
            <w:r w:rsidRPr="00BE1D07">
              <w:rPr>
                <w:rFonts w:ascii="Arial" w:hAnsi="Arial" w:cs="Arial"/>
                <w:color w:val="000000"/>
                <w:sz w:val="16"/>
                <w:szCs w:val="16"/>
              </w:rPr>
              <w:t>4</w:t>
            </w:r>
            <w:r w:rsidR="00964B92">
              <w:rPr>
                <w:rFonts w:ascii="Arial" w:hAnsi="Arial" w:cs="Arial"/>
                <w:color w:val="000000"/>
                <w:sz w:val="16"/>
                <w:szCs w:val="16"/>
              </w:rPr>
              <w:t xml:space="preserve"> (WSO)</w:t>
            </w:r>
            <w:r w:rsidR="00964B92">
              <w:rPr>
                <w:rFonts w:ascii="Arial" w:hAnsi="Arial" w:cs="Arial"/>
                <w:color w:val="000000"/>
                <w:sz w:val="16"/>
                <w:szCs w:val="16"/>
              </w:rPr>
              <w:br/>
            </w:r>
            <w:r w:rsidRPr="00BE1D07">
              <w:rPr>
                <w:rFonts w:ascii="Arial" w:hAnsi="Arial" w:cs="Arial"/>
                <w:color w:val="000000"/>
                <w:sz w:val="16"/>
                <w:szCs w:val="16"/>
              </w:rPr>
              <w:t xml:space="preserve"> </w:t>
            </w:r>
          </w:p>
          <w:p w14:paraId="74132CF7" w14:textId="77777777" w:rsidR="00971C84" w:rsidRDefault="00971C84" w:rsidP="00971C84">
            <w:pPr>
              <w:rPr>
                <w:rFonts w:ascii="Arial" w:hAnsi="Arial" w:cs="Arial"/>
                <w:color w:val="000000"/>
                <w:sz w:val="16"/>
                <w:szCs w:val="16"/>
              </w:rPr>
            </w:pPr>
          </w:p>
          <w:p w14:paraId="1EB1076E" w14:textId="2CBBD3C4" w:rsidR="00971C84" w:rsidRPr="00BE1D07" w:rsidRDefault="00964B92" w:rsidP="00971C84">
            <w:pPr>
              <w:rPr>
                <w:rFonts w:ascii="Arial" w:hAnsi="Arial" w:cs="Arial"/>
                <w:color w:val="000000"/>
                <w:sz w:val="16"/>
                <w:szCs w:val="16"/>
              </w:rPr>
            </w:pPr>
            <w:r>
              <w:rPr>
                <w:rFonts w:ascii="Arial" w:hAnsi="Arial" w:cs="Arial"/>
                <w:color w:val="000000"/>
                <w:sz w:val="16"/>
                <w:szCs w:val="16"/>
              </w:rPr>
              <w:t>351 (WSO)</w:t>
            </w:r>
            <w:r>
              <w:rPr>
                <w:rFonts w:ascii="Arial" w:hAnsi="Arial" w:cs="Arial"/>
                <w:color w:val="000000"/>
                <w:sz w:val="16"/>
                <w:szCs w:val="16"/>
              </w:rPr>
              <w:br/>
              <w:t>0</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2,033 (WJO)</w:t>
            </w:r>
            <w:r w:rsidR="00971C84" w:rsidRPr="00BE1D07">
              <w:rPr>
                <w:rFonts w:ascii="Arial" w:hAnsi="Arial" w:cs="Arial"/>
                <w:color w:val="000000"/>
                <w:sz w:val="16"/>
                <w:szCs w:val="16"/>
              </w:rPr>
              <w:br/>
              <w:t xml:space="preserve">1,543 (WRO) </w:t>
            </w:r>
            <w:r w:rsidR="00971C84" w:rsidRPr="00BE1D07">
              <w:rPr>
                <w:rFonts w:ascii="Arial" w:hAnsi="Arial" w:cs="Arial"/>
                <w:color w:val="000000"/>
                <w:sz w:val="16"/>
                <w:szCs w:val="16"/>
              </w:rPr>
              <w:br/>
              <w:t>2,140 (</w:t>
            </w:r>
            <w:r w:rsidR="00FA17AB">
              <w:rPr>
                <w:rFonts w:ascii="Arial" w:hAnsi="Arial" w:cs="Arial"/>
                <w:color w:val="000000"/>
                <w:sz w:val="16"/>
                <w:szCs w:val="16"/>
              </w:rPr>
              <w:t>WOC</w:t>
            </w:r>
            <w:r w:rsidR="00971C84" w:rsidRPr="00BE1D07">
              <w:rPr>
                <w:rFonts w:ascii="Arial" w:hAnsi="Arial" w:cs="Arial"/>
                <w:color w:val="000000"/>
                <w:sz w:val="16"/>
                <w:szCs w:val="16"/>
              </w:rPr>
              <w:t>)</w:t>
            </w:r>
            <w:r w:rsidR="00971C84" w:rsidRPr="00BE1D07">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0876B8A4" w14:textId="476E42F3" w:rsidR="00971C84" w:rsidRPr="00FD3DD2" w:rsidRDefault="00BE3F1B" w:rsidP="00971C84">
            <w:pPr>
              <w:rPr>
                <w:rFonts w:ascii="Arial" w:hAnsi="Arial" w:cs="Arial"/>
                <w:sz w:val="16"/>
                <w:szCs w:val="16"/>
              </w:rPr>
            </w:pPr>
            <w:r>
              <w:rPr>
                <w:rFonts w:ascii="Arial" w:hAnsi="Arial" w:cs="Arial"/>
                <w:sz w:val="16"/>
                <w:szCs w:val="16"/>
              </w:rPr>
              <w:t>5</w:t>
            </w:r>
            <w:r w:rsidR="00971C84" w:rsidRPr="00FD3DD2">
              <w:rPr>
                <w:rFonts w:ascii="Arial" w:hAnsi="Arial" w:cs="Arial"/>
                <w:sz w:val="16"/>
                <w:szCs w:val="16"/>
              </w:rPr>
              <w:t xml:space="preserve"> </w:t>
            </w:r>
            <w:r>
              <w:rPr>
                <w:rFonts w:ascii="Arial" w:hAnsi="Arial" w:cs="Arial"/>
                <w:sz w:val="16"/>
                <w:szCs w:val="16"/>
              </w:rPr>
              <w:t xml:space="preserve">additional </w:t>
            </w:r>
            <w:r w:rsidR="00971C84" w:rsidRPr="00FD3DD2">
              <w:rPr>
                <w:rFonts w:ascii="Arial" w:hAnsi="Arial" w:cs="Arial"/>
                <w:sz w:val="16"/>
                <w:szCs w:val="16"/>
              </w:rPr>
              <w:t>(WSO)</w:t>
            </w:r>
            <w:r w:rsidR="00971C84" w:rsidRPr="00FD3DD2">
              <w:rPr>
                <w:rFonts w:ascii="Arial" w:hAnsi="Arial" w:cs="Arial"/>
                <w:sz w:val="16"/>
                <w:szCs w:val="16"/>
              </w:rPr>
              <w:br/>
            </w:r>
          </w:p>
          <w:p w14:paraId="6C0B2D08" w14:textId="77777777" w:rsidR="00BE3F1B" w:rsidRDefault="00BE3F1B" w:rsidP="00971C84">
            <w:pPr>
              <w:rPr>
                <w:rFonts w:ascii="Arial" w:hAnsi="Arial" w:cs="Arial"/>
                <w:sz w:val="16"/>
                <w:szCs w:val="16"/>
              </w:rPr>
            </w:pPr>
          </w:p>
          <w:p w14:paraId="15A7B170" w14:textId="77777777" w:rsidR="00971C84" w:rsidRPr="00FD3DD2" w:rsidRDefault="00971C84" w:rsidP="00971C84">
            <w:pPr>
              <w:rPr>
                <w:rFonts w:ascii="Arial" w:hAnsi="Arial" w:cs="Arial"/>
                <w:sz w:val="16"/>
                <w:szCs w:val="16"/>
              </w:rPr>
            </w:pPr>
            <w:r w:rsidRPr="00FD3DD2">
              <w:rPr>
                <w:rFonts w:ascii="Arial" w:hAnsi="Arial" w:cs="Arial"/>
                <w:sz w:val="16"/>
                <w:szCs w:val="16"/>
              </w:rPr>
              <w:t>2% annual growth (all Offices)</w:t>
            </w:r>
          </w:p>
          <w:p w14:paraId="5D4EDAEB" w14:textId="77777777" w:rsidR="00971C84" w:rsidRPr="00FD3DD2" w:rsidRDefault="00971C84" w:rsidP="00971C84">
            <w:pPr>
              <w:rPr>
                <w:rFonts w:ascii="Arial" w:hAnsi="Arial" w:cs="Arial"/>
                <w:sz w:val="16"/>
                <w:szCs w:val="16"/>
              </w:rPr>
            </w:pPr>
          </w:p>
        </w:tc>
      </w:tr>
      <w:tr w:rsidR="00971C84" w:rsidRPr="00BE1D07" w14:paraId="38FEB1F4" w14:textId="77777777" w:rsidTr="008E6294">
        <w:trPr>
          <w:trHeight w:val="1337"/>
        </w:trPr>
        <w:tc>
          <w:tcPr>
            <w:tcW w:w="2380" w:type="dxa"/>
            <w:tcBorders>
              <w:top w:val="nil"/>
              <w:left w:val="single" w:sz="4" w:space="0" w:color="auto"/>
              <w:right w:val="nil"/>
            </w:tcBorders>
            <w:shd w:val="clear" w:color="auto" w:fill="auto"/>
            <w:tcMar>
              <w:top w:w="85" w:type="dxa"/>
            </w:tcMar>
            <w:hideMark/>
          </w:tcPr>
          <w:p w14:paraId="42BA88F0"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0924397B"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xml:space="preserve">% of policy makers, government official, IP practitioners and participants in targeted workshop with enhanced understanding of the Madrid System  </w:t>
            </w:r>
          </w:p>
        </w:tc>
        <w:tc>
          <w:tcPr>
            <w:tcW w:w="2380" w:type="dxa"/>
            <w:tcBorders>
              <w:top w:val="nil"/>
              <w:left w:val="nil"/>
              <w:right w:val="nil"/>
            </w:tcBorders>
            <w:shd w:val="clear" w:color="auto" w:fill="auto"/>
            <w:tcMar>
              <w:top w:w="85" w:type="dxa"/>
            </w:tcMar>
            <w:hideMark/>
          </w:tcPr>
          <w:p w14:paraId="4DBDD270"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89% based on feedback from participants (WSO)</w:t>
            </w:r>
          </w:p>
        </w:tc>
        <w:tc>
          <w:tcPr>
            <w:tcW w:w="2055" w:type="dxa"/>
            <w:tcBorders>
              <w:top w:val="nil"/>
              <w:left w:val="nil"/>
              <w:right w:val="single" w:sz="4" w:space="0" w:color="auto"/>
            </w:tcBorders>
            <w:shd w:val="clear" w:color="auto" w:fill="auto"/>
            <w:tcMar>
              <w:top w:w="85" w:type="dxa"/>
            </w:tcMar>
            <w:hideMark/>
          </w:tcPr>
          <w:p w14:paraId="063EF9B8" w14:textId="77777777" w:rsidR="00971C84" w:rsidRPr="00FD3DD2" w:rsidRDefault="00971C84" w:rsidP="00971C84">
            <w:pPr>
              <w:ind w:firstLineChars="200" w:firstLine="320"/>
              <w:rPr>
                <w:rFonts w:ascii="Arial" w:hAnsi="Arial" w:cs="Arial"/>
                <w:sz w:val="16"/>
                <w:szCs w:val="16"/>
              </w:rPr>
            </w:pPr>
            <w:r w:rsidRPr="00FD3DD2">
              <w:rPr>
                <w:rFonts w:ascii="Arial" w:hAnsi="Arial" w:cs="Arial"/>
                <w:sz w:val="16"/>
                <w:szCs w:val="16"/>
              </w:rPr>
              <w:t>75%</w:t>
            </w:r>
          </w:p>
        </w:tc>
      </w:tr>
      <w:tr w:rsidR="00971C84" w:rsidRPr="00BE1D07" w14:paraId="202CA075" w14:textId="77777777" w:rsidTr="008E6294">
        <w:trPr>
          <w:trHeight w:val="1860"/>
        </w:trPr>
        <w:tc>
          <w:tcPr>
            <w:tcW w:w="2380" w:type="dxa"/>
            <w:tcBorders>
              <w:left w:val="single" w:sz="4" w:space="0" w:color="auto"/>
              <w:bottom w:val="single" w:sz="4" w:space="0" w:color="auto"/>
              <w:right w:val="nil"/>
            </w:tcBorders>
            <w:shd w:val="clear" w:color="auto" w:fill="auto"/>
            <w:tcMar>
              <w:top w:w="85" w:type="dxa"/>
            </w:tcMar>
            <w:hideMark/>
          </w:tcPr>
          <w:p w14:paraId="455E1FF2"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380" w:type="dxa"/>
            <w:tcBorders>
              <w:left w:val="nil"/>
              <w:bottom w:val="single" w:sz="4" w:space="0" w:color="auto"/>
              <w:right w:val="nil"/>
            </w:tcBorders>
            <w:shd w:val="clear" w:color="auto" w:fill="auto"/>
            <w:tcMar>
              <w:top w:w="85" w:type="dxa"/>
            </w:tcMar>
            <w:hideMark/>
          </w:tcPr>
          <w:p w14:paraId="46FC69BF"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of policy mak</w:t>
            </w:r>
            <w:r w:rsidRPr="00BE1D07">
              <w:rPr>
                <w:rFonts w:ascii="Arial" w:hAnsi="Arial" w:cs="Arial"/>
                <w:color w:val="000000"/>
                <w:sz w:val="16"/>
                <w:szCs w:val="16"/>
              </w:rPr>
              <w:t>ers, governments officials, IP practitioners and other targeted groups, including universities, CMOs, journalists, with enhanced understanding of IP policies, and how to effectively use IP development</w:t>
            </w:r>
          </w:p>
        </w:tc>
        <w:tc>
          <w:tcPr>
            <w:tcW w:w="2380" w:type="dxa"/>
            <w:tcBorders>
              <w:left w:val="nil"/>
              <w:bottom w:val="single" w:sz="4" w:space="0" w:color="auto"/>
              <w:right w:val="nil"/>
            </w:tcBorders>
            <w:shd w:val="clear" w:color="auto" w:fill="auto"/>
            <w:tcMar>
              <w:top w:w="85" w:type="dxa"/>
            </w:tcMar>
            <w:hideMark/>
          </w:tcPr>
          <w:p w14:paraId="5C718E44" w14:textId="77777777" w:rsidR="00971C84" w:rsidRDefault="00971C84" w:rsidP="00971C84">
            <w:pPr>
              <w:rPr>
                <w:rFonts w:ascii="Arial" w:hAnsi="Arial" w:cs="Arial"/>
                <w:color w:val="000000"/>
                <w:sz w:val="16"/>
                <w:szCs w:val="16"/>
              </w:rPr>
            </w:pPr>
            <w:r>
              <w:rPr>
                <w:rFonts w:ascii="Arial" w:hAnsi="Arial" w:cs="Arial"/>
                <w:color w:val="000000"/>
                <w:sz w:val="16"/>
                <w:szCs w:val="16"/>
              </w:rPr>
              <w:t>100% of participants agreed that the skills and knowledge gained from the seminar added value to their organization (WSO)</w:t>
            </w:r>
          </w:p>
          <w:p w14:paraId="0B6BA44B"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75% (WBO) </w:t>
            </w:r>
          </w:p>
          <w:p w14:paraId="3B8A7FB4"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xml:space="preserve">N/A (in 2014 the WJO did not organize seminars) (WJO) </w:t>
            </w:r>
          </w:p>
        </w:tc>
        <w:tc>
          <w:tcPr>
            <w:tcW w:w="2055" w:type="dxa"/>
            <w:tcBorders>
              <w:left w:val="nil"/>
              <w:bottom w:val="single" w:sz="4" w:space="0" w:color="auto"/>
              <w:right w:val="single" w:sz="4" w:space="0" w:color="auto"/>
            </w:tcBorders>
            <w:shd w:val="clear" w:color="auto" w:fill="auto"/>
            <w:tcMar>
              <w:top w:w="85" w:type="dxa"/>
            </w:tcMar>
            <w:hideMark/>
          </w:tcPr>
          <w:p w14:paraId="4B51E78B" w14:textId="77777777" w:rsidR="00971C84" w:rsidRPr="00FD3DD2" w:rsidRDefault="00971C84" w:rsidP="00971C84">
            <w:pPr>
              <w:ind w:leftChars="-1" w:hangingChars="1" w:hanging="2"/>
              <w:rPr>
                <w:rFonts w:ascii="Arial" w:hAnsi="Arial" w:cs="Arial"/>
                <w:sz w:val="16"/>
                <w:szCs w:val="16"/>
              </w:rPr>
            </w:pPr>
            <w:r w:rsidRPr="00FD3DD2">
              <w:rPr>
                <w:rFonts w:ascii="Arial" w:hAnsi="Arial" w:cs="Arial"/>
                <w:sz w:val="16"/>
                <w:szCs w:val="16"/>
              </w:rPr>
              <w:t xml:space="preserve"> 75% </w:t>
            </w:r>
          </w:p>
        </w:tc>
      </w:tr>
      <w:tr w:rsidR="00971C84" w:rsidRPr="00BE1D07" w14:paraId="73FC9F02" w14:textId="77777777" w:rsidTr="008E6294">
        <w:trPr>
          <w:trHeight w:val="3143"/>
        </w:trPr>
        <w:tc>
          <w:tcPr>
            <w:tcW w:w="2380" w:type="dxa"/>
            <w:tcBorders>
              <w:top w:val="single" w:sz="4" w:space="0" w:color="auto"/>
              <w:left w:val="single" w:sz="4" w:space="0" w:color="auto"/>
              <w:right w:val="nil"/>
            </w:tcBorders>
            <w:shd w:val="clear" w:color="auto" w:fill="auto"/>
            <w:tcMar>
              <w:top w:w="85" w:type="dxa"/>
            </w:tcMar>
            <w:hideMark/>
          </w:tcPr>
          <w:p w14:paraId="6B145DA0" w14:textId="6FC53E9F" w:rsidR="00971C84" w:rsidRPr="00BE1D07" w:rsidRDefault="00FD3DD2" w:rsidP="00971C84">
            <w:pPr>
              <w:rPr>
                <w:rFonts w:ascii="Arial" w:hAnsi="Arial" w:cs="Arial"/>
                <w:color w:val="000000"/>
                <w:sz w:val="16"/>
                <w:szCs w:val="16"/>
              </w:rPr>
            </w:pPr>
            <w:r>
              <w:rPr>
                <w:rFonts w:ascii="Arial" w:hAnsi="Arial" w:cs="Arial"/>
                <w:color w:val="000000"/>
                <w:sz w:val="16"/>
                <w:szCs w:val="16"/>
              </w:rPr>
              <w:lastRenderedPageBreak/>
              <w:br/>
            </w:r>
            <w:r w:rsidR="00971C84" w:rsidRPr="00BE1D07">
              <w:rPr>
                <w:rFonts w:ascii="Arial" w:hAnsi="Arial" w:cs="Arial"/>
                <w:color w:val="000000"/>
                <w:sz w:val="16"/>
                <w:szCs w:val="16"/>
              </w:rPr>
              <w:t>IV.2 Enhanced access to, and use of, IP information by IP institutions and the public to promote innovation and creativity</w:t>
            </w:r>
          </w:p>
        </w:tc>
        <w:tc>
          <w:tcPr>
            <w:tcW w:w="2380" w:type="dxa"/>
            <w:tcBorders>
              <w:top w:val="single" w:sz="4" w:space="0" w:color="auto"/>
              <w:left w:val="nil"/>
              <w:right w:val="nil"/>
            </w:tcBorders>
            <w:shd w:val="clear" w:color="auto" w:fill="auto"/>
            <w:tcMar>
              <w:top w:w="85" w:type="dxa"/>
            </w:tcMar>
            <w:hideMark/>
          </w:tcPr>
          <w:p w14:paraId="0758BB04" w14:textId="7D005098" w:rsidR="00971C84" w:rsidRPr="00BE1D07" w:rsidRDefault="00FD3DD2" w:rsidP="00971C84">
            <w:pPr>
              <w:rPr>
                <w:rFonts w:ascii="Arial" w:hAnsi="Arial" w:cs="Arial"/>
                <w:color w:val="000000"/>
                <w:sz w:val="16"/>
                <w:szCs w:val="16"/>
              </w:rPr>
            </w:pPr>
            <w:r>
              <w:rPr>
                <w:rFonts w:ascii="Arial" w:hAnsi="Arial" w:cs="Arial"/>
                <w:color w:val="000000"/>
                <w:sz w:val="16"/>
                <w:szCs w:val="16"/>
              </w:rPr>
              <w:br/>
            </w:r>
            <w:r w:rsidR="00971C84" w:rsidRPr="00BE1D07">
              <w:rPr>
                <w:rFonts w:ascii="Arial" w:hAnsi="Arial" w:cs="Arial"/>
                <w:color w:val="000000"/>
                <w:sz w:val="16"/>
                <w:szCs w:val="16"/>
              </w:rPr>
              <w:t>No. of users of WIPO’s Global Databases: PATENTSCOPE, Global Brand</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 Design</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w:t>
            </w:r>
          </w:p>
        </w:tc>
        <w:tc>
          <w:tcPr>
            <w:tcW w:w="2380" w:type="dxa"/>
            <w:tcBorders>
              <w:top w:val="single" w:sz="4" w:space="0" w:color="auto"/>
              <w:left w:val="nil"/>
              <w:right w:val="nil"/>
            </w:tcBorders>
            <w:shd w:val="clear" w:color="auto" w:fill="auto"/>
            <w:tcMar>
              <w:top w:w="85" w:type="dxa"/>
            </w:tcMar>
            <w:hideMark/>
          </w:tcPr>
          <w:p w14:paraId="720B2D8A" w14:textId="746E5F6D" w:rsidR="00971C84" w:rsidRPr="00BE1D07" w:rsidRDefault="00FD3DD2" w:rsidP="00BE2490">
            <w:pPr>
              <w:rPr>
                <w:rFonts w:ascii="Arial" w:hAnsi="Arial" w:cs="Arial"/>
                <w:color w:val="000000"/>
                <w:sz w:val="16"/>
                <w:szCs w:val="16"/>
              </w:rPr>
            </w:pPr>
            <w:r>
              <w:rPr>
                <w:rFonts w:ascii="Arial" w:hAnsi="Arial" w:cs="Arial"/>
                <w:color w:val="000000"/>
                <w:sz w:val="16"/>
                <w:szCs w:val="16"/>
              </w:rPr>
              <w:br/>
            </w:r>
            <w:r w:rsidR="00971C84" w:rsidRPr="00BE1D07">
              <w:rPr>
                <w:rFonts w:ascii="Arial" w:hAnsi="Arial" w:cs="Arial"/>
                <w:color w:val="000000"/>
                <w:sz w:val="16"/>
                <w:szCs w:val="16"/>
              </w:rPr>
              <w:t xml:space="preserve">PATENTSCOPE: </w:t>
            </w:r>
            <w:r w:rsidR="00971C84" w:rsidRPr="00BE1D07">
              <w:rPr>
                <w:rFonts w:ascii="Arial" w:hAnsi="Arial" w:cs="Arial"/>
                <w:color w:val="000000"/>
                <w:sz w:val="16"/>
                <w:szCs w:val="16"/>
              </w:rPr>
              <w:br/>
              <w:t xml:space="preserve">8,054 (WSO) </w:t>
            </w:r>
            <w:r w:rsidR="00971C84" w:rsidRPr="00BE1D07">
              <w:rPr>
                <w:rFonts w:ascii="Arial" w:hAnsi="Arial" w:cs="Arial"/>
                <w:color w:val="000000"/>
                <w:sz w:val="16"/>
                <w:szCs w:val="16"/>
              </w:rPr>
              <w:br/>
            </w:r>
            <w:r w:rsidR="00BE2490">
              <w:rPr>
                <w:rFonts w:ascii="Arial" w:hAnsi="Arial" w:cs="Arial"/>
                <w:color w:val="000000"/>
                <w:sz w:val="16"/>
                <w:szCs w:val="16"/>
              </w:rPr>
              <w:t>4,688</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14,711 (WJO)</w:t>
            </w:r>
            <w:r w:rsidR="00971C84" w:rsidRPr="00BE1D07">
              <w:rPr>
                <w:rFonts w:ascii="Arial" w:hAnsi="Arial" w:cs="Arial"/>
                <w:color w:val="000000"/>
                <w:sz w:val="16"/>
                <w:szCs w:val="16"/>
              </w:rPr>
              <w:br/>
              <w:t>6,257 (WRO)</w:t>
            </w:r>
            <w:r w:rsidR="00971C84" w:rsidRPr="00BE1D07">
              <w:rPr>
                <w:rFonts w:ascii="Arial" w:hAnsi="Arial" w:cs="Arial"/>
                <w:color w:val="000000"/>
                <w:sz w:val="16"/>
                <w:szCs w:val="16"/>
              </w:rPr>
              <w:br/>
              <w:t>56,355 (</w:t>
            </w:r>
            <w:r w:rsidR="00FA17AB">
              <w:rPr>
                <w:rFonts w:ascii="Arial" w:hAnsi="Arial" w:cs="Arial"/>
                <w:color w:val="000000"/>
                <w:sz w:val="16"/>
                <w:szCs w:val="16"/>
              </w:rPr>
              <w:t>WOC</w:t>
            </w:r>
            <w:r w:rsidR="00971C84" w:rsidRPr="00BE1D07">
              <w:rPr>
                <w:rFonts w:ascii="Arial" w:hAnsi="Arial" w:cs="Arial"/>
                <w:color w:val="000000"/>
                <w:sz w:val="16"/>
                <w:szCs w:val="16"/>
              </w:rPr>
              <w:t>)</w:t>
            </w:r>
            <w:r w:rsidR="00971C84" w:rsidRPr="00BE1D07">
              <w:rPr>
                <w:rFonts w:ascii="Arial" w:hAnsi="Arial" w:cs="Arial"/>
                <w:color w:val="000000"/>
                <w:sz w:val="16"/>
                <w:szCs w:val="16"/>
              </w:rPr>
              <w:br/>
            </w:r>
            <w:r w:rsidR="00971C84" w:rsidRPr="00BE1D07">
              <w:rPr>
                <w:rFonts w:ascii="Arial" w:hAnsi="Arial" w:cs="Arial"/>
                <w:color w:val="000000"/>
                <w:sz w:val="16"/>
                <w:szCs w:val="16"/>
              </w:rPr>
              <w:br/>
              <w:t>Global Brand</w:t>
            </w:r>
            <w:r w:rsidR="00971C84">
              <w:rPr>
                <w:rFonts w:ascii="Arial" w:hAnsi="Arial" w:cs="Arial"/>
                <w:color w:val="000000"/>
                <w:sz w:val="16"/>
                <w:szCs w:val="16"/>
              </w:rPr>
              <w:t>s</w:t>
            </w:r>
            <w:r w:rsidR="00BE2490">
              <w:rPr>
                <w:rFonts w:ascii="Arial" w:hAnsi="Arial" w:cs="Arial"/>
                <w:color w:val="000000"/>
                <w:sz w:val="16"/>
                <w:szCs w:val="16"/>
              </w:rPr>
              <w:t xml:space="preserve"> Database:</w:t>
            </w:r>
            <w:r w:rsidR="00BE2490">
              <w:rPr>
                <w:rFonts w:ascii="Arial" w:hAnsi="Arial" w:cs="Arial"/>
                <w:color w:val="000000"/>
                <w:sz w:val="16"/>
                <w:szCs w:val="16"/>
              </w:rPr>
              <w:br/>
              <w:t xml:space="preserve">9,162 (WSO) </w:t>
            </w:r>
            <w:r w:rsidR="00BE2490">
              <w:rPr>
                <w:rFonts w:ascii="Arial" w:hAnsi="Arial" w:cs="Arial"/>
                <w:color w:val="000000"/>
                <w:sz w:val="16"/>
                <w:szCs w:val="16"/>
              </w:rPr>
              <w:br/>
              <w:t>596</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2,871 (WJO)</w:t>
            </w:r>
            <w:r w:rsidR="00971C84" w:rsidRPr="00BE1D07">
              <w:rPr>
                <w:rFonts w:ascii="Arial" w:hAnsi="Arial" w:cs="Arial"/>
                <w:color w:val="000000"/>
                <w:sz w:val="16"/>
                <w:szCs w:val="16"/>
              </w:rPr>
              <w:br/>
              <w:t>2,352 (WRO)</w:t>
            </w:r>
            <w:r w:rsidR="00971C84" w:rsidRPr="00BE1D07">
              <w:rPr>
                <w:rFonts w:ascii="Arial" w:hAnsi="Arial" w:cs="Arial"/>
                <w:color w:val="000000"/>
                <w:sz w:val="16"/>
                <w:szCs w:val="16"/>
              </w:rPr>
              <w:br/>
              <w:t>3,398 (</w:t>
            </w:r>
            <w:r w:rsidR="00FA17AB">
              <w:rPr>
                <w:rFonts w:ascii="Arial" w:hAnsi="Arial" w:cs="Arial"/>
                <w:color w:val="000000"/>
                <w:sz w:val="16"/>
                <w:szCs w:val="16"/>
              </w:rPr>
              <w:t>WOC</w:t>
            </w:r>
            <w:r w:rsidR="00971C84" w:rsidRPr="00BE1D07">
              <w:rPr>
                <w:rFonts w:ascii="Arial" w:hAnsi="Arial" w:cs="Arial"/>
                <w:color w:val="000000"/>
                <w:sz w:val="16"/>
                <w:szCs w:val="16"/>
              </w:rPr>
              <w:t>)</w:t>
            </w:r>
            <w:r w:rsidR="00971C84" w:rsidRPr="00BE1D07">
              <w:rPr>
                <w:rFonts w:ascii="Arial" w:hAnsi="Arial" w:cs="Arial"/>
                <w:color w:val="000000"/>
                <w:sz w:val="16"/>
                <w:szCs w:val="16"/>
              </w:rPr>
              <w:br/>
            </w:r>
            <w:r w:rsidR="00971C84" w:rsidRPr="00BE1D07">
              <w:rPr>
                <w:rFonts w:ascii="Arial" w:hAnsi="Arial" w:cs="Arial"/>
                <w:color w:val="000000"/>
                <w:sz w:val="16"/>
                <w:szCs w:val="16"/>
              </w:rPr>
              <w:br/>
              <w:t>Design</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 n/a</w:t>
            </w:r>
          </w:p>
        </w:tc>
        <w:tc>
          <w:tcPr>
            <w:tcW w:w="2055" w:type="dxa"/>
            <w:tcBorders>
              <w:top w:val="single" w:sz="4" w:space="0" w:color="auto"/>
              <w:left w:val="nil"/>
              <w:right w:val="single" w:sz="4" w:space="0" w:color="auto"/>
            </w:tcBorders>
            <w:shd w:val="clear" w:color="auto" w:fill="auto"/>
            <w:tcMar>
              <w:top w:w="85" w:type="dxa"/>
            </w:tcMar>
            <w:hideMark/>
          </w:tcPr>
          <w:p w14:paraId="31DF03F7" w14:textId="576DD68C" w:rsidR="00971C84" w:rsidRPr="00FD3DD2" w:rsidRDefault="00FD3DD2" w:rsidP="00971C84">
            <w:pPr>
              <w:rPr>
                <w:rFonts w:ascii="Arial" w:hAnsi="Arial" w:cs="Arial"/>
                <w:sz w:val="16"/>
                <w:szCs w:val="16"/>
              </w:rPr>
            </w:pPr>
            <w:r>
              <w:rPr>
                <w:rFonts w:ascii="Arial" w:hAnsi="Arial" w:cs="Arial"/>
                <w:sz w:val="16"/>
                <w:szCs w:val="16"/>
              </w:rPr>
              <w:br/>
            </w:r>
            <w:r w:rsidR="00971C84" w:rsidRPr="00FD3DD2">
              <w:rPr>
                <w:rFonts w:ascii="Arial" w:hAnsi="Arial" w:cs="Arial"/>
                <w:sz w:val="16"/>
                <w:szCs w:val="16"/>
              </w:rPr>
              <w:t>5% increase</w:t>
            </w:r>
          </w:p>
          <w:p w14:paraId="53A7E5BC" w14:textId="77777777" w:rsidR="00971C84" w:rsidRPr="00FD3DD2" w:rsidRDefault="00971C84" w:rsidP="00971C84">
            <w:pPr>
              <w:rPr>
                <w:rFonts w:ascii="Arial" w:hAnsi="Arial" w:cs="Arial"/>
                <w:sz w:val="16"/>
                <w:szCs w:val="16"/>
              </w:rPr>
            </w:pPr>
          </w:p>
          <w:p w14:paraId="6B253051" w14:textId="77777777" w:rsidR="00971C84" w:rsidRPr="00FD3DD2" w:rsidRDefault="00971C84" w:rsidP="00971C84">
            <w:pPr>
              <w:rPr>
                <w:rFonts w:ascii="Arial" w:hAnsi="Arial" w:cs="Arial"/>
                <w:sz w:val="16"/>
                <w:szCs w:val="16"/>
              </w:rPr>
            </w:pPr>
          </w:p>
          <w:p w14:paraId="0CBB7729" w14:textId="77777777" w:rsidR="00971C84" w:rsidRPr="00FD3DD2" w:rsidRDefault="00971C84" w:rsidP="00971C84">
            <w:pPr>
              <w:rPr>
                <w:rFonts w:ascii="Arial" w:hAnsi="Arial" w:cs="Arial"/>
                <w:sz w:val="16"/>
                <w:szCs w:val="16"/>
              </w:rPr>
            </w:pPr>
          </w:p>
          <w:p w14:paraId="0ED70A62" w14:textId="77777777" w:rsidR="00971C84" w:rsidRPr="00FD3DD2" w:rsidRDefault="00971C84" w:rsidP="00971C84">
            <w:pPr>
              <w:rPr>
                <w:rFonts w:ascii="Arial" w:hAnsi="Arial" w:cs="Arial"/>
                <w:sz w:val="16"/>
                <w:szCs w:val="16"/>
              </w:rPr>
            </w:pPr>
          </w:p>
          <w:p w14:paraId="6AB604B3" w14:textId="77777777" w:rsidR="00971C84" w:rsidRPr="00FD3DD2" w:rsidRDefault="00971C84" w:rsidP="00971C84">
            <w:pPr>
              <w:rPr>
                <w:rFonts w:ascii="Arial" w:hAnsi="Arial" w:cs="Arial"/>
                <w:sz w:val="16"/>
                <w:szCs w:val="16"/>
              </w:rPr>
            </w:pPr>
          </w:p>
          <w:p w14:paraId="63DF4295" w14:textId="77777777" w:rsidR="00971C84" w:rsidRPr="00FD3DD2" w:rsidRDefault="00971C84" w:rsidP="00971C84">
            <w:pPr>
              <w:rPr>
                <w:rFonts w:ascii="Arial" w:hAnsi="Arial" w:cs="Arial"/>
                <w:sz w:val="16"/>
                <w:szCs w:val="16"/>
              </w:rPr>
            </w:pPr>
          </w:p>
          <w:p w14:paraId="070A3C21" w14:textId="77777777" w:rsidR="00971C84" w:rsidRPr="00FD3DD2" w:rsidRDefault="00971C84" w:rsidP="00971C84">
            <w:pPr>
              <w:rPr>
                <w:rFonts w:ascii="Arial" w:hAnsi="Arial" w:cs="Arial"/>
                <w:sz w:val="16"/>
                <w:szCs w:val="16"/>
              </w:rPr>
            </w:pPr>
            <w:r w:rsidRPr="00FD3DD2">
              <w:rPr>
                <w:rFonts w:ascii="Arial" w:hAnsi="Arial" w:cs="Arial"/>
                <w:sz w:val="16"/>
                <w:szCs w:val="16"/>
              </w:rPr>
              <w:t>5% increase</w:t>
            </w:r>
          </w:p>
          <w:p w14:paraId="2EB163FA" w14:textId="77777777" w:rsidR="00971C84" w:rsidRPr="00FD3DD2" w:rsidRDefault="00971C84" w:rsidP="00971C84">
            <w:pPr>
              <w:rPr>
                <w:rFonts w:ascii="Arial" w:hAnsi="Arial" w:cs="Arial"/>
                <w:sz w:val="16"/>
                <w:szCs w:val="16"/>
              </w:rPr>
            </w:pPr>
          </w:p>
          <w:p w14:paraId="66554B2E" w14:textId="77777777" w:rsidR="00971C84" w:rsidRPr="00FD3DD2" w:rsidRDefault="00971C84" w:rsidP="00971C84">
            <w:pPr>
              <w:rPr>
                <w:rFonts w:ascii="Arial" w:hAnsi="Arial" w:cs="Arial"/>
                <w:sz w:val="16"/>
                <w:szCs w:val="16"/>
              </w:rPr>
            </w:pPr>
          </w:p>
          <w:p w14:paraId="713209FC" w14:textId="77777777" w:rsidR="00971C84" w:rsidRPr="00FD3DD2" w:rsidRDefault="00971C84" w:rsidP="00971C84">
            <w:pPr>
              <w:rPr>
                <w:rFonts w:ascii="Arial" w:hAnsi="Arial" w:cs="Arial"/>
                <w:sz w:val="16"/>
                <w:szCs w:val="16"/>
              </w:rPr>
            </w:pPr>
          </w:p>
          <w:p w14:paraId="27B6066E" w14:textId="77777777" w:rsidR="00971C84" w:rsidRPr="00FD3DD2" w:rsidRDefault="00971C84" w:rsidP="00971C84">
            <w:pPr>
              <w:rPr>
                <w:rFonts w:ascii="Arial" w:hAnsi="Arial" w:cs="Arial"/>
                <w:sz w:val="16"/>
                <w:szCs w:val="16"/>
              </w:rPr>
            </w:pPr>
          </w:p>
          <w:p w14:paraId="0D21636F" w14:textId="77777777" w:rsidR="00971C84" w:rsidRPr="00FD3DD2" w:rsidRDefault="00971C84" w:rsidP="00971C84">
            <w:pPr>
              <w:rPr>
                <w:rFonts w:ascii="Arial" w:hAnsi="Arial" w:cs="Arial"/>
                <w:sz w:val="16"/>
                <w:szCs w:val="16"/>
              </w:rPr>
            </w:pPr>
          </w:p>
          <w:p w14:paraId="54F05903" w14:textId="77777777" w:rsidR="00971C84" w:rsidRPr="00FD3DD2" w:rsidRDefault="00971C84" w:rsidP="00971C84">
            <w:pPr>
              <w:rPr>
                <w:rFonts w:ascii="Arial" w:hAnsi="Arial" w:cs="Arial"/>
                <w:sz w:val="16"/>
                <w:szCs w:val="16"/>
              </w:rPr>
            </w:pPr>
          </w:p>
          <w:p w14:paraId="2393B111" w14:textId="77777777" w:rsidR="00971C84" w:rsidRPr="00FD3DD2" w:rsidRDefault="00971C84" w:rsidP="00971C84">
            <w:pPr>
              <w:rPr>
                <w:rFonts w:ascii="Arial" w:hAnsi="Arial" w:cs="Arial"/>
                <w:sz w:val="16"/>
                <w:szCs w:val="16"/>
              </w:rPr>
            </w:pPr>
          </w:p>
        </w:tc>
      </w:tr>
      <w:tr w:rsidR="00971C84" w:rsidRPr="00BE1D07" w14:paraId="032127E5" w14:textId="77777777" w:rsidTr="007644FB">
        <w:trPr>
          <w:trHeight w:val="671"/>
        </w:trPr>
        <w:tc>
          <w:tcPr>
            <w:tcW w:w="2380" w:type="dxa"/>
            <w:tcBorders>
              <w:left w:val="single" w:sz="4" w:space="0" w:color="auto"/>
              <w:bottom w:val="nil"/>
              <w:right w:val="nil"/>
            </w:tcBorders>
            <w:shd w:val="clear" w:color="auto" w:fill="auto"/>
            <w:tcMar>
              <w:top w:w="85" w:type="dxa"/>
            </w:tcMar>
            <w:hideMark/>
          </w:tcPr>
          <w:p w14:paraId="3D6CF4A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left w:val="nil"/>
              <w:bottom w:val="nil"/>
              <w:right w:val="nil"/>
            </w:tcBorders>
            <w:shd w:val="clear" w:color="auto" w:fill="auto"/>
            <w:tcMar>
              <w:top w:w="85" w:type="dxa"/>
            </w:tcMar>
            <w:hideMark/>
          </w:tcPr>
          <w:p w14:paraId="17F29E49" w14:textId="77777777" w:rsidR="00971C84" w:rsidRPr="000B6BCA" w:rsidRDefault="00971C84" w:rsidP="00971C84">
            <w:pPr>
              <w:rPr>
                <w:rFonts w:ascii="Arial" w:hAnsi="Arial" w:cs="Arial"/>
                <w:color w:val="000000"/>
                <w:sz w:val="16"/>
                <w:szCs w:val="16"/>
              </w:rPr>
            </w:pPr>
            <w:r w:rsidRPr="000B6BCA">
              <w:rPr>
                <w:rFonts w:ascii="Arial" w:hAnsi="Arial" w:cs="Arial"/>
                <w:color w:val="000000"/>
                <w:sz w:val="16"/>
                <w:szCs w:val="16"/>
              </w:rPr>
              <w:t xml:space="preserve">No. of sustainable national TISCs network(s) </w:t>
            </w:r>
          </w:p>
        </w:tc>
        <w:tc>
          <w:tcPr>
            <w:tcW w:w="2380" w:type="dxa"/>
            <w:tcBorders>
              <w:left w:val="nil"/>
              <w:bottom w:val="nil"/>
              <w:right w:val="nil"/>
            </w:tcBorders>
            <w:shd w:val="clear" w:color="auto" w:fill="auto"/>
            <w:tcMar>
              <w:top w:w="85" w:type="dxa"/>
            </w:tcMar>
            <w:hideMark/>
          </w:tcPr>
          <w:p w14:paraId="51AF1469" w14:textId="494FC312" w:rsidR="00971C84" w:rsidRPr="00BE1D07" w:rsidRDefault="00971C84" w:rsidP="00BE3F1B">
            <w:pPr>
              <w:rPr>
                <w:rFonts w:ascii="Arial" w:hAnsi="Arial" w:cs="Arial"/>
                <w:color w:val="000000"/>
                <w:sz w:val="16"/>
                <w:szCs w:val="16"/>
              </w:rPr>
            </w:pPr>
            <w:r w:rsidRPr="000B6BCA">
              <w:rPr>
                <w:rFonts w:ascii="Arial" w:hAnsi="Arial" w:cs="Arial"/>
                <w:color w:val="000000"/>
                <w:sz w:val="16"/>
                <w:szCs w:val="16"/>
              </w:rPr>
              <w:t>2 (WSO)</w:t>
            </w:r>
            <w:r w:rsidRPr="000B6BCA">
              <w:rPr>
                <w:rFonts w:ascii="Arial" w:hAnsi="Arial" w:cs="Arial"/>
                <w:color w:val="000000"/>
                <w:sz w:val="16"/>
                <w:szCs w:val="16"/>
              </w:rPr>
              <w:br/>
              <w:t>0 (</w:t>
            </w:r>
            <w:r w:rsidR="00FA17AB">
              <w:rPr>
                <w:rFonts w:ascii="Arial" w:hAnsi="Arial" w:cs="Arial"/>
                <w:color w:val="000000"/>
                <w:sz w:val="16"/>
                <w:szCs w:val="16"/>
              </w:rPr>
              <w:t>WOC</w:t>
            </w:r>
            <w:r w:rsidRPr="000B6BCA">
              <w:rPr>
                <w:rFonts w:ascii="Arial" w:hAnsi="Arial" w:cs="Arial"/>
                <w:color w:val="000000"/>
                <w:sz w:val="16"/>
                <w:szCs w:val="16"/>
              </w:rPr>
              <w:t>)</w:t>
            </w:r>
          </w:p>
        </w:tc>
        <w:tc>
          <w:tcPr>
            <w:tcW w:w="2055" w:type="dxa"/>
            <w:tcBorders>
              <w:left w:val="nil"/>
              <w:bottom w:val="nil"/>
              <w:right w:val="single" w:sz="4" w:space="0" w:color="auto"/>
            </w:tcBorders>
            <w:shd w:val="clear" w:color="auto" w:fill="auto"/>
            <w:tcMar>
              <w:top w:w="85" w:type="dxa"/>
            </w:tcMar>
            <w:hideMark/>
          </w:tcPr>
          <w:p w14:paraId="41EC8D18" w14:textId="77777777" w:rsidR="00BE3F1B" w:rsidRDefault="00BE3F1B" w:rsidP="00BE3F1B">
            <w:pPr>
              <w:rPr>
                <w:rFonts w:ascii="Arial" w:hAnsi="Arial" w:cs="Arial"/>
                <w:sz w:val="16"/>
                <w:szCs w:val="16"/>
              </w:rPr>
            </w:pPr>
            <w:r>
              <w:rPr>
                <w:rFonts w:ascii="Arial" w:hAnsi="Arial" w:cs="Arial"/>
                <w:sz w:val="16"/>
                <w:szCs w:val="16"/>
              </w:rPr>
              <w:t>2 additional (WSO)</w:t>
            </w:r>
          </w:p>
          <w:p w14:paraId="44AEDB55" w14:textId="13FB67BA" w:rsidR="00971C84" w:rsidRPr="00FD3DD2" w:rsidRDefault="00BE3F1B" w:rsidP="00BE3F1B">
            <w:pPr>
              <w:rPr>
                <w:rFonts w:ascii="Arial" w:hAnsi="Arial" w:cs="Arial"/>
                <w:sz w:val="16"/>
                <w:szCs w:val="16"/>
              </w:rPr>
            </w:pPr>
            <w:r>
              <w:rPr>
                <w:rFonts w:ascii="Arial" w:hAnsi="Arial" w:cs="Arial"/>
                <w:color w:val="000000"/>
                <w:sz w:val="16"/>
                <w:szCs w:val="16"/>
              </w:rPr>
              <w:t>1</w:t>
            </w:r>
            <w:r w:rsidRPr="000B6BCA">
              <w:rPr>
                <w:rFonts w:ascii="Arial" w:hAnsi="Arial" w:cs="Arial"/>
                <w:color w:val="000000"/>
                <w:sz w:val="16"/>
                <w:szCs w:val="16"/>
              </w:rPr>
              <w:t xml:space="preserve"> (</w:t>
            </w:r>
            <w:r w:rsidR="00FA17AB">
              <w:rPr>
                <w:rFonts w:ascii="Arial" w:hAnsi="Arial" w:cs="Arial"/>
                <w:color w:val="000000"/>
                <w:sz w:val="16"/>
                <w:szCs w:val="16"/>
              </w:rPr>
              <w:t>WOC</w:t>
            </w:r>
            <w:r w:rsidRPr="000B6BCA">
              <w:rPr>
                <w:rFonts w:ascii="Arial" w:hAnsi="Arial" w:cs="Arial"/>
                <w:color w:val="000000"/>
                <w:sz w:val="16"/>
                <w:szCs w:val="16"/>
              </w:rPr>
              <w:t>)</w:t>
            </w:r>
            <w:r w:rsidR="00971C84" w:rsidRPr="00FD3DD2">
              <w:rPr>
                <w:rFonts w:ascii="Arial" w:hAnsi="Arial" w:cs="Arial"/>
                <w:sz w:val="16"/>
                <w:szCs w:val="16"/>
              </w:rPr>
              <w:t> </w:t>
            </w:r>
          </w:p>
        </w:tc>
      </w:tr>
      <w:tr w:rsidR="00971C84" w:rsidRPr="00BE1D07" w14:paraId="072B29F2" w14:textId="77777777" w:rsidTr="007644FB">
        <w:trPr>
          <w:trHeight w:val="1616"/>
        </w:trPr>
        <w:tc>
          <w:tcPr>
            <w:tcW w:w="2380" w:type="dxa"/>
            <w:tcBorders>
              <w:top w:val="nil"/>
              <w:left w:val="single" w:sz="4" w:space="0" w:color="auto"/>
              <w:bottom w:val="nil"/>
              <w:right w:val="nil"/>
            </w:tcBorders>
            <w:shd w:val="clear" w:color="auto" w:fill="auto"/>
            <w:tcMar>
              <w:top w:w="85" w:type="dxa"/>
            </w:tcMar>
            <w:hideMark/>
          </w:tcPr>
          <w:p w14:paraId="2A0431C4"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IV.4 Enhanced technical and knowledge infrastructure for IP Offices and other IP institutions leading to better services (cheaper, faster, higher quality) to their stakeholders and better outcome of IP Administration</w:t>
            </w:r>
          </w:p>
        </w:tc>
        <w:tc>
          <w:tcPr>
            <w:tcW w:w="2380" w:type="dxa"/>
            <w:tcBorders>
              <w:top w:val="nil"/>
              <w:left w:val="nil"/>
              <w:bottom w:val="nil"/>
              <w:right w:val="nil"/>
            </w:tcBorders>
            <w:shd w:val="clear" w:color="auto" w:fill="auto"/>
            <w:tcMar>
              <w:top w:w="85" w:type="dxa"/>
            </w:tcMar>
            <w:hideMark/>
          </w:tcPr>
          <w:p w14:paraId="7DF6012C"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offices using WIPO Infrastructure Platforms</w:t>
            </w:r>
          </w:p>
        </w:tc>
        <w:tc>
          <w:tcPr>
            <w:tcW w:w="2380" w:type="dxa"/>
            <w:tcBorders>
              <w:top w:val="nil"/>
              <w:left w:val="nil"/>
              <w:bottom w:val="nil"/>
              <w:right w:val="nil"/>
            </w:tcBorders>
            <w:shd w:val="clear" w:color="auto" w:fill="auto"/>
            <w:tcMar>
              <w:top w:w="85" w:type="dxa"/>
            </w:tcMar>
            <w:hideMark/>
          </w:tcPr>
          <w:p w14:paraId="6197E513" w14:textId="77777777" w:rsidR="00971C84" w:rsidRDefault="00971C84" w:rsidP="00971C84">
            <w:pPr>
              <w:rPr>
                <w:rFonts w:ascii="Arial" w:hAnsi="Arial" w:cs="Arial"/>
                <w:color w:val="000000"/>
                <w:sz w:val="16"/>
                <w:szCs w:val="16"/>
              </w:rPr>
            </w:pPr>
            <w:r w:rsidRPr="00BE1D07">
              <w:rPr>
                <w:rFonts w:ascii="Arial" w:hAnsi="Arial" w:cs="Arial"/>
                <w:color w:val="000000"/>
                <w:sz w:val="16"/>
                <w:szCs w:val="16"/>
              </w:rPr>
              <w:t>7 (WSO)</w:t>
            </w:r>
          </w:p>
          <w:p w14:paraId="1B3BFFEB"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0 (WBO)</w:t>
            </w:r>
            <w:r w:rsidRPr="00BE1D07">
              <w:rPr>
                <w:rFonts w:ascii="Arial" w:hAnsi="Arial" w:cs="Arial"/>
                <w:color w:val="000000"/>
                <w:sz w:val="16"/>
                <w:szCs w:val="16"/>
              </w:rPr>
              <w:br/>
            </w:r>
          </w:p>
        </w:tc>
        <w:tc>
          <w:tcPr>
            <w:tcW w:w="2055" w:type="dxa"/>
            <w:tcBorders>
              <w:top w:val="nil"/>
              <w:left w:val="nil"/>
              <w:bottom w:val="nil"/>
              <w:right w:val="single" w:sz="4" w:space="0" w:color="auto"/>
            </w:tcBorders>
            <w:shd w:val="clear" w:color="auto" w:fill="auto"/>
            <w:tcMar>
              <w:top w:w="85" w:type="dxa"/>
            </w:tcMar>
            <w:hideMark/>
          </w:tcPr>
          <w:p w14:paraId="268E8AA2" w14:textId="77777777" w:rsidR="00971C84" w:rsidRDefault="00BE3F1B" w:rsidP="00BE3F1B">
            <w:pPr>
              <w:rPr>
                <w:rFonts w:ascii="Arial" w:hAnsi="Arial" w:cs="Arial"/>
                <w:sz w:val="16"/>
                <w:szCs w:val="16"/>
              </w:rPr>
            </w:pPr>
            <w:proofErr w:type="spellStart"/>
            <w:r>
              <w:rPr>
                <w:rFonts w:ascii="Arial" w:hAnsi="Arial" w:cs="Arial"/>
                <w:sz w:val="16"/>
                <w:szCs w:val="16"/>
              </w:rPr>
              <w:t>Tbd</w:t>
            </w:r>
            <w:proofErr w:type="spellEnd"/>
            <w:r>
              <w:rPr>
                <w:rFonts w:ascii="Arial" w:hAnsi="Arial" w:cs="Arial"/>
                <w:sz w:val="16"/>
                <w:szCs w:val="16"/>
              </w:rPr>
              <w:t xml:space="preserve"> (WSO)</w:t>
            </w:r>
          </w:p>
          <w:p w14:paraId="67D59111" w14:textId="6FA98F11" w:rsidR="00BE3F1B" w:rsidRPr="00FD3DD2" w:rsidRDefault="00BE3F1B" w:rsidP="00BE3F1B">
            <w:pPr>
              <w:rPr>
                <w:rFonts w:ascii="Arial" w:hAnsi="Arial" w:cs="Arial"/>
                <w:sz w:val="16"/>
                <w:szCs w:val="16"/>
              </w:rPr>
            </w:pPr>
            <w:r>
              <w:rPr>
                <w:rFonts w:ascii="Arial" w:hAnsi="Arial" w:cs="Arial"/>
                <w:sz w:val="16"/>
                <w:szCs w:val="16"/>
              </w:rPr>
              <w:t>1 (WBO)</w:t>
            </w:r>
          </w:p>
        </w:tc>
      </w:tr>
      <w:tr w:rsidR="00971C84" w:rsidRPr="00BE1D07" w14:paraId="1F085513" w14:textId="77777777" w:rsidTr="004E671F">
        <w:trPr>
          <w:trHeight w:val="1901"/>
        </w:trPr>
        <w:tc>
          <w:tcPr>
            <w:tcW w:w="2380" w:type="dxa"/>
            <w:tcBorders>
              <w:top w:val="nil"/>
              <w:left w:val="single" w:sz="4" w:space="0" w:color="auto"/>
              <w:bottom w:val="nil"/>
              <w:right w:val="nil"/>
            </w:tcBorders>
            <w:shd w:val="clear" w:color="auto" w:fill="auto"/>
            <w:tcMar>
              <w:top w:w="85" w:type="dxa"/>
            </w:tcMar>
            <w:hideMark/>
          </w:tcPr>
          <w:p w14:paraId="1DF4EA8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VII.2 IP-based platforms and tools for knowledge transfer, technology adaptation and diffusion from developed to developing countries, particularly least developed countries, to address global challenges</w:t>
            </w:r>
          </w:p>
        </w:tc>
        <w:tc>
          <w:tcPr>
            <w:tcW w:w="2380" w:type="dxa"/>
            <w:tcBorders>
              <w:top w:val="nil"/>
              <w:left w:val="nil"/>
              <w:bottom w:val="nil"/>
              <w:right w:val="nil"/>
            </w:tcBorders>
            <w:shd w:val="clear" w:color="auto" w:fill="auto"/>
            <w:tcMar>
              <w:top w:w="85" w:type="dxa"/>
            </w:tcMar>
            <w:hideMark/>
          </w:tcPr>
          <w:p w14:paraId="57D7018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Participation of stakeholders in WIPO's platforms such as WIPO GREEN and WIPO Re: Search</w:t>
            </w:r>
          </w:p>
        </w:tc>
        <w:tc>
          <w:tcPr>
            <w:tcW w:w="2380" w:type="dxa"/>
            <w:tcBorders>
              <w:top w:val="nil"/>
              <w:left w:val="nil"/>
              <w:bottom w:val="nil"/>
              <w:right w:val="nil"/>
            </w:tcBorders>
            <w:shd w:val="clear" w:color="auto" w:fill="auto"/>
            <w:tcMar>
              <w:top w:w="85" w:type="dxa"/>
            </w:tcMar>
            <w:hideMark/>
          </w:tcPr>
          <w:p w14:paraId="6E6398B9" w14:textId="2E55BF17" w:rsidR="00971C84" w:rsidRDefault="00971C84" w:rsidP="00971C84">
            <w:pPr>
              <w:rPr>
                <w:rFonts w:ascii="Arial" w:hAnsi="Arial" w:cs="Arial"/>
                <w:color w:val="000000"/>
                <w:sz w:val="16"/>
                <w:szCs w:val="16"/>
              </w:rPr>
            </w:pPr>
            <w:r w:rsidRPr="00BE1D07">
              <w:rPr>
                <w:rFonts w:ascii="Arial" w:hAnsi="Arial" w:cs="Arial"/>
                <w:color w:val="000000"/>
                <w:sz w:val="16"/>
                <w:szCs w:val="16"/>
              </w:rPr>
              <w:t>WIPO G</w:t>
            </w:r>
            <w:r w:rsidR="00E25DB8">
              <w:rPr>
                <w:rFonts w:ascii="Arial" w:hAnsi="Arial" w:cs="Arial"/>
                <w:color w:val="000000"/>
                <w:sz w:val="16"/>
                <w:szCs w:val="16"/>
              </w:rPr>
              <w:t>REEN</w:t>
            </w:r>
          </w:p>
          <w:p w14:paraId="7DE6DFDF"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21 (WSO) </w:t>
            </w:r>
          </w:p>
          <w:p w14:paraId="1D277928" w14:textId="4B5C415A" w:rsidR="00971C84" w:rsidRDefault="00971C84" w:rsidP="00971C84">
            <w:pPr>
              <w:rPr>
                <w:rFonts w:ascii="Arial" w:hAnsi="Arial" w:cs="Arial"/>
                <w:color w:val="000000"/>
                <w:sz w:val="16"/>
                <w:szCs w:val="16"/>
              </w:rPr>
            </w:pPr>
            <w:r>
              <w:rPr>
                <w:rFonts w:ascii="Arial" w:hAnsi="Arial" w:cs="Arial"/>
                <w:color w:val="000000"/>
                <w:sz w:val="16"/>
                <w:szCs w:val="16"/>
              </w:rPr>
              <w:t xml:space="preserve">48 </w:t>
            </w:r>
            <w:r w:rsidR="00F7225F">
              <w:rPr>
                <w:rFonts w:ascii="Arial" w:hAnsi="Arial" w:cs="Arial"/>
                <w:color w:val="000000"/>
                <w:sz w:val="16"/>
                <w:szCs w:val="16"/>
              </w:rPr>
              <w:t xml:space="preserve">for the LAC region </w:t>
            </w:r>
            <w:r>
              <w:rPr>
                <w:rFonts w:ascii="Arial" w:hAnsi="Arial" w:cs="Arial"/>
                <w:color w:val="000000"/>
                <w:sz w:val="16"/>
                <w:szCs w:val="16"/>
              </w:rPr>
              <w:t>(WBO)</w:t>
            </w:r>
          </w:p>
          <w:p w14:paraId="0E5FB2D9"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45 (WJO) </w:t>
            </w:r>
          </w:p>
          <w:p w14:paraId="085CF4F8" w14:textId="77777777" w:rsidR="00971C84" w:rsidRDefault="00971C84" w:rsidP="00971C84">
            <w:pPr>
              <w:rPr>
                <w:rFonts w:ascii="Arial" w:hAnsi="Arial" w:cs="Arial"/>
                <w:color w:val="000000"/>
                <w:sz w:val="16"/>
                <w:szCs w:val="16"/>
              </w:rPr>
            </w:pPr>
            <w:r>
              <w:rPr>
                <w:rFonts w:ascii="Arial" w:hAnsi="Arial" w:cs="Arial"/>
                <w:color w:val="000000"/>
                <w:sz w:val="16"/>
                <w:szCs w:val="16"/>
              </w:rPr>
              <w:t>1 (WRO)</w:t>
            </w:r>
          </w:p>
          <w:p w14:paraId="712E822B" w14:textId="2EC70A69" w:rsidR="00971C84" w:rsidRDefault="00971C84" w:rsidP="00971C84">
            <w:pPr>
              <w:rPr>
                <w:rFonts w:ascii="Arial" w:hAnsi="Arial" w:cs="Arial"/>
                <w:color w:val="000000"/>
                <w:sz w:val="16"/>
                <w:szCs w:val="16"/>
              </w:rPr>
            </w:pPr>
            <w:r>
              <w:rPr>
                <w:rFonts w:ascii="Arial" w:hAnsi="Arial" w:cs="Arial"/>
                <w:color w:val="000000"/>
                <w:sz w:val="16"/>
                <w:szCs w:val="16"/>
              </w:rPr>
              <w:t>29 (</w:t>
            </w:r>
            <w:r w:rsidR="00FA17AB">
              <w:rPr>
                <w:rFonts w:ascii="Arial" w:hAnsi="Arial" w:cs="Arial"/>
                <w:color w:val="000000"/>
                <w:sz w:val="16"/>
                <w:szCs w:val="16"/>
              </w:rPr>
              <w:t>WOC</w:t>
            </w:r>
            <w:r>
              <w:rPr>
                <w:rFonts w:ascii="Arial" w:hAnsi="Arial" w:cs="Arial"/>
                <w:color w:val="000000"/>
                <w:sz w:val="16"/>
                <w:szCs w:val="16"/>
              </w:rPr>
              <w:t>)</w:t>
            </w:r>
          </w:p>
          <w:p w14:paraId="20448EA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br/>
              <w:t xml:space="preserve">WIPO </w:t>
            </w:r>
            <w:proofErr w:type="spellStart"/>
            <w:r w:rsidRPr="00BE1D07">
              <w:rPr>
                <w:rFonts w:ascii="Arial" w:hAnsi="Arial" w:cs="Arial"/>
                <w:color w:val="000000"/>
                <w:sz w:val="16"/>
                <w:szCs w:val="16"/>
              </w:rPr>
              <w:t>Re:Search</w:t>
            </w:r>
            <w:proofErr w:type="spellEnd"/>
            <w:r>
              <w:rPr>
                <w:rFonts w:ascii="Arial" w:hAnsi="Arial" w:cs="Arial"/>
                <w:color w:val="000000"/>
                <w:sz w:val="16"/>
                <w:szCs w:val="16"/>
              </w:rPr>
              <w:t xml:space="preserve">: n/a </w:t>
            </w:r>
          </w:p>
        </w:tc>
        <w:tc>
          <w:tcPr>
            <w:tcW w:w="2055" w:type="dxa"/>
            <w:tcBorders>
              <w:top w:val="nil"/>
              <w:left w:val="nil"/>
              <w:bottom w:val="nil"/>
              <w:right w:val="single" w:sz="4" w:space="0" w:color="auto"/>
            </w:tcBorders>
            <w:shd w:val="clear" w:color="auto" w:fill="auto"/>
            <w:tcMar>
              <w:top w:w="85" w:type="dxa"/>
            </w:tcMar>
            <w:hideMark/>
          </w:tcPr>
          <w:p w14:paraId="08D4092C" w14:textId="2A90B0D8" w:rsidR="00BE3F1B" w:rsidRDefault="00BE3F1B" w:rsidP="00BE3F1B">
            <w:pPr>
              <w:rPr>
                <w:rFonts w:ascii="Arial" w:hAnsi="Arial" w:cs="Arial"/>
                <w:sz w:val="16"/>
                <w:szCs w:val="16"/>
              </w:rPr>
            </w:pPr>
            <w:r>
              <w:rPr>
                <w:rFonts w:ascii="Arial" w:hAnsi="Arial" w:cs="Arial"/>
                <w:sz w:val="16"/>
                <w:szCs w:val="16"/>
              </w:rPr>
              <w:t>20</w:t>
            </w:r>
            <w:r w:rsidR="00971C84" w:rsidRPr="00FD3DD2">
              <w:rPr>
                <w:rFonts w:ascii="Arial" w:hAnsi="Arial" w:cs="Arial"/>
                <w:sz w:val="16"/>
                <w:szCs w:val="16"/>
              </w:rPr>
              <w:t>% increase both</w:t>
            </w:r>
            <w:r>
              <w:rPr>
                <w:rFonts w:ascii="Arial" w:hAnsi="Arial" w:cs="Arial"/>
                <w:sz w:val="16"/>
                <w:szCs w:val="16"/>
              </w:rPr>
              <w:t xml:space="preserve"> WIPO </w:t>
            </w:r>
            <w:r w:rsidR="0037778C">
              <w:rPr>
                <w:rFonts w:ascii="Arial" w:hAnsi="Arial" w:cs="Arial"/>
                <w:sz w:val="16"/>
                <w:szCs w:val="16"/>
              </w:rPr>
              <w:t xml:space="preserve">GREEN </w:t>
            </w:r>
            <w:r>
              <w:rPr>
                <w:rFonts w:ascii="Arial" w:hAnsi="Arial" w:cs="Arial"/>
                <w:sz w:val="16"/>
                <w:szCs w:val="16"/>
              </w:rPr>
              <w:t xml:space="preserve">and </w:t>
            </w:r>
            <w:proofErr w:type="spellStart"/>
            <w:r>
              <w:rPr>
                <w:rFonts w:ascii="Arial" w:hAnsi="Arial" w:cs="Arial"/>
                <w:sz w:val="16"/>
                <w:szCs w:val="16"/>
              </w:rPr>
              <w:t>Re:Search</w:t>
            </w:r>
            <w:proofErr w:type="spellEnd"/>
            <w:r>
              <w:rPr>
                <w:rFonts w:ascii="Arial" w:hAnsi="Arial" w:cs="Arial"/>
                <w:sz w:val="16"/>
                <w:szCs w:val="16"/>
              </w:rPr>
              <w:t xml:space="preserve"> </w:t>
            </w:r>
          </w:p>
          <w:p w14:paraId="012261A3" w14:textId="4970A152" w:rsidR="00971C84" w:rsidRPr="00FD3DD2" w:rsidRDefault="00BE3F1B" w:rsidP="00BE3F1B">
            <w:pPr>
              <w:rPr>
                <w:rFonts w:ascii="Arial" w:hAnsi="Arial" w:cs="Arial"/>
                <w:sz w:val="16"/>
                <w:szCs w:val="16"/>
              </w:rPr>
            </w:pPr>
            <w:r>
              <w:rPr>
                <w:rFonts w:ascii="Arial" w:hAnsi="Arial" w:cs="Arial"/>
                <w:color w:val="000000"/>
                <w:sz w:val="16"/>
                <w:szCs w:val="16"/>
              </w:rPr>
              <w:t>(all Offices)</w:t>
            </w:r>
          </w:p>
        </w:tc>
      </w:tr>
      <w:tr w:rsidR="00971C84" w:rsidRPr="00BE1D07" w14:paraId="1088B6C1" w14:textId="77777777" w:rsidTr="004E671F">
        <w:trPr>
          <w:trHeight w:val="915"/>
        </w:trPr>
        <w:tc>
          <w:tcPr>
            <w:tcW w:w="2380" w:type="dxa"/>
            <w:tcBorders>
              <w:top w:val="nil"/>
              <w:left w:val="single" w:sz="4" w:space="0" w:color="auto"/>
              <w:bottom w:val="nil"/>
              <w:right w:val="nil"/>
            </w:tcBorders>
            <w:shd w:val="clear" w:color="auto" w:fill="auto"/>
            <w:tcMar>
              <w:top w:w="85" w:type="dxa"/>
            </w:tcMar>
            <w:hideMark/>
          </w:tcPr>
          <w:p w14:paraId="1DB48FD9"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VIII.1 More effective communication to a broad public about intellectual property and WIPO’s role</w:t>
            </w:r>
          </w:p>
        </w:tc>
        <w:tc>
          <w:tcPr>
            <w:tcW w:w="2380" w:type="dxa"/>
            <w:tcBorders>
              <w:top w:val="nil"/>
              <w:left w:val="nil"/>
              <w:bottom w:val="nil"/>
              <w:right w:val="nil"/>
            </w:tcBorders>
            <w:shd w:val="clear" w:color="auto" w:fill="auto"/>
            <w:tcMar>
              <w:top w:w="85" w:type="dxa"/>
            </w:tcMar>
            <w:hideMark/>
          </w:tcPr>
          <w:p w14:paraId="32FF43EC"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Increased traffic to the website of WIPO External Offices</w:t>
            </w:r>
            <w:r w:rsidRPr="00BE1D07">
              <w:rPr>
                <w:rFonts w:ascii="Arial" w:hAnsi="Arial" w:cs="Arial"/>
                <w:color w:val="000000"/>
                <w:sz w:val="16"/>
                <w:szCs w:val="16"/>
              </w:rPr>
              <w:br/>
            </w:r>
          </w:p>
        </w:tc>
        <w:tc>
          <w:tcPr>
            <w:tcW w:w="2380" w:type="dxa"/>
            <w:tcBorders>
              <w:top w:val="nil"/>
              <w:left w:val="nil"/>
              <w:bottom w:val="nil"/>
              <w:right w:val="nil"/>
            </w:tcBorders>
            <w:shd w:val="clear" w:color="auto" w:fill="auto"/>
            <w:tcMar>
              <w:top w:w="85" w:type="dxa"/>
            </w:tcMar>
            <w:hideMark/>
          </w:tcPr>
          <w:p w14:paraId="3A9AF11F" w14:textId="26CBB666" w:rsidR="00BE3F1B" w:rsidRDefault="00BE3F1B" w:rsidP="00BE3F1B">
            <w:pPr>
              <w:rPr>
                <w:rFonts w:ascii="Arial" w:hAnsi="Arial" w:cs="Arial"/>
                <w:color w:val="000000"/>
                <w:sz w:val="16"/>
                <w:szCs w:val="16"/>
              </w:rPr>
            </w:pPr>
            <w:r>
              <w:rPr>
                <w:rFonts w:ascii="Arial" w:hAnsi="Arial" w:cs="Arial"/>
                <w:color w:val="000000"/>
                <w:sz w:val="16"/>
                <w:szCs w:val="16"/>
              </w:rPr>
              <w:t>9,882 (WSO)</w:t>
            </w:r>
            <w:r w:rsidR="00971C84" w:rsidRPr="00BE1D07">
              <w:rPr>
                <w:rFonts w:ascii="Arial" w:hAnsi="Arial" w:cs="Arial"/>
                <w:color w:val="000000"/>
                <w:sz w:val="16"/>
                <w:szCs w:val="16"/>
              </w:rPr>
              <w:br/>
            </w:r>
            <w:r>
              <w:rPr>
                <w:rFonts w:ascii="Arial" w:hAnsi="Arial" w:cs="Arial"/>
                <w:color w:val="000000"/>
                <w:sz w:val="16"/>
                <w:szCs w:val="16"/>
              </w:rPr>
              <w:t xml:space="preserve">WBO &amp; WJO: </w:t>
            </w:r>
            <w:proofErr w:type="spellStart"/>
            <w:r>
              <w:rPr>
                <w:rFonts w:ascii="Arial" w:hAnsi="Arial" w:cs="Arial"/>
                <w:color w:val="000000"/>
                <w:sz w:val="16"/>
                <w:szCs w:val="16"/>
              </w:rPr>
              <w:t>tbd</w:t>
            </w:r>
            <w:proofErr w:type="spellEnd"/>
            <w:r>
              <w:rPr>
                <w:rFonts w:ascii="Arial" w:hAnsi="Arial" w:cs="Arial"/>
                <w:color w:val="000000"/>
                <w:sz w:val="16"/>
                <w:szCs w:val="16"/>
              </w:rPr>
              <w:t xml:space="preserve"> </w:t>
            </w:r>
          </w:p>
          <w:p w14:paraId="06BDB9E0" w14:textId="77777777" w:rsidR="00BE3F1B" w:rsidRDefault="00BE3F1B" w:rsidP="00BE3F1B">
            <w:pPr>
              <w:rPr>
                <w:rFonts w:ascii="Arial" w:hAnsi="Arial" w:cs="Arial"/>
                <w:color w:val="000000"/>
                <w:sz w:val="16"/>
                <w:szCs w:val="16"/>
              </w:rPr>
            </w:pPr>
            <w:r>
              <w:rPr>
                <w:rFonts w:ascii="Arial" w:hAnsi="Arial" w:cs="Arial"/>
                <w:color w:val="000000"/>
                <w:sz w:val="16"/>
                <w:szCs w:val="16"/>
              </w:rPr>
              <w:t xml:space="preserve">0 (WRO) </w:t>
            </w:r>
          </w:p>
          <w:p w14:paraId="05DD8CE4" w14:textId="24E72EB2" w:rsidR="00971C84" w:rsidRPr="00BE1D07" w:rsidRDefault="00BE3F1B" w:rsidP="00BE3F1B">
            <w:pPr>
              <w:rPr>
                <w:rFonts w:ascii="Arial" w:hAnsi="Arial" w:cs="Arial"/>
                <w:color w:val="000000"/>
                <w:sz w:val="16"/>
                <w:szCs w:val="16"/>
              </w:rPr>
            </w:pPr>
            <w:r>
              <w:rPr>
                <w:rFonts w:ascii="Arial" w:hAnsi="Arial" w:cs="Arial"/>
                <w:color w:val="000000"/>
                <w:sz w:val="16"/>
                <w:szCs w:val="16"/>
              </w:rPr>
              <w:t>0 (</w:t>
            </w:r>
            <w:r w:rsidR="00FA17AB">
              <w:rPr>
                <w:rFonts w:ascii="Arial" w:hAnsi="Arial" w:cs="Arial"/>
                <w:color w:val="000000"/>
                <w:sz w:val="16"/>
                <w:szCs w:val="16"/>
              </w:rPr>
              <w:t>WOC</w:t>
            </w:r>
            <w:r>
              <w:rPr>
                <w:rFonts w:ascii="Arial" w:hAnsi="Arial" w:cs="Arial"/>
                <w:color w:val="000000"/>
                <w:sz w:val="16"/>
                <w:szCs w:val="16"/>
              </w:rPr>
              <w:t xml:space="preserve">) </w:t>
            </w:r>
            <w:r w:rsidR="00971C84" w:rsidRPr="00BE1D07">
              <w:rPr>
                <w:rFonts w:ascii="Arial" w:hAnsi="Arial" w:cs="Arial"/>
                <w:color w:val="000000"/>
                <w:sz w:val="16"/>
                <w:szCs w:val="16"/>
              </w:rPr>
              <w:br/>
            </w:r>
            <w:r w:rsidR="00971C84" w:rsidRPr="00BE1D07">
              <w:rPr>
                <w:rFonts w:ascii="Arial" w:hAnsi="Arial" w:cs="Arial"/>
                <w:color w:val="000000"/>
                <w:sz w:val="16"/>
                <w:szCs w:val="16"/>
              </w:rPr>
              <w:br/>
            </w:r>
            <w:r w:rsidR="00971C84" w:rsidRPr="00BE1D07">
              <w:rPr>
                <w:rFonts w:ascii="Arial" w:hAnsi="Arial" w:cs="Arial"/>
                <w:color w:val="000000"/>
                <w:sz w:val="16"/>
                <w:szCs w:val="16"/>
              </w:rPr>
              <w:br/>
            </w:r>
          </w:p>
        </w:tc>
        <w:tc>
          <w:tcPr>
            <w:tcW w:w="2055" w:type="dxa"/>
            <w:tcBorders>
              <w:top w:val="nil"/>
              <w:left w:val="nil"/>
              <w:bottom w:val="nil"/>
              <w:right w:val="single" w:sz="4" w:space="0" w:color="auto"/>
            </w:tcBorders>
            <w:shd w:val="clear" w:color="auto" w:fill="auto"/>
            <w:tcMar>
              <w:top w:w="85" w:type="dxa"/>
            </w:tcMar>
            <w:hideMark/>
          </w:tcPr>
          <w:p w14:paraId="1F72C1FC" w14:textId="427DCC35" w:rsidR="00971C84" w:rsidRPr="00FD3DD2" w:rsidRDefault="00BE3F1B" w:rsidP="00BE3F1B">
            <w:pPr>
              <w:rPr>
                <w:rFonts w:ascii="Arial" w:hAnsi="Arial" w:cs="Arial"/>
                <w:sz w:val="16"/>
                <w:szCs w:val="16"/>
              </w:rPr>
            </w:pPr>
            <w:r>
              <w:rPr>
                <w:rFonts w:ascii="Arial" w:hAnsi="Arial" w:cs="Arial"/>
                <w:sz w:val="16"/>
                <w:szCs w:val="16"/>
              </w:rPr>
              <w:t>5% increase all Offices</w:t>
            </w:r>
          </w:p>
        </w:tc>
      </w:tr>
      <w:tr w:rsidR="00971C84" w:rsidRPr="00BE1D07" w14:paraId="66DEBEA3" w14:textId="77777777" w:rsidTr="00BE3F1B">
        <w:trPr>
          <w:trHeight w:val="660"/>
        </w:trPr>
        <w:tc>
          <w:tcPr>
            <w:tcW w:w="2380" w:type="dxa"/>
            <w:tcBorders>
              <w:top w:val="nil"/>
              <w:left w:val="single" w:sz="4" w:space="0" w:color="auto"/>
              <w:right w:val="nil"/>
            </w:tcBorders>
            <w:shd w:val="clear" w:color="auto" w:fill="auto"/>
            <w:tcMar>
              <w:top w:w="85" w:type="dxa"/>
            </w:tcMar>
            <w:hideMark/>
          </w:tcPr>
          <w:p w14:paraId="67D7CFE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VIII.2 Improved service orientation and responsiveness to inquiries</w:t>
            </w:r>
          </w:p>
        </w:tc>
        <w:tc>
          <w:tcPr>
            <w:tcW w:w="2380" w:type="dxa"/>
            <w:tcBorders>
              <w:top w:val="nil"/>
              <w:left w:val="nil"/>
              <w:right w:val="nil"/>
            </w:tcBorders>
            <w:shd w:val="clear" w:color="auto" w:fill="auto"/>
            <w:tcMar>
              <w:top w:w="85" w:type="dxa"/>
            </w:tcMar>
            <w:hideMark/>
          </w:tcPr>
          <w:p w14:paraId="5D4FEBE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Processing time of inquiries</w:t>
            </w:r>
          </w:p>
        </w:tc>
        <w:tc>
          <w:tcPr>
            <w:tcW w:w="2380" w:type="dxa"/>
            <w:tcBorders>
              <w:top w:val="nil"/>
              <w:left w:val="nil"/>
              <w:right w:val="nil"/>
            </w:tcBorders>
            <w:shd w:val="clear" w:color="auto" w:fill="auto"/>
            <w:tcMar>
              <w:top w:w="85" w:type="dxa"/>
            </w:tcMar>
            <w:hideMark/>
          </w:tcPr>
          <w:p w14:paraId="5E1A05BC" w14:textId="7871FA72" w:rsidR="00971C84" w:rsidRPr="00BE1D07" w:rsidRDefault="00971C84" w:rsidP="00BE3F1B">
            <w:pPr>
              <w:rPr>
                <w:rFonts w:ascii="Arial" w:hAnsi="Arial" w:cs="Arial"/>
                <w:color w:val="000000"/>
                <w:sz w:val="16"/>
                <w:szCs w:val="16"/>
              </w:rPr>
            </w:pPr>
            <w:r w:rsidRPr="00BE1D07">
              <w:rPr>
                <w:rFonts w:ascii="Arial" w:hAnsi="Arial" w:cs="Arial"/>
                <w:color w:val="000000"/>
                <w:sz w:val="16"/>
                <w:szCs w:val="16"/>
              </w:rPr>
              <w:t>48h</w:t>
            </w:r>
            <w:r w:rsidR="00BE3F1B">
              <w:rPr>
                <w:rFonts w:ascii="Arial" w:hAnsi="Arial" w:cs="Arial"/>
                <w:color w:val="000000"/>
                <w:sz w:val="16"/>
                <w:szCs w:val="16"/>
              </w:rPr>
              <w:t xml:space="preserve"> (all Offices)</w:t>
            </w:r>
          </w:p>
        </w:tc>
        <w:tc>
          <w:tcPr>
            <w:tcW w:w="2055" w:type="dxa"/>
            <w:tcBorders>
              <w:top w:val="nil"/>
              <w:left w:val="nil"/>
              <w:right w:val="single" w:sz="4" w:space="0" w:color="auto"/>
            </w:tcBorders>
            <w:shd w:val="clear" w:color="auto" w:fill="auto"/>
            <w:tcMar>
              <w:top w:w="85" w:type="dxa"/>
            </w:tcMar>
            <w:hideMark/>
          </w:tcPr>
          <w:p w14:paraId="275AF110" w14:textId="7D5ED142" w:rsidR="00971C84" w:rsidRPr="00FD3DD2" w:rsidRDefault="00971C84" w:rsidP="00BE3F1B">
            <w:pPr>
              <w:rPr>
                <w:rFonts w:ascii="Arial" w:hAnsi="Arial" w:cs="Arial"/>
                <w:sz w:val="16"/>
                <w:szCs w:val="16"/>
              </w:rPr>
            </w:pPr>
            <w:r w:rsidRPr="00FD3DD2">
              <w:rPr>
                <w:rFonts w:ascii="Arial" w:hAnsi="Arial" w:cs="Arial"/>
                <w:sz w:val="16"/>
                <w:szCs w:val="16"/>
              </w:rPr>
              <w:t>36h</w:t>
            </w:r>
            <w:r w:rsidR="00BE3F1B">
              <w:rPr>
                <w:rFonts w:ascii="Arial" w:hAnsi="Arial" w:cs="Arial"/>
                <w:sz w:val="16"/>
                <w:szCs w:val="16"/>
              </w:rPr>
              <w:t xml:space="preserve"> </w:t>
            </w:r>
            <w:r w:rsidR="00BE3F1B">
              <w:rPr>
                <w:rFonts w:ascii="Arial" w:hAnsi="Arial" w:cs="Arial"/>
                <w:color w:val="000000"/>
                <w:sz w:val="16"/>
                <w:szCs w:val="16"/>
              </w:rPr>
              <w:t>(all Offices)</w:t>
            </w:r>
          </w:p>
        </w:tc>
      </w:tr>
      <w:tr w:rsidR="00971C84" w:rsidRPr="00BE1D07" w14:paraId="2ABDCD1A" w14:textId="77777777" w:rsidTr="00BE3F1B">
        <w:trPr>
          <w:trHeight w:val="626"/>
        </w:trPr>
        <w:tc>
          <w:tcPr>
            <w:tcW w:w="2380" w:type="dxa"/>
            <w:tcBorders>
              <w:top w:val="nil"/>
              <w:left w:val="single" w:sz="4" w:space="0" w:color="auto"/>
              <w:bottom w:val="single" w:sz="4" w:space="0" w:color="auto"/>
              <w:right w:val="nil"/>
            </w:tcBorders>
            <w:shd w:val="clear" w:color="auto" w:fill="auto"/>
            <w:tcMar>
              <w:top w:w="85" w:type="dxa"/>
            </w:tcMar>
            <w:hideMark/>
          </w:tcPr>
          <w:p w14:paraId="0A446C87" w14:textId="77777777" w:rsidR="00971C84" w:rsidRDefault="00971C84" w:rsidP="00971C84">
            <w:pPr>
              <w:rPr>
                <w:rFonts w:ascii="Arial" w:hAnsi="Arial" w:cs="Arial"/>
                <w:color w:val="000000"/>
                <w:sz w:val="16"/>
                <w:szCs w:val="16"/>
              </w:rPr>
            </w:pPr>
            <w:r w:rsidRPr="00BE1D07">
              <w:rPr>
                <w:rFonts w:ascii="Arial" w:hAnsi="Arial" w:cs="Arial"/>
                <w:color w:val="000000"/>
                <w:sz w:val="16"/>
                <w:szCs w:val="16"/>
              </w:rPr>
              <w:t>VIII.5 WIPO effectively interacts and partners with UN and other IGO processes and negotiations</w:t>
            </w:r>
          </w:p>
          <w:p w14:paraId="7E042D70" w14:textId="77777777" w:rsidR="00971C84" w:rsidRPr="00BE1D07" w:rsidRDefault="00971C84" w:rsidP="00971C84">
            <w:pPr>
              <w:rPr>
                <w:rFonts w:ascii="Arial" w:hAnsi="Arial" w:cs="Arial"/>
                <w:color w:val="000000"/>
                <w:sz w:val="16"/>
                <w:szCs w:val="16"/>
              </w:rPr>
            </w:pPr>
          </w:p>
        </w:tc>
        <w:tc>
          <w:tcPr>
            <w:tcW w:w="2380" w:type="dxa"/>
            <w:tcBorders>
              <w:top w:val="nil"/>
              <w:left w:val="nil"/>
              <w:bottom w:val="single" w:sz="4" w:space="0" w:color="auto"/>
              <w:right w:val="nil"/>
            </w:tcBorders>
            <w:shd w:val="clear" w:color="auto" w:fill="auto"/>
            <w:tcMar>
              <w:top w:w="85" w:type="dxa"/>
            </w:tcMar>
            <w:hideMark/>
          </w:tcPr>
          <w:p w14:paraId="01501CF3"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joint activities with ASEAN Secretariat, ECAP/OHIM, Asia/Europe Foundation, AANZFTA</w:t>
            </w:r>
          </w:p>
        </w:tc>
        <w:tc>
          <w:tcPr>
            <w:tcW w:w="2380" w:type="dxa"/>
            <w:tcBorders>
              <w:top w:val="nil"/>
              <w:left w:val="nil"/>
              <w:bottom w:val="single" w:sz="4" w:space="0" w:color="auto"/>
              <w:right w:val="nil"/>
            </w:tcBorders>
            <w:shd w:val="clear" w:color="auto" w:fill="auto"/>
            <w:tcMar>
              <w:top w:w="85" w:type="dxa"/>
            </w:tcMar>
            <w:hideMark/>
          </w:tcPr>
          <w:p w14:paraId="7973421B" w14:textId="3590BB88" w:rsidR="00971C84" w:rsidRPr="00BE1D07" w:rsidRDefault="00BE3F1B" w:rsidP="00BE3F1B">
            <w:pPr>
              <w:rPr>
                <w:rFonts w:ascii="Arial" w:hAnsi="Arial" w:cs="Arial"/>
                <w:color w:val="000000"/>
                <w:sz w:val="16"/>
                <w:szCs w:val="16"/>
              </w:rPr>
            </w:pPr>
            <w:r>
              <w:rPr>
                <w:rFonts w:ascii="Arial" w:hAnsi="Arial" w:cs="Arial"/>
                <w:color w:val="000000"/>
                <w:sz w:val="16"/>
                <w:szCs w:val="16"/>
              </w:rPr>
              <w:t>11 (WSO)</w:t>
            </w:r>
          </w:p>
        </w:tc>
        <w:tc>
          <w:tcPr>
            <w:tcW w:w="2055" w:type="dxa"/>
            <w:tcBorders>
              <w:top w:val="nil"/>
              <w:left w:val="nil"/>
              <w:bottom w:val="single" w:sz="4" w:space="0" w:color="auto"/>
              <w:right w:val="single" w:sz="4" w:space="0" w:color="auto"/>
            </w:tcBorders>
            <w:shd w:val="clear" w:color="auto" w:fill="auto"/>
            <w:tcMar>
              <w:top w:w="85" w:type="dxa"/>
            </w:tcMar>
            <w:hideMark/>
          </w:tcPr>
          <w:p w14:paraId="55BC0FFA" w14:textId="0C770E90" w:rsidR="00971C84" w:rsidRPr="00FD3DD2" w:rsidRDefault="00BE3F1B" w:rsidP="00BE3F1B">
            <w:pPr>
              <w:rPr>
                <w:rFonts w:ascii="Arial" w:hAnsi="Arial" w:cs="Arial"/>
                <w:sz w:val="16"/>
                <w:szCs w:val="16"/>
              </w:rPr>
            </w:pPr>
            <w:r>
              <w:rPr>
                <w:rFonts w:ascii="Arial" w:hAnsi="Arial" w:cs="Arial"/>
                <w:sz w:val="16"/>
                <w:szCs w:val="16"/>
              </w:rPr>
              <w:t>8 additional</w:t>
            </w:r>
            <w:r w:rsidR="00971C84" w:rsidRPr="00FD3DD2">
              <w:rPr>
                <w:rFonts w:ascii="Arial" w:hAnsi="Arial" w:cs="Arial"/>
                <w:sz w:val="16"/>
                <w:szCs w:val="16"/>
              </w:rPr>
              <w:t> </w:t>
            </w:r>
          </w:p>
        </w:tc>
      </w:tr>
    </w:tbl>
    <w:p w14:paraId="131ACAC4" w14:textId="77777777" w:rsidR="004E671F" w:rsidRDefault="004E671F" w:rsidP="00971C84">
      <w:pPr>
        <w:jc w:val="both"/>
        <w:rPr>
          <w:rFonts w:ascii="Arial" w:hAnsi="Arial" w:cs="Arial"/>
          <w:lang w:eastAsia="zh-CN"/>
        </w:rPr>
      </w:pPr>
    </w:p>
    <w:p w14:paraId="05E178BB" w14:textId="77777777" w:rsidR="004E671F" w:rsidRDefault="004E671F" w:rsidP="00971C84">
      <w:pPr>
        <w:jc w:val="both"/>
        <w:rPr>
          <w:rFonts w:ascii="Arial" w:hAnsi="Arial" w:cs="Arial"/>
          <w:lang w:eastAsia="zh-CN"/>
        </w:rPr>
      </w:pPr>
    </w:p>
    <w:p w14:paraId="66F3843C" w14:textId="4FCB979B" w:rsidR="00971C84" w:rsidRDefault="00971C84" w:rsidP="004E671F">
      <w:pPr>
        <w:keepNext/>
        <w:keepLines/>
        <w:jc w:val="both"/>
        <w:rPr>
          <w:rFonts w:ascii="Arial" w:hAnsi="Arial" w:cs="Arial"/>
          <w:lang w:eastAsia="zh-CN"/>
        </w:rPr>
      </w:pPr>
      <w:r>
        <w:rPr>
          <w:rFonts w:ascii="Arial" w:hAnsi="Arial" w:cs="Arial"/>
          <w:lang w:eastAsia="zh-CN"/>
        </w:rPr>
        <w:t>RESOURCES FOR PROGRAM 20</w:t>
      </w:r>
    </w:p>
    <w:p w14:paraId="60B2FAAE" w14:textId="77777777" w:rsidR="007F22AC" w:rsidRDefault="007F22AC" w:rsidP="004E671F">
      <w:pPr>
        <w:keepNext/>
        <w:keepLines/>
        <w:jc w:val="both"/>
        <w:rPr>
          <w:rFonts w:ascii="Arial" w:hAnsi="Arial" w:cs="Arial"/>
          <w:lang w:eastAsia="zh-CN"/>
        </w:rPr>
      </w:pPr>
    </w:p>
    <w:p w14:paraId="521EF32F" w14:textId="466C866E" w:rsidR="007F22AC" w:rsidRPr="007F22AC" w:rsidRDefault="008A1483" w:rsidP="007F22AC">
      <w:pPr>
        <w:numPr>
          <w:ilvl w:val="0"/>
          <w:numId w:val="72"/>
        </w:numPr>
        <w:jc w:val="both"/>
        <w:rPr>
          <w:rFonts w:ascii="Arial" w:hAnsi="Arial" w:cs="Arial"/>
          <w:sz w:val="20"/>
        </w:rPr>
      </w:pPr>
      <w:r>
        <w:rPr>
          <w:rFonts w:ascii="Arial" w:hAnsi="Arial" w:cs="Arial"/>
          <w:sz w:val="20"/>
        </w:rPr>
        <w:t xml:space="preserve">Resources required to continue </w:t>
      </w:r>
      <w:r w:rsidR="007F22AC" w:rsidRPr="007F22AC">
        <w:rPr>
          <w:rFonts w:ascii="Arial" w:hAnsi="Arial" w:cs="Arial"/>
          <w:sz w:val="20"/>
        </w:rPr>
        <w:t xml:space="preserve">the current operating </w:t>
      </w:r>
      <w:r>
        <w:rPr>
          <w:rFonts w:ascii="Arial" w:hAnsi="Arial" w:cs="Arial"/>
          <w:sz w:val="20"/>
        </w:rPr>
        <w:t>model</w:t>
      </w:r>
      <w:r w:rsidRPr="007F22AC">
        <w:rPr>
          <w:rFonts w:ascii="Arial" w:hAnsi="Arial" w:cs="Arial"/>
          <w:sz w:val="20"/>
        </w:rPr>
        <w:t xml:space="preserve"> </w:t>
      </w:r>
      <w:r>
        <w:rPr>
          <w:rFonts w:ascii="Arial" w:hAnsi="Arial" w:cs="Arial"/>
          <w:sz w:val="20"/>
        </w:rPr>
        <w:t xml:space="preserve">for the WIPO Coordination Office in New York throughout the biennium 2016/17 will be ensured through cost efficiencies and savings in the overall implementation of WIPO’s Program and Budget. </w:t>
      </w:r>
    </w:p>
    <w:p w14:paraId="0864259F" w14:textId="77777777" w:rsidR="007F22AC" w:rsidRPr="007F22AC" w:rsidRDefault="007F22AC" w:rsidP="007F22AC">
      <w:pPr>
        <w:jc w:val="both"/>
        <w:rPr>
          <w:rFonts w:ascii="Arial" w:hAnsi="Arial" w:cs="Arial"/>
          <w:sz w:val="20"/>
        </w:rPr>
      </w:pPr>
    </w:p>
    <w:p w14:paraId="05040C8C" w14:textId="77777777" w:rsidR="007F22AC" w:rsidRPr="009539C7" w:rsidRDefault="007F22AC" w:rsidP="007F22AC">
      <w:pPr>
        <w:numPr>
          <w:ilvl w:val="0"/>
          <w:numId w:val="72"/>
        </w:numPr>
        <w:jc w:val="both"/>
        <w:rPr>
          <w:rFonts w:ascii="Arial" w:hAnsi="Arial" w:cs="Arial"/>
          <w:sz w:val="20"/>
        </w:rPr>
      </w:pPr>
      <w:r w:rsidRPr="007F22AC">
        <w:rPr>
          <w:rFonts w:ascii="Arial" w:hAnsi="Arial" w:cs="Arial"/>
          <w:sz w:val="20"/>
        </w:rPr>
        <w:t xml:space="preserve">Variations in resources across Expected Results as compared to the 2014/15 Budget after Transfers are largely the result of more accurately aligning resources to Expected results for all WIPO External Offices for the 2016/17 Biennium. </w:t>
      </w:r>
    </w:p>
    <w:p w14:paraId="4D47D305" w14:textId="77777777" w:rsidR="007F22AC" w:rsidRPr="003F047B" w:rsidRDefault="007F22AC" w:rsidP="004E671F">
      <w:pPr>
        <w:keepNext/>
        <w:keepLines/>
        <w:jc w:val="both"/>
        <w:rPr>
          <w:rFonts w:ascii="Arial" w:hAnsi="Arial" w:cs="Arial"/>
          <w:lang w:eastAsia="zh-CN"/>
        </w:rPr>
      </w:pPr>
    </w:p>
    <w:p w14:paraId="2724DA19" w14:textId="77777777" w:rsidR="00971C84" w:rsidRDefault="00971C84" w:rsidP="004E671F">
      <w:pPr>
        <w:keepNext/>
        <w:keepLines/>
        <w:jc w:val="both"/>
        <w:rPr>
          <w:rFonts w:ascii="Arial" w:hAnsi="Arial" w:cs="Arial"/>
          <w:sz w:val="20"/>
          <w:lang w:eastAsia="zh-CN"/>
        </w:rPr>
      </w:pPr>
    </w:p>
    <w:p w14:paraId="4BCFC4ED" w14:textId="77777777" w:rsidR="00971C84" w:rsidRDefault="00971C84" w:rsidP="004E671F">
      <w:pPr>
        <w:keepNext/>
        <w:keepLines/>
        <w:tabs>
          <w:tab w:val="left" w:pos="1427"/>
        </w:tabs>
        <w:jc w:val="center"/>
        <w:rPr>
          <w:rFonts w:ascii="Arial" w:hAnsi="Arial" w:cs="Arial"/>
          <w:sz w:val="20"/>
        </w:rPr>
      </w:pPr>
      <w:r>
        <w:rPr>
          <w:rFonts w:ascii="Arial" w:hAnsi="Arial" w:cs="Arial"/>
          <w:b/>
          <w:sz w:val="20"/>
          <w:szCs w:val="24"/>
        </w:rPr>
        <w:t>Program 20:  Resources by Result</w:t>
      </w:r>
    </w:p>
    <w:p w14:paraId="7CC29BC0" w14:textId="77777777" w:rsidR="00971C84" w:rsidRDefault="00971C84" w:rsidP="004E671F">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72BEEB86" w14:textId="77777777" w:rsidR="004E671F" w:rsidRDefault="004E671F" w:rsidP="004E671F">
      <w:pPr>
        <w:keepNext/>
        <w:keepLines/>
        <w:tabs>
          <w:tab w:val="left" w:pos="1427"/>
        </w:tabs>
        <w:jc w:val="center"/>
        <w:rPr>
          <w:rFonts w:ascii="Arial" w:hAnsi="Arial" w:cs="Arial"/>
          <w:i/>
          <w:sz w:val="20"/>
          <w:szCs w:val="24"/>
        </w:rPr>
      </w:pPr>
    </w:p>
    <w:p w14:paraId="706F820F" w14:textId="4DEE05DE" w:rsidR="00971C84" w:rsidRDefault="00971C84" w:rsidP="004E671F">
      <w:pPr>
        <w:keepNext/>
        <w:keepLines/>
        <w:tabs>
          <w:tab w:val="left" w:pos="1427"/>
        </w:tabs>
        <w:jc w:val="center"/>
        <w:rPr>
          <w:rFonts w:ascii="Arial" w:hAnsi="Arial" w:cs="Arial"/>
          <w:i/>
          <w:sz w:val="20"/>
          <w:szCs w:val="24"/>
        </w:rPr>
      </w:pPr>
      <w:r w:rsidRPr="00EB434D">
        <w:rPr>
          <w:noProof/>
          <w:lang w:eastAsia="en-US"/>
        </w:rPr>
        <w:drawing>
          <wp:inline distT="0" distB="0" distL="0" distR="0" wp14:anchorId="56153C02" wp14:editId="437EC94F">
            <wp:extent cx="4773022" cy="5573864"/>
            <wp:effectExtent l="0" t="0" r="8890" b="825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80197" cy="5582243"/>
                    </a:xfrm>
                    <a:prstGeom prst="rect">
                      <a:avLst/>
                    </a:prstGeom>
                    <a:noFill/>
                    <a:ln>
                      <a:noFill/>
                    </a:ln>
                  </pic:spPr>
                </pic:pic>
              </a:graphicData>
            </a:graphic>
          </wp:inline>
        </w:drawing>
      </w:r>
    </w:p>
    <w:p w14:paraId="2A6B5594" w14:textId="77777777" w:rsidR="004E671F" w:rsidRDefault="004E671F">
      <w:pPr>
        <w:rPr>
          <w:rFonts w:ascii="Arial" w:hAnsi="Arial" w:cs="Arial"/>
          <w:b/>
          <w:sz w:val="20"/>
          <w:szCs w:val="24"/>
        </w:rPr>
      </w:pPr>
      <w:r>
        <w:rPr>
          <w:rFonts w:ascii="Arial" w:hAnsi="Arial" w:cs="Arial"/>
          <w:b/>
          <w:sz w:val="20"/>
          <w:szCs w:val="24"/>
        </w:rPr>
        <w:br w:type="page"/>
      </w:r>
    </w:p>
    <w:p w14:paraId="00DD7FBA" w14:textId="229ADF0A" w:rsidR="00971C84" w:rsidRDefault="00971C84" w:rsidP="00971C84">
      <w:pPr>
        <w:keepNext/>
        <w:keepLines/>
        <w:tabs>
          <w:tab w:val="left" w:pos="1427"/>
        </w:tabs>
        <w:jc w:val="center"/>
        <w:rPr>
          <w:rFonts w:ascii="Arial" w:hAnsi="Arial" w:cs="Arial"/>
          <w:sz w:val="20"/>
        </w:rPr>
      </w:pPr>
      <w:r>
        <w:rPr>
          <w:rFonts w:ascii="Arial" w:hAnsi="Arial" w:cs="Arial"/>
          <w:b/>
          <w:sz w:val="20"/>
          <w:szCs w:val="24"/>
        </w:rPr>
        <w:lastRenderedPageBreak/>
        <w:t>Program 20:  Resources by Object of Expenditure</w:t>
      </w:r>
    </w:p>
    <w:p w14:paraId="4C79A2DD" w14:textId="77777777" w:rsidR="00971C84" w:rsidRDefault="00971C84" w:rsidP="00971C84">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241B3A04" w14:textId="77777777" w:rsidR="000C7E3F" w:rsidRDefault="000C7E3F" w:rsidP="00971C84">
      <w:pPr>
        <w:keepNext/>
        <w:keepLines/>
        <w:tabs>
          <w:tab w:val="left" w:pos="1427"/>
        </w:tabs>
        <w:jc w:val="center"/>
        <w:rPr>
          <w:rFonts w:ascii="Arial" w:hAnsi="Arial" w:cs="Arial"/>
          <w:i/>
          <w:sz w:val="20"/>
          <w:szCs w:val="24"/>
        </w:rPr>
      </w:pPr>
    </w:p>
    <w:p w14:paraId="7169DD23" w14:textId="77777777" w:rsidR="00971C84" w:rsidRDefault="00971C84" w:rsidP="00971C84">
      <w:pPr>
        <w:keepNext/>
        <w:keepLines/>
        <w:tabs>
          <w:tab w:val="left" w:pos="1427"/>
        </w:tabs>
        <w:jc w:val="center"/>
        <w:rPr>
          <w:rFonts w:ascii="Arial" w:hAnsi="Arial" w:cs="Arial"/>
          <w:i/>
          <w:sz w:val="20"/>
          <w:szCs w:val="24"/>
        </w:rPr>
      </w:pPr>
    </w:p>
    <w:p w14:paraId="2EA76D14" w14:textId="0F64ADBD" w:rsidR="000C7E3F" w:rsidRDefault="000C7E3F" w:rsidP="00971C84">
      <w:pPr>
        <w:keepNext/>
        <w:keepLines/>
        <w:tabs>
          <w:tab w:val="left" w:pos="1427"/>
        </w:tabs>
        <w:jc w:val="center"/>
        <w:rPr>
          <w:rFonts w:ascii="Arial" w:hAnsi="Arial" w:cs="Arial"/>
          <w:i/>
          <w:sz w:val="20"/>
          <w:szCs w:val="24"/>
        </w:rPr>
      </w:pPr>
      <w:r w:rsidRPr="000C7E3F">
        <w:rPr>
          <w:noProof/>
          <w:lang w:eastAsia="en-US"/>
        </w:rPr>
        <w:drawing>
          <wp:inline distT="0" distB="0" distL="0" distR="0" wp14:anchorId="2DB34F20" wp14:editId="221673A2">
            <wp:extent cx="4937087" cy="5559552"/>
            <wp:effectExtent l="0" t="0" r="0" b="317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37087" cy="5559552"/>
                    </a:xfrm>
                    <a:prstGeom prst="rect">
                      <a:avLst/>
                    </a:prstGeom>
                    <a:noFill/>
                    <a:ln>
                      <a:noFill/>
                    </a:ln>
                  </pic:spPr>
                </pic:pic>
              </a:graphicData>
            </a:graphic>
          </wp:inline>
        </w:drawing>
      </w:r>
    </w:p>
    <w:p w14:paraId="05557FC1" w14:textId="4C6DF32A" w:rsidR="00971C84" w:rsidRDefault="00971C84" w:rsidP="00971C84">
      <w:pPr>
        <w:jc w:val="center"/>
        <w:rPr>
          <w:rFonts w:ascii="Arial" w:hAnsi="Arial" w:cs="Arial"/>
          <w:sz w:val="20"/>
          <w:lang w:eastAsia="zh-CN"/>
        </w:rPr>
      </w:pPr>
    </w:p>
    <w:p w14:paraId="3C12C224" w14:textId="2E7A09F7" w:rsidR="00971C84" w:rsidRPr="00DB3700" w:rsidRDefault="009346F5" w:rsidP="00DB3700">
      <w:pPr>
        <w:rPr>
          <w:rFonts w:ascii="Arial" w:hAnsi="Arial" w:cs="Arial"/>
          <w:color w:val="FFFFFF" w:themeColor="background1"/>
          <w:sz w:val="20"/>
          <w:lang w:eastAsia="zh-CN"/>
        </w:rPr>
      </w:pPr>
      <w:r w:rsidRPr="00DB3700">
        <w:rPr>
          <w:rStyle w:val="FootnoteReference"/>
          <w:rFonts w:ascii="Arial" w:hAnsi="Arial" w:cs="Arial"/>
          <w:color w:val="FFFFFF" w:themeColor="background1"/>
          <w:sz w:val="20"/>
          <w:lang w:eastAsia="zh-CN"/>
        </w:rPr>
        <w:footnoteReference w:id="23"/>
      </w:r>
    </w:p>
    <w:p w14:paraId="36AEAD4E" w14:textId="77777777" w:rsidR="00971C84" w:rsidRDefault="00971C84" w:rsidP="00971C84">
      <w:pPr>
        <w:jc w:val="center"/>
        <w:rPr>
          <w:rFonts w:ascii="Arial" w:hAnsi="Arial" w:cs="Arial"/>
          <w:sz w:val="20"/>
          <w:lang w:eastAsia="zh-CN"/>
        </w:rPr>
      </w:pPr>
    </w:p>
    <w:p w14:paraId="3C67358E" w14:textId="77777777" w:rsidR="00971C84" w:rsidRPr="00425968" w:rsidRDefault="00971C84" w:rsidP="00971C84">
      <w:pPr>
        <w:keepNext/>
        <w:keepLines/>
        <w:jc w:val="center"/>
        <w:rPr>
          <w:rFonts w:ascii="Arial" w:hAnsi="Arial" w:cs="Arial"/>
          <w:b/>
          <w:sz w:val="20"/>
        </w:rPr>
      </w:pPr>
      <w:r w:rsidRPr="00425968">
        <w:rPr>
          <w:rFonts w:ascii="Arial" w:hAnsi="Arial" w:cs="Arial"/>
          <w:b/>
          <w:sz w:val="20"/>
        </w:rPr>
        <w:t>Funds in Trust Potentially Available for Programming in 2016/17 (BY PROGRAM)</w:t>
      </w:r>
      <w:r w:rsidRPr="00425968">
        <w:rPr>
          <w:rFonts w:ascii="Arial" w:hAnsi="Arial" w:cs="Arial"/>
          <w:i/>
          <w:sz w:val="20"/>
          <w:vertAlign w:val="superscript"/>
        </w:rPr>
        <w:t xml:space="preserve"> </w:t>
      </w:r>
      <w:r w:rsidRPr="00425968">
        <w:rPr>
          <w:rFonts w:ascii="Arial" w:hAnsi="Arial" w:cs="Arial"/>
          <w:sz w:val="20"/>
          <w:vertAlign w:val="superscript"/>
        </w:rPr>
        <w:t>1</w:t>
      </w:r>
    </w:p>
    <w:p w14:paraId="5E7E59BB" w14:textId="77777777" w:rsidR="00971C84" w:rsidRPr="00425968" w:rsidRDefault="00971C84" w:rsidP="00971C84">
      <w:pPr>
        <w:keepNext/>
        <w:keepLines/>
        <w:jc w:val="center"/>
        <w:rPr>
          <w:rFonts w:ascii="Arial" w:hAnsi="Arial" w:cs="Arial"/>
          <w:i/>
          <w:sz w:val="20"/>
        </w:rPr>
      </w:pPr>
      <w:r w:rsidRPr="00425968">
        <w:rPr>
          <w:rFonts w:ascii="Arial" w:hAnsi="Arial" w:cs="Arial"/>
          <w:i/>
          <w:sz w:val="20"/>
        </w:rPr>
        <w:t>(in thousands of Swiss francs)</w:t>
      </w:r>
    </w:p>
    <w:p w14:paraId="6E255223" w14:textId="77777777" w:rsidR="00971C84" w:rsidRPr="003F047B" w:rsidRDefault="00971C84" w:rsidP="00971C84">
      <w:pPr>
        <w:keepNext/>
        <w:keepLines/>
        <w:jc w:val="center"/>
        <w:rPr>
          <w:rFonts w:ascii="Arial" w:hAnsi="Arial" w:cs="Arial"/>
          <w:sz w:val="20"/>
          <w:lang w:eastAsia="zh-CN"/>
        </w:rPr>
      </w:pPr>
    </w:p>
    <w:p w14:paraId="28CCF836" w14:textId="77777777" w:rsidR="00971C84" w:rsidRPr="00455DF0" w:rsidRDefault="00971C84" w:rsidP="00FD3DD2">
      <w:pPr>
        <w:keepNext/>
        <w:keepLines/>
        <w:jc w:val="center"/>
        <w:rPr>
          <w:rFonts w:ascii="Arial" w:hAnsi="Arial" w:cs="Arial"/>
          <w:sz w:val="20"/>
        </w:rPr>
      </w:pPr>
      <w:r w:rsidRPr="003A63C9">
        <w:rPr>
          <w:noProof/>
          <w:lang w:eastAsia="en-US"/>
        </w:rPr>
        <w:drawing>
          <wp:inline distT="0" distB="0" distL="0" distR="0" wp14:anchorId="0C2D7858" wp14:editId="2D8BFC69">
            <wp:extent cx="5438693" cy="887621"/>
            <wp:effectExtent l="0" t="0" r="0" b="825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79705" cy="894314"/>
                    </a:xfrm>
                    <a:prstGeom prst="rect">
                      <a:avLst/>
                    </a:prstGeom>
                    <a:noFill/>
                    <a:ln>
                      <a:noFill/>
                    </a:ln>
                  </pic:spPr>
                </pic:pic>
              </a:graphicData>
            </a:graphic>
          </wp:inline>
        </w:drawing>
      </w:r>
    </w:p>
    <w:p w14:paraId="5A5AEDE2" w14:textId="77777777" w:rsidR="00971C84" w:rsidRDefault="00971C84" w:rsidP="00971C84">
      <w:pPr>
        <w:keepNext/>
        <w:keepLines/>
        <w:jc w:val="both"/>
        <w:rPr>
          <w:rFonts w:ascii="Arial" w:hAnsi="Arial" w:cs="Arial"/>
          <w:bCs/>
          <w:sz w:val="20"/>
          <w:lang w:eastAsia="zh-CN"/>
        </w:rPr>
      </w:pPr>
    </w:p>
    <w:p w14:paraId="6D64CEC4" w14:textId="77777777" w:rsidR="00971C84" w:rsidRPr="00425968" w:rsidRDefault="00971C84" w:rsidP="00FB68E0">
      <w:pPr>
        <w:keepNext/>
        <w:keepLines/>
        <w:spacing w:after="60"/>
        <w:rPr>
          <w:rFonts w:ascii="Arial" w:hAnsi="Arial" w:cs="Arial"/>
          <w:i/>
          <w:sz w:val="16"/>
          <w:szCs w:val="14"/>
        </w:rPr>
      </w:pPr>
      <w:r w:rsidRPr="00425968">
        <w:rPr>
          <w:rFonts w:ascii="Arial" w:hAnsi="Arial" w:cs="Arial"/>
          <w:i/>
          <w:sz w:val="16"/>
          <w:szCs w:val="14"/>
          <w:vertAlign w:val="superscript"/>
        </w:rPr>
        <w:t>1</w:t>
      </w:r>
      <w:r w:rsidRPr="0042596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3138858" w14:textId="77777777" w:rsidR="00971C84" w:rsidRPr="00425968" w:rsidRDefault="00971C84" w:rsidP="00971C84">
      <w:pPr>
        <w:rPr>
          <w:rFonts w:ascii="Arial" w:hAnsi="Arial" w:cs="Arial"/>
          <w:i/>
          <w:sz w:val="16"/>
          <w:szCs w:val="14"/>
        </w:rPr>
      </w:pPr>
      <w:r w:rsidRPr="00425968">
        <w:rPr>
          <w:rFonts w:ascii="Arial" w:hAnsi="Arial" w:cs="Arial"/>
          <w:i/>
          <w:sz w:val="16"/>
          <w:szCs w:val="14"/>
          <w:vertAlign w:val="superscript"/>
        </w:rPr>
        <w:t>2</w:t>
      </w:r>
      <w:r w:rsidRPr="0042596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5F62624C" w14:textId="77777777" w:rsidR="00971C84" w:rsidRDefault="00971C84" w:rsidP="00971C84">
      <w:pPr>
        <w:jc w:val="both"/>
        <w:rPr>
          <w:rFonts w:ascii="Arial" w:hAnsi="Arial" w:cs="Arial"/>
          <w:bCs/>
          <w:sz w:val="20"/>
          <w:lang w:eastAsia="zh-CN"/>
        </w:rPr>
      </w:pPr>
    </w:p>
    <w:p w14:paraId="62EF5ECC" w14:textId="782F51E9" w:rsidR="00984F70" w:rsidRDefault="00984F70">
      <w:pPr>
        <w:rPr>
          <w:rFonts w:ascii="Arial" w:hAnsi="Arial" w:cs="Arial"/>
          <w:sz w:val="20"/>
        </w:rPr>
      </w:pPr>
      <w:r>
        <w:rPr>
          <w:rFonts w:ascii="Arial" w:hAnsi="Arial" w:cs="Arial"/>
          <w:sz w:val="20"/>
        </w:rPr>
        <w:lastRenderedPageBreak/>
        <w:br w:type="page"/>
      </w:r>
    </w:p>
    <w:p w14:paraId="3062A538" w14:textId="533F18F5" w:rsidR="00770C06" w:rsidRPr="00B30215" w:rsidRDefault="00770C06" w:rsidP="003D65C6">
      <w:pPr>
        <w:pStyle w:val="StyleHeading3ComplexItalic"/>
        <w:tabs>
          <w:tab w:val="clear" w:pos="1985"/>
          <w:tab w:val="left" w:pos="3119"/>
        </w:tabs>
        <w:ind w:left="3119" w:hanging="3119"/>
        <w:rPr>
          <w:rStyle w:val="StyleStyleHeading3ComplexItalicLatin12ptChar"/>
          <w:rFonts w:eastAsia="SimSun"/>
          <w:b/>
          <w:szCs w:val="24"/>
        </w:rPr>
      </w:pPr>
      <w:bookmarkStart w:id="66" w:name="_Toc367350601"/>
      <w:bookmarkStart w:id="67" w:name="_Toc431221435"/>
      <w:r w:rsidRPr="00B30215">
        <w:rPr>
          <w:rStyle w:val="StyleStyleHeading3ComplexItalicLatin12ptChar"/>
          <w:rFonts w:eastAsia="SimSun"/>
          <w:b/>
          <w:szCs w:val="24"/>
        </w:rPr>
        <w:lastRenderedPageBreak/>
        <w:t xml:space="preserve">STRATEGIC GOAL IX </w:t>
      </w:r>
      <w:r w:rsidR="003D65C6" w:rsidRPr="00B30215">
        <w:rPr>
          <w:rStyle w:val="StyleStyleHeading3ComplexItalicLatin12ptChar"/>
          <w:rFonts w:eastAsia="SimSun"/>
          <w:b/>
          <w:szCs w:val="24"/>
        </w:rPr>
        <w:tab/>
        <w:t>EFFICIENT ADMINISTRATIVE AND FINANCIAL SUPPORT</w:t>
      </w:r>
      <w:bookmarkEnd w:id="66"/>
      <w:bookmarkEnd w:id="67"/>
    </w:p>
    <w:p w14:paraId="5369291D" w14:textId="77777777" w:rsidR="00770C06" w:rsidRPr="00A522FE" w:rsidRDefault="00770C06" w:rsidP="00770C06">
      <w:pPr>
        <w:tabs>
          <w:tab w:val="left" w:pos="1701"/>
        </w:tabs>
        <w:ind w:left="1701" w:hanging="1701"/>
        <w:jc w:val="center"/>
        <w:rPr>
          <w:rFonts w:ascii="Arial" w:hAnsi="Arial" w:cs="Arial"/>
          <w:b/>
          <w:bCs/>
          <w:caps/>
          <w:szCs w:val="24"/>
        </w:rPr>
      </w:pPr>
    </w:p>
    <w:p w14:paraId="045B1A3A" w14:textId="77777777" w:rsidR="00770C06" w:rsidRPr="00A522FE" w:rsidRDefault="00770C06" w:rsidP="00770C06">
      <w:pPr>
        <w:tabs>
          <w:tab w:val="left" w:pos="1701"/>
        </w:tabs>
        <w:ind w:left="1701" w:hanging="1701"/>
        <w:jc w:val="center"/>
        <w:rPr>
          <w:rFonts w:ascii="Arial" w:hAnsi="Arial" w:cs="Arial"/>
          <w:b/>
          <w:bCs/>
          <w:caps/>
          <w:szCs w:val="24"/>
        </w:rPr>
      </w:pPr>
    </w:p>
    <w:p w14:paraId="3609CAA2" w14:textId="77777777" w:rsidR="00770C06" w:rsidRPr="00A522FE" w:rsidRDefault="00770C06" w:rsidP="00770C06">
      <w:pPr>
        <w:tabs>
          <w:tab w:val="left" w:pos="0"/>
        </w:tabs>
        <w:jc w:val="both"/>
        <w:rPr>
          <w:rFonts w:ascii="Arial" w:hAnsi="Arial" w:cs="Arial"/>
          <w:b/>
          <w:bCs/>
          <w:i/>
          <w:iCs/>
          <w:caps/>
        </w:rPr>
      </w:pPr>
      <w:r w:rsidRPr="00F3719C">
        <w:rPr>
          <w:rFonts w:ascii="Arial" w:hAnsi="Arial" w:cs="Arial"/>
          <w:sz w:val="20"/>
        </w:rPr>
        <w:t xml:space="preserve">Strategic Goal IX is the second of two enabling goals.  It reflects and responds to the needs of the Organization as a whole for an administrative, financial and management support structure focused on enabling program delivery, with efficiency and transparency as guiding principles.  This strategic goal also covers the broad institutional reform (the Strategic Realignment Program) that will </w:t>
      </w:r>
      <w:r w:rsidRPr="00F3719C">
        <w:rPr>
          <w:rFonts w:ascii="Arial" w:hAnsi="Arial" w:cs="Arial"/>
          <w:bCs/>
          <w:color w:val="000000"/>
          <w:sz w:val="20"/>
        </w:rPr>
        <w:t xml:space="preserve">enable WIPO to </w:t>
      </w:r>
      <w:r w:rsidRPr="00F3719C">
        <w:rPr>
          <w:rFonts w:ascii="Arial" w:hAnsi="Arial" w:cs="Arial"/>
          <w:sz w:val="20"/>
        </w:rPr>
        <w:t xml:space="preserve">provide better, more efficient and cost-effective support </w:t>
      </w:r>
      <w:r w:rsidRPr="00F3719C">
        <w:rPr>
          <w:rFonts w:ascii="Arial" w:hAnsi="Arial" w:cs="Arial"/>
          <w:bCs/>
          <w:color w:val="000000"/>
          <w:sz w:val="20"/>
        </w:rPr>
        <w:t>and to achieve enhanced performance</w:t>
      </w:r>
      <w:r w:rsidRPr="00F3719C">
        <w:rPr>
          <w:rFonts w:ascii="Arial" w:hAnsi="Arial" w:cs="Arial"/>
          <w:sz w:val="20"/>
        </w:rPr>
        <w:t>.</w:t>
      </w:r>
    </w:p>
    <w:p w14:paraId="30AF7F18" w14:textId="77777777" w:rsidR="00770C06" w:rsidRDefault="00770C06" w:rsidP="00770C06">
      <w:pPr>
        <w:tabs>
          <w:tab w:val="left" w:pos="1701"/>
        </w:tabs>
        <w:ind w:left="1701" w:hanging="1701"/>
        <w:jc w:val="center"/>
        <w:rPr>
          <w:rFonts w:ascii="Arial" w:hAnsi="Arial" w:cs="Arial"/>
          <w:b/>
          <w:bCs/>
          <w:caps/>
          <w:sz w:val="20"/>
        </w:rPr>
      </w:pPr>
    </w:p>
    <w:p w14:paraId="72BF047E" w14:textId="251C4CE9" w:rsidR="00770C06" w:rsidRDefault="00770C06">
      <w:pPr>
        <w:rPr>
          <w:rFonts w:ascii="Arial" w:hAnsi="Arial" w:cs="Arial"/>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292B80" w:rsidRPr="00AF5E7C" w14:paraId="73A814ED" w14:textId="77777777" w:rsidTr="007536CC">
        <w:trPr>
          <w:cantSplit/>
          <w:trHeight w:val="317"/>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79F527A7" w14:textId="77777777" w:rsidR="00292B80" w:rsidRPr="005967EA" w:rsidRDefault="00292B80" w:rsidP="005A1F7F">
            <w:pPr>
              <w:spacing w:after="120"/>
              <w:jc w:val="center"/>
              <w:rPr>
                <w:rFonts w:ascii="Arial" w:hAnsi="Arial" w:cs="Arial"/>
                <w:b/>
                <w:bCs/>
                <w:sz w:val="18"/>
                <w:szCs w:val="18"/>
              </w:rPr>
            </w:pPr>
            <w:r w:rsidRPr="005967EA">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4CFF311F" w14:textId="77777777" w:rsidR="00292B80" w:rsidRPr="005967EA" w:rsidRDefault="00292B80" w:rsidP="005A1F7F">
            <w:pPr>
              <w:spacing w:after="120"/>
              <w:jc w:val="center"/>
              <w:rPr>
                <w:rFonts w:ascii="Arial" w:hAnsi="Arial" w:cs="Arial"/>
                <w:b/>
                <w:sz w:val="18"/>
                <w:szCs w:val="18"/>
              </w:rPr>
            </w:pPr>
            <w:r w:rsidRPr="005967EA">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0C4B0D" w14:textId="77777777" w:rsidR="00292B80" w:rsidRPr="005967EA" w:rsidRDefault="00292B80" w:rsidP="005A1F7F">
            <w:pPr>
              <w:spacing w:after="120"/>
              <w:ind w:left="85"/>
              <w:rPr>
                <w:rFonts w:ascii="Arial" w:hAnsi="Arial" w:cs="Arial"/>
                <w:sz w:val="18"/>
                <w:szCs w:val="18"/>
              </w:rPr>
            </w:pPr>
            <w:r w:rsidRPr="005967EA">
              <w:rPr>
                <w:rFonts w:ascii="Arial" w:hAnsi="Arial" w:cs="Arial"/>
                <w:b/>
                <w:bCs/>
                <w:sz w:val="18"/>
                <w:szCs w:val="18"/>
              </w:rPr>
              <w:t>Responsible Program(s)</w:t>
            </w:r>
          </w:p>
        </w:tc>
      </w:tr>
      <w:tr w:rsidR="00292B80" w:rsidRPr="00AF5E7C" w14:paraId="0DFC4247" w14:textId="77777777" w:rsidTr="007536CC">
        <w:trPr>
          <w:cantSplit/>
          <w:trHeight w:val="540"/>
        </w:trPr>
        <w:tc>
          <w:tcPr>
            <w:tcW w:w="1891" w:type="pct"/>
            <w:tcBorders>
              <w:top w:val="single" w:sz="4" w:space="0" w:color="auto"/>
            </w:tcBorders>
            <w:shd w:val="clear" w:color="auto" w:fill="auto"/>
            <w:tcMar>
              <w:top w:w="85" w:type="dxa"/>
              <w:bottom w:w="85" w:type="dxa"/>
            </w:tcMar>
          </w:tcPr>
          <w:p w14:paraId="1237B4D2" w14:textId="3FC9A605" w:rsidR="00292B80" w:rsidRPr="00815648" w:rsidRDefault="00292B80">
            <w:pPr>
              <w:rPr>
                <w:rFonts w:ascii="Arial" w:hAnsi="Arial" w:cs="Arial"/>
                <w:sz w:val="16"/>
                <w:szCs w:val="16"/>
              </w:rPr>
            </w:pPr>
            <w:r w:rsidRPr="00815648">
              <w:rPr>
                <w:rFonts w:ascii="Arial" w:hAnsi="Arial" w:cs="Arial"/>
                <w:sz w:val="16"/>
                <w:szCs w:val="16"/>
              </w:rPr>
              <w:t>IX.1</w:t>
            </w:r>
            <w:r>
              <w:rPr>
                <w:rFonts w:ascii="Arial" w:hAnsi="Arial" w:cs="Arial"/>
                <w:sz w:val="16"/>
                <w:szCs w:val="16"/>
              </w:rPr>
              <w:t xml:space="preserve"> </w:t>
            </w:r>
            <w:r w:rsidRPr="00815648">
              <w:rPr>
                <w:rFonts w:ascii="Arial" w:hAnsi="Arial" w:cs="Arial"/>
                <w:sz w:val="16"/>
                <w:szCs w:val="16"/>
              </w:rPr>
              <w:t xml:space="preserve"> Effective, efficient, quality and customer-oriented support services both to internal clients and to external stakeholders</w:t>
            </w:r>
          </w:p>
        </w:tc>
        <w:tc>
          <w:tcPr>
            <w:tcW w:w="1524" w:type="pct"/>
            <w:tcBorders>
              <w:top w:val="single" w:sz="4" w:space="0" w:color="auto"/>
            </w:tcBorders>
            <w:shd w:val="clear" w:color="auto" w:fill="auto"/>
            <w:tcMar>
              <w:top w:w="85" w:type="dxa"/>
              <w:bottom w:w="85" w:type="dxa"/>
            </w:tcMar>
          </w:tcPr>
          <w:p w14:paraId="7E20A557" w14:textId="77777777" w:rsidR="00292B80" w:rsidRPr="00815648" w:rsidRDefault="00292B80" w:rsidP="005A1F7F">
            <w:pPr>
              <w:rPr>
                <w:rFonts w:ascii="Arial" w:hAnsi="Arial" w:cs="Arial"/>
                <w:sz w:val="16"/>
                <w:szCs w:val="16"/>
              </w:rPr>
            </w:pPr>
            <w:r w:rsidRPr="0077186F">
              <w:rPr>
                <w:rFonts w:ascii="Arial" w:hAnsi="Arial" w:cs="Arial"/>
                <w:color w:val="000000"/>
                <w:sz w:val="16"/>
                <w:szCs w:val="16"/>
              </w:rPr>
              <w:t>% of queries for legal advice and services which receive prompt responses from OLC</w:t>
            </w:r>
          </w:p>
        </w:tc>
        <w:tc>
          <w:tcPr>
            <w:tcW w:w="1585" w:type="pct"/>
            <w:tcBorders>
              <w:top w:val="single" w:sz="4" w:space="0" w:color="auto"/>
            </w:tcBorders>
            <w:shd w:val="clear" w:color="auto" w:fill="FFFFFF"/>
            <w:tcMar>
              <w:top w:w="85" w:type="dxa"/>
              <w:bottom w:w="85" w:type="dxa"/>
            </w:tcMar>
          </w:tcPr>
          <w:p w14:paraId="4573FEA1" w14:textId="77777777" w:rsidR="00292B80" w:rsidRPr="00AF5E7C" w:rsidRDefault="00292B80" w:rsidP="005A1F7F">
            <w:pPr>
              <w:jc w:val="center"/>
              <w:rPr>
                <w:rFonts w:ascii="Arial" w:hAnsi="Arial" w:cs="Arial"/>
                <w:sz w:val="16"/>
                <w:szCs w:val="16"/>
              </w:rPr>
            </w:pPr>
            <w:r>
              <w:rPr>
                <w:rFonts w:ascii="Arial" w:hAnsi="Arial" w:cs="Arial"/>
                <w:sz w:val="16"/>
                <w:szCs w:val="16"/>
              </w:rPr>
              <w:t>Program 21</w:t>
            </w:r>
          </w:p>
        </w:tc>
      </w:tr>
      <w:tr w:rsidR="00292B80" w:rsidRPr="00AF5E7C" w14:paraId="49FC7EDF" w14:textId="77777777" w:rsidTr="007536CC">
        <w:trPr>
          <w:cantSplit/>
        </w:trPr>
        <w:tc>
          <w:tcPr>
            <w:tcW w:w="1891" w:type="pct"/>
            <w:shd w:val="clear" w:color="auto" w:fill="auto"/>
            <w:tcMar>
              <w:top w:w="85" w:type="dxa"/>
              <w:bottom w:w="85" w:type="dxa"/>
            </w:tcMar>
          </w:tcPr>
          <w:p w14:paraId="218764D4"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6233D3FC"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Provision of financial and management reports and analysis required by senior management, Program Managers and Member States in accordance with agreed deadlines</w:t>
            </w:r>
          </w:p>
        </w:tc>
        <w:tc>
          <w:tcPr>
            <w:tcW w:w="1585" w:type="pct"/>
            <w:shd w:val="clear" w:color="auto" w:fill="FFFFFF"/>
            <w:tcMar>
              <w:top w:w="85" w:type="dxa"/>
              <w:bottom w:w="85" w:type="dxa"/>
            </w:tcMar>
          </w:tcPr>
          <w:p w14:paraId="79584282"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15E5C034" w14:textId="77777777" w:rsidTr="007536CC">
        <w:trPr>
          <w:cantSplit/>
        </w:trPr>
        <w:tc>
          <w:tcPr>
            <w:tcW w:w="1891" w:type="pct"/>
            <w:shd w:val="clear" w:color="auto" w:fill="auto"/>
            <w:tcMar>
              <w:top w:w="85" w:type="dxa"/>
              <w:bottom w:w="85" w:type="dxa"/>
            </w:tcMar>
          </w:tcPr>
          <w:p w14:paraId="769BFE6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597BF456"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No. of PBC documents submitted on time to the Member States</w:t>
            </w:r>
          </w:p>
        </w:tc>
        <w:tc>
          <w:tcPr>
            <w:tcW w:w="1585" w:type="pct"/>
            <w:shd w:val="clear" w:color="auto" w:fill="FFFFFF"/>
            <w:tcMar>
              <w:top w:w="85" w:type="dxa"/>
              <w:bottom w:w="85" w:type="dxa"/>
            </w:tcMar>
          </w:tcPr>
          <w:p w14:paraId="03595A31" w14:textId="77777777" w:rsidR="00292B80" w:rsidRPr="00AF5E7C" w:rsidRDefault="00292B80" w:rsidP="005A1F7F">
            <w:pPr>
              <w:jc w:val="center"/>
              <w:rPr>
                <w:rFonts w:ascii="Arial" w:hAnsi="Arial" w:cs="Arial"/>
                <w:sz w:val="16"/>
                <w:szCs w:val="16"/>
                <w:lang w:bidi="th-TH"/>
              </w:rPr>
            </w:pPr>
            <w:r>
              <w:rPr>
                <w:rFonts w:ascii="Arial" w:hAnsi="Arial" w:cs="Arial"/>
                <w:sz w:val="16"/>
                <w:szCs w:val="16"/>
              </w:rPr>
              <w:t>Program 22</w:t>
            </w:r>
          </w:p>
        </w:tc>
      </w:tr>
      <w:tr w:rsidR="00292B80" w:rsidRPr="00AF5E7C" w14:paraId="66EC360D" w14:textId="77777777" w:rsidTr="007536CC">
        <w:trPr>
          <w:cantSplit/>
        </w:trPr>
        <w:tc>
          <w:tcPr>
            <w:tcW w:w="1891" w:type="pct"/>
            <w:shd w:val="clear" w:color="auto" w:fill="auto"/>
            <w:tcMar>
              <w:top w:w="85" w:type="dxa"/>
              <w:bottom w:w="85" w:type="dxa"/>
            </w:tcMar>
          </w:tcPr>
          <w:p w14:paraId="2A0B396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BA6B65C"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WIPO’s ERP system (AIMS) is operating efficiently according to business needs and in line with best practices</w:t>
            </w:r>
          </w:p>
        </w:tc>
        <w:tc>
          <w:tcPr>
            <w:tcW w:w="1585" w:type="pct"/>
            <w:shd w:val="clear" w:color="auto" w:fill="FFFFFF"/>
            <w:tcMar>
              <w:top w:w="85" w:type="dxa"/>
              <w:bottom w:w="85" w:type="dxa"/>
            </w:tcMar>
          </w:tcPr>
          <w:p w14:paraId="15AE9DE6"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2810B832" w14:textId="77777777" w:rsidTr="007536CC">
        <w:trPr>
          <w:cantSplit/>
        </w:trPr>
        <w:tc>
          <w:tcPr>
            <w:tcW w:w="1891" w:type="pct"/>
            <w:shd w:val="clear" w:color="auto" w:fill="auto"/>
            <w:tcMar>
              <w:top w:w="85" w:type="dxa"/>
              <w:bottom w:w="85" w:type="dxa"/>
            </w:tcMar>
          </w:tcPr>
          <w:p w14:paraId="0EE2851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3187A34"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ERP projects are delivered according to plan and within the budget of the portfolio</w:t>
            </w:r>
          </w:p>
        </w:tc>
        <w:tc>
          <w:tcPr>
            <w:tcW w:w="1585" w:type="pct"/>
            <w:shd w:val="clear" w:color="auto" w:fill="FFFFFF"/>
            <w:tcMar>
              <w:top w:w="85" w:type="dxa"/>
              <w:bottom w:w="85" w:type="dxa"/>
            </w:tcMar>
          </w:tcPr>
          <w:p w14:paraId="7D14F53A"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15127A00" w14:textId="77777777" w:rsidTr="007536CC">
        <w:trPr>
          <w:cantSplit/>
          <w:trHeight w:val="472"/>
        </w:trPr>
        <w:tc>
          <w:tcPr>
            <w:tcW w:w="1891" w:type="pct"/>
            <w:shd w:val="clear" w:color="auto" w:fill="auto"/>
            <w:tcMar>
              <w:top w:w="85" w:type="dxa"/>
              <w:bottom w:w="85" w:type="dxa"/>
            </w:tcMar>
          </w:tcPr>
          <w:p w14:paraId="24770EE3"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682E133" w14:textId="77777777" w:rsidR="00292B80" w:rsidRPr="000963F7" w:rsidRDefault="00292B80" w:rsidP="005A1F7F">
            <w:pPr>
              <w:rPr>
                <w:rFonts w:ascii="Arial" w:hAnsi="Arial" w:cs="Arial"/>
                <w:bCs/>
                <w:sz w:val="16"/>
                <w:szCs w:val="16"/>
              </w:rPr>
            </w:pPr>
            <w:r w:rsidRPr="00E62EB2">
              <w:rPr>
                <w:rFonts w:ascii="Arial" w:hAnsi="Arial" w:cs="Arial"/>
                <w:color w:val="000000"/>
                <w:sz w:val="16"/>
                <w:szCs w:val="16"/>
              </w:rPr>
              <w:t>% of staff satisfied with human resource services</w:t>
            </w:r>
          </w:p>
        </w:tc>
        <w:tc>
          <w:tcPr>
            <w:tcW w:w="1585" w:type="pct"/>
            <w:shd w:val="clear" w:color="auto" w:fill="FFFFFF"/>
            <w:tcMar>
              <w:top w:w="85" w:type="dxa"/>
              <w:bottom w:w="85" w:type="dxa"/>
            </w:tcMar>
          </w:tcPr>
          <w:p w14:paraId="660626FC"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2FF6E7FB" w14:textId="77777777" w:rsidTr="007536CC">
        <w:trPr>
          <w:cantSplit/>
          <w:trHeight w:val="472"/>
        </w:trPr>
        <w:tc>
          <w:tcPr>
            <w:tcW w:w="1891" w:type="pct"/>
            <w:shd w:val="clear" w:color="auto" w:fill="auto"/>
            <w:tcMar>
              <w:top w:w="85" w:type="dxa"/>
              <w:bottom w:w="85" w:type="dxa"/>
            </w:tcMar>
          </w:tcPr>
          <w:p w14:paraId="00DF0D6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8129D4A" w14:textId="77777777" w:rsidR="00292B80" w:rsidRPr="00336796" w:rsidRDefault="00292B80" w:rsidP="005A1F7F">
            <w:pPr>
              <w:rPr>
                <w:rFonts w:ascii="Arial" w:hAnsi="Arial" w:cs="Arial"/>
                <w:sz w:val="16"/>
                <w:szCs w:val="16"/>
              </w:rPr>
            </w:pPr>
            <w:r>
              <w:rPr>
                <w:rFonts w:ascii="Arial" w:hAnsi="Arial" w:cs="Arial"/>
                <w:color w:val="000000"/>
                <w:sz w:val="16"/>
                <w:szCs w:val="16"/>
              </w:rPr>
              <w:t xml:space="preserve">Increase in </w:t>
            </w:r>
            <w:r w:rsidRPr="00E62EB2">
              <w:rPr>
                <w:rFonts w:ascii="Arial" w:hAnsi="Arial" w:cs="Arial"/>
                <w:color w:val="000000"/>
                <w:sz w:val="16"/>
                <w:szCs w:val="16"/>
              </w:rPr>
              <w:t>automated</w:t>
            </w:r>
            <w:r>
              <w:rPr>
                <w:rFonts w:ascii="Arial" w:hAnsi="Arial" w:cs="Arial"/>
                <w:color w:val="000000"/>
                <w:sz w:val="16"/>
                <w:szCs w:val="16"/>
              </w:rPr>
              <w:t xml:space="preserve"> versus currently manually-processed </w:t>
            </w:r>
            <w:r w:rsidRPr="00E62EB2">
              <w:rPr>
                <w:rFonts w:ascii="Arial" w:hAnsi="Arial" w:cs="Arial"/>
                <w:color w:val="000000"/>
                <w:sz w:val="16"/>
                <w:szCs w:val="16"/>
              </w:rPr>
              <w:t>actions</w:t>
            </w:r>
          </w:p>
        </w:tc>
        <w:tc>
          <w:tcPr>
            <w:tcW w:w="1585" w:type="pct"/>
            <w:shd w:val="clear" w:color="auto" w:fill="FFFFFF"/>
            <w:tcMar>
              <w:top w:w="85" w:type="dxa"/>
              <w:bottom w:w="85" w:type="dxa"/>
            </w:tcMar>
          </w:tcPr>
          <w:p w14:paraId="4D28C413"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55812B81" w14:textId="77777777" w:rsidTr="007536CC">
        <w:trPr>
          <w:cantSplit/>
          <w:trHeight w:val="472"/>
        </w:trPr>
        <w:tc>
          <w:tcPr>
            <w:tcW w:w="1891" w:type="pct"/>
            <w:shd w:val="clear" w:color="auto" w:fill="auto"/>
            <w:tcMar>
              <w:top w:w="85" w:type="dxa"/>
              <w:bottom w:w="85" w:type="dxa"/>
            </w:tcMar>
          </w:tcPr>
          <w:p w14:paraId="2E2E469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057412F" w14:textId="77777777" w:rsidR="00292B80" w:rsidRDefault="00292B80" w:rsidP="005A1F7F">
            <w:pPr>
              <w:rPr>
                <w:rFonts w:ascii="Arial" w:hAnsi="Arial" w:cs="Arial"/>
                <w:color w:val="000000"/>
                <w:sz w:val="16"/>
                <w:szCs w:val="16"/>
              </w:rPr>
            </w:pPr>
            <w:r w:rsidRPr="00E62EB2">
              <w:rPr>
                <w:rFonts w:ascii="Arial" w:hAnsi="Arial" w:cs="Arial"/>
                <w:color w:val="000000"/>
                <w:sz w:val="16"/>
                <w:szCs w:val="16"/>
              </w:rPr>
              <w:t>% of queries processed within 5 working days</w:t>
            </w:r>
          </w:p>
        </w:tc>
        <w:tc>
          <w:tcPr>
            <w:tcW w:w="1585" w:type="pct"/>
            <w:shd w:val="clear" w:color="auto" w:fill="FFFFFF"/>
            <w:tcMar>
              <w:top w:w="85" w:type="dxa"/>
              <w:bottom w:w="85" w:type="dxa"/>
            </w:tcMar>
          </w:tcPr>
          <w:p w14:paraId="6E6C8D99"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1C94D80B" w14:textId="77777777" w:rsidTr="007536CC">
        <w:trPr>
          <w:cantSplit/>
          <w:trHeight w:val="233"/>
        </w:trPr>
        <w:tc>
          <w:tcPr>
            <w:tcW w:w="1891" w:type="pct"/>
            <w:shd w:val="clear" w:color="auto" w:fill="auto"/>
            <w:tcMar>
              <w:top w:w="85" w:type="dxa"/>
              <w:bottom w:w="85" w:type="dxa"/>
            </w:tcMar>
          </w:tcPr>
          <w:p w14:paraId="576ED68B"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522974CD" w14:textId="77777777" w:rsidR="00292B80" w:rsidRPr="00E62EB2" w:rsidRDefault="00292B80" w:rsidP="005A1F7F">
            <w:pPr>
              <w:rPr>
                <w:rFonts w:ascii="Arial" w:hAnsi="Arial" w:cs="Arial"/>
                <w:color w:val="000000"/>
                <w:sz w:val="16"/>
                <w:szCs w:val="16"/>
              </w:rPr>
            </w:pPr>
            <w:r w:rsidRPr="00E62EB2">
              <w:rPr>
                <w:rFonts w:ascii="Arial" w:hAnsi="Arial" w:cs="Arial"/>
                <w:color w:val="000000"/>
                <w:sz w:val="16"/>
                <w:szCs w:val="16"/>
              </w:rPr>
              <w:t>Optimized insurance coverage</w:t>
            </w:r>
          </w:p>
        </w:tc>
        <w:tc>
          <w:tcPr>
            <w:tcW w:w="1585" w:type="pct"/>
            <w:shd w:val="clear" w:color="auto" w:fill="FFFFFF"/>
            <w:tcMar>
              <w:top w:w="85" w:type="dxa"/>
              <w:bottom w:w="85" w:type="dxa"/>
            </w:tcMar>
          </w:tcPr>
          <w:p w14:paraId="1B72C24E"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7EBB4E18" w14:textId="77777777" w:rsidTr="007536CC">
        <w:trPr>
          <w:cantSplit/>
          <w:trHeight w:val="516"/>
        </w:trPr>
        <w:tc>
          <w:tcPr>
            <w:tcW w:w="1891" w:type="pct"/>
            <w:shd w:val="clear" w:color="auto" w:fill="auto"/>
            <w:tcMar>
              <w:top w:w="85" w:type="dxa"/>
              <w:bottom w:w="85" w:type="dxa"/>
            </w:tcMar>
          </w:tcPr>
          <w:p w14:paraId="1530F03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17B6B9C" w14:textId="77777777" w:rsidR="00292B80" w:rsidRPr="00F7400E" w:rsidRDefault="00292B80" w:rsidP="005A1F7F">
            <w:pPr>
              <w:rPr>
                <w:rFonts w:ascii="Arial" w:hAnsi="Arial" w:cs="Arial"/>
                <w:bCs/>
                <w:sz w:val="16"/>
                <w:szCs w:val="16"/>
              </w:rPr>
            </w:pPr>
            <w:r>
              <w:rPr>
                <w:rFonts w:ascii="Arial" w:hAnsi="Arial" w:cs="Arial"/>
                <w:color w:val="000000"/>
                <w:sz w:val="16"/>
                <w:szCs w:val="16"/>
              </w:rPr>
              <w:t>Cost savings for goods and services procured by WIPO (derived from RFPs or direct negotiations)</w:t>
            </w:r>
          </w:p>
        </w:tc>
        <w:tc>
          <w:tcPr>
            <w:tcW w:w="1585" w:type="pct"/>
            <w:shd w:val="clear" w:color="auto" w:fill="FFFFFF"/>
            <w:tcMar>
              <w:top w:w="85" w:type="dxa"/>
              <w:bottom w:w="85" w:type="dxa"/>
            </w:tcMar>
          </w:tcPr>
          <w:p w14:paraId="46DBF10D" w14:textId="77777777" w:rsidR="00292B80" w:rsidRDefault="00292B80" w:rsidP="005A1F7F">
            <w:pPr>
              <w:jc w:val="center"/>
              <w:rPr>
                <w:rFonts w:ascii="Arial" w:hAnsi="Arial" w:cs="Arial"/>
                <w:sz w:val="16"/>
                <w:szCs w:val="16"/>
                <w:lang w:bidi="th-TH"/>
              </w:rPr>
            </w:pPr>
            <w:r>
              <w:rPr>
                <w:rFonts w:ascii="Arial" w:hAnsi="Arial" w:cs="Arial"/>
                <w:sz w:val="16"/>
                <w:szCs w:val="16"/>
                <w:lang w:bidi="th-TH"/>
              </w:rPr>
              <w:t>Program 24</w:t>
            </w:r>
          </w:p>
        </w:tc>
      </w:tr>
      <w:tr w:rsidR="00292B80" w:rsidRPr="00AF5E7C" w14:paraId="6A79EF90" w14:textId="77777777" w:rsidTr="007536CC">
        <w:trPr>
          <w:cantSplit/>
          <w:trHeight w:val="326"/>
        </w:trPr>
        <w:tc>
          <w:tcPr>
            <w:tcW w:w="1891" w:type="pct"/>
            <w:shd w:val="clear" w:color="auto" w:fill="auto"/>
            <w:tcMar>
              <w:top w:w="85" w:type="dxa"/>
              <w:bottom w:w="85" w:type="dxa"/>
            </w:tcMar>
          </w:tcPr>
          <w:p w14:paraId="72AFEEC5"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6267E5BD" w14:textId="77777777" w:rsidR="00292B80" w:rsidRPr="00F7400E" w:rsidRDefault="00292B80" w:rsidP="005A1F7F">
            <w:pPr>
              <w:rPr>
                <w:rFonts w:ascii="Arial" w:hAnsi="Arial" w:cs="Arial"/>
                <w:sz w:val="16"/>
                <w:szCs w:val="16"/>
              </w:rPr>
            </w:pPr>
            <w:r>
              <w:rPr>
                <w:rFonts w:ascii="Arial" w:hAnsi="Arial" w:cs="Arial"/>
                <w:color w:val="000000"/>
                <w:sz w:val="16"/>
                <w:szCs w:val="16"/>
              </w:rPr>
              <w:t>Processing time ER</w:t>
            </w:r>
          </w:p>
        </w:tc>
        <w:tc>
          <w:tcPr>
            <w:tcW w:w="1585" w:type="pct"/>
            <w:shd w:val="clear" w:color="auto" w:fill="FFFFFF"/>
            <w:tcMar>
              <w:top w:w="85" w:type="dxa"/>
              <w:bottom w:w="85" w:type="dxa"/>
            </w:tcMar>
          </w:tcPr>
          <w:p w14:paraId="46E56C56"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7C7543FA" w14:textId="77777777" w:rsidTr="007536CC">
        <w:trPr>
          <w:cantSplit/>
          <w:trHeight w:val="376"/>
        </w:trPr>
        <w:tc>
          <w:tcPr>
            <w:tcW w:w="1891" w:type="pct"/>
            <w:shd w:val="clear" w:color="auto" w:fill="auto"/>
            <w:tcMar>
              <w:top w:w="85" w:type="dxa"/>
              <w:bottom w:w="85" w:type="dxa"/>
            </w:tcMar>
          </w:tcPr>
          <w:p w14:paraId="62E85CB9"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073A1740" w14:textId="77777777" w:rsidR="00292B80" w:rsidRPr="00F7400E" w:rsidRDefault="00292B80" w:rsidP="005A1F7F">
            <w:pPr>
              <w:rPr>
                <w:rFonts w:ascii="Arial" w:hAnsi="Arial" w:cs="Arial"/>
                <w:sz w:val="16"/>
                <w:szCs w:val="16"/>
              </w:rPr>
            </w:pPr>
            <w:r>
              <w:rPr>
                <w:rFonts w:ascii="Arial" w:hAnsi="Arial" w:cs="Arial"/>
                <w:color w:val="000000"/>
                <w:sz w:val="16"/>
                <w:szCs w:val="16"/>
              </w:rPr>
              <w:t>Processing time ETA</w:t>
            </w:r>
          </w:p>
        </w:tc>
        <w:tc>
          <w:tcPr>
            <w:tcW w:w="1585" w:type="pct"/>
            <w:shd w:val="clear" w:color="auto" w:fill="FFFFFF"/>
            <w:tcMar>
              <w:top w:w="85" w:type="dxa"/>
              <w:bottom w:w="85" w:type="dxa"/>
            </w:tcMar>
          </w:tcPr>
          <w:p w14:paraId="5A9AB742"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A678C33" w14:textId="77777777" w:rsidTr="007536CC">
        <w:trPr>
          <w:cantSplit/>
          <w:trHeight w:val="214"/>
        </w:trPr>
        <w:tc>
          <w:tcPr>
            <w:tcW w:w="1891" w:type="pct"/>
            <w:shd w:val="clear" w:color="auto" w:fill="auto"/>
            <w:tcMar>
              <w:top w:w="85" w:type="dxa"/>
              <w:bottom w:w="85" w:type="dxa"/>
            </w:tcMar>
          </w:tcPr>
          <w:p w14:paraId="39BDC854"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0BB17C1" w14:textId="77777777" w:rsidR="00292B80" w:rsidRPr="00F7400E" w:rsidRDefault="00292B80" w:rsidP="005A1F7F">
            <w:pPr>
              <w:rPr>
                <w:rFonts w:ascii="Arial" w:hAnsi="Arial"/>
                <w:color w:val="000000"/>
                <w:sz w:val="16"/>
                <w:szCs w:val="16"/>
              </w:rPr>
            </w:pPr>
            <w:r>
              <w:rPr>
                <w:rFonts w:ascii="Arial" w:hAnsi="Arial" w:cs="Arial"/>
                <w:color w:val="000000"/>
                <w:sz w:val="16"/>
                <w:szCs w:val="16"/>
              </w:rPr>
              <w:t>Processing time Visa</w:t>
            </w:r>
          </w:p>
        </w:tc>
        <w:tc>
          <w:tcPr>
            <w:tcW w:w="1585" w:type="pct"/>
            <w:shd w:val="clear" w:color="auto" w:fill="FFFFFF"/>
            <w:tcMar>
              <w:top w:w="85" w:type="dxa"/>
              <w:bottom w:w="85" w:type="dxa"/>
            </w:tcMar>
          </w:tcPr>
          <w:p w14:paraId="648B2DC3"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5483635C" w14:textId="77777777" w:rsidTr="007536CC">
        <w:trPr>
          <w:cantSplit/>
          <w:trHeight w:val="516"/>
        </w:trPr>
        <w:tc>
          <w:tcPr>
            <w:tcW w:w="1891" w:type="pct"/>
            <w:shd w:val="clear" w:color="auto" w:fill="auto"/>
            <w:tcMar>
              <w:top w:w="85" w:type="dxa"/>
              <w:bottom w:w="85" w:type="dxa"/>
            </w:tcMar>
          </w:tcPr>
          <w:p w14:paraId="017A4BC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BB9130A"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TMC average ticket fare</w:t>
            </w:r>
          </w:p>
        </w:tc>
        <w:tc>
          <w:tcPr>
            <w:tcW w:w="1585" w:type="pct"/>
            <w:shd w:val="clear" w:color="auto" w:fill="FFFFFF"/>
            <w:tcMar>
              <w:top w:w="85" w:type="dxa"/>
              <w:bottom w:w="85" w:type="dxa"/>
            </w:tcMar>
          </w:tcPr>
          <w:p w14:paraId="161C3E01"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10C9891" w14:textId="77777777" w:rsidTr="007536CC">
        <w:trPr>
          <w:cantSplit/>
          <w:trHeight w:val="348"/>
        </w:trPr>
        <w:tc>
          <w:tcPr>
            <w:tcW w:w="1891" w:type="pct"/>
            <w:shd w:val="clear" w:color="auto" w:fill="auto"/>
            <w:tcMar>
              <w:top w:w="85" w:type="dxa"/>
              <w:bottom w:w="85" w:type="dxa"/>
            </w:tcMar>
          </w:tcPr>
          <w:p w14:paraId="4F87A6B3"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212F88C"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Global average ticket fare</w:t>
            </w:r>
            <w:r>
              <w:rPr>
                <w:rFonts w:ascii="Arial" w:hAnsi="Arial" w:cs="Arial"/>
                <w:color w:val="000000"/>
                <w:sz w:val="16"/>
                <w:szCs w:val="16"/>
              </w:rPr>
              <w:br/>
            </w:r>
          </w:p>
        </w:tc>
        <w:tc>
          <w:tcPr>
            <w:tcW w:w="1585" w:type="pct"/>
            <w:shd w:val="clear" w:color="auto" w:fill="FFFFFF"/>
            <w:tcMar>
              <w:top w:w="85" w:type="dxa"/>
              <w:bottom w:w="85" w:type="dxa"/>
            </w:tcMar>
          </w:tcPr>
          <w:p w14:paraId="4CD5CC54"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154A323" w14:textId="77777777" w:rsidTr="007536CC">
        <w:trPr>
          <w:cantSplit/>
          <w:trHeight w:val="206"/>
        </w:trPr>
        <w:tc>
          <w:tcPr>
            <w:tcW w:w="1891" w:type="pct"/>
            <w:shd w:val="clear" w:color="auto" w:fill="auto"/>
            <w:tcMar>
              <w:top w:w="85" w:type="dxa"/>
              <w:bottom w:w="85" w:type="dxa"/>
            </w:tcMar>
          </w:tcPr>
          <w:p w14:paraId="1B45DBA7"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62085B80"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Average service fee</w:t>
            </w:r>
          </w:p>
        </w:tc>
        <w:tc>
          <w:tcPr>
            <w:tcW w:w="1585" w:type="pct"/>
            <w:shd w:val="clear" w:color="auto" w:fill="FFFFFF"/>
            <w:tcMar>
              <w:top w:w="85" w:type="dxa"/>
              <w:bottom w:w="85" w:type="dxa"/>
            </w:tcMar>
          </w:tcPr>
          <w:p w14:paraId="75AB226D"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w:t>
            </w:r>
            <w:r w:rsidRPr="003253B4">
              <w:rPr>
                <w:rFonts w:ascii="Arial" w:hAnsi="Arial" w:cs="Arial"/>
                <w:sz w:val="16"/>
                <w:szCs w:val="16"/>
                <w:lang w:bidi="th-TH"/>
              </w:rPr>
              <w:t>Program 24</w:t>
            </w:r>
          </w:p>
        </w:tc>
      </w:tr>
      <w:tr w:rsidR="00292B80" w:rsidRPr="00AF5E7C" w14:paraId="412522B3" w14:textId="77777777" w:rsidTr="007536CC">
        <w:trPr>
          <w:cantSplit/>
          <w:trHeight w:val="368"/>
        </w:trPr>
        <w:tc>
          <w:tcPr>
            <w:tcW w:w="1891" w:type="pct"/>
            <w:shd w:val="clear" w:color="auto" w:fill="auto"/>
            <w:tcMar>
              <w:top w:w="85" w:type="dxa"/>
              <w:bottom w:w="85" w:type="dxa"/>
            </w:tcMar>
          </w:tcPr>
          <w:p w14:paraId="67035300"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05940650" w14:textId="77777777" w:rsidR="00292B80" w:rsidRDefault="00292B80" w:rsidP="005A1F7F">
            <w:pPr>
              <w:rPr>
                <w:rFonts w:ascii="Arial" w:hAnsi="Arial" w:cs="Arial"/>
                <w:color w:val="000000"/>
                <w:sz w:val="16"/>
                <w:szCs w:val="16"/>
              </w:rPr>
            </w:pPr>
            <w:r w:rsidRPr="006335CA">
              <w:rPr>
                <w:rFonts w:ascii="Arial" w:hAnsi="Arial" w:cs="Arial"/>
                <w:color w:val="000000"/>
                <w:sz w:val="16"/>
                <w:szCs w:val="16"/>
              </w:rPr>
              <w:t>WIPO premises and installations remain fit for purpose</w:t>
            </w:r>
          </w:p>
        </w:tc>
        <w:tc>
          <w:tcPr>
            <w:tcW w:w="1585" w:type="pct"/>
            <w:shd w:val="clear" w:color="auto" w:fill="FFFFFF"/>
            <w:tcMar>
              <w:top w:w="85" w:type="dxa"/>
              <w:bottom w:w="85" w:type="dxa"/>
            </w:tcMar>
          </w:tcPr>
          <w:p w14:paraId="1AC2E057" w14:textId="77777777" w:rsidR="00292B80" w:rsidRPr="003253B4" w:rsidRDefault="00292B80"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292B80" w:rsidRPr="00AF5E7C" w14:paraId="54939884" w14:textId="77777777" w:rsidTr="007536CC">
        <w:trPr>
          <w:cantSplit/>
          <w:trHeight w:val="516"/>
        </w:trPr>
        <w:tc>
          <w:tcPr>
            <w:tcW w:w="1891" w:type="pct"/>
            <w:shd w:val="clear" w:color="auto" w:fill="auto"/>
            <w:tcMar>
              <w:top w:w="85" w:type="dxa"/>
              <w:bottom w:w="85" w:type="dxa"/>
            </w:tcMar>
          </w:tcPr>
          <w:p w14:paraId="48B1169A"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CBCE929" w14:textId="77777777" w:rsidR="00292B80" w:rsidRDefault="00292B80" w:rsidP="005A1F7F">
            <w:pPr>
              <w:rPr>
                <w:rFonts w:ascii="Arial" w:hAnsi="Arial" w:cs="Arial"/>
                <w:color w:val="000000"/>
                <w:sz w:val="16"/>
                <w:szCs w:val="16"/>
                <w:highlight w:val="yellow"/>
              </w:rPr>
            </w:pPr>
            <w:r>
              <w:rPr>
                <w:rFonts w:ascii="Arial" w:hAnsi="Arial" w:cs="Arial"/>
                <w:color w:val="000000"/>
                <w:sz w:val="16"/>
                <w:szCs w:val="16"/>
              </w:rPr>
              <w:t>Optimum use and occupation of WIPO premises and all types of space</w:t>
            </w:r>
          </w:p>
        </w:tc>
        <w:tc>
          <w:tcPr>
            <w:tcW w:w="1585" w:type="pct"/>
            <w:shd w:val="clear" w:color="auto" w:fill="FFFFFF"/>
            <w:tcMar>
              <w:top w:w="85" w:type="dxa"/>
              <w:bottom w:w="85" w:type="dxa"/>
            </w:tcMar>
          </w:tcPr>
          <w:p w14:paraId="0649B439" w14:textId="77777777" w:rsidR="00292B80" w:rsidRPr="003253B4" w:rsidRDefault="00292B80"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E85E73" w:rsidRPr="00AF5E7C" w14:paraId="3050F143" w14:textId="77777777" w:rsidTr="00C84440">
        <w:trPr>
          <w:cantSplit/>
          <w:trHeight w:val="378"/>
        </w:trPr>
        <w:tc>
          <w:tcPr>
            <w:tcW w:w="1891" w:type="pct"/>
            <w:shd w:val="clear" w:color="auto" w:fill="auto"/>
            <w:tcMar>
              <w:top w:w="85" w:type="dxa"/>
              <w:bottom w:w="85" w:type="dxa"/>
            </w:tcMar>
          </w:tcPr>
          <w:p w14:paraId="71A341BA" w14:textId="77777777" w:rsidR="00E85E73" w:rsidRPr="00D81234" w:rsidRDefault="00E85E73" w:rsidP="005A1F7F">
            <w:pPr>
              <w:rPr>
                <w:rFonts w:ascii="Arial" w:hAnsi="Arial" w:cs="Arial"/>
                <w:sz w:val="16"/>
                <w:szCs w:val="16"/>
              </w:rPr>
            </w:pPr>
          </w:p>
        </w:tc>
        <w:tc>
          <w:tcPr>
            <w:tcW w:w="1524" w:type="pct"/>
            <w:shd w:val="clear" w:color="auto" w:fill="auto"/>
            <w:tcMar>
              <w:top w:w="85" w:type="dxa"/>
              <w:bottom w:w="85" w:type="dxa"/>
            </w:tcMar>
          </w:tcPr>
          <w:p w14:paraId="1F1D5E48" w14:textId="53F72041" w:rsidR="00E85E73" w:rsidRDefault="004457DB">
            <w:pPr>
              <w:rPr>
                <w:rFonts w:ascii="Arial" w:hAnsi="Arial" w:cs="Arial"/>
                <w:color w:val="000000"/>
                <w:sz w:val="16"/>
                <w:szCs w:val="16"/>
              </w:rPr>
            </w:pPr>
            <w:r>
              <w:rPr>
                <w:rFonts w:ascii="Arial" w:eastAsia="Times New Roman" w:hAnsi="Arial" w:cs="Arial"/>
                <w:color w:val="000000"/>
                <w:sz w:val="16"/>
                <w:szCs w:val="16"/>
              </w:rPr>
              <w:t>% of high value items (</w:t>
            </w:r>
            <w:proofErr w:type="spellStart"/>
            <w:r>
              <w:rPr>
                <w:rFonts w:ascii="Arial" w:eastAsia="Times New Roman" w:hAnsi="Arial" w:cs="Arial"/>
                <w:color w:val="000000"/>
                <w:sz w:val="16"/>
                <w:szCs w:val="16"/>
              </w:rPr>
              <w:t>e.g</w:t>
            </w:r>
            <w:proofErr w:type="spellEnd"/>
            <w:r>
              <w:rPr>
                <w:rFonts w:ascii="Arial" w:eastAsia="Times New Roman" w:hAnsi="Arial" w:cs="Arial"/>
                <w:color w:val="000000"/>
                <w:sz w:val="16"/>
                <w:szCs w:val="16"/>
              </w:rPr>
              <w:t xml:space="preserve"> &gt;5,000 </w:t>
            </w:r>
            <w:r w:rsidR="003736E0">
              <w:rPr>
                <w:rFonts w:ascii="Arial" w:eastAsia="Times New Roman" w:hAnsi="Arial" w:cs="Arial"/>
                <w:color w:val="000000"/>
                <w:sz w:val="16"/>
                <w:szCs w:val="16"/>
              </w:rPr>
              <w:t>Swiss francs</w:t>
            </w:r>
            <w:r>
              <w:rPr>
                <w:rFonts w:ascii="Arial" w:eastAsia="Times New Roman" w:hAnsi="Arial" w:cs="Arial"/>
                <w:color w:val="000000"/>
                <w:sz w:val="16"/>
                <w:szCs w:val="16"/>
              </w:rPr>
              <w:t>) inventoried</w:t>
            </w:r>
          </w:p>
        </w:tc>
        <w:tc>
          <w:tcPr>
            <w:tcW w:w="1585" w:type="pct"/>
            <w:shd w:val="clear" w:color="auto" w:fill="FFFFFF"/>
            <w:tcMar>
              <w:top w:w="85" w:type="dxa"/>
              <w:bottom w:w="85" w:type="dxa"/>
            </w:tcMar>
          </w:tcPr>
          <w:p w14:paraId="44B6B52A" w14:textId="4DAA5720" w:rsidR="00E85E73" w:rsidRDefault="004457DB"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E85E73" w:rsidRPr="00AF5E7C" w14:paraId="54A99C53" w14:textId="77777777" w:rsidTr="00C84440">
        <w:trPr>
          <w:cantSplit/>
          <w:trHeight w:val="279"/>
        </w:trPr>
        <w:tc>
          <w:tcPr>
            <w:tcW w:w="1891" w:type="pct"/>
            <w:shd w:val="clear" w:color="auto" w:fill="auto"/>
            <w:tcMar>
              <w:top w:w="85" w:type="dxa"/>
              <w:bottom w:w="85" w:type="dxa"/>
            </w:tcMar>
          </w:tcPr>
          <w:p w14:paraId="4C29D361" w14:textId="77777777" w:rsidR="00E85E73" w:rsidRPr="00D81234" w:rsidRDefault="00E85E73" w:rsidP="005A1F7F">
            <w:pPr>
              <w:rPr>
                <w:rFonts w:ascii="Arial" w:hAnsi="Arial" w:cs="Arial"/>
                <w:sz w:val="16"/>
                <w:szCs w:val="16"/>
              </w:rPr>
            </w:pPr>
          </w:p>
        </w:tc>
        <w:tc>
          <w:tcPr>
            <w:tcW w:w="1524" w:type="pct"/>
            <w:shd w:val="clear" w:color="auto" w:fill="auto"/>
            <w:tcMar>
              <w:top w:w="85" w:type="dxa"/>
              <w:bottom w:w="85" w:type="dxa"/>
            </w:tcMar>
          </w:tcPr>
          <w:p w14:paraId="7B9F08E0" w14:textId="4A9D434A" w:rsidR="00E85E73" w:rsidRDefault="004457DB">
            <w:pPr>
              <w:rPr>
                <w:rFonts w:ascii="Arial" w:hAnsi="Arial" w:cs="Arial"/>
                <w:color w:val="000000"/>
                <w:sz w:val="16"/>
                <w:szCs w:val="16"/>
              </w:rPr>
            </w:pPr>
            <w:r>
              <w:rPr>
                <w:rFonts w:ascii="Arial" w:eastAsia="Times New Roman" w:hAnsi="Arial" w:cs="Arial"/>
                <w:color w:val="000000"/>
                <w:sz w:val="16"/>
                <w:szCs w:val="16"/>
              </w:rPr>
              <w:t xml:space="preserve">% of value items 1,000-5,000 </w:t>
            </w:r>
            <w:r w:rsidR="003736E0">
              <w:rPr>
                <w:rFonts w:ascii="Arial" w:eastAsia="Times New Roman" w:hAnsi="Arial" w:cs="Arial"/>
                <w:color w:val="000000"/>
                <w:sz w:val="16"/>
                <w:szCs w:val="16"/>
              </w:rPr>
              <w:t>Swiss francs</w:t>
            </w:r>
            <w:r>
              <w:rPr>
                <w:rFonts w:ascii="Arial" w:eastAsia="Times New Roman" w:hAnsi="Arial" w:cs="Arial"/>
                <w:color w:val="000000"/>
                <w:sz w:val="16"/>
                <w:szCs w:val="16"/>
              </w:rPr>
              <w:t>, works of arts and attractive items</w:t>
            </w:r>
          </w:p>
        </w:tc>
        <w:tc>
          <w:tcPr>
            <w:tcW w:w="1585" w:type="pct"/>
            <w:shd w:val="clear" w:color="auto" w:fill="FFFFFF"/>
            <w:tcMar>
              <w:top w:w="85" w:type="dxa"/>
              <w:bottom w:w="85" w:type="dxa"/>
            </w:tcMar>
          </w:tcPr>
          <w:p w14:paraId="1F247502" w14:textId="1ADD3261" w:rsidR="00E85E73" w:rsidRDefault="004457DB"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292B80" w:rsidRPr="00AF5E7C" w14:paraId="01701979" w14:textId="77777777" w:rsidTr="007536CC">
        <w:trPr>
          <w:cantSplit/>
          <w:trHeight w:val="516"/>
        </w:trPr>
        <w:tc>
          <w:tcPr>
            <w:tcW w:w="1891" w:type="pct"/>
            <w:shd w:val="clear" w:color="auto" w:fill="auto"/>
            <w:tcMar>
              <w:top w:w="85" w:type="dxa"/>
              <w:bottom w:w="85" w:type="dxa"/>
            </w:tcMar>
          </w:tcPr>
          <w:p w14:paraId="3D4EE76E"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7113AE2" w14:textId="77777777" w:rsidR="00292B80" w:rsidRPr="0070048B" w:rsidRDefault="00292B80" w:rsidP="005A1F7F">
            <w:pPr>
              <w:rPr>
                <w:rFonts w:ascii="Arial" w:hAnsi="Arial" w:cs="Arial"/>
                <w:bCs/>
                <w:sz w:val="16"/>
                <w:szCs w:val="16"/>
              </w:rPr>
            </w:pPr>
            <w:r>
              <w:rPr>
                <w:rFonts w:ascii="Arial" w:hAnsi="Arial" w:cs="Arial"/>
                <w:color w:val="000000"/>
                <w:sz w:val="16"/>
                <w:szCs w:val="16"/>
              </w:rPr>
              <w:t>ICT Platforms are cost-effectively hosted and managed in line with business demands</w:t>
            </w:r>
            <w:r w:rsidRPr="0070048B">
              <w:rPr>
                <w:rFonts w:ascii="Arial" w:hAnsi="Arial" w:cs="Arial"/>
                <w:bCs/>
                <w:sz w:val="16"/>
                <w:szCs w:val="16"/>
              </w:rPr>
              <w:t xml:space="preserve"> </w:t>
            </w:r>
          </w:p>
        </w:tc>
        <w:tc>
          <w:tcPr>
            <w:tcW w:w="1585" w:type="pct"/>
            <w:shd w:val="clear" w:color="auto" w:fill="FFFFFF"/>
            <w:tcMar>
              <w:top w:w="85" w:type="dxa"/>
              <w:bottom w:w="85" w:type="dxa"/>
            </w:tcMar>
          </w:tcPr>
          <w:p w14:paraId="0B0CB45D"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25</w:t>
            </w:r>
          </w:p>
        </w:tc>
      </w:tr>
      <w:tr w:rsidR="00292B80" w:rsidRPr="00AF5E7C" w14:paraId="7DFA6C46" w14:textId="77777777" w:rsidTr="007536CC">
        <w:trPr>
          <w:cantSplit/>
          <w:trHeight w:val="516"/>
        </w:trPr>
        <w:tc>
          <w:tcPr>
            <w:tcW w:w="1891" w:type="pct"/>
            <w:shd w:val="clear" w:color="auto" w:fill="auto"/>
            <w:tcMar>
              <w:top w:w="85" w:type="dxa"/>
              <w:bottom w:w="85" w:type="dxa"/>
            </w:tcMar>
          </w:tcPr>
          <w:p w14:paraId="448DE796"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2FA3AEA" w14:textId="77777777" w:rsidR="00292B80" w:rsidRPr="0070048B" w:rsidRDefault="00292B80" w:rsidP="005A1F7F">
            <w:pPr>
              <w:rPr>
                <w:rFonts w:ascii="Arial" w:hAnsi="Arial" w:cs="Arial"/>
                <w:sz w:val="16"/>
                <w:szCs w:val="16"/>
              </w:rPr>
            </w:pPr>
            <w:r>
              <w:rPr>
                <w:rFonts w:ascii="Arial" w:hAnsi="Arial" w:cs="Arial"/>
                <w:color w:val="000000"/>
                <w:sz w:val="16"/>
                <w:szCs w:val="16"/>
              </w:rPr>
              <w:t>Application development activities adhere to the WIPO reference and master data standards</w:t>
            </w:r>
          </w:p>
        </w:tc>
        <w:tc>
          <w:tcPr>
            <w:tcW w:w="1585" w:type="pct"/>
            <w:shd w:val="clear" w:color="auto" w:fill="FFFFFF"/>
            <w:tcMar>
              <w:top w:w="85" w:type="dxa"/>
              <w:bottom w:w="85" w:type="dxa"/>
            </w:tcMar>
          </w:tcPr>
          <w:p w14:paraId="24B2E4A6"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6436FB1E" w14:textId="77777777" w:rsidTr="007536CC">
        <w:trPr>
          <w:cantSplit/>
          <w:trHeight w:val="516"/>
        </w:trPr>
        <w:tc>
          <w:tcPr>
            <w:tcW w:w="1891" w:type="pct"/>
            <w:shd w:val="clear" w:color="auto" w:fill="auto"/>
            <w:tcMar>
              <w:top w:w="85" w:type="dxa"/>
              <w:bottom w:w="85" w:type="dxa"/>
            </w:tcMar>
          </w:tcPr>
          <w:p w14:paraId="0B18AD9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CC78258" w14:textId="77777777" w:rsidR="00292B80" w:rsidRPr="0070048B" w:rsidRDefault="00292B80" w:rsidP="005A1F7F">
            <w:pPr>
              <w:rPr>
                <w:rFonts w:ascii="Arial" w:hAnsi="Arial" w:cs="Arial"/>
                <w:sz w:val="16"/>
                <w:szCs w:val="16"/>
              </w:rPr>
            </w:pPr>
            <w:r>
              <w:rPr>
                <w:rFonts w:ascii="Arial" w:hAnsi="Arial" w:cs="Arial"/>
                <w:color w:val="000000"/>
                <w:sz w:val="16"/>
                <w:szCs w:val="16"/>
              </w:rPr>
              <w:t>ICT Projects are managed as per WIPO Project Management guidelines</w:t>
            </w:r>
          </w:p>
        </w:tc>
        <w:tc>
          <w:tcPr>
            <w:tcW w:w="1585" w:type="pct"/>
            <w:shd w:val="clear" w:color="auto" w:fill="FFFFFF"/>
            <w:tcMar>
              <w:top w:w="85" w:type="dxa"/>
              <w:bottom w:w="85" w:type="dxa"/>
            </w:tcMar>
          </w:tcPr>
          <w:p w14:paraId="1CE04EAD"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7264A513" w14:textId="77777777" w:rsidTr="007536CC">
        <w:trPr>
          <w:cantSplit/>
          <w:trHeight w:val="348"/>
        </w:trPr>
        <w:tc>
          <w:tcPr>
            <w:tcW w:w="1891" w:type="pct"/>
            <w:shd w:val="clear" w:color="auto" w:fill="auto"/>
            <w:tcMar>
              <w:top w:w="85" w:type="dxa"/>
              <w:bottom w:w="85" w:type="dxa"/>
            </w:tcMar>
          </w:tcPr>
          <w:p w14:paraId="2C4C978D"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15EB40C" w14:textId="77777777" w:rsidR="00292B80" w:rsidRPr="0070048B" w:rsidRDefault="00292B80" w:rsidP="005A1F7F">
            <w:pPr>
              <w:rPr>
                <w:rFonts w:ascii="Arial" w:hAnsi="Arial" w:cs="Arial"/>
                <w:sz w:val="16"/>
                <w:szCs w:val="16"/>
              </w:rPr>
            </w:pPr>
            <w:r>
              <w:rPr>
                <w:rFonts w:ascii="Arial" w:hAnsi="Arial" w:cs="Arial"/>
                <w:color w:val="000000"/>
                <w:sz w:val="16"/>
                <w:szCs w:val="16"/>
              </w:rPr>
              <w:t>% of customers that are satisfied with the Service Desk services</w:t>
            </w:r>
          </w:p>
        </w:tc>
        <w:tc>
          <w:tcPr>
            <w:tcW w:w="1585" w:type="pct"/>
            <w:shd w:val="clear" w:color="auto" w:fill="FFFFFF"/>
            <w:tcMar>
              <w:top w:w="85" w:type="dxa"/>
              <w:bottom w:w="85" w:type="dxa"/>
            </w:tcMar>
          </w:tcPr>
          <w:p w14:paraId="792DF032"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0D18E3C8" w14:textId="77777777" w:rsidTr="007536CC">
        <w:trPr>
          <w:cantSplit/>
          <w:trHeight w:val="516"/>
        </w:trPr>
        <w:tc>
          <w:tcPr>
            <w:tcW w:w="1891" w:type="pct"/>
            <w:shd w:val="clear" w:color="auto" w:fill="auto"/>
            <w:tcMar>
              <w:top w:w="85" w:type="dxa"/>
              <w:bottom w:w="85" w:type="dxa"/>
            </w:tcMar>
          </w:tcPr>
          <w:p w14:paraId="1A1DADEF"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7FA6702E" w14:textId="77777777" w:rsidR="00292B80" w:rsidRPr="0070048B" w:rsidRDefault="00292B80" w:rsidP="005A1F7F">
            <w:pPr>
              <w:rPr>
                <w:rFonts w:ascii="Arial" w:hAnsi="Arial"/>
                <w:color w:val="000000"/>
                <w:sz w:val="16"/>
                <w:szCs w:val="16"/>
              </w:rPr>
            </w:pPr>
            <w:r>
              <w:rPr>
                <w:rFonts w:ascii="Arial" w:hAnsi="Arial" w:cs="Arial"/>
                <w:color w:val="000000"/>
                <w:sz w:val="16"/>
                <w:szCs w:val="16"/>
              </w:rPr>
              <w:t>ICT Projects in WIPO are managed in accordance with the WIPO project management and service transition guidelines</w:t>
            </w:r>
          </w:p>
        </w:tc>
        <w:tc>
          <w:tcPr>
            <w:tcW w:w="1585" w:type="pct"/>
            <w:shd w:val="clear" w:color="auto" w:fill="FFFFFF"/>
            <w:tcMar>
              <w:top w:w="85" w:type="dxa"/>
              <w:bottom w:w="85" w:type="dxa"/>
            </w:tcMar>
          </w:tcPr>
          <w:p w14:paraId="2F2A840E"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4C4EDBB0" w14:textId="77777777" w:rsidTr="007536CC">
        <w:trPr>
          <w:cantSplit/>
          <w:trHeight w:val="516"/>
        </w:trPr>
        <w:tc>
          <w:tcPr>
            <w:tcW w:w="1891" w:type="pct"/>
            <w:shd w:val="clear" w:color="auto" w:fill="auto"/>
            <w:tcMar>
              <w:top w:w="85" w:type="dxa"/>
              <w:bottom w:w="85" w:type="dxa"/>
            </w:tcMar>
          </w:tcPr>
          <w:p w14:paraId="0EE72934"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524768C" w14:textId="77777777" w:rsidR="00292B80" w:rsidRPr="00014FF2" w:rsidRDefault="00292B80" w:rsidP="005A1F7F">
            <w:pPr>
              <w:rPr>
                <w:rFonts w:ascii="Arial" w:hAnsi="Arial" w:cs="Arial"/>
                <w:bCs/>
                <w:sz w:val="16"/>
                <w:szCs w:val="16"/>
              </w:rPr>
            </w:pPr>
            <w:r w:rsidRPr="00014FF2">
              <w:rPr>
                <w:rFonts w:ascii="Arial" w:hAnsi="Arial" w:cs="Arial"/>
                <w:color w:val="000000"/>
                <w:sz w:val="16"/>
                <w:szCs w:val="16"/>
              </w:rPr>
              <w:t>% of internal and external participants satisfied with WIPO Conference Services</w:t>
            </w:r>
          </w:p>
        </w:tc>
        <w:tc>
          <w:tcPr>
            <w:tcW w:w="1585" w:type="pct"/>
            <w:shd w:val="clear" w:color="auto" w:fill="FFFFFF"/>
            <w:tcMar>
              <w:top w:w="85" w:type="dxa"/>
              <w:bottom w:w="85" w:type="dxa"/>
            </w:tcMar>
          </w:tcPr>
          <w:p w14:paraId="72E4BDB6"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27</w:t>
            </w:r>
          </w:p>
        </w:tc>
      </w:tr>
      <w:tr w:rsidR="00292B80" w:rsidRPr="00AF5E7C" w14:paraId="2CFF942C" w14:textId="77777777" w:rsidTr="007536CC">
        <w:trPr>
          <w:cantSplit/>
          <w:trHeight w:val="508"/>
        </w:trPr>
        <w:tc>
          <w:tcPr>
            <w:tcW w:w="1891" w:type="pct"/>
            <w:shd w:val="clear" w:color="auto" w:fill="auto"/>
            <w:tcMar>
              <w:top w:w="85" w:type="dxa"/>
              <w:bottom w:w="85" w:type="dxa"/>
            </w:tcMar>
          </w:tcPr>
          <w:p w14:paraId="084ED06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29E7EC6"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Effective implementation of WIPO Language Policy</w:t>
            </w:r>
          </w:p>
        </w:tc>
        <w:tc>
          <w:tcPr>
            <w:tcW w:w="1585" w:type="pct"/>
            <w:shd w:val="clear" w:color="auto" w:fill="FFFFFF"/>
            <w:tcMar>
              <w:top w:w="85" w:type="dxa"/>
              <w:bottom w:w="85" w:type="dxa"/>
            </w:tcMar>
          </w:tcPr>
          <w:p w14:paraId="25724CF8"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031AF4E4" w14:textId="77777777" w:rsidTr="007536CC">
        <w:trPr>
          <w:cantSplit/>
          <w:trHeight w:val="362"/>
        </w:trPr>
        <w:tc>
          <w:tcPr>
            <w:tcW w:w="1891" w:type="pct"/>
            <w:shd w:val="clear" w:color="auto" w:fill="auto"/>
            <w:tcMar>
              <w:top w:w="85" w:type="dxa"/>
              <w:bottom w:w="85" w:type="dxa"/>
            </w:tcMar>
          </w:tcPr>
          <w:p w14:paraId="63E419C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0BEA1B1"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Reduction in printing costs (per page)</w:t>
            </w:r>
          </w:p>
        </w:tc>
        <w:tc>
          <w:tcPr>
            <w:tcW w:w="1585" w:type="pct"/>
            <w:shd w:val="clear" w:color="auto" w:fill="FFFFFF"/>
            <w:tcMar>
              <w:top w:w="85" w:type="dxa"/>
              <w:bottom w:w="85" w:type="dxa"/>
            </w:tcMar>
          </w:tcPr>
          <w:p w14:paraId="6C4DE36E"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07508BC6" w14:textId="77777777" w:rsidTr="007536CC">
        <w:trPr>
          <w:cantSplit/>
          <w:trHeight w:val="516"/>
        </w:trPr>
        <w:tc>
          <w:tcPr>
            <w:tcW w:w="1891" w:type="pct"/>
            <w:shd w:val="clear" w:color="auto" w:fill="auto"/>
            <w:tcMar>
              <w:top w:w="85" w:type="dxa"/>
              <w:bottom w:w="85" w:type="dxa"/>
            </w:tcMar>
          </w:tcPr>
          <w:p w14:paraId="3C3180F5"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22CFE56"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Timely publication of documents for Committees and Working Groups</w:t>
            </w:r>
          </w:p>
        </w:tc>
        <w:tc>
          <w:tcPr>
            <w:tcW w:w="1585" w:type="pct"/>
            <w:shd w:val="clear" w:color="auto" w:fill="FFFFFF"/>
            <w:tcMar>
              <w:top w:w="85" w:type="dxa"/>
              <w:bottom w:w="85" w:type="dxa"/>
            </w:tcMar>
          </w:tcPr>
          <w:p w14:paraId="23261717"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41BE0377" w14:textId="77777777" w:rsidTr="007536CC">
        <w:trPr>
          <w:cantSplit/>
          <w:trHeight w:val="366"/>
        </w:trPr>
        <w:tc>
          <w:tcPr>
            <w:tcW w:w="1891" w:type="pct"/>
            <w:shd w:val="clear" w:color="auto" w:fill="auto"/>
            <w:tcMar>
              <w:top w:w="85" w:type="dxa"/>
              <w:bottom w:w="85" w:type="dxa"/>
            </w:tcMar>
          </w:tcPr>
          <w:p w14:paraId="380EEA2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F3A5926" w14:textId="77777777" w:rsidR="00292B80" w:rsidRPr="00014FF2" w:rsidRDefault="00292B80" w:rsidP="005A1F7F">
            <w:pPr>
              <w:rPr>
                <w:rFonts w:ascii="Arial" w:hAnsi="Arial" w:cs="Arial"/>
                <w:color w:val="000000"/>
                <w:sz w:val="16"/>
                <w:szCs w:val="16"/>
              </w:rPr>
            </w:pPr>
            <w:r w:rsidRPr="00014FF2">
              <w:rPr>
                <w:rFonts w:ascii="Arial" w:hAnsi="Arial" w:cs="Arial"/>
                <w:color w:val="000000"/>
                <w:sz w:val="16"/>
                <w:szCs w:val="16"/>
              </w:rPr>
              <w:t>Cost per word of translation</w:t>
            </w:r>
          </w:p>
        </w:tc>
        <w:tc>
          <w:tcPr>
            <w:tcW w:w="1585" w:type="pct"/>
            <w:shd w:val="clear" w:color="auto" w:fill="FFFFFF"/>
            <w:tcMar>
              <w:top w:w="85" w:type="dxa"/>
              <w:bottom w:w="85" w:type="dxa"/>
            </w:tcMar>
          </w:tcPr>
          <w:p w14:paraId="6C7AE55D"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71B3E110" w14:textId="77777777" w:rsidTr="007536CC">
        <w:trPr>
          <w:cantSplit/>
          <w:trHeight w:val="504"/>
        </w:trPr>
        <w:tc>
          <w:tcPr>
            <w:tcW w:w="1891" w:type="pct"/>
            <w:shd w:val="clear" w:color="auto" w:fill="auto"/>
            <w:tcMar>
              <w:top w:w="85" w:type="dxa"/>
              <w:bottom w:w="85" w:type="dxa"/>
            </w:tcMar>
          </w:tcPr>
          <w:p w14:paraId="3197CE9D"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7DE2378" w14:textId="77777777" w:rsidR="00292B80" w:rsidRPr="00A61B81" w:rsidRDefault="00292B80" w:rsidP="005A1F7F">
            <w:pPr>
              <w:rPr>
                <w:rFonts w:ascii="Arial" w:hAnsi="Arial" w:cs="Arial"/>
                <w:color w:val="000000"/>
                <w:sz w:val="16"/>
                <w:szCs w:val="16"/>
              </w:rPr>
            </w:pPr>
            <w:r w:rsidRPr="00A61B81">
              <w:rPr>
                <w:rFonts w:ascii="Arial" w:hAnsi="Arial" w:cs="Arial"/>
                <w:color w:val="000000"/>
                <w:sz w:val="16"/>
                <w:szCs w:val="16"/>
              </w:rPr>
              <w:t>IA governance defined and enforced</w:t>
            </w:r>
          </w:p>
        </w:tc>
        <w:tc>
          <w:tcPr>
            <w:tcW w:w="1585" w:type="pct"/>
            <w:shd w:val="clear" w:color="auto" w:fill="FFFFFF"/>
            <w:tcMar>
              <w:top w:w="85" w:type="dxa"/>
              <w:bottom w:w="85" w:type="dxa"/>
            </w:tcMar>
          </w:tcPr>
          <w:p w14:paraId="1003828C"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28 </w:t>
            </w:r>
          </w:p>
        </w:tc>
      </w:tr>
      <w:tr w:rsidR="00292B80" w:rsidRPr="00AF5E7C" w14:paraId="07C46603" w14:textId="77777777" w:rsidTr="007536CC">
        <w:trPr>
          <w:cantSplit/>
          <w:trHeight w:val="516"/>
        </w:trPr>
        <w:tc>
          <w:tcPr>
            <w:tcW w:w="1891" w:type="pct"/>
            <w:shd w:val="clear" w:color="auto" w:fill="auto"/>
            <w:tcMar>
              <w:top w:w="85" w:type="dxa"/>
              <w:bottom w:w="85" w:type="dxa"/>
            </w:tcMar>
          </w:tcPr>
          <w:p w14:paraId="1CCE2976"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C195714" w14:textId="77777777" w:rsidR="00292B80" w:rsidRPr="008B0886" w:rsidRDefault="00292B80" w:rsidP="005A1F7F">
            <w:pPr>
              <w:rPr>
                <w:rFonts w:ascii="Arial" w:hAnsi="Arial" w:cs="Arial"/>
                <w:color w:val="000000"/>
                <w:sz w:val="16"/>
                <w:szCs w:val="16"/>
              </w:rPr>
            </w:pPr>
            <w:r w:rsidRPr="008B0886">
              <w:rPr>
                <w:rFonts w:ascii="Arial" w:hAnsi="Arial" w:cs="Arial"/>
                <w:color w:val="000000"/>
                <w:sz w:val="16"/>
                <w:szCs w:val="16"/>
              </w:rPr>
              <w:t>No. of staff aware of their information security responsibilities, security policies and best practices</w:t>
            </w:r>
          </w:p>
        </w:tc>
        <w:tc>
          <w:tcPr>
            <w:tcW w:w="1585" w:type="pct"/>
            <w:shd w:val="clear" w:color="auto" w:fill="FFFFFF"/>
            <w:tcMar>
              <w:top w:w="85" w:type="dxa"/>
              <w:bottom w:w="85" w:type="dxa"/>
            </w:tcMar>
          </w:tcPr>
          <w:p w14:paraId="632E717B"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28</w:t>
            </w:r>
          </w:p>
        </w:tc>
      </w:tr>
      <w:tr w:rsidR="00292B80" w:rsidRPr="00AF5E7C" w14:paraId="2C002047" w14:textId="77777777" w:rsidTr="007536CC">
        <w:trPr>
          <w:cantSplit/>
          <w:trHeight w:val="516"/>
        </w:trPr>
        <w:tc>
          <w:tcPr>
            <w:tcW w:w="1891" w:type="pct"/>
            <w:shd w:val="clear" w:color="auto" w:fill="auto"/>
            <w:tcMar>
              <w:top w:w="85" w:type="dxa"/>
              <w:bottom w:w="85" w:type="dxa"/>
            </w:tcMar>
          </w:tcPr>
          <w:p w14:paraId="148A2AE7" w14:textId="2EF094B7" w:rsidR="00292B80" w:rsidRPr="00D81234" w:rsidRDefault="00292B80" w:rsidP="005A1F7F">
            <w:pPr>
              <w:rPr>
                <w:rFonts w:ascii="Arial" w:hAnsi="Arial" w:cs="Arial"/>
                <w:sz w:val="16"/>
                <w:szCs w:val="16"/>
              </w:rPr>
            </w:pPr>
            <w:r w:rsidRPr="00D81234">
              <w:rPr>
                <w:rFonts w:ascii="Arial" w:hAnsi="Arial" w:cs="Arial"/>
                <w:sz w:val="16"/>
                <w:szCs w:val="16"/>
              </w:rPr>
              <w:t xml:space="preserve">IX.2 </w:t>
            </w:r>
            <w:r>
              <w:rPr>
                <w:rFonts w:ascii="Arial" w:hAnsi="Arial" w:cs="Arial"/>
                <w:sz w:val="16"/>
                <w:szCs w:val="16"/>
              </w:rPr>
              <w:t xml:space="preserve"> </w:t>
            </w:r>
            <w:r w:rsidRPr="00D81234">
              <w:rPr>
                <w:rFonts w:ascii="Arial" w:hAnsi="Arial" w:cs="Arial"/>
                <w:sz w:val="16"/>
                <w:szCs w:val="16"/>
              </w:rPr>
              <w:t>A</w:t>
            </w:r>
            <w:r w:rsidR="00971715">
              <w:rPr>
                <w:rFonts w:ascii="Arial" w:hAnsi="Arial" w:cs="Arial"/>
                <w:sz w:val="16"/>
                <w:szCs w:val="16"/>
              </w:rPr>
              <w:t xml:space="preserve">n agile and </w:t>
            </w:r>
            <w:r w:rsidRPr="00D81234">
              <w:rPr>
                <w:rFonts w:ascii="Arial" w:hAnsi="Arial" w:cs="Arial"/>
                <w:sz w:val="16"/>
                <w:szCs w:val="16"/>
              </w:rPr>
              <w:t>smooth functioning Secretariat with a well</w:t>
            </w:r>
            <w:r w:rsidR="00971715">
              <w:rPr>
                <w:rFonts w:ascii="Arial" w:hAnsi="Arial" w:cs="Arial"/>
                <w:sz w:val="16"/>
                <w:szCs w:val="16"/>
              </w:rPr>
              <w:t>-</w:t>
            </w:r>
            <w:r w:rsidRPr="00D81234">
              <w:rPr>
                <w:rFonts w:ascii="Arial" w:hAnsi="Arial" w:cs="Arial"/>
                <w:sz w:val="16"/>
                <w:szCs w:val="16"/>
              </w:rPr>
              <w:t>managed and appropriately skilled workforce which is effectively delivering results</w:t>
            </w:r>
          </w:p>
        </w:tc>
        <w:tc>
          <w:tcPr>
            <w:tcW w:w="1524" w:type="pct"/>
            <w:shd w:val="clear" w:color="auto" w:fill="auto"/>
            <w:tcMar>
              <w:top w:w="85" w:type="dxa"/>
              <w:bottom w:w="85" w:type="dxa"/>
            </w:tcMar>
          </w:tcPr>
          <w:p w14:paraId="139CA109" w14:textId="77777777" w:rsidR="00292B80" w:rsidRPr="00D81234" w:rsidRDefault="00292B80" w:rsidP="005A1F7F">
            <w:pPr>
              <w:rPr>
                <w:rFonts w:ascii="Arial" w:hAnsi="Arial" w:cs="Arial"/>
                <w:sz w:val="16"/>
                <w:szCs w:val="16"/>
              </w:rPr>
            </w:pPr>
            <w:r w:rsidRPr="0077186F">
              <w:rPr>
                <w:rFonts w:ascii="Arial" w:hAnsi="Arial" w:cs="Arial"/>
                <w:color w:val="000000"/>
                <w:sz w:val="16"/>
                <w:szCs w:val="16"/>
              </w:rPr>
              <w:t>Establishment of a new Organizational Resilience and Business Continuity  framework and associated documentation</w:t>
            </w:r>
          </w:p>
        </w:tc>
        <w:tc>
          <w:tcPr>
            <w:tcW w:w="1585" w:type="pct"/>
            <w:shd w:val="clear" w:color="auto" w:fill="FFFFFF"/>
            <w:tcMar>
              <w:top w:w="85" w:type="dxa"/>
              <w:bottom w:w="85" w:type="dxa"/>
            </w:tcMar>
          </w:tcPr>
          <w:p w14:paraId="7ADA83D3"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6165697F" w14:textId="77777777" w:rsidTr="007536CC">
        <w:trPr>
          <w:cantSplit/>
          <w:trHeight w:val="335"/>
        </w:trPr>
        <w:tc>
          <w:tcPr>
            <w:tcW w:w="1891" w:type="pct"/>
            <w:shd w:val="clear" w:color="auto" w:fill="auto"/>
            <w:tcMar>
              <w:top w:w="85" w:type="dxa"/>
              <w:bottom w:w="85" w:type="dxa"/>
            </w:tcMar>
          </w:tcPr>
          <w:p w14:paraId="1BE3098E"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6FF2442E"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1585" w:type="pct"/>
            <w:shd w:val="clear" w:color="auto" w:fill="FFFFFF"/>
            <w:tcMar>
              <w:top w:w="85" w:type="dxa"/>
              <w:bottom w:w="85" w:type="dxa"/>
            </w:tcMar>
          </w:tcPr>
          <w:p w14:paraId="3C2E905F"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6EEE69AB" w14:textId="77777777" w:rsidTr="007536CC">
        <w:trPr>
          <w:cantSplit/>
          <w:trHeight w:val="335"/>
        </w:trPr>
        <w:tc>
          <w:tcPr>
            <w:tcW w:w="1891" w:type="pct"/>
            <w:shd w:val="clear" w:color="auto" w:fill="auto"/>
            <w:tcMar>
              <w:top w:w="85" w:type="dxa"/>
              <w:bottom w:w="85" w:type="dxa"/>
            </w:tcMar>
          </w:tcPr>
          <w:p w14:paraId="0A8D16F0"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61B5BAF2"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Enhanced maturity of managing for results (RBM)</w:t>
            </w:r>
          </w:p>
        </w:tc>
        <w:tc>
          <w:tcPr>
            <w:tcW w:w="1585" w:type="pct"/>
            <w:shd w:val="clear" w:color="auto" w:fill="FFFFFF"/>
            <w:tcMar>
              <w:top w:w="85" w:type="dxa"/>
              <w:bottom w:w="85" w:type="dxa"/>
            </w:tcMar>
          </w:tcPr>
          <w:p w14:paraId="13D1B3E1"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37B3C689" w14:textId="77777777" w:rsidTr="007536CC">
        <w:trPr>
          <w:cantSplit/>
          <w:trHeight w:val="335"/>
        </w:trPr>
        <w:tc>
          <w:tcPr>
            <w:tcW w:w="1891" w:type="pct"/>
            <w:shd w:val="clear" w:color="auto" w:fill="auto"/>
            <w:tcMar>
              <w:top w:w="85" w:type="dxa"/>
              <w:bottom w:w="85" w:type="dxa"/>
            </w:tcMar>
          </w:tcPr>
          <w:p w14:paraId="4B58C865"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280CAD86"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Return on invested funds in line with benchmarks established by the Investment Advisory Committee (IAC)</w:t>
            </w:r>
          </w:p>
        </w:tc>
        <w:tc>
          <w:tcPr>
            <w:tcW w:w="1585" w:type="pct"/>
            <w:shd w:val="clear" w:color="auto" w:fill="FFFFFF"/>
            <w:tcMar>
              <w:top w:w="85" w:type="dxa"/>
              <w:bottom w:w="85" w:type="dxa"/>
            </w:tcMar>
          </w:tcPr>
          <w:p w14:paraId="0969B790"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671FAC0F" w14:textId="77777777" w:rsidTr="007536CC">
        <w:trPr>
          <w:cantSplit/>
          <w:trHeight w:val="335"/>
        </w:trPr>
        <w:tc>
          <w:tcPr>
            <w:tcW w:w="1891" w:type="pct"/>
            <w:shd w:val="clear" w:color="auto" w:fill="auto"/>
            <w:tcMar>
              <w:top w:w="85" w:type="dxa"/>
              <w:bottom w:w="85" w:type="dxa"/>
            </w:tcMar>
          </w:tcPr>
          <w:p w14:paraId="06D44A98"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193E4E03" w14:textId="77777777" w:rsidR="00292B80" w:rsidRPr="00603C51" w:rsidRDefault="00292B80" w:rsidP="005A1F7F">
            <w:pPr>
              <w:rPr>
                <w:rFonts w:ascii="Arial" w:hAnsi="Arial" w:cs="Arial"/>
                <w:sz w:val="16"/>
                <w:szCs w:val="16"/>
              </w:rPr>
            </w:pPr>
            <w:r w:rsidRPr="00860634">
              <w:rPr>
                <w:rFonts w:ascii="Arial" w:hAnsi="Arial" w:cs="Arial"/>
                <w:color w:val="000000"/>
                <w:sz w:val="16"/>
                <w:szCs w:val="16"/>
              </w:rPr>
              <w:t>Effectiv</w:t>
            </w:r>
            <w:r>
              <w:rPr>
                <w:rFonts w:ascii="Arial" w:hAnsi="Arial" w:cs="Arial"/>
                <w:color w:val="000000"/>
                <w:sz w:val="16"/>
                <w:szCs w:val="16"/>
              </w:rPr>
              <w:t>e management of expenditure and</w:t>
            </w:r>
            <w:r w:rsidRPr="00860634">
              <w:rPr>
                <w:rFonts w:ascii="Arial" w:hAnsi="Arial" w:cs="Arial"/>
                <w:color w:val="000000"/>
                <w:sz w:val="16"/>
                <w:szCs w:val="16"/>
              </w:rPr>
              <w:t xml:space="preserve"> reserves</w:t>
            </w:r>
          </w:p>
        </w:tc>
        <w:tc>
          <w:tcPr>
            <w:tcW w:w="1585" w:type="pct"/>
            <w:shd w:val="clear" w:color="auto" w:fill="FFFFFF"/>
            <w:tcMar>
              <w:top w:w="85" w:type="dxa"/>
              <w:bottom w:w="85" w:type="dxa"/>
            </w:tcMar>
          </w:tcPr>
          <w:p w14:paraId="064383B0"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12D1975C" w14:textId="77777777" w:rsidTr="007536CC">
        <w:trPr>
          <w:cantSplit/>
          <w:trHeight w:val="335"/>
        </w:trPr>
        <w:tc>
          <w:tcPr>
            <w:tcW w:w="1891" w:type="pct"/>
            <w:shd w:val="clear" w:color="auto" w:fill="auto"/>
            <w:tcMar>
              <w:top w:w="85" w:type="dxa"/>
              <w:bottom w:w="85" w:type="dxa"/>
            </w:tcMar>
          </w:tcPr>
          <w:p w14:paraId="4518B356"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5FA4B5B2" w14:textId="77777777" w:rsidR="00292B80" w:rsidRPr="00513D62" w:rsidRDefault="00292B80" w:rsidP="005A1F7F">
            <w:pPr>
              <w:rPr>
                <w:rFonts w:ascii="Arial" w:hAnsi="Arial" w:cs="Arial"/>
                <w:sz w:val="16"/>
                <w:szCs w:val="16"/>
              </w:rPr>
            </w:pPr>
            <w:r w:rsidRPr="00860634">
              <w:rPr>
                <w:rFonts w:ascii="Arial" w:hAnsi="Arial" w:cs="Arial"/>
                <w:color w:val="000000"/>
                <w:sz w:val="16"/>
                <w:szCs w:val="16"/>
              </w:rPr>
              <w:t>Payments (including Madrid and Hague fees) made on time</w:t>
            </w:r>
          </w:p>
        </w:tc>
        <w:tc>
          <w:tcPr>
            <w:tcW w:w="1585" w:type="pct"/>
            <w:shd w:val="clear" w:color="auto" w:fill="FFFFFF"/>
            <w:tcMar>
              <w:top w:w="85" w:type="dxa"/>
              <w:bottom w:w="85" w:type="dxa"/>
            </w:tcMar>
          </w:tcPr>
          <w:p w14:paraId="4CDB4421"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26B50CE5" w14:textId="77777777" w:rsidTr="007536CC">
        <w:trPr>
          <w:cantSplit/>
          <w:trHeight w:val="335"/>
        </w:trPr>
        <w:tc>
          <w:tcPr>
            <w:tcW w:w="1891" w:type="pct"/>
            <w:shd w:val="clear" w:color="auto" w:fill="auto"/>
            <w:tcMar>
              <w:top w:w="85" w:type="dxa"/>
              <w:bottom w:w="85" w:type="dxa"/>
            </w:tcMar>
          </w:tcPr>
          <w:p w14:paraId="0DA85115"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0D3B5000" w14:textId="77777777" w:rsidR="00292B80" w:rsidRPr="00D86A6F" w:rsidRDefault="00292B80" w:rsidP="005A1F7F">
            <w:pPr>
              <w:rPr>
                <w:rFonts w:ascii="Arial" w:hAnsi="Arial" w:cs="Arial"/>
                <w:color w:val="000000"/>
                <w:sz w:val="16"/>
                <w:szCs w:val="16"/>
              </w:rPr>
            </w:pPr>
            <w:r w:rsidRPr="00D86A6F">
              <w:rPr>
                <w:rFonts w:ascii="Arial" w:hAnsi="Arial" w:cs="Arial"/>
                <w:color w:val="000000"/>
                <w:sz w:val="16"/>
                <w:szCs w:val="16"/>
              </w:rPr>
              <w:t xml:space="preserve">% of women in professional and higher positions </w:t>
            </w:r>
          </w:p>
          <w:p w14:paraId="3778BA69" w14:textId="77777777" w:rsidR="00292B80" w:rsidRPr="00336796" w:rsidRDefault="00292B80" w:rsidP="005A1F7F">
            <w:pPr>
              <w:rPr>
                <w:rFonts w:ascii="Arial" w:hAnsi="Arial" w:cs="Arial"/>
                <w:sz w:val="16"/>
                <w:szCs w:val="16"/>
              </w:rPr>
            </w:pPr>
          </w:p>
        </w:tc>
        <w:tc>
          <w:tcPr>
            <w:tcW w:w="1585" w:type="pct"/>
            <w:shd w:val="clear" w:color="auto" w:fill="FFFFFF"/>
            <w:tcMar>
              <w:top w:w="85" w:type="dxa"/>
              <w:bottom w:w="85" w:type="dxa"/>
            </w:tcMar>
          </w:tcPr>
          <w:p w14:paraId="2D9420A4" w14:textId="77777777" w:rsidR="00292B80" w:rsidRDefault="00292B80" w:rsidP="005A1F7F">
            <w:pPr>
              <w:ind w:left="821"/>
              <w:rPr>
                <w:rFonts w:ascii="Arial" w:hAnsi="Arial" w:cs="Arial"/>
                <w:sz w:val="16"/>
                <w:szCs w:val="16"/>
                <w:lang w:bidi="th-TH"/>
              </w:rPr>
            </w:pPr>
            <w:r>
              <w:rPr>
                <w:rFonts w:ascii="Arial" w:hAnsi="Arial" w:cs="Arial"/>
                <w:sz w:val="16"/>
                <w:szCs w:val="16"/>
              </w:rPr>
              <w:t xml:space="preserve">  Program 23</w:t>
            </w:r>
          </w:p>
        </w:tc>
      </w:tr>
      <w:tr w:rsidR="00292B80" w:rsidRPr="00AF5E7C" w14:paraId="4F046C8B" w14:textId="77777777" w:rsidTr="007536CC">
        <w:trPr>
          <w:cantSplit/>
          <w:trHeight w:val="335"/>
        </w:trPr>
        <w:tc>
          <w:tcPr>
            <w:tcW w:w="1891" w:type="pct"/>
            <w:shd w:val="clear" w:color="auto" w:fill="auto"/>
            <w:tcMar>
              <w:top w:w="85" w:type="dxa"/>
              <w:bottom w:w="85" w:type="dxa"/>
            </w:tcMar>
          </w:tcPr>
          <w:p w14:paraId="0ABC7474"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ACC2FA6" w14:textId="77777777" w:rsidR="00292B80" w:rsidRPr="00336796" w:rsidRDefault="00292B80" w:rsidP="005A1F7F">
            <w:pPr>
              <w:rPr>
                <w:rFonts w:ascii="Arial" w:hAnsi="Arial" w:cs="Arial"/>
                <w:sz w:val="16"/>
                <w:szCs w:val="16"/>
              </w:rPr>
            </w:pPr>
            <w:r w:rsidRPr="00E62EB2">
              <w:rPr>
                <w:rFonts w:ascii="Arial" w:hAnsi="Arial" w:cs="Arial"/>
                <w:color w:val="000000"/>
                <w:sz w:val="16"/>
                <w:szCs w:val="16"/>
              </w:rPr>
              <w:t>Recruitment lead time</w:t>
            </w:r>
          </w:p>
        </w:tc>
        <w:tc>
          <w:tcPr>
            <w:tcW w:w="1585" w:type="pct"/>
            <w:shd w:val="clear" w:color="auto" w:fill="FFFFFF"/>
            <w:tcMar>
              <w:top w:w="85" w:type="dxa"/>
              <w:bottom w:w="85" w:type="dxa"/>
            </w:tcMar>
          </w:tcPr>
          <w:p w14:paraId="064CE546"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0486EB60" w14:textId="77777777" w:rsidTr="007536CC">
        <w:trPr>
          <w:cantSplit/>
          <w:trHeight w:val="335"/>
        </w:trPr>
        <w:tc>
          <w:tcPr>
            <w:tcW w:w="1891" w:type="pct"/>
            <w:shd w:val="clear" w:color="auto" w:fill="auto"/>
            <w:tcMar>
              <w:top w:w="85" w:type="dxa"/>
              <w:bottom w:w="85" w:type="dxa"/>
            </w:tcMar>
          </w:tcPr>
          <w:p w14:paraId="77C50096"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BB47081" w14:textId="77777777" w:rsidR="00292B80" w:rsidRPr="00336796" w:rsidRDefault="00292B80" w:rsidP="005A1F7F">
            <w:pPr>
              <w:rPr>
                <w:rFonts w:ascii="Arial" w:hAnsi="Arial" w:cs="Arial"/>
                <w:sz w:val="16"/>
                <w:szCs w:val="16"/>
              </w:rPr>
            </w:pPr>
            <w:r>
              <w:rPr>
                <w:rFonts w:ascii="Arial" w:hAnsi="Arial" w:cs="Arial"/>
                <w:color w:val="000000"/>
                <w:sz w:val="16"/>
                <w:szCs w:val="16"/>
              </w:rPr>
              <w:t xml:space="preserve">% of staff </w:t>
            </w:r>
            <w:r w:rsidRPr="00E62EB2">
              <w:rPr>
                <w:rFonts w:ascii="Arial" w:hAnsi="Arial" w:cs="Arial"/>
                <w:color w:val="000000"/>
                <w:sz w:val="16"/>
                <w:szCs w:val="16"/>
              </w:rPr>
              <w:t xml:space="preserve"> whose performance is evaluated against their individual objectives and competencies</w:t>
            </w:r>
          </w:p>
        </w:tc>
        <w:tc>
          <w:tcPr>
            <w:tcW w:w="1585" w:type="pct"/>
            <w:shd w:val="clear" w:color="auto" w:fill="FFFFFF"/>
            <w:tcMar>
              <w:top w:w="85" w:type="dxa"/>
              <w:bottom w:w="85" w:type="dxa"/>
            </w:tcMar>
          </w:tcPr>
          <w:p w14:paraId="344CE200"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3FFDD19B" w14:textId="77777777" w:rsidTr="007536CC">
        <w:trPr>
          <w:cantSplit/>
          <w:trHeight w:val="335"/>
        </w:trPr>
        <w:tc>
          <w:tcPr>
            <w:tcW w:w="1891" w:type="pct"/>
            <w:shd w:val="clear" w:color="auto" w:fill="auto"/>
            <w:tcMar>
              <w:top w:w="85" w:type="dxa"/>
              <w:bottom w:w="85" w:type="dxa"/>
            </w:tcMar>
          </w:tcPr>
          <w:p w14:paraId="47007F64"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923FE09" w14:textId="5E85EE4B" w:rsidR="00292B80" w:rsidRPr="00336796" w:rsidRDefault="00292B80">
            <w:pPr>
              <w:rPr>
                <w:rFonts w:ascii="Arial" w:hAnsi="Arial" w:cs="Arial"/>
                <w:sz w:val="16"/>
                <w:szCs w:val="16"/>
              </w:rPr>
            </w:pPr>
            <w:r>
              <w:rPr>
                <w:rFonts w:ascii="Arial" w:hAnsi="Arial" w:cs="Arial"/>
                <w:color w:val="000000"/>
                <w:sz w:val="16"/>
                <w:szCs w:val="16"/>
              </w:rPr>
              <w:t>No.</w:t>
            </w:r>
            <w:r w:rsidRPr="00E62EB2">
              <w:rPr>
                <w:rFonts w:ascii="Arial" w:hAnsi="Arial" w:cs="Arial"/>
                <w:color w:val="000000"/>
                <w:sz w:val="16"/>
                <w:szCs w:val="16"/>
              </w:rPr>
              <w:t xml:space="preserve"> of days to:</w:t>
            </w:r>
            <w:r w:rsidR="00E516AC">
              <w:rPr>
                <w:rFonts w:ascii="Arial" w:hAnsi="Arial" w:cs="Arial"/>
                <w:color w:val="000000"/>
                <w:sz w:val="16"/>
                <w:szCs w:val="16"/>
              </w:rPr>
              <w:t xml:space="preserve"> </w:t>
            </w:r>
            <w:r w:rsidRPr="00E62EB2">
              <w:rPr>
                <w:rFonts w:ascii="Arial" w:hAnsi="Arial" w:cs="Arial"/>
                <w:color w:val="000000"/>
                <w:sz w:val="16"/>
                <w:szCs w:val="16"/>
              </w:rPr>
              <w:t xml:space="preserve"> </w:t>
            </w:r>
            <w:r w:rsidR="00E516AC">
              <w:rPr>
                <w:rFonts w:ascii="Arial" w:hAnsi="Arial" w:cs="Arial"/>
                <w:color w:val="000000"/>
                <w:sz w:val="16"/>
                <w:szCs w:val="16"/>
              </w:rPr>
              <w:t>(</w:t>
            </w:r>
            <w:proofErr w:type="spellStart"/>
            <w:r w:rsidRPr="00E62EB2">
              <w:rPr>
                <w:rFonts w:ascii="Arial" w:hAnsi="Arial" w:cs="Arial"/>
                <w:color w:val="000000"/>
                <w:sz w:val="16"/>
                <w:szCs w:val="16"/>
              </w:rPr>
              <w:t>i</w:t>
            </w:r>
            <w:proofErr w:type="spellEnd"/>
            <w:r w:rsidRPr="00E62EB2">
              <w:rPr>
                <w:rFonts w:ascii="Arial" w:hAnsi="Arial" w:cs="Arial"/>
                <w:color w:val="000000"/>
                <w:sz w:val="16"/>
                <w:szCs w:val="16"/>
              </w:rPr>
              <w:t xml:space="preserve">) notify staff of decisions on </w:t>
            </w:r>
            <w:proofErr w:type="spellStart"/>
            <w:r w:rsidRPr="00E62EB2">
              <w:rPr>
                <w:rFonts w:ascii="Arial" w:hAnsi="Arial" w:cs="Arial"/>
                <w:color w:val="000000"/>
                <w:sz w:val="16"/>
                <w:szCs w:val="16"/>
              </w:rPr>
              <w:t>RfR</w:t>
            </w:r>
            <w:proofErr w:type="spellEnd"/>
            <w:r w:rsidRPr="00E62EB2">
              <w:rPr>
                <w:rFonts w:ascii="Arial" w:hAnsi="Arial" w:cs="Arial"/>
                <w:color w:val="000000"/>
                <w:sz w:val="16"/>
                <w:szCs w:val="16"/>
              </w:rPr>
              <w:t>/grievances,</w:t>
            </w:r>
            <w:r w:rsidR="00E516AC">
              <w:rPr>
                <w:rFonts w:ascii="Arial" w:hAnsi="Arial" w:cs="Arial"/>
                <w:color w:val="000000"/>
                <w:sz w:val="16"/>
                <w:szCs w:val="16"/>
              </w:rPr>
              <w:t>(</w:t>
            </w:r>
            <w:r w:rsidRPr="00E62EB2">
              <w:rPr>
                <w:rFonts w:ascii="Arial" w:hAnsi="Arial" w:cs="Arial"/>
                <w:color w:val="000000"/>
                <w:sz w:val="16"/>
                <w:szCs w:val="16"/>
              </w:rPr>
              <w:t xml:space="preserve"> ii)</w:t>
            </w:r>
            <w:r w:rsidR="00E516AC">
              <w:rPr>
                <w:rFonts w:ascii="Arial" w:hAnsi="Arial" w:cs="Arial"/>
                <w:color w:val="000000"/>
                <w:sz w:val="16"/>
                <w:szCs w:val="16"/>
              </w:rPr>
              <w:t> </w:t>
            </w:r>
            <w:r w:rsidRPr="00E62EB2">
              <w:rPr>
                <w:rFonts w:ascii="Arial" w:hAnsi="Arial" w:cs="Arial"/>
                <w:color w:val="000000"/>
                <w:sz w:val="16"/>
                <w:szCs w:val="16"/>
              </w:rPr>
              <w:t xml:space="preserve">notify staff of decisions on rebuttals/disciplinary cases and </w:t>
            </w:r>
            <w:r w:rsidR="00E516AC">
              <w:rPr>
                <w:rFonts w:ascii="Arial" w:hAnsi="Arial" w:cs="Arial"/>
                <w:color w:val="000000"/>
                <w:sz w:val="16"/>
                <w:szCs w:val="16"/>
              </w:rPr>
              <w:t>(</w:t>
            </w:r>
            <w:r w:rsidRPr="00E62EB2">
              <w:rPr>
                <w:rFonts w:ascii="Arial" w:hAnsi="Arial" w:cs="Arial"/>
                <w:color w:val="000000"/>
                <w:sz w:val="16"/>
                <w:szCs w:val="16"/>
              </w:rPr>
              <w:t>iii) provide responses to requests for advice</w:t>
            </w:r>
          </w:p>
        </w:tc>
        <w:tc>
          <w:tcPr>
            <w:tcW w:w="1585" w:type="pct"/>
            <w:shd w:val="clear" w:color="auto" w:fill="FFFFFF"/>
            <w:tcMar>
              <w:top w:w="85" w:type="dxa"/>
              <w:bottom w:w="85" w:type="dxa"/>
            </w:tcMar>
          </w:tcPr>
          <w:p w14:paraId="74D58FE2"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3C523F0F" w14:textId="77777777" w:rsidTr="007536CC">
        <w:trPr>
          <w:cantSplit/>
          <w:trHeight w:val="335"/>
        </w:trPr>
        <w:tc>
          <w:tcPr>
            <w:tcW w:w="1891" w:type="pct"/>
            <w:shd w:val="clear" w:color="auto" w:fill="auto"/>
            <w:tcMar>
              <w:top w:w="85" w:type="dxa"/>
              <w:bottom w:w="85" w:type="dxa"/>
            </w:tcMar>
          </w:tcPr>
          <w:p w14:paraId="075EEE92"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FF3008C"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Geographical diversity:% of Staff per region</w:t>
            </w:r>
          </w:p>
        </w:tc>
        <w:tc>
          <w:tcPr>
            <w:tcW w:w="1585" w:type="pct"/>
            <w:shd w:val="clear" w:color="auto" w:fill="FFFFFF"/>
            <w:tcMar>
              <w:top w:w="85" w:type="dxa"/>
              <w:bottom w:w="85" w:type="dxa"/>
            </w:tcMar>
          </w:tcPr>
          <w:p w14:paraId="0868ECD4" w14:textId="77777777" w:rsidR="00292B80" w:rsidRDefault="00292B80" w:rsidP="005A1F7F">
            <w:pPr>
              <w:ind w:left="821"/>
              <w:rPr>
                <w:rFonts w:ascii="Arial" w:hAnsi="Arial" w:cs="Arial"/>
                <w:sz w:val="16"/>
                <w:szCs w:val="16"/>
                <w:lang w:bidi="th-TH"/>
              </w:rPr>
            </w:pPr>
            <w:r>
              <w:rPr>
                <w:rFonts w:ascii="Arial" w:hAnsi="Arial" w:cs="Arial"/>
                <w:sz w:val="16"/>
                <w:szCs w:val="16"/>
              </w:rPr>
              <w:t xml:space="preserve">  Program 23</w:t>
            </w:r>
          </w:p>
        </w:tc>
      </w:tr>
      <w:tr w:rsidR="00292B80" w:rsidRPr="00AF5E7C" w14:paraId="37E67A98" w14:textId="77777777" w:rsidTr="007536CC">
        <w:trPr>
          <w:cantSplit/>
          <w:trHeight w:val="335"/>
        </w:trPr>
        <w:tc>
          <w:tcPr>
            <w:tcW w:w="1891" w:type="pct"/>
            <w:shd w:val="clear" w:color="auto" w:fill="auto"/>
            <w:tcMar>
              <w:top w:w="85" w:type="dxa"/>
              <w:bottom w:w="85" w:type="dxa"/>
            </w:tcMar>
          </w:tcPr>
          <w:p w14:paraId="3A49E536"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3FEB1C63"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No. of applications received from unrepresented Member States as a % of total</w:t>
            </w:r>
          </w:p>
        </w:tc>
        <w:tc>
          <w:tcPr>
            <w:tcW w:w="1585" w:type="pct"/>
            <w:shd w:val="clear" w:color="auto" w:fill="FFFFFF"/>
            <w:tcMar>
              <w:top w:w="85" w:type="dxa"/>
              <w:bottom w:w="85" w:type="dxa"/>
            </w:tcMar>
          </w:tcPr>
          <w:p w14:paraId="39ACDEA7" w14:textId="77777777" w:rsidR="00292B80" w:rsidRDefault="00292B80" w:rsidP="005A1F7F">
            <w:pPr>
              <w:ind w:left="821"/>
              <w:rPr>
                <w:rFonts w:ascii="Arial" w:hAnsi="Arial" w:cs="Arial"/>
                <w:sz w:val="16"/>
                <w:szCs w:val="16"/>
              </w:rPr>
            </w:pPr>
            <w:r>
              <w:rPr>
                <w:rFonts w:ascii="Arial" w:hAnsi="Arial" w:cs="Arial"/>
                <w:sz w:val="16"/>
                <w:szCs w:val="16"/>
              </w:rPr>
              <w:t xml:space="preserve">  Program 23</w:t>
            </w:r>
          </w:p>
        </w:tc>
      </w:tr>
      <w:tr w:rsidR="00292B80" w:rsidRPr="00AF5E7C" w14:paraId="2700A92A" w14:textId="77777777" w:rsidTr="007536CC">
        <w:trPr>
          <w:cantSplit/>
          <w:trHeight w:val="335"/>
        </w:trPr>
        <w:tc>
          <w:tcPr>
            <w:tcW w:w="1891" w:type="pct"/>
            <w:shd w:val="clear" w:color="auto" w:fill="auto"/>
            <w:tcMar>
              <w:top w:w="85" w:type="dxa"/>
              <w:bottom w:w="85" w:type="dxa"/>
            </w:tcMar>
          </w:tcPr>
          <w:p w14:paraId="1FF9EF77"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2645E54"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Enhanced maturity of HR Planning</w:t>
            </w:r>
          </w:p>
        </w:tc>
        <w:tc>
          <w:tcPr>
            <w:tcW w:w="1585" w:type="pct"/>
            <w:shd w:val="clear" w:color="auto" w:fill="FFFFFF"/>
            <w:tcMar>
              <w:top w:w="85" w:type="dxa"/>
              <w:bottom w:w="85" w:type="dxa"/>
            </w:tcMar>
          </w:tcPr>
          <w:p w14:paraId="6F839BE6" w14:textId="77777777" w:rsidR="00292B80" w:rsidRDefault="00292B80" w:rsidP="005A1F7F">
            <w:pPr>
              <w:ind w:left="963" w:hanging="142"/>
              <w:rPr>
                <w:rFonts w:ascii="Arial" w:hAnsi="Arial" w:cs="Arial"/>
                <w:sz w:val="16"/>
                <w:szCs w:val="16"/>
              </w:rPr>
            </w:pPr>
            <w:r>
              <w:rPr>
                <w:rFonts w:ascii="Arial" w:hAnsi="Arial" w:cs="Arial"/>
                <w:sz w:val="16"/>
                <w:szCs w:val="16"/>
              </w:rPr>
              <w:t xml:space="preserve">  Program 23</w:t>
            </w:r>
          </w:p>
        </w:tc>
      </w:tr>
      <w:tr w:rsidR="00292B80" w:rsidRPr="00AF5E7C" w14:paraId="77025266" w14:textId="77777777" w:rsidTr="007536CC">
        <w:trPr>
          <w:cantSplit/>
          <w:trHeight w:val="335"/>
        </w:trPr>
        <w:tc>
          <w:tcPr>
            <w:tcW w:w="1891" w:type="pct"/>
            <w:shd w:val="clear" w:color="auto" w:fill="auto"/>
            <w:tcMar>
              <w:top w:w="85" w:type="dxa"/>
              <w:bottom w:w="85" w:type="dxa"/>
            </w:tcMar>
          </w:tcPr>
          <w:p w14:paraId="5F66653B"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6467261"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 of trainings needs fulfilled of which: (</w:t>
            </w:r>
            <w:proofErr w:type="spellStart"/>
            <w:r w:rsidRPr="00E62EB2">
              <w:rPr>
                <w:rFonts w:ascii="Arial" w:hAnsi="Arial" w:cs="Arial"/>
                <w:color w:val="000000"/>
                <w:sz w:val="16"/>
                <w:szCs w:val="16"/>
              </w:rPr>
              <w:t>i</w:t>
            </w:r>
            <w:proofErr w:type="spellEnd"/>
            <w:r w:rsidRPr="00E62EB2">
              <w:rPr>
                <w:rFonts w:ascii="Arial" w:hAnsi="Arial" w:cs="Arial"/>
                <w:color w:val="000000"/>
                <w:sz w:val="16"/>
                <w:szCs w:val="16"/>
              </w:rPr>
              <w:t>) critical collective training needs and (ii) individual training needs</w:t>
            </w:r>
            <w:r w:rsidRPr="00336796">
              <w:rPr>
                <w:rFonts w:ascii="Arial" w:hAnsi="Arial"/>
                <w:color w:val="000000"/>
                <w:sz w:val="16"/>
                <w:szCs w:val="16"/>
              </w:rPr>
              <w:t xml:space="preserve"> </w:t>
            </w:r>
          </w:p>
        </w:tc>
        <w:tc>
          <w:tcPr>
            <w:tcW w:w="1585" w:type="pct"/>
            <w:shd w:val="clear" w:color="auto" w:fill="FFFFFF"/>
            <w:tcMar>
              <w:top w:w="85" w:type="dxa"/>
              <w:bottom w:w="85" w:type="dxa"/>
            </w:tcMar>
          </w:tcPr>
          <w:p w14:paraId="079EED4D" w14:textId="77777777" w:rsidR="00292B80" w:rsidRDefault="00292B80" w:rsidP="005A1F7F">
            <w:pPr>
              <w:ind w:left="821"/>
              <w:rPr>
                <w:rFonts w:ascii="Arial" w:hAnsi="Arial" w:cs="Arial"/>
                <w:sz w:val="16"/>
                <w:szCs w:val="16"/>
              </w:rPr>
            </w:pPr>
            <w:r>
              <w:rPr>
                <w:rFonts w:ascii="Arial" w:hAnsi="Arial" w:cs="Arial"/>
                <w:sz w:val="16"/>
                <w:szCs w:val="16"/>
              </w:rPr>
              <w:t xml:space="preserve">  Program 23</w:t>
            </w:r>
          </w:p>
        </w:tc>
      </w:tr>
      <w:tr w:rsidR="00292B80" w:rsidRPr="00AF5E7C" w14:paraId="23F7B9A9" w14:textId="77777777" w:rsidTr="007536CC">
        <w:trPr>
          <w:cantSplit/>
          <w:trHeight w:val="335"/>
        </w:trPr>
        <w:tc>
          <w:tcPr>
            <w:tcW w:w="1891" w:type="pct"/>
            <w:shd w:val="clear" w:color="auto" w:fill="auto"/>
            <w:tcMar>
              <w:top w:w="85" w:type="dxa"/>
              <w:bottom w:w="85" w:type="dxa"/>
            </w:tcMar>
          </w:tcPr>
          <w:p w14:paraId="2F20126F" w14:textId="77777777" w:rsidR="00292B80" w:rsidRPr="001316A4" w:rsidRDefault="00292B80" w:rsidP="005A1F7F">
            <w:pPr>
              <w:rPr>
                <w:rFonts w:ascii="Arial" w:hAnsi="Arial" w:cs="Arial"/>
                <w:sz w:val="16"/>
                <w:szCs w:val="16"/>
              </w:rPr>
            </w:pPr>
            <w:r w:rsidRPr="001316A4">
              <w:rPr>
                <w:rFonts w:ascii="Arial" w:hAnsi="Arial" w:cs="Arial"/>
                <w:sz w:val="16"/>
                <w:szCs w:val="16"/>
              </w:rPr>
              <w:t xml:space="preserve">IX.3 </w:t>
            </w:r>
            <w:r>
              <w:rPr>
                <w:rFonts w:ascii="Arial" w:hAnsi="Arial" w:cs="Arial"/>
                <w:sz w:val="16"/>
                <w:szCs w:val="16"/>
              </w:rPr>
              <w:t xml:space="preserve"> </w:t>
            </w:r>
            <w:r w:rsidRPr="001316A4">
              <w:rPr>
                <w:rFonts w:ascii="Arial" w:hAnsi="Arial" w:cs="Arial"/>
                <w:sz w:val="16"/>
                <w:szCs w:val="16"/>
              </w:rPr>
              <w:t>An enabling working environment supported by an effective regulatory framework and appropriate channels to address staff concerns</w:t>
            </w:r>
          </w:p>
        </w:tc>
        <w:tc>
          <w:tcPr>
            <w:tcW w:w="1524" w:type="pct"/>
            <w:shd w:val="clear" w:color="auto" w:fill="auto"/>
            <w:tcMar>
              <w:top w:w="85" w:type="dxa"/>
              <w:bottom w:w="85" w:type="dxa"/>
            </w:tcMar>
          </w:tcPr>
          <w:p w14:paraId="7C6FFE11" w14:textId="77777777" w:rsidR="00292B80" w:rsidRPr="001316A4" w:rsidRDefault="00292B80" w:rsidP="005A1F7F">
            <w:pPr>
              <w:rPr>
                <w:rFonts w:ascii="Arial" w:hAnsi="Arial" w:cs="Arial"/>
                <w:sz w:val="16"/>
                <w:szCs w:val="16"/>
              </w:rPr>
            </w:pPr>
            <w:r w:rsidRPr="0077186F">
              <w:rPr>
                <w:rFonts w:ascii="Arial" w:hAnsi="Arial" w:cs="Arial"/>
                <w:color w:val="000000"/>
                <w:sz w:val="16"/>
                <w:szCs w:val="16"/>
              </w:rPr>
              <w:t xml:space="preserve">% of WIPO staff aware of services available from </w:t>
            </w:r>
            <w:proofErr w:type="spellStart"/>
            <w:r w:rsidRPr="0077186F">
              <w:rPr>
                <w:rFonts w:ascii="Arial" w:hAnsi="Arial" w:cs="Arial"/>
                <w:color w:val="000000"/>
                <w:sz w:val="16"/>
                <w:szCs w:val="16"/>
              </w:rPr>
              <w:t>Ombuds</w:t>
            </w:r>
            <w:proofErr w:type="spellEnd"/>
            <w:r w:rsidRPr="0077186F">
              <w:rPr>
                <w:rFonts w:ascii="Arial" w:hAnsi="Arial" w:cs="Arial"/>
                <w:color w:val="000000"/>
                <w:sz w:val="16"/>
                <w:szCs w:val="16"/>
              </w:rPr>
              <w:t>-Office and informal conflict resolution mechanism</w:t>
            </w:r>
          </w:p>
        </w:tc>
        <w:tc>
          <w:tcPr>
            <w:tcW w:w="1585" w:type="pct"/>
            <w:shd w:val="clear" w:color="auto" w:fill="FFFFFF"/>
            <w:tcMar>
              <w:top w:w="85" w:type="dxa"/>
              <w:bottom w:w="85" w:type="dxa"/>
            </w:tcMar>
          </w:tcPr>
          <w:p w14:paraId="6F72D8E5"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1A2301DF" w14:textId="77777777" w:rsidTr="007536CC">
        <w:trPr>
          <w:cantSplit/>
          <w:trHeight w:val="335"/>
        </w:trPr>
        <w:tc>
          <w:tcPr>
            <w:tcW w:w="1891" w:type="pct"/>
            <w:shd w:val="clear" w:color="auto" w:fill="auto"/>
            <w:tcMar>
              <w:top w:w="85" w:type="dxa"/>
              <w:bottom w:w="85" w:type="dxa"/>
            </w:tcMar>
          </w:tcPr>
          <w:p w14:paraId="719A5498"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8AC4101" w14:textId="77777777" w:rsidR="00292B80" w:rsidRPr="00D738DB" w:rsidRDefault="00292B80" w:rsidP="005A1F7F">
            <w:pPr>
              <w:rPr>
                <w:rFonts w:ascii="Arial" w:hAnsi="Arial" w:cs="Arial"/>
                <w:sz w:val="16"/>
                <w:szCs w:val="16"/>
              </w:rPr>
            </w:pPr>
            <w:r>
              <w:rPr>
                <w:rFonts w:ascii="Arial" w:hAnsi="Arial" w:cs="Arial"/>
                <w:color w:val="000000"/>
                <w:sz w:val="16"/>
                <w:szCs w:val="16"/>
              </w:rPr>
              <w:t xml:space="preserve">% of WIPO staff being aware </w:t>
            </w:r>
            <w:r w:rsidRPr="0077186F">
              <w:rPr>
                <w:rFonts w:ascii="Arial" w:hAnsi="Arial" w:cs="Arial"/>
                <w:color w:val="000000"/>
                <w:sz w:val="16"/>
                <w:szCs w:val="16"/>
              </w:rPr>
              <w:t>of WIPO ethics principles and policies</w:t>
            </w:r>
          </w:p>
        </w:tc>
        <w:tc>
          <w:tcPr>
            <w:tcW w:w="1585" w:type="pct"/>
            <w:shd w:val="clear" w:color="auto" w:fill="FFFFFF"/>
            <w:tcMar>
              <w:top w:w="85" w:type="dxa"/>
              <w:bottom w:w="85" w:type="dxa"/>
            </w:tcMar>
          </w:tcPr>
          <w:p w14:paraId="1346B1E3"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2CC5D066" w14:textId="77777777" w:rsidTr="007536CC">
        <w:trPr>
          <w:cantSplit/>
          <w:trHeight w:val="335"/>
        </w:trPr>
        <w:tc>
          <w:tcPr>
            <w:tcW w:w="1891" w:type="pct"/>
            <w:shd w:val="clear" w:color="auto" w:fill="auto"/>
            <w:tcMar>
              <w:top w:w="85" w:type="dxa"/>
              <w:bottom w:w="85" w:type="dxa"/>
            </w:tcMar>
          </w:tcPr>
          <w:p w14:paraId="4C0B8886"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71816594" w14:textId="77777777" w:rsidR="00292B80" w:rsidRPr="00603C51" w:rsidRDefault="00292B80" w:rsidP="005A1F7F">
            <w:pPr>
              <w:rPr>
                <w:rFonts w:ascii="Arial" w:hAnsi="Arial" w:cs="Arial"/>
                <w:sz w:val="16"/>
                <w:szCs w:val="16"/>
              </w:rPr>
            </w:pPr>
            <w:r w:rsidRPr="00860634">
              <w:rPr>
                <w:rFonts w:ascii="Arial" w:hAnsi="Arial" w:cs="Arial"/>
                <w:color w:val="000000"/>
                <w:sz w:val="16"/>
                <w:szCs w:val="16"/>
              </w:rPr>
              <w:t>Financial Regulations and Rules and relevant Office Instructions (OIs) up to date</w:t>
            </w:r>
          </w:p>
        </w:tc>
        <w:tc>
          <w:tcPr>
            <w:tcW w:w="1585" w:type="pct"/>
            <w:shd w:val="clear" w:color="auto" w:fill="FFFFFF"/>
            <w:tcMar>
              <w:top w:w="85" w:type="dxa"/>
              <w:bottom w:w="85" w:type="dxa"/>
            </w:tcMar>
          </w:tcPr>
          <w:p w14:paraId="0C22C3FF"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70C541A6" w14:textId="77777777" w:rsidTr="007536CC">
        <w:trPr>
          <w:cantSplit/>
          <w:trHeight w:val="335"/>
        </w:trPr>
        <w:tc>
          <w:tcPr>
            <w:tcW w:w="1891" w:type="pct"/>
            <w:shd w:val="clear" w:color="auto" w:fill="auto"/>
            <w:tcMar>
              <w:top w:w="85" w:type="dxa"/>
              <w:bottom w:w="85" w:type="dxa"/>
            </w:tcMar>
          </w:tcPr>
          <w:p w14:paraId="3BD8ACD3"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026AF758"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Increase in maturity of Risk Management and Internal controls, in accordance with the Roadmap</w:t>
            </w:r>
          </w:p>
        </w:tc>
        <w:tc>
          <w:tcPr>
            <w:tcW w:w="1585" w:type="pct"/>
            <w:shd w:val="clear" w:color="auto" w:fill="FFFFFF"/>
            <w:tcMar>
              <w:top w:w="85" w:type="dxa"/>
              <w:bottom w:w="85" w:type="dxa"/>
            </w:tcMar>
          </w:tcPr>
          <w:p w14:paraId="5C9F9288" w14:textId="77777777" w:rsidR="00292B80" w:rsidRDefault="00292B80" w:rsidP="005A1F7F">
            <w:pPr>
              <w:ind w:left="821"/>
              <w:rPr>
                <w:rFonts w:ascii="Arial" w:hAnsi="Arial" w:cs="Arial"/>
                <w:sz w:val="16"/>
                <w:szCs w:val="16"/>
              </w:rPr>
            </w:pPr>
            <w:r>
              <w:rPr>
                <w:rFonts w:ascii="Arial" w:hAnsi="Arial" w:cs="Arial"/>
                <w:sz w:val="16"/>
                <w:szCs w:val="16"/>
              </w:rPr>
              <w:t xml:space="preserve">  Program 22</w:t>
            </w:r>
          </w:p>
        </w:tc>
      </w:tr>
      <w:tr w:rsidR="00292B80" w:rsidRPr="00AF5E7C" w14:paraId="6440668F" w14:textId="77777777" w:rsidTr="007536CC">
        <w:trPr>
          <w:cantSplit/>
          <w:trHeight w:val="335"/>
        </w:trPr>
        <w:tc>
          <w:tcPr>
            <w:tcW w:w="1891" w:type="pct"/>
            <w:shd w:val="clear" w:color="auto" w:fill="auto"/>
            <w:tcMar>
              <w:top w:w="85" w:type="dxa"/>
              <w:bottom w:w="85" w:type="dxa"/>
            </w:tcMar>
          </w:tcPr>
          <w:p w14:paraId="5A7470C5"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40170BF6" w14:textId="77777777" w:rsidR="00292B80" w:rsidRPr="00860634" w:rsidRDefault="00292B80" w:rsidP="005A1F7F">
            <w:pPr>
              <w:rPr>
                <w:rFonts w:ascii="Arial" w:hAnsi="Arial" w:cs="Arial"/>
                <w:color w:val="000000"/>
                <w:sz w:val="16"/>
                <w:szCs w:val="16"/>
              </w:rPr>
            </w:pPr>
            <w:r>
              <w:rPr>
                <w:rFonts w:ascii="Arial" w:hAnsi="Arial" w:cs="Arial"/>
                <w:color w:val="000000"/>
                <w:sz w:val="16"/>
                <w:szCs w:val="16"/>
              </w:rPr>
              <w:t>Effective follow-up of oversight recommendations</w:t>
            </w:r>
          </w:p>
        </w:tc>
        <w:tc>
          <w:tcPr>
            <w:tcW w:w="1585" w:type="pct"/>
            <w:shd w:val="clear" w:color="auto" w:fill="FFFFFF"/>
            <w:tcMar>
              <w:top w:w="85" w:type="dxa"/>
              <w:bottom w:w="85" w:type="dxa"/>
            </w:tcMar>
          </w:tcPr>
          <w:p w14:paraId="4F32A067" w14:textId="77777777" w:rsidR="00292B80" w:rsidRDefault="00292B80" w:rsidP="005A1F7F">
            <w:pPr>
              <w:ind w:left="821"/>
              <w:rPr>
                <w:rFonts w:ascii="Arial" w:hAnsi="Arial" w:cs="Arial"/>
                <w:sz w:val="16"/>
                <w:szCs w:val="16"/>
              </w:rPr>
            </w:pPr>
            <w:r>
              <w:rPr>
                <w:rFonts w:ascii="Arial" w:hAnsi="Arial" w:cs="Arial"/>
                <w:sz w:val="16"/>
                <w:szCs w:val="16"/>
              </w:rPr>
              <w:t xml:space="preserve">  Program 22</w:t>
            </w:r>
          </w:p>
        </w:tc>
      </w:tr>
      <w:tr w:rsidR="00292B80" w:rsidRPr="00AF5E7C" w14:paraId="6DE5824B" w14:textId="77777777" w:rsidTr="007536CC">
        <w:trPr>
          <w:cantSplit/>
          <w:trHeight w:val="692"/>
        </w:trPr>
        <w:tc>
          <w:tcPr>
            <w:tcW w:w="1891" w:type="pct"/>
            <w:shd w:val="clear" w:color="auto" w:fill="auto"/>
            <w:tcMar>
              <w:top w:w="85" w:type="dxa"/>
              <w:bottom w:w="85" w:type="dxa"/>
            </w:tcMar>
          </w:tcPr>
          <w:p w14:paraId="15AB5F4F" w14:textId="77777777" w:rsidR="00292B80" w:rsidRPr="00592A10" w:rsidRDefault="00292B80" w:rsidP="005A1F7F">
            <w:pPr>
              <w:rPr>
                <w:rFonts w:ascii="Arial" w:hAnsi="Arial" w:cs="Arial"/>
                <w:sz w:val="16"/>
                <w:szCs w:val="16"/>
              </w:rPr>
            </w:pPr>
            <w:r w:rsidRPr="00592A10">
              <w:rPr>
                <w:rFonts w:ascii="Arial" w:hAnsi="Arial" w:cs="Arial"/>
                <w:sz w:val="16"/>
                <w:szCs w:val="16"/>
              </w:rPr>
              <w:t xml:space="preserve">IX.4 </w:t>
            </w:r>
            <w:r>
              <w:rPr>
                <w:rFonts w:ascii="Arial" w:hAnsi="Arial" w:cs="Arial"/>
                <w:sz w:val="16"/>
                <w:szCs w:val="16"/>
              </w:rPr>
              <w:t xml:space="preserve"> </w:t>
            </w:r>
            <w:r w:rsidRPr="00592A10">
              <w:rPr>
                <w:rFonts w:ascii="Arial" w:hAnsi="Arial" w:cs="Arial"/>
                <w:sz w:val="16"/>
                <w:szCs w:val="16"/>
              </w:rPr>
              <w:t>An environmentally and socially responsible Organization in which WIPO staff, delegates, visitors and information and physical assets are safe and secure</w:t>
            </w:r>
          </w:p>
        </w:tc>
        <w:tc>
          <w:tcPr>
            <w:tcW w:w="1524" w:type="pct"/>
            <w:shd w:val="clear" w:color="auto" w:fill="auto"/>
            <w:tcMar>
              <w:top w:w="85" w:type="dxa"/>
              <w:bottom w:w="85" w:type="dxa"/>
            </w:tcMar>
          </w:tcPr>
          <w:p w14:paraId="6A7407A1" w14:textId="77777777" w:rsidR="00292B80" w:rsidRPr="006A3FC3" w:rsidRDefault="00292B80" w:rsidP="005A1F7F">
            <w:pPr>
              <w:rPr>
                <w:rFonts w:ascii="Arial" w:hAnsi="Arial"/>
                <w:color w:val="000000"/>
                <w:sz w:val="16"/>
                <w:szCs w:val="16"/>
              </w:rPr>
            </w:pPr>
            <w:r>
              <w:rPr>
                <w:rFonts w:ascii="Arial" w:hAnsi="Arial" w:cs="Arial"/>
                <w:color w:val="000000"/>
                <w:sz w:val="16"/>
                <w:szCs w:val="16"/>
              </w:rPr>
              <w:t>Reduced impact of WIPO activities on the environment</w:t>
            </w:r>
          </w:p>
        </w:tc>
        <w:tc>
          <w:tcPr>
            <w:tcW w:w="1585" w:type="pct"/>
            <w:shd w:val="clear" w:color="auto" w:fill="FFFFFF"/>
            <w:tcMar>
              <w:top w:w="85" w:type="dxa"/>
              <w:bottom w:w="85" w:type="dxa"/>
            </w:tcMar>
          </w:tcPr>
          <w:p w14:paraId="00559298"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Program 24</w:t>
            </w:r>
          </w:p>
        </w:tc>
      </w:tr>
      <w:tr w:rsidR="00292B80" w:rsidRPr="00AF5E7C" w14:paraId="310DC138" w14:textId="77777777" w:rsidTr="007536CC">
        <w:trPr>
          <w:cantSplit/>
          <w:trHeight w:val="335"/>
        </w:trPr>
        <w:tc>
          <w:tcPr>
            <w:tcW w:w="1891" w:type="pct"/>
            <w:shd w:val="clear" w:color="auto" w:fill="auto"/>
            <w:tcMar>
              <w:top w:w="85" w:type="dxa"/>
              <w:bottom w:w="85" w:type="dxa"/>
            </w:tcMar>
          </w:tcPr>
          <w:p w14:paraId="18C4767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401F884" w14:textId="77777777" w:rsidR="00292B80" w:rsidRPr="006A3FC3" w:rsidRDefault="00292B80" w:rsidP="005A1F7F">
            <w:pPr>
              <w:rPr>
                <w:rFonts w:ascii="Arial" w:hAnsi="Arial"/>
                <w:color w:val="000000"/>
                <w:sz w:val="16"/>
                <w:szCs w:val="16"/>
              </w:rPr>
            </w:pPr>
            <w:r>
              <w:rPr>
                <w:rFonts w:ascii="Arial" w:hAnsi="Arial" w:cs="Arial"/>
                <w:color w:val="000000"/>
                <w:sz w:val="16"/>
                <w:szCs w:val="16"/>
              </w:rPr>
              <w:t>Improved physical access to the WIPO campus</w:t>
            </w:r>
          </w:p>
        </w:tc>
        <w:tc>
          <w:tcPr>
            <w:tcW w:w="1585" w:type="pct"/>
            <w:shd w:val="clear" w:color="auto" w:fill="FFFFFF"/>
            <w:tcMar>
              <w:top w:w="85" w:type="dxa"/>
              <w:bottom w:w="85" w:type="dxa"/>
            </w:tcMar>
          </w:tcPr>
          <w:p w14:paraId="1AA7C3C3" w14:textId="77777777" w:rsidR="00292B80" w:rsidRDefault="00292B80" w:rsidP="005A1F7F">
            <w:pPr>
              <w:ind w:left="821"/>
              <w:rPr>
                <w:rFonts w:ascii="Arial" w:hAnsi="Arial" w:cs="Arial"/>
                <w:sz w:val="16"/>
                <w:szCs w:val="16"/>
              </w:rPr>
            </w:pPr>
            <w:r>
              <w:rPr>
                <w:rFonts w:ascii="Arial" w:hAnsi="Arial" w:cs="Arial"/>
                <w:sz w:val="16"/>
                <w:szCs w:val="16"/>
              </w:rPr>
              <w:t>Program 24</w:t>
            </w:r>
          </w:p>
        </w:tc>
      </w:tr>
      <w:tr w:rsidR="00292B80" w:rsidRPr="00AF5E7C" w14:paraId="2731AC5E" w14:textId="77777777" w:rsidTr="007536CC">
        <w:trPr>
          <w:cantSplit/>
          <w:trHeight w:val="335"/>
        </w:trPr>
        <w:tc>
          <w:tcPr>
            <w:tcW w:w="1891" w:type="pct"/>
            <w:shd w:val="clear" w:color="auto" w:fill="auto"/>
            <w:tcMar>
              <w:top w:w="85" w:type="dxa"/>
              <w:bottom w:w="85" w:type="dxa"/>
            </w:tcMar>
          </w:tcPr>
          <w:p w14:paraId="77BA4FB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1911F88" w14:textId="5313ADD4" w:rsidR="00292B80" w:rsidRPr="00A12622" w:rsidRDefault="00062517" w:rsidP="005A1F7F">
            <w:pPr>
              <w:rPr>
                <w:rFonts w:ascii="Arial" w:hAnsi="Arial"/>
                <w:color w:val="000000"/>
                <w:sz w:val="16"/>
                <w:szCs w:val="16"/>
              </w:rPr>
            </w:pPr>
            <w:r>
              <w:rPr>
                <w:rFonts w:ascii="Arial" w:eastAsia="Times New Roman" w:hAnsi="Arial" w:cs="Arial"/>
                <w:color w:val="000000"/>
                <w:sz w:val="16"/>
                <w:szCs w:val="16"/>
                <w:lang w:eastAsia="en-US"/>
              </w:rPr>
              <w:t>ICT service continuity of critical systems</w:t>
            </w:r>
          </w:p>
        </w:tc>
        <w:tc>
          <w:tcPr>
            <w:tcW w:w="1585" w:type="pct"/>
            <w:shd w:val="clear" w:color="auto" w:fill="FFFFFF"/>
            <w:tcMar>
              <w:top w:w="85" w:type="dxa"/>
              <w:bottom w:w="85" w:type="dxa"/>
            </w:tcMar>
          </w:tcPr>
          <w:p w14:paraId="77738E94" w14:textId="77777777" w:rsidR="00292B80" w:rsidRDefault="00292B80" w:rsidP="005A1F7F">
            <w:pPr>
              <w:ind w:left="821"/>
            </w:pPr>
            <w:r w:rsidRPr="00375290">
              <w:rPr>
                <w:rFonts w:ascii="Arial" w:hAnsi="Arial" w:cs="Arial"/>
                <w:sz w:val="16"/>
                <w:szCs w:val="16"/>
              </w:rPr>
              <w:t>Program 2</w:t>
            </w:r>
            <w:r>
              <w:rPr>
                <w:rFonts w:ascii="Arial" w:hAnsi="Arial" w:cs="Arial"/>
                <w:sz w:val="16"/>
                <w:szCs w:val="16"/>
              </w:rPr>
              <w:t>5</w:t>
            </w:r>
          </w:p>
        </w:tc>
      </w:tr>
      <w:tr w:rsidR="00292B80" w:rsidRPr="00AF5E7C" w14:paraId="33165B7E" w14:textId="77777777" w:rsidTr="007536CC">
        <w:trPr>
          <w:cantSplit/>
          <w:trHeight w:val="335"/>
        </w:trPr>
        <w:tc>
          <w:tcPr>
            <w:tcW w:w="1891" w:type="pct"/>
            <w:shd w:val="clear" w:color="auto" w:fill="auto"/>
            <w:tcMar>
              <w:top w:w="85" w:type="dxa"/>
              <w:bottom w:w="85" w:type="dxa"/>
            </w:tcMar>
          </w:tcPr>
          <w:p w14:paraId="5BFC8AE2"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268F884" w14:textId="77777777" w:rsidR="00292B80" w:rsidRPr="008B0886" w:rsidRDefault="00292B80" w:rsidP="005A1F7F">
            <w:pPr>
              <w:rPr>
                <w:rFonts w:ascii="Arial" w:hAnsi="Arial" w:cs="Arial"/>
                <w:sz w:val="16"/>
                <w:szCs w:val="16"/>
              </w:rPr>
            </w:pPr>
            <w:r w:rsidRPr="008B0886">
              <w:rPr>
                <w:rFonts w:ascii="Arial" w:hAnsi="Arial" w:cs="Arial"/>
                <w:color w:val="000000"/>
                <w:sz w:val="16"/>
                <w:szCs w:val="16"/>
              </w:rPr>
              <w:t>% of information risks, including third party risks, reported and managed consistently within WIPO's risk tolerances</w:t>
            </w:r>
          </w:p>
        </w:tc>
        <w:tc>
          <w:tcPr>
            <w:tcW w:w="1585" w:type="pct"/>
            <w:shd w:val="clear" w:color="auto" w:fill="FFFFFF"/>
            <w:tcMar>
              <w:top w:w="85" w:type="dxa"/>
              <w:bottom w:w="85" w:type="dxa"/>
            </w:tcMar>
          </w:tcPr>
          <w:p w14:paraId="10128F76"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28</w:t>
            </w:r>
          </w:p>
        </w:tc>
      </w:tr>
      <w:tr w:rsidR="00292B80" w:rsidRPr="00AF5E7C" w14:paraId="7CEF8E0C" w14:textId="77777777" w:rsidTr="007536CC">
        <w:trPr>
          <w:cantSplit/>
          <w:trHeight w:val="335"/>
        </w:trPr>
        <w:tc>
          <w:tcPr>
            <w:tcW w:w="1891" w:type="pct"/>
            <w:shd w:val="clear" w:color="auto" w:fill="auto"/>
            <w:tcMar>
              <w:top w:w="85" w:type="dxa"/>
              <w:bottom w:w="85" w:type="dxa"/>
            </w:tcMar>
          </w:tcPr>
          <w:p w14:paraId="7BC0AF0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A07EA4D" w14:textId="77777777" w:rsidR="00292B80" w:rsidRPr="00037D2E" w:rsidRDefault="00292B80" w:rsidP="005A1F7F">
            <w:pPr>
              <w:rPr>
                <w:rFonts w:ascii="Arial" w:hAnsi="Arial" w:cs="Arial"/>
                <w:sz w:val="16"/>
                <w:szCs w:val="16"/>
              </w:rPr>
            </w:pPr>
            <w:r w:rsidRPr="00037D2E">
              <w:rPr>
                <w:rFonts w:ascii="Arial" w:hAnsi="Arial" w:cs="Arial"/>
                <w:color w:val="000000"/>
                <w:sz w:val="16"/>
                <w:szCs w:val="16"/>
              </w:rPr>
              <w:t>Proactive identification and timely remediation of vulnerabilities within agreed service levels</w:t>
            </w:r>
          </w:p>
        </w:tc>
        <w:tc>
          <w:tcPr>
            <w:tcW w:w="1585" w:type="pct"/>
            <w:shd w:val="clear" w:color="auto" w:fill="FFFFFF"/>
            <w:tcMar>
              <w:top w:w="85" w:type="dxa"/>
              <w:bottom w:w="85" w:type="dxa"/>
            </w:tcMar>
          </w:tcPr>
          <w:p w14:paraId="0CB4536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28</w:t>
            </w:r>
          </w:p>
        </w:tc>
      </w:tr>
      <w:tr w:rsidR="00292B80" w:rsidRPr="00AF5E7C" w14:paraId="7A851578" w14:textId="77777777" w:rsidTr="007536CC">
        <w:trPr>
          <w:cantSplit/>
          <w:trHeight w:val="335"/>
        </w:trPr>
        <w:tc>
          <w:tcPr>
            <w:tcW w:w="1891" w:type="pct"/>
            <w:shd w:val="clear" w:color="auto" w:fill="auto"/>
            <w:tcMar>
              <w:top w:w="85" w:type="dxa"/>
              <w:bottom w:w="85" w:type="dxa"/>
            </w:tcMar>
          </w:tcPr>
          <w:p w14:paraId="0D294C16"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458A6DC"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Increased compliance to IA policies and standards</w:t>
            </w:r>
          </w:p>
        </w:tc>
        <w:tc>
          <w:tcPr>
            <w:tcW w:w="1585" w:type="pct"/>
            <w:shd w:val="clear" w:color="auto" w:fill="FFFFFF"/>
            <w:tcMar>
              <w:top w:w="85" w:type="dxa"/>
              <w:bottom w:w="85" w:type="dxa"/>
            </w:tcMar>
          </w:tcPr>
          <w:p w14:paraId="5806089B"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1075CE72" w14:textId="77777777" w:rsidTr="007536CC">
        <w:trPr>
          <w:cantSplit/>
          <w:trHeight w:val="335"/>
        </w:trPr>
        <w:tc>
          <w:tcPr>
            <w:tcW w:w="1891" w:type="pct"/>
            <w:shd w:val="clear" w:color="auto" w:fill="auto"/>
            <w:tcMar>
              <w:top w:w="85" w:type="dxa"/>
              <w:bottom w:w="85" w:type="dxa"/>
            </w:tcMar>
          </w:tcPr>
          <w:p w14:paraId="5E95A3C3"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DB863C1"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Widely adopted information classification and handling policy to ensure confidentiality of information</w:t>
            </w:r>
          </w:p>
        </w:tc>
        <w:tc>
          <w:tcPr>
            <w:tcW w:w="1585" w:type="pct"/>
            <w:shd w:val="clear" w:color="auto" w:fill="FFFFFF"/>
            <w:tcMar>
              <w:top w:w="85" w:type="dxa"/>
              <w:bottom w:w="85" w:type="dxa"/>
            </w:tcMar>
          </w:tcPr>
          <w:p w14:paraId="15D7BCE1"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1E4ACFFE" w14:textId="77777777" w:rsidTr="007536CC">
        <w:trPr>
          <w:cantSplit/>
          <w:trHeight w:val="335"/>
        </w:trPr>
        <w:tc>
          <w:tcPr>
            <w:tcW w:w="1891" w:type="pct"/>
            <w:shd w:val="clear" w:color="auto" w:fill="auto"/>
            <w:tcMar>
              <w:top w:w="85" w:type="dxa"/>
              <w:bottom w:w="85" w:type="dxa"/>
            </w:tcMar>
          </w:tcPr>
          <w:p w14:paraId="127DA290"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8D23C29"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Reduced duplication of information security technical capabilities through reusable security architecture patterns</w:t>
            </w:r>
          </w:p>
        </w:tc>
        <w:tc>
          <w:tcPr>
            <w:tcW w:w="1585" w:type="pct"/>
            <w:shd w:val="clear" w:color="auto" w:fill="FFFFFF"/>
            <w:tcMar>
              <w:top w:w="85" w:type="dxa"/>
              <w:bottom w:w="85" w:type="dxa"/>
            </w:tcMar>
          </w:tcPr>
          <w:p w14:paraId="345AE688"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7646AB57" w14:textId="77777777" w:rsidTr="007536CC">
        <w:trPr>
          <w:cantSplit/>
          <w:trHeight w:val="335"/>
        </w:trPr>
        <w:tc>
          <w:tcPr>
            <w:tcW w:w="1891" w:type="pct"/>
            <w:shd w:val="clear" w:color="auto" w:fill="auto"/>
            <w:tcMar>
              <w:top w:w="85" w:type="dxa"/>
              <w:bottom w:w="85" w:type="dxa"/>
            </w:tcMar>
          </w:tcPr>
          <w:p w14:paraId="3719FBE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AE24C7F"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Enhanced capability to detect and respond to information security threats much faster ensuring minimal business disruption</w:t>
            </w:r>
          </w:p>
        </w:tc>
        <w:tc>
          <w:tcPr>
            <w:tcW w:w="1585" w:type="pct"/>
            <w:shd w:val="clear" w:color="auto" w:fill="FFFFFF"/>
            <w:tcMar>
              <w:top w:w="85" w:type="dxa"/>
              <w:bottom w:w="85" w:type="dxa"/>
            </w:tcMar>
          </w:tcPr>
          <w:p w14:paraId="569D9414"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3D7046DA" w14:textId="77777777" w:rsidTr="007536CC">
        <w:trPr>
          <w:cantSplit/>
          <w:trHeight w:val="335"/>
        </w:trPr>
        <w:tc>
          <w:tcPr>
            <w:tcW w:w="1891" w:type="pct"/>
            <w:shd w:val="clear" w:color="auto" w:fill="auto"/>
            <w:tcMar>
              <w:top w:w="85" w:type="dxa"/>
              <w:bottom w:w="85" w:type="dxa"/>
            </w:tcMar>
          </w:tcPr>
          <w:p w14:paraId="10280DE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6BAA6D4C"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 of WIPO staff, delegates and visitors reporting a work related injury or incident</w:t>
            </w:r>
          </w:p>
        </w:tc>
        <w:tc>
          <w:tcPr>
            <w:tcW w:w="1585" w:type="pct"/>
            <w:shd w:val="clear" w:color="auto" w:fill="FFFFFF"/>
            <w:tcMar>
              <w:top w:w="85" w:type="dxa"/>
              <w:bottom w:w="85" w:type="dxa"/>
            </w:tcMar>
          </w:tcPr>
          <w:p w14:paraId="042FEBA8"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5D57E7FE" w14:textId="77777777" w:rsidTr="007536CC">
        <w:trPr>
          <w:cantSplit/>
          <w:trHeight w:val="335"/>
        </w:trPr>
        <w:tc>
          <w:tcPr>
            <w:tcW w:w="1891" w:type="pct"/>
            <w:shd w:val="clear" w:color="auto" w:fill="auto"/>
            <w:tcMar>
              <w:top w:w="85" w:type="dxa"/>
              <w:bottom w:w="85" w:type="dxa"/>
            </w:tcMar>
          </w:tcPr>
          <w:p w14:paraId="175AE33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14CBED3B"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 of timely requests for safety &amp; security assistance at conferences or events held in or outside of Geneva</w:t>
            </w:r>
          </w:p>
        </w:tc>
        <w:tc>
          <w:tcPr>
            <w:tcW w:w="1585" w:type="pct"/>
            <w:shd w:val="clear" w:color="auto" w:fill="FFFFFF"/>
            <w:tcMar>
              <w:top w:w="85" w:type="dxa"/>
              <w:bottom w:w="85" w:type="dxa"/>
            </w:tcMar>
          </w:tcPr>
          <w:p w14:paraId="6E58BD02"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31725F86" w14:textId="77777777" w:rsidTr="007536CC">
        <w:trPr>
          <w:cantSplit/>
          <w:trHeight w:val="335"/>
        </w:trPr>
        <w:tc>
          <w:tcPr>
            <w:tcW w:w="1891" w:type="pct"/>
            <w:shd w:val="clear" w:color="auto" w:fill="auto"/>
            <w:tcMar>
              <w:top w:w="85" w:type="dxa"/>
              <w:bottom w:w="85" w:type="dxa"/>
            </w:tcMar>
          </w:tcPr>
          <w:p w14:paraId="627DA51C" w14:textId="77777777" w:rsidR="00292B80" w:rsidRPr="00604261" w:rsidRDefault="00292B80" w:rsidP="005A1F7F">
            <w:pPr>
              <w:rPr>
                <w:rFonts w:ascii="Arial" w:hAnsi="Arial" w:cs="Arial"/>
                <w:sz w:val="16"/>
                <w:szCs w:val="16"/>
              </w:rPr>
            </w:pPr>
            <w:r w:rsidRPr="00604261">
              <w:rPr>
                <w:rFonts w:ascii="Arial" w:hAnsi="Arial" w:cs="Arial"/>
                <w:sz w:val="16"/>
                <w:szCs w:val="16"/>
              </w:rPr>
              <w:t>IX.8</w:t>
            </w:r>
            <w:r>
              <w:rPr>
                <w:rFonts w:ascii="Arial" w:hAnsi="Arial" w:cs="Arial"/>
                <w:sz w:val="16"/>
                <w:szCs w:val="16"/>
              </w:rPr>
              <w:t xml:space="preserve">  </w:t>
            </w:r>
            <w:r w:rsidRPr="00604261">
              <w:rPr>
                <w:rFonts w:ascii="Arial" w:hAnsi="Arial" w:cs="Arial"/>
                <w:sz w:val="16"/>
                <w:szCs w:val="16"/>
              </w:rPr>
              <w:t>Improved accountability, organizational learning, value for money, stewardship, internal control and corporate governance through assistance from effective and independent oversight</w:t>
            </w:r>
          </w:p>
        </w:tc>
        <w:tc>
          <w:tcPr>
            <w:tcW w:w="1524" w:type="pct"/>
            <w:shd w:val="clear" w:color="auto" w:fill="auto"/>
            <w:tcMar>
              <w:top w:w="85" w:type="dxa"/>
              <w:bottom w:w="85" w:type="dxa"/>
            </w:tcMar>
          </w:tcPr>
          <w:p w14:paraId="093412BE" w14:textId="77777777" w:rsidR="00292B80" w:rsidRPr="00604261" w:rsidRDefault="00292B80" w:rsidP="005A1F7F">
            <w:pPr>
              <w:rPr>
                <w:rFonts w:ascii="Arial" w:hAnsi="Arial" w:cs="Arial"/>
                <w:b/>
                <w:sz w:val="16"/>
                <w:szCs w:val="16"/>
              </w:rPr>
            </w:pPr>
            <w:r>
              <w:rPr>
                <w:rFonts w:ascii="Arial" w:hAnsi="Arial" w:cs="Arial"/>
                <w:color w:val="000000"/>
                <w:sz w:val="16"/>
                <w:szCs w:val="16"/>
              </w:rPr>
              <w:t>INDEPENDENCE - No interference and perceived independence by key stakeholders</w:t>
            </w:r>
          </w:p>
        </w:tc>
        <w:tc>
          <w:tcPr>
            <w:tcW w:w="1585" w:type="pct"/>
            <w:shd w:val="clear" w:color="auto" w:fill="FFFFFF"/>
            <w:tcMar>
              <w:top w:w="85" w:type="dxa"/>
              <w:bottom w:w="85" w:type="dxa"/>
            </w:tcMar>
          </w:tcPr>
          <w:p w14:paraId="2DBFC84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1389DA56" w14:textId="77777777" w:rsidTr="007536CC">
        <w:trPr>
          <w:cantSplit/>
          <w:trHeight w:val="335"/>
        </w:trPr>
        <w:tc>
          <w:tcPr>
            <w:tcW w:w="1891" w:type="pct"/>
            <w:shd w:val="clear" w:color="auto" w:fill="auto"/>
            <w:tcMar>
              <w:top w:w="85" w:type="dxa"/>
              <w:bottom w:w="85" w:type="dxa"/>
            </w:tcMar>
          </w:tcPr>
          <w:p w14:paraId="0BC75F7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AA60C27" w14:textId="77777777" w:rsidR="00292B80" w:rsidRPr="00604261" w:rsidRDefault="00292B80" w:rsidP="005A1F7F">
            <w:pPr>
              <w:rPr>
                <w:rFonts w:ascii="Arial" w:hAnsi="Arial" w:cs="Arial"/>
                <w:sz w:val="16"/>
                <w:szCs w:val="16"/>
              </w:rPr>
            </w:pPr>
            <w:r w:rsidRPr="00604261">
              <w:rPr>
                <w:rFonts w:ascii="Arial" w:hAnsi="Arial" w:cs="Arial"/>
                <w:sz w:val="16"/>
                <w:szCs w:val="16"/>
              </w:rPr>
              <w:t>EFFECTIVENESS</w:t>
            </w:r>
            <w:r>
              <w:rPr>
                <w:rFonts w:ascii="Arial" w:hAnsi="Arial" w:cs="Arial"/>
                <w:sz w:val="16"/>
                <w:szCs w:val="16"/>
              </w:rPr>
              <w:t xml:space="preserve"> - % of work that covers high risk, relevant areas aligned with the Organization’s Strategy</w:t>
            </w:r>
            <w:r w:rsidRPr="00604261">
              <w:rPr>
                <w:rFonts w:ascii="Arial" w:hAnsi="Arial" w:cs="Arial"/>
                <w:sz w:val="16"/>
                <w:szCs w:val="16"/>
              </w:rPr>
              <w:t xml:space="preserve"> </w:t>
            </w:r>
          </w:p>
        </w:tc>
        <w:tc>
          <w:tcPr>
            <w:tcW w:w="1585" w:type="pct"/>
            <w:shd w:val="clear" w:color="auto" w:fill="FFFFFF"/>
            <w:tcMar>
              <w:top w:w="85" w:type="dxa"/>
              <w:bottom w:w="85" w:type="dxa"/>
            </w:tcMar>
          </w:tcPr>
          <w:p w14:paraId="4F2D2FA6"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4312BDD9" w14:textId="77777777" w:rsidTr="007536CC">
        <w:trPr>
          <w:cantSplit/>
          <w:trHeight w:val="335"/>
        </w:trPr>
        <w:tc>
          <w:tcPr>
            <w:tcW w:w="1891" w:type="pct"/>
            <w:shd w:val="clear" w:color="auto" w:fill="auto"/>
            <w:tcMar>
              <w:top w:w="85" w:type="dxa"/>
              <w:bottom w:w="85" w:type="dxa"/>
            </w:tcMar>
          </w:tcPr>
          <w:p w14:paraId="2A89BF5B"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17EBCAF"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EFFICIENCY - IOD's reports are issued timely with SMART recommendations</w:t>
            </w:r>
          </w:p>
        </w:tc>
        <w:tc>
          <w:tcPr>
            <w:tcW w:w="1585" w:type="pct"/>
            <w:shd w:val="clear" w:color="auto" w:fill="FFFFFF"/>
            <w:tcMar>
              <w:top w:w="85" w:type="dxa"/>
              <w:bottom w:w="85" w:type="dxa"/>
            </w:tcMar>
          </w:tcPr>
          <w:p w14:paraId="7619490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0222EC24" w14:textId="77777777" w:rsidTr="007536CC">
        <w:trPr>
          <w:cantSplit/>
          <w:trHeight w:val="335"/>
        </w:trPr>
        <w:tc>
          <w:tcPr>
            <w:tcW w:w="1891" w:type="pct"/>
            <w:shd w:val="clear" w:color="auto" w:fill="auto"/>
            <w:tcMar>
              <w:top w:w="85" w:type="dxa"/>
              <w:bottom w:w="85" w:type="dxa"/>
            </w:tcMar>
          </w:tcPr>
          <w:p w14:paraId="410A1742"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3B2B0842"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RELEVANCE, ADDED VALUE &amp; STEWARDSHIP- Tangible cost savings or improvements made in business processes and systems</w:t>
            </w:r>
          </w:p>
        </w:tc>
        <w:tc>
          <w:tcPr>
            <w:tcW w:w="1585" w:type="pct"/>
            <w:shd w:val="clear" w:color="auto" w:fill="FFFFFF"/>
            <w:tcMar>
              <w:top w:w="85" w:type="dxa"/>
              <w:bottom w:w="85" w:type="dxa"/>
            </w:tcMar>
          </w:tcPr>
          <w:p w14:paraId="7CE8982D"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2A4FDAD2" w14:textId="77777777" w:rsidTr="007536CC">
        <w:trPr>
          <w:cantSplit/>
          <w:trHeight w:val="335"/>
        </w:trPr>
        <w:tc>
          <w:tcPr>
            <w:tcW w:w="1891" w:type="pct"/>
            <w:shd w:val="clear" w:color="auto" w:fill="auto"/>
            <w:tcMar>
              <w:top w:w="85" w:type="dxa"/>
              <w:bottom w:w="85" w:type="dxa"/>
            </w:tcMar>
          </w:tcPr>
          <w:p w14:paraId="10C9C2E0"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745BBC8"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ORGANIZATIONAL LEARNING-Uptake of Lessons and Recommendations from Oversight Processes</w:t>
            </w:r>
          </w:p>
        </w:tc>
        <w:tc>
          <w:tcPr>
            <w:tcW w:w="1585" w:type="pct"/>
            <w:shd w:val="clear" w:color="auto" w:fill="FFFFFF"/>
            <w:tcMar>
              <w:top w:w="85" w:type="dxa"/>
              <w:bottom w:w="85" w:type="dxa"/>
            </w:tcMar>
          </w:tcPr>
          <w:p w14:paraId="3941BF2C"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bl>
    <w:p w14:paraId="7D3F2180" w14:textId="77777777" w:rsidR="00292B80" w:rsidRDefault="00292B80">
      <w:pPr>
        <w:rPr>
          <w:rFonts w:ascii="Arial" w:hAnsi="Arial" w:cs="Arial"/>
          <w:sz w:val="20"/>
        </w:rPr>
      </w:pPr>
    </w:p>
    <w:p w14:paraId="4A66450A" w14:textId="507371F7" w:rsidR="00984F70" w:rsidRDefault="00984F70">
      <w:pPr>
        <w:rPr>
          <w:rFonts w:ascii="Arial" w:hAnsi="Arial" w:cs="Arial"/>
          <w:sz w:val="20"/>
        </w:rPr>
      </w:pPr>
      <w:r>
        <w:rPr>
          <w:rFonts w:ascii="Arial" w:hAnsi="Arial" w:cs="Arial"/>
          <w:sz w:val="20"/>
        </w:rPr>
        <w:br w:type="page"/>
      </w:r>
    </w:p>
    <w:p w14:paraId="171571C6" w14:textId="43013EBE" w:rsidR="00984F70" w:rsidRPr="008E77FC" w:rsidRDefault="00502473" w:rsidP="00984F70">
      <w:pPr>
        <w:pStyle w:val="StyleHeading3ComplexItalic"/>
        <w:ind w:left="1985" w:hanging="1985"/>
        <w:rPr>
          <w:bCs/>
          <w:iCs w:val="0"/>
          <w:sz w:val="20"/>
        </w:rPr>
      </w:pPr>
      <w:bookmarkStart w:id="68" w:name="_Toc367350602"/>
      <w:bookmarkStart w:id="69" w:name="_Toc431221436"/>
      <w:r w:rsidRPr="008E77FC">
        <w:rPr>
          <w:bCs/>
          <w:iCs w:val="0"/>
          <w:caps w:val="0"/>
        </w:rPr>
        <w:lastRenderedPageBreak/>
        <w:t>PROGRAM 21</w:t>
      </w:r>
      <w:r w:rsidRPr="008E77FC">
        <w:rPr>
          <w:bCs/>
          <w:iCs w:val="0"/>
          <w:caps w:val="0"/>
        </w:rPr>
        <w:tab/>
        <w:t>EXECUTIVE MANAGEMENT</w:t>
      </w:r>
      <w:bookmarkEnd w:id="68"/>
      <w:bookmarkEnd w:id="69"/>
    </w:p>
    <w:p w14:paraId="2CBA89A1" w14:textId="77777777" w:rsidR="00984F70" w:rsidRPr="005F226D" w:rsidRDefault="00984F70" w:rsidP="00984F70">
      <w:pPr>
        <w:tabs>
          <w:tab w:val="left" w:pos="2268"/>
        </w:tabs>
        <w:ind w:left="2268" w:hanging="2268"/>
        <w:rPr>
          <w:rFonts w:ascii="Arial" w:hAnsi="Arial" w:cs="Arial"/>
          <w:b/>
          <w:sz w:val="20"/>
        </w:rPr>
      </w:pPr>
    </w:p>
    <w:p w14:paraId="0B3EB105" w14:textId="77777777" w:rsidR="00984F70" w:rsidRDefault="00984F70" w:rsidP="00984F70">
      <w:pPr>
        <w:pStyle w:val="BodyTextIndent"/>
        <w:ind w:left="1985" w:hanging="1985"/>
        <w:jc w:val="both"/>
        <w:rPr>
          <w:rFonts w:ascii="Arial" w:hAnsi="Arial" w:cs="Arial"/>
          <w:sz w:val="22"/>
          <w:szCs w:val="22"/>
        </w:rPr>
      </w:pPr>
    </w:p>
    <w:p w14:paraId="7F19C3E3" w14:textId="77777777" w:rsidR="00984F70" w:rsidRPr="005F226D" w:rsidRDefault="00984F70" w:rsidP="00984F70">
      <w:pPr>
        <w:pStyle w:val="BodyTextIndent"/>
        <w:ind w:left="1985" w:hanging="1985"/>
        <w:jc w:val="both"/>
        <w:rPr>
          <w:rFonts w:ascii="Arial" w:hAnsi="Arial" w:cs="Arial"/>
          <w:sz w:val="22"/>
          <w:szCs w:val="22"/>
        </w:rPr>
      </w:pPr>
      <w:r w:rsidRPr="005F226D">
        <w:rPr>
          <w:rFonts w:ascii="Arial" w:hAnsi="Arial" w:cs="Arial"/>
          <w:sz w:val="22"/>
          <w:szCs w:val="22"/>
        </w:rPr>
        <w:t>PLANNING CONTEXT</w:t>
      </w:r>
    </w:p>
    <w:p w14:paraId="1A7CC8B7" w14:textId="77777777" w:rsidR="00984F70" w:rsidRPr="005F226D" w:rsidRDefault="00984F70" w:rsidP="00984F70">
      <w:pPr>
        <w:rPr>
          <w:rFonts w:ascii="Arial" w:hAnsi="Arial" w:cs="Arial"/>
          <w:sz w:val="20"/>
        </w:rPr>
      </w:pPr>
    </w:p>
    <w:p w14:paraId="402CC183" w14:textId="77777777" w:rsidR="00984F70" w:rsidRPr="005F226D" w:rsidRDefault="00984F70" w:rsidP="00B66A4A">
      <w:pPr>
        <w:numPr>
          <w:ilvl w:val="0"/>
          <w:numId w:val="21"/>
        </w:numPr>
        <w:jc w:val="both"/>
        <w:rPr>
          <w:rFonts w:ascii="Arial" w:hAnsi="Arial" w:cs="Arial"/>
          <w:sz w:val="20"/>
        </w:rPr>
      </w:pPr>
      <w:r w:rsidRPr="005F226D">
        <w:rPr>
          <w:rFonts w:ascii="Arial" w:hAnsi="Arial" w:cs="Arial"/>
          <w:sz w:val="20"/>
        </w:rPr>
        <w:t>WIPO’s Executive Management Program provides the strategic direction for the Organization, enabling it to progress towards realizing its Strategic Goals.  The Program is also responsible for leading the change required to ensure that WIPO efficiently and effectively delivers its mandate in a rapidly changing external environment.</w:t>
      </w:r>
    </w:p>
    <w:p w14:paraId="10089ECD" w14:textId="77777777" w:rsidR="00984F70" w:rsidRPr="005F226D" w:rsidRDefault="00984F70" w:rsidP="00984F70">
      <w:pPr>
        <w:jc w:val="both"/>
        <w:rPr>
          <w:rFonts w:ascii="Arial" w:hAnsi="Arial" w:cs="Arial"/>
          <w:sz w:val="20"/>
        </w:rPr>
      </w:pPr>
    </w:p>
    <w:p w14:paraId="35C0DAA4" w14:textId="77777777" w:rsidR="00984F70" w:rsidRPr="005F226D" w:rsidRDefault="00984F70" w:rsidP="00B66A4A">
      <w:pPr>
        <w:numPr>
          <w:ilvl w:val="0"/>
          <w:numId w:val="21"/>
        </w:numPr>
        <w:jc w:val="both"/>
        <w:rPr>
          <w:rFonts w:ascii="Arial" w:hAnsi="Arial" w:cs="Arial"/>
          <w:sz w:val="20"/>
        </w:rPr>
      </w:pPr>
      <w:r w:rsidRPr="005F226D">
        <w:rPr>
          <w:rFonts w:ascii="Arial" w:hAnsi="Arial" w:cs="Arial"/>
          <w:sz w:val="20"/>
        </w:rPr>
        <w:t xml:space="preserve">The external environment in which WIPO operates continues to be demanding and pose challenges for the achievement of organizational objectives.  Global economic recovery has been uneven and shocks such as recent currency volatility underline the external risks which the Organization continues to face.  Against this backdrop, IP and innovation remain at the center of intense economic competition, underlining the importance which they continue to play for economic success and national development.  This continues to be reflected in the strong demand from Member States for WIPO’s support and assistance.  At the same time, the pace of the development of new norms around IP stands in contrast to the rapid pace of technological and social change.  Looking ahead, the Organization faces multiple challenges of providing equitable and effective responses to requests for assistance, ensuring that the income-generating services of the Organization are adequately resourced, reformed and remain competitive, and providing an enabling space in which Member States can coalesce and seek consensus around the normative framework.  </w:t>
      </w:r>
    </w:p>
    <w:p w14:paraId="429099F3" w14:textId="77777777" w:rsidR="00984F70" w:rsidRPr="005F226D" w:rsidRDefault="00984F70" w:rsidP="00984F70">
      <w:pPr>
        <w:tabs>
          <w:tab w:val="num" w:pos="709"/>
        </w:tabs>
        <w:ind w:left="1140" w:hanging="1140"/>
        <w:rPr>
          <w:rFonts w:ascii="Arial" w:hAnsi="Arial" w:cs="Arial"/>
          <w:bCs/>
          <w:sz w:val="20"/>
        </w:rPr>
      </w:pPr>
    </w:p>
    <w:p w14:paraId="406EC6FC" w14:textId="77777777" w:rsidR="00984F70" w:rsidRPr="005F226D" w:rsidRDefault="00984F70" w:rsidP="00984F70">
      <w:pPr>
        <w:tabs>
          <w:tab w:val="num" w:pos="709"/>
        </w:tabs>
        <w:ind w:left="1140" w:hanging="1140"/>
        <w:rPr>
          <w:rFonts w:ascii="Arial" w:hAnsi="Arial" w:cs="Arial"/>
          <w:bCs/>
          <w:sz w:val="20"/>
        </w:rPr>
      </w:pPr>
    </w:p>
    <w:p w14:paraId="74D484DD" w14:textId="77777777" w:rsidR="00984F70" w:rsidRPr="005F226D" w:rsidRDefault="00984F70" w:rsidP="00984F70">
      <w:pPr>
        <w:jc w:val="both"/>
        <w:rPr>
          <w:rFonts w:ascii="Arial" w:hAnsi="Arial" w:cs="Arial"/>
          <w:iCs/>
          <w:sz w:val="20"/>
        </w:rPr>
      </w:pPr>
      <w:r w:rsidRPr="005F226D">
        <w:rPr>
          <w:rFonts w:ascii="Arial" w:hAnsi="Arial" w:cs="Arial"/>
          <w:iCs/>
        </w:rPr>
        <w:t xml:space="preserve">IMPLEMENTATION STRATEGIES   </w:t>
      </w:r>
    </w:p>
    <w:p w14:paraId="17FA11E4" w14:textId="77777777" w:rsidR="00984F70" w:rsidRPr="005F226D" w:rsidRDefault="00984F70" w:rsidP="00984F70">
      <w:pPr>
        <w:tabs>
          <w:tab w:val="num" w:pos="709"/>
        </w:tabs>
        <w:jc w:val="both"/>
        <w:rPr>
          <w:rFonts w:ascii="Arial" w:hAnsi="Arial" w:cs="Arial"/>
          <w:bCs/>
          <w:sz w:val="20"/>
        </w:rPr>
      </w:pPr>
    </w:p>
    <w:p w14:paraId="6F8D1830" w14:textId="69561E98" w:rsidR="00984F70" w:rsidRPr="005F226D" w:rsidRDefault="00984F70" w:rsidP="00B66A4A">
      <w:pPr>
        <w:numPr>
          <w:ilvl w:val="0"/>
          <w:numId w:val="21"/>
        </w:numPr>
        <w:jc w:val="both"/>
        <w:rPr>
          <w:rFonts w:ascii="Arial" w:hAnsi="Arial" w:cs="Arial"/>
          <w:sz w:val="20"/>
        </w:rPr>
      </w:pPr>
      <w:r w:rsidRPr="005F226D">
        <w:rPr>
          <w:rFonts w:ascii="Arial" w:hAnsi="Arial" w:cs="Arial"/>
          <w:sz w:val="20"/>
        </w:rPr>
        <w:t xml:space="preserve">The enduring focus on IP and the balancing of interests in the current context will require the Program to place considerable emphasis on leading efforts to strengthen trusted and transparent communication with Member States and stakeholders, so as to assist </w:t>
      </w:r>
      <w:r w:rsidR="00ED6FE3">
        <w:rPr>
          <w:rFonts w:ascii="Arial" w:hAnsi="Arial" w:cs="Arial"/>
          <w:sz w:val="20"/>
        </w:rPr>
        <w:t xml:space="preserve">in </w:t>
      </w:r>
      <w:r w:rsidRPr="005F226D">
        <w:rPr>
          <w:rFonts w:ascii="Arial" w:hAnsi="Arial" w:cs="Arial"/>
          <w:sz w:val="20"/>
        </w:rPr>
        <w:t>the achievement of consensus around progressing the Strategic Goals.</w:t>
      </w:r>
    </w:p>
    <w:p w14:paraId="12E5EAC4" w14:textId="77777777" w:rsidR="00984F70" w:rsidRPr="005F226D" w:rsidRDefault="00984F70" w:rsidP="00984F70">
      <w:pPr>
        <w:jc w:val="both"/>
        <w:rPr>
          <w:rFonts w:ascii="Arial" w:hAnsi="Arial" w:cs="Arial"/>
          <w:sz w:val="20"/>
        </w:rPr>
      </w:pPr>
    </w:p>
    <w:p w14:paraId="196C2850" w14:textId="77777777" w:rsidR="00984F70" w:rsidRPr="005F226D" w:rsidRDefault="00984F70" w:rsidP="00B66A4A">
      <w:pPr>
        <w:numPr>
          <w:ilvl w:val="0"/>
          <w:numId w:val="21"/>
        </w:numPr>
        <w:jc w:val="both"/>
        <w:rPr>
          <w:rFonts w:ascii="Arial" w:hAnsi="Arial" w:cs="Arial"/>
          <w:sz w:val="20"/>
        </w:rPr>
      </w:pPr>
      <w:r w:rsidRPr="005F226D">
        <w:rPr>
          <w:rFonts w:ascii="Arial" w:hAnsi="Arial" w:cs="Arial"/>
          <w:sz w:val="20"/>
        </w:rPr>
        <w:t>The Program will champion and support the implementation of strategies and initiatives that enhance decisive, integrated and accountable management focused on the delivery of results while fostering ethical conduct and governance responsibility. In this context, the Program will devote particular energy to ensuring that External Offices are effective and fully integrated into Organizational efforts to achieve the Strategic Goals.  There will be a focus on building organizational resilience to a broad range of risks and safeguarding crucial operational processes.  Work within the Program will also aim to achieve a productive work environment, which reflects organizational values, and is supported by a fair and equitable rules framework, respectful workplace policies and effective channels to address staff concerns.</w:t>
      </w:r>
    </w:p>
    <w:p w14:paraId="655346FF" w14:textId="77777777" w:rsidR="00984F70" w:rsidRPr="005F226D" w:rsidRDefault="00984F70" w:rsidP="00984F70">
      <w:pPr>
        <w:jc w:val="both"/>
        <w:rPr>
          <w:rFonts w:ascii="Arial" w:hAnsi="Arial" w:cs="Arial"/>
          <w:sz w:val="20"/>
        </w:rPr>
      </w:pPr>
    </w:p>
    <w:p w14:paraId="46D79ED8" w14:textId="77777777" w:rsidR="00984F70" w:rsidRPr="005F226D" w:rsidRDefault="00984F70" w:rsidP="00B66A4A">
      <w:pPr>
        <w:numPr>
          <w:ilvl w:val="0"/>
          <w:numId w:val="21"/>
        </w:numPr>
        <w:jc w:val="both"/>
        <w:rPr>
          <w:rFonts w:ascii="Arial" w:hAnsi="Arial" w:cs="Arial"/>
          <w:sz w:val="20"/>
        </w:rPr>
      </w:pPr>
      <w:r w:rsidRPr="005F226D">
        <w:rPr>
          <w:rFonts w:ascii="Arial" w:hAnsi="Arial" w:cs="Arial"/>
          <w:sz w:val="20"/>
        </w:rPr>
        <w:t xml:space="preserve">The following strategies will be pursued in 2016/17: </w:t>
      </w:r>
    </w:p>
    <w:p w14:paraId="58F5A81F" w14:textId="77777777" w:rsidR="00984F70" w:rsidRPr="005F226D" w:rsidRDefault="00984F70" w:rsidP="00984F70">
      <w:pPr>
        <w:tabs>
          <w:tab w:val="left" w:pos="1134"/>
        </w:tabs>
        <w:ind w:left="567"/>
        <w:jc w:val="both"/>
        <w:rPr>
          <w:rFonts w:ascii="Arial" w:hAnsi="Arial" w:cs="Arial"/>
          <w:sz w:val="20"/>
        </w:rPr>
      </w:pPr>
    </w:p>
    <w:p w14:paraId="633F9D6D"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Strengthening communication with Member States</w:t>
      </w:r>
      <w:r w:rsidRPr="005F226D">
        <w:rPr>
          <w:rFonts w:ascii="Arial" w:hAnsi="Arial" w:cs="Arial"/>
          <w:sz w:val="20"/>
        </w:rPr>
        <w:t>: Continued regular and quality communication, consultation and dialogue with Member States will ensure the dissemination of information at all levels, and further enhance transparency with respect to program activities.</w:t>
      </w:r>
    </w:p>
    <w:p w14:paraId="1A875B95" w14:textId="77777777" w:rsidR="00984F70" w:rsidRPr="005F226D" w:rsidRDefault="00984F70" w:rsidP="00984F70">
      <w:pPr>
        <w:tabs>
          <w:tab w:val="num" w:pos="360"/>
          <w:tab w:val="left" w:pos="1134"/>
        </w:tabs>
        <w:ind w:left="567"/>
        <w:jc w:val="both"/>
        <w:rPr>
          <w:rFonts w:ascii="Arial" w:hAnsi="Arial" w:cs="Arial"/>
          <w:sz w:val="20"/>
        </w:rPr>
      </w:pPr>
    </w:p>
    <w:p w14:paraId="55D115B4"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Improving internal coherence and efficiency</w:t>
      </w:r>
      <w:r w:rsidRPr="005F226D">
        <w:rPr>
          <w:rFonts w:ascii="Arial" w:hAnsi="Arial" w:cs="Arial"/>
          <w:sz w:val="20"/>
        </w:rPr>
        <w:t>: This will continue to be strengthened through Senior Management Team (SMT)-level coordination and management reporting processes.  The institution of well-defined coordination mechanisms will ensure the integration of External Offices into management processes and enhance their functioning.</w:t>
      </w:r>
    </w:p>
    <w:p w14:paraId="513A8B88" w14:textId="77777777" w:rsidR="00984F70" w:rsidRPr="005F226D" w:rsidRDefault="00984F70" w:rsidP="00984F70">
      <w:pPr>
        <w:tabs>
          <w:tab w:val="num" w:pos="360"/>
          <w:tab w:val="left" w:pos="1134"/>
        </w:tabs>
        <w:ind w:left="567"/>
        <w:jc w:val="both"/>
        <w:rPr>
          <w:rFonts w:ascii="Arial" w:hAnsi="Arial" w:cs="Arial"/>
          <w:sz w:val="20"/>
        </w:rPr>
      </w:pPr>
    </w:p>
    <w:p w14:paraId="4E07C4E2"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iCs/>
          <w:sz w:val="20"/>
        </w:rPr>
        <w:t xml:space="preserve"> Providing prompt legal advice and services</w:t>
      </w:r>
      <w:r w:rsidRPr="005F226D">
        <w:rPr>
          <w:rFonts w:ascii="Arial" w:hAnsi="Arial" w:cs="Arial"/>
          <w:sz w:val="20"/>
        </w:rPr>
        <w:t xml:space="preserve"> in harmony with statutory requirements and applicable law will facilitate the orderly conduct of business by the Secretariat and the constituent organs of the Organization.  Continued development and maintenance of the WIPO Lex database will continue to serve as a universal resource of IP laws and treaties in line with current technological innovation.</w:t>
      </w:r>
    </w:p>
    <w:p w14:paraId="1B190232" w14:textId="77777777" w:rsidR="00984F70" w:rsidRPr="005F226D" w:rsidRDefault="00984F70" w:rsidP="00984F70">
      <w:pPr>
        <w:tabs>
          <w:tab w:val="num" w:pos="360"/>
          <w:tab w:val="left" w:pos="1134"/>
        </w:tabs>
        <w:ind w:left="567"/>
        <w:jc w:val="both"/>
        <w:rPr>
          <w:rFonts w:ascii="Arial" w:hAnsi="Arial" w:cs="Arial"/>
          <w:sz w:val="20"/>
        </w:rPr>
      </w:pPr>
    </w:p>
    <w:p w14:paraId="297607D1"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Establishing an Organizational Resilience Framework</w:t>
      </w:r>
      <w:r w:rsidRPr="005F226D">
        <w:rPr>
          <w:rFonts w:ascii="Arial" w:hAnsi="Arial" w:cs="Arial"/>
          <w:sz w:val="20"/>
        </w:rPr>
        <w:t xml:space="preserve">: Through the development of policy, strategy and plans, WIPO’s contingency planning capabilities will be enhanced with a view to mitigating or minimizing, to the extent possible, the impact of disruptions to the Organization’s critical operations.  </w:t>
      </w:r>
    </w:p>
    <w:p w14:paraId="301693A0" w14:textId="77777777" w:rsidR="00984F70" w:rsidRPr="005F226D" w:rsidRDefault="00984F70" w:rsidP="00984F70">
      <w:pPr>
        <w:tabs>
          <w:tab w:val="num" w:pos="360"/>
          <w:tab w:val="left" w:pos="1134"/>
        </w:tabs>
        <w:ind w:left="567"/>
        <w:rPr>
          <w:rFonts w:ascii="Arial" w:hAnsi="Arial" w:cs="Arial"/>
        </w:rPr>
      </w:pPr>
    </w:p>
    <w:p w14:paraId="6D2A2B87"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Building WIPO’s contribution to the Chief Executives Board (CEB)</w:t>
      </w:r>
      <w:r w:rsidRPr="005F226D">
        <w:rPr>
          <w:rFonts w:ascii="Arial" w:hAnsi="Arial" w:cs="Arial"/>
          <w:sz w:val="20"/>
        </w:rPr>
        <w:t>:  WIPO will continue to enhance its participation as an active player within the UN system, including through its contributions at the CEB.  Through its active participation in these bodies, WIPO will continue to strengthen UN-wide initiatives that have relevance for the promotion of innovation and creativity and highlight its good management practices.</w:t>
      </w:r>
    </w:p>
    <w:p w14:paraId="05D4C20C" w14:textId="77777777" w:rsidR="00984F70" w:rsidRPr="005F226D" w:rsidRDefault="00984F70" w:rsidP="00984F70">
      <w:pPr>
        <w:tabs>
          <w:tab w:val="num" w:pos="360"/>
          <w:tab w:val="left" w:pos="1134"/>
        </w:tabs>
        <w:ind w:left="567"/>
        <w:jc w:val="both"/>
        <w:rPr>
          <w:rFonts w:ascii="Arial" w:hAnsi="Arial" w:cs="Arial"/>
          <w:sz w:val="20"/>
        </w:rPr>
      </w:pPr>
    </w:p>
    <w:p w14:paraId="4E24FE55"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Deepening WIPO’s comprehensive ethics and integrity system</w:t>
      </w:r>
      <w:r w:rsidRPr="005F226D">
        <w:rPr>
          <w:rFonts w:ascii="Arial" w:hAnsi="Arial" w:cs="Arial"/>
          <w:sz w:val="20"/>
        </w:rPr>
        <w:t>: Following the establishment of a comprehensive ethics and integrity system at WIPO, the Ethics Office will build on previous work (including the Code of Ethics, anti-retaliation policy and staff training) by continuing to mainstream the system at WIPO through norm-setting, provision of clear and authoritative advice to management and staff of all levels, and awareness-raising and promotional activities.  In particular, following the establishment of WIPO’s Declaration of Interest Policy, a new Policy for Financial Disclosure will be developed.</w:t>
      </w:r>
    </w:p>
    <w:p w14:paraId="7C3DD0A7" w14:textId="77777777" w:rsidR="00984F70" w:rsidRPr="005F226D" w:rsidRDefault="00984F70" w:rsidP="00984F70">
      <w:pPr>
        <w:tabs>
          <w:tab w:val="num" w:pos="360"/>
          <w:tab w:val="left" w:pos="1134"/>
        </w:tabs>
        <w:ind w:left="567"/>
        <w:rPr>
          <w:rFonts w:ascii="Arial" w:hAnsi="Arial" w:cs="Arial"/>
        </w:rPr>
      </w:pPr>
    </w:p>
    <w:p w14:paraId="6A7A8556"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Enhancing the organization of the WIPO Assemblies</w:t>
      </w:r>
      <w:r w:rsidRPr="005F226D">
        <w:rPr>
          <w:rFonts w:ascii="Arial" w:hAnsi="Arial" w:cs="Arial"/>
          <w:sz w:val="20"/>
        </w:rPr>
        <w:t>: Efficient internal coordination and planning will contribute to the thorough and timely preparation of the Assemblies and thereby facilitate the work of Member States in WIPO’s most important governing bodies.</w:t>
      </w:r>
    </w:p>
    <w:p w14:paraId="795A1904" w14:textId="77777777" w:rsidR="00984F70" w:rsidRPr="005F226D" w:rsidRDefault="00984F70" w:rsidP="00984F70">
      <w:pPr>
        <w:tabs>
          <w:tab w:val="num" w:pos="360"/>
          <w:tab w:val="left" w:pos="1134"/>
        </w:tabs>
        <w:ind w:left="567"/>
        <w:jc w:val="both"/>
        <w:rPr>
          <w:rFonts w:ascii="Arial" w:hAnsi="Arial" w:cs="Arial"/>
          <w:sz w:val="20"/>
        </w:rPr>
      </w:pPr>
    </w:p>
    <w:p w14:paraId="107EBA6C"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sz w:val="20"/>
        </w:rPr>
      </w:pPr>
      <w:r w:rsidRPr="005F226D">
        <w:rPr>
          <w:rFonts w:ascii="Arial" w:hAnsi="Arial" w:cs="Arial"/>
          <w:i/>
          <w:sz w:val="20"/>
        </w:rPr>
        <w:t>Strengthening the event-related services offered to Member States and other stakeholders</w:t>
      </w:r>
      <w:r w:rsidRPr="005F226D">
        <w:rPr>
          <w:rFonts w:ascii="Arial" w:hAnsi="Arial" w:cs="Arial"/>
          <w:sz w:val="20"/>
        </w:rPr>
        <w:t>: Continued and enhanced support to Member States and other stakeholders in organizing high-level events will increase the visibility and raise awareness of the role of IP in fostering economic, social and cultural advancement and development.</w:t>
      </w:r>
    </w:p>
    <w:p w14:paraId="68C28066" w14:textId="77777777" w:rsidR="00984F70" w:rsidRPr="005F226D" w:rsidRDefault="00984F70" w:rsidP="00984F70">
      <w:pPr>
        <w:tabs>
          <w:tab w:val="num" w:pos="360"/>
          <w:tab w:val="left" w:pos="1134"/>
        </w:tabs>
        <w:ind w:left="567"/>
        <w:jc w:val="both"/>
        <w:rPr>
          <w:rFonts w:ascii="Arial" w:hAnsi="Arial" w:cs="Arial"/>
          <w:sz w:val="20"/>
        </w:rPr>
      </w:pPr>
    </w:p>
    <w:p w14:paraId="08C4A79E" w14:textId="77777777" w:rsidR="00984F70" w:rsidRPr="005F226D" w:rsidRDefault="00984F70" w:rsidP="00B66A4A">
      <w:pPr>
        <w:numPr>
          <w:ilvl w:val="1"/>
          <w:numId w:val="21"/>
        </w:numPr>
        <w:tabs>
          <w:tab w:val="clear" w:pos="1250"/>
          <w:tab w:val="num" w:pos="360"/>
          <w:tab w:val="left" w:pos="1134"/>
        </w:tabs>
        <w:ind w:left="567"/>
        <w:jc w:val="both"/>
        <w:rPr>
          <w:rFonts w:ascii="Arial" w:hAnsi="Arial" w:cs="Arial"/>
          <w:bCs/>
          <w:sz w:val="20"/>
        </w:rPr>
      </w:pPr>
      <w:r w:rsidRPr="005F226D">
        <w:rPr>
          <w:rFonts w:ascii="Arial" w:hAnsi="Arial" w:cs="Arial"/>
          <w:i/>
          <w:sz w:val="20"/>
        </w:rPr>
        <w:t>Improving the handling of grievances and conflict</w:t>
      </w:r>
      <w:r w:rsidRPr="005F226D">
        <w:rPr>
          <w:rFonts w:ascii="Arial" w:hAnsi="Arial" w:cs="Arial"/>
          <w:sz w:val="20"/>
        </w:rPr>
        <w:t>: The Organization will continue to encourage recourse to informal mechanisms, whenever possible, to prevent conflict escalation and to work towards positive outcomes.  To this end, the Organization will continue to further develop and strengthen its workplace policies, mechanisms and procedures thereby providing staff with a variety of entry points for formal and informal conflict resolution.</w:t>
      </w:r>
    </w:p>
    <w:p w14:paraId="7B5F14B6" w14:textId="77777777" w:rsidR="00984F70" w:rsidRPr="005F226D" w:rsidRDefault="00984F70" w:rsidP="00984F70">
      <w:pPr>
        <w:tabs>
          <w:tab w:val="num" w:pos="709"/>
        </w:tabs>
        <w:rPr>
          <w:rFonts w:ascii="Arial" w:hAnsi="Arial" w:cs="Arial"/>
          <w:i/>
          <w:sz w:val="20"/>
        </w:rPr>
      </w:pPr>
    </w:p>
    <w:p w14:paraId="09AA92CA" w14:textId="77777777" w:rsidR="00984F70" w:rsidRPr="008B6DC1" w:rsidRDefault="00984F70" w:rsidP="00984F70">
      <w:pPr>
        <w:jc w:val="both"/>
        <w:rPr>
          <w:rFonts w:ascii="Arial" w:hAnsi="Arial" w:cs="Arial"/>
          <w:sz w:val="20"/>
        </w:rPr>
      </w:pPr>
    </w:p>
    <w:p w14:paraId="6FCE0ED8" w14:textId="77777777" w:rsidR="00984F70" w:rsidRPr="005F226D" w:rsidRDefault="00984F70" w:rsidP="00984F70">
      <w:pPr>
        <w:pStyle w:val="BodyText"/>
        <w:spacing w:after="0"/>
        <w:rPr>
          <w:rFonts w:eastAsia="SimSun"/>
        </w:rPr>
      </w:pPr>
      <w:r w:rsidRPr="005F226D">
        <w:rPr>
          <w:rFonts w:eastAsia="SimSun"/>
        </w:rPr>
        <w:t>MAJOR RISKS AND MITIGATION STRATEGIES</w:t>
      </w:r>
    </w:p>
    <w:p w14:paraId="4F1C6EE7" w14:textId="77777777" w:rsidR="00984F70" w:rsidRPr="005F226D" w:rsidRDefault="00984F70" w:rsidP="00984F70">
      <w:pPr>
        <w:pStyle w:val="BodyText"/>
        <w:spacing w:after="0"/>
        <w:rPr>
          <w:szCs w:val="22"/>
        </w:rPr>
      </w:pPr>
    </w:p>
    <w:tbl>
      <w:tblPr>
        <w:tblW w:w="9423"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76"/>
        <w:gridCol w:w="5147"/>
      </w:tblGrid>
      <w:tr w:rsidR="00984F70" w:rsidRPr="005F226D" w14:paraId="58B1C358" w14:textId="77777777" w:rsidTr="00323604">
        <w:trPr>
          <w:trHeight w:val="574"/>
        </w:trPr>
        <w:tc>
          <w:tcPr>
            <w:tcW w:w="4276" w:type="dxa"/>
            <w:tcBorders>
              <w:top w:val="single" w:sz="4" w:space="0" w:color="auto"/>
              <w:bottom w:val="single" w:sz="4" w:space="0" w:color="auto"/>
            </w:tcBorders>
            <w:shd w:val="clear" w:color="auto" w:fill="C6D9F1" w:themeFill="text2" w:themeFillTint="33"/>
            <w:vAlign w:val="center"/>
          </w:tcPr>
          <w:p w14:paraId="10D7661E" w14:textId="77777777" w:rsidR="00984F70" w:rsidRPr="005F226D" w:rsidRDefault="00984F70" w:rsidP="00984F70">
            <w:pPr>
              <w:jc w:val="center"/>
              <w:rPr>
                <w:rFonts w:ascii="Arial" w:hAnsi="Arial" w:cs="Arial"/>
                <w:b/>
                <w:bCs/>
                <w:sz w:val="18"/>
                <w:szCs w:val="18"/>
              </w:rPr>
            </w:pPr>
            <w:r w:rsidRPr="005F226D">
              <w:rPr>
                <w:rFonts w:ascii="Arial" w:hAnsi="Arial" w:cs="Arial"/>
                <w:b/>
                <w:bCs/>
                <w:sz w:val="18"/>
                <w:szCs w:val="18"/>
              </w:rPr>
              <w:t>Risk</w:t>
            </w:r>
          </w:p>
        </w:tc>
        <w:tc>
          <w:tcPr>
            <w:tcW w:w="5147" w:type="dxa"/>
            <w:tcBorders>
              <w:top w:val="single" w:sz="4" w:space="0" w:color="auto"/>
              <w:bottom w:val="single" w:sz="4" w:space="0" w:color="auto"/>
            </w:tcBorders>
            <w:shd w:val="clear" w:color="auto" w:fill="C6D9F1" w:themeFill="text2" w:themeFillTint="33"/>
            <w:vAlign w:val="center"/>
          </w:tcPr>
          <w:p w14:paraId="32754A57" w14:textId="77777777" w:rsidR="00984F70" w:rsidRPr="005F226D" w:rsidRDefault="00984F70" w:rsidP="00984F70">
            <w:pPr>
              <w:jc w:val="center"/>
              <w:rPr>
                <w:rFonts w:ascii="Arial" w:hAnsi="Arial" w:cs="Arial"/>
                <w:b/>
                <w:bCs/>
                <w:sz w:val="18"/>
                <w:szCs w:val="18"/>
              </w:rPr>
            </w:pPr>
            <w:r w:rsidRPr="005F226D">
              <w:rPr>
                <w:rFonts w:ascii="Arial" w:hAnsi="Arial" w:cs="Arial"/>
                <w:b/>
                <w:bCs/>
                <w:sz w:val="18"/>
                <w:szCs w:val="18"/>
              </w:rPr>
              <w:t>Mitigation</w:t>
            </w:r>
          </w:p>
        </w:tc>
      </w:tr>
      <w:tr w:rsidR="00984F70" w:rsidRPr="005F226D" w14:paraId="2C846127" w14:textId="77777777" w:rsidTr="00323604">
        <w:trPr>
          <w:trHeight w:val="223"/>
        </w:trPr>
        <w:tc>
          <w:tcPr>
            <w:tcW w:w="427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69FFBB5" w14:textId="77777777" w:rsidR="00984F70" w:rsidRPr="005F226D" w:rsidRDefault="00984F70" w:rsidP="00984F70">
            <w:pPr>
              <w:rPr>
                <w:rFonts w:ascii="Arial" w:hAnsi="Arial" w:cs="Arial"/>
                <w:sz w:val="16"/>
                <w:szCs w:val="16"/>
              </w:rPr>
            </w:pPr>
            <w:r w:rsidRPr="005F226D">
              <w:rPr>
                <w:rFonts w:ascii="Arial" w:hAnsi="Arial" w:cs="Arial"/>
                <w:color w:val="000000"/>
                <w:sz w:val="16"/>
              </w:rPr>
              <w:t>WIPO's effective engagement with Member States is of paramount importance to achieve timely results.  At risk is reduced progress in WIPO’s inter-governmental processes, including in normative discussions and increased cost or extended schedules for implementing approved Programs.  As the international rule-making body for IP, such a situation would negatively impact WIPO’s credibility.</w:t>
            </w:r>
          </w:p>
        </w:tc>
        <w:tc>
          <w:tcPr>
            <w:tcW w:w="514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2882872" w14:textId="77777777" w:rsidR="00984F70" w:rsidRPr="005F226D" w:rsidRDefault="00984F70" w:rsidP="00984F70">
            <w:pPr>
              <w:rPr>
                <w:rFonts w:ascii="Arial" w:hAnsi="Arial" w:cs="Arial"/>
                <w:sz w:val="16"/>
                <w:szCs w:val="16"/>
              </w:rPr>
            </w:pPr>
            <w:r w:rsidRPr="005F226D">
              <w:rPr>
                <w:rFonts w:ascii="Arial" w:hAnsi="Arial" w:cs="Arial"/>
                <w:color w:val="000000"/>
                <w:sz w:val="16"/>
              </w:rPr>
              <w:t>Continued close, trusted and transparent coordination between the Secretariat and Member States.</w:t>
            </w:r>
          </w:p>
        </w:tc>
      </w:tr>
    </w:tbl>
    <w:p w14:paraId="6D8FD06F" w14:textId="77777777" w:rsidR="00984F70" w:rsidRPr="005F226D" w:rsidRDefault="00984F70" w:rsidP="00984F70">
      <w:pPr>
        <w:rPr>
          <w:rFonts w:ascii="Arial" w:hAnsi="Arial" w:cs="Arial"/>
          <w:sz w:val="20"/>
        </w:rPr>
      </w:pPr>
    </w:p>
    <w:p w14:paraId="413C262A" w14:textId="77777777" w:rsidR="00984F70" w:rsidRPr="005F226D" w:rsidRDefault="00984F70" w:rsidP="00984F70">
      <w:pPr>
        <w:rPr>
          <w:rFonts w:ascii="Arial" w:hAnsi="Arial" w:cs="Arial"/>
          <w:sz w:val="20"/>
        </w:rPr>
      </w:pPr>
    </w:p>
    <w:p w14:paraId="3B90EC0E" w14:textId="77777777" w:rsidR="00984F70" w:rsidRPr="005F226D" w:rsidRDefault="00984F70" w:rsidP="00984F70">
      <w:pPr>
        <w:keepNext/>
        <w:keepLines/>
        <w:rPr>
          <w:rFonts w:ascii="Arial" w:hAnsi="Arial" w:cs="Arial"/>
        </w:rPr>
      </w:pPr>
      <w:r w:rsidRPr="005F226D">
        <w:rPr>
          <w:rFonts w:ascii="Arial" w:hAnsi="Arial" w:cs="Arial"/>
        </w:rPr>
        <w:lastRenderedPageBreak/>
        <w:t xml:space="preserve">RESULTS FRAMEWORK </w:t>
      </w:r>
    </w:p>
    <w:p w14:paraId="41BCA3E9" w14:textId="77777777" w:rsidR="00984F70" w:rsidRPr="005F226D" w:rsidRDefault="00984F70" w:rsidP="00984F70">
      <w:pPr>
        <w:keepNext/>
        <w:keepLines/>
        <w:rPr>
          <w:rFonts w:ascii="Arial" w:hAnsi="Arial" w:cs="Arial"/>
        </w:rPr>
      </w:pPr>
    </w:p>
    <w:tbl>
      <w:tblPr>
        <w:tblW w:w="9513" w:type="dxa"/>
        <w:tblInd w:w="93" w:type="dxa"/>
        <w:tblLook w:val="04A0" w:firstRow="1" w:lastRow="0" w:firstColumn="1" w:lastColumn="0" w:noHBand="0" w:noVBand="1"/>
      </w:tblPr>
      <w:tblGrid>
        <w:gridCol w:w="2560"/>
        <w:gridCol w:w="2560"/>
        <w:gridCol w:w="2080"/>
        <w:gridCol w:w="2313"/>
      </w:tblGrid>
      <w:tr w:rsidR="00984F70" w:rsidRPr="005F226D" w14:paraId="48DD872B" w14:textId="77777777" w:rsidTr="00984F70">
        <w:trPr>
          <w:trHeight w:val="617"/>
        </w:trPr>
        <w:tc>
          <w:tcPr>
            <w:tcW w:w="25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7CE8FEC7"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Expected Results</w:t>
            </w:r>
          </w:p>
        </w:tc>
        <w:tc>
          <w:tcPr>
            <w:tcW w:w="2560" w:type="dxa"/>
            <w:tcBorders>
              <w:top w:val="single" w:sz="4" w:space="0" w:color="auto"/>
              <w:left w:val="nil"/>
              <w:bottom w:val="single" w:sz="4" w:space="0" w:color="auto"/>
              <w:right w:val="nil"/>
            </w:tcBorders>
            <w:shd w:val="clear" w:color="000000" w:fill="C6D9F1" w:themeFill="text2" w:themeFillTint="33"/>
            <w:vAlign w:val="center"/>
            <w:hideMark/>
          </w:tcPr>
          <w:p w14:paraId="11831008"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Performance Indicators</w:t>
            </w:r>
          </w:p>
        </w:tc>
        <w:tc>
          <w:tcPr>
            <w:tcW w:w="2080" w:type="dxa"/>
            <w:tcBorders>
              <w:top w:val="single" w:sz="4" w:space="0" w:color="auto"/>
              <w:left w:val="nil"/>
              <w:bottom w:val="single" w:sz="4" w:space="0" w:color="auto"/>
              <w:right w:val="nil"/>
            </w:tcBorders>
            <w:shd w:val="clear" w:color="000000" w:fill="C6D9F1" w:themeFill="text2" w:themeFillTint="33"/>
            <w:vAlign w:val="center"/>
            <w:hideMark/>
          </w:tcPr>
          <w:p w14:paraId="6C0AC06C"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Baselines</w:t>
            </w:r>
          </w:p>
        </w:tc>
        <w:tc>
          <w:tcPr>
            <w:tcW w:w="2313"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7384CDF1"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Targets</w:t>
            </w:r>
          </w:p>
        </w:tc>
      </w:tr>
      <w:tr w:rsidR="00984F70" w:rsidRPr="005F226D" w14:paraId="39C2B3E0" w14:textId="77777777" w:rsidTr="00984F70">
        <w:trPr>
          <w:trHeight w:val="1228"/>
        </w:trPr>
        <w:tc>
          <w:tcPr>
            <w:tcW w:w="2560" w:type="dxa"/>
            <w:tcBorders>
              <w:top w:val="nil"/>
              <w:left w:val="single" w:sz="4" w:space="0" w:color="auto"/>
              <w:bottom w:val="nil"/>
              <w:right w:val="nil"/>
            </w:tcBorders>
            <w:shd w:val="clear" w:color="000000" w:fill="FFFFFF"/>
            <w:hideMark/>
          </w:tcPr>
          <w:p w14:paraId="759756C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br/>
              <w:t>IV.2 Enhanced access to, and use of, IP information by IP institutions and the public to promote innovation and creativity</w:t>
            </w:r>
          </w:p>
        </w:tc>
        <w:tc>
          <w:tcPr>
            <w:tcW w:w="2560" w:type="dxa"/>
            <w:tcBorders>
              <w:top w:val="nil"/>
              <w:left w:val="nil"/>
              <w:bottom w:val="nil"/>
              <w:right w:val="nil"/>
            </w:tcBorders>
            <w:shd w:val="clear" w:color="000000" w:fill="FFFFFF"/>
            <w:hideMark/>
          </w:tcPr>
          <w:p w14:paraId="49E83E05"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br/>
              <w:t>Increase in the no. of WIPO Lex users</w:t>
            </w:r>
          </w:p>
        </w:tc>
        <w:tc>
          <w:tcPr>
            <w:tcW w:w="2080" w:type="dxa"/>
            <w:tcBorders>
              <w:top w:val="nil"/>
              <w:left w:val="nil"/>
              <w:bottom w:val="nil"/>
              <w:right w:val="nil"/>
            </w:tcBorders>
            <w:shd w:val="clear" w:color="000000" w:fill="FFFFFF"/>
            <w:hideMark/>
          </w:tcPr>
          <w:p w14:paraId="6DA03515"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br/>
              <w:t>2,236,486 (2012/13)</w:t>
            </w:r>
          </w:p>
          <w:p w14:paraId="36215CB8" w14:textId="77777777" w:rsidR="00984F70" w:rsidRPr="005F226D" w:rsidRDefault="00984F70" w:rsidP="00984F70">
            <w:pPr>
              <w:keepNext/>
              <w:keepLines/>
              <w:ind w:left="316" w:firstLineChars="2" w:firstLine="3"/>
              <w:rPr>
                <w:rFonts w:ascii="Arial" w:hAnsi="Arial" w:cs="Arial"/>
                <w:color w:val="000000"/>
                <w:sz w:val="16"/>
                <w:szCs w:val="16"/>
              </w:rPr>
            </w:pPr>
            <w:r w:rsidRPr="005F226D">
              <w:rPr>
                <w:rFonts w:ascii="Arial" w:hAnsi="Arial" w:cs="Arial"/>
                <w:color w:val="000000"/>
                <w:sz w:val="16"/>
                <w:szCs w:val="16"/>
              </w:rPr>
              <w:t>1,506,508 (2014)</w:t>
            </w:r>
          </w:p>
        </w:tc>
        <w:tc>
          <w:tcPr>
            <w:tcW w:w="2313" w:type="dxa"/>
            <w:tcBorders>
              <w:top w:val="nil"/>
              <w:left w:val="nil"/>
              <w:bottom w:val="nil"/>
              <w:right w:val="single" w:sz="4" w:space="0" w:color="auto"/>
            </w:tcBorders>
            <w:shd w:val="clear" w:color="000000" w:fill="FFFFFF"/>
            <w:hideMark/>
          </w:tcPr>
          <w:p w14:paraId="38EEBC83" w14:textId="77777777" w:rsidR="00984F70" w:rsidRPr="005F226D" w:rsidRDefault="00984F70" w:rsidP="00984F70">
            <w:pPr>
              <w:keepNext/>
              <w:keepLines/>
              <w:ind w:left="220" w:firstLineChars="62" w:firstLine="99"/>
              <w:rPr>
                <w:rFonts w:ascii="Arial" w:hAnsi="Arial" w:cs="Arial"/>
                <w:color w:val="000000"/>
                <w:sz w:val="16"/>
                <w:szCs w:val="16"/>
              </w:rPr>
            </w:pPr>
            <w:r w:rsidRPr="005F226D">
              <w:rPr>
                <w:rFonts w:ascii="Arial" w:hAnsi="Arial" w:cs="Arial"/>
                <w:color w:val="000000"/>
                <w:sz w:val="16"/>
                <w:szCs w:val="16"/>
              </w:rPr>
              <w:br/>
              <w:t>20%  increase</w:t>
            </w:r>
          </w:p>
        </w:tc>
      </w:tr>
      <w:tr w:rsidR="00984F70" w:rsidRPr="005F226D" w14:paraId="0BA535A6" w14:textId="77777777" w:rsidTr="00984F70">
        <w:trPr>
          <w:trHeight w:val="905"/>
        </w:trPr>
        <w:tc>
          <w:tcPr>
            <w:tcW w:w="2560" w:type="dxa"/>
            <w:vMerge w:val="restart"/>
            <w:tcBorders>
              <w:top w:val="nil"/>
              <w:left w:val="single" w:sz="4" w:space="0" w:color="auto"/>
              <w:bottom w:val="nil"/>
              <w:right w:val="nil"/>
            </w:tcBorders>
            <w:shd w:val="clear" w:color="000000" w:fill="FFFFFF"/>
            <w:hideMark/>
          </w:tcPr>
          <w:p w14:paraId="7D7B5A6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t>VIII.3 Effective engagement with Member States</w:t>
            </w:r>
          </w:p>
        </w:tc>
        <w:tc>
          <w:tcPr>
            <w:tcW w:w="2560" w:type="dxa"/>
            <w:tcBorders>
              <w:top w:val="nil"/>
              <w:left w:val="nil"/>
              <w:bottom w:val="nil"/>
              <w:right w:val="nil"/>
            </w:tcBorders>
            <w:shd w:val="clear" w:color="000000" w:fill="FFFFFF"/>
            <w:hideMark/>
          </w:tcPr>
          <w:p w14:paraId="004762C8"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Committee meetings for which pre-Committee information meetings for Member States are held</w:t>
            </w:r>
          </w:p>
        </w:tc>
        <w:tc>
          <w:tcPr>
            <w:tcW w:w="2080" w:type="dxa"/>
            <w:tcBorders>
              <w:top w:val="nil"/>
              <w:left w:val="nil"/>
              <w:bottom w:val="nil"/>
              <w:right w:val="nil"/>
            </w:tcBorders>
            <w:shd w:val="clear" w:color="000000" w:fill="FFFFFF"/>
            <w:hideMark/>
          </w:tcPr>
          <w:p w14:paraId="4DA54BD3"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93% (end 2014)</w:t>
            </w:r>
          </w:p>
        </w:tc>
        <w:tc>
          <w:tcPr>
            <w:tcW w:w="2313" w:type="dxa"/>
            <w:tcBorders>
              <w:top w:val="nil"/>
              <w:left w:val="nil"/>
              <w:bottom w:val="nil"/>
              <w:right w:val="single" w:sz="4" w:space="0" w:color="auto"/>
            </w:tcBorders>
            <w:shd w:val="clear" w:color="000000" w:fill="FFFFFF"/>
            <w:hideMark/>
          </w:tcPr>
          <w:p w14:paraId="595ACE3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t xml:space="preserve">     90%</w:t>
            </w:r>
          </w:p>
        </w:tc>
      </w:tr>
      <w:tr w:rsidR="00984F70" w:rsidRPr="005F226D" w14:paraId="517CF063" w14:textId="77777777" w:rsidTr="00984F70">
        <w:trPr>
          <w:trHeight w:val="887"/>
        </w:trPr>
        <w:tc>
          <w:tcPr>
            <w:tcW w:w="2560" w:type="dxa"/>
            <w:vMerge/>
            <w:tcBorders>
              <w:top w:val="nil"/>
              <w:left w:val="single" w:sz="4" w:space="0" w:color="auto"/>
              <w:bottom w:val="nil"/>
              <w:right w:val="nil"/>
            </w:tcBorders>
            <w:vAlign w:val="center"/>
            <w:hideMark/>
          </w:tcPr>
          <w:p w14:paraId="5C07E0D8"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35499982"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adherence and other WIPO Treaty-related actions by Member States processed in a timely manner</w:t>
            </w:r>
          </w:p>
        </w:tc>
        <w:tc>
          <w:tcPr>
            <w:tcW w:w="2080" w:type="dxa"/>
            <w:tcBorders>
              <w:top w:val="nil"/>
              <w:left w:val="nil"/>
              <w:bottom w:val="nil"/>
              <w:right w:val="nil"/>
            </w:tcBorders>
            <w:shd w:val="clear" w:color="000000" w:fill="FFFFFF"/>
            <w:hideMark/>
          </w:tcPr>
          <w:p w14:paraId="6392DE4D"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95% processed within three days (end 2014)</w:t>
            </w:r>
          </w:p>
        </w:tc>
        <w:tc>
          <w:tcPr>
            <w:tcW w:w="2313" w:type="dxa"/>
            <w:tcBorders>
              <w:top w:val="nil"/>
              <w:left w:val="nil"/>
              <w:bottom w:val="nil"/>
              <w:right w:val="single" w:sz="4" w:space="0" w:color="auto"/>
            </w:tcBorders>
            <w:shd w:val="clear" w:color="000000" w:fill="FFFFFF"/>
            <w:hideMark/>
          </w:tcPr>
          <w:p w14:paraId="14671428"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95% processed within three days</w:t>
            </w:r>
          </w:p>
        </w:tc>
      </w:tr>
      <w:tr w:rsidR="00984F70" w:rsidRPr="005F226D" w14:paraId="141B92E0" w14:textId="77777777" w:rsidTr="00984F70">
        <w:trPr>
          <w:trHeight w:val="914"/>
        </w:trPr>
        <w:tc>
          <w:tcPr>
            <w:tcW w:w="2560" w:type="dxa"/>
            <w:vMerge/>
            <w:tcBorders>
              <w:top w:val="nil"/>
              <w:left w:val="single" w:sz="4" w:space="0" w:color="auto"/>
              <w:bottom w:val="nil"/>
              <w:right w:val="nil"/>
            </w:tcBorders>
            <w:vAlign w:val="center"/>
            <w:hideMark/>
          </w:tcPr>
          <w:p w14:paraId="411EE619"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596E28A5"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Timeliness of publication of Assemblies documents</w:t>
            </w:r>
          </w:p>
        </w:tc>
        <w:tc>
          <w:tcPr>
            <w:tcW w:w="2080" w:type="dxa"/>
            <w:tcBorders>
              <w:top w:val="nil"/>
              <w:left w:val="nil"/>
              <w:bottom w:val="nil"/>
              <w:right w:val="nil"/>
            </w:tcBorders>
            <w:shd w:val="clear" w:color="000000" w:fill="FFFFFF"/>
            <w:hideMark/>
          </w:tcPr>
          <w:p w14:paraId="721A1A6E"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96% relevant documents published two months before the 2014 Assemblies</w:t>
            </w:r>
          </w:p>
        </w:tc>
        <w:tc>
          <w:tcPr>
            <w:tcW w:w="2313" w:type="dxa"/>
            <w:tcBorders>
              <w:top w:val="nil"/>
              <w:left w:val="nil"/>
              <w:bottom w:val="nil"/>
              <w:right w:val="single" w:sz="4" w:space="0" w:color="auto"/>
            </w:tcBorders>
            <w:shd w:val="clear" w:color="000000" w:fill="FFFFFF"/>
            <w:hideMark/>
          </w:tcPr>
          <w:p w14:paraId="6E74DBA7"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95% relevant documents published two months before the Assemblies</w:t>
            </w:r>
          </w:p>
        </w:tc>
      </w:tr>
      <w:tr w:rsidR="00984F70" w:rsidRPr="005F226D" w14:paraId="71E5A7C7" w14:textId="77777777" w:rsidTr="00984F70">
        <w:trPr>
          <w:trHeight w:val="716"/>
        </w:trPr>
        <w:tc>
          <w:tcPr>
            <w:tcW w:w="2560" w:type="dxa"/>
            <w:vMerge/>
            <w:tcBorders>
              <w:top w:val="nil"/>
              <w:left w:val="single" w:sz="4" w:space="0" w:color="auto"/>
              <w:bottom w:val="nil"/>
              <w:right w:val="nil"/>
            </w:tcBorders>
            <w:vAlign w:val="center"/>
            <w:hideMark/>
          </w:tcPr>
          <w:p w14:paraId="00DE62F0"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6E863035" w14:textId="77777777" w:rsidR="00984F70" w:rsidRPr="005F226D" w:rsidRDefault="00984F70" w:rsidP="008D4CE9">
            <w:pPr>
              <w:keepNext/>
              <w:keepLines/>
              <w:ind w:left="41"/>
              <w:rPr>
                <w:rFonts w:ascii="Arial" w:hAnsi="Arial" w:cs="Arial"/>
                <w:color w:val="000000"/>
                <w:sz w:val="16"/>
                <w:szCs w:val="16"/>
              </w:rPr>
            </w:pPr>
            <w:r w:rsidRPr="005F226D">
              <w:rPr>
                <w:rFonts w:ascii="Arial" w:hAnsi="Arial" w:cs="Arial"/>
                <w:color w:val="000000"/>
                <w:sz w:val="16"/>
                <w:szCs w:val="16"/>
              </w:rPr>
              <w:t>Satisfaction rate of Member States and stakeholders with the organization of events</w:t>
            </w:r>
          </w:p>
        </w:tc>
        <w:tc>
          <w:tcPr>
            <w:tcW w:w="2080" w:type="dxa"/>
            <w:tcBorders>
              <w:top w:val="nil"/>
              <w:left w:val="nil"/>
              <w:bottom w:val="nil"/>
              <w:right w:val="nil"/>
            </w:tcBorders>
            <w:shd w:val="clear" w:color="000000" w:fill="FFFFFF"/>
            <w:hideMark/>
          </w:tcPr>
          <w:p w14:paraId="2CF442BD"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2014 survey results: 82%</w:t>
            </w:r>
          </w:p>
        </w:tc>
        <w:tc>
          <w:tcPr>
            <w:tcW w:w="2313" w:type="dxa"/>
            <w:tcBorders>
              <w:top w:val="nil"/>
              <w:left w:val="nil"/>
              <w:bottom w:val="nil"/>
              <w:right w:val="single" w:sz="4" w:space="0" w:color="auto"/>
            </w:tcBorders>
            <w:shd w:val="clear" w:color="000000" w:fill="FFFFFF"/>
            <w:hideMark/>
          </w:tcPr>
          <w:p w14:paraId="31B117AA" w14:textId="77777777" w:rsidR="00984F70" w:rsidRPr="005F226D" w:rsidRDefault="00984F70" w:rsidP="00984F70">
            <w:pPr>
              <w:tabs>
                <w:tab w:val="left" w:pos="222"/>
              </w:tabs>
              <w:rPr>
                <w:rFonts w:ascii="Arial" w:hAnsi="Arial" w:cs="Arial"/>
                <w:color w:val="000000"/>
                <w:sz w:val="16"/>
                <w:szCs w:val="16"/>
              </w:rPr>
            </w:pPr>
            <w:r w:rsidRPr="005F226D">
              <w:rPr>
                <w:rFonts w:ascii="Arial" w:hAnsi="Arial" w:cs="Arial"/>
                <w:color w:val="000000"/>
                <w:sz w:val="16"/>
                <w:szCs w:val="16"/>
              </w:rPr>
              <w:t xml:space="preserve">     85%</w:t>
            </w:r>
          </w:p>
        </w:tc>
      </w:tr>
      <w:tr w:rsidR="00984F70" w:rsidRPr="005F226D" w14:paraId="47277C5E" w14:textId="77777777" w:rsidTr="00984F70">
        <w:trPr>
          <w:trHeight w:val="887"/>
        </w:trPr>
        <w:tc>
          <w:tcPr>
            <w:tcW w:w="2560" w:type="dxa"/>
            <w:vMerge/>
            <w:tcBorders>
              <w:top w:val="nil"/>
              <w:left w:val="single" w:sz="4" w:space="0" w:color="auto"/>
              <w:bottom w:val="nil"/>
              <w:right w:val="nil"/>
            </w:tcBorders>
            <w:vAlign w:val="center"/>
            <w:hideMark/>
          </w:tcPr>
          <w:p w14:paraId="12626107"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6330F407" w14:textId="77777777" w:rsidR="00984F70" w:rsidRPr="005F226D" w:rsidRDefault="00984F70" w:rsidP="008D4CE9">
            <w:pPr>
              <w:keepNext/>
              <w:keepLines/>
              <w:ind w:left="41"/>
              <w:rPr>
                <w:rFonts w:ascii="Arial" w:hAnsi="Arial" w:cs="Arial"/>
                <w:color w:val="000000"/>
                <w:sz w:val="16"/>
                <w:szCs w:val="16"/>
              </w:rPr>
            </w:pPr>
            <w:r w:rsidRPr="005F226D">
              <w:rPr>
                <w:rFonts w:ascii="Arial" w:hAnsi="Arial" w:cs="Arial"/>
                <w:color w:val="000000"/>
                <w:sz w:val="16"/>
                <w:szCs w:val="16"/>
              </w:rPr>
              <w:t>Delegates’ satisfaction levels with the organization of the Assemblies</w:t>
            </w:r>
          </w:p>
        </w:tc>
        <w:tc>
          <w:tcPr>
            <w:tcW w:w="2080" w:type="dxa"/>
            <w:tcBorders>
              <w:top w:val="nil"/>
              <w:left w:val="nil"/>
              <w:bottom w:val="nil"/>
              <w:right w:val="nil"/>
            </w:tcBorders>
            <w:shd w:val="clear" w:color="000000" w:fill="FFFFFF"/>
            <w:hideMark/>
          </w:tcPr>
          <w:p w14:paraId="680E8A01"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87% satisfied with arrangements (2014 WIPO Assemblies Survey)</w:t>
            </w:r>
          </w:p>
        </w:tc>
        <w:tc>
          <w:tcPr>
            <w:tcW w:w="2313" w:type="dxa"/>
            <w:tcBorders>
              <w:top w:val="nil"/>
              <w:left w:val="nil"/>
              <w:bottom w:val="nil"/>
              <w:right w:val="single" w:sz="4" w:space="0" w:color="auto"/>
            </w:tcBorders>
            <w:shd w:val="clear" w:color="000000" w:fill="FFFFFF"/>
            <w:hideMark/>
          </w:tcPr>
          <w:p w14:paraId="10D143EC"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80% satisfied with arrangements</w:t>
            </w:r>
          </w:p>
        </w:tc>
      </w:tr>
      <w:tr w:rsidR="009F13A9" w:rsidRPr="005F226D" w14:paraId="48D9C7FB" w14:textId="77777777" w:rsidTr="00984F70">
        <w:trPr>
          <w:trHeight w:val="797"/>
        </w:trPr>
        <w:tc>
          <w:tcPr>
            <w:tcW w:w="2560" w:type="dxa"/>
            <w:tcBorders>
              <w:top w:val="nil"/>
              <w:left w:val="single" w:sz="4" w:space="0" w:color="auto"/>
              <w:bottom w:val="nil"/>
              <w:right w:val="nil"/>
            </w:tcBorders>
            <w:shd w:val="clear" w:color="000000" w:fill="FFFFFF"/>
          </w:tcPr>
          <w:p w14:paraId="0F3F69E7" w14:textId="77777777" w:rsidR="009F13A9" w:rsidRDefault="009F13A9" w:rsidP="009F13A9">
            <w:pPr>
              <w:rPr>
                <w:rFonts w:ascii="Arial" w:hAnsi="Arial" w:cs="Arial"/>
                <w:color w:val="000000"/>
                <w:sz w:val="16"/>
                <w:szCs w:val="16"/>
              </w:rPr>
            </w:pPr>
            <w:r w:rsidRPr="00BE1D07">
              <w:rPr>
                <w:rFonts w:ascii="Arial" w:hAnsi="Arial" w:cs="Arial"/>
                <w:color w:val="000000"/>
                <w:sz w:val="16"/>
                <w:szCs w:val="16"/>
              </w:rPr>
              <w:t>VIII.4 Open, transparent and responsive interaction with non-governmental stakeholders</w:t>
            </w:r>
            <w:r w:rsidRPr="00870F2F">
              <w:rPr>
                <w:rFonts w:ascii="Arial" w:hAnsi="Arial" w:cs="Arial"/>
                <w:color w:val="000000"/>
                <w:sz w:val="16"/>
                <w:szCs w:val="16"/>
              </w:rPr>
              <w:t xml:space="preserve"> </w:t>
            </w:r>
          </w:p>
          <w:p w14:paraId="2D61A7AA" w14:textId="77777777" w:rsidR="009F13A9" w:rsidRPr="005F226D" w:rsidRDefault="009F13A9" w:rsidP="00984F70">
            <w:pPr>
              <w:rPr>
                <w:rFonts w:ascii="Arial" w:hAnsi="Arial" w:cs="Arial"/>
                <w:color w:val="000000"/>
                <w:sz w:val="16"/>
                <w:szCs w:val="16"/>
              </w:rPr>
            </w:pPr>
          </w:p>
        </w:tc>
        <w:tc>
          <w:tcPr>
            <w:tcW w:w="2560" w:type="dxa"/>
            <w:tcBorders>
              <w:top w:val="nil"/>
              <w:left w:val="nil"/>
              <w:bottom w:val="nil"/>
              <w:right w:val="nil"/>
            </w:tcBorders>
            <w:shd w:val="clear" w:color="000000" w:fill="FFFFFF"/>
          </w:tcPr>
          <w:p w14:paraId="745F7EB9" w14:textId="77777777" w:rsidR="009F13A9" w:rsidRDefault="009F13A9" w:rsidP="008D4CE9">
            <w:pPr>
              <w:keepNext/>
              <w:keepLines/>
              <w:ind w:left="41" w:hanging="41"/>
              <w:rPr>
                <w:rFonts w:ascii="Arial" w:hAnsi="Arial" w:cs="Arial"/>
                <w:color w:val="000000"/>
                <w:sz w:val="16"/>
                <w:szCs w:val="16"/>
              </w:rPr>
            </w:pPr>
            <w:r w:rsidRPr="00BE1D07">
              <w:rPr>
                <w:rFonts w:ascii="Arial" w:hAnsi="Arial" w:cs="Arial"/>
                <w:color w:val="000000"/>
                <w:sz w:val="16"/>
                <w:szCs w:val="16"/>
              </w:rPr>
              <w:t>No. of permanent observer NGOs engaging in WIPO's work and vice versa</w:t>
            </w:r>
            <w:r>
              <w:rPr>
                <w:rFonts w:ascii="Arial" w:hAnsi="Arial" w:cs="Arial"/>
                <w:color w:val="000000"/>
                <w:sz w:val="16"/>
                <w:szCs w:val="16"/>
              </w:rPr>
              <w:t xml:space="preserve"> </w:t>
            </w:r>
          </w:p>
          <w:p w14:paraId="1669F6F5" w14:textId="77777777" w:rsidR="009F13A9" w:rsidRPr="005F226D" w:rsidRDefault="009F13A9" w:rsidP="00984F70">
            <w:pPr>
              <w:ind w:left="182"/>
              <w:rPr>
                <w:rFonts w:ascii="Arial" w:hAnsi="Arial" w:cs="Arial"/>
                <w:color w:val="000000"/>
                <w:sz w:val="16"/>
                <w:szCs w:val="16"/>
              </w:rPr>
            </w:pPr>
          </w:p>
        </w:tc>
        <w:tc>
          <w:tcPr>
            <w:tcW w:w="2080" w:type="dxa"/>
            <w:tcBorders>
              <w:top w:val="nil"/>
              <w:left w:val="nil"/>
              <w:bottom w:val="nil"/>
              <w:right w:val="nil"/>
            </w:tcBorders>
            <w:shd w:val="clear" w:color="000000" w:fill="FFFFFF"/>
          </w:tcPr>
          <w:p w14:paraId="62A61030" w14:textId="28FD4B54" w:rsidR="009F13A9" w:rsidRDefault="009F13A9" w:rsidP="008D4CE9">
            <w:pPr>
              <w:keepNext/>
              <w:keepLines/>
              <w:ind w:left="41" w:hanging="41"/>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tbd</w:t>
            </w:r>
            <w:proofErr w:type="spellEnd"/>
          </w:p>
          <w:p w14:paraId="7A33D271" w14:textId="77777777" w:rsidR="009F13A9" w:rsidRPr="005F226D" w:rsidRDefault="009F13A9" w:rsidP="00984F70">
            <w:pPr>
              <w:ind w:firstLineChars="200" w:firstLine="320"/>
              <w:rPr>
                <w:rFonts w:ascii="Arial" w:hAnsi="Arial" w:cs="Arial"/>
                <w:color w:val="000000"/>
                <w:sz w:val="16"/>
                <w:szCs w:val="16"/>
              </w:rPr>
            </w:pPr>
          </w:p>
        </w:tc>
        <w:tc>
          <w:tcPr>
            <w:tcW w:w="2313" w:type="dxa"/>
            <w:tcBorders>
              <w:top w:val="nil"/>
              <w:left w:val="nil"/>
              <w:bottom w:val="nil"/>
              <w:right w:val="single" w:sz="4" w:space="0" w:color="auto"/>
            </w:tcBorders>
            <w:shd w:val="clear" w:color="000000" w:fill="FFFFFF"/>
          </w:tcPr>
          <w:p w14:paraId="49F52D8E" w14:textId="2DFD1AF4" w:rsidR="009F13A9" w:rsidRPr="007536CC" w:rsidRDefault="009F13A9" w:rsidP="007536CC">
            <w:pPr>
              <w:ind w:left="220"/>
              <w:rPr>
                <w:rFonts w:ascii="Arial" w:hAnsi="Arial" w:cs="Arial"/>
                <w:b/>
                <w:sz w:val="16"/>
                <w:szCs w:val="16"/>
              </w:rPr>
            </w:pPr>
            <w:r w:rsidRPr="007536CC">
              <w:rPr>
                <w:rFonts w:ascii="Arial" w:hAnsi="Arial" w:cs="Arial"/>
                <w:sz w:val="16"/>
                <w:szCs w:val="16"/>
              </w:rPr>
              <w:t>Maintain or increase engagement</w:t>
            </w:r>
          </w:p>
          <w:p w14:paraId="311D3728" w14:textId="77777777" w:rsidR="009F13A9" w:rsidRPr="005F226D" w:rsidRDefault="009F13A9" w:rsidP="00984F70">
            <w:pPr>
              <w:tabs>
                <w:tab w:val="left" w:pos="220"/>
              </w:tabs>
              <w:rPr>
                <w:rFonts w:ascii="Arial" w:hAnsi="Arial" w:cs="Arial"/>
                <w:color w:val="000000"/>
                <w:sz w:val="16"/>
                <w:szCs w:val="16"/>
              </w:rPr>
            </w:pPr>
          </w:p>
        </w:tc>
      </w:tr>
      <w:tr w:rsidR="00984F70" w:rsidRPr="005F226D" w14:paraId="4B8A44B3" w14:textId="77777777" w:rsidTr="00984F70">
        <w:trPr>
          <w:trHeight w:val="797"/>
        </w:trPr>
        <w:tc>
          <w:tcPr>
            <w:tcW w:w="2560" w:type="dxa"/>
            <w:tcBorders>
              <w:top w:val="nil"/>
              <w:left w:val="single" w:sz="4" w:space="0" w:color="auto"/>
              <w:bottom w:val="nil"/>
              <w:right w:val="nil"/>
            </w:tcBorders>
            <w:shd w:val="clear" w:color="000000" w:fill="FFFFFF"/>
            <w:hideMark/>
          </w:tcPr>
          <w:p w14:paraId="50DAEE80"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VIII.5 WIPO effectively interacts and partners with UN and other IGO processes and negotiations</w:t>
            </w:r>
          </w:p>
        </w:tc>
        <w:tc>
          <w:tcPr>
            <w:tcW w:w="2560" w:type="dxa"/>
            <w:tcBorders>
              <w:top w:val="nil"/>
              <w:left w:val="nil"/>
              <w:bottom w:val="nil"/>
              <w:right w:val="nil"/>
            </w:tcBorders>
            <w:shd w:val="clear" w:color="000000" w:fill="FFFFFF"/>
            <w:hideMark/>
          </w:tcPr>
          <w:p w14:paraId="79FC81DC" w14:textId="77777777" w:rsidR="00984F70" w:rsidRPr="005F226D" w:rsidRDefault="00984F70" w:rsidP="008D4CE9">
            <w:pPr>
              <w:keepNext/>
              <w:keepLines/>
              <w:ind w:left="41"/>
              <w:rPr>
                <w:rFonts w:ascii="Arial" w:hAnsi="Arial" w:cs="Arial"/>
                <w:color w:val="000000"/>
                <w:sz w:val="16"/>
                <w:szCs w:val="16"/>
              </w:rPr>
            </w:pPr>
            <w:r w:rsidRPr="005F226D">
              <w:rPr>
                <w:rFonts w:ascii="Arial" w:hAnsi="Arial" w:cs="Arial"/>
                <w:color w:val="000000"/>
                <w:sz w:val="16"/>
                <w:szCs w:val="16"/>
              </w:rPr>
              <w:t>New joint initiatives with other UN agencies/IGOs</w:t>
            </w:r>
          </w:p>
        </w:tc>
        <w:tc>
          <w:tcPr>
            <w:tcW w:w="2080" w:type="dxa"/>
            <w:tcBorders>
              <w:top w:val="nil"/>
              <w:left w:val="nil"/>
              <w:bottom w:val="nil"/>
              <w:right w:val="nil"/>
            </w:tcBorders>
            <w:shd w:val="clear" w:color="000000" w:fill="FFFFFF"/>
            <w:hideMark/>
          </w:tcPr>
          <w:p w14:paraId="670EBB32"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One (2014)</w:t>
            </w:r>
          </w:p>
        </w:tc>
        <w:tc>
          <w:tcPr>
            <w:tcW w:w="2313" w:type="dxa"/>
            <w:tcBorders>
              <w:top w:val="nil"/>
              <w:left w:val="nil"/>
              <w:bottom w:val="nil"/>
              <w:right w:val="single" w:sz="4" w:space="0" w:color="auto"/>
            </w:tcBorders>
            <w:shd w:val="clear" w:color="000000" w:fill="FFFFFF"/>
            <w:hideMark/>
          </w:tcPr>
          <w:p w14:paraId="3B306B1E"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Two</w:t>
            </w:r>
          </w:p>
        </w:tc>
      </w:tr>
      <w:tr w:rsidR="00984F70" w:rsidRPr="005F226D" w14:paraId="19D471AA" w14:textId="77777777" w:rsidTr="00984F70">
        <w:trPr>
          <w:trHeight w:val="986"/>
        </w:trPr>
        <w:tc>
          <w:tcPr>
            <w:tcW w:w="2560" w:type="dxa"/>
            <w:tcBorders>
              <w:top w:val="nil"/>
              <w:left w:val="single" w:sz="4" w:space="0" w:color="auto"/>
              <w:bottom w:val="nil"/>
              <w:right w:val="nil"/>
            </w:tcBorders>
            <w:shd w:val="clear" w:color="000000" w:fill="FFFFFF"/>
            <w:hideMark/>
          </w:tcPr>
          <w:p w14:paraId="127A68F6"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IX.1 Effective, efficient, quality and customer-oriented support services both to internal clients and to external stakeholders</w:t>
            </w:r>
          </w:p>
        </w:tc>
        <w:tc>
          <w:tcPr>
            <w:tcW w:w="2560" w:type="dxa"/>
            <w:tcBorders>
              <w:top w:val="nil"/>
              <w:left w:val="nil"/>
              <w:bottom w:val="nil"/>
              <w:right w:val="nil"/>
            </w:tcBorders>
            <w:shd w:val="clear" w:color="000000" w:fill="FFFFFF"/>
            <w:hideMark/>
          </w:tcPr>
          <w:p w14:paraId="7D19685A"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queries for legal advice and services which receive prompt responses from OLC</w:t>
            </w:r>
          </w:p>
        </w:tc>
        <w:tc>
          <w:tcPr>
            <w:tcW w:w="2080" w:type="dxa"/>
            <w:tcBorders>
              <w:top w:val="nil"/>
              <w:left w:val="nil"/>
              <w:bottom w:val="nil"/>
              <w:right w:val="nil"/>
            </w:tcBorders>
            <w:shd w:val="clear" w:color="000000" w:fill="FFFFFF"/>
            <w:hideMark/>
          </w:tcPr>
          <w:p w14:paraId="52C52D5F"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95%</w:t>
            </w:r>
          </w:p>
        </w:tc>
        <w:tc>
          <w:tcPr>
            <w:tcW w:w="2313" w:type="dxa"/>
            <w:tcBorders>
              <w:top w:val="nil"/>
              <w:left w:val="nil"/>
              <w:bottom w:val="nil"/>
              <w:right w:val="single" w:sz="4" w:space="0" w:color="auto"/>
            </w:tcBorders>
            <w:shd w:val="clear" w:color="000000" w:fill="FFFFFF"/>
            <w:hideMark/>
          </w:tcPr>
          <w:p w14:paraId="716A65E8" w14:textId="77777777" w:rsidR="00984F70" w:rsidRPr="005F226D" w:rsidRDefault="00984F70" w:rsidP="00984F70">
            <w:pPr>
              <w:tabs>
                <w:tab w:val="left" w:pos="267"/>
              </w:tabs>
              <w:ind w:firstLine="220"/>
              <w:rPr>
                <w:rFonts w:ascii="Arial" w:hAnsi="Arial" w:cs="Arial"/>
                <w:color w:val="000000"/>
                <w:sz w:val="16"/>
                <w:szCs w:val="16"/>
              </w:rPr>
            </w:pPr>
            <w:r w:rsidRPr="005F226D">
              <w:rPr>
                <w:rFonts w:ascii="Arial" w:hAnsi="Arial" w:cs="Arial"/>
                <w:color w:val="000000"/>
                <w:sz w:val="16"/>
                <w:szCs w:val="16"/>
              </w:rPr>
              <w:t xml:space="preserve"> 95%</w:t>
            </w:r>
          </w:p>
        </w:tc>
      </w:tr>
      <w:tr w:rsidR="00984F70" w:rsidRPr="005F226D" w14:paraId="373C7493" w14:textId="77777777" w:rsidTr="00984F70">
        <w:trPr>
          <w:trHeight w:val="1139"/>
        </w:trPr>
        <w:tc>
          <w:tcPr>
            <w:tcW w:w="2560" w:type="dxa"/>
            <w:tcBorders>
              <w:top w:val="nil"/>
              <w:left w:val="single" w:sz="4" w:space="0" w:color="auto"/>
              <w:bottom w:val="nil"/>
              <w:right w:val="nil"/>
            </w:tcBorders>
            <w:shd w:val="clear" w:color="000000" w:fill="FFFFFF"/>
            <w:hideMark/>
          </w:tcPr>
          <w:p w14:paraId="06194E51"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 xml:space="preserve">IX.2 An agile and smooth functioning Secretariat with a </w:t>
            </w:r>
            <w:proofErr w:type="spellStart"/>
            <w:r w:rsidRPr="005F226D">
              <w:rPr>
                <w:rFonts w:ascii="Arial" w:hAnsi="Arial" w:cs="Arial"/>
                <w:color w:val="000000"/>
                <w:sz w:val="16"/>
                <w:szCs w:val="16"/>
              </w:rPr>
              <w:t>well managed</w:t>
            </w:r>
            <w:proofErr w:type="spellEnd"/>
            <w:r w:rsidRPr="005F226D">
              <w:rPr>
                <w:rFonts w:ascii="Arial" w:hAnsi="Arial" w:cs="Arial"/>
                <w:color w:val="000000"/>
                <w:sz w:val="16"/>
                <w:szCs w:val="16"/>
              </w:rPr>
              <w:t xml:space="preserve"> and appropriately skilled workforce which is effectively delivering results</w:t>
            </w:r>
          </w:p>
        </w:tc>
        <w:tc>
          <w:tcPr>
            <w:tcW w:w="2560" w:type="dxa"/>
            <w:tcBorders>
              <w:top w:val="nil"/>
              <w:left w:val="nil"/>
              <w:bottom w:val="nil"/>
              <w:right w:val="nil"/>
            </w:tcBorders>
            <w:shd w:val="clear" w:color="000000" w:fill="FFFFFF"/>
            <w:hideMark/>
          </w:tcPr>
          <w:p w14:paraId="13DE3ED0" w14:textId="77777777" w:rsidR="00984F70" w:rsidRPr="005F226D" w:rsidRDefault="00984F70" w:rsidP="008D4CE9">
            <w:pPr>
              <w:keepNext/>
              <w:keepLines/>
              <w:ind w:left="41"/>
              <w:rPr>
                <w:rFonts w:ascii="Arial" w:hAnsi="Arial" w:cs="Arial"/>
                <w:color w:val="000000"/>
                <w:sz w:val="16"/>
                <w:szCs w:val="16"/>
              </w:rPr>
            </w:pPr>
            <w:r w:rsidRPr="005F226D">
              <w:rPr>
                <w:rFonts w:ascii="Arial" w:hAnsi="Arial" w:cs="Arial"/>
                <w:color w:val="000000"/>
                <w:sz w:val="16"/>
                <w:szCs w:val="16"/>
              </w:rPr>
              <w:t>Establishment of a new Organizational Resilience and Business Continuity  framework and associated documentation</w:t>
            </w:r>
          </w:p>
        </w:tc>
        <w:tc>
          <w:tcPr>
            <w:tcW w:w="2080" w:type="dxa"/>
            <w:tcBorders>
              <w:top w:val="nil"/>
              <w:left w:val="nil"/>
              <w:bottom w:val="nil"/>
              <w:right w:val="nil"/>
            </w:tcBorders>
            <w:shd w:val="clear" w:color="000000" w:fill="FFFFFF"/>
            <w:hideMark/>
          </w:tcPr>
          <w:p w14:paraId="501C6CAE"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Current framework is not comprehensive and needs to be replaced</w:t>
            </w:r>
          </w:p>
        </w:tc>
        <w:tc>
          <w:tcPr>
            <w:tcW w:w="2313" w:type="dxa"/>
            <w:tcBorders>
              <w:top w:val="nil"/>
              <w:left w:val="nil"/>
              <w:bottom w:val="nil"/>
              <w:right w:val="single" w:sz="4" w:space="0" w:color="auto"/>
            </w:tcBorders>
            <w:shd w:val="clear" w:color="000000" w:fill="FFFFFF"/>
            <w:hideMark/>
          </w:tcPr>
          <w:p w14:paraId="6D82351C"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 xml:space="preserve">Organizational Resilience and Business Continuity strategies and plans drawn up for the core areas of the Organization </w:t>
            </w:r>
          </w:p>
        </w:tc>
      </w:tr>
      <w:tr w:rsidR="00984F70" w:rsidRPr="005F226D" w14:paraId="3D524AC1" w14:textId="77777777" w:rsidTr="00984F70">
        <w:trPr>
          <w:trHeight w:val="1076"/>
        </w:trPr>
        <w:tc>
          <w:tcPr>
            <w:tcW w:w="2560" w:type="dxa"/>
            <w:vMerge w:val="restart"/>
            <w:tcBorders>
              <w:top w:val="nil"/>
              <w:left w:val="single" w:sz="4" w:space="0" w:color="auto"/>
              <w:bottom w:val="single" w:sz="4" w:space="0" w:color="000000"/>
              <w:right w:val="nil"/>
            </w:tcBorders>
            <w:shd w:val="clear" w:color="000000" w:fill="FFFFFF"/>
            <w:hideMark/>
          </w:tcPr>
          <w:p w14:paraId="2550F98E"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IX.3 An enabling working environment supported by an effective regulatory framework and appropriate channels to address staff concerns</w:t>
            </w:r>
          </w:p>
        </w:tc>
        <w:tc>
          <w:tcPr>
            <w:tcW w:w="2560" w:type="dxa"/>
            <w:tcBorders>
              <w:top w:val="nil"/>
              <w:left w:val="nil"/>
              <w:bottom w:val="nil"/>
              <w:right w:val="nil"/>
            </w:tcBorders>
            <w:shd w:val="clear" w:color="000000" w:fill="FFFFFF"/>
            <w:hideMark/>
          </w:tcPr>
          <w:p w14:paraId="2E82815F"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xml:space="preserve">% of WIPO staff aware of services available from </w:t>
            </w:r>
            <w:proofErr w:type="spellStart"/>
            <w:r w:rsidRPr="005F226D">
              <w:rPr>
                <w:rFonts w:ascii="Arial" w:hAnsi="Arial" w:cs="Arial"/>
                <w:color w:val="000000"/>
                <w:sz w:val="16"/>
                <w:szCs w:val="16"/>
              </w:rPr>
              <w:t>Ombuds</w:t>
            </w:r>
            <w:proofErr w:type="spellEnd"/>
            <w:r w:rsidRPr="005F226D">
              <w:rPr>
                <w:rFonts w:ascii="Arial" w:hAnsi="Arial" w:cs="Arial"/>
                <w:color w:val="000000"/>
                <w:sz w:val="16"/>
                <w:szCs w:val="16"/>
              </w:rPr>
              <w:t>-Office and informal conflict resolution mechanism</w:t>
            </w:r>
          </w:p>
        </w:tc>
        <w:tc>
          <w:tcPr>
            <w:tcW w:w="2080" w:type="dxa"/>
            <w:tcBorders>
              <w:top w:val="nil"/>
              <w:left w:val="nil"/>
              <w:bottom w:val="nil"/>
              <w:right w:val="nil"/>
            </w:tcBorders>
            <w:shd w:val="clear" w:color="000000" w:fill="FFFFFF"/>
            <w:hideMark/>
          </w:tcPr>
          <w:p w14:paraId="5FA9E99C"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2013 Survey: 63% fully aware.  Another survey is planned in 2015.</w:t>
            </w:r>
          </w:p>
        </w:tc>
        <w:tc>
          <w:tcPr>
            <w:tcW w:w="2313" w:type="dxa"/>
            <w:tcBorders>
              <w:top w:val="nil"/>
              <w:left w:val="nil"/>
              <w:bottom w:val="nil"/>
              <w:right w:val="single" w:sz="4" w:space="0" w:color="auto"/>
            </w:tcBorders>
            <w:shd w:val="clear" w:color="000000" w:fill="FFFFFF"/>
            <w:hideMark/>
          </w:tcPr>
          <w:p w14:paraId="1473E62F"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70%</w:t>
            </w:r>
          </w:p>
        </w:tc>
      </w:tr>
      <w:tr w:rsidR="00984F70" w:rsidRPr="005F226D" w14:paraId="1E0419CA" w14:textId="77777777" w:rsidTr="00984F70">
        <w:trPr>
          <w:trHeight w:val="1081"/>
        </w:trPr>
        <w:tc>
          <w:tcPr>
            <w:tcW w:w="2560" w:type="dxa"/>
            <w:vMerge/>
            <w:tcBorders>
              <w:top w:val="nil"/>
              <w:left w:val="single" w:sz="4" w:space="0" w:color="auto"/>
              <w:bottom w:val="single" w:sz="4" w:space="0" w:color="000000"/>
              <w:right w:val="nil"/>
            </w:tcBorders>
            <w:vAlign w:val="center"/>
            <w:hideMark/>
          </w:tcPr>
          <w:p w14:paraId="190A9200" w14:textId="77777777" w:rsidR="00984F70" w:rsidRPr="005F226D" w:rsidRDefault="00984F70" w:rsidP="00984F70">
            <w:pPr>
              <w:rPr>
                <w:rFonts w:ascii="Arial" w:hAnsi="Arial" w:cs="Arial"/>
                <w:color w:val="000000"/>
                <w:sz w:val="16"/>
                <w:szCs w:val="16"/>
              </w:rPr>
            </w:pPr>
          </w:p>
        </w:tc>
        <w:tc>
          <w:tcPr>
            <w:tcW w:w="2560" w:type="dxa"/>
            <w:tcBorders>
              <w:top w:val="nil"/>
              <w:left w:val="nil"/>
              <w:bottom w:val="single" w:sz="4" w:space="0" w:color="auto"/>
              <w:right w:val="nil"/>
            </w:tcBorders>
            <w:shd w:val="clear" w:color="000000" w:fill="FFFFFF"/>
            <w:hideMark/>
          </w:tcPr>
          <w:p w14:paraId="458FD334" w14:textId="77777777" w:rsidR="00984F70" w:rsidRPr="005F226D" w:rsidRDefault="00984F70" w:rsidP="008D4CE9">
            <w:pPr>
              <w:keepNext/>
              <w:keepLines/>
              <w:ind w:left="41" w:hanging="41"/>
              <w:rPr>
                <w:rFonts w:ascii="Arial" w:hAnsi="Arial" w:cs="Arial"/>
                <w:color w:val="000000"/>
                <w:sz w:val="16"/>
                <w:szCs w:val="16"/>
              </w:rPr>
            </w:pPr>
            <w:r w:rsidRPr="005F226D">
              <w:rPr>
                <w:rFonts w:ascii="Arial" w:hAnsi="Arial" w:cs="Arial"/>
                <w:color w:val="000000"/>
                <w:sz w:val="16"/>
                <w:szCs w:val="16"/>
              </w:rPr>
              <w:t>% of WIPO staff being aware of WIPO ethics principles and policies</w:t>
            </w:r>
          </w:p>
        </w:tc>
        <w:tc>
          <w:tcPr>
            <w:tcW w:w="2080" w:type="dxa"/>
            <w:tcBorders>
              <w:top w:val="nil"/>
              <w:left w:val="nil"/>
              <w:bottom w:val="single" w:sz="4" w:space="0" w:color="auto"/>
              <w:right w:val="nil"/>
            </w:tcBorders>
            <w:shd w:val="clear" w:color="000000" w:fill="FFFFFF"/>
            <w:hideMark/>
          </w:tcPr>
          <w:p w14:paraId="39A65D7D" w14:textId="77777777" w:rsidR="00984F70" w:rsidRPr="005F226D" w:rsidRDefault="00984F70" w:rsidP="008D4CE9">
            <w:pPr>
              <w:keepNext/>
              <w:keepLines/>
              <w:ind w:left="41" w:hanging="9"/>
              <w:rPr>
                <w:rFonts w:ascii="Arial" w:hAnsi="Arial" w:cs="Arial"/>
                <w:color w:val="000000"/>
                <w:sz w:val="16"/>
                <w:szCs w:val="16"/>
              </w:rPr>
            </w:pPr>
            <w:r w:rsidRPr="005F226D">
              <w:rPr>
                <w:rFonts w:ascii="Arial" w:hAnsi="Arial" w:cs="Arial"/>
                <w:color w:val="000000"/>
                <w:sz w:val="16"/>
                <w:szCs w:val="16"/>
              </w:rPr>
              <w:t>98% from the SRP Core Values Survey (conducted in 2013).  Another survey is planned in 2015.</w:t>
            </w:r>
          </w:p>
        </w:tc>
        <w:tc>
          <w:tcPr>
            <w:tcW w:w="2313" w:type="dxa"/>
            <w:tcBorders>
              <w:top w:val="nil"/>
              <w:left w:val="nil"/>
              <w:bottom w:val="single" w:sz="4" w:space="0" w:color="auto"/>
              <w:right w:val="single" w:sz="4" w:space="0" w:color="auto"/>
            </w:tcBorders>
            <w:shd w:val="clear" w:color="000000" w:fill="FFFFFF"/>
            <w:hideMark/>
          </w:tcPr>
          <w:p w14:paraId="3E5D57F5"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95% of staff awareness</w:t>
            </w:r>
          </w:p>
        </w:tc>
      </w:tr>
    </w:tbl>
    <w:p w14:paraId="1E5E0E4F" w14:textId="77777777" w:rsidR="00984F70" w:rsidRPr="008B6DC1" w:rsidRDefault="00984F70" w:rsidP="00984F70">
      <w:pPr>
        <w:rPr>
          <w:rFonts w:ascii="Arial" w:hAnsi="Arial" w:cs="Arial"/>
          <w:sz w:val="20"/>
        </w:rPr>
      </w:pPr>
    </w:p>
    <w:p w14:paraId="16809638" w14:textId="77777777" w:rsidR="008107B9" w:rsidRDefault="008107B9">
      <w:pPr>
        <w:rPr>
          <w:rFonts w:ascii="Arial" w:hAnsi="Arial" w:cs="Arial"/>
        </w:rPr>
      </w:pPr>
      <w:r>
        <w:rPr>
          <w:rFonts w:ascii="Arial" w:hAnsi="Arial" w:cs="Arial"/>
        </w:rPr>
        <w:br w:type="page"/>
      </w:r>
    </w:p>
    <w:p w14:paraId="56B355F3" w14:textId="6C80711F" w:rsidR="00984F70" w:rsidRDefault="00984F70" w:rsidP="00984F70">
      <w:pPr>
        <w:keepNext/>
        <w:keepLines/>
        <w:rPr>
          <w:rFonts w:ascii="Arial" w:hAnsi="Arial" w:cs="Arial"/>
        </w:rPr>
      </w:pPr>
      <w:r>
        <w:rPr>
          <w:rFonts w:ascii="Arial" w:hAnsi="Arial" w:cs="Arial"/>
        </w:rPr>
        <w:lastRenderedPageBreak/>
        <w:t>RESOURCES FOR PROGRAM 21</w:t>
      </w:r>
    </w:p>
    <w:p w14:paraId="38F5421D" w14:textId="77777777" w:rsidR="00984F70" w:rsidRPr="00984F70" w:rsidRDefault="00984F70" w:rsidP="00984F70">
      <w:pPr>
        <w:keepNext/>
        <w:keepLines/>
        <w:rPr>
          <w:rFonts w:ascii="Arial" w:hAnsi="Arial" w:cs="Arial"/>
          <w:sz w:val="20"/>
        </w:rPr>
      </w:pPr>
    </w:p>
    <w:p w14:paraId="33F62F86" w14:textId="77777777" w:rsidR="00984F70" w:rsidRPr="00984F70" w:rsidRDefault="00984F70" w:rsidP="00B66A4A">
      <w:pPr>
        <w:numPr>
          <w:ilvl w:val="0"/>
          <w:numId w:val="21"/>
        </w:numPr>
        <w:jc w:val="both"/>
        <w:rPr>
          <w:rFonts w:ascii="Arial" w:hAnsi="Arial" w:cs="Arial"/>
          <w:sz w:val="20"/>
        </w:rPr>
      </w:pPr>
      <w:r w:rsidRPr="00984F70">
        <w:rPr>
          <w:rFonts w:ascii="Arial" w:hAnsi="Arial" w:cs="Arial"/>
          <w:sz w:val="20"/>
        </w:rPr>
        <w:t xml:space="preserve">A slight increase can be observed in the overall resources for the Program in 2016/17 compared to the 2014/15 Budget after Transfers. The increase is due to a slightly higher provision for the organization of the WIPO Assemblies, based on expenditure patterns in 2014/15, the continued development of the WIPO Lex database and External Offices coordination activities.  </w:t>
      </w:r>
    </w:p>
    <w:p w14:paraId="0689EB1E" w14:textId="77777777" w:rsidR="00984F70" w:rsidRPr="00984F70" w:rsidRDefault="00984F70" w:rsidP="00984F70">
      <w:pPr>
        <w:jc w:val="both"/>
        <w:rPr>
          <w:rFonts w:ascii="Arial" w:hAnsi="Arial" w:cs="Arial"/>
          <w:sz w:val="20"/>
        </w:rPr>
      </w:pPr>
    </w:p>
    <w:p w14:paraId="740DA3A7" w14:textId="77777777" w:rsidR="00984F70" w:rsidRDefault="00984F70" w:rsidP="00B66A4A">
      <w:pPr>
        <w:numPr>
          <w:ilvl w:val="0"/>
          <w:numId w:val="21"/>
        </w:numPr>
        <w:jc w:val="both"/>
        <w:rPr>
          <w:rFonts w:ascii="Arial" w:hAnsi="Arial" w:cs="Arial"/>
          <w:sz w:val="20"/>
        </w:rPr>
      </w:pPr>
      <w:r w:rsidRPr="00984F70">
        <w:rPr>
          <w:rFonts w:ascii="Arial" w:hAnsi="Arial" w:cs="Arial"/>
          <w:sz w:val="20"/>
        </w:rPr>
        <w:t xml:space="preserve">Regarding variances in the resources for the Expected Results, it is considered more appropriate to link the resources related to legal services and advice related activities to Expected Result IX.1 instead of Expected Result IX.2 being the case in 2014/15.  </w:t>
      </w:r>
    </w:p>
    <w:p w14:paraId="0C0A6AFC" w14:textId="77777777" w:rsidR="00516D2C" w:rsidRDefault="00516D2C" w:rsidP="00FB68E0">
      <w:pPr>
        <w:pStyle w:val="ListParagraph"/>
        <w:rPr>
          <w:rFonts w:ascii="Arial" w:hAnsi="Arial" w:cs="Arial"/>
          <w:sz w:val="20"/>
        </w:rPr>
      </w:pPr>
    </w:p>
    <w:p w14:paraId="28DDCD98" w14:textId="41DF09B7" w:rsidR="00516D2C" w:rsidRPr="00FB68E0" w:rsidRDefault="00516D2C" w:rsidP="00516D2C">
      <w:pPr>
        <w:jc w:val="both"/>
        <w:rPr>
          <w:rFonts w:ascii="Arial" w:hAnsi="Arial" w:cs="Arial"/>
          <w:sz w:val="20"/>
        </w:rPr>
      </w:pPr>
      <w:r>
        <w:rPr>
          <w:rFonts w:ascii="Arial" w:hAnsi="Arial" w:cs="Arial"/>
          <w:sz w:val="20"/>
        </w:rPr>
        <w:t xml:space="preserve">21.8 The resources under Expected result VIII.4 in 2016/17 reflect the work related to granting </w:t>
      </w:r>
      <w:r w:rsidRPr="00FB68E0">
        <w:rPr>
          <w:rFonts w:ascii="Arial" w:hAnsi="Arial" w:cs="Arial"/>
          <w:sz w:val="20"/>
        </w:rPr>
        <w:t xml:space="preserve">permanent observer status to NGOs. </w:t>
      </w:r>
    </w:p>
    <w:p w14:paraId="03707378" w14:textId="2C5E89F3" w:rsidR="00516D2C" w:rsidRPr="00984F70" w:rsidRDefault="00516D2C" w:rsidP="00FB68E0">
      <w:pPr>
        <w:jc w:val="both"/>
        <w:rPr>
          <w:rFonts w:ascii="Arial" w:hAnsi="Arial" w:cs="Arial"/>
          <w:sz w:val="20"/>
        </w:rPr>
      </w:pPr>
    </w:p>
    <w:p w14:paraId="4A4C41FE" w14:textId="77777777" w:rsidR="00984F70" w:rsidRDefault="00984F70" w:rsidP="00984F70">
      <w:pPr>
        <w:rPr>
          <w:rFonts w:ascii="Arial" w:hAnsi="Arial" w:cs="Arial"/>
        </w:rPr>
      </w:pPr>
    </w:p>
    <w:p w14:paraId="2AE083F4" w14:textId="77777777" w:rsidR="00984F70" w:rsidRPr="0024754A" w:rsidRDefault="00984F70" w:rsidP="00984F70">
      <w:pPr>
        <w:pStyle w:val="ListParagraph"/>
        <w:keepNext/>
        <w:keepLines/>
        <w:spacing w:after="240"/>
        <w:jc w:val="center"/>
        <w:rPr>
          <w:rFonts w:ascii="Arial" w:hAnsi="Arial" w:cs="Arial"/>
          <w:b/>
          <w:sz w:val="20"/>
        </w:rPr>
      </w:pPr>
      <w:r>
        <w:rPr>
          <w:rFonts w:ascii="Arial" w:hAnsi="Arial" w:cs="Arial"/>
          <w:b/>
          <w:sz w:val="20"/>
        </w:rPr>
        <w:t>Program 21</w:t>
      </w:r>
      <w:r w:rsidRPr="0024754A">
        <w:rPr>
          <w:rFonts w:ascii="Arial" w:hAnsi="Arial" w:cs="Arial"/>
          <w:b/>
          <w:sz w:val="20"/>
        </w:rPr>
        <w:t xml:space="preserve">: Resources by Result </w:t>
      </w:r>
    </w:p>
    <w:p w14:paraId="0232E41D" w14:textId="77777777" w:rsidR="00984F70" w:rsidRDefault="00984F70" w:rsidP="00984F70">
      <w:pPr>
        <w:pStyle w:val="ListParagraph"/>
        <w:keepNext/>
        <w:keepLines/>
        <w:tabs>
          <w:tab w:val="left" w:pos="9072"/>
        </w:tabs>
        <w:spacing w:after="240"/>
        <w:jc w:val="center"/>
        <w:rPr>
          <w:rFonts w:ascii="Arial" w:hAnsi="Arial" w:cs="Arial"/>
          <w:i/>
          <w:sz w:val="20"/>
        </w:rPr>
      </w:pPr>
      <w:r w:rsidRPr="0024754A">
        <w:rPr>
          <w:rFonts w:ascii="Arial" w:hAnsi="Arial" w:cs="Arial"/>
          <w:i/>
          <w:sz w:val="20"/>
        </w:rPr>
        <w:t>(in thousands of Swiss francs)</w:t>
      </w:r>
    </w:p>
    <w:p w14:paraId="7565D00C" w14:textId="77777777" w:rsidR="00984F70" w:rsidRDefault="00984F70" w:rsidP="00984F70">
      <w:pPr>
        <w:pStyle w:val="ListParagraph"/>
        <w:keepNext/>
        <w:keepLines/>
        <w:tabs>
          <w:tab w:val="left" w:pos="9072"/>
        </w:tabs>
        <w:spacing w:after="240"/>
        <w:jc w:val="center"/>
        <w:rPr>
          <w:rFonts w:ascii="Arial" w:hAnsi="Arial" w:cs="Arial"/>
          <w:i/>
          <w:sz w:val="20"/>
        </w:rPr>
      </w:pPr>
    </w:p>
    <w:p w14:paraId="5DEB604F" w14:textId="77777777" w:rsidR="00984F70" w:rsidRDefault="00984F70" w:rsidP="00984F70">
      <w:pPr>
        <w:pStyle w:val="ListParagraph"/>
        <w:keepNext/>
        <w:keepLines/>
        <w:tabs>
          <w:tab w:val="left" w:pos="9072"/>
        </w:tabs>
        <w:spacing w:after="240"/>
        <w:ind w:hanging="720"/>
        <w:jc w:val="center"/>
        <w:rPr>
          <w:rFonts w:ascii="Arial" w:hAnsi="Arial" w:cs="Arial"/>
          <w:i/>
          <w:sz w:val="20"/>
        </w:rPr>
      </w:pPr>
      <w:r w:rsidRPr="001179FB">
        <w:rPr>
          <w:noProof/>
          <w:lang w:eastAsia="en-US"/>
        </w:rPr>
        <w:drawing>
          <wp:inline distT="0" distB="0" distL="0" distR="0" wp14:anchorId="307D081C" wp14:editId="0C1CA4E9">
            <wp:extent cx="4937760" cy="3328423"/>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44096" cy="3332694"/>
                    </a:xfrm>
                    <a:prstGeom prst="rect">
                      <a:avLst/>
                    </a:prstGeom>
                    <a:noFill/>
                    <a:ln>
                      <a:noFill/>
                    </a:ln>
                  </pic:spPr>
                </pic:pic>
              </a:graphicData>
            </a:graphic>
          </wp:inline>
        </w:drawing>
      </w:r>
    </w:p>
    <w:p w14:paraId="29DAA286" w14:textId="77777777" w:rsidR="00984F70" w:rsidRDefault="00984F70" w:rsidP="00984F70">
      <w:pPr>
        <w:pStyle w:val="ListParagraph"/>
        <w:tabs>
          <w:tab w:val="left" w:pos="9072"/>
        </w:tabs>
        <w:spacing w:after="240"/>
        <w:rPr>
          <w:rFonts w:ascii="Arial" w:hAnsi="Arial" w:cs="Arial"/>
          <w:i/>
          <w:sz w:val="20"/>
        </w:rPr>
      </w:pPr>
    </w:p>
    <w:p w14:paraId="4399B0C4" w14:textId="77777777" w:rsidR="00984F70" w:rsidRDefault="00984F70" w:rsidP="00984F70">
      <w:pPr>
        <w:pStyle w:val="ListParagraph"/>
        <w:tabs>
          <w:tab w:val="left" w:pos="9072"/>
        </w:tabs>
        <w:spacing w:after="240"/>
        <w:rPr>
          <w:rFonts w:ascii="Arial" w:hAnsi="Arial" w:cs="Arial"/>
          <w:i/>
          <w:sz w:val="20"/>
        </w:rPr>
      </w:pPr>
    </w:p>
    <w:p w14:paraId="7A1F30FB" w14:textId="77777777" w:rsidR="00984F70" w:rsidRDefault="00984F70">
      <w:pPr>
        <w:rPr>
          <w:rFonts w:ascii="Arial" w:eastAsiaTheme="minorHAnsi" w:hAnsi="Arial" w:cs="Arial"/>
          <w:b/>
          <w:sz w:val="20"/>
        </w:rPr>
      </w:pPr>
      <w:r>
        <w:rPr>
          <w:rFonts w:ascii="Arial" w:hAnsi="Arial" w:cs="Arial"/>
          <w:b/>
          <w:sz w:val="20"/>
        </w:rPr>
        <w:br w:type="page"/>
      </w:r>
    </w:p>
    <w:p w14:paraId="19A70EF6" w14:textId="77777777" w:rsidR="00984F70" w:rsidRPr="0024754A" w:rsidRDefault="00984F70" w:rsidP="00984F70">
      <w:pPr>
        <w:pStyle w:val="ListParagraph"/>
        <w:spacing w:after="240"/>
        <w:jc w:val="center"/>
        <w:rPr>
          <w:rFonts w:ascii="Arial" w:hAnsi="Arial" w:cs="Arial"/>
          <w:b/>
          <w:sz w:val="20"/>
        </w:rPr>
      </w:pPr>
      <w:r>
        <w:rPr>
          <w:rFonts w:ascii="Arial" w:hAnsi="Arial" w:cs="Arial"/>
          <w:b/>
          <w:sz w:val="20"/>
        </w:rPr>
        <w:lastRenderedPageBreak/>
        <w:t>Program 21</w:t>
      </w:r>
      <w:r w:rsidRPr="0024754A">
        <w:rPr>
          <w:rFonts w:ascii="Arial" w:hAnsi="Arial" w:cs="Arial"/>
          <w:b/>
          <w:sz w:val="20"/>
        </w:rPr>
        <w:t xml:space="preserve">: Resources by </w:t>
      </w:r>
      <w:r>
        <w:rPr>
          <w:rFonts w:ascii="Arial" w:hAnsi="Arial" w:cs="Arial"/>
          <w:b/>
          <w:sz w:val="20"/>
        </w:rPr>
        <w:t>Object of Expenditure</w:t>
      </w:r>
    </w:p>
    <w:p w14:paraId="38F5BDEC" w14:textId="77777777" w:rsidR="00984F70" w:rsidRDefault="00984F70" w:rsidP="00984F70">
      <w:pPr>
        <w:pStyle w:val="ListParagraph"/>
        <w:tabs>
          <w:tab w:val="left" w:pos="9072"/>
        </w:tabs>
        <w:spacing w:after="240"/>
        <w:jc w:val="center"/>
        <w:rPr>
          <w:rFonts w:ascii="Arial" w:hAnsi="Arial" w:cs="Arial"/>
          <w:i/>
          <w:sz w:val="20"/>
        </w:rPr>
      </w:pPr>
      <w:r w:rsidRPr="0024754A">
        <w:rPr>
          <w:rFonts w:ascii="Arial" w:hAnsi="Arial" w:cs="Arial"/>
          <w:i/>
          <w:sz w:val="20"/>
        </w:rPr>
        <w:t>(in thousands of Swiss francs)</w:t>
      </w:r>
    </w:p>
    <w:p w14:paraId="4683D64F" w14:textId="77777777" w:rsidR="00984F70" w:rsidRDefault="00984F70" w:rsidP="007536CC">
      <w:pPr>
        <w:pStyle w:val="ListParagraph"/>
        <w:tabs>
          <w:tab w:val="left" w:pos="9072"/>
        </w:tabs>
        <w:jc w:val="center"/>
        <w:rPr>
          <w:rFonts w:ascii="Arial" w:hAnsi="Arial" w:cs="Arial"/>
          <w:i/>
          <w:sz w:val="20"/>
        </w:rPr>
      </w:pPr>
    </w:p>
    <w:p w14:paraId="4AC16ACB" w14:textId="77777777" w:rsidR="00984F70" w:rsidRPr="007536CC" w:rsidRDefault="00984F70" w:rsidP="00BC77A3">
      <w:pPr>
        <w:jc w:val="center"/>
        <w:rPr>
          <w:rFonts w:ascii="Arial" w:hAnsi="Arial" w:cs="Arial"/>
          <w:sz w:val="18"/>
        </w:rPr>
      </w:pPr>
      <w:r w:rsidRPr="005C1FAC">
        <w:rPr>
          <w:rFonts w:eastAsiaTheme="minorHAnsi"/>
          <w:noProof/>
          <w:lang w:eastAsia="en-US"/>
        </w:rPr>
        <w:drawing>
          <wp:inline distT="0" distB="0" distL="0" distR="0" wp14:anchorId="51CF009D" wp14:editId="128D67FA">
            <wp:extent cx="5113628" cy="57544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18277" cy="5759681"/>
                    </a:xfrm>
                    <a:prstGeom prst="rect">
                      <a:avLst/>
                    </a:prstGeom>
                    <a:noFill/>
                    <a:ln>
                      <a:noFill/>
                    </a:ln>
                  </pic:spPr>
                </pic:pic>
              </a:graphicData>
            </a:graphic>
          </wp:inline>
        </w:drawing>
      </w:r>
    </w:p>
    <w:p w14:paraId="792ABC45" w14:textId="77777777" w:rsidR="00984F70" w:rsidRPr="007536CC" w:rsidRDefault="00984F70" w:rsidP="00984F70">
      <w:pPr>
        <w:rPr>
          <w:rFonts w:ascii="Arial" w:hAnsi="Arial" w:cs="Arial"/>
          <w:sz w:val="18"/>
        </w:rPr>
      </w:pPr>
    </w:p>
    <w:p w14:paraId="77858AB0" w14:textId="77777777" w:rsidR="00984F70" w:rsidRDefault="00984F70" w:rsidP="00984F70">
      <w:pPr>
        <w:rPr>
          <w:rFonts w:ascii="Arial" w:hAnsi="Arial" w:cs="Arial"/>
          <w:sz w:val="20"/>
        </w:rPr>
      </w:pPr>
    </w:p>
    <w:p w14:paraId="59268A3B" w14:textId="77777777" w:rsidR="00984F70" w:rsidRPr="009104D3" w:rsidRDefault="00984F70" w:rsidP="00984F70">
      <w:pPr>
        <w:keepNext/>
        <w:keepLines/>
        <w:jc w:val="center"/>
        <w:rPr>
          <w:rFonts w:ascii="Arial" w:hAnsi="Arial" w:cs="Arial"/>
          <w:b/>
          <w:sz w:val="20"/>
        </w:rPr>
      </w:pPr>
      <w:r w:rsidRPr="009104D3">
        <w:rPr>
          <w:rFonts w:ascii="Arial" w:hAnsi="Arial" w:cs="Arial"/>
          <w:b/>
          <w:sz w:val="20"/>
        </w:rPr>
        <w:t>Funds in Trust Potentially Available for Programming in 2016/17 (BY PROGRAM)</w:t>
      </w:r>
      <w:r w:rsidRPr="009104D3">
        <w:rPr>
          <w:rFonts w:ascii="Arial" w:hAnsi="Arial" w:cs="Arial"/>
          <w:i/>
          <w:sz w:val="20"/>
          <w:vertAlign w:val="superscript"/>
        </w:rPr>
        <w:t xml:space="preserve"> </w:t>
      </w:r>
      <w:r w:rsidRPr="009104D3">
        <w:rPr>
          <w:rFonts w:ascii="Arial" w:hAnsi="Arial" w:cs="Arial"/>
          <w:sz w:val="20"/>
          <w:vertAlign w:val="superscript"/>
        </w:rPr>
        <w:t>1</w:t>
      </w:r>
    </w:p>
    <w:p w14:paraId="3691E2DC" w14:textId="77777777" w:rsidR="00984F70" w:rsidRDefault="00984F70" w:rsidP="00984F70">
      <w:pPr>
        <w:keepNext/>
        <w:keepLines/>
        <w:jc w:val="center"/>
        <w:rPr>
          <w:i/>
          <w:sz w:val="20"/>
        </w:rPr>
      </w:pPr>
      <w:r w:rsidRPr="009104D3">
        <w:rPr>
          <w:rFonts w:ascii="Arial" w:hAnsi="Arial" w:cs="Arial"/>
          <w:i/>
          <w:sz w:val="20"/>
        </w:rPr>
        <w:t>(in thousands of Swiss francs)</w:t>
      </w:r>
    </w:p>
    <w:p w14:paraId="15B8DB34" w14:textId="77777777" w:rsidR="00984F70" w:rsidRPr="007536CC" w:rsidRDefault="00984F70" w:rsidP="00984F70">
      <w:pPr>
        <w:keepNext/>
        <w:keepLines/>
        <w:rPr>
          <w:rFonts w:ascii="Arial" w:hAnsi="Arial" w:cs="Arial"/>
          <w:sz w:val="18"/>
        </w:rPr>
      </w:pPr>
    </w:p>
    <w:p w14:paraId="6FBE2617" w14:textId="77777777" w:rsidR="00984F70" w:rsidRDefault="00984F70" w:rsidP="00FB68E0">
      <w:pPr>
        <w:keepNext/>
        <w:keepLines/>
        <w:jc w:val="center"/>
        <w:rPr>
          <w:rFonts w:ascii="Arial" w:hAnsi="Arial" w:cs="Arial"/>
          <w:sz w:val="20"/>
        </w:rPr>
      </w:pPr>
      <w:r w:rsidRPr="00477C3D">
        <w:rPr>
          <w:noProof/>
          <w:lang w:eastAsia="en-US"/>
        </w:rPr>
        <w:drawing>
          <wp:inline distT="0" distB="0" distL="0" distR="0" wp14:anchorId="6D71146E" wp14:editId="6C691138">
            <wp:extent cx="5454595" cy="874979"/>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81713" cy="879329"/>
                    </a:xfrm>
                    <a:prstGeom prst="rect">
                      <a:avLst/>
                    </a:prstGeom>
                    <a:noFill/>
                    <a:ln>
                      <a:noFill/>
                    </a:ln>
                  </pic:spPr>
                </pic:pic>
              </a:graphicData>
            </a:graphic>
          </wp:inline>
        </w:drawing>
      </w:r>
    </w:p>
    <w:p w14:paraId="6CC83624" w14:textId="77777777" w:rsidR="00984F70" w:rsidRPr="007536CC" w:rsidRDefault="00984F70" w:rsidP="00984F70">
      <w:pPr>
        <w:keepNext/>
        <w:keepLines/>
        <w:rPr>
          <w:rFonts w:ascii="Arial" w:hAnsi="Arial" w:cs="Arial"/>
          <w:sz w:val="16"/>
        </w:rPr>
      </w:pPr>
    </w:p>
    <w:p w14:paraId="57D1F199" w14:textId="77777777" w:rsidR="00984F70" w:rsidRPr="00843855" w:rsidRDefault="00984F70" w:rsidP="007536CC">
      <w:pPr>
        <w:keepNext/>
        <w:keepLines/>
        <w:spacing w:after="60"/>
        <w:rPr>
          <w:rFonts w:ascii="Arial" w:hAnsi="Arial" w:cs="Arial"/>
          <w:i/>
          <w:sz w:val="16"/>
          <w:szCs w:val="14"/>
        </w:rPr>
      </w:pPr>
      <w:r w:rsidRPr="00843855">
        <w:rPr>
          <w:rFonts w:ascii="Arial" w:hAnsi="Arial" w:cs="Arial"/>
          <w:i/>
          <w:sz w:val="16"/>
          <w:szCs w:val="14"/>
          <w:vertAlign w:val="superscript"/>
        </w:rPr>
        <w:t>1</w:t>
      </w:r>
      <w:r w:rsidRPr="00843855">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116CBADE" w14:textId="77777777" w:rsidR="007536CC" w:rsidRDefault="00984F70">
      <w:pPr>
        <w:rPr>
          <w:rFonts w:ascii="Arial" w:hAnsi="Arial" w:cs="Arial"/>
          <w:i/>
          <w:sz w:val="16"/>
          <w:szCs w:val="14"/>
        </w:rPr>
      </w:pPr>
      <w:r w:rsidRPr="00843855">
        <w:rPr>
          <w:rFonts w:ascii="Arial" w:hAnsi="Arial" w:cs="Arial"/>
          <w:i/>
          <w:sz w:val="16"/>
          <w:szCs w:val="14"/>
          <w:vertAlign w:val="superscript"/>
        </w:rPr>
        <w:t>2</w:t>
      </w:r>
      <w:r w:rsidRPr="00843855">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72B4B8E8" w14:textId="13499BCF" w:rsidR="00DF5D9A" w:rsidRDefault="00DF5D9A">
      <w:pPr>
        <w:rPr>
          <w:rFonts w:ascii="Arial" w:hAnsi="Arial" w:cs="Arial"/>
          <w:sz w:val="20"/>
        </w:rPr>
      </w:pPr>
      <w:r>
        <w:rPr>
          <w:rFonts w:ascii="Arial" w:hAnsi="Arial" w:cs="Arial"/>
          <w:sz w:val="20"/>
        </w:rPr>
        <w:br w:type="page"/>
      </w:r>
    </w:p>
    <w:p w14:paraId="05BA611D" w14:textId="731B548F" w:rsidR="00DF5D9A" w:rsidRPr="00DF5D9A" w:rsidRDefault="00DF5D9A" w:rsidP="00DF5D9A">
      <w:pPr>
        <w:pStyle w:val="StyleHeading3ComplexItalic"/>
        <w:rPr>
          <w:rFonts w:eastAsia="SimSun"/>
          <w:iCs w:val="0"/>
          <w:caps w:val="0"/>
          <w:szCs w:val="24"/>
        </w:rPr>
      </w:pPr>
      <w:bookmarkStart w:id="70" w:name="_Toc367350603"/>
      <w:bookmarkStart w:id="71" w:name="_Toc431221437"/>
      <w:r w:rsidRPr="00DF5D9A">
        <w:rPr>
          <w:rStyle w:val="StyleStyleHeading3ComplexItalicLatin12ptChar"/>
          <w:rFonts w:eastAsia="SimSun"/>
          <w:b/>
          <w:szCs w:val="24"/>
        </w:rPr>
        <w:lastRenderedPageBreak/>
        <w:t>PROGRAM 22</w:t>
      </w:r>
      <w:r w:rsidRPr="00DF5D9A">
        <w:rPr>
          <w:rStyle w:val="StyleStyleHeading3ComplexItalicLatin12ptChar"/>
          <w:rFonts w:eastAsia="SimSun"/>
          <w:b/>
          <w:szCs w:val="24"/>
        </w:rPr>
        <w:tab/>
        <w:t>PROGRAM AND RESOURCE MANAGEMENT</w:t>
      </w:r>
      <w:bookmarkEnd w:id="70"/>
      <w:bookmarkEnd w:id="71"/>
      <w:r>
        <w:rPr>
          <w:rStyle w:val="StyleStyleHeading3ComplexItalicLatin12ptChar"/>
          <w:rFonts w:eastAsia="SimSun"/>
          <w:b/>
          <w:szCs w:val="24"/>
        </w:rPr>
        <w:t xml:space="preserve"> </w:t>
      </w:r>
    </w:p>
    <w:p w14:paraId="5A2C55BF" w14:textId="77777777" w:rsidR="00DF5D9A" w:rsidRDefault="00DF5D9A" w:rsidP="00E641D8">
      <w:pPr>
        <w:pStyle w:val="BodyTextIndent"/>
        <w:ind w:left="1985" w:hanging="1985"/>
        <w:jc w:val="both"/>
        <w:rPr>
          <w:rFonts w:ascii="Arial" w:hAnsi="Arial" w:cs="Arial"/>
          <w:sz w:val="22"/>
          <w:szCs w:val="22"/>
        </w:rPr>
      </w:pPr>
    </w:p>
    <w:p w14:paraId="7EDD5082" w14:textId="77777777" w:rsidR="00DF5D9A" w:rsidRDefault="00DF5D9A" w:rsidP="00E641D8">
      <w:pPr>
        <w:pStyle w:val="BodyTextIndent"/>
        <w:ind w:left="1985" w:hanging="1985"/>
        <w:jc w:val="both"/>
        <w:rPr>
          <w:rFonts w:ascii="Arial" w:hAnsi="Arial" w:cs="Arial"/>
          <w:sz w:val="22"/>
          <w:szCs w:val="22"/>
        </w:rPr>
      </w:pPr>
    </w:p>
    <w:p w14:paraId="71E273C6" w14:textId="77777777" w:rsidR="00DF5D9A" w:rsidRPr="00A522FE" w:rsidRDefault="00DF5D9A" w:rsidP="00E641D8">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178068A5" w14:textId="77777777" w:rsidR="00DF5D9A" w:rsidRDefault="00DF5D9A" w:rsidP="00E641D8">
      <w:pPr>
        <w:ind w:left="6"/>
        <w:jc w:val="both"/>
        <w:rPr>
          <w:rFonts w:ascii="Arial" w:hAnsi="Arial" w:cs="Arial"/>
          <w:sz w:val="20"/>
        </w:rPr>
      </w:pPr>
    </w:p>
    <w:p w14:paraId="343B4334" w14:textId="77777777" w:rsidR="00DF5D9A" w:rsidRPr="00940909" w:rsidRDefault="00DF5D9A" w:rsidP="00B66A4A">
      <w:pPr>
        <w:numPr>
          <w:ilvl w:val="0"/>
          <w:numId w:val="25"/>
        </w:numPr>
        <w:jc w:val="both"/>
        <w:rPr>
          <w:rFonts w:ascii="Arial" w:hAnsi="Arial" w:cs="Arial"/>
          <w:sz w:val="20"/>
          <w:lang w:val="en-GB"/>
        </w:rPr>
      </w:pPr>
      <w:r w:rsidRPr="002C5E96">
        <w:rPr>
          <w:rFonts w:ascii="Arial" w:hAnsi="Arial" w:cs="Arial"/>
          <w:sz w:val="20"/>
          <w:lang w:val="en-GB"/>
        </w:rPr>
        <w:t xml:space="preserve">The </w:t>
      </w:r>
      <w:r>
        <w:rPr>
          <w:rFonts w:ascii="Arial" w:hAnsi="Arial" w:cs="Arial"/>
          <w:sz w:val="20"/>
          <w:lang w:val="en-GB"/>
        </w:rPr>
        <w:t>uncertainties of the</w:t>
      </w:r>
      <w:r w:rsidRPr="002C5E96">
        <w:rPr>
          <w:rFonts w:ascii="Arial" w:hAnsi="Arial" w:cs="Arial"/>
          <w:sz w:val="20"/>
          <w:lang w:val="en-GB"/>
        </w:rPr>
        <w:t xml:space="preserve"> global economy,</w:t>
      </w:r>
      <w:r>
        <w:rPr>
          <w:rFonts w:ascii="Arial" w:hAnsi="Arial" w:cs="Arial"/>
          <w:sz w:val="20"/>
          <w:lang w:val="en-GB"/>
        </w:rPr>
        <w:t xml:space="preserve"> the volatility in the currency markets,</w:t>
      </w:r>
      <w:r w:rsidRPr="002C5E96">
        <w:rPr>
          <w:rFonts w:ascii="Arial" w:hAnsi="Arial" w:cs="Arial"/>
          <w:sz w:val="20"/>
          <w:lang w:val="en-GB"/>
        </w:rPr>
        <w:t xml:space="preserve"> </w:t>
      </w:r>
      <w:r>
        <w:rPr>
          <w:rFonts w:ascii="Arial" w:hAnsi="Arial" w:cs="Arial"/>
          <w:sz w:val="20"/>
          <w:lang w:val="en-GB"/>
        </w:rPr>
        <w:t xml:space="preserve">changes in the banking environment, </w:t>
      </w:r>
      <w:r w:rsidRPr="002C5E96">
        <w:rPr>
          <w:rFonts w:ascii="Arial" w:hAnsi="Arial" w:cs="Arial"/>
          <w:sz w:val="20"/>
          <w:lang w:val="en-GB"/>
        </w:rPr>
        <w:t>the modest increase in income growth, the increase in staff costs and the increasing</w:t>
      </w:r>
      <w:r>
        <w:rPr>
          <w:rFonts w:ascii="Arial" w:hAnsi="Arial" w:cs="Arial"/>
          <w:sz w:val="20"/>
          <w:lang w:val="en-GB"/>
        </w:rPr>
        <w:t xml:space="preserve"> overall</w:t>
      </w:r>
      <w:r w:rsidRPr="002C5E96">
        <w:rPr>
          <w:rFonts w:ascii="Arial" w:hAnsi="Arial" w:cs="Arial"/>
          <w:sz w:val="20"/>
          <w:lang w:val="en-GB"/>
        </w:rPr>
        <w:t xml:space="preserve"> demand for WIPO’s services continue to set </w:t>
      </w:r>
      <w:r>
        <w:rPr>
          <w:rFonts w:ascii="Arial" w:hAnsi="Arial" w:cs="Arial"/>
          <w:sz w:val="20"/>
          <w:lang w:val="en-GB"/>
        </w:rPr>
        <w:t>a challenging</w:t>
      </w:r>
      <w:r w:rsidRPr="002C5E96">
        <w:rPr>
          <w:rFonts w:ascii="Arial" w:hAnsi="Arial" w:cs="Arial"/>
          <w:sz w:val="20"/>
          <w:lang w:val="en-GB"/>
        </w:rPr>
        <w:t xml:space="preserve"> context for this Program in the </w:t>
      </w:r>
      <w:r>
        <w:rPr>
          <w:rFonts w:ascii="Arial" w:hAnsi="Arial" w:cs="Arial"/>
          <w:sz w:val="20"/>
          <w:lang w:val="en-GB"/>
        </w:rPr>
        <w:t>2016/17</w:t>
      </w:r>
      <w:r w:rsidRPr="002C5E96">
        <w:rPr>
          <w:rFonts w:ascii="Arial" w:hAnsi="Arial" w:cs="Arial"/>
          <w:sz w:val="20"/>
          <w:lang w:val="en-GB"/>
        </w:rPr>
        <w:t xml:space="preserve"> biennium.  The current biennium </w:t>
      </w:r>
      <w:r>
        <w:rPr>
          <w:rFonts w:ascii="Arial" w:hAnsi="Arial" w:cs="Arial"/>
          <w:sz w:val="20"/>
          <w:lang w:val="en-GB"/>
        </w:rPr>
        <w:t>has seen the positive impact of a fully embedded results based management approach, a more mature risk management process and a sharper focus on strengthened financial management and internal controls.</w:t>
      </w:r>
      <w:r w:rsidRPr="00940909">
        <w:rPr>
          <w:rFonts w:ascii="Arial" w:hAnsi="Arial" w:cs="Arial"/>
          <w:sz w:val="20"/>
          <w:lang w:val="en-GB"/>
        </w:rPr>
        <w:t xml:space="preserve"> </w:t>
      </w:r>
      <w:r>
        <w:rPr>
          <w:rFonts w:ascii="Arial" w:hAnsi="Arial" w:cs="Arial"/>
          <w:sz w:val="20"/>
          <w:lang w:val="en-GB"/>
        </w:rPr>
        <w:t xml:space="preserve"> </w:t>
      </w:r>
      <w:r w:rsidRPr="00940909">
        <w:rPr>
          <w:rFonts w:ascii="Arial" w:hAnsi="Arial" w:cs="Arial"/>
          <w:sz w:val="20"/>
          <w:lang w:val="en-GB"/>
        </w:rPr>
        <w:t xml:space="preserve">As a consequence of </w:t>
      </w:r>
      <w:r>
        <w:rPr>
          <w:rFonts w:ascii="Arial" w:hAnsi="Arial" w:cs="Arial"/>
          <w:sz w:val="20"/>
          <w:lang w:val="en-GB"/>
        </w:rPr>
        <w:t>better</w:t>
      </w:r>
      <w:r w:rsidRPr="00940909">
        <w:rPr>
          <w:rFonts w:ascii="Arial" w:hAnsi="Arial" w:cs="Arial"/>
          <w:sz w:val="20"/>
          <w:lang w:val="en-GB"/>
        </w:rPr>
        <w:t xml:space="preserve"> </w:t>
      </w:r>
      <w:r>
        <w:rPr>
          <w:rFonts w:ascii="Arial" w:hAnsi="Arial" w:cs="Arial"/>
          <w:sz w:val="20"/>
          <w:lang w:val="en-GB"/>
        </w:rPr>
        <w:t>integration of program performance, budget and financial management and risk management processes and systems,</w:t>
      </w:r>
      <w:r w:rsidRPr="00940909">
        <w:rPr>
          <w:rFonts w:ascii="Arial" w:hAnsi="Arial" w:cs="Arial"/>
          <w:sz w:val="20"/>
          <w:lang w:val="en-GB"/>
        </w:rPr>
        <w:t xml:space="preserve"> this Program is now </w:t>
      </w:r>
      <w:r>
        <w:rPr>
          <w:rFonts w:ascii="Arial" w:hAnsi="Arial" w:cs="Arial"/>
          <w:sz w:val="20"/>
          <w:lang w:val="en-GB"/>
        </w:rPr>
        <w:t>well</w:t>
      </w:r>
      <w:r w:rsidRPr="00940909">
        <w:rPr>
          <w:rFonts w:ascii="Arial" w:hAnsi="Arial" w:cs="Arial"/>
          <w:sz w:val="20"/>
          <w:lang w:val="en-GB"/>
        </w:rPr>
        <w:t xml:space="preserve"> placed to take a more comprehensive Organizational performance management approach that encompasses business, operational and financial management principles</w:t>
      </w:r>
      <w:r>
        <w:rPr>
          <w:rFonts w:ascii="Arial" w:hAnsi="Arial" w:cs="Arial"/>
          <w:sz w:val="20"/>
          <w:lang w:val="en-GB"/>
        </w:rPr>
        <w:t>.</w:t>
      </w:r>
      <w:r w:rsidRPr="00940909">
        <w:rPr>
          <w:rFonts w:ascii="Arial" w:hAnsi="Arial" w:cs="Arial"/>
          <w:sz w:val="20"/>
          <w:lang w:val="en-GB"/>
        </w:rPr>
        <w:t xml:space="preserve"> </w:t>
      </w:r>
    </w:p>
    <w:p w14:paraId="608E03BF" w14:textId="77777777" w:rsidR="00DF5D9A" w:rsidRPr="00F62675" w:rsidRDefault="00DF5D9A" w:rsidP="00E641D8">
      <w:pPr>
        <w:rPr>
          <w:rFonts w:ascii="Arial" w:hAnsi="Arial"/>
          <w:sz w:val="20"/>
          <w:lang w:val="en-GB"/>
        </w:rPr>
      </w:pPr>
    </w:p>
    <w:p w14:paraId="433298C5" w14:textId="77777777" w:rsidR="00DF5D9A" w:rsidRPr="00A522FE" w:rsidRDefault="00DF5D9A" w:rsidP="00E641D8">
      <w:pPr>
        <w:rPr>
          <w:rFonts w:ascii="Arial" w:hAnsi="Arial"/>
          <w:sz w:val="20"/>
        </w:rPr>
      </w:pPr>
    </w:p>
    <w:p w14:paraId="071B8401" w14:textId="77777777" w:rsidR="00DF5D9A" w:rsidRPr="00F62675" w:rsidRDefault="00DF5D9A" w:rsidP="00E641D8">
      <w:pPr>
        <w:tabs>
          <w:tab w:val="left" w:pos="567"/>
          <w:tab w:val="left" w:pos="1985"/>
        </w:tabs>
        <w:jc w:val="both"/>
        <w:rPr>
          <w:rFonts w:ascii="Arial" w:hAnsi="Arial" w:cs="Arial"/>
          <w:bCs/>
        </w:rPr>
      </w:pPr>
      <w:r w:rsidRPr="00F62675">
        <w:rPr>
          <w:rFonts w:ascii="Arial" w:hAnsi="Arial" w:cs="Arial"/>
          <w:bCs/>
        </w:rPr>
        <w:t>IMPLEMENTATION STRATEGIES</w:t>
      </w:r>
    </w:p>
    <w:p w14:paraId="45A3C3F3" w14:textId="77777777" w:rsidR="00DF5D9A" w:rsidRDefault="00DF5D9A" w:rsidP="00E641D8">
      <w:pPr>
        <w:tabs>
          <w:tab w:val="left" w:pos="567"/>
          <w:tab w:val="left" w:pos="1985"/>
        </w:tabs>
        <w:jc w:val="both"/>
        <w:rPr>
          <w:rFonts w:ascii="Arial" w:hAnsi="Arial" w:cs="Arial"/>
          <w:bCs/>
          <w:sz w:val="20"/>
        </w:rPr>
      </w:pPr>
    </w:p>
    <w:p w14:paraId="36A113D9" w14:textId="77777777" w:rsidR="00DF5D9A" w:rsidRPr="002C5E96" w:rsidRDefault="00DF5D9A" w:rsidP="00B66A4A">
      <w:pPr>
        <w:numPr>
          <w:ilvl w:val="0"/>
          <w:numId w:val="25"/>
        </w:numPr>
        <w:jc w:val="both"/>
        <w:rPr>
          <w:rFonts w:ascii="Arial" w:hAnsi="Arial" w:cs="Arial"/>
          <w:sz w:val="20"/>
        </w:rPr>
      </w:pPr>
      <w:r w:rsidRPr="002C5E96">
        <w:rPr>
          <w:rFonts w:ascii="Arial" w:hAnsi="Arial" w:cs="Arial"/>
          <w:sz w:val="20"/>
          <w:lang w:val="en-GB"/>
        </w:rPr>
        <w:t xml:space="preserve">One of the main areas of focus during the </w:t>
      </w:r>
      <w:r>
        <w:rPr>
          <w:rFonts w:ascii="Arial" w:hAnsi="Arial" w:cs="Arial"/>
          <w:sz w:val="20"/>
          <w:lang w:val="en-GB"/>
        </w:rPr>
        <w:t>2016/17</w:t>
      </w:r>
      <w:r w:rsidRPr="002C5E96">
        <w:rPr>
          <w:rFonts w:ascii="Arial" w:hAnsi="Arial" w:cs="Arial"/>
          <w:sz w:val="20"/>
          <w:lang w:val="en-GB"/>
        </w:rPr>
        <w:t xml:space="preserve"> biennium will be to ensure that </w:t>
      </w:r>
      <w:r>
        <w:rPr>
          <w:rFonts w:ascii="Arial" w:hAnsi="Arial" w:cs="Arial"/>
          <w:sz w:val="20"/>
          <w:lang w:val="en-GB"/>
        </w:rPr>
        <w:t>the full suite of processes from planning through to monitoring, assessment and reporting are of consistent quality</w:t>
      </w:r>
      <w:r w:rsidRPr="002C5E96">
        <w:rPr>
          <w:rFonts w:ascii="Arial" w:hAnsi="Arial" w:cs="Arial"/>
          <w:sz w:val="20"/>
          <w:lang w:val="en-GB"/>
        </w:rPr>
        <w:t xml:space="preserve">  </w:t>
      </w:r>
      <w:r>
        <w:rPr>
          <w:rFonts w:ascii="Arial" w:hAnsi="Arial" w:cs="Arial"/>
          <w:sz w:val="20"/>
          <w:lang w:val="en-GB"/>
        </w:rPr>
        <w:t xml:space="preserve">across the Organization, thus enabling this </w:t>
      </w:r>
      <w:r w:rsidRPr="002C5E96">
        <w:rPr>
          <w:rFonts w:ascii="Arial" w:hAnsi="Arial" w:cs="Arial"/>
          <w:sz w:val="20"/>
          <w:lang w:val="en-GB"/>
        </w:rPr>
        <w:t xml:space="preserve">Program to </w:t>
      </w:r>
      <w:r>
        <w:rPr>
          <w:rFonts w:ascii="Arial" w:hAnsi="Arial" w:cs="Arial"/>
          <w:sz w:val="20"/>
          <w:lang w:val="en-GB"/>
        </w:rPr>
        <w:t>better support the Director General and engage with</w:t>
      </w:r>
      <w:r w:rsidRPr="002C5E96">
        <w:rPr>
          <w:rFonts w:ascii="Arial" w:hAnsi="Arial" w:cs="Arial"/>
          <w:sz w:val="20"/>
          <w:lang w:val="en-GB"/>
        </w:rPr>
        <w:t xml:space="preserve"> Program Managers to </w:t>
      </w:r>
      <w:r>
        <w:rPr>
          <w:rFonts w:ascii="Arial" w:hAnsi="Arial" w:cs="Arial"/>
          <w:sz w:val="20"/>
          <w:lang w:val="en-GB"/>
        </w:rPr>
        <w:t>further enhance program delivery</w:t>
      </w:r>
      <w:r w:rsidRPr="002C5E96">
        <w:rPr>
          <w:rFonts w:ascii="Arial" w:hAnsi="Arial" w:cs="Arial"/>
          <w:sz w:val="20"/>
          <w:lang w:val="en-GB"/>
        </w:rPr>
        <w:t xml:space="preserve">.  </w:t>
      </w:r>
      <w:r>
        <w:rPr>
          <w:rFonts w:ascii="Arial" w:hAnsi="Arial" w:cs="Arial"/>
          <w:sz w:val="20"/>
          <w:lang w:val="en-GB"/>
        </w:rPr>
        <w:t xml:space="preserve">Program delivery will be further enabled through newly deployed business intelligence capabilities that will work on integrated data from our ERP systems which now integrate financial, procurement, program performance, budget, human resources and risk related data. </w:t>
      </w:r>
      <w:r w:rsidRPr="00EC1F49">
        <w:rPr>
          <w:rFonts w:ascii="Arial" w:hAnsi="Arial" w:cs="Arial"/>
          <w:sz w:val="20"/>
        </w:rPr>
        <w:t xml:space="preserve"> </w:t>
      </w:r>
      <w:r w:rsidRPr="002C5E96">
        <w:rPr>
          <w:rFonts w:ascii="Arial" w:hAnsi="Arial" w:cs="Arial"/>
          <w:sz w:val="20"/>
        </w:rPr>
        <w:t>The Program will</w:t>
      </w:r>
      <w:r>
        <w:rPr>
          <w:rFonts w:ascii="Arial" w:hAnsi="Arial" w:cs="Arial"/>
          <w:sz w:val="20"/>
        </w:rPr>
        <w:t xml:space="preserve"> continue</w:t>
      </w:r>
      <w:r w:rsidRPr="002C5E96">
        <w:rPr>
          <w:rFonts w:ascii="Arial" w:hAnsi="Arial" w:cs="Arial"/>
          <w:sz w:val="20"/>
        </w:rPr>
        <w:t>,</w:t>
      </w:r>
      <w:r>
        <w:rPr>
          <w:rFonts w:ascii="Arial" w:hAnsi="Arial" w:cs="Arial"/>
          <w:sz w:val="20"/>
        </w:rPr>
        <w:t xml:space="preserve"> in the next biennium, to</w:t>
      </w:r>
      <w:r w:rsidRPr="002C5E96">
        <w:rPr>
          <w:rFonts w:ascii="Arial" w:hAnsi="Arial" w:cs="Arial"/>
          <w:sz w:val="20"/>
        </w:rPr>
        <w:t xml:space="preserve"> actively support Program </w:t>
      </w:r>
      <w:r>
        <w:rPr>
          <w:rFonts w:ascii="Arial" w:hAnsi="Arial" w:cs="Arial"/>
          <w:sz w:val="20"/>
        </w:rPr>
        <w:t>M</w:t>
      </w:r>
      <w:r w:rsidRPr="002C5E96">
        <w:rPr>
          <w:rFonts w:ascii="Arial" w:hAnsi="Arial" w:cs="Arial"/>
          <w:sz w:val="20"/>
        </w:rPr>
        <w:t>anagers in analyzing their business operations and delivery models to identify opportunities to continuously improve performance and cost-effectiveness.</w:t>
      </w:r>
      <w:r>
        <w:rPr>
          <w:rFonts w:ascii="Arial" w:hAnsi="Arial" w:cs="Arial"/>
          <w:sz w:val="20"/>
        </w:rPr>
        <w:t xml:space="preserve">  This will include strengthened financial management of projects. </w:t>
      </w:r>
      <w:r>
        <w:rPr>
          <w:rFonts w:ascii="Arial" w:hAnsi="Arial" w:cs="Arial"/>
          <w:sz w:val="20"/>
          <w:lang w:val="en-GB"/>
        </w:rPr>
        <w:t>These initiatives will result in a further strengthening of the Organization’s RBM maturity.</w:t>
      </w:r>
    </w:p>
    <w:p w14:paraId="5C834C1D" w14:textId="77777777" w:rsidR="00DF5D9A" w:rsidRPr="002C5E96" w:rsidRDefault="00DF5D9A" w:rsidP="00E641D8">
      <w:pPr>
        <w:ind w:left="6"/>
        <w:jc w:val="both"/>
        <w:rPr>
          <w:rFonts w:ascii="Arial" w:hAnsi="Arial" w:cs="Arial"/>
          <w:sz w:val="20"/>
        </w:rPr>
      </w:pPr>
    </w:p>
    <w:p w14:paraId="340BDE09" w14:textId="4596CF35" w:rsidR="00DF5D9A" w:rsidRPr="002C5E96" w:rsidRDefault="00DF5D9A" w:rsidP="00B66A4A">
      <w:pPr>
        <w:numPr>
          <w:ilvl w:val="0"/>
          <w:numId w:val="25"/>
        </w:numPr>
        <w:jc w:val="both"/>
        <w:rPr>
          <w:rFonts w:ascii="Arial" w:hAnsi="Arial" w:cs="Arial"/>
          <w:sz w:val="20"/>
          <w:lang w:val="en-GB"/>
        </w:rPr>
      </w:pPr>
      <w:r>
        <w:rPr>
          <w:rFonts w:ascii="Arial" w:hAnsi="Arial" w:cs="Arial"/>
          <w:sz w:val="20"/>
        </w:rPr>
        <w:t>The Program’s</w:t>
      </w:r>
      <w:r w:rsidRPr="002C5E96">
        <w:rPr>
          <w:rFonts w:ascii="Arial" w:hAnsi="Arial" w:cs="Arial"/>
          <w:sz w:val="20"/>
        </w:rPr>
        <w:t xml:space="preserve"> priorities will include </w:t>
      </w:r>
      <w:r>
        <w:rPr>
          <w:rFonts w:ascii="Arial" w:hAnsi="Arial" w:cs="Arial"/>
          <w:sz w:val="20"/>
        </w:rPr>
        <w:t>further</w:t>
      </w:r>
      <w:r w:rsidRPr="002C5E96">
        <w:rPr>
          <w:rFonts w:ascii="Arial" w:hAnsi="Arial" w:cs="Arial"/>
          <w:sz w:val="20"/>
        </w:rPr>
        <w:t xml:space="preserve"> improvement of both the processes which forecast and manage WIPO’s income as well as those which track expenditure</w:t>
      </w:r>
      <w:r>
        <w:rPr>
          <w:rFonts w:ascii="Arial" w:hAnsi="Arial" w:cs="Arial"/>
          <w:sz w:val="20"/>
        </w:rPr>
        <w:t>.</w:t>
      </w:r>
      <w:r w:rsidRPr="002C5E96">
        <w:rPr>
          <w:rFonts w:ascii="Arial" w:hAnsi="Arial" w:cs="Arial"/>
          <w:sz w:val="20"/>
        </w:rPr>
        <w:t xml:space="preserve"> </w:t>
      </w:r>
      <w:r>
        <w:rPr>
          <w:rFonts w:ascii="Arial" w:hAnsi="Arial" w:cs="Arial"/>
          <w:sz w:val="20"/>
        </w:rPr>
        <w:t xml:space="preserve"> This will imply collaborating further with the revenue generating Programs to develop further insights into payment patterns in respect of PCT fees received from Receiving Offices and to improve processes and customer-service levels in respect of Madrid fees.</w:t>
      </w:r>
      <w:r w:rsidRPr="002C5E96">
        <w:rPr>
          <w:rFonts w:ascii="Arial" w:hAnsi="Arial" w:cs="Arial"/>
          <w:sz w:val="20"/>
        </w:rPr>
        <w:t xml:space="preserve"> </w:t>
      </w:r>
      <w:r>
        <w:rPr>
          <w:rFonts w:ascii="Arial" w:hAnsi="Arial" w:cs="Arial"/>
          <w:sz w:val="20"/>
        </w:rPr>
        <w:t xml:space="preserve"> The </w:t>
      </w:r>
      <w:r w:rsidR="00511015">
        <w:rPr>
          <w:rFonts w:ascii="Arial" w:hAnsi="Arial" w:cs="Arial"/>
          <w:sz w:val="20"/>
        </w:rPr>
        <w:t>P</w:t>
      </w:r>
      <w:r>
        <w:rPr>
          <w:rFonts w:ascii="Arial" w:hAnsi="Arial" w:cs="Arial"/>
          <w:sz w:val="20"/>
        </w:rPr>
        <w:t xml:space="preserve">rogram will also, in collaboration with Program 5, follow up on the Member State decisions in respect of hedging against exchange rate losses </w:t>
      </w:r>
      <w:r w:rsidR="00511015">
        <w:rPr>
          <w:rFonts w:ascii="Arial" w:hAnsi="Arial" w:cs="Arial"/>
          <w:sz w:val="20"/>
        </w:rPr>
        <w:t>associated with</w:t>
      </w:r>
      <w:r>
        <w:rPr>
          <w:rFonts w:ascii="Arial" w:hAnsi="Arial" w:cs="Arial"/>
          <w:sz w:val="20"/>
        </w:rPr>
        <w:t xml:space="preserve"> PCT fees. </w:t>
      </w:r>
      <w:r w:rsidRPr="002C5E96">
        <w:rPr>
          <w:rFonts w:ascii="Arial" w:hAnsi="Arial" w:cs="Arial"/>
          <w:sz w:val="20"/>
        </w:rPr>
        <w:t>Th</w:t>
      </w:r>
      <w:r>
        <w:rPr>
          <w:rFonts w:ascii="Arial" w:hAnsi="Arial" w:cs="Arial"/>
          <w:sz w:val="20"/>
        </w:rPr>
        <w:t>ese</w:t>
      </w:r>
      <w:r w:rsidRPr="002C5E96">
        <w:rPr>
          <w:rFonts w:ascii="Arial" w:hAnsi="Arial" w:cs="Arial"/>
          <w:sz w:val="20"/>
        </w:rPr>
        <w:t xml:space="preserve"> </w:t>
      </w:r>
      <w:r>
        <w:rPr>
          <w:rFonts w:ascii="Arial" w:hAnsi="Arial" w:cs="Arial"/>
          <w:sz w:val="20"/>
        </w:rPr>
        <w:t>initiatives are</w:t>
      </w:r>
      <w:r w:rsidRPr="002C5E96">
        <w:rPr>
          <w:rFonts w:ascii="Arial" w:hAnsi="Arial" w:cs="Arial"/>
          <w:sz w:val="20"/>
        </w:rPr>
        <w:t xml:space="preserve"> expected to further strengthen </w:t>
      </w:r>
      <w:r>
        <w:rPr>
          <w:rFonts w:ascii="Arial" w:hAnsi="Arial" w:cs="Arial"/>
          <w:sz w:val="20"/>
        </w:rPr>
        <w:t xml:space="preserve">financial risk management. </w:t>
      </w:r>
      <w:r w:rsidRPr="002C5E96">
        <w:rPr>
          <w:rFonts w:ascii="Arial" w:hAnsi="Arial" w:cs="Arial"/>
          <w:sz w:val="20"/>
        </w:rPr>
        <w:t xml:space="preserve"> </w:t>
      </w:r>
      <w:r>
        <w:rPr>
          <w:rFonts w:ascii="Arial" w:hAnsi="Arial" w:cs="Arial"/>
          <w:sz w:val="20"/>
          <w:lang w:val="en-GB"/>
        </w:rPr>
        <w:t>The next biennium will be characterized by several changes in the banking and investment domain on account of the current advantageous banking facility provided to WIPO by the Swiss Federal Department of Finance coming to an end in December 2015 and the introduction of negative interest rates on Swiss franc deposits.  This Program will therefore need to ensure a more active and yet prudent investment planning and</w:t>
      </w:r>
      <w:r w:rsidRPr="002C5E96">
        <w:rPr>
          <w:rFonts w:ascii="Arial" w:hAnsi="Arial" w:cs="Arial"/>
          <w:sz w:val="20"/>
          <w:lang w:val="en-GB"/>
        </w:rPr>
        <w:t xml:space="preserve"> management approach </w:t>
      </w:r>
      <w:r>
        <w:rPr>
          <w:rFonts w:ascii="Arial" w:hAnsi="Arial" w:cs="Arial"/>
          <w:sz w:val="20"/>
          <w:lang w:val="en-GB"/>
        </w:rPr>
        <w:t>guided by a revised investment policy approved by Member States.  The Program will furthermore ensure, in collaboration with Program 23 (Human Resources Management and Development), a very tight monitoring of personnel costs to ensure that these are contained in accordance with the plan.</w:t>
      </w:r>
    </w:p>
    <w:p w14:paraId="4651CF85" w14:textId="77777777" w:rsidR="00DF5D9A" w:rsidRDefault="00DF5D9A">
      <w:pPr>
        <w:tabs>
          <w:tab w:val="left" w:pos="567"/>
          <w:tab w:val="left" w:pos="1985"/>
        </w:tabs>
        <w:jc w:val="both"/>
        <w:rPr>
          <w:rFonts w:ascii="Arial" w:hAnsi="Arial" w:cs="Arial"/>
          <w:bCs/>
          <w:sz w:val="20"/>
          <w:lang w:val="en-GB"/>
        </w:rPr>
      </w:pPr>
    </w:p>
    <w:p w14:paraId="4B92E966" w14:textId="77777777" w:rsidR="00DF5D9A" w:rsidRDefault="00DF5D9A" w:rsidP="00B66A4A">
      <w:pPr>
        <w:numPr>
          <w:ilvl w:val="0"/>
          <w:numId w:val="25"/>
        </w:numPr>
        <w:jc w:val="both"/>
        <w:rPr>
          <w:rFonts w:ascii="Arial" w:hAnsi="Arial" w:cs="Arial"/>
          <w:sz w:val="20"/>
        </w:rPr>
      </w:pPr>
      <w:r>
        <w:rPr>
          <w:rFonts w:ascii="Arial" w:hAnsi="Arial" w:cs="Arial"/>
          <w:sz w:val="20"/>
        </w:rPr>
        <w:t xml:space="preserve">The Program will continue to absorb into operations the deployment of the new modules and capabilities of the ERP system resulting in the need to support and sustain a complex and fully integrated ERP system in a cost-effective and service–orientated manner.  Outsourcing of support, maintenance and technical development under a robust management and quality assurance framework will remain a key strategy.  </w:t>
      </w:r>
      <w:r w:rsidRPr="002C5E96">
        <w:rPr>
          <w:rFonts w:ascii="Arial" w:hAnsi="Arial" w:cs="Arial"/>
          <w:sz w:val="20"/>
        </w:rPr>
        <w:t xml:space="preserve">The implementation of the ERP and enhanced reporting capabilities present a major opportunity to </w:t>
      </w:r>
      <w:r>
        <w:rPr>
          <w:rFonts w:ascii="Arial" w:hAnsi="Arial" w:cs="Arial"/>
          <w:sz w:val="20"/>
        </w:rPr>
        <w:t xml:space="preserve">systematize the </w:t>
      </w:r>
      <w:r w:rsidRPr="002C5E96">
        <w:rPr>
          <w:rFonts w:ascii="Arial" w:hAnsi="Arial" w:cs="Arial"/>
          <w:sz w:val="20"/>
        </w:rPr>
        <w:t>use</w:t>
      </w:r>
      <w:r>
        <w:rPr>
          <w:rFonts w:ascii="Arial" w:hAnsi="Arial" w:cs="Arial"/>
          <w:sz w:val="20"/>
        </w:rPr>
        <w:t xml:space="preserve"> of</w:t>
      </w:r>
      <w:r w:rsidRPr="002C5E96">
        <w:rPr>
          <w:rFonts w:ascii="Arial" w:hAnsi="Arial" w:cs="Arial"/>
          <w:sz w:val="20"/>
        </w:rPr>
        <w:t xml:space="preserve"> analytics and business intelligence to inform Program and resource management decisions.</w:t>
      </w:r>
      <w:r>
        <w:rPr>
          <w:rFonts w:ascii="Arial" w:hAnsi="Arial" w:cs="Arial"/>
          <w:sz w:val="20"/>
        </w:rPr>
        <w:t xml:space="preserve"> </w:t>
      </w:r>
      <w:r w:rsidRPr="002C5E96">
        <w:rPr>
          <w:rFonts w:ascii="Arial" w:hAnsi="Arial" w:cs="Arial"/>
          <w:sz w:val="20"/>
        </w:rPr>
        <w:t xml:space="preserve"> Enhanced reporting will also enable the Program to assess and further strengthen controls where necessary</w:t>
      </w:r>
      <w:r>
        <w:rPr>
          <w:rFonts w:ascii="Arial" w:hAnsi="Arial" w:cs="Arial"/>
          <w:sz w:val="20"/>
        </w:rPr>
        <w:t>.  The effective completion of the ERP Portfolio of projects, transition of the systems deployed to operational status and an increased focus on benefits tracking and assessment will ensure that the value delivered by the Portfolio of projects is sustained.</w:t>
      </w:r>
    </w:p>
    <w:p w14:paraId="5E10BDDA" w14:textId="77777777" w:rsidR="00DF5D9A" w:rsidRDefault="00DF5D9A">
      <w:pPr>
        <w:pStyle w:val="ListParagraph"/>
        <w:rPr>
          <w:rFonts w:ascii="Arial" w:hAnsi="Arial" w:cs="Arial"/>
          <w:sz w:val="20"/>
        </w:rPr>
      </w:pPr>
    </w:p>
    <w:p w14:paraId="43503F31" w14:textId="77777777" w:rsidR="00DF5D9A" w:rsidRPr="00BA5135" w:rsidRDefault="00DF5D9A" w:rsidP="00B66A4A">
      <w:pPr>
        <w:numPr>
          <w:ilvl w:val="0"/>
          <w:numId w:val="25"/>
        </w:numPr>
        <w:jc w:val="both"/>
        <w:rPr>
          <w:rFonts w:ascii="Arial" w:hAnsi="Arial" w:cs="Arial"/>
          <w:sz w:val="20"/>
        </w:rPr>
      </w:pPr>
      <w:r w:rsidRPr="00BA5135">
        <w:rPr>
          <w:rFonts w:ascii="Arial" w:hAnsi="Arial" w:cs="Arial"/>
          <w:sz w:val="20"/>
        </w:rPr>
        <w:t xml:space="preserve">The current biennium has seen a significant increase in maturity of our risk management process and culture. </w:t>
      </w:r>
      <w:r>
        <w:rPr>
          <w:rFonts w:ascii="Arial" w:hAnsi="Arial" w:cs="Arial"/>
          <w:sz w:val="20"/>
        </w:rPr>
        <w:t xml:space="preserve"> </w:t>
      </w:r>
      <w:r w:rsidRPr="00BA5135">
        <w:rPr>
          <w:rFonts w:ascii="Arial" w:hAnsi="Arial" w:cs="Arial"/>
          <w:sz w:val="20"/>
        </w:rPr>
        <w:t xml:space="preserve">Building on this, the </w:t>
      </w:r>
      <w:r>
        <w:rPr>
          <w:rFonts w:ascii="Arial" w:hAnsi="Arial" w:cs="Arial"/>
          <w:sz w:val="20"/>
        </w:rPr>
        <w:t>P</w:t>
      </w:r>
      <w:r w:rsidRPr="00BA5135">
        <w:rPr>
          <w:rFonts w:ascii="Arial" w:hAnsi="Arial" w:cs="Arial"/>
          <w:sz w:val="20"/>
        </w:rPr>
        <w:t xml:space="preserve">rogram will continue to facilitate the work of the Risk Management Group through the review and monitoring of critical and </w:t>
      </w:r>
      <w:r>
        <w:rPr>
          <w:rFonts w:ascii="Arial" w:hAnsi="Arial" w:cs="Arial"/>
          <w:sz w:val="20"/>
        </w:rPr>
        <w:t>o</w:t>
      </w:r>
      <w:r w:rsidRPr="00BA5135">
        <w:rPr>
          <w:rFonts w:ascii="Arial" w:hAnsi="Arial" w:cs="Arial"/>
          <w:sz w:val="20"/>
        </w:rPr>
        <w:t>rganization</w:t>
      </w:r>
      <w:r>
        <w:rPr>
          <w:rFonts w:ascii="Arial" w:hAnsi="Arial" w:cs="Arial"/>
          <w:sz w:val="20"/>
        </w:rPr>
        <w:t>al</w:t>
      </w:r>
      <w:r w:rsidRPr="00BA5135">
        <w:rPr>
          <w:rFonts w:ascii="Arial" w:hAnsi="Arial" w:cs="Arial"/>
          <w:sz w:val="20"/>
        </w:rPr>
        <w:t xml:space="preserve"> risks as well as </w:t>
      </w:r>
      <w:r w:rsidRPr="00BA5135">
        <w:rPr>
          <w:rFonts w:ascii="Arial" w:hAnsi="Arial" w:cs="Arial"/>
          <w:sz w:val="20"/>
        </w:rPr>
        <w:lastRenderedPageBreak/>
        <w:t xml:space="preserve">systematic reporting on risk and support </w:t>
      </w:r>
      <w:r>
        <w:rPr>
          <w:rFonts w:ascii="Arial" w:hAnsi="Arial" w:cs="Arial"/>
          <w:sz w:val="20"/>
        </w:rPr>
        <w:t xml:space="preserve">of </w:t>
      </w:r>
      <w:r w:rsidRPr="00BA5135">
        <w:rPr>
          <w:rFonts w:ascii="Arial" w:hAnsi="Arial" w:cs="Arial"/>
          <w:sz w:val="20"/>
        </w:rPr>
        <w:t xml:space="preserve">the risk management process across the Organization. </w:t>
      </w:r>
      <w:r>
        <w:rPr>
          <w:rFonts w:ascii="Arial" w:hAnsi="Arial" w:cs="Arial"/>
          <w:sz w:val="20"/>
        </w:rPr>
        <w:t xml:space="preserve"> </w:t>
      </w:r>
      <w:r w:rsidRPr="00BA5135">
        <w:rPr>
          <w:rFonts w:ascii="Arial" w:hAnsi="Arial" w:cs="Arial"/>
          <w:sz w:val="20"/>
        </w:rPr>
        <w:t xml:space="preserve">The Program’s focus on visibly increasing the maturity of the Organization’s internal control system will be high.  In this context, efforts will continue to ensure that key process controls are documented, that greater and wider awareness of the control environment and key controls is achieved, that the control system is better supported by information and analytics from the ERP systems and that the effectiveness of key controls are then assessed on an on-going basis. </w:t>
      </w:r>
      <w:r>
        <w:rPr>
          <w:rFonts w:ascii="Arial" w:hAnsi="Arial" w:cs="Arial"/>
          <w:sz w:val="20"/>
        </w:rPr>
        <w:t xml:space="preserve"> </w:t>
      </w:r>
      <w:r w:rsidRPr="00BA5135">
        <w:rPr>
          <w:rFonts w:ascii="Arial" w:hAnsi="Arial" w:cs="Arial"/>
          <w:sz w:val="20"/>
        </w:rPr>
        <w:t xml:space="preserve">The </w:t>
      </w:r>
      <w:r>
        <w:rPr>
          <w:rFonts w:ascii="Arial" w:hAnsi="Arial" w:cs="Arial"/>
          <w:sz w:val="20"/>
        </w:rPr>
        <w:t>P</w:t>
      </w:r>
      <w:r w:rsidRPr="00BA5135">
        <w:rPr>
          <w:rFonts w:ascii="Arial" w:hAnsi="Arial" w:cs="Arial"/>
          <w:sz w:val="20"/>
        </w:rPr>
        <w:t>rogram will accord high priority to the continuous dialog established with the Audit and Oversight bodies and a systematic follow-up on all outstanding recommendations</w:t>
      </w:r>
      <w:r>
        <w:rPr>
          <w:rFonts w:ascii="Arial" w:hAnsi="Arial" w:cs="Arial"/>
          <w:sz w:val="20"/>
        </w:rPr>
        <w:t>.</w:t>
      </w:r>
    </w:p>
    <w:p w14:paraId="78952353" w14:textId="77777777" w:rsidR="00DF5D9A" w:rsidRDefault="00DF5D9A">
      <w:pPr>
        <w:ind w:left="6"/>
        <w:jc w:val="both"/>
        <w:rPr>
          <w:rFonts w:ascii="Arial" w:hAnsi="Arial" w:cs="Arial"/>
          <w:sz w:val="20"/>
        </w:rPr>
      </w:pPr>
    </w:p>
    <w:p w14:paraId="0C790FE8" w14:textId="77777777" w:rsidR="00DF5D9A" w:rsidRPr="002C5E96" w:rsidRDefault="00DF5D9A">
      <w:pPr>
        <w:ind w:left="6"/>
        <w:jc w:val="both"/>
        <w:rPr>
          <w:rFonts w:ascii="Arial" w:hAnsi="Arial" w:cs="Arial"/>
          <w:sz w:val="20"/>
        </w:rPr>
      </w:pPr>
    </w:p>
    <w:p w14:paraId="1B63E836" w14:textId="77777777" w:rsidR="00DF5D9A" w:rsidRPr="00B508E4" w:rsidRDefault="00DF5D9A">
      <w:pPr>
        <w:jc w:val="both"/>
        <w:rPr>
          <w:rFonts w:ascii="Arial" w:hAnsi="Arial" w:cs="Arial"/>
          <w:sz w:val="28"/>
          <w:szCs w:val="28"/>
        </w:rPr>
      </w:pPr>
      <w:r w:rsidRPr="00B508E4">
        <w:rPr>
          <w:rFonts w:ascii="Arial" w:hAnsi="Arial" w:cs="Arial"/>
          <w:iCs/>
        </w:rPr>
        <w:t>MAJOR RISKS AND MITIGATION STRATEGIES</w:t>
      </w:r>
      <w:r w:rsidRPr="00B508E4">
        <w:rPr>
          <w:rFonts w:ascii="Arial" w:hAnsi="Arial" w:cs="Arial"/>
        </w:rPr>
        <w:t xml:space="preserve"> </w:t>
      </w:r>
    </w:p>
    <w:p w14:paraId="62D02A8B" w14:textId="77777777" w:rsidR="00DF5D9A" w:rsidRDefault="00DF5D9A">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F5D9A" w14:paraId="383E6A89" w14:textId="77777777" w:rsidTr="00FB68E0">
        <w:trPr>
          <w:trHeight w:val="493"/>
        </w:trPr>
        <w:tc>
          <w:tcPr>
            <w:tcW w:w="4111" w:type="dxa"/>
            <w:tcBorders>
              <w:top w:val="single" w:sz="4" w:space="0" w:color="auto"/>
              <w:bottom w:val="single" w:sz="4" w:space="0" w:color="auto"/>
            </w:tcBorders>
            <w:shd w:val="clear" w:color="auto" w:fill="C6D9F1" w:themeFill="text2" w:themeFillTint="33"/>
            <w:vAlign w:val="center"/>
          </w:tcPr>
          <w:p w14:paraId="66FD08E9" w14:textId="77777777" w:rsidR="00DF5D9A" w:rsidRPr="003C527B" w:rsidRDefault="00DF5D9A">
            <w:pPr>
              <w:jc w:val="center"/>
              <w:rPr>
                <w:rFonts w:ascii="Arial" w:hAnsi="Arial" w:cs="Arial"/>
                <w:b/>
                <w:bCs/>
                <w:sz w:val="18"/>
                <w:szCs w:val="18"/>
              </w:rPr>
            </w:pPr>
            <w:r>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144BBA80" w14:textId="77777777" w:rsidR="00DF5D9A" w:rsidRPr="003C527B" w:rsidRDefault="00DF5D9A">
            <w:pPr>
              <w:jc w:val="center"/>
              <w:rPr>
                <w:rFonts w:ascii="Arial" w:hAnsi="Arial" w:cs="Arial"/>
                <w:b/>
                <w:bCs/>
                <w:sz w:val="18"/>
                <w:szCs w:val="18"/>
              </w:rPr>
            </w:pPr>
            <w:r>
              <w:rPr>
                <w:rFonts w:ascii="Arial" w:hAnsi="Arial" w:cs="Arial"/>
                <w:b/>
                <w:bCs/>
                <w:sz w:val="18"/>
                <w:szCs w:val="18"/>
              </w:rPr>
              <w:t>Mitigation</w:t>
            </w:r>
          </w:p>
        </w:tc>
      </w:tr>
      <w:tr w:rsidR="00DF5D9A" w14:paraId="77EFFD3C" w14:textId="77777777" w:rsidTr="00FB68E0">
        <w:trPr>
          <w:trHeight w:val="1101"/>
        </w:trPr>
        <w:tc>
          <w:tcPr>
            <w:tcW w:w="4111" w:type="dxa"/>
            <w:tcBorders>
              <w:top w:val="single" w:sz="4" w:space="0" w:color="auto"/>
            </w:tcBorders>
            <w:shd w:val="clear" w:color="auto" w:fill="auto"/>
            <w:tcMar>
              <w:top w:w="113" w:type="dxa"/>
              <w:bottom w:w="113" w:type="dxa"/>
            </w:tcMar>
          </w:tcPr>
          <w:p w14:paraId="4D89DFC9" w14:textId="77777777" w:rsidR="00DF5D9A" w:rsidRPr="00A37478" w:rsidRDefault="00DF5D9A">
            <w:pPr>
              <w:rPr>
                <w:sz w:val="16"/>
                <w:szCs w:val="16"/>
              </w:rPr>
            </w:pPr>
            <w:r w:rsidRPr="00A37478">
              <w:rPr>
                <w:rFonts w:ascii="Arial" w:hAnsi="Arial" w:cs="Arial"/>
                <w:color w:val="000000"/>
                <w:sz w:val="16"/>
                <w:szCs w:val="16"/>
              </w:rPr>
              <w:t xml:space="preserve">Income levels </w:t>
            </w:r>
            <w:r>
              <w:rPr>
                <w:rFonts w:ascii="Arial" w:hAnsi="Arial" w:cs="Arial"/>
                <w:color w:val="000000"/>
                <w:sz w:val="16"/>
                <w:szCs w:val="16"/>
              </w:rPr>
              <w:t>decrease</w:t>
            </w:r>
            <w:r w:rsidRPr="00A37478">
              <w:rPr>
                <w:rFonts w:ascii="Arial" w:hAnsi="Arial" w:cs="Arial"/>
                <w:color w:val="000000"/>
                <w:sz w:val="16"/>
                <w:szCs w:val="16"/>
              </w:rPr>
              <w:t xml:space="preserve"> significantly below planned.  This combined with an inability to react promptly in order to reduce expenditure to an appropriate level would potentially create a deficit and have detrimental impact on Program delivery.</w:t>
            </w:r>
          </w:p>
        </w:tc>
        <w:tc>
          <w:tcPr>
            <w:tcW w:w="5103" w:type="dxa"/>
            <w:tcBorders>
              <w:top w:val="single" w:sz="4" w:space="0" w:color="auto"/>
            </w:tcBorders>
            <w:shd w:val="clear" w:color="auto" w:fill="auto"/>
            <w:tcMar>
              <w:top w:w="113" w:type="dxa"/>
              <w:bottom w:w="113" w:type="dxa"/>
            </w:tcMar>
          </w:tcPr>
          <w:p w14:paraId="3D5B0FF1" w14:textId="77777777" w:rsidR="00DF5D9A" w:rsidRPr="00A37478" w:rsidRDefault="00DF5D9A">
            <w:pPr>
              <w:rPr>
                <w:rFonts w:ascii="Arial" w:hAnsi="Arial" w:cs="Arial"/>
                <w:color w:val="000000"/>
                <w:sz w:val="16"/>
                <w:szCs w:val="16"/>
              </w:rPr>
            </w:pPr>
            <w:r w:rsidRPr="00A37478">
              <w:rPr>
                <w:rFonts w:ascii="Arial" w:hAnsi="Arial" w:cs="Arial"/>
                <w:color w:val="000000"/>
                <w:sz w:val="16"/>
                <w:szCs w:val="16"/>
              </w:rPr>
              <w:t>The Organization</w:t>
            </w:r>
            <w:r>
              <w:rPr>
                <w:rFonts w:ascii="Arial" w:hAnsi="Arial" w:cs="Arial"/>
                <w:color w:val="000000"/>
                <w:sz w:val="16"/>
                <w:szCs w:val="16"/>
              </w:rPr>
              <w:t xml:space="preserve"> currently</w:t>
            </w:r>
            <w:r w:rsidRPr="00A37478">
              <w:rPr>
                <w:rFonts w:ascii="Arial" w:hAnsi="Arial" w:cs="Arial"/>
                <w:color w:val="000000"/>
                <w:sz w:val="16"/>
                <w:szCs w:val="16"/>
              </w:rPr>
              <w:t xml:space="preserve"> maintains the amount of reserves at the appropriate level (around 18</w:t>
            </w:r>
            <w:r>
              <w:rPr>
                <w:rFonts w:ascii="Arial" w:hAnsi="Arial" w:cs="Arial"/>
                <w:color w:val="000000"/>
                <w:sz w:val="16"/>
                <w:szCs w:val="16"/>
              </w:rPr>
              <w:t xml:space="preserve"> per cent</w:t>
            </w:r>
            <w:r w:rsidRPr="00A37478">
              <w:rPr>
                <w:rFonts w:ascii="Arial" w:hAnsi="Arial" w:cs="Arial"/>
                <w:color w:val="000000"/>
                <w:sz w:val="16"/>
                <w:szCs w:val="16"/>
              </w:rPr>
              <w:t xml:space="preserve"> of the biennial budget) to be in a position to face a potential decrease in income.</w:t>
            </w:r>
            <w:r>
              <w:rPr>
                <w:rFonts w:ascii="Arial" w:hAnsi="Arial" w:cs="Arial"/>
                <w:color w:val="000000"/>
                <w:sz w:val="16"/>
                <w:szCs w:val="16"/>
              </w:rPr>
              <w:t xml:space="preserve"> An increase in the targeted reserves would further mitigate this risk.</w:t>
            </w:r>
          </w:p>
          <w:p w14:paraId="697F55EF" w14:textId="77777777" w:rsidR="00DF5D9A" w:rsidRPr="00A37478" w:rsidRDefault="00DF5D9A">
            <w:pPr>
              <w:rPr>
                <w:sz w:val="16"/>
                <w:szCs w:val="16"/>
              </w:rPr>
            </w:pPr>
          </w:p>
          <w:p w14:paraId="5510934E" w14:textId="77777777" w:rsidR="00DF5D9A" w:rsidRPr="00A37478" w:rsidRDefault="00DF5D9A">
            <w:pPr>
              <w:rPr>
                <w:sz w:val="16"/>
                <w:szCs w:val="16"/>
              </w:rPr>
            </w:pPr>
            <w:r w:rsidRPr="00A37478">
              <w:rPr>
                <w:rFonts w:ascii="Arial" w:hAnsi="Arial" w:cs="Arial"/>
                <w:color w:val="000000"/>
                <w:sz w:val="16"/>
                <w:szCs w:val="16"/>
              </w:rPr>
              <w:t>The Secretariat updates income forecasts on a quarterly basis and monitors both income and expenditures closely.</w:t>
            </w:r>
          </w:p>
        </w:tc>
      </w:tr>
      <w:tr w:rsidR="00DF5D9A" w14:paraId="196069FF" w14:textId="77777777" w:rsidTr="00FB68E0">
        <w:trPr>
          <w:trHeight w:val="1188"/>
        </w:trPr>
        <w:tc>
          <w:tcPr>
            <w:tcW w:w="4111" w:type="dxa"/>
            <w:shd w:val="clear" w:color="auto" w:fill="auto"/>
            <w:tcMar>
              <w:top w:w="113" w:type="dxa"/>
              <w:bottom w:w="113" w:type="dxa"/>
            </w:tcMar>
          </w:tcPr>
          <w:p w14:paraId="4CD2E833" w14:textId="77777777" w:rsidR="00DF5D9A" w:rsidRPr="00A37478" w:rsidRDefault="00DF5D9A">
            <w:pPr>
              <w:rPr>
                <w:rFonts w:ascii="Arial" w:hAnsi="Arial" w:cs="Arial"/>
                <w:color w:val="000000"/>
                <w:sz w:val="16"/>
                <w:szCs w:val="16"/>
              </w:rPr>
            </w:pPr>
            <w:r w:rsidRPr="00A37478">
              <w:rPr>
                <w:rFonts w:ascii="Arial" w:hAnsi="Arial" w:cs="Arial"/>
                <w:color w:val="000000"/>
                <w:sz w:val="16"/>
                <w:szCs w:val="16"/>
              </w:rPr>
              <w:t>In the context of a risk averse Organization and a change in the Swiss National Bank’s policy regarding the managing of accounts for international organizations, the risk of increased expenditure as well as a reduction in net assets (reserves) may occur owing to:  (</w:t>
            </w:r>
            <w:proofErr w:type="spellStart"/>
            <w:r w:rsidRPr="00A37478">
              <w:rPr>
                <w:rFonts w:ascii="Arial" w:hAnsi="Arial" w:cs="Arial"/>
                <w:color w:val="000000"/>
                <w:sz w:val="16"/>
                <w:szCs w:val="16"/>
              </w:rPr>
              <w:t>i</w:t>
            </w:r>
            <w:proofErr w:type="spellEnd"/>
            <w:r w:rsidRPr="00A37478">
              <w:rPr>
                <w:rFonts w:ascii="Arial" w:hAnsi="Arial" w:cs="Arial"/>
                <w:color w:val="000000"/>
                <w:sz w:val="16"/>
                <w:szCs w:val="16"/>
              </w:rPr>
              <w:t xml:space="preserve">) negative interest rates, (ii) additional charges for multiple placements, and (iii) lack of full capital guarantee to cover the liquid assets which will </w:t>
            </w:r>
            <w:r w:rsidRPr="00CC7F0F">
              <w:rPr>
                <w:rFonts w:ascii="Arial" w:hAnsi="Arial" w:cs="Arial"/>
                <w:color w:val="000000"/>
                <w:sz w:val="16"/>
                <w:szCs w:val="16"/>
              </w:rPr>
              <w:t>need to be placed with multiple lower rated commercial banks</w:t>
            </w:r>
            <w:r>
              <w:rPr>
                <w:rFonts w:ascii="Arial" w:hAnsi="Arial" w:cs="Arial"/>
                <w:color w:val="000000"/>
                <w:sz w:val="16"/>
                <w:szCs w:val="16"/>
              </w:rPr>
              <w:t>.</w:t>
            </w:r>
          </w:p>
        </w:tc>
        <w:tc>
          <w:tcPr>
            <w:tcW w:w="5103" w:type="dxa"/>
            <w:shd w:val="clear" w:color="auto" w:fill="auto"/>
            <w:tcMar>
              <w:top w:w="113" w:type="dxa"/>
              <w:bottom w:w="113" w:type="dxa"/>
            </w:tcMar>
          </w:tcPr>
          <w:p w14:paraId="5222BAAD" w14:textId="444655F9" w:rsidR="00DF5D9A" w:rsidRPr="00A37478" w:rsidRDefault="00DF5D9A" w:rsidP="00494C79">
            <w:pPr>
              <w:rPr>
                <w:rFonts w:ascii="Arial" w:hAnsi="Arial" w:cs="Arial"/>
                <w:color w:val="000000"/>
                <w:sz w:val="16"/>
                <w:szCs w:val="16"/>
              </w:rPr>
            </w:pPr>
            <w:r w:rsidRPr="00A37478">
              <w:rPr>
                <w:rFonts w:ascii="Arial" w:hAnsi="Arial" w:cs="Arial"/>
                <w:color w:val="000000"/>
                <w:sz w:val="16"/>
                <w:szCs w:val="16"/>
              </w:rPr>
              <w:t>The approval of a new investment policy by Member States would (</w:t>
            </w:r>
            <w:proofErr w:type="spellStart"/>
            <w:r w:rsidRPr="00A37478">
              <w:rPr>
                <w:rFonts w:ascii="Arial" w:hAnsi="Arial" w:cs="Arial"/>
                <w:color w:val="000000"/>
                <w:sz w:val="16"/>
                <w:szCs w:val="16"/>
              </w:rPr>
              <w:t>i</w:t>
            </w:r>
            <w:proofErr w:type="spellEnd"/>
            <w:r w:rsidRPr="00A37478">
              <w:rPr>
                <w:rFonts w:ascii="Arial" w:hAnsi="Arial" w:cs="Arial"/>
                <w:color w:val="000000"/>
                <w:sz w:val="16"/>
                <w:szCs w:val="16"/>
              </w:rPr>
              <w:t>) enable the Organization to place its liquid assets with financial institutions that have ratings below that of the Swiss National Bank, (ii) allow the liquid assets of the Organization to be invested with some return if the possibility of some limited loss is accepted</w:t>
            </w:r>
            <w:r>
              <w:rPr>
                <w:rFonts w:ascii="Arial" w:hAnsi="Arial" w:cs="Arial"/>
                <w:color w:val="000000"/>
                <w:sz w:val="16"/>
                <w:szCs w:val="16"/>
              </w:rPr>
              <w:t xml:space="preserve"> and iii) allow the Organization’s ASHI funds to be invested </w:t>
            </w:r>
            <w:r w:rsidR="00494C79">
              <w:rPr>
                <w:rFonts w:ascii="Arial" w:hAnsi="Arial" w:cs="Arial"/>
                <w:color w:val="000000"/>
                <w:sz w:val="16"/>
                <w:szCs w:val="16"/>
              </w:rPr>
              <w:t xml:space="preserve">in a manner that would </w:t>
            </w:r>
            <w:r>
              <w:rPr>
                <w:rFonts w:ascii="Arial" w:hAnsi="Arial" w:cs="Arial"/>
                <w:color w:val="000000"/>
                <w:sz w:val="16"/>
                <w:szCs w:val="16"/>
              </w:rPr>
              <w:t>earn a positive rate of return over the longer term.</w:t>
            </w:r>
          </w:p>
        </w:tc>
      </w:tr>
    </w:tbl>
    <w:p w14:paraId="22CF2BBD" w14:textId="77777777" w:rsidR="00DF5D9A" w:rsidRDefault="00DF5D9A">
      <w:pPr>
        <w:tabs>
          <w:tab w:val="left" w:pos="567"/>
          <w:tab w:val="left" w:pos="1985"/>
        </w:tabs>
        <w:jc w:val="both"/>
        <w:rPr>
          <w:rFonts w:ascii="Arial" w:hAnsi="Arial" w:cs="Arial"/>
          <w:bCs/>
          <w:sz w:val="20"/>
        </w:rPr>
      </w:pPr>
    </w:p>
    <w:p w14:paraId="00CDABCF" w14:textId="77777777" w:rsidR="00DF5D9A" w:rsidRDefault="00DF5D9A">
      <w:pPr>
        <w:tabs>
          <w:tab w:val="left" w:pos="567"/>
          <w:tab w:val="left" w:pos="1985"/>
        </w:tabs>
        <w:jc w:val="both"/>
        <w:rPr>
          <w:rFonts w:ascii="Arial" w:hAnsi="Arial" w:cs="Arial"/>
          <w:bCs/>
          <w:sz w:val="20"/>
        </w:rPr>
      </w:pPr>
    </w:p>
    <w:p w14:paraId="6D44D5E0" w14:textId="77777777" w:rsidR="00DF5D9A" w:rsidRPr="00860634" w:rsidRDefault="00DF5D9A">
      <w:pPr>
        <w:tabs>
          <w:tab w:val="left" w:pos="567"/>
          <w:tab w:val="left" w:pos="1985"/>
        </w:tabs>
        <w:jc w:val="both"/>
        <w:rPr>
          <w:rFonts w:ascii="Arial" w:hAnsi="Arial" w:cs="Arial"/>
          <w:bCs/>
        </w:rPr>
      </w:pPr>
      <w:r>
        <w:rPr>
          <w:rFonts w:ascii="Arial" w:hAnsi="Arial" w:cs="Arial"/>
          <w:bCs/>
        </w:rPr>
        <w:t>RESULTS FRAMEWORK</w:t>
      </w:r>
    </w:p>
    <w:p w14:paraId="04CDDCA1" w14:textId="77777777" w:rsidR="00DF5D9A" w:rsidRDefault="00DF5D9A">
      <w:pPr>
        <w:tabs>
          <w:tab w:val="left" w:pos="567"/>
          <w:tab w:val="left" w:pos="1985"/>
        </w:tabs>
        <w:jc w:val="both"/>
        <w:rPr>
          <w:rFonts w:ascii="Arial" w:hAnsi="Arial" w:cs="Arial"/>
          <w:bCs/>
        </w:rPr>
      </w:pPr>
    </w:p>
    <w:tbl>
      <w:tblPr>
        <w:tblW w:w="9229" w:type="dxa"/>
        <w:tblInd w:w="93" w:type="dxa"/>
        <w:tblLook w:val="04A0" w:firstRow="1" w:lastRow="0" w:firstColumn="1" w:lastColumn="0" w:noHBand="0" w:noVBand="1"/>
      </w:tblPr>
      <w:tblGrid>
        <w:gridCol w:w="2142"/>
        <w:gridCol w:w="2498"/>
        <w:gridCol w:w="2420"/>
        <w:gridCol w:w="2169"/>
      </w:tblGrid>
      <w:tr w:rsidR="00DF5D9A" w:rsidRPr="00860634" w14:paraId="22793343" w14:textId="77777777" w:rsidTr="00FB68E0">
        <w:trPr>
          <w:trHeight w:val="465"/>
          <w:tblHeader/>
        </w:trPr>
        <w:tc>
          <w:tcPr>
            <w:tcW w:w="2142"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895BADE"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Expected Results</w:t>
            </w:r>
          </w:p>
        </w:tc>
        <w:tc>
          <w:tcPr>
            <w:tcW w:w="2498"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32EC132"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Performance Indicators</w:t>
            </w:r>
          </w:p>
        </w:tc>
        <w:tc>
          <w:tcPr>
            <w:tcW w:w="24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3B6803E"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Baselines</w:t>
            </w:r>
          </w:p>
        </w:tc>
        <w:tc>
          <w:tcPr>
            <w:tcW w:w="216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4B62A5A3"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Targets</w:t>
            </w:r>
          </w:p>
        </w:tc>
      </w:tr>
      <w:tr w:rsidR="00DF5D9A" w:rsidRPr="00860634" w14:paraId="5AB267F4" w14:textId="77777777" w:rsidTr="008D4CE9">
        <w:trPr>
          <w:trHeight w:val="1399"/>
        </w:trPr>
        <w:tc>
          <w:tcPr>
            <w:tcW w:w="2142" w:type="dxa"/>
            <w:tcBorders>
              <w:top w:val="single" w:sz="4" w:space="0" w:color="auto"/>
              <w:left w:val="single" w:sz="4" w:space="0" w:color="auto"/>
              <w:right w:val="nil"/>
            </w:tcBorders>
            <w:shd w:val="clear" w:color="000000" w:fill="FFFFFF"/>
            <w:tcMar>
              <w:top w:w="85" w:type="dxa"/>
            </w:tcMar>
            <w:hideMark/>
          </w:tcPr>
          <w:p w14:paraId="1EB04B09"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IX.1 Effective, efficient, quality and customer-oriented support services both to internal clients and to external stakeholders</w:t>
            </w:r>
          </w:p>
        </w:tc>
        <w:tc>
          <w:tcPr>
            <w:tcW w:w="2498" w:type="dxa"/>
            <w:tcBorders>
              <w:top w:val="single" w:sz="4" w:space="0" w:color="auto"/>
              <w:left w:val="nil"/>
              <w:right w:val="nil"/>
            </w:tcBorders>
            <w:shd w:val="clear" w:color="000000" w:fill="FFFFFF"/>
            <w:tcMar>
              <w:top w:w="85" w:type="dxa"/>
            </w:tcMar>
            <w:hideMark/>
          </w:tcPr>
          <w:p w14:paraId="6C3B6CDC"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Provision of financial and management reports and analysis required by senior management, Program Managers and Member States in accordance with agreed deadlines</w:t>
            </w:r>
          </w:p>
        </w:tc>
        <w:tc>
          <w:tcPr>
            <w:tcW w:w="2420" w:type="dxa"/>
            <w:tcBorders>
              <w:top w:val="single" w:sz="4" w:space="0" w:color="auto"/>
              <w:left w:val="nil"/>
              <w:right w:val="nil"/>
            </w:tcBorders>
            <w:shd w:val="clear" w:color="000000" w:fill="FFFFFF"/>
            <w:tcMar>
              <w:top w:w="85" w:type="dxa"/>
            </w:tcMar>
            <w:hideMark/>
          </w:tcPr>
          <w:p w14:paraId="3ECC36E6"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Monthly closure to be completed 10 working days after month end (except January where monthly close is determined by progress of annual close)</w:t>
            </w:r>
          </w:p>
        </w:tc>
        <w:tc>
          <w:tcPr>
            <w:tcW w:w="2169" w:type="dxa"/>
            <w:tcBorders>
              <w:top w:val="single" w:sz="4" w:space="0" w:color="auto"/>
              <w:left w:val="nil"/>
              <w:right w:val="single" w:sz="4" w:space="0" w:color="auto"/>
            </w:tcBorders>
            <w:shd w:val="clear" w:color="000000" w:fill="FFFFFF"/>
            <w:tcMar>
              <w:top w:w="85" w:type="dxa"/>
            </w:tcMar>
            <w:hideMark/>
          </w:tcPr>
          <w:p w14:paraId="3B62DC83" w14:textId="77777777"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Same as baseline</w:t>
            </w:r>
          </w:p>
        </w:tc>
      </w:tr>
      <w:tr w:rsidR="00DF5D9A" w:rsidRPr="00860634" w14:paraId="0E0A5230" w14:textId="77777777" w:rsidTr="00FB68E0">
        <w:trPr>
          <w:trHeight w:val="635"/>
        </w:trPr>
        <w:tc>
          <w:tcPr>
            <w:tcW w:w="2142" w:type="dxa"/>
            <w:tcBorders>
              <w:top w:val="nil"/>
              <w:left w:val="single" w:sz="4" w:space="0" w:color="auto"/>
              <w:bottom w:val="single" w:sz="4" w:space="0" w:color="auto"/>
              <w:right w:val="nil"/>
            </w:tcBorders>
            <w:shd w:val="clear" w:color="000000" w:fill="FFFFFF"/>
            <w:tcMar>
              <w:top w:w="85" w:type="dxa"/>
            </w:tcMar>
            <w:hideMark/>
          </w:tcPr>
          <w:p w14:paraId="094AD7BB"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single" w:sz="4" w:space="0" w:color="auto"/>
              <w:right w:val="nil"/>
            </w:tcBorders>
            <w:shd w:val="clear" w:color="000000" w:fill="FFFFFF"/>
            <w:tcMar>
              <w:top w:w="85" w:type="dxa"/>
            </w:tcMar>
            <w:hideMark/>
          </w:tcPr>
          <w:p w14:paraId="1742DD7A"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No. of PBC documents submitted on time to the Member States</w:t>
            </w:r>
          </w:p>
        </w:tc>
        <w:tc>
          <w:tcPr>
            <w:tcW w:w="2420" w:type="dxa"/>
            <w:tcBorders>
              <w:top w:val="nil"/>
              <w:left w:val="nil"/>
              <w:bottom w:val="single" w:sz="4" w:space="0" w:color="auto"/>
              <w:right w:val="nil"/>
            </w:tcBorders>
            <w:shd w:val="clear" w:color="000000" w:fill="FFFFFF"/>
            <w:tcMar>
              <w:top w:w="85" w:type="dxa"/>
            </w:tcMar>
            <w:hideMark/>
          </w:tcPr>
          <w:p w14:paraId="7B37622A" w14:textId="62226D4C" w:rsidR="00DF5D9A" w:rsidRPr="00923BAF" w:rsidRDefault="00DF5D9A" w:rsidP="008D4CE9">
            <w:pPr>
              <w:ind w:left="33"/>
              <w:rPr>
                <w:rFonts w:ascii="Arial" w:hAnsi="Arial" w:cs="Arial"/>
                <w:color w:val="000000"/>
                <w:sz w:val="16"/>
                <w:szCs w:val="16"/>
              </w:rPr>
            </w:pPr>
            <w:r w:rsidRPr="00FB68E0">
              <w:rPr>
                <w:rFonts w:ascii="Arial" w:hAnsi="Arial" w:cs="Arial"/>
                <w:color w:val="000000"/>
                <w:sz w:val="16"/>
                <w:szCs w:val="16"/>
              </w:rPr>
              <w:t>12</w:t>
            </w:r>
            <w:r w:rsidRPr="00923BAF">
              <w:rPr>
                <w:rFonts w:ascii="Arial" w:hAnsi="Arial" w:cs="Arial"/>
                <w:color w:val="000000"/>
                <w:sz w:val="16"/>
                <w:szCs w:val="16"/>
              </w:rPr>
              <w:t xml:space="preserve">% (2014 on the basis of </w:t>
            </w:r>
            <w:r w:rsidRPr="00FB68E0">
              <w:rPr>
                <w:rFonts w:ascii="Arial" w:hAnsi="Arial" w:cs="Arial"/>
                <w:color w:val="000000"/>
                <w:sz w:val="16"/>
                <w:szCs w:val="16"/>
              </w:rPr>
              <w:t>8</w:t>
            </w:r>
            <w:r w:rsidRPr="00923BAF">
              <w:rPr>
                <w:rFonts w:ascii="Arial" w:hAnsi="Arial" w:cs="Arial"/>
                <w:color w:val="000000"/>
                <w:sz w:val="16"/>
                <w:szCs w:val="16"/>
              </w:rPr>
              <w:t xml:space="preserve"> week deadline)</w:t>
            </w:r>
          </w:p>
        </w:tc>
        <w:tc>
          <w:tcPr>
            <w:tcW w:w="2169" w:type="dxa"/>
            <w:tcBorders>
              <w:top w:val="nil"/>
              <w:left w:val="nil"/>
              <w:bottom w:val="single" w:sz="4" w:space="0" w:color="auto"/>
              <w:right w:val="single" w:sz="4" w:space="0" w:color="auto"/>
            </w:tcBorders>
            <w:shd w:val="clear" w:color="000000" w:fill="FFFFFF"/>
            <w:tcMar>
              <w:top w:w="85" w:type="dxa"/>
            </w:tcMar>
            <w:hideMark/>
          </w:tcPr>
          <w:p w14:paraId="16BDE517" w14:textId="0E2B5A62" w:rsidR="00DF5D9A" w:rsidRPr="00923BAF" w:rsidRDefault="00DF5D9A" w:rsidP="008D4CE9">
            <w:pPr>
              <w:ind w:left="33"/>
              <w:rPr>
                <w:rFonts w:ascii="Arial" w:hAnsi="Arial" w:cs="Arial"/>
                <w:color w:val="000000"/>
                <w:sz w:val="16"/>
                <w:szCs w:val="16"/>
              </w:rPr>
            </w:pPr>
            <w:r w:rsidRPr="00FB68E0">
              <w:rPr>
                <w:rFonts w:ascii="Arial" w:hAnsi="Arial" w:cs="Arial"/>
                <w:color w:val="000000"/>
                <w:sz w:val="16"/>
                <w:szCs w:val="16"/>
              </w:rPr>
              <w:t>15</w:t>
            </w:r>
            <w:r w:rsidRPr="00923BAF">
              <w:rPr>
                <w:rFonts w:ascii="Arial" w:hAnsi="Arial" w:cs="Arial"/>
                <w:color w:val="000000"/>
                <w:sz w:val="16"/>
                <w:szCs w:val="16"/>
              </w:rPr>
              <w:t>% (on the basis of 8</w:t>
            </w:r>
            <w:r w:rsidR="00A226D5">
              <w:rPr>
                <w:rFonts w:ascii="Arial" w:hAnsi="Arial" w:cs="Arial"/>
                <w:color w:val="000000"/>
                <w:sz w:val="16"/>
                <w:szCs w:val="16"/>
              </w:rPr>
              <w:t> </w:t>
            </w:r>
            <w:r w:rsidRPr="00923BAF">
              <w:rPr>
                <w:rFonts w:ascii="Arial" w:hAnsi="Arial" w:cs="Arial"/>
                <w:color w:val="000000"/>
                <w:sz w:val="16"/>
                <w:szCs w:val="16"/>
              </w:rPr>
              <w:t>week deadline)</w:t>
            </w:r>
          </w:p>
        </w:tc>
      </w:tr>
      <w:tr w:rsidR="00DF5D9A" w:rsidRPr="00860634" w14:paraId="05B49013" w14:textId="77777777" w:rsidTr="00FB68E0">
        <w:trPr>
          <w:trHeight w:val="1483"/>
        </w:trPr>
        <w:tc>
          <w:tcPr>
            <w:tcW w:w="2142" w:type="dxa"/>
            <w:tcBorders>
              <w:top w:val="single" w:sz="4" w:space="0" w:color="auto"/>
              <w:left w:val="single" w:sz="4" w:space="0" w:color="auto"/>
              <w:right w:val="nil"/>
            </w:tcBorders>
            <w:shd w:val="clear" w:color="000000" w:fill="FFFFFF"/>
            <w:tcMar>
              <w:top w:w="85" w:type="dxa"/>
            </w:tcMar>
            <w:hideMark/>
          </w:tcPr>
          <w:p w14:paraId="3CFFC312" w14:textId="77777777" w:rsidR="00DF5D9A" w:rsidRPr="00860634" w:rsidRDefault="00DF5D9A" w:rsidP="00FB68E0">
            <w:pPr>
              <w:keepNext/>
              <w:keepLines/>
              <w:rPr>
                <w:rFonts w:ascii="Arial" w:hAnsi="Arial" w:cs="Arial"/>
                <w:color w:val="000000"/>
                <w:sz w:val="16"/>
                <w:szCs w:val="16"/>
              </w:rPr>
            </w:pPr>
            <w:r w:rsidRPr="00860634">
              <w:rPr>
                <w:rFonts w:ascii="Arial" w:hAnsi="Arial" w:cs="Arial"/>
                <w:color w:val="000000"/>
                <w:sz w:val="16"/>
                <w:szCs w:val="16"/>
              </w:rPr>
              <w:lastRenderedPageBreak/>
              <w:t> </w:t>
            </w:r>
          </w:p>
        </w:tc>
        <w:tc>
          <w:tcPr>
            <w:tcW w:w="2498" w:type="dxa"/>
            <w:tcBorders>
              <w:top w:val="single" w:sz="4" w:space="0" w:color="auto"/>
              <w:left w:val="nil"/>
              <w:right w:val="nil"/>
            </w:tcBorders>
            <w:shd w:val="clear" w:color="000000" w:fill="FFFFFF"/>
            <w:tcMar>
              <w:top w:w="85" w:type="dxa"/>
            </w:tcMar>
            <w:hideMark/>
          </w:tcPr>
          <w:p w14:paraId="3AEB55E4"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WIPO’s ERP system (AIMS) is operating efficiently according to business needs and in line with best practices</w:t>
            </w:r>
          </w:p>
        </w:tc>
        <w:tc>
          <w:tcPr>
            <w:tcW w:w="2420" w:type="dxa"/>
            <w:tcBorders>
              <w:top w:val="single" w:sz="4" w:space="0" w:color="auto"/>
              <w:left w:val="nil"/>
              <w:right w:val="nil"/>
            </w:tcBorders>
            <w:shd w:val="clear" w:color="000000" w:fill="FFFFFF"/>
            <w:tcMar>
              <w:top w:w="85" w:type="dxa"/>
            </w:tcMar>
            <w:hideMark/>
          </w:tcPr>
          <w:p w14:paraId="714AE930"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 xml:space="preserve">In 2014, uptime of AIMS was 99.80%. The highest number of high priority Incidents open at any one time was 25. </w:t>
            </w:r>
          </w:p>
        </w:tc>
        <w:tc>
          <w:tcPr>
            <w:tcW w:w="2169" w:type="dxa"/>
            <w:tcBorders>
              <w:top w:val="single" w:sz="4" w:space="0" w:color="auto"/>
              <w:left w:val="nil"/>
              <w:right w:val="single" w:sz="4" w:space="0" w:color="auto"/>
            </w:tcBorders>
            <w:shd w:val="clear" w:color="000000" w:fill="FFFFFF"/>
            <w:tcMar>
              <w:top w:w="85" w:type="dxa"/>
            </w:tcMar>
            <w:hideMark/>
          </w:tcPr>
          <w:p w14:paraId="61E0BCB6"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Uptime of AIMS is greater than 99.90%</w:t>
            </w:r>
            <w:r w:rsidRPr="00860634">
              <w:rPr>
                <w:rFonts w:ascii="Arial" w:hAnsi="Arial" w:cs="Arial"/>
                <w:color w:val="000000"/>
                <w:sz w:val="16"/>
                <w:szCs w:val="16"/>
              </w:rPr>
              <w:br/>
              <w:t>No more</w:t>
            </w:r>
            <w:r>
              <w:rPr>
                <w:rFonts w:ascii="Arial" w:hAnsi="Arial" w:cs="Arial"/>
                <w:color w:val="000000"/>
                <w:sz w:val="16"/>
                <w:szCs w:val="16"/>
              </w:rPr>
              <w:t xml:space="preserve"> than 20 high priority i</w:t>
            </w:r>
            <w:r w:rsidRPr="00860634">
              <w:rPr>
                <w:rFonts w:ascii="Arial" w:hAnsi="Arial" w:cs="Arial"/>
                <w:color w:val="000000"/>
                <w:sz w:val="16"/>
                <w:szCs w:val="16"/>
              </w:rPr>
              <w:t>ncidents are open at any one time. High priority Incidents are not open longer than 8 days.</w:t>
            </w:r>
          </w:p>
        </w:tc>
      </w:tr>
      <w:tr w:rsidR="00DF5D9A" w:rsidRPr="00860634" w14:paraId="7905157C" w14:textId="77777777" w:rsidTr="00FB68E0">
        <w:trPr>
          <w:trHeight w:val="764"/>
        </w:trPr>
        <w:tc>
          <w:tcPr>
            <w:tcW w:w="2142" w:type="dxa"/>
            <w:tcBorders>
              <w:left w:val="single" w:sz="4" w:space="0" w:color="auto"/>
              <w:right w:val="nil"/>
            </w:tcBorders>
            <w:shd w:val="clear" w:color="000000" w:fill="FFFFFF"/>
            <w:tcMar>
              <w:top w:w="85" w:type="dxa"/>
            </w:tcMar>
            <w:hideMark/>
          </w:tcPr>
          <w:p w14:paraId="7B07E956" w14:textId="77777777" w:rsidR="00DF5D9A" w:rsidRPr="00860634" w:rsidRDefault="00DF5D9A" w:rsidP="00FB68E0">
            <w:pPr>
              <w:keepNext/>
              <w:keepLines/>
              <w:rPr>
                <w:rFonts w:ascii="Arial" w:hAnsi="Arial" w:cs="Arial"/>
                <w:color w:val="000000"/>
                <w:sz w:val="16"/>
                <w:szCs w:val="16"/>
              </w:rPr>
            </w:pPr>
            <w:r w:rsidRPr="00860634">
              <w:rPr>
                <w:rFonts w:ascii="Arial" w:hAnsi="Arial" w:cs="Arial"/>
                <w:color w:val="000000"/>
                <w:sz w:val="16"/>
                <w:szCs w:val="16"/>
              </w:rPr>
              <w:t> </w:t>
            </w:r>
          </w:p>
        </w:tc>
        <w:tc>
          <w:tcPr>
            <w:tcW w:w="2498" w:type="dxa"/>
            <w:tcBorders>
              <w:left w:val="nil"/>
              <w:right w:val="nil"/>
            </w:tcBorders>
            <w:shd w:val="clear" w:color="000000" w:fill="FFFFFF"/>
            <w:tcMar>
              <w:top w:w="85" w:type="dxa"/>
            </w:tcMar>
            <w:hideMark/>
          </w:tcPr>
          <w:p w14:paraId="798F9089"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ERP projects are delivered according to plan and within the budget of the portfolio</w:t>
            </w:r>
          </w:p>
        </w:tc>
        <w:tc>
          <w:tcPr>
            <w:tcW w:w="2420" w:type="dxa"/>
            <w:tcBorders>
              <w:left w:val="nil"/>
              <w:right w:val="nil"/>
            </w:tcBorders>
            <w:shd w:val="clear" w:color="000000" w:fill="FFFFFF"/>
            <w:tcMar>
              <w:top w:w="85" w:type="dxa"/>
            </w:tcMar>
            <w:hideMark/>
          </w:tcPr>
          <w:p w14:paraId="13A8C132" w14:textId="578EBF08"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 xml:space="preserve">Updated </w:t>
            </w:r>
            <w:r w:rsidRPr="00860634">
              <w:rPr>
                <w:rFonts w:ascii="Arial" w:hAnsi="Arial" w:cs="Arial"/>
                <w:color w:val="000000"/>
                <w:sz w:val="16"/>
                <w:szCs w:val="16"/>
              </w:rPr>
              <w:t xml:space="preserve">Plan as </w:t>
            </w:r>
            <w:r>
              <w:rPr>
                <w:rFonts w:ascii="Arial" w:hAnsi="Arial" w:cs="Arial"/>
                <w:color w:val="000000"/>
                <w:sz w:val="16"/>
                <w:szCs w:val="16"/>
              </w:rPr>
              <w:t xml:space="preserve">communicated </w:t>
            </w:r>
            <w:r w:rsidRPr="00860634">
              <w:rPr>
                <w:rFonts w:ascii="Arial" w:hAnsi="Arial" w:cs="Arial"/>
                <w:color w:val="000000"/>
                <w:sz w:val="16"/>
                <w:szCs w:val="16"/>
              </w:rPr>
              <w:t>to Member States in 2015.  Budget as approved by Member States in 2010.</w:t>
            </w:r>
          </w:p>
        </w:tc>
        <w:tc>
          <w:tcPr>
            <w:tcW w:w="2169" w:type="dxa"/>
            <w:tcBorders>
              <w:left w:val="nil"/>
              <w:right w:val="single" w:sz="4" w:space="0" w:color="auto"/>
            </w:tcBorders>
            <w:shd w:val="clear" w:color="000000" w:fill="FFFFFF"/>
            <w:tcMar>
              <w:top w:w="85" w:type="dxa"/>
            </w:tcMar>
            <w:hideMark/>
          </w:tcPr>
          <w:p w14:paraId="4C086485" w14:textId="77777777"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I</w:t>
            </w:r>
            <w:r w:rsidRPr="00860634">
              <w:rPr>
                <w:rFonts w:ascii="Arial" w:hAnsi="Arial" w:cs="Arial"/>
                <w:color w:val="000000"/>
                <w:sz w:val="16"/>
                <w:szCs w:val="16"/>
              </w:rPr>
              <w:t>n accordance with plan</w:t>
            </w:r>
          </w:p>
        </w:tc>
      </w:tr>
      <w:tr w:rsidR="00DF5D9A" w:rsidRPr="00860634" w14:paraId="4AB37391" w14:textId="77777777" w:rsidTr="008D4CE9">
        <w:trPr>
          <w:trHeight w:val="1731"/>
        </w:trPr>
        <w:tc>
          <w:tcPr>
            <w:tcW w:w="2142" w:type="dxa"/>
            <w:tcBorders>
              <w:left w:val="single" w:sz="4" w:space="0" w:color="auto"/>
              <w:bottom w:val="nil"/>
              <w:right w:val="nil"/>
            </w:tcBorders>
            <w:shd w:val="clear" w:color="000000" w:fill="FFFFFF"/>
            <w:tcMar>
              <w:top w:w="85" w:type="dxa"/>
            </w:tcMar>
            <w:hideMark/>
          </w:tcPr>
          <w:p w14:paraId="531627B6" w14:textId="1A4389AC" w:rsidR="00DF5D9A" w:rsidRPr="00860634" w:rsidRDefault="00DF5D9A">
            <w:pPr>
              <w:rPr>
                <w:rFonts w:ascii="Arial" w:hAnsi="Arial" w:cs="Arial"/>
                <w:color w:val="000000"/>
                <w:sz w:val="16"/>
                <w:szCs w:val="16"/>
              </w:rPr>
            </w:pPr>
            <w:r w:rsidRPr="00860634">
              <w:rPr>
                <w:rFonts w:ascii="Arial" w:hAnsi="Arial" w:cs="Arial"/>
                <w:color w:val="000000"/>
                <w:sz w:val="16"/>
                <w:szCs w:val="16"/>
              </w:rPr>
              <w:t>IX.2 An agile and smooth functioning Secretariat with a well</w:t>
            </w:r>
            <w:r w:rsidR="007979F6">
              <w:rPr>
                <w:rFonts w:ascii="Arial" w:hAnsi="Arial" w:cs="Arial"/>
                <w:color w:val="000000"/>
                <w:sz w:val="16"/>
                <w:szCs w:val="16"/>
              </w:rPr>
              <w:t>-</w:t>
            </w:r>
            <w:r w:rsidRPr="00860634">
              <w:rPr>
                <w:rFonts w:ascii="Arial" w:hAnsi="Arial" w:cs="Arial"/>
                <w:color w:val="000000"/>
                <w:sz w:val="16"/>
                <w:szCs w:val="16"/>
              </w:rPr>
              <w:t>managed and appropriately skilled workforce which is effectively delivering results</w:t>
            </w:r>
          </w:p>
        </w:tc>
        <w:tc>
          <w:tcPr>
            <w:tcW w:w="2498" w:type="dxa"/>
            <w:tcBorders>
              <w:left w:val="nil"/>
              <w:bottom w:val="nil"/>
              <w:right w:val="nil"/>
            </w:tcBorders>
            <w:shd w:val="clear" w:color="000000" w:fill="FFFFFF"/>
            <w:tcMar>
              <w:top w:w="85" w:type="dxa"/>
            </w:tcMar>
            <w:hideMark/>
          </w:tcPr>
          <w:p w14:paraId="13FE601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2420" w:type="dxa"/>
            <w:tcBorders>
              <w:left w:val="nil"/>
              <w:bottom w:val="nil"/>
              <w:right w:val="nil"/>
            </w:tcBorders>
            <w:shd w:val="clear" w:color="000000" w:fill="FFFFFF"/>
            <w:tcMar>
              <w:top w:w="85" w:type="dxa"/>
            </w:tcMar>
            <w:hideMark/>
          </w:tcPr>
          <w:p w14:paraId="20B90635"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Clean audit report received for 2014 and 2015 and answers provided to all audit recommendations</w:t>
            </w:r>
          </w:p>
        </w:tc>
        <w:tc>
          <w:tcPr>
            <w:tcW w:w="2169" w:type="dxa"/>
            <w:tcBorders>
              <w:left w:val="nil"/>
              <w:bottom w:val="nil"/>
              <w:right w:val="single" w:sz="4" w:space="0" w:color="auto"/>
            </w:tcBorders>
            <w:shd w:val="clear" w:color="000000" w:fill="FFFFFF"/>
            <w:tcMar>
              <w:top w:w="85" w:type="dxa"/>
            </w:tcMar>
            <w:hideMark/>
          </w:tcPr>
          <w:p w14:paraId="752FED6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Clean audit report for both years of the biennium</w:t>
            </w:r>
          </w:p>
        </w:tc>
      </w:tr>
      <w:tr w:rsidR="00DF5D9A" w:rsidRPr="00860634" w14:paraId="20B8C37F" w14:textId="77777777" w:rsidTr="008D4CE9">
        <w:trPr>
          <w:trHeight w:val="481"/>
        </w:trPr>
        <w:tc>
          <w:tcPr>
            <w:tcW w:w="2142" w:type="dxa"/>
            <w:tcBorders>
              <w:top w:val="nil"/>
              <w:left w:val="single" w:sz="4" w:space="0" w:color="auto"/>
              <w:bottom w:val="nil"/>
              <w:right w:val="nil"/>
            </w:tcBorders>
            <w:shd w:val="clear" w:color="000000" w:fill="FFFFFF"/>
            <w:tcMar>
              <w:top w:w="85" w:type="dxa"/>
            </w:tcMar>
            <w:hideMark/>
          </w:tcPr>
          <w:p w14:paraId="616551C6"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06FEF971"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Enhanced maturity of managing for results (RBM)</w:t>
            </w:r>
          </w:p>
        </w:tc>
        <w:tc>
          <w:tcPr>
            <w:tcW w:w="2420" w:type="dxa"/>
            <w:tcBorders>
              <w:top w:val="nil"/>
              <w:left w:val="nil"/>
              <w:bottom w:val="nil"/>
              <w:right w:val="nil"/>
            </w:tcBorders>
            <w:shd w:val="clear" w:color="000000" w:fill="FFFFFF"/>
            <w:tcMar>
              <w:top w:w="85" w:type="dxa"/>
            </w:tcMar>
            <w:hideMark/>
          </w:tcPr>
          <w:p w14:paraId="7EB415BA" w14:textId="77777777" w:rsidR="00DF5D9A" w:rsidRPr="00F470C2" w:rsidRDefault="00DF5D9A" w:rsidP="008D4CE9">
            <w:pPr>
              <w:ind w:left="33"/>
              <w:rPr>
                <w:rFonts w:ascii="Arial" w:hAnsi="Arial" w:cs="Arial"/>
                <w:color w:val="000000"/>
                <w:sz w:val="16"/>
                <w:szCs w:val="16"/>
              </w:rPr>
            </w:pPr>
            <w:r w:rsidRPr="00232927">
              <w:rPr>
                <w:rFonts w:ascii="Arial" w:hAnsi="Arial" w:cs="Arial"/>
                <w:color w:val="000000"/>
                <w:sz w:val="16"/>
                <w:szCs w:val="16"/>
              </w:rPr>
              <w:t>Maturity level 2</w:t>
            </w:r>
          </w:p>
        </w:tc>
        <w:tc>
          <w:tcPr>
            <w:tcW w:w="2169" w:type="dxa"/>
            <w:tcBorders>
              <w:top w:val="nil"/>
              <w:left w:val="nil"/>
              <w:bottom w:val="nil"/>
              <w:right w:val="single" w:sz="4" w:space="0" w:color="auto"/>
            </w:tcBorders>
            <w:shd w:val="clear" w:color="000000" w:fill="FFFFFF"/>
            <w:tcMar>
              <w:top w:w="85" w:type="dxa"/>
            </w:tcMar>
            <w:hideMark/>
          </w:tcPr>
          <w:p w14:paraId="5DB26AD1" w14:textId="77777777" w:rsidR="00DF5D9A" w:rsidRPr="00B43C5E" w:rsidRDefault="00DF5D9A" w:rsidP="008D4CE9">
            <w:pPr>
              <w:ind w:left="33"/>
              <w:rPr>
                <w:rFonts w:ascii="Arial" w:hAnsi="Arial" w:cs="Arial"/>
                <w:color w:val="000000"/>
                <w:sz w:val="16"/>
                <w:szCs w:val="16"/>
              </w:rPr>
            </w:pPr>
            <w:r w:rsidRPr="00B43C5E">
              <w:rPr>
                <w:rFonts w:ascii="Arial" w:hAnsi="Arial" w:cs="Arial"/>
                <w:color w:val="000000"/>
                <w:sz w:val="16"/>
                <w:szCs w:val="16"/>
              </w:rPr>
              <w:t>Maturity level 3</w:t>
            </w:r>
          </w:p>
        </w:tc>
      </w:tr>
      <w:tr w:rsidR="00DF5D9A" w:rsidRPr="00860634" w14:paraId="52AD3D61" w14:textId="77777777" w:rsidTr="008D4CE9">
        <w:trPr>
          <w:trHeight w:val="900"/>
        </w:trPr>
        <w:tc>
          <w:tcPr>
            <w:tcW w:w="2142" w:type="dxa"/>
            <w:tcBorders>
              <w:top w:val="nil"/>
              <w:left w:val="single" w:sz="4" w:space="0" w:color="auto"/>
              <w:bottom w:val="nil"/>
              <w:right w:val="nil"/>
            </w:tcBorders>
            <w:shd w:val="clear" w:color="000000" w:fill="FFFFFF"/>
            <w:tcMar>
              <w:top w:w="85" w:type="dxa"/>
            </w:tcMar>
            <w:hideMark/>
          </w:tcPr>
          <w:p w14:paraId="6B30A45E"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441EA40F"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Return on invested funds in line with benchmarks established by the Investment Advisory Committee (IAC)</w:t>
            </w:r>
          </w:p>
        </w:tc>
        <w:tc>
          <w:tcPr>
            <w:tcW w:w="2420" w:type="dxa"/>
            <w:tcBorders>
              <w:top w:val="nil"/>
              <w:left w:val="nil"/>
              <w:bottom w:val="nil"/>
              <w:right w:val="nil"/>
            </w:tcBorders>
            <w:shd w:val="clear" w:color="000000" w:fill="FFFFFF"/>
            <w:tcMar>
              <w:top w:w="85" w:type="dxa"/>
            </w:tcMar>
            <w:hideMark/>
          </w:tcPr>
          <w:p w14:paraId="66889B4E" w14:textId="77777777" w:rsidR="00DF5D9A" w:rsidRPr="00CA3219" w:rsidRDefault="00DF5D9A" w:rsidP="008D4CE9">
            <w:pPr>
              <w:ind w:left="33"/>
              <w:rPr>
                <w:rFonts w:ascii="Arial" w:hAnsi="Arial" w:cs="Arial"/>
                <w:color w:val="000000"/>
                <w:sz w:val="16"/>
                <w:szCs w:val="16"/>
              </w:rPr>
            </w:pPr>
            <w:r w:rsidRPr="00CA3219">
              <w:rPr>
                <w:rFonts w:ascii="Arial" w:hAnsi="Arial" w:cs="Arial"/>
                <w:color w:val="000000"/>
                <w:sz w:val="16"/>
                <w:szCs w:val="16"/>
              </w:rPr>
              <w:t>Investments continue to be with Swiss authorities, in line with the  benchmark established by IAC in 2014/15</w:t>
            </w:r>
          </w:p>
          <w:p w14:paraId="21BAE098" w14:textId="77777777" w:rsidR="00DF5D9A" w:rsidRPr="00860634" w:rsidRDefault="00DF5D9A">
            <w:pPr>
              <w:ind w:left="229"/>
              <w:rPr>
                <w:rFonts w:ascii="Arial" w:hAnsi="Arial" w:cs="Arial"/>
                <w:color w:val="000000"/>
                <w:sz w:val="16"/>
                <w:szCs w:val="16"/>
              </w:rPr>
            </w:pPr>
          </w:p>
        </w:tc>
        <w:tc>
          <w:tcPr>
            <w:tcW w:w="2169" w:type="dxa"/>
            <w:tcBorders>
              <w:top w:val="nil"/>
              <w:left w:val="nil"/>
              <w:bottom w:val="nil"/>
              <w:right w:val="single" w:sz="4" w:space="0" w:color="auto"/>
            </w:tcBorders>
            <w:shd w:val="clear" w:color="000000" w:fill="FFFFFF"/>
            <w:tcMar>
              <w:top w:w="85" w:type="dxa"/>
            </w:tcMar>
            <w:hideMark/>
          </w:tcPr>
          <w:p w14:paraId="1946F838"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Return on invested funds in line with the benchmark established by the IAC in 2016/17</w:t>
            </w:r>
          </w:p>
        </w:tc>
      </w:tr>
      <w:tr w:rsidR="00DF5D9A" w:rsidRPr="00860634" w14:paraId="19D8C07D" w14:textId="77777777" w:rsidTr="00FB68E0">
        <w:trPr>
          <w:trHeight w:val="1002"/>
        </w:trPr>
        <w:tc>
          <w:tcPr>
            <w:tcW w:w="2142" w:type="dxa"/>
            <w:tcBorders>
              <w:top w:val="nil"/>
              <w:left w:val="single" w:sz="4" w:space="0" w:color="auto"/>
              <w:bottom w:val="nil"/>
              <w:right w:val="nil"/>
            </w:tcBorders>
            <w:shd w:val="clear" w:color="000000" w:fill="FFFFFF"/>
            <w:tcMar>
              <w:top w:w="85" w:type="dxa"/>
            </w:tcMar>
            <w:hideMark/>
          </w:tcPr>
          <w:p w14:paraId="5B18A58D"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5B9400F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Effectiv</w:t>
            </w:r>
            <w:r>
              <w:rPr>
                <w:rFonts w:ascii="Arial" w:hAnsi="Arial" w:cs="Arial"/>
                <w:color w:val="000000"/>
                <w:sz w:val="16"/>
                <w:szCs w:val="16"/>
              </w:rPr>
              <w:t>e management of expenditure and</w:t>
            </w:r>
            <w:r w:rsidRPr="00860634">
              <w:rPr>
                <w:rFonts w:ascii="Arial" w:hAnsi="Arial" w:cs="Arial"/>
                <w:color w:val="000000"/>
                <w:sz w:val="16"/>
                <w:szCs w:val="16"/>
              </w:rPr>
              <w:t xml:space="preserve"> reserves</w:t>
            </w:r>
          </w:p>
        </w:tc>
        <w:tc>
          <w:tcPr>
            <w:tcW w:w="2420" w:type="dxa"/>
            <w:tcBorders>
              <w:top w:val="nil"/>
              <w:left w:val="nil"/>
              <w:bottom w:val="nil"/>
              <w:right w:val="nil"/>
            </w:tcBorders>
            <w:shd w:val="clear" w:color="000000" w:fill="FFFFFF"/>
            <w:tcMar>
              <w:top w:w="85" w:type="dxa"/>
            </w:tcMar>
            <w:hideMark/>
          </w:tcPr>
          <w:p w14:paraId="57F5EF67" w14:textId="2C055750"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Expenditure outlook 2014/15 (budgetary before IPSAS adjustments) : 659.9 million Swiss francs (as at April 2015).</w:t>
            </w:r>
          </w:p>
        </w:tc>
        <w:tc>
          <w:tcPr>
            <w:tcW w:w="2169" w:type="dxa"/>
            <w:tcBorders>
              <w:top w:val="nil"/>
              <w:left w:val="nil"/>
              <w:bottom w:val="nil"/>
              <w:right w:val="single" w:sz="4" w:space="0" w:color="auto"/>
            </w:tcBorders>
            <w:shd w:val="clear" w:color="000000" w:fill="FFFFFF"/>
            <w:tcMar>
              <w:top w:w="85" w:type="dxa"/>
            </w:tcMar>
            <w:hideMark/>
          </w:tcPr>
          <w:p w14:paraId="10EE1CEF" w14:textId="63F36B02"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Expenditure managed within the overall budgetary envelope but Expenditure not to exceed income ( should income be exceptionally foreseen to drop below planned expenditure levels.)</w:t>
            </w:r>
          </w:p>
        </w:tc>
      </w:tr>
      <w:tr w:rsidR="00DF5D9A" w:rsidRPr="00860634" w14:paraId="640E2C14" w14:textId="77777777" w:rsidTr="008D4CE9">
        <w:trPr>
          <w:trHeight w:val="1192"/>
        </w:trPr>
        <w:tc>
          <w:tcPr>
            <w:tcW w:w="2142" w:type="dxa"/>
            <w:tcBorders>
              <w:top w:val="nil"/>
              <w:left w:val="single" w:sz="4" w:space="0" w:color="auto"/>
              <w:right w:val="nil"/>
            </w:tcBorders>
            <w:shd w:val="clear" w:color="000000" w:fill="FFFFFF"/>
            <w:tcMar>
              <w:top w:w="85" w:type="dxa"/>
            </w:tcMar>
            <w:hideMark/>
          </w:tcPr>
          <w:p w14:paraId="2B5D2FB6"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right w:val="nil"/>
            </w:tcBorders>
            <w:shd w:val="clear" w:color="000000" w:fill="FFFFFF"/>
            <w:tcMar>
              <w:top w:w="85" w:type="dxa"/>
            </w:tcMar>
            <w:hideMark/>
          </w:tcPr>
          <w:p w14:paraId="30FC2AB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Payments (including Madrid and Hague fees) made on time</w:t>
            </w:r>
          </w:p>
        </w:tc>
        <w:tc>
          <w:tcPr>
            <w:tcW w:w="2420" w:type="dxa"/>
            <w:tcBorders>
              <w:top w:val="nil"/>
              <w:left w:val="nil"/>
              <w:right w:val="nil"/>
            </w:tcBorders>
            <w:shd w:val="clear" w:color="000000" w:fill="FFFFFF"/>
            <w:tcMar>
              <w:top w:w="85" w:type="dxa"/>
            </w:tcMar>
            <w:hideMark/>
          </w:tcPr>
          <w:p w14:paraId="54FF80E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90% of payments made within seven days of payment terms or receipt date (in case of late receipting) for those without other workflow issues (e.g. PO not dispatched, etc.)</w:t>
            </w:r>
          </w:p>
        </w:tc>
        <w:tc>
          <w:tcPr>
            <w:tcW w:w="2169" w:type="dxa"/>
            <w:tcBorders>
              <w:top w:val="nil"/>
              <w:left w:val="nil"/>
              <w:right w:val="single" w:sz="4" w:space="0" w:color="auto"/>
            </w:tcBorders>
            <w:shd w:val="clear" w:color="000000" w:fill="FFFFFF"/>
            <w:tcMar>
              <w:top w:w="85" w:type="dxa"/>
            </w:tcMar>
            <w:hideMark/>
          </w:tcPr>
          <w:p w14:paraId="6900F043"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90% of payments to be made within two three days of receipt of invoice</w:t>
            </w:r>
          </w:p>
        </w:tc>
      </w:tr>
      <w:tr w:rsidR="00DF5D9A" w:rsidRPr="00860634" w14:paraId="71E7CABE" w14:textId="77777777" w:rsidTr="008D4CE9">
        <w:trPr>
          <w:trHeight w:val="1052"/>
        </w:trPr>
        <w:tc>
          <w:tcPr>
            <w:tcW w:w="2142" w:type="dxa"/>
            <w:tcBorders>
              <w:top w:val="nil"/>
              <w:left w:val="single" w:sz="4" w:space="0" w:color="auto"/>
              <w:right w:val="nil"/>
            </w:tcBorders>
            <w:shd w:val="clear" w:color="000000" w:fill="FFFFFF"/>
            <w:tcMar>
              <w:top w:w="85" w:type="dxa"/>
            </w:tcMar>
            <w:hideMark/>
          </w:tcPr>
          <w:p w14:paraId="0EBDF122"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IX.3 An enabling working environment supported by an effective regulatory framework and appropriate channels to address staff concerns</w:t>
            </w:r>
          </w:p>
        </w:tc>
        <w:tc>
          <w:tcPr>
            <w:tcW w:w="2498" w:type="dxa"/>
            <w:tcBorders>
              <w:top w:val="nil"/>
              <w:left w:val="nil"/>
              <w:right w:val="nil"/>
            </w:tcBorders>
            <w:shd w:val="clear" w:color="000000" w:fill="FFFFFF"/>
            <w:tcMar>
              <w:top w:w="85" w:type="dxa"/>
            </w:tcMar>
            <w:hideMark/>
          </w:tcPr>
          <w:p w14:paraId="27D84E1D"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Financial Regulations and Rules and relevant Office Instructions (OIs) up to date</w:t>
            </w:r>
          </w:p>
        </w:tc>
        <w:tc>
          <w:tcPr>
            <w:tcW w:w="2420" w:type="dxa"/>
            <w:tcBorders>
              <w:top w:val="nil"/>
              <w:left w:val="nil"/>
              <w:right w:val="nil"/>
            </w:tcBorders>
            <w:shd w:val="clear" w:color="000000" w:fill="FFFFFF"/>
            <w:tcMar>
              <w:top w:w="85" w:type="dxa"/>
            </w:tcMar>
            <w:hideMark/>
          </w:tcPr>
          <w:p w14:paraId="3039812F"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 xml:space="preserve">OIs issued in 2014 and 2015. FRR amended in 2014 as deemed necessary </w:t>
            </w:r>
          </w:p>
        </w:tc>
        <w:tc>
          <w:tcPr>
            <w:tcW w:w="2169" w:type="dxa"/>
            <w:tcBorders>
              <w:top w:val="nil"/>
              <w:left w:val="nil"/>
              <w:right w:val="single" w:sz="4" w:space="0" w:color="auto"/>
            </w:tcBorders>
            <w:shd w:val="clear" w:color="000000" w:fill="FFFFFF"/>
            <w:tcMar>
              <w:top w:w="85" w:type="dxa"/>
            </w:tcMar>
            <w:hideMark/>
          </w:tcPr>
          <w:p w14:paraId="291DA8F7"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Review and revision of regulatory framework if/as appropriate</w:t>
            </w:r>
          </w:p>
        </w:tc>
      </w:tr>
      <w:tr w:rsidR="00DF5D9A" w:rsidRPr="00860634" w14:paraId="79DD24A9" w14:textId="77777777" w:rsidTr="008D4CE9">
        <w:trPr>
          <w:trHeight w:val="999"/>
        </w:trPr>
        <w:tc>
          <w:tcPr>
            <w:tcW w:w="2142" w:type="dxa"/>
            <w:tcBorders>
              <w:left w:val="single" w:sz="4" w:space="0" w:color="auto"/>
              <w:right w:val="nil"/>
            </w:tcBorders>
            <w:shd w:val="clear" w:color="000000" w:fill="FFFFFF"/>
            <w:tcMar>
              <w:top w:w="85" w:type="dxa"/>
            </w:tcMar>
            <w:hideMark/>
          </w:tcPr>
          <w:p w14:paraId="6459D202"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left w:val="nil"/>
              <w:right w:val="nil"/>
            </w:tcBorders>
            <w:shd w:val="clear" w:color="000000" w:fill="FFFFFF"/>
            <w:tcMar>
              <w:top w:w="85" w:type="dxa"/>
            </w:tcMar>
            <w:hideMark/>
          </w:tcPr>
          <w:p w14:paraId="64DA81A6"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Increase in maturity of Risk Management and Internal controls, in accordance with the Roadmap</w:t>
            </w:r>
          </w:p>
        </w:tc>
        <w:tc>
          <w:tcPr>
            <w:tcW w:w="2420" w:type="dxa"/>
            <w:tcBorders>
              <w:left w:val="nil"/>
              <w:right w:val="nil"/>
            </w:tcBorders>
            <w:shd w:val="clear" w:color="000000" w:fill="FFFFFF"/>
            <w:tcMar>
              <w:top w:w="85" w:type="dxa"/>
            </w:tcMar>
            <w:hideMark/>
          </w:tcPr>
          <w:p w14:paraId="2DAC9EDD"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75% progress on Roadmap for Risk Management; 25% progress on Roadmap for Internal Controls</w:t>
            </w:r>
          </w:p>
        </w:tc>
        <w:tc>
          <w:tcPr>
            <w:tcW w:w="2169" w:type="dxa"/>
            <w:tcBorders>
              <w:left w:val="nil"/>
              <w:right w:val="single" w:sz="4" w:space="0" w:color="auto"/>
            </w:tcBorders>
            <w:shd w:val="clear" w:color="000000" w:fill="FFFFFF"/>
            <w:tcMar>
              <w:top w:w="85" w:type="dxa"/>
            </w:tcMar>
            <w:hideMark/>
          </w:tcPr>
          <w:p w14:paraId="52574ACB"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100% progress on Roadmap for Risk Management; 80% progress on Roadmap for Internal Controls</w:t>
            </w:r>
          </w:p>
        </w:tc>
      </w:tr>
      <w:tr w:rsidR="00DF5D9A" w:rsidRPr="00860634" w14:paraId="11D7E1BA" w14:textId="77777777" w:rsidTr="008D4CE9">
        <w:trPr>
          <w:trHeight w:val="2026"/>
        </w:trPr>
        <w:tc>
          <w:tcPr>
            <w:tcW w:w="2142" w:type="dxa"/>
            <w:tcBorders>
              <w:left w:val="single" w:sz="4" w:space="0" w:color="auto"/>
              <w:bottom w:val="single" w:sz="4" w:space="0" w:color="auto"/>
              <w:right w:val="nil"/>
            </w:tcBorders>
            <w:shd w:val="clear" w:color="000000" w:fill="FFFFFF"/>
            <w:tcMar>
              <w:top w:w="85" w:type="dxa"/>
            </w:tcMar>
            <w:hideMark/>
          </w:tcPr>
          <w:p w14:paraId="33D45C35"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left w:val="nil"/>
              <w:bottom w:val="single" w:sz="4" w:space="0" w:color="auto"/>
              <w:right w:val="nil"/>
            </w:tcBorders>
            <w:shd w:val="clear" w:color="000000" w:fill="FFFFFF"/>
            <w:tcMar>
              <w:top w:w="85" w:type="dxa"/>
            </w:tcMar>
            <w:hideMark/>
          </w:tcPr>
          <w:p w14:paraId="74E23DFC" w14:textId="77777777" w:rsidR="00DF5D9A" w:rsidRPr="00860634" w:rsidRDefault="00DF5D9A" w:rsidP="008D4CE9">
            <w:pPr>
              <w:ind w:left="33"/>
              <w:rPr>
                <w:rFonts w:ascii="Arial" w:hAnsi="Arial" w:cs="Arial"/>
                <w:color w:val="000000"/>
                <w:sz w:val="16"/>
                <w:szCs w:val="16"/>
              </w:rPr>
            </w:pPr>
            <w:r>
              <w:rPr>
                <w:rFonts w:ascii="Arial" w:hAnsi="Arial" w:cs="Arial"/>
                <w:color w:val="000000"/>
                <w:sz w:val="16"/>
                <w:szCs w:val="16"/>
              </w:rPr>
              <w:t xml:space="preserve">Effective follow-up of oversight recommendations </w:t>
            </w:r>
          </w:p>
        </w:tc>
        <w:tc>
          <w:tcPr>
            <w:tcW w:w="2420" w:type="dxa"/>
            <w:tcBorders>
              <w:left w:val="nil"/>
              <w:bottom w:val="single" w:sz="4" w:space="0" w:color="auto"/>
              <w:right w:val="nil"/>
            </w:tcBorders>
            <w:shd w:val="clear" w:color="000000" w:fill="FFFFFF"/>
            <w:tcMar>
              <w:top w:w="85" w:type="dxa"/>
            </w:tcMar>
            <w:hideMark/>
          </w:tcPr>
          <w:p w14:paraId="2670D97F"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EA = 47% rec's closed in 2014 of those outstanding at end 2013 (whole organization)</w:t>
            </w:r>
            <w:r w:rsidRPr="00860634">
              <w:rPr>
                <w:rFonts w:ascii="Arial" w:hAnsi="Arial" w:cs="Arial"/>
                <w:color w:val="000000"/>
                <w:sz w:val="16"/>
                <w:szCs w:val="16"/>
              </w:rPr>
              <w:br/>
              <w:t>IOD = 64 % rec’s closed in 2014 of those outstanding at end 2013 (program 22)</w:t>
            </w:r>
            <w:r w:rsidRPr="00860634">
              <w:rPr>
                <w:rFonts w:ascii="Arial" w:hAnsi="Arial" w:cs="Arial"/>
                <w:color w:val="000000"/>
                <w:sz w:val="16"/>
                <w:szCs w:val="16"/>
              </w:rPr>
              <w:br/>
              <w:t>JIU = 61% rec's closed in 2014 of those outstanding at end 2013 (starting with 2010)</w:t>
            </w:r>
          </w:p>
        </w:tc>
        <w:tc>
          <w:tcPr>
            <w:tcW w:w="2169" w:type="dxa"/>
            <w:tcBorders>
              <w:left w:val="nil"/>
              <w:bottom w:val="single" w:sz="4" w:space="0" w:color="auto"/>
              <w:right w:val="single" w:sz="4" w:space="0" w:color="auto"/>
            </w:tcBorders>
            <w:shd w:val="clear" w:color="000000" w:fill="FFFFFF"/>
            <w:tcMar>
              <w:top w:w="85" w:type="dxa"/>
            </w:tcMar>
            <w:hideMark/>
          </w:tcPr>
          <w:p w14:paraId="525494A8" w14:textId="77777777" w:rsidR="00DF5D9A" w:rsidRPr="00860634" w:rsidRDefault="00DF5D9A" w:rsidP="008D4CE9">
            <w:pPr>
              <w:ind w:left="33"/>
              <w:rPr>
                <w:rFonts w:ascii="Arial" w:hAnsi="Arial" w:cs="Arial"/>
                <w:color w:val="000000"/>
                <w:sz w:val="16"/>
                <w:szCs w:val="16"/>
              </w:rPr>
            </w:pPr>
            <w:r w:rsidRPr="00860634">
              <w:rPr>
                <w:rFonts w:ascii="Arial" w:hAnsi="Arial" w:cs="Arial"/>
                <w:color w:val="000000"/>
                <w:sz w:val="16"/>
                <w:szCs w:val="16"/>
              </w:rPr>
              <w:t>EA = 55% for rec's closed in 2016/17 out of those outstanding at end 2015</w:t>
            </w:r>
            <w:r w:rsidRPr="00860634">
              <w:rPr>
                <w:rFonts w:ascii="Arial" w:hAnsi="Arial" w:cs="Arial"/>
                <w:color w:val="000000"/>
                <w:sz w:val="16"/>
                <w:szCs w:val="16"/>
              </w:rPr>
              <w:br/>
              <w:t>IOD = 70% for rec's closed in 2016/17 out of those outstanding at end 2015</w:t>
            </w:r>
            <w:r w:rsidRPr="00860634">
              <w:rPr>
                <w:rFonts w:ascii="Arial" w:hAnsi="Arial" w:cs="Arial"/>
                <w:color w:val="000000"/>
                <w:sz w:val="16"/>
                <w:szCs w:val="16"/>
              </w:rPr>
              <w:br/>
              <w:t>JIU = 70% for rec's closed in 2016/17 out of those outstanding at end 2015 (starting with 2010)</w:t>
            </w:r>
          </w:p>
        </w:tc>
      </w:tr>
    </w:tbl>
    <w:p w14:paraId="21FB573E" w14:textId="77777777" w:rsidR="00DF5D9A" w:rsidRDefault="00DF5D9A">
      <w:pPr>
        <w:rPr>
          <w:rFonts w:ascii="Arial" w:hAnsi="Arial" w:cs="Arial"/>
          <w:sz w:val="20"/>
        </w:rPr>
      </w:pPr>
    </w:p>
    <w:p w14:paraId="424EA19E" w14:textId="77777777" w:rsidR="00DF5D9A" w:rsidRDefault="00DF5D9A" w:rsidP="00FB68E0">
      <w:pPr>
        <w:rPr>
          <w:rFonts w:ascii="Arial" w:hAnsi="Arial" w:cs="Arial"/>
          <w:sz w:val="20"/>
        </w:rPr>
      </w:pPr>
    </w:p>
    <w:p w14:paraId="5D9AF7CC" w14:textId="77777777" w:rsidR="00DF5D9A" w:rsidRDefault="00DF5D9A" w:rsidP="00FB68E0">
      <w:pPr>
        <w:rPr>
          <w:rFonts w:ascii="Arial" w:hAnsi="Arial" w:cs="Arial"/>
        </w:rPr>
      </w:pPr>
      <w:r>
        <w:rPr>
          <w:rFonts w:ascii="Arial" w:hAnsi="Arial" w:cs="Arial"/>
        </w:rPr>
        <w:lastRenderedPageBreak/>
        <w:t>RESOURCES FOR PROGRAM 22</w:t>
      </w:r>
    </w:p>
    <w:p w14:paraId="1D213F4D" w14:textId="77777777" w:rsidR="00DF5D9A" w:rsidRDefault="00DF5D9A" w:rsidP="00FB68E0">
      <w:pPr>
        <w:rPr>
          <w:rFonts w:ascii="Arial" w:hAnsi="Arial" w:cs="Arial"/>
        </w:rPr>
      </w:pPr>
    </w:p>
    <w:p w14:paraId="1F863FEC" w14:textId="0BDD1FFF" w:rsidR="00DF5D9A" w:rsidRDefault="00DF5D9A" w:rsidP="00B66A4A">
      <w:pPr>
        <w:numPr>
          <w:ilvl w:val="0"/>
          <w:numId w:val="25"/>
        </w:numPr>
        <w:jc w:val="both"/>
        <w:rPr>
          <w:rFonts w:ascii="Arial" w:eastAsia="Times New Roman" w:hAnsi="Arial" w:cs="Arial"/>
          <w:sz w:val="20"/>
          <w:szCs w:val="20"/>
        </w:rPr>
      </w:pPr>
      <w:r w:rsidRPr="0076176F">
        <w:rPr>
          <w:rFonts w:ascii="Arial" w:hAnsi="Arial" w:cs="Arial"/>
          <w:sz w:val="20"/>
        </w:rPr>
        <w:t xml:space="preserve">An overall increase </w:t>
      </w:r>
      <w:r w:rsidRPr="00FB68E0">
        <w:rPr>
          <w:rFonts w:ascii="Arial" w:eastAsia="Times New Roman" w:hAnsi="Arial" w:cs="Arial"/>
          <w:sz w:val="20"/>
          <w:szCs w:val="20"/>
        </w:rPr>
        <w:t xml:space="preserve">of 5 million Swiss francs </w:t>
      </w:r>
      <w:r w:rsidRPr="0076176F">
        <w:rPr>
          <w:rFonts w:ascii="Arial" w:hAnsi="Arial" w:cs="Arial"/>
          <w:sz w:val="20"/>
        </w:rPr>
        <w:t xml:space="preserve">in 2016/17 can be observed </w:t>
      </w:r>
      <w:r w:rsidRPr="00FB68E0">
        <w:rPr>
          <w:rFonts w:ascii="Arial" w:eastAsia="Times New Roman" w:hAnsi="Arial" w:cs="Arial"/>
          <w:sz w:val="20"/>
          <w:szCs w:val="20"/>
        </w:rPr>
        <w:t xml:space="preserve">compared to the 2014/15 Budget after </w:t>
      </w:r>
      <w:r w:rsidRPr="0076176F">
        <w:rPr>
          <w:rFonts w:ascii="Arial" w:hAnsi="Arial" w:cs="Arial"/>
          <w:sz w:val="20"/>
        </w:rPr>
        <w:t>T</w:t>
      </w:r>
      <w:r w:rsidRPr="00FB68E0">
        <w:rPr>
          <w:rFonts w:ascii="Arial" w:eastAsia="Times New Roman" w:hAnsi="Arial" w:cs="Arial"/>
          <w:sz w:val="20"/>
          <w:szCs w:val="20"/>
        </w:rPr>
        <w:t>ransfer</w:t>
      </w:r>
      <w:r w:rsidRPr="0076176F">
        <w:rPr>
          <w:rFonts w:ascii="Arial" w:hAnsi="Arial" w:cs="Arial"/>
          <w:sz w:val="20"/>
        </w:rPr>
        <w:t>s</w:t>
      </w:r>
      <w:r w:rsidRPr="00FB68E0">
        <w:rPr>
          <w:rFonts w:ascii="Arial" w:eastAsia="Times New Roman" w:hAnsi="Arial" w:cs="Arial"/>
          <w:sz w:val="20"/>
          <w:szCs w:val="20"/>
        </w:rPr>
        <w:t xml:space="preserve">. The net increase under Expected Result IX.1 is mainly due to </w:t>
      </w:r>
      <w:r w:rsidRPr="0076176F">
        <w:rPr>
          <w:rFonts w:ascii="Arial" w:hAnsi="Arial" w:cs="Arial"/>
          <w:sz w:val="20"/>
        </w:rPr>
        <w:t>an</w:t>
      </w:r>
      <w:r w:rsidRPr="00FB68E0">
        <w:rPr>
          <w:rFonts w:ascii="Arial" w:eastAsia="Times New Roman" w:hAnsi="Arial" w:cs="Arial"/>
          <w:sz w:val="20"/>
          <w:szCs w:val="20"/>
        </w:rPr>
        <w:t xml:space="preserve"> additional 1.6 million Swiss francs </w:t>
      </w:r>
      <w:r w:rsidRPr="0076176F">
        <w:rPr>
          <w:rFonts w:ascii="Arial" w:hAnsi="Arial" w:cs="Arial"/>
          <w:sz w:val="20"/>
        </w:rPr>
        <w:t xml:space="preserve">in non-personnel resources for the absorption into operations of the new modules and capabilities of the </w:t>
      </w:r>
      <w:r w:rsidRPr="00FB68E0">
        <w:rPr>
          <w:rFonts w:ascii="Arial" w:eastAsia="Times New Roman" w:hAnsi="Arial" w:cs="Arial"/>
          <w:sz w:val="20"/>
          <w:szCs w:val="20"/>
        </w:rPr>
        <w:t xml:space="preserve">ERP </w:t>
      </w:r>
      <w:r w:rsidRPr="0076176F">
        <w:rPr>
          <w:rFonts w:ascii="Arial" w:hAnsi="Arial" w:cs="Arial"/>
          <w:sz w:val="20"/>
        </w:rPr>
        <w:t>system as well as an</w:t>
      </w:r>
      <w:r w:rsidRPr="00FB68E0">
        <w:rPr>
          <w:rFonts w:ascii="Arial" w:eastAsia="Times New Roman" w:hAnsi="Arial" w:cs="Arial"/>
          <w:sz w:val="20"/>
          <w:szCs w:val="20"/>
        </w:rPr>
        <w:t xml:space="preserve"> additional 4.3 million increase under ER IX.</w:t>
      </w:r>
      <w:r w:rsidR="005C0B8F">
        <w:rPr>
          <w:rFonts w:ascii="Arial" w:hAnsi="Arial" w:cs="Arial"/>
          <w:sz w:val="20"/>
        </w:rPr>
        <w:t>2</w:t>
      </w:r>
      <w:r w:rsidRPr="00FB68E0">
        <w:rPr>
          <w:rFonts w:ascii="Arial" w:eastAsia="Times New Roman" w:hAnsi="Arial" w:cs="Arial"/>
          <w:sz w:val="20"/>
          <w:szCs w:val="20"/>
        </w:rPr>
        <w:t xml:space="preserve"> related to </w:t>
      </w:r>
      <w:r w:rsidRPr="0076176F">
        <w:rPr>
          <w:rFonts w:ascii="Arial" w:hAnsi="Arial" w:cs="Arial"/>
          <w:sz w:val="20"/>
        </w:rPr>
        <w:t xml:space="preserve">the </w:t>
      </w:r>
      <w:r w:rsidRPr="00FB68E0">
        <w:rPr>
          <w:rFonts w:ascii="Arial" w:eastAsia="Times New Roman" w:hAnsi="Arial" w:cs="Arial"/>
          <w:sz w:val="20"/>
          <w:szCs w:val="20"/>
        </w:rPr>
        <w:t xml:space="preserve">provision </w:t>
      </w:r>
      <w:r w:rsidRPr="0076176F">
        <w:rPr>
          <w:rFonts w:ascii="Arial" w:hAnsi="Arial" w:cs="Arial"/>
          <w:sz w:val="20"/>
        </w:rPr>
        <w:t>for</w:t>
      </w:r>
      <w:r w:rsidRPr="00FB68E0">
        <w:rPr>
          <w:rFonts w:ascii="Arial" w:eastAsia="Times New Roman" w:hAnsi="Arial" w:cs="Arial"/>
          <w:sz w:val="20"/>
          <w:szCs w:val="20"/>
        </w:rPr>
        <w:t xml:space="preserve"> negative </w:t>
      </w:r>
      <w:r w:rsidRPr="0076176F">
        <w:rPr>
          <w:rFonts w:ascii="Arial" w:hAnsi="Arial" w:cs="Arial"/>
          <w:sz w:val="20"/>
        </w:rPr>
        <w:t xml:space="preserve">interest rates on Swiss franc deposits </w:t>
      </w:r>
      <w:r w:rsidRPr="00FB68E0">
        <w:rPr>
          <w:rFonts w:ascii="Arial" w:eastAsia="Times New Roman" w:hAnsi="Arial" w:cs="Arial"/>
          <w:sz w:val="20"/>
          <w:szCs w:val="20"/>
        </w:rPr>
        <w:t xml:space="preserve">(2.4 million Swiss francs) and statutory increases under personnel. The marginal increase under ER IX.3 takes into account resources planned for ERM, </w:t>
      </w:r>
      <w:r w:rsidRPr="0076176F">
        <w:rPr>
          <w:rFonts w:ascii="Arial" w:hAnsi="Arial" w:cs="Arial"/>
          <w:sz w:val="20"/>
        </w:rPr>
        <w:t xml:space="preserve">strengthening of </w:t>
      </w:r>
      <w:r w:rsidRPr="00FB68E0">
        <w:rPr>
          <w:rFonts w:ascii="Arial" w:eastAsia="Times New Roman" w:hAnsi="Arial" w:cs="Arial"/>
          <w:sz w:val="20"/>
          <w:szCs w:val="20"/>
        </w:rPr>
        <w:t xml:space="preserve">internal controls as well as the transfer </w:t>
      </w:r>
      <w:r w:rsidRPr="0076176F">
        <w:rPr>
          <w:rFonts w:ascii="Arial" w:hAnsi="Arial" w:cs="Arial"/>
          <w:sz w:val="20"/>
        </w:rPr>
        <w:t xml:space="preserve">of responsibilities for </w:t>
      </w:r>
      <w:r w:rsidR="008B075D">
        <w:rPr>
          <w:rFonts w:ascii="Arial" w:hAnsi="Arial" w:cs="Arial"/>
          <w:sz w:val="20"/>
        </w:rPr>
        <w:t xml:space="preserve">JIU coordination </w:t>
      </w:r>
      <w:r w:rsidR="008B075D">
        <w:rPr>
          <w:rFonts w:ascii="Arial" w:eastAsia="Times New Roman" w:hAnsi="Arial" w:cs="Arial"/>
          <w:sz w:val="20"/>
          <w:szCs w:val="20"/>
        </w:rPr>
        <w:t xml:space="preserve">and related costs </w:t>
      </w:r>
      <w:r w:rsidRPr="00FB68E0">
        <w:rPr>
          <w:rFonts w:ascii="Arial" w:eastAsia="Times New Roman" w:hAnsi="Arial" w:cs="Arial"/>
          <w:sz w:val="20"/>
          <w:szCs w:val="20"/>
        </w:rPr>
        <w:t xml:space="preserve">from Program 24 </w:t>
      </w:r>
      <w:r w:rsidRPr="0076176F">
        <w:rPr>
          <w:rFonts w:ascii="Arial" w:hAnsi="Arial" w:cs="Arial"/>
          <w:sz w:val="20"/>
        </w:rPr>
        <w:t xml:space="preserve">(General Support Services) </w:t>
      </w:r>
      <w:r w:rsidRPr="00FB68E0">
        <w:rPr>
          <w:rFonts w:ascii="Arial" w:eastAsia="Times New Roman" w:hAnsi="Arial" w:cs="Arial"/>
          <w:sz w:val="20"/>
          <w:szCs w:val="20"/>
        </w:rPr>
        <w:t xml:space="preserve">into the </w:t>
      </w:r>
      <w:r w:rsidRPr="0076176F">
        <w:rPr>
          <w:rFonts w:ascii="Arial" w:hAnsi="Arial" w:cs="Arial"/>
          <w:sz w:val="20"/>
        </w:rPr>
        <w:t>Pr</w:t>
      </w:r>
      <w:r w:rsidRPr="00FB68E0">
        <w:rPr>
          <w:rFonts w:ascii="Arial" w:eastAsia="Times New Roman" w:hAnsi="Arial" w:cs="Arial"/>
          <w:sz w:val="20"/>
          <w:szCs w:val="20"/>
        </w:rPr>
        <w:t xml:space="preserve">ogram. </w:t>
      </w:r>
    </w:p>
    <w:p w14:paraId="738797F6" w14:textId="77777777" w:rsidR="0023213C" w:rsidRDefault="0023213C" w:rsidP="00FB68E0">
      <w:pPr>
        <w:ind w:left="6"/>
        <w:jc w:val="both"/>
        <w:rPr>
          <w:rFonts w:ascii="Arial" w:eastAsia="Times New Roman" w:hAnsi="Arial" w:cs="Arial"/>
          <w:sz w:val="20"/>
          <w:szCs w:val="20"/>
        </w:rPr>
      </w:pPr>
    </w:p>
    <w:p w14:paraId="39A7C043" w14:textId="3D211EBA" w:rsidR="0023213C" w:rsidRPr="00FB68E0" w:rsidRDefault="0023213C" w:rsidP="00B66A4A">
      <w:pPr>
        <w:numPr>
          <w:ilvl w:val="0"/>
          <w:numId w:val="25"/>
        </w:numPr>
        <w:jc w:val="both"/>
        <w:rPr>
          <w:rFonts w:ascii="Arial" w:eastAsia="Times New Roman" w:hAnsi="Arial" w:cs="Arial"/>
          <w:sz w:val="20"/>
          <w:szCs w:val="20"/>
        </w:rPr>
      </w:pPr>
      <w:r>
        <w:rPr>
          <w:rFonts w:ascii="Arial" w:eastAsia="Times New Roman" w:hAnsi="Arial" w:cs="Arial"/>
          <w:sz w:val="20"/>
          <w:szCs w:val="20"/>
        </w:rPr>
        <w:t>The resources associated with Expected Result IX.8 reflect the budgetary provision for External Audit</w:t>
      </w:r>
      <w:r w:rsidR="00B345FA">
        <w:rPr>
          <w:rFonts w:ascii="Arial" w:eastAsia="Times New Roman" w:hAnsi="Arial" w:cs="Arial"/>
          <w:sz w:val="20"/>
          <w:szCs w:val="20"/>
        </w:rPr>
        <w:t xml:space="preserve">ors and the Independent Advisory Oversight Committee (IAOC). The provision of non-personnel resources for the IAOC </w:t>
      </w:r>
      <w:r w:rsidR="00D50719">
        <w:rPr>
          <w:rFonts w:ascii="Arial" w:eastAsia="Times New Roman" w:hAnsi="Arial" w:cs="Arial"/>
          <w:sz w:val="20"/>
          <w:szCs w:val="20"/>
        </w:rPr>
        <w:t xml:space="preserve">amounts to 446,600 Swiss francs, an increase of </w:t>
      </w:r>
      <w:r>
        <w:rPr>
          <w:rFonts w:ascii="Arial" w:eastAsia="Times New Roman" w:hAnsi="Arial" w:cs="Arial"/>
          <w:sz w:val="20"/>
          <w:szCs w:val="20"/>
        </w:rPr>
        <w:t>.</w:t>
      </w:r>
      <w:r w:rsidR="00D50719">
        <w:rPr>
          <w:rFonts w:ascii="Arial" w:eastAsia="Times New Roman" w:hAnsi="Arial" w:cs="Arial"/>
          <w:sz w:val="20"/>
          <w:szCs w:val="20"/>
        </w:rPr>
        <w:t xml:space="preserve">14 percent compared to the 2014/15 Approved Budget. </w:t>
      </w:r>
    </w:p>
    <w:p w14:paraId="7C4EF721" w14:textId="77777777" w:rsidR="00DF5D9A" w:rsidRDefault="00DF5D9A" w:rsidP="00E641D8">
      <w:pPr>
        <w:pStyle w:val="NormalWeb"/>
        <w:shd w:val="clear" w:color="auto" w:fill="FFFFFF"/>
        <w:rPr>
          <w:rFonts w:ascii="Calibri" w:hAnsi="Calibri"/>
          <w:color w:val="000000"/>
        </w:rPr>
      </w:pPr>
    </w:p>
    <w:p w14:paraId="7C6BA83E" w14:textId="77777777" w:rsidR="00DF5D9A" w:rsidRDefault="00DF5D9A" w:rsidP="00E641D8">
      <w:pPr>
        <w:rPr>
          <w:rFonts w:ascii="Arial" w:hAnsi="Arial" w:cs="Arial"/>
        </w:rPr>
      </w:pPr>
    </w:p>
    <w:p w14:paraId="49224B15" w14:textId="77777777" w:rsidR="00DF5D9A" w:rsidRDefault="00DF5D9A">
      <w:pPr>
        <w:tabs>
          <w:tab w:val="left" w:pos="1427"/>
        </w:tabs>
        <w:jc w:val="center"/>
        <w:rPr>
          <w:rFonts w:ascii="Arial" w:hAnsi="Arial" w:cs="Arial"/>
          <w:sz w:val="20"/>
        </w:rPr>
      </w:pPr>
      <w:r>
        <w:rPr>
          <w:rFonts w:ascii="Arial" w:hAnsi="Arial" w:cs="Arial"/>
          <w:b/>
          <w:sz w:val="20"/>
          <w:szCs w:val="24"/>
        </w:rPr>
        <w:t>Program 22:  Resources by Result</w:t>
      </w:r>
    </w:p>
    <w:p w14:paraId="43A74882" w14:textId="77777777" w:rsidR="00DF5D9A" w:rsidRDefault="00DF5D9A">
      <w:pPr>
        <w:tabs>
          <w:tab w:val="left" w:pos="1427"/>
        </w:tabs>
        <w:jc w:val="center"/>
        <w:rPr>
          <w:rFonts w:ascii="Arial" w:hAnsi="Arial" w:cs="Arial"/>
          <w:i/>
          <w:sz w:val="20"/>
          <w:szCs w:val="24"/>
        </w:rPr>
      </w:pPr>
      <w:r>
        <w:rPr>
          <w:rFonts w:ascii="Arial" w:hAnsi="Arial" w:cs="Arial"/>
          <w:i/>
          <w:sz w:val="20"/>
          <w:szCs w:val="24"/>
        </w:rPr>
        <w:t>(In thousands of Swiss francs)</w:t>
      </w:r>
    </w:p>
    <w:p w14:paraId="039581F1" w14:textId="77777777" w:rsidR="00DF5D9A" w:rsidRDefault="00DF5D9A">
      <w:pPr>
        <w:tabs>
          <w:tab w:val="left" w:pos="1427"/>
        </w:tabs>
        <w:jc w:val="center"/>
        <w:rPr>
          <w:rFonts w:ascii="Arial" w:hAnsi="Arial" w:cs="Arial"/>
          <w:i/>
          <w:sz w:val="20"/>
          <w:szCs w:val="24"/>
        </w:rPr>
      </w:pPr>
    </w:p>
    <w:p w14:paraId="19A69E72" w14:textId="77777777" w:rsidR="00DF5D9A" w:rsidRDefault="00DF5D9A">
      <w:pPr>
        <w:tabs>
          <w:tab w:val="left" w:pos="1427"/>
        </w:tabs>
        <w:jc w:val="center"/>
        <w:rPr>
          <w:rFonts w:ascii="Arial" w:hAnsi="Arial" w:cs="Arial"/>
          <w:i/>
          <w:sz w:val="20"/>
          <w:szCs w:val="24"/>
        </w:rPr>
      </w:pPr>
      <w:r w:rsidRPr="0076176F">
        <w:rPr>
          <w:noProof/>
          <w:lang w:eastAsia="en-US"/>
        </w:rPr>
        <w:drawing>
          <wp:inline distT="0" distB="0" distL="0" distR="0" wp14:anchorId="17CC5336" wp14:editId="305B18FB">
            <wp:extent cx="5128591" cy="2620301"/>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45122" cy="2628747"/>
                    </a:xfrm>
                    <a:prstGeom prst="rect">
                      <a:avLst/>
                    </a:prstGeom>
                    <a:noFill/>
                    <a:ln>
                      <a:noFill/>
                    </a:ln>
                  </pic:spPr>
                </pic:pic>
              </a:graphicData>
            </a:graphic>
          </wp:inline>
        </w:drawing>
      </w:r>
    </w:p>
    <w:p w14:paraId="28192F1E" w14:textId="77777777" w:rsidR="00DF5D9A" w:rsidRDefault="00DF5D9A" w:rsidP="00E641D8">
      <w:pPr>
        <w:tabs>
          <w:tab w:val="left" w:pos="1427"/>
        </w:tabs>
        <w:rPr>
          <w:rFonts w:ascii="Arial" w:hAnsi="Arial" w:cs="Arial"/>
          <w:i/>
          <w:sz w:val="20"/>
          <w:szCs w:val="24"/>
        </w:rPr>
      </w:pPr>
    </w:p>
    <w:p w14:paraId="6931521C" w14:textId="77777777" w:rsidR="00DF5D9A" w:rsidRDefault="00DF5D9A" w:rsidP="00E641D8">
      <w:pPr>
        <w:tabs>
          <w:tab w:val="left" w:pos="1427"/>
        </w:tabs>
        <w:rPr>
          <w:rFonts w:ascii="Arial" w:hAnsi="Arial" w:cs="Arial"/>
          <w:i/>
          <w:sz w:val="20"/>
          <w:szCs w:val="24"/>
        </w:rPr>
      </w:pPr>
    </w:p>
    <w:p w14:paraId="2427EF90" w14:textId="77777777" w:rsidR="00DF5D9A" w:rsidRDefault="00DF5D9A" w:rsidP="00E641D8">
      <w:pPr>
        <w:rPr>
          <w:rFonts w:ascii="Arial" w:hAnsi="Arial" w:cs="Arial"/>
          <w:b/>
          <w:sz w:val="20"/>
          <w:szCs w:val="24"/>
        </w:rPr>
      </w:pPr>
      <w:r>
        <w:rPr>
          <w:rFonts w:ascii="Arial" w:hAnsi="Arial" w:cs="Arial"/>
          <w:b/>
          <w:sz w:val="20"/>
          <w:szCs w:val="24"/>
        </w:rPr>
        <w:br w:type="page"/>
      </w:r>
    </w:p>
    <w:p w14:paraId="2B1E36AA" w14:textId="77777777" w:rsidR="00DF5D9A" w:rsidRDefault="00DF5D9A">
      <w:pPr>
        <w:tabs>
          <w:tab w:val="left" w:pos="1427"/>
        </w:tabs>
        <w:jc w:val="center"/>
        <w:rPr>
          <w:rFonts w:ascii="Arial" w:hAnsi="Arial" w:cs="Arial"/>
          <w:sz w:val="20"/>
        </w:rPr>
      </w:pPr>
      <w:r>
        <w:rPr>
          <w:rFonts w:ascii="Arial" w:hAnsi="Arial" w:cs="Arial"/>
          <w:b/>
          <w:sz w:val="20"/>
          <w:szCs w:val="24"/>
        </w:rPr>
        <w:lastRenderedPageBreak/>
        <w:t>Program 22:  Resources by Object of Expenditure</w:t>
      </w:r>
    </w:p>
    <w:p w14:paraId="4123D8F2" w14:textId="77777777" w:rsidR="00DF5D9A" w:rsidRDefault="00DF5D9A">
      <w:pPr>
        <w:tabs>
          <w:tab w:val="left" w:pos="1427"/>
        </w:tabs>
        <w:jc w:val="center"/>
        <w:rPr>
          <w:rFonts w:ascii="Arial" w:hAnsi="Arial" w:cs="Arial"/>
          <w:i/>
          <w:sz w:val="20"/>
          <w:szCs w:val="24"/>
        </w:rPr>
      </w:pPr>
      <w:r>
        <w:rPr>
          <w:rFonts w:ascii="Arial" w:hAnsi="Arial" w:cs="Arial"/>
          <w:i/>
          <w:sz w:val="20"/>
          <w:szCs w:val="24"/>
        </w:rPr>
        <w:t>(In thousands of Swiss francs)</w:t>
      </w:r>
    </w:p>
    <w:p w14:paraId="174696CE" w14:textId="77777777" w:rsidR="00DF5D9A" w:rsidRDefault="00DF5D9A">
      <w:pPr>
        <w:tabs>
          <w:tab w:val="left" w:pos="1427"/>
        </w:tabs>
        <w:jc w:val="center"/>
        <w:rPr>
          <w:rFonts w:ascii="Arial" w:hAnsi="Arial" w:cs="Arial"/>
          <w:i/>
          <w:sz w:val="20"/>
          <w:szCs w:val="24"/>
        </w:rPr>
      </w:pPr>
    </w:p>
    <w:p w14:paraId="0A141CFA" w14:textId="77777777" w:rsidR="00DF5D9A" w:rsidRDefault="00DF5D9A" w:rsidP="00BC77A3">
      <w:pPr>
        <w:jc w:val="center"/>
        <w:rPr>
          <w:rFonts w:ascii="Arial" w:hAnsi="Arial" w:cs="Arial"/>
          <w:sz w:val="20"/>
        </w:rPr>
      </w:pPr>
      <w:r w:rsidRPr="003D232B">
        <w:rPr>
          <w:noProof/>
          <w:lang w:eastAsia="en-US"/>
        </w:rPr>
        <w:drawing>
          <wp:inline distT="0" distB="0" distL="0" distR="0" wp14:anchorId="7F73FD5E" wp14:editId="7411381A">
            <wp:extent cx="5218116" cy="5876014"/>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28132" cy="5887292"/>
                    </a:xfrm>
                    <a:prstGeom prst="rect">
                      <a:avLst/>
                    </a:prstGeom>
                    <a:noFill/>
                    <a:ln>
                      <a:noFill/>
                    </a:ln>
                  </pic:spPr>
                </pic:pic>
              </a:graphicData>
            </a:graphic>
          </wp:inline>
        </w:drawing>
      </w:r>
    </w:p>
    <w:p w14:paraId="40A868E1" w14:textId="77777777" w:rsidR="00DF5D9A" w:rsidRPr="0082048C" w:rsidRDefault="00DF5D9A" w:rsidP="00E641D8">
      <w:pPr>
        <w:rPr>
          <w:rFonts w:ascii="Arial" w:hAnsi="Arial" w:cs="Arial"/>
          <w:sz w:val="20"/>
        </w:rPr>
      </w:pPr>
    </w:p>
    <w:p w14:paraId="5528DFFC" w14:textId="77777777" w:rsidR="00DF5D9A" w:rsidRDefault="00DF5D9A">
      <w:pPr>
        <w:rPr>
          <w:rFonts w:ascii="Arial" w:hAnsi="Arial" w:cs="Arial"/>
          <w:sz w:val="20"/>
        </w:rPr>
      </w:pPr>
    </w:p>
    <w:p w14:paraId="181C060C" w14:textId="77777777" w:rsidR="00984F70" w:rsidRDefault="00984F70">
      <w:pPr>
        <w:rPr>
          <w:rFonts w:ascii="Arial" w:hAnsi="Arial" w:cs="Arial"/>
          <w:sz w:val="20"/>
        </w:rPr>
      </w:pPr>
      <w:r>
        <w:rPr>
          <w:rFonts w:ascii="Arial" w:hAnsi="Arial" w:cs="Arial"/>
          <w:sz w:val="20"/>
        </w:rPr>
        <w:br w:type="page"/>
      </w:r>
    </w:p>
    <w:p w14:paraId="36CE09EF" w14:textId="65708544" w:rsidR="00992C5E" w:rsidRPr="007A45E0" w:rsidRDefault="00992C5E" w:rsidP="00992C5E">
      <w:pPr>
        <w:pStyle w:val="StyleHeading3ComplexItalic"/>
        <w:rPr>
          <w:rStyle w:val="StyleStyleHeading3ComplexItalicLatin12ptChar"/>
          <w:rFonts w:eastAsia="SimSun"/>
          <w:b/>
          <w:szCs w:val="24"/>
        </w:rPr>
      </w:pPr>
      <w:bookmarkStart w:id="72" w:name="_Toc431221438"/>
      <w:r w:rsidRPr="00992C5E">
        <w:rPr>
          <w:rStyle w:val="StyleStyleHeading3ComplexItalicLatin12ptChar"/>
          <w:rFonts w:eastAsia="SimSun"/>
          <w:b/>
          <w:szCs w:val="24"/>
        </w:rPr>
        <w:lastRenderedPageBreak/>
        <w:t xml:space="preserve">PROGRAM 23 </w:t>
      </w:r>
      <w:r w:rsidRPr="00992C5E">
        <w:rPr>
          <w:rStyle w:val="StyleStyleHeading3ComplexItalicLatin12ptChar"/>
          <w:rFonts w:eastAsia="SimSun"/>
          <w:b/>
          <w:szCs w:val="24"/>
        </w:rPr>
        <w:tab/>
        <w:t>HUMAN RESOURCES MANAGEMENT AND DEVELOPMENT</w:t>
      </w:r>
      <w:bookmarkEnd w:id="72"/>
    </w:p>
    <w:p w14:paraId="195FD897" w14:textId="77777777" w:rsidR="00992C5E" w:rsidRDefault="00992C5E" w:rsidP="00E641D8">
      <w:pPr>
        <w:rPr>
          <w:rFonts w:ascii="Arial" w:hAnsi="Arial" w:cs="Arial"/>
          <w:sz w:val="20"/>
          <w:szCs w:val="20"/>
        </w:rPr>
      </w:pPr>
    </w:p>
    <w:p w14:paraId="28B5808F" w14:textId="77777777" w:rsidR="007A45E0" w:rsidRDefault="007A45E0" w:rsidP="00E641D8">
      <w:pPr>
        <w:rPr>
          <w:rFonts w:ascii="Arial" w:hAnsi="Arial" w:cs="Arial"/>
          <w:szCs w:val="20"/>
        </w:rPr>
      </w:pPr>
    </w:p>
    <w:p w14:paraId="0D04C644" w14:textId="77777777" w:rsidR="00992C5E" w:rsidRPr="00E55523" w:rsidRDefault="00992C5E" w:rsidP="00E641D8">
      <w:pPr>
        <w:rPr>
          <w:rFonts w:ascii="Arial" w:hAnsi="Arial" w:cs="Arial"/>
          <w:szCs w:val="20"/>
        </w:rPr>
      </w:pPr>
      <w:r w:rsidRPr="00E55523">
        <w:rPr>
          <w:rFonts w:ascii="Arial" w:hAnsi="Arial" w:cs="Arial"/>
          <w:szCs w:val="20"/>
        </w:rPr>
        <w:t>PLANNING CONTEXT</w:t>
      </w:r>
    </w:p>
    <w:p w14:paraId="0B36D508" w14:textId="77777777" w:rsidR="00992C5E" w:rsidRDefault="00992C5E" w:rsidP="00E641D8">
      <w:pPr>
        <w:rPr>
          <w:rFonts w:ascii="Arial" w:hAnsi="Arial" w:cs="Arial"/>
          <w:sz w:val="20"/>
          <w:szCs w:val="20"/>
        </w:rPr>
      </w:pPr>
    </w:p>
    <w:p w14:paraId="51973B78" w14:textId="3AA40078" w:rsidR="00992C5E" w:rsidRPr="00A250F9" w:rsidRDefault="00992C5E" w:rsidP="00B66A4A">
      <w:pPr>
        <w:pStyle w:val="ListParagraph"/>
        <w:numPr>
          <w:ilvl w:val="0"/>
          <w:numId w:val="23"/>
        </w:numPr>
        <w:tabs>
          <w:tab w:val="left" w:pos="709"/>
        </w:tabs>
        <w:ind w:left="0" w:firstLine="0"/>
        <w:jc w:val="both"/>
        <w:rPr>
          <w:rFonts w:ascii="Arial" w:hAnsi="Arial" w:cs="Arial"/>
          <w:sz w:val="20"/>
          <w:szCs w:val="20"/>
        </w:rPr>
      </w:pPr>
      <w:r w:rsidRPr="00A250F9">
        <w:rPr>
          <w:rFonts w:ascii="Arial" w:hAnsi="Arial" w:cs="Arial"/>
          <w:sz w:val="20"/>
          <w:szCs w:val="20"/>
        </w:rPr>
        <w:t xml:space="preserve">In order to achieve its substantive goals, WIPO must have an efficient Secretariat with a well-managed and appropriately-skilled workforce coupled with clear policies, efficient procedures and modern systems.  Many of the challenges faced by the Organization in this context have been addressed through the implementation of the Human Resources Strategy. Some challenges however still remain to be addressed, in particular, </w:t>
      </w:r>
      <w:r w:rsidR="00997275">
        <w:rPr>
          <w:rFonts w:ascii="Arial" w:hAnsi="Arial" w:cs="Arial"/>
          <w:sz w:val="20"/>
          <w:szCs w:val="20"/>
        </w:rPr>
        <w:t xml:space="preserve">ensuring that staff </w:t>
      </w:r>
      <w:r w:rsidRPr="00A250F9">
        <w:rPr>
          <w:rFonts w:ascii="Arial" w:hAnsi="Arial" w:cs="Arial"/>
          <w:sz w:val="20"/>
          <w:szCs w:val="20"/>
        </w:rPr>
        <w:t xml:space="preserve">skills and competencies </w:t>
      </w:r>
      <w:r w:rsidR="00997275">
        <w:rPr>
          <w:rFonts w:ascii="Arial" w:hAnsi="Arial" w:cs="Arial"/>
          <w:sz w:val="20"/>
          <w:szCs w:val="20"/>
        </w:rPr>
        <w:t xml:space="preserve">are adequate </w:t>
      </w:r>
      <w:r w:rsidRPr="00A250F9">
        <w:rPr>
          <w:rFonts w:ascii="Arial" w:hAnsi="Arial" w:cs="Arial"/>
          <w:sz w:val="20"/>
          <w:szCs w:val="20"/>
        </w:rPr>
        <w:t xml:space="preserve">to meet the Organization’s </w:t>
      </w:r>
      <w:r w:rsidR="009B57F9">
        <w:rPr>
          <w:rFonts w:ascii="Arial" w:hAnsi="Arial" w:cs="Arial"/>
          <w:sz w:val="20"/>
          <w:szCs w:val="20"/>
        </w:rPr>
        <w:t>evolving</w:t>
      </w:r>
      <w:r w:rsidR="009B57F9" w:rsidRPr="00A250F9">
        <w:rPr>
          <w:rFonts w:ascii="Arial" w:hAnsi="Arial" w:cs="Arial"/>
          <w:sz w:val="20"/>
          <w:szCs w:val="20"/>
        </w:rPr>
        <w:t xml:space="preserve"> </w:t>
      </w:r>
      <w:r w:rsidRPr="00A250F9">
        <w:rPr>
          <w:rFonts w:ascii="Arial" w:hAnsi="Arial" w:cs="Arial"/>
          <w:sz w:val="20"/>
          <w:szCs w:val="20"/>
        </w:rPr>
        <w:t xml:space="preserve">needs, as well as </w:t>
      </w:r>
      <w:r w:rsidR="00BC57C8">
        <w:rPr>
          <w:rFonts w:ascii="Arial" w:hAnsi="Arial" w:cs="Arial"/>
          <w:sz w:val="20"/>
          <w:szCs w:val="20"/>
        </w:rPr>
        <w:t>enhancing</w:t>
      </w:r>
      <w:r w:rsidR="00997275">
        <w:rPr>
          <w:rFonts w:ascii="Arial" w:hAnsi="Arial" w:cs="Arial"/>
          <w:sz w:val="20"/>
          <w:szCs w:val="20"/>
        </w:rPr>
        <w:t xml:space="preserve"> </w:t>
      </w:r>
      <w:r w:rsidRPr="00A250F9">
        <w:rPr>
          <w:rFonts w:ascii="Arial" w:hAnsi="Arial" w:cs="Arial"/>
          <w:sz w:val="20"/>
          <w:szCs w:val="20"/>
        </w:rPr>
        <w:t xml:space="preserve">gender balance and geographical diversity. </w:t>
      </w:r>
    </w:p>
    <w:p w14:paraId="31D140D6" w14:textId="77777777" w:rsidR="00992C5E" w:rsidRPr="00A250F9" w:rsidRDefault="00992C5E" w:rsidP="00E641D8">
      <w:pPr>
        <w:pStyle w:val="ListParagraph"/>
        <w:ind w:left="0"/>
        <w:jc w:val="both"/>
        <w:rPr>
          <w:rFonts w:ascii="Arial" w:hAnsi="Arial" w:cs="Arial"/>
          <w:sz w:val="20"/>
          <w:szCs w:val="20"/>
        </w:rPr>
      </w:pPr>
    </w:p>
    <w:p w14:paraId="43B12E34" w14:textId="40B2D519"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 xml:space="preserve">The implementation of the ERP in this biennium will permit further integration of human resources processes and systems within HRMD and also with the rest of the Organization.  </w:t>
      </w:r>
    </w:p>
    <w:p w14:paraId="7F466045" w14:textId="77777777" w:rsidR="00992C5E" w:rsidRDefault="00992C5E" w:rsidP="00E641D8">
      <w:pPr>
        <w:rPr>
          <w:rFonts w:ascii="Arial" w:hAnsi="Arial" w:cs="Arial"/>
          <w:sz w:val="20"/>
          <w:szCs w:val="20"/>
        </w:rPr>
      </w:pPr>
    </w:p>
    <w:p w14:paraId="49E84009" w14:textId="77777777" w:rsidR="00992C5E" w:rsidRPr="00A250F9" w:rsidRDefault="00992C5E" w:rsidP="00E641D8">
      <w:pPr>
        <w:rPr>
          <w:rFonts w:ascii="Arial" w:hAnsi="Arial" w:cs="Arial"/>
          <w:sz w:val="20"/>
          <w:szCs w:val="20"/>
        </w:rPr>
      </w:pPr>
    </w:p>
    <w:p w14:paraId="6DED749B" w14:textId="77777777" w:rsidR="00992C5E" w:rsidRPr="00E55523" w:rsidRDefault="00992C5E" w:rsidP="00E641D8">
      <w:pPr>
        <w:rPr>
          <w:rFonts w:ascii="Arial" w:hAnsi="Arial" w:cs="Arial"/>
          <w:szCs w:val="20"/>
        </w:rPr>
      </w:pPr>
      <w:r w:rsidRPr="00E55523">
        <w:rPr>
          <w:rFonts w:ascii="Arial" w:hAnsi="Arial" w:cs="Arial"/>
          <w:szCs w:val="20"/>
        </w:rPr>
        <w:t>IMPLEMENTATION STRATEGIES</w:t>
      </w:r>
    </w:p>
    <w:p w14:paraId="499F4842" w14:textId="77777777" w:rsidR="00992C5E" w:rsidRPr="00A250F9" w:rsidRDefault="00992C5E" w:rsidP="00E641D8">
      <w:pPr>
        <w:rPr>
          <w:rFonts w:ascii="Arial" w:hAnsi="Arial" w:cs="Arial"/>
          <w:sz w:val="20"/>
          <w:szCs w:val="20"/>
        </w:rPr>
      </w:pPr>
    </w:p>
    <w:p w14:paraId="7EA3DFAB"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 xml:space="preserve">Gender balance and geographical diversity will receive particular attention in the biennium.  Further efforts will be made to develop managerial and leadership skills of women in the Organization, with a view to enabling them to take up positions at higher levels, while continuing the outreach to potential women candidates.  In line with the Policy on Gender Equality, WIPO will build staff capacities, especially that of Gender Focal Points and managers, and engage with Member States with a view to mainstreaming gender in the Programs of the Organization.  </w:t>
      </w:r>
    </w:p>
    <w:p w14:paraId="6FC89F33" w14:textId="77777777" w:rsidR="00992C5E" w:rsidRPr="00A250F9" w:rsidRDefault="00992C5E" w:rsidP="00E641D8">
      <w:pPr>
        <w:pStyle w:val="ListParagraph"/>
        <w:ind w:left="0"/>
        <w:jc w:val="both"/>
        <w:rPr>
          <w:rFonts w:ascii="Arial" w:hAnsi="Arial" w:cs="Arial"/>
          <w:sz w:val="20"/>
          <w:szCs w:val="20"/>
        </w:rPr>
      </w:pPr>
    </w:p>
    <w:p w14:paraId="7E905FEF"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As regards geographical diversity, proactive and increased efforts will be made, with support from Member States, to reach out to potential candidates from countries that are not well represented among staff in the professional and higher categories. These efforts will be underpinned by lessons learned from outreach initiatives piloted with selected Member States in 2015.  New functionalities provided by the recruitment tool TALEO will also be used to further develop WIPO’s capacity for targeted recruitment, including proactive outreach and direct sourcing through focal points at the national level.</w:t>
      </w:r>
    </w:p>
    <w:p w14:paraId="03BD5022" w14:textId="77777777" w:rsidR="00992C5E" w:rsidRPr="00A250F9" w:rsidRDefault="00992C5E" w:rsidP="00E641D8">
      <w:pPr>
        <w:pStyle w:val="ListParagraph"/>
        <w:ind w:left="0"/>
        <w:jc w:val="both"/>
        <w:rPr>
          <w:rFonts w:ascii="Arial" w:hAnsi="Arial" w:cs="Arial"/>
          <w:sz w:val="20"/>
          <w:szCs w:val="20"/>
        </w:rPr>
      </w:pPr>
    </w:p>
    <w:p w14:paraId="10B7E905"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The mainstreaming of workforce planning, fully integrated with biennial and annual work planning,</w:t>
      </w:r>
      <w:r w:rsidRPr="00A250F9" w:rsidDel="005375D8">
        <w:rPr>
          <w:rFonts w:ascii="Arial" w:hAnsi="Arial" w:cs="Arial"/>
          <w:sz w:val="20"/>
          <w:szCs w:val="20"/>
        </w:rPr>
        <w:t xml:space="preserve"> </w:t>
      </w:r>
      <w:r w:rsidRPr="00A250F9">
        <w:rPr>
          <w:rFonts w:ascii="Arial" w:hAnsi="Arial" w:cs="Arial"/>
          <w:sz w:val="20"/>
          <w:szCs w:val="20"/>
        </w:rPr>
        <w:t xml:space="preserve">will gradually allow the Organization to close the gap between present and future workforce needs, by systematically reviewing workforce issues and facilitating medium and long-term decision-making. </w:t>
      </w:r>
      <w:r>
        <w:rPr>
          <w:rFonts w:ascii="Arial" w:hAnsi="Arial" w:cs="Arial"/>
          <w:sz w:val="20"/>
          <w:szCs w:val="20"/>
        </w:rPr>
        <w:t xml:space="preserve"> </w:t>
      </w:r>
      <w:r w:rsidRPr="00A250F9">
        <w:rPr>
          <w:rFonts w:ascii="Arial" w:hAnsi="Arial" w:cs="Arial"/>
          <w:sz w:val="20"/>
          <w:szCs w:val="20"/>
        </w:rPr>
        <w:t xml:space="preserve">This will include further imbedding workforce planning concepts and best practice facilitated through system enhancements. </w:t>
      </w:r>
      <w:r>
        <w:rPr>
          <w:rFonts w:ascii="Arial" w:hAnsi="Arial" w:cs="Arial"/>
          <w:sz w:val="20"/>
          <w:szCs w:val="20"/>
        </w:rPr>
        <w:t xml:space="preserve"> </w:t>
      </w:r>
      <w:r w:rsidRPr="00A250F9">
        <w:rPr>
          <w:rFonts w:ascii="Arial" w:hAnsi="Arial" w:cs="Arial"/>
          <w:sz w:val="20"/>
          <w:szCs w:val="20"/>
        </w:rPr>
        <w:t>In addition, WIPO managers will be in a better position to forecast and manage their workforce through improved management reporting tools (Business Intelligence).</w:t>
      </w:r>
    </w:p>
    <w:p w14:paraId="7A730EEC" w14:textId="77777777" w:rsidR="00992C5E" w:rsidRPr="00A250F9" w:rsidRDefault="00992C5E" w:rsidP="00E641D8">
      <w:pPr>
        <w:pStyle w:val="ListParagraph"/>
        <w:ind w:left="0"/>
        <w:rPr>
          <w:rFonts w:ascii="Arial" w:hAnsi="Arial" w:cs="Arial"/>
          <w:sz w:val="20"/>
          <w:szCs w:val="20"/>
        </w:rPr>
      </w:pPr>
    </w:p>
    <w:p w14:paraId="2B107716" w14:textId="314D635A" w:rsidR="00992C5E" w:rsidRPr="00A250F9" w:rsidRDefault="00992C5E" w:rsidP="00B66A4A">
      <w:pPr>
        <w:pStyle w:val="ListParagraph"/>
        <w:numPr>
          <w:ilvl w:val="0"/>
          <w:numId w:val="23"/>
        </w:numPr>
        <w:ind w:left="0" w:firstLine="0"/>
        <w:jc w:val="both"/>
        <w:rPr>
          <w:rFonts w:ascii="Arial" w:hAnsi="Arial" w:cs="Arial"/>
          <w:color w:val="000000"/>
          <w:sz w:val="20"/>
          <w:szCs w:val="20"/>
        </w:rPr>
      </w:pPr>
      <w:r w:rsidRPr="00A250F9">
        <w:rPr>
          <w:rFonts w:ascii="Arial" w:hAnsi="Arial" w:cs="Arial"/>
          <w:color w:val="000000"/>
          <w:sz w:val="20"/>
          <w:szCs w:val="20"/>
          <w:lang w:val="en-GB"/>
        </w:rPr>
        <w:t xml:space="preserve">Following the implementation of the revised Staff Regulations and Rules (SRR), approved by the Coordination Committee in 2012 and 2013, including the strengthening of the internal justice system, the next biennium will see further adjustments and enhancements to the SRR and related human resources policies to ensure a clear, modern and up-to-date staff regulatory framework that meets the evolving needs of the Organization and is in line with best practices in the United Nations system.  An important focus area will be conflict prevention and mitigation and the effective management of cases through the internal justice system.  The Organization will also continue to engage with the </w:t>
      </w:r>
      <w:r w:rsidR="009B57F9">
        <w:rPr>
          <w:rFonts w:ascii="Arial" w:hAnsi="Arial" w:cs="Arial"/>
          <w:color w:val="000000"/>
          <w:sz w:val="20"/>
          <w:szCs w:val="20"/>
          <w:lang w:val="en-GB"/>
        </w:rPr>
        <w:t>I</w:t>
      </w:r>
      <w:r w:rsidR="008F082B">
        <w:rPr>
          <w:rFonts w:ascii="Arial" w:hAnsi="Arial" w:cs="Arial"/>
          <w:color w:val="000000"/>
          <w:sz w:val="20"/>
          <w:szCs w:val="20"/>
          <w:lang w:val="en-GB"/>
        </w:rPr>
        <w:t xml:space="preserve">nternational </w:t>
      </w:r>
      <w:r w:rsidR="009B57F9">
        <w:rPr>
          <w:rFonts w:ascii="Arial" w:hAnsi="Arial" w:cs="Arial"/>
          <w:color w:val="000000"/>
          <w:sz w:val="20"/>
          <w:szCs w:val="20"/>
          <w:lang w:val="en-GB"/>
        </w:rPr>
        <w:t>C</w:t>
      </w:r>
      <w:r w:rsidR="008F082B">
        <w:rPr>
          <w:rFonts w:ascii="Arial" w:hAnsi="Arial" w:cs="Arial"/>
          <w:color w:val="000000"/>
          <w:sz w:val="20"/>
          <w:szCs w:val="20"/>
          <w:lang w:val="en-GB"/>
        </w:rPr>
        <w:t xml:space="preserve">ivil </w:t>
      </w:r>
      <w:r w:rsidR="009B57F9">
        <w:rPr>
          <w:rFonts w:ascii="Arial" w:hAnsi="Arial" w:cs="Arial"/>
          <w:color w:val="000000"/>
          <w:sz w:val="20"/>
          <w:szCs w:val="20"/>
          <w:lang w:val="en-GB"/>
        </w:rPr>
        <w:t>S</w:t>
      </w:r>
      <w:r w:rsidR="008F082B">
        <w:rPr>
          <w:rFonts w:ascii="Arial" w:hAnsi="Arial" w:cs="Arial"/>
          <w:color w:val="000000"/>
          <w:sz w:val="20"/>
          <w:szCs w:val="20"/>
          <w:lang w:val="en-GB"/>
        </w:rPr>
        <w:t xml:space="preserve">ervice </w:t>
      </w:r>
      <w:r w:rsidR="009B57F9">
        <w:rPr>
          <w:rFonts w:ascii="Arial" w:hAnsi="Arial" w:cs="Arial"/>
          <w:color w:val="000000"/>
          <w:sz w:val="20"/>
          <w:szCs w:val="20"/>
          <w:lang w:val="en-GB"/>
        </w:rPr>
        <w:t>C</w:t>
      </w:r>
      <w:r w:rsidR="008F082B">
        <w:rPr>
          <w:rFonts w:ascii="Arial" w:hAnsi="Arial" w:cs="Arial"/>
          <w:color w:val="000000"/>
          <w:sz w:val="20"/>
          <w:szCs w:val="20"/>
          <w:lang w:val="en-GB"/>
        </w:rPr>
        <w:t>ommission (ICSC)</w:t>
      </w:r>
      <w:r w:rsidR="009B57F9">
        <w:rPr>
          <w:rFonts w:ascii="Arial" w:hAnsi="Arial" w:cs="Arial"/>
          <w:color w:val="000000"/>
          <w:sz w:val="20"/>
          <w:szCs w:val="20"/>
          <w:lang w:val="en-GB"/>
        </w:rPr>
        <w:t xml:space="preserve"> and other UN agencies on the </w:t>
      </w:r>
      <w:r w:rsidRPr="00A250F9">
        <w:rPr>
          <w:rFonts w:ascii="Arial" w:hAnsi="Arial" w:cs="Arial"/>
          <w:color w:val="000000"/>
          <w:sz w:val="20"/>
          <w:szCs w:val="20"/>
        </w:rPr>
        <w:t>Review of the UN common system compensation package</w:t>
      </w:r>
      <w:r w:rsidRPr="00A250F9">
        <w:rPr>
          <w:rFonts w:ascii="Arial" w:hAnsi="Arial" w:cs="Arial"/>
          <w:color w:val="000000"/>
          <w:sz w:val="20"/>
          <w:szCs w:val="20"/>
          <w:lang w:val="en-GB"/>
        </w:rPr>
        <w:t xml:space="preserve">.  </w:t>
      </w:r>
    </w:p>
    <w:p w14:paraId="31B54A81" w14:textId="77777777" w:rsidR="00992C5E" w:rsidRPr="00A250F9" w:rsidRDefault="00992C5E" w:rsidP="00E641D8">
      <w:pPr>
        <w:pStyle w:val="ListParagraph"/>
        <w:ind w:left="0"/>
        <w:jc w:val="both"/>
        <w:rPr>
          <w:rFonts w:ascii="Arial" w:hAnsi="Arial" w:cs="Arial"/>
          <w:color w:val="000000"/>
          <w:sz w:val="20"/>
          <w:szCs w:val="20"/>
        </w:rPr>
      </w:pPr>
    </w:p>
    <w:p w14:paraId="12F80398"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The integration of the Performance Management and Staff Development System (PMSDS) and Training database will be complemented by new ERP functionalities, such as inventory of skills and better tracking of training data, to improve the user-friendliness of the system and facilitate access and exchange of data between different areas of the Organization.</w:t>
      </w:r>
    </w:p>
    <w:p w14:paraId="4FAE91B2" w14:textId="77777777" w:rsidR="00992C5E" w:rsidRPr="00A250F9" w:rsidRDefault="00992C5E" w:rsidP="00E641D8">
      <w:pPr>
        <w:pStyle w:val="ListParagraph"/>
        <w:ind w:left="0"/>
        <w:jc w:val="both"/>
        <w:rPr>
          <w:rFonts w:ascii="Arial" w:hAnsi="Arial" w:cs="Arial"/>
          <w:sz w:val="20"/>
          <w:szCs w:val="20"/>
        </w:rPr>
      </w:pPr>
    </w:p>
    <w:p w14:paraId="77182B55" w14:textId="1BB4D0D9" w:rsidR="00992C5E" w:rsidRPr="00A250F9" w:rsidRDefault="00992C5E" w:rsidP="00B66A4A">
      <w:pPr>
        <w:pStyle w:val="ListParagraph"/>
        <w:keepNext/>
        <w:keepLines/>
        <w:numPr>
          <w:ilvl w:val="0"/>
          <w:numId w:val="23"/>
        </w:numPr>
        <w:ind w:left="0" w:firstLine="0"/>
        <w:jc w:val="both"/>
        <w:rPr>
          <w:rFonts w:ascii="Arial" w:hAnsi="Arial" w:cs="Arial"/>
          <w:sz w:val="20"/>
          <w:szCs w:val="20"/>
        </w:rPr>
      </w:pPr>
      <w:r w:rsidRPr="00A250F9">
        <w:rPr>
          <w:rFonts w:ascii="Arial" w:hAnsi="Arial" w:cs="Arial"/>
          <w:sz w:val="20"/>
          <w:szCs w:val="20"/>
        </w:rPr>
        <w:t xml:space="preserve">With a view to </w:t>
      </w:r>
      <w:r w:rsidR="008B075D" w:rsidRPr="00A250F9">
        <w:rPr>
          <w:rFonts w:ascii="Arial" w:hAnsi="Arial" w:cs="Arial"/>
          <w:sz w:val="20"/>
          <w:szCs w:val="20"/>
        </w:rPr>
        <w:t>enhanc</w:t>
      </w:r>
      <w:r w:rsidR="008B075D">
        <w:rPr>
          <w:rFonts w:ascii="Arial" w:hAnsi="Arial" w:cs="Arial"/>
          <w:sz w:val="20"/>
          <w:szCs w:val="20"/>
        </w:rPr>
        <w:t>ing</w:t>
      </w:r>
      <w:r w:rsidR="008B075D" w:rsidRPr="00A250F9">
        <w:rPr>
          <w:rFonts w:ascii="Arial" w:hAnsi="Arial" w:cs="Arial"/>
          <w:sz w:val="20"/>
          <w:szCs w:val="20"/>
        </w:rPr>
        <w:t xml:space="preserve"> </w:t>
      </w:r>
      <w:r w:rsidRPr="00A250F9">
        <w:rPr>
          <w:rFonts w:ascii="Arial" w:hAnsi="Arial" w:cs="Arial"/>
          <w:sz w:val="20"/>
          <w:szCs w:val="20"/>
        </w:rPr>
        <w:t xml:space="preserve">the managerial capacity in the Organization, managers will be provided with </w:t>
      </w:r>
      <w:r w:rsidR="008B075D">
        <w:rPr>
          <w:rFonts w:ascii="Arial" w:hAnsi="Arial" w:cs="Arial"/>
          <w:sz w:val="20"/>
          <w:szCs w:val="20"/>
        </w:rPr>
        <w:t>m</w:t>
      </w:r>
      <w:r w:rsidRPr="00A250F9">
        <w:rPr>
          <w:rFonts w:ascii="Arial" w:hAnsi="Arial" w:cs="Arial"/>
          <w:sz w:val="20"/>
          <w:szCs w:val="20"/>
        </w:rPr>
        <w:t xml:space="preserve">andatory training </w:t>
      </w:r>
      <w:r w:rsidR="005D613B">
        <w:rPr>
          <w:rFonts w:ascii="Arial" w:hAnsi="Arial" w:cs="Arial"/>
          <w:sz w:val="20"/>
          <w:szCs w:val="20"/>
        </w:rPr>
        <w:t>i</w:t>
      </w:r>
      <w:r w:rsidR="008B075D">
        <w:rPr>
          <w:rFonts w:ascii="Arial" w:hAnsi="Arial" w:cs="Arial"/>
          <w:sz w:val="20"/>
          <w:szCs w:val="20"/>
        </w:rPr>
        <w:t>n particular on</w:t>
      </w:r>
      <w:r w:rsidR="005D613B">
        <w:rPr>
          <w:rFonts w:ascii="Arial" w:hAnsi="Arial" w:cs="Arial"/>
          <w:sz w:val="20"/>
          <w:szCs w:val="20"/>
        </w:rPr>
        <w:t xml:space="preserve"> program, people and time management</w:t>
      </w:r>
      <w:r w:rsidR="008B075D">
        <w:rPr>
          <w:rFonts w:ascii="Arial" w:hAnsi="Arial" w:cs="Arial"/>
          <w:sz w:val="20"/>
          <w:szCs w:val="20"/>
        </w:rPr>
        <w:t>.</w:t>
      </w:r>
    </w:p>
    <w:p w14:paraId="75435BA1" w14:textId="77777777" w:rsidR="00992C5E" w:rsidRPr="00A250F9" w:rsidRDefault="00992C5E" w:rsidP="00E641D8">
      <w:pPr>
        <w:pStyle w:val="ListParagraph"/>
        <w:ind w:left="0"/>
        <w:jc w:val="both"/>
        <w:rPr>
          <w:rFonts w:ascii="Arial" w:hAnsi="Arial" w:cs="Arial"/>
          <w:sz w:val="20"/>
          <w:szCs w:val="20"/>
        </w:rPr>
      </w:pPr>
    </w:p>
    <w:p w14:paraId="341F2427" w14:textId="1F15739B"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Work processes and practices</w:t>
      </w:r>
      <w:r w:rsidRPr="00A250F9" w:rsidDel="008804BC">
        <w:rPr>
          <w:rFonts w:ascii="Arial" w:hAnsi="Arial" w:cs="Arial"/>
          <w:sz w:val="20"/>
          <w:szCs w:val="20"/>
        </w:rPr>
        <w:t xml:space="preserve"> </w:t>
      </w:r>
      <w:r w:rsidRPr="00A250F9">
        <w:rPr>
          <w:rFonts w:ascii="Arial" w:hAnsi="Arial" w:cs="Arial"/>
          <w:sz w:val="20"/>
          <w:szCs w:val="20"/>
        </w:rPr>
        <w:t xml:space="preserve">related to the processing of benefits and entitlements will be reviewed and updated and, where feasible, aligned with more automated solutions.  Also, systems and procedures related to time management will be adjusted following recommendations of the time </w:t>
      </w:r>
      <w:r w:rsidRPr="00A250F9">
        <w:rPr>
          <w:rFonts w:ascii="Arial" w:hAnsi="Arial" w:cs="Arial"/>
          <w:sz w:val="20"/>
          <w:szCs w:val="20"/>
        </w:rPr>
        <w:lastRenderedPageBreak/>
        <w:t xml:space="preserve">management work </w:t>
      </w:r>
      <w:r w:rsidR="009B57F9">
        <w:rPr>
          <w:rFonts w:ascii="Arial" w:hAnsi="Arial" w:cs="Arial"/>
          <w:sz w:val="20"/>
          <w:szCs w:val="20"/>
        </w:rPr>
        <w:t>group</w:t>
      </w:r>
      <w:r w:rsidRPr="00A250F9">
        <w:rPr>
          <w:rFonts w:ascii="Arial" w:hAnsi="Arial" w:cs="Arial"/>
          <w:sz w:val="20"/>
          <w:szCs w:val="20"/>
        </w:rPr>
        <w:t xml:space="preserve">. Through the ERP phase II, HR self-service Intranet tools will be made available to staff at large </w:t>
      </w:r>
      <w:r w:rsidR="009B57F9">
        <w:rPr>
          <w:rFonts w:ascii="Arial" w:hAnsi="Arial" w:cs="Arial"/>
          <w:sz w:val="20"/>
          <w:szCs w:val="20"/>
        </w:rPr>
        <w:t xml:space="preserve">to deal with routine requests in an automated manner, </w:t>
      </w:r>
      <w:r w:rsidRPr="00A250F9">
        <w:rPr>
          <w:rFonts w:ascii="Arial" w:hAnsi="Arial" w:cs="Arial"/>
          <w:sz w:val="20"/>
          <w:szCs w:val="20"/>
        </w:rPr>
        <w:t xml:space="preserve">enabling the HR Department </w:t>
      </w:r>
      <w:r w:rsidR="009B57F9">
        <w:rPr>
          <w:rFonts w:ascii="Arial" w:hAnsi="Arial" w:cs="Arial"/>
          <w:sz w:val="20"/>
          <w:szCs w:val="20"/>
        </w:rPr>
        <w:t xml:space="preserve">staff </w:t>
      </w:r>
      <w:r w:rsidRPr="00A250F9">
        <w:rPr>
          <w:rFonts w:ascii="Arial" w:hAnsi="Arial" w:cs="Arial"/>
          <w:sz w:val="20"/>
          <w:szCs w:val="20"/>
        </w:rPr>
        <w:t xml:space="preserve">to concentrate on more </w:t>
      </w:r>
      <w:r w:rsidR="009B57F9">
        <w:rPr>
          <w:rFonts w:ascii="Arial" w:hAnsi="Arial" w:cs="Arial"/>
          <w:sz w:val="20"/>
          <w:szCs w:val="20"/>
        </w:rPr>
        <w:t>complex</w:t>
      </w:r>
      <w:r w:rsidR="009B57F9" w:rsidRPr="00A250F9">
        <w:rPr>
          <w:rFonts w:ascii="Arial" w:hAnsi="Arial" w:cs="Arial"/>
          <w:sz w:val="20"/>
          <w:szCs w:val="20"/>
        </w:rPr>
        <w:t xml:space="preserve"> </w:t>
      </w:r>
      <w:r w:rsidRPr="00A250F9">
        <w:rPr>
          <w:rFonts w:ascii="Arial" w:hAnsi="Arial" w:cs="Arial"/>
          <w:sz w:val="20"/>
          <w:szCs w:val="20"/>
        </w:rPr>
        <w:t>requests thus offering a full range of quality customer-oriented service.  Related work is also planned to update services and information made available to staff on the intranet.</w:t>
      </w:r>
    </w:p>
    <w:p w14:paraId="29BABEF7" w14:textId="77777777" w:rsidR="00992C5E" w:rsidRPr="00A250F9" w:rsidRDefault="00992C5E" w:rsidP="00E641D8">
      <w:pPr>
        <w:pStyle w:val="ListParagraph"/>
        <w:ind w:left="0"/>
        <w:rPr>
          <w:rFonts w:ascii="Arial" w:hAnsi="Arial" w:cs="Arial"/>
          <w:sz w:val="20"/>
          <w:szCs w:val="20"/>
        </w:rPr>
      </w:pPr>
    </w:p>
    <w:p w14:paraId="7C3CD88D"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Improvement of the medical services at WIPO will also continue with a focus on occupational health and enhanced follow up on long term absences.</w:t>
      </w:r>
    </w:p>
    <w:p w14:paraId="454C9CB9" w14:textId="77777777" w:rsidR="00992C5E" w:rsidRDefault="00992C5E" w:rsidP="00E641D8">
      <w:pPr>
        <w:pStyle w:val="ListParagraph"/>
        <w:ind w:left="0"/>
        <w:jc w:val="both"/>
        <w:rPr>
          <w:rFonts w:ascii="Arial" w:hAnsi="Arial" w:cs="Arial"/>
          <w:sz w:val="20"/>
          <w:szCs w:val="20"/>
        </w:rPr>
      </w:pPr>
    </w:p>
    <w:p w14:paraId="272536A8" w14:textId="77777777" w:rsidR="00992C5E" w:rsidRPr="00A250F9" w:rsidRDefault="00992C5E" w:rsidP="00E641D8">
      <w:pPr>
        <w:pStyle w:val="ListParagraph"/>
        <w:ind w:left="0"/>
        <w:jc w:val="both"/>
        <w:rPr>
          <w:rFonts w:ascii="Arial" w:hAnsi="Arial" w:cs="Arial"/>
          <w:sz w:val="20"/>
          <w:szCs w:val="20"/>
        </w:rPr>
      </w:pPr>
    </w:p>
    <w:p w14:paraId="59AE8F84" w14:textId="77777777" w:rsidR="00992C5E" w:rsidRPr="00E55523" w:rsidRDefault="00992C5E" w:rsidP="00E641D8">
      <w:pPr>
        <w:rPr>
          <w:rFonts w:ascii="Arial" w:hAnsi="Arial" w:cs="Arial"/>
        </w:rPr>
      </w:pPr>
      <w:r w:rsidRPr="00E55523">
        <w:rPr>
          <w:rFonts w:ascii="Arial" w:hAnsi="Arial" w:cs="Arial"/>
        </w:rPr>
        <w:t>MAJOR RISKS AND MITIGATION STRATEGIES</w:t>
      </w:r>
    </w:p>
    <w:p w14:paraId="18C4958B" w14:textId="77777777" w:rsidR="00992C5E" w:rsidRPr="00A250F9" w:rsidRDefault="00992C5E" w:rsidP="00E641D8">
      <w:pPr>
        <w:rPr>
          <w:rFonts w:ascii="Arial" w:eastAsia="Times New Roman"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92C5E" w:rsidRPr="00A250F9" w14:paraId="2E8EDD98" w14:textId="77777777" w:rsidTr="00FB68E0">
        <w:trPr>
          <w:trHeight w:val="577"/>
        </w:trPr>
        <w:tc>
          <w:tcPr>
            <w:tcW w:w="4253" w:type="dxa"/>
            <w:tcBorders>
              <w:top w:val="single" w:sz="4" w:space="0" w:color="auto"/>
              <w:bottom w:val="single" w:sz="4" w:space="0" w:color="auto"/>
            </w:tcBorders>
            <w:shd w:val="clear" w:color="auto" w:fill="C6D9F1" w:themeFill="text2" w:themeFillTint="33"/>
            <w:vAlign w:val="center"/>
          </w:tcPr>
          <w:p w14:paraId="48A9C020" w14:textId="77777777" w:rsidR="00992C5E" w:rsidRPr="00A250F9" w:rsidRDefault="00992C5E" w:rsidP="00E641D8">
            <w:pPr>
              <w:jc w:val="center"/>
              <w:rPr>
                <w:rFonts w:ascii="Arial" w:eastAsia="Times New Roman" w:hAnsi="Arial" w:cs="Arial"/>
                <w:b/>
                <w:bCs/>
                <w:sz w:val="18"/>
                <w:szCs w:val="20"/>
              </w:rPr>
            </w:pPr>
            <w:r w:rsidRPr="00A250F9">
              <w:rPr>
                <w:rFonts w:ascii="Arial" w:eastAsia="Times New Roman" w:hAnsi="Arial" w:cs="Arial"/>
                <w:b/>
                <w:bCs/>
                <w:sz w:val="18"/>
                <w:szCs w:val="20"/>
              </w:rPr>
              <w:t>Risk</w:t>
            </w:r>
          </w:p>
        </w:tc>
        <w:tc>
          <w:tcPr>
            <w:tcW w:w="4961" w:type="dxa"/>
            <w:tcBorders>
              <w:top w:val="single" w:sz="4" w:space="0" w:color="auto"/>
              <w:bottom w:val="single" w:sz="4" w:space="0" w:color="auto"/>
            </w:tcBorders>
            <w:shd w:val="clear" w:color="auto" w:fill="C6D9F1" w:themeFill="text2" w:themeFillTint="33"/>
            <w:vAlign w:val="center"/>
          </w:tcPr>
          <w:p w14:paraId="333C622B" w14:textId="77777777" w:rsidR="00992C5E" w:rsidRPr="00A250F9" w:rsidRDefault="00992C5E" w:rsidP="00E641D8">
            <w:pPr>
              <w:jc w:val="center"/>
              <w:rPr>
                <w:rFonts w:ascii="Arial" w:eastAsia="Times New Roman" w:hAnsi="Arial" w:cs="Arial"/>
                <w:b/>
                <w:bCs/>
                <w:sz w:val="18"/>
                <w:szCs w:val="20"/>
              </w:rPr>
            </w:pPr>
            <w:r w:rsidRPr="00A250F9">
              <w:rPr>
                <w:rFonts w:ascii="Arial" w:eastAsia="Times New Roman" w:hAnsi="Arial" w:cs="Arial"/>
                <w:b/>
                <w:bCs/>
                <w:sz w:val="18"/>
                <w:szCs w:val="20"/>
              </w:rPr>
              <w:t>Mitigation</w:t>
            </w:r>
          </w:p>
        </w:tc>
      </w:tr>
      <w:tr w:rsidR="00992C5E" w:rsidRPr="00A250F9" w14:paraId="3031019E" w14:textId="77777777" w:rsidTr="00FB68E0">
        <w:trPr>
          <w:trHeight w:val="1188"/>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9D7DF1E" w14:textId="77777777" w:rsidR="00992C5E" w:rsidRPr="00A250F9" w:rsidRDefault="00992C5E" w:rsidP="00E641D8">
            <w:pPr>
              <w:rPr>
                <w:rFonts w:ascii="Arial" w:eastAsia="Times New Roman" w:hAnsi="Arial" w:cs="Arial"/>
                <w:sz w:val="16"/>
                <w:szCs w:val="20"/>
              </w:rPr>
            </w:pPr>
            <w:r w:rsidRPr="00A250F9">
              <w:rPr>
                <w:rFonts w:ascii="Arial" w:eastAsia="Times New Roman" w:hAnsi="Arial" w:cs="Arial"/>
                <w:sz w:val="16"/>
                <w:szCs w:val="20"/>
              </w:rPr>
              <w:t>Rapidly evolving external business environment requiring new processes, skills and IT solutions, may lead to misalignment of workforce in critical WIPO business areas.  This could lead to high costs for additional short term staff, process inefficiencies, backlogs in critical business areas, and a diminished WIPO reputation.</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9976601" w14:textId="77777777" w:rsidR="00992C5E" w:rsidRPr="00A250F9" w:rsidRDefault="00992C5E" w:rsidP="00E641D8">
            <w:pPr>
              <w:rPr>
                <w:rFonts w:ascii="Arial" w:eastAsia="Times New Roman" w:hAnsi="Arial" w:cs="Arial"/>
                <w:sz w:val="16"/>
                <w:szCs w:val="20"/>
              </w:rPr>
            </w:pPr>
            <w:r w:rsidRPr="00A250F9">
              <w:rPr>
                <w:rFonts w:ascii="Arial" w:eastAsia="Times New Roman" w:hAnsi="Arial" w:cs="Arial"/>
                <w:color w:val="000000"/>
                <w:sz w:val="16"/>
                <w:szCs w:val="20"/>
              </w:rPr>
              <w:t>Gradual development of a more responsive and flexible workforce with a structure able to respond to fluctuations in demand and new pragmatic objectives; Detailed analysis and needs assessment in terms of skills and workforce strength, followed by implementation plans including reallocation of staff, adequate staff training, recruitment of critical skills and outsourcing and using a broader mix of contractual tools to source talent.</w:t>
            </w:r>
          </w:p>
        </w:tc>
      </w:tr>
    </w:tbl>
    <w:p w14:paraId="6317C84A" w14:textId="77777777" w:rsidR="00992C5E" w:rsidRPr="00A250F9" w:rsidRDefault="00992C5E" w:rsidP="00E641D8">
      <w:pPr>
        <w:rPr>
          <w:rFonts w:ascii="Arial" w:eastAsia="Times New Roman" w:hAnsi="Arial" w:cs="Arial"/>
          <w:sz w:val="20"/>
          <w:szCs w:val="20"/>
        </w:rPr>
      </w:pPr>
    </w:p>
    <w:p w14:paraId="226B9A13" w14:textId="77777777" w:rsidR="00992C5E" w:rsidRPr="00A250F9" w:rsidRDefault="00992C5E" w:rsidP="00E641D8">
      <w:pPr>
        <w:rPr>
          <w:rFonts w:ascii="Arial" w:eastAsia="Times New Roman" w:hAnsi="Arial" w:cs="Arial"/>
          <w:sz w:val="20"/>
          <w:szCs w:val="20"/>
        </w:rPr>
      </w:pPr>
    </w:p>
    <w:p w14:paraId="1502808E" w14:textId="77777777" w:rsidR="00992C5E" w:rsidRPr="00A250F9" w:rsidRDefault="00992C5E" w:rsidP="00E641D8">
      <w:pPr>
        <w:rPr>
          <w:rFonts w:ascii="Arial" w:eastAsia="Times New Roman" w:hAnsi="Arial" w:cs="Arial"/>
          <w:sz w:val="20"/>
          <w:szCs w:val="20"/>
        </w:rPr>
      </w:pPr>
      <w:r w:rsidRPr="00A250F9">
        <w:rPr>
          <w:rFonts w:ascii="Arial" w:eastAsia="Times New Roman" w:hAnsi="Arial" w:cs="Arial"/>
          <w:sz w:val="20"/>
          <w:szCs w:val="20"/>
        </w:rPr>
        <w:t>RESULTS FRAMEWORK</w:t>
      </w:r>
    </w:p>
    <w:p w14:paraId="1C0A7D2A" w14:textId="77777777" w:rsidR="00992C5E" w:rsidRPr="00A250F9" w:rsidRDefault="00992C5E" w:rsidP="00E641D8">
      <w:pPr>
        <w:rPr>
          <w:rFonts w:ascii="Arial" w:eastAsia="Times New Roman" w:hAnsi="Arial" w:cs="Arial"/>
          <w:sz w:val="20"/>
          <w:szCs w:val="20"/>
        </w:rPr>
      </w:pPr>
    </w:p>
    <w:tbl>
      <w:tblPr>
        <w:tblW w:w="9229" w:type="dxa"/>
        <w:tblInd w:w="93" w:type="dxa"/>
        <w:tblLook w:val="04A0" w:firstRow="1" w:lastRow="0" w:firstColumn="1" w:lastColumn="0" w:noHBand="0" w:noVBand="1"/>
      </w:tblPr>
      <w:tblGrid>
        <w:gridCol w:w="2283"/>
        <w:gridCol w:w="2597"/>
        <w:gridCol w:w="2440"/>
        <w:gridCol w:w="1909"/>
      </w:tblGrid>
      <w:tr w:rsidR="00992C5E" w:rsidRPr="00A250F9" w14:paraId="257EF433" w14:textId="77777777" w:rsidTr="00FB68E0">
        <w:trPr>
          <w:trHeight w:val="674"/>
          <w:tblHeader/>
        </w:trPr>
        <w:tc>
          <w:tcPr>
            <w:tcW w:w="2283"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97062DD"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 xml:space="preserve">Expected Results </w:t>
            </w:r>
          </w:p>
        </w:tc>
        <w:tc>
          <w:tcPr>
            <w:tcW w:w="2597" w:type="dxa"/>
            <w:tcBorders>
              <w:top w:val="single" w:sz="4" w:space="0" w:color="auto"/>
              <w:left w:val="nil"/>
              <w:bottom w:val="single" w:sz="4" w:space="0" w:color="auto"/>
              <w:right w:val="nil"/>
            </w:tcBorders>
            <w:shd w:val="clear" w:color="auto" w:fill="C6D9F1" w:themeFill="text2" w:themeFillTint="33"/>
            <w:vAlign w:val="center"/>
            <w:hideMark/>
          </w:tcPr>
          <w:p w14:paraId="478D9160"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Performance Indicators</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14:paraId="1D0EE898"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Baselines</w:t>
            </w:r>
          </w:p>
        </w:tc>
        <w:tc>
          <w:tcPr>
            <w:tcW w:w="19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FDC517"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Targets</w:t>
            </w:r>
          </w:p>
        </w:tc>
      </w:tr>
      <w:tr w:rsidR="00992C5E" w:rsidRPr="00A250F9" w14:paraId="59A23C0A" w14:textId="77777777" w:rsidTr="00FB68E0">
        <w:trPr>
          <w:trHeight w:val="1106"/>
        </w:trPr>
        <w:tc>
          <w:tcPr>
            <w:tcW w:w="2283" w:type="dxa"/>
            <w:tcBorders>
              <w:top w:val="nil"/>
              <w:left w:val="single" w:sz="4" w:space="0" w:color="auto"/>
              <w:bottom w:val="nil"/>
              <w:right w:val="nil"/>
            </w:tcBorders>
            <w:shd w:val="clear" w:color="000000" w:fill="FFFFFF"/>
            <w:hideMark/>
          </w:tcPr>
          <w:p w14:paraId="126B1123" w14:textId="77777777" w:rsidR="00992C5E" w:rsidRPr="00A250F9" w:rsidRDefault="00992C5E" w:rsidP="00E641D8">
            <w:pPr>
              <w:rPr>
                <w:rFonts w:ascii="Arial" w:eastAsia="Times New Roman" w:hAnsi="Arial" w:cs="Arial"/>
                <w:color w:val="000000"/>
                <w:sz w:val="16"/>
                <w:szCs w:val="16"/>
              </w:rPr>
            </w:pPr>
          </w:p>
          <w:p w14:paraId="307D1F91"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IX.1 Effective, efficient, quality and customer-oriented support services both to internal clients and to external stakeholders</w:t>
            </w:r>
          </w:p>
        </w:tc>
        <w:tc>
          <w:tcPr>
            <w:tcW w:w="2597" w:type="dxa"/>
            <w:tcBorders>
              <w:top w:val="nil"/>
              <w:left w:val="nil"/>
              <w:bottom w:val="nil"/>
              <w:right w:val="nil"/>
            </w:tcBorders>
            <w:shd w:val="clear" w:color="000000" w:fill="FFFFFF"/>
            <w:hideMark/>
          </w:tcPr>
          <w:p w14:paraId="4B30CBD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p w14:paraId="2A0848C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staff satisfied with human resource services</w:t>
            </w:r>
          </w:p>
        </w:tc>
        <w:tc>
          <w:tcPr>
            <w:tcW w:w="2440" w:type="dxa"/>
            <w:tcBorders>
              <w:top w:val="nil"/>
              <w:left w:val="nil"/>
              <w:bottom w:val="nil"/>
              <w:right w:val="nil"/>
            </w:tcBorders>
            <w:shd w:val="clear" w:color="000000" w:fill="FFFFFF"/>
            <w:hideMark/>
          </w:tcPr>
          <w:p w14:paraId="1ADDB093" w14:textId="77777777" w:rsidR="00992C5E" w:rsidRPr="00A250F9" w:rsidRDefault="00992C5E" w:rsidP="00E641D8">
            <w:pPr>
              <w:rPr>
                <w:rFonts w:ascii="Arial" w:eastAsia="Times New Roman" w:hAnsi="Arial" w:cs="Arial"/>
                <w:color w:val="000000"/>
                <w:sz w:val="16"/>
                <w:szCs w:val="16"/>
              </w:rPr>
            </w:pPr>
          </w:p>
          <w:p w14:paraId="45CBB18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Highly satisfied:  30,8%</w:t>
            </w:r>
            <w:r w:rsidRPr="00A250F9">
              <w:rPr>
                <w:rFonts w:ascii="Arial" w:eastAsia="Times New Roman" w:hAnsi="Arial" w:cs="Arial"/>
                <w:color w:val="000000"/>
                <w:sz w:val="16"/>
                <w:szCs w:val="16"/>
              </w:rPr>
              <w:br/>
              <w:t>Satisfied: 49,1%</w:t>
            </w:r>
            <w:r w:rsidRPr="00A250F9">
              <w:rPr>
                <w:rFonts w:ascii="Arial" w:eastAsia="Times New Roman" w:hAnsi="Arial" w:cs="Arial"/>
                <w:color w:val="000000"/>
                <w:sz w:val="16"/>
                <w:szCs w:val="16"/>
              </w:rPr>
              <w:br/>
              <w:t>Dissatisfied: 17,6%</w:t>
            </w:r>
            <w:r w:rsidRPr="00A250F9">
              <w:rPr>
                <w:rFonts w:ascii="Arial" w:eastAsia="Times New Roman" w:hAnsi="Arial" w:cs="Arial"/>
                <w:color w:val="000000"/>
                <w:sz w:val="16"/>
                <w:szCs w:val="16"/>
              </w:rPr>
              <w:br/>
              <w:t>Highly dissatisfied:  2,5%</w:t>
            </w:r>
          </w:p>
        </w:tc>
        <w:tc>
          <w:tcPr>
            <w:tcW w:w="1909" w:type="dxa"/>
            <w:tcBorders>
              <w:top w:val="nil"/>
              <w:left w:val="nil"/>
              <w:bottom w:val="nil"/>
              <w:right w:val="single" w:sz="4" w:space="0" w:color="auto"/>
            </w:tcBorders>
            <w:shd w:val="clear" w:color="000000" w:fill="FFFFFF"/>
            <w:hideMark/>
          </w:tcPr>
          <w:p w14:paraId="32671FE7"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p w14:paraId="393FA4CE"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85 % highly satisfied or satisfied</w:t>
            </w:r>
          </w:p>
        </w:tc>
      </w:tr>
      <w:tr w:rsidR="00992C5E" w:rsidRPr="00A250F9" w14:paraId="4AD3F7EF" w14:textId="77777777" w:rsidTr="00FB68E0">
        <w:trPr>
          <w:trHeight w:val="549"/>
        </w:trPr>
        <w:tc>
          <w:tcPr>
            <w:tcW w:w="2283" w:type="dxa"/>
            <w:tcBorders>
              <w:top w:val="nil"/>
              <w:left w:val="single" w:sz="4" w:space="0" w:color="auto"/>
              <w:bottom w:val="nil"/>
              <w:right w:val="nil"/>
            </w:tcBorders>
            <w:shd w:val="clear" w:color="000000" w:fill="FFFFFF"/>
            <w:hideMark/>
          </w:tcPr>
          <w:p w14:paraId="3FE6373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nil"/>
              <w:right w:val="nil"/>
            </w:tcBorders>
            <w:shd w:val="clear" w:color="000000" w:fill="FFFFFF"/>
            <w:hideMark/>
          </w:tcPr>
          <w:p w14:paraId="7DE1A5F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Increase in automated versus currently manually-processed actions</w:t>
            </w:r>
          </w:p>
        </w:tc>
        <w:tc>
          <w:tcPr>
            <w:tcW w:w="2440" w:type="dxa"/>
            <w:tcBorders>
              <w:top w:val="nil"/>
              <w:left w:val="nil"/>
              <w:bottom w:val="nil"/>
              <w:right w:val="nil"/>
            </w:tcBorders>
            <w:shd w:val="clear" w:color="000000" w:fill="FFFFFF"/>
            <w:hideMark/>
          </w:tcPr>
          <w:p w14:paraId="54A955F7"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0%</w:t>
            </w:r>
          </w:p>
        </w:tc>
        <w:tc>
          <w:tcPr>
            <w:tcW w:w="1909" w:type="dxa"/>
            <w:tcBorders>
              <w:top w:val="nil"/>
              <w:left w:val="nil"/>
              <w:bottom w:val="nil"/>
              <w:right w:val="single" w:sz="4" w:space="0" w:color="auto"/>
            </w:tcBorders>
            <w:shd w:val="clear" w:color="000000" w:fill="FFFFFF"/>
            <w:hideMark/>
          </w:tcPr>
          <w:p w14:paraId="7F53BF04"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67%</w:t>
            </w:r>
          </w:p>
        </w:tc>
      </w:tr>
      <w:tr w:rsidR="00992C5E" w:rsidRPr="00A250F9" w14:paraId="622DC56E" w14:textId="77777777" w:rsidTr="00FB68E0">
        <w:trPr>
          <w:trHeight w:val="522"/>
        </w:trPr>
        <w:tc>
          <w:tcPr>
            <w:tcW w:w="2283" w:type="dxa"/>
            <w:tcBorders>
              <w:top w:val="nil"/>
              <w:left w:val="single" w:sz="4" w:space="0" w:color="auto"/>
              <w:bottom w:val="nil"/>
              <w:right w:val="nil"/>
            </w:tcBorders>
            <w:shd w:val="clear" w:color="000000" w:fill="FFFFFF"/>
            <w:hideMark/>
          </w:tcPr>
          <w:p w14:paraId="40DB72D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nil"/>
              <w:right w:val="nil"/>
            </w:tcBorders>
            <w:shd w:val="clear" w:color="000000" w:fill="FFFFFF"/>
            <w:hideMark/>
          </w:tcPr>
          <w:p w14:paraId="67B6C3F3" w14:textId="77777777" w:rsidR="00E516AC" w:rsidRDefault="00E516AC" w:rsidP="00E641D8">
            <w:pPr>
              <w:rPr>
                <w:rFonts w:ascii="Arial" w:eastAsia="Times New Roman" w:hAnsi="Arial" w:cs="Arial"/>
                <w:color w:val="000000"/>
                <w:sz w:val="16"/>
                <w:szCs w:val="16"/>
              </w:rPr>
            </w:pPr>
          </w:p>
          <w:p w14:paraId="089B71C0" w14:textId="77777777" w:rsidR="00992C5E"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queries processed within 5 working days</w:t>
            </w:r>
          </w:p>
          <w:p w14:paraId="3DD1E5AB" w14:textId="77777777" w:rsidR="00E516AC" w:rsidRPr="00A250F9" w:rsidRDefault="00E516AC" w:rsidP="00E641D8">
            <w:pPr>
              <w:rPr>
                <w:rFonts w:ascii="Arial" w:eastAsia="Times New Roman" w:hAnsi="Arial" w:cs="Arial"/>
                <w:color w:val="000000"/>
                <w:sz w:val="16"/>
                <w:szCs w:val="16"/>
              </w:rPr>
            </w:pPr>
          </w:p>
        </w:tc>
        <w:tc>
          <w:tcPr>
            <w:tcW w:w="2440" w:type="dxa"/>
            <w:tcBorders>
              <w:top w:val="nil"/>
              <w:left w:val="nil"/>
              <w:bottom w:val="nil"/>
              <w:right w:val="nil"/>
            </w:tcBorders>
            <w:shd w:val="clear" w:color="000000" w:fill="FFFFFF"/>
            <w:hideMark/>
          </w:tcPr>
          <w:p w14:paraId="6988289A" w14:textId="77777777" w:rsidR="00E516AC" w:rsidRDefault="00E516AC" w:rsidP="00E641D8">
            <w:pPr>
              <w:rPr>
                <w:rFonts w:ascii="Arial" w:eastAsia="Times New Roman" w:hAnsi="Arial" w:cs="Arial"/>
                <w:color w:val="000000"/>
                <w:sz w:val="16"/>
                <w:szCs w:val="16"/>
              </w:rPr>
            </w:pPr>
          </w:p>
          <w:p w14:paraId="3864AE1C"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c>
          <w:tcPr>
            <w:tcW w:w="1909" w:type="dxa"/>
            <w:tcBorders>
              <w:top w:val="nil"/>
              <w:left w:val="nil"/>
              <w:bottom w:val="nil"/>
              <w:right w:val="single" w:sz="4" w:space="0" w:color="auto"/>
            </w:tcBorders>
            <w:shd w:val="clear" w:color="000000" w:fill="FFFFFF"/>
            <w:hideMark/>
          </w:tcPr>
          <w:p w14:paraId="278A884B" w14:textId="77777777" w:rsidR="00E516AC" w:rsidRDefault="00E516AC" w:rsidP="00E641D8">
            <w:pPr>
              <w:rPr>
                <w:rFonts w:ascii="Arial" w:eastAsia="Times New Roman" w:hAnsi="Arial" w:cs="Arial"/>
                <w:color w:val="000000"/>
                <w:sz w:val="16"/>
                <w:szCs w:val="16"/>
              </w:rPr>
            </w:pPr>
          </w:p>
          <w:p w14:paraId="09782B9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90%</w:t>
            </w:r>
          </w:p>
        </w:tc>
      </w:tr>
      <w:tr w:rsidR="00992C5E" w:rsidRPr="00A250F9" w14:paraId="3C867C5B" w14:textId="77777777" w:rsidTr="00FB68E0">
        <w:trPr>
          <w:trHeight w:val="660"/>
        </w:trPr>
        <w:tc>
          <w:tcPr>
            <w:tcW w:w="2283" w:type="dxa"/>
            <w:tcBorders>
              <w:top w:val="nil"/>
              <w:left w:val="single" w:sz="4" w:space="0" w:color="auto"/>
              <w:right w:val="nil"/>
            </w:tcBorders>
            <w:shd w:val="clear" w:color="000000" w:fill="FFFFFF"/>
            <w:hideMark/>
          </w:tcPr>
          <w:p w14:paraId="10FBEAE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right w:val="nil"/>
            </w:tcBorders>
            <w:shd w:val="clear" w:color="000000" w:fill="FFFFFF"/>
            <w:hideMark/>
          </w:tcPr>
          <w:p w14:paraId="2B703108"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Optimized insurance coverage </w:t>
            </w:r>
          </w:p>
        </w:tc>
        <w:tc>
          <w:tcPr>
            <w:tcW w:w="2440" w:type="dxa"/>
            <w:tcBorders>
              <w:top w:val="nil"/>
              <w:left w:val="nil"/>
              <w:right w:val="nil"/>
            </w:tcBorders>
            <w:shd w:val="clear" w:color="000000" w:fill="FFFFFF"/>
            <w:hideMark/>
          </w:tcPr>
          <w:p w14:paraId="0A15DCD2"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c>
          <w:tcPr>
            <w:tcW w:w="1909" w:type="dxa"/>
            <w:tcBorders>
              <w:top w:val="nil"/>
              <w:left w:val="nil"/>
              <w:right w:val="single" w:sz="4" w:space="0" w:color="auto"/>
            </w:tcBorders>
            <w:shd w:val="clear" w:color="000000" w:fill="FFFFFF"/>
            <w:hideMark/>
          </w:tcPr>
          <w:p w14:paraId="03C520C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r>
      <w:tr w:rsidR="00992C5E" w:rsidRPr="00A250F9" w14:paraId="2CF06863" w14:textId="77777777" w:rsidTr="00FB68E0">
        <w:trPr>
          <w:trHeight w:val="1200"/>
        </w:trPr>
        <w:tc>
          <w:tcPr>
            <w:tcW w:w="2283" w:type="dxa"/>
            <w:tcBorders>
              <w:top w:val="nil"/>
              <w:left w:val="single" w:sz="4" w:space="0" w:color="auto"/>
              <w:right w:val="nil"/>
            </w:tcBorders>
            <w:shd w:val="clear" w:color="000000" w:fill="FFFFFF"/>
            <w:hideMark/>
          </w:tcPr>
          <w:p w14:paraId="0E5D8CA6" w14:textId="1500CEA4"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IX.2 An agile and smooth functioning Secretariat with a well</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managed and appropriately skilled workforce which is effectively delivering results</w:t>
            </w:r>
          </w:p>
        </w:tc>
        <w:tc>
          <w:tcPr>
            <w:tcW w:w="2597" w:type="dxa"/>
            <w:tcBorders>
              <w:top w:val="nil"/>
              <w:left w:val="nil"/>
              <w:right w:val="nil"/>
            </w:tcBorders>
            <w:shd w:val="clear" w:color="000000" w:fill="FFFFFF"/>
            <w:hideMark/>
          </w:tcPr>
          <w:p w14:paraId="35E96AC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 of women in professional and higher positions </w:t>
            </w:r>
          </w:p>
          <w:p w14:paraId="56B185FE" w14:textId="77777777" w:rsidR="00992C5E" w:rsidRPr="00A250F9" w:rsidRDefault="00992C5E" w:rsidP="00E641D8">
            <w:pPr>
              <w:rPr>
                <w:rFonts w:ascii="Arial" w:eastAsia="Times New Roman" w:hAnsi="Arial" w:cs="Arial"/>
                <w:color w:val="000000"/>
                <w:sz w:val="16"/>
                <w:szCs w:val="16"/>
              </w:rPr>
            </w:pPr>
          </w:p>
          <w:p w14:paraId="736E423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Recruitment lead time</w:t>
            </w:r>
          </w:p>
        </w:tc>
        <w:tc>
          <w:tcPr>
            <w:tcW w:w="2440" w:type="dxa"/>
            <w:tcBorders>
              <w:top w:val="nil"/>
              <w:left w:val="nil"/>
              <w:right w:val="nil"/>
            </w:tcBorders>
            <w:shd w:val="clear" w:color="000000" w:fill="FFFFFF"/>
            <w:hideMark/>
          </w:tcPr>
          <w:p w14:paraId="67EFACE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P4 – 44.4% P5 – 34.4% D1 – 26.7% D2 – 22.2% (Dec 2014) </w:t>
            </w:r>
          </w:p>
          <w:p w14:paraId="70C9AB54" w14:textId="77777777" w:rsidR="00992C5E" w:rsidRPr="00A250F9" w:rsidRDefault="00992C5E" w:rsidP="00E641D8">
            <w:pPr>
              <w:rPr>
                <w:rFonts w:ascii="Arial" w:eastAsia="Times New Roman" w:hAnsi="Arial" w:cs="Arial"/>
                <w:color w:val="000000"/>
                <w:sz w:val="16"/>
                <w:szCs w:val="16"/>
              </w:rPr>
            </w:pPr>
          </w:p>
          <w:p w14:paraId="03BEAE4E"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14.7 weeks (with LSTE)</w:t>
            </w:r>
            <w:r w:rsidRPr="00A250F9">
              <w:rPr>
                <w:rFonts w:ascii="Arial" w:eastAsia="Times New Roman" w:hAnsi="Arial" w:cs="Arial"/>
                <w:color w:val="000000"/>
                <w:sz w:val="16"/>
                <w:szCs w:val="16"/>
              </w:rPr>
              <w:br/>
              <w:t>19.07 weeks (without LSTE)</w:t>
            </w:r>
          </w:p>
        </w:tc>
        <w:tc>
          <w:tcPr>
            <w:tcW w:w="1909" w:type="dxa"/>
            <w:tcBorders>
              <w:top w:val="nil"/>
              <w:left w:val="nil"/>
              <w:right w:val="single" w:sz="4" w:space="0" w:color="auto"/>
            </w:tcBorders>
            <w:shd w:val="clear" w:color="000000" w:fill="FFFFFF"/>
            <w:hideMark/>
          </w:tcPr>
          <w:p w14:paraId="45319252"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 P4 – 46% P5 – 35% D1 – 30% D2 – 30% </w:t>
            </w:r>
          </w:p>
          <w:p w14:paraId="19C71F2B" w14:textId="77777777" w:rsidR="00992C5E" w:rsidRPr="00A250F9" w:rsidRDefault="00992C5E" w:rsidP="00E641D8">
            <w:pPr>
              <w:rPr>
                <w:rFonts w:ascii="Arial" w:eastAsia="Times New Roman" w:hAnsi="Arial" w:cs="Arial"/>
                <w:color w:val="000000"/>
                <w:sz w:val="16"/>
                <w:szCs w:val="16"/>
              </w:rPr>
            </w:pPr>
          </w:p>
          <w:p w14:paraId="0703842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19 weeks</w:t>
            </w:r>
          </w:p>
        </w:tc>
      </w:tr>
      <w:tr w:rsidR="00992C5E" w:rsidRPr="00A250F9" w14:paraId="272A71EE" w14:textId="77777777" w:rsidTr="00FB68E0">
        <w:trPr>
          <w:trHeight w:val="882"/>
        </w:trPr>
        <w:tc>
          <w:tcPr>
            <w:tcW w:w="2283" w:type="dxa"/>
            <w:tcBorders>
              <w:left w:val="single" w:sz="4" w:space="0" w:color="auto"/>
              <w:right w:val="nil"/>
            </w:tcBorders>
            <w:shd w:val="clear" w:color="000000" w:fill="FFFFFF"/>
            <w:hideMark/>
          </w:tcPr>
          <w:p w14:paraId="1DE1709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left w:val="nil"/>
              <w:right w:val="nil"/>
            </w:tcBorders>
            <w:shd w:val="clear" w:color="000000" w:fill="FFFFFF"/>
            <w:hideMark/>
          </w:tcPr>
          <w:p w14:paraId="6CA9F7EC" w14:textId="77777777" w:rsidR="00992C5E" w:rsidRDefault="00992C5E" w:rsidP="00992C5E">
            <w:pPr>
              <w:keepNext/>
              <w:keepLines/>
              <w:rPr>
                <w:rFonts w:ascii="Arial" w:eastAsia="Times New Roman" w:hAnsi="Arial" w:cs="Arial"/>
                <w:color w:val="000000"/>
                <w:sz w:val="16"/>
                <w:szCs w:val="16"/>
              </w:rPr>
            </w:pPr>
          </w:p>
          <w:p w14:paraId="4F98FE1D"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 of staff whose performance is evaluated against their individual objectives and competencies</w:t>
            </w:r>
          </w:p>
        </w:tc>
        <w:tc>
          <w:tcPr>
            <w:tcW w:w="2440" w:type="dxa"/>
            <w:tcBorders>
              <w:left w:val="nil"/>
              <w:right w:val="nil"/>
            </w:tcBorders>
            <w:shd w:val="clear" w:color="000000" w:fill="FFFFFF"/>
            <w:hideMark/>
          </w:tcPr>
          <w:p w14:paraId="3B596F3C" w14:textId="77777777" w:rsidR="00992C5E" w:rsidRDefault="00992C5E" w:rsidP="00992C5E">
            <w:pPr>
              <w:keepNext/>
              <w:keepLines/>
              <w:rPr>
                <w:rFonts w:ascii="Arial" w:eastAsia="Times New Roman" w:hAnsi="Arial" w:cs="Arial"/>
                <w:color w:val="000000"/>
                <w:sz w:val="16"/>
                <w:szCs w:val="16"/>
              </w:rPr>
            </w:pPr>
          </w:p>
          <w:p w14:paraId="710D1C52" w14:textId="303715AE"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82</w:t>
            </w:r>
            <w:r w:rsidR="004D3E01">
              <w:rPr>
                <w:rFonts w:ascii="Arial" w:eastAsia="Times New Roman" w:hAnsi="Arial" w:cs="Arial"/>
                <w:color w:val="000000"/>
                <w:sz w:val="16"/>
                <w:szCs w:val="16"/>
              </w:rPr>
              <w:t>.</w:t>
            </w:r>
            <w:r w:rsidRPr="00A250F9">
              <w:rPr>
                <w:rFonts w:ascii="Arial" w:eastAsia="Times New Roman" w:hAnsi="Arial" w:cs="Arial"/>
                <w:color w:val="000000"/>
                <w:sz w:val="16"/>
                <w:szCs w:val="16"/>
              </w:rPr>
              <w:t>9% (2014)</w:t>
            </w:r>
          </w:p>
        </w:tc>
        <w:tc>
          <w:tcPr>
            <w:tcW w:w="1909" w:type="dxa"/>
            <w:tcBorders>
              <w:left w:val="nil"/>
              <w:right w:val="single" w:sz="4" w:space="0" w:color="auto"/>
            </w:tcBorders>
            <w:shd w:val="clear" w:color="000000" w:fill="FFFFFF"/>
            <w:hideMark/>
          </w:tcPr>
          <w:p w14:paraId="1F047997" w14:textId="77777777" w:rsidR="00992C5E" w:rsidRDefault="00992C5E" w:rsidP="00992C5E">
            <w:pPr>
              <w:keepNext/>
              <w:keepLines/>
              <w:rPr>
                <w:rFonts w:ascii="Arial" w:eastAsia="Times New Roman" w:hAnsi="Arial" w:cs="Arial"/>
                <w:color w:val="000000"/>
                <w:sz w:val="16"/>
                <w:szCs w:val="16"/>
              </w:rPr>
            </w:pPr>
          </w:p>
          <w:p w14:paraId="09B95CD1"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90%</w:t>
            </w:r>
          </w:p>
        </w:tc>
      </w:tr>
      <w:tr w:rsidR="00992C5E" w:rsidRPr="00A250F9" w14:paraId="59943F82" w14:textId="77777777" w:rsidTr="00FB68E0">
        <w:trPr>
          <w:trHeight w:val="1431"/>
        </w:trPr>
        <w:tc>
          <w:tcPr>
            <w:tcW w:w="2283" w:type="dxa"/>
            <w:tcBorders>
              <w:left w:val="single" w:sz="4" w:space="0" w:color="auto"/>
              <w:bottom w:val="single" w:sz="4" w:space="0" w:color="auto"/>
              <w:right w:val="nil"/>
            </w:tcBorders>
            <w:shd w:val="clear" w:color="000000" w:fill="FFFFFF"/>
            <w:hideMark/>
          </w:tcPr>
          <w:p w14:paraId="22616D3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left w:val="nil"/>
              <w:bottom w:val="single" w:sz="4" w:space="0" w:color="auto"/>
              <w:right w:val="nil"/>
            </w:tcBorders>
            <w:shd w:val="clear" w:color="000000" w:fill="FFFFFF"/>
            <w:hideMark/>
          </w:tcPr>
          <w:p w14:paraId="0EA686FC" w14:textId="77777777" w:rsidR="00992C5E" w:rsidRDefault="00992C5E" w:rsidP="00992C5E">
            <w:pPr>
              <w:keepNext/>
              <w:keepLines/>
              <w:rPr>
                <w:rFonts w:ascii="Arial" w:eastAsia="Times New Roman" w:hAnsi="Arial" w:cs="Arial"/>
                <w:color w:val="000000"/>
                <w:sz w:val="16"/>
                <w:szCs w:val="16"/>
              </w:rPr>
            </w:pPr>
          </w:p>
          <w:p w14:paraId="25951C08" w14:textId="5B041F13" w:rsidR="00992C5E" w:rsidRPr="00A250F9" w:rsidRDefault="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No. of days to:</w:t>
            </w:r>
            <w:r w:rsidR="00E516AC">
              <w:rPr>
                <w:rFonts w:ascii="Arial" w:eastAsia="Times New Roman" w:hAnsi="Arial" w:cs="Arial"/>
                <w:color w:val="000000"/>
                <w:sz w:val="16"/>
                <w:szCs w:val="16"/>
              </w:rPr>
              <w:t xml:space="preserve"> (</w:t>
            </w:r>
            <w:proofErr w:type="spellStart"/>
            <w:r w:rsidRPr="00A250F9">
              <w:rPr>
                <w:rFonts w:ascii="Arial" w:eastAsia="Times New Roman" w:hAnsi="Arial" w:cs="Arial"/>
                <w:color w:val="000000"/>
                <w:sz w:val="16"/>
                <w:szCs w:val="16"/>
              </w:rPr>
              <w:t>i</w:t>
            </w:r>
            <w:proofErr w:type="spellEnd"/>
            <w:r w:rsidRPr="00A250F9">
              <w:rPr>
                <w:rFonts w:ascii="Arial" w:eastAsia="Times New Roman" w:hAnsi="Arial" w:cs="Arial"/>
                <w:color w:val="000000"/>
                <w:sz w:val="16"/>
                <w:szCs w:val="16"/>
              </w:rPr>
              <w:t xml:space="preserve">) notify staff of decisions on </w:t>
            </w:r>
            <w:proofErr w:type="spellStart"/>
            <w:r w:rsidRPr="00A250F9">
              <w:rPr>
                <w:rFonts w:ascii="Arial" w:eastAsia="Times New Roman" w:hAnsi="Arial" w:cs="Arial"/>
                <w:color w:val="000000"/>
                <w:sz w:val="16"/>
                <w:szCs w:val="16"/>
              </w:rPr>
              <w:t>RfR</w:t>
            </w:r>
            <w:proofErr w:type="spellEnd"/>
            <w:r w:rsidRPr="00A250F9">
              <w:rPr>
                <w:rFonts w:ascii="Arial" w:eastAsia="Times New Roman" w:hAnsi="Arial" w:cs="Arial"/>
                <w:color w:val="000000"/>
                <w:sz w:val="16"/>
                <w:szCs w:val="16"/>
              </w:rPr>
              <w:t xml:space="preserve">/grievances, </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 xml:space="preserve">ii) notify staff of decisions on rebuttals/disciplinary cases and </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iii) provide responses to requests for advice</w:t>
            </w:r>
          </w:p>
        </w:tc>
        <w:tc>
          <w:tcPr>
            <w:tcW w:w="2440" w:type="dxa"/>
            <w:tcBorders>
              <w:left w:val="nil"/>
              <w:bottom w:val="single" w:sz="4" w:space="0" w:color="auto"/>
              <w:right w:val="nil"/>
            </w:tcBorders>
            <w:shd w:val="clear" w:color="000000" w:fill="FFFFFF"/>
            <w:hideMark/>
          </w:tcPr>
          <w:p w14:paraId="6461385E" w14:textId="77777777" w:rsidR="00992C5E" w:rsidRDefault="00992C5E" w:rsidP="00992C5E">
            <w:pPr>
              <w:keepNext/>
              <w:keepLines/>
              <w:rPr>
                <w:rFonts w:ascii="Arial" w:eastAsia="Times New Roman" w:hAnsi="Arial" w:cs="Arial"/>
                <w:color w:val="000000"/>
                <w:sz w:val="16"/>
                <w:szCs w:val="16"/>
              </w:rPr>
            </w:pPr>
          </w:p>
          <w:p w14:paraId="00BC69B6"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n/a</w:t>
            </w:r>
          </w:p>
        </w:tc>
        <w:tc>
          <w:tcPr>
            <w:tcW w:w="1909" w:type="dxa"/>
            <w:tcBorders>
              <w:left w:val="nil"/>
              <w:bottom w:val="single" w:sz="4" w:space="0" w:color="auto"/>
              <w:right w:val="single" w:sz="4" w:space="0" w:color="auto"/>
            </w:tcBorders>
            <w:shd w:val="clear" w:color="000000" w:fill="FFFFFF"/>
            <w:hideMark/>
          </w:tcPr>
          <w:p w14:paraId="57300C62" w14:textId="77777777" w:rsidR="00992C5E" w:rsidRDefault="00992C5E" w:rsidP="00992C5E">
            <w:pPr>
              <w:keepNext/>
              <w:keepLines/>
              <w:rPr>
                <w:rFonts w:ascii="Arial" w:eastAsia="Times New Roman" w:hAnsi="Arial" w:cs="Arial"/>
                <w:color w:val="000000"/>
                <w:sz w:val="16"/>
                <w:szCs w:val="16"/>
              </w:rPr>
            </w:pPr>
          </w:p>
          <w:p w14:paraId="6957FE51" w14:textId="195329FB" w:rsidR="00992C5E" w:rsidRDefault="00E516AC" w:rsidP="00992C5E">
            <w:pPr>
              <w:keepNext/>
              <w:keepLines/>
              <w:rPr>
                <w:rFonts w:ascii="Arial" w:eastAsia="Times New Roman" w:hAnsi="Arial" w:cs="Arial"/>
                <w:color w:val="000000"/>
                <w:sz w:val="16"/>
                <w:szCs w:val="16"/>
              </w:rPr>
            </w:pPr>
            <w:r>
              <w:rPr>
                <w:rFonts w:ascii="Arial" w:eastAsia="Times New Roman" w:hAnsi="Arial" w:cs="Arial"/>
                <w:color w:val="000000"/>
                <w:sz w:val="16"/>
                <w:szCs w:val="16"/>
              </w:rPr>
              <w:t>(</w:t>
            </w:r>
            <w:proofErr w:type="spellStart"/>
            <w:r w:rsidR="00992C5E" w:rsidRPr="00A250F9">
              <w:rPr>
                <w:rFonts w:ascii="Arial" w:eastAsia="Times New Roman" w:hAnsi="Arial" w:cs="Arial"/>
                <w:color w:val="000000"/>
                <w:sz w:val="16"/>
                <w:szCs w:val="16"/>
              </w:rPr>
              <w:t>i</w:t>
            </w:r>
            <w:proofErr w:type="spellEnd"/>
            <w:r w:rsidR="00992C5E" w:rsidRPr="00A250F9">
              <w:rPr>
                <w:rFonts w:ascii="Arial" w:eastAsia="Times New Roman" w:hAnsi="Arial" w:cs="Arial"/>
                <w:color w:val="000000"/>
                <w:sz w:val="16"/>
                <w:szCs w:val="16"/>
              </w:rPr>
              <w:t xml:space="preserve">) 60 days from receipt of </w:t>
            </w:r>
            <w:proofErr w:type="spellStart"/>
            <w:r w:rsidR="00992C5E" w:rsidRPr="00A250F9">
              <w:rPr>
                <w:rFonts w:ascii="Arial" w:eastAsia="Times New Roman" w:hAnsi="Arial" w:cs="Arial"/>
                <w:color w:val="000000"/>
                <w:sz w:val="16"/>
                <w:szCs w:val="16"/>
              </w:rPr>
              <w:t>RfR</w:t>
            </w:r>
            <w:proofErr w:type="spellEnd"/>
            <w:r w:rsidR="00992C5E" w:rsidRPr="00A250F9">
              <w:rPr>
                <w:rFonts w:ascii="Arial" w:eastAsia="Times New Roman" w:hAnsi="Arial" w:cs="Arial"/>
                <w:color w:val="000000"/>
                <w:sz w:val="16"/>
                <w:szCs w:val="16"/>
              </w:rPr>
              <w:t xml:space="preserve">/response to grievance </w:t>
            </w:r>
            <w:r w:rsidR="00992C5E" w:rsidRPr="00A250F9">
              <w:rPr>
                <w:rFonts w:ascii="Arial" w:eastAsia="Times New Roman" w:hAnsi="Arial" w:cs="Arial"/>
                <w:color w:val="000000"/>
                <w:sz w:val="16"/>
                <w:szCs w:val="16"/>
              </w:rPr>
              <w:br/>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 xml:space="preserve">ii) 30 days from receipt of rebuttal/response to charge letter and </w:t>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iii) 10 working days from receipt of request</w:t>
            </w:r>
          </w:p>
          <w:p w14:paraId="6FC4523F" w14:textId="77777777" w:rsidR="00992C5E" w:rsidRPr="00A250F9" w:rsidRDefault="00992C5E" w:rsidP="00992C5E">
            <w:pPr>
              <w:keepNext/>
              <w:keepLines/>
              <w:rPr>
                <w:rFonts w:ascii="Arial" w:eastAsia="Times New Roman" w:hAnsi="Arial" w:cs="Arial"/>
                <w:color w:val="000000"/>
                <w:sz w:val="16"/>
                <w:szCs w:val="16"/>
              </w:rPr>
            </w:pPr>
          </w:p>
        </w:tc>
      </w:tr>
      <w:tr w:rsidR="00992C5E" w:rsidRPr="00A250F9" w14:paraId="572EF8C7" w14:textId="77777777" w:rsidTr="00FB68E0">
        <w:trPr>
          <w:trHeight w:val="2160"/>
        </w:trPr>
        <w:tc>
          <w:tcPr>
            <w:tcW w:w="2283" w:type="dxa"/>
            <w:tcBorders>
              <w:top w:val="single" w:sz="4" w:space="0" w:color="auto"/>
              <w:left w:val="single" w:sz="4" w:space="0" w:color="auto"/>
              <w:bottom w:val="nil"/>
              <w:right w:val="nil"/>
            </w:tcBorders>
            <w:shd w:val="clear" w:color="000000" w:fill="FFFFFF"/>
            <w:hideMark/>
          </w:tcPr>
          <w:p w14:paraId="27554B66"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lastRenderedPageBreak/>
              <w:t> </w:t>
            </w:r>
          </w:p>
        </w:tc>
        <w:tc>
          <w:tcPr>
            <w:tcW w:w="2597" w:type="dxa"/>
            <w:tcBorders>
              <w:top w:val="single" w:sz="4" w:space="0" w:color="auto"/>
              <w:left w:val="nil"/>
              <w:bottom w:val="nil"/>
              <w:right w:val="nil"/>
            </w:tcBorders>
            <w:shd w:val="clear" w:color="000000" w:fill="FFFFFF"/>
            <w:hideMark/>
          </w:tcPr>
          <w:p w14:paraId="252BC5BC" w14:textId="77777777" w:rsidR="007979F6" w:rsidRDefault="007979F6" w:rsidP="00E641D8">
            <w:pPr>
              <w:rPr>
                <w:rFonts w:ascii="Arial" w:eastAsia="Times New Roman" w:hAnsi="Arial" w:cs="Arial"/>
                <w:color w:val="000000"/>
                <w:sz w:val="16"/>
                <w:szCs w:val="16"/>
              </w:rPr>
            </w:pPr>
          </w:p>
          <w:p w14:paraId="0E3A547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Geographical diversity:% of Staff per region</w:t>
            </w:r>
          </w:p>
        </w:tc>
        <w:tc>
          <w:tcPr>
            <w:tcW w:w="2440" w:type="dxa"/>
            <w:tcBorders>
              <w:top w:val="single" w:sz="4" w:space="0" w:color="auto"/>
              <w:left w:val="nil"/>
              <w:bottom w:val="nil"/>
              <w:right w:val="nil"/>
            </w:tcBorders>
            <w:shd w:val="clear" w:color="000000" w:fill="FFFFFF"/>
            <w:hideMark/>
          </w:tcPr>
          <w:p w14:paraId="1B4D8B13" w14:textId="77777777" w:rsidR="007979F6" w:rsidRDefault="007979F6" w:rsidP="00E641D8">
            <w:pPr>
              <w:rPr>
                <w:rFonts w:ascii="Arial" w:eastAsia="Times New Roman" w:hAnsi="Arial" w:cs="Arial"/>
                <w:color w:val="000000"/>
                <w:sz w:val="16"/>
                <w:szCs w:val="16"/>
              </w:rPr>
            </w:pPr>
          </w:p>
          <w:p w14:paraId="6EC7D703" w14:textId="4C4770E7" w:rsidR="00992C5E" w:rsidRPr="00A250F9" w:rsidRDefault="00992C5E">
            <w:pPr>
              <w:rPr>
                <w:rFonts w:ascii="Arial" w:eastAsia="Times New Roman" w:hAnsi="Arial" w:cs="Arial"/>
                <w:color w:val="000000"/>
                <w:sz w:val="16"/>
                <w:szCs w:val="16"/>
              </w:rPr>
            </w:pPr>
            <w:r w:rsidRPr="00A250F9">
              <w:rPr>
                <w:rFonts w:ascii="Arial" w:eastAsia="Times New Roman" w:hAnsi="Arial" w:cs="Arial"/>
                <w:color w:val="000000"/>
                <w:sz w:val="16"/>
                <w:szCs w:val="16"/>
              </w:rPr>
              <w:t>Africa - 10.8%</w:t>
            </w:r>
            <w:r w:rsidRPr="00A250F9">
              <w:rPr>
                <w:rFonts w:ascii="Arial" w:eastAsia="Times New Roman" w:hAnsi="Arial" w:cs="Arial"/>
                <w:color w:val="000000"/>
                <w:sz w:val="16"/>
                <w:szCs w:val="16"/>
              </w:rPr>
              <w:br/>
              <w:t>Asia &amp; the Pacific - 13.5%</w:t>
            </w:r>
            <w:r w:rsidRPr="00A250F9">
              <w:rPr>
                <w:rFonts w:ascii="Arial" w:eastAsia="Times New Roman" w:hAnsi="Arial" w:cs="Arial"/>
                <w:color w:val="000000"/>
                <w:sz w:val="16"/>
                <w:szCs w:val="16"/>
              </w:rPr>
              <w:br/>
              <w:t>Eastern &amp; Central Europe &amp; central Asia - 6.7%</w:t>
            </w:r>
            <w:r w:rsidRPr="00A250F9">
              <w:rPr>
                <w:rFonts w:ascii="Arial" w:eastAsia="Times New Roman" w:hAnsi="Arial" w:cs="Arial"/>
                <w:color w:val="000000"/>
                <w:sz w:val="16"/>
                <w:szCs w:val="16"/>
              </w:rPr>
              <w:br/>
              <w:t xml:space="preserve">Latin America </w:t>
            </w:r>
            <w:r w:rsidR="004D3E01">
              <w:rPr>
                <w:rFonts w:ascii="Arial" w:eastAsia="Times New Roman" w:hAnsi="Arial" w:cs="Arial"/>
                <w:color w:val="000000"/>
                <w:sz w:val="16"/>
                <w:szCs w:val="16"/>
              </w:rPr>
              <w:t>and</w:t>
            </w:r>
            <w:r w:rsidR="004D3E01" w:rsidRPr="00A250F9">
              <w:rPr>
                <w:rFonts w:ascii="Arial" w:eastAsia="Times New Roman" w:hAnsi="Arial" w:cs="Arial"/>
                <w:color w:val="000000"/>
                <w:sz w:val="16"/>
                <w:szCs w:val="16"/>
              </w:rPr>
              <w:t xml:space="preserve"> </w:t>
            </w:r>
            <w:r w:rsidRPr="00A250F9">
              <w:rPr>
                <w:rFonts w:ascii="Arial" w:eastAsia="Times New Roman" w:hAnsi="Arial" w:cs="Arial"/>
                <w:color w:val="000000"/>
                <w:sz w:val="16"/>
                <w:szCs w:val="16"/>
              </w:rPr>
              <w:t>the Caribbean - 8.2%</w:t>
            </w:r>
            <w:r w:rsidRPr="00A250F9">
              <w:rPr>
                <w:rFonts w:ascii="Arial" w:eastAsia="Times New Roman" w:hAnsi="Arial" w:cs="Arial"/>
                <w:color w:val="000000"/>
                <w:sz w:val="16"/>
                <w:szCs w:val="16"/>
              </w:rPr>
              <w:br/>
              <w:t>Middle East - 1.2%</w:t>
            </w:r>
            <w:r w:rsidRPr="00A250F9">
              <w:rPr>
                <w:rFonts w:ascii="Arial" w:eastAsia="Times New Roman" w:hAnsi="Arial" w:cs="Arial"/>
                <w:color w:val="000000"/>
                <w:sz w:val="16"/>
                <w:szCs w:val="16"/>
              </w:rPr>
              <w:br/>
              <w:t>North America - 8.4%</w:t>
            </w:r>
            <w:r w:rsidRPr="00A250F9">
              <w:rPr>
                <w:rFonts w:ascii="Arial" w:eastAsia="Times New Roman" w:hAnsi="Arial" w:cs="Arial"/>
                <w:color w:val="000000"/>
                <w:sz w:val="16"/>
                <w:szCs w:val="16"/>
              </w:rPr>
              <w:br/>
              <w:t>Western Europe - 51.2%</w:t>
            </w:r>
            <w:r w:rsidRPr="00A250F9">
              <w:rPr>
                <w:rFonts w:ascii="Arial" w:eastAsia="Times New Roman" w:hAnsi="Arial" w:cs="Arial"/>
                <w:color w:val="000000"/>
                <w:sz w:val="16"/>
                <w:szCs w:val="16"/>
              </w:rPr>
              <w:br/>
              <w:t>(Dec. 2014)</w:t>
            </w:r>
          </w:p>
        </w:tc>
        <w:tc>
          <w:tcPr>
            <w:tcW w:w="1909" w:type="dxa"/>
            <w:tcBorders>
              <w:top w:val="single" w:sz="4" w:space="0" w:color="auto"/>
              <w:left w:val="nil"/>
              <w:bottom w:val="nil"/>
              <w:right w:val="single" w:sz="4" w:space="0" w:color="auto"/>
            </w:tcBorders>
            <w:shd w:val="clear" w:color="000000" w:fill="FFFFFF"/>
            <w:hideMark/>
          </w:tcPr>
          <w:p w14:paraId="08DD2036" w14:textId="77777777" w:rsidR="007979F6" w:rsidRDefault="007979F6" w:rsidP="00E641D8">
            <w:pPr>
              <w:rPr>
                <w:rFonts w:ascii="Arial" w:eastAsia="Times New Roman" w:hAnsi="Arial" w:cs="Arial"/>
                <w:color w:val="000000"/>
                <w:sz w:val="16"/>
                <w:szCs w:val="16"/>
              </w:rPr>
            </w:pPr>
          </w:p>
          <w:p w14:paraId="0390704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WIPO’s policy on geographical distribution requires consideration by Member States. </w:t>
            </w:r>
          </w:p>
        </w:tc>
      </w:tr>
      <w:tr w:rsidR="00992C5E" w:rsidRPr="00A250F9" w14:paraId="5E03DFA2" w14:textId="77777777" w:rsidTr="00FB68E0">
        <w:trPr>
          <w:trHeight w:val="747"/>
        </w:trPr>
        <w:tc>
          <w:tcPr>
            <w:tcW w:w="2283" w:type="dxa"/>
            <w:tcBorders>
              <w:top w:val="nil"/>
              <w:left w:val="single" w:sz="4" w:space="0" w:color="auto"/>
              <w:bottom w:val="nil"/>
              <w:right w:val="nil"/>
            </w:tcBorders>
            <w:shd w:val="clear" w:color="000000" w:fill="FFFFFF"/>
          </w:tcPr>
          <w:p w14:paraId="400AC69B" w14:textId="77777777" w:rsidR="00992C5E" w:rsidRPr="00A250F9" w:rsidRDefault="00992C5E" w:rsidP="00E641D8">
            <w:pPr>
              <w:rPr>
                <w:rFonts w:ascii="Arial" w:eastAsia="Times New Roman" w:hAnsi="Arial" w:cs="Arial"/>
                <w:color w:val="000000"/>
                <w:sz w:val="16"/>
                <w:szCs w:val="16"/>
              </w:rPr>
            </w:pPr>
          </w:p>
        </w:tc>
        <w:tc>
          <w:tcPr>
            <w:tcW w:w="2597" w:type="dxa"/>
            <w:tcBorders>
              <w:top w:val="nil"/>
              <w:left w:val="nil"/>
              <w:bottom w:val="nil"/>
              <w:right w:val="nil"/>
            </w:tcBorders>
            <w:shd w:val="clear" w:color="000000" w:fill="FFFFFF"/>
          </w:tcPr>
          <w:p w14:paraId="7871F9C1"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No. of applications received from unrepresented Member States as a % of total</w:t>
            </w:r>
          </w:p>
        </w:tc>
        <w:tc>
          <w:tcPr>
            <w:tcW w:w="2440" w:type="dxa"/>
            <w:tcBorders>
              <w:top w:val="nil"/>
              <w:left w:val="nil"/>
              <w:bottom w:val="nil"/>
              <w:right w:val="nil"/>
            </w:tcBorders>
            <w:shd w:val="clear" w:color="000000" w:fill="FFFFFF"/>
          </w:tcPr>
          <w:p w14:paraId="47874BF6"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c>
          <w:tcPr>
            <w:tcW w:w="1909" w:type="dxa"/>
            <w:tcBorders>
              <w:top w:val="nil"/>
              <w:left w:val="nil"/>
              <w:bottom w:val="nil"/>
              <w:right w:val="single" w:sz="4" w:space="0" w:color="auto"/>
            </w:tcBorders>
            <w:shd w:val="clear" w:color="000000" w:fill="FFFFFF"/>
          </w:tcPr>
          <w:p w14:paraId="2C79F6F5"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 (based on % increase between 2014-2015)</w:t>
            </w:r>
          </w:p>
        </w:tc>
      </w:tr>
      <w:tr w:rsidR="00992C5E" w:rsidRPr="00A250F9" w14:paraId="101FA4F8" w14:textId="77777777" w:rsidTr="00FB68E0">
        <w:trPr>
          <w:trHeight w:val="567"/>
        </w:trPr>
        <w:tc>
          <w:tcPr>
            <w:tcW w:w="2283" w:type="dxa"/>
            <w:tcBorders>
              <w:top w:val="nil"/>
              <w:left w:val="single" w:sz="4" w:space="0" w:color="auto"/>
              <w:right w:val="nil"/>
            </w:tcBorders>
            <w:shd w:val="clear" w:color="000000" w:fill="FFFFFF"/>
            <w:hideMark/>
          </w:tcPr>
          <w:p w14:paraId="55A72065"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right w:val="nil"/>
            </w:tcBorders>
            <w:shd w:val="clear" w:color="000000" w:fill="FFFFFF"/>
            <w:hideMark/>
          </w:tcPr>
          <w:p w14:paraId="079294A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Enhanced maturity of HR Planning </w:t>
            </w:r>
          </w:p>
        </w:tc>
        <w:tc>
          <w:tcPr>
            <w:tcW w:w="2440" w:type="dxa"/>
            <w:tcBorders>
              <w:top w:val="nil"/>
              <w:left w:val="nil"/>
              <w:right w:val="nil"/>
            </w:tcBorders>
            <w:shd w:val="clear" w:color="000000" w:fill="FFFFFF"/>
            <w:hideMark/>
          </w:tcPr>
          <w:p w14:paraId="1D5E0CA9"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p>
        </w:tc>
        <w:tc>
          <w:tcPr>
            <w:tcW w:w="1909" w:type="dxa"/>
            <w:tcBorders>
              <w:top w:val="nil"/>
              <w:left w:val="nil"/>
              <w:right w:val="single" w:sz="4" w:space="0" w:color="auto"/>
            </w:tcBorders>
            <w:shd w:val="clear" w:color="000000" w:fill="FFFFFF"/>
            <w:hideMark/>
          </w:tcPr>
          <w:p w14:paraId="3C186D23"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p>
        </w:tc>
      </w:tr>
      <w:tr w:rsidR="00992C5E" w:rsidRPr="00A250F9" w14:paraId="4A7FB52F" w14:textId="77777777" w:rsidTr="00FB68E0">
        <w:trPr>
          <w:trHeight w:val="1170"/>
        </w:trPr>
        <w:tc>
          <w:tcPr>
            <w:tcW w:w="2283" w:type="dxa"/>
            <w:tcBorders>
              <w:top w:val="nil"/>
              <w:left w:val="single" w:sz="4" w:space="0" w:color="auto"/>
              <w:bottom w:val="single" w:sz="4" w:space="0" w:color="auto"/>
              <w:right w:val="nil"/>
            </w:tcBorders>
            <w:shd w:val="clear" w:color="000000" w:fill="FFFFFF"/>
            <w:hideMark/>
          </w:tcPr>
          <w:p w14:paraId="29087BF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single" w:sz="4" w:space="0" w:color="auto"/>
              <w:right w:val="nil"/>
            </w:tcBorders>
            <w:shd w:val="clear" w:color="000000" w:fill="FFFFFF"/>
            <w:hideMark/>
          </w:tcPr>
          <w:p w14:paraId="45894DB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trainings needs fulfilled of which: (</w:t>
            </w:r>
            <w:proofErr w:type="spellStart"/>
            <w:r w:rsidRPr="00A250F9">
              <w:rPr>
                <w:rFonts w:ascii="Arial" w:eastAsia="Times New Roman" w:hAnsi="Arial" w:cs="Arial"/>
                <w:color w:val="000000"/>
                <w:sz w:val="16"/>
                <w:szCs w:val="16"/>
              </w:rPr>
              <w:t>i</w:t>
            </w:r>
            <w:proofErr w:type="spellEnd"/>
            <w:r w:rsidRPr="00A250F9">
              <w:rPr>
                <w:rFonts w:ascii="Arial" w:eastAsia="Times New Roman" w:hAnsi="Arial" w:cs="Arial"/>
                <w:color w:val="000000"/>
                <w:sz w:val="16"/>
                <w:szCs w:val="16"/>
              </w:rPr>
              <w:t>) critical collective training needs and (ii) individual training needs</w:t>
            </w:r>
          </w:p>
        </w:tc>
        <w:tc>
          <w:tcPr>
            <w:tcW w:w="2440" w:type="dxa"/>
            <w:tcBorders>
              <w:top w:val="nil"/>
              <w:left w:val="nil"/>
              <w:bottom w:val="single" w:sz="4" w:space="0" w:color="auto"/>
              <w:right w:val="nil"/>
            </w:tcBorders>
            <w:shd w:val="clear" w:color="000000" w:fill="FFFFFF"/>
            <w:hideMark/>
          </w:tcPr>
          <w:p w14:paraId="3F78014F"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c>
          <w:tcPr>
            <w:tcW w:w="1909" w:type="dxa"/>
            <w:tcBorders>
              <w:top w:val="nil"/>
              <w:left w:val="nil"/>
              <w:bottom w:val="single" w:sz="4" w:space="0" w:color="auto"/>
              <w:right w:val="single" w:sz="4" w:space="0" w:color="auto"/>
            </w:tcBorders>
            <w:shd w:val="clear" w:color="000000" w:fill="FFFFFF"/>
            <w:hideMark/>
          </w:tcPr>
          <w:p w14:paraId="79D70FA2" w14:textId="544795C5" w:rsidR="00992C5E" w:rsidRPr="00A250F9" w:rsidRDefault="00E516AC" w:rsidP="00E641D8">
            <w:pPr>
              <w:rPr>
                <w:rFonts w:ascii="Arial" w:eastAsia="Times New Roman" w:hAnsi="Arial" w:cs="Arial"/>
                <w:color w:val="000000"/>
                <w:sz w:val="16"/>
                <w:szCs w:val="16"/>
              </w:rPr>
            </w:pPr>
            <w:r>
              <w:rPr>
                <w:rFonts w:ascii="Arial" w:eastAsia="Times New Roman" w:hAnsi="Arial" w:cs="Arial"/>
                <w:color w:val="000000"/>
                <w:sz w:val="16"/>
                <w:szCs w:val="16"/>
              </w:rPr>
              <w:t>(</w:t>
            </w:r>
            <w:proofErr w:type="spellStart"/>
            <w:r w:rsidR="00992C5E" w:rsidRPr="00A250F9">
              <w:rPr>
                <w:rFonts w:ascii="Arial" w:eastAsia="Times New Roman" w:hAnsi="Arial" w:cs="Arial"/>
                <w:color w:val="000000"/>
                <w:sz w:val="16"/>
                <w:szCs w:val="16"/>
              </w:rPr>
              <w:t>i</w:t>
            </w:r>
            <w:proofErr w:type="spellEnd"/>
            <w:r w:rsidR="00992C5E" w:rsidRPr="00A250F9">
              <w:rPr>
                <w:rFonts w:ascii="Arial" w:eastAsia="Times New Roman" w:hAnsi="Arial" w:cs="Arial"/>
                <w:color w:val="000000"/>
                <w:sz w:val="16"/>
                <w:szCs w:val="16"/>
              </w:rPr>
              <w:t>) 60% of the needs are addressed by a training program</w:t>
            </w:r>
            <w:r w:rsidR="00992C5E" w:rsidRPr="00A250F9">
              <w:rPr>
                <w:rFonts w:ascii="Arial" w:eastAsia="Times New Roman" w:hAnsi="Arial" w:cs="Arial"/>
                <w:color w:val="000000"/>
                <w:sz w:val="16"/>
                <w:szCs w:val="16"/>
              </w:rPr>
              <w:br/>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ii) 55% of individual training needs are fulfilled</w:t>
            </w:r>
          </w:p>
        </w:tc>
      </w:tr>
    </w:tbl>
    <w:p w14:paraId="2056A52B" w14:textId="77777777" w:rsidR="00992C5E" w:rsidRDefault="00992C5E" w:rsidP="00E641D8">
      <w:pPr>
        <w:rPr>
          <w:rFonts w:ascii="Arial" w:eastAsia="Times New Roman" w:hAnsi="Arial" w:cs="Arial"/>
          <w:sz w:val="20"/>
          <w:szCs w:val="20"/>
        </w:rPr>
      </w:pPr>
    </w:p>
    <w:p w14:paraId="370B14F9" w14:textId="77777777" w:rsidR="00992C5E" w:rsidRPr="00A250F9" w:rsidRDefault="00992C5E" w:rsidP="00E641D8">
      <w:pPr>
        <w:rPr>
          <w:rFonts w:ascii="Arial" w:eastAsia="Times New Roman" w:hAnsi="Arial" w:cs="Arial"/>
          <w:sz w:val="20"/>
          <w:szCs w:val="20"/>
        </w:rPr>
      </w:pPr>
    </w:p>
    <w:p w14:paraId="3F3070B2" w14:textId="5E0FA1A8" w:rsidR="00992C5E" w:rsidRPr="00E55523" w:rsidRDefault="00992C5E" w:rsidP="00E641D8">
      <w:pPr>
        <w:rPr>
          <w:rFonts w:ascii="Arial" w:eastAsia="Times New Roman" w:hAnsi="Arial" w:cs="Arial"/>
          <w:szCs w:val="20"/>
        </w:rPr>
      </w:pPr>
      <w:r w:rsidRPr="00E55523">
        <w:rPr>
          <w:rFonts w:ascii="Arial" w:eastAsia="Times New Roman" w:hAnsi="Arial" w:cs="Arial"/>
          <w:szCs w:val="20"/>
        </w:rPr>
        <w:t>RESOURCES FOR PROGRAM 23</w:t>
      </w:r>
    </w:p>
    <w:p w14:paraId="40602725" w14:textId="77777777" w:rsidR="00992C5E" w:rsidRPr="00A250F9" w:rsidRDefault="00992C5E" w:rsidP="00E641D8">
      <w:pPr>
        <w:rPr>
          <w:rFonts w:ascii="Arial" w:eastAsia="Times New Roman" w:hAnsi="Arial" w:cs="Arial"/>
          <w:sz w:val="20"/>
          <w:szCs w:val="20"/>
        </w:rPr>
      </w:pPr>
    </w:p>
    <w:p w14:paraId="43CA7F0C" w14:textId="77777777" w:rsidR="00992C5E"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 xml:space="preserve">The total resources for the Program in 2016/17 remain stable compared to the 2014/15 Budget after Transfers. The decrease in Internships, which is now budgeted directly at program level, is offset by additional resources foreseen for (a) geographical diversity and gender balance related activities, (b) the WIPO Rewards and Recognition Program and (c) contributions to UN system-wide common costs. </w:t>
      </w:r>
    </w:p>
    <w:p w14:paraId="4A78C993" w14:textId="77777777" w:rsidR="00992C5E" w:rsidRPr="00A250F9" w:rsidRDefault="00992C5E" w:rsidP="00E641D8">
      <w:pPr>
        <w:pStyle w:val="ListParagraph"/>
        <w:ind w:left="0"/>
        <w:jc w:val="both"/>
        <w:rPr>
          <w:rFonts w:ascii="Arial" w:hAnsi="Arial" w:cs="Arial"/>
          <w:sz w:val="20"/>
          <w:szCs w:val="20"/>
        </w:rPr>
      </w:pPr>
    </w:p>
    <w:p w14:paraId="16D9DA8E" w14:textId="77777777" w:rsidR="00992C5E" w:rsidRPr="00A250F9" w:rsidRDefault="00992C5E" w:rsidP="00B66A4A">
      <w:pPr>
        <w:pStyle w:val="ListParagraph"/>
        <w:numPr>
          <w:ilvl w:val="0"/>
          <w:numId w:val="23"/>
        </w:numPr>
        <w:ind w:left="0" w:firstLine="0"/>
        <w:jc w:val="both"/>
        <w:rPr>
          <w:rFonts w:ascii="Arial" w:hAnsi="Arial" w:cs="Arial"/>
          <w:sz w:val="20"/>
          <w:szCs w:val="20"/>
        </w:rPr>
      </w:pPr>
      <w:r w:rsidRPr="00A250F9">
        <w:rPr>
          <w:rFonts w:ascii="Arial" w:hAnsi="Arial" w:cs="Arial"/>
          <w:sz w:val="20"/>
          <w:szCs w:val="20"/>
        </w:rPr>
        <w:t xml:space="preserve">The increase observed in the number of posts between the 2016/17 Proposed Budget and the 2014/15 Approved Budget reflects the regularization of temporary positions in the biennium. </w:t>
      </w:r>
    </w:p>
    <w:p w14:paraId="3EA23E5F" w14:textId="77777777" w:rsidR="00992C5E" w:rsidRDefault="00992C5E" w:rsidP="00E641D8">
      <w:pPr>
        <w:tabs>
          <w:tab w:val="left" w:pos="1427"/>
        </w:tabs>
        <w:jc w:val="center"/>
        <w:rPr>
          <w:rFonts w:ascii="Arial" w:hAnsi="Arial" w:cs="Arial"/>
          <w:b/>
          <w:sz w:val="20"/>
          <w:szCs w:val="20"/>
        </w:rPr>
      </w:pPr>
    </w:p>
    <w:p w14:paraId="713F929B" w14:textId="77777777" w:rsidR="00992C5E" w:rsidRPr="00A250F9" w:rsidRDefault="00992C5E" w:rsidP="00E641D8">
      <w:pPr>
        <w:tabs>
          <w:tab w:val="left" w:pos="1427"/>
        </w:tabs>
        <w:jc w:val="center"/>
        <w:rPr>
          <w:rFonts w:ascii="Arial" w:hAnsi="Arial" w:cs="Arial"/>
          <w:b/>
          <w:sz w:val="20"/>
          <w:szCs w:val="20"/>
        </w:rPr>
      </w:pPr>
    </w:p>
    <w:p w14:paraId="2EE84B2E"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b/>
          <w:sz w:val="20"/>
          <w:szCs w:val="20"/>
        </w:rPr>
        <w:t>Program 23:  Resources by Result</w:t>
      </w:r>
    </w:p>
    <w:p w14:paraId="2098FBC1" w14:textId="77777777" w:rsidR="00992C5E" w:rsidRPr="00A250F9" w:rsidRDefault="00992C5E" w:rsidP="00E641D8">
      <w:pPr>
        <w:keepNext/>
        <w:keepLines/>
        <w:tabs>
          <w:tab w:val="left" w:pos="1427"/>
        </w:tabs>
        <w:jc w:val="center"/>
        <w:rPr>
          <w:rFonts w:ascii="Arial" w:hAnsi="Arial" w:cs="Arial"/>
          <w:i/>
          <w:sz w:val="20"/>
          <w:szCs w:val="20"/>
        </w:rPr>
      </w:pPr>
      <w:r w:rsidRPr="00A250F9">
        <w:rPr>
          <w:rFonts w:ascii="Arial" w:hAnsi="Arial" w:cs="Arial"/>
          <w:i/>
          <w:sz w:val="20"/>
          <w:szCs w:val="20"/>
        </w:rPr>
        <w:t>(In thousands of Swiss francs)</w:t>
      </w:r>
    </w:p>
    <w:p w14:paraId="27FEDF00" w14:textId="77777777" w:rsidR="00992C5E" w:rsidRPr="00A250F9" w:rsidRDefault="00992C5E" w:rsidP="00E641D8">
      <w:pPr>
        <w:keepNext/>
        <w:keepLines/>
        <w:tabs>
          <w:tab w:val="left" w:pos="1427"/>
        </w:tabs>
        <w:jc w:val="center"/>
        <w:rPr>
          <w:rFonts w:ascii="Arial" w:hAnsi="Arial" w:cs="Arial"/>
          <w:i/>
          <w:sz w:val="20"/>
          <w:szCs w:val="20"/>
        </w:rPr>
      </w:pPr>
    </w:p>
    <w:p w14:paraId="77BDCC34" w14:textId="77777777" w:rsidR="00992C5E" w:rsidRPr="00A250F9" w:rsidRDefault="00992C5E" w:rsidP="00E641D8">
      <w:pPr>
        <w:keepNext/>
        <w:keepLines/>
        <w:tabs>
          <w:tab w:val="left" w:pos="1427"/>
        </w:tabs>
        <w:jc w:val="center"/>
        <w:rPr>
          <w:rFonts w:ascii="Arial" w:hAnsi="Arial" w:cs="Arial"/>
          <w:i/>
          <w:sz w:val="20"/>
          <w:szCs w:val="20"/>
        </w:rPr>
      </w:pPr>
      <w:r w:rsidRPr="00A250F9">
        <w:rPr>
          <w:rFonts w:ascii="Arial" w:hAnsi="Arial" w:cs="Arial"/>
          <w:noProof/>
          <w:sz w:val="20"/>
          <w:szCs w:val="20"/>
          <w:lang w:eastAsia="en-US"/>
        </w:rPr>
        <w:drawing>
          <wp:inline distT="0" distB="0" distL="0" distR="0" wp14:anchorId="36DC3EFE" wp14:editId="5F1B54D2">
            <wp:extent cx="5176299" cy="1656532"/>
            <wp:effectExtent l="0" t="0" r="571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84199" cy="1659060"/>
                    </a:xfrm>
                    <a:prstGeom prst="rect">
                      <a:avLst/>
                    </a:prstGeom>
                    <a:noFill/>
                    <a:ln>
                      <a:noFill/>
                    </a:ln>
                  </pic:spPr>
                </pic:pic>
              </a:graphicData>
            </a:graphic>
          </wp:inline>
        </w:drawing>
      </w:r>
    </w:p>
    <w:p w14:paraId="474FD27D" w14:textId="77777777" w:rsidR="00992C5E" w:rsidRPr="00A250F9" w:rsidRDefault="00992C5E" w:rsidP="00E641D8">
      <w:pPr>
        <w:keepNext/>
        <w:keepLines/>
        <w:tabs>
          <w:tab w:val="left" w:pos="1427"/>
        </w:tabs>
        <w:jc w:val="center"/>
        <w:rPr>
          <w:rFonts w:ascii="Arial" w:hAnsi="Arial" w:cs="Arial"/>
          <w:i/>
          <w:sz w:val="20"/>
          <w:szCs w:val="20"/>
        </w:rPr>
      </w:pPr>
    </w:p>
    <w:p w14:paraId="5C4AD8F4" w14:textId="77777777" w:rsidR="00992C5E" w:rsidRPr="00D47739" w:rsidRDefault="00992C5E" w:rsidP="00E641D8">
      <w:pPr>
        <w:tabs>
          <w:tab w:val="left" w:pos="1427"/>
        </w:tabs>
        <w:rPr>
          <w:rFonts w:ascii="Arial" w:hAnsi="Arial" w:cs="Arial"/>
          <w:sz w:val="20"/>
          <w:szCs w:val="20"/>
        </w:rPr>
      </w:pPr>
    </w:p>
    <w:p w14:paraId="3E71F6C9" w14:textId="77777777" w:rsidR="00992C5E" w:rsidRPr="00D47739" w:rsidRDefault="00992C5E" w:rsidP="00E641D8">
      <w:pPr>
        <w:tabs>
          <w:tab w:val="left" w:pos="1427"/>
        </w:tabs>
        <w:rPr>
          <w:rFonts w:ascii="Arial" w:hAnsi="Arial" w:cs="Arial"/>
          <w:sz w:val="20"/>
          <w:szCs w:val="20"/>
        </w:rPr>
      </w:pPr>
    </w:p>
    <w:p w14:paraId="3515574F"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b/>
          <w:sz w:val="20"/>
          <w:szCs w:val="20"/>
        </w:rPr>
        <w:lastRenderedPageBreak/>
        <w:t>Program 23:  Resources by Object of Expenditure</w:t>
      </w:r>
    </w:p>
    <w:p w14:paraId="0EC346D2"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i/>
          <w:sz w:val="20"/>
          <w:szCs w:val="20"/>
        </w:rPr>
        <w:t>(In thousands of Swiss francs)</w:t>
      </w:r>
    </w:p>
    <w:p w14:paraId="7480A6F3" w14:textId="77777777" w:rsidR="00992C5E" w:rsidRPr="00A250F9" w:rsidRDefault="00992C5E" w:rsidP="00E641D8">
      <w:pPr>
        <w:keepNext/>
        <w:keepLines/>
        <w:tabs>
          <w:tab w:val="left" w:pos="1427"/>
        </w:tabs>
        <w:jc w:val="center"/>
        <w:rPr>
          <w:rFonts w:ascii="Arial" w:hAnsi="Arial" w:cs="Arial"/>
          <w:i/>
          <w:sz w:val="20"/>
          <w:szCs w:val="20"/>
        </w:rPr>
      </w:pPr>
    </w:p>
    <w:p w14:paraId="0691AF1E" w14:textId="77777777" w:rsidR="00992C5E" w:rsidRPr="00A250F9" w:rsidRDefault="00992C5E" w:rsidP="00BC77A3">
      <w:pPr>
        <w:keepNext/>
        <w:keepLines/>
        <w:tabs>
          <w:tab w:val="left" w:pos="1427"/>
        </w:tabs>
        <w:jc w:val="center"/>
        <w:rPr>
          <w:rFonts w:ascii="Arial" w:hAnsi="Arial" w:cs="Arial"/>
          <w:i/>
          <w:sz w:val="20"/>
          <w:szCs w:val="20"/>
        </w:rPr>
      </w:pPr>
      <w:r w:rsidRPr="00A250F9">
        <w:rPr>
          <w:rFonts w:ascii="Arial" w:hAnsi="Arial" w:cs="Arial"/>
          <w:noProof/>
          <w:sz w:val="20"/>
          <w:szCs w:val="20"/>
          <w:lang w:eastAsia="en-US"/>
        </w:rPr>
        <w:drawing>
          <wp:inline distT="0" distB="0" distL="0" distR="0" wp14:anchorId="78B728F2" wp14:editId="410B09C9">
            <wp:extent cx="5140445" cy="5788550"/>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46724" cy="5795621"/>
                    </a:xfrm>
                    <a:prstGeom prst="rect">
                      <a:avLst/>
                    </a:prstGeom>
                    <a:noFill/>
                    <a:ln>
                      <a:noFill/>
                    </a:ln>
                  </pic:spPr>
                </pic:pic>
              </a:graphicData>
            </a:graphic>
          </wp:inline>
        </w:drawing>
      </w:r>
    </w:p>
    <w:p w14:paraId="1DF7C886" w14:textId="77777777" w:rsidR="00992C5E" w:rsidRPr="00A250F9" w:rsidRDefault="00992C5E" w:rsidP="00E641D8">
      <w:pPr>
        <w:rPr>
          <w:rFonts w:ascii="Arial" w:eastAsia="Times New Roman" w:hAnsi="Arial" w:cs="Arial"/>
          <w:sz w:val="20"/>
          <w:szCs w:val="20"/>
        </w:rPr>
      </w:pPr>
    </w:p>
    <w:p w14:paraId="45D4801D" w14:textId="77777777" w:rsidR="00992C5E" w:rsidRPr="00A250F9" w:rsidRDefault="00992C5E" w:rsidP="00E641D8">
      <w:pPr>
        <w:rPr>
          <w:rFonts w:ascii="Arial" w:eastAsia="Times New Roman" w:hAnsi="Arial" w:cs="Arial"/>
          <w:sz w:val="20"/>
          <w:szCs w:val="20"/>
        </w:rPr>
      </w:pPr>
    </w:p>
    <w:p w14:paraId="0443C4A9" w14:textId="77777777" w:rsidR="00992C5E" w:rsidRPr="00A250F9" w:rsidRDefault="00992C5E" w:rsidP="00E641D8">
      <w:pPr>
        <w:rPr>
          <w:rFonts w:ascii="Arial" w:eastAsia="Times New Roman" w:hAnsi="Arial" w:cs="Arial"/>
          <w:sz w:val="20"/>
          <w:szCs w:val="20"/>
        </w:rPr>
      </w:pPr>
    </w:p>
    <w:p w14:paraId="0620B99A" w14:textId="77777777" w:rsidR="00984F70" w:rsidRPr="008B6DC1" w:rsidRDefault="00984F70" w:rsidP="00984F70">
      <w:pPr>
        <w:rPr>
          <w:rFonts w:ascii="Arial" w:hAnsi="Arial" w:cs="Arial"/>
          <w:sz w:val="20"/>
        </w:rPr>
      </w:pPr>
    </w:p>
    <w:p w14:paraId="77E7E8B1" w14:textId="77777777" w:rsidR="00984F70" w:rsidRDefault="00984F70" w:rsidP="00984F70">
      <w:pPr>
        <w:autoSpaceDE w:val="0"/>
        <w:autoSpaceDN w:val="0"/>
        <w:adjustRightInd w:val="0"/>
        <w:rPr>
          <w:rFonts w:ascii="Arial" w:hAnsi="Arial" w:cs="Arial"/>
          <w:sz w:val="20"/>
        </w:rPr>
      </w:pPr>
    </w:p>
    <w:p w14:paraId="1414ACA1" w14:textId="77777777" w:rsidR="00984F70" w:rsidRPr="002E56A4" w:rsidRDefault="00984F70" w:rsidP="00984F70">
      <w:pPr>
        <w:autoSpaceDE w:val="0"/>
        <w:autoSpaceDN w:val="0"/>
        <w:adjustRightInd w:val="0"/>
        <w:rPr>
          <w:rFonts w:ascii="Arial" w:hAnsi="Arial" w:cs="Arial"/>
          <w:sz w:val="20"/>
        </w:rPr>
      </w:pPr>
    </w:p>
    <w:p w14:paraId="6F7BCF8E" w14:textId="5FE2278E" w:rsidR="00984F70" w:rsidRDefault="00984F70">
      <w:pPr>
        <w:rPr>
          <w:rFonts w:ascii="Arial" w:hAnsi="Arial" w:cs="Arial"/>
          <w:bCs/>
          <w:sz w:val="20"/>
        </w:rPr>
      </w:pPr>
      <w:r>
        <w:rPr>
          <w:rFonts w:ascii="Arial" w:hAnsi="Arial" w:cs="Arial"/>
          <w:bCs/>
          <w:sz w:val="20"/>
        </w:rPr>
        <w:br w:type="page"/>
      </w:r>
    </w:p>
    <w:p w14:paraId="70A9F4E3" w14:textId="754AF2DA" w:rsidR="007A45E0" w:rsidRPr="007A45E0" w:rsidRDefault="007A45E0" w:rsidP="007A45E0">
      <w:pPr>
        <w:pStyle w:val="StyleHeading3ComplexItalic"/>
        <w:rPr>
          <w:rStyle w:val="StyleStyleHeading3ComplexItalicLatin12ptChar"/>
          <w:rFonts w:eastAsia="SimSun"/>
          <w:b/>
          <w:szCs w:val="24"/>
        </w:rPr>
      </w:pPr>
      <w:bookmarkStart w:id="73" w:name="_Toc431221439"/>
      <w:r w:rsidRPr="007A45E0">
        <w:rPr>
          <w:rStyle w:val="StyleStyleHeading3ComplexItalicLatin12ptChar"/>
          <w:rFonts w:eastAsia="SimSun"/>
          <w:b/>
          <w:szCs w:val="24"/>
        </w:rPr>
        <w:lastRenderedPageBreak/>
        <w:t>PROGRAM 24</w:t>
      </w:r>
      <w:r w:rsidRPr="007A45E0">
        <w:rPr>
          <w:rStyle w:val="StyleStyleHeading3ComplexItalicLatin12ptChar"/>
          <w:rFonts w:eastAsia="SimSun"/>
          <w:b/>
          <w:szCs w:val="24"/>
        </w:rPr>
        <w:tab/>
        <w:t>GENERAL SUPPORT SERVICES</w:t>
      </w:r>
      <w:bookmarkEnd w:id="73"/>
    </w:p>
    <w:p w14:paraId="4324A9F1" w14:textId="77777777" w:rsidR="007A45E0" w:rsidRDefault="007A45E0" w:rsidP="00E641D8">
      <w:pPr>
        <w:jc w:val="both"/>
        <w:rPr>
          <w:rFonts w:ascii="Arial" w:hAnsi="Arial" w:cs="Arial"/>
        </w:rPr>
      </w:pPr>
    </w:p>
    <w:p w14:paraId="57539C4A" w14:textId="77777777" w:rsidR="007A45E0" w:rsidRDefault="007A45E0" w:rsidP="00E641D8">
      <w:pPr>
        <w:jc w:val="both"/>
        <w:rPr>
          <w:rFonts w:ascii="Arial" w:hAnsi="Arial" w:cs="Arial"/>
        </w:rPr>
      </w:pPr>
    </w:p>
    <w:p w14:paraId="70985797" w14:textId="77777777" w:rsidR="007A45E0" w:rsidRPr="00054B87" w:rsidRDefault="007A45E0" w:rsidP="00E641D8">
      <w:pPr>
        <w:jc w:val="both"/>
        <w:rPr>
          <w:rFonts w:ascii="Arial" w:hAnsi="Arial" w:cs="Arial"/>
        </w:rPr>
      </w:pPr>
      <w:r w:rsidRPr="00054B87">
        <w:rPr>
          <w:rFonts w:ascii="Arial" w:hAnsi="Arial" w:cs="Arial"/>
        </w:rPr>
        <w:t>PLANNING CONTEXT</w:t>
      </w:r>
    </w:p>
    <w:p w14:paraId="1F654247" w14:textId="77777777" w:rsidR="007A45E0" w:rsidRPr="00774682" w:rsidRDefault="007A45E0" w:rsidP="00E641D8">
      <w:pPr>
        <w:jc w:val="both"/>
        <w:rPr>
          <w:rFonts w:ascii="Arial" w:hAnsi="Arial" w:cs="Arial"/>
          <w:sz w:val="20"/>
        </w:rPr>
      </w:pPr>
    </w:p>
    <w:p w14:paraId="0AAC7264" w14:textId="3A20B8AC" w:rsidR="007A45E0" w:rsidRPr="00021D3F"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021D3F">
        <w:rPr>
          <w:rFonts w:ascii="Arial" w:hAnsi="Arial" w:cs="Arial"/>
          <w:sz w:val="20"/>
        </w:rPr>
        <w:t>Procured goods and services as well as travel constitute some of the Organization’s most important non-personnel related costs and are therefore areas with potentially high efficiency and cost saving opportunities for the Organization.  Multiple measures have been introduced in the current and previous biennia to optimize both procurement and travel costs through the implementation of new tools,</w:t>
      </w:r>
      <w:r w:rsidR="00494C79">
        <w:rPr>
          <w:rFonts w:ascii="Arial" w:hAnsi="Arial" w:cs="Arial"/>
          <w:sz w:val="20"/>
        </w:rPr>
        <w:t xml:space="preserve"> revised rules and procedures,</w:t>
      </w:r>
      <w:r w:rsidRPr="00021D3F">
        <w:rPr>
          <w:rFonts w:ascii="Arial" w:hAnsi="Arial" w:cs="Arial"/>
          <w:sz w:val="20"/>
        </w:rPr>
        <w:t xml:space="preserve"> negotiation of contracts and air fares and enhanced efficiency of processes, while at the same time ensuring continuous high quality and customer-oriented support to users across the Organization. </w:t>
      </w:r>
      <w:r>
        <w:rPr>
          <w:rFonts w:ascii="Arial" w:hAnsi="Arial" w:cs="Arial"/>
          <w:sz w:val="20"/>
        </w:rPr>
        <w:t xml:space="preserve"> </w:t>
      </w:r>
      <w:r w:rsidRPr="00021D3F">
        <w:rPr>
          <w:rFonts w:ascii="Arial" w:hAnsi="Arial" w:cs="Arial"/>
          <w:sz w:val="20"/>
        </w:rPr>
        <w:t>In the biennium 2014/15 the responsibilities of the Program was enlarged to also manage individual contractual services in addition to commercial service providers.</w:t>
      </w:r>
    </w:p>
    <w:p w14:paraId="14AD1C94" w14:textId="77777777" w:rsidR="007A45E0" w:rsidRPr="00774682" w:rsidRDefault="007A45E0" w:rsidP="00E641D8">
      <w:pPr>
        <w:ind w:left="6"/>
        <w:jc w:val="both"/>
        <w:rPr>
          <w:rFonts w:ascii="Arial" w:hAnsi="Arial" w:cs="Arial"/>
          <w:sz w:val="20"/>
        </w:rPr>
      </w:pPr>
    </w:p>
    <w:p w14:paraId="502E20B9" w14:textId="48291044"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 xml:space="preserve">Following the completion of the WIPO Campus with the recent addition of the New Conference Hall and related renovated facilities in the AB Building, the main focus in the biennium 2016/17 will be on ensuring compliance of all technical installations with applicable standards, as well as on their optimum functioning in order to facilitate Program delivery throughout the Organization. Several of the WIPO buildings are in need of major renovation, transformation and/or modernization. </w:t>
      </w:r>
      <w:r>
        <w:rPr>
          <w:rFonts w:ascii="Arial" w:hAnsi="Arial" w:cs="Arial"/>
          <w:sz w:val="20"/>
        </w:rPr>
        <w:t xml:space="preserve"> </w:t>
      </w:r>
      <w:r w:rsidRPr="00774682">
        <w:rPr>
          <w:rFonts w:ascii="Arial" w:hAnsi="Arial" w:cs="Arial"/>
          <w:sz w:val="20"/>
        </w:rPr>
        <w:t xml:space="preserve">These are major undertakings, the most significant of which are also expected to bring about a reduction of energy consumption while others will have the added benefit of improving the physical accessibility (an element of social responsibility). </w:t>
      </w:r>
    </w:p>
    <w:p w14:paraId="14AA3393" w14:textId="77777777" w:rsidR="007A45E0" w:rsidRPr="00774682" w:rsidRDefault="007A45E0" w:rsidP="00E641D8">
      <w:pPr>
        <w:pStyle w:val="ListParagraph"/>
        <w:ind w:left="0"/>
        <w:rPr>
          <w:rFonts w:ascii="Arial" w:eastAsiaTheme="minorHAnsi" w:hAnsi="Arial" w:cs="Arial"/>
          <w:sz w:val="20"/>
        </w:rPr>
      </w:pPr>
    </w:p>
    <w:p w14:paraId="60894420" w14:textId="77777777"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The environmental responsibility will remain amongst WIPO’s core values to be mainstreamed into Program delivery, in particular as far as premises management is concerned under the overarching UN-system wide goal of reaching climate neutrality by 2020.</w:t>
      </w:r>
    </w:p>
    <w:p w14:paraId="0D076289" w14:textId="77777777" w:rsidR="007A45E0" w:rsidRPr="00774682" w:rsidRDefault="007A45E0" w:rsidP="00E641D8">
      <w:pPr>
        <w:jc w:val="both"/>
        <w:rPr>
          <w:rFonts w:ascii="Arial" w:hAnsi="Arial" w:cs="Arial"/>
          <w:sz w:val="20"/>
        </w:rPr>
      </w:pPr>
    </w:p>
    <w:p w14:paraId="6F5BCC40" w14:textId="77777777" w:rsidR="007A45E0" w:rsidRPr="00774682" w:rsidRDefault="007A45E0" w:rsidP="00E641D8">
      <w:pPr>
        <w:jc w:val="both"/>
        <w:rPr>
          <w:rFonts w:ascii="Arial" w:hAnsi="Arial" w:cs="Arial"/>
          <w:sz w:val="20"/>
        </w:rPr>
      </w:pPr>
    </w:p>
    <w:p w14:paraId="2FB7B314" w14:textId="77777777" w:rsidR="007A45E0" w:rsidRPr="00054B87" w:rsidRDefault="007A45E0" w:rsidP="00E641D8">
      <w:pPr>
        <w:jc w:val="both"/>
        <w:rPr>
          <w:rFonts w:ascii="Arial" w:hAnsi="Arial" w:cs="Arial"/>
        </w:rPr>
      </w:pPr>
      <w:r w:rsidRPr="00054B87">
        <w:rPr>
          <w:rFonts w:ascii="Arial" w:hAnsi="Arial" w:cs="Arial"/>
        </w:rPr>
        <w:t>IMPLEMENTATION STRATEGIES</w:t>
      </w:r>
    </w:p>
    <w:p w14:paraId="355DDB76" w14:textId="77777777" w:rsidR="007A45E0" w:rsidRPr="00774682" w:rsidRDefault="007A45E0" w:rsidP="00E641D8">
      <w:pPr>
        <w:jc w:val="both"/>
        <w:rPr>
          <w:rFonts w:ascii="Arial" w:hAnsi="Arial" w:cs="Arial"/>
          <w:sz w:val="20"/>
        </w:rPr>
      </w:pPr>
    </w:p>
    <w:p w14:paraId="6CB9057F" w14:textId="588DD280"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 xml:space="preserve">Building on the work initiated in the 2014/15 biennium with the implementation of the On-Line Booking Tool, and a new tool to manage travel requests, new cost-saving opportunities on ticket fares and service fees will continue to be explored. </w:t>
      </w:r>
      <w:r>
        <w:rPr>
          <w:rFonts w:ascii="Arial" w:hAnsi="Arial" w:cs="Arial"/>
          <w:sz w:val="20"/>
        </w:rPr>
        <w:t xml:space="preserve"> </w:t>
      </w:r>
      <w:r w:rsidRPr="00774682">
        <w:rPr>
          <w:rFonts w:ascii="Arial" w:hAnsi="Arial" w:cs="Arial"/>
          <w:sz w:val="20"/>
        </w:rPr>
        <w:t xml:space="preserve">Administrative efficiencies will also be pursued through </w:t>
      </w:r>
      <w:r w:rsidR="00494C79">
        <w:rPr>
          <w:rFonts w:ascii="Arial" w:hAnsi="Arial" w:cs="Arial"/>
          <w:sz w:val="20"/>
        </w:rPr>
        <w:t xml:space="preserve">revisions of the regulatory framework, </w:t>
      </w:r>
      <w:r w:rsidRPr="00774682">
        <w:rPr>
          <w:rFonts w:ascii="Arial" w:hAnsi="Arial" w:cs="Arial"/>
          <w:sz w:val="20"/>
        </w:rPr>
        <w:t xml:space="preserve">the simplification of processes enabled by new IT tools for managing event and travel requests as well as the Procure-to-Pay module of the ERP. </w:t>
      </w:r>
      <w:r>
        <w:rPr>
          <w:rFonts w:ascii="Arial" w:hAnsi="Arial" w:cs="Arial"/>
          <w:sz w:val="20"/>
        </w:rPr>
        <w:t xml:space="preserve"> </w:t>
      </w:r>
      <w:r w:rsidRPr="00774682">
        <w:rPr>
          <w:rFonts w:ascii="Arial" w:hAnsi="Arial" w:cs="Arial"/>
          <w:sz w:val="20"/>
        </w:rPr>
        <w:t>To continue the optimization of the costs of goods and services, the biennium will focus on enhancing the competition process for individual contractual services with a dedicated IT tool. In parallel, to improve value for money,</w:t>
      </w:r>
      <w:r w:rsidRPr="00774682" w:rsidDel="00EA392B">
        <w:rPr>
          <w:rFonts w:ascii="Arial" w:hAnsi="Arial" w:cs="Arial"/>
          <w:sz w:val="20"/>
        </w:rPr>
        <w:t xml:space="preserve"> </w:t>
      </w:r>
      <w:r w:rsidRPr="00774682">
        <w:rPr>
          <w:rFonts w:ascii="Arial" w:hAnsi="Arial" w:cs="Arial"/>
          <w:sz w:val="20"/>
        </w:rPr>
        <w:t xml:space="preserve">vendor performance management will be strengthened building on the tools developed for this purpose in 2014/15. </w:t>
      </w:r>
      <w:r>
        <w:rPr>
          <w:rFonts w:ascii="Arial" w:hAnsi="Arial" w:cs="Arial"/>
          <w:sz w:val="20"/>
        </w:rPr>
        <w:t xml:space="preserve"> </w:t>
      </w:r>
      <w:r w:rsidRPr="00774682">
        <w:rPr>
          <w:rFonts w:ascii="Arial" w:hAnsi="Arial" w:cs="Arial"/>
          <w:sz w:val="20"/>
        </w:rPr>
        <w:t xml:space="preserve">Additionally, the effort to enhance leveraged opportunities with other international organizations will be actively pursued.  </w:t>
      </w:r>
    </w:p>
    <w:p w14:paraId="1114CBDB" w14:textId="77777777" w:rsidR="007A45E0" w:rsidRPr="00774682" w:rsidRDefault="007A45E0" w:rsidP="00E641D8">
      <w:pPr>
        <w:ind w:left="6"/>
        <w:jc w:val="both"/>
        <w:rPr>
          <w:rFonts w:ascii="Arial" w:hAnsi="Arial" w:cs="Arial"/>
          <w:sz w:val="20"/>
        </w:rPr>
      </w:pPr>
    </w:p>
    <w:p w14:paraId="65DD47A1" w14:textId="478B3259"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 xml:space="preserve">To ensure the continuous and uniform upgrading of the technical facilities in WIPO premises, the overall plan for renovation and enhancement of technical installations throughout the WIPO Campus, initiated in the previous biennium, will continue to be implemented. </w:t>
      </w:r>
      <w:r>
        <w:rPr>
          <w:rFonts w:ascii="Arial" w:hAnsi="Arial" w:cs="Arial"/>
          <w:sz w:val="20"/>
        </w:rPr>
        <w:t xml:space="preserve"> </w:t>
      </w:r>
      <w:r w:rsidRPr="00774682">
        <w:rPr>
          <w:rFonts w:ascii="Arial" w:hAnsi="Arial" w:cs="Arial"/>
          <w:sz w:val="20"/>
        </w:rPr>
        <w:t xml:space="preserve">Critical installations will be prioritized in this process. </w:t>
      </w:r>
      <w:r>
        <w:rPr>
          <w:rFonts w:ascii="Arial" w:hAnsi="Arial" w:cs="Arial"/>
          <w:sz w:val="20"/>
        </w:rPr>
        <w:t xml:space="preserve"> </w:t>
      </w:r>
      <w:r w:rsidRPr="00774682">
        <w:rPr>
          <w:rFonts w:ascii="Arial" w:hAnsi="Arial" w:cs="Arial"/>
          <w:sz w:val="20"/>
        </w:rPr>
        <w:t xml:space="preserve">A number of choices for the renovation and/or enhancement of technical installations will be, </w:t>
      </w:r>
      <w:r w:rsidRPr="00774682">
        <w:rPr>
          <w:rFonts w:ascii="Arial" w:hAnsi="Arial" w:cs="Arial"/>
          <w:i/>
          <w:sz w:val="20"/>
        </w:rPr>
        <w:t>inter alia</w:t>
      </w:r>
      <w:r w:rsidRPr="00774682">
        <w:rPr>
          <w:rFonts w:ascii="Arial" w:hAnsi="Arial" w:cs="Arial"/>
          <w:sz w:val="20"/>
        </w:rPr>
        <w:t xml:space="preserve">, based on their ability to reduce environmental impact and improve physical accessibility to persons with disabilities. </w:t>
      </w:r>
      <w:r>
        <w:rPr>
          <w:rFonts w:ascii="Arial" w:hAnsi="Arial" w:cs="Arial"/>
          <w:sz w:val="20"/>
        </w:rPr>
        <w:t xml:space="preserve"> </w:t>
      </w:r>
      <w:r w:rsidRPr="00774682">
        <w:rPr>
          <w:rFonts w:ascii="Arial" w:hAnsi="Arial" w:cs="Arial"/>
          <w:sz w:val="20"/>
        </w:rPr>
        <w:t>Major renovations, transformations and/or modernization of premises, will be implemented and managed in accordance with both the</w:t>
      </w:r>
      <w:r w:rsidR="00494C79">
        <w:rPr>
          <w:rFonts w:ascii="Arial" w:hAnsi="Arial" w:cs="Arial"/>
          <w:sz w:val="20"/>
        </w:rPr>
        <w:t>se</w:t>
      </w:r>
      <w:r w:rsidRPr="00774682">
        <w:rPr>
          <w:rFonts w:ascii="Arial" w:hAnsi="Arial" w:cs="Arial"/>
          <w:sz w:val="20"/>
        </w:rPr>
        <w:t xml:space="preserve"> priorities reflected in the Capital Master Plan and in various smaller scale preventive maintenance exercises.  Regarding the management of premises, an optimal allocation of workspace to host all WIPO staff and a review of the optimal </w:t>
      </w:r>
      <w:r w:rsidR="005C4062">
        <w:rPr>
          <w:rFonts w:ascii="Arial" w:hAnsi="Arial" w:cs="Arial"/>
          <w:sz w:val="20"/>
        </w:rPr>
        <w:t>usage</w:t>
      </w:r>
      <w:r w:rsidRPr="00774682">
        <w:rPr>
          <w:rFonts w:ascii="Arial" w:hAnsi="Arial" w:cs="Arial"/>
          <w:sz w:val="20"/>
        </w:rPr>
        <w:t xml:space="preserve">, conversion or upgrading of certain spaces other than workspaces, will be enhanced on the basis of the formal space management </w:t>
      </w:r>
      <w:r w:rsidR="00053C3E">
        <w:rPr>
          <w:rFonts w:ascii="Arial" w:hAnsi="Arial" w:cs="Arial"/>
          <w:sz w:val="20"/>
        </w:rPr>
        <w:t>policy</w:t>
      </w:r>
      <w:r w:rsidR="00053C3E" w:rsidRPr="00774682">
        <w:rPr>
          <w:rFonts w:ascii="Arial" w:hAnsi="Arial" w:cs="Arial"/>
          <w:sz w:val="20"/>
        </w:rPr>
        <w:t xml:space="preserve"> </w:t>
      </w:r>
      <w:r w:rsidRPr="00774682">
        <w:rPr>
          <w:rFonts w:ascii="Arial" w:hAnsi="Arial" w:cs="Arial"/>
          <w:sz w:val="20"/>
        </w:rPr>
        <w:t>developed in the previous biennium.</w:t>
      </w:r>
    </w:p>
    <w:p w14:paraId="7511D8BB" w14:textId="77777777" w:rsidR="007A45E0" w:rsidRPr="00774682" w:rsidRDefault="007A45E0" w:rsidP="00E641D8">
      <w:pPr>
        <w:jc w:val="both"/>
        <w:rPr>
          <w:rFonts w:ascii="Arial" w:hAnsi="Arial" w:cs="Arial"/>
          <w:sz w:val="20"/>
        </w:rPr>
      </w:pPr>
    </w:p>
    <w:p w14:paraId="48B477B1" w14:textId="42176017" w:rsidR="007A45E0" w:rsidRPr="00774682" w:rsidRDefault="007A45E0" w:rsidP="00B66A4A">
      <w:pPr>
        <w:pStyle w:val="ListParagraph"/>
        <w:numPr>
          <w:ilvl w:val="0"/>
          <w:numId w:val="24"/>
        </w:numPr>
        <w:tabs>
          <w:tab w:val="left" w:pos="709"/>
        </w:tabs>
        <w:ind w:left="0" w:firstLine="0"/>
        <w:contextualSpacing w:val="0"/>
        <w:jc w:val="both"/>
        <w:rPr>
          <w:rFonts w:ascii="Arial" w:hAnsi="Arial" w:cs="Arial"/>
          <w:sz w:val="20"/>
        </w:rPr>
      </w:pPr>
      <w:r w:rsidRPr="00774682">
        <w:rPr>
          <w:rFonts w:ascii="Arial" w:hAnsi="Arial" w:cs="Arial"/>
          <w:sz w:val="20"/>
        </w:rPr>
        <w:t xml:space="preserve">To ensure compliance, by 2020, with the UN-system wide goal of reaching climate neutrality, efforts will be pursued to implement selected measures, </w:t>
      </w:r>
      <w:r w:rsidR="00053C3E" w:rsidRPr="00774682">
        <w:rPr>
          <w:rFonts w:ascii="Arial" w:hAnsi="Arial" w:cs="Arial"/>
          <w:sz w:val="20"/>
        </w:rPr>
        <w:t>not limited to premises</w:t>
      </w:r>
      <w:r w:rsidR="00053C3E">
        <w:rPr>
          <w:rFonts w:ascii="Arial" w:hAnsi="Arial" w:cs="Arial"/>
          <w:sz w:val="20"/>
        </w:rPr>
        <w:t>,</w:t>
      </w:r>
      <w:r w:rsidR="00053C3E" w:rsidRPr="00774682">
        <w:rPr>
          <w:rFonts w:ascii="Arial" w:hAnsi="Arial" w:cs="Arial"/>
          <w:sz w:val="20"/>
        </w:rPr>
        <w:t xml:space="preserve"> </w:t>
      </w:r>
      <w:r w:rsidRPr="00774682">
        <w:rPr>
          <w:rFonts w:ascii="Arial" w:hAnsi="Arial" w:cs="Arial"/>
          <w:sz w:val="20"/>
        </w:rPr>
        <w:t>including a program for offsetting carbon and other emissions caused by WIPO activities at large.</w:t>
      </w:r>
    </w:p>
    <w:p w14:paraId="3D9FAFE7" w14:textId="77777777" w:rsidR="007A45E0" w:rsidRDefault="007A45E0" w:rsidP="007A45E0">
      <w:pPr>
        <w:rPr>
          <w:rFonts w:ascii="Arial" w:hAnsi="Arial" w:cs="Arial"/>
        </w:rPr>
      </w:pPr>
    </w:p>
    <w:p w14:paraId="322C15C6" w14:textId="77777777" w:rsidR="007A45E0" w:rsidRDefault="007A45E0" w:rsidP="007A45E0">
      <w:pPr>
        <w:rPr>
          <w:rFonts w:ascii="Arial" w:hAnsi="Arial" w:cs="Arial"/>
        </w:rPr>
      </w:pPr>
    </w:p>
    <w:p w14:paraId="06D17106" w14:textId="77777777" w:rsidR="007536CC" w:rsidRDefault="007536CC">
      <w:pPr>
        <w:rPr>
          <w:rFonts w:ascii="Arial" w:hAnsi="Arial" w:cs="Arial"/>
        </w:rPr>
      </w:pPr>
      <w:r>
        <w:rPr>
          <w:rFonts w:ascii="Arial" w:hAnsi="Arial" w:cs="Arial"/>
        </w:rPr>
        <w:br w:type="page"/>
      </w:r>
    </w:p>
    <w:p w14:paraId="2BE99BC1" w14:textId="77777777" w:rsidR="007536CC" w:rsidRDefault="007536CC" w:rsidP="007536CC">
      <w:pPr>
        <w:rPr>
          <w:rFonts w:ascii="Arial" w:hAnsi="Arial" w:cs="Arial"/>
        </w:rPr>
      </w:pPr>
    </w:p>
    <w:p w14:paraId="4E60A195" w14:textId="09F493A9" w:rsidR="007A45E0" w:rsidRPr="00FB68E0" w:rsidRDefault="007A45E0" w:rsidP="00FB68E0">
      <w:pPr>
        <w:rPr>
          <w:rFonts w:ascii="Arial" w:hAnsi="Arial" w:cs="Arial"/>
        </w:rPr>
      </w:pPr>
      <w:r w:rsidRPr="00FB68E0">
        <w:rPr>
          <w:rFonts w:ascii="Arial" w:hAnsi="Arial" w:cs="Arial"/>
        </w:rPr>
        <w:t>MAJOR RISKS AND MITIGATION STRATEGIES</w:t>
      </w:r>
    </w:p>
    <w:p w14:paraId="6C23BAA0" w14:textId="77777777" w:rsidR="007A45E0" w:rsidRPr="00054B87" w:rsidRDefault="007A45E0" w:rsidP="00E641D8">
      <w:pPr>
        <w:keepNext/>
        <w:keepLines/>
        <w:rPr>
          <w:rFonts w:ascii="Arial" w:eastAsia="Times New Roman"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7A45E0" w:rsidRPr="00054B87" w14:paraId="0C29ACB2" w14:textId="77777777" w:rsidTr="00E641D8">
        <w:trPr>
          <w:trHeight w:val="577"/>
        </w:trPr>
        <w:tc>
          <w:tcPr>
            <w:tcW w:w="4111" w:type="dxa"/>
            <w:tcBorders>
              <w:top w:val="single" w:sz="4" w:space="0" w:color="auto"/>
              <w:bottom w:val="single" w:sz="4" w:space="0" w:color="auto"/>
            </w:tcBorders>
            <w:shd w:val="clear" w:color="auto" w:fill="C6D9F1" w:themeFill="text2" w:themeFillTint="33"/>
            <w:vAlign w:val="center"/>
          </w:tcPr>
          <w:p w14:paraId="31BB82BD" w14:textId="77777777" w:rsidR="007A45E0" w:rsidRPr="00054B87" w:rsidRDefault="007A45E0" w:rsidP="00E641D8">
            <w:pPr>
              <w:jc w:val="center"/>
              <w:rPr>
                <w:rFonts w:ascii="Arial" w:eastAsia="Times New Roman" w:hAnsi="Arial" w:cs="Arial"/>
                <w:b/>
                <w:bCs/>
                <w:sz w:val="18"/>
                <w:szCs w:val="18"/>
              </w:rPr>
            </w:pPr>
            <w:r w:rsidRPr="00054B87">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019354D2" w14:textId="77777777" w:rsidR="007A45E0" w:rsidRPr="00054B87" w:rsidRDefault="007A45E0" w:rsidP="00E641D8">
            <w:pPr>
              <w:jc w:val="center"/>
              <w:rPr>
                <w:rFonts w:ascii="Arial" w:eastAsia="Times New Roman" w:hAnsi="Arial" w:cs="Arial"/>
                <w:b/>
                <w:bCs/>
                <w:sz w:val="18"/>
                <w:szCs w:val="18"/>
              </w:rPr>
            </w:pPr>
            <w:r w:rsidRPr="00054B87">
              <w:rPr>
                <w:rFonts w:ascii="Arial" w:eastAsia="Times New Roman" w:hAnsi="Arial" w:cs="Arial"/>
                <w:b/>
                <w:bCs/>
                <w:sz w:val="18"/>
                <w:szCs w:val="18"/>
              </w:rPr>
              <w:t>Mitigation</w:t>
            </w:r>
          </w:p>
        </w:tc>
      </w:tr>
      <w:tr w:rsidR="007A45E0" w:rsidRPr="00054B87" w14:paraId="2D5B2E4D" w14:textId="77777777" w:rsidTr="00E641D8">
        <w:trPr>
          <w:trHeight w:val="498"/>
        </w:trPr>
        <w:tc>
          <w:tcPr>
            <w:tcW w:w="4111" w:type="dxa"/>
            <w:tcBorders>
              <w:top w:val="single" w:sz="4" w:space="0" w:color="auto"/>
            </w:tcBorders>
            <w:shd w:val="clear" w:color="auto" w:fill="auto"/>
            <w:tcMar>
              <w:top w:w="113" w:type="dxa"/>
              <w:bottom w:w="113" w:type="dxa"/>
            </w:tcMar>
          </w:tcPr>
          <w:p w14:paraId="35D2E92E" w14:textId="77777777" w:rsidR="007A45E0" w:rsidRPr="00054B87" w:rsidRDefault="007A45E0" w:rsidP="00E641D8">
            <w:pPr>
              <w:rPr>
                <w:rFonts w:ascii="Arial" w:eastAsia="Times New Roman" w:hAnsi="Arial" w:cs="Arial"/>
                <w:sz w:val="16"/>
                <w:szCs w:val="16"/>
              </w:rPr>
            </w:pPr>
            <w:r w:rsidRPr="00054B87">
              <w:rPr>
                <w:rFonts w:ascii="Arial" w:eastAsia="Times New Roman" w:hAnsi="Arial" w:cs="Arial"/>
                <w:color w:val="000000"/>
                <w:sz w:val="16"/>
                <w:szCs w:val="16"/>
              </w:rPr>
              <w:t>Failure of key suppliers to deliver services triggers a disruption to the service provided to our external customers.</w:t>
            </w:r>
          </w:p>
        </w:tc>
        <w:tc>
          <w:tcPr>
            <w:tcW w:w="5103" w:type="dxa"/>
            <w:tcBorders>
              <w:top w:val="single" w:sz="4" w:space="0" w:color="auto"/>
            </w:tcBorders>
            <w:shd w:val="clear" w:color="auto" w:fill="auto"/>
            <w:tcMar>
              <w:top w:w="113" w:type="dxa"/>
              <w:bottom w:w="113" w:type="dxa"/>
            </w:tcMar>
          </w:tcPr>
          <w:p w14:paraId="774857BF" w14:textId="77777777" w:rsidR="007A45E0" w:rsidRPr="00054B87" w:rsidRDefault="007A45E0" w:rsidP="00E641D8">
            <w:pPr>
              <w:rPr>
                <w:rFonts w:ascii="Arial" w:eastAsia="Times New Roman" w:hAnsi="Arial" w:cs="Arial"/>
                <w:sz w:val="16"/>
                <w:szCs w:val="16"/>
              </w:rPr>
            </w:pPr>
            <w:r w:rsidRPr="00054B87">
              <w:rPr>
                <w:rFonts w:ascii="Arial" w:eastAsia="Times New Roman" w:hAnsi="Arial" w:cs="Arial"/>
                <w:color w:val="000000"/>
                <w:sz w:val="16"/>
                <w:szCs w:val="16"/>
              </w:rPr>
              <w:t>Develop a contingency plan for contracts that are considered to be of high risk and vital for a continued operation.</w:t>
            </w:r>
          </w:p>
        </w:tc>
      </w:tr>
      <w:tr w:rsidR="007A45E0" w:rsidRPr="00054B87" w14:paraId="2E936130" w14:textId="77777777" w:rsidTr="00E641D8">
        <w:trPr>
          <w:trHeight w:val="706"/>
        </w:trPr>
        <w:tc>
          <w:tcPr>
            <w:tcW w:w="4111" w:type="dxa"/>
            <w:shd w:val="clear" w:color="auto" w:fill="auto"/>
            <w:tcMar>
              <w:top w:w="113" w:type="dxa"/>
              <w:bottom w:w="113" w:type="dxa"/>
            </w:tcMar>
          </w:tcPr>
          <w:p w14:paraId="1E0C19D0"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Loss of safe access to, or impossibility to occupy, one or more buildings for a given period of time.</w:t>
            </w:r>
          </w:p>
        </w:tc>
        <w:tc>
          <w:tcPr>
            <w:tcW w:w="5103" w:type="dxa"/>
            <w:shd w:val="clear" w:color="auto" w:fill="auto"/>
            <w:tcMar>
              <w:top w:w="113" w:type="dxa"/>
              <w:bottom w:w="113" w:type="dxa"/>
            </w:tcMar>
          </w:tcPr>
          <w:p w14:paraId="5147123C"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Continue to undertake renovation and major preventative maintenance of all key technical installations and premises.  Regular review of organizational resilience plans and activation as necessary.</w:t>
            </w:r>
          </w:p>
        </w:tc>
      </w:tr>
      <w:tr w:rsidR="007A45E0" w:rsidRPr="00054B87" w14:paraId="6CE49A91" w14:textId="77777777" w:rsidTr="00E641D8">
        <w:trPr>
          <w:trHeight w:val="564"/>
        </w:trPr>
        <w:tc>
          <w:tcPr>
            <w:tcW w:w="4111" w:type="dxa"/>
            <w:shd w:val="clear" w:color="auto" w:fill="auto"/>
            <w:tcMar>
              <w:top w:w="113" w:type="dxa"/>
              <w:bottom w:w="113" w:type="dxa"/>
            </w:tcMar>
          </w:tcPr>
          <w:p w14:paraId="67043CA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Inability for WIPO, as a UN agency, to be effectively climate neutral by 2020 as committed to UN Secretary General.</w:t>
            </w:r>
          </w:p>
        </w:tc>
        <w:tc>
          <w:tcPr>
            <w:tcW w:w="5103" w:type="dxa"/>
            <w:shd w:val="clear" w:color="auto" w:fill="auto"/>
            <w:tcMar>
              <w:top w:w="113" w:type="dxa"/>
              <w:bottom w:w="113" w:type="dxa"/>
            </w:tcMar>
          </w:tcPr>
          <w:p w14:paraId="28981183"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Ongoing monitoring of Organizational environmental data leading to proposals to reduce or offset carbon and other emissions.</w:t>
            </w:r>
          </w:p>
        </w:tc>
      </w:tr>
    </w:tbl>
    <w:p w14:paraId="190A8D90" w14:textId="77777777" w:rsidR="007A45E0" w:rsidRPr="00054B87" w:rsidRDefault="007A45E0" w:rsidP="00E641D8">
      <w:pPr>
        <w:rPr>
          <w:rFonts w:ascii="Arial" w:eastAsia="Times New Roman" w:hAnsi="Arial" w:cs="Arial"/>
          <w:sz w:val="20"/>
          <w:szCs w:val="20"/>
        </w:rPr>
      </w:pPr>
    </w:p>
    <w:p w14:paraId="44E57B8B" w14:textId="77777777" w:rsidR="007A45E0" w:rsidRPr="00054B87" w:rsidRDefault="007A45E0" w:rsidP="00E641D8">
      <w:pPr>
        <w:jc w:val="both"/>
        <w:rPr>
          <w:rFonts w:ascii="Arial" w:hAnsi="Arial" w:cs="Arial"/>
        </w:rPr>
      </w:pPr>
    </w:p>
    <w:p w14:paraId="32C1601C" w14:textId="77777777" w:rsidR="007A45E0" w:rsidRDefault="007A45E0" w:rsidP="00E641D8">
      <w:pPr>
        <w:jc w:val="both"/>
        <w:rPr>
          <w:rFonts w:ascii="Arial" w:hAnsi="Arial" w:cs="Arial"/>
        </w:rPr>
      </w:pPr>
      <w:r w:rsidRPr="00054B87">
        <w:rPr>
          <w:rFonts w:ascii="Arial" w:hAnsi="Arial" w:cs="Arial"/>
        </w:rPr>
        <w:t>RESULTS FRAMEWORK</w:t>
      </w:r>
    </w:p>
    <w:p w14:paraId="3F90D921" w14:textId="77777777" w:rsidR="007A45E0" w:rsidRPr="00054B87" w:rsidRDefault="007A45E0" w:rsidP="00E641D8">
      <w:pPr>
        <w:jc w:val="both"/>
        <w:rPr>
          <w:rFonts w:ascii="Arial" w:hAnsi="Arial" w:cs="Arial"/>
        </w:rPr>
      </w:pPr>
    </w:p>
    <w:tbl>
      <w:tblPr>
        <w:tblW w:w="9229" w:type="dxa"/>
        <w:tblInd w:w="93" w:type="dxa"/>
        <w:tblLook w:val="04A0" w:firstRow="1" w:lastRow="0" w:firstColumn="1" w:lastColumn="0" w:noHBand="0" w:noVBand="1"/>
      </w:tblPr>
      <w:tblGrid>
        <w:gridCol w:w="2320"/>
        <w:gridCol w:w="2320"/>
        <w:gridCol w:w="2440"/>
        <w:gridCol w:w="2149"/>
      </w:tblGrid>
      <w:tr w:rsidR="007A45E0" w:rsidRPr="00054B87" w14:paraId="0C38CB5D" w14:textId="77777777" w:rsidTr="00E641D8">
        <w:trPr>
          <w:trHeight w:val="60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32E6A15A"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 xml:space="preserve">Expected Results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4C8D5C8"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Performance Indicators</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7BE3C90"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Baselines</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826312A"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Targets</w:t>
            </w:r>
          </w:p>
        </w:tc>
      </w:tr>
      <w:tr w:rsidR="007A45E0" w:rsidRPr="00054B87" w14:paraId="2F575385" w14:textId="77777777" w:rsidTr="00E641D8">
        <w:trPr>
          <w:trHeight w:val="1005"/>
        </w:trPr>
        <w:tc>
          <w:tcPr>
            <w:tcW w:w="2320" w:type="dxa"/>
            <w:tcBorders>
              <w:top w:val="nil"/>
              <w:left w:val="single" w:sz="4" w:space="0" w:color="auto"/>
              <w:bottom w:val="nil"/>
              <w:right w:val="nil"/>
            </w:tcBorders>
            <w:shd w:val="clear" w:color="000000" w:fill="FFFFFF"/>
            <w:tcMar>
              <w:top w:w="85" w:type="dxa"/>
            </w:tcMar>
            <w:hideMark/>
          </w:tcPr>
          <w:p w14:paraId="79DE5D9D"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VIII.5 WIPO effectively interacts and partners with UN and other IGO processes and negotiations</w:t>
            </w:r>
          </w:p>
        </w:tc>
        <w:tc>
          <w:tcPr>
            <w:tcW w:w="2320" w:type="dxa"/>
            <w:tcBorders>
              <w:top w:val="nil"/>
              <w:left w:val="nil"/>
              <w:bottom w:val="nil"/>
              <w:right w:val="nil"/>
            </w:tcBorders>
            <w:shd w:val="clear" w:color="000000" w:fill="FFFFFF"/>
            <w:tcMar>
              <w:top w:w="85" w:type="dxa"/>
            </w:tcMar>
            <w:hideMark/>
          </w:tcPr>
          <w:p w14:paraId="62BA3E07"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of locally sourced goods and services compared to total amount procured for development activity</w:t>
            </w:r>
          </w:p>
        </w:tc>
        <w:tc>
          <w:tcPr>
            <w:tcW w:w="2440" w:type="dxa"/>
            <w:tcBorders>
              <w:top w:val="nil"/>
              <w:left w:val="nil"/>
              <w:bottom w:val="nil"/>
              <w:right w:val="nil"/>
            </w:tcBorders>
            <w:shd w:val="clear" w:color="000000" w:fill="FFFFFF"/>
            <w:tcMar>
              <w:top w:w="85" w:type="dxa"/>
            </w:tcMar>
            <w:hideMark/>
          </w:tcPr>
          <w:p w14:paraId="1DEA8543"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45% (end 2014)</w:t>
            </w:r>
          </w:p>
        </w:tc>
        <w:tc>
          <w:tcPr>
            <w:tcW w:w="2149" w:type="dxa"/>
            <w:tcBorders>
              <w:top w:val="nil"/>
              <w:left w:val="nil"/>
              <w:bottom w:val="nil"/>
              <w:right w:val="single" w:sz="4" w:space="0" w:color="auto"/>
            </w:tcBorders>
            <w:shd w:val="clear" w:color="000000" w:fill="FFFFFF"/>
            <w:tcMar>
              <w:top w:w="85" w:type="dxa"/>
            </w:tcMar>
            <w:hideMark/>
          </w:tcPr>
          <w:p w14:paraId="49071256"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 result</w:t>
            </w:r>
          </w:p>
        </w:tc>
      </w:tr>
      <w:tr w:rsidR="007A45E0" w:rsidRPr="00054B87" w14:paraId="60F191EA" w14:textId="77777777" w:rsidTr="00E641D8">
        <w:trPr>
          <w:trHeight w:val="765"/>
        </w:trPr>
        <w:tc>
          <w:tcPr>
            <w:tcW w:w="2320" w:type="dxa"/>
            <w:tcBorders>
              <w:top w:val="nil"/>
              <w:left w:val="single" w:sz="4" w:space="0" w:color="auto"/>
              <w:bottom w:val="nil"/>
              <w:right w:val="nil"/>
            </w:tcBorders>
            <w:shd w:val="clear" w:color="000000" w:fill="FFFFFF"/>
            <w:tcMar>
              <w:top w:w="85" w:type="dxa"/>
            </w:tcMar>
            <w:hideMark/>
          </w:tcPr>
          <w:p w14:paraId="442BECD5"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bottom w:val="nil"/>
              <w:right w:val="nil"/>
            </w:tcBorders>
            <w:shd w:val="clear" w:color="000000" w:fill="FFFFFF"/>
            <w:tcMar>
              <w:top w:w="85" w:type="dxa"/>
            </w:tcMar>
            <w:hideMark/>
          </w:tcPr>
          <w:p w14:paraId="64298736"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of spend subject to UN leverage (either common tender or piggy-backing)</w:t>
            </w:r>
          </w:p>
        </w:tc>
        <w:tc>
          <w:tcPr>
            <w:tcW w:w="2440" w:type="dxa"/>
            <w:tcBorders>
              <w:top w:val="nil"/>
              <w:left w:val="nil"/>
              <w:bottom w:val="nil"/>
              <w:right w:val="nil"/>
            </w:tcBorders>
            <w:shd w:val="clear" w:color="000000" w:fill="FFFFFF"/>
            <w:tcMar>
              <w:top w:w="85" w:type="dxa"/>
            </w:tcMar>
            <w:hideMark/>
          </w:tcPr>
          <w:p w14:paraId="283508AC"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4.15% (end 2014)</w:t>
            </w:r>
          </w:p>
        </w:tc>
        <w:tc>
          <w:tcPr>
            <w:tcW w:w="2149" w:type="dxa"/>
            <w:tcBorders>
              <w:top w:val="nil"/>
              <w:left w:val="nil"/>
              <w:bottom w:val="nil"/>
              <w:right w:val="single" w:sz="4" w:space="0" w:color="auto"/>
            </w:tcBorders>
            <w:shd w:val="clear" w:color="000000" w:fill="FFFFFF"/>
            <w:tcMar>
              <w:top w:w="85" w:type="dxa"/>
            </w:tcMar>
            <w:hideMark/>
          </w:tcPr>
          <w:p w14:paraId="159A7119"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 result</w:t>
            </w:r>
          </w:p>
        </w:tc>
      </w:tr>
      <w:tr w:rsidR="007A45E0" w:rsidRPr="00054B87" w14:paraId="42AC1878" w14:textId="77777777" w:rsidTr="00FB68E0">
        <w:trPr>
          <w:trHeight w:val="945"/>
        </w:trPr>
        <w:tc>
          <w:tcPr>
            <w:tcW w:w="2320" w:type="dxa"/>
            <w:tcBorders>
              <w:top w:val="nil"/>
              <w:left w:val="single" w:sz="4" w:space="0" w:color="auto"/>
              <w:bottom w:val="nil"/>
              <w:right w:val="nil"/>
            </w:tcBorders>
            <w:shd w:val="clear" w:color="000000" w:fill="FFFFFF"/>
            <w:tcMar>
              <w:top w:w="85" w:type="dxa"/>
            </w:tcMar>
            <w:hideMark/>
          </w:tcPr>
          <w:p w14:paraId="2E77A2F0"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IX.1 Effective, efficient, quality and customer-oriented support services both to internal clients and to external stakeholders</w:t>
            </w:r>
          </w:p>
        </w:tc>
        <w:tc>
          <w:tcPr>
            <w:tcW w:w="2320" w:type="dxa"/>
            <w:tcBorders>
              <w:top w:val="nil"/>
              <w:left w:val="nil"/>
              <w:bottom w:val="nil"/>
              <w:right w:val="nil"/>
            </w:tcBorders>
            <w:shd w:val="clear" w:color="000000" w:fill="FFFFFF"/>
            <w:tcMar>
              <w:top w:w="85" w:type="dxa"/>
            </w:tcMar>
            <w:hideMark/>
          </w:tcPr>
          <w:p w14:paraId="3EB29E5D"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Cost savings for goods and services procured by WIPO (derived from RFPs or direct negotiations)</w:t>
            </w:r>
          </w:p>
        </w:tc>
        <w:tc>
          <w:tcPr>
            <w:tcW w:w="2440" w:type="dxa"/>
            <w:tcBorders>
              <w:top w:val="nil"/>
              <w:left w:val="nil"/>
              <w:bottom w:val="nil"/>
              <w:right w:val="nil"/>
            </w:tcBorders>
            <w:shd w:val="clear" w:color="000000" w:fill="FFFFFF"/>
            <w:tcMar>
              <w:top w:w="85" w:type="dxa"/>
            </w:tcMar>
            <w:hideMark/>
          </w:tcPr>
          <w:p w14:paraId="65723312" w14:textId="3996C69D"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2.6 million </w:t>
            </w:r>
            <w:r w:rsidR="004D3E01">
              <w:rPr>
                <w:rFonts w:ascii="Arial" w:eastAsia="Times New Roman" w:hAnsi="Arial" w:cs="Arial"/>
                <w:color w:val="000000"/>
                <w:sz w:val="16"/>
                <w:szCs w:val="16"/>
              </w:rPr>
              <w:t>Swiss francs</w:t>
            </w:r>
            <w:r w:rsidR="004D3E01" w:rsidRPr="00054B87">
              <w:rPr>
                <w:rFonts w:ascii="Arial" w:eastAsia="Times New Roman" w:hAnsi="Arial" w:cs="Arial"/>
                <w:color w:val="000000"/>
                <w:sz w:val="16"/>
                <w:szCs w:val="16"/>
              </w:rPr>
              <w:t xml:space="preserve"> </w:t>
            </w:r>
            <w:r w:rsidRPr="00054B87">
              <w:rPr>
                <w:rFonts w:ascii="Arial" w:eastAsia="Times New Roman" w:hAnsi="Arial" w:cs="Arial"/>
                <w:color w:val="000000"/>
                <w:sz w:val="16"/>
                <w:szCs w:val="16"/>
              </w:rPr>
              <w:t>(end</w:t>
            </w:r>
            <w:r w:rsidR="00C25CF7">
              <w:rPr>
                <w:rFonts w:ascii="Arial" w:eastAsia="Times New Roman" w:hAnsi="Arial" w:cs="Arial"/>
                <w:color w:val="000000"/>
                <w:sz w:val="16"/>
                <w:szCs w:val="16"/>
              </w:rPr>
              <w:t> </w:t>
            </w:r>
            <w:r w:rsidRPr="00054B87">
              <w:rPr>
                <w:rFonts w:ascii="Arial" w:eastAsia="Times New Roman" w:hAnsi="Arial" w:cs="Arial"/>
                <w:color w:val="000000"/>
                <w:sz w:val="16"/>
                <w:szCs w:val="16"/>
              </w:rPr>
              <w:t>2014)</w:t>
            </w:r>
          </w:p>
        </w:tc>
        <w:tc>
          <w:tcPr>
            <w:tcW w:w="2149" w:type="dxa"/>
            <w:tcBorders>
              <w:top w:val="nil"/>
              <w:left w:val="nil"/>
              <w:bottom w:val="nil"/>
              <w:right w:val="single" w:sz="4" w:space="0" w:color="auto"/>
            </w:tcBorders>
            <w:shd w:val="clear" w:color="000000" w:fill="FFFFFF"/>
            <w:tcMar>
              <w:top w:w="85" w:type="dxa"/>
            </w:tcMar>
            <w:hideMark/>
          </w:tcPr>
          <w:p w14:paraId="691E18D8"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w:t>
            </w:r>
          </w:p>
        </w:tc>
      </w:tr>
      <w:tr w:rsidR="007A45E0" w:rsidRPr="00054B87" w14:paraId="55D187FE" w14:textId="77777777" w:rsidTr="00FB68E0">
        <w:trPr>
          <w:trHeight w:val="1071"/>
        </w:trPr>
        <w:tc>
          <w:tcPr>
            <w:tcW w:w="2320" w:type="dxa"/>
            <w:tcBorders>
              <w:top w:val="nil"/>
              <w:left w:val="single" w:sz="4" w:space="0" w:color="auto"/>
              <w:bottom w:val="nil"/>
              <w:right w:val="nil"/>
            </w:tcBorders>
            <w:shd w:val="clear" w:color="000000" w:fill="FFFFFF"/>
            <w:tcMar>
              <w:top w:w="85" w:type="dxa"/>
            </w:tcMar>
            <w:hideMark/>
          </w:tcPr>
          <w:p w14:paraId="5F33930D"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bottom w:val="nil"/>
              <w:right w:val="nil"/>
            </w:tcBorders>
            <w:shd w:val="clear" w:color="000000" w:fill="FFFFFF"/>
            <w:tcMar>
              <w:top w:w="85" w:type="dxa"/>
            </w:tcMar>
            <w:hideMark/>
          </w:tcPr>
          <w:p w14:paraId="589D434C"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Processing time ER</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Processing time ETA</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Processing time Visa</w:t>
            </w:r>
          </w:p>
        </w:tc>
        <w:tc>
          <w:tcPr>
            <w:tcW w:w="2440" w:type="dxa"/>
            <w:tcBorders>
              <w:top w:val="nil"/>
              <w:left w:val="nil"/>
              <w:bottom w:val="nil"/>
              <w:right w:val="nil"/>
            </w:tcBorders>
            <w:shd w:val="clear" w:color="000000" w:fill="FFFFFF"/>
            <w:tcMar>
              <w:top w:w="85" w:type="dxa"/>
            </w:tcMar>
            <w:hideMark/>
          </w:tcPr>
          <w:p w14:paraId="242B91D4"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1/2 day (2014)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1/2 day (2014)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a day (2014)</w:t>
            </w:r>
          </w:p>
        </w:tc>
        <w:tc>
          <w:tcPr>
            <w:tcW w:w="2149" w:type="dxa"/>
            <w:tcBorders>
              <w:top w:val="nil"/>
              <w:left w:val="nil"/>
              <w:bottom w:val="nil"/>
              <w:right w:val="single" w:sz="4" w:space="0" w:color="auto"/>
            </w:tcBorders>
            <w:shd w:val="clear" w:color="000000" w:fill="FFFFFF"/>
            <w:tcMar>
              <w:top w:w="85" w:type="dxa"/>
            </w:tcMar>
            <w:hideMark/>
          </w:tcPr>
          <w:p w14:paraId="368635FA"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Less than 1/2 day</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1/2 day</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a day</w:t>
            </w:r>
          </w:p>
        </w:tc>
      </w:tr>
      <w:tr w:rsidR="007A45E0" w:rsidRPr="00054B87" w14:paraId="22AE2431" w14:textId="77777777" w:rsidTr="007536CC">
        <w:trPr>
          <w:trHeight w:val="1201"/>
        </w:trPr>
        <w:tc>
          <w:tcPr>
            <w:tcW w:w="2320" w:type="dxa"/>
            <w:tcBorders>
              <w:top w:val="nil"/>
              <w:left w:val="single" w:sz="4" w:space="0" w:color="auto"/>
              <w:right w:val="nil"/>
            </w:tcBorders>
            <w:shd w:val="clear" w:color="000000" w:fill="FFFFFF"/>
            <w:tcMar>
              <w:top w:w="85" w:type="dxa"/>
            </w:tcMar>
            <w:hideMark/>
          </w:tcPr>
          <w:p w14:paraId="625B02BF"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588553AB"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TMC average ticket fare</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Global average ticket fare</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Average service fee</w:t>
            </w:r>
          </w:p>
        </w:tc>
        <w:tc>
          <w:tcPr>
            <w:tcW w:w="2440" w:type="dxa"/>
            <w:tcBorders>
              <w:top w:val="nil"/>
              <w:left w:val="nil"/>
              <w:right w:val="nil"/>
            </w:tcBorders>
            <w:shd w:val="clear" w:color="000000" w:fill="FFFFFF"/>
            <w:tcMar>
              <w:top w:w="85" w:type="dxa"/>
            </w:tcMar>
            <w:hideMark/>
          </w:tcPr>
          <w:p w14:paraId="0DE7B1BF" w14:textId="5E5E586F"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850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t xml:space="preserve"> (Dec2014)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600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t xml:space="preserve"> (Dec2014)</w:t>
            </w:r>
            <w:r w:rsidRPr="00054B87">
              <w:rPr>
                <w:rFonts w:ascii="Arial" w:eastAsia="Times New Roman" w:hAnsi="Arial" w:cs="Arial"/>
                <w:color w:val="000000"/>
                <w:sz w:val="16"/>
                <w:szCs w:val="16"/>
              </w:rPr>
              <w:br/>
            </w:r>
          </w:p>
          <w:p w14:paraId="0C9AB213" w14:textId="64737B6E"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118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t xml:space="preserve"> (end 2014)</w:t>
            </w:r>
          </w:p>
        </w:tc>
        <w:tc>
          <w:tcPr>
            <w:tcW w:w="2149" w:type="dxa"/>
            <w:tcBorders>
              <w:top w:val="nil"/>
              <w:left w:val="nil"/>
              <w:right w:val="single" w:sz="4" w:space="0" w:color="auto"/>
            </w:tcBorders>
            <w:shd w:val="clear" w:color="000000" w:fill="FFFFFF"/>
            <w:tcMar>
              <w:top w:w="85" w:type="dxa"/>
            </w:tcMar>
            <w:hideMark/>
          </w:tcPr>
          <w:p w14:paraId="25AE3388" w14:textId="75B7B416"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850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 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600 </w:t>
            </w:r>
            <w:r w:rsidR="004D3E01">
              <w:rPr>
                <w:rFonts w:ascii="Arial" w:eastAsia="Times New Roman" w:hAnsi="Arial" w:cs="Arial"/>
                <w:color w:val="000000"/>
                <w:sz w:val="16"/>
                <w:szCs w:val="16"/>
              </w:rPr>
              <w:t>Swiss francs</w:t>
            </w:r>
            <w:r w:rsidRPr="00054B87">
              <w:rPr>
                <w:rFonts w:ascii="Arial" w:eastAsia="Times New Roman" w:hAnsi="Arial" w:cs="Arial"/>
                <w:color w:val="000000"/>
                <w:sz w:val="16"/>
                <w:szCs w:val="16"/>
              </w:rPr>
              <w:t xml:space="preserve"> </w:t>
            </w:r>
            <w:r w:rsidRPr="00054B87">
              <w:rPr>
                <w:rFonts w:ascii="Arial" w:eastAsia="Times New Roman" w:hAnsi="Arial" w:cs="Arial"/>
                <w:color w:val="000000"/>
                <w:sz w:val="16"/>
                <w:szCs w:val="16"/>
              </w:rPr>
              <w:br/>
            </w:r>
          </w:p>
          <w:p w14:paraId="26FBBDD4" w14:textId="2384A5C8"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&lt; 100 </w:t>
            </w:r>
            <w:r w:rsidR="004D3E01">
              <w:rPr>
                <w:rFonts w:ascii="Arial" w:eastAsia="Times New Roman" w:hAnsi="Arial" w:cs="Arial"/>
                <w:color w:val="000000"/>
                <w:sz w:val="16"/>
                <w:szCs w:val="16"/>
              </w:rPr>
              <w:t>Swiss francs</w:t>
            </w:r>
          </w:p>
        </w:tc>
      </w:tr>
      <w:tr w:rsidR="007A45E0" w:rsidRPr="00054B87" w14:paraId="276BB31D" w14:textId="77777777" w:rsidTr="007536CC">
        <w:trPr>
          <w:trHeight w:val="623"/>
        </w:trPr>
        <w:tc>
          <w:tcPr>
            <w:tcW w:w="2320" w:type="dxa"/>
            <w:tcBorders>
              <w:top w:val="nil"/>
              <w:left w:val="single" w:sz="4" w:space="0" w:color="auto"/>
              <w:right w:val="nil"/>
            </w:tcBorders>
            <w:shd w:val="clear" w:color="000000" w:fill="FFFFFF"/>
            <w:tcMar>
              <w:top w:w="85" w:type="dxa"/>
            </w:tcMar>
            <w:hideMark/>
          </w:tcPr>
          <w:p w14:paraId="0DAF2BCB"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142FC2DF"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WIPO premises and installations remain fit for purpose </w:t>
            </w:r>
          </w:p>
        </w:tc>
        <w:tc>
          <w:tcPr>
            <w:tcW w:w="2440" w:type="dxa"/>
            <w:tcBorders>
              <w:top w:val="nil"/>
              <w:left w:val="nil"/>
              <w:right w:val="nil"/>
            </w:tcBorders>
            <w:shd w:val="clear" w:color="000000" w:fill="FFFFFF"/>
            <w:tcMar>
              <w:top w:w="85" w:type="dxa"/>
            </w:tcMar>
            <w:hideMark/>
          </w:tcPr>
          <w:p w14:paraId="07539A5D" w14:textId="77777777" w:rsidR="007A45E0" w:rsidRPr="00054B87" w:rsidRDefault="007A45E0" w:rsidP="008D4CE9">
            <w:pPr>
              <w:rPr>
                <w:rFonts w:ascii="Arial" w:eastAsia="Times New Roman" w:hAnsi="Arial" w:cs="Arial"/>
                <w:color w:val="000000"/>
                <w:sz w:val="16"/>
                <w:szCs w:val="16"/>
              </w:rPr>
            </w:pPr>
            <w:r>
              <w:rPr>
                <w:rFonts w:ascii="Arial" w:eastAsia="Times New Roman" w:hAnsi="Arial" w:cs="Arial"/>
                <w:color w:val="000000"/>
                <w:sz w:val="16"/>
                <w:szCs w:val="16"/>
              </w:rPr>
              <w:t xml:space="preserve">Maximum of one working day per year with breakdown of a technical installations (electricity, water, heating, cooling, ventilation) affecting WIPO core activities.  </w:t>
            </w:r>
          </w:p>
        </w:tc>
        <w:tc>
          <w:tcPr>
            <w:tcW w:w="2149" w:type="dxa"/>
            <w:tcBorders>
              <w:top w:val="nil"/>
              <w:left w:val="nil"/>
              <w:right w:val="single" w:sz="4" w:space="0" w:color="auto"/>
            </w:tcBorders>
            <w:shd w:val="clear" w:color="000000" w:fill="FFFFFF"/>
            <w:tcMar>
              <w:top w:w="85" w:type="dxa"/>
            </w:tcMar>
            <w:hideMark/>
          </w:tcPr>
          <w:p w14:paraId="492EE749" w14:textId="15CE3171" w:rsidR="007A45E0" w:rsidRPr="00054B87" w:rsidRDefault="007A45E0" w:rsidP="008D4CE9">
            <w:pPr>
              <w:rPr>
                <w:rFonts w:ascii="Arial" w:eastAsia="Times New Roman" w:hAnsi="Arial" w:cs="Arial"/>
                <w:color w:val="000000"/>
                <w:sz w:val="16"/>
                <w:szCs w:val="16"/>
              </w:rPr>
            </w:pPr>
            <w:r>
              <w:rPr>
                <w:rFonts w:ascii="Arial" w:eastAsia="Times New Roman" w:hAnsi="Arial" w:cs="Arial"/>
                <w:color w:val="000000"/>
                <w:sz w:val="16"/>
                <w:szCs w:val="16"/>
              </w:rPr>
              <w:t xml:space="preserve">Maintain maximum of one working day per year with breakdown of a technical installations (electricity, water, heating, cooling, ventilation) affecting WIPO core activities.  </w:t>
            </w:r>
          </w:p>
        </w:tc>
      </w:tr>
      <w:tr w:rsidR="007A45E0" w:rsidRPr="00054B87" w14:paraId="19CE93FC" w14:textId="77777777" w:rsidTr="00FB68E0">
        <w:trPr>
          <w:trHeight w:val="917"/>
        </w:trPr>
        <w:tc>
          <w:tcPr>
            <w:tcW w:w="2320" w:type="dxa"/>
            <w:tcBorders>
              <w:left w:val="single" w:sz="4" w:space="0" w:color="auto"/>
              <w:bottom w:val="single" w:sz="4" w:space="0" w:color="auto"/>
              <w:right w:val="nil"/>
            </w:tcBorders>
            <w:shd w:val="clear" w:color="000000" w:fill="FFFFFF"/>
            <w:tcMar>
              <w:top w:w="85" w:type="dxa"/>
            </w:tcMar>
            <w:hideMark/>
          </w:tcPr>
          <w:p w14:paraId="69C31FF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left w:val="nil"/>
              <w:bottom w:val="single" w:sz="4" w:space="0" w:color="auto"/>
              <w:right w:val="nil"/>
            </w:tcBorders>
            <w:shd w:val="clear" w:color="000000" w:fill="FFFFFF"/>
            <w:tcMar>
              <w:top w:w="85" w:type="dxa"/>
            </w:tcMar>
            <w:hideMark/>
          </w:tcPr>
          <w:p w14:paraId="00E0DB05" w14:textId="77777777" w:rsidR="007A45E0"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Optimum use and occupation of WIPO premises and all types of space</w:t>
            </w:r>
          </w:p>
          <w:p w14:paraId="4D3F07E9" w14:textId="77777777" w:rsidR="00B511F2" w:rsidRPr="00FB68E0" w:rsidRDefault="00B511F2" w:rsidP="00E641D8">
            <w:pPr>
              <w:ind w:left="281"/>
              <w:rPr>
                <w:rFonts w:ascii="Arial" w:eastAsia="Times New Roman" w:hAnsi="Arial" w:cs="Arial"/>
                <w:color w:val="000000"/>
                <w:sz w:val="8"/>
                <w:szCs w:val="8"/>
              </w:rPr>
            </w:pPr>
          </w:p>
          <w:p w14:paraId="7DAE7563" w14:textId="32D8B1D0" w:rsidR="00B511F2" w:rsidRPr="00054B87" w:rsidRDefault="00B511F2" w:rsidP="008D4CE9">
            <w:pPr>
              <w:rPr>
                <w:rFonts w:ascii="Arial" w:eastAsia="Times New Roman" w:hAnsi="Arial" w:cs="Arial"/>
                <w:color w:val="000000"/>
                <w:sz w:val="16"/>
                <w:szCs w:val="16"/>
              </w:rPr>
            </w:pPr>
            <w:r>
              <w:rPr>
                <w:rFonts w:ascii="Arial" w:eastAsia="Times New Roman" w:hAnsi="Arial" w:cs="Arial"/>
                <w:color w:val="000000"/>
                <w:sz w:val="16"/>
                <w:szCs w:val="16"/>
              </w:rPr>
              <w:t>% of high value items (</w:t>
            </w:r>
            <w:proofErr w:type="spellStart"/>
            <w:r>
              <w:rPr>
                <w:rFonts w:ascii="Arial" w:eastAsia="Times New Roman" w:hAnsi="Arial" w:cs="Arial"/>
                <w:color w:val="000000"/>
                <w:sz w:val="16"/>
                <w:szCs w:val="16"/>
              </w:rPr>
              <w:t>e.g</w:t>
            </w:r>
            <w:proofErr w:type="spellEnd"/>
            <w:r>
              <w:rPr>
                <w:rFonts w:ascii="Arial" w:eastAsia="Times New Roman" w:hAnsi="Arial" w:cs="Arial"/>
                <w:color w:val="000000"/>
                <w:sz w:val="16"/>
                <w:szCs w:val="16"/>
              </w:rPr>
              <w:t xml:space="preserve"> </w:t>
            </w:r>
            <w:r w:rsidR="00E85E73">
              <w:rPr>
                <w:rFonts w:ascii="Arial" w:eastAsia="Times New Roman" w:hAnsi="Arial" w:cs="Arial"/>
                <w:color w:val="000000"/>
                <w:sz w:val="16"/>
                <w:szCs w:val="16"/>
              </w:rPr>
              <w:t xml:space="preserve">&gt;5,000 </w:t>
            </w:r>
            <w:r w:rsidR="003736E0">
              <w:rPr>
                <w:rFonts w:ascii="Arial" w:eastAsia="Times New Roman" w:hAnsi="Arial" w:cs="Arial"/>
                <w:color w:val="000000"/>
                <w:sz w:val="16"/>
                <w:szCs w:val="16"/>
              </w:rPr>
              <w:t>Swiss francs</w:t>
            </w:r>
            <w:r w:rsidR="00E85E73">
              <w:rPr>
                <w:rFonts w:ascii="Arial" w:eastAsia="Times New Roman" w:hAnsi="Arial" w:cs="Arial"/>
                <w:color w:val="000000"/>
                <w:sz w:val="16"/>
                <w:szCs w:val="16"/>
              </w:rPr>
              <w:t>) inventoried</w:t>
            </w:r>
          </w:p>
        </w:tc>
        <w:tc>
          <w:tcPr>
            <w:tcW w:w="2440" w:type="dxa"/>
            <w:tcBorders>
              <w:left w:val="nil"/>
              <w:bottom w:val="single" w:sz="4" w:space="0" w:color="auto"/>
              <w:right w:val="nil"/>
            </w:tcBorders>
            <w:shd w:val="clear" w:color="000000" w:fill="FFFFFF"/>
            <w:tcMar>
              <w:top w:w="85" w:type="dxa"/>
            </w:tcMar>
            <w:hideMark/>
          </w:tcPr>
          <w:p w14:paraId="3B6F24E9" w14:textId="77777777" w:rsidR="007A45E0"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80 rented workplaces, 5 offsite storage/archiving areas</w:t>
            </w:r>
          </w:p>
          <w:p w14:paraId="31E7C53A" w14:textId="77777777" w:rsidR="00E85E73" w:rsidRDefault="00E85E73" w:rsidP="00E641D8">
            <w:pPr>
              <w:ind w:left="229"/>
              <w:rPr>
                <w:rFonts w:ascii="Arial" w:eastAsia="Times New Roman" w:hAnsi="Arial" w:cs="Arial"/>
                <w:color w:val="000000"/>
                <w:sz w:val="16"/>
                <w:szCs w:val="16"/>
              </w:rPr>
            </w:pPr>
          </w:p>
          <w:p w14:paraId="23861FF5" w14:textId="77777777" w:rsidR="00E85E73" w:rsidRPr="00FB68E0" w:rsidRDefault="00E85E73" w:rsidP="00E641D8">
            <w:pPr>
              <w:ind w:left="229"/>
              <w:rPr>
                <w:rFonts w:ascii="Arial" w:eastAsia="Times New Roman" w:hAnsi="Arial" w:cs="Arial"/>
                <w:color w:val="000000"/>
                <w:sz w:val="8"/>
                <w:szCs w:val="8"/>
              </w:rPr>
            </w:pPr>
          </w:p>
          <w:p w14:paraId="28DA4051" w14:textId="6B84C455" w:rsidR="00E85E73" w:rsidRPr="00054B87" w:rsidRDefault="00E85E73" w:rsidP="008D4CE9">
            <w:pPr>
              <w:rPr>
                <w:rFonts w:ascii="Arial" w:eastAsia="Times New Roman" w:hAnsi="Arial" w:cs="Arial"/>
                <w:color w:val="000000"/>
                <w:sz w:val="16"/>
                <w:szCs w:val="16"/>
              </w:rPr>
            </w:pPr>
            <w:r>
              <w:rPr>
                <w:rFonts w:ascii="Arial" w:eastAsia="Times New Roman" w:hAnsi="Arial" w:cs="Arial"/>
                <w:color w:val="000000"/>
                <w:sz w:val="16"/>
                <w:szCs w:val="16"/>
              </w:rPr>
              <w:t>95%</w:t>
            </w:r>
          </w:p>
        </w:tc>
        <w:tc>
          <w:tcPr>
            <w:tcW w:w="2149" w:type="dxa"/>
            <w:tcBorders>
              <w:left w:val="nil"/>
              <w:bottom w:val="single" w:sz="4" w:space="0" w:color="auto"/>
              <w:right w:val="single" w:sz="4" w:space="0" w:color="auto"/>
            </w:tcBorders>
            <w:shd w:val="clear" w:color="000000" w:fill="FFFFFF"/>
            <w:tcMar>
              <w:top w:w="85" w:type="dxa"/>
            </w:tcMar>
            <w:hideMark/>
          </w:tcPr>
          <w:p w14:paraId="5F6CD1E9" w14:textId="77777777" w:rsidR="00E85E73"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Maintain 80 rented workplaces, 5 off-site storage/archiving areas</w:t>
            </w:r>
          </w:p>
          <w:p w14:paraId="459C24B8" w14:textId="77777777" w:rsidR="00E85E73" w:rsidRDefault="00E85E73" w:rsidP="00E641D8">
            <w:pPr>
              <w:ind w:left="198"/>
              <w:rPr>
                <w:rFonts w:ascii="Arial" w:eastAsia="Times New Roman" w:hAnsi="Arial" w:cs="Arial"/>
                <w:color w:val="000000"/>
                <w:sz w:val="16"/>
                <w:szCs w:val="16"/>
              </w:rPr>
            </w:pPr>
          </w:p>
          <w:p w14:paraId="12396E8E" w14:textId="77777777" w:rsidR="00E85E73" w:rsidRPr="00FB68E0" w:rsidRDefault="00E85E73" w:rsidP="00E641D8">
            <w:pPr>
              <w:ind w:left="198"/>
              <w:rPr>
                <w:rFonts w:ascii="Arial" w:eastAsia="Times New Roman" w:hAnsi="Arial" w:cs="Arial"/>
                <w:color w:val="000000"/>
                <w:sz w:val="8"/>
                <w:szCs w:val="8"/>
              </w:rPr>
            </w:pPr>
          </w:p>
          <w:p w14:paraId="57E225BC" w14:textId="4052EA8B" w:rsidR="007A45E0" w:rsidRPr="00054B87" w:rsidRDefault="00E85E73" w:rsidP="008D4CE9">
            <w:pPr>
              <w:rPr>
                <w:rFonts w:ascii="Arial" w:eastAsia="Times New Roman" w:hAnsi="Arial" w:cs="Arial"/>
                <w:color w:val="000000"/>
                <w:sz w:val="16"/>
                <w:szCs w:val="16"/>
              </w:rPr>
            </w:pPr>
            <w:r>
              <w:rPr>
                <w:rFonts w:ascii="Arial" w:eastAsia="Times New Roman" w:hAnsi="Arial" w:cs="Arial"/>
                <w:color w:val="000000"/>
                <w:sz w:val="16"/>
                <w:szCs w:val="16"/>
              </w:rPr>
              <w:t>Maintain 95%</w:t>
            </w:r>
            <w:r w:rsidR="007A45E0" w:rsidRPr="00054B87">
              <w:rPr>
                <w:rFonts w:ascii="Arial" w:eastAsia="Times New Roman" w:hAnsi="Arial" w:cs="Arial"/>
                <w:color w:val="000000"/>
                <w:sz w:val="16"/>
                <w:szCs w:val="16"/>
              </w:rPr>
              <w:t xml:space="preserve"> </w:t>
            </w:r>
          </w:p>
        </w:tc>
      </w:tr>
      <w:tr w:rsidR="00E85E73" w:rsidRPr="00054B87" w14:paraId="31431F4F" w14:textId="77777777" w:rsidTr="00FB68E0">
        <w:trPr>
          <w:trHeight w:val="629"/>
        </w:trPr>
        <w:tc>
          <w:tcPr>
            <w:tcW w:w="2320" w:type="dxa"/>
            <w:tcBorders>
              <w:top w:val="single" w:sz="4" w:space="0" w:color="auto"/>
              <w:left w:val="single" w:sz="4" w:space="0" w:color="auto"/>
              <w:right w:val="nil"/>
            </w:tcBorders>
            <w:shd w:val="clear" w:color="000000" w:fill="FFFFFF"/>
            <w:tcMar>
              <w:top w:w="85" w:type="dxa"/>
            </w:tcMar>
          </w:tcPr>
          <w:p w14:paraId="19458899" w14:textId="77777777" w:rsidR="00E85E73" w:rsidRPr="00054B87" w:rsidRDefault="00E85E73" w:rsidP="00E641D8">
            <w:pPr>
              <w:rPr>
                <w:rFonts w:ascii="Arial" w:eastAsia="Times New Roman" w:hAnsi="Arial" w:cs="Arial"/>
                <w:color w:val="000000"/>
                <w:sz w:val="16"/>
                <w:szCs w:val="16"/>
              </w:rPr>
            </w:pPr>
          </w:p>
        </w:tc>
        <w:tc>
          <w:tcPr>
            <w:tcW w:w="2320" w:type="dxa"/>
            <w:tcBorders>
              <w:top w:val="single" w:sz="4" w:space="0" w:color="auto"/>
              <w:left w:val="nil"/>
              <w:right w:val="nil"/>
            </w:tcBorders>
            <w:shd w:val="clear" w:color="000000" w:fill="FFFFFF"/>
            <w:tcMar>
              <w:top w:w="85" w:type="dxa"/>
            </w:tcMar>
          </w:tcPr>
          <w:p w14:paraId="1B96144D" w14:textId="3E2A4F54" w:rsidR="00E85E73" w:rsidRPr="00054B87" w:rsidRDefault="00E85E73" w:rsidP="008D4CE9">
            <w:pPr>
              <w:rPr>
                <w:rFonts w:ascii="Arial" w:eastAsia="Times New Roman" w:hAnsi="Arial" w:cs="Arial"/>
                <w:color w:val="000000"/>
                <w:sz w:val="16"/>
                <w:szCs w:val="16"/>
              </w:rPr>
            </w:pPr>
            <w:r>
              <w:rPr>
                <w:rFonts w:ascii="Arial" w:eastAsia="Times New Roman" w:hAnsi="Arial" w:cs="Arial"/>
                <w:color w:val="000000"/>
                <w:sz w:val="16"/>
                <w:szCs w:val="16"/>
              </w:rPr>
              <w:t xml:space="preserve">% of value items 1,000-5,000 </w:t>
            </w:r>
            <w:r w:rsidR="003736E0">
              <w:rPr>
                <w:rFonts w:ascii="Arial" w:eastAsia="Times New Roman" w:hAnsi="Arial" w:cs="Arial"/>
                <w:color w:val="000000"/>
                <w:sz w:val="16"/>
                <w:szCs w:val="16"/>
              </w:rPr>
              <w:t>Swiss francs</w:t>
            </w:r>
            <w:r>
              <w:rPr>
                <w:rFonts w:ascii="Arial" w:eastAsia="Times New Roman" w:hAnsi="Arial" w:cs="Arial"/>
                <w:color w:val="000000"/>
                <w:sz w:val="16"/>
                <w:szCs w:val="16"/>
              </w:rPr>
              <w:t>, works of arts and attractive items</w:t>
            </w:r>
          </w:p>
        </w:tc>
        <w:tc>
          <w:tcPr>
            <w:tcW w:w="2440" w:type="dxa"/>
            <w:tcBorders>
              <w:top w:val="single" w:sz="4" w:space="0" w:color="auto"/>
              <w:left w:val="nil"/>
              <w:right w:val="nil"/>
            </w:tcBorders>
            <w:shd w:val="clear" w:color="000000" w:fill="FFFFFF"/>
            <w:tcMar>
              <w:top w:w="85" w:type="dxa"/>
            </w:tcMar>
          </w:tcPr>
          <w:p w14:paraId="679582B8" w14:textId="6A5C8301" w:rsidR="00E85E73" w:rsidRPr="00054B87" w:rsidRDefault="00E85E73" w:rsidP="008D4CE9">
            <w:pPr>
              <w:rPr>
                <w:rFonts w:ascii="Arial" w:eastAsia="Times New Roman" w:hAnsi="Arial" w:cs="Arial"/>
                <w:color w:val="000000"/>
                <w:sz w:val="16"/>
                <w:szCs w:val="16"/>
              </w:rPr>
            </w:pPr>
            <w:r>
              <w:rPr>
                <w:rFonts w:ascii="Arial" w:eastAsia="Times New Roman" w:hAnsi="Arial" w:cs="Arial"/>
                <w:color w:val="000000"/>
                <w:sz w:val="16"/>
                <w:szCs w:val="16"/>
              </w:rPr>
              <w:t>n/a</w:t>
            </w:r>
          </w:p>
        </w:tc>
        <w:tc>
          <w:tcPr>
            <w:tcW w:w="2149" w:type="dxa"/>
            <w:tcBorders>
              <w:top w:val="single" w:sz="4" w:space="0" w:color="auto"/>
              <w:left w:val="nil"/>
              <w:right w:val="single" w:sz="4" w:space="0" w:color="auto"/>
            </w:tcBorders>
            <w:shd w:val="clear" w:color="000000" w:fill="FFFFFF"/>
            <w:tcMar>
              <w:top w:w="85" w:type="dxa"/>
            </w:tcMar>
          </w:tcPr>
          <w:p w14:paraId="6DC4C840" w14:textId="7A1AADC1" w:rsidR="00E85E73" w:rsidRPr="00054B87" w:rsidRDefault="00E85E73" w:rsidP="008D4CE9">
            <w:pPr>
              <w:ind w:firstLine="57"/>
              <w:rPr>
                <w:rFonts w:ascii="Arial" w:eastAsia="Times New Roman" w:hAnsi="Arial" w:cs="Arial"/>
                <w:color w:val="000000"/>
                <w:sz w:val="16"/>
                <w:szCs w:val="16"/>
              </w:rPr>
            </w:pPr>
            <w:r>
              <w:rPr>
                <w:rFonts w:ascii="Arial" w:eastAsia="Times New Roman" w:hAnsi="Arial" w:cs="Arial"/>
                <w:color w:val="000000"/>
                <w:sz w:val="16"/>
                <w:szCs w:val="16"/>
              </w:rPr>
              <w:t>90%</w:t>
            </w:r>
          </w:p>
        </w:tc>
      </w:tr>
      <w:tr w:rsidR="007A45E0" w:rsidRPr="00054B87" w14:paraId="1F957356" w14:textId="77777777" w:rsidTr="00FB68E0">
        <w:trPr>
          <w:trHeight w:val="2461"/>
        </w:trPr>
        <w:tc>
          <w:tcPr>
            <w:tcW w:w="2320" w:type="dxa"/>
            <w:tcBorders>
              <w:left w:val="single" w:sz="4" w:space="0" w:color="auto"/>
              <w:bottom w:val="nil"/>
              <w:right w:val="nil"/>
            </w:tcBorders>
            <w:shd w:val="clear" w:color="000000" w:fill="FFFFFF"/>
            <w:tcMar>
              <w:top w:w="85" w:type="dxa"/>
            </w:tcMar>
            <w:hideMark/>
          </w:tcPr>
          <w:p w14:paraId="250FF99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IX.4 An environmentally and socially responsible Organization in which WIPO staff, delegates, visitors and information and physical assets are safe and secure</w:t>
            </w:r>
          </w:p>
        </w:tc>
        <w:tc>
          <w:tcPr>
            <w:tcW w:w="2320" w:type="dxa"/>
            <w:tcBorders>
              <w:left w:val="nil"/>
              <w:bottom w:val="nil"/>
              <w:right w:val="nil"/>
            </w:tcBorders>
            <w:shd w:val="clear" w:color="000000" w:fill="FFFFFF"/>
            <w:tcMar>
              <w:top w:w="85" w:type="dxa"/>
            </w:tcMar>
            <w:hideMark/>
          </w:tcPr>
          <w:p w14:paraId="70E72E42"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Reduced impact of WIPO activities on the environment</w:t>
            </w:r>
          </w:p>
        </w:tc>
        <w:tc>
          <w:tcPr>
            <w:tcW w:w="2440" w:type="dxa"/>
            <w:tcBorders>
              <w:left w:val="nil"/>
              <w:bottom w:val="nil"/>
              <w:right w:val="nil"/>
            </w:tcBorders>
            <w:shd w:val="clear" w:color="000000" w:fill="FFFFFF"/>
            <w:tcMar>
              <w:top w:w="85" w:type="dxa"/>
            </w:tcMar>
            <w:hideMark/>
          </w:tcPr>
          <w:p w14:paraId="6FE68559"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A. Commitment to UN Climate Neutral Framework announced by the United Nations Secretary General in September 2014 </w:t>
            </w:r>
            <w:r w:rsidRPr="00054B87">
              <w:rPr>
                <w:rFonts w:ascii="Arial" w:eastAsia="Times New Roman" w:hAnsi="Arial" w:cs="Arial"/>
                <w:color w:val="000000"/>
                <w:sz w:val="16"/>
                <w:szCs w:val="16"/>
              </w:rPr>
              <w:br/>
              <w:t xml:space="preserve">B. Commitment to Host Country and local regulations for energy consumption </w:t>
            </w:r>
            <w:r w:rsidRPr="00054B87">
              <w:rPr>
                <w:rFonts w:ascii="Arial" w:eastAsia="Times New Roman" w:hAnsi="Arial" w:cs="Arial"/>
                <w:color w:val="000000"/>
                <w:sz w:val="16"/>
                <w:szCs w:val="16"/>
              </w:rPr>
              <w:br/>
              <w:t>C. Energy consumption levels as at end-2015</w:t>
            </w:r>
          </w:p>
        </w:tc>
        <w:tc>
          <w:tcPr>
            <w:tcW w:w="2149" w:type="dxa"/>
            <w:tcBorders>
              <w:left w:val="nil"/>
              <w:bottom w:val="nil"/>
              <w:right w:val="single" w:sz="4" w:space="0" w:color="auto"/>
            </w:tcBorders>
            <w:shd w:val="clear" w:color="000000" w:fill="FFFFFF"/>
            <w:tcMar>
              <w:top w:w="85" w:type="dxa"/>
            </w:tcMar>
            <w:hideMark/>
          </w:tcPr>
          <w:p w14:paraId="79968C68"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A. Maintain carbon emissions and greenhouse gases at end-2015 levels</w:t>
            </w:r>
            <w:r w:rsidRPr="00054B87">
              <w:rPr>
                <w:rFonts w:ascii="Arial" w:eastAsia="Times New Roman" w:hAnsi="Arial" w:cs="Arial"/>
                <w:color w:val="000000"/>
                <w:sz w:val="16"/>
                <w:szCs w:val="16"/>
              </w:rPr>
              <w:br/>
              <w:t>B. Implementation of measures by end-2017 to maintain energy consumption at end-2015 levels and at comparable weather conditions (for electricity, water, gas and heating oil)</w:t>
            </w:r>
          </w:p>
        </w:tc>
      </w:tr>
      <w:tr w:rsidR="007A45E0" w:rsidRPr="00054B87" w14:paraId="6D8516FC" w14:textId="77777777" w:rsidTr="00E641D8">
        <w:trPr>
          <w:trHeight w:val="1719"/>
        </w:trPr>
        <w:tc>
          <w:tcPr>
            <w:tcW w:w="2320" w:type="dxa"/>
            <w:tcBorders>
              <w:top w:val="nil"/>
              <w:left w:val="single" w:sz="4" w:space="0" w:color="auto"/>
              <w:bottom w:val="single" w:sz="4" w:space="0" w:color="auto"/>
              <w:right w:val="nil"/>
            </w:tcBorders>
            <w:shd w:val="clear" w:color="000000" w:fill="FFFFFF"/>
            <w:tcMar>
              <w:top w:w="85" w:type="dxa"/>
            </w:tcMar>
          </w:tcPr>
          <w:p w14:paraId="43765FF7" w14:textId="77777777" w:rsidR="007A45E0" w:rsidRPr="00054B87" w:rsidRDefault="007A45E0" w:rsidP="00E641D8">
            <w:pPr>
              <w:rPr>
                <w:rFonts w:ascii="Arial" w:eastAsia="Times New Roman" w:hAnsi="Arial" w:cs="Arial"/>
                <w:color w:val="000000"/>
                <w:sz w:val="16"/>
                <w:szCs w:val="16"/>
              </w:rPr>
            </w:pPr>
          </w:p>
        </w:tc>
        <w:tc>
          <w:tcPr>
            <w:tcW w:w="2320" w:type="dxa"/>
            <w:tcBorders>
              <w:top w:val="nil"/>
              <w:left w:val="nil"/>
              <w:bottom w:val="single" w:sz="4" w:space="0" w:color="auto"/>
              <w:right w:val="nil"/>
            </w:tcBorders>
            <w:shd w:val="clear" w:color="000000" w:fill="FFFFFF"/>
            <w:tcMar>
              <w:top w:w="85" w:type="dxa"/>
            </w:tcMar>
          </w:tcPr>
          <w:p w14:paraId="2F4C69A3"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Improved physical access to the WIPO campus </w:t>
            </w:r>
          </w:p>
        </w:tc>
        <w:tc>
          <w:tcPr>
            <w:tcW w:w="2440" w:type="dxa"/>
            <w:tcBorders>
              <w:top w:val="nil"/>
              <w:left w:val="nil"/>
              <w:bottom w:val="single" w:sz="4" w:space="0" w:color="auto"/>
              <w:right w:val="nil"/>
            </w:tcBorders>
            <w:shd w:val="clear" w:color="000000" w:fill="FFFFFF"/>
            <w:tcMar>
              <w:top w:w="85" w:type="dxa"/>
            </w:tcMar>
          </w:tcPr>
          <w:p w14:paraId="217D6311"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Recommendations contained in 2012 Physical Accessibility Audit</w:t>
            </w:r>
          </w:p>
        </w:tc>
        <w:tc>
          <w:tcPr>
            <w:tcW w:w="2149" w:type="dxa"/>
            <w:tcBorders>
              <w:top w:val="nil"/>
              <w:left w:val="nil"/>
              <w:bottom w:val="single" w:sz="4" w:space="0" w:color="auto"/>
              <w:right w:val="single" w:sz="4" w:space="0" w:color="auto"/>
            </w:tcBorders>
            <w:shd w:val="clear" w:color="000000" w:fill="FFFFFF"/>
            <w:tcMar>
              <w:top w:w="85" w:type="dxa"/>
            </w:tcMar>
          </w:tcPr>
          <w:p w14:paraId="624E3646" w14:textId="77777777" w:rsidR="007A45E0" w:rsidRPr="00054B87" w:rsidRDefault="007A45E0" w:rsidP="008D4CE9">
            <w:pPr>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Implementation of following measures by end-2017: </w:t>
            </w:r>
            <w:r w:rsidRPr="00054B87">
              <w:rPr>
                <w:rFonts w:ascii="Arial" w:eastAsia="Times New Roman" w:hAnsi="Arial" w:cs="Arial"/>
                <w:color w:val="000000"/>
                <w:sz w:val="16"/>
                <w:szCs w:val="16"/>
              </w:rPr>
              <w:br/>
              <w:t xml:space="preserve">1. badge readers at required level for persons with disabilities </w:t>
            </w:r>
            <w:r w:rsidRPr="00054B87">
              <w:rPr>
                <w:rFonts w:ascii="Arial" w:eastAsia="Times New Roman" w:hAnsi="Arial" w:cs="Arial"/>
                <w:color w:val="000000"/>
                <w:sz w:val="16"/>
                <w:szCs w:val="16"/>
              </w:rPr>
              <w:br/>
              <w:t>2. guard rails where required</w:t>
            </w:r>
          </w:p>
        </w:tc>
      </w:tr>
    </w:tbl>
    <w:p w14:paraId="25CFAF8B" w14:textId="77777777" w:rsidR="007A45E0" w:rsidRPr="00021D3F" w:rsidRDefault="007A45E0" w:rsidP="00E641D8">
      <w:pPr>
        <w:pStyle w:val="ListParagraph"/>
        <w:tabs>
          <w:tab w:val="left" w:pos="709"/>
        </w:tabs>
        <w:ind w:left="0"/>
        <w:jc w:val="both"/>
        <w:rPr>
          <w:rFonts w:ascii="Arial" w:hAnsi="Arial" w:cs="Arial"/>
          <w:sz w:val="20"/>
        </w:rPr>
      </w:pPr>
    </w:p>
    <w:p w14:paraId="0967E932" w14:textId="4A5F2AA0" w:rsidR="007A45E0" w:rsidRDefault="007A45E0" w:rsidP="00E641D8">
      <w:pPr>
        <w:pStyle w:val="ListParagraph"/>
        <w:tabs>
          <w:tab w:val="left" w:pos="709"/>
        </w:tabs>
        <w:ind w:left="0"/>
        <w:jc w:val="both"/>
        <w:rPr>
          <w:rFonts w:ascii="Arial" w:hAnsi="Arial" w:cs="Arial"/>
        </w:rPr>
      </w:pPr>
      <w:r w:rsidRPr="00021D3F">
        <w:rPr>
          <w:rFonts w:ascii="Arial" w:hAnsi="Arial" w:cs="Arial"/>
        </w:rPr>
        <w:t>RESOURCES FOR PROGRAM 24</w:t>
      </w:r>
    </w:p>
    <w:p w14:paraId="7269E313" w14:textId="77777777" w:rsidR="007A45E0" w:rsidRDefault="007A45E0" w:rsidP="00E641D8">
      <w:pPr>
        <w:pStyle w:val="ListParagraph"/>
        <w:tabs>
          <w:tab w:val="left" w:pos="709"/>
        </w:tabs>
        <w:ind w:left="0"/>
        <w:jc w:val="both"/>
        <w:rPr>
          <w:rFonts w:ascii="Arial" w:hAnsi="Arial" w:cs="Arial"/>
        </w:rPr>
      </w:pPr>
    </w:p>
    <w:p w14:paraId="63394DC8" w14:textId="77777777" w:rsidR="007A45E0" w:rsidRDefault="007A45E0" w:rsidP="00B66A4A">
      <w:pPr>
        <w:pStyle w:val="ListParagraph"/>
        <w:numPr>
          <w:ilvl w:val="0"/>
          <w:numId w:val="24"/>
        </w:numPr>
        <w:tabs>
          <w:tab w:val="left" w:pos="709"/>
        </w:tabs>
        <w:ind w:left="0" w:firstLine="0"/>
        <w:contextualSpacing w:val="0"/>
        <w:jc w:val="both"/>
        <w:rPr>
          <w:rFonts w:ascii="Arial" w:hAnsi="Arial" w:cs="Arial"/>
          <w:color w:val="000000"/>
          <w:sz w:val="20"/>
          <w:szCs w:val="20"/>
        </w:rPr>
      </w:pPr>
      <w:r>
        <w:rPr>
          <w:rFonts w:ascii="Arial" w:hAnsi="Arial" w:cs="Arial"/>
          <w:color w:val="000000"/>
          <w:sz w:val="20"/>
          <w:szCs w:val="20"/>
        </w:rPr>
        <w:t>A</w:t>
      </w:r>
      <w:r w:rsidRPr="00FB68E0">
        <w:rPr>
          <w:rFonts w:ascii="Arial" w:eastAsia="Times New Roman" w:hAnsi="Arial" w:cs="Arial"/>
          <w:color w:val="000000"/>
          <w:sz w:val="20"/>
          <w:szCs w:val="20"/>
        </w:rPr>
        <w:t xml:space="preserve"> slight decrease </w:t>
      </w:r>
      <w:r>
        <w:rPr>
          <w:rFonts w:ascii="Arial" w:hAnsi="Arial" w:cs="Arial"/>
          <w:color w:val="000000"/>
          <w:sz w:val="20"/>
          <w:szCs w:val="20"/>
        </w:rPr>
        <w:t xml:space="preserve">can be observed in the total resources </w:t>
      </w:r>
      <w:r w:rsidRPr="00FB68E0">
        <w:rPr>
          <w:rFonts w:ascii="Arial" w:eastAsia="Times New Roman" w:hAnsi="Arial" w:cs="Arial"/>
          <w:color w:val="000000"/>
          <w:sz w:val="20"/>
          <w:szCs w:val="20"/>
        </w:rPr>
        <w:t xml:space="preserve">for 2016/17 compared to the 2014/15 Budget after </w:t>
      </w:r>
      <w:r>
        <w:rPr>
          <w:rFonts w:ascii="Arial" w:hAnsi="Arial" w:cs="Arial"/>
          <w:color w:val="000000"/>
          <w:sz w:val="20"/>
          <w:szCs w:val="20"/>
        </w:rPr>
        <w:t>T</w:t>
      </w:r>
      <w:r w:rsidRPr="00FB68E0">
        <w:rPr>
          <w:rFonts w:ascii="Arial" w:eastAsia="Times New Roman" w:hAnsi="Arial" w:cs="Arial"/>
          <w:color w:val="000000"/>
          <w:sz w:val="20"/>
          <w:szCs w:val="20"/>
        </w:rPr>
        <w:t>ransfer</w:t>
      </w:r>
      <w:r>
        <w:rPr>
          <w:rFonts w:ascii="Arial" w:hAnsi="Arial" w:cs="Arial"/>
          <w:color w:val="000000"/>
          <w:sz w:val="20"/>
          <w:szCs w:val="20"/>
        </w:rPr>
        <w:t>s</w:t>
      </w:r>
      <w:r w:rsidRPr="00FB68E0">
        <w:rPr>
          <w:rFonts w:ascii="Arial" w:eastAsia="Times New Roman" w:hAnsi="Arial" w:cs="Arial"/>
          <w:color w:val="000000"/>
          <w:sz w:val="20"/>
          <w:szCs w:val="20"/>
        </w:rPr>
        <w:t xml:space="preserve">. </w:t>
      </w:r>
      <w:r>
        <w:rPr>
          <w:rFonts w:ascii="Arial" w:hAnsi="Arial" w:cs="Arial"/>
          <w:color w:val="000000"/>
          <w:sz w:val="20"/>
          <w:szCs w:val="20"/>
        </w:rPr>
        <w:t xml:space="preserve"> </w:t>
      </w:r>
      <w:r w:rsidRPr="00FB68E0">
        <w:rPr>
          <w:rFonts w:ascii="Arial" w:eastAsia="Times New Roman" w:hAnsi="Arial" w:cs="Arial"/>
          <w:color w:val="000000"/>
          <w:sz w:val="20"/>
          <w:szCs w:val="20"/>
        </w:rPr>
        <w:t xml:space="preserve">The net decrease under personnel resources results from a combination of statutory increases as well as redeployment of three posts out of the </w:t>
      </w:r>
      <w:r>
        <w:rPr>
          <w:rFonts w:ascii="Arial" w:hAnsi="Arial" w:cs="Arial"/>
          <w:color w:val="000000"/>
          <w:sz w:val="20"/>
          <w:szCs w:val="20"/>
        </w:rPr>
        <w:t>P</w:t>
      </w:r>
      <w:r w:rsidRPr="00FB68E0">
        <w:rPr>
          <w:rFonts w:ascii="Arial" w:eastAsia="Times New Roman" w:hAnsi="Arial" w:cs="Arial"/>
          <w:color w:val="000000"/>
          <w:sz w:val="20"/>
          <w:szCs w:val="20"/>
        </w:rPr>
        <w:t xml:space="preserve">rogram. </w:t>
      </w:r>
      <w:r>
        <w:rPr>
          <w:rFonts w:ascii="Arial" w:hAnsi="Arial" w:cs="Arial"/>
          <w:color w:val="000000"/>
          <w:sz w:val="20"/>
          <w:szCs w:val="20"/>
        </w:rPr>
        <w:t xml:space="preserve"> </w:t>
      </w:r>
      <w:r w:rsidRPr="00FB68E0">
        <w:rPr>
          <w:rFonts w:ascii="Arial" w:eastAsia="Times New Roman" w:hAnsi="Arial" w:cs="Arial"/>
          <w:color w:val="000000"/>
          <w:sz w:val="20"/>
          <w:szCs w:val="20"/>
        </w:rPr>
        <w:t>The slight increase in non-personnel resources is the net result of</w:t>
      </w:r>
      <w:r>
        <w:rPr>
          <w:rFonts w:ascii="Arial" w:hAnsi="Arial" w:cs="Arial"/>
          <w:color w:val="000000"/>
          <w:sz w:val="20"/>
          <w:szCs w:val="20"/>
        </w:rPr>
        <w:t>, on the one hand,</w:t>
      </w:r>
      <w:r w:rsidRPr="00FB68E0">
        <w:rPr>
          <w:rFonts w:ascii="Arial" w:eastAsia="Times New Roman" w:hAnsi="Arial" w:cs="Arial"/>
          <w:color w:val="000000"/>
          <w:sz w:val="20"/>
          <w:szCs w:val="20"/>
        </w:rPr>
        <w:t xml:space="preserve"> additional resources </w:t>
      </w:r>
      <w:r>
        <w:rPr>
          <w:rFonts w:ascii="Arial" w:hAnsi="Arial" w:cs="Arial"/>
          <w:color w:val="000000"/>
          <w:sz w:val="20"/>
          <w:szCs w:val="20"/>
        </w:rPr>
        <w:t>foreseen</w:t>
      </w:r>
      <w:r w:rsidRPr="00FB68E0">
        <w:rPr>
          <w:rFonts w:ascii="Arial" w:eastAsia="Times New Roman" w:hAnsi="Arial" w:cs="Arial"/>
          <w:color w:val="000000"/>
          <w:sz w:val="20"/>
          <w:szCs w:val="20"/>
        </w:rPr>
        <w:t xml:space="preserve"> for improvement</w:t>
      </w:r>
      <w:r>
        <w:rPr>
          <w:rFonts w:ascii="Arial" w:hAnsi="Arial" w:cs="Arial"/>
          <w:color w:val="000000"/>
          <w:sz w:val="20"/>
          <w:szCs w:val="20"/>
        </w:rPr>
        <w:t>s</w:t>
      </w:r>
      <w:r w:rsidRPr="00FB68E0">
        <w:rPr>
          <w:rFonts w:ascii="Arial" w:eastAsia="Times New Roman" w:hAnsi="Arial" w:cs="Arial"/>
          <w:color w:val="000000"/>
          <w:sz w:val="20"/>
          <w:szCs w:val="20"/>
        </w:rPr>
        <w:t xml:space="preserve"> </w:t>
      </w:r>
      <w:r>
        <w:rPr>
          <w:rFonts w:ascii="Arial" w:hAnsi="Arial" w:cs="Arial"/>
          <w:color w:val="000000"/>
          <w:sz w:val="20"/>
          <w:szCs w:val="20"/>
        </w:rPr>
        <w:t xml:space="preserve">to the WIPO </w:t>
      </w:r>
      <w:r w:rsidRPr="00FB68E0">
        <w:rPr>
          <w:rFonts w:ascii="Arial" w:eastAsia="Times New Roman" w:hAnsi="Arial" w:cs="Arial"/>
          <w:color w:val="000000"/>
          <w:sz w:val="20"/>
          <w:szCs w:val="20"/>
        </w:rPr>
        <w:t xml:space="preserve">buildings and infrastructure </w:t>
      </w:r>
      <w:r>
        <w:rPr>
          <w:rFonts w:ascii="Arial" w:hAnsi="Arial" w:cs="Arial"/>
          <w:color w:val="000000"/>
          <w:sz w:val="20"/>
          <w:szCs w:val="20"/>
        </w:rPr>
        <w:t xml:space="preserve">related </w:t>
      </w:r>
      <w:r w:rsidRPr="00FB68E0">
        <w:rPr>
          <w:rFonts w:ascii="Arial" w:eastAsia="Times New Roman" w:hAnsi="Arial" w:cs="Arial"/>
          <w:color w:val="000000"/>
          <w:sz w:val="20"/>
          <w:szCs w:val="20"/>
        </w:rPr>
        <w:t xml:space="preserve">works for </w:t>
      </w:r>
      <w:r>
        <w:rPr>
          <w:rFonts w:ascii="Arial" w:hAnsi="Arial" w:cs="Arial"/>
          <w:color w:val="000000"/>
          <w:sz w:val="20"/>
          <w:szCs w:val="20"/>
        </w:rPr>
        <w:t xml:space="preserve">the </w:t>
      </w:r>
      <w:r w:rsidRPr="00FB68E0">
        <w:rPr>
          <w:rFonts w:ascii="Arial" w:eastAsia="Times New Roman" w:hAnsi="Arial" w:cs="Arial"/>
          <w:color w:val="000000"/>
          <w:sz w:val="20"/>
          <w:szCs w:val="20"/>
        </w:rPr>
        <w:t>medical unit</w:t>
      </w:r>
      <w:r>
        <w:rPr>
          <w:rFonts w:ascii="Arial" w:hAnsi="Arial" w:cs="Arial"/>
          <w:color w:val="000000"/>
          <w:sz w:val="20"/>
          <w:szCs w:val="20"/>
        </w:rPr>
        <w:t>, and on the other hand, targeted savings related to parking for WIPO staff and a reduction of 2 million Swiss francs in the provision for the payment of interests on the loan on the NB building compared to the provision in the 2014/15 Approved Budget</w:t>
      </w:r>
      <w:r w:rsidRPr="00FB68E0">
        <w:rPr>
          <w:rFonts w:ascii="Arial" w:eastAsia="Times New Roman" w:hAnsi="Arial" w:cs="Arial"/>
          <w:color w:val="000000"/>
          <w:sz w:val="20"/>
          <w:szCs w:val="20"/>
        </w:rPr>
        <w:t>.  </w:t>
      </w:r>
    </w:p>
    <w:p w14:paraId="2869D17E" w14:textId="77777777" w:rsidR="007A45E0" w:rsidRDefault="007A45E0" w:rsidP="00FB68E0">
      <w:pPr>
        <w:pStyle w:val="NormalWeb"/>
        <w:shd w:val="clear" w:color="auto" w:fill="FFFFFF"/>
        <w:jc w:val="both"/>
        <w:rPr>
          <w:rFonts w:ascii="Arial" w:hAnsi="Arial" w:cs="Arial"/>
          <w:color w:val="000000"/>
          <w:sz w:val="20"/>
          <w:szCs w:val="20"/>
        </w:rPr>
      </w:pPr>
    </w:p>
    <w:p w14:paraId="7E968E76" w14:textId="77777777" w:rsidR="007A45E0" w:rsidRPr="007536CC" w:rsidRDefault="007A45E0" w:rsidP="00B66A4A">
      <w:pPr>
        <w:pStyle w:val="ListParagraph"/>
        <w:numPr>
          <w:ilvl w:val="0"/>
          <w:numId w:val="24"/>
        </w:numPr>
        <w:tabs>
          <w:tab w:val="left" w:pos="709"/>
        </w:tabs>
        <w:ind w:left="0" w:firstLine="0"/>
        <w:contextualSpacing w:val="0"/>
        <w:jc w:val="both"/>
        <w:rPr>
          <w:rFonts w:ascii="Arial" w:eastAsia="Times New Roman" w:hAnsi="Arial" w:cs="Arial"/>
          <w:color w:val="000000"/>
          <w:sz w:val="20"/>
          <w:szCs w:val="20"/>
        </w:rPr>
      </w:pPr>
      <w:r w:rsidRPr="00FB68E0">
        <w:rPr>
          <w:rFonts w:ascii="Arial" w:eastAsia="Times New Roman" w:hAnsi="Arial" w:cs="Arial"/>
          <w:color w:val="000000"/>
          <w:sz w:val="20"/>
          <w:szCs w:val="20"/>
        </w:rPr>
        <w:t>The reduction under E</w:t>
      </w:r>
      <w:r>
        <w:rPr>
          <w:rFonts w:ascii="Arial" w:hAnsi="Arial" w:cs="Arial"/>
          <w:color w:val="000000"/>
          <w:sz w:val="20"/>
          <w:szCs w:val="20"/>
        </w:rPr>
        <w:t xml:space="preserve">xpected </w:t>
      </w:r>
      <w:r w:rsidRPr="00FB68E0">
        <w:rPr>
          <w:rFonts w:ascii="Arial" w:eastAsia="Times New Roman" w:hAnsi="Arial" w:cs="Arial"/>
          <w:color w:val="000000"/>
          <w:sz w:val="20"/>
          <w:szCs w:val="20"/>
        </w:rPr>
        <w:t>R</w:t>
      </w:r>
      <w:r>
        <w:rPr>
          <w:rFonts w:ascii="Arial" w:hAnsi="Arial" w:cs="Arial"/>
          <w:color w:val="000000"/>
          <w:sz w:val="20"/>
          <w:szCs w:val="20"/>
        </w:rPr>
        <w:t>esult</w:t>
      </w:r>
      <w:r w:rsidRPr="00FB68E0">
        <w:rPr>
          <w:rFonts w:ascii="Arial" w:eastAsia="Times New Roman" w:hAnsi="Arial" w:cs="Arial"/>
          <w:color w:val="000000"/>
          <w:sz w:val="20"/>
          <w:szCs w:val="20"/>
        </w:rPr>
        <w:t xml:space="preserve"> VIII.5 is due to an overall decrease in the allocation of personnel resources </w:t>
      </w:r>
      <w:r>
        <w:rPr>
          <w:rFonts w:ascii="Arial" w:hAnsi="Arial" w:cs="Arial"/>
          <w:color w:val="000000"/>
          <w:sz w:val="20"/>
          <w:szCs w:val="20"/>
        </w:rPr>
        <w:t xml:space="preserve">to this result due to </w:t>
      </w:r>
      <w:r w:rsidRPr="00FB68E0">
        <w:rPr>
          <w:rFonts w:ascii="Arial" w:eastAsia="Times New Roman" w:hAnsi="Arial" w:cs="Arial"/>
          <w:color w:val="000000"/>
          <w:sz w:val="20"/>
          <w:szCs w:val="20"/>
        </w:rPr>
        <w:t xml:space="preserve">the transfer of UN Joint Services related </w:t>
      </w:r>
      <w:r>
        <w:rPr>
          <w:rFonts w:ascii="Arial" w:hAnsi="Arial" w:cs="Arial"/>
          <w:color w:val="000000"/>
          <w:sz w:val="20"/>
          <w:szCs w:val="20"/>
        </w:rPr>
        <w:t>responsibilities</w:t>
      </w:r>
      <w:r w:rsidRPr="00FB68E0">
        <w:rPr>
          <w:rFonts w:ascii="Arial" w:eastAsia="Times New Roman" w:hAnsi="Arial" w:cs="Arial"/>
          <w:color w:val="000000"/>
          <w:sz w:val="20"/>
          <w:szCs w:val="20"/>
        </w:rPr>
        <w:t xml:space="preserve"> to Program 22.  The net increase under </w:t>
      </w:r>
      <w:r w:rsidRPr="00A87225">
        <w:rPr>
          <w:rFonts w:ascii="Arial" w:hAnsi="Arial" w:cs="Arial"/>
          <w:color w:val="000000"/>
          <w:sz w:val="20"/>
          <w:szCs w:val="20"/>
        </w:rPr>
        <w:t>E</w:t>
      </w:r>
      <w:r w:rsidRPr="00FB68E0">
        <w:rPr>
          <w:rFonts w:ascii="Arial" w:eastAsia="Times New Roman" w:hAnsi="Arial" w:cs="Arial"/>
          <w:color w:val="000000"/>
          <w:sz w:val="20"/>
          <w:szCs w:val="20"/>
        </w:rPr>
        <w:t xml:space="preserve">xpected </w:t>
      </w:r>
      <w:r w:rsidRPr="00A87225">
        <w:rPr>
          <w:rFonts w:ascii="Arial" w:hAnsi="Arial" w:cs="Arial"/>
          <w:color w:val="000000"/>
          <w:sz w:val="20"/>
          <w:szCs w:val="20"/>
        </w:rPr>
        <w:t>R</w:t>
      </w:r>
      <w:r w:rsidRPr="00FB68E0">
        <w:rPr>
          <w:rFonts w:ascii="Arial" w:eastAsia="Times New Roman" w:hAnsi="Arial" w:cs="Arial"/>
          <w:color w:val="000000"/>
          <w:sz w:val="20"/>
          <w:szCs w:val="20"/>
        </w:rPr>
        <w:t xml:space="preserve">esult IX.1 is mainly due to </w:t>
      </w:r>
      <w:r w:rsidRPr="00A87225">
        <w:rPr>
          <w:rFonts w:ascii="Arial" w:hAnsi="Arial" w:cs="Arial"/>
          <w:color w:val="000000"/>
          <w:sz w:val="20"/>
          <w:szCs w:val="20"/>
        </w:rPr>
        <w:t xml:space="preserve">an </w:t>
      </w:r>
      <w:r w:rsidRPr="00FB68E0">
        <w:rPr>
          <w:rFonts w:ascii="Arial" w:eastAsia="Times New Roman" w:hAnsi="Arial" w:cs="Arial"/>
          <w:color w:val="000000"/>
          <w:sz w:val="20"/>
          <w:szCs w:val="20"/>
        </w:rPr>
        <w:t xml:space="preserve">increase in personnel </w:t>
      </w:r>
      <w:r>
        <w:rPr>
          <w:rFonts w:ascii="Arial" w:hAnsi="Arial" w:cs="Arial"/>
          <w:color w:val="000000"/>
          <w:sz w:val="20"/>
          <w:szCs w:val="20"/>
        </w:rPr>
        <w:t xml:space="preserve">resources in support of the WIPO Appeals Board, a new responsibility of the Program.  </w:t>
      </w:r>
      <w:r w:rsidRPr="00FB68E0">
        <w:rPr>
          <w:rFonts w:ascii="Arial" w:eastAsia="Times New Roman" w:hAnsi="Arial" w:cs="Arial"/>
          <w:color w:val="000000"/>
          <w:sz w:val="20"/>
          <w:szCs w:val="20"/>
        </w:rPr>
        <w:t xml:space="preserve">The reduction under ER IX.4 </w:t>
      </w:r>
      <w:r>
        <w:rPr>
          <w:rFonts w:ascii="Arial" w:hAnsi="Arial" w:cs="Arial"/>
          <w:color w:val="000000"/>
          <w:sz w:val="20"/>
          <w:szCs w:val="20"/>
        </w:rPr>
        <w:t xml:space="preserve">reflects the completion of the UN H-MOSS security measures project in the biennium 2014/15 and the resulting decrease in personnel resources. </w:t>
      </w:r>
    </w:p>
    <w:p w14:paraId="56DFF55A" w14:textId="77777777" w:rsidR="007536CC" w:rsidRDefault="007536CC" w:rsidP="007536CC">
      <w:pPr>
        <w:tabs>
          <w:tab w:val="left" w:pos="709"/>
        </w:tabs>
        <w:jc w:val="both"/>
        <w:rPr>
          <w:rFonts w:ascii="Arial" w:eastAsia="Times New Roman" w:hAnsi="Arial" w:cs="Arial"/>
          <w:color w:val="000000"/>
          <w:sz w:val="20"/>
          <w:szCs w:val="20"/>
        </w:rPr>
      </w:pPr>
    </w:p>
    <w:p w14:paraId="3BE854D9" w14:textId="77777777" w:rsidR="007536CC" w:rsidRPr="00FB68E0" w:rsidRDefault="007536CC" w:rsidP="007536CC">
      <w:pPr>
        <w:tabs>
          <w:tab w:val="left" w:pos="709"/>
        </w:tabs>
        <w:jc w:val="both"/>
        <w:rPr>
          <w:rFonts w:ascii="Arial" w:eastAsia="Times New Roman" w:hAnsi="Arial" w:cs="Arial"/>
          <w:color w:val="000000"/>
          <w:sz w:val="20"/>
          <w:szCs w:val="20"/>
        </w:rPr>
      </w:pPr>
    </w:p>
    <w:p w14:paraId="5939B7D8" w14:textId="77777777" w:rsidR="007A45E0" w:rsidRPr="00CD55FE" w:rsidRDefault="007A45E0" w:rsidP="007A45E0">
      <w:pPr>
        <w:keepNext/>
        <w:keepLines/>
        <w:tabs>
          <w:tab w:val="left" w:pos="1427"/>
        </w:tabs>
        <w:jc w:val="center"/>
        <w:rPr>
          <w:rFonts w:ascii="Arial" w:hAnsi="Arial" w:cs="Arial"/>
          <w:sz w:val="20"/>
          <w:szCs w:val="20"/>
        </w:rPr>
      </w:pPr>
      <w:r>
        <w:rPr>
          <w:rFonts w:ascii="Arial" w:hAnsi="Arial" w:cs="Arial"/>
          <w:b/>
          <w:sz w:val="20"/>
          <w:szCs w:val="24"/>
        </w:rPr>
        <w:lastRenderedPageBreak/>
        <w:t>Program 24</w:t>
      </w:r>
      <w:r w:rsidRPr="00CD55FE">
        <w:rPr>
          <w:rFonts w:ascii="Arial" w:hAnsi="Arial" w:cs="Arial"/>
          <w:b/>
          <w:sz w:val="20"/>
          <w:szCs w:val="24"/>
        </w:rPr>
        <w:t xml:space="preserve">:  Resources by </w:t>
      </w:r>
      <w:r>
        <w:rPr>
          <w:rFonts w:ascii="Arial" w:hAnsi="Arial" w:cs="Arial"/>
          <w:b/>
          <w:sz w:val="20"/>
          <w:szCs w:val="24"/>
        </w:rPr>
        <w:t>Result</w:t>
      </w:r>
    </w:p>
    <w:p w14:paraId="164ECFEF" w14:textId="77777777" w:rsidR="007A45E0" w:rsidRPr="00CD55FE" w:rsidRDefault="007A45E0" w:rsidP="007A45E0">
      <w:pPr>
        <w:keepNext/>
        <w:keepLines/>
        <w:tabs>
          <w:tab w:val="left" w:pos="1427"/>
        </w:tabs>
        <w:jc w:val="center"/>
        <w:rPr>
          <w:rFonts w:ascii="Arial" w:hAnsi="Arial" w:cs="Arial"/>
          <w:i/>
          <w:sz w:val="20"/>
          <w:szCs w:val="24"/>
        </w:rPr>
      </w:pPr>
      <w:r w:rsidRPr="00CD55FE">
        <w:rPr>
          <w:rFonts w:ascii="Arial" w:hAnsi="Arial" w:cs="Arial"/>
          <w:i/>
          <w:sz w:val="20"/>
          <w:szCs w:val="24"/>
        </w:rPr>
        <w:t>(In thousands of Swiss francs)</w:t>
      </w:r>
    </w:p>
    <w:p w14:paraId="5403AB22" w14:textId="77777777" w:rsidR="007A45E0" w:rsidRPr="00021D3F" w:rsidRDefault="007A45E0" w:rsidP="007A45E0">
      <w:pPr>
        <w:pStyle w:val="ListParagraph"/>
        <w:keepNext/>
        <w:keepLines/>
        <w:tabs>
          <w:tab w:val="left" w:pos="709"/>
        </w:tabs>
        <w:ind w:left="0"/>
        <w:jc w:val="both"/>
        <w:rPr>
          <w:rFonts w:ascii="Arial" w:hAnsi="Arial" w:cs="Arial"/>
          <w:sz w:val="20"/>
        </w:rPr>
      </w:pPr>
    </w:p>
    <w:p w14:paraId="5E1ADA26" w14:textId="6470548F" w:rsidR="007A45E0" w:rsidRDefault="007A45E0" w:rsidP="00433347">
      <w:pPr>
        <w:pStyle w:val="ListParagraph"/>
        <w:keepNext/>
        <w:keepLines/>
        <w:tabs>
          <w:tab w:val="left" w:pos="709"/>
        </w:tabs>
        <w:ind w:left="0"/>
        <w:jc w:val="center"/>
        <w:rPr>
          <w:rFonts w:ascii="Arial" w:hAnsi="Arial" w:cs="Arial"/>
          <w:sz w:val="20"/>
        </w:rPr>
      </w:pPr>
      <w:r w:rsidRPr="00CD55FE">
        <w:rPr>
          <w:noProof/>
          <w:lang w:eastAsia="en-US"/>
        </w:rPr>
        <w:drawing>
          <wp:inline distT="0" distB="0" distL="0" distR="0" wp14:anchorId="1A5B32EB" wp14:editId="514C5F27">
            <wp:extent cx="5077113" cy="2044704"/>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93130" cy="2051154"/>
                    </a:xfrm>
                    <a:prstGeom prst="rect">
                      <a:avLst/>
                    </a:prstGeom>
                    <a:noFill/>
                    <a:ln>
                      <a:noFill/>
                    </a:ln>
                  </pic:spPr>
                </pic:pic>
              </a:graphicData>
            </a:graphic>
          </wp:inline>
        </w:drawing>
      </w:r>
    </w:p>
    <w:p w14:paraId="472FCF67" w14:textId="77777777" w:rsidR="007A45E0" w:rsidRDefault="007A45E0" w:rsidP="007536CC">
      <w:pPr>
        <w:widowControl w:val="0"/>
        <w:tabs>
          <w:tab w:val="left" w:pos="1427"/>
        </w:tabs>
        <w:jc w:val="center"/>
        <w:rPr>
          <w:rFonts w:ascii="Arial" w:hAnsi="Arial" w:cs="Arial"/>
          <w:b/>
          <w:sz w:val="20"/>
          <w:szCs w:val="24"/>
        </w:rPr>
      </w:pPr>
    </w:p>
    <w:p w14:paraId="479E4C83" w14:textId="77777777" w:rsidR="007A45E0" w:rsidRPr="00CD55FE" w:rsidRDefault="007A45E0" w:rsidP="00E641D8">
      <w:pPr>
        <w:keepNext/>
        <w:keepLines/>
        <w:tabs>
          <w:tab w:val="left" w:pos="1427"/>
        </w:tabs>
        <w:jc w:val="center"/>
        <w:rPr>
          <w:rFonts w:ascii="Arial" w:hAnsi="Arial" w:cs="Arial"/>
          <w:sz w:val="20"/>
          <w:szCs w:val="20"/>
        </w:rPr>
      </w:pPr>
      <w:r>
        <w:rPr>
          <w:rFonts w:ascii="Arial" w:hAnsi="Arial" w:cs="Arial"/>
          <w:b/>
          <w:sz w:val="20"/>
          <w:szCs w:val="24"/>
        </w:rPr>
        <w:t>Program 24</w:t>
      </w:r>
      <w:r w:rsidRPr="00CD55FE">
        <w:rPr>
          <w:rFonts w:ascii="Arial" w:hAnsi="Arial" w:cs="Arial"/>
          <w:b/>
          <w:sz w:val="20"/>
          <w:szCs w:val="24"/>
        </w:rPr>
        <w:t>:  Resources by Object of Expenditure</w:t>
      </w:r>
    </w:p>
    <w:p w14:paraId="1EEA17E1" w14:textId="77777777" w:rsidR="007A45E0" w:rsidRPr="00CD55FE" w:rsidRDefault="007A45E0" w:rsidP="00E641D8">
      <w:pPr>
        <w:keepNext/>
        <w:keepLines/>
        <w:tabs>
          <w:tab w:val="left" w:pos="1427"/>
        </w:tabs>
        <w:jc w:val="center"/>
        <w:rPr>
          <w:rFonts w:ascii="Arial" w:hAnsi="Arial" w:cs="Arial"/>
          <w:i/>
          <w:sz w:val="20"/>
          <w:szCs w:val="24"/>
        </w:rPr>
      </w:pPr>
      <w:r w:rsidRPr="00CD55FE">
        <w:rPr>
          <w:rFonts w:ascii="Arial" w:hAnsi="Arial" w:cs="Arial"/>
          <w:i/>
          <w:sz w:val="20"/>
          <w:szCs w:val="24"/>
        </w:rPr>
        <w:t>(In thousands of Swiss francs)</w:t>
      </w:r>
    </w:p>
    <w:p w14:paraId="25A5A396" w14:textId="77777777" w:rsidR="007A45E0" w:rsidRDefault="007A45E0" w:rsidP="00E641D8">
      <w:pPr>
        <w:pStyle w:val="ListParagraph"/>
        <w:keepNext/>
        <w:keepLines/>
        <w:tabs>
          <w:tab w:val="left" w:pos="709"/>
        </w:tabs>
        <w:ind w:left="0"/>
        <w:jc w:val="both"/>
        <w:rPr>
          <w:rFonts w:ascii="Arial" w:hAnsi="Arial" w:cs="Arial"/>
          <w:sz w:val="20"/>
        </w:rPr>
      </w:pPr>
    </w:p>
    <w:p w14:paraId="5E8181F7" w14:textId="77777777" w:rsidR="007A45E0" w:rsidRDefault="007A45E0" w:rsidP="007A45E0">
      <w:pPr>
        <w:pStyle w:val="ListParagraph"/>
        <w:tabs>
          <w:tab w:val="left" w:pos="709"/>
        </w:tabs>
        <w:ind w:left="0"/>
        <w:jc w:val="center"/>
        <w:rPr>
          <w:rFonts w:ascii="Arial" w:hAnsi="Arial" w:cs="Arial"/>
          <w:sz w:val="20"/>
        </w:rPr>
      </w:pPr>
      <w:r w:rsidRPr="00112F59">
        <w:rPr>
          <w:noProof/>
          <w:lang w:eastAsia="en-US"/>
        </w:rPr>
        <w:drawing>
          <wp:inline distT="0" distB="0" distL="0" distR="0" wp14:anchorId="6C769342" wp14:editId="071E6292">
            <wp:extent cx="5090720" cy="57357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98000" cy="5743984"/>
                    </a:xfrm>
                    <a:prstGeom prst="rect">
                      <a:avLst/>
                    </a:prstGeom>
                    <a:noFill/>
                    <a:ln>
                      <a:noFill/>
                    </a:ln>
                  </pic:spPr>
                </pic:pic>
              </a:graphicData>
            </a:graphic>
          </wp:inline>
        </w:drawing>
      </w:r>
    </w:p>
    <w:p w14:paraId="0214618F" w14:textId="5FB4DA43" w:rsidR="003013AB" w:rsidRDefault="003013AB">
      <w:pPr>
        <w:rPr>
          <w:rFonts w:ascii="Arial" w:hAnsi="Arial" w:cs="Arial"/>
          <w:bCs/>
          <w:sz w:val="20"/>
        </w:rPr>
      </w:pPr>
      <w:r>
        <w:rPr>
          <w:rFonts w:ascii="Arial" w:hAnsi="Arial" w:cs="Arial"/>
          <w:bCs/>
          <w:sz w:val="20"/>
        </w:rPr>
        <w:br w:type="page"/>
      </w:r>
    </w:p>
    <w:p w14:paraId="18795708" w14:textId="77777777" w:rsidR="003013AB" w:rsidRPr="005315E9" w:rsidRDefault="003013AB" w:rsidP="008D3EC2">
      <w:pPr>
        <w:pStyle w:val="StyleStyleHeading3ComplexItalicLatin12pt"/>
        <w:rPr>
          <w:b w:val="0"/>
        </w:rPr>
      </w:pPr>
      <w:bookmarkStart w:id="74" w:name="_Toc431221440"/>
      <w:r w:rsidRPr="009F05A9">
        <w:lastRenderedPageBreak/>
        <w:t>PROGRAM 25</w:t>
      </w:r>
      <w:r w:rsidRPr="009F05A9">
        <w:tab/>
        <w:t>INFORMATION AND COMMUNICATION TECHNOLOGY</w:t>
      </w:r>
      <w:bookmarkEnd w:id="74"/>
      <w:r>
        <w:t xml:space="preserve"> </w:t>
      </w:r>
    </w:p>
    <w:p w14:paraId="020C8788" w14:textId="77777777" w:rsidR="003013AB" w:rsidRDefault="003013AB" w:rsidP="008D3EC2">
      <w:pPr>
        <w:autoSpaceDE w:val="0"/>
        <w:autoSpaceDN w:val="0"/>
        <w:adjustRightInd w:val="0"/>
        <w:rPr>
          <w:rFonts w:ascii="Arial" w:hAnsi="Arial" w:cs="Arial"/>
          <w:b/>
          <w:bCs/>
        </w:rPr>
      </w:pPr>
    </w:p>
    <w:p w14:paraId="35B813AB" w14:textId="77777777" w:rsidR="003013AB" w:rsidRDefault="003013AB" w:rsidP="008D3EC2">
      <w:pPr>
        <w:autoSpaceDE w:val="0"/>
        <w:autoSpaceDN w:val="0"/>
        <w:adjustRightInd w:val="0"/>
        <w:rPr>
          <w:rFonts w:ascii="Arial" w:hAnsi="Arial" w:cs="Arial"/>
          <w:b/>
          <w:bCs/>
        </w:rPr>
      </w:pPr>
    </w:p>
    <w:p w14:paraId="71D767DA" w14:textId="77777777" w:rsidR="003013AB" w:rsidRDefault="003013AB" w:rsidP="008D3EC2">
      <w:pPr>
        <w:autoSpaceDE w:val="0"/>
        <w:autoSpaceDN w:val="0"/>
        <w:adjustRightInd w:val="0"/>
        <w:rPr>
          <w:rFonts w:ascii="Arial" w:hAnsi="Arial" w:cs="Arial"/>
        </w:rPr>
      </w:pPr>
      <w:r>
        <w:rPr>
          <w:rFonts w:ascii="Arial" w:hAnsi="Arial" w:cs="Arial"/>
        </w:rPr>
        <w:t>PLANNING CONTEXT</w:t>
      </w:r>
    </w:p>
    <w:p w14:paraId="6FB81A24" w14:textId="77777777" w:rsidR="003013AB" w:rsidRDefault="003013AB" w:rsidP="008D3EC2">
      <w:pPr>
        <w:autoSpaceDE w:val="0"/>
        <w:autoSpaceDN w:val="0"/>
        <w:adjustRightInd w:val="0"/>
        <w:rPr>
          <w:rFonts w:ascii="Arial" w:hAnsi="Arial" w:cs="Arial"/>
          <w:sz w:val="20"/>
          <w:szCs w:val="20"/>
        </w:rPr>
      </w:pPr>
    </w:p>
    <w:p w14:paraId="04CFD257" w14:textId="77777777" w:rsidR="003013AB" w:rsidRPr="009F05A9"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sidRPr="009F05A9">
        <w:rPr>
          <w:rFonts w:ascii="Arial" w:hAnsi="Arial" w:cs="Arial"/>
          <w:sz w:val="20"/>
          <w:szCs w:val="20"/>
        </w:rPr>
        <w:t xml:space="preserve">Information and Communications Technology (ICT) continues to play two vital roles at WIPO.  Externally, it has become the critical channel for delivering WIPO’s services to its clients all over the world. </w:t>
      </w:r>
      <w:r>
        <w:rPr>
          <w:rFonts w:ascii="Arial" w:hAnsi="Arial" w:cs="Arial"/>
          <w:sz w:val="20"/>
          <w:szCs w:val="20"/>
        </w:rPr>
        <w:t xml:space="preserve"> </w:t>
      </w:r>
      <w:r w:rsidRPr="009F05A9">
        <w:rPr>
          <w:rFonts w:ascii="Arial" w:hAnsi="Arial" w:cs="Arial"/>
          <w:sz w:val="20"/>
          <w:szCs w:val="20"/>
        </w:rPr>
        <w:t>These include registration services, the global IP infrastructure services, access to IP information and analysis, access to platforms in relation to addressing IP in the context of global policy issues, communications to Member States and stakeholders through webcasting of WIPO meetings, etc.</w:t>
      </w:r>
      <w:r>
        <w:rPr>
          <w:rFonts w:ascii="Arial" w:hAnsi="Arial" w:cs="Arial"/>
          <w:sz w:val="20"/>
          <w:szCs w:val="20"/>
        </w:rPr>
        <w:t xml:space="preserve">  </w:t>
      </w:r>
      <w:r w:rsidRPr="009F05A9">
        <w:rPr>
          <w:rFonts w:ascii="Arial" w:hAnsi="Arial" w:cs="Arial"/>
          <w:sz w:val="20"/>
          <w:szCs w:val="20"/>
        </w:rPr>
        <w:t xml:space="preserve">Internally, ICT enables WIPO to sustain its daily operations through the provision of services such as telecommunications, email and the processing of a wide range of administrative transactions. </w:t>
      </w:r>
      <w:r>
        <w:rPr>
          <w:rFonts w:ascii="Arial" w:hAnsi="Arial" w:cs="Arial"/>
          <w:sz w:val="20"/>
          <w:szCs w:val="20"/>
        </w:rPr>
        <w:t xml:space="preserve"> </w:t>
      </w:r>
      <w:r w:rsidRPr="009F05A9">
        <w:rPr>
          <w:rFonts w:ascii="Arial" w:hAnsi="Arial" w:cs="Arial"/>
          <w:sz w:val="20"/>
          <w:szCs w:val="20"/>
        </w:rPr>
        <w:t>Thus all nine Strategic Goals of WIPO are highly dependent on reliable and effective ICT infrastructure and services for Program delivery.</w:t>
      </w:r>
    </w:p>
    <w:p w14:paraId="33C4FF71" w14:textId="77777777" w:rsidR="003013AB" w:rsidRDefault="003013AB" w:rsidP="008D3EC2">
      <w:pPr>
        <w:autoSpaceDE w:val="0"/>
        <w:autoSpaceDN w:val="0"/>
        <w:adjustRightInd w:val="0"/>
        <w:rPr>
          <w:rFonts w:ascii="Arial" w:hAnsi="Arial" w:cs="Arial"/>
          <w:sz w:val="20"/>
          <w:szCs w:val="20"/>
        </w:rPr>
      </w:pPr>
    </w:p>
    <w:p w14:paraId="27884F7E" w14:textId="224B82C9" w:rsidR="003013AB"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 xml:space="preserve">WIPO’s ability to remain responsive to its strategic and operational ICT needs will depend on its ability to continuously improve the performance, scope and resilience of its ICT systems.  This will require substantial investments, strategic sourcing and partnerships, and a balance between innovation and maintaining stability.  </w:t>
      </w:r>
      <w:r w:rsidRPr="009F05A9">
        <w:rPr>
          <w:rFonts w:ascii="Arial" w:hAnsi="Arial" w:cs="Arial"/>
          <w:sz w:val="20"/>
          <w:szCs w:val="20"/>
        </w:rPr>
        <w:t>The Program is faced with a significant challenge of containing costs while re</w:t>
      </w:r>
      <w:r>
        <w:rPr>
          <w:rFonts w:ascii="Arial" w:hAnsi="Arial" w:cs="Arial"/>
          <w:sz w:val="20"/>
          <w:szCs w:val="20"/>
        </w:rPr>
        <w:t>maining responsive to rapidly increasing demands, as well as to manage risks, which are inherent in making major ICT infrastructure improvements.</w:t>
      </w:r>
    </w:p>
    <w:p w14:paraId="335E6C84" w14:textId="77777777" w:rsidR="003013AB" w:rsidRDefault="003013AB" w:rsidP="008D3EC2">
      <w:pPr>
        <w:autoSpaceDE w:val="0"/>
        <w:autoSpaceDN w:val="0"/>
        <w:adjustRightInd w:val="0"/>
        <w:rPr>
          <w:rFonts w:ascii="Arial" w:hAnsi="Arial" w:cs="Arial"/>
        </w:rPr>
      </w:pPr>
    </w:p>
    <w:p w14:paraId="4875D254" w14:textId="77777777" w:rsidR="003013AB" w:rsidRDefault="003013AB" w:rsidP="008D3EC2">
      <w:pPr>
        <w:autoSpaceDE w:val="0"/>
        <w:autoSpaceDN w:val="0"/>
        <w:adjustRightInd w:val="0"/>
        <w:rPr>
          <w:rFonts w:ascii="Arial" w:hAnsi="Arial" w:cs="Arial"/>
        </w:rPr>
      </w:pPr>
    </w:p>
    <w:p w14:paraId="6B12BA34" w14:textId="77777777" w:rsidR="003013AB" w:rsidRDefault="003013AB" w:rsidP="008D3EC2">
      <w:pPr>
        <w:autoSpaceDE w:val="0"/>
        <w:autoSpaceDN w:val="0"/>
        <w:adjustRightInd w:val="0"/>
        <w:rPr>
          <w:rFonts w:ascii="Arial" w:hAnsi="Arial" w:cs="Arial"/>
        </w:rPr>
      </w:pPr>
      <w:r>
        <w:rPr>
          <w:rFonts w:ascii="Arial" w:hAnsi="Arial" w:cs="Arial"/>
        </w:rPr>
        <w:t>IMPLEMENTATION STRATEGIES</w:t>
      </w:r>
    </w:p>
    <w:p w14:paraId="487E46FD" w14:textId="77777777" w:rsidR="003013AB" w:rsidRDefault="003013AB" w:rsidP="008D3EC2">
      <w:pPr>
        <w:autoSpaceDE w:val="0"/>
        <w:autoSpaceDN w:val="0"/>
        <w:adjustRightInd w:val="0"/>
        <w:rPr>
          <w:rFonts w:ascii="Arial" w:hAnsi="Arial" w:cs="Arial"/>
          <w:sz w:val="20"/>
          <w:szCs w:val="20"/>
        </w:rPr>
      </w:pPr>
    </w:p>
    <w:p w14:paraId="2F76398B" w14:textId="77777777" w:rsidR="003013AB" w:rsidRPr="005315E9"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The Enterprise Architecture discipline that has been established will be further embedded to ensure that WIPO’s ICT systems and landscape are better aligned with its business needs, that standardization and coherence of the ICT architecture are further advanced, that re-architecting efforts are well coordinated, that solutions, technology and product decisions are taken in accordance with the target enterprise architecture and that enterprise data, user access and information are managed in an integral and coherent manner.</w:t>
      </w:r>
    </w:p>
    <w:p w14:paraId="658A56F8" w14:textId="77777777" w:rsidR="003013AB" w:rsidRDefault="003013AB" w:rsidP="008D3EC2">
      <w:pPr>
        <w:tabs>
          <w:tab w:val="left" w:pos="709"/>
        </w:tabs>
        <w:autoSpaceDE w:val="0"/>
        <w:autoSpaceDN w:val="0"/>
        <w:adjustRightInd w:val="0"/>
        <w:rPr>
          <w:rFonts w:ascii="Arial" w:hAnsi="Arial" w:cs="Arial"/>
          <w:strike/>
          <w:sz w:val="20"/>
          <w:szCs w:val="20"/>
        </w:rPr>
      </w:pPr>
    </w:p>
    <w:p w14:paraId="07376142" w14:textId="76A2C5DA" w:rsidR="003013AB"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trike/>
          <w:sz w:val="20"/>
          <w:szCs w:val="20"/>
        </w:rPr>
      </w:pPr>
      <w:r>
        <w:rPr>
          <w:rFonts w:ascii="Arial" w:hAnsi="Arial" w:cs="Arial"/>
          <w:sz w:val="20"/>
          <w:szCs w:val="20"/>
        </w:rPr>
        <w:t>Implementation in the new biennium will largely build on the earlier ICT investments and achievements, such as expanding ICT resilience to cyber threats and large scale disasters</w:t>
      </w:r>
      <w:r w:rsidR="007379DC" w:rsidRPr="007379DC">
        <w:rPr>
          <w:rFonts w:ascii="Arial" w:hAnsi="Arial" w:cs="Arial"/>
          <w:sz w:val="20"/>
        </w:rPr>
        <w:t xml:space="preserve"> </w:t>
      </w:r>
      <w:r w:rsidR="007379DC">
        <w:rPr>
          <w:rFonts w:ascii="Arial" w:hAnsi="Arial" w:cs="Arial"/>
          <w:sz w:val="20"/>
        </w:rPr>
        <w:t xml:space="preserve">as well as supporting the </w:t>
      </w:r>
      <w:r w:rsidR="007379DC" w:rsidRPr="00785BEE">
        <w:rPr>
          <w:rFonts w:ascii="Arial" w:hAnsi="Arial" w:cs="Arial"/>
          <w:sz w:val="20"/>
        </w:rPr>
        <w:t>seamless integration of External Offices</w:t>
      </w:r>
      <w:r w:rsidR="007379DC">
        <w:rPr>
          <w:rFonts w:ascii="Arial" w:hAnsi="Arial" w:cs="Arial"/>
          <w:sz w:val="20"/>
        </w:rPr>
        <w:t xml:space="preserve"> through the roll-out of a standard Global Office system and architecture</w:t>
      </w:r>
      <w:r>
        <w:rPr>
          <w:rFonts w:ascii="Arial" w:hAnsi="Arial" w:cs="Arial"/>
          <w:sz w:val="20"/>
          <w:szCs w:val="20"/>
        </w:rPr>
        <w:t xml:space="preserve">.  Technology enhancements that have been implemented through projects will be operationalized.  Strategic sourcing and building of partnerships are expected to achieve higher cost-effectiveness and geographical responsiveness. </w:t>
      </w:r>
    </w:p>
    <w:p w14:paraId="729AC96F" w14:textId="77777777" w:rsidR="003013AB" w:rsidRDefault="003013AB" w:rsidP="008D3EC2">
      <w:pPr>
        <w:tabs>
          <w:tab w:val="left" w:pos="709"/>
        </w:tabs>
        <w:autoSpaceDE w:val="0"/>
        <w:autoSpaceDN w:val="0"/>
        <w:adjustRightInd w:val="0"/>
        <w:rPr>
          <w:rFonts w:ascii="Arial" w:hAnsi="Arial" w:cs="Arial"/>
          <w:strike/>
          <w:sz w:val="20"/>
          <w:szCs w:val="20"/>
        </w:rPr>
      </w:pPr>
    </w:p>
    <w:p w14:paraId="372EAAD3" w14:textId="6838C2E0" w:rsidR="003013AB"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In collaboration with the relevant specialized Programs and Information Assurance, this Program will ensure that ICT systems with highly sensitive information are less vulnerable to external threats.</w:t>
      </w:r>
      <w:r w:rsidR="00964EB8">
        <w:rPr>
          <w:rFonts w:ascii="Arial" w:hAnsi="Arial" w:cs="Arial"/>
          <w:sz w:val="20"/>
          <w:szCs w:val="20"/>
        </w:rPr>
        <w:t xml:space="preserve"> </w:t>
      </w:r>
      <w:r>
        <w:rPr>
          <w:rFonts w:ascii="Arial" w:hAnsi="Arial" w:cs="Arial"/>
          <w:sz w:val="20"/>
          <w:szCs w:val="20"/>
        </w:rPr>
        <w:t xml:space="preserve">The Program will further ensure that WIPO seeks to establish more cost-effective </w:t>
      </w:r>
      <w:r w:rsidR="00053C3E">
        <w:rPr>
          <w:rFonts w:ascii="Arial" w:hAnsi="Arial" w:cs="Arial"/>
          <w:sz w:val="20"/>
          <w:szCs w:val="20"/>
        </w:rPr>
        <w:t xml:space="preserve">and resilient </w:t>
      </w:r>
      <w:r>
        <w:rPr>
          <w:rFonts w:ascii="Arial" w:hAnsi="Arial" w:cs="Arial"/>
          <w:sz w:val="20"/>
          <w:szCs w:val="20"/>
        </w:rPr>
        <w:t>hosting solutions for ICT systems without confidentiality concerns</w:t>
      </w:r>
    </w:p>
    <w:p w14:paraId="145C321A" w14:textId="77777777" w:rsidR="003013AB" w:rsidRDefault="003013AB" w:rsidP="008D3EC2">
      <w:pPr>
        <w:autoSpaceDE w:val="0"/>
        <w:autoSpaceDN w:val="0"/>
        <w:adjustRightInd w:val="0"/>
        <w:rPr>
          <w:rFonts w:ascii="Arial" w:hAnsi="Arial" w:cs="Arial"/>
          <w:sz w:val="20"/>
          <w:szCs w:val="20"/>
        </w:rPr>
      </w:pPr>
    </w:p>
    <w:p w14:paraId="2FFAD3EE" w14:textId="66BD9F32" w:rsidR="003013AB"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 xml:space="preserve">The implementation of Enterprise Content Management technology to improve management of documents, collaboration and sharing and retrieval of information will make progress through the next biennium.  This is expected to improve the Organizational wide knowledge </w:t>
      </w:r>
      <w:r w:rsidR="00053C3E">
        <w:rPr>
          <w:rFonts w:ascii="Arial" w:hAnsi="Arial" w:cs="Arial"/>
          <w:sz w:val="20"/>
          <w:szCs w:val="20"/>
        </w:rPr>
        <w:t xml:space="preserve">sharing </w:t>
      </w:r>
      <w:r>
        <w:rPr>
          <w:rFonts w:ascii="Arial" w:hAnsi="Arial" w:cs="Arial"/>
          <w:sz w:val="20"/>
          <w:szCs w:val="20"/>
        </w:rPr>
        <w:t>and information management.</w:t>
      </w:r>
    </w:p>
    <w:p w14:paraId="44A12C0D" w14:textId="77777777" w:rsidR="003013AB" w:rsidRDefault="003013AB" w:rsidP="008D3EC2">
      <w:pPr>
        <w:autoSpaceDE w:val="0"/>
        <w:autoSpaceDN w:val="0"/>
        <w:adjustRightInd w:val="0"/>
        <w:rPr>
          <w:rFonts w:ascii="Arial" w:hAnsi="Arial" w:cs="Arial"/>
          <w:sz w:val="20"/>
          <w:szCs w:val="20"/>
        </w:rPr>
      </w:pPr>
    </w:p>
    <w:p w14:paraId="7623B959" w14:textId="77777777" w:rsidR="003013AB" w:rsidRDefault="003013AB" w:rsidP="008D3EC2">
      <w:pPr>
        <w:autoSpaceDE w:val="0"/>
        <w:autoSpaceDN w:val="0"/>
        <w:adjustRightInd w:val="0"/>
        <w:rPr>
          <w:rFonts w:ascii="Arial" w:hAnsi="Arial" w:cs="Arial"/>
          <w:sz w:val="20"/>
          <w:szCs w:val="20"/>
        </w:rPr>
      </w:pPr>
    </w:p>
    <w:p w14:paraId="538A883D" w14:textId="77777777" w:rsidR="003013AB" w:rsidRDefault="003013AB" w:rsidP="003013AB">
      <w:pPr>
        <w:keepNext/>
        <w:keepLines/>
        <w:autoSpaceDE w:val="0"/>
        <w:autoSpaceDN w:val="0"/>
        <w:adjustRightInd w:val="0"/>
        <w:rPr>
          <w:rFonts w:ascii="Arial" w:hAnsi="Arial" w:cs="Arial"/>
        </w:rPr>
      </w:pPr>
      <w:r w:rsidRPr="00B5261E">
        <w:rPr>
          <w:rFonts w:ascii="Arial" w:hAnsi="Arial" w:cs="Arial"/>
        </w:rPr>
        <w:t>MAJOR RISKS AND MIGRATION STRATGIES</w:t>
      </w:r>
    </w:p>
    <w:p w14:paraId="04995E36" w14:textId="77777777" w:rsidR="003013AB" w:rsidRPr="004E5BD6" w:rsidRDefault="003013AB" w:rsidP="003013AB">
      <w:pPr>
        <w:keepNext/>
        <w:keepLines/>
        <w:rPr>
          <w:rFonts w:ascii="Arial" w:eastAsia="Times New Roman" w:hAnsi="Arial" w:cs="Arial"/>
          <w:sz w:val="20"/>
          <w:szCs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013AB" w:rsidRPr="004E5BD6" w14:paraId="7FDBA482"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0ABFED20" w14:textId="77777777" w:rsidR="003013AB" w:rsidRPr="004E5BD6" w:rsidRDefault="003013AB" w:rsidP="003013AB">
            <w:pPr>
              <w:keepNext/>
              <w:keepLines/>
              <w:jc w:val="center"/>
              <w:rPr>
                <w:rFonts w:ascii="Arial" w:eastAsia="Times New Roman" w:hAnsi="Arial" w:cs="Arial"/>
                <w:b/>
                <w:bCs/>
                <w:sz w:val="18"/>
                <w:szCs w:val="18"/>
                <w:lang w:eastAsia="en-US"/>
              </w:rPr>
            </w:pPr>
            <w:r w:rsidRPr="004E5BD6">
              <w:rPr>
                <w:rFonts w:ascii="Arial" w:eastAsia="Times New Roman" w:hAnsi="Arial" w:cs="Arial"/>
                <w:b/>
                <w:bCs/>
                <w:sz w:val="18"/>
                <w:szCs w:val="18"/>
                <w:lang w:eastAsia="en-US"/>
              </w:rPr>
              <w:t>Risk</w:t>
            </w:r>
          </w:p>
        </w:tc>
        <w:tc>
          <w:tcPr>
            <w:tcW w:w="5103" w:type="dxa"/>
            <w:tcBorders>
              <w:top w:val="single" w:sz="4" w:space="0" w:color="auto"/>
              <w:bottom w:val="single" w:sz="4" w:space="0" w:color="auto"/>
            </w:tcBorders>
            <w:shd w:val="clear" w:color="auto" w:fill="C6D9F1" w:themeFill="text2" w:themeFillTint="33"/>
            <w:vAlign w:val="center"/>
          </w:tcPr>
          <w:p w14:paraId="7FF89E3E" w14:textId="77777777" w:rsidR="003013AB" w:rsidRPr="004E5BD6" w:rsidRDefault="003013AB" w:rsidP="003013AB">
            <w:pPr>
              <w:keepNext/>
              <w:keepLines/>
              <w:jc w:val="center"/>
              <w:rPr>
                <w:rFonts w:ascii="Arial" w:eastAsia="Times New Roman" w:hAnsi="Arial" w:cs="Arial"/>
                <w:b/>
                <w:bCs/>
                <w:sz w:val="18"/>
                <w:szCs w:val="18"/>
                <w:lang w:eastAsia="en-US"/>
              </w:rPr>
            </w:pPr>
            <w:r w:rsidRPr="004E5BD6">
              <w:rPr>
                <w:rFonts w:ascii="Arial" w:eastAsia="Times New Roman" w:hAnsi="Arial" w:cs="Arial"/>
                <w:b/>
                <w:bCs/>
                <w:sz w:val="18"/>
                <w:szCs w:val="18"/>
                <w:lang w:eastAsia="en-US"/>
              </w:rPr>
              <w:t>Mitigation</w:t>
            </w:r>
          </w:p>
        </w:tc>
      </w:tr>
      <w:tr w:rsidR="003013AB" w:rsidRPr="004E5BD6" w14:paraId="00E7B54C" w14:textId="77777777" w:rsidTr="008D3EC2">
        <w:trPr>
          <w:trHeight w:val="1142"/>
        </w:trPr>
        <w:tc>
          <w:tcPr>
            <w:tcW w:w="4111" w:type="dxa"/>
            <w:shd w:val="clear" w:color="auto" w:fill="auto"/>
            <w:tcMar>
              <w:top w:w="113" w:type="dxa"/>
              <w:bottom w:w="113" w:type="dxa"/>
            </w:tcMar>
          </w:tcPr>
          <w:p w14:paraId="28431653" w14:textId="77777777" w:rsidR="003013AB" w:rsidRPr="004E5BD6" w:rsidRDefault="003013AB" w:rsidP="003013AB">
            <w:pPr>
              <w:keepNext/>
              <w:keepLines/>
              <w:rPr>
                <w:rFonts w:ascii="Arial" w:eastAsia="Times New Roman" w:hAnsi="Arial" w:cs="Arial"/>
                <w:color w:val="000000"/>
                <w:sz w:val="16"/>
                <w:szCs w:val="16"/>
                <w:lang w:eastAsia="en-US"/>
              </w:rPr>
            </w:pPr>
            <w:r w:rsidRPr="004E5BD6">
              <w:rPr>
                <w:rFonts w:ascii="Arial" w:eastAsia="Times New Roman" w:hAnsi="Arial" w:cs="Arial"/>
                <w:color w:val="000000"/>
                <w:sz w:val="16"/>
                <w:szCs w:val="16"/>
                <w:lang w:eastAsia="en-US"/>
              </w:rPr>
              <w:t>PCT and related Information Systems experience unacceptable level of interruptions, resulting in the inability to accept PCT filings and subsequently the effect on processing and publication of those applications.  Reputation would be affected negatively.</w:t>
            </w:r>
          </w:p>
        </w:tc>
        <w:tc>
          <w:tcPr>
            <w:tcW w:w="5103" w:type="dxa"/>
            <w:shd w:val="clear" w:color="auto" w:fill="auto"/>
            <w:tcMar>
              <w:top w:w="113" w:type="dxa"/>
              <w:bottom w:w="113" w:type="dxa"/>
            </w:tcMar>
          </w:tcPr>
          <w:p w14:paraId="30BC34D0" w14:textId="77777777" w:rsidR="003013AB" w:rsidRPr="004E5BD6" w:rsidRDefault="003013AB" w:rsidP="003013AB">
            <w:pPr>
              <w:keepNext/>
              <w:keepLines/>
              <w:rPr>
                <w:rFonts w:ascii="Arial" w:eastAsia="Times New Roman" w:hAnsi="Arial" w:cs="Arial"/>
                <w:color w:val="000000"/>
                <w:sz w:val="16"/>
                <w:szCs w:val="16"/>
                <w:lang w:eastAsia="en-US"/>
              </w:rPr>
            </w:pPr>
            <w:r w:rsidRPr="004E5BD6">
              <w:rPr>
                <w:rFonts w:ascii="Arial" w:eastAsia="Times New Roman" w:hAnsi="Arial" w:cs="Arial"/>
                <w:color w:val="000000"/>
                <w:sz w:val="16"/>
                <w:szCs w:val="16"/>
                <w:lang w:eastAsia="en-US"/>
              </w:rPr>
              <w:t>Utilize the redundancy infrastructure established during the 2014/15 biennium whilst introducing additional redundant capability and capacity to further develop and refine business continuity plan.</w:t>
            </w:r>
          </w:p>
          <w:p w14:paraId="3F42CE0E" w14:textId="77777777" w:rsidR="003013AB" w:rsidRPr="004E5BD6" w:rsidRDefault="003013AB" w:rsidP="003013AB">
            <w:pPr>
              <w:keepNext/>
              <w:keepLines/>
              <w:rPr>
                <w:rFonts w:ascii="Arial" w:eastAsia="Times New Roman" w:hAnsi="Arial" w:cs="Arial"/>
                <w:color w:val="000000"/>
                <w:sz w:val="16"/>
                <w:szCs w:val="16"/>
                <w:lang w:eastAsia="en-US"/>
              </w:rPr>
            </w:pPr>
          </w:p>
        </w:tc>
      </w:tr>
    </w:tbl>
    <w:p w14:paraId="305B87E0" w14:textId="77777777" w:rsidR="003013AB" w:rsidRDefault="003013AB" w:rsidP="008D3EC2">
      <w:pPr>
        <w:rPr>
          <w:rFonts w:ascii="Arial" w:eastAsia="Times New Roman" w:hAnsi="Arial" w:cs="Arial"/>
          <w:szCs w:val="20"/>
          <w:lang w:eastAsia="en-US"/>
        </w:rPr>
      </w:pPr>
    </w:p>
    <w:p w14:paraId="5422DFA7" w14:textId="77777777" w:rsidR="003013AB" w:rsidRPr="005315E9" w:rsidRDefault="003013AB" w:rsidP="008D3EC2">
      <w:pPr>
        <w:rPr>
          <w:rFonts w:ascii="Arial" w:eastAsia="Times New Roman" w:hAnsi="Arial" w:cs="Arial"/>
          <w:szCs w:val="20"/>
          <w:lang w:eastAsia="en-US"/>
        </w:rPr>
      </w:pPr>
      <w:r w:rsidRPr="005315E9">
        <w:rPr>
          <w:rFonts w:ascii="Arial" w:eastAsia="Times New Roman" w:hAnsi="Arial" w:cs="Arial"/>
          <w:szCs w:val="20"/>
          <w:lang w:eastAsia="en-US"/>
        </w:rPr>
        <w:lastRenderedPageBreak/>
        <w:t>RESULTS FRAMEWORK</w:t>
      </w:r>
    </w:p>
    <w:p w14:paraId="58EAE89A" w14:textId="77777777" w:rsidR="003013AB" w:rsidRDefault="003013AB" w:rsidP="008D3EC2">
      <w:pPr>
        <w:autoSpaceDE w:val="0"/>
        <w:autoSpaceDN w:val="0"/>
        <w:adjustRightInd w:val="0"/>
        <w:rPr>
          <w:rFonts w:ascii="Arial" w:hAnsi="Arial" w:cs="Arial"/>
        </w:rPr>
      </w:pPr>
    </w:p>
    <w:tbl>
      <w:tblPr>
        <w:tblW w:w="9229" w:type="dxa"/>
        <w:tblInd w:w="93" w:type="dxa"/>
        <w:tblLook w:val="04A0" w:firstRow="1" w:lastRow="0" w:firstColumn="1" w:lastColumn="0" w:noHBand="0" w:noVBand="1"/>
      </w:tblPr>
      <w:tblGrid>
        <w:gridCol w:w="1960"/>
        <w:gridCol w:w="2460"/>
        <w:gridCol w:w="2220"/>
        <w:gridCol w:w="2589"/>
      </w:tblGrid>
      <w:tr w:rsidR="003013AB" w:rsidRPr="004C5265" w14:paraId="038A8974" w14:textId="77777777" w:rsidTr="00FB68E0">
        <w:trPr>
          <w:trHeight w:val="540"/>
        </w:trPr>
        <w:tc>
          <w:tcPr>
            <w:tcW w:w="19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46EA4691"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Expected Results</w:t>
            </w:r>
          </w:p>
        </w:tc>
        <w:tc>
          <w:tcPr>
            <w:tcW w:w="2460" w:type="dxa"/>
            <w:tcBorders>
              <w:top w:val="single" w:sz="4" w:space="0" w:color="auto"/>
              <w:left w:val="nil"/>
              <w:bottom w:val="single" w:sz="4" w:space="0" w:color="auto"/>
              <w:right w:val="nil"/>
            </w:tcBorders>
            <w:shd w:val="clear" w:color="auto" w:fill="C6D9F1" w:themeFill="text2" w:themeFillTint="33"/>
            <w:vAlign w:val="center"/>
            <w:hideMark/>
          </w:tcPr>
          <w:p w14:paraId="24A214B9"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Performance Indicators</w:t>
            </w:r>
          </w:p>
        </w:tc>
        <w:tc>
          <w:tcPr>
            <w:tcW w:w="2220" w:type="dxa"/>
            <w:tcBorders>
              <w:top w:val="single" w:sz="4" w:space="0" w:color="auto"/>
              <w:left w:val="nil"/>
              <w:bottom w:val="single" w:sz="4" w:space="0" w:color="auto"/>
              <w:right w:val="nil"/>
            </w:tcBorders>
            <w:shd w:val="clear" w:color="auto" w:fill="C6D9F1" w:themeFill="text2" w:themeFillTint="33"/>
            <w:vAlign w:val="center"/>
            <w:hideMark/>
          </w:tcPr>
          <w:p w14:paraId="7901D432"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Baselines</w:t>
            </w:r>
          </w:p>
        </w:tc>
        <w:tc>
          <w:tcPr>
            <w:tcW w:w="258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367DF2"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Targets</w:t>
            </w:r>
          </w:p>
        </w:tc>
      </w:tr>
      <w:tr w:rsidR="003013AB" w:rsidRPr="004C5265" w14:paraId="14664435" w14:textId="77777777" w:rsidTr="008D4CE9">
        <w:trPr>
          <w:trHeight w:val="1049"/>
        </w:trPr>
        <w:tc>
          <w:tcPr>
            <w:tcW w:w="1960" w:type="dxa"/>
            <w:vMerge w:val="restart"/>
            <w:tcBorders>
              <w:top w:val="single" w:sz="4" w:space="0" w:color="auto"/>
              <w:left w:val="single" w:sz="4" w:space="0" w:color="auto"/>
              <w:bottom w:val="nil"/>
              <w:right w:val="nil"/>
            </w:tcBorders>
            <w:shd w:val="clear" w:color="000000" w:fill="FFFFFF"/>
            <w:hideMark/>
          </w:tcPr>
          <w:p w14:paraId="74C7E720" w14:textId="77777777" w:rsidR="003013AB" w:rsidRPr="004C5265" w:rsidRDefault="003013AB" w:rsidP="008D3EC2">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IX.1 Effective, efficient, quality and customer-oriented support services both to internal clients and to external stakeholders</w:t>
            </w:r>
          </w:p>
        </w:tc>
        <w:tc>
          <w:tcPr>
            <w:tcW w:w="2460" w:type="dxa"/>
            <w:tcBorders>
              <w:top w:val="single" w:sz="4" w:space="0" w:color="auto"/>
              <w:left w:val="nil"/>
              <w:bottom w:val="nil"/>
              <w:right w:val="nil"/>
            </w:tcBorders>
            <w:shd w:val="clear" w:color="000000" w:fill="FFFFFF"/>
            <w:hideMark/>
          </w:tcPr>
          <w:p w14:paraId="33FABB79"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ICT Platforms are cost-effectively hosted and managed in line with business demands</w:t>
            </w:r>
          </w:p>
        </w:tc>
        <w:tc>
          <w:tcPr>
            <w:tcW w:w="2220" w:type="dxa"/>
            <w:tcBorders>
              <w:top w:val="single" w:sz="4" w:space="0" w:color="auto"/>
              <w:left w:val="nil"/>
              <w:bottom w:val="nil"/>
              <w:right w:val="nil"/>
            </w:tcBorders>
            <w:shd w:val="clear" w:color="000000" w:fill="FFFFFF"/>
            <w:hideMark/>
          </w:tcPr>
          <w:p w14:paraId="34F6ECBF"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 xml:space="preserve">n/a </w:t>
            </w:r>
          </w:p>
        </w:tc>
        <w:tc>
          <w:tcPr>
            <w:tcW w:w="2589" w:type="dxa"/>
            <w:tcBorders>
              <w:top w:val="single" w:sz="4" w:space="0" w:color="auto"/>
              <w:left w:val="nil"/>
              <w:bottom w:val="nil"/>
              <w:right w:val="single" w:sz="4" w:space="0" w:color="auto"/>
            </w:tcBorders>
            <w:shd w:val="clear" w:color="000000" w:fill="FFFFFF"/>
            <w:hideMark/>
          </w:tcPr>
          <w:p w14:paraId="7FE5226A"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New SDAs are created and agreed with largest consumers of ICT Platform services</w:t>
            </w:r>
          </w:p>
        </w:tc>
      </w:tr>
      <w:tr w:rsidR="003013AB" w:rsidRPr="004C5265" w14:paraId="1CDECB83" w14:textId="77777777" w:rsidTr="008D4CE9">
        <w:trPr>
          <w:trHeight w:val="1981"/>
        </w:trPr>
        <w:tc>
          <w:tcPr>
            <w:tcW w:w="1960" w:type="dxa"/>
            <w:vMerge/>
            <w:tcBorders>
              <w:top w:val="nil"/>
              <w:left w:val="single" w:sz="4" w:space="0" w:color="auto"/>
              <w:bottom w:val="nil"/>
              <w:right w:val="nil"/>
            </w:tcBorders>
            <w:vAlign w:val="center"/>
            <w:hideMark/>
          </w:tcPr>
          <w:p w14:paraId="325356E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423AD2B6" w14:textId="77777777" w:rsidR="003013AB" w:rsidRPr="004C5265" w:rsidRDefault="003013AB" w:rsidP="008D4CE9">
            <w:pPr>
              <w:rPr>
                <w:rFonts w:ascii="Arial" w:eastAsia="Times New Roman" w:hAnsi="Arial" w:cs="Arial"/>
                <w:color w:val="000000"/>
                <w:sz w:val="16"/>
                <w:szCs w:val="16"/>
                <w:lang w:eastAsia="en-US"/>
              </w:rPr>
            </w:pPr>
          </w:p>
        </w:tc>
        <w:tc>
          <w:tcPr>
            <w:tcW w:w="2220" w:type="dxa"/>
            <w:tcBorders>
              <w:top w:val="nil"/>
              <w:left w:val="nil"/>
              <w:bottom w:val="nil"/>
              <w:right w:val="nil"/>
            </w:tcBorders>
            <w:shd w:val="clear" w:color="000000" w:fill="FFFFFF"/>
            <w:hideMark/>
          </w:tcPr>
          <w:p w14:paraId="65B25952" w14:textId="550D774C"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Unit cost of Servers: 448 </w:t>
            </w:r>
            <w:r w:rsidR="003736E0">
              <w:rPr>
                <w:rFonts w:ascii="Arial" w:eastAsia="Times New Roman" w:hAnsi="Arial" w:cs="Arial"/>
                <w:color w:val="000000"/>
                <w:sz w:val="16"/>
                <w:szCs w:val="16"/>
                <w:lang w:eastAsia="en-US"/>
              </w:rPr>
              <w:t>Swiss francs</w:t>
            </w:r>
            <w:r w:rsidRPr="004C5265">
              <w:rPr>
                <w:rFonts w:ascii="Arial" w:eastAsia="Times New Roman" w:hAnsi="Arial" w:cs="Arial"/>
                <w:color w:val="000000"/>
                <w:sz w:val="16"/>
                <w:szCs w:val="16"/>
                <w:lang w:eastAsia="en-US"/>
              </w:rPr>
              <w:t xml:space="preserve">/month; Unit cost per TB of storage: 299 </w:t>
            </w:r>
            <w:r w:rsidR="003736E0">
              <w:rPr>
                <w:rFonts w:ascii="Arial" w:eastAsia="Times New Roman" w:hAnsi="Arial" w:cs="Arial"/>
                <w:color w:val="000000"/>
                <w:sz w:val="16"/>
                <w:szCs w:val="16"/>
                <w:lang w:eastAsia="en-US"/>
              </w:rPr>
              <w:t>Swiss francs</w:t>
            </w:r>
            <w:r w:rsidRPr="004C5265">
              <w:rPr>
                <w:rFonts w:ascii="Arial" w:eastAsia="Times New Roman" w:hAnsi="Arial" w:cs="Arial"/>
                <w:color w:val="000000"/>
                <w:sz w:val="16"/>
                <w:szCs w:val="16"/>
                <w:lang w:eastAsia="en-US"/>
              </w:rPr>
              <w:t xml:space="preserve">/month; Unit cost of backup per TB of storage: 370 </w:t>
            </w:r>
            <w:r w:rsidR="003736E0">
              <w:rPr>
                <w:rFonts w:ascii="Arial" w:eastAsia="Times New Roman" w:hAnsi="Arial" w:cs="Arial"/>
                <w:color w:val="000000"/>
                <w:sz w:val="16"/>
                <w:szCs w:val="16"/>
                <w:lang w:eastAsia="en-US"/>
              </w:rPr>
              <w:t>Swiss francs</w:t>
            </w:r>
            <w:r w:rsidRPr="004C5265">
              <w:rPr>
                <w:rFonts w:ascii="Arial" w:eastAsia="Times New Roman" w:hAnsi="Arial" w:cs="Arial"/>
                <w:color w:val="000000"/>
                <w:sz w:val="16"/>
                <w:szCs w:val="16"/>
                <w:lang w:eastAsia="en-US"/>
              </w:rPr>
              <w:t>/month (End-2014);  Number of service incidents with medium or high impact: 1.75 per month</w:t>
            </w:r>
          </w:p>
        </w:tc>
        <w:tc>
          <w:tcPr>
            <w:tcW w:w="2589" w:type="dxa"/>
            <w:tcBorders>
              <w:top w:val="nil"/>
              <w:left w:val="nil"/>
              <w:bottom w:val="nil"/>
              <w:right w:val="single" w:sz="4" w:space="0" w:color="auto"/>
            </w:tcBorders>
            <w:shd w:val="clear" w:color="000000" w:fill="FFFFFF"/>
            <w:hideMark/>
          </w:tcPr>
          <w:p w14:paraId="06198A64"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Unit costs decrease by at least 5% per year; No increase in service incidents of medium or high impact </w:t>
            </w:r>
          </w:p>
        </w:tc>
      </w:tr>
      <w:tr w:rsidR="003013AB" w:rsidRPr="004C5265" w14:paraId="602D84A6" w14:textId="77777777" w:rsidTr="008D4CE9">
        <w:trPr>
          <w:trHeight w:val="861"/>
        </w:trPr>
        <w:tc>
          <w:tcPr>
            <w:tcW w:w="1960" w:type="dxa"/>
            <w:vMerge/>
            <w:tcBorders>
              <w:top w:val="nil"/>
              <w:left w:val="single" w:sz="4" w:space="0" w:color="auto"/>
              <w:bottom w:val="nil"/>
              <w:right w:val="nil"/>
            </w:tcBorders>
            <w:vAlign w:val="center"/>
            <w:hideMark/>
          </w:tcPr>
          <w:p w14:paraId="2A32285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61439ECC"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Application development activities adhere to the WIPO reference and master data standards.</w:t>
            </w:r>
          </w:p>
        </w:tc>
        <w:tc>
          <w:tcPr>
            <w:tcW w:w="2220" w:type="dxa"/>
            <w:tcBorders>
              <w:top w:val="nil"/>
              <w:left w:val="nil"/>
              <w:bottom w:val="nil"/>
              <w:right w:val="nil"/>
            </w:tcBorders>
            <w:shd w:val="clear" w:color="000000" w:fill="FFFFFF"/>
            <w:hideMark/>
          </w:tcPr>
          <w:p w14:paraId="7A2FF397"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n/a </w:t>
            </w:r>
          </w:p>
        </w:tc>
        <w:tc>
          <w:tcPr>
            <w:tcW w:w="2589" w:type="dxa"/>
            <w:tcBorders>
              <w:top w:val="nil"/>
              <w:left w:val="nil"/>
              <w:bottom w:val="nil"/>
              <w:right w:val="single" w:sz="4" w:space="0" w:color="auto"/>
            </w:tcBorders>
            <w:shd w:val="clear" w:color="000000" w:fill="FFFFFF"/>
            <w:hideMark/>
          </w:tcPr>
          <w:p w14:paraId="1CA0CEE2"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The WIPO reference and master data strategy and repository used by at least o</w:t>
            </w:r>
            <w:r>
              <w:rPr>
                <w:rFonts w:ascii="Arial" w:eastAsia="Times New Roman" w:hAnsi="Arial" w:cs="Arial"/>
                <w:color w:val="000000"/>
                <w:sz w:val="16"/>
                <w:szCs w:val="16"/>
                <w:lang w:eastAsia="en-US"/>
              </w:rPr>
              <w:t>ne application development team</w:t>
            </w:r>
          </w:p>
        </w:tc>
      </w:tr>
      <w:tr w:rsidR="003013AB" w:rsidRPr="004C5265" w14:paraId="66AD6BD4" w14:textId="77777777" w:rsidTr="008D3EC2">
        <w:trPr>
          <w:trHeight w:val="716"/>
        </w:trPr>
        <w:tc>
          <w:tcPr>
            <w:tcW w:w="1960" w:type="dxa"/>
            <w:vMerge/>
            <w:tcBorders>
              <w:top w:val="nil"/>
              <w:left w:val="single" w:sz="4" w:space="0" w:color="auto"/>
              <w:bottom w:val="nil"/>
              <w:right w:val="nil"/>
            </w:tcBorders>
            <w:vAlign w:val="center"/>
            <w:hideMark/>
          </w:tcPr>
          <w:p w14:paraId="3FC48180"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70A8D899" w14:textId="77777777" w:rsidR="003013AB" w:rsidRPr="004C5265" w:rsidRDefault="003013AB"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of c</w:t>
            </w:r>
            <w:r w:rsidRPr="004C5265">
              <w:rPr>
                <w:rFonts w:ascii="Arial" w:eastAsia="Times New Roman" w:hAnsi="Arial" w:cs="Arial"/>
                <w:color w:val="000000"/>
                <w:sz w:val="16"/>
                <w:szCs w:val="16"/>
                <w:lang w:eastAsia="en-US"/>
              </w:rPr>
              <w:t>ustomers that are satisfied with the Service Desk services</w:t>
            </w:r>
          </w:p>
        </w:tc>
        <w:tc>
          <w:tcPr>
            <w:tcW w:w="2220" w:type="dxa"/>
            <w:tcBorders>
              <w:top w:val="nil"/>
              <w:left w:val="nil"/>
              <w:bottom w:val="nil"/>
              <w:right w:val="nil"/>
            </w:tcBorders>
            <w:shd w:val="clear" w:color="000000" w:fill="FFFFFF"/>
            <w:hideMark/>
          </w:tcPr>
          <w:p w14:paraId="188A6244"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97% satisfied or very satisfied with </w:t>
            </w:r>
            <w:r>
              <w:rPr>
                <w:rFonts w:ascii="Arial" w:eastAsia="Times New Roman" w:hAnsi="Arial" w:cs="Arial"/>
                <w:color w:val="000000"/>
                <w:sz w:val="16"/>
                <w:szCs w:val="16"/>
                <w:lang w:eastAsia="en-US"/>
              </w:rPr>
              <w:t xml:space="preserve">the </w:t>
            </w:r>
            <w:r w:rsidRPr="004C5265">
              <w:rPr>
                <w:rFonts w:ascii="Arial" w:eastAsia="Times New Roman" w:hAnsi="Arial" w:cs="Arial"/>
                <w:color w:val="000000"/>
                <w:sz w:val="16"/>
                <w:szCs w:val="16"/>
                <w:lang w:eastAsia="en-US"/>
              </w:rPr>
              <w:t>Service Desk</w:t>
            </w:r>
          </w:p>
        </w:tc>
        <w:tc>
          <w:tcPr>
            <w:tcW w:w="2589" w:type="dxa"/>
            <w:tcBorders>
              <w:top w:val="nil"/>
              <w:left w:val="nil"/>
              <w:bottom w:val="nil"/>
              <w:right w:val="single" w:sz="4" w:space="0" w:color="auto"/>
            </w:tcBorders>
            <w:shd w:val="clear" w:color="000000" w:fill="FFFFFF"/>
            <w:hideMark/>
          </w:tcPr>
          <w:p w14:paraId="0FE887C6" w14:textId="77777777"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Maintain similar high-level of user satisfaction</w:t>
            </w:r>
          </w:p>
        </w:tc>
      </w:tr>
      <w:tr w:rsidR="003013AB" w:rsidRPr="004C5265" w14:paraId="6052CE82" w14:textId="77777777" w:rsidTr="006C1162">
        <w:trPr>
          <w:trHeight w:val="982"/>
        </w:trPr>
        <w:tc>
          <w:tcPr>
            <w:tcW w:w="1960" w:type="dxa"/>
            <w:vMerge/>
            <w:tcBorders>
              <w:top w:val="nil"/>
              <w:left w:val="single" w:sz="4" w:space="0" w:color="auto"/>
              <w:bottom w:val="nil"/>
              <w:right w:val="nil"/>
            </w:tcBorders>
            <w:vAlign w:val="center"/>
            <w:hideMark/>
          </w:tcPr>
          <w:p w14:paraId="260E86F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165DBC75" w14:textId="45EAB96C"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ICT Projects in WIPO are managed in accordance with the WIPO </w:t>
            </w:r>
            <w:r w:rsidR="00A828C4">
              <w:rPr>
                <w:rFonts w:ascii="Arial" w:eastAsia="Times New Roman" w:hAnsi="Arial" w:cs="Arial"/>
                <w:color w:val="000000"/>
                <w:sz w:val="16"/>
                <w:szCs w:val="16"/>
                <w:lang w:eastAsia="en-US"/>
              </w:rPr>
              <w:t>P</w:t>
            </w:r>
            <w:r w:rsidRPr="004C5265">
              <w:rPr>
                <w:rFonts w:ascii="Arial" w:eastAsia="Times New Roman" w:hAnsi="Arial" w:cs="Arial"/>
                <w:color w:val="000000"/>
                <w:sz w:val="16"/>
                <w:szCs w:val="16"/>
                <w:lang w:eastAsia="en-US"/>
              </w:rPr>
              <w:t xml:space="preserve">roject </w:t>
            </w:r>
            <w:r w:rsidR="00A828C4">
              <w:rPr>
                <w:rFonts w:ascii="Arial" w:eastAsia="Times New Roman" w:hAnsi="Arial" w:cs="Arial"/>
                <w:color w:val="000000"/>
                <w:sz w:val="16"/>
                <w:szCs w:val="16"/>
                <w:lang w:eastAsia="en-US"/>
              </w:rPr>
              <w:t>M</w:t>
            </w:r>
            <w:r w:rsidRPr="004C5265">
              <w:rPr>
                <w:rFonts w:ascii="Arial" w:eastAsia="Times New Roman" w:hAnsi="Arial" w:cs="Arial"/>
                <w:color w:val="000000"/>
                <w:sz w:val="16"/>
                <w:szCs w:val="16"/>
                <w:lang w:eastAsia="en-US"/>
              </w:rPr>
              <w:t>anagement</w:t>
            </w:r>
            <w:r w:rsidR="00A828C4">
              <w:rPr>
                <w:rFonts w:ascii="Arial" w:eastAsia="Times New Roman" w:hAnsi="Arial" w:cs="Arial"/>
                <w:color w:val="000000"/>
                <w:sz w:val="16"/>
                <w:szCs w:val="16"/>
                <w:lang w:eastAsia="en-US"/>
              </w:rPr>
              <w:t xml:space="preserve"> Guidelines</w:t>
            </w:r>
            <w:r w:rsidRPr="004C5265">
              <w:rPr>
                <w:rFonts w:ascii="Arial" w:eastAsia="Times New Roman" w:hAnsi="Arial" w:cs="Arial"/>
                <w:color w:val="000000"/>
                <w:sz w:val="16"/>
                <w:szCs w:val="16"/>
                <w:lang w:eastAsia="en-US"/>
              </w:rPr>
              <w:t xml:space="preserve"> and</w:t>
            </w:r>
            <w:r w:rsidR="00A828C4">
              <w:rPr>
                <w:rFonts w:ascii="Arial" w:eastAsia="Times New Roman" w:hAnsi="Arial" w:cs="Arial"/>
                <w:color w:val="000000"/>
                <w:sz w:val="16"/>
                <w:szCs w:val="16"/>
                <w:lang w:eastAsia="en-US"/>
              </w:rPr>
              <w:t xml:space="preserve"> the WIPO</w:t>
            </w:r>
            <w:r w:rsidRPr="004C5265">
              <w:rPr>
                <w:rFonts w:ascii="Arial" w:eastAsia="Times New Roman" w:hAnsi="Arial" w:cs="Arial"/>
                <w:color w:val="000000"/>
                <w:sz w:val="16"/>
                <w:szCs w:val="16"/>
                <w:lang w:eastAsia="en-US"/>
              </w:rPr>
              <w:t xml:space="preserve"> </w:t>
            </w:r>
            <w:r w:rsidR="00A828C4">
              <w:rPr>
                <w:rFonts w:ascii="Arial" w:eastAsia="Times New Roman" w:hAnsi="Arial" w:cs="Arial"/>
                <w:color w:val="000000"/>
                <w:sz w:val="16"/>
                <w:szCs w:val="16"/>
                <w:lang w:eastAsia="en-US"/>
              </w:rPr>
              <w:t>S</w:t>
            </w:r>
            <w:r w:rsidRPr="004C5265">
              <w:rPr>
                <w:rFonts w:ascii="Arial" w:eastAsia="Times New Roman" w:hAnsi="Arial" w:cs="Arial"/>
                <w:color w:val="000000"/>
                <w:sz w:val="16"/>
                <w:szCs w:val="16"/>
                <w:lang w:eastAsia="en-US"/>
              </w:rPr>
              <w:t xml:space="preserve">ervice </w:t>
            </w:r>
            <w:r w:rsidR="00A828C4">
              <w:rPr>
                <w:rFonts w:ascii="Arial" w:eastAsia="Times New Roman" w:hAnsi="Arial" w:cs="Arial"/>
                <w:color w:val="000000"/>
                <w:sz w:val="16"/>
                <w:szCs w:val="16"/>
                <w:lang w:eastAsia="en-US"/>
              </w:rPr>
              <w:t>T</w:t>
            </w:r>
            <w:r w:rsidRPr="004C5265">
              <w:rPr>
                <w:rFonts w:ascii="Arial" w:eastAsia="Times New Roman" w:hAnsi="Arial" w:cs="Arial"/>
                <w:color w:val="000000"/>
                <w:sz w:val="16"/>
                <w:szCs w:val="16"/>
                <w:lang w:eastAsia="en-US"/>
              </w:rPr>
              <w:t xml:space="preserve">ransition </w:t>
            </w:r>
            <w:r w:rsidR="00A828C4">
              <w:rPr>
                <w:rFonts w:ascii="Arial" w:eastAsia="Times New Roman" w:hAnsi="Arial" w:cs="Arial"/>
                <w:color w:val="000000"/>
                <w:sz w:val="16"/>
                <w:szCs w:val="16"/>
                <w:lang w:eastAsia="en-US"/>
              </w:rPr>
              <w:t>G</w:t>
            </w:r>
            <w:r w:rsidRPr="004C5265">
              <w:rPr>
                <w:rFonts w:ascii="Arial" w:eastAsia="Times New Roman" w:hAnsi="Arial" w:cs="Arial"/>
                <w:color w:val="000000"/>
                <w:sz w:val="16"/>
                <w:szCs w:val="16"/>
                <w:lang w:eastAsia="en-US"/>
              </w:rPr>
              <w:t>uidelines</w:t>
            </w:r>
          </w:p>
        </w:tc>
        <w:tc>
          <w:tcPr>
            <w:tcW w:w="2220" w:type="dxa"/>
            <w:tcBorders>
              <w:top w:val="nil"/>
              <w:left w:val="nil"/>
              <w:bottom w:val="nil"/>
              <w:right w:val="nil"/>
            </w:tcBorders>
            <w:shd w:val="clear" w:color="000000" w:fill="FFFFFF"/>
            <w:hideMark/>
          </w:tcPr>
          <w:p w14:paraId="246A514D" w14:textId="77777777" w:rsidR="00A828C4" w:rsidRDefault="00A828C4"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n/a (new)</w:t>
            </w:r>
          </w:p>
          <w:p w14:paraId="157F330F" w14:textId="77777777" w:rsidR="00A828C4" w:rsidRDefault="00A828C4" w:rsidP="008D3EC2">
            <w:pPr>
              <w:ind w:left="307"/>
              <w:rPr>
                <w:rFonts w:ascii="Arial" w:eastAsia="Times New Roman" w:hAnsi="Arial" w:cs="Arial"/>
                <w:color w:val="000000"/>
                <w:sz w:val="16"/>
                <w:szCs w:val="16"/>
                <w:lang w:eastAsia="en-US"/>
              </w:rPr>
            </w:pPr>
          </w:p>
          <w:p w14:paraId="4BD6731B" w14:textId="77777777" w:rsidR="00A828C4" w:rsidRDefault="00A828C4" w:rsidP="008D3EC2">
            <w:pPr>
              <w:ind w:left="307"/>
              <w:rPr>
                <w:rFonts w:ascii="Arial" w:eastAsia="Times New Roman" w:hAnsi="Arial" w:cs="Arial"/>
                <w:color w:val="000000"/>
                <w:sz w:val="16"/>
                <w:szCs w:val="16"/>
                <w:lang w:eastAsia="en-US"/>
              </w:rPr>
            </w:pPr>
          </w:p>
          <w:p w14:paraId="7D0AB689" w14:textId="77777777" w:rsidR="00A828C4" w:rsidRDefault="00A828C4" w:rsidP="008D3EC2">
            <w:pPr>
              <w:ind w:left="307"/>
              <w:rPr>
                <w:rFonts w:ascii="Arial" w:eastAsia="Times New Roman" w:hAnsi="Arial" w:cs="Arial"/>
                <w:color w:val="000000"/>
                <w:sz w:val="16"/>
                <w:szCs w:val="16"/>
                <w:lang w:eastAsia="en-US"/>
              </w:rPr>
            </w:pPr>
          </w:p>
          <w:p w14:paraId="1F099CE8" w14:textId="77777777" w:rsidR="00A828C4" w:rsidRDefault="00A828C4" w:rsidP="008D3EC2">
            <w:pPr>
              <w:ind w:left="307"/>
              <w:rPr>
                <w:rFonts w:ascii="Arial" w:eastAsia="Times New Roman" w:hAnsi="Arial" w:cs="Arial"/>
                <w:color w:val="000000"/>
                <w:sz w:val="16"/>
                <w:szCs w:val="16"/>
                <w:lang w:eastAsia="en-US"/>
              </w:rPr>
            </w:pPr>
          </w:p>
          <w:p w14:paraId="2513837C" w14:textId="1DBDCD71"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Transition Guidelines not defined </w:t>
            </w:r>
          </w:p>
        </w:tc>
        <w:tc>
          <w:tcPr>
            <w:tcW w:w="2589" w:type="dxa"/>
            <w:tcBorders>
              <w:top w:val="nil"/>
              <w:left w:val="nil"/>
              <w:bottom w:val="nil"/>
              <w:right w:val="single" w:sz="4" w:space="0" w:color="auto"/>
            </w:tcBorders>
            <w:shd w:val="clear" w:color="000000" w:fill="FFFFFF"/>
            <w:hideMark/>
          </w:tcPr>
          <w:p w14:paraId="76D4856C" w14:textId="666FA59B" w:rsidR="00A828C4" w:rsidRDefault="00A828C4"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More than 70% of projects are managed in accordance with the </w:t>
            </w:r>
            <w:r>
              <w:rPr>
                <w:rFonts w:ascii="Arial" w:eastAsia="Times New Roman" w:hAnsi="Arial" w:cs="Arial"/>
                <w:color w:val="000000"/>
                <w:sz w:val="16"/>
                <w:szCs w:val="16"/>
                <w:lang w:eastAsia="en-US"/>
              </w:rPr>
              <w:t>WIPO Project Management G</w:t>
            </w:r>
            <w:r w:rsidRPr="004C5265">
              <w:rPr>
                <w:rFonts w:ascii="Arial" w:eastAsia="Times New Roman" w:hAnsi="Arial" w:cs="Arial"/>
                <w:color w:val="000000"/>
                <w:sz w:val="16"/>
                <w:szCs w:val="16"/>
                <w:lang w:eastAsia="en-US"/>
              </w:rPr>
              <w:t>uidelines.</w:t>
            </w:r>
          </w:p>
          <w:p w14:paraId="520F7C3D" w14:textId="77777777" w:rsidR="00A828C4" w:rsidRDefault="00A828C4" w:rsidP="008D3EC2">
            <w:pPr>
              <w:ind w:left="213"/>
              <w:rPr>
                <w:rFonts w:ascii="Arial" w:eastAsia="Times New Roman" w:hAnsi="Arial" w:cs="Arial"/>
                <w:color w:val="000000"/>
                <w:sz w:val="16"/>
                <w:szCs w:val="16"/>
                <w:lang w:eastAsia="en-US"/>
              </w:rPr>
            </w:pPr>
          </w:p>
          <w:p w14:paraId="78A8019D" w14:textId="58D83AB3" w:rsidR="003013AB" w:rsidRPr="004C5265" w:rsidRDefault="003013AB" w:rsidP="008D4CE9">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70% of delivered new projects comply with </w:t>
            </w:r>
            <w:proofErr w:type="spellStart"/>
            <w:r w:rsidR="00A828C4">
              <w:rPr>
                <w:rFonts w:ascii="Arial" w:eastAsia="Times New Roman" w:hAnsi="Arial" w:cs="Arial"/>
                <w:color w:val="000000"/>
                <w:sz w:val="16"/>
                <w:szCs w:val="16"/>
                <w:lang w:eastAsia="en-US"/>
              </w:rPr>
              <w:t>with</w:t>
            </w:r>
            <w:proofErr w:type="spellEnd"/>
            <w:r w:rsidR="00A828C4">
              <w:rPr>
                <w:rFonts w:ascii="Arial" w:eastAsia="Times New Roman" w:hAnsi="Arial" w:cs="Arial"/>
                <w:color w:val="000000"/>
                <w:sz w:val="16"/>
                <w:szCs w:val="16"/>
                <w:lang w:eastAsia="en-US"/>
              </w:rPr>
              <w:t xml:space="preserve"> the WIPO</w:t>
            </w:r>
            <w:r>
              <w:rPr>
                <w:rFonts w:ascii="Arial" w:eastAsia="Times New Roman" w:hAnsi="Arial" w:cs="Arial"/>
                <w:color w:val="000000"/>
                <w:sz w:val="16"/>
                <w:szCs w:val="16"/>
                <w:lang w:eastAsia="en-US"/>
              </w:rPr>
              <w:t xml:space="preserve"> Service </w:t>
            </w:r>
            <w:r w:rsidRPr="004C5265">
              <w:rPr>
                <w:rFonts w:ascii="Arial" w:eastAsia="Times New Roman" w:hAnsi="Arial" w:cs="Arial"/>
                <w:color w:val="000000"/>
                <w:sz w:val="16"/>
                <w:szCs w:val="16"/>
                <w:lang w:eastAsia="en-US"/>
              </w:rPr>
              <w:t>Transition Guidelines</w:t>
            </w:r>
          </w:p>
        </w:tc>
      </w:tr>
      <w:tr w:rsidR="006C1162" w:rsidRPr="004C5265" w14:paraId="1654DC24" w14:textId="77777777" w:rsidTr="008D3EC2">
        <w:trPr>
          <w:trHeight w:val="982"/>
        </w:trPr>
        <w:tc>
          <w:tcPr>
            <w:tcW w:w="1960" w:type="dxa"/>
            <w:tcBorders>
              <w:top w:val="nil"/>
              <w:left w:val="single" w:sz="4" w:space="0" w:color="auto"/>
              <w:bottom w:val="single" w:sz="4" w:space="0" w:color="auto"/>
              <w:right w:val="nil"/>
            </w:tcBorders>
            <w:vAlign w:val="center"/>
          </w:tcPr>
          <w:p w14:paraId="6338D3FD" w14:textId="77777777" w:rsidR="00062517" w:rsidRDefault="00062517" w:rsidP="008D3EC2">
            <w:pPr>
              <w:rPr>
                <w:rFonts w:ascii="Arial" w:eastAsia="Times New Roman" w:hAnsi="Arial" w:cs="Arial"/>
                <w:color w:val="000000"/>
                <w:sz w:val="16"/>
                <w:szCs w:val="16"/>
                <w:lang w:eastAsia="en-US"/>
              </w:rPr>
            </w:pPr>
          </w:p>
          <w:p w14:paraId="2381C004" w14:textId="34B6C88F" w:rsidR="006C1162" w:rsidRPr="004C5265" w:rsidRDefault="00062517" w:rsidP="008D3EC2">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IX.4 An environmentally and socially responsible Organization in which WIPO staff, delegates, visitors and physical assets are safe and secure</w:t>
            </w:r>
          </w:p>
        </w:tc>
        <w:tc>
          <w:tcPr>
            <w:tcW w:w="2460" w:type="dxa"/>
            <w:tcBorders>
              <w:top w:val="nil"/>
              <w:left w:val="nil"/>
              <w:bottom w:val="single" w:sz="4" w:space="0" w:color="auto"/>
              <w:right w:val="nil"/>
            </w:tcBorders>
            <w:shd w:val="clear" w:color="000000" w:fill="FFFFFF"/>
          </w:tcPr>
          <w:p w14:paraId="148C7171" w14:textId="77777777" w:rsidR="006C1162" w:rsidRDefault="006C1162" w:rsidP="008D3EC2">
            <w:pPr>
              <w:ind w:left="215"/>
              <w:rPr>
                <w:rFonts w:ascii="Arial" w:eastAsia="Times New Roman" w:hAnsi="Arial" w:cs="Arial"/>
                <w:color w:val="000000"/>
                <w:sz w:val="16"/>
                <w:szCs w:val="16"/>
                <w:lang w:eastAsia="en-US"/>
              </w:rPr>
            </w:pPr>
          </w:p>
          <w:p w14:paraId="43B02A73" w14:textId="6AE8A81B" w:rsidR="00062517" w:rsidRPr="004C5265" w:rsidRDefault="00062517"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ICT service continuity of critical systems</w:t>
            </w:r>
          </w:p>
        </w:tc>
        <w:tc>
          <w:tcPr>
            <w:tcW w:w="2220" w:type="dxa"/>
            <w:tcBorders>
              <w:top w:val="nil"/>
              <w:left w:val="nil"/>
              <w:bottom w:val="single" w:sz="4" w:space="0" w:color="auto"/>
              <w:right w:val="nil"/>
            </w:tcBorders>
            <w:shd w:val="clear" w:color="000000" w:fill="FFFFFF"/>
          </w:tcPr>
          <w:p w14:paraId="7A860C84" w14:textId="77777777" w:rsidR="006C1162" w:rsidRDefault="006C1162" w:rsidP="008D3EC2">
            <w:pPr>
              <w:ind w:left="307"/>
              <w:rPr>
                <w:rFonts w:ascii="Arial" w:eastAsia="Times New Roman" w:hAnsi="Arial" w:cs="Arial"/>
                <w:color w:val="000000"/>
                <w:sz w:val="16"/>
                <w:szCs w:val="16"/>
                <w:lang w:eastAsia="en-US"/>
              </w:rPr>
            </w:pPr>
          </w:p>
          <w:p w14:paraId="5859652D" w14:textId="1A1AE7A6" w:rsidR="00062517" w:rsidRPr="004C5265" w:rsidRDefault="003530B5"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Critical systems can be recovered in a timely manner without data loss in the event of localized major disruptions</w:t>
            </w:r>
          </w:p>
        </w:tc>
        <w:tc>
          <w:tcPr>
            <w:tcW w:w="2589" w:type="dxa"/>
            <w:tcBorders>
              <w:top w:val="nil"/>
              <w:left w:val="nil"/>
              <w:bottom w:val="single" w:sz="4" w:space="0" w:color="auto"/>
              <w:right w:val="single" w:sz="4" w:space="0" w:color="auto"/>
            </w:tcBorders>
            <w:shd w:val="clear" w:color="000000" w:fill="FFFFFF"/>
          </w:tcPr>
          <w:p w14:paraId="15359915" w14:textId="77777777" w:rsidR="006C1162" w:rsidRDefault="006C1162" w:rsidP="008D3EC2">
            <w:pPr>
              <w:ind w:left="213"/>
              <w:rPr>
                <w:rFonts w:ascii="Arial" w:eastAsia="Times New Roman" w:hAnsi="Arial" w:cs="Arial"/>
                <w:color w:val="000000"/>
                <w:sz w:val="16"/>
                <w:szCs w:val="16"/>
                <w:lang w:eastAsia="en-US"/>
              </w:rPr>
            </w:pPr>
          </w:p>
          <w:p w14:paraId="788B62A9" w14:textId="2D31EF88" w:rsidR="003530B5" w:rsidRPr="004C5265" w:rsidRDefault="003530B5" w:rsidP="008D4CE9">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Progress made on a ICT platform to allow critical systems to continue operating in the event of a major regional disruption</w:t>
            </w:r>
          </w:p>
        </w:tc>
      </w:tr>
    </w:tbl>
    <w:p w14:paraId="382CB559" w14:textId="77777777" w:rsidR="003013AB" w:rsidRDefault="003013AB" w:rsidP="008D3EC2">
      <w:pPr>
        <w:autoSpaceDE w:val="0"/>
        <w:autoSpaceDN w:val="0"/>
        <w:adjustRightInd w:val="0"/>
        <w:rPr>
          <w:rFonts w:ascii="Arial" w:hAnsi="Arial" w:cs="Arial"/>
        </w:rPr>
      </w:pPr>
    </w:p>
    <w:p w14:paraId="0E0827FE" w14:textId="2B4D8990" w:rsidR="003013AB" w:rsidRDefault="003013AB">
      <w:pPr>
        <w:rPr>
          <w:rFonts w:ascii="Arial" w:hAnsi="Arial" w:cs="Arial"/>
        </w:rPr>
      </w:pPr>
    </w:p>
    <w:p w14:paraId="2635E7E2" w14:textId="28959880" w:rsidR="003013AB" w:rsidRDefault="003013AB" w:rsidP="008D3EC2">
      <w:pPr>
        <w:autoSpaceDE w:val="0"/>
        <w:autoSpaceDN w:val="0"/>
        <w:adjustRightInd w:val="0"/>
        <w:rPr>
          <w:rFonts w:ascii="Arial" w:hAnsi="Arial" w:cs="Arial"/>
        </w:rPr>
      </w:pPr>
      <w:r>
        <w:rPr>
          <w:rFonts w:ascii="Arial" w:hAnsi="Arial" w:cs="Arial"/>
        </w:rPr>
        <w:t xml:space="preserve">RESOURCES FOR PROGRAM 25 </w:t>
      </w:r>
    </w:p>
    <w:p w14:paraId="7D0D86B0" w14:textId="77777777" w:rsidR="003013AB" w:rsidRDefault="003013AB" w:rsidP="008D3EC2">
      <w:pPr>
        <w:autoSpaceDE w:val="0"/>
        <w:autoSpaceDN w:val="0"/>
        <w:adjustRightInd w:val="0"/>
        <w:rPr>
          <w:rFonts w:ascii="Arial" w:hAnsi="Arial" w:cs="Arial"/>
        </w:rPr>
      </w:pPr>
    </w:p>
    <w:p w14:paraId="419DE097" w14:textId="0CD0C9D7" w:rsidR="006A2734" w:rsidRPr="00FB68E0" w:rsidRDefault="003013AB" w:rsidP="00B66A4A">
      <w:pPr>
        <w:pStyle w:val="ListParagraph"/>
        <w:numPr>
          <w:ilvl w:val="0"/>
          <w:numId w:val="27"/>
        </w:numPr>
        <w:tabs>
          <w:tab w:val="left" w:pos="709"/>
        </w:tabs>
        <w:autoSpaceDE w:val="0"/>
        <w:autoSpaceDN w:val="0"/>
        <w:adjustRightInd w:val="0"/>
        <w:ind w:left="0" w:firstLine="0"/>
        <w:jc w:val="both"/>
        <w:rPr>
          <w:rFonts w:ascii="Arial" w:hAnsi="Arial" w:cs="Arial"/>
          <w:color w:val="000000"/>
          <w:sz w:val="20"/>
          <w:szCs w:val="20"/>
        </w:rPr>
      </w:pPr>
      <w:r>
        <w:rPr>
          <w:rFonts w:ascii="Arial" w:hAnsi="Arial" w:cs="Arial"/>
          <w:color w:val="000000"/>
          <w:sz w:val="20"/>
          <w:szCs w:val="20"/>
        </w:rPr>
        <w:t xml:space="preserve">Total resources for the Program represent a net </w:t>
      </w:r>
      <w:r w:rsidRPr="00FB68E0">
        <w:rPr>
          <w:rFonts w:ascii="Arial" w:hAnsi="Arial" w:cs="Arial"/>
          <w:color w:val="000000"/>
          <w:sz w:val="20"/>
          <w:szCs w:val="20"/>
        </w:rPr>
        <w:t xml:space="preserve">increase of approximately 5.7 million Swiss francs in 2016/17 compared to the 2014/15 Budget after </w:t>
      </w:r>
      <w:r>
        <w:rPr>
          <w:rFonts w:ascii="Arial" w:hAnsi="Arial" w:cs="Arial"/>
          <w:color w:val="000000"/>
          <w:sz w:val="20"/>
          <w:szCs w:val="20"/>
        </w:rPr>
        <w:t>T</w:t>
      </w:r>
      <w:r w:rsidRPr="00FB68E0">
        <w:rPr>
          <w:rFonts w:ascii="Arial" w:hAnsi="Arial" w:cs="Arial"/>
          <w:color w:val="000000"/>
          <w:sz w:val="20"/>
          <w:szCs w:val="20"/>
        </w:rPr>
        <w:t>ransfer</w:t>
      </w:r>
      <w:r>
        <w:rPr>
          <w:rFonts w:ascii="Arial" w:hAnsi="Arial" w:cs="Arial"/>
          <w:color w:val="000000"/>
          <w:sz w:val="20"/>
          <w:szCs w:val="20"/>
        </w:rPr>
        <w:t xml:space="preserve">s.  This is due to, on the one hand, a decrease </w:t>
      </w:r>
      <w:r w:rsidRPr="00FB68E0">
        <w:rPr>
          <w:rFonts w:ascii="Arial" w:hAnsi="Arial" w:cs="Arial"/>
          <w:color w:val="000000"/>
          <w:sz w:val="20"/>
          <w:szCs w:val="20"/>
        </w:rPr>
        <w:t xml:space="preserve">in </w:t>
      </w:r>
      <w:r>
        <w:rPr>
          <w:rFonts w:ascii="Arial" w:hAnsi="Arial" w:cs="Arial"/>
          <w:color w:val="000000"/>
          <w:sz w:val="20"/>
          <w:szCs w:val="20"/>
        </w:rPr>
        <w:t xml:space="preserve">personnel resources </w:t>
      </w:r>
      <w:r w:rsidRPr="00FB68E0">
        <w:rPr>
          <w:rFonts w:ascii="Arial" w:hAnsi="Arial" w:cs="Arial"/>
          <w:color w:val="000000"/>
          <w:sz w:val="20"/>
          <w:szCs w:val="20"/>
        </w:rPr>
        <w:t xml:space="preserve">resulting from the transfer of </w:t>
      </w:r>
      <w:r>
        <w:rPr>
          <w:rFonts w:ascii="Arial" w:hAnsi="Arial" w:cs="Arial"/>
          <w:color w:val="000000"/>
          <w:sz w:val="20"/>
          <w:szCs w:val="20"/>
        </w:rPr>
        <w:t>i</w:t>
      </w:r>
      <w:r w:rsidRPr="00FB68E0">
        <w:rPr>
          <w:rFonts w:ascii="Arial" w:hAnsi="Arial" w:cs="Arial"/>
          <w:color w:val="000000"/>
          <w:sz w:val="20"/>
          <w:szCs w:val="20"/>
        </w:rPr>
        <w:t xml:space="preserve">nformation </w:t>
      </w:r>
      <w:r>
        <w:rPr>
          <w:rFonts w:ascii="Arial" w:hAnsi="Arial" w:cs="Arial"/>
          <w:color w:val="000000"/>
          <w:sz w:val="20"/>
          <w:szCs w:val="20"/>
        </w:rPr>
        <w:t>a</w:t>
      </w:r>
      <w:r w:rsidRPr="00FB68E0">
        <w:rPr>
          <w:rFonts w:ascii="Arial" w:hAnsi="Arial" w:cs="Arial"/>
          <w:color w:val="000000"/>
          <w:sz w:val="20"/>
          <w:szCs w:val="20"/>
        </w:rPr>
        <w:t xml:space="preserve">ssurance </w:t>
      </w:r>
      <w:r>
        <w:rPr>
          <w:rFonts w:ascii="Arial" w:hAnsi="Arial" w:cs="Arial"/>
          <w:color w:val="000000"/>
          <w:sz w:val="20"/>
          <w:szCs w:val="20"/>
        </w:rPr>
        <w:t xml:space="preserve">related activities </w:t>
      </w:r>
      <w:r w:rsidRPr="00FB68E0">
        <w:rPr>
          <w:rFonts w:ascii="Arial" w:hAnsi="Arial" w:cs="Arial"/>
          <w:color w:val="000000"/>
          <w:sz w:val="20"/>
          <w:szCs w:val="20"/>
        </w:rPr>
        <w:t xml:space="preserve">to Program 28 </w:t>
      </w:r>
      <w:r>
        <w:rPr>
          <w:rFonts w:ascii="Arial" w:hAnsi="Arial" w:cs="Arial"/>
          <w:color w:val="000000"/>
          <w:sz w:val="20"/>
          <w:szCs w:val="20"/>
        </w:rPr>
        <w:t xml:space="preserve">(Information Assurance, safety and Security), reflected under </w:t>
      </w:r>
      <w:r w:rsidRPr="00A278B1">
        <w:rPr>
          <w:rFonts w:ascii="Arial" w:hAnsi="Arial" w:cs="Arial"/>
          <w:color w:val="000000"/>
          <w:sz w:val="20"/>
          <w:szCs w:val="20"/>
        </w:rPr>
        <w:t>E</w:t>
      </w:r>
      <w:r>
        <w:rPr>
          <w:rFonts w:ascii="Arial" w:hAnsi="Arial" w:cs="Arial"/>
          <w:color w:val="000000"/>
          <w:sz w:val="20"/>
          <w:szCs w:val="20"/>
        </w:rPr>
        <w:t xml:space="preserve">xpected </w:t>
      </w:r>
      <w:r w:rsidRPr="00A278B1">
        <w:rPr>
          <w:rFonts w:ascii="Arial" w:hAnsi="Arial" w:cs="Arial"/>
          <w:color w:val="000000"/>
          <w:sz w:val="20"/>
          <w:szCs w:val="20"/>
        </w:rPr>
        <w:t>R</w:t>
      </w:r>
      <w:r>
        <w:rPr>
          <w:rFonts w:ascii="Arial" w:hAnsi="Arial" w:cs="Arial"/>
          <w:color w:val="000000"/>
          <w:sz w:val="20"/>
          <w:szCs w:val="20"/>
        </w:rPr>
        <w:t>esult</w:t>
      </w:r>
      <w:r w:rsidRPr="00A278B1">
        <w:rPr>
          <w:rFonts w:ascii="Arial" w:hAnsi="Arial" w:cs="Arial"/>
          <w:color w:val="000000"/>
          <w:sz w:val="20"/>
          <w:szCs w:val="20"/>
        </w:rPr>
        <w:t xml:space="preserve"> IX.4</w:t>
      </w:r>
      <w:r>
        <w:rPr>
          <w:rFonts w:ascii="Arial" w:hAnsi="Arial" w:cs="Arial"/>
          <w:color w:val="000000"/>
          <w:sz w:val="20"/>
          <w:szCs w:val="20"/>
        </w:rPr>
        <w:t xml:space="preserve"> </w:t>
      </w:r>
      <w:r w:rsidRPr="00FB68E0">
        <w:rPr>
          <w:rFonts w:ascii="Arial" w:hAnsi="Arial" w:cs="Arial"/>
          <w:color w:val="000000"/>
          <w:sz w:val="20"/>
          <w:szCs w:val="20"/>
        </w:rPr>
        <w:t>and</w:t>
      </w:r>
      <w:r>
        <w:rPr>
          <w:rFonts w:ascii="Arial" w:hAnsi="Arial" w:cs="Arial"/>
          <w:color w:val="000000"/>
          <w:sz w:val="20"/>
          <w:szCs w:val="20"/>
        </w:rPr>
        <w:t xml:space="preserve">, on the other hand, </w:t>
      </w:r>
      <w:r w:rsidRPr="00FB68E0">
        <w:rPr>
          <w:rFonts w:ascii="Arial" w:hAnsi="Arial" w:cs="Arial"/>
          <w:color w:val="000000"/>
          <w:sz w:val="20"/>
          <w:szCs w:val="20"/>
        </w:rPr>
        <w:t>a substantial increase in non-personnel resource</w:t>
      </w:r>
      <w:r>
        <w:rPr>
          <w:rFonts w:ascii="Arial" w:hAnsi="Arial" w:cs="Arial"/>
          <w:color w:val="000000"/>
          <w:sz w:val="20"/>
          <w:szCs w:val="20"/>
        </w:rPr>
        <w:t>s</w:t>
      </w:r>
      <w:r w:rsidRPr="00FB68E0">
        <w:rPr>
          <w:rFonts w:ascii="Arial" w:hAnsi="Arial" w:cs="Arial"/>
          <w:color w:val="000000"/>
          <w:sz w:val="20"/>
          <w:szCs w:val="20"/>
        </w:rPr>
        <w:t xml:space="preserve"> </w:t>
      </w:r>
      <w:r>
        <w:rPr>
          <w:rFonts w:ascii="Arial" w:hAnsi="Arial" w:cs="Arial"/>
          <w:color w:val="000000"/>
          <w:sz w:val="20"/>
          <w:szCs w:val="20"/>
        </w:rPr>
        <w:t>due to the Organization’s increased dependence on reliable and effective ICT infrastructure and services</w:t>
      </w:r>
      <w:r w:rsidRPr="00A278B1">
        <w:rPr>
          <w:rFonts w:ascii="Arial" w:hAnsi="Arial" w:cs="Arial"/>
          <w:color w:val="000000"/>
          <w:sz w:val="20"/>
          <w:szCs w:val="20"/>
        </w:rPr>
        <w:t>, reflected under E</w:t>
      </w:r>
      <w:r>
        <w:rPr>
          <w:rFonts w:ascii="Arial" w:hAnsi="Arial" w:cs="Arial"/>
          <w:color w:val="000000"/>
          <w:sz w:val="20"/>
          <w:szCs w:val="20"/>
        </w:rPr>
        <w:t xml:space="preserve">xpected </w:t>
      </w:r>
      <w:r w:rsidRPr="00A278B1">
        <w:rPr>
          <w:rFonts w:ascii="Arial" w:hAnsi="Arial" w:cs="Arial"/>
          <w:color w:val="000000"/>
          <w:sz w:val="20"/>
          <w:szCs w:val="20"/>
        </w:rPr>
        <w:t>R</w:t>
      </w:r>
      <w:r>
        <w:rPr>
          <w:rFonts w:ascii="Arial" w:hAnsi="Arial" w:cs="Arial"/>
          <w:color w:val="000000"/>
          <w:sz w:val="20"/>
          <w:szCs w:val="20"/>
        </w:rPr>
        <w:t>esult</w:t>
      </w:r>
      <w:r w:rsidRPr="00A278B1">
        <w:rPr>
          <w:rFonts w:ascii="Arial" w:hAnsi="Arial" w:cs="Arial"/>
          <w:color w:val="000000"/>
          <w:sz w:val="20"/>
          <w:szCs w:val="20"/>
        </w:rPr>
        <w:t xml:space="preserve"> IX.1</w:t>
      </w:r>
      <w:r w:rsidRPr="00FB68E0">
        <w:rPr>
          <w:rFonts w:ascii="Arial" w:hAnsi="Arial" w:cs="Arial"/>
          <w:color w:val="000000"/>
          <w:sz w:val="20"/>
          <w:szCs w:val="20"/>
        </w:rPr>
        <w:t>.</w:t>
      </w:r>
      <w:r w:rsidR="00E57011">
        <w:rPr>
          <w:rFonts w:ascii="Arial" w:hAnsi="Arial" w:cs="Arial"/>
          <w:color w:val="000000"/>
          <w:sz w:val="20"/>
          <w:szCs w:val="20"/>
        </w:rPr>
        <w:t xml:space="preserve"> </w:t>
      </w:r>
      <w:r w:rsidR="006A2734" w:rsidRPr="006A2734">
        <w:rPr>
          <w:rFonts w:ascii="Arial" w:hAnsi="Arial" w:cs="Arial"/>
          <w:color w:val="000000"/>
          <w:sz w:val="20"/>
          <w:szCs w:val="20"/>
        </w:rPr>
        <w:t>The res</w:t>
      </w:r>
      <w:r w:rsidR="00E57011">
        <w:rPr>
          <w:rFonts w:ascii="Arial" w:hAnsi="Arial" w:cs="Arial"/>
          <w:color w:val="000000"/>
          <w:sz w:val="20"/>
          <w:szCs w:val="20"/>
        </w:rPr>
        <w:t>o</w:t>
      </w:r>
      <w:r w:rsidR="006A2734" w:rsidRPr="006A2734">
        <w:rPr>
          <w:rFonts w:ascii="Arial" w:hAnsi="Arial" w:cs="Arial"/>
          <w:color w:val="000000"/>
          <w:sz w:val="20"/>
          <w:szCs w:val="20"/>
        </w:rPr>
        <w:t>urces</w:t>
      </w:r>
      <w:r w:rsidR="00E57011">
        <w:rPr>
          <w:rFonts w:ascii="Arial" w:hAnsi="Arial" w:cs="Arial"/>
          <w:color w:val="000000"/>
          <w:sz w:val="20"/>
          <w:szCs w:val="20"/>
        </w:rPr>
        <w:t xml:space="preserve"> under Expected Result IX.4 reflect the Program’s collaboration with the Program 5 (The PCT System) to enhance PCT resilience and security levels. </w:t>
      </w:r>
    </w:p>
    <w:p w14:paraId="77F27863" w14:textId="77777777" w:rsidR="003013AB" w:rsidRPr="009E3929" w:rsidRDefault="003013AB" w:rsidP="009E3929">
      <w:pPr>
        <w:autoSpaceDE w:val="0"/>
        <w:autoSpaceDN w:val="0"/>
        <w:adjustRightInd w:val="0"/>
        <w:rPr>
          <w:rFonts w:ascii="Arial" w:hAnsi="Arial" w:cs="Arial"/>
          <w:sz w:val="20"/>
        </w:rPr>
      </w:pPr>
    </w:p>
    <w:p w14:paraId="4F0E8C3B" w14:textId="77777777" w:rsidR="003013AB" w:rsidRPr="00E234A3" w:rsidRDefault="003013AB" w:rsidP="00FB68E0">
      <w:pPr>
        <w:keepNext/>
        <w:keepLines/>
        <w:tabs>
          <w:tab w:val="left" w:pos="1427"/>
        </w:tabs>
        <w:jc w:val="center"/>
        <w:rPr>
          <w:rFonts w:ascii="Arial" w:hAnsi="Arial" w:cs="Arial"/>
          <w:sz w:val="20"/>
          <w:szCs w:val="20"/>
          <w:lang w:eastAsia="en-US"/>
        </w:rPr>
      </w:pPr>
      <w:r>
        <w:rPr>
          <w:rFonts w:ascii="Arial" w:hAnsi="Arial" w:cs="Arial"/>
          <w:b/>
          <w:sz w:val="20"/>
          <w:szCs w:val="24"/>
        </w:rPr>
        <w:lastRenderedPageBreak/>
        <w:t>Program 25</w:t>
      </w:r>
      <w:r w:rsidRPr="00E234A3">
        <w:rPr>
          <w:rFonts w:ascii="Arial" w:hAnsi="Arial" w:cs="Arial"/>
          <w:b/>
          <w:sz w:val="20"/>
          <w:szCs w:val="24"/>
        </w:rPr>
        <w:t xml:space="preserve">:  Resources by </w:t>
      </w:r>
      <w:r>
        <w:rPr>
          <w:rFonts w:ascii="Arial" w:hAnsi="Arial" w:cs="Arial"/>
          <w:b/>
          <w:sz w:val="20"/>
          <w:szCs w:val="24"/>
        </w:rPr>
        <w:t>Result</w:t>
      </w:r>
    </w:p>
    <w:p w14:paraId="7C269297" w14:textId="77777777" w:rsidR="003013AB" w:rsidRPr="00E234A3" w:rsidRDefault="003013AB" w:rsidP="00FB68E0">
      <w:pPr>
        <w:keepNext/>
        <w:keepLines/>
        <w:tabs>
          <w:tab w:val="left" w:pos="1427"/>
        </w:tabs>
        <w:spacing w:after="120"/>
        <w:jc w:val="center"/>
        <w:rPr>
          <w:rFonts w:ascii="Arial" w:hAnsi="Arial" w:cs="Arial"/>
          <w:i/>
          <w:sz w:val="20"/>
          <w:szCs w:val="24"/>
        </w:rPr>
      </w:pPr>
      <w:r w:rsidRPr="00E234A3">
        <w:rPr>
          <w:rFonts w:ascii="Arial" w:hAnsi="Arial" w:cs="Arial"/>
          <w:i/>
          <w:sz w:val="20"/>
          <w:szCs w:val="24"/>
        </w:rPr>
        <w:t>(In thousands of Swiss francs)</w:t>
      </w:r>
    </w:p>
    <w:p w14:paraId="10AC92D0" w14:textId="77777777" w:rsidR="001859D8" w:rsidRDefault="003013AB" w:rsidP="00FB68E0">
      <w:pPr>
        <w:keepNext/>
        <w:keepLines/>
        <w:autoSpaceDE w:val="0"/>
        <w:autoSpaceDN w:val="0"/>
        <w:adjustRightInd w:val="0"/>
        <w:jc w:val="center"/>
        <w:rPr>
          <w:rFonts w:ascii="Arial" w:hAnsi="Arial" w:cs="Arial"/>
          <w:b/>
          <w:sz w:val="20"/>
          <w:szCs w:val="24"/>
        </w:rPr>
      </w:pPr>
      <w:r w:rsidRPr="000475D1">
        <w:rPr>
          <w:noProof/>
          <w:lang w:eastAsia="en-US"/>
        </w:rPr>
        <w:drawing>
          <wp:inline distT="0" distB="0" distL="0" distR="0" wp14:anchorId="7D0D5A97" wp14:editId="6351A1C4">
            <wp:extent cx="5082639" cy="1717484"/>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109268" cy="1726482"/>
                    </a:xfrm>
                    <a:prstGeom prst="rect">
                      <a:avLst/>
                    </a:prstGeom>
                    <a:noFill/>
                    <a:ln>
                      <a:noFill/>
                    </a:ln>
                  </pic:spPr>
                </pic:pic>
              </a:graphicData>
            </a:graphic>
          </wp:inline>
        </w:drawing>
      </w:r>
    </w:p>
    <w:p w14:paraId="6A1079EC" w14:textId="77777777" w:rsidR="001859D8" w:rsidRPr="00323604" w:rsidRDefault="001859D8" w:rsidP="009E3929">
      <w:pPr>
        <w:autoSpaceDE w:val="0"/>
        <w:autoSpaceDN w:val="0"/>
        <w:adjustRightInd w:val="0"/>
        <w:jc w:val="center"/>
        <w:rPr>
          <w:rFonts w:ascii="Arial" w:hAnsi="Arial" w:cs="Arial"/>
          <w:b/>
          <w:sz w:val="18"/>
          <w:szCs w:val="24"/>
        </w:rPr>
      </w:pPr>
    </w:p>
    <w:p w14:paraId="0930C179" w14:textId="77777777" w:rsidR="00323604" w:rsidRPr="00323604" w:rsidRDefault="00323604" w:rsidP="009E3929">
      <w:pPr>
        <w:autoSpaceDE w:val="0"/>
        <w:autoSpaceDN w:val="0"/>
        <w:adjustRightInd w:val="0"/>
        <w:jc w:val="center"/>
        <w:rPr>
          <w:rFonts w:ascii="Arial" w:hAnsi="Arial" w:cs="Arial"/>
          <w:b/>
          <w:sz w:val="18"/>
          <w:szCs w:val="24"/>
        </w:rPr>
      </w:pPr>
    </w:p>
    <w:p w14:paraId="1F49D3CF" w14:textId="69F2E54E" w:rsidR="003013AB" w:rsidRPr="00E234A3" w:rsidRDefault="003013AB" w:rsidP="008D3EC2">
      <w:pPr>
        <w:jc w:val="center"/>
        <w:rPr>
          <w:rFonts w:ascii="Arial" w:hAnsi="Arial" w:cs="Arial"/>
          <w:sz w:val="20"/>
          <w:szCs w:val="20"/>
          <w:lang w:eastAsia="en-US"/>
        </w:rPr>
      </w:pPr>
      <w:r>
        <w:rPr>
          <w:rFonts w:ascii="Arial" w:hAnsi="Arial" w:cs="Arial"/>
          <w:b/>
          <w:sz w:val="20"/>
          <w:szCs w:val="24"/>
        </w:rPr>
        <w:t>Program 25</w:t>
      </w:r>
      <w:r w:rsidRPr="00E234A3">
        <w:rPr>
          <w:rFonts w:ascii="Arial" w:hAnsi="Arial" w:cs="Arial"/>
          <w:b/>
          <w:sz w:val="20"/>
          <w:szCs w:val="24"/>
        </w:rPr>
        <w:t>:  Resources by Object of Expenditure</w:t>
      </w:r>
    </w:p>
    <w:p w14:paraId="6E4F6F42" w14:textId="77777777" w:rsidR="003013AB" w:rsidRPr="00E234A3" w:rsidRDefault="003013AB" w:rsidP="00FB68E0">
      <w:pPr>
        <w:tabs>
          <w:tab w:val="left" w:pos="1427"/>
        </w:tabs>
        <w:spacing w:after="120"/>
        <w:jc w:val="center"/>
        <w:rPr>
          <w:rFonts w:ascii="Arial" w:hAnsi="Arial" w:cs="Arial"/>
          <w:i/>
          <w:sz w:val="20"/>
          <w:szCs w:val="24"/>
        </w:rPr>
      </w:pPr>
      <w:r w:rsidRPr="00E234A3">
        <w:rPr>
          <w:rFonts w:ascii="Arial" w:hAnsi="Arial" w:cs="Arial"/>
          <w:i/>
          <w:sz w:val="20"/>
          <w:szCs w:val="24"/>
        </w:rPr>
        <w:t>(In thousands of Swiss francs)</w:t>
      </w:r>
    </w:p>
    <w:p w14:paraId="68126DF6" w14:textId="77777777" w:rsidR="003013AB" w:rsidRDefault="003013AB" w:rsidP="008D3EC2">
      <w:pPr>
        <w:autoSpaceDE w:val="0"/>
        <w:autoSpaceDN w:val="0"/>
        <w:adjustRightInd w:val="0"/>
        <w:jc w:val="center"/>
        <w:rPr>
          <w:rFonts w:ascii="Arial" w:hAnsi="Arial" w:cs="Arial"/>
          <w:sz w:val="20"/>
        </w:rPr>
      </w:pPr>
      <w:r w:rsidRPr="0077173B">
        <w:rPr>
          <w:noProof/>
          <w:lang w:eastAsia="en-US"/>
        </w:rPr>
        <w:drawing>
          <wp:inline distT="0" distB="0" distL="0" distR="0" wp14:anchorId="73D6C0F8" wp14:editId="670D6D8E">
            <wp:extent cx="5100165" cy="5740842"/>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03833" cy="5744971"/>
                    </a:xfrm>
                    <a:prstGeom prst="rect">
                      <a:avLst/>
                    </a:prstGeom>
                    <a:noFill/>
                    <a:ln>
                      <a:noFill/>
                    </a:ln>
                  </pic:spPr>
                </pic:pic>
              </a:graphicData>
            </a:graphic>
          </wp:inline>
        </w:drawing>
      </w:r>
    </w:p>
    <w:p w14:paraId="0571E290" w14:textId="5C11C588" w:rsidR="008D3EC2" w:rsidRDefault="008D3EC2">
      <w:pPr>
        <w:rPr>
          <w:rFonts w:ascii="Arial" w:hAnsi="Arial" w:cs="Arial"/>
          <w:sz w:val="20"/>
        </w:rPr>
      </w:pPr>
      <w:r>
        <w:rPr>
          <w:rFonts w:ascii="Arial" w:hAnsi="Arial" w:cs="Arial"/>
          <w:sz w:val="20"/>
        </w:rPr>
        <w:br w:type="page"/>
      </w:r>
    </w:p>
    <w:p w14:paraId="0F096CF5" w14:textId="77777777" w:rsidR="008D3EC2" w:rsidRPr="00FB3402" w:rsidRDefault="008D3EC2" w:rsidP="008D3EC2">
      <w:pPr>
        <w:pStyle w:val="StyleHeading3ComplexItalic"/>
      </w:pPr>
      <w:bookmarkStart w:id="75" w:name="_Toc431221441"/>
      <w:r w:rsidRPr="00FB3402">
        <w:lastRenderedPageBreak/>
        <w:t>PROGRAM 26</w:t>
      </w:r>
      <w:r w:rsidRPr="00FB3402">
        <w:tab/>
        <w:t>INTERNAL OVERSIGHT</w:t>
      </w:r>
      <w:bookmarkEnd w:id="75"/>
    </w:p>
    <w:p w14:paraId="77A59CF6" w14:textId="77777777" w:rsidR="008D3EC2" w:rsidRDefault="008D3EC2" w:rsidP="008D3EC2">
      <w:pPr>
        <w:jc w:val="both"/>
        <w:rPr>
          <w:rFonts w:ascii="Arial" w:hAnsi="Arial" w:cs="Arial"/>
          <w:b/>
          <w:bCs/>
        </w:rPr>
      </w:pPr>
    </w:p>
    <w:p w14:paraId="27837EC8" w14:textId="77777777" w:rsidR="008D3EC2" w:rsidRDefault="008D3EC2" w:rsidP="008D3EC2">
      <w:pPr>
        <w:jc w:val="both"/>
        <w:rPr>
          <w:rFonts w:ascii="Arial" w:hAnsi="Arial" w:cs="Arial"/>
          <w:b/>
          <w:bCs/>
        </w:rPr>
      </w:pPr>
    </w:p>
    <w:p w14:paraId="7AA38A68" w14:textId="77777777" w:rsidR="008D3EC2" w:rsidRDefault="008D3EC2" w:rsidP="008D3EC2">
      <w:pPr>
        <w:jc w:val="both"/>
        <w:rPr>
          <w:rFonts w:ascii="Arial" w:hAnsi="Arial" w:cs="Arial"/>
          <w:bCs/>
        </w:rPr>
      </w:pPr>
      <w:r w:rsidRPr="00115560">
        <w:rPr>
          <w:rFonts w:ascii="Arial" w:hAnsi="Arial" w:cs="Arial"/>
          <w:bCs/>
        </w:rPr>
        <w:t>PLANNING CONTEXT</w:t>
      </w:r>
    </w:p>
    <w:p w14:paraId="6F01AA1F" w14:textId="77777777" w:rsidR="008D3EC2" w:rsidRPr="00146D7F" w:rsidRDefault="008D3EC2" w:rsidP="008D3EC2">
      <w:pPr>
        <w:jc w:val="both"/>
        <w:rPr>
          <w:rFonts w:ascii="Arial" w:hAnsi="Arial" w:cs="Arial"/>
          <w:bCs/>
        </w:rPr>
      </w:pPr>
    </w:p>
    <w:p w14:paraId="2DE84825" w14:textId="77777777" w:rsidR="008D3EC2" w:rsidRPr="009062E7"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rPr>
      </w:pPr>
      <w:r w:rsidRPr="009062E7">
        <w:rPr>
          <w:rFonts w:ascii="Arial" w:hAnsi="Arial" w:cs="Arial"/>
          <w:sz w:val="20"/>
        </w:rPr>
        <w:t>The Internal Oversight Division (IOD) serves as an independent and objective reviewer of WIPO operations, program implementation and business systems.  IOD examines the aforementioned based on risk and relevance to WIPO management and constituencies with a view towards promoting economy, efficiency, effectiveness and impact of the Secretariat’s work.  IOD</w:t>
      </w:r>
      <w:r>
        <w:rPr>
          <w:rFonts w:ascii="Arial" w:hAnsi="Arial" w:cs="Arial"/>
          <w:sz w:val="20"/>
        </w:rPr>
        <w:t xml:space="preserve"> </w:t>
      </w:r>
      <w:r w:rsidRPr="009062E7">
        <w:rPr>
          <w:rFonts w:ascii="Arial" w:hAnsi="Arial" w:cs="Arial"/>
          <w:sz w:val="20"/>
        </w:rPr>
        <w:t>evaluates, in an independent manner, WIPO’s control and business systems and processes in order to identify good practices, shortcomings and to provide recommendations for their improvement.</w:t>
      </w:r>
      <w:r>
        <w:rPr>
          <w:rFonts w:ascii="Arial" w:hAnsi="Arial" w:cs="Arial"/>
          <w:sz w:val="20"/>
        </w:rPr>
        <w:t xml:space="preserve">  </w:t>
      </w:r>
      <w:r w:rsidRPr="009062E7">
        <w:rPr>
          <w:rFonts w:ascii="Arial" w:hAnsi="Arial" w:cs="Arial"/>
          <w:sz w:val="20"/>
        </w:rPr>
        <w:t>IOD also investigates allegations of fraud, abuse and other misconduct, and provides recommendations to prevent such practices.  Administratively, IOD reports to the Director General and provides reasonable and objective assurance to the Member States on the effectiveness, efficiency, economy and relevance of WIPO operations, program implementation and business systems.  IOD also assesses the safeguarding of assets, whether funds entrusted to the Organization are fully accounted for and that management practices and internal controls are adequate and functioning well.  IOD activities have been designed to add value to the Organization in accordance with WIPO’s Internal Oversight Charter.</w:t>
      </w:r>
    </w:p>
    <w:p w14:paraId="43248809" w14:textId="77777777" w:rsidR="008D3EC2" w:rsidRPr="00146D7F" w:rsidRDefault="008D3EC2" w:rsidP="008D3EC2">
      <w:pPr>
        <w:spacing w:before="240" w:after="240"/>
        <w:jc w:val="both"/>
        <w:rPr>
          <w:rFonts w:ascii="Arial" w:hAnsi="Arial" w:cs="Arial"/>
          <w:bCs/>
        </w:rPr>
      </w:pPr>
      <w:r w:rsidRPr="00115560">
        <w:rPr>
          <w:rFonts w:ascii="Arial" w:hAnsi="Arial" w:cs="Arial"/>
          <w:bCs/>
        </w:rPr>
        <w:t>IMPLEMENTATION STRATEGIES</w:t>
      </w:r>
    </w:p>
    <w:p w14:paraId="6B839DE1"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115560">
        <w:rPr>
          <w:rFonts w:ascii="Arial" w:hAnsi="Arial" w:cs="Arial"/>
          <w:sz w:val="20"/>
          <w:szCs w:val="20"/>
        </w:rPr>
        <w:t xml:space="preserve">IOD will conduct objective assessments of management processes and systems to assess the adequacy of good stewardship of both the monetary and physical resources of the Organization. </w:t>
      </w:r>
      <w:r>
        <w:rPr>
          <w:rFonts w:ascii="Arial" w:hAnsi="Arial" w:cs="Arial"/>
          <w:sz w:val="20"/>
          <w:szCs w:val="20"/>
        </w:rPr>
        <w:t xml:space="preserve"> </w:t>
      </w:r>
      <w:r w:rsidRPr="00115560">
        <w:rPr>
          <w:rFonts w:ascii="Arial" w:hAnsi="Arial" w:cs="Arial"/>
          <w:sz w:val="20"/>
          <w:szCs w:val="20"/>
        </w:rPr>
        <w:t>It will also assess the adequacy and effectiveness of internal controls, risk management and governance processes and provide reasonable assurance as to whether WIPO‘s operations are in conformity with its governing regulations. Institutional learning and accountability through transparent and participatory oversight processes will continue to be fostered.</w:t>
      </w:r>
    </w:p>
    <w:p w14:paraId="334CAE0F"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1FBE4FE4" w14:textId="0C41A9AE"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I</w:t>
      </w:r>
      <w:r w:rsidRPr="00115560">
        <w:rPr>
          <w:rFonts w:ascii="Arial" w:hAnsi="Arial" w:cs="Arial"/>
          <w:sz w:val="20"/>
          <w:szCs w:val="20"/>
        </w:rPr>
        <w:t>O</w:t>
      </w:r>
      <w:r w:rsidR="008F082B">
        <w:rPr>
          <w:rFonts w:ascii="Arial" w:hAnsi="Arial" w:cs="Arial"/>
          <w:sz w:val="20"/>
          <w:szCs w:val="20"/>
        </w:rPr>
        <w:t>D</w:t>
      </w:r>
      <w:r w:rsidRPr="00115560">
        <w:rPr>
          <w:rFonts w:ascii="Arial" w:hAnsi="Arial" w:cs="Arial"/>
          <w:sz w:val="20"/>
          <w:szCs w:val="20"/>
        </w:rPr>
        <w:t xml:space="preserve"> will continue to support management in the development and implementation of an efficient and effective Ethics and Integrity Framework within which duties, roles, responsibilities and rights of all WIPO staff have clearly been defined. </w:t>
      </w:r>
      <w:r>
        <w:rPr>
          <w:rFonts w:ascii="Arial" w:hAnsi="Arial" w:cs="Arial"/>
          <w:sz w:val="20"/>
          <w:szCs w:val="20"/>
        </w:rPr>
        <w:t xml:space="preserve"> </w:t>
      </w:r>
      <w:r w:rsidRPr="00115560">
        <w:rPr>
          <w:rFonts w:ascii="Arial" w:hAnsi="Arial" w:cs="Arial"/>
          <w:sz w:val="20"/>
          <w:szCs w:val="20"/>
        </w:rPr>
        <w:t xml:space="preserve">This will be accomplished through provision of timely investigation reports conducted in accordance with generally accepted investigation standards and good practices within the UN system.  </w:t>
      </w:r>
    </w:p>
    <w:p w14:paraId="630B9A85"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F33BF1A"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IOD</w:t>
      </w:r>
      <w:r w:rsidRPr="00115560">
        <w:rPr>
          <w:rFonts w:ascii="Arial" w:hAnsi="Arial" w:cs="Arial"/>
          <w:sz w:val="20"/>
          <w:szCs w:val="20"/>
        </w:rPr>
        <w:t xml:space="preserve"> will build on the results and recommendations of the external quality assessments of its three functions</w:t>
      </w:r>
      <w:r>
        <w:rPr>
          <w:rFonts w:ascii="Arial" w:hAnsi="Arial" w:cs="Arial"/>
          <w:sz w:val="20"/>
        </w:rPr>
        <w:t>,</w:t>
      </w:r>
      <w:r w:rsidRPr="00115560">
        <w:rPr>
          <w:rFonts w:ascii="Arial" w:hAnsi="Arial" w:cs="Arial"/>
          <w:sz w:val="20"/>
          <w:szCs w:val="20"/>
        </w:rPr>
        <w:t xml:space="preserve"> audit, evaluation and investigation</w:t>
      </w:r>
      <w:r>
        <w:rPr>
          <w:rFonts w:ascii="Arial" w:hAnsi="Arial" w:cs="Arial"/>
          <w:sz w:val="20"/>
        </w:rPr>
        <w:t xml:space="preserve">, </w:t>
      </w:r>
      <w:r w:rsidRPr="00115560">
        <w:rPr>
          <w:rFonts w:ascii="Arial" w:hAnsi="Arial" w:cs="Arial"/>
          <w:sz w:val="20"/>
          <w:szCs w:val="20"/>
        </w:rPr>
        <w:t xml:space="preserve">performed in 2014/15 to improve its service delivery to the Organization. </w:t>
      </w:r>
      <w:r>
        <w:rPr>
          <w:rFonts w:ascii="Arial" w:hAnsi="Arial" w:cs="Arial"/>
          <w:sz w:val="20"/>
          <w:szCs w:val="20"/>
        </w:rPr>
        <w:t xml:space="preserve"> </w:t>
      </w:r>
      <w:r w:rsidRPr="00115560">
        <w:rPr>
          <w:rFonts w:ascii="Arial" w:hAnsi="Arial" w:cs="Arial"/>
          <w:sz w:val="20"/>
          <w:szCs w:val="20"/>
        </w:rPr>
        <w:t>It will use the three disciplines to provide high level services to the Organization and strengthen the synergies between them through common planning, training and follow-up activities, among other tools.  In addition, appropriate oversight tools, such as manuals, policies and guidelines will continue to be developed and updated in line with internationally recognized professional standards and good practices from the UN and other international organizations.</w:t>
      </w:r>
    </w:p>
    <w:p w14:paraId="0F3719AC"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FE08B10"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Professional</w:t>
      </w:r>
      <w:r w:rsidRPr="00115560">
        <w:rPr>
          <w:rFonts w:ascii="Arial" w:hAnsi="Arial" w:cs="Arial"/>
          <w:sz w:val="20"/>
          <w:szCs w:val="20"/>
        </w:rPr>
        <w:t xml:space="preserve"> support and advice will continue to be provided, as appropriate, to all Program Managers, including real time advice through continuous auditing and short cycle evaluations and reviews. IOD will continue to provide for a “hot line” for reporting wrongdoing and possible misconduct in WIPO, in conjunction with proactive investigations, which will be conducted to identify unreported instances of fraud or abuse and propose controls to mitigate the consequences of such actions.  </w:t>
      </w:r>
    </w:p>
    <w:p w14:paraId="7443CBC3"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67ECE7B5" w14:textId="5C52DA8F"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Cooperation</w:t>
      </w:r>
      <w:r w:rsidRPr="00115560">
        <w:rPr>
          <w:rFonts w:ascii="Arial" w:hAnsi="Arial" w:cs="Arial"/>
          <w:sz w:val="20"/>
          <w:szCs w:val="20"/>
        </w:rPr>
        <w:t xml:space="preserve"> and coordination with the External Auditor and other </w:t>
      </w:r>
      <w:r w:rsidR="008F082B">
        <w:rPr>
          <w:rFonts w:ascii="Arial" w:hAnsi="Arial" w:cs="Arial"/>
          <w:sz w:val="20"/>
          <w:szCs w:val="20"/>
        </w:rPr>
        <w:t xml:space="preserve">oversight </w:t>
      </w:r>
      <w:r w:rsidRPr="00115560">
        <w:rPr>
          <w:rFonts w:ascii="Arial" w:hAnsi="Arial" w:cs="Arial"/>
          <w:sz w:val="20"/>
          <w:szCs w:val="20"/>
        </w:rPr>
        <w:t xml:space="preserve">assurance providers will remain a high priority. </w:t>
      </w:r>
      <w:r>
        <w:rPr>
          <w:rFonts w:ascii="Arial" w:hAnsi="Arial" w:cs="Arial"/>
          <w:sz w:val="20"/>
          <w:szCs w:val="20"/>
        </w:rPr>
        <w:t xml:space="preserve"> </w:t>
      </w:r>
      <w:r w:rsidRPr="00115560">
        <w:rPr>
          <w:rFonts w:ascii="Arial" w:hAnsi="Arial" w:cs="Arial"/>
          <w:sz w:val="20"/>
          <w:szCs w:val="20"/>
        </w:rPr>
        <w:t>Cooperation with the UN internal oversight community and international and professional associations will continue during the biennium to ensure that internal oversight at WIPO contributes to and benefits from latest developments.</w:t>
      </w:r>
    </w:p>
    <w:p w14:paraId="0681EBF1"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1452038"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Progress</w:t>
      </w:r>
      <w:r w:rsidRPr="00115560">
        <w:rPr>
          <w:rFonts w:ascii="Arial" w:hAnsi="Arial" w:cs="Arial"/>
          <w:sz w:val="20"/>
          <w:szCs w:val="20"/>
        </w:rPr>
        <w:t xml:space="preserve"> in implementing oversight recommendations will be regularly monitored and reported to the Director General, the Independent Advisory Oversight Committee (IAOC) and the WIPO</w:t>
      </w:r>
      <w:r>
        <w:rPr>
          <w:rFonts w:ascii="Arial" w:hAnsi="Arial" w:cs="Arial"/>
          <w:sz w:val="20"/>
          <w:szCs w:val="20"/>
        </w:rPr>
        <w:t> </w:t>
      </w:r>
      <w:r w:rsidRPr="00115560">
        <w:rPr>
          <w:rFonts w:ascii="Arial" w:hAnsi="Arial" w:cs="Arial"/>
          <w:sz w:val="20"/>
          <w:szCs w:val="20"/>
        </w:rPr>
        <w:t>Assemblies.</w:t>
      </w:r>
    </w:p>
    <w:p w14:paraId="43B6209A" w14:textId="77777777" w:rsidR="00CD2918" w:rsidRPr="00115560" w:rsidRDefault="00CD2918" w:rsidP="00FB68E0">
      <w:pPr>
        <w:pStyle w:val="ListParagraph"/>
        <w:tabs>
          <w:tab w:val="left" w:pos="709"/>
        </w:tabs>
        <w:autoSpaceDE w:val="0"/>
        <w:autoSpaceDN w:val="0"/>
        <w:adjustRightInd w:val="0"/>
        <w:spacing w:before="120" w:after="120"/>
        <w:ind w:left="0"/>
        <w:jc w:val="both"/>
        <w:rPr>
          <w:rFonts w:ascii="Arial" w:hAnsi="Arial" w:cs="Arial"/>
          <w:sz w:val="20"/>
          <w:szCs w:val="20"/>
        </w:rPr>
      </w:pPr>
    </w:p>
    <w:p w14:paraId="13F1C981" w14:textId="77777777" w:rsidR="008D3EC2" w:rsidRPr="00115560"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rPr>
      </w:pPr>
      <w:r w:rsidRPr="00115560">
        <w:rPr>
          <w:rFonts w:ascii="Arial" w:hAnsi="Arial" w:cs="Arial"/>
          <w:sz w:val="20"/>
          <w:szCs w:val="20"/>
        </w:rPr>
        <w:lastRenderedPageBreak/>
        <w:t xml:space="preserve">To </w:t>
      </w:r>
      <w:r w:rsidRPr="009062E7">
        <w:rPr>
          <w:rFonts w:ascii="Arial" w:hAnsi="Arial" w:cs="Arial"/>
          <w:sz w:val="20"/>
        </w:rPr>
        <w:t>share</w:t>
      </w:r>
      <w:r w:rsidRPr="00115560">
        <w:rPr>
          <w:rFonts w:ascii="Arial" w:hAnsi="Arial" w:cs="Arial"/>
          <w:sz w:val="20"/>
          <w:szCs w:val="20"/>
        </w:rPr>
        <w:t xml:space="preserve"> lessons and insights from oversight activities with key stakeholders inside and outside WIPO, the main results and outcomes of oversight work will be published and regularly shared through presentations at information and training events.</w:t>
      </w:r>
    </w:p>
    <w:p w14:paraId="3DCC2671" w14:textId="77777777" w:rsidR="008D3EC2" w:rsidRDefault="008D3EC2" w:rsidP="008D3EC2">
      <w:pPr>
        <w:jc w:val="both"/>
        <w:rPr>
          <w:rFonts w:ascii="Arial" w:hAnsi="Arial" w:cs="Arial"/>
        </w:rPr>
      </w:pPr>
    </w:p>
    <w:p w14:paraId="5BEB88F4" w14:textId="77777777" w:rsidR="008D3EC2" w:rsidRPr="00B565D8" w:rsidRDefault="008D3EC2" w:rsidP="008D3EC2">
      <w:pPr>
        <w:jc w:val="both"/>
        <w:rPr>
          <w:rFonts w:ascii="Arial" w:hAnsi="Arial" w:cs="Arial"/>
        </w:rPr>
      </w:pPr>
    </w:p>
    <w:p w14:paraId="75F1D28D" w14:textId="77777777" w:rsidR="008D3EC2" w:rsidRPr="009062E7" w:rsidRDefault="008D3EC2" w:rsidP="008D3EC2">
      <w:pPr>
        <w:rPr>
          <w:rFonts w:ascii="Arial" w:eastAsia="SimSun" w:hAnsi="Arial" w:cs="Arial"/>
        </w:rPr>
      </w:pPr>
      <w:r w:rsidRPr="009062E7">
        <w:rPr>
          <w:rFonts w:ascii="Arial" w:eastAsia="SimSun" w:hAnsi="Arial" w:cs="Arial"/>
        </w:rPr>
        <w:t>MAJOR RISKS AND MITIGATION STRATEGIES</w:t>
      </w:r>
    </w:p>
    <w:p w14:paraId="59276A3A" w14:textId="77777777" w:rsidR="008D3EC2" w:rsidRPr="00B565D8" w:rsidRDefault="008D3EC2" w:rsidP="008D3EC2">
      <w:pPr>
        <w:spacing w:line="276" w:lineRule="auto"/>
        <w:rPr>
          <w:rFonts w:ascii="Arial" w:hAnsi="Arial" w:cs="Arial"/>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8D3EC2" w:rsidRPr="00B565D8" w14:paraId="4037E360" w14:textId="77777777" w:rsidTr="008D3EC2">
        <w:trPr>
          <w:trHeight w:val="552"/>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5823086A" w14:textId="77777777" w:rsidR="008D3EC2" w:rsidRPr="00B565D8" w:rsidRDefault="008D3EC2" w:rsidP="008D3EC2">
            <w:pPr>
              <w:spacing w:line="276" w:lineRule="auto"/>
              <w:jc w:val="center"/>
              <w:rPr>
                <w:rFonts w:ascii="Arial" w:eastAsia="Calibri" w:hAnsi="Arial" w:cs="Arial"/>
                <w:b/>
                <w:bCs/>
                <w:sz w:val="18"/>
                <w:szCs w:val="18"/>
              </w:rPr>
            </w:pPr>
            <w:r w:rsidRPr="00B565D8">
              <w:rPr>
                <w:rFonts w:ascii="Arial" w:hAnsi="Arial" w:cs="Arial"/>
                <w:b/>
                <w:bCs/>
                <w:sz w:val="18"/>
                <w:szCs w:val="18"/>
              </w:rPr>
              <w:t>Risk</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5306A013" w14:textId="77777777" w:rsidR="008D3EC2" w:rsidRPr="00B565D8" w:rsidRDefault="008D3EC2" w:rsidP="008D3EC2">
            <w:pPr>
              <w:spacing w:line="276" w:lineRule="auto"/>
              <w:jc w:val="center"/>
              <w:rPr>
                <w:rFonts w:ascii="Arial" w:eastAsia="Calibri" w:hAnsi="Arial" w:cs="Arial"/>
                <w:b/>
                <w:bCs/>
                <w:sz w:val="18"/>
                <w:szCs w:val="18"/>
              </w:rPr>
            </w:pPr>
            <w:r w:rsidRPr="00B565D8">
              <w:rPr>
                <w:rFonts w:ascii="Arial" w:hAnsi="Arial" w:cs="Arial"/>
                <w:b/>
                <w:bCs/>
                <w:sz w:val="18"/>
                <w:szCs w:val="18"/>
              </w:rPr>
              <w:t>Mitigation</w:t>
            </w:r>
          </w:p>
        </w:tc>
      </w:tr>
      <w:tr w:rsidR="008D3EC2" w:rsidRPr="00B565D8" w14:paraId="139F9C23" w14:textId="77777777" w:rsidTr="008D3EC2">
        <w:trPr>
          <w:trHeight w:val="85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14:paraId="3B1AB7FC" w14:textId="77777777" w:rsidR="008D3EC2" w:rsidRPr="00B565D8" w:rsidRDefault="008D3EC2" w:rsidP="008D3EC2">
            <w:pPr>
              <w:rPr>
                <w:rFonts w:ascii="Arial" w:eastAsia="Calibri" w:hAnsi="Arial" w:cs="Arial"/>
                <w:sz w:val="16"/>
                <w:szCs w:val="16"/>
              </w:rPr>
            </w:pPr>
            <w:r w:rsidRPr="00B565D8">
              <w:rPr>
                <w:rFonts w:ascii="Arial" w:eastAsia="Calibri" w:hAnsi="Arial" w:cs="Arial"/>
                <w:sz w:val="16"/>
                <w:szCs w:val="16"/>
              </w:rPr>
              <w:t>Internal oversight activity is not independent and IOD staff are not objective in performing their work.  Impartiality and credibility of the work undertaken would be at stake.  Trust in the oversight function would be diminished.</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14:paraId="0B111DC9" w14:textId="77777777" w:rsidR="008D3EC2" w:rsidRPr="00B565D8" w:rsidRDefault="008D3EC2" w:rsidP="008D3EC2">
            <w:pPr>
              <w:rPr>
                <w:rFonts w:ascii="Arial" w:eastAsia="Calibri" w:hAnsi="Arial" w:cs="Arial"/>
                <w:color w:val="000000"/>
                <w:sz w:val="16"/>
                <w:szCs w:val="16"/>
              </w:rPr>
            </w:pPr>
            <w:r w:rsidRPr="00B565D8">
              <w:rPr>
                <w:rFonts w:ascii="Arial" w:hAnsi="Arial" w:cs="Arial"/>
                <w:color w:val="000000"/>
                <w:sz w:val="16"/>
                <w:szCs w:val="16"/>
              </w:rPr>
              <w:t>Abide by the revised Internal Oversight Charter.  Regular reports to the IAOC.  Annual report to General Assembly on Independence</w:t>
            </w:r>
          </w:p>
          <w:p w14:paraId="2AB05654" w14:textId="77777777" w:rsidR="008D3EC2" w:rsidRPr="00B565D8" w:rsidRDefault="008D3EC2" w:rsidP="008D3EC2">
            <w:pPr>
              <w:rPr>
                <w:rFonts w:ascii="Arial" w:hAnsi="Arial" w:cs="Arial"/>
                <w:color w:val="000000"/>
                <w:sz w:val="16"/>
                <w:szCs w:val="16"/>
              </w:rPr>
            </w:pPr>
          </w:p>
          <w:p w14:paraId="49EC91BB" w14:textId="77777777" w:rsidR="008D3EC2" w:rsidRPr="00B565D8" w:rsidRDefault="008D3EC2" w:rsidP="008D3EC2">
            <w:pPr>
              <w:rPr>
                <w:rFonts w:eastAsia="Calibri"/>
                <w:sz w:val="16"/>
                <w:szCs w:val="16"/>
              </w:rPr>
            </w:pPr>
            <w:r w:rsidRPr="00B565D8">
              <w:rPr>
                <w:rFonts w:ascii="Arial" w:hAnsi="Arial" w:cs="Arial"/>
                <w:color w:val="000000"/>
                <w:sz w:val="16"/>
                <w:szCs w:val="16"/>
              </w:rPr>
              <w:t>External assessments of the independence of oversight functions.</w:t>
            </w:r>
          </w:p>
        </w:tc>
      </w:tr>
    </w:tbl>
    <w:p w14:paraId="6D359F16" w14:textId="77777777" w:rsidR="008D3EC2" w:rsidRPr="00B565D8" w:rsidRDefault="008D3EC2" w:rsidP="008D3EC2">
      <w:pPr>
        <w:rPr>
          <w:rFonts w:ascii="Arial" w:eastAsia="Calibri" w:hAnsi="Arial" w:cs="Arial"/>
          <w:sz w:val="20"/>
        </w:rPr>
      </w:pPr>
    </w:p>
    <w:p w14:paraId="3D250DEC" w14:textId="77777777" w:rsidR="008D3EC2" w:rsidRDefault="008D3EC2" w:rsidP="008D3EC2">
      <w:pPr>
        <w:rPr>
          <w:rFonts w:ascii="Arial" w:hAnsi="Arial" w:cs="Arial"/>
          <w:sz w:val="20"/>
        </w:rPr>
      </w:pPr>
    </w:p>
    <w:p w14:paraId="5193E509" w14:textId="77777777" w:rsidR="008D3EC2" w:rsidRDefault="008D3EC2" w:rsidP="008D3EC2">
      <w:pPr>
        <w:autoSpaceDE w:val="0"/>
        <w:autoSpaceDN w:val="0"/>
        <w:adjustRightInd w:val="0"/>
        <w:jc w:val="both"/>
        <w:rPr>
          <w:rFonts w:ascii="Arial" w:hAnsi="Arial" w:cs="Arial"/>
        </w:rPr>
      </w:pPr>
      <w:r>
        <w:rPr>
          <w:rFonts w:ascii="Arial" w:hAnsi="Arial" w:cs="Arial"/>
        </w:rPr>
        <w:t>RESULTS FRAMEWORK</w:t>
      </w:r>
    </w:p>
    <w:p w14:paraId="31C65CFE" w14:textId="77777777" w:rsidR="008D3EC2" w:rsidRDefault="008D3EC2" w:rsidP="008D3EC2">
      <w:pPr>
        <w:autoSpaceDE w:val="0"/>
        <w:autoSpaceDN w:val="0"/>
        <w:adjustRightInd w:val="0"/>
        <w:jc w:val="both"/>
        <w:rPr>
          <w:rFonts w:ascii="Arial" w:hAnsi="Arial" w:cs="Arial"/>
        </w:rPr>
      </w:pPr>
    </w:p>
    <w:tbl>
      <w:tblPr>
        <w:tblW w:w="9229" w:type="dxa"/>
        <w:tblInd w:w="93" w:type="dxa"/>
        <w:tblLook w:val="04A0" w:firstRow="1" w:lastRow="0" w:firstColumn="1" w:lastColumn="0" w:noHBand="0" w:noVBand="1"/>
      </w:tblPr>
      <w:tblGrid>
        <w:gridCol w:w="2160"/>
        <w:gridCol w:w="2620"/>
        <w:gridCol w:w="2340"/>
        <w:gridCol w:w="2109"/>
      </w:tblGrid>
      <w:tr w:rsidR="008D3EC2" w:rsidRPr="00D0315E" w14:paraId="6CA05ED0" w14:textId="77777777" w:rsidTr="008D3EC2">
        <w:trPr>
          <w:trHeight w:val="520"/>
        </w:trPr>
        <w:tc>
          <w:tcPr>
            <w:tcW w:w="2160" w:type="dxa"/>
            <w:tcBorders>
              <w:top w:val="single" w:sz="8" w:space="0" w:color="auto"/>
              <w:left w:val="single" w:sz="8" w:space="0" w:color="auto"/>
              <w:bottom w:val="single" w:sz="8" w:space="0" w:color="auto"/>
              <w:right w:val="nil"/>
            </w:tcBorders>
            <w:shd w:val="clear" w:color="auto" w:fill="C6D9F1" w:themeFill="text2" w:themeFillTint="33"/>
            <w:vAlign w:val="center"/>
            <w:hideMark/>
          </w:tcPr>
          <w:p w14:paraId="21EA4422"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Expected Results</w:t>
            </w:r>
          </w:p>
        </w:tc>
        <w:tc>
          <w:tcPr>
            <w:tcW w:w="2620" w:type="dxa"/>
            <w:tcBorders>
              <w:top w:val="single" w:sz="8" w:space="0" w:color="auto"/>
              <w:left w:val="nil"/>
              <w:bottom w:val="single" w:sz="8" w:space="0" w:color="auto"/>
              <w:right w:val="nil"/>
            </w:tcBorders>
            <w:shd w:val="clear" w:color="auto" w:fill="C6D9F1" w:themeFill="text2" w:themeFillTint="33"/>
            <w:vAlign w:val="center"/>
            <w:hideMark/>
          </w:tcPr>
          <w:p w14:paraId="3344873F"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Performance Indicators</w:t>
            </w:r>
          </w:p>
        </w:tc>
        <w:tc>
          <w:tcPr>
            <w:tcW w:w="2340" w:type="dxa"/>
            <w:tcBorders>
              <w:top w:val="single" w:sz="8" w:space="0" w:color="auto"/>
              <w:left w:val="nil"/>
              <w:bottom w:val="single" w:sz="8" w:space="0" w:color="auto"/>
              <w:right w:val="nil"/>
            </w:tcBorders>
            <w:shd w:val="clear" w:color="auto" w:fill="C6D9F1" w:themeFill="text2" w:themeFillTint="33"/>
            <w:vAlign w:val="center"/>
            <w:hideMark/>
          </w:tcPr>
          <w:p w14:paraId="67054CE2"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Baselines</w:t>
            </w:r>
          </w:p>
        </w:tc>
        <w:tc>
          <w:tcPr>
            <w:tcW w:w="2109"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51636180"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Targets</w:t>
            </w:r>
          </w:p>
        </w:tc>
      </w:tr>
      <w:tr w:rsidR="008D3EC2" w:rsidRPr="00D0315E" w14:paraId="009AE6BE" w14:textId="77777777" w:rsidTr="008D3EC2">
        <w:trPr>
          <w:trHeight w:val="1083"/>
        </w:trPr>
        <w:tc>
          <w:tcPr>
            <w:tcW w:w="2160" w:type="dxa"/>
            <w:vMerge w:val="restart"/>
            <w:tcBorders>
              <w:top w:val="single" w:sz="8" w:space="0" w:color="auto"/>
              <w:left w:val="single" w:sz="4" w:space="0" w:color="auto"/>
              <w:bottom w:val="single" w:sz="4" w:space="0" w:color="000000"/>
              <w:right w:val="nil"/>
            </w:tcBorders>
            <w:shd w:val="clear" w:color="000000" w:fill="FFFFFF"/>
            <w:hideMark/>
          </w:tcPr>
          <w:p w14:paraId="5F62404E" w14:textId="77777777" w:rsidR="008D3EC2" w:rsidRPr="00D0315E" w:rsidRDefault="008D3EC2" w:rsidP="008D3EC2">
            <w:pPr>
              <w:rPr>
                <w:rFonts w:ascii="Arial" w:hAnsi="Arial" w:cs="Arial"/>
                <w:color w:val="000000"/>
                <w:sz w:val="16"/>
                <w:szCs w:val="16"/>
              </w:rPr>
            </w:pPr>
            <w:r w:rsidRPr="00D0315E">
              <w:rPr>
                <w:rFonts w:ascii="Arial" w:hAnsi="Arial" w:cs="Arial"/>
                <w:color w:val="000000"/>
                <w:sz w:val="16"/>
                <w:szCs w:val="16"/>
              </w:rPr>
              <w:br/>
              <w:t>IX.8 Improved accountability, organizational learning, value for money, stewardship, internal control and corporate governance through assistance from effective and independent oversight</w:t>
            </w:r>
          </w:p>
        </w:tc>
        <w:tc>
          <w:tcPr>
            <w:tcW w:w="2620" w:type="dxa"/>
            <w:tcBorders>
              <w:top w:val="single" w:sz="8" w:space="0" w:color="auto"/>
              <w:left w:val="nil"/>
              <w:bottom w:val="nil"/>
              <w:right w:val="nil"/>
            </w:tcBorders>
            <w:shd w:val="clear" w:color="000000" w:fill="FFFFFF"/>
            <w:hideMark/>
          </w:tcPr>
          <w:p w14:paraId="5749DC02"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br/>
              <w:t>INDEPENDENCE - No</w:t>
            </w:r>
            <w:r w:rsidRPr="00D0315E">
              <w:rPr>
                <w:rFonts w:ascii="Arial" w:hAnsi="Arial" w:cs="Arial"/>
                <w:color w:val="000000"/>
                <w:sz w:val="16"/>
                <w:szCs w:val="16"/>
              </w:rPr>
              <w:t xml:space="preserve"> interference and perceived independence by key stakeholders</w:t>
            </w:r>
          </w:p>
        </w:tc>
        <w:tc>
          <w:tcPr>
            <w:tcW w:w="2340" w:type="dxa"/>
            <w:tcBorders>
              <w:top w:val="single" w:sz="8" w:space="0" w:color="auto"/>
              <w:left w:val="nil"/>
              <w:bottom w:val="nil"/>
              <w:right w:val="nil"/>
            </w:tcBorders>
            <w:shd w:val="clear" w:color="000000" w:fill="FFFFFF"/>
            <w:hideMark/>
          </w:tcPr>
          <w:p w14:paraId="478A133D"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br/>
              <w:t>No</w:t>
            </w:r>
            <w:r w:rsidRPr="00D0315E">
              <w:rPr>
                <w:rFonts w:ascii="Arial" w:hAnsi="Arial" w:cs="Arial"/>
                <w:color w:val="000000"/>
                <w:sz w:val="16"/>
                <w:szCs w:val="16"/>
              </w:rPr>
              <w:t xml:space="preserve"> interference in IOD's work</w:t>
            </w:r>
          </w:p>
        </w:tc>
        <w:tc>
          <w:tcPr>
            <w:tcW w:w="2109" w:type="dxa"/>
            <w:tcBorders>
              <w:top w:val="single" w:sz="8" w:space="0" w:color="auto"/>
              <w:left w:val="nil"/>
              <w:bottom w:val="nil"/>
              <w:right w:val="single" w:sz="4" w:space="0" w:color="auto"/>
            </w:tcBorders>
            <w:shd w:val="clear" w:color="000000" w:fill="FFFFFF"/>
            <w:hideMark/>
          </w:tcPr>
          <w:p w14:paraId="1710F530"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br/>
              <w:t>No</w:t>
            </w:r>
            <w:r w:rsidRPr="00D0315E">
              <w:rPr>
                <w:rFonts w:ascii="Arial" w:hAnsi="Arial" w:cs="Arial"/>
                <w:color w:val="000000"/>
                <w:sz w:val="16"/>
                <w:szCs w:val="16"/>
              </w:rPr>
              <w:t xml:space="preserve"> interference in IOD's work</w:t>
            </w:r>
          </w:p>
        </w:tc>
      </w:tr>
      <w:tr w:rsidR="008D3EC2" w:rsidRPr="00D0315E" w14:paraId="0250CFBF" w14:textId="77777777" w:rsidTr="008D4CE9">
        <w:trPr>
          <w:trHeight w:val="2742"/>
        </w:trPr>
        <w:tc>
          <w:tcPr>
            <w:tcW w:w="2160" w:type="dxa"/>
            <w:vMerge/>
            <w:tcBorders>
              <w:top w:val="nil"/>
              <w:left w:val="single" w:sz="4" w:space="0" w:color="auto"/>
              <w:bottom w:val="single" w:sz="4" w:space="0" w:color="000000"/>
              <w:right w:val="nil"/>
            </w:tcBorders>
            <w:vAlign w:val="center"/>
            <w:hideMark/>
          </w:tcPr>
          <w:p w14:paraId="5192B242" w14:textId="77777777" w:rsidR="008D3EC2" w:rsidRPr="00D0315E" w:rsidRDefault="008D3EC2" w:rsidP="008D3EC2">
            <w:pPr>
              <w:rPr>
                <w:rFonts w:ascii="Arial" w:hAnsi="Arial" w:cs="Arial"/>
                <w:color w:val="000000"/>
                <w:sz w:val="16"/>
                <w:szCs w:val="16"/>
              </w:rPr>
            </w:pPr>
          </w:p>
        </w:tc>
        <w:tc>
          <w:tcPr>
            <w:tcW w:w="2620" w:type="dxa"/>
            <w:tcBorders>
              <w:top w:val="nil"/>
              <w:left w:val="nil"/>
              <w:bottom w:val="nil"/>
              <w:right w:val="nil"/>
            </w:tcBorders>
            <w:shd w:val="clear" w:color="000000" w:fill="FFFFFF"/>
            <w:hideMark/>
          </w:tcPr>
          <w:p w14:paraId="03CD6067" w14:textId="77777777" w:rsidR="008D3EC2" w:rsidRDefault="008D3EC2" w:rsidP="008D4CE9">
            <w:pPr>
              <w:ind w:left="15"/>
              <w:rPr>
                <w:rFonts w:ascii="Arial" w:hAnsi="Arial" w:cs="Arial"/>
                <w:color w:val="000000"/>
                <w:sz w:val="16"/>
                <w:szCs w:val="16"/>
              </w:rPr>
            </w:pPr>
            <w:r w:rsidRPr="00D0315E">
              <w:rPr>
                <w:rFonts w:ascii="Arial" w:hAnsi="Arial" w:cs="Arial"/>
                <w:color w:val="000000"/>
                <w:sz w:val="16"/>
                <w:szCs w:val="16"/>
              </w:rPr>
              <w:t xml:space="preserve">EFFECTIVENESS </w:t>
            </w:r>
            <w:r>
              <w:rPr>
                <w:rFonts w:ascii="Arial" w:hAnsi="Arial" w:cs="Arial"/>
                <w:color w:val="000000"/>
                <w:sz w:val="16"/>
                <w:szCs w:val="16"/>
              </w:rPr>
              <w:t xml:space="preserve"> - </w:t>
            </w:r>
            <w:r w:rsidRPr="00D0315E">
              <w:rPr>
                <w:rFonts w:ascii="Arial" w:hAnsi="Arial" w:cs="Arial"/>
                <w:color w:val="000000"/>
                <w:sz w:val="16"/>
                <w:szCs w:val="16"/>
              </w:rPr>
              <w:t>% of work that covers high risk, relevant areas aligned with the Organization's Strategy</w:t>
            </w:r>
          </w:p>
          <w:p w14:paraId="5E2C3602" w14:textId="7A50D664" w:rsidR="008D3EC2" w:rsidRDefault="008D3EC2" w:rsidP="008D3EC2">
            <w:pPr>
              <w:ind w:left="299"/>
              <w:rPr>
                <w:rFonts w:ascii="Arial" w:hAnsi="Arial" w:cs="Arial"/>
                <w:color w:val="000000"/>
                <w:sz w:val="16"/>
                <w:szCs w:val="16"/>
              </w:rPr>
            </w:pPr>
            <w:r w:rsidRPr="00D0315E">
              <w:rPr>
                <w:rFonts w:ascii="Arial" w:hAnsi="Arial" w:cs="Arial"/>
                <w:color w:val="000000"/>
                <w:sz w:val="16"/>
                <w:szCs w:val="16"/>
              </w:rPr>
              <w:br/>
            </w:r>
          </w:p>
          <w:p w14:paraId="6120CFF4"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EFFICIENCY - IOD's reports are issued timely with SMART recommendations</w:t>
            </w:r>
          </w:p>
        </w:tc>
        <w:tc>
          <w:tcPr>
            <w:tcW w:w="2340" w:type="dxa"/>
            <w:tcBorders>
              <w:top w:val="nil"/>
              <w:left w:val="nil"/>
              <w:bottom w:val="nil"/>
              <w:right w:val="nil"/>
            </w:tcBorders>
            <w:shd w:val="clear" w:color="000000" w:fill="FFFFFF"/>
            <w:hideMark/>
          </w:tcPr>
          <w:p w14:paraId="42D6ACB1" w14:textId="77777777" w:rsidR="008D3EC2" w:rsidRDefault="008D3EC2" w:rsidP="008D4CE9">
            <w:pPr>
              <w:ind w:left="15"/>
              <w:rPr>
                <w:rFonts w:ascii="Arial" w:hAnsi="Arial" w:cs="Arial"/>
                <w:color w:val="000000"/>
                <w:sz w:val="16"/>
                <w:szCs w:val="16"/>
              </w:rPr>
            </w:pPr>
            <w:r>
              <w:rPr>
                <w:rFonts w:ascii="Arial" w:hAnsi="Arial" w:cs="Arial"/>
                <w:color w:val="000000"/>
                <w:sz w:val="16"/>
                <w:szCs w:val="16"/>
              </w:rPr>
              <w:t xml:space="preserve">100% high risk/ high relevance areas </w:t>
            </w:r>
          </w:p>
          <w:p w14:paraId="40ABCF1A" w14:textId="77777777" w:rsidR="008D3EC2" w:rsidRDefault="008D3EC2" w:rsidP="008D3EC2">
            <w:pPr>
              <w:ind w:left="230"/>
              <w:rPr>
                <w:rFonts w:ascii="Arial" w:hAnsi="Arial" w:cs="Arial"/>
                <w:color w:val="000000"/>
                <w:sz w:val="16"/>
                <w:szCs w:val="16"/>
              </w:rPr>
            </w:pPr>
          </w:p>
          <w:p w14:paraId="1A34F941" w14:textId="77777777" w:rsidR="008D3EC2" w:rsidRDefault="008D3EC2" w:rsidP="008D3EC2">
            <w:pPr>
              <w:ind w:left="230"/>
              <w:rPr>
                <w:rFonts w:ascii="Arial" w:hAnsi="Arial" w:cs="Arial"/>
                <w:color w:val="000000"/>
                <w:sz w:val="16"/>
                <w:szCs w:val="16"/>
              </w:rPr>
            </w:pPr>
          </w:p>
          <w:p w14:paraId="41522506" w14:textId="0A3DB3B7" w:rsidR="008D3EC2" w:rsidRDefault="008D3EC2" w:rsidP="008D3EC2">
            <w:pPr>
              <w:ind w:left="230"/>
              <w:rPr>
                <w:rFonts w:ascii="Arial" w:hAnsi="Arial" w:cs="Arial"/>
                <w:color w:val="000000"/>
                <w:sz w:val="16"/>
                <w:szCs w:val="16"/>
              </w:rPr>
            </w:pPr>
            <w:r w:rsidRPr="00D0315E">
              <w:rPr>
                <w:rFonts w:ascii="Arial" w:hAnsi="Arial" w:cs="Arial"/>
                <w:color w:val="000000"/>
                <w:sz w:val="16"/>
                <w:szCs w:val="16"/>
              </w:rPr>
              <w:br/>
            </w:r>
          </w:p>
          <w:p w14:paraId="076321E3"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75% of audit and evaluation reports issued in less than 4 months;</w:t>
            </w:r>
            <w:r w:rsidRPr="00D0315E">
              <w:rPr>
                <w:rFonts w:ascii="Arial" w:hAnsi="Arial" w:cs="Arial"/>
                <w:color w:val="000000"/>
                <w:sz w:val="16"/>
                <w:szCs w:val="16"/>
              </w:rPr>
              <w:br/>
              <w:t>All investigation activities reports issued in accordance with Investigation Policy;</w:t>
            </w:r>
            <w:r w:rsidRPr="00D0315E">
              <w:rPr>
                <w:rFonts w:ascii="Arial" w:hAnsi="Arial" w:cs="Arial"/>
                <w:color w:val="000000"/>
                <w:sz w:val="16"/>
                <w:szCs w:val="16"/>
              </w:rPr>
              <w:br/>
              <w:t>75 % of recommendations are SMART</w:t>
            </w:r>
          </w:p>
        </w:tc>
        <w:tc>
          <w:tcPr>
            <w:tcW w:w="2109" w:type="dxa"/>
            <w:tcBorders>
              <w:top w:val="nil"/>
              <w:left w:val="nil"/>
              <w:bottom w:val="nil"/>
              <w:right w:val="single" w:sz="4" w:space="0" w:color="auto"/>
            </w:tcBorders>
            <w:shd w:val="clear" w:color="000000" w:fill="FFFFFF"/>
            <w:hideMark/>
          </w:tcPr>
          <w:p w14:paraId="0117B89E" w14:textId="77777777" w:rsidR="008D3EC2" w:rsidRDefault="008D3EC2" w:rsidP="008D4CE9">
            <w:pPr>
              <w:ind w:left="15"/>
              <w:rPr>
                <w:rFonts w:ascii="Arial" w:hAnsi="Arial" w:cs="Arial"/>
                <w:color w:val="000000"/>
                <w:sz w:val="16"/>
                <w:szCs w:val="16"/>
              </w:rPr>
            </w:pPr>
            <w:r>
              <w:rPr>
                <w:rFonts w:ascii="Arial" w:hAnsi="Arial" w:cs="Arial"/>
                <w:color w:val="000000"/>
                <w:sz w:val="16"/>
                <w:szCs w:val="16"/>
              </w:rPr>
              <w:t xml:space="preserve">100% work in high risk/ high relevance areas </w:t>
            </w:r>
            <w:r w:rsidRPr="00D0315E">
              <w:rPr>
                <w:rFonts w:ascii="Arial" w:hAnsi="Arial" w:cs="Arial"/>
                <w:color w:val="000000"/>
                <w:sz w:val="16"/>
                <w:szCs w:val="16"/>
              </w:rPr>
              <w:t xml:space="preserve"> and in alignment with WIPO's Strategic Goal's</w:t>
            </w:r>
          </w:p>
          <w:p w14:paraId="542C7B4F" w14:textId="77777777" w:rsidR="00C25CF7" w:rsidRDefault="00C25CF7" w:rsidP="008D4CE9">
            <w:pPr>
              <w:ind w:left="15"/>
              <w:rPr>
                <w:rFonts w:ascii="Arial" w:hAnsi="Arial" w:cs="Arial"/>
                <w:color w:val="000000"/>
                <w:sz w:val="16"/>
                <w:szCs w:val="16"/>
              </w:rPr>
            </w:pPr>
          </w:p>
          <w:p w14:paraId="06122CE4"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br/>
              <w:t>85 % of audit and evaluation reports issued in less than 4 months;</w:t>
            </w:r>
            <w:r w:rsidRPr="00D0315E">
              <w:rPr>
                <w:rFonts w:ascii="Arial" w:hAnsi="Arial" w:cs="Arial"/>
                <w:color w:val="000000"/>
                <w:sz w:val="16"/>
                <w:szCs w:val="16"/>
              </w:rPr>
              <w:br/>
              <w:t>All investigation reports issued by Investigation Policy deadline;</w:t>
            </w:r>
            <w:r w:rsidRPr="00D0315E">
              <w:rPr>
                <w:rFonts w:ascii="Arial" w:hAnsi="Arial" w:cs="Arial"/>
                <w:color w:val="000000"/>
                <w:sz w:val="16"/>
                <w:szCs w:val="16"/>
              </w:rPr>
              <w:br/>
              <w:t>100% of recommendations SMART</w:t>
            </w:r>
          </w:p>
        </w:tc>
      </w:tr>
      <w:tr w:rsidR="008D3EC2" w:rsidRPr="00D0315E" w14:paraId="31F7680A" w14:textId="77777777" w:rsidTr="008D3EC2">
        <w:trPr>
          <w:trHeight w:val="1213"/>
        </w:trPr>
        <w:tc>
          <w:tcPr>
            <w:tcW w:w="2160" w:type="dxa"/>
            <w:vMerge/>
            <w:tcBorders>
              <w:top w:val="nil"/>
              <w:left w:val="single" w:sz="4" w:space="0" w:color="auto"/>
              <w:bottom w:val="single" w:sz="4" w:space="0" w:color="000000"/>
              <w:right w:val="nil"/>
            </w:tcBorders>
            <w:vAlign w:val="center"/>
            <w:hideMark/>
          </w:tcPr>
          <w:p w14:paraId="713E71BE" w14:textId="77777777" w:rsidR="008D3EC2" w:rsidRPr="00D0315E" w:rsidRDefault="008D3EC2" w:rsidP="008D3EC2">
            <w:pPr>
              <w:rPr>
                <w:rFonts w:ascii="Arial" w:hAnsi="Arial" w:cs="Arial"/>
                <w:color w:val="000000"/>
                <w:sz w:val="16"/>
                <w:szCs w:val="16"/>
              </w:rPr>
            </w:pPr>
          </w:p>
        </w:tc>
        <w:tc>
          <w:tcPr>
            <w:tcW w:w="2620" w:type="dxa"/>
            <w:tcBorders>
              <w:top w:val="nil"/>
              <w:left w:val="nil"/>
              <w:bottom w:val="nil"/>
              <w:right w:val="nil"/>
            </w:tcBorders>
            <w:shd w:val="clear" w:color="000000" w:fill="FFFFFF"/>
            <w:hideMark/>
          </w:tcPr>
          <w:p w14:paraId="039E73B0"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RELEVANCE, ADDED VALUE &amp; STEWARDSHIP- Tangible cost savings or improvements made in business processes and systems</w:t>
            </w:r>
          </w:p>
        </w:tc>
        <w:tc>
          <w:tcPr>
            <w:tcW w:w="2340" w:type="dxa"/>
            <w:tcBorders>
              <w:top w:val="nil"/>
              <w:left w:val="nil"/>
              <w:bottom w:val="nil"/>
              <w:right w:val="nil"/>
            </w:tcBorders>
            <w:shd w:val="clear" w:color="000000" w:fill="FFFFFF"/>
            <w:hideMark/>
          </w:tcPr>
          <w:p w14:paraId="70C8D7B7"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t>n/a (to be provided end 2015)</w:t>
            </w:r>
          </w:p>
        </w:tc>
        <w:tc>
          <w:tcPr>
            <w:tcW w:w="2109" w:type="dxa"/>
            <w:tcBorders>
              <w:top w:val="nil"/>
              <w:left w:val="nil"/>
              <w:bottom w:val="nil"/>
              <w:right w:val="single" w:sz="4" w:space="0" w:color="auto"/>
            </w:tcBorders>
            <w:shd w:val="clear" w:color="000000" w:fill="FFFFFF"/>
            <w:hideMark/>
          </w:tcPr>
          <w:p w14:paraId="64086AD5" w14:textId="77777777" w:rsidR="008D3EC2" w:rsidRPr="00D0315E" w:rsidRDefault="008D3EC2" w:rsidP="008D4CE9">
            <w:pPr>
              <w:ind w:left="15"/>
              <w:rPr>
                <w:rFonts w:ascii="Arial" w:hAnsi="Arial" w:cs="Arial"/>
                <w:color w:val="000000"/>
                <w:sz w:val="16"/>
                <w:szCs w:val="16"/>
              </w:rPr>
            </w:pPr>
            <w:r>
              <w:rPr>
                <w:rFonts w:ascii="Arial" w:hAnsi="Arial" w:cs="Arial"/>
                <w:color w:val="000000"/>
                <w:sz w:val="16"/>
                <w:szCs w:val="16"/>
              </w:rPr>
              <w:t>50</w:t>
            </w:r>
            <w:r w:rsidRPr="00D0315E">
              <w:rPr>
                <w:rFonts w:ascii="Arial" w:hAnsi="Arial" w:cs="Arial"/>
                <w:color w:val="000000"/>
                <w:sz w:val="16"/>
                <w:szCs w:val="16"/>
              </w:rPr>
              <w:t>% of recommendations lead to efficiency gains</w:t>
            </w:r>
          </w:p>
        </w:tc>
      </w:tr>
      <w:tr w:rsidR="008D3EC2" w:rsidRPr="00D0315E" w14:paraId="24E2E6C3" w14:textId="77777777" w:rsidTr="008D4CE9">
        <w:trPr>
          <w:trHeight w:val="1041"/>
        </w:trPr>
        <w:tc>
          <w:tcPr>
            <w:tcW w:w="2160" w:type="dxa"/>
            <w:vMerge/>
            <w:tcBorders>
              <w:top w:val="nil"/>
              <w:left w:val="single" w:sz="4" w:space="0" w:color="auto"/>
              <w:bottom w:val="single" w:sz="4" w:space="0" w:color="000000"/>
              <w:right w:val="nil"/>
            </w:tcBorders>
            <w:vAlign w:val="center"/>
            <w:hideMark/>
          </w:tcPr>
          <w:p w14:paraId="7B5F085E" w14:textId="77777777" w:rsidR="008D3EC2" w:rsidRPr="00D0315E" w:rsidRDefault="008D3EC2" w:rsidP="008D3EC2">
            <w:pPr>
              <w:rPr>
                <w:rFonts w:ascii="Arial" w:hAnsi="Arial" w:cs="Arial"/>
                <w:color w:val="000000"/>
                <w:sz w:val="16"/>
                <w:szCs w:val="16"/>
              </w:rPr>
            </w:pPr>
          </w:p>
        </w:tc>
        <w:tc>
          <w:tcPr>
            <w:tcW w:w="2620" w:type="dxa"/>
            <w:tcBorders>
              <w:top w:val="nil"/>
              <w:left w:val="nil"/>
              <w:bottom w:val="single" w:sz="4" w:space="0" w:color="auto"/>
              <w:right w:val="nil"/>
            </w:tcBorders>
            <w:shd w:val="clear" w:color="000000" w:fill="FFFFFF"/>
            <w:hideMark/>
          </w:tcPr>
          <w:p w14:paraId="07D0FBF5" w14:textId="77777777"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ORGANIZATIONAL LEARNING-Uptake of Lessons and Recommendations from Oversight Processes</w:t>
            </w:r>
          </w:p>
        </w:tc>
        <w:tc>
          <w:tcPr>
            <w:tcW w:w="2340" w:type="dxa"/>
            <w:tcBorders>
              <w:top w:val="nil"/>
              <w:left w:val="nil"/>
              <w:bottom w:val="single" w:sz="4" w:space="0" w:color="auto"/>
              <w:right w:val="nil"/>
            </w:tcBorders>
            <w:shd w:val="clear" w:color="000000" w:fill="FFFFFF"/>
            <w:hideMark/>
          </w:tcPr>
          <w:p w14:paraId="775E9894" w14:textId="7C2430D8"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90% of recommendations accepted</w:t>
            </w:r>
            <w:r>
              <w:rPr>
                <w:rFonts w:ascii="Arial" w:hAnsi="Arial" w:cs="Arial"/>
                <w:color w:val="000000"/>
                <w:sz w:val="16"/>
                <w:szCs w:val="16"/>
              </w:rPr>
              <w:t xml:space="preserve">; </w:t>
            </w:r>
            <w:r w:rsidRPr="00D0315E">
              <w:rPr>
                <w:rFonts w:ascii="Arial" w:hAnsi="Arial" w:cs="Arial"/>
                <w:color w:val="000000"/>
                <w:sz w:val="16"/>
                <w:szCs w:val="16"/>
              </w:rPr>
              <w:t xml:space="preserve">90% of recommendations implemented in two </w:t>
            </w:r>
            <w:r w:rsidR="004D3E01" w:rsidRPr="00D0315E">
              <w:rPr>
                <w:rFonts w:ascii="Arial" w:hAnsi="Arial" w:cs="Arial"/>
                <w:color w:val="000000"/>
                <w:sz w:val="16"/>
                <w:szCs w:val="16"/>
              </w:rPr>
              <w:t>years’ time</w:t>
            </w:r>
            <w:r w:rsidRPr="00D0315E">
              <w:rPr>
                <w:rFonts w:ascii="Arial" w:hAnsi="Arial" w:cs="Arial"/>
                <w:color w:val="000000"/>
                <w:sz w:val="16"/>
                <w:szCs w:val="16"/>
              </w:rPr>
              <w:br/>
            </w:r>
          </w:p>
        </w:tc>
        <w:tc>
          <w:tcPr>
            <w:tcW w:w="2109" w:type="dxa"/>
            <w:tcBorders>
              <w:top w:val="nil"/>
              <w:left w:val="nil"/>
              <w:bottom w:val="single" w:sz="4" w:space="0" w:color="auto"/>
              <w:right w:val="single" w:sz="4" w:space="0" w:color="auto"/>
            </w:tcBorders>
            <w:shd w:val="clear" w:color="000000" w:fill="FFFFFF"/>
            <w:hideMark/>
          </w:tcPr>
          <w:p w14:paraId="031056E9" w14:textId="1372C59C" w:rsidR="008D3EC2" w:rsidRPr="00D0315E" w:rsidRDefault="008D3EC2" w:rsidP="008D4CE9">
            <w:pPr>
              <w:ind w:left="15"/>
              <w:rPr>
                <w:rFonts w:ascii="Arial" w:hAnsi="Arial" w:cs="Arial"/>
                <w:color w:val="000000"/>
                <w:sz w:val="16"/>
                <w:szCs w:val="16"/>
              </w:rPr>
            </w:pPr>
            <w:r w:rsidRPr="00D0315E">
              <w:rPr>
                <w:rFonts w:ascii="Arial" w:hAnsi="Arial" w:cs="Arial"/>
                <w:color w:val="000000"/>
                <w:sz w:val="16"/>
                <w:szCs w:val="16"/>
              </w:rPr>
              <w:t>90% of recommendations accepted</w:t>
            </w:r>
            <w:r>
              <w:rPr>
                <w:rFonts w:ascii="Arial" w:hAnsi="Arial" w:cs="Arial"/>
                <w:color w:val="000000"/>
                <w:sz w:val="16"/>
                <w:szCs w:val="16"/>
              </w:rPr>
              <w:t xml:space="preserve">; </w:t>
            </w:r>
            <w:r w:rsidRPr="00D0315E">
              <w:rPr>
                <w:rFonts w:ascii="Arial" w:hAnsi="Arial" w:cs="Arial"/>
                <w:color w:val="000000"/>
                <w:sz w:val="16"/>
                <w:szCs w:val="16"/>
              </w:rPr>
              <w:t xml:space="preserve">90% of recommendations implemented in two </w:t>
            </w:r>
            <w:r w:rsidR="004D3E01" w:rsidRPr="00D0315E">
              <w:rPr>
                <w:rFonts w:ascii="Arial" w:hAnsi="Arial" w:cs="Arial"/>
                <w:color w:val="000000"/>
                <w:sz w:val="16"/>
                <w:szCs w:val="16"/>
              </w:rPr>
              <w:t>years’ time</w:t>
            </w:r>
            <w:r w:rsidRPr="00D0315E">
              <w:rPr>
                <w:rFonts w:ascii="Arial" w:hAnsi="Arial" w:cs="Arial"/>
                <w:color w:val="000000"/>
                <w:sz w:val="16"/>
                <w:szCs w:val="16"/>
              </w:rPr>
              <w:br/>
            </w:r>
          </w:p>
        </w:tc>
      </w:tr>
    </w:tbl>
    <w:p w14:paraId="2FBB9093" w14:textId="77777777" w:rsidR="008D3EC2" w:rsidRDefault="008D3EC2" w:rsidP="008D3EC2">
      <w:pPr>
        <w:autoSpaceDE w:val="0"/>
        <w:autoSpaceDN w:val="0"/>
        <w:adjustRightInd w:val="0"/>
        <w:jc w:val="both"/>
        <w:rPr>
          <w:rFonts w:ascii="Arial" w:hAnsi="Arial" w:cs="Arial"/>
        </w:rPr>
      </w:pPr>
    </w:p>
    <w:p w14:paraId="49A617B1" w14:textId="77777777" w:rsidR="008D3EC2" w:rsidRDefault="008D3EC2" w:rsidP="008D3EC2">
      <w:pPr>
        <w:autoSpaceDE w:val="0"/>
        <w:autoSpaceDN w:val="0"/>
        <w:adjustRightInd w:val="0"/>
        <w:jc w:val="both"/>
        <w:rPr>
          <w:rFonts w:ascii="Arial" w:hAnsi="Arial" w:cs="Arial"/>
        </w:rPr>
      </w:pPr>
    </w:p>
    <w:p w14:paraId="6B22EFD6" w14:textId="77777777" w:rsidR="008D3EC2" w:rsidRDefault="008D3EC2" w:rsidP="008D4CE9">
      <w:pPr>
        <w:rPr>
          <w:rFonts w:ascii="Arial" w:hAnsi="Arial" w:cs="Arial"/>
        </w:rPr>
      </w:pPr>
      <w:r>
        <w:rPr>
          <w:rFonts w:ascii="Arial" w:hAnsi="Arial" w:cs="Arial"/>
        </w:rPr>
        <w:t>RESOURCES FOR PROGRAM 26</w:t>
      </w:r>
    </w:p>
    <w:p w14:paraId="3657CCAB" w14:textId="77777777" w:rsidR="008D3EC2" w:rsidRDefault="008D3EC2" w:rsidP="00B66A4A">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rPr>
      </w:pPr>
      <w:r>
        <w:rPr>
          <w:rFonts w:ascii="Arial" w:hAnsi="Arial" w:cs="Arial"/>
          <w:sz w:val="20"/>
        </w:rPr>
        <w:t>The overall resources for Program 26 in the 2016/17 biennium shows a slight increase compared to the 2014/15 Budget after Transfers. This is due to the change in the costing methodology for personnel resources in 2016/17 based on actuals based costing.</w:t>
      </w:r>
    </w:p>
    <w:p w14:paraId="5E50D42D" w14:textId="77777777" w:rsidR="008D3EC2" w:rsidRDefault="008D3EC2" w:rsidP="009E3929">
      <w:pPr>
        <w:autoSpaceDE w:val="0"/>
        <w:autoSpaceDN w:val="0"/>
        <w:adjustRightInd w:val="0"/>
        <w:jc w:val="both"/>
        <w:rPr>
          <w:rFonts w:ascii="Arial" w:hAnsi="Arial" w:cs="Arial"/>
          <w:sz w:val="20"/>
        </w:rPr>
      </w:pPr>
    </w:p>
    <w:p w14:paraId="434A013B" w14:textId="77777777" w:rsidR="00C25CF7" w:rsidRPr="0086564F" w:rsidRDefault="00C25CF7" w:rsidP="009E3929">
      <w:pPr>
        <w:autoSpaceDE w:val="0"/>
        <w:autoSpaceDN w:val="0"/>
        <w:adjustRightInd w:val="0"/>
        <w:jc w:val="both"/>
        <w:rPr>
          <w:rFonts w:ascii="Arial" w:hAnsi="Arial" w:cs="Arial"/>
          <w:sz w:val="20"/>
        </w:rPr>
      </w:pPr>
    </w:p>
    <w:p w14:paraId="5DE8AC85" w14:textId="77777777" w:rsidR="008D3EC2" w:rsidRDefault="008D3EC2" w:rsidP="008D4CE9">
      <w:pPr>
        <w:keepNext/>
        <w:keepLines/>
        <w:tabs>
          <w:tab w:val="left" w:pos="1427"/>
        </w:tabs>
        <w:jc w:val="center"/>
        <w:rPr>
          <w:rFonts w:ascii="Arial" w:hAnsi="Arial" w:cs="Arial"/>
          <w:sz w:val="20"/>
        </w:rPr>
      </w:pPr>
      <w:r>
        <w:rPr>
          <w:rFonts w:ascii="Arial" w:hAnsi="Arial" w:cs="Arial"/>
          <w:b/>
          <w:sz w:val="20"/>
          <w:szCs w:val="24"/>
        </w:rPr>
        <w:lastRenderedPageBreak/>
        <w:t>Program 26:  Resources by Result</w:t>
      </w:r>
    </w:p>
    <w:p w14:paraId="422F52EB" w14:textId="77777777" w:rsidR="008D3EC2" w:rsidRDefault="008D3EC2" w:rsidP="008D4CE9">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2C8CCABA" w14:textId="77777777" w:rsidR="008D3EC2" w:rsidRDefault="008D3EC2" w:rsidP="008D4CE9">
      <w:pPr>
        <w:keepNext/>
        <w:keepLines/>
        <w:tabs>
          <w:tab w:val="left" w:pos="1427"/>
        </w:tabs>
        <w:jc w:val="center"/>
        <w:rPr>
          <w:rFonts w:ascii="Arial" w:hAnsi="Arial" w:cs="Arial"/>
          <w:i/>
          <w:sz w:val="20"/>
          <w:szCs w:val="24"/>
        </w:rPr>
      </w:pPr>
    </w:p>
    <w:p w14:paraId="304A14BE" w14:textId="77777777" w:rsidR="008D3EC2" w:rsidRDefault="008D3EC2" w:rsidP="008D4CE9">
      <w:pPr>
        <w:keepNext/>
        <w:keepLines/>
        <w:tabs>
          <w:tab w:val="left" w:pos="1427"/>
        </w:tabs>
        <w:jc w:val="center"/>
        <w:rPr>
          <w:rFonts w:ascii="Arial" w:hAnsi="Arial" w:cs="Arial"/>
          <w:i/>
          <w:sz w:val="20"/>
          <w:szCs w:val="24"/>
        </w:rPr>
      </w:pPr>
      <w:r w:rsidRPr="00E26651">
        <w:rPr>
          <w:noProof/>
          <w:lang w:eastAsia="en-US"/>
        </w:rPr>
        <w:drawing>
          <wp:inline distT="0" distB="0" distL="0" distR="0" wp14:anchorId="747D7F49" wp14:editId="0FA27ACB">
            <wp:extent cx="5088835" cy="1084441"/>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122001" cy="1091509"/>
                    </a:xfrm>
                    <a:prstGeom prst="rect">
                      <a:avLst/>
                    </a:prstGeom>
                    <a:noFill/>
                    <a:ln>
                      <a:noFill/>
                    </a:ln>
                  </pic:spPr>
                </pic:pic>
              </a:graphicData>
            </a:graphic>
          </wp:inline>
        </w:drawing>
      </w:r>
    </w:p>
    <w:p w14:paraId="201CC70C" w14:textId="77777777" w:rsidR="008D3EC2" w:rsidRDefault="008D3EC2" w:rsidP="008D4CE9">
      <w:pPr>
        <w:keepNext/>
        <w:keepLines/>
        <w:tabs>
          <w:tab w:val="left" w:pos="1427"/>
        </w:tabs>
        <w:jc w:val="center"/>
        <w:rPr>
          <w:rFonts w:ascii="Arial" w:hAnsi="Arial" w:cs="Arial"/>
          <w:i/>
          <w:sz w:val="20"/>
          <w:szCs w:val="24"/>
        </w:rPr>
      </w:pPr>
    </w:p>
    <w:p w14:paraId="16574381" w14:textId="77777777" w:rsidR="00C25CF7" w:rsidRDefault="00C25CF7" w:rsidP="008D4CE9">
      <w:pPr>
        <w:keepNext/>
        <w:keepLines/>
        <w:tabs>
          <w:tab w:val="left" w:pos="1427"/>
        </w:tabs>
        <w:jc w:val="center"/>
        <w:rPr>
          <w:rFonts w:ascii="Arial" w:hAnsi="Arial" w:cs="Arial"/>
          <w:i/>
          <w:sz w:val="20"/>
          <w:szCs w:val="24"/>
        </w:rPr>
      </w:pPr>
    </w:p>
    <w:p w14:paraId="0B0CEA9C" w14:textId="77777777" w:rsidR="008D3EC2" w:rsidRDefault="008D3EC2" w:rsidP="008D3EC2">
      <w:pPr>
        <w:keepNext/>
        <w:keepLines/>
        <w:tabs>
          <w:tab w:val="left" w:pos="1427"/>
        </w:tabs>
        <w:jc w:val="center"/>
        <w:rPr>
          <w:rFonts w:ascii="Arial" w:hAnsi="Arial" w:cs="Arial"/>
          <w:sz w:val="20"/>
        </w:rPr>
      </w:pPr>
      <w:r>
        <w:rPr>
          <w:rFonts w:ascii="Arial" w:hAnsi="Arial" w:cs="Arial"/>
          <w:b/>
          <w:sz w:val="20"/>
          <w:szCs w:val="24"/>
        </w:rPr>
        <w:t>Program 26:  Resources by Object of Expenditure</w:t>
      </w:r>
    </w:p>
    <w:p w14:paraId="09910E95" w14:textId="77777777" w:rsidR="008D3EC2" w:rsidRDefault="008D3EC2" w:rsidP="008D3EC2">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1CE92E8A" w14:textId="77777777" w:rsidR="008D3EC2" w:rsidRDefault="008D3EC2" w:rsidP="008D3EC2">
      <w:pPr>
        <w:keepNext/>
        <w:keepLines/>
        <w:tabs>
          <w:tab w:val="left" w:pos="1427"/>
        </w:tabs>
        <w:jc w:val="center"/>
        <w:rPr>
          <w:rFonts w:ascii="Arial" w:hAnsi="Arial" w:cs="Arial"/>
          <w:i/>
          <w:sz w:val="20"/>
          <w:szCs w:val="24"/>
        </w:rPr>
      </w:pPr>
    </w:p>
    <w:p w14:paraId="38AB37C1" w14:textId="77777777" w:rsidR="008D3EC2" w:rsidRDefault="008D3EC2" w:rsidP="008D3EC2">
      <w:pPr>
        <w:keepNext/>
        <w:keepLines/>
        <w:tabs>
          <w:tab w:val="left" w:pos="1427"/>
        </w:tabs>
        <w:jc w:val="center"/>
        <w:rPr>
          <w:rFonts w:ascii="Arial" w:hAnsi="Arial" w:cs="Arial"/>
        </w:rPr>
      </w:pPr>
      <w:r w:rsidRPr="00E26651">
        <w:rPr>
          <w:noProof/>
          <w:lang w:eastAsia="en-US"/>
        </w:rPr>
        <w:drawing>
          <wp:inline distT="0" distB="0" distL="0" distR="0" wp14:anchorId="5F870936" wp14:editId="114D5B6A">
            <wp:extent cx="5027899" cy="5657976"/>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33350" cy="5664110"/>
                    </a:xfrm>
                    <a:prstGeom prst="rect">
                      <a:avLst/>
                    </a:prstGeom>
                    <a:noFill/>
                    <a:ln>
                      <a:noFill/>
                    </a:ln>
                  </pic:spPr>
                </pic:pic>
              </a:graphicData>
            </a:graphic>
          </wp:inline>
        </w:drawing>
      </w:r>
    </w:p>
    <w:p w14:paraId="30D3E6D9" w14:textId="64FC51DC" w:rsidR="00DE3C84" w:rsidRDefault="00DE3C84">
      <w:pPr>
        <w:rPr>
          <w:rFonts w:ascii="Arial" w:hAnsi="Arial" w:cs="Arial"/>
          <w:sz w:val="20"/>
        </w:rPr>
      </w:pPr>
      <w:r>
        <w:rPr>
          <w:rFonts w:ascii="Arial" w:hAnsi="Arial" w:cs="Arial"/>
          <w:sz w:val="20"/>
        </w:rPr>
        <w:br w:type="page"/>
      </w:r>
    </w:p>
    <w:p w14:paraId="1E85A4E1" w14:textId="77777777" w:rsidR="00DE3C84" w:rsidRPr="00DE3C84" w:rsidRDefault="00DE3C84" w:rsidP="00DE3C84">
      <w:pPr>
        <w:pStyle w:val="StyleStyleHeading3ComplexItalicLatin12pt"/>
      </w:pPr>
      <w:bookmarkStart w:id="76" w:name="_Toc431221442"/>
      <w:r w:rsidRPr="00DE3C84">
        <w:lastRenderedPageBreak/>
        <w:t>PROGRAM 27</w:t>
      </w:r>
      <w:r w:rsidRPr="00DE3C84">
        <w:tab/>
        <w:t>CONFERENCE AND LANGUAGE SERVICES</w:t>
      </w:r>
      <w:bookmarkEnd w:id="76"/>
    </w:p>
    <w:p w14:paraId="08131612" w14:textId="77777777" w:rsidR="00DE3C84" w:rsidRPr="00197045" w:rsidRDefault="00DE3C84" w:rsidP="00A42BFB">
      <w:pPr>
        <w:rPr>
          <w:rFonts w:ascii="Arial" w:hAnsi="Arial" w:cs="Arial"/>
          <w:b/>
          <w:sz w:val="20"/>
          <w:szCs w:val="24"/>
        </w:rPr>
      </w:pPr>
    </w:p>
    <w:p w14:paraId="5F426B35" w14:textId="77777777" w:rsidR="00DE3C84" w:rsidRPr="00197045" w:rsidRDefault="00DE3C84" w:rsidP="00A42BFB">
      <w:pPr>
        <w:rPr>
          <w:rFonts w:ascii="Arial" w:hAnsi="Arial" w:cs="Arial"/>
          <w:b/>
          <w:sz w:val="20"/>
          <w:szCs w:val="24"/>
        </w:rPr>
      </w:pPr>
    </w:p>
    <w:p w14:paraId="1217B2B6" w14:textId="77777777" w:rsidR="00DE3C84" w:rsidRPr="00DE3C84" w:rsidRDefault="00DE3C84" w:rsidP="00A42BFB">
      <w:pPr>
        <w:rPr>
          <w:rFonts w:ascii="Arial" w:hAnsi="Arial" w:cs="Arial"/>
          <w:bCs/>
        </w:rPr>
      </w:pPr>
      <w:r w:rsidRPr="00DE3C84">
        <w:rPr>
          <w:rFonts w:ascii="Arial" w:hAnsi="Arial" w:cs="Arial"/>
          <w:bCs/>
        </w:rPr>
        <w:t>PLANNING CONTEXT</w:t>
      </w:r>
    </w:p>
    <w:p w14:paraId="322FBD85" w14:textId="77777777" w:rsidR="00DE3C84" w:rsidRPr="00DE3C84" w:rsidRDefault="00DE3C84" w:rsidP="00A42BFB">
      <w:pPr>
        <w:jc w:val="both"/>
        <w:rPr>
          <w:rFonts w:ascii="Arial" w:hAnsi="Arial" w:cs="Arial"/>
          <w:b/>
        </w:rPr>
      </w:pPr>
    </w:p>
    <w:p w14:paraId="6C866324" w14:textId="77777777"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lang w:bidi="he-IL"/>
        </w:rPr>
      </w:pPr>
      <w:r w:rsidRPr="00DE3C84">
        <w:rPr>
          <w:rFonts w:ascii="Arial" w:hAnsi="Arial" w:cs="Arial"/>
          <w:sz w:val="20"/>
        </w:rPr>
        <w:t xml:space="preserve">The Program facilitates the activities of the Organization by providing efficient and effective </w:t>
      </w:r>
      <w:r w:rsidRPr="00DE3C84">
        <w:rPr>
          <w:rFonts w:ascii="Arial" w:hAnsi="Arial" w:cs="Arial"/>
          <w:sz w:val="20"/>
          <w:lang w:bidi="he-IL"/>
        </w:rPr>
        <w:t xml:space="preserve">conference, translation, interpretation, records management and archives, printing and mail expedition services.  It also deals with the formulation, presentation, adoption and implementation of related policy issues and manages IT projects to streamline and improve the functioning of these areas. </w:t>
      </w:r>
    </w:p>
    <w:p w14:paraId="7A965562" w14:textId="77777777" w:rsidR="00DE3C84" w:rsidRPr="00DE3C84" w:rsidRDefault="00DE3C84" w:rsidP="00A42BFB">
      <w:pPr>
        <w:autoSpaceDE w:val="0"/>
        <w:autoSpaceDN w:val="0"/>
        <w:adjustRightInd w:val="0"/>
        <w:jc w:val="both"/>
        <w:rPr>
          <w:rFonts w:ascii="Arial" w:hAnsi="Arial" w:cs="Arial"/>
          <w:sz w:val="20"/>
          <w:lang w:bidi="he-IL"/>
        </w:rPr>
      </w:pPr>
    </w:p>
    <w:p w14:paraId="745693CC" w14:textId="600215C8"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With the adoption of the Language Policy by Member States in 2011, and the extension of the six-language cover to all documentation for WIPO Committees and Main Bodies in the 2012/13 biennium, similar coverage was extended to a few Working Groups in the 2014/15 biennium.  It is expected that the remaining Working Groups will be covered in the 2016/17 biennium.  Within this context, the Secretariat continues to face the twin challenge of managing </w:t>
      </w:r>
      <w:r w:rsidR="00053C3E">
        <w:rPr>
          <w:rFonts w:ascii="Arial" w:hAnsi="Arial" w:cs="Arial"/>
          <w:sz w:val="20"/>
        </w:rPr>
        <w:t xml:space="preserve">translation </w:t>
      </w:r>
      <w:r w:rsidRPr="00DE3C84">
        <w:rPr>
          <w:rFonts w:ascii="Arial" w:hAnsi="Arial" w:cs="Arial"/>
          <w:sz w:val="20"/>
        </w:rPr>
        <w:t>workloads and maintaining quality, within the available resources.  To overcome these challenges, the network of external individual translators and translation companies has been strengthened to ensure the ‘right-sourcing’ of translation work</w:t>
      </w:r>
      <w:r w:rsidR="00053C3E">
        <w:rPr>
          <w:rFonts w:ascii="Arial" w:hAnsi="Arial" w:cs="Arial"/>
          <w:sz w:val="20"/>
        </w:rPr>
        <w:t xml:space="preserve"> and quality at source</w:t>
      </w:r>
      <w:r w:rsidRPr="00DE3C84">
        <w:rPr>
          <w:rFonts w:ascii="Arial" w:hAnsi="Arial" w:cs="Arial"/>
          <w:sz w:val="20"/>
        </w:rPr>
        <w:t xml:space="preserve">.  New management </w:t>
      </w:r>
      <w:r w:rsidR="00053C3E">
        <w:rPr>
          <w:rFonts w:ascii="Arial" w:hAnsi="Arial" w:cs="Arial"/>
          <w:sz w:val="20"/>
        </w:rPr>
        <w:t xml:space="preserve">and technology </w:t>
      </w:r>
      <w:r w:rsidRPr="00DE3C84">
        <w:rPr>
          <w:rFonts w:ascii="Arial" w:hAnsi="Arial" w:cs="Arial"/>
          <w:sz w:val="20"/>
        </w:rPr>
        <w:t xml:space="preserve">tools have also been deployed to improve the translation environment, build terminology databases and ensure quality control. </w:t>
      </w:r>
    </w:p>
    <w:p w14:paraId="3870FB69" w14:textId="77777777" w:rsidR="00DE3C84" w:rsidRPr="00DE3C84" w:rsidRDefault="00DE3C84" w:rsidP="00A42BFB">
      <w:pPr>
        <w:jc w:val="both"/>
        <w:rPr>
          <w:rFonts w:ascii="Arial" w:hAnsi="Arial" w:cs="Arial"/>
          <w:sz w:val="20"/>
        </w:rPr>
      </w:pPr>
    </w:p>
    <w:p w14:paraId="6169C030" w14:textId="4E1720AC"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The introduction of new technologies for conference and interpretation services has helped moderniz</w:t>
      </w:r>
      <w:r w:rsidR="00053C3E">
        <w:rPr>
          <w:rFonts w:ascii="Arial" w:hAnsi="Arial" w:cs="Arial"/>
          <w:sz w:val="20"/>
        </w:rPr>
        <w:t>e</w:t>
      </w:r>
      <w:r w:rsidRPr="00DE3C84">
        <w:rPr>
          <w:rFonts w:ascii="Arial" w:hAnsi="Arial" w:cs="Arial"/>
          <w:sz w:val="20"/>
        </w:rPr>
        <w:t xml:space="preserve"> operations to further facilitate the participation of Member States’ delegations in meetings.  These services continue to face the challenges posed by the </w:t>
      </w:r>
      <w:r w:rsidR="00053C3E">
        <w:rPr>
          <w:rFonts w:ascii="Arial" w:hAnsi="Arial" w:cs="Arial"/>
          <w:sz w:val="20"/>
        </w:rPr>
        <w:t xml:space="preserve">ever </w:t>
      </w:r>
      <w:r w:rsidRPr="00DE3C84">
        <w:rPr>
          <w:rFonts w:ascii="Arial" w:hAnsi="Arial" w:cs="Arial"/>
          <w:sz w:val="20"/>
        </w:rPr>
        <w:t xml:space="preserve">increasing number and extended hours of meetings organized at WIPO, including for external users of the New Conference Hall. </w:t>
      </w:r>
    </w:p>
    <w:p w14:paraId="30FED17F" w14:textId="77777777" w:rsidR="00DE3C84" w:rsidRPr="00DE3C84" w:rsidRDefault="00DE3C84" w:rsidP="00A42BFB">
      <w:pPr>
        <w:jc w:val="both"/>
        <w:rPr>
          <w:rFonts w:ascii="Arial" w:hAnsi="Arial" w:cs="Arial"/>
          <w:sz w:val="20"/>
        </w:rPr>
      </w:pPr>
    </w:p>
    <w:p w14:paraId="3AB7C9BB" w14:textId="77777777"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The Program maintains efficient and timely printing operations to provide Member States and other stakeholders with the necessary documents and publications to facilitate the work of the Committees and other bodies as well as to disseminate information on IP.  The records management and mailing services provide cost-efficient services to all the organizational units. </w:t>
      </w:r>
    </w:p>
    <w:p w14:paraId="37C2E78C" w14:textId="77777777" w:rsidR="00DE3C84" w:rsidRPr="00197045" w:rsidRDefault="00DE3C84" w:rsidP="00A42BFB">
      <w:pPr>
        <w:jc w:val="both"/>
        <w:rPr>
          <w:rFonts w:ascii="Arial" w:hAnsi="Arial" w:cs="Arial"/>
          <w:sz w:val="20"/>
        </w:rPr>
      </w:pPr>
    </w:p>
    <w:p w14:paraId="4B39ACD1" w14:textId="77777777" w:rsidR="00DE3C84" w:rsidRPr="00197045" w:rsidRDefault="00DE3C84" w:rsidP="00A42BFB">
      <w:pPr>
        <w:jc w:val="both"/>
        <w:rPr>
          <w:rFonts w:ascii="Arial" w:hAnsi="Arial" w:cs="Arial"/>
          <w:sz w:val="20"/>
        </w:rPr>
      </w:pPr>
    </w:p>
    <w:p w14:paraId="7EA7A849" w14:textId="77777777" w:rsidR="00DE3C84" w:rsidRPr="00DE3C84" w:rsidRDefault="00DE3C84" w:rsidP="00A42BFB">
      <w:pPr>
        <w:jc w:val="both"/>
        <w:rPr>
          <w:rFonts w:ascii="Arial" w:hAnsi="Arial" w:cs="Arial"/>
          <w:bCs/>
        </w:rPr>
      </w:pPr>
      <w:r w:rsidRPr="00DE3C84">
        <w:rPr>
          <w:rFonts w:ascii="Arial" w:hAnsi="Arial" w:cs="Arial"/>
          <w:bCs/>
        </w:rPr>
        <w:t>IMPLEMENTATION STRATEGIES</w:t>
      </w:r>
    </w:p>
    <w:p w14:paraId="00EFFAF9" w14:textId="77777777" w:rsidR="00DE3C84" w:rsidRPr="00DE3C84" w:rsidRDefault="00DE3C84" w:rsidP="00A42BFB">
      <w:pPr>
        <w:jc w:val="both"/>
        <w:rPr>
          <w:rFonts w:ascii="Arial" w:hAnsi="Arial" w:cs="Arial"/>
        </w:rPr>
      </w:pPr>
    </w:p>
    <w:p w14:paraId="117BDF14" w14:textId="1B5EEE4D"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In order to meet the workload challenges faced by the language service, the current level of outsourcing will be maintained, and simultaneously steps will be taken to contain the workload.  The focus will be on striking a balance between the need to fulfill the projected demands of the Member States and optimize the use of available resources.  The Secretariat will continue to rigorously enforce rationalization and control measures</w:t>
      </w:r>
      <w:r w:rsidR="00053C3E">
        <w:rPr>
          <w:rFonts w:ascii="Arial" w:hAnsi="Arial" w:cs="Arial"/>
          <w:sz w:val="20"/>
        </w:rPr>
        <w:t xml:space="preserve"> to reduce the number of pages per document as well as the overall number of documents</w:t>
      </w:r>
      <w:r w:rsidRPr="00DE3C84">
        <w:rPr>
          <w:rFonts w:ascii="Arial" w:hAnsi="Arial" w:cs="Arial"/>
          <w:sz w:val="20"/>
        </w:rPr>
        <w:t>.  While maintaining the core team of expert revisers and translators in-house, workload increases will be met mainly through outsourcing to individual and institutional translators.  Quality management practices will be strengthened and the “quality at source” concept retained to engage proficient translators.</w:t>
      </w:r>
    </w:p>
    <w:p w14:paraId="5829B3B8" w14:textId="77777777" w:rsidR="00DE3C84" w:rsidRPr="00DE3C84" w:rsidRDefault="00DE3C84" w:rsidP="00A42BFB">
      <w:pPr>
        <w:jc w:val="both"/>
        <w:rPr>
          <w:rFonts w:ascii="Arial" w:hAnsi="Arial" w:cs="Arial"/>
          <w:sz w:val="20"/>
        </w:rPr>
      </w:pPr>
    </w:p>
    <w:p w14:paraId="52E07AB0" w14:textId="23E8C01D"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With the deployment of new translation management </w:t>
      </w:r>
      <w:r w:rsidR="00053C3E">
        <w:rPr>
          <w:rFonts w:ascii="Arial" w:hAnsi="Arial" w:cs="Arial"/>
          <w:sz w:val="20"/>
        </w:rPr>
        <w:t xml:space="preserve">and technology </w:t>
      </w:r>
      <w:r w:rsidRPr="00DE3C84">
        <w:rPr>
          <w:rFonts w:ascii="Arial" w:hAnsi="Arial" w:cs="Arial"/>
          <w:sz w:val="20"/>
        </w:rPr>
        <w:t xml:space="preserve">tools, the IP terminology database, which has been developed in the six UN languages, will be made available for external use.  This database will be used as a tool to ensure consistency and quality in translation and represents an asset to the Organization in its strive to become a world reference source for IP information and analysis.  </w:t>
      </w:r>
    </w:p>
    <w:p w14:paraId="08CF9632" w14:textId="77777777" w:rsidR="00DE3C84" w:rsidRPr="00DE3C84" w:rsidRDefault="00DE3C84" w:rsidP="00A42BFB">
      <w:pPr>
        <w:jc w:val="both"/>
        <w:rPr>
          <w:rFonts w:ascii="Arial" w:hAnsi="Arial" w:cs="Arial"/>
          <w:sz w:val="20"/>
        </w:rPr>
      </w:pPr>
    </w:p>
    <w:p w14:paraId="1EC1B0FE" w14:textId="16DD7AE3" w:rsidR="00DE3C84" w:rsidRPr="00DE3C84"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bCs/>
          <w:sz w:val="20"/>
        </w:rPr>
      </w:pPr>
      <w:r w:rsidRPr="00DE3C84">
        <w:rPr>
          <w:rFonts w:ascii="Arial" w:hAnsi="Arial" w:cs="Arial"/>
          <w:sz w:val="20"/>
        </w:rPr>
        <w:t xml:space="preserve">The records management and archiving policy will be implemented by developing streamlined procedures for all the sectors. Conference services will endeavor to optimize the use of available resources;  hire temporary staff from agencies, whenever necessary; and enhance the application of information technology tools and systems. This will also help to manage the higher expected demand from the extended use of the New Conference Hall.  The on-line registration system will be strengthened and efforts made to streamline the electronic distribution of documents.  While maintaining efficient printing operations, the service will endeavor to reduce paper consumption by introducing systems based on ‘print-on-demand’.  </w:t>
      </w:r>
      <w:r w:rsidR="005550E4">
        <w:rPr>
          <w:rFonts w:ascii="Arial" w:hAnsi="Arial" w:cs="Arial"/>
          <w:sz w:val="20"/>
        </w:rPr>
        <w:t xml:space="preserve">Further cost-efficiency opportunities will also be explored through the Geneva International Collaboration Group. </w:t>
      </w:r>
      <w:r w:rsidRPr="00DE3C84">
        <w:rPr>
          <w:rFonts w:ascii="Arial" w:hAnsi="Arial" w:cs="Arial"/>
          <w:sz w:val="20"/>
        </w:rPr>
        <w:t xml:space="preserve">Mailing services will continue to provide speedy and cost-efficient services, constantly striving to obtain competitive rates from the major </w:t>
      </w:r>
      <w:r w:rsidR="00053C3E">
        <w:rPr>
          <w:rFonts w:ascii="Arial" w:hAnsi="Arial" w:cs="Arial"/>
          <w:sz w:val="20"/>
        </w:rPr>
        <w:t xml:space="preserve">mail </w:t>
      </w:r>
      <w:r w:rsidRPr="00DE3C84">
        <w:rPr>
          <w:rFonts w:ascii="Arial" w:hAnsi="Arial" w:cs="Arial"/>
          <w:sz w:val="20"/>
        </w:rPr>
        <w:t xml:space="preserve">carriers. </w:t>
      </w:r>
    </w:p>
    <w:p w14:paraId="07AFB5ED" w14:textId="77777777" w:rsidR="00DE3C84" w:rsidRPr="00DE3C84" w:rsidRDefault="00DE3C84" w:rsidP="00A42BFB">
      <w:pPr>
        <w:rPr>
          <w:rFonts w:ascii="Arial" w:hAnsi="Arial" w:cs="Arial"/>
        </w:rPr>
      </w:pPr>
    </w:p>
    <w:p w14:paraId="7AE2FAAB" w14:textId="77777777" w:rsidR="00DE3C84" w:rsidRPr="00DE3C84" w:rsidRDefault="00DE3C84" w:rsidP="00A42BFB">
      <w:pPr>
        <w:rPr>
          <w:rFonts w:ascii="Arial" w:hAnsi="Arial" w:cs="Arial"/>
        </w:rPr>
      </w:pPr>
    </w:p>
    <w:p w14:paraId="70B76D73" w14:textId="77777777" w:rsidR="00DE3C84" w:rsidRPr="00DE3C84" w:rsidRDefault="00DE3C84" w:rsidP="00A42BFB">
      <w:pPr>
        <w:rPr>
          <w:rFonts w:ascii="Arial" w:hAnsi="Arial" w:cs="Arial"/>
        </w:rPr>
      </w:pPr>
      <w:r w:rsidRPr="00DE3C84">
        <w:rPr>
          <w:rFonts w:ascii="Arial" w:hAnsi="Arial" w:cs="Arial"/>
        </w:rPr>
        <w:t>MAJOR RISKS AND MITIGATION STRATEGIES</w:t>
      </w:r>
    </w:p>
    <w:p w14:paraId="47EED43B" w14:textId="77777777" w:rsidR="00DE3C84" w:rsidRPr="00DE3C84" w:rsidRDefault="00DE3C84" w:rsidP="00A42BFB">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E3C84" w:rsidRPr="00DE3C84" w14:paraId="7067C45D" w14:textId="77777777" w:rsidTr="00A42BFB">
        <w:trPr>
          <w:trHeight w:val="577"/>
        </w:trPr>
        <w:tc>
          <w:tcPr>
            <w:tcW w:w="4111" w:type="dxa"/>
            <w:tcBorders>
              <w:top w:val="single" w:sz="4" w:space="0" w:color="auto"/>
              <w:bottom w:val="single" w:sz="4" w:space="0" w:color="auto"/>
            </w:tcBorders>
            <w:shd w:val="clear" w:color="auto" w:fill="C6D9F1" w:themeFill="text2" w:themeFillTint="33"/>
            <w:vAlign w:val="center"/>
          </w:tcPr>
          <w:p w14:paraId="3050B43A" w14:textId="77777777" w:rsidR="00DE3C84" w:rsidRPr="00DE3C84" w:rsidRDefault="00DE3C84" w:rsidP="00A42BFB">
            <w:pPr>
              <w:jc w:val="center"/>
              <w:rPr>
                <w:rFonts w:ascii="Arial" w:hAnsi="Arial" w:cs="Arial"/>
                <w:b/>
                <w:bCs/>
                <w:sz w:val="18"/>
                <w:szCs w:val="18"/>
              </w:rPr>
            </w:pPr>
            <w:r w:rsidRPr="00DE3C84">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231ED1EA" w14:textId="77777777" w:rsidR="00DE3C84" w:rsidRPr="00DE3C84" w:rsidRDefault="00DE3C84" w:rsidP="00A42BFB">
            <w:pPr>
              <w:jc w:val="center"/>
              <w:rPr>
                <w:rFonts w:ascii="Arial" w:hAnsi="Arial" w:cs="Arial"/>
                <w:b/>
                <w:bCs/>
                <w:sz w:val="18"/>
                <w:szCs w:val="18"/>
              </w:rPr>
            </w:pPr>
            <w:r w:rsidRPr="00DE3C84">
              <w:rPr>
                <w:rFonts w:ascii="Arial" w:hAnsi="Arial" w:cs="Arial"/>
                <w:b/>
                <w:bCs/>
                <w:sz w:val="18"/>
                <w:szCs w:val="18"/>
              </w:rPr>
              <w:t>Mitigation</w:t>
            </w:r>
          </w:p>
        </w:tc>
      </w:tr>
      <w:tr w:rsidR="00DE3C84" w:rsidRPr="00DE3C84" w14:paraId="632F861E" w14:textId="77777777" w:rsidTr="00A42BFB">
        <w:trPr>
          <w:trHeight w:val="928"/>
        </w:trPr>
        <w:tc>
          <w:tcPr>
            <w:tcW w:w="4111" w:type="dxa"/>
            <w:tcBorders>
              <w:top w:val="single" w:sz="4" w:space="0" w:color="auto"/>
            </w:tcBorders>
            <w:shd w:val="clear" w:color="auto" w:fill="auto"/>
            <w:tcMar>
              <w:top w:w="113" w:type="dxa"/>
              <w:bottom w:w="113" w:type="dxa"/>
            </w:tcMar>
          </w:tcPr>
          <w:p w14:paraId="57E51321" w14:textId="77777777" w:rsidR="00DE3C84" w:rsidRPr="00DE3C84" w:rsidRDefault="00DE3C84" w:rsidP="00A42BFB">
            <w:pPr>
              <w:rPr>
                <w:rFonts w:ascii="Arial" w:hAnsi="Arial" w:cs="Arial"/>
                <w:sz w:val="16"/>
                <w:szCs w:val="16"/>
              </w:rPr>
            </w:pPr>
            <w:r w:rsidRPr="00DE3C84">
              <w:rPr>
                <w:rFonts w:ascii="Arial" w:hAnsi="Arial" w:cs="Arial"/>
                <w:color w:val="000000"/>
                <w:sz w:val="16"/>
                <w:szCs w:val="16"/>
              </w:rPr>
              <w:t>Inadequate implementation of the Language Policy due to increasing requests for translation and non-adherence to prescribed limits, translation workloads mount significantly, leading to budgetary imbalances.</w:t>
            </w:r>
          </w:p>
        </w:tc>
        <w:tc>
          <w:tcPr>
            <w:tcW w:w="5103" w:type="dxa"/>
            <w:tcBorders>
              <w:top w:val="single" w:sz="4" w:space="0" w:color="auto"/>
            </w:tcBorders>
            <w:shd w:val="clear" w:color="auto" w:fill="auto"/>
            <w:tcMar>
              <w:top w:w="113" w:type="dxa"/>
              <w:bottom w:w="113" w:type="dxa"/>
            </w:tcMar>
          </w:tcPr>
          <w:p w14:paraId="0A1BAFAF" w14:textId="77777777" w:rsidR="00DE3C84" w:rsidRPr="00DE3C84" w:rsidRDefault="00DE3C84" w:rsidP="00A42BFB">
            <w:pPr>
              <w:rPr>
                <w:rFonts w:ascii="Arial" w:hAnsi="Arial" w:cs="Arial"/>
                <w:sz w:val="16"/>
                <w:szCs w:val="16"/>
              </w:rPr>
            </w:pPr>
            <w:r w:rsidRPr="00DE3C84">
              <w:rPr>
                <w:rFonts w:ascii="Arial" w:hAnsi="Arial" w:cs="Arial"/>
                <w:color w:val="000000"/>
                <w:sz w:val="16"/>
                <w:szCs w:val="16"/>
              </w:rPr>
              <w:t>Monitor the number and size of documents.  Strictly enforce rationalization and control measures; encouraging sectors concerned to avoid repetitive text in documents.  Continue to utilize cost-effective resourcing options.</w:t>
            </w:r>
          </w:p>
        </w:tc>
      </w:tr>
    </w:tbl>
    <w:p w14:paraId="313919EC" w14:textId="77777777" w:rsidR="00DE3C84" w:rsidRPr="00DE3C84" w:rsidRDefault="00DE3C84" w:rsidP="00A42BFB">
      <w:pPr>
        <w:rPr>
          <w:rFonts w:ascii="Arial" w:hAnsi="Arial" w:cs="Arial"/>
          <w:sz w:val="20"/>
        </w:rPr>
      </w:pPr>
    </w:p>
    <w:p w14:paraId="76A43139" w14:textId="77777777" w:rsidR="00DE3C84" w:rsidRPr="00DE3C84" w:rsidRDefault="00DE3C84" w:rsidP="00A42BFB">
      <w:pPr>
        <w:rPr>
          <w:rFonts w:ascii="Arial" w:hAnsi="Arial" w:cs="Arial"/>
          <w:i/>
          <w:iCs/>
          <w:sz w:val="20"/>
        </w:rPr>
      </w:pPr>
    </w:p>
    <w:p w14:paraId="14014448" w14:textId="77777777" w:rsidR="00DE3C84" w:rsidRPr="00DE3C84" w:rsidRDefault="00DE3C84" w:rsidP="00A42BFB">
      <w:pPr>
        <w:rPr>
          <w:rFonts w:ascii="Arial" w:hAnsi="Arial" w:cs="Arial"/>
        </w:rPr>
      </w:pPr>
      <w:r w:rsidRPr="00DE3C84">
        <w:rPr>
          <w:rFonts w:ascii="Arial" w:hAnsi="Arial" w:cs="Arial"/>
        </w:rPr>
        <w:t>RESULTS FRAMEWORK</w:t>
      </w:r>
    </w:p>
    <w:p w14:paraId="0FA53947" w14:textId="77777777" w:rsidR="00DE3C84" w:rsidRPr="00DE3C84" w:rsidRDefault="00DE3C84" w:rsidP="00A42BFB">
      <w:pPr>
        <w:rPr>
          <w:rFonts w:ascii="Arial" w:hAnsi="Arial" w:cs="Arial"/>
        </w:rPr>
      </w:pPr>
    </w:p>
    <w:tbl>
      <w:tblPr>
        <w:tblW w:w="9251" w:type="dxa"/>
        <w:tblInd w:w="93" w:type="dxa"/>
        <w:tblLook w:val="04A0" w:firstRow="1" w:lastRow="0" w:firstColumn="1" w:lastColumn="0" w:noHBand="0" w:noVBand="1"/>
      </w:tblPr>
      <w:tblGrid>
        <w:gridCol w:w="2140"/>
        <w:gridCol w:w="2560"/>
        <w:gridCol w:w="2120"/>
        <w:gridCol w:w="2431"/>
      </w:tblGrid>
      <w:tr w:rsidR="00DE3C84" w:rsidRPr="00DE3C84" w14:paraId="60988870" w14:textId="77777777" w:rsidTr="00A42BFB">
        <w:trPr>
          <w:trHeight w:val="545"/>
        </w:trPr>
        <w:tc>
          <w:tcPr>
            <w:tcW w:w="21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0931855"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 xml:space="preserve">Expected Results </w:t>
            </w:r>
          </w:p>
        </w:tc>
        <w:tc>
          <w:tcPr>
            <w:tcW w:w="2560" w:type="dxa"/>
            <w:tcBorders>
              <w:top w:val="single" w:sz="4" w:space="0" w:color="auto"/>
              <w:left w:val="nil"/>
              <w:bottom w:val="single" w:sz="4" w:space="0" w:color="auto"/>
              <w:right w:val="nil"/>
            </w:tcBorders>
            <w:shd w:val="clear" w:color="auto" w:fill="C6D9F1" w:themeFill="text2" w:themeFillTint="33"/>
            <w:vAlign w:val="center"/>
            <w:hideMark/>
          </w:tcPr>
          <w:p w14:paraId="36194FEB"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Performance Indicators</w:t>
            </w:r>
          </w:p>
        </w:tc>
        <w:tc>
          <w:tcPr>
            <w:tcW w:w="2120" w:type="dxa"/>
            <w:tcBorders>
              <w:top w:val="single" w:sz="4" w:space="0" w:color="auto"/>
              <w:left w:val="nil"/>
              <w:bottom w:val="single" w:sz="4" w:space="0" w:color="auto"/>
              <w:right w:val="nil"/>
            </w:tcBorders>
            <w:shd w:val="clear" w:color="auto" w:fill="C6D9F1" w:themeFill="text2" w:themeFillTint="33"/>
            <w:vAlign w:val="center"/>
            <w:hideMark/>
          </w:tcPr>
          <w:p w14:paraId="041BB873"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Baselines</w:t>
            </w:r>
          </w:p>
        </w:tc>
        <w:tc>
          <w:tcPr>
            <w:tcW w:w="243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7FD198"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Targets</w:t>
            </w:r>
          </w:p>
        </w:tc>
      </w:tr>
      <w:tr w:rsidR="00DE3C84" w:rsidRPr="00DE3C84" w14:paraId="7A26E2E8" w14:textId="77777777" w:rsidTr="00A42BFB">
        <w:trPr>
          <w:trHeight w:val="1106"/>
        </w:trPr>
        <w:tc>
          <w:tcPr>
            <w:tcW w:w="2140" w:type="dxa"/>
            <w:vMerge w:val="restart"/>
            <w:tcBorders>
              <w:top w:val="nil"/>
              <w:left w:val="single" w:sz="4" w:space="0" w:color="auto"/>
              <w:bottom w:val="single" w:sz="4" w:space="0" w:color="000000"/>
              <w:right w:val="nil"/>
            </w:tcBorders>
            <w:shd w:val="clear" w:color="000000" w:fill="FFFFFF"/>
            <w:hideMark/>
          </w:tcPr>
          <w:p w14:paraId="56B710D2" w14:textId="77777777" w:rsidR="00DE3C84" w:rsidRPr="00DE3C84" w:rsidRDefault="00DE3C84" w:rsidP="00A42BFB">
            <w:pPr>
              <w:rPr>
                <w:rFonts w:ascii="Arial" w:hAnsi="Arial" w:cs="Arial"/>
                <w:color w:val="000000"/>
                <w:sz w:val="16"/>
                <w:szCs w:val="16"/>
              </w:rPr>
            </w:pPr>
            <w:r w:rsidRPr="00DE3C84">
              <w:rPr>
                <w:rFonts w:ascii="Arial" w:hAnsi="Arial" w:cs="Arial"/>
                <w:color w:val="000000"/>
                <w:sz w:val="16"/>
                <w:szCs w:val="16"/>
              </w:rPr>
              <w:br/>
              <w:t>IX.1 Effective, efficient, quality and customer-oriented support services both to internal clients and to external stakeholders</w:t>
            </w:r>
          </w:p>
        </w:tc>
        <w:tc>
          <w:tcPr>
            <w:tcW w:w="2560" w:type="dxa"/>
            <w:tcBorders>
              <w:top w:val="nil"/>
              <w:left w:val="nil"/>
              <w:bottom w:val="nil"/>
              <w:right w:val="nil"/>
            </w:tcBorders>
            <w:shd w:val="clear" w:color="000000" w:fill="FFFFFF"/>
            <w:hideMark/>
          </w:tcPr>
          <w:p w14:paraId="480D23DA"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br/>
              <w:t>% of internal and external participants satisfied with WIPO Conference Services</w:t>
            </w:r>
          </w:p>
        </w:tc>
        <w:tc>
          <w:tcPr>
            <w:tcW w:w="2120" w:type="dxa"/>
            <w:tcBorders>
              <w:top w:val="nil"/>
              <w:left w:val="nil"/>
              <w:bottom w:val="nil"/>
              <w:right w:val="nil"/>
            </w:tcBorders>
            <w:shd w:val="clear" w:color="000000" w:fill="FFFFFF"/>
            <w:hideMark/>
          </w:tcPr>
          <w:p w14:paraId="3B253AB0"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br/>
              <w:t>97% of participants satisfied with services (end of 2014)</w:t>
            </w:r>
          </w:p>
        </w:tc>
        <w:tc>
          <w:tcPr>
            <w:tcW w:w="2431" w:type="dxa"/>
            <w:tcBorders>
              <w:top w:val="nil"/>
              <w:left w:val="nil"/>
              <w:bottom w:val="nil"/>
              <w:right w:val="single" w:sz="4" w:space="0" w:color="auto"/>
            </w:tcBorders>
            <w:shd w:val="clear" w:color="000000" w:fill="FFFFFF"/>
            <w:hideMark/>
          </w:tcPr>
          <w:p w14:paraId="1E493946"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br/>
              <w:t>Maintain rate at end of 2014</w:t>
            </w:r>
          </w:p>
        </w:tc>
      </w:tr>
      <w:tr w:rsidR="00DE3C84" w:rsidRPr="00DE3C84" w14:paraId="5FEAB89A" w14:textId="77777777" w:rsidTr="00A42BFB">
        <w:trPr>
          <w:trHeight w:val="1547"/>
        </w:trPr>
        <w:tc>
          <w:tcPr>
            <w:tcW w:w="2140" w:type="dxa"/>
            <w:vMerge/>
            <w:tcBorders>
              <w:top w:val="nil"/>
              <w:left w:val="single" w:sz="4" w:space="0" w:color="auto"/>
              <w:bottom w:val="single" w:sz="4" w:space="0" w:color="000000"/>
              <w:right w:val="nil"/>
            </w:tcBorders>
            <w:vAlign w:val="center"/>
            <w:hideMark/>
          </w:tcPr>
          <w:p w14:paraId="40DBCC20"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4B32CC67"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Effective implementation of WIPO Language Policy</w:t>
            </w:r>
          </w:p>
        </w:tc>
        <w:tc>
          <w:tcPr>
            <w:tcW w:w="2120" w:type="dxa"/>
            <w:tcBorders>
              <w:top w:val="nil"/>
              <w:left w:val="nil"/>
              <w:bottom w:val="nil"/>
              <w:right w:val="nil"/>
            </w:tcBorders>
            <w:shd w:val="clear" w:color="000000" w:fill="FFFFFF"/>
            <w:hideMark/>
          </w:tcPr>
          <w:p w14:paraId="76D87105"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Language coverage extended to documents for all Committees/Main Bodies and some Working Groups</w:t>
            </w:r>
          </w:p>
        </w:tc>
        <w:tc>
          <w:tcPr>
            <w:tcW w:w="2431" w:type="dxa"/>
            <w:tcBorders>
              <w:top w:val="nil"/>
              <w:left w:val="nil"/>
              <w:bottom w:val="nil"/>
              <w:right w:val="single" w:sz="4" w:space="0" w:color="auto"/>
            </w:tcBorders>
            <w:shd w:val="clear" w:color="000000" w:fill="FFFFFF"/>
            <w:hideMark/>
          </w:tcPr>
          <w:p w14:paraId="6874B258"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Language coverage extended to documents for all Committees/Main Bodies/Working Groups with lengths maintained as per provisions of Language Policy</w:t>
            </w:r>
          </w:p>
        </w:tc>
      </w:tr>
      <w:tr w:rsidR="00DE3C84" w:rsidRPr="00DE3C84" w14:paraId="64F329A7" w14:textId="77777777" w:rsidTr="00A42BFB">
        <w:trPr>
          <w:trHeight w:val="549"/>
        </w:trPr>
        <w:tc>
          <w:tcPr>
            <w:tcW w:w="2140" w:type="dxa"/>
            <w:vMerge/>
            <w:tcBorders>
              <w:top w:val="nil"/>
              <w:left w:val="single" w:sz="4" w:space="0" w:color="auto"/>
              <w:bottom w:val="single" w:sz="4" w:space="0" w:color="000000"/>
              <w:right w:val="nil"/>
            </w:tcBorders>
            <w:vAlign w:val="center"/>
            <w:hideMark/>
          </w:tcPr>
          <w:p w14:paraId="4AB8D598"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2FE70668"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Reduction in printing costs (per page)</w:t>
            </w:r>
          </w:p>
        </w:tc>
        <w:tc>
          <w:tcPr>
            <w:tcW w:w="2120" w:type="dxa"/>
            <w:tcBorders>
              <w:top w:val="nil"/>
              <w:left w:val="nil"/>
              <w:bottom w:val="nil"/>
              <w:right w:val="nil"/>
            </w:tcBorders>
            <w:shd w:val="clear" w:color="000000" w:fill="FFFFFF"/>
            <w:hideMark/>
          </w:tcPr>
          <w:p w14:paraId="4CED839F" w14:textId="4193BC6D"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0</w:t>
            </w:r>
            <w:r w:rsidR="004D3E01">
              <w:rPr>
                <w:rFonts w:ascii="Arial" w:hAnsi="Arial" w:cs="Arial"/>
                <w:color w:val="000000"/>
                <w:sz w:val="16"/>
                <w:szCs w:val="16"/>
              </w:rPr>
              <w:t>.</w:t>
            </w:r>
            <w:r w:rsidRPr="00DE3C84">
              <w:rPr>
                <w:rFonts w:ascii="Arial" w:hAnsi="Arial" w:cs="Arial"/>
                <w:color w:val="000000"/>
                <w:sz w:val="16"/>
                <w:szCs w:val="16"/>
              </w:rPr>
              <w:t xml:space="preserve">14 </w:t>
            </w:r>
            <w:r w:rsidR="003736E0">
              <w:rPr>
                <w:rFonts w:ascii="Arial" w:hAnsi="Arial" w:cs="Arial"/>
                <w:color w:val="000000"/>
                <w:sz w:val="16"/>
                <w:szCs w:val="16"/>
              </w:rPr>
              <w:t>Swiss francs</w:t>
            </w:r>
            <w:r w:rsidR="003736E0" w:rsidRPr="00DE3C84">
              <w:rPr>
                <w:rFonts w:ascii="Arial" w:hAnsi="Arial" w:cs="Arial"/>
                <w:color w:val="000000"/>
                <w:sz w:val="16"/>
                <w:szCs w:val="16"/>
              </w:rPr>
              <w:t xml:space="preserve"> </w:t>
            </w:r>
            <w:r w:rsidRPr="00DE3C84">
              <w:rPr>
                <w:rFonts w:ascii="Arial" w:hAnsi="Arial" w:cs="Arial"/>
                <w:color w:val="000000"/>
                <w:sz w:val="16"/>
                <w:szCs w:val="16"/>
              </w:rPr>
              <w:t>per page</w:t>
            </w:r>
          </w:p>
        </w:tc>
        <w:tc>
          <w:tcPr>
            <w:tcW w:w="2431" w:type="dxa"/>
            <w:tcBorders>
              <w:top w:val="nil"/>
              <w:left w:val="nil"/>
              <w:bottom w:val="nil"/>
              <w:right w:val="single" w:sz="4" w:space="0" w:color="auto"/>
            </w:tcBorders>
            <w:shd w:val="clear" w:color="000000" w:fill="FFFFFF"/>
            <w:hideMark/>
          </w:tcPr>
          <w:p w14:paraId="4EDF3B4F"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Maintain the rate</w:t>
            </w:r>
          </w:p>
        </w:tc>
      </w:tr>
      <w:tr w:rsidR="00DE3C84" w:rsidRPr="00DE3C84" w14:paraId="0555A815" w14:textId="77777777" w:rsidTr="00A42BFB">
        <w:trPr>
          <w:trHeight w:val="1124"/>
        </w:trPr>
        <w:tc>
          <w:tcPr>
            <w:tcW w:w="2140" w:type="dxa"/>
            <w:vMerge/>
            <w:tcBorders>
              <w:top w:val="nil"/>
              <w:left w:val="single" w:sz="4" w:space="0" w:color="auto"/>
              <w:bottom w:val="single" w:sz="4" w:space="0" w:color="000000"/>
              <w:right w:val="nil"/>
            </w:tcBorders>
            <w:vAlign w:val="center"/>
            <w:hideMark/>
          </w:tcPr>
          <w:p w14:paraId="5F91D158"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78190976"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Timely publication of documents for Committees and Working Groups</w:t>
            </w:r>
          </w:p>
        </w:tc>
        <w:tc>
          <w:tcPr>
            <w:tcW w:w="2120" w:type="dxa"/>
            <w:tcBorders>
              <w:top w:val="nil"/>
              <w:left w:val="nil"/>
              <w:bottom w:val="nil"/>
              <w:right w:val="nil"/>
            </w:tcBorders>
            <w:shd w:val="clear" w:color="000000" w:fill="FFFFFF"/>
            <w:hideMark/>
          </w:tcPr>
          <w:p w14:paraId="738CF4AB"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21% of documents published in all languages two months before the relevant meetings</w:t>
            </w:r>
          </w:p>
        </w:tc>
        <w:tc>
          <w:tcPr>
            <w:tcW w:w="2431" w:type="dxa"/>
            <w:tcBorders>
              <w:top w:val="nil"/>
              <w:left w:val="nil"/>
              <w:bottom w:val="nil"/>
              <w:right w:val="single" w:sz="4" w:space="0" w:color="auto"/>
            </w:tcBorders>
            <w:shd w:val="clear" w:color="000000" w:fill="FFFFFF"/>
            <w:hideMark/>
          </w:tcPr>
          <w:p w14:paraId="01932741"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65% of documents published in all languages two months before the relevant meetings</w:t>
            </w:r>
          </w:p>
        </w:tc>
      </w:tr>
      <w:tr w:rsidR="00DE3C84" w:rsidRPr="00DE3C84" w14:paraId="4C2F7766" w14:textId="77777777" w:rsidTr="00A42BFB">
        <w:trPr>
          <w:trHeight w:val="430"/>
        </w:trPr>
        <w:tc>
          <w:tcPr>
            <w:tcW w:w="2140" w:type="dxa"/>
            <w:vMerge/>
            <w:tcBorders>
              <w:top w:val="nil"/>
              <w:left w:val="single" w:sz="4" w:space="0" w:color="auto"/>
              <w:bottom w:val="single" w:sz="4" w:space="0" w:color="000000"/>
              <w:right w:val="nil"/>
            </w:tcBorders>
            <w:vAlign w:val="center"/>
            <w:hideMark/>
          </w:tcPr>
          <w:p w14:paraId="421DDB56" w14:textId="77777777" w:rsidR="00DE3C84" w:rsidRPr="00DE3C84" w:rsidRDefault="00DE3C84" w:rsidP="00A42BFB">
            <w:pPr>
              <w:rPr>
                <w:rFonts w:ascii="Arial" w:hAnsi="Arial" w:cs="Arial"/>
                <w:color w:val="000000"/>
                <w:sz w:val="16"/>
                <w:szCs w:val="16"/>
              </w:rPr>
            </w:pPr>
          </w:p>
        </w:tc>
        <w:tc>
          <w:tcPr>
            <w:tcW w:w="2560" w:type="dxa"/>
            <w:tcBorders>
              <w:top w:val="nil"/>
              <w:left w:val="nil"/>
              <w:bottom w:val="single" w:sz="4" w:space="0" w:color="auto"/>
              <w:right w:val="nil"/>
            </w:tcBorders>
            <w:shd w:val="clear" w:color="000000" w:fill="FFFFFF"/>
            <w:hideMark/>
          </w:tcPr>
          <w:p w14:paraId="0E744FF2"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Cost per word of translation</w:t>
            </w:r>
          </w:p>
        </w:tc>
        <w:tc>
          <w:tcPr>
            <w:tcW w:w="2120" w:type="dxa"/>
            <w:tcBorders>
              <w:top w:val="nil"/>
              <w:left w:val="nil"/>
              <w:bottom w:val="single" w:sz="4" w:space="0" w:color="auto"/>
              <w:right w:val="nil"/>
            </w:tcBorders>
            <w:shd w:val="clear" w:color="000000" w:fill="FFFFFF"/>
            <w:hideMark/>
          </w:tcPr>
          <w:p w14:paraId="1F2B9CAE" w14:textId="77F14D7D"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0.59 Swiss franc</w:t>
            </w:r>
            <w:r w:rsidR="004D3E01">
              <w:rPr>
                <w:rFonts w:ascii="Arial" w:hAnsi="Arial" w:cs="Arial"/>
                <w:color w:val="000000"/>
                <w:sz w:val="16"/>
                <w:szCs w:val="16"/>
              </w:rPr>
              <w:t>s</w:t>
            </w:r>
            <w:r w:rsidRPr="00DE3C84">
              <w:rPr>
                <w:rFonts w:ascii="Arial" w:hAnsi="Arial" w:cs="Arial"/>
                <w:color w:val="000000"/>
                <w:sz w:val="16"/>
                <w:szCs w:val="16"/>
              </w:rPr>
              <w:t xml:space="preserve"> per word</w:t>
            </w:r>
          </w:p>
        </w:tc>
        <w:tc>
          <w:tcPr>
            <w:tcW w:w="2431" w:type="dxa"/>
            <w:tcBorders>
              <w:top w:val="nil"/>
              <w:left w:val="nil"/>
              <w:bottom w:val="single" w:sz="4" w:space="0" w:color="auto"/>
              <w:right w:val="single" w:sz="4" w:space="0" w:color="auto"/>
            </w:tcBorders>
            <w:shd w:val="clear" w:color="000000" w:fill="FFFFFF"/>
            <w:hideMark/>
          </w:tcPr>
          <w:p w14:paraId="672687AA" w14:textId="77777777" w:rsidR="00DE3C84" w:rsidRPr="00DE3C84" w:rsidRDefault="00DE3C84" w:rsidP="008D4CE9">
            <w:pPr>
              <w:ind w:left="177"/>
              <w:rPr>
                <w:rFonts w:ascii="Arial" w:hAnsi="Arial" w:cs="Arial"/>
                <w:color w:val="000000"/>
                <w:sz w:val="16"/>
                <w:szCs w:val="16"/>
              </w:rPr>
            </w:pPr>
            <w:r w:rsidRPr="00DE3C84">
              <w:rPr>
                <w:rFonts w:ascii="Arial" w:hAnsi="Arial" w:cs="Arial"/>
                <w:color w:val="000000"/>
                <w:sz w:val="16"/>
                <w:szCs w:val="16"/>
              </w:rPr>
              <w:t>Maintain cost</w:t>
            </w:r>
          </w:p>
        </w:tc>
      </w:tr>
    </w:tbl>
    <w:p w14:paraId="54045A72" w14:textId="77777777" w:rsidR="00DE3C84" w:rsidRPr="00DE3C84" w:rsidRDefault="00DE3C84" w:rsidP="00A42BFB">
      <w:pPr>
        <w:rPr>
          <w:rFonts w:ascii="Arial" w:hAnsi="Arial" w:cs="Arial"/>
        </w:rPr>
      </w:pPr>
    </w:p>
    <w:p w14:paraId="460EB1D0" w14:textId="77777777" w:rsidR="00DE3C84" w:rsidRPr="00DE3C84" w:rsidRDefault="00DE3C84" w:rsidP="00A42BFB">
      <w:pPr>
        <w:rPr>
          <w:rFonts w:ascii="Arial" w:hAnsi="Arial" w:cs="Arial"/>
        </w:rPr>
      </w:pPr>
    </w:p>
    <w:p w14:paraId="3CC84FB4" w14:textId="252ADAC6" w:rsidR="00DE3C84" w:rsidRPr="00DE3C84" w:rsidRDefault="00DE3C84" w:rsidP="00A42BFB">
      <w:pPr>
        <w:rPr>
          <w:rFonts w:ascii="Arial" w:hAnsi="Arial" w:cs="Arial"/>
        </w:rPr>
      </w:pPr>
      <w:r w:rsidRPr="00DE3C84">
        <w:rPr>
          <w:rFonts w:ascii="Arial" w:hAnsi="Arial" w:cs="Arial"/>
        </w:rPr>
        <w:t>RESOURCES FOR PROGRAM 27</w:t>
      </w:r>
    </w:p>
    <w:p w14:paraId="6BA68FBE" w14:textId="77777777" w:rsidR="00DE3C84" w:rsidRPr="00FB68E0" w:rsidRDefault="00DE3C84" w:rsidP="00FB68E0">
      <w:pPr>
        <w:pStyle w:val="ListParagraph"/>
        <w:tabs>
          <w:tab w:val="left" w:pos="709"/>
        </w:tabs>
        <w:autoSpaceDE w:val="0"/>
        <w:autoSpaceDN w:val="0"/>
        <w:adjustRightInd w:val="0"/>
        <w:ind w:left="0"/>
        <w:jc w:val="both"/>
        <w:rPr>
          <w:rFonts w:ascii="Arial" w:hAnsi="Arial" w:cs="Arial"/>
          <w:color w:val="000000"/>
          <w:sz w:val="20"/>
          <w:szCs w:val="20"/>
        </w:rPr>
      </w:pPr>
    </w:p>
    <w:p w14:paraId="6FE566AE" w14:textId="0DAE221E" w:rsidR="00DE3C84" w:rsidRPr="00FB68E0" w:rsidRDefault="00DE3C84" w:rsidP="00B66A4A">
      <w:pPr>
        <w:pStyle w:val="ListParagraph"/>
        <w:numPr>
          <w:ilvl w:val="0"/>
          <w:numId w:val="29"/>
        </w:numPr>
        <w:tabs>
          <w:tab w:val="left" w:pos="709"/>
        </w:tabs>
        <w:autoSpaceDE w:val="0"/>
        <w:autoSpaceDN w:val="0"/>
        <w:adjustRightInd w:val="0"/>
        <w:ind w:left="0" w:firstLine="0"/>
        <w:jc w:val="both"/>
        <w:rPr>
          <w:rFonts w:ascii="Arial" w:hAnsi="Arial" w:cs="Arial"/>
          <w:color w:val="000000"/>
          <w:sz w:val="20"/>
          <w:szCs w:val="20"/>
        </w:rPr>
      </w:pPr>
      <w:r w:rsidRPr="00FB68E0">
        <w:rPr>
          <w:rFonts w:ascii="Arial" w:hAnsi="Arial" w:cs="Arial"/>
          <w:sz w:val="20"/>
          <w:szCs w:val="20"/>
        </w:rPr>
        <w:t>The</w:t>
      </w:r>
      <w:r w:rsidRPr="00FB68E0">
        <w:rPr>
          <w:rFonts w:ascii="Arial" w:hAnsi="Arial" w:cs="Arial"/>
          <w:color w:val="000000"/>
          <w:sz w:val="20"/>
          <w:szCs w:val="20"/>
        </w:rPr>
        <w:t xml:space="preserve"> reduction under ER IX.1 </w:t>
      </w:r>
      <w:r w:rsidRPr="00DE3C84">
        <w:rPr>
          <w:rFonts w:ascii="Arial" w:hAnsi="Arial" w:cs="Arial"/>
          <w:color w:val="000000"/>
          <w:sz w:val="20"/>
        </w:rPr>
        <w:t xml:space="preserve">is due </w:t>
      </w:r>
      <w:r w:rsidRPr="00FB68E0">
        <w:rPr>
          <w:rFonts w:ascii="Arial" w:hAnsi="Arial" w:cs="Arial"/>
          <w:color w:val="000000"/>
          <w:sz w:val="20"/>
          <w:szCs w:val="20"/>
        </w:rPr>
        <w:t>pri</w:t>
      </w:r>
      <w:r w:rsidRPr="00DE3C84">
        <w:rPr>
          <w:rFonts w:ascii="Arial" w:hAnsi="Arial" w:cs="Arial"/>
          <w:color w:val="000000"/>
          <w:sz w:val="20"/>
        </w:rPr>
        <w:t>marily</w:t>
      </w:r>
      <w:r w:rsidRPr="00FB68E0">
        <w:rPr>
          <w:rFonts w:ascii="Arial" w:hAnsi="Arial" w:cs="Arial"/>
          <w:color w:val="000000"/>
          <w:sz w:val="20"/>
          <w:szCs w:val="20"/>
        </w:rPr>
        <w:t xml:space="preserve"> </w:t>
      </w:r>
      <w:r w:rsidRPr="00DE3C84">
        <w:rPr>
          <w:rFonts w:ascii="Arial" w:hAnsi="Arial" w:cs="Arial"/>
          <w:color w:val="000000"/>
          <w:sz w:val="20"/>
        </w:rPr>
        <w:t xml:space="preserve">to </w:t>
      </w:r>
      <w:r w:rsidRPr="00FB68E0">
        <w:rPr>
          <w:rFonts w:ascii="Arial" w:hAnsi="Arial" w:cs="Arial"/>
          <w:color w:val="000000"/>
          <w:sz w:val="20"/>
          <w:szCs w:val="20"/>
        </w:rPr>
        <w:t xml:space="preserve">a decrease in resources </w:t>
      </w:r>
      <w:r w:rsidRPr="00DE3C84">
        <w:rPr>
          <w:rFonts w:ascii="Arial" w:hAnsi="Arial" w:cs="Arial"/>
          <w:color w:val="000000"/>
          <w:sz w:val="20"/>
        </w:rPr>
        <w:t>for translation of 0.5 million</w:t>
      </w:r>
      <w:r w:rsidRPr="00FB68E0">
        <w:rPr>
          <w:rFonts w:ascii="Arial" w:hAnsi="Arial" w:cs="Arial"/>
          <w:color w:val="000000"/>
          <w:sz w:val="20"/>
          <w:szCs w:val="20"/>
        </w:rPr>
        <w:t xml:space="preserve"> Swiss francs, </w:t>
      </w:r>
      <w:r w:rsidRPr="00DE3C84">
        <w:rPr>
          <w:rFonts w:ascii="Arial" w:hAnsi="Arial" w:cs="Arial"/>
          <w:color w:val="000000"/>
          <w:sz w:val="20"/>
        </w:rPr>
        <w:t>as a result of</w:t>
      </w:r>
      <w:r w:rsidRPr="00FB68E0">
        <w:rPr>
          <w:rFonts w:ascii="Arial" w:hAnsi="Arial" w:cs="Arial"/>
          <w:color w:val="000000"/>
          <w:sz w:val="20"/>
          <w:szCs w:val="20"/>
        </w:rPr>
        <w:t xml:space="preserve"> </w:t>
      </w:r>
      <w:r w:rsidRPr="00DE3C84">
        <w:rPr>
          <w:rFonts w:ascii="Arial" w:hAnsi="Arial" w:cs="Arial"/>
          <w:color w:val="000000"/>
          <w:sz w:val="20"/>
        </w:rPr>
        <w:t xml:space="preserve">the containment of translation costs as per </w:t>
      </w:r>
      <w:r w:rsidRPr="00FB68E0">
        <w:rPr>
          <w:rFonts w:ascii="Arial" w:hAnsi="Arial" w:cs="Arial"/>
          <w:color w:val="000000"/>
          <w:sz w:val="20"/>
          <w:szCs w:val="20"/>
        </w:rPr>
        <w:t>expenditure pattern</w:t>
      </w:r>
      <w:r w:rsidRPr="00DE3C84">
        <w:rPr>
          <w:rFonts w:ascii="Arial" w:hAnsi="Arial" w:cs="Arial"/>
          <w:color w:val="000000"/>
          <w:sz w:val="20"/>
        </w:rPr>
        <w:t>s</w:t>
      </w:r>
      <w:r w:rsidRPr="00FB68E0">
        <w:rPr>
          <w:rFonts w:ascii="Arial" w:hAnsi="Arial" w:cs="Arial"/>
          <w:color w:val="000000"/>
          <w:sz w:val="20"/>
          <w:szCs w:val="20"/>
        </w:rPr>
        <w:t xml:space="preserve"> </w:t>
      </w:r>
      <w:r w:rsidRPr="00DE3C84">
        <w:rPr>
          <w:rFonts w:ascii="Arial" w:hAnsi="Arial" w:cs="Arial"/>
          <w:color w:val="000000"/>
          <w:sz w:val="20"/>
        </w:rPr>
        <w:t xml:space="preserve">in </w:t>
      </w:r>
      <w:r w:rsidRPr="00FB68E0">
        <w:rPr>
          <w:rFonts w:ascii="Arial" w:hAnsi="Arial" w:cs="Arial"/>
          <w:color w:val="000000"/>
          <w:sz w:val="20"/>
          <w:szCs w:val="20"/>
        </w:rPr>
        <w:t>2014/15</w:t>
      </w:r>
      <w:r w:rsidRPr="00DE3C84">
        <w:rPr>
          <w:rFonts w:ascii="Arial" w:hAnsi="Arial" w:cs="Arial"/>
          <w:color w:val="000000"/>
          <w:sz w:val="20"/>
        </w:rPr>
        <w:t xml:space="preserve"> following.</w:t>
      </w:r>
      <w:r w:rsidRPr="00FB68E0">
        <w:rPr>
          <w:rFonts w:ascii="Arial" w:hAnsi="Arial" w:cs="Arial"/>
          <w:color w:val="000000"/>
          <w:sz w:val="20"/>
          <w:szCs w:val="20"/>
        </w:rPr>
        <w:t xml:space="preserve"> </w:t>
      </w:r>
      <w:r w:rsidRPr="00DE3C84">
        <w:rPr>
          <w:rFonts w:ascii="Arial" w:hAnsi="Arial" w:cs="Arial"/>
          <w:color w:val="000000"/>
          <w:sz w:val="20"/>
        </w:rPr>
        <w:t xml:space="preserve"> An a</w:t>
      </w:r>
      <w:r w:rsidRPr="00FB68E0">
        <w:rPr>
          <w:rFonts w:ascii="Arial" w:hAnsi="Arial" w:cs="Arial"/>
          <w:color w:val="000000"/>
          <w:sz w:val="20"/>
          <w:szCs w:val="20"/>
        </w:rPr>
        <w:t xml:space="preserve">dditional </w:t>
      </w:r>
      <w:r w:rsidRPr="00DE3C84">
        <w:rPr>
          <w:rFonts w:ascii="Arial" w:hAnsi="Arial" w:cs="Arial"/>
          <w:color w:val="000000"/>
          <w:sz w:val="20"/>
        </w:rPr>
        <w:t>saving of 0.55 million S</w:t>
      </w:r>
      <w:r w:rsidRPr="00FB68E0">
        <w:rPr>
          <w:rFonts w:ascii="Arial" w:hAnsi="Arial" w:cs="Arial"/>
          <w:color w:val="000000"/>
          <w:sz w:val="20"/>
          <w:szCs w:val="20"/>
        </w:rPr>
        <w:t>wiss</w:t>
      </w:r>
      <w:r w:rsidR="004B1807">
        <w:rPr>
          <w:rFonts w:ascii="Arial" w:hAnsi="Arial" w:cs="Arial"/>
          <w:color w:val="000000"/>
          <w:sz w:val="20"/>
          <w:szCs w:val="20"/>
        </w:rPr>
        <w:t xml:space="preserve"> francs</w:t>
      </w:r>
      <w:r w:rsidRPr="00FB68E0">
        <w:rPr>
          <w:rFonts w:ascii="Arial" w:hAnsi="Arial" w:cs="Arial"/>
          <w:color w:val="000000"/>
          <w:sz w:val="20"/>
          <w:szCs w:val="20"/>
        </w:rPr>
        <w:t xml:space="preserve"> </w:t>
      </w:r>
      <w:r w:rsidRPr="00DE3C84">
        <w:rPr>
          <w:rFonts w:ascii="Arial" w:hAnsi="Arial" w:cs="Arial"/>
          <w:color w:val="000000"/>
          <w:sz w:val="20"/>
        </w:rPr>
        <w:t xml:space="preserve">for printing services has been baselined into the budget for 2016/17. </w:t>
      </w:r>
    </w:p>
    <w:p w14:paraId="4EA10863" w14:textId="77777777" w:rsidR="00DE3C84" w:rsidRPr="00DE3C84" w:rsidRDefault="00DE3C84" w:rsidP="00A42BFB">
      <w:pPr>
        <w:rPr>
          <w:rFonts w:ascii="Arial" w:hAnsi="Arial" w:cs="Arial"/>
        </w:rPr>
      </w:pPr>
    </w:p>
    <w:p w14:paraId="35DAC023" w14:textId="4EA8339E" w:rsidR="009E3929" w:rsidRDefault="009E3929">
      <w:pPr>
        <w:rPr>
          <w:rFonts w:ascii="Arial" w:hAnsi="Arial" w:cs="Arial"/>
          <w:b/>
          <w:sz w:val="20"/>
          <w:szCs w:val="24"/>
        </w:rPr>
      </w:pPr>
      <w:r>
        <w:rPr>
          <w:rFonts w:ascii="Arial" w:hAnsi="Arial" w:cs="Arial"/>
          <w:b/>
          <w:sz w:val="20"/>
          <w:szCs w:val="24"/>
        </w:rPr>
        <w:br w:type="page"/>
      </w:r>
    </w:p>
    <w:p w14:paraId="283DC37E" w14:textId="54ED7CD4" w:rsidR="00DE3C84" w:rsidRPr="00DE3C84" w:rsidRDefault="00DE3C84" w:rsidP="00A42BFB">
      <w:pPr>
        <w:tabs>
          <w:tab w:val="left" w:pos="1427"/>
        </w:tabs>
        <w:jc w:val="center"/>
        <w:rPr>
          <w:rFonts w:ascii="Arial" w:hAnsi="Arial" w:cs="Arial"/>
          <w:sz w:val="20"/>
        </w:rPr>
      </w:pPr>
      <w:r w:rsidRPr="00DE3C84">
        <w:rPr>
          <w:rFonts w:ascii="Arial" w:hAnsi="Arial" w:cs="Arial"/>
          <w:b/>
          <w:sz w:val="20"/>
          <w:szCs w:val="24"/>
        </w:rPr>
        <w:lastRenderedPageBreak/>
        <w:t>Program 27:  Resources by Result</w:t>
      </w:r>
    </w:p>
    <w:p w14:paraId="648178D6" w14:textId="77777777" w:rsidR="00DE3C84" w:rsidRPr="00DE3C84" w:rsidRDefault="00DE3C84" w:rsidP="00FB68E0">
      <w:pPr>
        <w:tabs>
          <w:tab w:val="left" w:pos="1427"/>
        </w:tabs>
        <w:spacing w:after="120"/>
        <w:jc w:val="center"/>
        <w:rPr>
          <w:rFonts w:ascii="Arial" w:hAnsi="Arial" w:cs="Arial"/>
          <w:i/>
          <w:sz w:val="20"/>
          <w:szCs w:val="24"/>
        </w:rPr>
      </w:pPr>
      <w:r w:rsidRPr="00DE3C84">
        <w:rPr>
          <w:rFonts w:ascii="Arial" w:hAnsi="Arial" w:cs="Arial"/>
          <w:i/>
          <w:sz w:val="20"/>
          <w:szCs w:val="24"/>
        </w:rPr>
        <w:t>(In thousands of Swiss francs)</w:t>
      </w:r>
    </w:p>
    <w:p w14:paraId="2E5348C2" w14:textId="77777777" w:rsidR="00DE3C84" w:rsidRPr="00DE3C84" w:rsidRDefault="00DE3C84" w:rsidP="00A42BFB">
      <w:pPr>
        <w:tabs>
          <w:tab w:val="left" w:pos="1427"/>
        </w:tabs>
        <w:jc w:val="center"/>
        <w:rPr>
          <w:rFonts w:ascii="Arial" w:hAnsi="Arial" w:cs="Arial"/>
          <w:i/>
          <w:sz w:val="20"/>
          <w:szCs w:val="24"/>
        </w:rPr>
      </w:pPr>
      <w:r w:rsidRPr="00DE3C84">
        <w:rPr>
          <w:rFonts w:ascii="Arial" w:hAnsi="Arial" w:cs="Arial"/>
          <w:noProof/>
          <w:lang w:eastAsia="en-US"/>
        </w:rPr>
        <w:drawing>
          <wp:inline distT="0" distB="0" distL="0" distR="0" wp14:anchorId="14929311" wp14:editId="31D1DCDE">
            <wp:extent cx="5025224" cy="1212909"/>
            <wp:effectExtent l="0" t="0" r="444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036079" cy="1215529"/>
                    </a:xfrm>
                    <a:prstGeom prst="rect">
                      <a:avLst/>
                    </a:prstGeom>
                    <a:noFill/>
                    <a:ln>
                      <a:noFill/>
                    </a:ln>
                  </pic:spPr>
                </pic:pic>
              </a:graphicData>
            </a:graphic>
          </wp:inline>
        </w:drawing>
      </w:r>
    </w:p>
    <w:p w14:paraId="4C1AFAEA" w14:textId="77777777" w:rsidR="00DE3C84" w:rsidRPr="00DE3C84" w:rsidRDefault="00DE3C84" w:rsidP="00A42BFB">
      <w:pPr>
        <w:tabs>
          <w:tab w:val="left" w:pos="1427"/>
        </w:tabs>
        <w:rPr>
          <w:rFonts w:ascii="Arial" w:hAnsi="Arial" w:cs="Arial"/>
          <w:i/>
          <w:sz w:val="20"/>
          <w:szCs w:val="24"/>
        </w:rPr>
      </w:pPr>
    </w:p>
    <w:p w14:paraId="35B7C4A6" w14:textId="77777777" w:rsidR="009E3929" w:rsidRDefault="009E3929" w:rsidP="00197045">
      <w:pPr>
        <w:keepNext/>
        <w:keepLines/>
        <w:tabs>
          <w:tab w:val="left" w:pos="1427"/>
        </w:tabs>
        <w:jc w:val="center"/>
        <w:rPr>
          <w:rFonts w:ascii="Arial" w:hAnsi="Arial" w:cs="Arial"/>
          <w:b/>
          <w:sz w:val="20"/>
          <w:szCs w:val="24"/>
        </w:rPr>
      </w:pPr>
    </w:p>
    <w:p w14:paraId="2748B472" w14:textId="77777777" w:rsidR="00DE3C84" w:rsidRPr="00DE3C84" w:rsidRDefault="00DE3C84" w:rsidP="00197045">
      <w:pPr>
        <w:keepNext/>
        <w:keepLines/>
        <w:tabs>
          <w:tab w:val="left" w:pos="1427"/>
        </w:tabs>
        <w:jc w:val="center"/>
        <w:rPr>
          <w:rFonts w:ascii="Arial" w:hAnsi="Arial" w:cs="Arial"/>
          <w:sz w:val="20"/>
        </w:rPr>
      </w:pPr>
      <w:r w:rsidRPr="00DE3C84">
        <w:rPr>
          <w:rFonts w:ascii="Arial" w:hAnsi="Arial" w:cs="Arial"/>
          <w:b/>
          <w:sz w:val="20"/>
          <w:szCs w:val="24"/>
        </w:rPr>
        <w:t>Program 27:  Resources by Object of Expenditure</w:t>
      </w:r>
    </w:p>
    <w:p w14:paraId="2B3F49BD" w14:textId="77777777" w:rsidR="00DE3C84" w:rsidRDefault="00DE3C84" w:rsidP="00FB68E0">
      <w:pPr>
        <w:keepNext/>
        <w:keepLines/>
        <w:tabs>
          <w:tab w:val="left" w:pos="1427"/>
        </w:tabs>
        <w:spacing w:after="120"/>
        <w:jc w:val="center"/>
        <w:rPr>
          <w:rFonts w:ascii="Arial" w:hAnsi="Arial" w:cs="Arial"/>
          <w:i/>
          <w:sz w:val="20"/>
          <w:szCs w:val="24"/>
        </w:rPr>
      </w:pPr>
      <w:r w:rsidRPr="00DE3C84">
        <w:rPr>
          <w:rFonts w:ascii="Arial" w:hAnsi="Arial" w:cs="Arial"/>
          <w:i/>
          <w:sz w:val="20"/>
          <w:szCs w:val="24"/>
        </w:rPr>
        <w:t>(In thousands of Swiss francs)</w:t>
      </w:r>
    </w:p>
    <w:p w14:paraId="35FCA6B6" w14:textId="77777777" w:rsidR="00DE3C84" w:rsidRPr="00DE3C84" w:rsidRDefault="00DE3C84" w:rsidP="00197045">
      <w:pPr>
        <w:keepNext/>
        <w:keepLines/>
        <w:tabs>
          <w:tab w:val="left" w:pos="1427"/>
        </w:tabs>
        <w:jc w:val="center"/>
        <w:rPr>
          <w:rFonts w:ascii="Arial" w:hAnsi="Arial" w:cs="Arial"/>
          <w:i/>
          <w:sz w:val="20"/>
          <w:szCs w:val="24"/>
        </w:rPr>
      </w:pPr>
      <w:r w:rsidRPr="00DE3C84">
        <w:rPr>
          <w:rFonts w:ascii="Arial" w:hAnsi="Arial" w:cs="Arial"/>
          <w:noProof/>
          <w:lang w:eastAsia="en-US"/>
        </w:rPr>
        <w:drawing>
          <wp:inline distT="0" distB="0" distL="0" distR="0" wp14:anchorId="3D8C4781" wp14:editId="5DBE2896">
            <wp:extent cx="5064981" cy="5706780"/>
            <wp:effectExtent l="0" t="0" r="254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076050" cy="5719251"/>
                    </a:xfrm>
                    <a:prstGeom prst="rect">
                      <a:avLst/>
                    </a:prstGeom>
                    <a:noFill/>
                    <a:ln>
                      <a:noFill/>
                    </a:ln>
                  </pic:spPr>
                </pic:pic>
              </a:graphicData>
            </a:graphic>
          </wp:inline>
        </w:drawing>
      </w:r>
    </w:p>
    <w:p w14:paraId="38945FCC" w14:textId="77777777" w:rsidR="00DE3C84" w:rsidRPr="00DE3C84" w:rsidRDefault="00DE3C84" w:rsidP="00A42BFB">
      <w:pPr>
        <w:tabs>
          <w:tab w:val="left" w:pos="1427"/>
        </w:tabs>
        <w:jc w:val="center"/>
        <w:rPr>
          <w:rFonts w:ascii="Arial" w:hAnsi="Arial" w:cs="Arial"/>
          <w:i/>
          <w:sz w:val="20"/>
          <w:szCs w:val="24"/>
        </w:rPr>
      </w:pPr>
    </w:p>
    <w:p w14:paraId="3EDD4821" w14:textId="5C566786" w:rsidR="002F58D0" w:rsidRDefault="002F58D0">
      <w:pPr>
        <w:rPr>
          <w:rFonts w:ascii="Arial" w:hAnsi="Arial" w:cs="Arial"/>
          <w:sz w:val="20"/>
        </w:rPr>
      </w:pPr>
      <w:r>
        <w:rPr>
          <w:rFonts w:ascii="Arial" w:hAnsi="Arial" w:cs="Arial"/>
          <w:sz w:val="20"/>
        </w:rPr>
        <w:br w:type="page"/>
      </w:r>
    </w:p>
    <w:p w14:paraId="75212C0B" w14:textId="00DFD981" w:rsidR="002F58D0" w:rsidRPr="007C6697" w:rsidRDefault="002F58D0" w:rsidP="002F58D0">
      <w:pPr>
        <w:pStyle w:val="StyleStyleHeading3ComplexItalicLatin12pt"/>
      </w:pPr>
      <w:bookmarkStart w:id="77" w:name="_Toc418586789"/>
      <w:bookmarkStart w:id="78" w:name="_Toc431221443"/>
      <w:r>
        <w:rPr>
          <w:caps w:val="0"/>
        </w:rPr>
        <w:lastRenderedPageBreak/>
        <w:t>PROGRAM 28</w:t>
      </w:r>
      <w:r w:rsidRPr="007C6697">
        <w:rPr>
          <w:caps w:val="0"/>
        </w:rPr>
        <w:tab/>
        <w:t>INFORMATION ASSURANCE, SAFETY AND SECURITY</w:t>
      </w:r>
      <w:bookmarkEnd w:id="77"/>
      <w:bookmarkEnd w:id="78"/>
    </w:p>
    <w:p w14:paraId="14A3940A" w14:textId="77777777" w:rsidR="002F58D0" w:rsidRPr="002F58D0" w:rsidRDefault="002F58D0" w:rsidP="00A42BFB">
      <w:pPr>
        <w:jc w:val="both"/>
        <w:rPr>
          <w:rFonts w:ascii="Arial" w:hAnsi="Arial" w:cs="Arial"/>
          <w:b/>
          <w:bCs/>
        </w:rPr>
      </w:pPr>
    </w:p>
    <w:p w14:paraId="627308A4" w14:textId="77777777" w:rsidR="002F58D0" w:rsidRPr="002F58D0" w:rsidRDefault="002F58D0" w:rsidP="00A42BFB">
      <w:pPr>
        <w:jc w:val="both"/>
        <w:rPr>
          <w:rFonts w:ascii="Arial" w:hAnsi="Arial" w:cs="Arial"/>
          <w:b/>
          <w:bCs/>
        </w:rPr>
      </w:pPr>
    </w:p>
    <w:p w14:paraId="721F6094" w14:textId="77777777" w:rsidR="002F58D0" w:rsidRPr="002F58D0" w:rsidRDefault="002F58D0" w:rsidP="00A42BFB">
      <w:pPr>
        <w:rPr>
          <w:rFonts w:ascii="Arial" w:hAnsi="Arial" w:cs="Arial"/>
        </w:rPr>
      </w:pPr>
      <w:r w:rsidRPr="002F58D0">
        <w:rPr>
          <w:rFonts w:ascii="Arial" w:hAnsi="Arial" w:cs="Arial"/>
        </w:rPr>
        <w:t>PLANNING CONTEXT</w:t>
      </w:r>
    </w:p>
    <w:p w14:paraId="38C90846" w14:textId="77777777" w:rsidR="002F58D0" w:rsidRPr="002F58D0" w:rsidRDefault="002F58D0" w:rsidP="00A42BFB">
      <w:pPr>
        <w:jc w:val="both"/>
        <w:rPr>
          <w:rFonts w:ascii="Arial" w:hAnsi="Arial" w:cs="Arial"/>
        </w:rPr>
      </w:pPr>
    </w:p>
    <w:p w14:paraId="134F3EAC"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 xml:space="preserve">WIPO is presented with a growing threat coming from adversaries with varying motivations to steal sensitive IP information and personal identities, as well as to disrupt WIPO’s operations and gain market, political, and competitive intelligence.  This presents a threat to WIPO’s reputation and relevance as a trusted service provider to its Member States and customers. </w:t>
      </w:r>
    </w:p>
    <w:p w14:paraId="62240CC5" w14:textId="77777777" w:rsidR="002F58D0" w:rsidRPr="002F58D0" w:rsidRDefault="002F58D0" w:rsidP="00A42BFB">
      <w:pPr>
        <w:pStyle w:val="ListParagraph"/>
        <w:ind w:left="0"/>
        <w:jc w:val="both"/>
        <w:rPr>
          <w:rFonts w:ascii="Arial" w:hAnsi="Arial" w:cs="Arial"/>
          <w:sz w:val="20"/>
          <w:szCs w:val="20"/>
        </w:rPr>
      </w:pPr>
    </w:p>
    <w:p w14:paraId="1C0ADBED"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 xml:space="preserve">WIPO’s capability to address these evolving threats protect its own IP and that of its customers, and consistently manage information risks within WIPO’s risk appetite relies largely on its ability to strengthen and operate a sound and agile Information Assurance (IA) governance, risk management, and continuous compliance strategy. </w:t>
      </w:r>
    </w:p>
    <w:p w14:paraId="67A3DE53" w14:textId="77777777" w:rsidR="002F58D0" w:rsidRPr="002F58D0" w:rsidRDefault="002F58D0" w:rsidP="00A42BFB">
      <w:pPr>
        <w:pStyle w:val="ListParagraph"/>
        <w:ind w:left="0"/>
        <w:jc w:val="both"/>
        <w:rPr>
          <w:rFonts w:ascii="Arial" w:hAnsi="Arial" w:cs="Arial"/>
          <w:sz w:val="20"/>
          <w:szCs w:val="20"/>
        </w:rPr>
      </w:pPr>
    </w:p>
    <w:p w14:paraId="1494FE15" w14:textId="7BCF1B90"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As regards safety and physical security, WIPO continues to be exposed to actual and perceived global threats targeting the UN system.  Therefore this Program will continue to ensure the safety and security of WIPO staff, delegates</w:t>
      </w:r>
      <w:r w:rsidR="00E67C4A">
        <w:rPr>
          <w:rFonts w:ascii="Arial" w:hAnsi="Arial" w:cs="Arial"/>
          <w:sz w:val="20"/>
        </w:rPr>
        <w:t>,</w:t>
      </w:r>
      <w:r w:rsidRPr="002F58D0">
        <w:rPr>
          <w:rFonts w:ascii="Arial" w:hAnsi="Arial" w:cs="Arial"/>
          <w:sz w:val="20"/>
        </w:rPr>
        <w:t xml:space="preserve"> visitors </w:t>
      </w:r>
      <w:r w:rsidR="00E67C4A">
        <w:rPr>
          <w:rFonts w:ascii="Arial" w:hAnsi="Arial" w:cs="Arial"/>
          <w:sz w:val="20"/>
        </w:rPr>
        <w:t>and assets, both at Headquarters and External Offices</w:t>
      </w:r>
      <w:r w:rsidRPr="002F58D0">
        <w:rPr>
          <w:rFonts w:ascii="Arial" w:hAnsi="Arial" w:cs="Arial"/>
          <w:sz w:val="20"/>
        </w:rPr>
        <w:t xml:space="preserve">.  With the completion of the major Headquarters Minimum Operating Security Standards (HMOSS) </w:t>
      </w:r>
      <w:r w:rsidR="00E67C4A">
        <w:rPr>
          <w:rFonts w:ascii="Arial" w:hAnsi="Arial" w:cs="Arial"/>
          <w:sz w:val="20"/>
        </w:rPr>
        <w:t xml:space="preserve">perimeter </w:t>
      </w:r>
      <w:r w:rsidRPr="002F58D0">
        <w:rPr>
          <w:rFonts w:ascii="Arial" w:hAnsi="Arial" w:cs="Arial"/>
          <w:sz w:val="20"/>
        </w:rPr>
        <w:t>project involving safety and security upgrades to meet the UN Department of Safety and Security (DSS) minimum standards in 2015, WIPO will have to continue to effectively operate</w:t>
      </w:r>
      <w:r w:rsidR="00E67C4A">
        <w:rPr>
          <w:rFonts w:ascii="Arial" w:hAnsi="Arial" w:cs="Arial"/>
          <w:sz w:val="20"/>
        </w:rPr>
        <w:t>,</w:t>
      </w:r>
      <w:r w:rsidRPr="002F58D0">
        <w:rPr>
          <w:rFonts w:ascii="Arial" w:hAnsi="Arial" w:cs="Arial"/>
          <w:sz w:val="20"/>
        </w:rPr>
        <w:t xml:space="preserve"> maintain </w:t>
      </w:r>
      <w:r w:rsidR="00E67C4A">
        <w:rPr>
          <w:rFonts w:ascii="Arial" w:hAnsi="Arial" w:cs="Arial"/>
          <w:sz w:val="20"/>
        </w:rPr>
        <w:t xml:space="preserve">and sustain </w:t>
      </w:r>
      <w:r w:rsidRPr="002F58D0">
        <w:rPr>
          <w:rFonts w:ascii="Arial" w:hAnsi="Arial" w:cs="Arial"/>
          <w:sz w:val="20"/>
        </w:rPr>
        <w:t xml:space="preserve">the newly implemented security measures.  WIPO’s security and safety services will </w:t>
      </w:r>
      <w:r w:rsidR="00E67C4A">
        <w:rPr>
          <w:rFonts w:ascii="Arial" w:hAnsi="Arial" w:cs="Arial"/>
          <w:sz w:val="20"/>
        </w:rPr>
        <w:t xml:space="preserve">continue to comply </w:t>
      </w:r>
      <w:r w:rsidRPr="002F58D0">
        <w:rPr>
          <w:rFonts w:ascii="Arial" w:hAnsi="Arial" w:cs="Arial"/>
          <w:sz w:val="20"/>
        </w:rPr>
        <w:t>with the UN Security Management System standards and guidelines.</w:t>
      </w:r>
    </w:p>
    <w:p w14:paraId="32E41CA2" w14:textId="77777777" w:rsidR="002F58D0" w:rsidRPr="002F58D0" w:rsidRDefault="002F58D0" w:rsidP="00A42BFB">
      <w:pPr>
        <w:pStyle w:val="ListParagraph"/>
        <w:ind w:left="0"/>
        <w:jc w:val="both"/>
        <w:rPr>
          <w:rFonts w:ascii="Arial" w:hAnsi="Arial" w:cs="Arial"/>
          <w:sz w:val="20"/>
          <w:szCs w:val="20"/>
        </w:rPr>
      </w:pPr>
    </w:p>
    <w:p w14:paraId="742B44BF" w14:textId="77777777" w:rsidR="002F58D0" w:rsidRPr="002F58D0" w:rsidRDefault="002F58D0" w:rsidP="00A42BFB">
      <w:pPr>
        <w:pStyle w:val="ListParagraph"/>
        <w:ind w:left="0"/>
        <w:jc w:val="both"/>
        <w:rPr>
          <w:rFonts w:ascii="Arial" w:hAnsi="Arial" w:cs="Arial"/>
          <w:sz w:val="20"/>
          <w:szCs w:val="20"/>
        </w:rPr>
      </w:pPr>
    </w:p>
    <w:p w14:paraId="3AF941AF" w14:textId="5BB07178" w:rsidR="002F58D0" w:rsidRPr="002F58D0" w:rsidRDefault="002F58D0" w:rsidP="00A42BFB">
      <w:pPr>
        <w:rPr>
          <w:rFonts w:ascii="Arial" w:hAnsi="Arial" w:cs="Arial"/>
        </w:rPr>
      </w:pPr>
      <w:r w:rsidRPr="002F58D0">
        <w:rPr>
          <w:rFonts w:ascii="Arial" w:hAnsi="Arial" w:cs="Arial"/>
        </w:rPr>
        <w:t>IMPLEMENTATION STRATEGIES</w:t>
      </w:r>
    </w:p>
    <w:p w14:paraId="07599871" w14:textId="77777777" w:rsidR="002F58D0" w:rsidRPr="002F58D0" w:rsidRDefault="002F58D0" w:rsidP="00A42BFB">
      <w:pPr>
        <w:jc w:val="both"/>
        <w:rPr>
          <w:rFonts w:ascii="Arial" w:hAnsi="Arial" w:cs="Arial"/>
          <w:sz w:val="20"/>
        </w:rPr>
      </w:pPr>
    </w:p>
    <w:p w14:paraId="1339CD91" w14:textId="24E4FB2B"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 xml:space="preserve">This Program now combines information assurance, physical security and safety enabling WIPO to take an end-to-end view of </w:t>
      </w:r>
      <w:r w:rsidR="00E67C4A">
        <w:rPr>
          <w:rFonts w:ascii="Arial" w:hAnsi="Arial" w:cs="Arial"/>
          <w:sz w:val="20"/>
        </w:rPr>
        <w:t xml:space="preserve">safety and </w:t>
      </w:r>
      <w:r w:rsidRPr="002F58D0">
        <w:rPr>
          <w:rFonts w:ascii="Arial" w:hAnsi="Arial" w:cs="Arial"/>
          <w:sz w:val="20"/>
        </w:rPr>
        <w:t xml:space="preserve">security and manage operational risks in a holistic manner. It allows for convergence in several areas, including sharing of cyber and physical threat intelligence, a coordinated incident response, and ensuring the resiliency of physical security and safety systems. </w:t>
      </w:r>
    </w:p>
    <w:p w14:paraId="2B8FF517" w14:textId="77777777" w:rsidR="002F58D0" w:rsidRPr="002F58D0" w:rsidRDefault="002F58D0" w:rsidP="00A42BFB">
      <w:pPr>
        <w:jc w:val="both"/>
        <w:rPr>
          <w:rFonts w:ascii="Arial" w:hAnsi="Arial" w:cs="Arial"/>
          <w:sz w:val="20"/>
        </w:rPr>
      </w:pPr>
    </w:p>
    <w:p w14:paraId="4CBA3CC9" w14:textId="53615F9E" w:rsidR="002F58D0" w:rsidRPr="002F58D0" w:rsidRDefault="002F58D0" w:rsidP="00B66A4A">
      <w:pPr>
        <w:pStyle w:val="ListParagraph"/>
        <w:numPr>
          <w:ilvl w:val="0"/>
          <w:numId w:val="30"/>
        </w:numPr>
        <w:tabs>
          <w:tab w:val="left" w:pos="709"/>
        </w:tabs>
        <w:ind w:left="0" w:firstLine="0"/>
        <w:jc w:val="both"/>
        <w:rPr>
          <w:rFonts w:ascii="Arial" w:hAnsi="Arial" w:cs="Arial"/>
          <w:sz w:val="20"/>
          <w:szCs w:val="20"/>
        </w:rPr>
      </w:pPr>
      <w:r w:rsidRPr="002F58D0">
        <w:rPr>
          <w:rFonts w:ascii="Arial" w:hAnsi="Arial" w:cs="Arial"/>
          <w:sz w:val="20"/>
          <w:szCs w:val="20"/>
        </w:rPr>
        <w:t xml:space="preserve">It is imperative that WIPO not only strengthens its current IA capabilities but also aspires to implement an effective, reliable and sustainable IA strategy that will enable the Organization to maintain leadership in providing high quality and secure IP solutions to its </w:t>
      </w:r>
      <w:r w:rsidR="00E67C4A" w:rsidRPr="002F58D0">
        <w:rPr>
          <w:rFonts w:ascii="Arial" w:hAnsi="Arial" w:cs="Arial"/>
          <w:sz w:val="20"/>
          <w:szCs w:val="20"/>
        </w:rPr>
        <w:t xml:space="preserve">Member States </w:t>
      </w:r>
      <w:r w:rsidR="00E67C4A">
        <w:rPr>
          <w:rFonts w:ascii="Arial" w:hAnsi="Arial" w:cs="Arial"/>
          <w:sz w:val="20"/>
          <w:szCs w:val="20"/>
        </w:rPr>
        <w:t xml:space="preserve">and </w:t>
      </w:r>
      <w:r w:rsidRPr="002F58D0">
        <w:rPr>
          <w:rFonts w:ascii="Arial" w:hAnsi="Arial" w:cs="Arial"/>
          <w:sz w:val="20"/>
          <w:szCs w:val="20"/>
        </w:rPr>
        <w:t xml:space="preserve">customers with a very high degree of confidence.  </w:t>
      </w:r>
    </w:p>
    <w:p w14:paraId="1FBAC529" w14:textId="77777777" w:rsidR="002F58D0" w:rsidRPr="002F58D0" w:rsidRDefault="002F58D0" w:rsidP="00A42BFB">
      <w:pPr>
        <w:pStyle w:val="ListParagraph"/>
        <w:ind w:left="0"/>
        <w:jc w:val="both"/>
        <w:rPr>
          <w:rFonts w:ascii="Arial" w:hAnsi="Arial" w:cs="Arial"/>
          <w:sz w:val="20"/>
          <w:szCs w:val="20"/>
        </w:rPr>
      </w:pPr>
    </w:p>
    <w:p w14:paraId="5B2A7D13"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szCs w:val="20"/>
        </w:rPr>
        <w:t>To</w:t>
      </w:r>
      <w:r w:rsidRPr="002F58D0">
        <w:rPr>
          <w:rFonts w:ascii="Arial" w:hAnsi="Arial" w:cs="Arial"/>
          <w:sz w:val="20"/>
        </w:rPr>
        <w:t xml:space="preserve"> this end, the following Information Assurance strategies will be pursed starting in 2016/17:</w:t>
      </w:r>
    </w:p>
    <w:p w14:paraId="07888F12" w14:textId="77777777" w:rsidR="002F58D0" w:rsidRPr="002F58D0" w:rsidRDefault="002F58D0" w:rsidP="00A42BFB">
      <w:pPr>
        <w:tabs>
          <w:tab w:val="left" w:pos="1134"/>
        </w:tabs>
        <w:ind w:left="567"/>
        <w:jc w:val="both"/>
        <w:rPr>
          <w:rFonts w:ascii="Arial" w:hAnsi="Arial" w:cs="Arial"/>
          <w:sz w:val="20"/>
        </w:rPr>
      </w:pPr>
    </w:p>
    <w:p w14:paraId="7D2434B4" w14:textId="1D111CE6"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Developing a security-focused culture:</w:t>
      </w:r>
      <w:r w:rsidRPr="002F58D0">
        <w:rPr>
          <w:rFonts w:ascii="Arial" w:hAnsi="Arial" w:cs="Arial"/>
          <w:sz w:val="20"/>
        </w:rPr>
        <w:t xml:space="preserve">  The current governance of IA will be strengthened ensuring greater accountability. Security awareness and training of staff will be improved, and acti</w:t>
      </w:r>
      <w:r>
        <w:rPr>
          <w:rFonts w:ascii="Arial" w:hAnsi="Arial" w:cs="Arial"/>
          <w:sz w:val="20"/>
        </w:rPr>
        <w:t>onable IA metrics will be analyz</w:t>
      </w:r>
      <w:r w:rsidRPr="002F58D0">
        <w:rPr>
          <w:rFonts w:ascii="Arial" w:hAnsi="Arial" w:cs="Arial"/>
          <w:sz w:val="20"/>
        </w:rPr>
        <w:t xml:space="preserve">ed and used to inform decisions on information risk management and demonstrate return on IA investments.        </w:t>
      </w:r>
    </w:p>
    <w:p w14:paraId="7106E7C8" w14:textId="77777777" w:rsidR="002F58D0" w:rsidRPr="002F58D0" w:rsidRDefault="002F58D0" w:rsidP="00A42BFB">
      <w:pPr>
        <w:tabs>
          <w:tab w:val="num" w:pos="360"/>
          <w:tab w:val="left" w:pos="1134"/>
        </w:tabs>
        <w:ind w:left="567"/>
        <w:jc w:val="both"/>
        <w:rPr>
          <w:rFonts w:ascii="Arial" w:hAnsi="Arial" w:cs="Arial"/>
          <w:sz w:val="20"/>
        </w:rPr>
      </w:pPr>
    </w:p>
    <w:p w14:paraId="30F6D061" w14:textId="77777777"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 xml:space="preserve">Adopting a business focused risk management approach: </w:t>
      </w:r>
      <w:r w:rsidRPr="002F58D0">
        <w:rPr>
          <w:rFonts w:ascii="Arial" w:hAnsi="Arial" w:cs="Arial"/>
          <w:iCs/>
          <w:sz w:val="20"/>
        </w:rPr>
        <w:t xml:space="preserve">The </w:t>
      </w:r>
      <w:r w:rsidRPr="002F58D0">
        <w:rPr>
          <w:rFonts w:ascii="Arial" w:hAnsi="Arial" w:cs="Arial"/>
          <w:sz w:val="20"/>
        </w:rPr>
        <w:t xml:space="preserve">delivery of an enterprise view of information risk through integration and convergence of information risk management processes across business areas will be tightened, and information risk elements will be incorporated into the organization’s Enterprise Risk Management capability.  </w:t>
      </w:r>
    </w:p>
    <w:p w14:paraId="07A4E24C" w14:textId="77777777" w:rsidR="002F58D0" w:rsidRPr="002F58D0" w:rsidRDefault="002F58D0" w:rsidP="00A42BFB">
      <w:pPr>
        <w:tabs>
          <w:tab w:val="num" w:pos="738"/>
          <w:tab w:val="left" w:pos="1134"/>
        </w:tabs>
        <w:ind w:left="567"/>
        <w:jc w:val="both"/>
        <w:rPr>
          <w:rFonts w:ascii="Arial" w:hAnsi="Arial" w:cs="Arial"/>
          <w:sz w:val="20"/>
        </w:rPr>
      </w:pPr>
    </w:p>
    <w:p w14:paraId="5B8A34E8" w14:textId="20F58113"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Limiting exposure and ensuring continuous compliance:</w:t>
      </w:r>
      <w:r w:rsidRPr="002F58D0">
        <w:rPr>
          <w:rFonts w:ascii="Arial" w:hAnsi="Arial" w:cs="Arial"/>
          <w:sz w:val="20"/>
        </w:rPr>
        <w:t xml:space="preserve"> A </w:t>
      </w:r>
      <w:r w:rsidR="00E67C4A" w:rsidRPr="002F58D0">
        <w:rPr>
          <w:rFonts w:ascii="Arial" w:hAnsi="Arial" w:cs="Arial"/>
          <w:sz w:val="20"/>
        </w:rPr>
        <w:t>continu</w:t>
      </w:r>
      <w:r w:rsidR="00E67C4A">
        <w:rPr>
          <w:rFonts w:ascii="Arial" w:hAnsi="Arial" w:cs="Arial"/>
          <w:sz w:val="20"/>
        </w:rPr>
        <w:t>ous</w:t>
      </w:r>
      <w:r w:rsidR="00E67C4A" w:rsidRPr="002F58D0">
        <w:rPr>
          <w:rFonts w:ascii="Arial" w:hAnsi="Arial" w:cs="Arial"/>
          <w:sz w:val="20"/>
        </w:rPr>
        <w:t xml:space="preserve"> </w:t>
      </w:r>
      <w:r w:rsidRPr="002F58D0">
        <w:rPr>
          <w:rFonts w:ascii="Arial" w:hAnsi="Arial" w:cs="Arial"/>
          <w:sz w:val="20"/>
        </w:rPr>
        <w:t>enhancement of the capability to proactively identify threats and vulnerabilities to WIPO’s information assets will allow for prioritized remediation efforts to protect areas of highest risks to WIPO’s business. A continuous compliance program will be implemented to ensure compliance to IA policies and mandates</w:t>
      </w:r>
      <w:r w:rsidR="00E67C4A">
        <w:rPr>
          <w:rFonts w:ascii="Arial" w:hAnsi="Arial" w:cs="Arial"/>
          <w:sz w:val="20"/>
        </w:rPr>
        <w:t xml:space="preserve"> and</w:t>
      </w:r>
      <w:r w:rsidRPr="002F58D0">
        <w:rPr>
          <w:rFonts w:ascii="Arial" w:hAnsi="Arial" w:cs="Arial"/>
          <w:sz w:val="20"/>
        </w:rPr>
        <w:t xml:space="preserve"> industry standards </w:t>
      </w:r>
      <w:r w:rsidR="00E67C4A">
        <w:rPr>
          <w:rFonts w:ascii="Arial" w:hAnsi="Arial" w:cs="Arial"/>
          <w:sz w:val="20"/>
        </w:rPr>
        <w:t xml:space="preserve">(e.g. </w:t>
      </w:r>
      <w:r w:rsidRPr="002F58D0">
        <w:rPr>
          <w:rFonts w:ascii="Arial" w:hAnsi="Arial" w:cs="Arial"/>
          <w:sz w:val="20"/>
        </w:rPr>
        <w:t>like ISO 27001</w:t>
      </w:r>
      <w:r w:rsidR="00E67C4A">
        <w:rPr>
          <w:rFonts w:ascii="Arial" w:hAnsi="Arial" w:cs="Arial"/>
          <w:sz w:val="20"/>
        </w:rPr>
        <w:t>)</w:t>
      </w:r>
      <w:r w:rsidRPr="002F58D0">
        <w:rPr>
          <w:rFonts w:ascii="Arial" w:hAnsi="Arial" w:cs="Arial"/>
          <w:sz w:val="20"/>
        </w:rPr>
        <w:t xml:space="preserve">, </w:t>
      </w:r>
      <w:r w:rsidR="00E67C4A">
        <w:rPr>
          <w:rFonts w:ascii="Arial" w:hAnsi="Arial" w:cs="Arial"/>
          <w:sz w:val="20"/>
        </w:rPr>
        <w:t xml:space="preserve">thereby </w:t>
      </w:r>
      <w:r w:rsidRPr="002F58D0">
        <w:rPr>
          <w:rFonts w:ascii="Arial" w:hAnsi="Arial" w:cs="Arial"/>
          <w:sz w:val="20"/>
        </w:rPr>
        <w:t>providing greater assurance of internal control effectiveness in protecting WIPO’s information assets.</w:t>
      </w:r>
      <w:r w:rsidRPr="002F58D0">
        <w:rPr>
          <w:rFonts w:ascii="Arial" w:hAnsi="Arial" w:cs="Arial"/>
          <w:i/>
          <w:iCs/>
          <w:sz w:val="20"/>
        </w:rPr>
        <w:t xml:space="preserve">  </w:t>
      </w:r>
    </w:p>
    <w:p w14:paraId="601C8411" w14:textId="77777777" w:rsidR="002F58D0" w:rsidRPr="002F58D0" w:rsidRDefault="002F58D0" w:rsidP="00A42BFB">
      <w:pPr>
        <w:tabs>
          <w:tab w:val="num" w:pos="738"/>
          <w:tab w:val="left" w:pos="1134"/>
        </w:tabs>
        <w:ind w:left="567"/>
        <w:jc w:val="both"/>
        <w:rPr>
          <w:rFonts w:ascii="Arial" w:hAnsi="Arial" w:cs="Arial"/>
          <w:sz w:val="20"/>
        </w:rPr>
      </w:pPr>
    </w:p>
    <w:p w14:paraId="41036D92" w14:textId="1F013A7B"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i/>
          <w:iCs/>
          <w:sz w:val="20"/>
        </w:rPr>
      </w:pPr>
      <w:r w:rsidRPr="002F58D0">
        <w:rPr>
          <w:rFonts w:ascii="Arial" w:hAnsi="Arial" w:cs="Arial"/>
          <w:i/>
          <w:iCs/>
          <w:sz w:val="20"/>
        </w:rPr>
        <w:t xml:space="preserve">Protecting WIPO’s sensitive information assets: </w:t>
      </w:r>
      <w:r w:rsidRPr="002F58D0">
        <w:rPr>
          <w:rFonts w:ascii="Arial" w:hAnsi="Arial" w:cs="Arial"/>
          <w:sz w:val="20"/>
        </w:rPr>
        <w:t xml:space="preserve">An information classification and handling policy will be implemented to ensure cost-effective and risk-based protection of WIPO’s sensitive information assets.  Deriving from this policy, protection mechanisms (process </w:t>
      </w:r>
      <w:r w:rsidRPr="002F58D0">
        <w:rPr>
          <w:rFonts w:ascii="Arial" w:hAnsi="Arial" w:cs="Arial"/>
          <w:sz w:val="20"/>
        </w:rPr>
        <w:lastRenderedPageBreak/>
        <w:t>and technical controls) will be implemented enhancing the resilience of WIPO’s PCT and other sensitive business systems.</w:t>
      </w:r>
    </w:p>
    <w:p w14:paraId="3B8F5B5F" w14:textId="77777777" w:rsidR="002F58D0" w:rsidRPr="002F58D0" w:rsidRDefault="002F58D0" w:rsidP="00A42BFB">
      <w:pPr>
        <w:tabs>
          <w:tab w:val="num" w:pos="738"/>
          <w:tab w:val="left" w:pos="1134"/>
        </w:tabs>
        <w:ind w:left="567"/>
        <w:jc w:val="both"/>
        <w:rPr>
          <w:rFonts w:ascii="Arial" w:hAnsi="Arial" w:cs="Arial"/>
          <w:i/>
          <w:iCs/>
          <w:sz w:val="20"/>
        </w:rPr>
      </w:pPr>
    </w:p>
    <w:p w14:paraId="05B1237B" w14:textId="77777777" w:rsidR="002F58D0" w:rsidRPr="002F58D0" w:rsidRDefault="002F58D0" w:rsidP="00B66A4A">
      <w:pPr>
        <w:numPr>
          <w:ilvl w:val="1"/>
          <w:numId w:val="21"/>
        </w:numPr>
        <w:tabs>
          <w:tab w:val="clear" w:pos="1250"/>
          <w:tab w:val="num" w:pos="360"/>
          <w:tab w:val="num" w:pos="738"/>
          <w:tab w:val="left" w:pos="1134"/>
        </w:tabs>
        <w:ind w:left="567"/>
        <w:jc w:val="both"/>
        <w:rPr>
          <w:rFonts w:ascii="Arial" w:hAnsi="Arial" w:cs="Arial"/>
          <w:i/>
          <w:iCs/>
          <w:sz w:val="20"/>
        </w:rPr>
      </w:pPr>
      <w:r w:rsidRPr="002F58D0">
        <w:rPr>
          <w:rFonts w:ascii="Arial" w:hAnsi="Arial" w:cs="Arial"/>
          <w:i/>
          <w:iCs/>
          <w:sz w:val="20"/>
        </w:rPr>
        <w:t xml:space="preserve">Enhancing situational awareness and response capability: </w:t>
      </w:r>
      <w:r w:rsidRPr="002F58D0">
        <w:rPr>
          <w:rFonts w:ascii="Arial" w:hAnsi="Arial" w:cs="Arial"/>
          <w:sz w:val="20"/>
        </w:rPr>
        <w:t>Enhancements will be made to WIPO’s existing cyber-security operations and improving knowledge of actionable internal and external threat intelligence, both cyber and physical, to proactively identify indicators of compromise.  WIPO’s response capability to information security incidents will also be significantly improved to ensure rapid containment and minimal business disruption.</w:t>
      </w:r>
    </w:p>
    <w:p w14:paraId="77AAE299" w14:textId="77777777" w:rsidR="002F58D0" w:rsidRPr="002F58D0" w:rsidRDefault="002F58D0" w:rsidP="00A42BFB">
      <w:pPr>
        <w:tabs>
          <w:tab w:val="left" w:pos="1134"/>
        </w:tabs>
        <w:ind w:left="567"/>
        <w:jc w:val="both"/>
        <w:rPr>
          <w:rFonts w:ascii="Arial" w:hAnsi="Arial" w:cs="Arial"/>
          <w:i/>
          <w:iCs/>
          <w:sz w:val="20"/>
        </w:rPr>
      </w:pPr>
    </w:p>
    <w:p w14:paraId="71C3FB45"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szCs w:val="20"/>
        </w:rPr>
      </w:pPr>
      <w:r w:rsidRPr="002F58D0">
        <w:rPr>
          <w:rFonts w:ascii="Arial" w:hAnsi="Arial" w:cs="Arial"/>
          <w:sz w:val="20"/>
          <w:szCs w:val="20"/>
        </w:rPr>
        <w:t>Physical and safety enhancements will continue to be implemented through proactive risk management and continuous monitoring of physical security and safety threats. Enhancement of safety and security policies and procedures, awareness and training of guards and strengthened monitoring of supplier performance will also be pursued. Additionally, physical security and safety will be fully integrated into crisis management processes and business continuity management.</w:t>
      </w:r>
    </w:p>
    <w:p w14:paraId="068B714B" w14:textId="77777777" w:rsidR="002F58D0" w:rsidRPr="002F58D0" w:rsidRDefault="002F58D0" w:rsidP="00A42BFB">
      <w:pPr>
        <w:pStyle w:val="ListParagraph"/>
        <w:ind w:left="0"/>
        <w:jc w:val="both"/>
        <w:rPr>
          <w:rFonts w:ascii="Arial" w:hAnsi="Arial" w:cs="Arial"/>
          <w:sz w:val="20"/>
          <w:szCs w:val="20"/>
        </w:rPr>
      </w:pPr>
    </w:p>
    <w:p w14:paraId="2E85FB07" w14:textId="77777777" w:rsidR="002F58D0" w:rsidRPr="002F58D0" w:rsidRDefault="002F58D0" w:rsidP="00B66A4A">
      <w:pPr>
        <w:pStyle w:val="ListParagraph"/>
        <w:numPr>
          <w:ilvl w:val="0"/>
          <w:numId w:val="30"/>
        </w:numPr>
        <w:tabs>
          <w:tab w:val="left" w:pos="709"/>
        </w:tabs>
        <w:ind w:left="0" w:firstLine="0"/>
        <w:jc w:val="both"/>
        <w:rPr>
          <w:rFonts w:ascii="Arial" w:hAnsi="Arial" w:cs="Arial"/>
          <w:sz w:val="20"/>
        </w:rPr>
      </w:pPr>
      <w:r w:rsidRPr="002F58D0">
        <w:rPr>
          <w:rFonts w:ascii="Arial" w:hAnsi="Arial" w:cs="Arial"/>
          <w:sz w:val="20"/>
        </w:rPr>
        <w:t xml:space="preserve">Awareness among WIPO staff of physical security and safety measures will continue to be a focus. With the introduction of the new physical security and safety systems, greater integration between these systems will be achieved, and aging systems will be phased out. </w:t>
      </w:r>
    </w:p>
    <w:p w14:paraId="64FBF888"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317A7411"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41C370EA" w14:textId="77777777" w:rsidR="002F58D0" w:rsidRPr="002F58D0" w:rsidRDefault="002F58D0" w:rsidP="00A42BFB">
      <w:pPr>
        <w:rPr>
          <w:rFonts w:ascii="Arial" w:hAnsi="Arial" w:cs="Arial"/>
        </w:rPr>
      </w:pPr>
      <w:r w:rsidRPr="002F58D0">
        <w:rPr>
          <w:rFonts w:ascii="Arial" w:hAnsi="Arial" w:cs="Arial"/>
        </w:rPr>
        <w:t>MAJOR RISKS AND MITIGATION STRATEGIES</w:t>
      </w:r>
    </w:p>
    <w:p w14:paraId="01CF9874" w14:textId="77777777" w:rsidR="002F58D0" w:rsidRPr="002F58D0" w:rsidRDefault="002F58D0" w:rsidP="00A42BFB">
      <w:pPr>
        <w:rPr>
          <w:rFonts w:ascii="Arial" w:hAnsi="Arial" w:cs="Arial"/>
          <w:sz w:val="20"/>
        </w:rPr>
      </w:pPr>
    </w:p>
    <w:tbl>
      <w:tblPr>
        <w:tblW w:w="9356" w:type="dxa"/>
        <w:tblInd w:w="108" w:type="dxa"/>
        <w:tblCellMar>
          <w:left w:w="0" w:type="dxa"/>
          <w:right w:w="0" w:type="dxa"/>
        </w:tblCellMar>
        <w:tblLook w:val="04A0" w:firstRow="1" w:lastRow="0" w:firstColumn="1" w:lastColumn="0" w:noHBand="0" w:noVBand="1"/>
      </w:tblPr>
      <w:tblGrid>
        <w:gridCol w:w="4253"/>
        <w:gridCol w:w="5103"/>
      </w:tblGrid>
      <w:tr w:rsidR="002F58D0" w:rsidRPr="002F58D0" w14:paraId="7385DA5A" w14:textId="77777777" w:rsidTr="002F58D0">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14184CA5" w14:textId="77777777" w:rsidR="002F58D0" w:rsidRPr="002F58D0" w:rsidRDefault="002F58D0" w:rsidP="00A42BFB">
            <w:pPr>
              <w:jc w:val="center"/>
              <w:rPr>
                <w:rFonts w:ascii="Arial" w:eastAsiaTheme="minorHAnsi" w:hAnsi="Arial" w:cs="Arial"/>
                <w:b/>
                <w:bCs/>
                <w:sz w:val="18"/>
                <w:szCs w:val="18"/>
              </w:rPr>
            </w:pPr>
            <w:r w:rsidRPr="002F58D0">
              <w:rPr>
                <w:rFonts w:ascii="Arial" w:hAnsi="Arial" w:cs="Arial"/>
                <w:b/>
                <w:bCs/>
                <w:sz w:val="18"/>
                <w:szCs w:val="18"/>
              </w:rPr>
              <w:t>Risk</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034119C2" w14:textId="77777777" w:rsidR="002F58D0" w:rsidRPr="002F58D0" w:rsidRDefault="002F58D0" w:rsidP="00A42BFB">
            <w:pPr>
              <w:jc w:val="center"/>
              <w:rPr>
                <w:rFonts w:ascii="Arial" w:eastAsiaTheme="minorHAnsi" w:hAnsi="Arial" w:cs="Arial"/>
                <w:b/>
                <w:bCs/>
                <w:sz w:val="18"/>
                <w:szCs w:val="18"/>
              </w:rPr>
            </w:pPr>
            <w:r w:rsidRPr="002F58D0">
              <w:rPr>
                <w:rFonts w:ascii="Arial" w:hAnsi="Arial" w:cs="Arial"/>
                <w:b/>
                <w:bCs/>
                <w:sz w:val="18"/>
                <w:szCs w:val="18"/>
              </w:rPr>
              <w:t>Mitigation</w:t>
            </w:r>
          </w:p>
        </w:tc>
      </w:tr>
      <w:tr w:rsidR="002F58D0" w:rsidRPr="002F58D0" w14:paraId="7B02393E" w14:textId="77777777" w:rsidTr="002F58D0">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14:paraId="71169559" w14:textId="3BF66898" w:rsidR="002F58D0" w:rsidRPr="002F58D0" w:rsidRDefault="002F58D0" w:rsidP="002F58D0">
            <w:pPr>
              <w:rPr>
                <w:rFonts w:ascii="Arial" w:eastAsiaTheme="minorHAnsi" w:hAnsi="Arial" w:cs="Arial"/>
                <w:color w:val="000000" w:themeColor="text1"/>
                <w:sz w:val="16"/>
                <w:szCs w:val="16"/>
              </w:rPr>
            </w:pPr>
            <w:r w:rsidRPr="002F58D0">
              <w:rPr>
                <w:rFonts w:ascii="Arial" w:hAnsi="Arial" w:cs="Arial"/>
                <w:color w:val="000000" w:themeColor="text1"/>
                <w:sz w:val="16"/>
                <w:szCs w:val="16"/>
              </w:rPr>
              <w:t>Like other organizations, WIPO is exposed to the risk of cyber-attacks and the risk of malicious or accidental breach of data leading to unauthorized disclosure or misuse of WIPO’s confidential information, or disruption of business operations. Such an event can potentially impact WIPO’s reputation as a trusted advisor and service provider to its membership and clients. </w:t>
            </w:r>
            <w:r>
              <w:rPr>
                <w:rFonts w:ascii="Arial" w:hAnsi="Arial" w:cs="Arial"/>
                <w:color w:val="000000" w:themeColor="text1"/>
                <w:sz w:val="16"/>
                <w:szCs w:val="16"/>
              </w:rPr>
              <w:t xml:space="preserve">  </w:t>
            </w:r>
            <w:r w:rsidRPr="002F58D0">
              <w:rPr>
                <w:rFonts w:ascii="Arial" w:hAnsi="Arial" w:cs="Arial"/>
                <w:color w:val="000000" w:themeColor="text1"/>
                <w:sz w:val="16"/>
                <w:szCs w:val="16"/>
              </w:rPr>
              <w:t xml:space="preserve">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0A6C6242" w14:textId="77777777" w:rsidR="002F58D0" w:rsidRPr="002F58D0" w:rsidRDefault="002F58D0" w:rsidP="00A42BFB">
            <w:pPr>
              <w:rPr>
                <w:rFonts w:ascii="Arial" w:eastAsiaTheme="minorHAnsi" w:hAnsi="Arial" w:cs="Arial"/>
                <w:color w:val="000000" w:themeColor="text1"/>
                <w:sz w:val="16"/>
                <w:szCs w:val="16"/>
              </w:rPr>
            </w:pPr>
            <w:r w:rsidRPr="002F58D0">
              <w:rPr>
                <w:rFonts w:ascii="Arial" w:hAnsi="Arial" w:cs="Arial"/>
                <w:color w:val="000000" w:themeColor="text1"/>
                <w:sz w:val="16"/>
                <w:szCs w:val="16"/>
              </w:rPr>
              <w:t>Phased implementation of a fit-for-purpose IA Strategy will allow WIPO to continue to strengthen its information security posture and its organizational resilience in the areas of IA governance, people, process and technology.</w:t>
            </w:r>
          </w:p>
        </w:tc>
      </w:tr>
      <w:tr w:rsidR="002F58D0" w:rsidRPr="002F58D0" w14:paraId="7D7767F3" w14:textId="77777777" w:rsidTr="002F58D0">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14:paraId="1F5AF35D"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Risks associated with manmade or natural disasters involving WIPO’s staff, its visitors and infrastructure (fire, explosion, flood, collapse and technical systems failures). Failures in preparing, monitoring and responding to these events may cause personal injury, death and/or seriously impact WIPO’s business operations.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7F370994" w14:textId="77777777" w:rsidR="002F58D0" w:rsidRPr="002F58D0" w:rsidRDefault="002F58D0" w:rsidP="00A42BFB">
            <w:pPr>
              <w:rPr>
                <w:rFonts w:ascii="Arial" w:eastAsiaTheme="minorHAnsi" w:hAnsi="Arial" w:cs="Arial"/>
                <w:color w:val="000000" w:themeColor="text1"/>
                <w:sz w:val="16"/>
                <w:szCs w:val="16"/>
              </w:rPr>
            </w:pPr>
            <w:r w:rsidRPr="002F58D0">
              <w:rPr>
                <w:rFonts w:ascii="Arial" w:hAnsi="Arial" w:cs="Arial"/>
                <w:color w:val="000000" w:themeColor="text1"/>
                <w:sz w:val="16"/>
                <w:szCs w:val="16"/>
              </w:rPr>
              <w:t>Effective emergency/evacuation plans and response mechanisms for all WIPO HQ’s facilities currently in place, including emergency response and coordination capabilities. Proactive safety/security facilities inspection program established in 2013 to monitor and address identified controlled deficiencies.  </w:t>
            </w:r>
          </w:p>
        </w:tc>
      </w:tr>
      <w:tr w:rsidR="002F58D0" w:rsidRPr="002F58D0" w14:paraId="18ED0C83" w14:textId="77777777" w:rsidTr="002F58D0">
        <w:trPr>
          <w:trHeight w:val="1027"/>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68DBD8C6"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Criminal occurrences both internal and external impacting the Organization (theft, sabotage, terrorism); malicious acts disrupting the Organization's operations and/or acts that disrupt the Organization’s work (demonstrations/civil unrest/anti-globalization/anarchist groups).</w:t>
            </w:r>
          </w:p>
        </w:tc>
        <w:tc>
          <w:tcPr>
            <w:tcW w:w="5103" w:type="dxa"/>
            <w:tcBorders>
              <w:top w:val="nil"/>
              <w:left w:val="nil"/>
              <w:bottom w:val="single" w:sz="8" w:space="0" w:color="auto"/>
              <w:right w:val="single" w:sz="8" w:space="0" w:color="auto"/>
            </w:tcBorders>
            <w:tcMar>
              <w:top w:w="113" w:type="dxa"/>
              <w:left w:w="108" w:type="dxa"/>
              <w:bottom w:w="113" w:type="dxa"/>
              <w:right w:w="108" w:type="dxa"/>
            </w:tcMar>
            <w:hideMark/>
          </w:tcPr>
          <w:p w14:paraId="55181BBD"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Comprehensive safety and security framework currently in place, risk management protocols and concentric layers of physical security control that include anti-intrusion measures, CCTV cameras and a state-of-the-art premises access system.  </w:t>
            </w:r>
          </w:p>
        </w:tc>
      </w:tr>
    </w:tbl>
    <w:p w14:paraId="5905B1D0" w14:textId="77777777" w:rsidR="002F58D0" w:rsidRPr="002F58D0" w:rsidRDefault="002F58D0" w:rsidP="00A42BFB">
      <w:pPr>
        <w:autoSpaceDE w:val="0"/>
        <w:autoSpaceDN w:val="0"/>
        <w:adjustRightInd w:val="0"/>
        <w:jc w:val="both"/>
        <w:rPr>
          <w:rFonts w:ascii="Arial" w:hAnsi="Arial" w:cs="Arial"/>
          <w:sz w:val="20"/>
        </w:rPr>
      </w:pPr>
    </w:p>
    <w:p w14:paraId="4A83698E" w14:textId="77777777" w:rsidR="002F58D0" w:rsidRPr="002F58D0" w:rsidRDefault="002F58D0" w:rsidP="00A42BFB">
      <w:pPr>
        <w:autoSpaceDE w:val="0"/>
        <w:autoSpaceDN w:val="0"/>
        <w:adjustRightInd w:val="0"/>
        <w:jc w:val="both"/>
        <w:rPr>
          <w:rFonts w:ascii="Arial" w:hAnsi="Arial" w:cs="Arial"/>
          <w:sz w:val="20"/>
        </w:rPr>
      </w:pPr>
    </w:p>
    <w:p w14:paraId="234DFB27" w14:textId="4B0EE8A5" w:rsidR="002F58D0" w:rsidRDefault="002F58D0">
      <w:pPr>
        <w:rPr>
          <w:rFonts w:ascii="Arial" w:hAnsi="Arial" w:cs="Arial"/>
        </w:rPr>
      </w:pPr>
    </w:p>
    <w:p w14:paraId="2E754321" w14:textId="2AC0035E" w:rsidR="002F58D0" w:rsidRPr="002F58D0" w:rsidRDefault="002F58D0" w:rsidP="00A42BFB">
      <w:pPr>
        <w:autoSpaceDE w:val="0"/>
        <w:autoSpaceDN w:val="0"/>
        <w:adjustRightInd w:val="0"/>
        <w:jc w:val="both"/>
        <w:rPr>
          <w:rFonts w:ascii="Arial" w:hAnsi="Arial" w:cs="Arial"/>
        </w:rPr>
      </w:pPr>
      <w:r w:rsidRPr="002F58D0">
        <w:rPr>
          <w:rFonts w:ascii="Arial" w:hAnsi="Arial" w:cs="Arial"/>
        </w:rPr>
        <w:t>RESULTS FRAMEWORK</w:t>
      </w:r>
    </w:p>
    <w:p w14:paraId="639D1AF5" w14:textId="77777777" w:rsidR="002F58D0" w:rsidRPr="002F58D0" w:rsidRDefault="002F58D0" w:rsidP="00A42BFB">
      <w:pPr>
        <w:autoSpaceDE w:val="0"/>
        <w:autoSpaceDN w:val="0"/>
        <w:adjustRightInd w:val="0"/>
        <w:jc w:val="both"/>
        <w:rPr>
          <w:rFonts w:ascii="Arial" w:hAnsi="Arial" w:cs="Arial"/>
        </w:rPr>
      </w:pPr>
    </w:p>
    <w:tbl>
      <w:tblPr>
        <w:tblW w:w="9120" w:type="dxa"/>
        <w:tblInd w:w="93" w:type="dxa"/>
        <w:tblLook w:val="04A0" w:firstRow="1" w:lastRow="0" w:firstColumn="1" w:lastColumn="0" w:noHBand="0" w:noVBand="1"/>
      </w:tblPr>
      <w:tblGrid>
        <w:gridCol w:w="2060"/>
        <w:gridCol w:w="2520"/>
        <w:gridCol w:w="2280"/>
        <w:gridCol w:w="2260"/>
      </w:tblGrid>
      <w:tr w:rsidR="002F58D0" w:rsidRPr="002F58D0" w14:paraId="499251F7" w14:textId="77777777" w:rsidTr="00F02482">
        <w:trPr>
          <w:trHeight w:val="555"/>
          <w:tblHeader/>
        </w:trPr>
        <w:tc>
          <w:tcPr>
            <w:tcW w:w="20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1D201E45"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Expected Results</w:t>
            </w:r>
          </w:p>
        </w:tc>
        <w:tc>
          <w:tcPr>
            <w:tcW w:w="2520" w:type="dxa"/>
            <w:tcBorders>
              <w:top w:val="single" w:sz="4" w:space="0" w:color="auto"/>
              <w:left w:val="nil"/>
              <w:bottom w:val="single" w:sz="4" w:space="0" w:color="auto"/>
              <w:right w:val="nil"/>
            </w:tcBorders>
            <w:shd w:val="clear" w:color="000000" w:fill="C6D9F1" w:themeFill="text2" w:themeFillTint="33"/>
            <w:vAlign w:val="center"/>
            <w:hideMark/>
          </w:tcPr>
          <w:p w14:paraId="7435FACE"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Performance Indicators</w:t>
            </w:r>
          </w:p>
        </w:tc>
        <w:tc>
          <w:tcPr>
            <w:tcW w:w="2280" w:type="dxa"/>
            <w:tcBorders>
              <w:top w:val="single" w:sz="4" w:space="0" w:color="auto"/>
              <w:left w:val="nil"/>
              <w:bottom w:val="single" w:sz="4" w:space="0" w:color="auto"/>
              <w:right w:val="nil"/>
            </w:tcBorders>
            <w:shd w:val="clear" w:color="000000" w:fill="C6D9F1" w:themeFill="text2" w:themeFillTint="33"/>
            <w:vAlign w:val="center"/>
            <w:hideMark/>
          </w:tcPr>
          <w:p w14:paraId="55E3A473"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Baselines</w:t>
            </w:r>
          </w:p>
        </w:tc>
        <w:tc>
          <w:tcPr>
            <w:tcW w:w="2260"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1928B41C"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Targets</w:t>
            </w:r>
          </w:p>
        </w:tc>
      </w:tr>
      <w:tr w:rsidR="002F58D0" w:rsidRPr="002F58D0" w14:paraId="010B0E4E" w14:textId="77777777" w:rsidTr="00F02482">
        <w:trPr>
          <w:trHeight w:val="1795"/>
        </w:trPr>
        <w:tc>
          <w:tcPr>
            <w:tcW w:w="2060" w:type="dxa"/>
            <w:tcBorders>
              <w:top w:val="single" w:sz="4" w:space="0" w:color="auto"/>
              <w:left w:val="single" w:sz="4" w:space="0" w:color="auto"/>
              <w:bottom w:val="single" w:sz="4" w:space="0" w:color="auto"/>
              <w:right w:val="nil"/>
            </w:tcBorders>
            <w:shd w:val="clear" w:color="000000" w:fill="FFFFFF"/>
            <w:hideMark/>
          </w:tcPr>
          <w:p w14:paraId="0D5F48A0"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IX.1 Effective, efficient, quality and customer-oriented support services both to internal clients and to external stakeholders</w:t>
            </w:r>
          </w:p>
        </w:tc>
        <w:tc>
          <w:tcPr>
            <w:tcW w:w="2520" w:type="dxa"/>
            <w:tcBorders>
              <w:top w:val="single" w:sz="4" w:space="0" w:color="auto"/>
              <w:left w:val="nil"/>
              <w:bottom w:val="single" w:sz="4" w:space="0" w:color="auto"/>
              <w:right w:val="nil"/>
            </w:tcBorders>
            <w:shd w:val="clear" w:color="000000" w:fill="FFFFFF"/>
            <w:hideMark/>
          </w:tcPr>
          <w:p w14:paraId="1B71D813" w14:textId="77777777" w:rsidR="002F58D0" w:rsidRPr="002F58D0" w:rsidRDefault="002F58D0" w:rsidP="00A42BFB">
            <w:pPr>
              <w:ind w:firstLineChars="200" w:firstLine="320"/>
              <w:rPr>
                <w:rFonts w:ascii="Arial" w:hAnsi="Arial" w:cs="Arial"/>
                <w:color w:val="000000"/>
                <w:sz w:val="16"/>
                <w:szCs w:val="16"/>
              </w:rPr>
            </w:pPr>
            <w:r w:rsidRPr="002F58D0">
              <w:rPr>
                <w:rFonts w:ascii="Arial" w:hAnsi="Arial" w:cs="Arial"/>
                <w:color w:val="000000"/>
                <w:sz w:val="16"/>
                <w:szCs w:val="16"/>
              </w:rPr>
              <w:br/>
              <w:t xml:space="preserve">IA governance defined and enforced.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No. of staff aware of their information security responsibilities, security policies and best practices.</w:t>
            </w:r>
          </w:p>
        </w:tc>
        <w:tc>
          <w:tcPr>
            <w:tcW w:w="2280" w:type="dxa"/>
            <w:tcBorders>
              <w:top w:val="single" w:sz="4" w:space="0" w:color="auto"/>
              <w:left w:val="nil"/>
              <w:bottom w:val="single" w:sz="4" w:space="0" w:color="auto"/>
              <w:right w:val="nil"/>
            </w:tcBorders>
            <w:shd w:val="clear" w:color="000000" w:fill="FFFFFF"/>
            <w:hideMark/>
          </w:tcPr>
          <w:p w14:paraId="797B2259" w14:textId="47B979D2" w:rsidR="002F58D0" w:rsidRPr="002F58D0" w:rsidRDefault="002F58D0">
            <w:pPr>
              <w:ind w:firstLineChars="19" w:firstLine="30"/>
              <w:rPr>
                <w:rFonts w:ascii="Arial" w:hAnsi="Arial" w:cs="Arial"/>
                <w:color w:val="000000"/>
                <w:sz w:val="16"/>
                <w:szCs w:val="16"/>
              </w:rPr>
            </w:pPr>
            <w:r w:rsidRPr="002F58D0">
              <w:rPr>
                <w:rFonts w:ascii="Arial" w:hAnsi="Arial" w:cs="Arial"/>
                <w:color w:val="000000"/>
                <w:sz w:val="16"/>
                <w:szCs w:val="16"/>
              </w:rPr>
              <w:br/>
              <w:t xml:space="preserve">Limited governance of IA </w:t>
            </w:r>
            <w:r w:rsidRPr="002F58D0">
              <w:rPr>
                <w:rFonts w:ascii="Arial" w:hAnsi="Arial" w:cs="Arial"/>
                <w:color w:val="000000"/>
                <w:sz w:val="16"/>
                <w:szCs w:val="16"/>
              </w:rPr>
              <w:br/>
              <w:t>Limited capacity to execute the IA strategy.</w:t>
            </w:r>
            <w:r w:rsidRPr="002F58D0">
              <w:rPr>
                <w:rFonts w:ascii="Arial" w:hAnsi="Arial" w:cs="Arial"/>
                <w:color w:val="000000"/>
                <w:sz w:val="16"/>
                <w:szCs w:val="16"/>
              </w:rPr>
              <w:br/>
            </w:r>
            <w:r w:rsidRPr="002F58D0">
              <w:rPr>
                <w:rFonts w:ascii="Arial" w:hAnsi="Arial" w:cs="Arial"/>
                <w:color w:val="000000"/>
                <w:sz w:val="16"/>
                <w:szCs w:val="16"/>
              </w:rPr>
              <w:br/>
            </w:r>
            <w:r w:rsidR="007824BC">
              <w:rPr>
                <w:rFonts w:ascii="Arial" w:hAnsi="Arial" w:cs="Arial"/>
                <w:color w:val="000000"/>
                <w:sz w:val="16"/>
                <w:szCs w:val="16"/>
              </w:rPr>
              <w:t>12</w:t>
            </w:r>
            <w:r w:rsidRPr="002F58D0">
              <w:rPr>
                <w:rFonts w:ascii="Arial" w:hAnsi="Arial" w:cs="Arial"/>
                <w:color w:val="000000"/>
                <w:sz w:val="16"/>
                <w:szCs w:val="16"/>
              </w:rPr>
              <w:t>% of staff have fallen for phishing campaigns</w:t>
            </w:r>
            <w:r w:rsidR="007824BC">
              <w:rPr>
                <w:rFonts w:ascii="Arial" w:hAnsi="Arial" w:cs="Arial"/>
                <w:color w:val="000000"/>
                <w:sz w:val="16"/>
                <w:szCs w:val="16"/>
              </w:rPr>
              <w:t xml:space="preserve"> (average based on 2 simulation campaigns conducted in 2014 and the first half of 2015)</w:t>
            </w:r>
            <w:r w:rsidRPr="002F58D0">
              <w:rPr>
                <w:rFonts w:ascii="Arial" w:hAnsi="Arial" w:cs="Arial"/>
                <w:color w:val="000000"/>
                <w:sz w:val="16"/>
                <w:szCs w:val="16"/>
              </w:rPr>
              <w:br/>
            </w:r>
          </w:p>
        </w:tc>
        <w:tc>
          <w:tcPr>
            <w:tcW w:w="2260" w:type="dxa"/>
            <w:tcBorders>
              <w:top w:val="single" w:sz="4" w:space="0" w:color="auto"/>
              <w:left w:val="nil"/>
              <w:bottom w:val="single" w:sz="4" w:space="0" w:color="auto"/>
              <w:right w:val="single" w:sz="4" w:space="0" w:color="auto"/>
            </w:tcBorders>
            <w:shd w:val="clear" w:color="000000" w:fill="FFFFFF"/>
            <w:hideMark/>
          </w:tcPr>
          <w:p w14:paraId="03E19B2F" w14:textId="77777777" w:rsidR="002F58D0" w:rsidRPr="002F58D0" w:rsidRDefault="002F58D0" w:rsidP="00A42BFB">
            <w:pPr>
              <w:ind w:firstLineChars="26" w:firstLine="42"/>
              <w:rPr>
                <w:rFonts w:ascii="Arial" w:hAnsi="Arial" w:cs="Arial"/>
                <w:color w:val="000000"/>
                <w:sz w:val="16"/>
                <w:szCs w:val="16"/>
              </w:rPr>
            </w:pPr>
            <w:r w:rsidRPr="002F58D0">
              <w:rPr>
                <w:rFonts w:ascii="Arial" w:hAnsi="Arial" w:cs="Arial"/>
                <w:color w:val="000000"/>
                <w:sz w:val="16"/>
                <w:szCs w:val="16"/>
              </w:rPr>
              <w:br/>
              <w:t xml:space="preserve">Approved IA governance framework enactment.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Less than 5% staff fall for phishing campaigns.</w:t>
            </w:r>
            <w:r w:rsidRPr="002F58D0">
              <w:rPr>
                <w:rFonts w:ascii="Arial" w:hAnsi="Arial" w:cs="Arial"/>
                <w:color w:val="000000"/>
                <w:sz w:val="16"/>
                <w:szCs w:val="16"/>
              </w:rPr>
              <w:br/>
            </w:r>
          </w:p>
        </w:tc>
      </w:tr>
      <w:tr w:rsidR="002F58D0" w:rsidRPr="002F58D0" w14:paraId="689997C1" w14:textId="77777777" w:rsidTr="00F02482">
        <w:trPr>
          <w:trHeight w:val="1558"/>
        </w:trPr>
        <w:tc>
          <w:tcPr>
            <w:tcW w:w="2060" w:type="dxa"/>
            <w:vMerge w:val="restart"/>
            <w:tcBorders>
              <w:top w:val="single" w:sz="4" w:space="0" w:color="auto"/>
              <w:left w:val="single" w:sz="4" w:space="0" w:color="auto"/>
              <w:right w:val="nil"/>
            </w:tcBorders>
            <w:shd w:val="clear" w:color="000000" w:fill="FFFFFF"/>
            <w:hideMark/>
          </w:tcPr>
          <w:p w14:paraId="20306A9A"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lastRenderedPageBreak/>
              <w:br/>
              <w:t>IX.4 An environmentally and socially responsible Organization in which WIPO staff, delegates, visitors and information and physical assets are safe and secure</w:t>
            </w:r>
          </w:p>
        </w:tc>
        <w:tc>
          <w:tcPr>
            <w:tcW w:w="2520" w:type="dxa"/>
            <w:tcBorders>
              <w:top w:val="single" w:sz="4" w:space="0" w:color="auto"/>
              <w:left w:val="nil"/>
              <w:right w:val="nil"/>
            </w:tcBorders>
            <w:shd w:val="clear" w:color="000000" w:fill="FFFFFF"/>
            <w:hideMark/>
          </w:tcPr>
          <w:p w14:paraId="7C766C7C"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 of information risks, including third party risks, reported and managed consistently within WIPO's risk tolerances. </w:t>
            </w:r>
          </w:p>
        </w:tc>
        <w:tc>
          <w:tcPr>
            <w:tcW w:w="2280" w:type="dxa"/>
            <w:tcBorders>
              <w:top w:val="single" w:sz="4" w:space="0" w:color="auto"/>
              <w:left w:val="nil"/>
              <w:right w:val="nil"/>
            </w:tcBorders>
            <w:shd w:val="clear" w:color="000000" w:fill="FFFFFF"/>
            <w:hideMark/>
          </w:tcPr>
          <w:p w14:paraId="662CD4E2"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Information risks reported on an ad-hoc basis. </w:t>
            </w:r>
            <w:r w:rsidRPr="002F58D0">
              <w:rPr>
                <w:rFonts w:ascii="Arial" w:hAnsi="Arial" w:cs="Arial"/>
                <w:color w:val="000000"/>
                <w:sz w:val="16"/>
                <w:szCs w:val="16"/>
              </w:rPr>
              <w:br/>
              <w:t>Third party information risks not consistently identified and managed.</w:t>
            </w:r>
          </w:p>
        </w:tc>
        <w:tc>
          <w:tcPr>
            <w:tcW w:w="2260" w:type="dxa"/>
            <w:tcBorders>
              <w:top w:val="single" w:sz="4" w:space="0" w:color="auto"/>
              <w:left w:val="nil"/>
              <w:right w:val="single" w:sz="4" w:space="0" w:color="auto"/>
            </w:tcBorders>
            <w:shd w:val="clear" w:color="000000" w:fill="FFFFFF"/>
            <w:hideMark/>
          </w:tcPr>
          <w:p w14:paraId="60EFBFAF"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Quarterly reporting of enterprise information risks to internal IA governance bodies </w:t>
            </w:r>
            <w:r w:rsidRPr="002F58D0">
              <w:rPr>
                <w:rFonts w:ascii="Arial" w:hAnsi="Arial" w:cs="Arial"/>
                <w:color w:val="000000"/>
                <w:sz w:val="16"/>
                <w:szCs w:val="16"/>
              </w:rPr>
              <w:br/>
              <w:t>Active management of third party information risks (&lt;10% High).</w:t>
            </w:r>
          </w:p>
        </w:tc>
      </w:tr>
      <w:tr w:rsidR="002F58D0" w:rsidRPr="002F58D0" w14:paraId="2632BA81" w14:textId="77777777" w:rsidTr="002F58D0">
        <w:trPr>
          <w:trHeight w:val="1815"/>
        </w:trPr>
        <w:tc>
          <w:tcPr>
            <w:tcW w:w="2060" w:type="dxa"/>
            <w:vMerge/>
            <w:tcBorders>
              <w:left w:val="single" w:sz="4" w:space="0" w:color="auto"/>
              <w:bottom w:val="single" w:sz="4" w:space="0" w:color="000000"/>
              <w:right w:val="nil"/>
            </w:tcBorders>
            <w:vAlign w:val="center"/>
            <w:hideMark/>
          </w:tcPr>
          <w:p w14:paraId="675FB8A1" w14:textId="77777777" w:rsidR="002F58D0" w:rsidRPr="002F58D0" w:rsidRDefault="002F58D0" w:rsidP="00A42BFB">
            <w:pPr>
              <w:rPr>
                <w:rFonts w:ascii="Arial" w:hAnsi="Arial" w:cs="Arial"/>
                <w:color w:val="000000"/>
                <w:sz w:val="16"/>
                <w:szCs w:val="16"/>
              </w:rPr>
            </w:pPr>
          </w:p>
        </w:tc>
        <w:tc>
          <w:tcPr>
            <w:tcW w:w="2520" w:type="dxa"/>
            <w:tcBorders>
              <w:left w:val="nil"/>
              <w:bottom w:val="nil"/>
              <w:right w:val="nil"/>
            </w:tcBorders>
            <w:shd w:val="clear" w:color="000000" w:fill="FFFFFF"/>
            <w:hideMark/>
          </w:tcPr>
          <w:p w14:paraId="5E3AD972"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Proactive identification and timely remediation of vulnerabilities within agreed service levels.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 xml:space="preserve">Increased compliance to IA policies and standards. </w:t>
            </w:r>
          </w:p>
        </w:tc>
        <w:tc>
          <w:tcPr>
            <w:tcW w:w="2280" w:type="dxa"/>
            <w:tcBorders>
              <w:left w:val="nil"/>
              <w:bottom w:val="nil"/>
              <w:right w:val="nil"/>
            </w:tcBorders>
            <w:shd w:val="clear" w:color="000000" w:fill="FFFFFF"/>
            <w:hideMark/>
          </w:tcPr>
          <w:p w14:paraId="12B4C5E8"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Limited information security vulnerabilities identified and remediated.</w:t>
            </w:r>
            <w:r w:rsidRPr="002F58D0">
              <w:rPr>
                <w:rFonts w:ascii="Arial" w:hAnsi="Arial" w:cs="Arial"/>
                <w:color w:val="000000"/>
                <w:sz w:val="16"/>
                <w:szCs w:val="16"/>
              </w:rPr>
              <w:br/>
            </w:r>
            <w:r w:rsidRPr="002F58D0">
              <w:rPr>
                <w:rFonts w:ascii="Arial" w:hAnsi="Arial" w:cs="Arial"/>
                <w:color w:val="000000"/>
                <w:sz w:val="16"/>
                <w:szCs w:val="16"/>
              </w:rPr>
              <w:br/>
              <w:t xml:space="preserve"> </w:t>
            </w:r>
            <w:r w:rsidRPr="002F58D0">
              <w:rPr>
                <w:rFonts w:ascii="Arial" w:hAnsi="Arial" w:cs="Arial"/>
                <w:color w:val="000000"/>
                <w:sz w:val="16"/>
                <w:szCs w:val="16"/>
              </w:rPr>
              <w:br/>
              <w:t xml:space="preserve">Compliance and certification to ISO 27001 standards limited to PCT applications. </w:t>
            </w:r>
          </w:p>
        </w:tc>
        <w:tc>
          <w:tcPr>
            <w:tcW w:w="2260" w:type="dxa"/>
            <w:tcBorders>
              <w:left w:val="nil"/>
              <w:bottom w:val="nil"/>
              <w:right w:val="single" w:sz="4" w:space="0" w:color="auto"/>
            </w:tcBorders>
            <w:shd w:val="clear" w:color="000000" w:fill="FFFFFF"/>
            <w:hideMark/>
          </w:tcPr>
          <w:p w14:paraId="3C19007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Information security vulnerabilities identified and remediated on 90% of sensitive information assets.</w:t>
            </w:r>
            <w:r w:rsidRPr="002F58D0">
              <w:rPr>
                <w:rFonts w:ascii="Arial" w:hAnsi="Arial" w:cs="Arial"/>
                <w:color w:val="000000"/>
                <w:sz w:val="16"/>
                <w:szCs w:val="16"/>
              </w:rPr>
              <w:br/>
            </w:r>
            <w:r w:rsidRPr="002F58D0">
              <w:rPr>
                <w:rFonts w:ascii="Arial" w:hAnsi="Arial" w:cs="Arial"/>
                <w:color w:val="000000"/>
                <w:sz w:val="16"/>
                <w:szCs w:val="16"/>
              </w:rPr>
              <w:br/>
              <w:t>Compliance and certification to ISO 27001 standards extended to the Hague, Madrid and HR applications.</w:t>
            </w:r>
          </w:p>
        </w:tc>
      </w:tr>
      <w:tr w:rsidR="002F58D0" w:rsidRPr="002F58D0" w14:paraId="2B9CCA79" w14:textId="77777777" w:rsidTr="00A42BFB">
        <w:trPr>
          <w:trHeight w:val="1841"/>
        </w:trPr>
        <w:tc>
          <w:tcPr>
            <w:tcW w:w="2060" w:type="dxa"/>
            <w:vMerge/>
            <w:tcBorders>
              <w:top w:val="nil"/>
              <w:left w:val="single" w:sz="4" w:space="0" w:color="auto"/>
              <w:bottom w:val="single" w:sz="4" w:space="0" w:color="000000"/>
              <w:right w:val="nil"/>
            </w:tcBorders>
            <w:vAlign w:val="center"/>
            <w:hideMark/>
          </w:tcPr>
          <w:p w14:paraId="0329BD56"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735130E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Widely adopted information classification and handling policy to ensure confidentiality of information.</w:t>
            </w:r>
            <w:r w:rsidRPr="002F58D0">
              <w:rPr>
                <w:rFonts w:ascii="Arial" w:hAnsi="Arial" w:cs="Arial"/>
                <w:color w:val="000000"/>
                <w:sz w:val="16"/>
                <w:szCs w:val="16"/>
              </w:rPr>
              <w:br/>
              <w:t xml:space="preserve"> </w:t>
            </w:r>
            <w:r w:rsidRPr="002F58D0">
              <w:rPr>
                <w:rFonts w:ascii="Arial" w:hAnsi="Arial" w:cs="Arial"/>
                <w:color w:val="000000"/>
                <w:sz w:val="16"/>
                <w:szCs w:val="16"/>
              </w:rPr>
              <w:br/>
              <w:t xml:space="preserve">Reduced duplication of information security technical capabilities through reusable security architecture patterns. </w:t>
            </w:r>
          </w:p>
        </w:tc>
        <w:tc>
          <w:tcPr>
            <w:tcW w:w="2280" w:type="dxa"/>
            <w:tcBorders>
              <w:top w:val="nil"/>
              <w:left w:val="nil"/>
              <w:bottom w:val="nil"/>
              <w:right w:val="nil"/>
            </w:tcBorders>
            <w:shd w:val="clear" w:color="000000" w:fill="FFFFFF"/>
            <w:hideMark/>
          </w:tcPr>
          <w:p w14:paraId="0CCD212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Limited adoption of information classification and handling policy.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 xml:space="preserve">Disparate and limited deployment of security capabilities reducing reusability and flexibility. </w:t>
            </w:r>
          </w:p>
        </w:tc>
        <w:tc>
          <w:tcPr>
            <w:tcW w:w="2260" w:type="dxa"/>
            <w:tcBorders>
              <w:top w:val="nil"/>
              <w:left w:val="nil"/>
              <w:bottom w:val="nil"/>
              <w:right w:val="single" w:sz="4" w:space="0" w:color="auto"/>
            </w:tcBorders>
            <w:shd w:val="clear" w:color="000000" w:fill="FFFFFF"/>
            <w:hideMark/>
          </w:tcPr>
          <w:p w14:paraId="347C9CEC"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Adoption of information classification and handling increased by 40%. </w:t>
            </w:r>
            <w:r w:rsidRPr="002F58D0">
              <w:rPr>
                <w:rFonts w:ascii="Arial" w:hAnsi="Arial" w:cs="Arial"/>
                <w:color w:val="000000"/>
                <w:sz w:val="16"/>
                <w:szCs w:val="16"/>
              </w:rPr>
              <w:br/>
            </w:r>
            <w:r w:rsidRPr="002F58D0">
              <w:rPr>
                <w:rFonts w:ascii="Arial" w:hAnsi="Arial" w:cs="Arial"/>
                <w:color w:val="000000"/>
                <w:sz w:val="16"/>
                <w:szCs w:val="16"/>
              </w:rPr>
              <w:br/>
              <w:t xml:space="preserve">A security reference architecture adopted to increase reusability and flexibility of security capabilities by 30%. </w:t>
            </w:r>
          </w:p>
        </w:tc>
      </w:tr>
      <w:tr w:rsidR="002F58D0" w:rsidRPr="002F58D0" w14:paraId="37D30A70" w14:textId="77777777" w:rsidTr="00A42BFB">
        <w:trPr>
          <w:trHeight w:val="1272"/>
        </w:trPr>
        <w:tc>
          <w:tcPr>
            <w:tcW w:w="2060" w:type="dxa"/>
            <w:vMerge/>
            <w:tcBorders>
              <w:top w:val="nil"/>
              <w:left w:val="single" w:sz="4" w:space="0" w:color="auto"/>
              <w:bottom w:val="single" w:sz="4" w:space="0" w:color="000000"/>
              <w:right w:val="nil"/>
            </w:tcBorders>
            <w:vAlign w:val="center"/>
            <w:hideMark/>
          </w:tcPr>
          <w:p w14:paraId="39105B66"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438F30EB"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Enhanced capability to detect and respond to information security threats much faster ensuring minimal business disruption.</w:t>
            </w:r>
          </w:p>
        </w:tc>
        <w:tc>
          <w:tcPr>
            <w:tcW w:w="2280" w:type="dxa"/>
            <w:tcBorders>
              <w:top w:val="nil"/>
              <w:left w:val="nil"/>
              <w:bottom w:val="nil"/>
              <w:right w:val="nil"/>
            </w:tcBorders>
            <w:shd w:val="clear" w:color="000000" w:fill="FFFFFF"/>
            <w:hideMark/>
          </w:tcPr>
          <w:p w14:paraId="6754918B"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Basic security operations cyber threat intelligence and incident response capabilities exist</w:t>
            </w:r>
          </w:p>
        </w:tc>
        <w:tc>
          <w:tcPr>
            <w:tcW w:w="2260" w:type="dxa"/>
            <w:tcBorders>
              <w:top w:val="nil"/>
              <w:left w:val="nil"/>
              <w:bottom w:val="nil"/>
              <w:right w:val="single" w:sz="4" w:space="0" w:color="auto"/>
            </w:tcBorders>
            <w:shd w:val="clear" w:color="000000" w:fill="FFFFFF"/>
            <w:hideMark/>
          </w:tcPr>
          <w:p w14:paraId="32606A19"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Implementation of a Cyber Security Operations Center (CSOC) improving the capability to monitor, detect and respond to information security incidents by 30%.</w:t>
            </w:r>
          </w:p>
        </w:tc>
      </w:tr>
      <w:tr w:rsidR="002F58D0" w:rsidRPr="002F58D0" w14:paraId="1417B213" w14:textId="77777777" w:rsidTr="00A42BFB">
        <w:trPr>
          <w:trHeight w:val="895"/>
        </w:trPr>
        <w:tc>
          <w:tcPr>
            <w:tcW w:w="2060" w:type="dxa"/>
            <w:vMerge/>
            <w:tcBorders>
              <w:top w:val="nil"/>
              <w:left w:val="single" w:sz="4" w:space="0" w:color="auto"/>
              <w:bottom w:val="single" w:sz="4" w:space="0" w:color="000000"/>
              <w:right w:val="nil"/>
            </w:tcBorders>
            <w:vAlign w:val="center"/>
            <w:hideMark/>
          </w:tcPr>
          <w:p w14:paraId="36443DDC"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7305EC39"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of WIPO staff, delegates and visitors reporting a work related injury or incident</w:t>
            </w:r>
          </w:p>
        </w:tc>
        <w:tc>
          <w:tcPr>
            <w:tcW w:w="2280" w:type="dxa"/>
            <w:tcBorders>
              <w:top w:val="nil"/>
              <w:left w:val="nil"/>
              <w:bottom w:val="nil"/>
              <w:right w:val="nil"/>
            </w:tcBorders>
            <w:shd w:val="clear" w:color="000000" w:fill="FFFFFF"/>
            <w:hideMark/>
          </w:tcPr>
          <w:p w14:paraId="4544359A"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2 % or less of total stakeholders/clients reporting a work related injury or incident</w:t>
            </w:r>
          </w:p>
        </w:tc>
        <w:tc>
          <w:tcPr>
            <w:tcW w:w="2260" w:type="dxa"/>
            <w:tcBorders>
              <w:top w:val="nil"/>
              <w:left w:val="nil"/>
              <w:bottom w:val="nil"/>
              <w:right w:val="single" w:sz="4" w:space="0" w:color="auto"/>
            </w:tcBorders>
            <w:shd w:val="clear" w:color="000000" w:fill="FFFFFF"/>
            <w:hideMark/>
          </w:tcPr>
          <w:p w14:paraId="64C92830" w14:textId="77777777" w:rsidR="002F58D0" w:rsidRPr="002F58D0" w:rsidRDefault="002F58D0" w:rsidP="00A42BFB">
            <w:pPr>
              <w:ind w:firstLineChars="173" w:firstLine="277"/>
              <w:rPr>
                <w:rFonts w:ascii="Arial" w:hAnsi="Arial" w:cs="Arial"/>
                <w:color w:val="000000"/>
                <w:sz w:val="16"/>
                <w:szCs w:val="16"/>
              </w:rPr>
            </w:pPr>
            <w:r w:rsidRPr="002F58D0">
              <w:rPr>
                <w:rFonts w:ascii="Arial" w:hAnsi="Arial" w:cs="Arial"/>
                <w:color w:val="000000"/>
                <w:sz w:val="16"/>
                <w:szCs w:val="16"/>
              </w:rPr>
              <w:t>2% or less</w:t>
            </w:r>
          </w:p>
        </w:tc>
      </w:tr>
      <w:tr w:rsidR="002F58D0" w:rsidRPr="002F58D0" w14:paraId="24C6DC49" w14:textId="77777777" w:rsidTr="00A42BFB">
        <w:trPr>
          <w:trHeight w:val="1327"/>
        </w:trPr>
        <w:tc>
          <w:tcPr>
            <w:tcW w:w="2060" w:type="dxa"/>
            <w:vMerge/>
            <w:tcBorders>
              <w:top w:val="nil"/>
              <w:left w:val="single" w:sz="4" w:space="0" w:color="auto"/>
              <w:bottom w:val="single" w:sz="4" w:space="0" w:color="000000"/>
              <w:right w:val="nil"/>
            </w:tcBorders>
            <w:vAlign w:val="center"/>
            <w:hideMark/>
          </w:tcPr>
          <w:p w14:paraId="6C17474F" w14:textId="77777777" w:rsidR="002F58D0" w:rsidRPr="002F58D0" w:rsidRDefault="002F58D0" w:rsidP="00A42BFB">
            <w:pPr>
              <w:rPr>
                <w:rFonts w:ascii="Arial" w:hAnsi="Arial" w:cs="Arial"/>
                <w:color w:val="000000"/>
                <w:sz w:val="16"/>
                <w:szCs w:val="16"/>
              </w:rPr>
            </w:pPr>
          </w:p>
        </w:tc>
        <w:tc>
          <w:tcPr>
            <w:tcW w:w="2520" w:type="dxa"/>
            <w:tcBorders>
              <w:top w:val="nil"/>
              <w:left w:val="nil"/>
              <w:bottom w:val="single" w:sz="4" w:space="0" w:color="auto"/>
              <w:right w:val="nil"/>
            </w:tcBorders>
            <w:shd w:val="clear" w:color="000000" w:fill="FFFFFF"/>
            <w:hideMark/>
          </w:tcPr>
          <w:p w14:paraId="54179BAE"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of timely requests for safety &amp; security assistance at conferences or events held in or outside of Geneva</w:t>
            </w:r>
          </w:p>
        </w:tc>
        <w:tc>
          <w:tcPr>
            <w:tcW w:w="2280" w:type="dxa"/>
            <w:tcBorders>
              <w:top w:val="nil"/>
              <w:left w:val="nil"/>
              <w:bottom w:val="single" w:sz="4" w:space="0" w:color="auto"/>
              <w:right w:val="nil"/>
            </w:tcBorders>
            <w:shd w:val="clear" w:color="000000" w:fill="FFFFFF"/>
            <w:hideMark/>
          </w:tcPr>
          <w:p w14:paraId="28BC5753"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90 % or more of total stakeholders/clients requesting timely safety &amp; security assistance for conferences or events held in or outside Geneva</w:t>
            </w:r>
          </w:p>
        </w:tc>
        <w:tc>
          <w:tcPr>
            <w:tcW w:w="2260" w:type="dxa"/>
            <w:tcBorders>
              <w:top w:val="nil"/>
              <w:left w:val="nil"/>
              <w:bottom w:val="single" w:sz="4" w:space="0" w:color="auto"/>
              <w:right w:val="single" w:sz="4" w:space="0" w:color="auto"/>
            </w:tcBorders>
            <w:shd w:val="clear" w:color="000000" w:fill="FFFFFF"/>
            <w:hideMark/>
          </w:tcPr>
          <w:p w14:paraId="5C6EE152" w14:textId="3183410F" w:rsidR="002F58D0" w:rsidRPr="002F58D0" w:rsidRDefault="002F58D0" w:rsidP="00A42BFB">
            <w:pPr>
              <w:ind w:firstLineChars="173" w:firstLine="277"/>
              <w:rPr>
                <w:rFonts w:ascii="Arial" w:hAnsi="Arial" w:cs="Arial"/>
                <w:color w:val="000000"/>
                <w:sz w:val="16"/>
                <w:szCs w:val="16"/>
              </w:rPr>
            </w:pPr>
            <w:r w:rsidRPr="002F58D0">
              <w:rPr>
                <w:rFonts w:ascii="Arial" w:hAnsi="Arial" w:cs="Arial"/>
                <w:color w:val="000000"/>
                <w:sz w:val="16"/>
                <w:szCs w:val="16"/>
              </w:rPr>
              <w:t>90% or more</w:t>
            </w:r>
          </w:p>
        </w:tc>
      </w:tr>
    </w:tbl>
    <w:p w14:paraId="7BFD99A8"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4AFCCAA0"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27448D9C" w14:textId="77777777" w:rsidR="002F58D0" w:rsidRPr="002F58D0" w:rsidRDefault="002F58D0" w:rsidP="00A42BFB">
      <w:pPr>
        <w:rPr>
          <w:rFonts w:ascii="Arial" w:hAnsi="Arial" w:cs="Arial"/>
          <w:sz w:val="20"/>
        </w:rPr>
      </w:pPr>
      <w:r w:rsidRPr="00FB68E0">
        <w:rPr>
          <w:rFonts w:ascii="Arial" w:hAnsi="Arial" w:cs="Arial"/>
        </w:rPr>
        <w:t>RESOURCES FOR PROGRAM 28</w:t>
      </w:r>
      <w:r w:rsidRPr="002F58D0">
        <w:rPr>
          <w:rFonts w:ascii="Arial" w:hAnsi="Arial" w:cs="Arial"/>
          <w:sz w:val="20"/>
        </w:rPr>
        <w:t xml:space="preserve"> </w:t>
      </w:r>
    </w:p>
    <w:p w14:paraId="0BF96760" w14:textId="77777777" w:rsidR="002F58D0" w:rsidRPr="00FB68E0" w:rsidRDefault="002F58D0" w:rsidP="00A42BFB">
      <w:pPr>
        <w:pStyle w:val="Default"/>
        <w:rPr>
          <w:sz w:val="20"/>
          <w:szCs w:val="28"/>
        </w:rPr>
      </w:pPr>
    </w:p>
    <w:p w14:paraId="79FF8F36" w14:textId="00BC3EC9" w:rsidR="002F58D0" w:rsidRPr="00FB68E0" w:rsidRDefault="002F58D0" w:rsidP="00B66A4A">
      <w:pPr>
        <w:pStyle w:val="ListParagraph"/>
        <w:numPr>
          <w:ilvl w:val="0"/>
          <w:numId w:val="30"/>
        </w:numPr>
        <w:tabs>
          <w:tab w:val="left" w:pos="709"/>
        </w:tabs>
        <w:ind w:left="0" w:firstLine="0"/>
        <w:jc w:val="both"/>
        <w:rPr>
          <w:sz w:val="20"/>
          <w:lang w:val="en-GB"/>
        </w:rPr>
      </w:pPr>
      <w:r w:rsidRPr="00FB68E0">
        <w:rPr>
          <w:rFonts w:ascii="Arial" w:hAnsi="Arial" w:cs="Arial"/>
          <w:sz w:val="20"/>
          <w:lang w:val="en-GB"/>
        </w:rPr>
        <w:t xml:space="preserve">An overall increase of 6.9 million </w:t>
      </w:r>
      <w:r w:rsidRPr="002F58D0">
        <w:rPr>
          <w:rFonts w:ascii="Arial" w:hAnsi="Arial" w:cs="Arial"/>
          <w:sz w:val="20"/>
        </w:rPr>
        <w:t xml:space="preserve">Swiss francs </w:t>
      </w:r>
      <w:r w:rsidRPr="00FB68E0">
        <w:rPr>
          <w:rFonts w:ascii="Arial" w:hAnsi="Arial" w:cs="Arial"/>
          <w:sz w:val="20"/>
          <w:lang w:val="en-GB"/>
        </w:rPr>
        <w:t xml:space="preserve">can be observed under the Program compared to the 2014/15 Budget after </w:t>
      </w:r>
      <w:r w:rsidRPr="002F58D0">
        <w:rPr>
          <w:rFonts w:ascii="Arial" w:hAnsi="Arial" w:cs="Arial"/>
          <w:sz w:val="20"/>
        </w:rPr>
        <w:t>T</w:t>
      </w:r>
      <w:proofErr w:type="spellStart"/>
      <w:r w:rsidRPr="00FB68E0">
        <w:rPr>
          <w:rFonts w:ascii="Arial" w:hAnsi="Arial" w:cs="Arial"/>
          <w:sz w:val="20"/>
          <w:lang w:val="en-GB"/>
        </w:rPr>
        <w:t>ransfer</w:t>
      </w:r>
      <w:proofErr w:type="spellEnd"/>
      <w:r w:rsidRPr="002F58D0">
        <w:rPr>
          <w:rFonts w:ascii="Arial" w:hAnsi="Arial" w:cs="Arial"/>
          <w:sz w:val="20"/>
        </w:rPr>
        <w:t>s</w:t>
      </w:r>
      <w:r w:rsidRPr="00FB68E0">
        <w:rPr>
          <w:rFonts w:ascii="Arial" w:hAnsi="Arial" w:cs="Arial"/>
          <w:sz w:val="20"/>
          <w:lang w:val="en-GB"/>
        </w:rPr>
        <w:t xml:space="preserve">. </w:t>
      </w:r>
      <w:r w:rsidR="00EF13C4">
        <w:rPr>
          <w:rFonts w:ascii="Arial" w:hAnsi="Arial" w:cs="Arial"/>
          <w:sz w:val="20"/>
          <w:lang w:val="en-GB"/>
        </w:rPr>
        <w:t xml:space="preserve"> </w:t>
      </w:r>
      <w:r w:rsidRPr="00FB68E0">
        <w:rPr>
          <w:rFonts w:ascii="Arial" w:hAnsi="Arial" w:cs="Arial"/>
          <w:sz w:val="20"/>
          <w:lang w:val="en-GB"/>
        </w:rPr>
        <w:t xml:space="preserve">The increase is primarily </w:t>
      </w:r>
      <w:r w:rsidRPr="002F58D0">
        <w:rPr>
          <w:rFonts w:ascii="Arial" w:hAnsi="Arial" w:cs="Arial"/>
          <w:sz w:val="20"/>
        </w:rPr>
        <w:t>due to</w:t>
      </w:r>
      <w:r w:rsidRPr="00FB68E0">
        <w:rPr>
          <w:rFonts w:ascii="Arial" w:hAnsi="Arial" w:cs="Arial"/>
          <w:sz w:val="20"/>
          <w:lang w:val="en-GB"/>
        </w:rPr>
        <w:t xml:space="preserve"> the </w:t>
      </w:r>
      <w:r w:rsidRPr="002F58D0">
        <w:rPr>
          <w:rFonts w:ascii="Arial" w:hAnsi="Arial" w:cs="Arial"/>
          <w:sz w:val="20"/>
        </w:rPr>
        <w:t>move</w:t>
      </w:r>
      <w:r w:rsidRPr="00FB68E0">
        <w:rPr>
          <w:rFonts w:ascii="Arial" w:hAnsi="Arial" w:cs="Arial"/>
          <w:sz w:val="20"/>
          <w:lang w:val="en-GB"/>
        </w:rPr>
        <w:t xml:space="preserve"> </w:t>
      </w:r>
      <w:r w:rsidRPr="002F58D0">
        <w:rPr>
          <w:rFonts w:ascii="Arial" w:hAnsi="Arial" w:cs="Arial"/>
          <w:sz w:val="20"/>
        </w:rPr>
        <w:t xml:space="preserve">of </w:t>
      </w:r>
      <w:r w:rsidRPr="00FB68E0">
        <w:rPr>
          <w:rFonts w:ascii="Arial" w:hAnsi="Arial" w:cs="Arial"/>
          <w:sz w:val="20"/>
          <w:lang w:val="en-GB"/>
        </w:rPr>
        <w:t xml:space="preserve">Information Assurance </w:t>
      </w:r>
      <w:r w:rsidRPr="002F58D0">
        <w:rPr>
          <w:rFonts w:ascii="Arial" w:hAnsi="Arial" w:cs="Arial"/>
          <w:sz w:val="20"/>
        </w:rPr>
        <w:t>from Program 25 (</w:t>
      </w:r>
      <w:r w:rsidRPr="00FB68E0">
        <w:rPr>
          <w:rFonts w:ascii="Arial" w:hAnsi="Arial" w:cs="Arial"/>
          <w:sz w:val="20"/>
          <w:lang w:val="en-GB"/>
        </w:rPr>
        <w:t>Information and Communication Technology</w:t>
      </w:r>
      <w:r w:rsidRPr="002F58D0">
        <w:rPr>
          <w:rFonts w:ascii="Arial" w:hAnsi="Arial" w:cs="Arial"/>
          <w:sz w:val="20"/>
        </w:rPr>
        <w:t>)</w:t>
      </w:r>
      <w:r w:rsidRPr="00FB68E0">
        <w:rPr>
          <w:rFonts w:ascii="Arial" w:hAnsi="Arial" w:cs="Arial"/>
          <w:sz w:val="20"/>
          <w:lang w:val="en-GB"/>
        </w:rPr>
        <w:t xml:space="preserve"> into the Program. </w:t>
      </w:r>
      <w:r w:rsidR="00C25CF7">
        <w:rPr>
          <w:rFonts w:ascii="Arial" w:hAnsi="Arial" w:cs="Arial"/>
          <w:sz w:val="20"/>
          <w:lang w:val="en-GB"/>
        </w:rPr>
        <w:t xml:space="preserve"> </w:t>
      </w:r>
      <w:r w:rsidRPr="00FB68E0">
        <w:rPr>
          <w:rFonts w:ascii="Arial" w:hAnsi="Arial" w:cs="Arial"/>
          <w:sz w:val="20"/>
          <w:lang w:val="en-GB"/>
        </w:rPr>
        <w:t xml:space="preserve">This is reflected </w:t>
      </w:r>
      <w:r w:rsidRPr="002F58D0">
        <w:rPr>
          <w:rFonts w:ascii="Arial" w:hAnsi="Arial" w:cs="Arial"/>
          <w:sz w:val="20"/>
        </w:rPr>
        <w:t xml:space="preserve">primarily under personnel resources and under </w:t>
      </w:r>
      <w:r w:rsidRPr="00FB68E0">
        <w:rPr>
          <w:rFonts w:ascii="Arial" w:hAnsi="Arial" w:cs="Arial"/>
          <w:sz w:val="20"/>
          <w:lang w:val="en-GB"/>
        </w:rPr>
        <w:t xml:space="preserve">Expected result IX.4. </w:t>
      </w:r>
    </w:p>
    <w:p w14:paraId="5C25F371" w14:textId="77777777" w:rsidR="002F58D0" w:rsidRPr="00FB68E0" w:rsidRDefault="002F58D0" w:rsidP="00FB68E0">
      <w:pPr>
        <w:pStyle w:val="ListParagraph"/>
        <w:tabs>
          <w:tab w:val="left" w:pos="709"/>
        </w:tabs>
        <w:ind w:left="0"/>
        <w:jc w:val="both"/>
        <w:rPr>
          <w:sz w:val="20"/>
          <w:lang w:val="en-GB"/>
        </w:rPr>
      </w:pPr>
    </w:p>
    <w:p w14:paraId="36F91463" w14:textId="23441C30" w:rsidR="002F58D0" w:rsidRPr="00FB68E0" w:rsidRDefault="002F58D0" w:rsidP="00B66A4A">
      <w:pPr>
        <w:pStyle w:val="ListParagraph"/>
        <w:numPr>
          <w:ilvl w:val="0"/>
          <w:numId w:val="30"/>
        </w:numPr>
        <w:tabs>
          <w:tab w:val="left" w:pos="709"/>
        </w:tabs>
        <w:ind w:left="0" w:firstLine="0"/>
        <w:jc w:val="both"/>
        <w:rPr>
          <w:sz w:val="20"/>
          <w:lang w:val="en-GB"/>
        </w:rPr>
      </w:pPr>
      <w:r w:rsidRPr="002F58D0">
        <w:rPr>
          <w:rFonts w:ascii="Arial" w:hAnsi="Arial" w:cs="Arial"/>
          <w:sz w:val="20"/>
        </w:rPr>
        <w:t xml:space="preserve">The increase in non-personnel </w:t>
      </w:r>
      <w:r w:rsidRPr="00FB68E0">
        <w:rPr>
          <w:rFonts w:ascii="Arial" w:hAnsi="Arial" w:cs="Arial"/>
          <w:sz w:val="20"/>
          <w:lang w:val="en-GB"/>
        </w:rPr>
        <w:t xml:space="preserve">resources </w:t>
      </w:r>
      <w:r w:rsidRPr="002F58D0">
        <w:rPr>
          <w:rFonts w:ascii="Arial" w:hAnsi="Arial" w:cs="Arial"/>
          <w:sz w:val="20"/>
        </w:rPr>
        <w:t xml:space="preserve">reflects an additional provision of </w:t>
      </w:r>
      <w:r w:rsidR="002668E0">
        <w:rPr>
          <w:rFonts w:ascii="Arial" w:hAnsi="Arial" w:cs="Arial"/>
          <w:sz w:val="20"/>
          <w:lang w:val="en-GB"/>
        </w:rPr>
        <w:t>approximately 4 </w:t>
      </w:r>
      <w:r w:rsidRPr="00FB68E0">
        <w:rPr>
          <w:rFonts w:ascii="Arial" w:hAnsi="Arial" w:cs="Arial"/>
          <w:sz w:val="20"/>
          <w:lang w:val="en-GB"/>
        </w:rPr>
        <w:t xml:space="preserve">million </w:t>
      </w:r>
      <w:r w:rsidRPr="002F58D0">
        <w:rPr>
          <w:rFonts w:ascii="Arial" w:hAnsi="Arial" w:cs="Arial"/>
          <w:sz w:val="20"/>
        </w:rPr>
        <w:t xml:space="preserve">Swiss francs for </w:t>
      </w:r>
      <w:r w:rsidRPr="00FB68E0">
        <w:rPr>
          <w:rFonts w:ascii="Arial" w:hAnsi="Arial" w:cs="Arial"/>
          <w:sz w:val="20"/>
          <w:lang w:val="en-GB"/>
        </w:rPr>
        <w:t xml:space="preserve">the implementation of </w:t>
      </w:r>
      <w:r w:rsidRPr="002F58D0">
        <w:rPr>
          <w:rFonts w:ascii="Arial" w:hAnsi="Arial" w:cs="Arial"/>
          <w:sz w:val="20"/>
        </w:rPr>
        <w:t>the I</w:t>
      </w:r>
      <w:proofErr w:type="spellStart"/>
      <w:r w:rsidR="008E7FF2" w:rsidRPr="00FB68E0">
        <w:rPr>
          <w:rFonts w:ascii="Arial" w:hAnsi="Arial" w:cs="Arial"/>
          <w:sz w:val="20"/>
          <w:lang w:val="en-GB"/>
        </w:rPr>
        <w:t>nformation</w:t>
      </w:r>
      <w:proofErr w:type="spellEnd"/>
      <w:r w:rsidRPr="00FB68E0">
        <w:rPr>
          <w:rFonts w:ascii="Arial" w:hAnsi="Arial" w:cs="Arial"/>
          <w:sz w:val="20"/>
          <w:lang w:val="en-GB"/>
        </w:rPr>
        <w:t xml:space="preserve"> Assurance strategies</w:t>
      </w:r>
      <w:r w:rsidR="008E7FF2">
        <w:rPr>
          <w:rFonts w:ascii="Arial" w:hAnsi="Arial" w:cs="Arial"/>
          <w:sz w:val="20"/>
        </w:rPr>
        <w:t xml:space="preserve"> </w:t>
      </w:r>
      <w:r w:rsidR="00057B48">
        <w:rPr>
          <w:rFonts w:ascii="Arial" w:hAnsi="Arial" w:cs="Arial"/>
          <w:sz w:val="20"/>
        </w:rPr>
        <w:t>in</w:t>
      </w:r>
      <w:r w:rsidRPr="002F58D0">
        <w:rPr>
          <w:rFonts w:ascii="Arial" w:hAnsi="Arial" w:cs="Arial"/>
          <w:sz w:val="20"/>
        </w:rPr>
        <w:t xml:space="preserve"> 2016/17</w:t>
      </w:r>
      <w:r w:rsidRPr="00FB68E0">
        <w:rPr>
          <w:rFonts w:ascii="Arial" w:hAnsi="Arial" w:cs="Arial"/>
          <w:sz w:val="20"/>
          <w:lang w:val="en-GB"/>
        </w:rPr>
        <w:t xml:space="preserve">. </w:t>
      </w:r>
      <w:r w:rsidR="002668E0">
        <w:rPr>
          <w:rFonts w:ascii="Arial" w:hAnsi="Arial" w:cs="Arial"/>
          <w:sz w:val="20"/>
          <w:lang w:val="en-GB"/>
        </w:rPr>
        <w:t xml:space="preserve"> </w:t>
      </w:r>
      <w:r w:rsidRPr="00FB68E0">
        <w:rPr>
          <w:rFonts w:ascii="Arial" w:hAnsi="Arial" w:cs="Arial"/>
          <w:sz w:val="20"/>
          <w:lang w:val="en-GB"/>
        </w:rPr>
        <w:t xml:space="preserve">An enhanced emphasis on strengthening </w:t>
      </w:r>
      <w:r w:rsidRPr="002F58D0">
        <w:rPr>
          <w:rFonts w:ascii="Arial" w:hAnsi="Arial" w:cs="Arial"/>
          <w:sz w:val="20"/>
        </w:rPr>
        <w:t>Information Assurance</w:t>
      </w:r>
      <w:r w:rsidRPr="00FB68E0">
        <w:rPr>
          <w:rFonts w:ascii="Arial" w:hAnsi="Arial" w:cs="Arial"/>
          <w:sz w:val="20"/>
          <w:lang w:val="en-GB"/>
        </w:rPr>
        <w:t xml:space="preserve"> accountabilities and responsibilities is reflected through the Program’s contribution to the Expected Result IX.1. </w:t>
      </w:r>
    </w:p>
    <w:p w14:paraId="0C8FE7BE" w14:textId="13D5F6E0" w:rsidR="00F02482" w:rsidRDefault="00F02482">
      <w:pPr>
        <w:rPr>
          <w:rFonts w:ascii="Arial" w:hAnsi="Arial" w:cs="Arial"/>
          <w:sz w:val="20"/>
        </w:rPr>
      </w:pPr>
      <w:r>
        <w:rPr>
          <w:rFonts w:ascii="Arial" w:hAnsi="Arial" w:cs="Arial"/>
          <w:sz w:val="20"/>
        </w:rPr>
        <w:br w:type="page"/>
      </w:r>
    </w:p>
    <w:p w14:paraId="126CA0D5" w14:textId="77777777" w:rsidR="002F58D0" w:rsidRDefault="002F58D0" w:rsidP="00A42BFB">
      <w:pPr>
        <w:pStyle w:val="ListParagraph"/>
        <w:rPr>
          <w:rFonts w:ascii="Arial" w:hAnsi="Arial" w:cs="Arial"/>
          <w:sz w:val="20"/>
        </w:rPr>
      </w:pPr>
    </w:p>
    <w:p w14:paraId="07BA2C55" w14:textId="77777777" w:rsidR="002F58D0" w:rsidRPr="002F58D0" w:rsidRDefault="002F58D0" w:rsidP="00A42BFB">
      <w:pPr>
        <w:tabs>
          <w:tab w:val="left" w:pos="1427"/>
        </w:tabs>
        <w:jc w:val="center"/>
        <w:rPr>
          <w:rFonts w:ascii="Arial" w:hAnsi="Arial" w:cs="Arial"/>
          <w:sz w:val="20"/>
        </w:rPr>
      </w:pPr>
      <w:r w:rsidRPr="002F58D0">
        <w:rPr>
          <w:rFonts w:ascii="Arial" w:hAnsi="Arial" w:cs="Arial"/>
          <w:b/>
          <w:sz w:val="20"/>
          <w:szCs w:val="24"/>
        </w:rPr>
        <w:t>Program 28:  Resources by Result</w:t>
      </w:r>
    </w:p>
    <w:p w14:paraId="0C437739" w14:textId="77777777" w:rsidR="002F58D0" w:rsidRDefault="002F58D0" w:rsidP="00A42BFB">
      <w:pPr>
        <w:tabs>
          <w:tab w:val="left" w:pos="1427"/>
        </w:tabs>
        <w:jc w:val="center"/>
        <w:rPr>
          <w:rFonts w:ascii="Arial" w:hAnsi="Arial" w:cs="Arial"/>
          <w:i/>
          <w:sz w:val="20"/>
          <w:szCs w:val="24"/>
        </w:rPr>
      </w:pPr>
      <w:r w:rsidRPr="002F58D0">
        <w:rPr>
          <w:rFonts w:ascii="Arial" w:hAnsi="Arial" w:cs="Arial"/>
          <w:i/>
          <w:sz w:val="20"/>
          <w:szCs w:val="24"/>
        </w:rPr>
        <w:t>(In thousands of Swiss francs)</w:t>
      </w:r>
    </w:p>
    <w:p w14:paraId="4887646D" w14:textId="77777777" w:rsidR="00701F92" w:rsidRPr="00792AD4" w:rsidRDefault="00701F92" w:rsidP="00A42BFB">
      <w:pPr>
        <w:tabs>
          <w:tab w:val="left" w:pos="1427"/>
        </w:tabs>
        <w:jc w:val="center"/>
        <w:rPr>
          <w:rFonts w:ascii="Arial" w:hAnsi="Arial" w:cs="Arial"/>
          <w:i/>
          <w:sz w:val="16"/>
          <w:szCs w:val="24"/>
        </w:rPr>
      </w:pPr>
    </w:p>
    <w:p w14:paraId="13417DFB" w14:textId="4F9FF084" w:rsidR="002F58D0" w:rsidRPr="002F58D0" w:rsidRDefault="005154AB" w:rsidP="00A42BFB">
      <w:pPr>
        <w:tabs>
          <w:tab w:val="left" w:pos="1427"/>
        </w:tabs>
        <w:jc w:val="center"/>
        <w:rPr>
          <w:rFonts w:ascii="Arial" w:hAnsi="Arial" w:cs="Arial"/>
          <w:i/>
          <w:sz w:val="20"/>
          <w:szCs w:val="24"/>
        </w:rPr>
      </w:pPr>
      <w:r w:rsidRPr="005154AB">
        <w:rPr>
          <w:noProof/>
          <w:lang w:eastAsia="en-US"/>
        </w:rPr>
        <w:drawing>
          <wp:inline distT="0" distB="0" distL="0" distR="0" wp14:anchorId="135F3BFB" wp14:editId="23D75889">
            <wp:extent cx="4724512" cy="13144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24959" cy="1314574"/>
                    </a:xfrm>
                    <a:prstGeom prst="rect">
                      <a:avLst/>
                    </a:prstGeom>
                    <a:noFill/>
                    <a:ln>
                      <a:noFill/>
                    </a:ln>
                  </pic:spPr>
                </pic:pic>
              </a:graphicData>
            </a:graphic>
          </wp:inline>
        </w:drawing>
      </w:r>
    </w:p>
    <w:p w14:paraId="315FDEC8" w14:textId="77777777" w:rsidR="002F58D0" w:rsidRDefault="002F58D0" w:rsidP="00A42BFB">
      <w:pPr>
        <w:tabs>
          <w:tab w:val="left" w:pos="1427"/>
        </w:tabs>
        <w:jc w:val="center"/>
        <w:rPr>
          <w:rFonts w:ascii="Arial" w:hAnsi="Arial" w:cs="Arial"/>
          <w:i/>
          <w:sz w:val="20"/>
          <w:szCs w:val="24"/>
        </w:rPr>
      </w:pPr>
    </w:p>
    <w:p w14:paraId="6C62BA5B" w14:textId="77777777" w:rsidR="00F02482" w:rsidRDefault="00F02482" w:rsidP="00A42BFB">
      <w:pPr>
        <w:tabs>
          <w:tab w:val="left" w:pos="1427"/>
        </w:tabs>
        <w:jc w:val="center"/>
        <w:rPr>
          <w:rFonts w:ascii="Arial" w:hAnsi="Arial" w:cs="Arial"/>
          <w:i/>
          <w:sz w:val="20"/>
          <w:szCs w:val="24"/>
        </w:rPr>
      </w:pPr>
    </w:p>
    <w:p w14:paraId="45F25E7F" w14:textId="77777777" w:rsidR="002F58D0" w:rsidRPr="002F58D0" w:rsidRDefault="002F58D0" w:rsidP="00A42BFB">
      <w:pPr>
        <w:keepNext/>
        <w:keepLines/>
        <w:tabs>
          <w:tab w:val="left" w:pos="1427"/>
        </w:tabs>
        <w:jc w:val="center"/>
        <w:rPr>
          <w:rFonts w:ascii="Arial" w:hAnsi="Arial" w:cs="Arial"/>
          <w:sz w:val="20"/>
        </w:rPr>
      </w:pPr>
      <w:r w:rsidRPr="002F58D0">
        <w:rPr>
          <w:rFonts w:ascii="Arial" w:hAnsi="Arial" w:cs="Arial"/>
          <w:b/>
          <w:sz w:val="20"/>
          <w:szCs w:val="24"/>
        </w:rPr>
        <w:t>Program 28:  Resources by Object of Expenditure</w:t>
      </w:r>
    </w:p>
    <w:p w14:paraId="7E1FFEAE" w14:textId="77777777" w:rsidR="002F58D0" w:rsidRPr="002F58D0" w:rsidRDefault="002F58D0" w:rsidP="00A42BFB">
      <w:pPr>
        <w:keepNext/>
        <w:keepLines/>
        <w:tabs>
          <w:tab w:val="left" w:pos="1427"/>
        </w:tabs>
        <w:jc w:val="center"/>
        <w:rPr>
          <w:rFonts w:ascii="Arial" w:hAnsi="Arial" w:cs="Arial"/>
          <w:i/>
          <w:sz w:val="20"/>
          <w:szCs w:val="24"/>
        </w:rPr>
      </w:pPr>
      <w:r w:rsidRPr="002F58D0">
        <w:rPr>
          <w:rFonts w:ascii="Arial" w:hAnsi="Arial" w:cs="Arial"/>
          <w:i/>
          <w:sz w:val="20"/>
          <w:szCs w:val="24"/>
        </w:rPr>
        <w:t>(In thousands of Swiss francs)</w:t>
      </w:r>
    </w:p>
    <w:p w14:paraId="2C7A6388" w14:textId="77777777" w:rsidR="002F58D0" w:rsidRPr="00792AD4" w:rsidRDefault="002F58D0" w:rsidP="00A42BFB">
      <w:pPr>
        <w:keepNext/>
        <w:keepLines/>
        <w:tabs>
          <w:tab w:val="left" w:pos="1427"/>
        </w:tabs>
        <w:jc w:val="center"/>
        <w:rPr>
          <w:rFonts w:ascii="Arial" w:hAnsi="Arial" w:cs="Arial"/>
          <w:i/>
          <w:sz w:val="16"/>
          <w:szCs w:val="24"/>
        </w:rPr>
      </w:pPr>
    </w:p>
    <w:p w14:paraId="6E4917B8" w14:textId="6458FB82" w:rsidR="002F58D0" w:rsidRPr="00792AD4" w:rsidRDefault="00420790" w:rsidP="00420790">
      <w:pPr>
        <w:keepNext/>
        <w:keepLines/>
        <w:tabs>
          <w:tab w:val="left" w:pos="1427"/>
        </w:tabs>
        <w:jc w:val="center"/>
        <w:rPr>
          <w:rFonts w:ascii="Arial" w:hAnsi="Arial" w:cs="Arial"/>
          <w:i/>
          <w:sz w:val="18"/>
          <w:szCs w:val="24"/>
        </w:rPr>
      </w:pPr>
      <w:r w:rsidRPr="00420790">
        <w:rPr>
          <w:noProof/>
          <w:lang w:eastAsia="en-US"/>
        </w:rPr>
        <w:drawing>
          <wp:inline distT="0" distB="0" distL="0" distR="0" wp14:anchorId="1AD5A63A" wp14:editId="1F923178">
            <wp:extent cx="4600575" cy="5180019"/>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09663" cy="5190252"/>
                    </a:xfrm>
                    <a:prstGeom prst="rect">
                      <a:avLst/>
                    </a:prstGeom>
                    <a:noFill/>
                    <a:ln>
                      <a:noFill/>
                    </a:ln>
                  </pic:spPr>
                </pic:pic>
              </a:graphicData>
            </a:graphic>
          </wp:inline>
        </w:drawing>
      </w:r>
    </w:p>
    <w:p w14:paraId="6E91010A" w14:textId="77777777" w:rsidR="00DC57BC" w:rsidRDefault="00DC57BC" w:rsidP="008D3EC2">
      <w:pPr>
        <w:autoSpaceDE w:val="0"/>
        <w:autoSpaceDN w:val="0"/>
        <w:adjustRightInd w:val="0"/>
        <w:rPr>
          <w:rFonts w:ascii="Arial" w:hAnsi="Arial" w:cs="Arial"/>
          <w:sz w:val="20"/>
        </w:rPr>
      </w:pPr>
    </w:p>
    <w:p w14:paraId="667DD571" w14:textId="77777777" w:rsidR="00592800" w:rsidRDefault="00592800" w:rsidP="008D3EC2">
      <w:pPr>
        <w:autoSpaceDE w:val="0"/>
        <w:autoSpaceDN w:val="0"/>
        <w:adjustRightInd w:val="0"/>
        <w:rPr>
          <w:rFonts w:ascii="Arial" w:hAnsi="Arial" w:cs="Arial"/>
          <w:sz w:val="20"/>
        </w:rPr>
        <w:sectPr w:rsidR="00592800" w:rsidSect="00DA3F93">
          <w:pgSz w:w="11907" w:h="16839" w:code="9"/>
          <w:pgMar w:top="624" w:right="1418" w:bottom="1361" w:left="1418" w:header="567" w:footer="851" w:gutter="0"/>
          <w:cols w:space="720"/>
          <w:docGrid w:linePitch="360"/>
        </w:sectPr>
      </w:pPr>
    </w:p>
    <w:p w14:paraId="69753C80" w14:textId="2803B942" w:rsidR="00592800" w:rsidRPr="00B30215" w:rsidRDefault="00592800" w:rsidP="00701F92">
      <w:pPr>
        <w:pStyle w:val="Heading1"/>
        <w:keepNext w:val="0"/>
        <w:tabs>
          <w:tab w:val="num" w:pos="709"/>
        </w:tabs>
        <w:ind w:left="1134" w:hanging="1134"/>
        <w:rPr>
          <w:szCs w:val="20"/>
        </w:rPr>
      </w:pPr>
      <w:bookmarkStart w:id="79" w:name="_Toc356567785"/>
      <w:bookmarkStart w:id="80" w:name="_Toc367350611"/>
      <w:bookmarkStart w:id="81" w:name="_Toc431221444"/>
      <w:bookmarkStart w:id="82" w:name="_Toc293334839"/>
      <w:bookmarkStart w:id="83" w:name="_Toc298920421"/>
      <w:bookmarkStart w:id="84" w:name="_Toc293334840"/>
      <w:bookmarkStart w:id="85" w:name="_Toc298920422"/>
      <w:bookmarkStart w:id="86" w:name="_Toc356567786"/>
      <w:bookmarkStart w:id="87" w:name="_Toc367350612"/>
      <w:r w:rsidRPr="00B30215">
        <w:rPr>
          <w:szCs w:val="20"/>
        </w:rPr>
        <w:lastRenderedPageBreak/>
        <w:t>I</w:t>
      </w:r>
      <w:r w:rsidR="00F66122" w:rsidRPr="00B30215">
        <w:rPr>
          <w:szCs w:val="20"/>
        </w:rPr>
        <w:t>II</w:t>
      </w:r>
      <w:r w:rsidRPr="00B30215">
        <w:rPr>
          <w:szCs w:val="20"/>
        </w:rPr>
        <w:t>.</w:t>
      </w:r>
      <w:r w:rsidRPr="00B30215">
        <w:rPr>
          <w:szCs w:val="20"/>
        </w:rPr>
        <w:tab/>
        <w:t>ANNEXES</w:t>
      </w:r>
      <w:bookmarkEnd w:id="79"/>
      <w:bookmarkEnd w:id="80"/>
      <w:bookmarkEnd w:id="81"/>
      <w:r w:rsidRPr="00B30215">
        <w:rPr>
          <w:szCs w:val="20"/>
        </w:rPr>
        <w:t xml:space="preserve"> </w:t>
      </w:r>
    </w:p>
    <w:p w14:paraId="09CFD586" w14:textId="77777777" w:rsidR="00701F92" w:rsidRDefault="00701F92" w:rsidP="00701F92">
      <w:pPr>
        <w:rPr>
          <w:rFonts w:ascii="Arial" w:hAnsi="Arial" w:cs="Arial"/>
          <w:lang w:eastAsia="en-US"/>
        </w:rPr>
      </w:pPr>
    </w:p>
    <w:bookmarkEnd w:id="82"/>
    <w:bookmarkEnd w:id="83"/>
    <w:p w14:paraId="1FEDD906" w14:textId="51DCD8AC" w:rsidR="00592800" w:rsidRDefault="00592800">
      <w:pPr>
        <w:rPr>
          <w:rFonts w:ascii="Arial" w:eastAsia="Times New Roman" w:hAnsi="Arial" w:cs="Arial"/>
          <w:b/>
          <w:iCs/>
          <w:lang w:eastAsia="en-US"/>
        </w:rPr>
      </w:pPr>
    </w:p>
    <w:p w14:paraId="04723655" w14:textId="6CE99B16" w:rsidR="00592800" w:rsidRPr="0069571C" w:rsidRDefault="00592800" w:rsidP="00592800">
      <w:pPr>
        <w:pStyle w:val="StyleHeading3ComplexItalic"/>
        <w:keepNext w:val="0"/>
        <w:tabs>
          <w:tab w:val="clear" w:pos="1985"/>
          <w:tab w:val="left" w:pos="1418"/>
        </w:tabs>
        <w:ind w:left="1418" w:hanging="1418"/>
      </w:pPr>
      <w:bookmarkStart w:id="88" w:name="_Toc431221445"/>
      <w:r>
        <w:rPr>
          <w:caps w:val="0"/>
        </w:rPr>
        <w:t>ANNEX I</w:t>
      </w:r>
      <w:r>
        <w:rPr>
          <w:caps w:val="0"/>
        </w:rPr>
        <w:tab/>
      </w:r>
      <w:r w:rsidRPr="00AB33AC">
        <w:rPr>
          <w:caps w:val="0"/>
        </w:rPr>
        <w:t>201</w:t>
      </w:r>
      <w:r>
        <w:rPr>
          <w:caps w:val="0"/>
        </w:rPr>
        <w:t>4</w:t>
      </w:r>
      <w:r w:rsidRPr="00AB33AC">
        <w:rPr>
          <w:caps w:val="0"/>
        </w:rPr>
        <w:t>/1</w:t>
      </w:r>
      <w:r>
        <w:rPr>
          <w:caps w:val="0"/>
        </w:rPr>
        <w:t>5</w:t>
      </w:r>
      <w:r w:rsidRPr="00576949">
        <w:rPr>
          <w:caps w:val="0"/>
        </w:rPr>
        <w:t xml:space="preserve"> BUDGET </w:t>
      </w:r>
      <w:bookmarkEnd w:id="84"/>
      <w:bookmarkEnd w:id="85"/>
      <w:r>
        <w:rPr>
          <w:caps w:val="0"/>
        </w:rPr>
        <w:t>AFTER TRANSFERS BY PROGRAM</w:t>
      </w:r>
      <w:bookmarkEnd w:id="86"/>
      <w:bookmarkEnd w:id="87"/>
      <w:bookmarkEnd w:id="88"/>
      <w:r>
        <w:rPr>
          <w:caps w:val="0"/>
        </w:rPr>
        <w:t xml:space="preserve"> </w:t>
      </w:r>
    </w:p>
    <w:p w14:paraId="2C9B0C09" w14:textId="77777777" w:rsidR="00592800" w:rsidRDefault="00592800" w:rsidP="00592800"/>
    <w:p w14:paraId="5EA8C3D1" w14:textId="77777777" w:rsidR="00327926" w:rsidRDefault="00327926">
      <w:pPr>
        <w:rPr>
          <w:rFonts w:ascii="Arial" w:hAnsi="Arial" w:cs="Arial"/>
          <w:sz w:val="20"/>
          <w:szCs w:val="20"/>
        </w:rPr>
      </w:pPr>
    </w:p>
    <w:p w14:paraId="0B6D0850" w14:textId="3E96086B" w:rsidR="00327926" w:rsidRPr="00FA2135" w:rsidRDefault="00327926" w:rsidP="005A1F7F">
      <w:pPr>
        <w:jc w:val="center"/>
        <w:rPr>
          <w:rFonts w:ascii="Arial" w:hAnsi="Arial" w:cs="Arial"/>
          <w:b/>
          <w:sz w:val="20"/>
          <w:szCs w:val="16"/>
        </w:rPr>
      </w:pPr>
      <w:r w:rsidRPr="00FA2135">
        <w:rPr>
          <w:rFonts w:ascii="Arial" w:hAnsi="Arial" w:cs="Arial"/>
          <w:b/>
          <w:sz w:val="20"/>
          <w:szCs w:val="16"/>
        </w:rPr>
        <w:t xml:space="preserve">Table </w:t>
      </w:r>
      <w:r w:rsidR="00701F92">
        <w:rPr>
          <w:rFonts w:ascii="Arial" w:hAnsi="Arial" w:cs="Arial"/>
          <w:b/>
          <w:sz w:val="20"/>
          <w:szCs w:val="16"/>
        </w:rPr>
        <w:t>8</w:t>
      </w:r>
      <w:r w:rsidRPr="00FA2135">
        <w:rPr>
          <w:rFonts w:ascii="Arial" w:hAnsi="Arial" w:cs="Arial"/>
          <w:b/>
          <w:sz w:val="20"/>
          <w:szCs w:val="16"/>
        </w:rPr>
        <w:t>.  2014/15 Budget after Transfers by Program</w:t>
      </w:r>
    </w:p>
    <w:p w14:paraId="70E4A14D" w14:textId="77777777" w:rsidR="00327926" w:rsidRPr="00FA2135" w:rsidRDefault="00327926" w:rsidP="005A1F7F">
      <w:pPr>
        <w:jc w:val="center"/>
        <w:rPr>
          <w:rFonts w:ascii="Arial" w:hAnsi="Arial" w:cs="Arial"/>
          <w:i/>
          <w:sz w:val="20"/>
          <w:szCs w:val="16"/>
        </w:rPr>
      </w:pPr>
      <w:r w:rsidRPr="00FA2135">
        <w:rPr>
          <w:rFonts w:ascii="Arial" w:hAnsi="Arial" w:cs="Arial"/>
          <w:i/>
          <w:sz w:val="20"/>
          <w:szCs w:val="16"/>
        </w:rPr>
        <w:t>(in thousands of Swiss francs)</w:t>
      </w:r>
    </w:p>
    <w:p w14:paraId="71565719" w14:textId="77777777" w:rsidR="00327926" w:rsidRPr="0026077A" w:rsidRDefault="00327926" w:rsidP="005A1F7F">
      <w:pPr>
        <w:jc w:val="center"/>
        <w:rPr>
          <w:rFonts w:ascii="Arial" w:hAnsi="Arial" w:cs="Arial"/>
          <w:i/>
          <w:sz w:val="16"/>
          <w:szCs w:val="16"/>
        </w:rPr>
      </w:pPr>
    </w:p>
    <w:p w14:paraId="0E0D08AD" w14:textId="552922FF" w:rsidR="00327926" w:rsidRDefault="00C67B65" w:rsidP="005A1F7F">
      <w:pPr>
        <w:jc w:val="center"/>
        <w:rPr>
          <w:rFonts w:ascii="Arial" w:hAnsi="Arial" w:cs="Arial"/>
          <w:sz w:val="20"/>
          <w:szCs w:val="20"/>
        </w:rPr>
      </w:pPr>
      <w:r w:rsidRPr="00C67B65">
        <w:rPr>
          <w:noProof/>
          <w:lang w:eastAsia="en-US"/>
        </w:rPr>
        <w:drawing>
          <wp:inline distT="0" distB="0" distL="0" distR="0" wp14:anchorId="0055A6B7" wp14:editId="31BCDFE1">
            <wp:extent cx="5981700" cy="5225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85084" cy="5228606"/>
                    </a:xfrm>
                    <a:prstGeom prst="rect">
                      <a:avLst/>
                    </a:prstGeom>
                    <a:noFill/>
                    <a:ln>
                      <a:noFill/>
                    </a:ln>
                  </pic:spPr>
                </pic:pic>
              </a:graphicData>
            </a:graphic>
          </wp:inline>
        </w:drawing>
      </w:r>
    </w:p>
    <w:p w14:paraId="71B1E790" w14:textId="77777777" w:rsidR="00E92173" w:rsidRDefault="00E92173" w:rsidP="005A1F7F">
      <w:pPr>
        <w:rPr>
          <w:rFonts w:ascii="Arial" w:hAnsi="Arial" w:cs="Arial"/>
          <w:i/>
          <w:sz w:val="16"/>
          <w:szCs w:val="14"/>
        </w:rPr>
      </w:pPr>
    </w:p>
    <w:p w14:paraId="25129883" w14:textId="35E57B07" w:rsidR="00327926" w:rsidRPr="00701F92" w:rsidRDefault="00327926" w:rsidP="005A1F7F">
      <w:pPr>
        <w:rPr>
          <w:rFonts w:ascii="Arial" w:hAnsi="Arial" w:cs="Arial"/>
          <w:i/>
          <w:sz w:val="16"/>
          <w:szCs w:val="14"/>
        </w:rPr>
      </w:pPr>
      <w:r w:rsidRPr="00701F92">
        <w:rPr>
          <w:rFonts w:ascii="Arial" w:hAnsi="Arial" w:cs="Arial"/>
          <w:i/>
          <w:sz w:val="16"/>
          <w:szCs w:val="14"/>
        </w:rPr>
        <w:t>*WIPO Financial Regulations and Rules provide for the possibility of transfer of resources under Regulation 5.5: "The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w:t>
      </w:r>
      <w:r w:rsidR="00C67B65">
        <w:rPr>
          <w:rFonts w:ascii="Arial" w:hAnsi="Arial" w:cs="Arial"/>
          <w:i/>
          <w:sz w:val="16"/>
          <w:szCs w:val="14"/>
        </w:rPr>
        <w:t xml:space="preserve">  The 2014/15 Budget after Transfers is as of March 31, 2015. </w:t>
      </w:r>
    </w:p>
    <w:p w14:paraId="55718DE4" w14:textId="777AEFCA" w:rsidR="00327926" w:rsidRDefault="00327926">
      <w:pPr>
        <w:rPr>
          <w:rFonts w:ascii="Arial" w:hAnsi="Arial" w:cs="Arial"/>
          <w:i/>
          <w:sz w:val="18"/>
          <w:szCs w:val="18"/>
        </w:rPr>
      </w:pPr>
    </w:p>
    <w:p w14:paraId="005D356E" w14:textId="77777777" w:rsidR="00327926" w:rsidRDefault="00327926" w:rsidP="005A1F7F">
      <w:pPr>
        <w:rPr>
          <w:rFonts w:ascii="Arial" w:hAnsi="Arial" w:cs="Arial"/>
          <w:i/>
          <w:sz w:val="18"/>
          <w:szCs w:val="18"/>
        </w:rPr>
        <w:sectPr w:rsidR="00327926" w:rsidSect="00C84440">
          <w:pgSz w:w="11907" w:h="16839" w:code="9"/>
          <w:pgMar w:top="624" w:right="1418" w:bottom="1361" w:left="1418" w:header="567" w:footer="851" w:gutter="0"/>
          <w:cols w:space="720"/>
          <w:docGrid w:linePitch="360"/>
        </w:sectPr>
      </w:pPr>
    </w:p>
    <w:p w14:paraId="0BF477FF" w14:textId="77777777" w:rsidR="00FA2135" w:rsidRDefault="00FA2135" w:rsidP="00FA2135">
      <w:pPr>
        <w:rPr>
          <w:rFonts w:ascii="Arial" w:hAnsi="Arial" w:cs="Arial"/>
          <w:sz w:val="20"/>
        </w:rPr>
      </w:pPr>
    </w:p>
    <w:p w14:paraId="3CAC3A65" w14:textId="77777777" w:rsidR="00FA2135" w:rsidRDefault="00FA2135" w:rsidP="00FA2135">
      <w:pPr>
        <w:pStyle w:val="StyleHeading3ComplexItalic"/>
        <w:keepNext w:val="0"/>
        <w:tabs>
          <w:tab w:val="clear" w:pos="1985"/>
          <w:tab w:val="left" w:pos="1418"/>
        </w:tabs>
        <w:ind w:left="1418" w:hanging="1418"/>
        <w:rPr>
          <w:sz w:val="18"/>
          <w:szCs w:val="18"/>
        </w:rPr>
      </w:pPr>
      <w:bookmarkStart w:id="89" w:name="_Toc356567787"/>
      <w:bookmarkStart w:id="90" w:name="_Toc367350613"/>
      <w:bookmarkStart w:id="91" w:name="_Toc431221446"/>
      <w:r w:rsidRPr="00170F98">
        <w:t>A</w:t>
      </w:r>
      <w:r w:rsidRPr="00170F98">
        <w:rPr>
          <w:caps w:val="0"/>
        </w:rPr>
        <w:t>NNEX II</w:t>
      </w:r>
      <w:r>
        <w:rPr>
          <w:caps w:val="0"/>
        </w:rPr>
        <w:tab/>
        <w:t>2016/17 PROPOSED RESOURCES BY PROGRAM</w:t>
      </w:r>
      <w:bookmarkEnd w:id="89"/>
      <w:bookmarkEnd w:id="90"/>
      <w:bookmarkEnd w:id="91"/>
    </w:p>
    <w:p w14:paraId="3648F67B" w14:textId="77777777" w:rsidR="00FA2135" w:rsidRDefault="00FA2135" w:rsidP="00FA2135">
      <w:pPr>
        <w:jc w:val="center"/>
        <w:rPr>
          <w:rFonts w:ascii="Arial" w:hAnsi="Arial" w:cs="Arial"/>
          <w:sz w:val="18"/>
          <w:szCs w:val="18"/>
        </w:rPr>
      </w:pPr>
    </w:p>
    <w:p w14:paraId="6CE4B729" w14:textId="3C461F13" w:rsidR="00327926" w:rsidRPr="00FA2135" w:rsidRDefault="00327926" w:rsidP="005A1F7F">
      <w:pPr>
        <w:jc w:val="center"/>
        <w:rPr>
          <w:rFonts w:ascii="Arial" w:hAnsi="Arial" w:cs="Arial"/>
          <w:b/>
          <w:sz w:val="20"/>
          <w:szCs w:val="16"/>
        </w:rPr>
      </w:pPr>
      <w:r w:rsidRPr="00FA2135">
        <w:rPr>
          <w:rFonts w:ascii="Arial" w:hAnsi="Arial" w:cs="Arial"/>
          <w:b/>
          <w:sz w:val="20"/>
          <w:szCs w:val="16"/>
        </w:rPr>
        <w:t xml:space="preserve">Table </w:t>
      </w:r>
      <w:r w:rsidR="00701F92">
        <w:rPr>
          <w:rFonts w:ascii="Arial" w:hAnsi="Arial" w:cs="Arial"/>
          <w:b/>
          <w:sz w:val="20"/>
          <w:szCs w:val="16"/>
        </w:rPr>
        <w:t>9</w:t>
      </w:r>
      <w:r w:rsidRPr="00FA2135">
        <w:rPr>
          <w:rFonts w:ascii="Arial" w:hAnsi="Arial" w:cs="Arial"/>
          <w:b/>
          <w:sz w:val="20"/>
          <w:szCs w:val="16"/>
        </w:rPr>
        <w:t>.  2016/17 Budget by Program</w:t>
      </w:r>
    </w:p>
    <w:p w14:paraId="1D53A001" w14:textId="77777777" w:rsidR="00327926" w:rsidRDefault="00327926" w:rsidP="005A1F7F">
      <w:pPr>
        <w:jc w:val="center"/>
        <w:rPr>
          <w:rFonts w:ascii="Arial" w:hAnsi="Arial" w:cs="Arial"/>
          <w:i/>
          <w:sz w:val="20"/>
          <w:szCs w:val="16"/>
        </w:rPr>
      </w:pPr>
      <w:r w:rsidRPr="00FA2135">
        <w:rPr>
          <w:rFonts w:ascii="Arial" w:hAnsi="Arial" w:cs="Arial"/>
          <w:i/>
          <w:sz w:val="20"/>
          <w:szCs w:val="16"/>
        </w:rPr>
        <w:t>(in thousands of Swiss francs)</w:t>
      </w:r>
    </w:p>
    <w:p w14:paraId="377E3174" w14:textId="77777777" w:rsidR="00632C2B" w:rsidRDefault="00632C2B" w:rsidP="005A1F7F">
      <w:pPr>
        <w:jc w:val="center"/>
        <w:rPr>
          <w:rFonts w:ascii="Arial" w:hAnsi="Arial" w:cs="Arial"/>
          <w:i/>
          <w:sz w:val="20"/>
          <w:szCs w:val="16"/>
        </w:rPr>
      </w:pPr>
    </w:p>
    <w:p w14:paraId="7F3C00BC" w14:textId="6CE163A9" w:rsidR="00632C2B" w:rsidRDefault="00632C2B" w:rsidP="005A1F7F">
      <w:pPr>
        <w:jc w:val="center"/>
        <w:rPr>
          <w:rFonts w:ascii="Arial" w:hAnsi="Arial" w:cs="Arial"/>
          <w:i/>
          <w:sz w:val="20"/>
          <w:szCs w:val="16"/>
        </w:rPr>
      </w:pPr>
      <w:r w:rsidRPr="00632C2B">
        <w:rPr>
          <w:noProof/>
          <w:lang w:eastAsia="en-US"/>
        </w:rPr>
        <w:drawing>
          <wp:inline distT="0" distB="0" distL="0" distR="0" wp14:anchorId="3AB07A29" wp14:editId="7A525D84">
            <wp:extent cx="9244584" cy="4855464"/>
            <wp:effectExtent l="0" t="0" r="0" b="2540"/>
            <wp:docPr id="850" name="Pictur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244584" cy="4855464"/>
                    </a:xfrm>
                    <a:prstGeom prst="rect">
                      <a:avLst/>
                    </a:prstGeom>
                    <a:noFill/>
                    <a:ln>
                      <a:noFill/>
                    </a:ln>
                  </pic:spPr>
                </pic:pic>
              </a:graphicData>
            </a:graphic>
          </wp:inline>
        </w:drawing>
      </w:r>
    </w:p>
    <w:p w14:paraId="65E063F1" w14:textId="77777777" w:rsidR="00FA2135" w:rsidRPr="00FA2135" w:rsidRDefault="00FA2135" w:rsidP="005A1F7F">
      <w:pPr>
        <w:jc w:val="center"/>
        <w:rPr>
          <w:rFonts w:ascii="Arial" w:hAnsi="Arial" w:cs="Arial"/>
          <w:i/>
          <w:sz w:val="20"/>
          <w:szCs w:val="16"/>
        </w:rPr>
      </w:pPr>
    </w:p>
    <w:p w14:paraId="2C2E18DC" w14:textId="31167DDB" w:rsidR="00327926" w:rsidRDefault="00327926" w:rsidP="005A1F7F">
      <w:pPr>
        <w:rPr>
          <w:rFonts w:ascii="Arial" w:hAnsi="Arial" w:cs="Arial"/>
          <w:sz w:val="18"/>
          <w:szCs w:val="18"/>
        </w:rPr>
      </w:pPr>
    </w:p>
    <w:p w14:paraId="7F7C893C" w14:textId="424E0CF9" w:rsidR="00327926" w:rsidRDefault="00327926">
      <w:pPr>
        <w:rPr>
          <w:rFonts w:ascii="Arial" w:hAnsi="Arial" w:cs="Arial"/>
          <w:b/>
          <w:sz w:val="16"/>
          <w:szCs w:val="16"/>
        </w:rPr>
      </w:pPr>
    </w:p>
    <w:p w14:paraId="305C332B" w14:textId="46E70E1B" w:rsidR="00FA2135" w:rsidRDefault="00FA2135">
      <w:pPr>
        <w:rPr>
          <w:rFonts w:ascii="Arial" w:hAnsi="Arial" w:cs="Arial"/>
          <w:b/>
          <w:sz w:val="16"/>
          <w:szCs w:val="16"/>
        </w:rPr>
      </w:pPr>
    </w:p>
    <w:p w14:paraId="67A9B06A" w14:textId="079B57B5" w:rsidR="00327926" w:rsidRDefault="00327926" w:rsidP="005A1F7F">
      <w:pPr>
        <w:jc w:val="center"/>
        <w:rPr>
          <w:rFonts w:ascii="Arial" w:hAnsi="Arial" w:cs="Arial"/>
          <w:b/>
          <w:sz w:val="20"/>
          <w:szCs w:val="16"/>
        </w:rPr>
      </w:pPr>
      <w:r w:rsidRPr="00FA2135">
        <w:rPr>
          <w:rFonts w:ascii="Arial" w:hAnsi="Arial" w:cs="Arial"/>
          <w:b/>
          <w:sz w:val="20"/>
          <w:szCs w:val="16"/>
        </w:rPr>
        <w:t xml:space="preserve">Table </w:t>
      </w:r>
      <w:r w:rsidR="00701F92">
        <w:rPr>
          <w:rFonts w:ascii="Arial" w:hAnsi="Arial" w:cs="Arial"/>
          <w:b/>
          <w:sz w:val="20"/>
          <w:szCs w:val="16"/>
        </w:rPr>
        <w:t>10</w:t>
      </w:r>
      <w:r w:rsidRPr="00FA2135">
        <w:rPr>
          <w:rFonts w:ascii="Arial" w:hAnsi="Arial" w:cs="Arial"/>
          <w:b/>
          <w:sz w:val="20"/>
          <w:szCs w:val="16"/>
        </w:rPr>
        <w:t>.  2016/17 Posts by Program</w:t>
      </w:r>
    </w:p>
    <w:p w14:paraId="0492DAD2" w14:textId="77777777" w:rsidR="00632C2B" w:rsidRDefault="00632C2B" w:rsidP="005A1F7F">
      <w:pPr>
        <w:jc w:val="center"/>
        <w:rPr>
          <w:rFonts w:ascii="Arial" w:hAnsi="Arial" w:cs="Arial"/>
          <w:b/>
          <w:sz w:val="20"/>
          <w:szCs w:val="16"/>
        </w:rPr>
      </w:pPr>
    </w:p>
    <w:p w14:paraId="10E167BC" w14:textId="1A0E43C6" w:rsidR="00632C2B" w:rsidRPr="00FA2135" w:rsidRDefault="00632C2B" w:rsidP="005A1F7F">
      <w:pPr>
        <w:jc w:val="center"/>
        <w:rPr>
          <w:rFonts w:ascii="Arial" w:hAnsi="Arial" w:cs="Arial"/>
          <w:b/>
          <w:sz w:val="20"/>
          <w:szCs w:val="16"/>
        </w:rPr>
      </w:pPr>
      <w:r w:rsidRPr="00632C2B">
        <w:rPr>
          <w:noProof/>
          <w:lang w:eastAsia="en-US"/>
        </w:rPr>
        <w:drawing>
          <wp:inline distT="0" distB="0" distL="0" distR="0" wp14:anchorId="4EF21533" wp14:editId="4DC5A18F">
            <wp:extent cx="8869680" cy="4741064"/>
            <wp:effectExtent l="0" t="0" r="7620" b="254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869680" cy="4741064"/>
                    </a:xfrm>
                    <a:prstGeom prst="rect">
                      <a:avLst/>
                    </a:prstGeom>
                    <a:noFill/>
                    <a:ln>
                      <a:noFill/>
                    </a:ln>
                  </pic:spPr>
                </pic:pic>
              </a:graphicData>
            </a:graphic>
          </wp:inline>
        </w:drawing>
      </w:r>
    </w:p>
    <w:p w14:paraId="5C23D648" w14:textId="77777777" w:rsidR="00FA2135" w:rsidRPr="0026077A" w:rsidRDefault="00FA2135" w:rsidP="005A1F7F">
      <w:pPr>
        <w:jc w:val="center"/>
        <w:rPr>
          <w:rFonts w:ascii="Arial" w:hAnsi="Arial" w:cs="Arial"/>
          <w:b/>
          <w:sz w:val="16"/>
          <w:szCs w:val="16"/>
        </w:rPr>
      </w:pPr>
    </w:p>
    <w:p w14:paraId="73E1C8D1" w14:textId="2914E997" w:rsidR="00327926" w:rsidRDefault="00327926" w:rsidP="005A1F7F">
      <w:pPr>
        <w:jc w:val="center"/>
        <w:rPr>
          <w:rFonts w:ascii="Arial" w:hAnsi="Arial" w:cs="Arial"/>
          <w:sz w:val="20"/>
          <w:szCs w:val="20"/>
        </w:rPr>
      </w:pPr>
    </w:p>
    <w:p w14:paraId="53296EBD" w14:textId="0E947B99" w:rsidR="00592800" w:rsidRPr="00327926" w:rsidRDefault="00327926" w:rsidP="00327926">
      <w:pPr>
        <w:rPr>
          <w:rFonts w:ascii="Arial" w:hAnsi="Arial" w:cs="Arial"/>
          <w:i/>
          <w:sz w:val="14"/>
          <w:szCs w:val="14"/>
        </w:rPr>
      </w:pPr>
      <w:r w:rsidRPr="0026077A">
        <w:rPr>
          <w:rFonts w:ascii="Arial" w:hAnsi="Arial" w:cs="Arial"/>
          <w:i/>
          <w:sz w:val="14"/>
          <w:szCs w:val="14"/>
        </w:rPr>
        <w:t>*</w:t>
      </w:r>
      <w:r w:rsidRPr="00701F92">
        <w:rPr>
          <w:rFonts w:ascii="Arial" w:hAnsi="Arial" w:cs="Arial"/>
          <w:i/>
          <w:sz w:val="16"/>
          <w:szCs w:val="14"/>
        </w:rPr>
        <w:t>The Unallocated line under the 2014/15 Budget after Transfers and 2016/17 Proposed Budget includes 41 posts shown under "General Services" category in the table above, which are intended for the regularization of temporary staff.  However, the grades of these posts and their categories (Professional or General Services) are not yet known</w:t>
      </w:r>
      <w:r w:rsidRPr="0026077A">
        <w:rPr>
          <w:rFonts w:ascii="Arial" w:hAnsi="Arial" w:cs="Arial"/>
          <w:i/>
          <w:sz w:val="14"/>
          <w:szCs w:val="14"/>
        </w:rPr>
        <w:t xml:space="preserve">. </w:t>
      </w:r>
    </w:p>
    <w:p w14:paraId="778A2EB6" w14:textId="77777777" w:rsidR="00592800" w:rsidRDefault="00592800" w:rsidP="008D3EC2">
      <w:pPr>
        <w:autoSpaceDE w:val="0"/>
        <w:autoSpaceDN w:val="0"/>
        <w:adjustRightInd w:val="0"/>
        <w:rPr>
          <w:rFonts w:ascii="Arial" w:hAnsi="Arial" w:cs="Arial"/>
          <w:sz w:val="20"/>
        </w:rPr>
      </w:pPr>
    </w:p>
    <w:p w14:paraId="7B69D6EE" w14:textId="77777777" w:rsidR="00592800" w:rsidRDefault="00592800">
      <w:pPr>
        <w:rPr>
          <w:rFonts w:ascii="Arial" w:hAnsi="Arial" w:cs="Arial"/>
          <w:sz w:val="20"/>
        </w:rPr>
        <w:sectPr w:rsidR="00592800" w:rsidSect="00C84440">
          <w:pgSz w:w="16839" w:h="11907" w:orient="landscape" w:code="9"/>
          <w:pgMar w:top="1304" w:right="624" w:bottom="1134" w:left="1134" w:header="567" w:footer="851" w:gutter="0"/>
          <w:cols w:space="720"/>
          <w:docGrid w:linePitch="360"/>
        </w:sectPr>
      </w:pPr>
    </w:p>
    <w:p w14:paraId="47212FB1" w14:textId="77777777" w:rsidR="00592800" w:rsidRPr="0069571C" w:rsidRDefault="00592800" w:rsidP="00592800">
      <w:pPr>
        <w:pStyle w:val="StyleHeading3ComplexItalic"/>
        <w:keepNext w:val="0"/>
        <w:tabs>
          <w:tab w:val="clear" w:pos="1985"/>
          <w:tab w:val="left" w:pos="1418"/>
        </w:tabs>
        <w:ind w:left="1418" w:hanging="1418"/>
      </w:pPr>
      <w:bookmarkStart w:id="92" w:name="_Toc293334842"/>
      <w:bookmarkStart w:id="93" w:name="_Toc298920424"/>
      <w:bookmarkStart w:id="94" w:name="_Toc356567788"/>
      <w:bookmarkStart w:id="95" w:name="_Toc367350614"/>
      <w:bookmarkStart w:id="96" w:name="_Toc431221447"/>
      <w:r w:rsidRPr="007F65E7">
        <w:rPr>
          <w:caps w:val="0"/>
        </w:rPr>
        <w:lastRenderedPageBreak/>
        <w:t>ANNEX III</w:t>
      </w:r>
      <w:r w:rsidRPr="007F65E7">
        <w:rPr>
          <w:caps w:val="0"/>
        </w:rPr>
        <w:tab/>
        <w:t>ALLOCATION OF PROJECTED INCOME AND BUDGET BY UNION</w:t>
      </w:r>
      <w:bookmarkEnd w:id="92"/>
      <w:bookmarkEnd w:id="93"/>
      <w:bookmarkEnd w:id="94"/>
      <w:bookmarkEnd w:id="95"/>
      <w:bookmarkEnd w:id="96"/>
    </w:p>
    <w:p w14:paraId="0A8F5F1E" w14:textId="77777777" w:rsidR="004D0754" w:rsidRPr="00C6387E" w:rsidRDefault="004D0754" w:rsidP="005A1F7F">
      <w:pPr>
        <w:rPr>
          <w:rFonts w:ascii="Arial" w:hAnsi="Arial" w:cs="Arial"/>
          <w:sz w:val="20"/>
        </w:rPr>
      </w:pPr>
    </w:p>
    <w:p w14:paraId="3940B501" w14:textId="77777777" w:rsidR="004D0754" w:rsidRPr="00C6387E" w:rsidRDefault="004D0754" w:rsidP="005A1F7F">
      <w:pPr>
        <w:rPr>
          <w:rFonts w:ascii="Arial" w:hAnsi="Arial" w:cs="Arial"/>
          <w:bCs/>
          <w:sz w:val="20"/>
        </w:rPr>
      </w:pPr>
    </w:p>
    <w:p w14:paraId="026CAD31" w14:textId="77777777" w:rsidR="004D0754" w:rsidRPr="00C6387E" w:rsidRDefault="004D0754" w:rsidP="005A1F7F">
      <w:pPr>
        <w:rPr>
          <w:rFonts w:ascii="Arial" w:hAnsi="Arial" w:cs="Arial"/>
          <w:bCs/>
          <w:sz w:val="20"/>
        </w:rPr>
      </w:pPr>
      <w:r w:rsidRPr="00C6387E">
        <w:rPr>
          <w:rFonts w:ascii="Arial" w:hAnsi="Arial" w:cs="Arial"/>
          <w:bCs/>
          <w:sz w:val="20"/>
        </w:rPr>
        <w:t>INTRODUCTION</w:t>
      </w:r>
    </w:p>
    <w:p w14:paraId="1E3CE015" w14:textId="77777777" w:rsidR="004D0754" w:rsidRPr="00C6387E" w:rsidRDefault="004D0754" w:rsidP="005A1F7F">
      <w:pPr>
        <w:jc w:val="both"/>
        <w:rPr>
          <w:rFonts w:ascii="Arial" w:hAnsi="Arial" w:cs="Arial"/>
          <w:sz w:val="20"/>
        </w:rPr>
      </w:pPr>
    </w:p>
    <w:p w14:paraId="206D50B6" w14:textId="77777777" w:rsidR="004D0754" w:rsidRPr="00C6387E" w:rsidRDefault="004D0754" w:rsidP="00B66A4A">
      <w:pPr>
        <w:numPr>
          <w:ilvl w:val="0"/>
          <w:numId w:val="37"/>
        </w:numPr>
        <w:jc w:val="both"/>
        <w:rPr>
          <w:rFonts w:ascii="Arial" w:hAnsi="Arial" w:cs="Arial"/>
          <w:sz w:val="20"/>
        </w:rPr>
      </w:pPr>
      <w:r>
        <w:rPr>
          <w:rFonts w:ascii="Arial" w:hAnsi="Arial" w:cs="Arial"/>
          <w:sz w:val="20"/>
        </w:rPr>
        <w:t>T</w:t>
      </w:r>
      <w:r w:rsidRPr="00C6387E">
        <w:rPr>
          <w:rFonts w:ascii="Arial" w:hAnsi="Arial" w:cs="Arial"/>
          <w:sz w:val="20"/>
        </w:rPr>
        <w:t xml:space="preserve">he WIPO Financial Regulations and Rules (Rule 102.2), </w:t>
      </w:r>
      <w:r>
        <w:rPr>
          <w:rFonts w:ascii="Arial" w:hAnsi="Arial" w:cs="Arial"/>
          <w:sz w:val="20"/>
        </w:rPr>
        <w:t xml:space="preserve">require </w:t>
      </w:r>
      <w:r w:rsidRPr="00C6387E">
        <w:rPr>
          <w:rFonts w:ascii="Arial" w:hAnsi="Arial" w:cs="Arial"/>
          <w:sz w:val="20"/>
        </w:rPr>
        <w:t xml:space="preserve">the biennial budget for the Organization </w:t>
      </w:r>
      <w:r>
        <w:rPr>
          <w:rFonts w:ascii="Arial" w:hAnsi="Arial" w:cs="Arial"/>
          <w:sz w:val="20"/>
        </w:rPr>
        <w:t xml:space="preserve">to be presented </w:t>
      </w:r>
      <w:r w:rsidRPr="00C6387E">
        <w:rPr>
          <w:rFonts w:ascii="Arial" w:hAnsi="Arial" w:cs="Arial"/>
          <w:sz w:val="20"/>
        </w:rPr>
        <w:t xml:space="preserve">separately for each Union.  </w:t>
      </w:r>
    </w:p>
    <w:p w14:paraId="1CBE20C0" w14:textId="77777777" w:rsidR="004D0754" w:rsidRDefault="004D0754" w:rsidP="005A1F7F">
      <w:pPr>
        <w:rPr>
          <w:rFonts w:ascii="Arial" w:hAnsi="Arial" w:cs="Arial"/>
          <w:sz w:val="20"/>
        </w:rPr>
      </w:pPr>
    </w:p>
    <w:p w14:paraId="44FB15EE" w14:textId="77777777" w:rsidR="004D0754" w:rsidRPr="00C6387E" w:rsidRDefault="004D0754" w:rsidP="005A1F7F">
      <w:pPr>
        <w:rPr>
          <w:rFonts w:ascii="Arial" w:hAnsi="Arial" w:cs="Arial"/>
          <w:sz w:val="20"/>
        </w:rPr>
      </w:pPr>
    </w:p>
    <w:p w14:paraId="6F851D6E" w14:textId="77777777" w:rsidR="004D0754" w:rsidRPr="00C6387E" w:rsidRDefault="004D0754" w:rsidP="005A1F7F">
      <w:pPr>
        <w:rPr>
          <w:rFonts w:ascii="Arial" w:hAnsi="Arial" w:cs="Arial"/>
          <w:bCs/>
          <w:sz w:val="20"/>
        </w:rPr>
      </w:pPr>
      <w:r w:rsidRPr="00C6387E">
        <w:rPr>
          <w:rFonts w:ascii="Arial" w:hAnsi="Arial" w:cs="Arial"/>
          <w:bCs/>
          <w:sz w:val="20"/>
        </w:rPr>
        <w:t>ALLOCATION OF BUDGETED EXPENDITURE BY UNION</w:t>
      </w:r>
    </w:p>
    <w:p w14:paraId="60C6FA39" w14:textId="77777777" w:rsidR="004D0754" w:rsidRPr="00C6387E" w:rsidRDefault="004D0754" w:rsidP="005A1F7F">
      <w:pPr>
        <w:jc w:val="both"/>
        <w:rPr>
          <w:rFonts w:ascii="Arial" w:hAnsi="Arial" w:cs="Arial"/>
          <w:b/>
          <w:i/>
          <w:sz w:val="20"/>
        </w:rPr>
      </w:pPr>
    </w:p>
    <w:p w14:paraId="4C7A40E3" w14:textId="77777777" w:rsidR="004D0754" w:rsidRPr="00C6387E" w:rsidRDefault="004D0754" w:rsidP="00B66A4A">
      <w:pPr>
        <w:numPr>
          <w:ilvl w:val="0"/>
          <w:numId w:val="37"/>
        </w:numPr>
        <w:jc w:val="both"/>
        <w:rPr>
          <w:rFonts w:ascii="Arial" w:hAnsi="Arial" w:cs="Arial"/>
          <w:b/>
          <w:i/>
          <w:sz w:val="20"/>
        </w:rPr>
      </w:pPr>
      <w:r>
        <w:rPr>
          <w:rFonts w:ascii="Arial" w:hAnsi="Arial" w:cs="Arial"/>
          <w:sz w:val="20"/>
        </w:rPr>
        <w:t>T</w:t>
      </w:r>
      <w:r w:rsidRPr="00C6387E">
        <w:rPr>
          <w:rFonts w:ascii="Arial" w:hAnsi="Arial" w:cs="Arial"/>
          <w:sz w:val="20"/>
        </w:rPr>
        <w:t xml:space="preserve">he methodology on the allocation of the expenditure by Unions is based on the identification of Union direct and Union indirect expenses.  Programs are categorized as Union Direct and Union Indirect activities as described below.  </w:t>
      </w:r>
      <w:r>
        <w:rPr>
          <w:rFonts w:ascii="Arial" w:hAnsi="Arial" w:cs="Arial"/>
          <w:sz w:val="20"/>
        </w:rPr>
        <w:t>The methodology used for the Program and Budget 2016/17 is unchanged from that used for the Program and Budget 2014/15.</w:t>
      </w:r>
    </w:p>
    <w:p w14:paraId="091818B0" w14:textId="77777777" w:rsidR="004D0754" w:rsidRPr="00C6387E" w:rsidRDefault="004D0754" w:rsidP="005A1F7F">
      <w:pPr>
        <w:ind w:left="1"/>
        <w:jc w:val="both"/>
        <w:rPr>
          <w:rFonts w:ascii="Arial" w:hAnsi="Arial" w:cs="Arial"/>
          <w:b/>
          <w:i/>
          <w:sz w:val="20"/>
        </w:rPr>
      </w:pPr>
    </w:p>
    <w:p w14:paraId="7C77D1B4" w14:textId="77777777" w:rsidR="004D0754" w:rsidRPr="00C6387E" w:rsidRDefault="004D0754" w:rsidP="00B66A4A">
      <w:pPr>
        <w:numPr>
          <w:ilvl w:val="0"/>
          <w:numId w:val="37"/>
        </w:numPr>
        <w:jc w:val="both"/>
        <w:rPr>
          <w:rFonts w:ascii="Arial" w:hAnsi="Arial" w:cs="Arial"/>
          <w:sz w:val="20"/>
        </w:rPr>
      </w:pPr>
      <w:r w:rsidRPr="00C6387E">
        <w:rPr>
          <w:rFonts w:ascii="Arial" w:hAnsi="Arial" w:cs="Arial"/>
          <w:i/>
          <w:sz w:val="20"/>
        </w:rPr>
        <w:t>UNION DIRECT EXPENSES</w:t>
      </w:r>
      <w:r w:rsidRPr="00C6387E">
        <w:rPr>
          <w:rFonts w:ascii="Arial" w:hAnsi="Arial" w:cs="Arial"/>
          <w:sz w:val="20"/>
        </w:rPr>
        <w:t xml:space="preserve"> are the expenses incurred under Union specific activities and the attributable share of related administrative and other budgeted expenses.  </w:t>
      </w:r>
    </w:p>
    <w:p w14:paraId="1BB4E852" w14:textId="77777777" w:rsidR="004D0754" w:rsidRPr="00C6387E" w:rsidRDefault="004D0754" w:rsidP="005A1F7F">
      <w:pPr>
        <w:jc w:val="both"/>
        <w:rPr>
          <w:rFonts w:ascii="Arial" w:hAnsi="Arial" w:cs="Arial"/>
          <w:sz w:val="20"/>
        </w:rPr>
      </w:pPr>
    </w:p>
    <w:p w14:paraId="064143EC" w14:textId="77777777" w:rsidR="004D0754" w:rsidRPr="00C6387E" w:rsidRDefault="004D0754" w:rsidP="005A1F7F">
      <w:pPr>
        <w:ind w:left="1080" w:hanging="540"/>
        <w:jc w:val="both"/>
        <w:rPr>
          <w:rFonts w:ascii="Arial" w:hAnsi="Arial" w:cs="Arial"/>
          <w:b/>
          <w:i/>
          <w:sz w:val="20"/>
        </w:rPr>
      </w:pPr>
      <w:r w:rsidRPr="00C6387E">
        <w:rPr>
          <w:rFonts w:ascii="Arial" w:hAnsi="Arial" w:cs="Arial"/>
          <w:i/>
          <w:sz w:val="20"/>
        </w:rPr>
        <w:t>3.1</w:t>
      </w:r>
      <w:r w:rsidRPr="00C6387E">
        <w:rPr>
          <w:rFonts w:ascii="Arial" w:hAnsi="Arial" w:cs="Arial"/>
          <w:i/>
          <w:sz w:val="20"/>
        </w:rPr>
        <w:tab/>
        <w:t>Union specific activities</w:t>
      </w:r>
      <w:r w:rsidRPr="00C6387E">
        <w:rPr>
          <w:rFonts w:ascii="Arial" w:hAnsi="Arial" w:cs="Arial"/>
          <w:sz w:val="20"/>
        </w:rPr>
        <w:t xml:space="preserve">:  The following Program activities and budgeted expenditures are considered under this heading.  Where expenditures of a </w:t>
      </w:r>
      <w:r>
        <w:rPr>
          <w:rFonts w:ascii="Arial" w:hAnsi="Arial" w:cs="Arial"/>
          <w:sz w:val="20"/>
        </w:rPr>
        <w:t>P</w:t>
      </w:r>
      <w:r w:rsidRPr="00C6387E">
        <w:rPr>
          <w:rFonts w:ascii="Arial" w:hAnsi="Arial" w:cs="Arial"/>
          <w:sz w:val="20"/>
        </w:rPr>
        <w:t xml:space="preserve">rogram are only partly allocated to a Union, the basis for allocation is the respective Union’s share of this expense as estimated by the Program Managers of the respective </w:t>
      </w:r>
      <w:r>
        <w:rPr>
          <w:rFonts w:ascii="Arial" w:hAnsi="Arial" w:cs="Arial"/>
          <w:sz w:val="20"/>
        </w:rPr>
        <w:t>P</w:t>
      </w:r>
      <w:r w:rsidRPr="00C6387E">
        <w:rPr>
          <w:rFonts w:ascii="Arial" w:hAnsi="Arial" w:cs="Arial"/>
          <w:sz w:val="20"/>
        </w:rPr>
        <w:t>rograms.  Where the allocation of a Program is to a single Union, the full cost of that Program is allocated to that Union.</w:t>
      </w:r>
    </w:p>
    <w:p w14:paraId="10D755B5" w14:textId="77777777" w:rsidR="004D0754" w:rsidRPr="00C6387E" w:rsidRDefault="004D0754" w:rsidP="005A1F7F">
      <w:pPr>
        <w:jc w:val="both"/>
        <w:rPr>
          <w:rFonts w:ascii="Arial" w:hAnsi="Arial" w:cs="Arial"/>
          <w:sz w:val="20"/>
        </w:rPr>
      </w:pPr>
    </w:p>
    <w:p w14:paraId="2FFFB13C" w14:textId="7777777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3.1.1</w:t>
      </w:r>
      <w:r w:rsidRPr="00C6387E">
        <w:rPr>
          <w:rFonts w:ascii="Arial" w:hAnsi="Arial" w:cs="Arial"/>
          <w:i/>
          <w:sz w:val="20"/>
        </w:rPr>
        <w:tab/>
        <w:t>Contribution-financed Unions</w:t>
      </w:r>
      <w:r w:rsidRPr="00C6387E">
        <w:rPr>
          <w:rFonts w:ascii="Arial" w:hAnsi="Arial" w:cs="Arial"/>
          <w:sz w:val="20"/>
        </w:rPr>
        <w:t>:  Programs 1 (Patent Law) (partly), 2 (Trademarks, Industrial Designs and Geographical Indications) (partly), 3 (Copyright and Related Rights) (partly), 4 (Traditional Knowledge, Traditional Cultural Expressions and Genetic Resources), 7 (WIPO Arbitration and Mediation Center) (partly), 12 (International Classifications and Standards) (partly) and 14 (Services for Access to Information and Knowledge) (partly).</w:t>
      </w:r>
    </w:p>
    <w:p w14:paraId="7F3F1246" w14:textId="7777777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3.1.2</w:t>
      </w:r>
      <w:r w:rsidRPr="00C6387E">
        <w:rPr>
          <w:rFonts w:ascii="Arial" w:hAnsi="Arial" w:cs="Arial"/>
          <w:i/>
          <w:sz w:val="20"/>
        </w:rPr>
        <w:tab/>
        <w:t>PCT Union</w:t>
      </w:r>
      <w:r w:rsidRPr="00C6387E">
        <w:rPr>
          <w:rFonts w:ascii="Arial" w:hAnsi="Arial" w:cs="Arial"/>
          <w:sz w:val="20"/>
        </w:rPr>
        <w:t>:  Programs 1 (Patent Law) (partly), 5 (The PCT System), 7 (WIPO Arbitration and Mediation Center) (partly), 12 (International Classifications and Standards) (partly), 13 (Global Databases) (partly) and 14 (Services for Access to Information and Knowledge) (partly).</w:t>
      </w:r>
    </w:p>
    <w:p w14:paraId="31AD1293" w14:textId="43A8008F"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3.1.3</w:t>
      </w:r>
      <w:r w:rsidRPr="00C6387E">
        <w:rPr>
          <w:rFonts w:ascii="Arial" w:hAnsi="Arial" w:cs="Arial"/>
          <w:i/>
          <w:sz w:val="20"/>
        </w:rPr>
        <w:tab/>
        <w:t>Madrid Union</w:t>
      </w:r>
      <w:r w:rsidRPr="00C6387E">
        <w:rPr>
          <w:rFonts w:ascii="Arial" w:hAnsi="Arial" w:cs="Arial"/>
          <w:sz w:val="20"/>
        </w:rPr>
        <w:t>:  Programs 2 (Trademarks, Industrial Designs and Geographical Indications) (partly), 6 (Madrid System) (partly), 7 (WIPO Arbitration and Mediation Center) (partly), 12 (International Classifications and Standards) (partly), 13 (Global Databases) (partly)</w:t>
      </w:r>
      <w:r w:rsidR="00D50719">
        <w:rPr>
          <w:rFonts w:ascii="Arial" w:hAnsi="Arial" w:cs="Arial"/>
          <w:sz w:val="20"/>
        </w:rPr>
        <w:t xml:space="preserve"> and</w:t>
      </w:r>
      <w:r w:rsidRPr="00C6387E">
        <w:rPr>
          <w:rFonts w:ascii="Arial" w:hAnsi="Arial" w:cs="Arial"/>
          <w:sz w:val="20"/>
        </w:rPr>
        <w:t xml:space="preserve"> 14 (Services for Access to Information and Knowledge) (partly).</w:t>
      </w:r>
    </w:p>
    <w:p w14:paraId="57AE50B7" w14:textId="1F2A54FA"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3.1.4</w:t>
      </w:r>
      <w:r w:rsidRPr="00C6387E">
        <w:rPr>
          <w:rFonts w:ascii="Arial" w:hAnsi="Arial" w:cs="Arial"/>
          <w:i/>
          <w:sz w:val="20"/>
        </w:rPr>
        <w:tab/>
        <w:t>Hague Union</w:t>
      </w:r>
      <w:r w:rsidRPr="00C6387E">
        <w:rPr>
          <w:rFonts w:ascii="Arial" w:hAnsi="Arial" w:cs="Arial"/>
          <w:sz w:val="20"/>
        </w:rPr>
        <w:t xml:space="preserve">:  Programs 2 (Trademarks, Industrial Designs and Geographical </w:t>
      </w:r>
      <w:r w:rsidRPr="00C6387E">
        <w:rPr>
          <w:rFonts w:ascii="Arial" w:hAnsi="Arial" w:cs="Arial"/>
          <w:i/>
          <w:sz w:val="20"/>
        </w:rPr>
        <w:t>Indications</w:t>
      </w:r>
      <w:r w:rsidRPr="00C6387E">
        <w:rPr>
          <w:rFonts w:ascii="Arial" w:hAnsi="Arial" w:cs="Arial"/>
          <w:sz w:val="20"/>
        </w:rPr>
        <w:t xml:space="preserve">) (partly), </w:t>
      </w:r>
      <w:r w:rsidR="00C43336">
        <w:rPr>
          <w:rFonts w:ascii="Arial" w:hAnsi="Arial" w:cs="Arial"/>
          <w:sz w:val="20"/>
        </w:rPr>
        <w:t xml:space="preserve">6 (Madrid System) </w:t>
      </w:r>
      <w:r w:rsidRPr="00C6387E">
        <w:rPr>
          <w:rFonts w:ascii="Arial" w:hAnsi="Arial" w:cs="Arial"/>
          <w:sz w:val="20"/>
        </w:rPr>
        <w:t>(partly), 7 (WIPO Arbitration and Mediation Center) (partly), 12 (International Classifications and Standards) (partly) and 14 (Services for Access to Information and Knowledge) (partly) and 31 (The Hague System).</w:t>
      </w:r>
    </w:p>
    <w:p w14:paraId="555B68FA" w14:textId="718F418D"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3.1.5</w:t>
      </w:r>
      <w:r w:rsidRPr="00C6387E">
        <w:rPr>
          <w:rFonts w:ascii="Arial" w:hAnsi="Arial" w:cs="Arial"/>
          <w:i/>
          <w:sz w:val="20"/>
        </w:rPr>
        <w:tab/>
        <w:t>Lisbon Union</w:t>
      </w:r>
      <w:r w:rsidRPr="00C6387E">
        <w:rPr>
          <w:rFonts w:ascii="Arial" w:hAnsi="Arial" w:cs="Arial"/>
          <w:sz w:val="20"/>
        </w:rPr>
        <w:t>:  Programs 6 (Madrid System) (partly), 7 (WIPO Arbitration and Mediation Center) (partly)</w:t>
      </w:r>
      <w:r w:rsidR="00C43336">
        <w:rPr>
          <w:rFonts w:ascii="Arial" w:hAnsi="Arial" w:cs="Arial"/>
          <w:sz w:val="20"/>
        </w:rPr>
        <w:t>,</w:t>
      </w:r>
      <w:r w:rsidRPr="00C6387E">
        <w:rPr>
          <w:rFonts w:ascii="Arial" w:hAnsi="Arial" w:cs="Arial"/>
          <w:sz w:val="20"/>
        </w:rPr>
        <w:t>14 (Services for Access to Information and Knowledge) (partly)</w:t>
      </w:r>
      <w:r w:rsidR="00C43336">
        <w:rPr>
          <w:rFonts w:ascii="Arial" w:hAnsi="Arial" w:cs="Arial"/>
          <w:sz w:val="20"/>
        </w:rPr>
        <w:t xml:space="preserve"> and 32 (Lisbon System)</w:t>
      </w:r>
      <w:r w:rsidRPr="00C6387E">
        <w:rPr>
          <w:rFonts w:ascii="Arial" w:hAnsi="Arial" w:cs="Arial"/>
          <w:sz w:val="20"/>
        </w:rPr>
        <w:t>.</w:t>
      </w:r>
    </w:p>
    <w:p w14:paraId="2ED71943" w14:textId="77777777" w:rsidR="004D0754" w:rsidRPr="00C6387E" w:rsidRDefault="004D0754" w:rsidP="005A1F7F">
      <w:pPr>
        <w:jc w:val="both"/>
        <w:rPr>
          <w:rFonts w:ascii="Arial" w:hAnsi="Arial" w:cs="Arial"/>
          <w:sz w:val="20"/>
        </w:rPr>
      </w:pPr>
    </w:p>
    <w:p w14:paraId="0CF0DC09" w14:textId="77777777" w:rsidR="004D0754" w:rsidRDefault="004D0754" w:rsidP="005A1F7F">
      <w:pPr>
        <w:ind w:left="1080" w:hanging="513"/>
        <w:jc w:val="both"/>
        <w:rPr>
          <w:rFonts w:ascii="Arial" w:hAnsi="Arial" w:cs="Arial"/>
          <w:sz w:val="20"/>
        </w:rPr>
      </w:pPr>
      <w:r w:rsidRPr="00C6387E">
        <w:rPr>
          <w:rFonts w:ascii="Arial" w:hAnsi="Arial" w:cs="Arial"/>
          <w:i/>
          <w:sz w:val="20"/>
        </w:rPr>
        <w:t>3.2</w:t>
      </w:r>
      <w:r w:rsidRPr="00C6387E">
        <w:rPr>
          <w:rFonts w:ascii="Arial" w:hAnsi="Arial" w:cs="Arial"/>
          <w:i/>
          <w:sz w:val="20"/>
        </w:rPr>
        <w:tab/>
        <w:t>Union Direct Administrative Expenses</w:t>
      </w:r>
      <w:r w:rsidRPr="00C6387E">
        <w:rPr>
          <w:rFonts w:ascii="Arial" w:hAnsi="Arial" w:cs="Arial"/>
          <w:sz w:val="20"/>
        </w:rPr>
        <w:t xml:space="preserve">: </w:t>
      </w:r>
      <w:r>
        <w:rPr>
          <w:rFonts w:ascii="Arial" w:hAnsi="Arial" w:cs="Arial"/>
          <w:sz w:val="20"/>
        </w:rPr>
        <w:t xml:space="preserve"> </w:t>
      </w:r>
      <w:r w:rsidRPr="00C6387E">
        <w:rPr>
          <w:rFonts w:ascii="Arial" w:hAnsi="Arial" w:cs="Arial"/>
          <w:sz w:val="20"/>
        </w:rPr>
        <w:t>A share of all programs under Strategic Goal IX (Programs 21 to </w:t>
      </w:r>
      <w:r>
        <w:rPr>
          <w:rFonts w:ascii="Arial" w:hAnsi="Arial" w:cs="Arial"/>
          <w:sz w:val="20"/>
        </w:rPr>
        <w:t>28</w:t>
      </w:r>
      <w:r w:rsidRPr="00C6387E">
        <w:rPr>
          <w:rFonts w:ascii="Arial" w:hAnsi="Arial" w:cs="Arial"/>
          <w:sz w:val="20"/>
        </w:rPr>
        <w:t xml:space="preserve">) and “Unallocated” is considered to belong under this category.  The allocation of budgeted expenditures is determined in a two-step process. In the first step, the total share of direct administrative costs for all Unions is determined on the basis of the total headcount of the direct union-related </w:t>
      </w:r>
      <w:r>
        <w:rPr>
          <w:rFonts w:ascii="Arial" w:hAnsi="Arial" w:cs="Arial"/>
          <w:sz w:val="20"/>
        </w:rPr>
        <w:t>P</w:t>
      </w:r>
      <w:r w:rsidRPr="00C6387E">
        <w:rPr>
          <w:rFonts w:ascii="Arial" w:hAnsi="Arial" w:cs="Arial"/>
          <w:sz w:val="20"/>
        </w:rPr>
        <w:t xml:space="preserve">rograms relative to the total headcount of all </w:t>
      </w:r>
      <w:r>
        <w:rPr>
          <w:rFonts w:ascii="Arial" w:hAnsi="Arial" w:cs="Arial"/>
          <w:sz w:val="20"/>
        </w:rPr>
        <w:t>P</w:t>
      </w:r>
      <w:r w:rsidRPr="00C6387E">
        <w:rPr>
          <w:rFonts w:ascii="Arial" w:hAnsi="Arial" w:cs="Arial"/>
          <w:sz w:val="20"/>
        </w:rPr>
        <w:t xml:space="preserve">rograms other than those under Strategic Goal IX.  As a second step, this Union Direct administrative expense </w:t>
      </w:r>
      <w:r>
        <w:rPr>
          <w:rFonts w:ascii="Arial" w:hAnsi="Arial" w:cs="Arial"/>
          <w:sz w:val="20"/>
        </w:rPr>
        <w:t>i</w:t>
      </w:r>
      <w:r w:rsidRPr="00C6387E">
        <w:rPr>
          <w:rFonts w:ascii="Arial" w:hAnsi="Arial" w:cs="Arial"/>
          <w:sz w:val="20"/>
        </w:rPr>
        <w:t xml:space="preserve">s allocated to the respective Unions on the basis of the relative share of each Union’s headcount to the total headcount of direct union-related </w:t>
      </w:r>
      <w:r>
        <w:rPr>
          <w:rFonts w:ascii="Arial" w:hAnsi="Arial" w:cs="Arial"/>
          <w:sz w:val="20"/>
        </w:rPr>
        <w:t>P</w:t>
      </w:r>
      <w:r w:rsidRPr="00C6387E">
        <w:rPr>
          <w:rFonts w:ascii="Arial" w:hAnsi="Arial" w:cs="Arial"/>
          <w:sz w:val="20"/>
        </w:rPr>
        <w:t xml:space="preserve">rograms.  The two-step process applies to that part of administrative expenditure which is not easily identifiable as linked to a specific union.  </w:t>
      </w:r>
    </w:p>
    <w:p w14:paraId="0F35FDB2" w14:textId="77777777" w:rsidR="004D0754" w:rsidRPr="00C6387E" w:rsidRDefault="004D0754" w:rsidP="005A1F7F">
      <w:pPr>
        <w:ind w:left="1080" w:hanging="513"/>
        <w:jc w:val="both"/>
        <w:rPr>
          <w:rFonts w:ascii="Arial" w:hAnsi="Arial" w:cs="Arial"/>
          <w:b/>
          <w:i/>
          <w:sz w:val="20"/>
        </w:rPr>
      </w:pPr>
    </w:p>
    <w:p w14:paraId="25524086" w14:textId="77777777" w:rsidR="004D0754" w:rsidRPr="00C6387E" w:rsidRDefault="004D0754" w:rsidP="00B66A4A">
      <w:pPr>
        <w:numPr>
          <w:ilvl w:val="0"/>
          <w:numId w:val="37"/>
        </w:numPr>
        <w:jc w:val="both"/>
        <w:rPr>
          <w:rFonts w:ascii="Arial" w:hAnsi="Arial" w:cs="Arial"/>
          <w:b/>
          <w:sz w:val="20"/>
        </w:rPr>
      </w:pPr>
      <w:r w:rsidRPr="00C6387E">
        <w:rPr>
          <w:rFonts w:ascii="Arial" w:hAnsi="Arial" w:cs="Arial"/>
          <w:i/>
          <w:sz w:val="20"/>
        </w:rPr>
        <w:t>UNION</w:t>
      </w:r>
      <w:r w:rsidRPr="00C6387E">
        <w:rPr>
          <w:rFonts w:ascii="Arial" w:hAnsi="Arial" w:cs="Arial"/>
          <w:sz w:val="20"/>
        </w:rPr>
        <w:t xml:space="preserve"> </w:t>
      </w:r>
      <w:r w:rsidRPr="00C6387E">
        <w:rPr>
          <w:rFonts w:ascii="Arial" w:hAnsi="Arial" w:cs="Arial"/>
          <w:i/>
          <w:sz w:val="20"/>
        </w:rPr>
        <w:t>INDIRECT</w:t>
      </w:r>
      <w:r w:rsidRPr="00C6387E">
        <w:rPr>
          <w:rFonts w:ascii="Arial" w:hAnsi="Arial" w:cs="Arial"/>
          <w:sz w:val="20"/>
        </w:rPr>
        <w:t xml:space="preserve"> </w:t>
      </w:r>
      <w:r w:rsidRPr="00C6387E">
        <w:rPr>
          <w:rFonts w:ascii="Arial" w:hAnsi="Arial" w:cs="Arial"/>
          <w:i/>
          <w:sz w:val="20"/>
        </w:rPr>
        <w:t>EXPENSES</w:t>
      </w:r>
      <w:r w:rsidRPr="00C6387E">
        <w:rPr>
          <w:rFonts w:ascii="Arial" w:hAnsi="Arial" w:cs="Arial"/>
          <w:sz w:val="20"/>
        </w:rPr>
        <w:t xml:space="preserve"> are each Union’s allocated share of budgeted expenses for Programs not directly related to the activities of the respective Union, together with the share of related administrative and other budgeted expenses.</w:t>
      </w:r>
    </w:p>
    <w:p w14:paraId="5F822A9F" w14:textId="77777777" w:rsidR="004D0754" w:rsidRPr="00C6387E" w:rsidRDefault="004D0754" w:rsidP="005A1F7F">
      <w:pPr>
        <w:jc w:val="both"/>
        <w:rPr>
          <w:rFonts w:ascii="Arial" w:hAnsi="Arial" w:cs="Arial"/>
          <w:b/>
          <w:sz w:val="20"/>
        </w:rPr>
      </w:pPr>
    </w:p>
    <w:p w14:paraId="1FA9FCB7" w14:textId="77777777" w:rsidR="004D0754" w:rsidRPr="00C6387E" w:rsidRDefault="004D0754" w:rsidP="005A1F7F">
      <w:pPr>
        <w:ind w:left="1080" w:hanging="513"/>
        <w:jc w:val="both"/>
        <w:rPr>
          <w:rFonts w:ascii="Arial" w:hAnsi="Arial" w:cs="Arial"/>
          <w:b/>
          <w:i/>
          <w:sz w:val="20"/>
        </w:rPr>
      </w:pPr>
      <w:r w:rsidRPr="00C6387E">
        <w:rPr>
          <w:rFonts w:ascii="Arial" w:hAnsi="Arial" w:cs="Arial"/>
          <w:i/>
          <w:sz w:val="20"/>
        </w:rPr>
        <w:t>4.1</w:t>
      </w:r>
      <w:r w:rsidRPr="00C6387E">
        <w:rPr>
          <w:rFonts w:ascii="Arial" w:hAnsi="Arial" w:cs="Arial"/>
          <w:i/>
          <w:sz w:val="20"/>
        </w:rPr>
        <w:tab/>
        <w:t>Indirect Union expenses</w:t>
      </w:r>
      <w:r w:rsidRPr="00C6387E">
        <w:rPr>
          <w:rFonts w:ascii="Arial" w:hAnsi="Arial" w:cs="Arial"/>
          <w:sz w:val="20"/>
        </w:rPr>
        <w:t>:  The following Program activities and budgeted expenditures are considered under this heading:  Programs 1 (Patent Law) (partly), 3 (Copyright and Related Rights) (partly), 8 (Development Agenda Coordination), 9 (Africa, Arab, Asia and the Pacific, Latin America and the Caribbean Countries, Least Developed Countries), 10 (</w:t>
      </w:r>
      <w:r>
        <w:rPr>
          <w:rFonts w:ascii="Arial" w:hAnsi="Arial" w:cs="Arial"/>
          <w:sz w:val="20"/>
        </w:rPr>
        <w:t>Transition and Developed Countries</w:t>
      </w:r>
      <w:r w:rsidRPr="00C6387E">
        <w:rPr>
          <w:rFonts w:ascii="Arial" w:hAnsi="Arial" w:cs="Arial"/>
          <w:sz w:val="20"/>
        </w:rPr>
        <w:t>), 11 (The WIPO Academy), 15 (Business Solutions for IP Offices), 16 (Economics and Statistics), 17 (Building Respect for IP), 18 (IP and Global Challenges), 19 (Communications), 20 (External Relations, Partnerships and External Offices) and 30</w:t>
      </w:r>
      <w:r>
        <w:rPr>
          <w:rFonts w:ascii="Arial" w:hAnsi="Arial" w:cs="Arial"/>
          <w:sz w:val="20"/>
        </w:rPr>
        <w:t> </w:t>
      </w:r>
      <w:r w:rsidRPr="00C6387E">
        <w:rPr>
          <w:rFonts w:ascii="Arial" w:hAnsi="Arial" w:cs="Arial"/>
          <w:sz w:val="20"/>
        </w:rPr>
        <w:t>(</w:t>
      </w:r>
      <w:r>
        <w:rPr>
          <w:rFonts w:ascii="Arial" w:hAnsi="Arial" w:cs="Arial"/>
          <w:sz w:val="20"/>
        </w:rPr>
        <w:t>SMEs and Entrepreneurship Support</w:t>
      </w:r>
      <w:r w:rsidRPr="00C6387E">
        <w:rPr>
          <w:rFonts w:ascii="Arial" w:hAnsi="Arial" w:cs="Arial"/>
          <w:sz w:val="20"/>
        </w:rPr>
        <w:t xml:space="preserve">).  The share of budgeted expenditures from each of these is allocated to Unions on the basis of their respective </w:t>
      </w:r>
      <w:r w:rsidRPr="00C6387E">
        <w:rPr>
          <w:rFonts w:ascii="Arial" w:hAnsi="Arial" w:cs="Arial"/>
          <w:i/>
          <w:iCs/>
          <w:sz w:val="20"/>
        </w:rPr>
        <w:t>biennial</w:t>
      </w:r>
      <w:r w:rsidRPr="00C6387E">
        <w:rPr>
          <w:rFonts w:ascii="Arial" w:hAnsi="Arial" w:cs="Arial"/>
          <w:sz w:val="20"/>
        </w:rPr>
        <w:t xml:space="preserve"> </w:t>
      </w:r>
      <w:r w:rsidRPr="00C6387E">
        <w:rPr>
          <w:rFonts w:ascii="Arial" w:hAnsi="Arial" w:cs="Arial"/>
          <w:i/>
          <w:sz w:val="20"/>
        </w:rPr>
        <w:t>capacity to pay</w:t>
      </w:r>
      <w:r w:rsidRPr="00C6387E">
        <w:rPr>
          <w:rFonts w:ascii="Arial" w:hAnsi="Arial" w:cs="Arial"/>
          <w:sz w:val="20"/>
        </w:rPr>
        <w:t>.  This is calculated as the difference between the respective Union’s projected income to be earned in the biennium and the Union’s other allocated expenses and minimum reserve requirements (“reserve target floor”).  The reserve target floor’s</w:t>
      </w:r>
      <w:r w:rsidRPr="00C6387E">
        <w:rPr>
          <w:rFonts w:ascii="Arial" w:hAnsi="Arial" w:cs="Arial"/>
          <w:b/>
          <w:i/>
          <w:sz w:val="20"/>
        </w:rPr>
        <w:t xml:space="preserve"> </w:t>
      </w:r>
      <w:r w:rsidRPr="00C6387E">
        <w:rPr>
          <w:rFonts w:ascii="Arial" w:hAnsi="Arial" w:cs="Arial"/>
          <w:sz w:val="20"/>
        </w:rPr>
        <w:t>calculation is based on the reserve requirements of the prior biennium’s expenditures.  The methodology applied ensures a proportionate allocation of indirect expenditure to Unions on the basis of resources (surplus) earned in the current biennium, and only if the biennial surplus income is not sufficient, would excess reserves be used to cover the remaining part of indirect expenditure, on the basis of their relative share by Unions.</w:t>
      </w:r>
    </w:p>
    <w:p w14:paraId="5750C1FC" w14:textId="77777777" w:rsidR="004D0754" w:rsidRPr="00C6387E" w:rsidRDefault="004D0754" w:rsidP="005A1F7F">
      <w:pPr>
        <w:tabs>
          <w:tab w:val="num" w:pos="1134"/>
        </w:tabs>
        <w:ind w:left="1134" w:hanging="567"/>
        <w:jc w:val="both"/>
        <w:rPr>
          <w:rFonts w:ascii="Arial" w:hAnsi="Arial" w:cs="Arial"/>
          <w:sz w:val="20"/>
        </w:rPr>
      </w:pPr>
    </w:p>
    <w:p w14:paraId="502EC1A7" w14:textId="77777777" w:rsidR="004D0754" w:rsidRPr="00C6387E" w:rsidRDefault="004D0754" w:rsidP="005A1F7F">
      <w:pPr>
        <w:ind w:left="1134" w:hanging="567"/>
        <w:jc w:val="both"/>
        <w:rPr>
          <w:rFonts w:ascii="Arial" w:hAnsi="Arial" w:cs="Arial"/>
          <w:sz w:val="20"/>
        </w:rPr>
      </w:pPr>
      <w:r w:rsidRPr="00C6387E">
        <w:rPr>
          <w:rFonts w:ascii="Arial" w:hAnsi="Arial" w:cs="Arial"/>
          <w:i/>
          <w:sz w:val="20"/>
        </w:rPr>
        <w:t>4.2</w:t>
      </w:r>
      <w:r w:rsidRPr="00C6387E">
        <w:rPr>
          <w:rFonts w:ascii="Arial" w:hAnsi="Arial" w:cs="Arial"/>
          <w:i/>
          <w:sz w:val="20"/>
        </w:rPr>
        <w:tab/>
        <w:t>Indirect Administrative Expenses</w:t>
      </w:r>
      <w:r w:rsidRPr="00C6387E">
        <w:rPr>
          <w:rFonts w:ascii="Arial" w:hAnsi="Arial" w:cs="Arial"/>
          <w:sz w:val="20"/>
        </w:rPr>
        <w:t>:  These relate to budgeted expenditures under Programs 21 to </w:t>
      </w:r>
      <w:r>
        <w:rPr>
          <w:rFonts w:ascii="Arial" w:hAnsi="Arial" w:cs="Arial"/>
          <w:sz w:val="20"/>
        </w:rPr>
        <w:t>28</w:t>
      </w:r>
      <w:r w:rsidRPr="00C6387E">
        <w:rPr>
          <w:rFonts w:ascii="Arial" w:hAnsi="Arial" w:cs="Arial"/>
          <w:sz w:val="20"/>
        </w:rPr>
        <w:t xml:space="preserve">) which have not been allocated to Direct Union expenses, as well as the amount budgeted under “Unallocated” in the proposed budget.  The allocation of these budgeted expenditures is done on the basis of their respective </w:t>
      </w:r>
      <w:r w:rsidRPr="00C6387E">
        <w:rPr>
          <w:rFonts w:ascii="Arial" w:hAnsi="Arial" w:cs="Arial"/>
          <w:i/>
          <w:sz w:val="20"/>
        </w:rPr>
        <w:t>capacity to pay (i.e., along the same principles as for Indirect Union expenses)</w:t>
      </w:r>
      <w:r w:rsidRPr="00C6387E">
        <w:rPr>
          <w:rFonts w:ascii="Arial" w:hAnsi="Arial" w:cs="Arial"/>
          <w:sz w:val="20"/>
        </w:rPr>
        <w:t>.</w:t>
      </w:r>
    </w:p>
    <w:p w14:paraId="2CC80D18" w14:textId="77777777" w:rsidR="004D0754" w:rsidRDefault="004D0754" w:rsidP="005A1F7F">
      <w:pPr>
        <w:rPr>
          <w:rFonts w:ascii="Arial" w:eastAsia="SimSun" w:hAnsi="Arial" w:cs="Arial"/>
          <w:color w:val="1F497D"/>
          <w:sz w:val="20"/>
          <w:lang w:eastAsia="zh-CN"/>
        </w:rPr>
      </w:pPr>
    </w:p>
    <w:p w14:paraId="68B816AC" w14:textId="77777777" w:rsidR="00C90BCA" w:rsidRDefault="00C90BCA" w:rsidP="00C90BCA">
      <w:pPr>
        <w:rPr>
          <w:rFonts w:ascii="Arial" w:hAnsi="Arial" w:cs="Arial"/>
          <w:bCs/>
          <w:sz w:val="20"/>
        </w:rPr>
      </w:pPr>
    </w:p>
    <w:p w14:paraId="5CB3D463" w14:textId="48CFD8AC" w:rsidR="00C90BCA" w:rsidRPr="00C6387E" w:rsidRDefault="00C90BCA" w:rsidP="00C90BCA">
      <w:pPr>
        <w:rPr>
          <w:rFonts w:ascii="Arial" w:hAnsi="Arial" w:cs="Arial"/>
          <w:bCs/>
          <w:sz w:val="20"/>
        </w:rPr>
      </w:pPr>
      <w:r w:rsidRPr="00C6387E">
        <w:rPr>
          <w:rFonts w:ascii="Arial" w:hAnsi="Arial" w:cs="Arial"/>
          <w:bCs/>
          <w:sz w:val="20"/>
        </w:rPr>
        <w:t xml:space="preserve">ALLOCATION OF </w:t>
      </w:r>
      <w:r>
        <w:rPr>
          <w:rFonts w:ascii="Arial" w:hAnsi="Arial" w:cs="Arial"/>
          <w:bCs/>
          <w:sz w:val="20"/>
        </w:rPr>
        <w:t>INCOME</w:t>
      </w:r>
      <w:r w:rsidRPr="00C6387E">
        <w:rPr>
          <w:rFonts w:ascii="Arial" w:hAnsi="Arial" w:cs="Arial"/>
          <w:bCs/>
          <w:sz w:val="20"/>
        </w:rPr>
        <w:t xml:space="preserve"> BY UNION</w:t>
      </w:r>
    </w:p>
    <w:p w14:paraId="11AB1B00" w14:textId="77777777" w:rsidR="004D0754" w:rsidRPr="00C6387E" w:rsidRDefault="004D0754" w:rsidP="005A1F7F">
      <w:pPr>
        <w:rPr>
          <w:rFonts w:ascii="Arial" w:eastAsia="SimSun" w:hAnsi="Arial" w:cs="Arial"/>
          <w:color w:val="1F497D"/>
          <w:sz w:val="20"/>
          <w:lang w:eastAsia="zh-CN"/>
        </w:rPr>
      </w:pPr>
    </w:p>
    <w:p w14:paraId="5B4C3B42" w14:textId="77777777" w:rsidR="00C90BCA" w:rsidRDefault="00C90BCA" w:rsidP="00B66A4A">
      <w:pPr>
        <w:numPr>
          <w:ilvl w:val="0"/>
          <w:numId w:val="37"/>
        </w:numPr>
        <w:jc w:val="both"/>
        <w:rPr>
          <w:rFonts w:ascii="Arial" w:hAnsi="Arial" w:cs="Arial"/>
          <w:sz w:val="20"/>
          <w:szCs w:val="20"/>
        </w:rPr>
      </w:pPr>
      <w:r>
        <w:rPr>
          <w:rFonts w:ascii="Arial" w:hAnsi="Arial" w:cs="Arial"/>
          <w:sz w:val="20"/>
          <w:szCs w:val="20"/>
        </w:rPr>
        <w:t>Contributions’ income is allocated entirely to the Contribution-financed Unions.  Fee income from the PCT, Madrid, and Hague and Lisbon registration Systems is allocated entirely to the respective Unions.  Publications’ income is allocated to the Contribution-financed, PCT, Madrid and Hague Unions on the basis of the estimated publications revenue for each of the unions. Income from the Arbitration and Mediation Center is allocated to all Unions based on the assessment of the relative share by Unions.  Other income is allocated to all Unions as follows: (</w:t>
      </w:r>
      <w:proofErr w:type="spellStart"/>
      <w:r>
        <w:rPr>
          <w:rFonts w:ascii="Arial" w:hAnsi="Arial" w:cs="Arial"/>
          <w:sz w:val="20"/>
          <w:szCs w:val="20"/>
        </w:rPr>
        <w:t>i</w:t>
      </w:r>
      <w:proofErr w:type="spellEnd"/>
      <w:r>
        <w:rPr>
          <w:rFonts w:ascii="Arial" w:hAnsi="Arial" w:cs="Arial"/>
          <w:sz w:val="20"/>
          <w:szCs w:val="20"/>
        </w:rPr>
        <w:t xml:space="preserve">) a share of Other income is directly attributable to the Madrid Union on the account of rental income from the Madrid Union building and (ii) the remaining part of Other income is allocated equally across all Unions.   </w:t>
      </w:r>
    </w:p>
    <w:p w14:paraId="168A3E5A" w14:textId="77777777" w:rsidR="00C90BCA" w:rsidRDefault="00C90BCA" w:rsidP="00C90BCA">
      <w:pPr>
        <w:rPr>
          <w:rFonts w:ascii="Arial" w:hAnsi="Arial" w:cs="Arial"/>
          <w:sz w:val="20"/>
          <w:szCs w:val="20"/>
        </w:rPr>
      </w:pPr>
    </w:p>
    <w:p w14:paraId="20FE6A99" w14:textId="77777777" w:rsidR="00C90BCA" w:rsidRDefault="00C90BCA" w:rsidP="005A1F7F">
      <w:pPr>
        <w:rPr>
          <w:rFonts w:ascii="Arial" w:hAnsi="Arial" w:cs="Arial"/>
          <w:bCs/>
          <w:sz w:val="20"/>
        </w:rPr>
      </w:pPr>
    </w:p>
    <w:p w14:paraId="6C379B33" w14:textId="77777777" w:rsidR="004D0754" w:rsidRPr="00C6387E" w:rsidRDefault="004D0754" w:rsidP="005A1F7F">
      <w:pPr>
        <w:rPr>
          <w:rFonts w:ascii="Arial" w:hAnsi="Arial" w:cs="Arial"/>
          <w:bCs/>
          <w:sz w:val="20"/>
        </w:rPr>
      </w:pPr>
      <w:r w:rsidRPr="00C6387E">
        <w:rPr>
          <w:rFonts w:ascii="Arial" w:hAnsi="Arial" w:cs="Arial"/>
          <w:bCs/>
          <w:sz w:val="20"/>
        </w:rPr>
        <w:t>ALLOCATION OF IPSAS ADJUSTMENTS BY UNION</w:t>
      </w:r>
    </w:p>
    <w:p w14:paraId="2C49E951" w14:textId="77777777" w:rsidR="004D0754" w:rsidRPr="00C6387E" w:rsidRDefault="004D0754" w:rsidP="005A1F7F">
      <w:pPr>
        <w:rPr>
          <w:rFonts w:ascii="Arial" w:eastAsia="SimSun" w:hAnsi="Arial" w:cs="Arial"/>
          <w:color w:val="1F497D"/>
          <w:sz w:val="20"/>
          <w:lang w:eastAsia="zh-CN"/>
        </w:rPr>
      </w:pPr>
    </w:p>
    <w:p w14:paraId="2A889095" w14:textId="77777777" w:rsidR="004D0754" w:rsidRPr="00C6387E" w:rsidRDefault="004D0754" w:rsidP="00B66A4A">
      <w:pPr>
        <w:numPr>
          <w:ilvl w:val="0"/>
          <w:numId w:val="37"/>
        </w:numPr>
        <w:jc w:val="both"/>
        <w:rPr>
          <w:rFonts w:ascii="Arial" w:hAnsi="Arial" w:cs="Arial"/>
          <w:b/>
          <w:i/>
          <w:sz w:val="20"/>
        </w:rPr>
      </w:pPr>
      <w:r w:rsidRPr="00C6387E">
        <w:rPr>
          <w:rFonts w:ascii="Arial" w:eastAsia="SimSun" w:hAnsi="Arial" w:cs="Arial"/>
          <w:sz w:val="20"/>
          <w:lang w:eastAsia="zh-CN"/>
        </w:rPr>
        <w:t xml:space="preserve">IPSAS adjustments to income are attributable to specific Unions, as they relate directly to fees from the PCT, Madrid and Hague systems.  </w:t>
      </w:r>
      <w:r w:rsidRPr="00C6387E">
        <w:rPr>
          <w:rFonts w:ascii="Arial" w:hAnsi="Arial" w:cs="Arial"/>
          <w:sz w:val="20"/>
        </w:rPr>
        <w:t>IPSAS adjustments to budgetary expenditure are allocated pro-rata among the Unions based on the allocation of budgetary expenditure.</w:t>
      </w:r>
    </w:p>
    <w:p w14:paraId="541F7AE5" w14:textId="77777777" w:rsidR="004D0754" w:rsidRPr="00C6387E" w:rsidRDefault="004D0754" w:rsidP="005A1F7F">
      <w:pPr>
        <w:jc w:val="both"/>
        <w:rPr>
          <w:rFonts w:ascii="Arial" w:hAnsi="Arial" w:cs="Arial"/>
          <w:sz w:val="20"/>
        </w:rPr>
      </w:pPr>
    </w:p>
    <w:p w14:paraId="56BA8A11" w14:textId="77777777" w:rsidR="004D0754" w:rsidRPr="004B227F" w:rsidRDefault="004D0754" w:rsidP="005A1F7F">
      <w:pPr>
        <w:jc w:val="both"/>
        <w:rPr>
          <w:rFonts w:ascii="Arial" w:hAnsi="Arial" w:cs="Arial"/>
          <w:sz w:val="20"/>
        </w:rPr>
      </w:pPr>
      <w:r w:rsidRPr="00C6387E">
        <w:rPr>
          <w:rFonts w:ascii="Arial" w:hAnsi="Arial" w:cs="Arial"/>
          <w:sz w:val="20"/>
        </w:rPr>
        <w:t xml:space="preserve">In accordance with the above methodology, tables </w:t>
      </w:r>
      <w:r>
        <w:rPr>
          <w:rFonts w:ascii="Arial" w:hAnsi="Arial" w:cs="Arial"/>
          <w:sz w:val="20"/>
        </w:rPr>
        <w:t xml:space="preserve">11, 12 and 13 below provide an overview of </w:t>
      </w:r>
      <w:r w:rsidRPr="00AA4869">
        <w:rPr>
          <w:rFonts w:ascii="Arial" w:hAnsi="Arial" w:cs="Arial"/>
          <w:sz w:val="20"/>
        </w:rPr>
        <w:t>the Overall Scenario by Union</w:t>
      </w:r>
      <w:r>
        <w:rPr>
          <w:rFonts w:ascii="Arial" w:hAnsi="Arial" w:cs="Arial"/>
          <w:sz w:val="20"/>
        </w:rPr>
        <w:t xml:space="preserve"> for 2016/17</w:t>
      </w:r>
      <w:r w:rsidRPr="00AA4869">
        <w:rPr>
          <w:rFonts w:ascii="Arial" w:hAnsi="Arial" w:cs="Arial"/>
          <w:sz w:val="20"/>
        </w:rPr>
        <w:t>,</w:t>
      </w:r>
      <w:r>
        <w:rPr>
          <w:rFonts w:ascii="Arial" w:hAnsi="Arial" w:cs="Arial"/>
          <w:sz w:val="20"/>
        </w:rPr>
        <w:t xml:space="preserve"> the 2016/17 </w:t>
      </w:r>
      <w:r w:rsidRPr="00AA4869">
        <w:rPr>
          <w:rFonts w:ascii="Arial" w:hAnsi="Arial" w:cs="Arial"/>
          <w:sz w:val="20"/>
        </w:rPr>
        <w:t>Income Estimates by Union</w:t>
      </w:r>
      <w:r>
        <w:rPr>
          <w:rFonts w:ascii="Arial" w:hAnsi="Arial" w:cs="Arial"/>
          <w:sz w:val="20"/>
        </w:rPr>
        <w:t xml:space="preserve"> and the </w:t>
      </w:r>
      <w:r w:rsidRPr="004B227F">
        <w:rPr>
          <w:rFonts w:ascii="Arial" w:hAnsi="Arial" w:cs="Arial"/>
          <w:sz w:val="20"/>
        </w:rPr>
        <w:t>201</w:t>
      </w:r>
      <w:r>
        <w:rPr>
          <w:rFonts w:ascii="Arial" w:hAnsi="Arial" w:cs="Arial"/>
          <w:sz w:val="20"/>
        </w:rPr>
        <w:t>6</w:t>
      </w:r>
      <w:r w:rsidRPr="004B227F">
        <w:rPr>
          <w:rFonts w:ascii="Arial" w:hAnsi="Arial" w:cs="Arial"/>
          <w:sz w:val="20"/>
        </w:rPr>
        <w:t>/1</w:t>
      </w:r>
      <w:r>
        <w:rPr>
          <w:rFonts w:ascii="Arial" w:hAnsi="Arial" w:cs="Arial"/>
          <w:sz w:val="20"/>
        </w:rPr>
        <w:t>7</w:t>
      </w:r>
      <w:r w:rsidRPr="004B227F">
        <w:rPr>
          <w:rFonts w:ascii="Arial" w:hAnsi="Arial" w:cs="Arial"/>
          <w:sz w:val="20"/>
        </w:rPr>
        <w:t xml:space="preserve"> Budget by Program and Union</w:t>
      </w:r>
    </w:p>
    <w:p w14:paraId="4D4F9713" w14:textId="77777777" w:rsidR="004D0754" w:rsidRDefault="004D0754" w:rsidP="005A1F7F">
      <w:pPr>
        <w:jc w:val="both"/>
        <w:rPr>
          <w:rFonts w:ascii="Arial" w:hAnsi="Arial" w:cs="Arial"/>
          <w:sz w:val="20"/>
        </w:rPr>
      </w:pPr>
    </w:p>
    <w:p w14:paraId="01639922" w14:textId="77777777" w:rsidR="004D0754" w:rsidRDefault="004D0754">
      <w:pPr>
        <w:spacing w:after="200" w:line="276" w:lineRule="auto"/>
        <w:rPr>
          <w:rFonts w:ascii="Arial" w:hAnsi="Arial" w:cs="Arial"/>
          <w:b/>
          <w:sz w:val="16"/>
          <w:szCs w:val="16"/>
        </w:rPr>
      </w:pPr>
      <w:r>
        <w:rPr>
          <w:rFonts w:ascii="Arial" w:hAnsi="Arial" w:cs="Arial"/>
          <w:b/>
          <w:sz w:val="16"/>
          <w:szCs w:val="16"/>
        </w:rPr>
        <w:br w:type="page"/>
      </w:r>
    </w:p>
    <w:p w14:paraId="64F67009" w14:textId="77777777" w:rsidR="004D0754" w:rsidRPr="00C84440" w:rsidRDefault="004D0754" w:rsidP="00C84440">
      <w:pPr>
        <w:jc w:val="center"/>
        <w:rPr>
          <w:rFonts w:ascii="Arial" w:hAnsi="Arial" w:cs="Arial"/>
          <w:b/>
          <w:sz w:val="16"/>
          <w:szCs w:val="16"/>
        </w:rPr>
      </w:pPr>
      <w:r w:rsidRPr="00C84440">
        <w:rPr>
          <w:rFonts w:ascii="Arial" w:hAnsi="Arial" w:cs="Arial"/>
          <w:b/>
          <w:sz w:val="16"/>
          <w:szCs w:val="16"/>
        </w:rPr>
        <w:lastRenderedPageBreak/>
        <w:t>Table 11.  2016/17 Overall Scenario by Union</w:t>
      </w:r>
    </w:p>
    <w:p w14:paraId="5D34FC6F" w14:textId="77777777" w:rsidR="004D0754" w:rsidRPr="00C84440" w:rsidRDefault="004D0754" w:rsidP="00C84440">
      <w:pPr>
        <w:jc w:val="center"/>
        <w:rPr>
          <w:rFonts w:ascii="Arial" w:hAnsi="Arial" w:cs="Arial"/>
          <w:i/>
          <w:sz w:val="16"/>
          <w:szCs w:val="16"/>
        </w:rPr>
      </w:pPr>
      <w:r w:rsidRPr="00C84440">
        <w:rPr>
          <w:rFonts w:ascii="Arial" w:hAnsi="Arial" w:cs="Arial"/>
          <w:i/>
          <w:sz w:val="16"/>
          <w:szCs w:val="16"/>
        </w:rPr>
        <w:t>(in thousands of Swiss francs)</w:t>
      </w:r>
    </w:p>
    <w:p w14:paraId="54C51A98" w14:textId="77777777" w:rsidR="004D0754" w:rsidRPr="00C6387E" w:rsidRDefault="004D0754" w:rsidP="00FB68E0">
      <w:pPr>
        <w:ind w:left="-284"/>
        <w:jc w:val="both"/>
        <w:rPr>
          <w:rFonts w:ascii="Arial" w:hAnsi="Arial" w:cs="Arial"/>
          <w:sz w:val="20"/>
        </w:rPr>
      </w:pPr>
    </w:p>
    <w:p w14:paraId="289A251E" w14:textId="77CF8B9A" w:rsidR="004D0754" w:rsidRDefault="000063C9" w:rsidP="00FB68E0">
      <w:pPr>
        <w:ind w:left="-284"/>
        <w:jc w:val="both"/>
        <w:rPr>
          <w:rFonts w:ascii="Arial" w:hAnsi="Arial" w:cs="Arial"/>
          <w:i/>
          <w:sz w:val="20"/>
        </w:rPr>
      </w:pPr>
      <w:r w:rsidRPr="000063C9">
        <w:rPr>
          <w:noProof/>
          <w:lang w:eastAsia="en-US"/>
        </w:rPr>
        <w:drawing>
          <wp:inline distT="0" distB="0" distL="0" distR="0" wp14:anchorId="38C3697D" wp14:editId="27473DBA">
            <wp:extent cx="6209414" cy="2398420"/>
            <wp:effectExtent l="0" t="0" r="1270" b="190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34737" cy="2408201"/>
                    </a:xfrm>
                    <a:prstGeom prst="rect">
                      <a:avLst/>
                    </a:prstGeom>
                    <a:noFill/>
                    <a:ln>
                      <a:noFill/>
                    </a:ln>
                  </pic:spPr>
                </pic:pic>
              </a:graphicData>
            </a:graphic>
          </wp:inline>
        </w:drawing>
      </w:r>
    </w:p>
    <w:p w14:paraId="3C8EB8F4" w14:textId="77777777" w:rsidR="004D0754" w:rsidRPr="00701F92" w:rsidRDefault="004D0754" w:rsidP="00FB68E0">
      <w:pPr>
        <w:ind w:left="-284"/>
        <w:rPr>
          <w:rFonts w:ascii="Arial" w:hAnsi="Arial" w:cs="Arial"/>
          <w:i/>
          <w:sz w:val="16"/>
          <w:szCs w:val="14"/>
        </w:rPr>
      </w:pPr>
      <w:r w:rsidRPr="00C84440">
        <w:rPr>
          <w:rFonts w:ascii="Arial" w:hAnsi="Arial" w:cs="Arial"/>
          <w:i/>
          <w:sz w:val="16"/>
          <w:szCs w:val="14"/>
        </w:rPr>
        <w:t>*RWCF targets are calculated as percent of the biennial budgetary expenditure for each union</w:t>
      </w:r>
    </w:p>
    <w:p w14:paraId="4A5A464D" w14:textId="77777777" w:rsidR="004D0754" w:rsidRPr="00701F92" w:rsidRDefault="004D0754" w:rsidP="00FB68E0">
      <w:pPr>
        <w:ind w:left="-284"/>
        <w:rPr>
          <w:rFonts w:ascii="Arial" w:hAnsi="Arial" w:cs="Arial"/>
          <w:i/>
          <w:sz w:val="16"/>
          <w:szCs w:val="14"/>
        </w:rPr>
      </w:pPr>
    </w:p>
    <w:p w14:paraId="0447D3C4" w14:textId="77777777" w:rsidR="004D0754" w:rsidRPr="00701F92" w:rsidRDefault="004D0754" w:rsidP="00FB68E0">
      <w:pPr>
        <w:ind w:left="-284"/>
        <w:rPr>
          <w:rFonts w:ascii="Arial" w:hAnsi="Arial" w:cs="Arial"/>
          <w:i/>
          <w:sz w:val="16"/>
          <w:szCs w:val="14"/>
        </w:rPr>
      </w:pPr>
    </w:p>
    <w:p w14:paraId="5293A6DF" w14:textId="77777777" w:rsidR="004D0754" w:rsidRDefault="004D0754" w:rsidP="00FB68E0">
      <w:pPr>
        <w:ind w:left="-284"/>
        <w:rPr>
          <w:rFonts w:ascii="Arial" w:hAnsi="Arial" w:cs="Arial"/>
          <w:i/>
          <w:sz w:val="14"/>
          <w:szCs w:val="14"/>
        </w:rPr>
      </w:pPr>
    </w:p>
    <w:p w14:paraId="05759A59" w14:textId="77777777" w:rsidR="004D0754" w:rsidRPr="00763B41" w:rsidRDefault="004D0754" w:rsidP="00FB68E0">
      <w:pPr>
        <w:ind w:left="-284"/>
        <w:jc w:val="center"/>
        <w:rPr>
          <w:rFonts w:ascii="Arial" w:hAnsi="Arial" w:cs="Arial"/>
          <w:b/>
          <w:sz w:val="16"/>
          <w:szCs w:val="16"/>
        </w:rPr>
      </w:pPr>
      <w:r w:rsidRPr="00763B41">
        <w:rPr>
          <w:rFonts w:ascii="Arial" w:hAnsi="Arial" w:cs="Arial"/>
          <w:b/>
          <w:sz w:val="16"/>
          <w:szCs w:val="16"/>
        </w:rPr>
        <w:t>Table 1</w:t>
      </w:r>
      <w:r>
        <w:rPr>
          <w:rFonts w:ascii="Arial" w:hAnsi="Arial" w:cs="Arial"/>
          <w:b/>
          <w:sz w:val="16"/>
          <w:szCs w:val="16"/>
        </w:rPr>
        <w:t>2</w:t>
      </w:r>
      <w:r w:rsidRPr="00763B41">
        <w:rPr>
          <w:rFonts w:ascii="Arial" w:hAnsi="Arial" w:cs="Arial"/>
          <w:b/>
          <w:sz w:val="16"/>
          <w:szCs w:val="16"/>
        </w:rPr>
        <w:t xml:space="preserve">.  2016/17 </w:t>
      </w:r>
      <w:r>
        <w:rPr>
          <w:rFonts w:ascii="Arial" w:hAnsi="Arial" w:cs="Arial"/>
          <w:b/>
          <w:sz w:val="16"/>
          <w:szCs w:val="16"/>
        </w:rPr>
        <w:t>Income Estimates</w:t>
      </w:r>
      <w:r w:rsidRPr="00763B41">
        <w:rPr>
          <w:rFonts w:ascii="Arial" w:hAnsi="Arial" w:cs="Arial"/>
          <w:b/>
          <w:sz w:val="16"/>
          <w:szCs w:val="16"/>
        </w:rPr>
        <w:t xml:space="preserve"> by Union</w:t>
      </w:r>
    </w:p>
    <w:p w14:paraId="0BAEF9F0" w14:textId="77777777" w:rsidR="004D0754" w:rsidRDefault="004D0754" w:rsidP="00FB68E0">
      <w:pPr>
        <w:ind w:left="-284"/>
        <w:jc w:val="center"/>
        <w:rPr>
          <w:rFonts w:ascii="Arial" w:hAnsi="Arial" w:cs="Arial"/>
          <w:i/>
          <w:sz w:val="16"/>
          <w:szCs w:val="16"/>
        </w:rPr>
      </w:pPr>
      <w:r w:rsidRPr="00763B41">
        <w:rPr>
          <w:rFonts w:ascii="Arial" w:hAnsi="Arial" w:cs="Arial"/>
          <w:i/>
          <w:sz w:val="16"/>
          <w:szCs w:val="16"/>
        </w:rPr>
        <w:t>(in thousands of Swiss francs)</w:t>
      </w:r>
    </w:p>
    <w:p w14:paraId="52B7291A" w14:textId="77777777" w:rsidR="004D0754" w:rsidRDefault="004D0754" w:rsidP="00FB68E0">
      <w:pPr>
        <w:ind w:left="-284"/>
        <w:jc w:val="center"/>
        <w:rPr>
          <w:rFonts w:ascii="Arial" w:hAnsi="Arial" w:cs="Arial"/>
          <w:i/>
          <w:sz w:val="16"/>
          <w:szCs w:val="16"/>
        </w:rPr>
      </w:pPr>
    </w:p>
    <w:p w14:paraId="57B0BE22" w14:textId="444CD8AF" w:rsidR="004D0754" w:rsidRDefault="000063C9" w:rsidP="00FB68E0">
      <w:pPr>
        <w:ind w:left="-284"/>
        <w:rPr>
          <w:rFonts w:ascii="Arial" w:hAnsi="Arial" w:cs="Arial"/>
          <w:i/>
          <w:sz w:val="14"/>
          <w:szCs w:val="14"/>
        </w:rPr>
      </w:pPr>
      <w:r w:rsidRPr="000063C9">
        <w:rPr>
          <w:noProof/>
          <w:lang w:eastAsia="en-US"/>
        </w:rPr>
        <w:drawing>
          <wp:inline distT="0" distB="0" distL="0" distR="0" wp14:anchorId="40F741B8" wp14:editId="3EE8B6C4">
            <wp:extent cx="6283842" cy="1307060"/>
            <wp:effectExtent l="0" t="0" r="3175" b="762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278279" cy="1305903"/>
                    </a:xfrm>
                    <a:prstGeom prst="rect">
                      <a:avLst/>
                    </a:prstGeom>
                    <a:noFill/>
                    <a:ln>
                      <a:noFill/>
                    </a:ln>
                  </pic:spPr>
                </pic:pic>
              </a:graphicData>
            </a:graphic>
          </wp:inline>
        </w:drawing>
      </w:r>
    </w:p>
    <w:p w14:paraId="7550853D" w14:textId="77777777" w:rsidR="00701F92" w:rsidRDefault="00701F92" w:rsidP="00FB68E0">
      <w:pPr>
        <w:spacing w:after="200" w:line="276" w:lineRule="auto"/>
        <w:ind w:left="-284"/>
        <w:rPr>
          <w:rFonts w:ascii="Arial" w:hAnsi="Arial" w:cs="Arial"/>
          <w:sz w:val="20"/>
        </w:rPr>
      </w:pPr>
    </w:p>
    <w:p w14:paraId="2D146255" w14:textId="77777777" w:rsidR="00701F92" w:rsidRDefault="00701F92">
      <w:pPr>
        <w:spacing w:after="200" w:line="276" w:lineRule="auto"/>
        <w:rPr>
          <w:rFonts w:ascii="Arial" w:hAnsi="Arial" w:cs="Arial"/>
          <w:sz w:val="20"/>
        </w:rPr>
      </w:pPr>
    </w:p>
    <w:p w14:paraId="327B0993" w14:textId="020D2363" w:rsidR="004D0754" w:rsidRDefault="004D0754">
      <w:pPr>
        <w:spacing w:after="200" w:line="276" w:lineRule="auto"/>
        <w:rPr>
          <w:rFonts w:ascii="Arial" w:hAnsi="Arial" w:cs="Arial"/>
          <w:sz w:val="20"/>
        </w:rPr>
      </w:pPr>
    </w:p>
    <w:p w14:paraId="6D807D36" w14:textId="77777777" w:rsidR="00701F92" w:rsidRDefault="00701F92">
      <w:pPr>
        <w:spacing w:after="200" w:line="276" w:lineRule="auto"/>
        <w:rPr>
          <w:rFonts w:ascii="Arial" w:hAnsi="Arial" w:cs="Arial"/>
          <w:sz w:val="20"/>
        </w:rPr>
      </w:pPr>
    </w:p>
    <w:p w14:paraId="352B2378" w14:textId="77777777" w:rsidR="004D0754" w:rsidRDefault="004D0754">
      <w:pPr>
        <w:rPr>
          <w:rFonts w:ascii="Arial" w:hAnsi="Arial" w:cs="Arial"/>
          <w:sz w:val="20"/>
        </w:rPr>
        <w:sectPr w:rsidR="004D0754" w:rsidSect="00C84440">
          <w:headerReference w:type="even" r:id="rId209"/>
          <w:headerReference w:type="default" r:id="rId210"/>
          <w:footerReference w:type="even" r:id="rId211"/>
          <w:footerReference w:type="default" r:id="rId212"/>
          <w:pgSz w:w="11907" w:h="16839" w:code="9"/>
          <w:pgMar w:top="624" w:right="1418" w:bottom="1361" w:left="1418" w:header="567" w:footer="851" w:gutter="0"/>
          <w:cols w:space="720"/>
          <w:docGrid w:linePitch="360"/>
        </w:sectPr>
      </w:pPr>
    </w:p>
    <w:p w14:paraId="52FC8EFB" w14:textId="2B17421B" w:rsidR="004D0754" w:rsidRPr="004D0754" w:rsidRDefault="00701F92" w:rsidP="005A1F7F">
      <w:pPr>
        <w:jc w:val="center"/>
        <w:rPr>
          <w:rFonts w:ascii="Arial" w:hAnsi="Arial" w:cs="Arial"/>
          <w:b/>
          <w:sz w:val="20"/>
          <w:szCs w:val="16"/>
        </w:rPr>
      </w:pPr>
      <w:r>
        <w:rPr>
          <w:rFonts w:ascii="Arial" w:hAnsi="Arial" w:cs="Arial"/>
          <w:b/>
          <w:sz w:val="20"/>
          <w:szCs w:val="16"/>
        </w:rPr>
        <w:lastRenderedPageBreak/>
        <w:t>Table 13</w:t>
      </w:r>
      <w:r w:rsidR="004D0754" w:rsidRPr="004D0754">
        <w:rPr>
          <w:rFonts w:ascii="Arial" w:hAnsi="Arial" w:cs="Arial"/>
          <w:b/>
          <w:sz w:val="20"/>
          <w:szCs w:val="16"/>
        </w:rPr>
        <w:t>.  2016/17 Budget by Program and Union</w:t>
      </w:r>
    </w:p>
    <w:p w14:paraId="3E060B99" w14:textId="77777777" w:rsidR="004D0754" w:rsidRDefault="004D0754" w:rsidP="005A1F7F">
      <w:pPr>
        <w:jc w:val="center"/>
        <w:rPr>
          <w:rFonts w:ascii="Arial" w:hAnsi="Arial" w:cs="Arial"/>
          <w:i/>
          <w:sz w:val="20"/>
          <w:szCs w:val="16"/>
        </w:rPr>
      </w:pPr>
      <w:r w:rsidRPr="004D0754">
        <w:rPr>
          <w:rFonts w:ascii="Arial" w:hAnsi="Arial" w:cs="Arial"/>
          <w:i/>
          <w:sz w:val="20"/>
          <w:szCs w:val="16"/>
        </w:rPr>
        <w:t>(in thousands of Swiss francs)</w:t>
      </w:r>
    </w:p>
    <w:p w14:paraId="5604F554" w14:textId="77777777" w:rsidR="00632C2B" w:rsidRDefault="00632C2B" w:rsidP="005A1F7F">
      <w:pPr>
        <w:jc w:val="center"/>
        <w:rPr>
          <w:rFonts w:ascii="Arial" w:hAnsi="Arial" w:cs="Arial"/>
          <w:i/>
          <w:sz w:val="20"/>
          <w:szCs w:val="16"/>
        </w:rPr>
      </w:pPr>
    </w:p>
    <w:p w14:paraId="17447DDF" w14:textId="7CB3319A" w:rsidR="00632C2B" w:rsidRPr="004D0754" w:rsidRDefault="00632C2B" w:rsidP="00AC4500">
      <w:pPr>
        <w:rPr>
          <w:rFonts w:ascii="Arial" w:hAnsi="Arial" w:cs="Arial"/>
          <w:i/>
          <w:sz w:val="20"/>
          <w:szCs w:val="16"/>
        </w:rPr>
      </w:pPr>
      <w:r w:rsidRPr="00632C2B">
        <w:rPr>
          <w:noProof/>
          <w:lang w:eastAsia="en-US"/>
        </w:rPr>
        <w:drawing>
          <wp:inline distT="0" distB="0" distL="0" distR="0" wp14:anchorId="1C92BF6A" wp14:editId="0DD4D6EE">
            <wp:extent cx="8394192" cy="4100265"/>
            <wp:effectExtent l="0" t="0" r="698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394192" cy="4100265"/>
                    </a:xfrm>
                    <a:prstGeom prst="rect">
                      <a:avLst/>
                    </a:prstGeom>
                    <a:noFill/>
                    <a:ln>
                      <a:noFill/>
                    </a:ln>
                  </pic:spPr>
                </pic:pic>
              </a:graphicData>
            </a:graphic>
          </wp:inline>
        </w:drawing>
      </w:r>
    </w:p>
    <w:p w14:paraId="08F7D350" w14:textId="77777777" w:rsidR="004D0754" w:rsidRPr="004D0754" w:rsidRDefault="004D0754" w:rsidP="005A1F7F">
      <w:pPr>
        <w:jc w:val="center"/>
        <w:rPr>
          <w:rFonts w:ascii="Arial" w:hAnsi="Arial" w:cs="Arial"/>
          <w:i/>
          <w:sz w:val="20"/>
          <w:szCs w:val="16"/>
        </w:rPr>
      </w:pPr>
    </w:p>
    <w:p w14:paraId="267258AA" w14:textId="1FD2C28C" w:rsidR="004D0754" w:rsidRPr="00C6387E" w:rsidRDefault="004D0754">
      <w:pPr>
        <w:rPr>
          <w:rFonts w:ascii="Arial" w:hAnsi="Arial" w:cs="Arial"/>
          <w:sz w:val="20"/>
        </w:rPr>
      </w:pPr>
    </w:p>
    <w:p w14:paraId="58EF8863" w14:textId="78503639" w:rsidR="00592800" w:rsidRDefault="00592800" w:rsidP="008D3EC2">
      <w:pPr>
        <w:autoSpaceDE w:val="0"/>
        <w:autoSpaceDN w:val="0"/>
        <w:adjustRightInd w:val="0"/>
        <w:rPr>
          <w:rFonts w:ascii="Arial" w:hAnsi="Arial" w:cs="Arial"/>
          <w:sz w:val="20"/>
        </w:rPr>
      </w:pPr>
    </w:p>
    <w:p w14:paraId="37EB7A13" w14:textId="77777777" w:rsidR="00592800" w:rsidRDefault="00592800" w:rsidP="008D3EC2">
      <w:pPr>
        <w:autoSpaceDE w:val="0"/>
        <w:autoSpaceDN w:val="0"/>
        <w:adjustRightInd w:val="0"/>
        <w:rPr>
          <w:rFonts w:ascii="Arial" w:hAnsi="Arial" w:cs="Arial"/>
          <w:sz w:val="20"/>
        </w:rPr>
      </w:pPr>
    </w:p>
    <w:p w14:paraId="184C8D48" w14:textId="77777777" w:rsidR="00592800" w:rsidRDefault="00592800" w:rsidP="008D3EC2">
      <w:pPr>
        <w:autoSpaceDE w:val="0"/>
        <w:autoSpaceDN w:val="0"/>
        <w:adjustRightInd w:val="0"/>
        <w:rPr>
          <w:rFonts w:ascii="Arial" w:hAnsi="Arial" w:cs="Arial"/>
          <w:sz w:val="20"/>
        </w:rPr>
        <w:sectPr w:rsidR="00592800" w:rsidSect="00FB68E0">
          <w:pgSz w:w="16839" w:h="11907" w:orient="landscape" w:code="9"/>
          <w:pgMar w:top="1134" w:right="624" w:bottom="1134" w:left="1134" w:header="567" w:footer="851" w:gutter="0"/>
          <w:cols w:space="720"/>
          <w:docGrid w:linePitch="360"/>
        </w:sectPr>
      </w:pPr>
    </w:p>
    <w:p w14:paraId="6CF3CD32" w14:textId="77777777" w:rsidR="00592800" w:rsidRPr="0069571C" w:rsidRDefault="00592800" w:rsidP="00592800">
      <w:pPr>
        <w:pStyle w:val="StyleHeading3ComplexItalic"/>
        <w:keepNext w:val="0"/>
        <w:tabs>
          <w:tab w:val="clear" w:pos="1985"/>
          <w:tab w:val="left" w:pos="1418"/>
        </w:tabs>
        <w:ind w:left="1418" w:hanging="1418"/>
      </w:pPr>
      <w:bookmarkStart w:id="97" w:name="_Toc293334843"/>
      <w:bookmarkStart w:id="98" w:name="_Toc298920425"/>
      <w:bookmarkStart w:id="99" w:name="_Toc356567789"/>
      <w:bookmarkStart w:id="100" w:name="_Toc367350615"/>
      <w:bookmarkStart w:id="101" w:name="_Toc431221448"/>
      <w:r w:rsidRPr="007F65E7">
        <w:rPr>
          <w:caps w:val="0"/>
        </w:rPr>
        <w:lastRenderedPageBreak/>
        <w:t>ANNEX IV</w:t>
      </w:r>
      <w:r w:rsidRPr="007F65E7">
        <w:rPr>
          <w:caps w:val="0"/>
        </w:rPr>
        <w:tab/>
        <w:t xml:space="preserve">EVOLUTION AND DEMAND FOR SERVICES UNDER THE PCT, </w:t>
      </w:r>
      <w:smartTag w:uri="urn:schemas-microsoft-com:office:smarttags" w:element="State">
        <w:r w:rsidRPr="007F65E7">
          <w:rPr>
            <w:caps w:val="0"/>
          </w:rPr>
          <w:t>MADRID</w:t>
        </w:r>
      </w:smartTag>
      <w:r>
        <w:rPr>
          <w:caps w:val="0"/>
        </w:rPr>
        <w:br/>
      </w:r>
      <w:r w:rsidRPr="007F65E7">
        <w:rPr>
          <w:caps w:val="0"/>
        </w:rPr>
        <w:t xml:space="preserve">AND </w:t>
      </w:r>
      <w:smartTag w:uri="urn:schemas-microsoft-com:office:smarttags" w:element="place">
        <w:smartTag w:uri="urn:schemas-microsoft-com:office:smarttags" w:element="City">
          <w:r w:rsidRPr="007F65E7">
            <w:rPr>
              <w:caps w:val="0"/>
            </w:rPr>
            <w:t>THE HAGUE</w:t>
          </w:r>
        </w:smartTag>
      </w:smartTag>
      <w:r>
        <w:rPr>
          <w:caps w:val="0"/>
        </w:rPr>
        <w:t xml:space="preserve"> SYSTEMS IN THE MEDI</w:t>
      </w:r>
      <w:r w:rsidRPr="007F65E7">
        <w:rPr>
          <w:caps w:val="0"/>
        </w:rPr>
        <w:t>UM TERM</w:t>
      </w:r>
      <w:bookmarkEnd w:id="97"/>
      <w:bookmarkEnd w:id="98"/>
      <w:bookmarkEnd w:id="99"/>
      <w:bookmarkEnd w:id="100"/>
      <w:bookmarkEnd w:id="101"/>
    </w:p>
    <w:p w14:paraId="4E4220EC" w14:textId="77777777" w:rsidR="00D7361F" w:rsidRDefault="00D7361F" w:rsidP="005A1F7F">
      <w:pPr>
        <w:rPr>
          <w:rFonts w:ascii="Arial" w:hAnsi="Arial" w:cs="Arial"/>
          <w:sz w:val="20"/>
        </w:rPr>
      </w:pPr>
    </w:p>
    <w:p w14:paraId="04697F9B" w14:textId="77777777" w:rsidR="00D7361F" w:rsidRPr="00E62B25" w:rsidRDefault="00D7361F" w:rsidP="005A1F7F">
      <w:pPr>
        <w:rPr>
          <w:rFonts w:ascii="Arial" w:hAnsi="Arial" w:cs="Arial"/>
          <w:sz w:val="20"/>
        </w:rPr>
      </w:pPr>
    </w:p>
    <w:p w14:paraId="59F5E522" w14:textId="77777777" w:rsidR="00D7361F" w:rsidRPr="00E62B25" w:rsidRDefault="00D7361F" w:rsidP="005A1F7F">
      <w:pPr>
        <w:jc w:val="both"/>
        <w:rPr>
          <w:rFonts w:ascii="Arial" w:hAnsi="Arial" w:cs="Arial"/>
          <w:b/>
          <w:sz w:val="20"/>
        </w:rPr>
      </w:pPr>
      <w:r w:rsidRPr="00E62B25">
        <w:rPr>
          <w:rFonts w:ascii="Arial" w:hAnsi="Arial" w:cs="Arial"/>
          <w:b/>
          <w:sz w:val="20"/>
        </w:rPr>
        <w:t>PCT</w:t>
      </w:r>
    </w:p>
    <w:p w14:paraId="49643CAA" w14:textId="77777777" w:rsidR="00D7361F" w:rsidRPr="00E62B25" w:rsidRDefault="00D7361F" w:rsidP="005A1F7F">
      <w:pPr>
        <w:jc w:val="both"/>
        <w:rPr>
          <w:rFonts w:ascii="Arial" w:hAnsi="Arial" w:cs="Arial"/>
          <w:b/>
          <w:sz w:val="20"/>
        </w:rPr>
      </w:pPr>
    </w:p>
    <w:p w14:paraId="25783481" w14:textId="77777777" w:rsidR="00D7361F" w:rsidRPr="00E62B25" w:rsidRDefault="00D7361F" w:rsidP="00B66A4A">
      <w:pPr>
        <w:numPr>
          <w:ilvl w:val="0"/>
          <w:numId w:val="38"/>
        </w:numPr>
        <w:jc w:val="both"/>
        <w:rPr>
          <w:rFonts w:ascii="Arial" w:hAnsi="Arial" w:cs="Arial"/>
          <w:sz w:val="20"/>
        </w:rPr>
      </w:pPr>
      <w:r w:rsidRPr="00E62B25">
        <w:rPr>
          <w:rFonts w:ascii="Arial" w:hAnsi="Arial" w:cs="Arial"/>
          <w:sz w:val="20"/>
        </w:rPr>
        <w:t>The level of PCT income is influenced by a variety of factors, including demand for PCT services and applicants’ filing behavior.  Demand for PCT services is in turn influenced by a number of factors that may be internal or external to the patent system.  External factors include:  performance of the economy globally, and in countries of the highest and fastest growing demand; research and development (R&amp;D) investment levels; technological confidence levels; and exchange rate fluctuations.  Internal factors include:  the level of PCT fees as compared to other filing routes;  the attractiveness and value of PCT services as compared to other filing routes;  the overall credibility of performance of the patent system;  and individual corporate patent strategies.</w:t>
      </w:r>
    </w:p>
    <w:p w14:paraId="0F82FE2D" w14:textId="77777777" w:rsidR="00D7361F" w:rsidRPr="00E62B25" w:rsidRDefault="00D7361F" w:rsidP="005A1F7F">
      <w:pPr>
        <w:tabs>
          <w:tab w:val="num" w:pos="0"/>
        </w:tabs>
        <w:jc w:val="both"/>
        <w:rPr>
          <w:rFonts w:ascii="Arial" w:hAnsi="Arial" w:cs="Arial"/>
          <w:sz w:val="20"/>
        </w:rPr>
      </w:pPr>
    </w:p>
    <w:p w14:paraId="2F5DB880" w14:textId="77777777" w:rsidR="00D7361F" w:rsidRPr="00E62B25" w:rsidRDefault="00D7361F" w:rsidP="00B66A4A">
      <w:pPr>
        <w:numPr>
          <w:ilvl w:val="0"/>
          <w:numId w:val="38"/>
        </w:numPr>
        <w:jc w:val="both"/>
        <w:rPr>
          <w:rFonts w:ascii="Arial" w:hAnsi="Arial" w:cs="Arial"/>
          <w:sz w:val="20"/>
        </w:rPr>
      </w:pPr>
      <w:r w:rsidRPr="00E62B25">
        <w:rPr>
          <w:rFonts w:ascii="Arial" w:hAnsi="Arial" w:cs="Arial"/>
          <w:sz w:val="20"/>
        </w:rPr>
        <w:t>Applicants’ behavior influences PCT income as follows:</w:t>
      </w:r>
    </w:p>
    <w:p w14:paraId="397BCA29" w14:textId="77777777" w:rsidR="00D7361F" w:rsidRPr="00E62B25" w:rsidRDefault="00D7361F" w:rsidP="005A1F7F">
      <w:pPr>
        <w:pStyle w:val="BodyText"/>
        <w:widowControl w:val="0"/>
        <w:tabs>
          <w:tab w:val="num" w:pos="567"/>
          <w:tab w:val="left" w:pos="1134"/>
        </w:tabs>
        <w:spacing w:after="0"/>
        <w:ind w:left="567"/>
        <w:jc w:val="both"/>
        <w:rPr>
          <w:sz w:val="20"/>
        </w:rPr>
      </w:pPr>
    </w:p>
    <w:p w14:paraId="5D07618E"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w:t>
      </w:r>
      <w:proofErr w:type="spellStart"/>
      <w:r w:rsidRPr="00E62B25">
        <w:rPr>
          <w:sz w:val="20"/>
        </w:rPr>
        <w:t>i</w:t>
      </w:r>
      <w:proofErr w:type="spellEnd"/>
      <w:r w:rsidRPr="00E62B25">
        <w:rPr>
          <w:sz w:val="20"/>
        </w:rPr>
        <w:t>)</w:t>
      </w:r>
      <w:r w:rsidRPr="00E62B25">
        <w:rPr>
          <w:sz w:val="20"/>
        </w:rPr>
        <w:tab/>
      </w:r>
      <w:r w:rsidRPr="00E62B25">
        <w:rPr>
          <w:sz w:val="20"/>
          <w:u w:val="single"/>
        </w:rPr>
        <w:t>Page Fee</w:t>
      </w:r>
      <w:r w:rsidRPr="00E62B25">
        <w:rPr>
          <w:sz w:val="20"/>
        </w:rPr>
        <w:t>:  The International Bureau receives 15 Swiss francs for every page over 30 pages in a given application.</w:t>
      </w:r>
    </w:p>
    <w:p w14:paraId="7F367C8B" w14:textId="77777777" w:rsidR="00D7361F" w:rsidRPr="00E62B25" w:rsidRDefault="00D7361F" w:rsidP="005A1F7F">
      <w:pPr>
        <w:pStyle w:val="BodyText"/>
        <w:tabs>
          <w:tab w:val="left" w:pos="1134"/>
        </w:tabs>
        <w:spacing w:after="0"/>
        <w:ind w:left="567"/>
        <w:jc w:val="both"/>
        <w:rPr>
          <w:sz w:val="20"/>
        </w:rPr>
      </w:pPr>
    </w:p>
    <w:p w14:paraId="6854D947"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(ii)</w:t>
      </w:r>
      <w:r w:rsidRPr="00E62B25">
        <w:rPr>
          <w:sz w:val="20"/>
        </w:rPr>
        <w:tab/>
        <w:t>International</w:t>
      </w:r>
      <w:r w:rsidRPr="00E62B25">
        <w:rPr>
          <w:sz w:val="20"/>
          <w:u w:val="single"/>
        </w:rPr>
        <w:t xml:space="preserve"> Preliminary Examination</w:t>
      </w:r>
      <w:r w:rsidRPr="00E62B25">
        <w:rPr>
          <w:sz w:val="20"/>
        </w:rPr>
        <w:t>:  Applicants making use of international preliminary examination under Chapter II of the PCT must pay an additional fee (a “handling fee”).</w:t>
      </w:r>
    </w:p>
    <w:p w14:paraId="1A207181" w14:textId="77777777" w:rsidR="00D7361F" w:rsidRPr="00E62B25" w:rsidRDefault="00D7361F" w:rsidP="005A1F7F">
      <w:pPr>
        <w:pStyle w:val="BodyText"/>
        <w:tabs>
          <w:tab w:val="left" w:pos="1134"/>
        </w:tabs>
        <w:spacing w:after="0"/>
        <w:ind w:left="567"/>
        <w:jc w:val="both"/>
        <w:rPr>
          <w:sz w:val="20"/>
        </w:rPr>
      </w:pPr>
    </w:p>
    <w:p w14:paraId="69AF2D3D"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(iii)</w:t>
      </w:r>
      <w:r w:rsidRPr="00E62B25">
        <w:rPr>
          <w:sz w:val="20"/>
        </w:rPr>
        <w:tab/>
      </w:r>
      <w:r w:rsidRPr="00E62B25">
        <w:rPr>
          <w:sz w:val="20"/>
          <w:u w:val="single"/>
        </w:rPr>
        <w:t>Electronic Filing</w:t>
      </w:r>
      <w:r w:rsidRPr="00E62B25">
        <w:rPr>
          <w:sz w:val="20"/>
        </w:rPr>
        <w:t>:  When applicants use electronic (instead of paper) filing they benefit from discounts.</w:t>
      </w:r>
    </w:p>
    <w:p w14:paraId="00677307" w14:textId="77777777" w:rsidR="00D7361F" w:rsidRPr="00E62B25" w:rsidRDefault="00D7361F" w:rsidP="005A1F7F">
      <w:pPr>
        <w:pStyle w:val="BodyText"/>
        <w:tabs>
          <w:tab w:val="left" w:pos="1134"/>
        </w:tabs>
        <w:spacing w:after="0"/>
        <w:ind w:left="567"/>
        <w:jc w:val="both"/>
        <w:rPr>
          <w:sz w:val="20"/>
        </w:rPr>
      </w:pPr>
    </w:p>
    <w:p w14:paraId="1BB47C4E" w14:textId="77777777" w:rsidR="00D7361F" w:rsidRPr="00E62B25" w:rsidRDefault="00D7361F" w:rsidP="005A1F7F">
      <w:pPr>
        <w:pStyle w:val="BodyText"/>
        <w:tabs>
          <w:tab w:val="left" w:pos="1134"/>
        </w:tabs>
        <w:spacing w:after="0"/>
        <w:ind w:left="567"/>
        <w:jc w:val="both"/>
        <w:rPr>
          <w:sz w:val="20"/>
        </w:rPr>
      </w:pPr>
      <w:r w:rsidRPr="00E62B25">
        <w:rPr>
          <w:sz w:val="20"/>
        </w:rPr>
        <w:t>(iv )</w:t>
      </w:r>
      <w:r w:rsidRPr="00E62B25">
        <w:rPr>
          <w:sz w:val="20"/>
        </w:rPr>
        <w:tab/>
      </w:r>
      <w:r w:rsidRPr="00E62B25">
        <w:rPr>
          <w:sz w:val="20"/>
          <w:u w:val="single"/>
        </w:rPr>
        <w:t>International Bureau as Receiving Office</w:t>
      </w:r>
      <w:r w:rsidRPr="00E62B25">
        <w:rPr>
          <w:sz w:val="20"/>
        </w:rPr>
        <w:t>:  Applicants who choose to file their application with the International Bureau acting as Receiving Office (IB/RO) must pay a special fee (the “transmittal fee”).</w:t>
      </w:r>
    </w:p>
    <w:p w14:paraId="76118EFB" w14:textId="77777777" w:rsidR="00D7361F" w:rsidRPr="00E62B25" w:rsidRDefault="00D7361F" w:rsidP="005A1F7F">
      <w:pPr>
        <w:pStyle w:val="BodyText"/>
        <w:tabs>
          <w:tab w:val="left" w:pos="1134"/>
        </w:tabs>
        <w:spacing w:after="0"/>
        <w:ind w:left="567"/>
        <w:jc w:val="both"/>
        <w:rPr>
          <w:sz w:val="20"/>
        </w:rPr>
      </w:pPr>
    </w:p>
    <w:p w14:paraId="1AA728D3" w14:textId="77777777" w:rsidR="00D7361F" w:rsidRPr="00E62B25" w:rsidRDefault="00D7361F" w:rsidP="00B66A4A">
      <w:pPr>
        <w:numPr>
          <w:ilvl w:val="0"/>
          <w:numId w:val="38"/>
        </w:numPr>
        <w:jc w:val="both"/>
        <w:rPr>
          <w:rFonts w:ascii="Arial" w:hAnsi="Arial" w:cs="Arial"/>
          <w:sz w:val="20"/>
        </w:rPr>
      </w:pPr>
      <w:r w:rsidRPr="00E62B25">
        <w:rPr>
          <w:rFonts w:ascii="Arial" w:hAnsi="Arial" w:cs="Arial"/>
          <w:sz w:val="20"/>
        </w:rPr>
        <w:t>The following paragraphs elaborate on current forecasts as regards:  the level of demand;  the expected level of Chapter II demands;  the expected level of electronic filings;  and the expected use of IB/RO</w:t>
      </w:r>
      <w:r w:rsidRPr="00E62B25">
        <w:rPr>
          <w:rStyle w:val="FootnoteReference"/>
          <w:rFonts w:ascii="Arial" w:eastAsiaTheme="majorEastAsia" w:hAnsi="Arial" w:cs="Arial"/>
          <w:sz w:val="20"/>
        </w:rPr>
        <w:footnoteReference w:id="24"/>
      </w:r>
      <w:r w:rsidRPr="00E62B25">
        <w:rPr>
          <w:rFonts w:ascii="Arial" w:hAnsi="Arial" w:cs="Arial"/>
          <w:sz w:val="20"/>
        </w:rPr>
        <w:t>.</w:t>
      </w:r>
    </w:p>
    <w:p w14:paraId="19D5E0E0" w14:textId="77777777" w:rsidR="00D7361F" w:rsidRPr="00E62B25" w:rsidRDefault="00D7361F" w:rsidP="005A1F7F">
      <w:pPr>
        <w:widowControl w:val="0"/>
        <w:jc w:val="both"/>
        <w:rPr>
          <w:rFonts w:ascii="Arial" w:hAnsi="Arial" w:cs="Arial"/>
          <w:sz w:val="20"/>
        </w:rPr>
      </w:pPr>
    </w:p>
    <w:p w14:paraId="3D20AA05" w14:textId="77777777" w:rsidR="00D7361F" w:rsidRPr="00E62B25" w:rsidRDefault="00D7361F" w:rsidP="005A1F7F">
      <w:pPr>
        <w:widowControl w:val="0"/>
        <w:rPr>
          <w:rFonts w:ascii="Arial" w:hAnsi="Arial" w:cs="Arial"/>
          <w:sz w:val="20"/>
        </w:rPr>
      </w:pPr>
    </w:p>
    <w:p w14:paraId="292767F2" w14:textId="77777777" w:rsidR="00D7361F" w:rsidRPr="00E62B25" w:rsidRDefault="00D7361F" w:rsidP="005A1F7F">
      <w:pPr>
        <w:widowControl w:val="0"/>
        <w:rPr>
          <w:rFonts w:ascii="Arial" w:hAnsi="Arial" w:cs="Arial"/>
          <w:i/>
          <w:sz w:val="20"/>
        </w:rPr>
      </w:pPr>
      <w:r w:rsidRPr="00E62B25">
        <w:rPr>
          <w:rFonts w:ascii="Arial" w:hAnsi="Arial" w:cs="Arial"/>
          <w:i/>
          <w:sz w:val="20"/>
        </w:rPr>
        <w:t>PCT Filing Forecast (Demand)</w:t>
      </w:r>
    </w:p>
    <w:p w14:paraId="67CB787E" w14:textId="77777777" w:rsidR="00D7361F" w:rsidRPr="00E62B25" w:rsidRDefault="00D7361F" w:rsidP="005A1F7F">
      <w:pPr>
        <w:widowControl w:val="0"/>
        <w:rPr>
          <w:rFonts w:ascii="Arial" w:hAnsi="Arial" w:cs="Arial"/>
          <w:sz w:val="20"/>
        </w:rPr>
      </w:pPr>
    </w:p>
    <w:p w14:paraId="03DA61DA" w14:textId="77777777" w:rsidR="00D7361F" w:rsidRPr="00E62B25" w:rsidRDefault="00D7361F" w:rsidP="00B66A4A">
      <w:pPr>
        <w:numPr>
          <w:ilvl w:val="0"/>
          <w:numId w:val="38"/>
        </w:numPr>
        <w:jc w:val="both"/>
        <w:rPr>
          <w:rFonts w:ascii="Arial" w:hAnsi="Arial" w:cs="Arial"/>
          <w:sz w:val="20"/>
        </w:rPr>
      </w:pPr>
      <w:r w:rsidRPr="00E62B25">
        <w:rPr>
          <w:rFonts w:ascii="Arial" w:hAnsi="Arial" w:cs="Arial"/>
          <w:sz w:val="20"/>
        </w:rPr>
        <w:t xml:space="preserve">After falling in 2009 by close to 5 per cent year-to-year, PCT filings grew strongly in recent years.  Chart 1 shows the forecasted number of PCT applications for the years 2014 to 2017 (based on data at the end of January 2015). </w:t>
      </w:r>
    </w:p>
    <w:p w14:paraId="6BE8A722" w14:textId="77777777" w:rsidR="00D7361F" w:rsidRPr="00E62B25" w:rsidRDefault="00D7361F" w:rsidP="005A1F7F">
      <w:pPr>
        <w:rPr>
          <w:rFonts w:ascii="Arial" w:hAnsi="Arial" w:cs="Arial"/>
          <w:sz w:val="20"/>
        </w:rPr>
      </w:pPr>
    </w:p>
    <w:p w14:paraId="5760B35E" w14:textId="1CF43B03" w:rsidR="00D7361F" w:rsidRPr="00AD6316" w:rsidRDefault="00D7361F" w:rsidP="005A1F7F">
      <w:pPr>
        <w:keepNext/>
        <w:keepLines/>
        <w:jc w:val="center"/>
        <w:rPr>
          <w:rFonts w:ascii="Arial" w:hAnsi="Arial" w:cs="Arial"/>
          <w:sz w:val="18"/>
          <w:szCs w:val="18"/>
        </w:rPr>
      </w:pPr>
      <w:r w:rsidRPr="00AD6316">
        <w:rPr>
          <w:rFonts w:ascii="Arial" w:hAnsi="Arial" w:cs="Arial"/>
          <w:sz w:val="20"/>
          <w:szCs w:val="18"/>
        </w:rPr>
        <w:lastRenderedPageBreak/>
        <w:t xml:space="preserve">Chart 1.  PCT Applications </w:t>
      </w:r>
      <w:r w:rsidR="00CD2918" w:rsidRPr="00AD6316">
        <w:rPr>
          <w:rFonts w:ascii="Arial" w:hAnsi="Arial" w:cs="Arial"/>
          <w:sz w:val="20"/>
          <w:szCs w:val="18"/>
        </w:rPr>
        <w:t>201</w:t>
      </w:r>
      <w:r w:rsidR="00CD2918">
        <w:rPr>
          <w:rFonts w:ascii="Arial" w:hAnsi="Arial" w:cs="Arial"/>
          <w:sz w:val="20"/>
          <w:szCs w:val="18"/>
        </w:rPr>
        <w:t>2</w:t>
      </w:r>
      <w:r w:rsidR="00CD2918" w:rsidRPr="00AD6316">
        <w:rPr>
          <w:rFonts w:ascii="Arial" w:hAnsi="Arial" w:cs="Arial"/>
          <w:sz w:val="20"/>
          <w:szCs w:val="18"/>
        </w:rPr>
        <w:t xml:space="preserve"> </w:t>
      </w:r>
      <w:r w:rsidRPr="00AD6316">
        <w:rPr>
          <w:rFonts w:ascii="Arial" w:hAnsi="Arial" w:cs="Arial"/>
          <w:sz w:val="20"/>
          <w:szCs w:val="18"/>
        </w:rPr>
        <w:t xml:space="preserve">to </w:t>
      </w:r>
      <w:r w:rsidR="00CD2918" w:rsidRPr="00AD6316">
        <w:rPr>
          <w:rFonts w:ascii="Arial" w:hAnsi="Arial" w:cs="Arial"/>
          <w:sz w:val="20"/>
          <w:szCs w:val="18"/>
        </w:rPr>
        <w:t>201</w:t>
      </w:r>
      <w:r w:rsidR="00CD2918">
        <w:rPr>
          <w:rFonts w:ascii="Arial" w:hAnsi="Arial" w:cs="Arial"/>
          <w:sz w:val="20"/>
          <w:szCs w:val="18"/>
        </w:rPr>
        <w:t>7</w:t>
      </w:r>
    </w:p>
    <w:p w14:paraId="33CE0C45" w14:textId="77777777" w:rsidR="00D7361F" w:rsidRPr="00E62B25" w:rsidRDefault="00D7361F" w:rsidP="005A1F7F">
      <w:pPr>
        <w:keepNext/>
        <w:keepLines/>
        <w:rPr>
          <w:rFonts w:ascii="Arial" w:hAnsi="Arial" w:cs="Arial"/>
          <w:sz w:val="20"/>
        </w:rPr>
      </w:pPr>
    </w:p>
    <w:p w14:paraId="02B974DC"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5AABC3C" wp14:editId="62043578">
            <wp:extent cx="4705350" cy="265492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705350" cy="2654928"/>
                    </a:xfrm>
                    <a:prstGeom prst="rect">
                      <a:avLst/>
                    </a:prstGeom>
                    <a:noFill/>
                    <a:ln>
                      <a:noFill/>
                    </a:ln>
                  </pic:spPr>
                </pic:pic>
              </a:graphicData>
            </a:graphic>
          </wp:inline>
        </w:drawing>
      </w:r>
    </w:p>
    <w:p w14:paraId="1FC4BB78"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5684171B" wp14:editId="247750D6">
            <wp:extent cx="5038725" cy="6327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037051" cy="632560"/>
                    </a:xfrm>
                    <a:prstGeom prst="rect">
                      <a:avLst/>
                    </a:prstGeom>
                    <a:noFill/>
                    <a:ln>
                      <a:noFill/>
                    </a:ln>
                  </pic:spPr>
                </pic:pic>
              </a:graphicData>
            </a:graphic>
          </wp:inline>
        </w:drawing>
      </w:r>
    </w:p>
    <w:p w14:paraId="5958B021" w14:textId="77777777" w:rsidR="00D7361F" w:rsidRDefault="00D7361F" w:rsidP="005A1F7F">
      <w:pPr>
        <w:keepNext/>
        <w:keepLines/>
        <w:rPr>
          <w:rFonts w:ascii="Arial" w:hAnsi="Arial" w:cs="Arial"/>
          <w:sz w:val="20"/>
        </w:rPr>
      </w:pPr>
    </w:p>
    <w:p w14:paraId="3A69C20C" w14:textId="77777777" w:rsidR="00D7361F" w:rsidRPr="00E62B25" w:rsidRDefault="00D7361F" w:rsidP="005A1F7F">
      <w:pPr>
        <w:keepNext/>
        <w:keepLines/>
        <w:rPr>
          <w:rFonts w:ascii="Arial" w:hAnsi="Arial" w:cs="Arial"/>
          <w:sz w:val="20"/>
        </w:rPr>
      </w:pPr>
    </w:p>
    <w:p w14:paraId="06461AF5"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 2 below shows the forecasted numbers of files by the country of origin. </w:t>
      </w:r>
    </w:p>
    <w:p w14:paraId="4A84DF40" w14:textId="77777777" w:rsidR="00D7361F" w:rsidRPr="00E62B25" w:rsidRDefault="00D7361F" w:rsidP="005A1F7F">
      <w:pPr>
        <w:keepNext/>
        <w:keepLines/>
        <w:rPr>
          <w:rFonts w:ascii="Arial" w:hAnsi="Arial" w:cs="Arial"/>
          <w:sz w:val="20"/>
        </w:rPr>
      </w:pPr>
    </w:p>
    <w:p w14:paraId="66758791" w14:textId="77777777" w:rsidR="00D7361F" w:rsidRPr="00AD6316" w:rsidRDefault="00D7361F" w:rsidP="005A1F7F">
      <w:pPr>
        <w:keepNext/>
        <w:keepLines/>
        <w:widowControl w:val="0"/>
        <w:jc w:val="center"/>
        <w:rPr>
          <w:rFonts w:ascii="Arial" w:hAnsi="Arial" w:cs="Arial"/>
        </w:rPr>
      </w:pPr>
      <w:r w:rsidRPr="00AD6316">
        <w:rPr>
          <w:rFonts w:ascii="Arial" w:hAnsi="Arial" w:cs="Arial"/>
          <w:sz w:val="20"/>
          <w:szCs w:val="18"/>
        </w:rPr>
        <w:t>Chart 2.  PCT Filings from Selected Countries 2014 to 2017</w:t>
      </w:r>
    </w:p>
    <w:p w14:paraId="45DEC667" w14:textId="77777777" w:rsidR="00D7361F" w:rsidRPr="00E62B25" w:rsidRDefault="00D7361F" w:rsidP="005A1F7F">
      <w:pPr>
        <w:keepNext/>
        <w:keepLines/>
        <w:rPr>
          <w:rFonts w:ascii="Arial" w:hAnsi="Arial" w:cs="Arial"/>
        </w:rPr>
      </w:pPr>
    </w:p>
    <w:p w14:paraId="0E6E3982"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1064D60C" wp14:editId="07743599">
            <wp:extent cx="2657475" cy="33197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57475" cy="3319774"/>
                    </a:xfrm>
                    <a:prstGeom prst="rect">
                      <a:avLst/>
                    </a:prstGeom>
                    <a:noFill/>
                    <a:ln>
                      <a:noFill/>
                    </a:ln>
                  </pic:spPr>
                </pic:pic>
              </a:graphicData>
            </a:graphic>
          </wp:inline>
        </w:drawing>
      </w:r>
    </w:p>
    <w:p w14:paraId="35A0ECC5" w14:textId="77777777" w:rsidR="00D7361F" w:rsidRPr="00E62B25" w:rsidRDefault="00D7361F" w:rsidP="005A1F7F">
      <w:pPr>
        <w:keepNext/>
        <w:keepLines/>
        <w:rPr>
          <w:rFonts w:ascii="Arial" w:hAnsi="Arial" w:cs="Arial"/>
          <w:sz w:val="20"/>
        </w:rPr>
      </w:pPr>
    </w:p>
    <w:p w14:paraId="79A81269" w14:textId="77777777" w:rsidR="00D7361F" w:rsidRPr="00E62B25" w:rsidRDefault="00D7361F" w:rsidP="005A1F7F">
      <w:pPr>
        <w:keepNext/>
        <w:keepLines/>
        <w:rPr>
          <w:rFonts w:ascii="Arial" w:hAnsi="Arial" w:cs="Arial"/>
          <w:sz w:val="20"/>
        </w:rPr>
      </w:pPr>
    </w:p>
    <w:p w14:paraId="3FD745F9"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The number of international applications will likely be within a range with certain probabilities.  The following graph and table indicate the probabilistic distribution of the number of filings.</w:t>
      </w:r>
    </w:p>
    <w:p w14:paraId="40A436A7" w14:textId="77777777" w:rsidR="00D7361F" w:rsidRPr="00E62B25" w:rsidRDefault="00D7361F" w:rsidP="005A1F7F">
      <w:pPr>
        <w:keepNext/>
        <w:keepLines/>
        <w:rPr>
          <w:rFonts w:ascii="Arial" w:hAnsi="Arial" w:cs="Arial"/>
          <w:sz w:val="20"/>
        </w:rPr>
      </w:pPr>
    </w:p>
    <w:p w14:paraId="76D16C4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Filing Forecast Probabilistic Distribution</w:t>
      </w:r>
    </w:p>
    <w:p w14:paraId="5B349253" w14:textId="77777777" w:rsidR="00D7361F" w:rsidRPr="00E62B25" w:rsidRDefault="00D7361F" w:rsidP="005A1F7F">
      <w:pPr>
        <w:keepNext/>
        <w:keepLines/>
        <w:rPr>
          <w:rFonts w:ascii="Arial" w:hAnsi="Arial" w:cs="Arial"/>
          <w:sz w:val="18"/>
        </w:rPr>
      </w:pPr>
    </w:p>
    <w:p w14:paraId="0ADE5797"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1038DAA5" wp14:editId="702897EC">
            <wp:extent cx="5534108" cy="282439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7" cstate="print">
                      <a:extLst>
                        <a:ext uri="{28A0092B-C50C-407E-A947-70E740481C1C}">
                          <a14:useLocalDpi xmlns:a14="http://schemas.microsoft.com/office/drawing/2010/main" val="0"/>
                        </a:ext>
                      </a:extLst>
                    </a:blip>
                    <a:srcRect t="8736" r="-723"/>
                    <a:stretch/>
                  </pic:blipFill>
                  <pic:spPr bwMode="auto">
                    <a:xfrm>
                      <a:off x="0" y="0"/>
                      <a:ext cx="5535693" cy="2825203"/>
                    </a:xfrm>
                    <a:prstGeom prst="rect">
                      <a:avLst/>
                    </a:prstGeom>
                    <a:noFill/>
                    <a:ln>
                      <a:noFill/>
                    </a:ln>
                    <a:extLst>
                      <a:ext uri="{53640926-AAD7-44D8-BBD7-CCE9431645EC}">
                        <a14:shadowObscured xmlns:a14="http://schemas.microsoft.com/office/drawing/2010/main"/>
                      </a:ext>
                    </a:extLst>
                  </pic:spPr>
                </pic:pic>
              </a:graphicData>
            </a:graphic>
          </wp:inline>
        </w:drawing>
      </w:r>
    </w:p>
    <w:p w14:paraId="0ED302BE" w14:textId="77777777" w:rsidR="00D7361F" w:rsidRPr="00AD6316" w:rsidRDefault="00D7361F" w:rsidP="005A1F7F">
      <w:pPr>
        <w:jc w:val="center"/>
        <w:rPr>
          <w:rFonts w:ascii="Arial" w:hAnsi="Arial" w:cs="Arial"/>
          <w:sz w:val="20"/>
          <w:szCs w:val="18"/>
        </w:rPr>
      </w:pPr>
      <w:r w:rsidRPr="00AD6316">
        <w:rPr>
          <w:rFonts w:ascii="Arial" w:hAnsi="Arial" w:cs="Arial"/>
          <w:sz w:val="20"/>
          <w:szCs w:val="18"/>
        </w:rPr>
        <w:t>PCT Application Scenarios</w:t>
      </w:r>
    </w:p>
    <w:p w14:paraId="501CE00E" w14:textId="77777777" w:rsidR="00D7361F" w:rsidRPr="00E62B25" w:rsidRDefault="00D7361F" w:rsidP="005A1F7F">
      <w:pPr>
        <w:keepNext/>
        <w:keepLines/>
        <w:rPr>
          <w:rFonts w:ascii="Arial" w:hAnsi="Arial" w:cs="Arial"/>
          <w:sz w:val="20"/>
        </w:rPr>
      </w:pPr>
    </w:p>
    <w:p w14:paraId="7ECC594A"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0592A79" wp14:editId="57BF59D1">
            <wp:extent cx="3162300" cy="3095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62300" cy="3095625"/>
                    </a:xfrm>
                    <a:prstGeom prst="rect">
                      <a:avLst/>
                    </a:prstGeom>
                    <a:noFill/>
                    <a:ln>
                      <a:noFill/>
                    </a:ln>
                  </pic:spPr>
                </pic:pic>
              </a:graphicData>
            </a:graphic>
          </wp:inline>
        </w:drawing>
      </w:r>
    </w:p>
    <w:p w14:paraId="008A74C8" w14:textId="77777777" w:rsidR="00D7361F" w:rsidRDefault="00D7361F" w:rsidP="005A1F7F">
      <w:pPr>
        <w:widowControl w:val="0"/>
        <w:rPr>
          <w:rFonts w:ascii="Arial" w:hAnsi="Arial" w:cs="Arial"/>
          <w:i/>
          <w:sz w:val="20"/>
        </w:rPr>
      </w:pPr>
    </w:p>
    <w:p w14:paraId="5AAECABC" w14:textId="77777777" w:rsidR="00D7361F" w:rsidRDefault="00D7361F" w:rsidP="005A1F7F">
      <w:pPr>
        <w:widowControl w:val="0"/>
        <w:rPr>
          <w:rFonts w:ascii="Arial" w:hAnsi="Arial" w:cs="Arial"/>
          <w:i/>
          <w:sz w:val="20"/>
        </w:rPr>
      </w:pPr>
    </w:p>
    <w:p w14:paraId="7EA48355" w14:textId="77777777" w:rsidR="00D7361F" w:rsidRPr="00E62B25" w:rsidRDefault="00D7361F" w:rsidP="005A1F7F">
      <w:pPr>
        <w:widowControl w:val="0"/>
        <w:rPr>
          <w:rFonts w:ascii="Arial" w:hAnsi="Arial" w:cs="Arial"/>
          <w:i/>
          <w:sz w:val="20"/>
        </w:rPr>
      </w:pPr>
      <w:r w:rsidRPr="00E62B25">
        <w:rPr>
          <w:rFonts w:ascii="Arial" w:hAnsi="Arial" w:cs="Arial"/>
          <w:i/>
          <w:sz w:val="20"/>
        </w:rPr>
        <w:t>Use of Electronic Filing Methods</w:t>
      </w:r>
    </w:p>
    <w:p w14:paraId="084F54E9" w14:textId="77777777" w:rsidR="00D7361F" w:rsidRPr="00E62B25" w:rsidRDefault="00D7361F" w:rsidP="005A1F7F">
      <w:pPr>
        <w:widowControl w:val="0"/>
        <w:rPr>
          <w:rFonts w:ascii="Arial" w:hAnsi="Arial" w:cs="Arial"/>
          <w:sz w:val="20"/>
        </w:rPr>
      </w:pPr>
    </w:p>
    <w:p w14:paraId="667919E0"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The estimated use of electronic filing methods (EASY, PDF or XML), as a percentage of total filings, is illustrated in Chart 3 below.  As this chart shows, utilization of electronic filings continues to increase steadily.  In the year 2012, electronic filing was close to 90 per cent of total filings. </w:t>
      </w:r>
    </w:p>
    <w:p w14:paraId="4EE29F29" w14:textId="77777777" w:rsidR="00D7361F" w:rsidRPr="00E62B25" w:rsidRDefault="00D7361F" w:rsidP="005A1F7F">
      <w:pPr>
        <w:widowControl w:val="0"/>
        <w:jc w:val="both"/>
        <w:rPr>
          <w:rFonts w:ascii="Arial" w:hAnsi="Arial" w:cs="Arial"/>
          <w:sz w:val="20"/>
        </w:rPr>
      </w:pPr>
    </w:p>
    <w:p w14:paraId="6700BA3D" w14:textId="77777777" w:rsidR="00D7361F" w:rsidRPr="00AD6316" w:rsidRDefault="00D7361F" w:rsidP="005A1F7F">
      <w:pPr>
        <w:keepNext/>
        <w:keepLines/>
        <w:widowControl w:val="0"/>
        <w:jc w:val="center"/>
        <w:rPr>
          <w:rFonts w:ascii="Arial" w:hAnsi="Arial" w:cs="Arial"/>
          <w:sz w:val="20"/>
          <w:szCs w:val="18"/>
        </w:rPr>
      </w:pPr>
      <w:r w:rsidRPr="00AD6316">
        <w:rPr>
          <w:rFonts w:ascii="Arial" w:hAnsi="Arial" w:cs="Arial"/>
          <w:sz w:val="20"/>
          <w:szCs w:val="18"/>
        </w:rPr>
        <w:lastRenderedPageBreak/>
        <w:t>Chart 3.  Use of Electronic Filing Methods (EASY, PDF or XML) as a Percentage of Total Filings 2014 to 2017</w:t>
      </w:r>
    </w:p>
    <w:p w14:paraId="24B08FFF" w14:textId="1363B923" w:rsidR="00D7361F" w:rsidRPr="00E62B25" w:rsidRDefault="00D7361F" w:rsidP="008D4CE9">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2E59C69" wp14:editId="1DAE6128">
            <wp:extent cx="4448175" cy="2357447"/>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448175" cy="2357447"/>
                    </a:xfrm>
                    <a:prstGeom prst="rect">
                      <a:avLst/>
                    </a:prstGeom>
                    <a:noFill/>
                    <a:ln>
                      <a:noFill/>
                    </a:ln>
                  </pic:spPr>
                </pic:pic>
              </a:graphicData>
            </a:graphic>
          </wp:inline>
        </w:drawing>
      </w:r>
    </w:p>
    <w:p w14:paraId="2490FC49"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45D1FC6B" wp14:editId="23CD7A40">
            <wp:extent cx="4552950" cy="718887"/>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52950" cy="718887"/>
                    </a:xfrm>
                    <a:prstGeom prst="rect">
                      <a:avLst/>
                    </a:prstGeom>
                    <a:noFill/>
                    <a:ln>
                      <a:noFill/>
                    </a:ln>
                  </pic:spPr>
                </pic:pic>
              </a:graphicData>
            </a:graphic>
          </wp:inline>
        </w:drawing>
      </w:r>
    </w:p>
    <w:p w14:paraId="692B3D68" w14:textId="77777777" w:rsidR="00D7361F" w:rsidRPr="00E62B25" w:rsidRDefault="00D7361F" w:rsidP="005A1F7F">
      <w:pPr>
        <w:rPr>
          <w:rFonts w:ascii="Arial" w:hAnsi="Arial" w:cs="Arial"/>
          <w:sz w:val="20"/>
        </w:rPr>
      </w:pPr>
    </w:p>
    <w:p w14:paraId="3ADFA429" w14:textId="77777777" w:rsidR="00D7361F" w:rsidRPr="00E62B25" w:rsidRDefault="00D7361F" w:rsidP="005A1F7F">
      <w:pPr>
        <w:rPr>
          <w:rFonts w:ascii="Arial" w:hAnsi="Arial" w:cs="Arial"/>
          <w:sz w:val="20"/>
        </w:rPr>
      </w:pPr>
    </w:p>
    <w:p w14:paraId="30A98985" w14:textId="77777777" w:rsidR="00D7361F" w:rsidRPr="00E62B25" w:rsidRDefault="00D7361F" w:rsidP="005A1F7F">
      <w:pPr>
        <w:rPr>
          <w:rFonts w:ascii="Arial" w:hAnsi="Arial" w:cs="Arial"/>
          <w:i/>
          <w:sz w:val="20"/>
        </w:rPr>
      </w:pPr>
      <w:r w:rsidRPr="00E62B25">
        <w:rPr>
          <w:rFonts w:ascii="Arial" w:hAnsi="Arial" w:cs="Arial"/>
          <w:i/>
          <w:sz w:val="20"/>
        </w:rPr>
        <w:t>Expected Level of PCT Income</w:t>
      </w:r>
    </w:p>
    <w:p w14:paraId="730D77DF" w14:textId="77777777" w:rsidR="00D7361F" w:rsidRPr="00E62B25" w:rsidRDefault="00D7361F" w:rsidP="005A1F7F">
      <w:pPr>
        <w:jc w:val="both"/>
        <w:rPr>
          <w:rFonts w:ascii="Arial" w:hAnsi="Arial" w:cs="Arial"/>
          <w:sz w:val="20"/>
        </w:rPr>
      </w:pPr>
    </w:p>
    <w:p w14:paraId="66BCADEE"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Charts 4 and 5 show forecasted PCT income in the period from 2014 to 2017, by type of income.  The charts are based on the expected level of applications (Chart 1), an estimate of the expected level of page fees, the expected level of Chapter II demands, the expected level of electronic filings (Chart 3) and the expected level of RO/IB filings.  </w:t>
      </w:r>
    </w:p>
    <w:p w14:paraId="6F697054" w14:textId="77777777" w:rsidR="00D7361F" w:rsidRPr="00E62B25" w:rsidRDefault="00D7361F" w:rsidP="005A1F7F">
      <w:pPr>
        <w:widowControl w:val="0"/>
        <w:jc w:val="both"/>
        <w:rPr>
          <w:rFonts w:ascii="Arial" w:hAnsi="Arial" w:cs="Arial"/>
          <w:sz w:val="20"/>
        </w:rPr>
      </w:pPr>
    </w:p>
    <w:p w14:paraId="3B0743CC"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 4 shows the hypothetical PCT income forecast which is based on the assumptions that (1) all fees are paid within the same of year of filing and (2) all fees are converted to Swiss francs according to WIPO official exchange rates.  Hypothetical PCT income indicates the possible revenue generated by the filings, without considering when the money is paid and how it is converted to Swiss francs. Since most applicants eventually pay their fees, the hypothetical income forecast reflects the long-term revenue expectation. The calculation takes into account all the major elements of the PCT fee structure: withdrawals, e-filing reductions and fee reductions for low-income countries. </w:t>
      </w:r>
    </w:p>
    <w:p w14:paraId="20C0B790" w14:textId="77777777" w:rsidR="00D7361F" w:rsidRPr="00E62B25" w:rsidRDefault="00D7361F" w:rsidP="005A1F7F">
      <w:pPr>
        <w:rPr>
          <w:rFonts w:ascii="Arial" w:hAnsi="Arial" w:cs="Arial"/>
          <w:sz w:val="20"/>
        </w:rPr>
      </w:pPr>
    </w:p>
    <w:p w14:paraId="01589E64" w14:textId="73C241A3" w:rsidR="00AD6316" w:rsidRDefault="00AD6316">
      <w:pPr>
        <w:rPr>
          <w:rFonts w:ascii="Arial" w:hAnsi="Arial" w:cs="Arial"/>
          <w:sz w:val="18"/>
          <w:szCs w:val="18"/>
        </w:rPr>
      </w:pPr>
    </w:p>
    <w:p w14:paraId="1C4EC99C" w14:textId="6088B363" w:rsidR="00D7361F" w:rsidRPr="00AD6316" w:rsidRDefault="00D7361F" w:rsidP="005A1F7F">
      <w:pPr>
        <w:keepNext/>
        <w:keepLines/>
        <w:jc w:val="center"/>
        <w:rPr>
          <w:rFonts w:ascii="Arial" w:hAnsi="Arial" w:cs="Arial"/>
        </w:rPr>
      </w:pPr>
      <w:r w:rsidRPr="00AD6316">
        <w:rPr>
          <w:rFonts w:ascii="Arial" w:hAnsi="Arial" w:cs="Arial"/>
          <w:sz w:val="20"/>
          <w:szCs w:val="18"/>
        </w:rPr>
        <w:t xml:space="preserve">Chart 4. Hypothetical PCT Income Forecast until </w:t>
      </w:r>
      <w:r w:rsidR="00CD2918" w:rsidRPr="00AD6316">
        <w:rPr>
          <w:rFonts w:ascii="Arial" w:hAnsi="Arial" w:cs="Arial"/>
          <w:sz w:val="20"/>
          <w:szCs w:val="18"/>
        </w:rPr>
        <w:t>201</w:t>
      </w:r>
      <w:r w:rsidR="00CD2918">
        <w:rPr>
          <w:rFonts w:ascii="Arial" w:hAnsi="Arial" w:cs="Arial"/>
          <w:sz w:val="20"/>
          <w:szCs w:val="18"/>
        </w:rPr>
        <w:t>7</w:t>
      </w:r>
    </w:p>
    <w:p w14:paraId="1599254A" w14:textId="77777777" w:rsidR="00D7361F" w:rsidRPr="00AD6316" w:rsidRDefault="00D7361F" w:rsidP="005A1F7F">
      <w:pPr>
        <w:rPr>
          <w:rFonts w:ascii="Arial" w:hAnsi="Arial" w:cs="Arial"/>
        </w:rPr>
      </w:pPr>
    </w:p>
    <w:p w14:paraId="2F384387" w14:textId="77777777" w:rsidR="00D7361F" w:rsidRPr="00E62B25" w:rsidRDefault="00D7361F" w:rsidP="005A1F7F">
      <w:pPr>
        <w:jc w:val="center"/>
        <w:rPr>
          <w:rFonts w:ascii="Arial" w:hAnsi="Arial" w:cs="Arial"/>
          <w:sz w:val="20"/>
        </w:rPr>
      </w:pPr>
      <w:r w:rsidRPr="00E62B25">
        <w:rPr>
          <w:rFonts w:ascii="Arial" w:hAnsi="Arial" w:cs="Arial"/>
          <w:sz w:val="20"/>
        </w:rPr>
        <w:t xml:space="preserve"> </w:t>
      </w:r>
      <w:r w:rsidRPr="00E62B25">
        <w:rPr>
          <w:rFonts w:ascii="Arial" w:hAnsi="Arial" w:cs="Arial"/>
          <w:noProof/>
          <w:sz w:val="20"/>
          <w:lang w:eastAsia="en-US"/>
        </w:rPr>
        <w:drawing>
          <wp:inline distT="0" distB="0" distL="0" distR="0" wp14:anchorId="1CD7B9E0" wp14:editId="1B028AF0">
            <wp:extent cx="4514850" cy="25584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14850" cy="2558415"/>
                    </a:xfrm>
                    <a:prstGeom prst="rect">
                      <a:avLst/>
                    </a:prstGeom>
                    <a:noFill/>
                  </pic:spPr>
                </pic:pic>
              </a:graphicData>
            </a:graphic>
          </wp:inline>
        </w:drawing>
      </w:r>
    </w:p>
    <w:p w14:paraId="1C835C00" w14:textId="77777777" w:rsidR="00D7361F" w:rsidRPr="00E62B25" w:rsidRDefault="00D7361F" w:rsidP="005A1F7F">
      <w:pPr>
        <w:jc w:val="center"/>
        <w:rPr>
          <w:rFonts w:ascii="Arial" w:hAnsi="Arial" w:cs="Arial"/>
          <w:sz w:val="20"/>
        </w:rPr>
      </w:pPr>
      <w:r w:rsidRPr="00E62B25">
        <w:rPr>
          <w:rFonts w:ascii="Arial" w:hAnsi="Arial" w:cs="Arial"/>
          <w:sz w:val="20"/>
        </w:rPr>
        <w:lastRenderedPageBreak/>
        <w:t xml:space="preserve"> </w:t>
      </w:r>
      <w:r w:rsidRPr="00E62B25">
        <w:rPr>
          <w:rFonts w:ascii="Arial" w:hAnsi="Arial" w:cs="Arial"/>
          <w:noProof/>
          <w:lang w:eastAsia="en-US"/>
        </w:rPr>
        <w:drawing>
          <wp:inline distT="0" distB="0" distL="0" distR="0" wp14:anchorId="4B98D461" wp14:editId="41187A1C">
            <wp:extent cx="4762500" cy="15639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62500" cy="1563938"/>
                    </a:xfrm>
                    <a:prstGeom prst="rect">
                      <a:avLst/>
                    </a:prstGeom>
                    <a:noFill/>
                    <a:ln>
                      <a:noFill/>
                    </a:ln>
                  </pic:spPr>
                </pic:pic>
              </a:graphicData>
            </a:graphic>
          </wp:inline>
        </w:drawing>
      </w:r>
    </w:p>
    <w:p w14:paraId="766D2A30" w14:textId="77777777" w:rsidR="00D7361F" w:rsidRDefault="00D7361F" w:rsidP="005A1F7F">
      <w:pPr>
        <w:jc w:val="center"/>
        <w:rPr>
          <w:rFonts w:ascii="Arial" w:hAnsi="Arial" w:cs="Arial"/>
          <w:sz w:val="20"/>
        </w:rPr>
      </w:pPr>
    </w:p>
    <w:p w14:paraId="54F86A7F" w14:textId="77777777" w:rsidR="00D7361F" w:rsidRPr="00E62B25" w:rsidRDefault="00D7361F" w:rsidP="005A1F7F">
      <w:pPr>
        <w:jc w:val="center"/>
        <w:rPr>
          <w:rFonts w:ascii="Arial" w:hAnsi="Arial" w:cs="Arial"/>
          <w:sz w:val="20"/>
        </w:rPr>
      </w:pPr>
    </w:p>
    <w:p w14:paraId="591A7C1A" w14:textId="77777777" w:rsidR="00D7361F" w:rsidRPr="00E62B25" w:rsidRDefault="00D7361F" w:rsidP="005A1F7F">
      <w:pPr>
        <w:keepNext/>
        <w:keepLines/>
        <w:rPr>
          <w:rFonts w:ascii="Arial" w:hAnsi="Arial" w:cs="Arial"/>
          <w:i/>
          <w:sz w:val="20"/>
        </w:rPr>
      </w:pPr>
      <w:r w:rsidRPr="00E62B25">
        <w:rPr>
          <w:rFonts w:ascii="Arial" w:hAnsi="Arial" w:cs="Arial"/>
          <w:i/>
          <w:sz w:val="20"/>
        </w:rPr>
        <w:t>Impact of Payment Delay on PCT Income</w:t>
      </w:r>
    </w:p>
    <w:p w14:paraId="6817D5D9" w14:textId="77777777" w:rsidR="00D7361F" w:rsidRPr="00E62B25" w:rsidRDefault="00D7361F" w:rsidP="005A1F7F">
      <w:pPr>
        <w:keepNext/>
        <w:keepLines/>
        <w:jc w:val="both"/>
        <w:rPr>
          <w:rFonts w:ascii="Arial" w:hAnsi="Arial" w:cs="Arial"/>
          <w:sz w:val="20"/>
        </w:rPr>
      </w:pPr>
    </w:p>
    <w:p w14:paraId="7573CEF4" w14:textId="5525A934"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t>The hypothetical income forecast assumes that fees are paid within the same year of filing. However, WIPO receives payments with a delay ranging from one to six months.  Some applicants – especially those who file at the beginning of the year – pay within the same year of filing (usually around 85 per cent), while others pay in the following year (usually around 15 per cent).  Therefore, actual PCT income in any given year consists of a portion of payments for filings in the previous year plus a portion of payments for those in the same year.  As a result, the money received in a year does not equal to that generated by the filings in the same year.  Annual differences between hypothetical and real income do not alter the long-term overall income.  Any income shortfall due to payment delays will likely be compensated in the following year.  If a large portion of the payment is delayed to next year, this year’s actual income will fall, but next year’s will be higher.  On the other hand, if a smaller portion of the payment is shifted to next year, this year’s actual income will rise and next year’s will fall.</w:t>
      </w:r>
      <w:r w:rsidRPr="00E62B25">
        <w:rPr>
          <w:rFonts w:ascii="Arial" w:hAnsi="Arial" w:cs="Arial"/>
          <w:bCs/>
          <w:sz w:val="20"/>
        </w:rPr>
        <w:t xml:space="preserve">  </w:t>
      </w:r>
      <w:r w:rsidRPr="00E62B25">
        <w:rPr>
          <w:rFonts w:ascii="Arial" w:hAnsi="Arial" w:cs="Arial"/>
          <w:sz w:val="20"/>
        </w:rPr>
        <w:t>The adjusted PCT income forecasts until 201</w:t>
      </w:r>
      <w:r w:rsidR="00CD2918">
        <w:rPr>
          <w:rFonts w:ascii="Arial" w:hAnsi="Arial" w:cs="Arial"/>
          <w:sz w:val="20"/>
        </w:rPr>
        <w:t>7</w:t>
      </w:r>
      <w:r w:rsidRPr="00E62B25">
        <w:rPr>
          <w:rFonts w:ascii="Arial" w:hAnsi="Arial" w:cs="Arial"/>
          <w:sz w:val="20"/>
        </w:rPr>
        <w:t xml:space="preserve"> taking into account the impact of the payment delay is presented below in Chart </w:t>
      </w:r>
      <w:r w:rsidR="00CD2918">
        <w:rPr>
          <w:rFonts w:ascii="Arial" w:hAnsi="Arial" w:cs="Arial"/>
          <w:sz w:val="20"/>
        </w:rPr>
        <w:t>5</w:t>
      </w:r>
      <w:r w:rsidRPr="00E62B25">
        <w:rPr>
          <w:rFonts w:ascii="Arial" w:hAnsi="Arial" w:cs="Arial"/>
          <w:sz w:val="20"/>
        </w:rPr>
        <w:t xml:space="preserve">. </w:t>
      </w:r>
    </w:p>
    <w:p w14:paraId="76D760C5" w14:textId="77777777" w:rsidR="00D7361F" w:rsidRPr="00E62B25" w:rsidRDefault="00D7361F" w:rsidP="005A1F7F">
      <w:pPr>
        <w:jc w:val="both"/>
        <w:rPr>
          <w:rFonts w:ascii="Arial" w:hAnsi="Arial" w:cs="Arial"/>
          <w:sz w:val="20"/>
        </w:rPr>
      </w:pPr>
    </w:p>
    <w:p w14:paraId="3FA8689E" w14:textId="77777777" w:rsidR="00D7361F" w:rsidRPr="00AD6316" w:rsidRDefault="00D7361F" w:rsidP="005A1F7F">
      <w:pPr>
        <w:keepNext/>
        <w:keepLines/>
        <w:widowControl w:val="0"/>
        <w:jc w:val="center"/>
        <w:rPr>
          <w:rFonts w:ascii="Arial" w:hAnsi="Arial" w:cs="Arial"/>
          <w:sz w:val="20"/>
          <w:szCs w:val="18"/>
        </w:rPr>
      </w:pPr>
      <w:r w:rsidRPr="00AD6316">
        <w:rPr>
          <w:rFonts w:ascii="Arial" w:hAnsi="Arial" w:cs="Arial"/>
          <w:sz w:val="20"/>
          <w:szCs w:val="18"/>
        </w:rPr>
        <w:t>Chart 5. Adjusted PCT Income Forecast until 2017</w:t>
      </w:r>
    </w:p>
    <w:p w14:paraId="3AC24366" w14:textId="77777777" w:rsidR="00D7361F" w:rsidRPr="00AD6316" w:rsidRDefault="00D7361F" w:rsidP="005A1F7F">
      <w:pPr>
        <w:keepNext/>
        <w:keepLines/>
        <w:widowControl w:val="0"/>
        <w:jc w:val="center"/>
        <w:rPr>
          <w:rFonts w:ascii="Arial" w:hAnsi="Arial" w:cs="Arial"/>
        </w:rPr>
      </w:pPr>
    </w:p>
    <w:p w14:paraId="49A07D44" w14:textId="77777777" w:rsidR="00D7361F" w:rsidRPr="00E62B25" w:rsidRDefault="00D7361F" w:rsidP="005A1F7F">
      <w:pPr>
        <w:jc w:val="center"/>
        <w:rPr>
          <w:rFonts w:ascii="Arial" w:hAnsi="Arial" w:cs="Arial"/>
          <w:sz w:val="20"/>
        </w:rPr>
      </w:pPr>
      <w:r w:rsidRPr="00E62B25">
        <w:rPr>
          <w:rFonts w:ascii="Arial" w:hAnsi="Arial" w:cs="Arial"/>
          <w:sz w:val="20"/>
        </w:rPr>
        <w:t xml:space="preserve"> </w:t>
      </w:r>
      <w:r w:rsidRPr="00E62B25">
        <w:rPr>
          <w:rFonts w:ascii="Arial" w:hAnsi="Arial" w:cs="Arial"/>
          <w:noProof/>
          <w:sz w:val="20"/>
          <w:lang w:eastAsia="en-US"/>
        </w:rPr>
        <w:drawing>
          <wp:inline distT="0" distB="0" distL="0" distR="0" wp14:anchorId="63115B16" wp14:editId="2BE04FCF">
            <wp:extent cx="4467225" cy="2531428"/>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67225" cy="2531428"/>
                    </a:xfrm>
                    <a:prstGeom prst="rect">
                      <a:avLst/>
                    </a:prstGeom>
                    <a:noFill/>
                  </pic:spPr>
                </pic:pic>
              </a:graphicData>
            </a:graphic>
          </wp:inline>
        </w:drawing>
      </w:r>
    </w:p>
    <w:p w14:paraId="2CF2720C" w14:textId="77777777" w:rsidR="00D7361F" w:rsidRPr="00E62B25" w:rsidRDefault="00D7361F" w:rsidP="005A1F7F">
      <w:pPr>
        <w:jc w:val="center"/>
        <w:rPr>
          <w:rFonts w:ascii="Arial" w:hAnsi="Arial" w:cs="Arial"/>
          <w:sz w:val="20"/>
        </w:rPr>
      </w:pPr>
    </w:p>
    <w:p w14:paraId="6C0DEFC1" w14:textId="77777777" w:rsidR="00D7361F" w:rsidRPr="00E62B25" w:rsidRDefault="00D7361F" w:rsidP="005A1F7F">
      <w:pPr>
        <w:jc w:val="center"/>
        <w:rPr>
          <w:rFonts w:ascii="Arial" w:hAnsi="Arial" w:cs="Arial"/>
        </w:rPr>
      </w:pPr>
      <w:r w:rsidRPr="00E62B25">
        <w:rPr>
          <w:rFonts w:ascii="Arial" w:hAnsi="Arial" w:cs="Arial"/>
        </w:rPr>
        <w:t xml:space="preserve"> </w:t>
      </w:r>
      <w:r w:rsidRPr="00E62B25">
        <w:rPr>
          <w:rFonts w:ascii="Arial" w:hAnsi="Arial" w:cs="Arial"/>
          <w:noProof/>
          <w:lang w:eastAsia="en-US"/>
        </w:rPr>
        <w:drawing>
          <wp:inline distT="0" distB="0" distL="0" distR="0" wp14:anchorId="5762727E" wp14:editId="76CF31BF">
            <wp:extent cx="4705350" cy="122052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05350" cy="1220529"/>
                    </a:xfrm>
                    <a:prstGeom prst="rect">
                      <a:avLst/>
                    </a:prstGeom>
                    <a:noFill/>
                    <a:ln>
                      <a:noFill/>
                    </a:ln>
                  </pic:spPr>
                </pic:pic>
              </a:graphicData>
            </a:graphic>
          </wp:inline>
        </w:drawing>
      </w:r>
    </w:p>
    <w:p w14:paraId="6DB39E32" w14:textId="77777777" w:rsidR="00D7361F" w:rsidRPr="00E62B25" w:rsidRDefault="00D7361F" w:rsidP="005A1F7F">
      <w:pPr>
        <w:jc w:val="center"/>
        <w:rPr>
          <w:rFonts w:ascii="Arial" w:hAnsi="Arial" w:cs="Arial"/>
          <w:sz w:val="20"/>
        </w:rPr>
      </w:pPr>
    </w:p>
    <w:p w14:paraId="1EC8D156" w14:textId="77777777" w:rsidR="00D7361F" w:rsidRPr="00E62B25" w:rsidRDefault="00D7361F" w:rsidP="005A1F7F">
      <w:pPr>
        <w:jc w:val="center"/>
        <w:rPr>
          <w:rFonts w:ascii="Arial" w:hAnsi="Arial" w:cs="Arial"/>
          <w:sz w:val="20"/>
        </w:rPr>
      </w:pPr>
    </w:p>
    <w:p w14:paraId="19139CBF" w14:textId="77777777" w:rsidR="00D7361F" w:rsidRPr="00E62B25" w:rsidRDefault="00D7361F" w:rsidP="005A1F7F">
      <w:pPr>
        <w:keepNext/>
        <w:keepLines/>
        <w:rPr>
          <w:rFonts w:ascii="Arial" w:hAnsi="Arial" w:cs="Arial"/>
          <w:i/>
          <w:sz w:val="20"/>
        </w:rPr>
      </w:pPr>
      <w:r w:rsidRPr="00E62B25">
        <w:rPr>
          <w:rFonts w:ascii="Arial" w:hAnsi="Arial" w:cs="Arial"/>
          <w:i/>
          <w:sz w:val="20"/>
        </w:rPr>
        <w:lastRenderedPageBreak/>
        <w:t>Adjustment by Currency Exchange Rates</w:t>
      </w:r>
    </w:p>
    <w:p w14:paraId="20711053" w14:textId="77777777" w:rsidR="00D7361F" w:rsidRPr="00E62B25" w:rsidRDefault="00D7361F" w:rsidP="005A1F7F">
      <w:pPr>
        <w:keepNext/>
        <w:keepLines/>
        <w:rPr>
          <w:rFonts w:ascii="Arial" w:hAnsi="Arial" w:cs="Arial"/>
          <w:sz w:val="20"/>
        </w:rPr>
      </w:pPr>
    </w:p>
    <w:p w14:paraId="2C8BF7D3" w14:textId="77777777"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t>PCT fees are paid in various currencies.  For those paid in “freely convertible” currencies, the amount equals to the “equivalent amount” set by the International Bureau; whereas for “not freely convertible” ones, the receiving offices convert them into equivalent amount in Swiss franc, Euro or US dollar (PCT Rule 15).  WIPO sets up the equivalent amounts according to the rules prescribed in the Directives of the PCT Assembly:  (1) the exchange rates on the first Monday of October is taken as the new WIPO exchange rates for setting the equivalent amounts for the following year;  (2) if for more than four consecutive Fridays the exchange rates are changed by 5 per cent, the Director General of WIPO should initiate consultation with offices for setting new equivalent amounts which should be effective after two months from their publication.</w:t>
      </w:r>
    </w:p>
    <w:p w14:paraId="10AF31EC" w14:textId="77777777" w:rsidR="00D7361F" w:rsidRPr="00E62B25" w:rsidRDefault="00D7361F" w:rsidP="005A1F7F">
      <w:pPr>
        <w:rPr>
          <w:rFonts w:ascii="Arial" w:hAnsi="Arial" w:cs="Arial"/>
          <w:sz w:val="20"/>
        </w:rPr>
      </w:pPr>
    </w:p>
    <w:p w14:paraId="2C1ADD2A"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Applicants pay international filing fee according to the equivalent amount on the filing date. However, due to delayed implementation of the equivalent amount, the market exchange rates are likely different from the WIPO rates at the time of payment, resulting in a gain or loss of PCT income.  The following graph shows the difference between WIPO exchange rates for setting the “equivalent amount” and the UN operational rates of exchange for the three currencies, namely the US dollar, Euro and Japanese Yen. </w:t>
      </w:r>
    </w:p>
    <w:p w14:paraId="1DA3511A" w14:textId="40CC578E" w:rsidR="00D7361F" w:rsidRPr="00E62B25" w:rsidRDefault="00D7361F" w:rsidP="005A1F7F">
      <w:pPr>
        <w:rPr>
          <w:rFonts w:ascii="Arial" w:hAnsi="Arial" w:cs="Arial"/>
          <w:sz w:val="20"/>
        </w:rPr>
      </w:pPr>
    </w:p>
    <w:p w14:paraId="1D6B18CE"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05B474C3" wp14:editId="39CCEE36">
            <wp:extent cx="5762625" cy="1616465"/>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62625" cy="1616465"/>
                    </a:xfrm>
                    <a:prstGeom prst="rect">
                      <a:avLst/>
                    </a:prstGeom>
                    <a:noFill/>
                  </pic:spPr>
                </pic:pic>
              </a:graphicData>
            </a:graphic>
          </wp:inline>
        </w:drawing>
      </w:r>
    </w:p>
    <w:p w14:paraId="30A35FD1" w14:textId="77777777" w:rsidR="00D7361F" w:rsidRPr="00E62B25" w:rsidRDefault="00D7361F" w:rsidP="005A1F7F">
      <w:pPr>
        <w:rPr>
          <w:rFonts w:ascii="Arial" w:hAnsi="Arial" w:cs="Arial"/>
          <w:sz w:val="20"/>
        </w:rPr>
      </w:pPr>
    </w:p>
    <w:p w14:paraId="069FAB9F" w14:textId="77777777"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t>The difference between the equivalent amount on the filing date and the amount converted to Swiss franc on the date of payment under UN exchange rates constitutes gain or loss of the PCT revenue.  The following graph shows the monthly gain/loss of the PCT income.</w:t>
      </w:r>
    </w:p>
    <w:p w14:paraId="3687AC4F" w14:textId="77777777" w:rsidR="00D7361F" w:rsidRPr="00E62B25" w:rsidRDefault="00D7361F" w:rsidP="005A1F7F">
      <w:pPr>
        <w:rPr>
          <w:rFonts w:ascii="Arial" w:hAnsi="Arial" w:cs="Arial"/>
          <w:sz w:val="20"/>
        </w:rPr>
      </w:pPr>
    </w:p>
    <w:p w14:paraId="0DEA195C"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704D6083" wp14:editId="53539EC6">
            <wp:extent cx="5591175" cy="1903077"/>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99555" cy="1905929"/>
                    </a:xfrm>
                    <a:prstGeom prst="rect">
                      <a:avLst/>
                    </a:prstGeom>
                    <a:noFill/>
                  </pic:spPr>
                </pic:pic>
              </a:graphicData>
            </a:graphic>
          </wp:inline>
        </w:drawing>
      </w:r>
    </w:p>
    <w:p w14:paraId="68DB9CE9" w14:textId="65CB3C11" w:rsidR="00D7361F" w:rsidRPr="00E62B25" w:rsidRDefault="00D7361F" w:rsidP="005A1F7F">
      <w:pPr>
        <w:rPr>
          <w:rFonts w:ascii="Arial" w:hAnsi="Arial" w:cs="Arial"/>
          <w:sz w:val="20"/>
        </w:rPr>
      </w:pPr>
    </w:p>
    <w:p w14:paraId="4C1F8337"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To the great surprise of market participants, the Swiss National Bank (SNB) announced on January 15, 2015 that it would abandon its exchange rate floor to the euro, triggering a sharp appreciation of the Swiss franc. It is expected that the PCT income will likely loose further 3.1 million Swiss francs as a result.</w:t>
      </w:r>
    </w:p>
    <w:p w14:paraId="6FF9B662" w14:textId="77777777" w:rsidR="00D7361F" w:rsidRPr="00E62B25" w:rsidRDefault="00D7361F" w:rsidP="005A1F7F">
      <w:pPr>
        <w:rPr>
          <w:rFonts w:ascii="Arial" w:hAnsi="Arial" w:cs="Arial"/>
          <w:sz w:val="20"/>
        </w:rPr>
      </w:pPr>
    </w:p>
    <w:p w14:paraId="59D6D2E6" w14:textId="007556E7"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lastRenderedPageBreak/>
        <w:t>The current PCT schedule o</w:t>
      </w:r>
      <w:r w:rsidR="00AD6316">
        <w:rPr>
          <w:rFonts w:ascii="Arial" w:hAnsi="Arial" w:cs="Arial"/>
          <w:sz w:val="20"/>
        </w:rPr>
        <w:t xml:space="preserve">f fees is reproduced in </w:t>
      </w:r>
      <w:r w:rsidR="00CD4ED7">
        <w:rPr>
          <w:rFonts w:ascii="Arial" w:hAnsi="Arial" w:cs="Arial"/>
          <w:sz w:val="20"/>
        </w:rPr>
        <w:t xml:space="preserve">the tables </w:t>
      </w:r>
      <w:r w:rsidRPr="00E62B25">
        <w:rPr>
          <w:rFonts w:ascii="Arial" w:hAnsi="Arial" w:cs="Arial"/>
          <w:sz w:val="20"/>
        </w:rPr>
        <w:t>below.</w:t>
      </w:r>
    </w:p>
    <w:p w14:paraId="2165A0CA" w14:textId="77777777" w:rsidR="00D7361F" w:rsidRPr="00E62B25" w:rsidRDefault="00D7361F" w:rsidP="005A1F7F">
      <w:pPr>
        <w:keepNext/>
        <w:keepLines/>
        <w:rPr>
          <w:rFonts w:ascii="Arial" w:hAnsi="Arial" w:cs="Arial"/>
          <w:sz w:val="20"/>
        </w:rPr>
      </w:pPr>
    </w:p>
    <w:tbl>
      <w:tblPr>
        <w:tblW w:w="0" w:type="auto"/>
        <w:tblLook w:val="01E0" w:firstRow="1" w:lastRow="1" w:firstColumn="1" w:lastColumn="1" w:noHBand="0" w:noVBand="0"/>
      </w:tblPr>
      <w:tblGrid>
        <w:gridCol w:w="4643"/>
        <w:gridCol w:w="4644"/>
      </w:tblGrid>
      <w:tr w:rsidR="00D7361F" w:rsidRPr="00E62B25" w14:paraId="454C5863" w14:textId="77777777" w:rsidTr="005A1F7F">
        <w:tc>
          <w:tcPr>
            <w:tcW w:w="4643" w:type="dxa"/>
            <w:shd w:val="clear" w:color="auto" w:fill="auto"/>
          </w:tcPr>
          <w:p w14:paraId="52D63A0D" w14:textId="195FBE90"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PCT Fee Schedule</w:t>
            </w:r>
          </w:p>
          <w:p w14:paraId="7F7DE84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(as of January 1, 2004)</w:t>
            </w:r>
          </w:p>
          <w:p w14:paraId="1C45BB2D" w14:textId="77777777" w:rsidR="00D7361F" w:rsidRPr="00AD6316" w:rsidRDefault="00D7361F" w:rsidP="005A1F7F">
            <w:pPr>
              <w:keepNext/>
              <w:keepLines/>
              <w:jc w:val="center"/>
              <w:rPr>
                <w:rFonts w:ascii="Arial" w:hAnsi="Arial" w:cs="Arial"/>
                <w:i/>
                <w:iCs/>
                <w:sz w:val="20"/>
                <w:szCs w:val="18"/>
              </w:rPr>
            </w:pPr>
            <w:r w:rsidRPr="00AD6316">
              <w:rPr>
                <w:rFonts w:ascii="Arial" w:hAnsi="Arial" w:cs="Arial"/>
                <w:i/>
                <w:iCs/>
                <w:sz w:val="20"/>
                <w:szCs w:val="18"/>
              </w:rPr>
              <w:t>(in Swiss francs)</w:t>
            </w:r>
          </w:p>
          <w:p w14:paraId="3A2A61B9" w14:textId="77777777" w:rsidR="00D7361F" w:rsidRPr="00E62B25" w:rsidRDefault="00D7361F" w:rsidP="005A1F7F">
            <w:pPr>
              <w:keepNext/>
              <w:keepLines/>
              <w:widowControl w:val="0"/>
              <w:jc w:val="center"/>
              <w:rPr>
                <w:rFonts w:ascii="Arial" w:hAnsi="Arial" w:cs="Arial"/>
                <w:sz w:val="20"/>
              </w:rPr>
            </w:pPr>
          </w:p>
        </w:tc>
        <w:tc>
          <w:tcPr>
            <w:tcW w:w="4644" w:type="dxa"/>
            <w:shd w:val="clear" w:color="auto" w:fill="auto"/>
          </w:tcPr>
          <w:p w14:paraId="06F3CEC7" w14:textId="04E20D82"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Revised PCT Fee Schedule</w:t>
            </w:r>
          </w:p>
          <w:p w14:paraId="5250503B"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(as of July 1, 2008)</w:t>
            </w:r>
          </w:p>
          <w:p w14:paraId="6E22BA27" w14:textId="77777777" w:rsidR="00D7361F" w:rsidRPr="00E62B25" w:rsidRDefault="00D7361F" w:rsidP="005A1F7F">
            <w:pPr>
              <w:keepNext/>
              <w:keepLines/>
              <w:widowControl w:val="0"/>
              <w:jc w:val="center"/>
              <w:rPr>
                <w:rFonts w:ascii="Arial" w:hAnsi="Arial" w:cs="Arial"/>
                <w:sz w:val="20"/>
              </w:rPr>
            </w:pPr>
            <w:r w:rsidRPr="00AD6316">
              <w:rPr>
                <w:rFonts w:ascii="Arial" w:hAnsi="Arial" w:cs="Arial"/>
                <w:i/>
                <w:iCs/>
                <w:sz w:val="20"/>
                <w:szCs w:val="18"/>
              </w:rPr>
              <w:t>(in Swiss francs)</w:t>
            </w:r>
          </w:p>
        </w:tc>
      </w:tr>
      <w:tr w:rsidR="00D7361F" w:rsidRPr="00E62B25" w14:paraId="5ACDC0AE" w14:textId="77777777" w:rsidTr="005A1F7F">
        <w:tc>
          <w:tcPr>
            <w:tcW w:w="4643" w:type="dxa"/>
            <w:shd w:val="clear" w:color="auto" w:fill="auto"/>
          </w:tcPr>
          <w:p w14:paraId="1CE7AF4D" w14:textId="77777777" w:rsidR="00D7361F" w:rsidRPr="00E62B25" w:rsidRDefault="00D7361F" w:rsidP="005A1F7F">
            <w:pPr>
              <w:keepNext/>
              <w:keepLines/>
              <w:widowControl w:val="0"/>
              <w:jc w:val="center"/>
              <w:rPr>
                <w:rFonts w:ascii="Arial" w:hAnsi="Arial" w:cs="Arial"/>
                <w:sz w:val="20"/>
              </w:rPr>
            </w:pPr>
            <w:r w:rsidRPr="00E62B25">
              <w:rPr>
                <w:rFonts w:ascii="Arial" w:hAnsi="Arial" w:cs="Arial"/>
                <w:noProof/>
                <w:sz w:val="20"/>
                <w:lang w:eastAsia="en-US"/>
              </w:rPr>
              <w:drawing>
                <wp:inline distT="0" distB="0" distL="0" distR="0" wp14:anchorId="392D6A45" wp14:editId="1E52BD79">
                  <wp:extent cx="2600325" cy="7810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600325" cy="781050"/>
                          </a:xfrm>
                          <a:prstGeom prst="rect">
                            <a:avLst/>
                          </a:prstGeom>
                          <a:noFill/>
                          <a:ln>
                            <a:noFill/>
                          </a:ln>
                        </pic:spPr>
                      </pic:pic>
                    </a:graphicData>
                  </a:graphic>
                </wp:inline>
              </w:drawing>
            </w:r>
          </w:p>
        </w:tc>
        <w:tc>
          <w:tcPr>
            <w:tcW w:w="4644" w:type="dxa"/>
            <w:shd w:val="clear" w:color="auto" w:fill="auto"/>
          </w:tcPr>
          <w:p w14:paraId="7F3CCE92" w14:textId="77777777" w:rsidR="00D7361F" w:rsidRPr="00E62B25" w:rsidRDefault="00D7361F" w:rsidP="005A1F7F">
            <w:pPr>
              <w:keepNext/>
              <w:keepLines/>
              <w:widowControl w:val="0"/>
              <w:jc w:val="center"/>
              <w:rPr>
                <w:rFonts w:ascii="Arial" w:hAnsi="Arial" w:cs="Arial"/>
                <w:sz w:val="20"/>
              </w:rPr>
            </w:pPr>
            <w:r w:rsidRPr="00E62B25">
              <w:rPr>
                <w:rFonts w:ascii="Arial" w:hAnsi="Arial" w:cs="Arial"/>
                <w:noProof/>
                <w:sz w:val="20"/>
                <w:lang w:eastAsia="en-US"/>
              </w:rPr>
              <w:drawing>
                <wp:inline distT="0" distB="0" distL="0" distR="0" wp14:anchorId="673B8DB7" wp14:editId="72B89F9C">
                  <wp:extent cx="2600325" cy="7810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600325" cy="781050"/>
                          </a:xfrm>
                          <a:prstGeom prst="rect">
                            <a:avLst/>
                          </a:prstGeom>
                          <a:noFill/>
                          <a:ln>
                            <a:noFill/>
                          </a:ln>
                        </pic:spPr>
                      </pic:pic>
                    </a:graphicData>
                  </a:graphic>
                </wp:inline>
              </w:drawing>
            </w:r>
          </w:p>
        </w:tc>
      </w:tr>
    </w:tbl>
    <w:p w14:paraId="2265C6FA" w14:textId="77777777" w:rsidR="00D7361F" w:rsidRPr="00E62B25" w:rsidRDefault="00D7361F" w:rsidP="005A1F7F">
      <w:pPr>
        <w:keepNext/>
        <w:keepLines/>
        <w:rPr>
          <w:rFonts w:ascii="Arial" w:hAnsi="Arial" w:cs="Arial"/>
          <w:sz w:val="20"/>
        </w:rPr>
      </w:pPr>
    </w:p>
    <w:p w14:paraId="358F30A6" w14:textId="77777777" w:rsidR="00D7361F" w:rsidRPr="00E62B25" w:rsidRDefault="00D7361F" w:rsidP="005A1F7F">
      <w:pPr>
        <w:rPr>
          <w:rFonts w:ascii="Arial" w:hAnsi="Arial" w:cs="Arial"/>
          <w:sz w:val="20"/>
        </w:rPr>
      </w:pPr>
    </w:p>
    <w:p w14:paraId="514A2340" w14:textId="77777777" w:rsidR="00D7361F" w:rsidRPr="00E62B25" w:rsidRDefault="00D7361F" w:rsidP="005A1F7F">
      <w:pPr>
        <w:widowControl w:val="0"/>
        <w:jc w:val="both"/>
        <w:rPr>
          <w:rFonts w:ascii="Arial" w:hAnsi="Arial" w:cs="Arial"/>
          <w:b/>
          <w:sz w:val="20"/>
        </w:rPr>
      </w:pPr>
      <w:smartTag w:uri="urn:schemas-microsoft-com:office:smarttags" w:element="place">
        <w:smartTag w:uri="urn:schemas-microsoft-com:office:smarttags" w:element="State">
          <w:r w:rsidRPr="00E62B25">
            <w:rPr>
              <w:rFonts w:ascii="Arial" w:hAnsi="Arial" w:cs="Arial"/>
              <w:b/>
              <w:sz w:val="20"/>
            </w:rPr>
            <w:t>Madrid</w:t>
          </w:r>
        </w:smartTag>
      </w:smartTag>
    </w:p>
    <w:p w14:paraId="24372B03" w14:textId="77777777" w:rsidR="00D7361F" w:rsidRPr="00E62B25" w:rsidRDefault="00D7361F" w:rsidP="005A1F7F">
      <w:pPr>
        <w:keepNext/>
        <w:widowControl w:val="0"/>
        <w:rPr>
          <w:rFonts w:ascii="Arial" w:hAnsi="Arial" w:cs="Arial"/>
          <w:b/>
          <w:sz w:val="20"/>
        </w:rPr>
      </w:pPr>
    </w:p>
    <w:p w14:paraId="7379E6FB" w14:textId="77777777" w:rsidR="00D7361F" w:rsidRPr="00E62B25" w:rsidRDefault="00D7361F" w:rsidP="005A1F7F">
      <w:pPr>
        <w:keepNext/>
        <w:widowControl w:val="0"/>
        <w:rPr>
          <w:rFonts w:ascii="Arial" w:hAnsi="Arial" w:cs="Arial"/>
          <w:sz w:val="20"/>
        </w:rPr>
      </w:pP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 Forecast of Demand for International Registration</w:t>
      </w:r>
      <w:r w:rsidRPr="00E62B25">
        <w:rPr>
          <w:rFonts w:ascii="Arial" w:hAnsi="Arial" w:cs="Arial"/>
          <w:i/>
          <w:sz w:val="20"/>
        </w:rPr>
        <w:br/>
      </w:r>
    </w:p>
    <w:p w14:paraId="269F23AC"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 6 shows the forecast for the years 2015 to 2017.  The forecast of </w:t>
      </w:r>
      <w:smartTag w:uri="urn:schemas-microsoft-com:office:smarttags" w:element="place">
        <w:smartTag w:uri="urn:schemas-microsoft-com:office:smarttags" w:element="State">
          <w:r w:rsidRPr="00E62B25">
            <w:rPr>
              <w:rFonts w:ascii="Arial" w:hAnsi="Arial" w:cs="Arial"/>
              <w:sz w:val="20"/>
            </w:rPr>
            <w:t>Madrid</w:t>
          </w:r>
        </w:smartTag>
      </w:smartTag>
      <w:r w:rsidRPr="00E62B25">
        <w:rPr>
          <w:rFonts w:ascii="Arial" w:hAnsi="Arial" w:cs="Arial"/>
          <w:sz w:val="20"/>
        </w:rPr>
        <w:t xml:space="preserve"> registrations is based on multiple models, including autoregressive models, econometric models and transfer models.  The autoregressive models are performed on both registrations and applications.  The results of applications are then transformed into registration forecast using the average processing delay.  The econometric models are based on actual GDP data and GDP forecasts released by the International Monetary Fund (IMF).  The results by different models are further combined to control for the uncertainty arising from the correct model specification. </w:t>
      </w:r>
    </w:p>
    <w:p w14:paraId="422833F5" w14:textId="77777777" w:rsidR="00D7361F" w:rsidRPr="00E62B25" w:rsidRDefault="00D7361F" w:rsidP="005A1F7F">
      <w:pPr>
        <w:widowControl w:val="0"/>
        <w:rPr>
          <w:rFonts w:ascii="Arial" w:hAnsi="Arial" w:cs="Arial"/>
          <w:sz w:val="20"/>
        </w:rPr>
      </w:pPr>
    </w:p>
    <w:p w14:paraId="1B5E19DE" w14:textId="77777777" w:rsidR="00D7361F" w:rsidRPr="00AD6316" w:rsidRDefault="00D7361F" w:rsidP="005A7FDC">
      <w:pPr>
        <w:keepNext/>
        <w:keepLines/>
        <w:jc w:val="center"/>
        <w:rPr>
          <w:rFonts w:ascii="Arial" w:hAnsi="Arial" w:cs="Arial"/>
          <w:sz w:val="20"/>
          <w:szCs w:val="18"/>
        </w:rPr>
      </w:pPr>
      <w:r w:rsidRPr="00AD6316">
        <w:rPr>
          <w:rFonts w:ascii="Arial" w:hAnsi="Arial" w:cs="Arial"/>
          <w:sz w:val="20"/>
          <w:szCs w:val="18"/>
        </w:rPr>
        <w:t xml:space="preserve">Chart 6.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Demand for International Registration</w:t>
      </w:r>
    </w:p>
    <w:p w14:paraId="041327A7" w14:textId="77777777" w:rsidR="00D7361F" w:rsidRPr="00E62B25" w:rsidRDefault="00D7361F" w:rsidP="005A7FDC">
      <w:pPr>
        <w:keepNext/>
        <w:keepLines/>
        <w:rPr>
          <w:rFonts w:ascii="Arial" w:hAnsi="Arial" w:cs="Arial"/>
          <w:sz w:val="20"/>
        </w:rPr>
      </w:pPr>
    </w:p>
    <w:p w14:paraId="6DE4E883" w14:textId="77777777" w:rsidR="00D7361F" w:rsidRPr="00E62B25" w:rsidRDefault="00D7361F" w:rsidP="005A7FDC">
      <w:pPr>
        <w:keepNext/>
        <w:keepLines/>
        <w:jc w:val="center"/>
        <w:rPr>
          <w:rFonts w:ascii="Arial" w:hAnsi="Arial" w:cs="Arial"/>
          <w:sz w:val="20"/>
        </w:rPr>
      </w:pPr>
      <w:r w:rsidRPr="00E62B25">
        <w:rPr>
          <w:rFonts w:ascii="Arial" w:hAnsi="Arial" w:cs="Arial"/>
          <w:noProof/>
          <w:sz w:val="20"/>
          <w:lang w:eastAsia="en-US"/>
        </w:rPr>
        <w:drawing>
          <wp:inline distT="0" distB="0" distL="0" distR="0" wp14:anchorId="2FD026B9" wp14:editId="5F6A5535">
            <wp:extent cx="4610100" cy="261516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08502" cy="2614255"/>
                    </a:xfrm>
                    <a:prstGeom prst="rect">
                      <a:avLst/>
                    </a:prstGeom>
                    <a:noFill/>
                  </pic:spPr>
                </pic:pic>
              </a:graphicData>
            </a:graphic>
          </wp:inline>
        </w:drawing>
      </w:r>
    </w:p>
    <w:p w14:paraId="01B8E84C" w14:textId="77777777" w:rsidR="00D7361F" w:rsidRPr="00E62B25" w:rsidRDefault="00D7361F" w:rsidP="005A1F7F">
      <w:pPr>
        <w:jc w:val="center"/>
        <w:rPr>
          <w:rFonts w:ascii="Arial" w:hAnsi="Arial" w:cs="Arial"/>
          <w:sz w:val="20"/>
        </w:rPr>
      </w:pPr>
      <w:r w:rsidRPr="00E62B25">
        <w:rPr>
          <w:rFonts w:ascii="Arial" w:hAnsi="Arial" w:cs="Arial"/>
          <w:noProof/>
          <w:lang w:eastAsia="en-US"/>
        </w:rPr>
        <w:drawing>
          <wp:inline distT="0" distB="0" distL="0" distR="0" wp14:anchorId="0D53AF78" wp14:editId="5E7F4092">
            <wp:extent cx="4543425" cy="721603"/>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43425" cy="721603"/>
                    </a:xfrm>
                    <a:prstGeom prst="rect">
                      <a:avLst/>
                    </a:prstGeom>
                    <a:noFill/>
                    <a:ln>
                      <a:noFill/>
                    </a:ln>
                  </pic:spPr>
                </pic:pic>
              </a:graphicData>
            </a:graphic>
          </wp:inline>
        </w:drawing>
      </w:r>
    </w:p>
    <w:p w14:paraId="2DB46515" w14:textId="77777777" w:rsidR="00D7361F" w:rsidRPr="00E62B25" w:rsidRDefault="00D7361F" w:rsidP="005A1F7F">
      <w:pPr>
        <w:rPr>
          <w:rFonts w:ascii="Arial" w:hAnsi="Arial" w:cs="Arial"/>
          <w:sz w:val="20"/>
        </w:rPr>
      </w:pPr>
    </w:p>
    <w:p w14:paraId="7C969651" w14:textId="77777777" w:rsidR="00D7361F" w:rsidRPr="00E62B25" w:rsidRDefault="00D7361F" w:rsidP="005A1F7F">
      <w:pPr>
        <w:rPr>
          <w:rFonts w:ascii="Arial" w:hAnsi="Arial" w:cs="Arial"/>
          <w:sz w:val="20"/>
        </w:rPr>
      </w:pPr>
    </w:p>
    <w:p w14:paraId="3811A167"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The above numbers were added to the results from the autoregressive models.  The registrations will likely be within a range with certain probabilities.  The following graph and table indicate the probabilistic distribution of applications.</w:t>
      </w:r>
    </w:p>
    <w:p w14:paraId="1769CF8D" w14:textId="77777777" w:rsidR="00D7361F" w:rsidRDefault="00D7361F" w:rsidP="005A1F7F">
      <w:pPr>
        <w:rPr>
          <w:rFonts w:ascii="Arial" w:hAnsi="Arial" w:cs="Arial"/>
          <w:sz w:val="20"/>
        </w:rPr>
      </w:pPr>
    </w:p>
    <w:p w14:paraId="585FF1F0" w14:textId="77777777" w:rsidR="005D3486" w:rsidRPr="00E62B25" w:rsidRDefault="005D3486" w:rsidP="005A1F7F">
      <w:pPr>
        <w:rPr>
          <w:rFonts w:ascii="Arial" w:hAnsi="Arial" w:cs="Arial"/>
          <w:sz w:val="20"/>
        </w:rPr>
      </w:pPr>
    </w:p>
    <w:p w14:paraId="514C139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lastRenderedPageBreak/>
        <w:t>Application Probabilistic Distribution</w:t>
      </w:r>
    </w:p>
    <w:p w14:paraId="6E993B22"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52DD00CC" wp14:editId="03747133">
            <wp:extent cx="4076700" cy="230544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76700" cy="2305444"/>
                    </a:xfrm>
                    <a:prstGeom prst="rect">
                      <a:avLst/>
                    </a:prstGeom>
                    <a:noFill/>
                  </pic:spPr>
                </pic:pic>
              </a:graphicData>
            </a:graphic>
          </wp:inline>
        </w:drawing>
      </w:r>
    </w:p>
    <w:p w14:paraId="077E8409" w14:textId="77777777" w:rsidR="00D7361F" w:rsidRPr="00E62B25" w:rsidRDefault="00D7361F" w:rsidP="005D3486">
      <w:pPr>
        <w:rPr>
          <w:rFonts w:ascii="Arial" w:hAnsi="Arial" w:cs="Arial"/>
          <w:sz w:val="20"/>
        </w:rPr>
      </w:pPr>
    </w:p>
    <w:p w14:paraId="1B9C0A57" w14:textId="77777777" w:rsidR="00D7361F" w:rsidRPr="00AD6316" w:rsidRDefault="00D7361F" w:rsidP="005D3486">
      <w:pPr>
        <w:keepNext/>
        <w:keepLines/>
        <w:jc w:val="center"/>
        <w:rPr>
          <w:rFonts w:ascii="Arial" w:hAnsi="Arial" w:cs="Arial"/>
          <w:sz w:val="20"/>
          <w:szCs w:val="18"/>
        </w:rPr>
      </w:pPr>
      <w:r w:rsidRPr="00AD6316">
        <w:rPr>
          <w:rFonts w:ascii="Arial" w:hAnsi="Arial" w:cs="Arial"/>
          <w:sz w:val="20"/>
          <w:szCs w:val="18"/>
        </w:rPr>
        <w:t>Madrid application Scenarios</w:t>
      </w:r>
    </w:p>
    <w:p w14:paraId="4C456081" w14:textId="77777777" w:rsidR="00D7361F" w:rsidRPr="00AD6316" w:rsidRDefault="00D7361F" w:rsidP="005D3486">
      <w:pPr>
        <w:keepNext/>
        <w:keepLines/>
        <w:rPr>
          <w:rFonts w:ascii="Arial" w:hAnsi="Arial" w:cs="Arial"/>
        </w:rPr>
      </w:pPr>
    </w:p>
    <w:p w14:paraId="1C9417D9" w14:textId="77777777" w:rsidR="00D7361F" w:rsidRPr="00E62B25" w:rsidRDefault="00D7361F" w:rsidP="005D3486">
      <w:pPr>
        <w:keepNext/>
        <w:keepLines/>
        <w:jc w:val="center"/>
        <w:rPr>
          <w:rFonts w:ascii="Arial" w:hAnsi="Arial" w:cs="Arial"/>
        </w:rPr>
      </w:pPr>
      <w:r w:rsidRPr="00E62B25">
        <w:rPr>
          <w:rFonts w:ascii="Arial" w:hAnsi="Arial" w:cs="Arial"/>
          <w:noProof/>
          <w:lang w:eastAsia="en-US"/>
        </w:rPr>
        <w:drawing>
          <wp:inline distT="0" distB="0" distL="0" distR="0" wp14:anchorId="252751E6" wp14:editId="707DAA03">
            <wp:extent cx="3114675" cy="31146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14:paraId="78639148" w14:textId="77777777" w:rsidR="00D7361F" w:rsidRPr="00E62B25" w:rsidRDefault="00D7361F" w:rsidP="005D3486">
      <w:pPr>
        <w:keepNext/>
        <w:keepLines/>
        <w:rPr>
          <w:rFonts w:ascii="Arial" w:hAnsi="Arial" w:cs="Arial"/>
        </w:rPr>
      </w:pPr>
    </w:p>
    <w:p w14:paraId="1EC972DD" w14:textId="77777777" w:rsidR="00D7361F" w:rsidRPr="00E62B25" w:rsidRDefault="00D7361F" w:rsidP="005D3486">
      <w:pPr>
        <w:keepNext/>
        <w:keepLines/>
        <w:rPr>
          <w:rFonts w:ascii="Arial" w:hAnsi="Arial" w:cs="Arial"/>
        </w:rPr>
      </w:pPr>
    </w:p>
    <w:p w14:paraId="31485DEE" w14:textId="77777777" w:rsidR="00D7361F" w:rsidRPr="00E62B25" w:rsidRDefault="00D7361F" w:rsidP="005A1F7F">
      <w:pPr>
        <w:widowControl w:val="0"/>
        <w:rPr>
          <w:rFonts w:ascii="Arial" w:hAnsi="Arial" w:cs="Arial"/>
          <w:i/>
          <w:sz w:val="20"/>
        </w:rPr>
      </w:pP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 Forecast of Demand for Renewals</w:t>
      </w:r>
    </w:p>
    <w:p w14:paraId="40483E8A" w14:textId="77777777" w:rsidR="00D7361F" w:rsidRPr="00E62B25" w:rsidRDefault="00D7361F" w:rsidP="005A1F7F">
      <w:pPr>
        <w:widowControl w:val="0"/>
        <w:rPr>
          <w:rFonts w:ascii="Arial" w:hAnsi="Arial" w:cs="Arial"/>
          <w:sz w:val="20"/>
        </w:rPr>
      </w:pPr>
    </w:p>
    <w:p w14:paraId="2E940E20"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Chart 7 shows the forecast for the years 2015 to 2017.  Renewals are similarly forecasted based on regression models and the transfer model.  In addition to the autoregressive models on the renewal time series, we also used a regression model on both renewals and registrations.  This regression model assumes that first-time renewals depend on registrations with a ten-year lag, whereas subsequent renewals depend on past renewals with a ten-year lag.  The transfer model looks at the potential stock of registrations coming up for renewal, and applies a percentage that is calculated from past years.  Results from different models are then combined.</w:t>
      </w:r>
    </w:p>
    <w:p w14:paraId="00EE9AE0" w14:textId="77777777" w:rsidR="00D7361F" w:rsidRPr="00E62B25" w:rsidRDefault="00D7361F" w:rsidP="005A1F7F">
      <w:pPr>
        <w:rPr>
          <w:rFonts w:ascii="Arial" w:hAnsi="Arial" w:cs="Arial"/>
        </w:rPr>
      </w:pPr>
    </w:p>
    <w:p w14:paraId="5CB82E28" w14:textId="7E6400B6" w:rsidR="00D7361F" w:rsidRDefault="00D7361F" w:rsidP="005A1F7F">
      <w:pPr>
        <w:keepNext/>
        <w:keepLines/>
        <w:jc w:val="center"/>
        <w:rPr>
          <w:rFonts w:ascii="Arial" w:hAnsi="Arial" w:cs="Arial"/>
          <w:sz w:val="20"/>
          <w:szCs w:val="18"/>
        </w:rPr>
      </w:pPr>
      <w:r w:rsidRPr="00AD6316">
        <w:rPr>
          <w:rFonts w:ascii="Arial" w:hAnsi="Arial" w:cs="Arial"/>
          <w:sz w:val="20"/>
          <w:szCs w:val="18"/>
        </w:rPr>
        <w:lastRenderedPageBreak/>
        <w:t>Chart 7.  Madrid Renew</w:t>
      </w:r>
      <w:r w:rsidR="00CD4ED7">
        <w:rPr>
          <w:rFonts w:ascii="Arial" w:hAnsi="Arial" w:cs="Arial"/>
          <w:sz w:val="20"/>
          <w:szCs w:val="18"/>
        </w:rPr>
        <w:t>al</w:t>
      </w:r>
      <w:r w:rsidRPr="00AD6316">
        <w:rPr>
          <w:rFonts w:ascii="Arial" w:hAnsi="Arial" w:cs="Arial"/>
          <w:sz w:val="20"/>
          <w:szCs w:val="18"/>
        </w:rPr>
        <w:t xml:space="preserve"> Forecast</w:t>
      </w:r>
    </w:p>
    <w:p w14:paraId="1260DE3B" w14:textId="77777777" w:rsidR="00A6543C" w:rsidRPr="00AD6316" w:rsidRDefault="00A6543C" w:rsidP="005A1F7F">
      <w:pPr>
        <w:keepNext/>
        <w:keepLines/>
        <w:jc w:val="center"/>
        <w:rPr>
          <w:rFonts w:ascii="Arial" w:hAnsi="Arial" w:cs="Arial"/>
          <w:sz w:val="20"/>
          <w:szCs w:val="18"/>
        </w:rPr>
      </w:pPr>
    </w:p>
    <w:p w14:paraId="20CFA9DF"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1FF01D8B" wp14:editId="64CFC9A4">
            <wp:extent cx="4162425" cy="2151660"/>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3">
                      <a:extLst>
                        <a:ext uri="{28A0092B-C50C-407E-A947-70E740481C1C}">
                          <a14:useLocalDpi xmlns:a14="http://schemas.microsoft.com/office/drawing/2010/main" val="0"/>
                        </a:ext>
                      </a:extLst>
                    </a:blip>
                    <a:srcRect t="8874"/>
                    <a:stretch/>
                  </pic:blipFill>
                  <pic:spPr bwMode="auto">
                    <a:xfrm>
                      <a:off x="0" y="0"/>
                      <a:ext cx="4165793" cy="2153401"/>
                    </a:xfrm>
                    <a:prstGeom prst="rect">
                      <a:avLst/>
                    </a:prstGeom>
                    <a:noFill/>
                    <a:ln>
                      <a:noFill/>
                    </a:ln>
                    <a:extLst>
                      <a:ext uri="{53640926-AAD7-44D8-BBD7-CCE9431645EC}">
                        <a14:shadowObscured xmlns:a14="http://schemas.microsoft.com/office/drawing/2010/main"/>
                      </a:ext>
                    </a:extLst>
                  </pic:spPr>
                </pic:pic>
              </a:graphicData>
            </a:graphic>
          </wp:inline>
        </w:drawing>
      </w:r>
    </w:p>
    <w:p w14:paraId="59B4A02F"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6D8AA46B" wp14:editId="7AD28DC9">
            <wp:extent cx="4514850" cy="7875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14850" cy="787580"/>
                    </a:xfrm>
                    <a:prstGeom prst="rect">
                      <a:avLst/>
                    </a:prstGeom>
                    <a:noFill/>
                    <a:ln>
                      <a:noFill/>
                    </a:ln>
                  </pic:spPr>
                </pic:pic>
              </a:graphicData>
            </a:graphic>
          </wp:inline>
        </w:drawing>
      </w:r>
    </w:p>
    <w:p w14:paraId="0172128E" w14:textId="77777777" w:rsidR="00D7361F" w:rsidRDefault="00D7361F" w:rsidP="005A1F7F">
      <w:pPr>
        <w:keepNext/>
        <w:keepLines/>
        <w:rPr>
          <w:rFonts w:ascii="Arial" w:hAnsi="Arial" w:cs="Arial"/>
          <w:sz w:val="20"/>
        </w:rPr>
      </w:pPr>
    </w:p>
    <w:p w14:paraId="4AF41F48" w14:textId="77777777" w:rsidR="00A6543C" w:rsidRPr="00E62B25" w:rsidRDefault="00A6543C" w:rsidP="005A1F7F">
      <w:pPr>
        <w:keepNext/>
        <w:keepLines/>
        <w:rPr>
          <w:rFonts w:ascii="Arial" w:hAnsi="Arial" w:cs="Arial"/>
          <w:sz w:val="20"/>
        </w:rPr>
      </w:pPr>
    </w:p>
    <w:p w14:paraId="48A072B4" w14:textId="77777777" w:rsidR="00D7361F" w:rsidRPr="00AD6316" w:rsidRDefault="00D7361F" w:rsidP="005A1F7F">
      <w:pPr>
        <w:spacing w:after="60"/>
        <w:jc w:val="center"/>
        <w:rPr>
          <w:rFonts w:ascii="Arial" w:hAnsi="Arial" w:cs="Arial"/>
          <w:sz w:val="20"/>
          <w:szCs w:val="18"/>
        </w:rPr>
      </w:pPr>
      <w:r w:rsidRPr="00AD6316">
        <w:rPr>
          <w:rFonts w:ascii="Arial" w:hAnsi="Arial" w:cs="Arial"/>
          <w:sz w:val="20"/>
          <w:szCs w:val="18"/>
        </w:rPr>
        <w:t>Renewal Probabilistic Distribution</w:t>
      </w:r>
    </w:p>
    <w:p w14:paraId="4E5D3493" w14:textId="1277824E" w:rsidR="00D7361F" w:rsidRDefault="00D7361F" w:rsidP="00AD6316">
      <w:pPr>
        <w:jc w:val="center"/>
        <w:rPr>
          <w:rFonts w:ascii="Arial" w:hAnsi="Arial" w:cs="Arial"/>
          <w:sz w:val="20"/>
        </w:rPr>
      </w:pPr>
      <w:r w:rsidRPr="00E62B25">
        <w:rPr>
          <w:rFonts w:ascii="Arial" w:hAnsi="Arial" w:cs="Arial"/>
          <w:noProof/>
          <w:sz w:val="20"/>
          <w:lang w:eastAsia="en-US"/>
        </w:rPr>
        <w:drawing>
          <wp:inline distT="0" distB="0" distL="0" distR="0" wp14:anchorId="7A964E07" wp14:editId="3A414E1F">
            <wp:extent cx="4476750" cy="22764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5">
                      <a:extLst>
                        <a:ext uri="{28A0092B-C50C-407E-A947-70E740481C1C}">
                          <a14:useLocalDpi xmlns:a14="http://schemas.microsoft.com/office/drawing/2010/main" val="0"/>
                        </a:ext>
                      </a:extLst>
                    </a:blip>
                    <a:srcRect t="9470" r="-679"/>
                    <a:stretch/>
                  </pic:blipFill>
                  <pic:spPr bwMode="auto">
                    <a:xfrm>
                      <a:off x="0" y="0"/>
                      <a:ext cx="4476750"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68B6D114" w14:textId="77777777" w:rsidR="00D7361F" w:rsidRPr="00AD6316" w:rsidRDefault="00D7361F" w:rsidP="00AD6316">
      <w:pPr>
        <w:keepNext/>
        <w:keepLines/>
        <w:spacing w:after="60"/>
        <w:jc w:val="center"/>
        <w:rPr>
          <w:rFonts w:ascii="Arial" w:hAnsi="Arial" w:cs="Arial"/>
        </w:rPr>
      </w:pPr>
      <w:r w:rsidRPr="00AD6316">
        <w:rPr>
          <w:rFonts w:ascii="Arial" w:hAnsi="Arial" w:cs="Arial"/>
          <w:sz w:val="20"/>
          <w:szCs w:val="18"/>
        </w:rPr>
        <w:lastRenderedPageBreak/>
        <w:t>Madrid Renewal Scenarios</w:t>
      </w:r>
    </w:p>
    <w:p w14:paraId="487FD8C3" w14:textId="77777777" w:rsidR="00D7361F" w:rsidRPr="00E62B25" w:rsidRDefault="00D7361F" w:rsidP="00AD6316">
      <w:pPr>
        <w:keepNext/>
        <w:keepLines/>
        <w:jc w:val="center"/>
        <w:rPr>
          <w:rFonts w:ascii="Arial" w:hAnsi="Arial" w:cs="Arial"/>
          <w:sz w:val="20"/>
        </w:rPr>
      </w:pPr>
      <w:r w:rsidRPr="00E62B25">
        <w:rPr>
          <w:rFonts w:ascii="Arial" w:hAnsi="Arial" w:cs="Arial"/>
          <w:noProof/>
          <w:lang w:eastAsia="en-US"/>
        </w:rPr>
        <w:drawing>
          <wp:inline distT="0" distB="0" distL="0" distR="0" wp14:anchorId="6F238571" wp14:editId="40C32AF9">
            <wp:extent cx="3095625" cy="31146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95625" cy="3114675"/>
                    </a:xfrm>
                    <a:prstGeom prst="rect">
                      <a:avLst/>
                    </a:prstGeom>
                    <a:noFill/>
                    <a:ln>
                      <a:noFill/>
                    </a:ln>
                  </pic:spPr>
                </pic:pic>
              </a:graphicData>
            </a:graphic>
          </wp:inline>
        </w:drawing>
      </w:r>
    </w:p>
    <w:p w14:paraId="6BAB8B47" w14:textId="77777777" w:rsidR="00D7361F" w:rsidRPr="00E62B25" w:rsidRDefault="00D7361F" w:rsidP="005A1F7F">
      <w:pPr>
        <w:jc w:val="center"/>
        <w:rPr>
          <w:rFonts w:ascii="Arial" w:hAnsi="Arial" w:cs="Arial"/>
          <w:sz w:val="20"/>
        </w:rPr>
      </w:pPr>
    </w:p>
    <w:p w14:paraId="2F0B05D9" w14:textId="77777777" w:rsidR="00D7361F" w:rsidRPr="00E62B25" w:rsidRDefault="00D7361F" w:rsidP="005A1F7F">
      <w:pPr>
        <w:jc w:val="center"/>
        <w:rPr>
          <w:rFonts w:ascii="Arial" w:hAnsi="Arial" w:cs="Arial"/>
          <w:sz w:val="20"/>
        </w:rPr>
      </w:pPr>
    </w:p>
    <w:p w14:paraId="54EC349E" w14:textId="77777777" w:rsidR="00D7361F" w:rsidRPr="00E62B25" w:rsidRDefault="00D7361F" w:rsidP="005A1F7F">
      <w:pPr>
        <w:widowControl w:val="0"/>
        <w:rPr>
          <w:rFonts w:ascii="Arial" w:hAnsi="Arial" w:cs="Arial"/>
          <w:sz w:val="20"/>
        </w:rPr>
      </w:pPr>
      <w:r w:rsidRPr="00E62B25">
        <w:rPr>
          <w:rFonts w:ascii="Arial" w:hAnsi="Arial" w:cs="Arial"/>
          <w:i/>
          <w:sz w:val="20"/>
        </w:rPr>
        <w:t xml:space="preserve">Expected Level of </w:t>
      </w: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Fee Income</w:t>
      </w:r>
      <w:r w:rsidRPr="00E62B25">
        <w:rPr>
          <w:rFonts w:ascii="Arial" w:hAnsi="Arial" w:cs="Arial"/>
          <w:i/>
          <w:sz w:val="20"/>
        </w:rPr>
        <w:br/>
      </w:r>
    </w:p>
    <w:p w14:paraId="04AB62A0"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Madrid fee income derives from three categories of services offered by WIPO under the Madrid System, namely:  (a) the recording of international registrations; </w:t>
      </w:r>
      <w:r>
        <w:rPr>
          <w:rFonts w:ascii="Arial" w:hAnsi="Arial" w:cs="Arial"/>
          <w:sz w:val="20"/>
        </w:rPr>
        <w:t xml:space="preserve"> </w:t>
      </w:r>
      <w:r w:rsidRPr="00E62B25">
        <w:rPr>
          <w:rFonts w:ascii="Arial" w:hAnsi="Arial" w:cs="Arial"/>
          <w:sz w:val="20"/>
        </w:rPr>
        <w:t xml:space="preserve">(b) the recording of renewals; </w:t>
      </w:r>
      <w:r>
        <w:rPr>
          <w:rFonts w:ascii="Arial" w:hAnsi="Arial" w:cs="Arial"/>
          <w:sz w:val="20"/>
        </w:rPr>
        <w:t xml:space="preserve"> </w:t>
      </w:r>
      <w:r w:rsidRPr="00E62B25">
        <w:rPr>
          <w:rFonts w:ascii="Arial" w:hAnsi="Arial" w:cs="Arial"/>
          <w:sz w:val="20"/>
        </w:rPr>
        <w:t xml:space="preserve">(c) the recording of subsequent designations and (d) other services, including different modifications and the issuance of extracts.  </w:t>
      </w:r>
    </w:p>
    <w:p w14:paraId="3DF343B4" w14:textId="77777777" w:rsidR="00D7361F" w:rsidRPr="00E62B25" w:rsidRDefault="00D7361F" w:rsidP="005A1F7F">
      <w:pPr>
        <w:tabs>
          <w:tab w:val="left" w:pos="540"/>
        </w:tabs>
        <w:jc w:val="both"/>
        <w:rPr>
          <w:rFonts w:ascii="Arial" w:hAnsi="Arial" w:cs="Arial"/>
          <w:sz w:val="20"/>
        </w:rPr>
      </w:pPr>
    </w:p>
    <w:p w14:paraId="38793758" w14:textId="77777777" w:rsidR="00D7361F" w:rsidRPr="00E62B25" w:rsidRDefault="00D7361F" w:rsidP="00B66A4A">
      <w:pPr>
        <w:numPr>
          <w:ilvl w:val="0"/>
          <w:numId w:val="38"/>
        </w:numPr>
        <w:tabs>
          <w:tab w:val="left" w:pos="540"/>
        </w:tabs>
        <w:jc w:val="both"/>
        <w:rPr>
          <w:rFonts w:ascii="Arial" w:hAnsi="Arial" w:cs="Arial"/>
          <w:sz w:val="18"/>
          <w:szCs w:val="18"/>
        </w:rPr>
      </w:pPr>
      <w:r w:rsidRPr="00E62B25">
        <w:rPr>
          <w:rFonts w:ascii="Arial" w:hAnsi="Arial" w:cs="Arial"/>
          <w:sz w:val="20"/>
        </w:rPr>
        <w:t>Chart 8 below shows the estimated figures of Madrid fee income for the period 2015 to 2017, attributable to each of the above</w:t>
      </w:r>
      <w:r w:rsidRPr="00E62B25">
        <w:rPr>
          <w:rFonts w:ascii="Arial" w:hAnsi="Arial" w:cs="Arial"/>
          <w:sz w:val="20"/>
        </w:rPr>
        <w:noBreakHyphen/>
        <w:t xml:space="preserve">mentioned categories of services.  Income estimates are based on the numbers of international registrations and renewals that are expected to get recorded from 2015 to 2017. </w:t>
      </w:r>
    </w:p>
    <w:p w14:paraId="1D4CF47A" w14:textId="77777777" w:rsidR="00D7361F" w:rsidRPr="00E62B25" w:rsidRDefault="00D7361F" w:rsidP="005A1F7F">
      <w:pPr>
        <w:tabs>
          <w:tab w:val="left" w:pos="540"/>
        </w:tabs>
        <w:jc w:val="both"/>
        <w:rPr>
          <w:rFonts w:ascii="Arial" w:hAnsi="Arial" w:cs="Arial"/>
          <w:sz w:val="18"/>
          <w:szCs w:val="18"/>
        </w:rPr>
      </w:pPr>
    </w:p>
    <w:p w14:paraId="13D1FFC8" w14:textId="77777777" w:rsidR="005D3486" w:rsidRDefault="005D3486" w:rsidP="005A1F7F">
      <w:pPr>
        <w:tabs>
          <w:tab w:val="left" w:pos="540"/>
        </w:tabs>
        <w:jc w:val="center"/>
        <w:rPr>
          <w:rFonts w:ascii="Arial" w:hAnsi="Arial" w:cs="Arial"/>
          <w:sz w:val="20"/>
          <w:szCs w:val="18"/>
        </w:rPr>
      </w:pPr>
    </w:p>
    <w:p w14:paraId="2C4BA711" w14:textId="77777777" w:rsidR="00D7361F" w:rsidRPr="00AD6316" w:rsidRDefault="00D7361F" w:rsidP="005A1F7F">
      <w:pPr>
        <w:tabs>
          <w:tab w:val="left" w:pos="540"/>
        </w:tabs>
        <w:jc w:val="center"/>
        <w:rPr>
          <w:rFonts w:ascii="Arial" w:hAnsi="Arial" w:cs="Arial"/>
          <w:sz w:val="20"/>
          <w:szCs w:val="18"/>
        </w:rPr>
      </w:pPr>
      <w:r w:rsidRPr="00AD6316">
        <w:rPr>
          <w:rFonts w:ascii="Arial" w:hAnsi="Arial" w:cs="Arial"/>
          <w:sz w:val="20"/>
          <w:szCs w:val="18"/>
        </w:rPr>
        <w:t xml:space="preserve">Chart 8.  Expected Level of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Fee Income, by Source</w:t>
      </w:r>
    </w:p>
    <w:p w14:paraId="6D54FA3C" w14:textId="77777777" w:rsidR="00D7361F" w:rsidRPr="00E62B25" w:rsidRDefault="00D7361F" w:rsidP="005A1F7F">
      <w:pPr>
        <w:tabs>
          <w:tab w:val="left" w:pos="540"/>
        </w:tabs>
        <w:jc w:val="center"/>
        <w:rPr>
          <w:rFonts w:ascii="Arial" w:hAnsi="Arial" w:cs="Arial"/>
          <w:sz w:val="18"/>
          <w:szCs w:val="18"/>
        </w:rPr>
      </w:pPr>
    </w:p>
    <w:p w14:paraId="7010BF70"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1A547417" wp14:editId="34F663D5">
            <wp:extent cx="4829175" cy="2739435"/>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827501" cy="2738485"/>
                    </a:xfrm>
                    <a:prstGeom prst="rect">
                      <a:avLst/>
                    </a:prstGeom>
                    <a:noFill/>
                  </pic:spPr>
                </pic:pic>
              </a:graphicData>
            </a:graphic>
          </wp:inline>
        </w:drawing>
      </w:r>
    </w:p>
    <w:p w14:paraId="4D8D1E41" w14:textId="77777777" w:rsidR="00D7361F" w:rsidRPr="00E62B25" w:rsidRDefault="00D7361F" w:rsidP="005A1F7F">
      <w:pPr>
        <w:jc w:val="center"/>
        <w:rPr>
          <w:rFonts w:ascii="Arial" w:hAnsi="Arial" w:cs="Arial"/>
          <w:sz w:val="20"/>
        </w:rPr>
      </w:pPr>
      <w:r w:rsidRPr="00E62B25">
        <w:rPr>
          <w:rFonts w:ascii="Arial" w:hAnsi="Arial" w:cs="Arial"/>
          <w:noProof/>
          <w:lang w:eastAsia="en-US"/>
        </w:rPr>
        <w:lastRenderedPageBreak/>
        <w:drawing>
          <wp:inline distT="0" distB="0" distL="0" distR="0" wp14:anchorId="6B60B52C" wp14:editId="78134E2B">
            <wp:extent cx="4560569" cy="1200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560569" cy="1200150"/>
                    </a:xfrm>
                    <a:prstGeom prst="rect">
                      <a:avLst/>
                    </a:prstGeom>
                    <a:noFill/>
                    <a:ln>
                      <a:noFill/>
                    </a:ln>
                  </pic:spPr>
                </pic:pic>
              </a:graphicData>
            </a:graphic>
          </wp:inline>
        </w:drawing>
      </w:r>
    </w:p>
    <w:p w14:paraId="39CE731D" w14:textId="6BE58BFA" w:rsidR="00D7361F" w:rsidRPr="00FB68E0" w:rsidRDefault="00E34525" w:rsidP="00FB68E0">
      <w:pPr>
        <w:spacing w:after="60"/>
        <w:ind w:left="851"/>
        <w:rPr>
          <w:rFonts w:ascii="Arial" w:hAnsi="Arial" w:cs="Arial"/>
          <w:sz w:val="18"/>
          <w:szCs w:val="18"/>
        </w:rPr>
      </w:pPr>
      <w:r w:rsidRPr="00E34525">
        <w:rPr>
          <w:rFonts w:ascii="Arial" w:hAnsi="Arial" w:cs="Arial"/>
          <w:sz w:val="18"/>
          <w:szCs w:val="18"/>
        </w:rPr>
        <w:t>*</w:t>
      </w:r>
      <w:r>
        <w:rPr>
          <w:rFonts w:ascii="Arial" w:hAnsi="Arial" w:cs="Arial"/>
          <w:sz w:val="18"/>
          <w:szCs w:val="18"/>
        </w:rPr>
        <w:t xml:space="preserve">  </w:t>
      </w:r>
      <w:r w:rsidRPr="00FB68E0">
        <w:rPr>
          <w:rFonts w:ascii="Arial" w:hAnsi="Arial" w:cs="Arial"/>
          <w:sz w:val="16"/>
          <w:szCs w:val="18"/>
        </w:rPr>
        <w:t>Forecast figures.</w:t>
      </w:r>
    </w:p>
    <w:p w14:paraId="4022EEA9" w14:textId="77777777" w:rsidR="00D7361F" w:rsidRPr="00E62B25" w:rsidRDefault="00D7361F" w:rsidP="005A1F7F">
      <w:pPr>
        <w:spacing w:after="60"/>
        <w:jc w:val="center"/>
        <w:rPr>
          <w:rFonts w:ascii="Arial" w:hAnsi="Arial" w:cs="Arial"/>
          <w:sz w:val="18"/>
          <w:szCs w:val="18"/>
        </w:rPr>
      </w:pPr>
    </w:p>
    <w:p w14:paraId="172A9C0B" w14:textId="77777777" w:rsidR="00D7361F" w:rsidRPr="00AD6316" w:rsidRDefault="00D7361F" w:rsidP="005A1F7F">
      <w:pPr>
        <w:spacing w:after="60"/>
        <w:jc w:val="center"/>
        <w:rPr>
          <w:rFonts w:ascii="Arial" w:hAnsi="Arial" w:cs="Arial"/>
          <w:sz w:val="20"/>
          <w:szCs w:val="18"/>
        </w:rPr>
      </w:pPr>
      <w:r w:rsidRPr="00AD6316">
        <w:rPr>
          <w:rFonts w:ascii="Arial" w:hAnsi="Arial" w:cs="Arial"/>
          <w:sz w:val="20"/>
          <w:szCs w:val="18"/>
        </w:rPr>
        <w:t>Income Probabilistic Distribution</w:t>
      </w:r>
    </w:p>
    <w:p w14:paraId="58B112E2" w14:textId="77777777" w:rsidR="00D7361F" w:rsidRPr="00E62B25" w:rsidRDefault="00D7361F" w:rsidP="005A1F7F">
      <w:pPr>
        <w:jc w:val="center"/>
        <w:rPr>
          <w:rFonts w:ascii="Arial" w:hAnsi="Arial" w:cs="Arial"/>
          <w:sz w:val="20"/>
        </w:rPr>
      </w:pPr>
    </w:p>
    <w:p w14:paraId="1C2E4D7B"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17AACB1F" wp14:editId="0E3F35B6">
            <wp:extent cx="4659465" cy="2385391"/>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9">
                      <a:extLst>
                        <a:ext uri="{28A0092B-C50C-407E-A947-70E740481C1C}">
                          <a14:useLocalDpi xmlns:a14="http://schemas.microsoft.com/office/drawing/2010/main" val="0"/>
                        </a:ext>
                      </a:extLst>
                    </a:blip>
                    <a:srcRect t="8814" r="-98"/>
                    <a:stretch/>
                  </pic:blipFill>
                  <pic:spPr bwMode="auto">
                    <a:xfrm>
                      <a:off x="0" y="0"/>
                      <a:ext cx="4663907" cy="2387665"/>
                    </a:xfrm>
                    <a:prstGeom prst="rect">
                      <a:avLst/>
                    </a:prstGeom>
                    <a:noFill/>
                    <a:ln>
                      <a:noFill/>
                    </a:ln>
                    <a:extLst>
                      <a:ext uri="{53640926-AAD7-44D8-BBD7-CCE9431645EC}">
                        <a14:shadowObscured xmlns:a14="http://schemas.microsoft.com/office/drawing/2010/main"/>
                      </a:ext>
                    </a:extLst>
                  </pic:spPr>
                </pic:pic>
              </a:graphicData>
            </a:graphic>
          </wp:inline>
        </w:drawing>
      </w:r>
    </w:p>
    <w:p w14:paraId="375F384F" w14:textId="77777777" w:rsidR="00D7361F" w:rsidRPr="00E62B25" w:rsidRDefault="00D7361F" w:rsidP="005A1F7F">
      <w:pPr>
        <w:jc w:val="center"/>
        <w:rPr>
          <w:rFonts w:ascii="Arial" w:hAnsi="Arial" w:cs="Arial"/>
          <w:sz w:val="20"/>
        </w:rPr>
      </w:pPr>
    </w:p>
    <w:p w14:paraId="5AFFF342" w14:textId="77777777" w:rsidR="00D7361F" w:rsidRPr="00AD6316" w:rsidRDefault="00D7361F" w:rsidP="005A1F7F">
      <w:pPr>
        <w:keepNext/>
        <w:keepLines/>
        <w:spacing w:after="60"/>
        <w:jc w:val="center"/>
        <w:rPr>
          <w:rFonts w:ascii="Arial" w:hAnsi="Arial" w:cs="Arial"/>
        </w:rPr>
      </w:pP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Income Scenarios</w:t>
      </w:r>
    </w:p>
    <w:p w14:paraId="28240C89"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29FC4B9A" wp14:editId="4EED2D88">
            <wp:extent cx="3219450" cy="31146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19450" cy="3114675"/>
                    </a:xfrm>
                    <a:prstGeom prst="rect">
                      <a:avLst/>
                    </a:prstGeom>
                    <a:noFill/>
                    <a:ln>
                      <a:noFill/>
                    </a:ln>
                  </pic:spPr>
                </pic:pic>
              </a:graphicData>
            </a:graphic>
          </wp:inline>
        </w:drawing>
      </w:r>
    </w:p>
    <w:p w14:paraId="0A01AA48" w14:textId="679668B5" w:rsidR="00A6543C" w:rsidRDefault="00A6543C">
      <w:pPr>
        <w:rPr>
          <w:rFonts w:ascii="Arial" w:hAnsi="Arial" w:cs="Arial"/>
          <w:sz w:val="20"/>
        </w:rPr>
      </w:pPr>
      <w:r>
        <w:rPr>
          <w:rFonts w:ascii="Arial" w:hAnsi="Arial" w:cs="Arial"/>
          <w:sz w:val="20"/>
        </w:rPr>
        <w:br w:type="page"/>
      </w:r>
    </w:p>
    <w:p w14:paraId="103BC917" w14:textId="77777777" w:rsidR="00D7361F" w:rsidRPr="00E62B25" w:rsidRDefault="00D7361F" w:rsidP="005A1F7F">
      <w:pPr>
        <w:keepNext/>
        <w:keepLines/>
        <w:jc w:val="center"/>
        <w:rPr>
          <w:rFonts w:ascii="Arial" w:hAnsi="Arial" w:cs="Arial"/>
          <w:sz w:val="20"/>
        </w:rPr>
      </w:pPr>
    </w:p>
    <w:p w14:paraId="7CEE3CB5"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The table below provides information on the actual and expected numbers of registrations and renewals for the period 2012 to 2017 and on the actual and expected evolution of the average fee during that period.  The average fee is calculated as the total </w:t>
      </w:r>
      <w:smartTag w:uri="urn:schemas-microsoft-com:office:smarttags" w:element="place">
        <w:smartTag w:uri="urn:schemas-microsoft-com:office:smarttags" w:element="State">
          <w:r w:rsidRPr="00E62B25">
            <w:rPr>
              <w:rFonts w:ascii="Arial" w:hAnsi="Arial" w:cs="Arial"/>
              <w:sz w:val="20"/>
            </w:rPr>
            <w:t>Madrid</w:t>
          </w:r>
        </w:smartTag>
      </w:smartTag>
      <w:r w:rsidRPr="00E62B25">
        <w:rPr>
          <w:rFonts w:ascii="Arial" w:hAnsi="Arial" w:cs="Arial"/>
          <w:sz w:val="20"/>
        </w:rPr>
        <w:t xml:space="preserve"> fee income divided by the total number of registrations and renewals in any given year.</w:t>
      </w:r>
    </w:p>
    <w:p w14:paraId="5A9BE091" w14:textId="77777777" w:rsidR="00D7361F" w:rsidRPr="00E62B25" w:rsidRDefault="00D7361F" w:rsidP="005A1F7F">
      <w:pPr>
        <w:widowControl w:val="0"/>
        <w:jc w:val="both"/>
        <w:rPr>
          <w:rFonts w:ascii="Arial" w:hAnsi="Arial" w:cs="Arial"/>
          <w:sz w:val="20"/>
        </w:rPr>
      </w:pPr>
    </w:p>
    <w:p w14:paraId="2902FB69" w14:textId="7706506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Table 1</w:t>
      </w:r>
      <w:r w:rsidR="00AD6316" w:rsidRPr="00AD6316">
        <w:rPr>
          <w:rFonts w:ascii="Arial" w:hAnsi="Arial" w:cs="Arial"/>
          <w:sz w:val="20"/>
          <w:szCs w:val="18"/>
        </w:rPr>
        <w:t>6</w:t>
      </w:r>
      <w:r w:rsidRPr="00AD6316">
        <w:rPr>
          <w:rFonts w:ascii="Arial" w:hAnsi="Arial" w:cs="Arial"/>
          <w:sz w:val="20"/>
          <w:szCs w:val="18"/>
        </w:rPr>
        <w:t xml:space="preserve">.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Total Fee Income and Average Fee</w:t>
      </w:r>
    </w:p>
    <w:p w14:paraId="7273B1B9" w14:textId="77777777" w:rsidR="00D7361F" w:rsidRPr="00E62B25" w:rsidRDefault="00D7361F" w:rsidP="005A1F7F">
      <w:pPr>
        <w:keepNext/>
        <w:keepLines/>
        <w:jc w:val="center"/>
        <w:rPr>
          <w:rFonts w:ascii="Arial" w:hAnsi="Arial" w:cs="Arial"/>
          <w:sz w:val="20"/>
        </w:rPr>
      </w:pPr>
    </w:p>
    <w:p w14:paraId="5B760A74"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BF8AB65" wp14:editId="0DD43E9A">
            <wp:extent cx="5203557" cy="971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220346" cy="974685"/>
                    </a:xfrm>
                    <a:prstGeom prst="rect">
                      <a:avLst/>
                    </a:prstGeom>
                    <a:noFill/>
                    <a:ln>
                      <a:noFill/>
                    </a:ln>
                  </pic:spPr>
                </pic:pic>
              </a:graphicData>
            </a:graphic>
          </wp:inline>
        </w:drawing>
      </w:r>
    </w:p>
    <w:p w14:paraId="5A7BF4E8" w14:textId="77777777" w:rsidR="00D7361F" w:rsidRPr="00E62B25" w:rsidRDefault="00D7361F" w:rsidP="005A1F7F">
      <w:pPr>
        <w:keepNext/>
        <w:keepLines/>
        <w:jc w:val="center"/>
        <w:rPr>
          <w:rFonts w:ascii="Arial" w:hAnsi="Arial" w:cs="Arial"/>
          <w:sz w:val="20"/>
        </w:rPr>
      </w:pPr>
    </w:p>
    <w:p w14:paraId="606F5048" w14:textId="77777777" w:rsidR="00D7361F" w:rsidRPr="00E62B25" w:rsidRDefault="00D7361F" w:rsidP="00B66A4A">
      <w:pPr>
        <w:pStyle w:val="ListParagraph"/>
        <w:keepNext/>
        <w:keepLines/>
        <w:numPr>
          <w:ilvl w:val="0"/>
          <w:numId w:val="38"/>
        </w:numPr>
        <w:jc w:val="both"/>
        <w:rPr>
          <w:rFonts w:ascii="Arial" w:hAnsi="Arial" w:cs="Arial"/>
          <w:sz w:val="20"/>
        </w:rPr>
      </w:pPr>
      <w:r w:rsidRPr="00E62B25">
        <w:rPr>
          <w:rFonts w:ascii="Arial" w:hAnsi="Arial" w:cs="Arial"/>
          <w:sz w:val="20"/>
        </w:rPr>
        <w:t>A new forecasting model, similar to the one used for the forecasting of PCT activities, was adopted, for the first time, for the 2014/15 biennium for the forecasting of Madrid and the Hague registration activities.  The more sophisticated model takes into account, not only earlier Madrid System activity, but also trademark application and registration activities in other offices, as well as economic forecasting data from IMF.  As the global economic uncertainty continues and until more experience is gained with the new forecasting model, a slightly lower forecast level for Madrid was felt more prudent by the concerned business area.  The lower forecast numbers are reflected in the table below and serve as a basis for the 2016/17 Program and Budget.</w:t>
      </w:r>
    </w:p>
    <w:p w14:paraId="2967B87E" w14:textId="77777777" w:rsidR="00D7361F" w:rsidRDefault="00D7361F" w:rsidP="005A1F7F">
      <w:pPr>
        <w:keepNext/>
        <w:keepLines/>
        <w:rPr>
          <w:rFonts w:ascii="Arial" w:hAnsi="Arial" w:cs="Arial"/>
          <w:sz w:val="20"/>
        </w:rPr>
      </w:pPr>
    </w:p>
    <w:p w14:paraId="0B1D878D" w14:textId="37E3273A" w:rsidR="00D7361F" w:rsidRPr="00AD6316" w:rsidRDefault="00AD6316" w:rsidP="005A1F7F">
      <w:pPr>
        <w:keepNext/>
        <w:keepLines/>
        <w:jc w:val="center"/>
        <w:rPr>
          <w:rFonts w:ascii="Arial" w:hAnsi="Arial" w:cs="Arial"/>
          <w:sz w:val="20"/>
          <w:szCs w:val="18"/>
        </w:rPr>
      </w:pPr>
      <w:r w:rsidRPr="00AD6316">
        <w:rPr>
          <w:rFonts w:ascii="Arial" w:hAnsi="Arial" w:cs="Arial"/>
          <w:sz w:val="20"/>
          <w:szCs w:val="18"/>
        </w:rPr>
        <w:t>Table 17</w:t>
      </w:r>
      <w:r w:rsidR="00D7361F" w:rsidRPr="00AD6316">
        <w:rPr>
          <w:rFonts w:ascii="Arial" w:hAnsi="Arial" w:cs="Arial"/>
          <w:sz w:val="20"/>
          <w:szCs w:val="18"/>
        </w:rPr>
        <w:t>.  Madrid Total Fee Income and Average Fee (Basis for PB 2016/17)</w:t>
      </w:r>
    </w:p>
    <w:p w14:paraId="06E5F488" w14:textId="77777777" w:rsidR="00D7361F" w:rsidRPr="00E62B25" w:rsidRDefault="00D7361F" w:rsidP="005A1F7F">
      <w:pPr>
        <w:keepNext/>
        <w:keepLines/>
        <w:rPr>
          <w:rFonts w:ascii="Arial" w:hAnsi="Arial" w:cs="Arial"/>
          <w:sz w:val="20"/>
        </w:rPr>
      </w:pPr>
    </w:p>
    <w:p w14:paraId="3EE2C3BF" w14:textId="77777777" w:rsidR="00D7361F" w:rsidRPr="00E62B25" w:rsidRDefault="00D7361F" w:rsidP="005A1F7F">
      <w:pPr>
        <w:pStyle w:val="ListParagraph"/>
        <w:keepNext/>
        <w:keepLines/>
        <w:ind w:left="0"/>
        <w:jc w:val="center"/>
        <w:rPr>
          <w:rFonts w:ascii="Arial" w:hAnsi="Arial" w:cs="Arial"/>
          <w:sz w:val="20"/>
        </w:rPr>
      </w:pPr>
      <w:r w:rsidRPr="00E62B25">
        <w:rPr>
          <w:rFonts w:ascii="Arial" w:hAnsi="Arial" w:cs="Arial"/>
          <w:noProof/>
          <w:lang w:eastAsia="en-US"/>
        </w:rPr>
        <w:drawing>
          <wp:inline distT="0" distB="0" distL="0" distR="0" wp14:anchorId="227245A1" wp14:editId="14E6075C">
            <wp:extent cx="5153025" cy="99032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51316" cy="989993"/>
                    </a:xfrm>
                    <a:prstGeom prst="rect">
                      <a:avLst/>
                    </a:prstGeom>
                    <a:noFill/>
                    <a:ln>
                      <a:noFill/>
                    </a:ln>
                  </pic:spPr>
                </pic:pic>
              </a:graphicData>
            </a:graphic>
          </wp:inline>
        </w:drawing>
      </w:r>
    </w:p>
    <w:p w14:paraId="1C7C5506" w14:textId="77777777" w:rsidR="00D7361F" w:rsidRPr="00E62B25" w:rsidRDefault="00D7361F" w:rsidP="005A1F7F">
      <w:pPr>
        <w:jc w:val="center"/>
        <w:rPr>
          <w:rFonts w:ascii="Arial" w:hAnsi="Arial" w:cs="Arial"/>
          <w:sz w:val="20"/>
        </w:rPr>
      </w:pPr>
    </w:p>
    <w:p w14:paraId="68D68A77" w14:textId="77777777" w:rsidR="00D7361F" w:rsidRPr="00E62B25" w:rsidRDefault="00D7361F" w:rsidP="005A1F7F">
      <w:pPr>
        <w:jc w:val="center"/>
        <w:rPr>
          <w:rFonts w:ascii="Arial" w:hAnsi="Arial" w:cs="Arial"/>
          <w:sz w:val="20"/>
        </w:rPr>
      </w:pPr>
    </w:p>
    <w:p w14:paraId="098AD56B" w14:textId="77777777" w:rsidR="00D7361F" w:rsidRPr="00E62B25" w:rsidRDefault="00D7361F" w:rsidP="005A1F7F">
      <w:pPr>
        <w:widowControl w:val="0"/>
        <w:rPr>
          <w:rFonts w:ascii="Arial" w:hAnsi="Arial" w:cs="Arial"/>
          <w:b/>
          <w:sz w:val="20"/>
        </w:rPr>
      </w:pPr>
      <w:r w:rsidRPr="00E62B25">
        <w:rPr>
          <w:rFonts w:ascii="Arial" w:hAnsi="Arial" w:cs="Arial"/>
          <w:b/>
          <w:sz w:val="20"/>
        </w:rPr>
        <w:t xml:space="preserve">Hague </w:t>
      </w:r>
    </w:p>
    <w:p w14:paraId="2E2A29B6" w14:textId="77777777" w:rsidR="00D7361F" w:rsidRPr="00E62B25" w:rsidRDefault="00D7361F" w:rsidP="005A1F7F">
      <w:pPr>
        <w:widowControl w:val="0"/>
        <w:rPr>
          <w:rFonts w:ascii="Arial" w:hAnsi="Arial" w:cs="Arial"/>
          <w:sz w:val="20"/>
        </w:rPr>
      </w:pPr>
    </w:p>
    <w:p w14:paraId="228EFBAB" w14:textId="77777777" w:rsidR="00D7361F" w:rsidRPr="00E62B25" w:rsidRDefault="00D7361F" w:rsidP="005A1F7F">
      <w:pPr>
        <w:widowControl w:val="0"/>
        <w:rPr>
          <w:rFonts w:ascii="Arial" w:hAnsi="Arial" w:cs="Arial"/>
          <w:sz w:val="20"/>
        </w:rPr>
      </w:pPr>
      <w:smartTag w:uri="urn:schemas-microsoft-com:office:smarttags" w:element="place">
        <w:smartTag w:uri="urn:schemas-microsoft-com:office:smarttags" w:element="City">
          <w:r w:rsidRPr="00E62B25">
            <w:rPr>
              <w:rFonts w:ascii="Arial" w:hAnsi="Arial" w:cs="Arial"/>
              <w:i/>
              <w:sz w:val="20"/>
            </w:rPr>
            <w:t>The Hague</w:t>
          </w:r>
        </w:smartTag>
      </w:smartTag>
      <w:r w:rsidRPr="00E62B25">
        <w:rPr>
          <w:rFonts w:ascii="Arial" w:hAnsi="Arial" w:cs="Arial"/>
          <w:i/>
          <w:sz w:val="20"/>
        </w:rPr>
        <w:t xml:space="preserve"> - Forecast of Demand for International Registration</w:t>
      </w:r>
      <w:r w:rsidRPr="00E62B25">
        <w:rPr>
          <w:rFonts w:ascii="Arial" w:hAnsi="Arial" w:cs="Arial"/>
          <w:i/>
          <w:sz w:val="20"/>
        </w:rPr>
        <w:br/>
      </w:r>
    </w:p>
    <w:p w14:paraId="62598CB6"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Chart 9 shows the forecast for the years 2015 to 2017.  The anticipated accession of China, Japan, Republic of Korea, Russian Federation and the United States to the Hague System will have considerable impact from 2015 onwards, resulting in a possible jump in filings and income.  The forecast of Hague registrations is based on multiple models, including autoregressive models, econometric models and transfer models.  The autoregressive models are performed on registrations.  The econometric models are based on actual GDP data and GDP forecasts released by the International Monetary Fund.  The results by different models are further combined to control for the uncertainty arising from the correct model specification. </w:t>
      </w:r>
    </w:p>
    <w:p w14:paraId="207807CC" w14:textId="77777777" w:rsidR="00D7361F" w:rsidRPr="00E62B25" w:rsidRDefault="00D7361F" w:rsidP="005A1F7F">
      <w:pPr>
        <w:tabs>
          <w:tab w:val="left" w:pos="540"/>
        </w:tabs>
        <w:jc w:val="both"/>
        <w:rPr>
          <w:rFonts w:ascii="Arial" w:hAnsi="Arial" w:cs="Arial"/>
          <w:sz w:val="20"/>
        </w:rPr>
      </w:pPr>
    </w:p>
    <w:p w14:paraId="37CFE33E"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lastRenderedPageBreak/>
        <w:t>Chart 9.  Hague Applications and Renewals</w:t>
      </w:r>
    </w:p>
    <w:p w14:paraId="3D4D9BF6" w14:textId="77777777" w:rsidR="00D7361F" w:rsidRPr="00E62B25" w:rsidRDefault="00D7361F" w:rsidP="005A1F7F">
      <w:pPr>
        <w:keepNext/>
        <w:keepLines/>
        <w:tabs>
          <w:tab w:val="left" w:pos="540"/>
        </w:tabs>
        <w:jc w:val="center"/>
        <w:rPr>
          <w:rFonts w:ascii="Arial" w:hAnsi="Arial" w:cs="Arial"/>
          <w:sz w:val="20"/>
        </w:rPr>
      </w:pPr>
      <w:r w:rsidRPr="00E62B25">
        <w:rPr>
          <w:rFonts w:ascii="Arial" w:hAnsi="Arial" w:cs="Arial"/>
          <w:noProof/>
          <w:sz w:val="20"/>
          <w:lang w:eastAsia="en-US"/>
        </w:rPr>
        <w:drawing>
          <wp:inline distT="0" distB="0" distL="0" distR="0" wp14:anchorId="57B50E0A" wp14:editId="40571391">
            <wp:extent cx="4476750" cy="253951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77113" cy="2539722"/>
                    </a:xfrm>
                    <a:prstGeom prst="rect">
                      <a:avLst/>
                    </a:prstGeom>
                    <a:noFill/>
                  </pic:spPr>
                </pic:pic>
              </a:graphicData>
            </a:graphic>
          </wp:inline>
        </w:drawing>
      </w:r>
    </w:p>
    <w:p w14:paraId="65650F6C" w14:textId="77777777" w:rsidR="00D7361F" w:rsidRPr="00E62B25" w:rsidRDefault="00D7361F" w:rsidP="005A1F7F">
      <w:pPr>
        <w:keepNext/>
        <w:keepLines/>
        <w:jc w:val="center"/>
        <w:rPr>
          <w:rFonts w:ascii="Arial" w:hAnsi="Arial" w:cs="Arial"/>
          <w:sz w:val="20"/>
        </w:rPr>
      </w:pPr>
    </w:p>
    <w:p w14:paraId="710D8104"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0EF4797F" wp14:editId="53E5C3B8">
            <wp:extent cx="4448175" cy="777527"/>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448175" cy="777527"/>
                    </a:xfrm>
                    <a:prstGeom prst="rect">
                      <a:avLst/>
                    </a:prstGeom>
                    <a:noFill/>
                    <a:ln>
                      <a:noFill/>
                    </a:ln>
                  </pic:spPr>
                </pic:pic>
              </a:graphicData>
            </a:graphic>
          </wp:inline>
        </w:drawing>
      </w:r>
    </w:p>
    <w:p w14:paraId="2E1B6E0A" w14:textId="77777777" w:rsidR="00D7361F" w:rsidRDefault="00D7361F" w:rsidP="005A1F7F">
      <w:pPr>
        <w:jc w:val="center"/>
        <w:rPr>
          <w:rFonts w:ascii="Arial" w:hAnsi="Arial" w:cs="Arial"/>
          <w:sz w:val="20"/>
        </w:rPr>
      </w:pPr>
    </w:p>
    <w:p w14:paraId="6D594B93" w14:textId="77777777" w:rsidR="00D7361F" w:rsidRPr="00E62B25" w:rsidRDefault="00D7361F" w:rsidP="005A1F7F">
      <w:pPr>
        <w:jc w:val="center"/>
        <w:rPr>
          <w:rFonts w:ascii="Arial" w:hAnsi="Arial" w:cs="Arial"/>
          <w:sz w:val="20"/>
        </w:rPr>
      </w:pPr>
    </w:p>
    <w:p w14:paraId="15B52D5B"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 xml:space="preserve">In light of the anticipated accessions of several new member states from 2014 onwards, a transfer model was used to assess the impact of accession events on registrations.  The model employs data on Paris-route “cross filings” between the existing Hague members and the new member states.  In particular, transfer rates are estimates to calculate the additional filings from the existing members due to accessions.  In addition, the average “transfer rates” of the existing Hague members are used to predict the filing potential from the new members.  It is noted that the true “transfer rates” are country-specific.  Using average transfer rates for new members is arguably the best approximation possible, but it introduces additional uncertainty to the forecast values.  The current estimation is based on the following assumptions of the timing of accessions.  </w:t>
      </w:r>
    </w:p>
    <w:p w14:paraId="6299C590" w14:textId="77777777" w:rsidR="00D7361F" w:rsidRPr="00E62B25" w:rsidRDefault="00D7361F" w:rsidP="005A1F7F">
      <w:pPr>
        <w:jc w:val="center"/>
        <w:rPr>
          <w:rFonts w:ascii="Arial" w:hAnsi="Arial" w:cs="Arial"/>
          <w:sz w:val="20"/>
        </w:rPr>
      </w:pPr>
    </w:p>
    <w:p w14:paraId="403D066B"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309247BB" wp14:editId="76D69B42">
            <wp:extent cx="2381250" cy="647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81250" cy="647700"/>
                    </a:xfrm>
                    <a:prstGeom prst="rect">
                      <a:avLst/>
                    </a:prstGeom>
                    <a:noFill/>
                    <a:ln>
                      <a:noFill/>
                    </a:ln>
                  </pic:spPr>
                </pic:pic>
              </a:graphicData>
            </a:graphic>
          </wp:inline>
        </w:drawing>
      </w:r>
    </w:p>
    <w:p w14:paraId="002C204D" w14:textId="77777777" w:rsidR="00D7361F" w:rsidRDefault="00D7361F" w:rsidP="005A1F7F">
      <w:pPr>
        <w:keepNext/>
        <w:keepLines/>
        <w:jc w:val="center"/>
        <w:rPr>
          <w:rFonts w:ascii="Arial" w:hAnsi="Arial" w:cs="Arial"/>
          <w:sz w:val="20"/>
        </w:rPr>
      </w:pPr>
    </w:p>
    <w:p w14:paraId="14DD9728" w14:textId="77777777" w:rsidR="0019359F" w:rsidRDefault="0019359F" w:rsidP="005A1F7F">
      <w:pPr>
        <w:keepNext/>
        <w:keepLines/>
        <w:jc w:val="center"/>
        <w:rPr>
          <w:rFonts w:ascii="Arial" w:hAnsi="Arial" w:cs="Arial"/>
          <w:sz w:val="20"/>
        </w:rPr>
      </w:pPr>
    </w:p>
    <w:p w14:paraId="13FCA177" w14:textId="77777777" w:rsidR="0019359F" w:rsidRPr="00E62B25" w:rsidRDefault="0019359F" w:rsidP="005A1F7F">
      <w:pPr>
        <w:keepNext/>
        <w:keepLines/>
        <w:jc w:val="center"/>
        <w:rPr>
          <w:rFonts w:ascii="Arial" w:hAnsi="Arial" w:cs="Arial"/>
          <w:sz w:val="20"/>
        </w:rPr>
      </w:pPr>
    </w:p>
    <w:p w14:paraId="0C9EF6F5"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220F3A60" wp14:editId="3D3F310B">
            <wp:extent cx="5732145" cy="6348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32145" cy="634860"/>
                    </a:xfrm>
                    <a:prstGeom prst="rect">
                      <a:avLst/>
                    </a:prstGeom>
                    <a:noFill/>
                    <a:ln>
                      <a:noFill/>
                    </a:ln>
                  </pic:spPr>
                </pic:pic>
              </a:graphicData>
            </a:graphic>
          </wp:inline>
        </w:drawing>
      </w:r>
    </w:p>
    <w:p w14:paraId="4974DA50" w14:textId="77777777" w:rsidR="00D7361F" w:rsidRPr="00E62B25" w:rsidRDefault="00D7361F" w:rsidP="005A1F7F">
      <w:pPr>
        <w:keepNext/>
        <w:keepLines/>
        <w:jc w:val="center"/>
        <w:rPr>
          <w:rFonts w:ascii="Arial" w:hAnsi="Arial" w:cs="Arial"/>
          <w:sz w:val="20"/>
        </w:rPr>
      </w:pPr>
    </w:p>
    <w:p w14:paraId="22E80994"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The above numbers were added to the results from the autoregressive models.  The applications will likely be in a range with certain probabilities.  The following graph and table indicate the probabilistic distribution of the scenarios.</w:t>
      </w:r>
    </w:p>
    <w:p w14:paraId="3AC4366D" w14:textId="77777777" w:rsidR="00D7361F" w:rsidRPr="00E62B25" w:rsidRDefault="00D7361F" w:rsidP="005A1F7F">
      <w:pPr>
        <w:keepNext/>
        <w:keepLines/>
        <w:jc w:val="center"/>
        <w:rPr>
          <w:rFonts w:ascii="Arial" w:hAnsi="Arial" w:cs="Arial"/>
          <w:sz w:val="20"/>
        </w:rPr>
      </w:pPr>
    </w:p>
    <w:p w14:paraId="1468CE44" w14:textId="77777777" w:rsidR="00D7361F" w:rsidRPr="0019359F" w:rsidRDefault="00D7361F" w:rsidP="005A1F7F">
      <w:pPr>
        <w:keepNext/>
        <w:keepLines/>
        <w:jc w:val="center"/>
        <w:rPr>
          <w:rFonts w:ascii="Arial" w:hAnsi="Arial" w:cs="Arial"/>
          <w:sz w:val="20"/>
          <w:szCs w:val="18"/>
        </w:rPr>
      </w:pPr>
      <w:r w:rsidRPr="0019359F">
        <w:rPr>
          <w:rFonts w:ascii="Arial" w:hAnsi="Arial" w:cs="Arial"/>
          <w:sz w:val="20"/>
          <w:szCs w:val="18"/>
        </w:rPr>
        <w:t>Application Probabilistic Distribution</w:t>
      </w:r>
    </w:p>
    <w:p w14:paraId="13BDB1F1" w14:textId="77777777" w:rsidR="00D7361F" w:rsidRPr="00E62B25" w:rsidRDefault="00D7361F" w:rsidP="005A1F7F">
      <w:pPr>
        <w:keepNext/>
        <w:keepLines/>
        <w:jc w:val="center"/>
        <w:rPr>
          <w:rFonts w:ascii="Arial" w:hAnsi="Arial" w:cs="Arial"/>
          <w:sz w:val="18"/>
          <w:szCs w:val="18"/>
        </w:rPr>
      </w:pPr>
    </w:p>
    <w:p w14:paraId="6F60169B"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3C49475E" wp14:editId="6243A8DA">
            <wp:extent cx="4532243" cy="2361537"/>
            <wp:effectExtent l="0" t="0" r="190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7">
                      <a:extLst>
                        <a:ext uri="{28A0092B-C50C-407E-A947-70E740481C1C}">
                          <a14:useLocalDpi xmlns:a14="http://schemas.microsoft.com/office/drawing/2010/main" val="0"/>
                        </a:ext>
                      </a:extLst>
                    </a:blip>
                    <a:srcRect t="8049" r="-74"/>
                    <a:stretch/>
                  </pic:blipFill>
                  <pic:spPr bwMode="auto">
                    <a:xfrm>
                      <a:off x="0" y="0"/>
                      <a:ext cx="4541945" cy="2366592"/>
                    </a:xfrm>
                    <a:prstGeom prst="rect">
                      <a:avLst/>
                    </a:prstGeom>
                    <a:noFill/>
                    <a:ln>
                      <a:noFill/>
                    </a:ln>
                    <a:extLst>
                      <a:ext uri="{53640926-AAD7-44D8-BBD7-CCE9431645EC}">
                        <a14:shadowObscured xmlns:a14="http://schemas.microsoft.com/office/drawing/2010/main"/>
                      </a:ext>
                    </a:extLst>
                  </pic:spPr>
                </pic:pic>
              </a:graphicData>
            </a:graphic>
          </wp:inline>
        </w:drawing>
      </w:r>
    </w:p>
    <w:p w14:paraId="54503104" w14:textId="77777777" w:rsidR="00D7361F" w:rsidRDefault="00D7361F" w:rsidP="005A1F7F">
      <w:pPr>
        <w:keepNext/>
        <w:keepLines/>
        <w:jc w:val="center"/>
        <w:rPr>
          <w:rFonts w:ascii="Arial" w:hAnsi="Arial" w:cs="Arial"/>
          <w:sz w:val="20"/>
        </w:rPr>
      </w:pPr>
    </w:p>
    <w:p w14:paraId="5DCB1417" w14:textId="77777777" w:rsidR="0019359F" w:rsidRPr="00E62B25" w:rsidRDefault="0019359F" w:rsidP="005A1F7F">
      <w:pPr>
        <w:keepNext/>
        <w:keepLines/>
        <w:jc w:val="center"/>
        <w:rPr>
          <w:rFonts w:ascii="Arial" w:hAnsi="Arial" w:cs="Arial"/>
          <w:sz w:val="20"/>
        </w:rPr>
      </w:pPr>
    </w:p>
    <w:p w14:paraId="23755845"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t>Hague Registration Scenarios</w:t>
      </w:r>
    </w:p>
    <w:p w14:paraId="67C82588" w14:textId="77777777" w:rsidR="00D7361F" w:rsidRPr="00E62B25" w:rsidRDefault="00D7361F" w:rsidP="005A1F7F">
      <w:pPr>
        <w:keepNext/>
        <w:keepLines/>
        <w:jc w:val="center"/>
        <w:rPr>
          <w:rFonts w:ascii="Arial" w:hAnsi="Arial" w:cs="Arial"/>
        </w:rPr>
      </w:pPr>
      <w:r w:rsidRPr="00E62B25">
        <w:rPr>
          <w:rFonts w:ascii="Arial" w:hAnsi="Arial" w:cs="Arial"/>
          <w:noProof/>
          <w:lang w:eastAsia="en-US"/>
        </w:rPr>
        <w:drawing>
          <wp:inline distT="0" distB="0" distL="0" distR="0" wp14:anchorId="58B1ACE1" wp14:editId="33420CFB">
            <wp:extent cx="3286125" cy="26955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86125" cy="2695575"/>
                    </a:xfrm>
                    <a:prstGeom prst="rect">
                      <a:avLst/>
                    </a:prstGeom>
                    <a:noFill/>
                    <a:ln>
                      <a:noFill/>
                    </a:ln>
                  </pic:spPr>
                </pic:pic>
              </a:graphicData>
            </a:graphic>
          </wp:inline>
        </w:drawing>
      </w:r>
    </w:p>
    <w:p w14:paraId="0454C3C7" w14:textId="77777777" w:rsidR="00D7361F" w:rsidRPr="00E62B25" w:rsidRDefault="00D7361F" w:rsidP="005A1F7F">
      <w:pPr>
        <w:keepNext/>
        <w:keepLines/>
        <w:jc w:val="center"/>
        <w:rPr>
          <w:rFonts w:ascii="Arial" w:hAnsi="Arial" w:cs="Arial"/>
        </w:rPr>
      </w:pPr>
    </w:p>
    <w:p w14:paraId="42E755F3" w14:textId="77777777" w:rsidR="00D7361F" w:rsidRPr="00E62B25" w:rsidRDefault="00D7361F" w:rsidP="005A1F7F">
      <w:pPr>
        <w:widowControl w:val="0"/>
        <w:rPr>
          <w:rFonts w:ascii="Arial" w:hAnsi="Arial" w:cs="Arial"/>
          <w:sz w:val="20"/>
        </w:rPr>
      </w:pPr>
      <w:r w:rsidRPr="00E62B25">
        <w:rPr>
          <w:rFonts w:ascii="Arial" w:hAnsi="Arial" w:cs="Arial"/>
          <w:i/>
          <w:sz w:val="20"/>
        </w:rPr>
        <w:t>Hague - Forecast of Demand for Renewals</w:t>
      </w:r>
      <w:r w:rsidRPr="00E62B25">
        <w:rPr>
          <w:rFonts w:ascii="Arial" w:hAnsi="Arial" w:cs="Arial"/>
          <w:i/>
          <w:sz w:val="20"/>
        </w:rPr>
        <w:br/>
      </w:r>
    </w:p>
    <w:p w14:paraId="3FD92F02"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Different regression models are employed to forecast registration renewals.  In addition to autoregressive models, use is made of the relationship between renewals and registrations with five</w:t>
      </w:r>
      <w:r w:rsidRPr="00E62B25">
        <w:rPr>
          <w:rFonts w:ascii="Arial" w:hAnsi="Arial" w:cs="Arial"/>
          <w:sz w:val="20"/>
        </w:rPr>
        <w:noBreakHyphen/>
        <w:t>year lags as well as past renewals with five</w:t>
      </w:r>
      <w:r w:rsidRPr="00E62B25">
        <w:rPr>
          <w:rFonts w:ascii="Arial" w:hAnsi="Arial" w:cs="Arial"/>
          <w:sz w:val="20"/>
        </w:rPr>
        <w:noBreakHyphen/>
        <w:t>year lags, since the registrations and renewals five years ago should contribute to the total renewals in the current year.</w:t>
      </w:r>
    </w:p>
    <w:p w14:paraId="09ED3081" w14:textId="77777777" w:rsidR="00D7361F" w:rsidRPr="00E62B25" w:rsidRDefault="00D7361F" w:rsidP="005A1F7F">
      <w:pPr>
        <w:tabs>
          <w:tab w:val="left" w:pos="540"/>
        </w:tabs>
        <w:jc w:val="both"/>
        <w:rPr>
          <w:rFonts w:ascii="Arial" w:hAnsi="Arial" w:cs="Arial"/>
          <w:sz w:val="20"/>
        </w:rPr>
      </w:pPr>
    </w:p>
    <w:p w14:paraId="6B6A70FE" w14:textId="77777777" w:rsidR="00D7361F" w:rsidRDefault="00D7361F" w:rsidP="005A1F7F">
      <w:pPr>
        <w:keepNext/>
        <w:keepLines/>
        <w:tabs>
          <w:tab w:val="left" w:pos="540"/>
        </w:tabs>
        <w:spacing w:after="60"/>
        <w:jc w:val="center"/>
        <w:rPr>
          <w:rFonts w:ascii="Arial" w:hAnsi="Arial" w:cs="Arial"/>
          <w:sz w:val="20"/>
          <w:szCs w:val="18"/>
        </w:rPr>
      </w:pPr>
      <w:r w:rsidRPr="0019359F">
        <w:rPr>
          <w:rFonts w:ascii="Arial" w:hAnsi="Arial" w:cs="Arial"/>
          <w:sz w:val="20"/>
          <w:szCs w:val="18"/>
        </w:rPr>
        <w:lastRenderedPageBreak/>
        <w:t>Chart 10.  Hague Renewal Forecast</w:t>
      </w:r>
    </w:p>
    <w:p w14:paraId="2837BECC" w14:textId="77777777" w:rsidR="00B44918" w:rsidRPr="0019359F" w:rsidRDefault="00B44918" w:rsidP="005A1F7F">
      <w:pPr>
        <w:keepNext/>
        <w:keepLines/>
        <w:tabs>
          <w:tab w:val="left" w:pos="540"/>
        </w:tabs>
        <w:spacing w:after="60"/>
        <w:jc w:val="center"/>
        <w:rPr>
          <w:rFonts w:ascii="Arial" w:hAnsi="Arial" w:cs="Arial"/>
        </w:rPr>
      </w:pPr>
    </w:p>
    <w:p w14:paraId="0C39BAE7"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07F8B97A" wp14:editId="6BF02AF3">
            <wp:extent cx="4638675" cy="2627725"/>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31829" cy="2623847"/>
                    </a:xfrm>
                    <a:prstGeom prst="rect">
                      <a:avLst/>
                    </a:prstGeom>
                    <a:noFill/>
                  </pic:spPr>
                </pic:pic>
              </a:graphicData>
            </a:graphic>
          </wp:inline>
        </w:drawing>
      </w:r>
    </w:p>
    <w:p w14:paraId="1DC3D981"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7AC9DDE" wp14:editId="34313593">
            <wp:extent cx="4438650" cy="775862"/>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438650" cy="775862"/>
                    </a:xfrm>
                    <a:prstGeom prst="rect">
                      <a:avLst/>
                    </a:prstGeom>
                    <a:noFill/>
                    <a:ln>
                      <a:noFill/>
                    </a:ln>
                  </pic:spPr>
                </pic:pic>
              </a:graphicData>
            </a:graphic>
          </wp:inline>
        </w:drawing>
      </w:r>
    </w:p>
    <w:p w14:paraId="7D7BFC6E" w14:textId="77777777" w:rsidR="00D7361F" w:rsidRDefault="00D7361F" w:rsidP="005A1F7F">
      <w:pPr>
        <w:keepNext/>
        <w:keepLines/>
        <w:jc w:val="center"/>
        <w:rPr>
          <w:rFonts w:ascii="Arial" w:hAnsi="Arial" w:cs="Arial"/>
          <w:sz w:val="20"/>
        </w:rPr>
      </w:pPr>
    </w:p>
    <w:p w14:paraId="18900E9C" w14:textId="77777777" w:rsidR="00D7361F" w:rsidRPr="00E62B25" w:rsidRDefault="00D7361F" w:rsidP="005A1F7F">
      <w:pPr>
        <w:keepNext/>
        <w:keepLines/>
        <w:jc w:val="center"/>
        <w:rPr>
          <w:rFonts w:ascii="Arial" w:hAnsi="Arial" w:cs="Arial"/>
          <w:sz w:val="20"/>
        </w:rPr>
      </w:pPr>
    </w:p>
    <w:p w14:paraId="698D39E1"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t>Renewal Probabilistic Distribution</w:t>
      </w:r>
    </w:p>
    <w:p w14:paraId="69F26A51"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5EE11FD8" wp14:editId="7D8F7A55">
            <wp:extent cx="4285753" cy="2245469"/>
            <wp:effectExtent l="0" t="0" r="635"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1">
                      <a:extLst>
                        <a:ext uri="{28A0092B-C50C-407E-A947-70E740481C1C}">
                          <a14:useLocalDpi xmlns:a14="http://schemas.microsoft.com/office/drawing/2010/main" val="0"/>
                        </a:ext>
                      </a:extLst>
                    </a:blip>
                    <a:srcRect t="7832"/>
                    <a:stretch/>
                  </pic:blipFill>
                  <pic:spPr bwMode="auto">
                    <a:xfrm>
                      <a:off x="0" y="0"/>
                      <a:ext cx="4290928" cy="2248180"/>
                    </a:xfrm>
                    <a:prstGeom prst="rect">
                      <a:avLst/>
                    </a:prstGeom>
                    <a:noFill/>
                    <a:ln>
                      <a:noFill/>
                    </a:ln>
                    <a:extLst>
                      <a:ext uri="{53640926-AAD7-44D8-BBD7-CCE9431645EC}">
                        <a14:shadowObscured xmlns:a14="http://schemas.microsoft.com/office/drawing/2010/main"/>
                      </a:ext>
                    </a:extLst>
                  </pic:spPr>
                </pic:pic>
              </a:graphicData>
            </a:graphic>
          </wp:inline>
        </w:drawing>
      </w:r>
    </w:p>
    <w:p w14:paraId="13E58FC1" w14:textId="77777777" w:rsidR="00D7361F" w:rsidRPr="00E62B25" w:rsidRDefault="00D7361F" w:rsidP="005A1F7F">
      <w:pPr>
        <w:jc w:val="center"/>
        <w:rPr>
          <w:rFonts w:ascii="Arial" w:hAnsi="Arial" w:cs="Arial"/>
          <w:sz w:val="20"/>
        </w:rPr>
      </w:pPr>
    </w:p>
    <w:p w14:paraId="68C888EC"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lastRenderedPageBreak/>
        <w:t>Hague Renewal Scenarios</w:t>
      </w:r>
    </w:p>
    <w:p w14:paraId="7039AD35" w14:textId="77777777" w:rsidR="00D7361F" w:rsidRPr="00EE1E0F"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0454F90E" wp14:editId="4AE35066">
            <wp:extent cx="3124200" cy="26955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24200" cy="2695575"/>
                    </a:xfrm>
                    <a:prstGeom prst="rect">
                      <a:avLst/>
                    </a:prstGeom>
                    <a:noFill/>
                    <a:ln>
                      <a:noFill/>
                    </a:ln>
                  </pic:spPr>
                </pic:pic>
              </a:graphicData>
            </a:graphic>
          </wp:inline>
        </w:drawing>
      </w:r>
    </w:p>
    <w:p w14:paraId="6FB6C489" w14:textId="77777777" w:rsidR="00D7361F" w:rsidRDefault="00D7361F" w:rsidP="005A1F7F">
      <w:pPr>
        <w:jc w:val="center"/>
        <w:rPr>
          <w:rFonts w:ascii="Arial" w:hAnsi="Arial" w:cs="Arial"/>
          <w:sz w:val="20"/>
        </w:rPr>
      </w:pPr>
    </w:p>
    <w:p w14:paraId="519EA664" w14:textId="77777777" w:rsidR="00D7361F" w:rsidRPr="00EE1E0F" w:rsidRDefault="00D7361F" w:rsidP="005A1F7F">
      <w:pPr>
        <w:jc w:val="center"/>
        <w:rPr>
          <w:rFonts w:ascii="Arial" w:hAnsi="Arial" w:cs="Arial"/>
          <w:sz w:val="20"/>
        </w:rPr>
      </w:pPr>
    </w:p>
    <w:p w14:paraId="4E623673" w14:textId="77777777" w:rsidR="00D7361F" w:rsidRPr="00EE1E0F" w:rsidRDefault="00D7361F" w:rsidP="005A1F7F">
      <w:pPr>
        <w:widowControl w:val="0"/>
        <w:rPr>
          <w:rFonts w:ascii="Arial" w:hAnsi="Arial" w:cs="Arial"/>
          <w:sz w:val="20"/>
        </w:rPr>
      </w:pPr>
      <w:r w:rsidRPr="00EE1E0F">
        <w:rPr>
          <w:rFonts w:ascii="Arial" w:hAnsi="Arial" w:cs="Arial"/>
          <w:i/>
          <w:sz w:val="20"/>
        </w:rPr>
        <w:t>Expected Level of Hague Income</w:t>
      </w:r>
      <w:r w:rsidRPr="00EE1E0F">
        <w:rPr>
          <w:rFonts w:ascii="Arial" w:hAnsi="Arial" w:cs="Arial"/>
          <w:i/>
          <w:sz w:val="20"/>
        </w:rPr>
        <w:br/>
      </w:r>
    </w:p>
    <w:p w14:paraId="28CFB7BD" w14:textId="77777777" w:rsidR="00D7361F" w:rsidRPr="00E62B25" w:rsidRDefault="00D7361F" w:rsidP="00B66A4A">
      <w:pPr>
        <w:keepNext/>
        <w:keepLines/>
        <w:numPr>
          <w:ilvl w:val="0"/>
          <w:numId w:val="38"/>
        </w:numPr>
        <w:tabs>
          <w:tab w:val="left" w:pos="540"/>
        </w:tabs>
        <w:jc w:val="both"/>
        <w:rPr>
          <w:rFonts w:ascii="Arial" w:hAnsi="Arial" w:cs="Arial"/>
          <w:sz w:val="20"/>
        </w:rPr>
      </w:pPr>
      <w:r w:rsidRPr="00E62B25">
        <w:rPr>
          <w:rFonts w:ascii="Arial" w:hAnsi="Arial" w:cs="Arial"/>
          <w:sz w:val="20"/>
        </w:rPr>
        <w:t>The income generated by the Hague System is calculated based on the current fee schedule.  The main components of this schedule are the basic fee and renewal fees.  These two parts cover about 90 per cent of the income.  Other fees are grouped as “Others”.</w:t>
      </w:r>
    </w:p>
    <w:p w14:paraId="43C89EF5" w14:textId="77777777" w:rsidR="00D7361F" w:rsidRPr="00E62B25" w:rsidRDefault="00D7361F" w:rsidP="005A1F7F">
      <w:pPr>
        <w:widowControl w:val="0"/>
        <w:rPr>
          <w:rFonts w:ascii="Arial" w:hAnsi="Arial" w:cs="Arial"/>
          <w:sz w:val="20"/>
        </w:rPr>
      </w:pPr>
    </w:p>
    <w:p w14:paraId="0286F9EB" w14:textId="77777777" w:rsidR="00D7361F" w:rsidRPr="00E62B25" w:rsidRDefault="00D7361F" w:rsidP="005A1F7F">
      <w:pPr>
        <w:widowControl w:val="0"/>
        <w:jc w:val="center"/>
        <w:rPr>
          <w:rFonts w:ascii="Arial" w:hAnsi="Arial" w:cs="Arial"/>
          <w:sz w:val="20"/>
        </w:rPr>
      </w:pPr>
      <w:r w:rsidRPr="00E62B25">
        <w:rPr>
          <w:rFonts w:ascii="Arial" w:hAnsi="Arial" w:cs="Arial"/>
          <w:sz w:val="20"/>
        </w:rPr>
        <w:t>Chart 11.  Expected Level of Hague Fee Income, by Source</w:t>
      </w:r>
    </w:p>
    <w:p w14:paraId="0F2E68D7" w14:textId="77777777" w:rsidR="00D7361F" w:rsidRPr="00E62B25" w:rsidRDefault="00D7361F" w:rsidP="005A1F7F">
      <w:pPr>
        <w:widowControl w:val="0"/>
        <w:rPr>
          <w:rFonts w:ascii="Arial" w:hAnsi="Arial" w:cs="Arial"/>
          <w:sz w:val="20"/>
        </w:rPr>
      </w:pPr>
    </w:p>
    <w:p w14:paraId="0278C9FE"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0D902962" wp14:editId="6E903D49">
            <wp:extent cx="3934546" cy="222885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933611" cy="2228321"/>
                    </a:xfrm>
                    <a:prstGeom prst="rect">
                      <a:avLst/>
                    </a:prstGeom>
                    <a:noFill/>
                  </pic:spPr>
                </pic:pic>
              </a:graphicData>
            </a:graphic>
          </wp:inline>
        </w:drawing>
      </w:r>
    </w:p>
    <w:p w14:paraId="6EE9BD22" w14:textId="77777777" w:rsidR="00D7361F" w:rsidRPr="00E62B25" w:rsidRDefault="00D7361F" w:rsidP="005A1F7F">
      <w:pPr>
        <w:jc w:val="center"/>
        <w:rPr>
          <w:rFonts w:ascii="Arial" w:hAnsi="Arial" w:cs="Arial"/>
          <w:sz w:val="20"/>
        </w:rPr>
      </w:pPr>
    </w:p>
    <w:p w14:paraId="1809B379" w14:textId="77777777" w:rsidR="00D7361F" w:rsidRPr="00FB68E0" w:rsidRDefault="00D7361F" w:rsidP="005A1F7F">
      <w:pPr>
        <w:jc w:val="center"/>
        <w:rPr>
          <w:rFonts w:ascii="Arial" w:hAnsi="Arial" w:cs="Arial"/>
          <w:sz w:val="16"/>
        </w:rPr>
      </w:pPr>
      <w:r w:rsidRPr="00E62B25">
        <w:rPr>
          <w:rFonts w:ascii="Arial" w:hAnsi="Arial" w:cs="Arial"/>
          <w:noProof/>
          <w:lang w:eastAsia="en-US"/>
        </w:rPr>
        <w:drawing>
          <wp:inline distT="0" distB="0" distL="0" distR="0" wp14:anchorId="2E8C0B90" wp14:editId="4DA45852">
            <wp:extent cx="4448175" cy="123861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48175" cy="1238618"/>
                    </a:xfrm>
                    <a:prstGeom prst="rect">
                      <a:avLst/>
                    </a:prstGeom>
                    <a:noFill/>
                    <a:ln>
                      <a:noFill/>
                    </a:ln>
                  </pic:spPr>
                </pic:pic>
              </a:graphicData>
            </a:graphic>
          </wp:inline>
        </w:drawing>
      </w:r>
    </w:p>
    <w:p w14:paraId="43F0B94B" w14:textId="77777777" w:rsidR="00E34525" w:rsidRDefault="00E34525" w:rsidP="00FB68E0">
      <w:pPr>
        <w:ind w:left="1134"/>
        <w:rPr>
          <w:rFonts w:ascii="Arial" w:hAnsi="Arial" w:cs="Arial"/>
          <w:sz w:val="16"/>
        </w:rPr>
      </w:pPr>
    </w:p>
    <w:p w14:paraId="4736E593" w14:textId="59AC5975" w:rsidR="00D7361F" w:rsidRPr="00FB68E0" w:rsidRDefault="00E34525" w:rsidP="00FB68E0">
      <w:pPr>
        <w:ind w:left="1134"/>
        <w:rPr>
          <w:rFonts w:ascii="Arial" w:hAnsi="Arial" w:cs="Arial"/>
          <w:sz w:val="16"/>
        </w:rPr>
      </w:pPr>
      <w:r w:rsidRPr="00FB68E0">
        <w:rPr>
          <w:rFonts w:ascii="Arial" w:hAnsi="Arial" w:cs="Arial"/>
          <w:sz w:val="16"/>
        </w:rPr>
        <w:t>*  Forecast figures</w:t>
      </w:r>
    </w:p>
    <w:p w14:paraId="20121038" w14:textId="77777777" w:rsidR="00D7361F" w:rsidRPr="00E62B25" w:rsidRDefault="00D7361F" w:rsidP="005A1F7F">
      <w:pPr>
        <w:jc w:val="center"/>
        <w:rPr>
          <w:rFonts w:ascii="Arial" w:hAnsi="Arial" w:cs="Arial"/>
          <w:sz w:val="20"/>
        </w:rPr>
      </w:pPr>
    </w:p>
    <w:p w14:paraId="700509AF"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lastRenderedPageBreak/>
        <w:t>Income Probabilistic Distribution</w:t>
      </w:r>
    </w:p>
    <w:p w14:paraId="0C517A82" w14:textId="77777777" w:rsidR="00D7361F" w:rsidRPr="00E62B25" w:rsidRDefault="00D7361F" w:rsidP="005A1F7F">
      <w:pPr>
        <w:keepNext/>
        <w:keepLines/>
        <w:spacing w:after="120"/>
        <w:jc w:val="center"/>
        <w:rPr>
          <w:rFonts w:ascii="Arial" w:hAnsi="Arial" w:cs="Arial"/>
          <w:sz w:val="20"/>
        </w:rPr>
      </w:pPr>
    </w:p>
    <w:p w14:paraId="2CD59156" w14:textId="77777777" w:rsidR="00D7361F"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34DD26CB" wp14:editId="23260DE5">
            <wp:extent cx="4468633" cy="2326518"/>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5">
                      <a:extLst>
                        <a:ext uri="{28A0092B-C50C-407E-A947-70E740481C1C}">
                          <a14:useLocalDpi xmlns:a14="http://schemas.microsoft.com/office/drawing/2010/main" val="0"/>
                        </a:ext>
                      </a:extLst>
                    </a:blip>
                    <a:srcRect t="8161"/>
                    <a:stretch/>
                  </pic:blipFill>
                  <pic:spPr bwMode="auto">
                    <a:xfrm>
                      <a:off x="0" y="0"/>
                      <a:ext cx="4469335" cy="2326883"/>
                    </a:xfrm>
                    <a:prstGeom prst="rect">
                      <a:avLst/>
                    </a:prstGeom>
                    <a:noFill/>
                    <a:ln>
                      <a:noFill/>
                    </a:ln>
                    <a:extLst>
                      <a:ext uri="{53640926-AAD7-44D8-BBD7-CCE9431645EC}">
                        <a14:shadowObscured xmlns:a14="http://schemas.microsoft.com/office/drawing/2010/main"/>
                      </a:ext>
                    </a:extLst>
                  </pic:spPr>
                </pic:pic>
              </a:graphicData>
            </a:graphic>
          </wp:inline>
        </w:drawing>
      </w:r>
    </w:p>
    <w:p w14:paraId="18356E5B" w14:textId="77777777" w:rsidR="00D7361F" w:rsidRPr="00E62B25" w:rsidRDefault="00D7361F" w:rsidP="005A1F7F">
      <w:pPr>
        <w:keepNext/>
        <w:keepLines/>
        <w:jc w:val="center"/>
        <w:rPr>
          <w:rFonts w:ascii="Arial" w:hAnsi="Arial" w:cs="Arial"/>
          <w:sz w:val="20"/>
        </w:rPr>
      </w:pPr>
    </w:p>
    <w:p w14:paraId="54D751EE" w14:textId="77777777" w:rsidR="00D7361F" w:rsidRPr="0019359F" w:rsidRDefault="00D7361F" w:rsidP="005A1F7F">
      <w:pPr>
        <w:keepNext/>
        <w:keepLines/>
        <w:spacing w:after="120"/>
        <w:jc w:val="center"/>
        <w:rPr>
          <w:rFonts w:ascii="Arial" w:hAnsi="Arial" w:cs="Arial"/>
        </w:rPr>
      </w:pPr>
      <w:r w:rsidRPr="0019359F">
        <w:rPr>
          <w:rFonts w:ascii="Arial" w:hAnsi="Arial" w:cs="Arial"/>
          <w:sz w:val="20"/>
          <w:szCs w:val="18"/>
        </w:rPr>
        <w:t>Hague Income Scenarios</w:t>
      </w:r>
    </w:p>
    <w:p w14:paraId="636EEC21" w14:textId="77777777" w:rsidR="00D7361F" w:rsidRPr="00E62B25" w:rsidRDefault="00D7361F" w:rsidP="005A1F7F">
      <w:pPr>
        <w:keepNext/>
        <w:keepLines/>
        <w:jc w:val="center"/>
        <w:rPr>
          <w:rFonts w:ascii="Arial" w:hAnsi="Arial" w:cs="Arial"/>
        </w:rPr>
      </w:pPr>
      <w:r w:rsidRPr="00E62B25">
        <w:rPr>
          <w:rFonts w:ascii="Arial" w:hAnsi="Arial" w:cs="Arial"/>
          <w:noProof/>
          <w:lang w:eastAsia="en-US"/>
        </w:rPr>
        <w:drawing>
          <wp:inline distT="0" distB="0" distL="0" distR="0" wp14:anchorId="05EFBCFF" wp14:editId="59323BF5">
            <wp:extent cx="3095625" cy="26955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95625" cy="2695575"/>
                    </a:xfrm>
                    <a:prstGeom prst="rect">
                      <a:avLst/>
                    </a:prstGeom>
                    <a:noFill/>
                    <a:ln>
                      <a:noFill/>
                    </a:ln>
                  </pic:spPr>
                </pic:pic>
              </a:graphicData>
            </a:graphic>
          </wp:inline>
        </w:drawing>
      </w:r>
    </w:p>
    <w:p w14:paraId="31659192" w14:textId="77777777" w:rsidR="00D7361F" w:rsidRDefault="00D7361F" w:rsidP="005A1F7F">
      <w:pPr>
        <w:jc w:val="center"/>
        <w:rPr>
          <w:rFonts w:ascii="Arial" w:hAnsi="Arial" w:cs="Arial"/>
        </w:rPr>
      </w:pPr>
    </w:p>
    <w:p w14:paraId="208E50E1" w14:textId="77777777" w:rsidR="00D7361F" w:rsidRPr="00E62B25" w:rsidRDefault="00D7361F" w:rsidP="005A1F7F">
      <w:pPr>
        <w:jc w:val="center"/>
        <w:rPr>
          <w:rFonts w:ascii="Arial" w:hAnsi="Arial" w:cs="Arial"/>
        </w:rPr>
      </w:pPr>
    </w:p>
    <w:p w14:paraId="0EC17C1E" w14:textId="77777777" w:rsidR="00D7361F" w:rsidRPr="00E62B25" w:rsidRDefault="00D7361F" w:rsidP="00B66A4A">
      <w:pPr>
        <w:numPr>
          <w:ilvl w:val="0"/>
          <w:numId w:val="38"/>
        </w:numPr>
        <w:tabs>
          <w:tab w:val="left" w:pos="540"/>
        </w:tabs>
        <w:jc w:val="both"/>
        <w:rPr>
          <w:rFonts w:ascii="Arial" w:hAnsi="Arial" w:cs="Arial"/>
          <w:sz w:val="20"/>
        </w:rPr>
      </w:pPr>
      <w:r w:rsidRPr="00E62B25">
        <w:rPr>
          <w:rFonts w:ascii="Arial" w:hAnsi="Arial" w:cs="Arial"/>
          <w:sz w:val="20"/>
        </w:rPr>
        <w:t>Income estimates for 2015 to 2017 in the table below are based on the expected numbers of international registrations and renewals.  It should be noted that the income estimates given below are based on the assumption that no changes to the schedule of fees payable to the International Bureau under the Hague system will take place in the forthcoming years.</w:t>
      </w:r>
    </w:p>
    <w:p w14:paraId="2FC33D1A" w14:textId="77777777" w:rsidR="00D7361F" w:rsidRPr="00E62B25" w:rsidRDefault="00D7361F" w:rsidP="005A1F7F">
      <w:pPr>
        <w:tabs>
          <w:tab w:val="left" w:pos="540"/>
        </w:tabs>
        <w:jc w:val="both"/>
        <w:rPr>
          <w:rFonts w:ascii="Arial" w:hAnsi="Arial" w:cs="Arial"/>
          <w:sz w:val="20"/>
        </w:rPr>
      </w:pPr>
    </w:p>
    <w:p w14:paraId="700BDCBE" w14:textId="263DA770" w:rsidR="00D7361F" w:rsidRPr="00E62B25" w:rsidRDefault="00D7361F" w:rsidP="005A1F7F">
      <w:pPr>
        <w:keepNext/>
        <w:keepLines/>
        <w:jc w:val="center"/>
        <w:rPr>
          <w:rFonts w:ascii="Arial" w:hAnsi="Arial" w:cs="Arial"/>
          <w:sz w:val="20"/>
        </w:rPr>
      </w:pPr>
      <w:r w:rsidRPr="00E62B25">
        <w:rPr>
          <w:rFonts w:ascii="Arial" w:hAnsi="Arial" w:cs="Arial"/>
          <w:sz w:val="20"/>
        </w:rPr>
        <w:t>Table 1</w:t>
      </w:r>
      <w:r w:rsidR="000D2666">
        <w:rPr>
          <w:rFonts w:ascii="Arial" w:hAnsi="Arial" w:cs="Arial"/>
          <w:sz w:val="20"/>
        </w:rPr>
        <w:t>8</w:t>
      </w:r>
      <w:r w:rsidRPr="00E62B25">
        <w:rPr>
          <w:rFonts w:ascii="Arial" w:hAnsi="Arial" w:cs="Arial"/>
          <w:sz w:val="20"/>
        </w:rPr>
        <w:t>.  Hague Total Fee Income and Average Fee</w:t>
      </w:r>
    </w:p>
    <w:p w14:paraId="12205E1C" w14:textId="77777777" w:rsidR="00D7361F" w:rsidRPr="00E62B25" w:rsidRDefault="00D7361F" w:rsidP="005A1F7F">
      <w:pPr>
        <w:keepNext/>
        <w:keepLines/>
        <w:jc w:val="center"/>
        <w:rPr>
          <w:rFonts w:ascii="Arial" w:hAnsi="Arial" w:cs="Arial"/>
          <w:sz w:val="20"/>
        </w:rPr>
      </w:pPr>
    </w:p>
    <w:p w14:paraId="7EC72006"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732FE1E" wp14:editId="7A4BB61D">
            <wp:extent cx="5334000" cy="97281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32228" cy="972493"/>
                    </a:xfrm>
                    <a:prstGeom prst="rect">
                      <a:avLst/>
                    </a:prstGeom>
                    <a:noFill/>
                    <a:ln>
                      <a:noFill/>
                    </a:ln>
                  </pic:spPr>
                </pic:pic>
              </a:graphicData>
            </a:graphic>
          </wp:inline>
        </w:drawing>
      </w:r>
    </w:p>
    <w:p w14:paraId="38248DCD" w14:textId="77777777" w:rsidR="00D7361F" w:rsidRPr="00E62B25" w:rsidRDefault="00D7361F" w:rsidP="005A1F7F">
      <w:pPr>
        <w:keepNext/>
        <w:keepLines/>
        <w:rPr>
          <w:rFonts w:ascii="Arial" w:hAnsi="Arial" w:cs="Arial"/>
          <w:sz w:val="20"/>
        </w:rPr>
      </w:pPr>
    </w:p>
    <w:p w14:paraId="5FB6F215" w14:textId="0871FEE7" w:rsidR="00592800" w:rsidRDefault="00592800" w:rsidP="008D3EC2">
      <w:pPr>
        <w:autoSpaceDE w:val="0"/>
        <w:autoSpaceDN w:val="0"/>
        <w:adjustRightInd w:val="0"/>
        <w:rPr>
          <w:rFonts w:ascii="Arial" w:hAnsi="Arial" w:cs="Arial"/>
          <w:sz w:val="20"/>
        </w:rPr>
      </w:pPr>
    </w:p>
    <w:p w14:paraId="792B0123" w14:textId="77777777" w:rsidR="00592800" w:rsidRDefault="00592800" w:rsidP="008D3EC2">
      <w:pPr>
        <w:autoSpaceDE w:val="0"/>
        <w:autoSpaceDN w:val="0"/>
        <w:adjustRightInd w:val="0"/>
        <w:rPr>
          <w:rFonts w:ascii="Arial" w:hAnsi="Arial" w:cs="Arial"/>
          <w:sz w:val="20"/>
        </w:rPr>
      </w:pPr>
    </w:p>
    <w:p w14:paraId="58A82738" w14:textId="264D39BF" w:rsidR="000D2666" w:rsidRDefault="000D2666">
      <w:pPr>
        <w:rPr>
          <w:rFonts w:ascii="Arial" w:hAnsi="Arial" w:cs="Arial"/>
          <w:sz w:val="20"/>
        </w:rPr>
      </w:pPr>
      <w:r>
        <w:rPr>
          <w:rFonts w:ascii="Arial" w:hAnsi="Arial" w:cs="Arial"/>
          <w:sz w:val="20"/>
        </w:rPr>
        <w:br w:type="page"/>
      </w:r>
    </w:p>
    <w:p w14:paraId="7BAD27DB" w14:textId="77777777" w:rsidR="00D7361F" w:rsidRDefault="00D7361F" w:rsidP="008D3EC2">
      <w:pPr>
        <w:autoSpaceDE w:val="0"/>
        <w:autoSpaceDN w:val="0"/>
        <w:adjustRightInd w:val="0"/>
        <w:rPr>
          <w:rFonts w:ascii="Arial" w:hAnsi="Arial" w:cs="Arial"/>
          <w:sz w:val="20"/>
        </w:rPr>
      </w:pPr>
    </w:p>
    <w:p w14:paraId="30263E8D" w14:textId="77777777" w:rsidR="00592800" w:rsidRPr="0069571C" w:rsidRDefault="00592800" w:rsidP="00592800">
      <w:pPr>
        <w:pStyle w:val="StyleHeading3ComplexItalic"/>
        <w:keepNext w:val="0"/>
        <w:tabs>
          <w:tab w:val="clear" w:pos="1985"/>
          <w:tab w:val="left" w:pos="1418"/>
        </w:tabs>
        <w:ind w:left="1418" w:hanging="1418"/>
      </w:pPr>
      <w:bookmarkStart w:id="102" w:name="_Toc293334845"/>
      <w:bookmarkStart w:id="103" w:name="_Toc298920427"/>
      <w:bookmarkStart w:id="104" w:name="_Toc356567790"/>
      <w:bookmarkStart w:id="105" w:name="_Toc367350616"/>
      <w:bookmarkStart w:id="106" w:name="_Toc431221449"/>
      <w:r w:rsidRPr="007F65E7">
        <w:rPr>
          <w:caps w:val="0"/>
        </w:rPr>
        <w:t>ANNEX V</w:t>
      </w:r>
      <w:r w:rsidRPr="007F65E7">
        <w:rPr>
          <w:caps w:val="0"/>
        </w:rPr>
        <w:tab/>
        <w:t>INDICATORS OF PCT OPERATIONS</w:t>
      </w:r>
      <w:bookmarkEnd w:id="102"/>
      <w:bookmarkEnd w:id="103"/>
      <w:bookmarkEnd w:id="104"/>
      <w:bookmarkEnd w:id="105"/>
      <w:bookmarkEnd w:id="106"/>
    </w:p>
    <w:p w14:paraId="463A802A" w14:textId="77777777" w:rsidR="00592800" w:rsidRDefault="00592800" w:rsidP="00592800">
      <w:pPr>
        <w:rPr>
          <w:rFonts w:ascii="Arial" w:hAnsi="Arial" w:cs="Arial"/>
          <w:sz w:val="20"/>
        </w:rPr>
      </w:pPr>
    </w:p>
    <w:p w14:paraId="0D02A8A6" w14:textId="77777777" w:rsidR="001A07FB" w:rsidRPr="000E46C3" w:rsidRDefault="001A07FB" w:rsidP="005A1F7F">
      <w:pPr>
        <w:rPr>
          <w:rFonts w:ascii="Arial" w:hAnsi="Arial" w:cs="Arial"/>
          <w:sz w:val="20"/>
        </w:rPr>
      </w:pPr>
    </w:p>
    <w:p w14:paraId="3A0C9A35" w14:textId="77777777" w:rsidR="001A07FB" w:rsidRPr="000E46C3" w:rsidRDefault="001A07FB" w:rsidP="005A1F7F">
      <w:pPr>
        <w:rPr>
          <w:rFonts w:ascii="Arial" w:hAnsi="Arial" w:cs="Arial"/>
          <w:sz w:val="20"/>
        </w:rPr>
      </w:pPr>
      <w:r w:rsidRPr="000E46C3">
        <w:rPr>
          <w:rFonts w:ascii="Arial" w:hAnsi="Arial" w:cs="Arial"/>
          <w:sz w:val="20"/>
        </w:rPr>
        <w:t>PERFORMANCE INDICATORS FOR THE EXPECTED RESULT</w:t>
      </w:r>
    </w:p>
    <w:p w14:paraId="1084BC0C" w14:textId="77777777" w:rsidR="001A07FB" w:rsidRPr="000E46C3" w:rsidRDefault="001A07FB" w:rsidP="005A1F7F">
      <w:pPr>
        <w:rPr>
          <w:rFonts w:ascii="Arial" w:hAnsi="Arial" w:cs="Arial"/>
          <w:sz w:val="20"/>
        </w:rPr>
      </w:pPr>
      <w:r w:rsidRPr="000E46C3">
        <w:rPr>
          <w:rFonts w:ascii="Arial" w:hAnsi="Arial" w:cs="Arial"/>
          <w:sz w:val="20"/>
        </w:rPr>
        <w:t>“IMPROVED PRODUCTIVITY AND SERVICE QUALITY OF PCT OPERATIONS”</w:t>
      </w:r>
    </w:p>
    <w:p w14:paraId="4F2ED533" w14:textId="77777777" w:rsidR="001A07FB" w:rsidRPr="000E46C3" w:rsidRDefault="001A07FB" w:rsidP="005A1F7F">
      <w:pPr>
        <w:jc w:val="center"/>
        <w:rPr>
          <w:rFonts w:ascii="Arial" w:hAnsi="Arial" w:cs="Arial"/>
          <w:bCs/>
          <w:sz w:val="28"/>
          <w:szCs w:val="28"/>
        </w:rPr>
      </w:pPr>
    </w:p>
    <w:p w14:paraId="52B5F23F" w14:textId="77777777" w:rsidR="001A07FB" w:rsidRPr="000E46C3" w:rsidRDefault="001A07FB" w:rsidP="005A1F7F">
      <w:pPr>
        <w:rPr>
          <w:rFonts w:ascii="Arial" w:hAnsi="Arial" w:cs="Arial"/>
          <w:b/>
          <w:sz w:val="20"/>
        </w:rPr>
      </w:pPr>
      <w:r w:rsidRPr="000E46C3">
        <w:rPr>
          <w:rFonts w:ascii="Arial" w:hAnsi="Arial" w:cs="Arial"/>
          <w:b/>
          <w:sz w:val="20"/>
        </w:rPr>
        <w:t>General</w:t>
      </w:r>
    </w:p>
    <w:p w14:paraId="291B4A3B" w14:textId="77777777" w:rsidR="001A07FB" w:rsidRPr="000E46C3" w:rsidRDefault="001A07FB" w:rsidP="005A1F7F">
      <w:pPr>
        <w:rPr>
          <w:rFonts w:ascii="Arial" w:hAnsi="Arial" w:cs="Arial"/>
          <w:b/>
          <w:sz w:val="20"/>
        </w:rPr>
      </w:pPr>
    </w:p>
    <w:p w14:paraId="16FB9021" w14:textId="77777777" w:rsidR="001A07FB" w:rsidRPr="000E46C3" w:rsidRDefault="001A07FB" w:rsidP="00B66A4A">
      <w:pPr>
        <w:numPr>
          <w:ilvl w:val="0"/>
          <w:numId w:val="41"/>
        </w:numPr>
        <w:rPr>
          <w:rFonts w:ascii="Arial" w:hAnsi="Arial"/>
          <w:sz w:val="20"/>
          <w:lang w:val="en-GB"/>
        </w:rPr>
      </w:pPr>
      <w:r w:rsidRPr="000E46C3">
        <w:rPr>
          <w:rFonts w:ascii="Arial" w:hAnsi="Arial"/>
          <w:sz w:val="20"/>
          <w:lang w:val="en-GB"/>
        </w:rPr>
        <w:t>As background for the performance indicators for the expected result “</w:t>
      </w:r>
      <w:r w:rsidRPr="000E46C3">
        <w:rPr>
          <w:rFonts w:ascii="Arial" w:hAnsi="Arial" w:cs="Arial"/>
          <w:sz w:val="20"/>
        </w:rPr>
        <w:t>improved productivity and service quality of PCT operations</w:t>
      </w:r>
      <w:r w:rsidRPr="000E46C3">
        <w:rPr>
          <w:rFonts w:ascii="Arial" w:hAnsi="Arial"/>
          <w:sz w:val="20"/>
          <w:lang w:val="en-GB"/>
        </w:rPr>
        <w:t>”, the evolution of</w:t>
      </w:r>
      <w:r>
        <w:rPr>
          <w:rFonts w:ascii="Arial" w:hAnsi="Arial"/>
          <w:sz w:val="20"/>
          <w:lang w:val="en-GB"/>
        </w:rPr>
        <w:t xml:space="preserve"> the following factors need to be considered</w:t>
      </w:r>
      <w:r w:rsidRPr="000E46C3">
        <w:rPr>
          <w:rFonts w:ascii="Arial" w:hAnsi="Arial"/>
          <w:sz w:val="20"/>
          <w:lang w:val="en-GB"/>
        </w:rPr>
        <w:t xml:space="preserve">:  </w:t>
      </w:r>
    </w:p>
    <w:p w14:paraId="4BD4FB88" w14:textId="77777777" w:rsidR="001A07FB" w:rsidRPr="000E46C3" w:rsidRDefault="001A07FB" w:rsidP="005A1F7F">
      <w:pPr>
        <w:rPr>
          <w:rFonts w:ascii="Arial" w:hAnsi="Arial"/>
          <w:sz w:val="20"/>
          <w:lang w:val="en-GB"/>
        </w:rPr>
      </w:pPr>
    </w:p>
    <w:p w14:paraId="44C27D6D" w14:textId="77777777" w:rsidR="001A07FB" w:rsidRPr="000E46C3" w:rsidRDefault="001A07FB" w:rsidP="00B66A4A">
      <w:pPr>
        <w:numPr>
          <w:ilvl w:val="0"/>
          <w:numId w:val="40"/>
        </w:numPr>
        <w:tabs>
          <w:tab w:val="clear" w:pos="720"/>
          <w:tab w:val="num" w:pos="1100"/>
        </w:tabs>
        <w:spacing w:after="60"/>
        <w:ind w:left="1208" w:hanging="658"/>
        <w:rPr>
          <w:rFonts w:ascii="Arial" w:hAnsi="Arial"/>
          <w:sz w:val="20"/>
          <w:lang w:val="en-GB"/>
        </w:rPr>
      </w:pPr>
      <w:r w:rsidRPr="000E46C3">
        <w:rPr>
          <w:rFonts w:ascii="Arial" w:hAnsi="Arial"/>
          <w:sz w:val="20"/>
          <w:lang w:val="en-GB"/>
        </w:rPr>
        <w:t>The PCT workloads;</w:t>
      </w:r>
    </w:p>
    <w:p w14:paraId="7452A373" w14:textId="77777777" w:rsidR="001A07FB" w:rsidRPr="000E46C3" w:rsidRDefault="001A07FB" w:rsidP="00B66A4A">
      <w:pPr>
        <w:numPr>
          <w:ilvl w:val="0"/>
          <w:numId w:val="40"/>
        </w:numPr>
        <w:tabs>
          <w:tab w:val="clear" w:pos="720"/>
          <w:tab w:val="num" w:pos="1100"/>
        </w:tabs>
        <w:spacing w:after="60"/>
        <w:ind w:left="1208" w:hanging="658"/>
        <w:rPr>
          <w:rFonts w:ascii="Arial" w:hAnsi="Arial"/>
          <w:sz w:val="20"/>
          <w:lang w:val="en-GB"/>
        </w:rPr>
      </w:pPr>
      <w:r w:rsidRPr="000E46C3">
        <w:rPr>
          <w:rFonts w:ascii="Arial" w:hAnsi="Arial"/>
          <w:sz w:val="20"/>
          <w:lang w:val="en-GB"/>
        </w:rPr>
        <w:t>The language distribution of those workloads;</w:t>
      </w:r>
    </w:p>
    <w:p w14:paraId="21555F5A" w14:textId="77777777" w:rsidR="001A07FB" w:rsidRDefault="001A07FB" w:rsidP="00B66A4A">
      <w:pPr>
        <w:numPr>
          <w:ilvl w:val="0"/>
          <w:numId w:val="40"/>
        </w:numPr>
        <w:tabs>
          <w:tab w:val="clear" w:pos="720"/>
          <w:tab w:val="num" w:pos="1100"/>
        </w:tabs>
        <w:spacing w:after="60"/>
        <w:ind w:left="1208" w:hanging="658"/>
        <w:rPr>
          <w:rFonts w:ascii="Arial" w:hAnsi="Arial"/>
          <w:sz w:val="20"/>
          <w:lang w:val="en-GB"/>
        </w:rPr>
      </w:pPr>
      <w:r w:rsidRPr="000E46C3">
        <w:rPr>
          <w:rFonts w:ascii="Arial" w:hAnsi="Arial"/>
          <w:sz w:val="20"/>
          <w:lang w:val="en-GB"/>
        </w:rPr>
        <w:t>The number of staff assigned to process those workloads</w:t>
      </w:r>
      <w:r>
        <w:rPr>
          <w:rFonts w:ascii="Arial" w:hAnsi="Arial"/>
          <w:sz w:val="20"/>
          <w:lang w:val="en-GB"/>
        </w:rPr>
        <w:t>; and</w:t>
      </w:r>
    </w:p>
    <w:p w14:paraId="6337BAD0" w14:textId="77777777" w:rsidR="001A07FB" w:rsidRPr="000E46C3" w:rsidRDefault="001A07FB" w:rsidP="00B66A4A">
      <w:pPr>
        <w:numPr>
          <w:ilvl w:val="0"/>
          <w:numId w:val="40"/>
        </w:numPr>
        <w:tabs>
          <w:tab w:val="clear" w:pos="720"/>
          <w:tab w:val="num" w:pos="1100"/>
        </w:tabs>
        <w:ind w:left="1210" w:hanging="660"/>
        <w:rPr>
          <w:rFonts w:ascii="Arial" w:hAnsi="Arial"/>
          <w:sz w:val="20"/>
          <w:lang w:val="en-GB"/>
        </w:rPr>
      </w:pPr>
      <w:r>
        <w:rPr>
          <w:rFonts w:ascii="Arial" w:hAnsi="Arial"/>
          <w:sz w:val="20"/>
          <w:lang w:val="en-GB"/>
        </w:rPr>
        <w:t>The level of automation.</w:t>
      </w:r>
    </w:p>
    <w:p w14:paraId="6C06A376" w14:textId="77777777" w:rsidR="001A07FB" w:rsidRDefault="001A07FB" w:rsidP="005A1F7F">
      <w:pPr>
        <w:tabs>
          <w:tab w:val="num" w:pos="1100"/>
        </w:tabs>
        <w:ind w:left="1210" w:hanging="660"/>
        <w:rPr>
          <w:rFonts w:ascii="Arial" w:hAnsi="Arial"/>
          <w:sz w:val="20"/>
          <w:lang w:val="en-GB"/>
        </w:rPr>
      </w:pPr>
    </w:p>
    <w:p w14:paraId="55B9E744" w14:textId="77777777" w:rsidR="001A07FB" w:rsidRPr="000E46C3" w:rsidRDefault="001A07FB" w:rsidP="005A1F7F">
      <w:pPr>
        <w:tabs>
          <w:tab w:val="num" w:pos="1100"/>
        </w:tabs>
        <w:ind w:left="1210" w:hanging="660"/>
        <w:rPr>
          <w:rFonts w:ascii="Arial" w:hAnsi="Arial"/>
          <w:sz w:val="20"/>
          <w:lang w:val="en-GB"/>
        </w:rPr>
      </w:pPr>
    </w:p>
    <w:p w14:paraId="57EA1037" w14:textId="77777777" w:rsidR="001A07FB" w:rsidRPr="000E46C3" w:rsidRDefault="001A07FB" w:rsidP="005A1F7F">
      <w:pPr>
        <w:rPr>
          <w:rFonts w:ascii="Arial" w:hAnsi="Arial"/>
          <w:i/>
          <w:sz w:val="20"/>
          <w:lang w:val="en-GB"/>
        </w:rPr>
      </w:pPr>
      <w:r w:rsidRPr="000E46C3">
        <w:rPr>
          <w:rFonts w:ascii="Arial" w:hAnsi="Arial"/>
          <w:i/>
          <w:sz w:val="20"/>
          <w:lang w:val="en-GB"/>
        </w:rPr>
        <w:t>Workloads</w:t>
      </w:r>
    </w:p>
    <w:p w14:paraId="497CF921" w14:textId="77777777" w:rsidR="001A07FB" w:rsidRPr="000E46C3" w:rsidRDefault="001A07FB" w:rsidP="005A1F7F">
      <w:pPr>
        <w:rPr>
          <w:rFonts w:ascii="Arial" w:hAnsi="Arial"/>
          <w:sz w:val="20"/>
          <w:lang w:val="en-GB"/>
        </w:rPr>
      </w:pPr>
    </w:p>
    <w:p w14:paraId="5A6E3716" w14:textId="77777777" w:rsidR="001A07FB" w:rsidRPr="000E46C3" w:rsidRDefault="001A07FB" w:rsidP="00B66A4A">
      <w:pPr>
        <w:numPr>
          <w:ilvl w:val="0"/>
          <w:numId w:val="41"/>
        </w:numPr>
        <w:rPr>
          <w:rFonts w:ascii="Arial" w:hAnsi="Arial"/>
          <w:sz w:val="20"/>
          <w:lang w:val="en-GB"/>
        </w:rPr>
      </w:pPr>
      <w:r w:rsidRPr="000E46C3">
        <w:rPr>
          <w:rFonts w:ascii="Arial" w:hAnsi="Arial"/>
          <w:sz w:val="20"/>
          <w:lang w:val="en-GB"/>
        </w:rPr>
        <w:t>The workloads are tracked on the basis of the yearly number of record copies received by the</w:t>
      </w:r>
      <w:r>
        <w:rPr>
          <w:rFonts w:ascii="Arial" w:hAnsi="Arial"/>
          <w:sz w:val="20"/>
          <w:lang w:val="en-GB"/>
        </w:rPr>
        <w:t> </w:t>
      </w:r>
      <w:r w:rsidRPr="000E46C3">
        <w:rPr>
          <w:rFonts w:ascii="Arial" w:hAnsi="Arial"/>
          <w:sz w:val="20"/>
          <w:lang w:val="en-GB"/>
        </w:rPr>
        <w:t>IB</w:t>
      </w:r>
      <w:r w:rsidRPr="000E46C3">
        <w:rPr>
          <w:rStyle w:val="FootnoteReference"/>
          <w:sz w:val="20"/>
          <w:lang w:val="en-GB"/>
        </w:rPr>
        <w:footnoteReference w:id="25"/>
      </w:r>
      <w:r w:rsidRPr="000E46C3">
        <w:rPr>
          <w:rFonts w:ascii="Arial" w:hAnsi="Arial"/>
          <w:sz w:val="20"/>
          <w:lang w:val="en-GB"/>
        </w:rPr>
        <w:t xml:space="preserve">. </w:t>
      </w:r>
    </w:p>
    <w:p w14:paraId="51442780" w14:textId="77777777" w:rsidR="001A07FB" w:rsidRDefault="001A07FB" w:rsidP="005A1F7F">
      <w:pPr>
        <w:jc w:val="center"/>
        <w:rPr>
          <w:rFonts w:ascii="Arial" w:hAnsi="Arial"/>
          <w:b/>
          <w:bCs/>
          <w:sz w:val="18"/>
          <w:szCs w:val="18"/>
          <w:lang w:val="en-GB"/>
        </w:rPr>
      </w:pPr>
    </w:p>
    <w:p w14:paraId="3EAC318B" w14:textId="77777777" w:rsidR="001A07FB" w:rsidRDefault="001A07FB" w:rsidP="005A1F7F">
      <w:pPr>
        <w:jc w:val="center"/>
        <w:rPr>
          <w:rFonts w:ascii="Arial" w:hAnsi="Arial"/>
          <w:b/>
          <w:bCs/>
          <w:sz w:val="18"/>
          <w:szCs w:val="18"/>
          <w:lang w:val="en-GB"/>
        </w:rPr>
      </w:pPr>
      <w:r w:rsidRPr="00B4173C">
        <w:rPr>
          <w:rFonts w:ascii="Arial" w:hAnsi="Arial"/>
          <w:b/>
          <w:bCs/>
          <w:sz w:val="18"/>
          <w:szCs w:val="18"/>
          <w:lang w:val="en-GB"/>
        </w:rPr>
        <w:t>Evolution of Record Copies by Medium of Filing</w:t>
      </w:r>
    </w:p>
    <w:p w14:paraId="6EF56561" w14:textId="77777777" w:rsidR="001A07FB" w:rsidRPr="00B4173C" w:rsidRDefault="001A07FB" w:rsidP="005A1F7F">
      <w:pPr>
        <w:jc w:val="center"/>
        <w:rPr>
          <w:rFonts w:ascii="Arial" w:hAnsi="Arial"/>
          <w:b/>
          <w:bCs/>
          <w:sz w:val="18"/>
          <w:szCs w:val="18"/>
          <w:lang w:val="en-GB"/>
        </w:rPr>
      </w:pPr>
      <w:r>
        <w:rPr>
          <w:rFonts w:ascii="Arial" w:hAnsi="Arial"/>
          <w:b/>
          <w:bCs/>
          <w:noProof/>
          <w:sz w:val="18"/>
          <w:szCs w:val="18"/>
          <w:lang w:eastAsia="en-US"/>
        </w:rPr>
        <w:drawing>
          <wp:inline distT="0" distB="0" distL="0" distR="0" wp14:anchorId="6EE6EFD4" wp14:editId="2C8B9080">
            <wp:extent cx="5678170" cy="24384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78170" cy="2438400"/>
                    </a:xfrm>
                    <a:prstGeom prst="rect">
                      <a:avLst/>
                    </a:prstGeom>
                    <a:noFill/>
                  </pic:spPr>
                </pic:pic>
              </a:graphicData>
            </a:graphic>
          </wp:inline>
        </w:drawing>
      </w:r>
    </w:p>
    <w:p w14:paraId="573F29CE" w14:textId="77777777" w:rsidR="001A07FB" w:rsidRPr="00B4173C" w:rsidRDefault="001A07FB" w:rsidP="005A1F7F">
      <w:pPr>
        <w:jc w:val="center"/>
        <w:rPr>
          <w:rFonts w:ascii="Arial" w:hAnsi="Arial"/>
          <w:b/>
          <w:bCs/>
          <w:sz w:val="18"/>
          <w:szCs w:val="18"/>
          <w:lang w:val="en-GB"/>
        </w:rPr>
      </w:pPr>
    </w:p>
    <w:p w14:paraId="2D33AF82" w14:textId="77777777" w:rsidR="001A07FB" w:rsidRPr="00241C08" w:rsidRDefault="001A07FB" w:rsidP="00B66A4A">
      <w:pPr>
        <w:pStyle w:val="BodyText2"/>
        <w:numPr>
          <w:ilvl w:val="0"/>
          <w:numId w:val="42"/>
        </w:numPr>
        <w:tabs>
          <w:tab w:val="clear" w:pos="720"/>
          <w:tab w:val="num" w:pos="1134"/>
        </w:tabs>
        <w:spacing w:after="60" w:line="240" w:lineRule="auto"/>
        <w:ind w:left="1134" w:hanging="567"/>
        <w:jc w:val="both"/>
        <w:rPr>
          <w:rFonts w:ascii="Arial" w:hAnsi="Arial" w:cs="Arial"/>
          <w:sz w:val="20"/>
          <w:szCs w:val="20"/>
        </w:rPr>
      </w:pPr>
      <w:r w:rsidRPr="00241C08">
        <w:rPr>
          <w:rFonts w:ascii="Arial" w:hAnsi="Arial" w:cs="Arial"/>
          <w:sz w:val="20"/>
          <w:szCs w:val="20"/>
        </w:rPr>
        <w:t xml:space="preserve">The IB received </w:t>
      </w:r>
      <w:r w:rsidRPr="00241C08">
        <w:rPr>
          <w:rFonts w:ascii="Arial" w:hAnsi="Arial" w:cs="Arial"/>
          <w:sz w:val="20"/>
          <w:szCs w:val="20"/>
          <w:lang w:eastAsia="zh-CN"/>
        </w:rPr>
        <w:t>approximately</w:t>
      </w:r>
      <w:r w:rsidRPr="00241C08">
        <w:rPr>
          <w:rFonts w:ascii="Arial" w:hAnsi="Arial" w:cs="Arial"/>
          <w:sz w:val="20"/>
          <w:szCs w:val="20"/>
        </w:rPr>
        <w:t xml:space="preserve"> 217,700 record copies in 2014, representing an increase of 7 per cent compared to 2013.  </w:t>
      </w:r>
    </w:p>
    <w:p w14:paraId="32E0E8BE" w14:textId="77777777" w:rsidR="001A07FB" w:rsidRPr="00241C08" w:rsidRDefault="001A07FB" w:rsidP="00B66A4A">
      <w:pPr>
        <w:pStyle w:val="BodyText2"/>
        <w:numPr>
          <w:ilvl w:val="0"/>
          <w:numId w:val="42"/>
        </w:numPr>
        <w:tabs>
          <w:tab w:val="clear" w:pos="720"/>
          <w:tab w:val="num" w:pos="1134"/>
        </w:tabs>
        <w:spacing w:after="0" w:line="240" w:lineRule="auto"/>
        <w:ind w:left="1134" w:hanging="567"/>
        <w:jc w:val="both"/>
        <w:rPr>
          <w:rFonts w:ascii="Arial" w:hAnsi="Arial" w:cs="Arial"/>
          <w:sz w:val="20"/>
          <w:szCs w:val="20"/>
        </w:rPr>
      </w:pPr>
      <w:r w:rsidRPr="00241C08">
        <w:rPr>
          <w:rFonts w:ascii="Arial" w:hAnsi="Arial" w:cs="Arial"/>
          <w:sz w:val="20"/>
          <w:szCs w:val="20"/>
        </w:rPr>
        <w:t>The share of fully electronic filing methods kept increasing in 2014 and now represents 91 per cent of total filings.</w:t>
      </w:r>
    </w:p>
    <w:p w14:paraId="794D84AE" w14:textId="77777777" w:rsidR="001A07FB" w:rsidRDefault="001A07FB" w:rsidP="005A1F7F">
      <w:pPr>
        <w:pStyle w:val="BodyText2"/>
        <w:spacing w:after="0" w:line="240" w:lineRule="auto"/>
        <w:ind w:left="1100"/>
        <w:jc w:val="both"/>
        <w:rPr>
          <w:rFonts w:ascii="Arial" w:hAnsi="Arial" w:cs="Arial"/>
          <w:sz w:val="20"/>
          <w:szCs w:val="20"/>
        </w:rPr>
      </w:pPr>
    </w:p>
    <w:p w14:paraId="2DE8083D" w14:textId="77777777" w:rsidR="001A07FB" w:rsidRPr="00B4173C" w:rsidRDefault="001A07FB" w:rsidP="005A1F7F">
      <w:pPr>
        <w:pStyle w:val="BodyText2"/>
        <w:spacing w:after="0" w:line="240" w:lineRule="auto"/>
        <w:ind w:left="1100"/>
        <w:jc w:val="both"/>
        <w:rPr>
          <w:rFonts w:cs="Arial"/>
          <w:sz w:val="18"/>
          <w:szCs w:val="18"/>
        </w:rPr>
      </w:pPr>
    </w:p>
    <w:p w14:paraId="3990DDC2" w14:textId="77777777" w:rsidR="001A07FB" w:rsidRPr="00EE0539" w:rsidRDefault="001A07FB" w:rsidP="005A1F7F">
      <w:pPr>
        <w:pStyle w:val="BodyText2"/>
        <w:keepLines/>
        <w:spacing w:after="0" w:line="240" w:lineRule="auto"/>
        <w:rPr>
          <w:rFonts w:ascii="Arial" w:hAnsi="Arial" w:cs="Arial"/>
          <w:i/>
          <w:sz w:val="20"/>
          <w:szCs w:val="20"/>
        </w:rPr>
      </w:pPr>
      <w:r w:rsidRPr="00EE0539">
        <w:rPr>
          <w:rFonts w:ascii="Arial" w:hAnsi="Arial" w:cs="Arial"/>
          <w:i/>
          <w:sz w:val="20"/>
          <w:szCs w:val="20"/>
        </w:rPr>
        <w:t>Language distribution</w:t>
      </w:r>
    </w:p>
    <w:p w14:paraId="05982DE7" w14:textId="77777777" w:rsidR="001A07FB" w:rsidRDefault="001A07FB" w:rsidP="005A1F7F">
      <w:pPr>
        <w:pStyle w:val="BodyText2"/>
        <w:keepLines/>
        <w:spacing w:after="0" w:line="240" w:lineRule="auto"/>
        <w:rPr>
          <w:rFonts w:ascii="Arial" w:hAnsi="Arial" w:cs="Arial"/>
          <w:sz w:val="20"/>
          <w:szCs w:val="20"/>
        </w:rPr>
      </w:pPr>
    </w:p>
    <w:p w14:paraId="3A25A2E7"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 xml:space="preserve">One fundamental development driving change in the IB is the increasing language diversity of filings, resulting, in particular, from continued increased usage of the PCT System in East Asian countries. </w:t>
      </w:r>
    </w:p>
    <w:p w14:paraId="50E7434C" w14:textId="77777777" w:rsidR="001A07FB" w:rsidRPr="000E46C3" w:rsidRDefault="001A07FB" w:rsidP="005A1F7F">
      <w:pPr>
        <w:keepNext/>
        <w:keepLines/>
        <w:jc w:val="both"/>
        <w:rPr>
          <w:highlight w:val="yellow"/>
        </w:rPr>
      </w:pPr>
    </w:p>
    <w:p w14:paraId="530D8A1C" w14:textId="77777777" w:rsidR="001A07FB" w:rsidRPr="00EE0539" w:rsidRDefault="001A07FB" w:rsidP="005A1F7F">
      <w:pPr>
        <w:keepNext/>
        <w:keepLines/>
        <w:spacing w:after="120"/>
        <w:jc w:val="center"/>
        <w:rPr>
          <w:rFonts w:ascii="Arial" w:hAnsi="Arial" w:cs="Arial"/>
          <w:i/>
          <w:sz w:val="20"/>
          <w:szCs w:val="20"/>
        </w:rPr>
      </w:pPr>
      <w:r w:rsidRPr="00564AC5">
        <w:rPr>
          <w:rFonts w:ascii="Arial" w:hAnsi="Arial" w:cs="Arial"/>
          <w:b/>
          <w:bCs/>
          <w:sz w:val="18"/>
          <w:szCs w:val="18"/>
        </w:rPr>
        <w:t>Languages of Filing</w:t>
      </w:r>
      <w:r>
        <w:rPr>
          <w:rFonts w:ascii="Arial" w:hAnsi="Arial" w:cs="Arial"/>
          <w:sz w:val="20"/>
          <w:szCs w:val="20"/>
        </w:rPr>
        <w:t xml:space="preserve"> </w:t>
      </w:r>
      <w:r w:rsidRPr="00EE0539">
        <w:rPr>
          <w:rFonts w:ascii="Arial" w:hAnsi="Arial" w:cs="Arial"/>
          <w:i/>
          <w:sz w:val="20"/>
          <w:szCs w:val="20"/>
        </w:rPr>
        <w:t>(all languages)</w:t>
      </w:r>
    </w:p>
    <w:p w14:paraId="4978234C" w14:textId="77777777" w:rsidR="001A07FB" w:rsidRPr="00EE0539" w:rsidRDefault="001A07FB" w:rsidP="005A1F7F">
      <w:pPr>
        <w:keepNext/>
        <w:keepLines/>
        <w:spacing w:after="120"/>
        <w:rPr>
          <w:rFonts w:ascii="Arial" w:hAnsi="Arial" w:cs="Arial"/>
          <w:sz w:val="20"/>
          <w:szCs w:val="20"/>
          <w:highlight w:val="yellow"/>
        </w:rPr>
      </w:pPr>
      <w:r>
        <w:rPr>
          <w:rFonts w:ascii="Arial" w:hAnsi="Arial" w:cs="Arial"/>
          <w:noProof/>
          <w:sz w:val="20"/>
          <w:szCs w:val="20"/>
          <w:lang w:eastAsia="en-US"/>
        </w:rPr>
        <w:drawing>
          <wp:inline distT="0" distB="0" distL="0" distR="0" wp14:anchorId="01335B57" wp14:editId="2A43CE1B">
            <wp:extent cx="5665470" cy="294195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65470" cy="2941955"/>
                    </a:xfrm>
                    <a:prstGeom prst="rect">
                      <a:avLst/>
                    </a:prstGeom>
                    <a:noFill/>
                  </pic:spPr>
                </pic:pic>
              </a:graphicData>
            </a:graphic>
          </wp:inline>
        </w:drawing>
      </w:r>
    </w:p>
    <w:p w14:paraId="20EEED42"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As can be observed, while English accounts for the majority of filing, with 51.6</w:t>
      </w:r>
      <w:r>
        <w:rPr>
          <w:rFonts w:ascii="Arial" w:hAnsi="Arial" w:cs="Arial"/>
          <w:sz w:val="20"/>
          <w:szCs w:val="20"/>
        </w:rPr>
        <w:t xml:space="preserve"> per cent</w:t>
      </w:r>
      <w:r w:rsidRPr="00EE0539">
        <w:rPr>
          <w:rFonts w:ascii="Arial" w:hAnsi="Arial" w:cs="Arial"/>
          <w:sz w:val="20"/>
          <w:szCs w:val="20"/>
        </w:rPr>
        <w:t xml:space="preserve"> of filings in 2014, the shares of Asian languages have increased over the past decade.  </w:t>
      </w:r>
      <w:r w:rsidRPr="00EE0539">
        <w:rPr>
          <w:rFonts w:ascii="Arial" w:hAnsi="Arial" w:cs="Arial"/>
          <w:sz w:val="20"/>
          <w:szCs w:val="20"/>
          <w:lang w:val="en-GB"/>
        </w:rPr>
        <w:t>The combined share of the PCT applications filed in Japanese, Chinese and Korean has increased from 29.5</w:t>
      </w:r>
      <w:r>
        <w:rPr>
          <w:rFonts w:ascii="Arial" w:hAnsi="Arial" w:cs="Arial"/>
          <w:sz w:val="20"/>
          <w:szCs w:val="20"/>
          <w:lang w:val="en-GB"/>
        </w:rPr>
        <w:t xml:space="preserve"> per cent</w:t>
      </w:r>
      <w:r w:rsidRPr="00EE0539">
        <w:rPr>
          <w:rFonts w:ascii="Arial" w:hAnsi="Arial" w:cs="Arial"/>
          <w:sz w:val="20"/>
          <w:szCs w:val="20"/>
          <w:lang w:val="en-GB"/>
        </w:rPr>
        <w:t xml:space="preserve"> in 2009 to 34.5</w:t>
      </w:r>
      <w:r>
        <w:rPr>
          <w:rFonts w:ascii="Arial" w:hAnsi="Arial" w:cs="Arial"/>
          <w:sz w:val="20"/>
          <w:szCs w:val="20"/>
          <w:lang w:val="en-GB"/>
        </w:rPr>
        <w:t xml:space="preserve"> per cent</w:t>
      </w:r>
      <w:r w:rsidRPr="00EE0539">
        <w:rPr>
          <w:rFonts w:ascii="Arial" w:hAnsi="Arial" w:cs="Arial"/>
          <w:sz w:val="20"/>
          <w:szCs w:val="20"/>
          <w:lang w:val="en-GB"/>
        </w:rPr>
        <w:t xml:space="preserve"> in 2012. This share has rema</w:t>
      </w:r>
      <w:r>
        <w:rPr>
          <w:rFonts w:ascii="Arial" w:hAnsi="Arial" w:cs="Arial"/>
          <w:sz w:val="20"/>
          <w:szCs w:val="20"/>
          <w:lang w:val="en-GB"/>
        </w:rPr>
        <w:t xml:space="preserve">ined stable from 2012 to 2014. </w:t>
      </w:r>
      <w:r w:rsidRPr="00EE0539">
        <w:rPr>
          <w:rFonts w:ascii="Arial" w:hAnsi="Arial" w:cs="Arial"/>
          <w:sz w:val="20"/>
          <w:szCs w:val="20"/>
          <w:lang w:val="en-GB"/>
        </w:rPr>
        <w:t xml:space="preserve"> </w:t>
      </w:r>
      <w:r w:rsidRPr="00EE0539">
        <w:rPr>
          <w:rFonts w:ascii="Arial" w:hAnsi="Arial" w:cs="Arial"/>
          <w:sz w:val="20"/>
          <w:szCs w:val="20"/>
        </w:rPr>
        <w:t>Zooming in on languages other than English provides the following picture:</w:t>
      </w:r>
    </w:p>
    <w:p w14:paraId="0910BDDE" w14:textId="77777777" w:rsidR="001A07FB" w:rsidRPr="004005D3" w:rsidRDefault="001A07FB" w:rsidP="005A1F7F">
      <w:pPr>
        <w:pStyle w:val="BodyText2"/>
        <w:spacing w:after="0" w:line="240" w:lineRule="auto"/>
        <w:ind w:left="142"/>
        <w:jc w:val="both"/>
        <w:rPr>
          <w:rFonts w:cs="Arial"/>
        </w:rPr>
      </w:pPr>
    </w:p>
    <w:p w14:paraId="6250ACA9" w14:textId="77777777" w:rsidR="001A07FB" w:rsidRPr="004005D3" w:rsidRDefault="001A07FB" w:rsidP="005A1F7F">
      <w:pPr>
        <w:spacing w:after="120"/>
        <w:rPr>
          <w:rFonts w:ascii="Arial" w:hAnsi="Arial" w:cs="Arial"/>
          <w:sz w:val="18"/>
          <w:szCs w:val="18"/>
        </w:rPr>
      </w:pPr>
    </w:p>
    <w:p w14:paraId="4BFCC661" w14:textId="77777777" w:rsidR="001A07FB" w:rsidRPr="00EE0539" w:rsidRDefault="001A07FB" w:rsidP="005A1F7F">
      <w:pPr>
        <w:spacing w:after="120"/>
        <w:jc w:val="center"/>
        <w:rPr>
          <w:rFonts w:ascii="Arial" w:hAnsi="Arial" w:cs="Arial"/>
          <w:sz w:val="20"/>
          <w:szCs w:val="20"/>
        </w:rPr>
      </w:pPr>
      <w:r w:rsidRPr="004005D3">
        <w:rPr>
          <w:rFonts w:ascii="Arial" w:hAnsi="Arial" w:cs="Arial"/>
          <w:b/>
          <w:bCs/>
          <w:sz w:val="18"/>
          <w:szCs w:val="18"/>
        </w:rPr>
        <w:t>Languages of Filing</w:t>
      </w:r>
      <w:r>
        <w:rPr>
          <w:rFonts w:ascii="Arial" w:hAnsi="Arial" w:cs="Arial"/>
          <w:b/>
          <w:bCs/>
          <w:sz w:val="18"/>
          <w:szCs w:val="18"/>
        </w:rPr>
        <w:t xml:space="preserve"> </w:t>
      </w:r>
      <w:r w:rsidRPr="000D2666">
        <w:rPr>
          <w:rFonts w:ascii="Arial" w:hAnsi="Arial" w:cs="Arial"/>
          <w:sz w:val="18"/>
          <w:szCs w:val="20"/>
        </w:rPr>
        <w:t>(all languages except English)</w:t>
      </w:r>
    </w:p>
    <w:p w14:paraId="3B536229" w14:textId="77777777" w:rsidR="001A07FB" w:rsidRPr="004005D3" w:rsidRDefault="001A07FB" w:rsidP="005A1F7F">
      <w:pPr>
        <w:spacing w:after="120"/>
      </w:pPr>
      <w:r>
        <w:rPr>
          <w:noProof/>
          <w:lang w:eastAsia="en-US"/>
        </w:rPr>
        <w:drawing>
          <wp:inline distT="0" distB="0" distL="0" distR="0" wp14:anchorId="0646AFD0" wp14:editId="60D380E9">
            <wp:extent cx="5719445" cy="331978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19445" cy="3319780"/>
                    </a:xfrm>
                    <a:prstGeom prst="rect">
                      <a:avLst/>
                    </a:prstGeom>
                    <a:noFill/>
                  </pic:spPr>
                </pic:pic>
              </a:graphicData>
            </a:graphic>
          </wp:inline>
        </w:drawing>
      </w:r>
    </w:p>
    <w:p w14:paraId="08E9A074" w14:textId="77777777" w:rsidR="001A07FB" w:rsidRPr="00EE0539" w:rsidRDefault="001A07FB" w:rsidP="00B66A4A">
      <w:pPr>
        <w:numPr>
          <w:ilvl w:val="0"/>
          <w:numId w:val="41"/>
        </w:numPr>
        <w:rPr>
          <w:rFonts w:ascii="Arial" w:hAnsi="Arial" w:cs="Arial"/>
          <w:sz w:val="20"/>
          <w:szCs w:val="20"/>
          <w:lang w:val="en-GB"/>
        </w:rPr>
      </w:pPr>
      <w:r w:rsidRPr="00EE0539">
        <w:rPr>
          <w:rFonts w:ascii="Arial" w:hAnsi="Arial"/>
          <w:sz w:val="20"/>
          <w:lang w:val="en-GB"/>
        </w:rPr>
        <w:t>The</w:t>
      </w:r>
      <w:r w:rsidRPr="00EE0539">
        <w:rPr>
          <w:rFonts w:ascii="Arial" w:hAnsi="Arial" w:cs="Arial"/>
          <w:sz w:val="20"/>
          <w:szCs w:val="20"/>
        </w:rPr>
        <w:t xml:space="preserve"> sharp increase of applications filed in Asian languages in the last </w:t>
      </w:r>
      <w:r>
        <w:rPr>
          <w:rFonts w:ascii="Arial" w:hAnsi="Arial" w:cs="Arial"/>
          <w:sz w:val="20"/>
          <w:szCs w:val="20"/>
        </w:rPr>
        <w:t>five</w:t>
      </w:r>
      <w:r w:rsidRPr="00EE0539">
        <w:rPr>
          <w:rFonts w:ascii="Arial" w:hAnsi="Arial" w:cs="Arial"/>
          <w:sz w:val="20"/>
          <w:szCs w:val="20"/>
        </w:rPr>
        <w:t xml:space="preserve"> years put a considerable strain on the IB due to the limited number of staff resources able to work in these languages. Mitigation for this issue is automation of certain tasks and recruitment of staff able to work in these languages</w:t>
      </w:r>
      <w:r w:rsidRPr="00EE0539">
        <w:rPr>
          <w:rFonts w:ascii="Arial" w:hAnsi="Arial" w:cs="Arial"/>
          <w:sz w:val="20"/>
          <w:szCs w:val="20"/>
          <w:lang w:val="en-GB"/>
        </w:rPr>
        <w:t>.</w:t>
      </w:r>
    </w:p>
    <w:p w14:paraId="05BD48A7" w14:textId="77777777" w:rsidR="001A07FB" w:rsidRPr="00EE0539" w:rsidRDefault="001A07FB" w:rsidP="005A1F7F">
      <w:pPr>
        <w:spacing w:after="120"/>
        <w:rPr>
          <w:rFonts w:ascii="Arial" w:hAnsi="Arial" w:cs="Arial"/>
          <w:i/>
          <w:sz w:val="20"/>
          <w:szCs w:val="20"/>
          <w:lang w:val="en-GB"/>
        </w:rPr>
      </w:pPr>
    </w:p>
    <w:p w14:paraId="4998DF39" w14:textId="77777777" w:rsidR="001A07FB" w:rsidRPr="00D77A7B" w:rsidRDefault="001A07FB" w:rsidP="005A1F7F">
      <w:pPr>
        <w:keepNext/>
        <w:keepLines/>
        <w:spacing w:after="120"/>
        <w:rPr>
          <w:rFonts w:ascii="Arial" w:hAnsi="Arial" w:cs="Arial"/>
          <w:i/>
          <w:sz w:val="20"/>
          <w:szCs w:val="20"/>
          <w:lang w:val="en-GB"/>
        </w:rPr>
      </w:pPr>
      <w:r w:rsidRPr="00D77A7B">
        <w:rPr>
          <w:rFonts w:ascii="Arial" w:hAnsi="Arial" w:cs="Arial"/>
          <w:i/>
          <w:sz w:val="20"/>
          <w:szCs w:val="20"/>
          <w:lang w:val="en-GB"/>
        </w:rPr>
        <w:lastRenderedPageBreak/>
        <w:t>Staff</w:t>
      </w:r>
    </w:p>
    <w:p w14:paraId="08B85C29" w14:textId="77777777" w:rsidR="001A07FB" w:rsidRDefault="001A07FB" w:rsidP="00B66A4A">
      <w:pPr>
        <w:keepNext/>
        <w:keepLines/>
        <w:numPr>
          <w:ilvl w:val="0"/>
          <w:numId w:val="41"/>
        </w:numPr>
        <w:rPr>
          <w:rFonts w:ascii="Arial" w:hAnsi="Arial" w:cs="Arial"/>
          <w:sz w:val="20"/>
          <w:szCs w:val="20"/>
        </w:rPr>
      </w:pPr>
      <w:r w:rsidRPr="00EE0539">
        <w:rPr>
          <w:rFonts w:ascii="Arial" w:hAnsi="Arial" w:cs="Arial"/>
          <w:sz w:val="20"/>
          <w:szCs w:val="20"/>
        </w:rPr>
        <w:t xml:space="preserve">The chart below shows the number of PCT Operations staff since 2001, in Full Time Staff Equivalent (FTSE </w:t>
      </w:r>
      <w:r w:rsidRPr="00EE0539">
        <w:rPr>
          <w:rFonts w:ascii="Arial" w:hAnsi="Arial" w:cs="Arial"/>
          <w:sz w:val="20"/>
          <w:szCs w:val="20"/>
        </w:rPr>
        <w:noBreakHyphen/>
        <w:t xml:space="preserve"> total number of full-time staff plus the full-time equivalent of part-time staff).</w:t>
      </w:r>
    </w:p>
    <w:p w14:paraId="23B44B31" w14:textId="77777777" w:rsidR="001A07FB" w:rsidRDefault="001A07FB" w:rsidP="005A1F7F">
      <w:pPr>
        <w:rPr>
          <w:rFonts w:ascii="Arial" w:hAnsi="Arial" w:cs="Arial"/>
          <w:sz w:val="20"/>
          <w:szCs w:val="20"/>
        </w:rPr>
      </w:pPr>
    </w:p>
    <w:p w14:paraId="4626B15E" w14:textId="556F4993" w:rsidR="000D2666" w:rsidRDefault="000D2666" w:rsidP="000D2666">
      <w:pPr>
        <w:jc w:val="center"/>
        <w:rPr>
          <w:rFonts w:ascii="Arial" w:hAnsi="Arial" w:cs="Arial"/>
          <w:b/>
          <w:sz w:val="18"/>
          <w:szCs w:val="20"/>
        </w:rPr>
      </w:pPr>
      <w:r w:rsidRPr="000D2666">
        <w:rPr>
          <w:rFonts w:ascii="Arial" w:hAnsi="Arial" w:cs="Arial"/>
          <w:b/>
          <w:sz w:val="18"/>
          <w:szCs w:val="20"/>
        </w:rPr>
        <w:t>Number of Personnel in PCT Operations</w:t>
      </w:r>
    </w:p>
    <w:p w14:paraId="515C3A3D" w14:textId="77777777" w:rsidR="000D2666" w:rsidRPr="000D2666" w:rsidRDefault="000D2666" w:rsidP="000D2666">
      <w:pPr>
        <w:jc w:val="center"/>
        <w:rPr>
          <w:rFonts w:ascii="Arial" w:hAnsi="Arial" w:cs="Arial"/>
          <w:b/>
          <w:sz w:val="18"/>
          <w:szCs w:val="20"/>
        </w:rPr>
      </w:pPr>
    </w:p>
    <w:p w14:paraId="56B5566A" w14:textId="77777777" w:rsidR="001A07FB" w:rsidRPr="00A744DD" w:rsidRDefault="001A07FB" w:rsidP="005A1F7F">
      <w:pPr>
        <w:rPr>
          <w:rFonts w:ascii="Arial" w:hAnsi="Arial"/>
          <w:sz w:val="20"/>
          <w:lang w:val="en-GB"/>
        </w:rPr>
      </w:pPr>
      <w:r>
        <w:rPr>
          <w:rFonts w:ascii="Arial" w:hAnsi="Arial"/>
          <w:noProof/>
          <w:sz w:val="20"/>
          <w:lang w:eastAsia="en-US"/>
        </w:rPr>
        <w:drawing>
          <wp:inline distT="0" distB="0" distL="0" distR="0" wp14:anchorId="2D0551A3" wp14:editId="339AB69B">
            <wp:extent cx="6021238" cy="2794958"/>
            <wp:effectExtent l="0" t="0" r="0" b="571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rotWithShape="1">
                    <a:blip r:embed="rId261">
                      <a:extLst>
                        <a:ext uri="{28A0092B-C50C-407E-A947-70E740481C1C}">
                          <a14:useLocalDpi xmlns:a14="http://schemas.microsoft.com/office/drawing/2010/main" val="0"/>
                        </a:ext>
                      </a:extLst>
                    </a:blip>
                    <a:srcRect t="6087" r="-8"/>
                    <a:stretch/>
                  </pic:blipFill>
                  <pic:spPr bwMode="auto">
                    <a:xfrm>
                      <a:off x="0" y="0"/>
                      <a:ext cx="6024075" cy="2796275"/>
                    </a:xfrm>
                    <a:prstGeom prst="rect">
                      <a:avLst/>
                    </a:prstGeom>
                    <a:noFill/>
                    <a:ln>
                      <a:noFill/>
                    </a:ln>
                    <a:extLst>
                      <a:ext uri="{53640926-AAD7-44D8-BBD7-CCE9431645EC}">
                        <a14:shadowObscured xmlns:a14="http://schemas.microsoft.com/office/drawing/2010/main"/>
                      </a:ext>
                    </a:extLst>
                  </pic:spPr>
                </pic:pic>
              </a:graphicData>
            </a:graphic>
          </wp:inline>
        </w:drawing>
      </w:r>
    </w:p>
    <w:p w14:paraId="05C10285" w14:textId="77777777" w:rsidR="001A07FB" w:rsidRPr="00A744DD" w:rsidRDefault="001A07FB" w:rsidP="005A1F7F">
      <w:pPr>
        <w:rPr>
          <w:rFonts w:ascii="Arial" w:hAnsi="Arial"/>
          <w:sz w:val="20"/>
          <w:lang w:val="en-GB"/>
        </w:rPr>
      </w:pPr>
    </w:p>
    <w:p w14:paraId="588A4BE8" w14:textId="77777777" w:rsidR="001A07FB" w:rsidRPr="00A744DD" w:rsidRDefault="001A07FB" w:rsidP="00B66A4A">
      <w:pPr>
        <w:numPr>
          <w:ilvl w:val="0"/>
          <w:numId w:val="39"/>
        </w:numPr>
        <w:tabs>
          <w:tab w:val="clear" w:pos="720"/>
          <w:tab w:val="num" w:pos="1100"/>
        </w:tabs>
        <w:ind w:left="1100" w:hanging="550"/>
        <w:rPr>
          <w:rFonts w:ascii="Arial" w:hAnsi="Arial"/>
          <w:sz w:val="20"/>
          <w:lang w:val="en-GB"/>
        </w:rPr>
      </w:pPr>
      <w:r w:rsidRPr="00A744DD">
        <w:rPr>
          <w:rFonts w:ascii="Arial" w:hAnsi="Arial"/>
          <w:sz w:val="20"/>
          <w:lang w:val="en-GB"/>
        </w:rPr>
        <w:t xml:space="preserve">The PCT Operations Division’s personnel </w:t>
      </w:r>
      <w:r>
        <w:rPr>
          <w:rFonts w:ascii="Arial" w:hAnsi="Arial"/>
          <w:sz w:val="20"/>
          <w:lang w:val="en-GB"/>
        </w:rPr>
        <w:t>further decreased in 2014.</w:t>
      </w:r>
    </w:p>
    <w:p w14:paraId="4C8EE7D6" w14:textId="77777777" w:rsidR="001A07FB" w:rsidRPr="00A744DD" w:rsidRDefault="001A07FB" w:rsidP="005A1F7F">
      <w:pPr>
        <w:spacing w:after="120"/>
        <w:rPr>
          <w:rFonts w:ascii="Arial" w:hAnsi="Arial"/>
          <w:sz w:val="20"/>
          <w:u w:val="single"/>
          <w:lang w:val="en-GB"/>
        </w:rPr>
      </w:pPr>
    </w:p>
    <w:p w14:paraId="2160CD71" w14:textId="77777777" w:rsidR="001A07FB" w:rsidRPr="00EE0539" w:rsidRDefault="001A07FB" w:rsidP="005A1F7F">
      <w:pPr>
        <w:rPr>
          <w:rFonts w:ascii="Arial" w:hAnsi="Arial" w:cs="Arial"/>
          <w:i/>
          <w:sz w:val="20"/>
          <w:szCs w:val="20"/>
        </w:rPr>
      </w:pPr>
      <w:r w:rsidRPr="00EE0539">
        <w:rPr>
          <w:rFonts w:ascii="Arial" w:hAnsi="Arial" w:cs="Arial"/>
          <w:i/>
          <w:sz w:val="20"/>
          <w:szCs w:val="20"/>
        </w:rPr>
        <w:t>Unit cost of processing an application</w:t>
      </w:r>
    </w:p>
    <w:p w14:paraId="19B63395" w14:textId="77777777" w:rsidR="001A07FB" w:rsidRPr="00EE0539" w:rsidRDefault="001A07FB" w:rsidP="005A1F7F">
      <w:pPr>
        <w:rPr>
          <w:rFonts w:ascii="Arial" w:hAnsi="Arial" w:cs="Arial"/>
          <w:sz w:val="20"/>
          <w:szCs w:val="20"/>
        </w:rPr>
      </w:pPr>
    </w:p>
    <w:p w14:paraId="7DE59233"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 xml:space="preserve">The IB’s productivity in processing PCT applications can be measured by the unit cost of processing, defined as the average total cost of publishing a PCT application. Average total cost is determined by total </w:t>
      </w:r>
      <w:r>
        <w:rPr>
          <w:rFonts w:ascii="Arial" w:hAnsi="Arial" w:cs="Arial"/>
          <w:sz w:val="20"/>
          <w:szCs w:val="20"/>
        </w:rPr>
        <w:t xml:space="preserve">direct </w:t>
      </w:r>
      <w:r w:rsidRPr="00EE0539">
        <w:rPr>
          <w:rFonts w:ascii="Arial" w:hAnsi="Arial" w:cs="Arial"/>
          <w:sz w:val="20"/>
          <w:szCs w:val="20"/>
        </w:rPr>
        <w:t>PCT system expenditure</w:t>
      </w:r>
      <w:r w:rsidRPr="00D77A7B">
        <w:rPr>
          <w:rFonts w:ascii="Arial" w:hAnsi="Arial" w:cs="Arial"/>
          <w:sz w:val="20"/>
          <w:szCs w:val="20"/>
        </w:rPr>
        <w:t xml:space="preserve"> </w:t>
      </w:r>
      <w:r>
        <w:rPr>
          <w:rFonts w:ascii="Arial" w:hAnsi="Arial" w:cs="Arial"/>
          <w:sz w:val="20"/>
          <w:szCs w:val="20"/>
        </w:rPr>
        <w:t>(</w:t>
      </w:r>
      <w:r w:rsidRPr="0043008F">
        <w:rPr>
          <w:rFonts w:ascii="Arial" w:hAnsi="Arial" w:cs="Arial"/>
          <w:sz w:val="20"/>
          <w:szCs w:val="20"/>
        </w:rPr>
        <w:t>expenditure incurred by the IB in the administration of the PCT system and related Programs</w:t>
      </w:r>
      <w:r>
        <w:rPr>
          <w:rFonts w:ascii="Arial" w:hAnsi="Arial" w:cs="Arial"/>
          <w:sz w:val="20"/>
          <w:szCs w:val="20"/>
        </w:rPr>
        <w:t>)</w:t>
      </w:r>
      <w:r w:rsidRPr="00EE0539">
        <w:rPr>
          <w:rFonts w:ascii="Arial" w:hAnsi="Arial" w:cs="Arial"/>
          <w:sz w:val="20"/>
          <w:szCs w:val="20"/>
        </w:rPr>
        <w:t xml:space="preserve">, plus a proportion of </w:t>
      </w:r>
      <w:r>
        <w:rPr>
          <w:rFonts w:ascii="Arial" w:hAnsi="Arial" w:cs="Arial"/>
          <w:sz w:val="20"/>
          <w:szCs w:val="20"/>
        </w:rPr>
        <w:t xml:space="preserve">indirect </w:t>
      </w:r>
      <w:r w:rsidRPr="00EE0539">
        <w:rPr>
          <w:rFonts w:ascii="Arial" w:hAnsi="Arial" w:cs="Arial"/>
          <w:sz w:val="20"/>
          <w:szCs w:val="20"/>
        </w:rPr>
        <w:t>expenditure on support and management activities</w:t>
      </w:r>
      <w:r>
        <w:rPr>
          <w:rFonts w:ascii="Arial" w:hAnsi="Arial" w:cs="Arial"/>
          <w:sz w:val="20"/>
          <w:szCs w:val="20"/>
        </w:rPr>
        <w:t xml:space="preserve"> </w:t>
      </w:r>
      <w:r w:rsidRPr="00C560ED">
        <w:rPr>
          <w:rFonts w:ascii="Arial" w:hAnsi="Arial" w:cs="Arial"/>
          <w:sz w:val="20"/>
          <w:szCs w:val="20"/>
        </w:rPr>
        <w:t>(e.g., buildings and information technology, among others)</w:t>
      </w:r>
      <w:r w:rsidRPr="00EE0539">
        <w:rPr>
          <w:rFonts w:ascii="Arial" w:hAnsi="Arial" w:cs="Arial"/>
          <w:sz w:val="20"/>
          <w:szCs w:val="20"/>
        </w:rPr>
        <w:t xml:space="preserve">. </w:t>
      </w:r>
      <w:r w:rsidRPr="002C1953">
        <w:rPr>
          <w:rFonts w:ascii="Arial" w:hAnsi="Arial" w:cs="Arial"/>
          <w:sz w:val="20"/>
          <w:szCs w:val="20"/>
        </w:rPr>
        <w:t>Indirect costs are weighted to take into account only the share attributable to the PCT system.</w:t>
      </w:r>
      <w:r>
        <w:rPr>
          <w:rFonts w:ascii="Arial" w:hAnsi="Arial" w:cs="Arial"/>
          <w:sz w:val="20"/>
          <w:szCs w:val="20"/>
        </w:rPr>
        <w:t xml:space="preserve"> </w:t>
      </w:r>
      <w:r w:rsidRPr="00EE0539">
        <w:rPr>
          <w:rFonts w:ascii="Arial" w:hAnsi="Arial" w:cs="Arial"/>
          <w:sz w:val="20"/>
          <w:szCs w:val="20"/>
        </w:rPr>
        <w:t>The unit cost thus includes the cost of all PCT activities, including translation, communication, management and others.</w:t>
      </w:r>
    </w:p>
    <w:p w14:paraId="6B269BC5" w14:textId="77777777" w:rsidR="001A07FB" w:rsidRPr="00EE0539" w:rsidRDefault="001A07FB" w:rsidP="005A1F7F">
      <w:pPr>
        <w:jc w:val="both"/>
        <w:rPr>
          <w:rFonts w:ascii="Arial" w:hAnsi="Arial" w:cs="Arial"/>
          <w:sz w:val="20"/>
          <w:szCs w:val="20"/>
        </w:rPr>
      </w:pPr>
    </w:p>
    <w:p w14:paraId="4332CE53"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methodology to compute the unit cost was revised in 2013 in order to align it with other WIPO unit/union cost calculations and to better capture a fast changing environment. For example, the old method, which was designed in 2007, included a cost of storage (over 30 years) in warehouses, whereas paper filings (including PCT EASY filings) accounted for less than 10</w:t>
      </w:r>
      <w:r>
        <w:rPr>
          <w:rFonts w:ascii="Arial" w:hAnsi="Arial" w:cs="Arial"/>
          <w:sz w:val="20"/>
          <w:szCs w:val="20"/>
        </w:rPr>
        <w:t xml:space="preserve"> per cent</w:t>
      </w:r>
      <w:r w:rsidRPr="00EE0539">
        <w:rPr>
          <w:rFonts w:ascii="Arial" w:hAnsi="Arial" w:cs="Arial"/>
          <w:sz w:val="20"/>
          <w:szCs w:val="20"/>
        </w:rPr>
        <w:t xml:space="preserve"> of filings in 2013. The 2012 PCT unit cost has been calculated using both methods. The 2012 unit cost amounted to 680 Swiss francs using the old method and to 712 Swiss francs using the new method. The 32 Swiss francs difference is due to the new method for allocating indirect costs.</w:t>
      </w:r>
    </w:p>
    <w:p w14:paraId="0F222670" w14:textId="77777777" w:rsidR="001A07FB" w:rsidRPr="00EE0539" w:rsidRDefault="001A07FB" w:rsidP="005A1F7F">
      <w:pPr>
        <w:jc w:val="both"/>
        <w:rPr>
          <w:rFonts w:ascii="Arial" w:hAnsi="Arial" w:cs="Arial"/>
          <w:sz w:val="20"/>
          <w:szCs w:val="20"/>
        </w:rPr>
      </w:pPr>
    </w:p>
    <w:p w14:paraId="2C2959D3" w14:textId="77777777" w:rsidR="001A07FB" w:rsidRDefault="001A07FB" w:rsidP="00B66A4A">
      <w:pPr>
        <w:numPr>
          <w:ilvl w:val="0"/>
          <w:numId w:val="41"/>
        </w:numPr>
        <w:rPr>
          <w:rFonts w:ascii="Arial" w:hAnsi="Arial" w:cs="Arial"/>
          <w:sz w:val="20"/>
          <w:szCs w:val="20"/>
        </w:rPr>
      </w:pPr>
      <w:r w:rsidRPr="00EE0539">
        <w:rPr>
          <w:rFonts w:ascii="Arial" w:hAnsi="Arial" w:cs="Arial"/>
          <w:sz w:val="20"/>
          <w:szCs w:val="20"/>
        </w:rPr>
        <w:t>Formally, unit cost is defined as:</w:t>
      </w:r>
    </w:p>
    <w:p w14:paraId="4967C3E6" w14:textId="77777777" w:rsidR="001A07FB" w:rsidRDefault="001A07FB" w:rsidP="005A1F7F">
      <w:pPr>
        <w:rPr>
          <w:rFonts w:ascii="Arial" w:hAnsi="Arial" w:cs="Arial"/>
          <w:sz w:val="20"/>
          <w:szCs w:val="20"/>
        </w:rPr>
      </w:pPr>
    </w:p>
    <w:p w14:paraId="2CD33D00" w14:textId="77777777" w:rsidR="001A07FB" w:rsidRDefault="001A07FB" w:rsidP="005A1F7F">
      <w:pPr>
        <w:jc w:val="center"/>
        <w:rPr>
          <w:rFonts w:ascii="Arial" w:hAnsi="Arial" w:cs="Arial"/>
          <w:sz w:val="20"/>
          <w:szCs w:val="20"/>
        </w:rPr>
      </w:pPr>
      <w:r>
        <w:rPr>
          <w:noProof/>
          <w:lang w:eastAsia="en-US"/>
        </w:rPr>
        <w:drawing>
          <wp:inline distT="0" distB="0" distL="0" distR="0" wp14:anchorId="3051E5FB" wp14:editId="50F0A28D">
            <wp:extent cx="2047875" cy="3429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3ED7F8CD" w14:textId="77777777" w:rsidR="001A07FB" w:rsidRPr="00EE0539" w:rsidRDefault="001A07FB" w:rsidP="005A1F7F">
      <w:pPr>
        <w:rPr>
          <w:rFonts w:ascii="Arial" w:hAnsi="Arial" w:cs="Arial"/>
          <w:sz w:val="20"/>
          <w:szCs w:val="20"/>
          <w:highlight w:val="yellow"/>
          <w:lang w:val="en-GB"/>
        </w:rPr>
      </w:pPr>
    </w:p>
    <w:p w14:paraId="7E70951A" w14:textId="77777777" w:rsidR="001A07FB" w:rsidRPr="00EE0539" w:rsidRDefault="001A07FB" w:rsidP="00B66A4A">
      <w:pPr>
        <w:numPr>
          <w:ilvl w:val="0"/>
          <w:numId w:val="41"/>
        </w:numPr>
        <w:rPr>
          <w:rFonts w:ascii="Arial" w:hAnsi="Arial" w:cs="Arial"/>
          <w:sz w:val="20"/>
          <w:szCs w:val="20"/>
          <w:lang w:val="en-GB"/>
        </w:rPr>
      </w:pPr>
      <w:r w:rsidRPr="00EE0539">
        <w:rPr>
          <w:rFonts w:ascii="Arial" w:hAnsi="Arial" w:cs="Arial"/>
          <w:sz w:val="20"/>
          <w:szCs w:val="20"/>
          <w:lang w:val="en-GB"/>
        </w:rPr>
        <w:t>The graphs below depict the evolution of the unit cost of processing from 2004 to 2012 using the old method and from 2012 to 2014 using the new method, including a breakdown of the contribution of direct and indirect costs.</w:t>
      </w:r>
    </w:p>
    <w:p w14:paraId="40151555" w14:textId="77777777" w:rsidR="001A07FB" w:rsidRPr="00EE0539" w:rsidRDefault="001A07FB" w:rsidP="005A1F7F">
      <w:pPr>
        <w:rPr>
          <w:rFonts w:ascii="Arial" w:hAnsi="Arial" w:cs="Arial"/>
          <w:sz w:val="20"/>
          <w:szCs w:val="20"/>
          <w:lang w:val="en-GB"/>
        </w:rPr>
      </w:pPr>
    </w:p>
    <w:p w14:paraId="03E046B5" w14:textId="77777777" w:rsidR="001A07FB" w:rsidRPr="000D2666" w:rsidRDefault="001A07FB" w:rsidP="005A1F7F">
      <w:pPr>
        <w:keepNext/>
        <w:keepLines/>
        <w:jc w:val="center"/>
        <w:rPr>
          <w:rFonts w:ascii="Arial" w:hAnsi="Arial" w:cs="Arial"/>
          <w:b/>
          <w:sz w:val="18"/>
          <w:szCs w:val="20"/>
          <w:lang w:val="en-GB"/>
        </w:rPr>
      </w:pPr>
      <w:r w:rsidRPr="000D2666">
        <w:rPr>
          <w:rFonts w:ascii="Arial" w:hAnsi="Arial" w:cs="Arial"/>
          <w:b/>
          <w:sz w:val="18"/>
          <w:szCs w:val="20"/>
          <w:lang w:val="en-GB"/>
        </w:rPr>
        <w:lastRenderedPageBreak/>
        <w:t>Unit Cost of Processing a Published PCT Application</w:t>
      </w:r>
    </w:p>
    <w:p w14:paraId="4E0545A6" w14:textId="77777777" w:rsidR="001A07FB" w:rsidRPr="00E34675" w:rsidRDefault="001A07FB" w:rsidP="005A1F7F">
      <w:pPr>
        <w:keepNext/>
        <w:keepLines/>
        <w:ind w:left="720"/>
        <w:rPr>
          <w:b/>
          <w:highlight w:val="yello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A07FB" w:rsidRPr="00D17F3C" w14:paraId="417515B7" w14:textId="77777777" w:rsidTr="005A1F7F">
        <w:tc>
          <w:tcPr>
            <w:tcW w:w="4644" w:type="dxa"/>
            <w:shd w:val="clear" w:color="auto" w:fill="auto"/>
          </w:tcPr>
          <w:p w14:paraId="3B4DDE7A" w14:textId="77777777" w:rsidR="001A07FB" w:rsidRPr="0054556A" w:rsidRDefault="001A07FB" w:rsidP="005A1F7F">
            <w:pPr>
              <w:keepNext/>
              <w:keepLines/>
              <w:jc w:val="center"/>
              <w:rPr>
                <w:rFonts w:ascii="Arial" w:hAnsi="Arial" w:cs="Arial"/>
                <w:sz w:val="20"/>
              </w:rPr>
            </w:pPr>
            <w:r w:rsidRPr="0054556A">
              <w:rPr>
                <w:rFonts w:ascii="Arial" w:hAnsi="Arial" w:cs="Arial"/>
                <w:sz w:val="20"/>
              </w:rPr>
              <w:t>Old method</w:t>
            </w:r>
          </w:p>
        </w:tc>
        <w:tc>
          <w:tcPr>
            <w:tcW w:w="4645" w:type="dxa"/>
            <w:shd w:val="clear" w:color="auto" w:fill="auto"/>
          </w:tcPr>
          <w:p w14:paraId="355CBAC0" w14:textId="77777777" w:rsidR="001A07FB" w:rsidRPr="0054556A" w:rsidRDefault="001A07FB" w:rsidP="005A1F7F">
            <w:pPr>
              <w:keepNext/>
              <w:keepLines/>
              <w:jc w:val="center"/>
              <w:rPr>
                <w:rFonts w:ascii="Arial" w:hAnsi="Arial" w:cs="Arial"/>
                <w:sz w:val="20"/>
              </w:rPr>
            </w:pPr>
            <w:r w:rsidRPr="0054556A">
              <w:rPr>
                <w:rFonts w:ascii="Arial" w:hAnsi="Arial" w:cs="Arial"/>
                <w:sz w:val="20"/>
              </w:rPr>
              <w:t>New method</w:t>
            </w:r>
          </w:p>
        </w:tc>
      </w:tr>
      <w:tr w:rsidR="001A07FB" w:rsidRPr="00AF1C55" w14:paraId="54C5A01F" w14:textId="77777777" w:rsidTr="005A1F7F">
        <w:tc>
          <w:tcPr>
            <w:tcW w:w="4644" w:type="dxa"/>
            <w:shd w:val="clear" w:color="auto" w:fill="auto"/>
          </w:tcPr>
          <w:p w14:paraId="43CEEFA3" w14:textId="77777777" w:rsidR="001A07FB" w:rsidRPr="00AF1C55" w:rsidRDefault="001A07FB" w:rsidP="005A1F7F">
            <w:pPr>
              <w:keepNext/>
              <w:keepLines/>
              <w:rPr>
                <w:lang w:val="fr-CH"/>
              </w:rPr>
            </w:pPr>
            <w:r>
              <w:rPr>
                <w:noProof/>
                <w:lang w:eastAsia="en-US"/>
              </w:rPr>
              <w:drawing>
                <wp:inline distT="0" distB="0" distL="0" distR="0" wp14:anchorId="3A98E94B" wp14:editId="173AB592">
                  <wp:extent cx="3057525" cy="2038350"/>
                  <wp:effectExtent l="0" t="0" r="9525" b="0"/>
                  <wp:docPr id="1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tc>
        <w:tc>
          <w:tcPr>
            <w:tcW w:w="4645" w:type="dxa"/>
            <w:shd w:val="clear" w:color="auto" w:fill="auto"/>
          </w:tcPr>
          <w:p w14:paraId="74CC181A" w14:textId="77777777" w:rsidR="001A07FB" w:rsidRPr="00AF1C55" w:rsidRDefault="001A07FB" w:rsidP="005A1F7F">
            <w:pPr>
              <w:keepNext/>
              <w:keepLines/>
              <w:rPr>
                <w:lang w:val="fr-CH"/>
              </w:rPr>
            </w:pPr>
            <w:r>
              <w:rPr>
                <w:noProof/>
                <w:lang w:eastAsia="en-US"/>
              </w:rPr>
              <w:drawing>
                <wp:inline distT="0" distB="0" distL="0" distR="0" wp14:anchorId="425454EA" wp14:editId="384A7BA9">
                  <wp:extent cx="3064510" cy="1913255"/>
                  <wp:effectExtent l="0" t="0" r="254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064510" cy="1913255"/>
                          </a:xfrm>
                          <a:prstGeom prst="rect">
                            <a:avLst/>
                          </a:prstGeom>
                          <a:noFill/>
                        </pic:spPr>
                      </pic:pic>
                    </a:graphicData>
                  </a:graphic>
                </wp:inline>
              </w:drawing>
            </w:r>
          </w:p>
        </w:tc>
      </w:tr>
    </w:tbl>
    <w:p w14:paraId="3C9C96B6" w14:textId="77777777" w:rsidR="001A07FB" w:rsidRDefault="001A07FB" w:rsidP="005A1F7F"/>
    <w:p w14:paraId="5E4E889A" w14:textId="77777777" w:rsidR="001A07FB" w:rsidRPr="00EE0539" w:rsidRDefault="001A07FB" w:rsidP="00B66A4A">
      <w:pPr>
        <w:numPr>
          <w:ilvl w:val="0"/>
          <w:numId w:val="39"/>
        </w:numPr>
        <w:tabs>
          <w:tab w:val="clear" w:pos="720"/>
          <w:tab w:val="num" w:pos="1134"/>
        </w:tabs>
        <w:ind w:left="1134" w:hanging="567"/>
        <w:jc w:val="both"/>
        <w:rPr>
          <w:rFonts w:ascii="Arial" w:hAnsi="Arial" w:cs="Arial"/>
          <w:sz w:val="20"/>
          <w:szCs w:val="20"/>
        </w:rPr>
      </w:pPr>
      <w:r w:rsidRPr="00EE0539">
        <w:rPr>
          <w:rFonts w:ascii="Arial" w:hAnsi="Arial" w:cs="Arial"/>
          <w:sz w:val="20"/>
          <w:szCs w:val="20"/>
        </w:rPr>
        <w:t xml:space="preserve">The average cost of processing a published PCT application was 662 Swiss </w:t>
      </w:r>
      <w:r>
        <w:rPr>
          <w:rFonts w:ascii="Arial" w:hAnsi="Arial" w:cs="Arial"/>
          <w:sz w:val="20"/>
          <w:szCs w:val="20"/>
        </w:rPr>
        <w:t>f</w:t>
      </w:r>
      <w:r w:rsidRPr="00EE0539">
        <w:rPr>
          <w:rFonts w:ascii="Arial" w:hAnsi="Arial" w:cs="Arial"/>
          <w:sz w:val="20"/>
          <w:szCs w:val="20"/>
        </w:rPr>
        <w:t xml:space="preserve">rancs in 2014, </w:t>
      </w:r>
      <w:r>
        <w:rPr>
          <w:rFonts w:ascii="Arial" w:hAnsi="Arial" w:cs="Arial"/>
          <w:sz w:val="20"/>
          <w:szCs w:val="20"/>
        </w:rPr>
        <w:t xml:space="preserve">representing a decrease of </w:t>
      </w:r>
      <w:r w:rsidRPr="00EE0539">
        <w:rPr>
          <w:rFonts w:ascii="Arial" w:hAnsi="Arial" w:cs="Arial"/>
          <w:sz w:val="20"/>
          <w:szCs w:val="20"/>
        </w:rPr>
        <w:t>8.3</w:t>
      </w:r>
      <w:r>
        <w:rPr>
          <w:rFonts w:ascii="Arial" w:hAnsi="Arial" w:cs="Arial"/>
          <w:sz w:val="20"/>
          <w:szCs w:val="20"/>
        </w:rPr>
        <w:t xml:space="preserve"> per cent</w:t>
      </w:r>
      <w:r w:rsidRPr="00EE0539">
        <w:rPr>
          <w:rFonts w:ascii="Arial" w:hAnsi="Arial" w:cs="Arial"/>
          <w:sz w:val="20"/>
          <w:szCs w:val="20"/>
        </w:rPr>
        <w:t xml:space="preserve"> </w:t>
      </w:r>
      <w:r>
        <w:rPr>
          <w:rFonts w:ascii="Arial" w:hAnsi="Arial" w:cs="Arial"/>
          <w:sz w:val="20"/>
          <w:szCs w:val="20"/>
        </w:rPr>
        <w:t>compared to</w:t>
      </w:r>
      <w:r w:rsidRPr="00EE0539">
        <w:rPr>
          <w:rFonts w:ascii="Arial" w:hAnsi="Arial" w:cs="Arial"/>
          <w:sz w:val="20"/>
          <w:szCs w:val="20"/>
        </w:rPr>
        <w:t xml:space="preserve"> 2013. </w:t>
      </w:r>
      <w:r>
        <w:rPr>
          <w:rFonts w:ascii="Arial" w:hAnsi="Arial" w:cs="Arial"/>
          <w:sz w:val="20"/>
          <w:szCs w:val="20"/>
        </w:rPr>
        <w:t xml:space="preserve"> </w:t>
      </w:r>
      <w:r w:rsidRPr="00EE0539">
        <w:rPr>
          <w:rFonts w:ascii="Arial" w:hAnsi="Arial" w:cs="Arial"/>
          <w:sz w:val="20"/>
          <w:szCs w:val="20"/>
        </w:rPr>
        <w:t>This decrease is due to various efficiency measures including automation.</w:t>
      </w:r>
    </w:p>
    <w:p w14:paraId="05DB568A" w14:textId="77777777" w:rsidR="001A07FB" w:rsidRPr="00EE0539" w:rsidRDefault="001A07FB" w:rsidP="005A1F7F">
      <w:pPr>
        <w:pStyle w:val="ListParagraph"/>
        <w:tabs>
          <w:tab w:val="num" w:pos="1134"/>
        </w:tabs>
        <w:ind w:left="1134" w:hanging="567"/>
        <w:rPr>
          <w:rFonts w:ascii="Arial" w:hAnsi="Arial"/>
          <w:sz w:val="20"/>
          <w:szCs w:val="20"/>
        </w:rPr>
      </w:pPr>
    </w:p>
    <w:p w14:paraId="4A939066" w14:textId="77777777" w:rsidR="001A07FB" w:rsidRPr="00EE0539" w:rsidRDefault="001A07FB" w:rsidP="00B66A4A">
      <w:pPr>
        <w:pStyle w:val="ListParagraph"/>
        <w:numPr>
          <w:ilvl w:val="0"/>
          <w:numId w:val="39"/>
        </w:numPr>
        <w:tabs>
          <w:tab w:val="clear" w:pos="720"/>
          <w:tab w:val="num" w:pos="1134"/>
        </w:tabs>
        <w:spacing w:after="200"/>
        <w:ind w:left="1134" w:hanging="567"/>
        <w:jc w:val="both"/>
        <w:rPr>
          <w:rFonts w:ascii="Arial" w:hAnsi="Arial"/>
          <w:sz w:val="20"/>
          <w:szCs w:val="20"/>
        </w:rPr>
      </w:pPr>
      <w:r w:rsidRPr="00EE0539">
        <w:rPr>
          <w:rFonts w:ascii="Arial" w:hAnsi="Arial"/>
          <w:sz w:val="20"/>
          <w:szCs w:val="20"/>
        </w:rPr>
        <w:t xml:space="preserve">The average cost of processing a published PCT application calculated by the old method decreased by </w:t>
      </w:r>
      <w:r>
        <w:rPr>
          <w:rFonts w:ascii="Arial" w:hAnsi="Arial"/>
          <w:sz w:val="20"/>
          <w:szCs w:val="20"/>
        </w:rPr>
        <w:t xml:space="preserve">an </w:t>
      </w:r>
      <w:r w:rsidRPr="00EE0539">
        <w:rPr>
          <w:rFonts w:ascii="Arial" w:hAnsi="Arial"/>
          <w:sz w:val="20"/>
          <w:szCs w:val="20"/>
        </w:rPr>
        <w:t xml:space="preserve">average </w:t>
      </w:r>
      <w:r>
        <w:rPr>
          <w:rFonts w:ascii="Arial" w:hAnsi="Arial"/>
          <w:sz w:val="20"/>
          <w:szCs w:val="20"/>
        </w:rPr>
        <w:t xml:space="preserve">of </w:t>
      </w:r>
      <w:r w:rsidRPr="00EE0539">
        <w:rPr>
          <w:rFonts w:ascii="Arial" w:hAnsi="Arial"/>
          <w:sz w:val="20"/>
          <w:szCs w:val="20"/>
        </w:rPr>
        <w:t>5</w:t>
      </w:r>
      <w:r>
        <w:rPr>
          <w:rFonts w:ascii="Arial" w:hAnsi="Arial"/>
          <w:sz w:val="20"/>
          <w:szCs w:val="20"/>
        </w:rPr>
        <w:t xml:space="preserve"> per cent</w:t>
      </w:r>
      <w:r w:rsidRPr="00EE0539">
        <w:rPr>
          <w:rFonts w:ascii="Arial" w:hAnsi="Arial"/>
          <w:sz w:val="20"/>
          <w:szCs w:val="20"/>
        </w:rPr>
        <w:t xml:space="preserve"> per year from 1,042 Swiss </w:t>
      </w:r>
      <w:r>
        <w:rPr>
          <w:rFonts w:ascii="Arial" w:hAnsi="Arial"/>
          <w:sz w:val="20"/>
          <w:szCs w:val="20"/>
        </w:rPr>
        <w:t>f</w:t>
      </w:r>
      <w:r w:rsidRPr="00EE0539">
        <w:rPr>
          <w:rFonts w:ascii="Arial" w:hAnsi="Arial"/>
          <w:sz w:val="20"/>
          <w:szCs w:val="20"/>
        </w:rPr>
        <w:t xml:space="preserve">rancs in 2004 to 680 Swiss </w:t>
      </w:r>
      <w:r>
        <w:rPr>
          <w:rFonts w:ascii="Arial" w:hAnsi="Arial"/>
          <w:sz w:val="20"/>
          <w:szCs w:val="20"/>
        </w:rPr>
        <w:t>f</w:t>
      </w:r>
      <w:r w:rsidRPr="00EE0539">
        <w:rPr>
          <w:rFonts w:ascii="Arial" w:hAnsi="Arial"/>
          <w:sz w:val="20"/>
          <w:szCs w:val="20"/>
        </w:rPr>
        <w:t xml:space="preserve">rancs in 2012. </w:t>
      </w:r>
    </w:p>
    <w:p w14:paraId="1A176F99" w14:textId="77777777" w:rsidR="001A07FB" w:rsidRPr="000E46C3" w:rsidRDefault="001A07FB" w:rsidP="005A1F7F">
      <w:pPr>
        <w:rPr>
          <w:rFonts w:ascii="Arial" w:hAnsi="Arial"/>
          <w:i/>
          <w:sz w:val="20"/>
          <w:highlight w:val="yellow"/>
        </w:rPr>
      </w:pPr>
    </w:p>
    <w:p w14:paraId="1021128F" w14:textId="77777777" w:rsidR="001A07FB" w:rsidRPr="00EE19F7" w:rsidRDefault="001A07FB" w:rsidP="005A1F7F">
      <w:pPr>
        <w:rPr>
          <w:rFonts w:ascii="Arial" w:hAnsi="Arial"/>
          <w:i/>
          <w:sz w:val="20"/>
          <w:lang w:val="en-GB"/>
        </w:rPr>
      </w:pPr>
      <w:r w:rsidRPr="00EE19F7">
        <w:rPr>
          <w:rFonts w:ascii="Arial" w:hAnsi="Arial"/>
          <w:i/>
          <w:sz w:val="20"/>
        </w:rPr>
        <w:t>Productivity of formalities examination</w:t>
      </w:r>
    </w:p>
    <w:p w14:paraId="5FD1A07C" w14:textId="77777777" w:rsidR="001A07FB" w:rsidRPr="00EE19F7" w:rsidRDefault="001A07FB" w:rsidP="005A1F7F">
      <w:pPr>
        <w:rPr>
          <w:rFonts w:ascii="Arial" w:hAnsi="Arial"/>
          <w:sz w:val="20"/>
          <w:lang w:val="en-GB"/>
        </w:rPr>
      </w:pPr>
    </w:p>
    <w:p w14:paraId="08069928" w14:textId="77777777" w:rsidR="001A07FB" w:rsidRPr="00EE0539" w:rsidRDefault="001A07FB" w:rsidP="00B66A4A">
      <w:pPr>
        <w:numPr>
          <w:ilvl w:val="0"/>
          <w:numId w:val="41"/>
        </w:numPr>
        <w:rPr>
          <w:rFonts w:ascii="Arial" w:hAnsi="Arial"/>
          <w:sz w:val="20"/>
          <w:lang w:val="en-GB"/>
        </w:rPr>
      </w:pPr>
      <w:r w:rsidRPr="00EE0539">
        <w:rPr>
          <w:rFonts w:ascii="Arial" w:hAnsi="Arial"/>
          <w:sz w:val="20"/>
          <w:lang w:val="en-GB"/>
        </w:rPr>
        <w:t>The definition of staff productivity is output (i.e., the number of PCT publications) divided by the number of staff for formalities examination.</w:t>
      </w:r>
    </w:p>
    <w:p w14:paraId="002E3A6C" w14:textId="77777777" w:rsidR="001A07FB" w:rsidRDefault="001A07FB" w:rsidP="005A1F7F">
      <w:pPr>
        <w:rPr>
          <w:rFonts w:ascii="Arial" w:hAnsi="Arial"/>
          <w:sz w:val="20"/>
          <w:lang w:val="en-GB"/>
        </w:rPr>
      </w:pPr>
    </w:p>
    <w:p w14:paraId="0883FF21" w14:textId="77777777" w:rsidR="001A07FB" w:rsidRPr="000D2666" w:rsidRDefault="001A07FB" w:rsidP="005A1F7F">
      <w:pPr>
        <w:jc w:val="center"/>
        <w:rPr>
          <w:rFonts w:ascii="Arial" w:hAnsi="Arial"/>
          <w:b/>
          <w:sz w:val="18"/>
          <w:lang w:val="en-GB"/>
        </w:rPr>
      </w:pPr>
      <w:r w:rsidRPr="000D2666">
        <w:rPr>
          <w:rFonts w:ascii="Arial" w:hAnsi="Arial"/>
          <w:b/>
          <w:sz w:val="18"/>
          <w:lang w:val="en-GB"/>
        </w:rPr>
        <w:t>Productivity of Formality Examination</w:t>
      </w:r>
    </w:p>
    <w:p w14:paraId="4ADF49D0" w14:textId="77777777" w:rsidR="001A07FB" w:rsidRPr="00EE19F7" w:rsidRDefault="001A07FB" w:rsidP="005A1F7F">
      <w:pPr>
        <w:rPr>
          <w:rFonts w:ascii="Arial" w:hAnsi="Arial"/>
          <w:b/>
          <w:bCs/>
          <w:sz w:val="18"/>
          <w:szCs w:val="18"/>
          <w:lang w:val="en-GB"/>
        </w:rPr>
      </w:pPr>
      <w:r>
        <w:rPr>
          <w:rFonts w:ascii="Arial" w:hAnsi="Arial"/>
          <w:b/>
          <w:bCs/>
          <w:noProof/>
          <w:sz w:val="18"/>
          <w:szCs w:val="18"/>
          <w:lang w:eastAsia="en-US"/>
        </w:rPr>
        <w:drawing>
          <wp:inline distT="0" distB="0" distL="0" distR="0" wp14:anchorId="1C76D664" wp14:editId="160B858F">
            <wp:extent cx="5538470" cy="2714625"/>
            <wp:effectExtent l="0" t="0" r="508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538470" cy="2714625"/>
                    </a:xfrm>
                    <a:prstGeom prst="rect">
                      <a:avLst/>
                    </a:prstGeom>
                    <a:noFill/>
                  </pic:spPr>
                </pic:pic>
              </a:graphicData>
            </a:graphic>
          </wp:inline>
        </w:drawing>
      </w:r>
    </w:p>
    <w:p w14:paraId="731F9AF3" w14:textId="77777777" w:rsidR="001A07FB" w:rsidRPr="00EE0539" w:rsidRDefault="001A07FB" w:rsidP="00B66A4A">
      <w:pPr>
        <w:pStyle w:val="ListParagraph"/>
        <w:numPr>
          <w:ilvl w:val="0"/>
          <w:numId w:val="39"/>
        </w:numPr>
        <w:tabs>
          <w:tab w:val="clear" w:pos="720"/>
          <w:tab w:val="num" w:pos="1134"/>
        </w:tabs>
        <w:spacing w:after="200"/>
        <w:ind w:left="1134" w:hanging="567"/>
        <w:jc w:val="both"/>
        <w:rPr>
          <w:rFonts w:ascii="Arial" w:hAnsi="Arial"/>
          <w:sz w:val="20"/>
          <w:szCs w:val="20"/>
        </w:rPr>
      </w:pPr>
      <w:r w:rsidRPr="00EE0539">
        <w:rPr>
          <w:rFonts w:ascii="Arial" w:hAnsi="Arial"/>
          <w:sz w:val="20"/>
          <w:szCs w:val="20"/>
        </w:rPr>
        <w:t>Historically, productivity of formalities examination has increased, mainly due to automation which has permitted the processing of much larger workloads with less or equal staff.</w:t>
      </w:r>
    </w:p>
    <w:p w14:paraId="1E884A80" w14:textId="77777777" w:rsidR="001A07FB" w:rsidRPr="00EE0539" w:rsidRDefault="001A07FB" w:rsidP="005A1F7F">
      <w:pPr>
        <w:pStyle w:val="ListParagraph"/>
        <w:spacing w:after="200"/>
        <w:ind w:left="1134"/>
        <w:jc w:val="both"/>
        <w:rPr>
          <w:rFonts w:ascii="Arial" w:hAnsi="Arial"/>
          <w:sz w:val="20"/>
          <w:szCs w:val="20"/>
        </w:rPr>
      </w:pPr>
    </w:p>
    <w:p w14:paraId="6D9ECB77" w14:textId="77777777" w:rsidR="001A07FB" w:rsidRPr="00EE19F7" w:rsidRDefault="001A07FB" w:rsidP="005A1F7F">
      <w:pPr>
        <w:rPr>
          <w:rFonts w:ascii="Arial" w:hAnsi="Arial" w:cs="Arial"/>
          <w:b/>
          <w:lang w:val="en-GB"/>
        </w:rPr>
      </w:pPr>
    </w:p>
    <w:p w14:paraId="7FF0928E" w14:textId="77777777" w:rsidR="001A07FB" w:rsidRPr="008823D0" w:rsidRDefault="001A07FB" w:rsidP="005A1F7F">
      <w:pPr>
        <w:keepNext/>
        <w:keepLines/>
        <w:rPr>
          <w:rFonts w:ascii="Arial" w:hAnsi="Arial" w:cs="Arial"/>
          <w:i/>
          <w:sz w:val="20"/>
          <w:lang w:val="en-GB"/>
        </w:rPr>
      </w:pPr>
      <w:r w:rsidRPr="008823D0">
        <w:rPr>
          <w:rFonts w:ascii="Arial" w:hAnsi="Arial" w:cs="Arial"/>
          <w:i/>
          <w:sz w:val="20"/>
          <w:lang w:val="en-GB"/>
        </w:rPr>
        <w:lastRenderedPageBreak/>
        <w:t>Aggregate quality of formalities examination</w:t>
      </w:r>
    </w:p>
    <w:p w14:paraId="4B335B3B" w14:textId="77777777" w:rsidR="001A07FB" w:rsidRPr="008823D0" w:rsidRDefault="001A07FB" w:rsidP="005A1F7F">
      <w:pPr>
        <w:keepNext/>
        <w:keepLines/>
        <w:rPr>
          <w:rFonts w:ascii="Arial" w:hAnsi="Arial" w:cs="Arial"/>
          <w:sz w:val="20"/>
          <w:lang w:val="en-GB"/>
        </w:rPr>
      </w:pPr>
    </w:p>
    <w:p w14:paraId="0C3FB3D7" w14:textId="77777777" w:rsidR="001A07FB" w:rsidRPr="0054556A" w:rsidRDefault="001A07FB" w:rsidP="00B66A4A">
      <w:pPr>
        <w:numPr>
          <w:ilvl w:val="0"/>
          <w:numId w:val="41"/>
        </w:numPr>
        <w:rPr>
          <w:rFonts w:ascii="Arial" w:hAnsi="Arial" w:cs="Arial"/>
          <w:sz w:val="20"/>
          <w:szCs w:val="20"/>
          <w:lang w:val="en-GB"/>
        </w:rPr>
      </w:pPr>
      <w:r w:rsidRPr="00EE0539">
        <w:rPr>
          <w:rFonts w:ascii="Arial" w:hAnsi="Arial" w:cs="Arial"/>
          <w:sz w:val="20"/>
          <w:szCs w:val="20"/>
          <w:lang w:val="en-GB"/>
        </w:rPr>
        <w:t>In order to measure the quality of the work performed by the IB in a simple and comprehensive manner, the IB has developed an aggregate quality index, calculated as the average of four lead quality indicators.  Three</w:t>
      </w:r>
      <w:r w:rsidRPr="00EE0539">
        <w:rPr>
          <w:rFonts w:ascii="Arial" w:hAnsi="Arial" w:cs="Arial"/>
          <w:sz w:val="20"/>
          <w:szCs w:val="20"/>
        </w:rPr>
        <w:t xml:space="preserve"> of these indicators are based on the timeliness of key transactions: acknowledgement of receipt of the PCT application, publication, and republication.  The fourth indicator reflects errors made during the processing of PCT applications.</w:t>
      </w:r>
    </w:p>
    <w:p w14:paraId="02E2E493" w14:textId="77777777" w:rsidR="001A07FB" w:rsidRPr="00EE0539" w:rsidRDefault="001A07FB" w:rsidP="005A1F7F">
      <w:pPr>
        <w:rPr>
          <w:rFonts w:ascii="Arial" w:hAnsi="Arial" w:cs="Arial"/>
          <w:sz w:val="20"/>
          <w:szCs w:val="20"/>
          <w:lang w:val="en-GB"/>
        </w:rPr>
      </w:pPr>
    </w:p>
    <w:p w14:paraId="556787FC" w14:textId="77777777" w:rsidR="001A07FB" w:rsidRPr="000D2666" w:rsidRDefault="001A07FB" w:rsidP="005A1F7F">
      <w:pPr>
        <w:pStyle w:val="BodyText2"/>
        <w:keepLines/>
        <w:spacing w:line="240" w:lineRule="auto"/>
        <w:jc w:val="center"/>
        <w:rPr>
          <w:rFonts w:cs="Arial"/>
          <w:b/>
          <w:bCs/>
          <w:sz w:val="16"/>
          <w:szCs w:val="18"/>
          <w:lang w:val="en-GB"/>
        </w:rPr>
      </w:pPr>
      <w:r w:rsidRPr="000D2666">
        <w:rPr>
          <w:rFonts w:ascii="Arial" w:hAnsi="Arial" w:cs="Arial"/>
          <w:b/>
          <w:bCs/>
          <w:sz w:val="18"/>
          <w:szCs w:val="18"/>
          <w:lang w:val="en-GB"/>
        </w:rPr>
        <w:t>Quality Index of Formalities Examination</w:t>
      </w:r>
    </w:p>
    <w:p w14:paraId="7FD8AB4F" w14:textId="77777777" w:rsidR="001A07FB" w:rsidRPr="008823D0" w:rsidRDefault="001A07FB" w:rsidP="005A1F7F">
      <w:pPr>
        <w:pStyle w:val="BodyText2"/>
        <w:keepLines/>
        <w:spacing w:line="240" w:lineRule="auto"/>
        <w:rPr>
          <w:rFonts w:cs="Arial"/>
          <w:b/>
          <w:bCs/>
          <w:sz w:val="18"/>
          <w:szCs w:val="18"/>
          <w:lang w:val="en-GB"/>
        </w:rPr>
      </w:pPr>
      <w:r>
        <w:rPr>
          <w:rFonts w:cs="Arial"/>
          <w:b/>
          <w:bCs/>
          <w:noProof/>
          <w:sz w:val="18"/>
          <w:szCs w:val="18"/>
          <w:lang w:eastAsia="en-US"/>
        </w:rPr>
        <w:drawing>
          <wp:inline distT="0" distB="0" distL="0" distR="0" wp14:anchorId="530F8083" wp14:editId="14C1F8F6">
            <wp:extent cx="5652770" cy="2566670"/>
            <wp:effectExtent l="0" t="0" r="5080" b="508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652770" cy="2566670"/>
                    </a:xfrm>
                    <a:prstGeom prst="rect">
                      <a:avLst/>
                    </a:prstGeom>
                    <a:noFill/>
                  </pic:spPr>
                </pic:pic>
              </a:graphicData>
            </a:graphic>
          </wp:inline>
        </w:drawing>
      </w:r>
    </w:p>
    <w:p w14:paraId="3630E199" w14:textId="77777777" w:rsidR="001A07FB" w:rsidRDefault="001A07FB" w:rsidP="00B66A4A">
      <w:pPr>
        <w:numPr>
          <w:ilvl w:val="0"/>
          <w:numId w:val="43"/>
        </w:numPr>
        <w:ind w:left="1134" w:hanging="584"/>
        <w:jc w:val="both"/>
        <w:rPr>
          <w:rFonts w:ascii="Arial" w:hAnsi="Arial" w:cs="Arial"/>
          <w:sz w:val="20"/>
        </w:rPr>
      </w:pPr>
      <w:r w:rsidRPr="008823D0">
        <w:rPr>
          <w:rFonts w:ascii="Arial" w:hAnsi="Arial" w:cs="Arial"/>
          <w:sz w:val="20"/>
        </w:rPr>
        <w:t>The overall quality, as measured by the aggregate index, improved markedly from</w:t>
      </w:r>
      <w:r>
        <w:rPr>
          <w:rFonts w:ascii="Arial" w:hAnsi="Arial" w:cs="Arial"/>
          <w:sz w:val="20"/>
        </w:rPr>
        <w:t xml:space="preserve"> an average of 81 per cent in</w:t>
      </w:r>
      <w:r w:rsidRPr="008823D0">
        <w:rPr>
          <w:rFonts w:ascii="Arial" w:hAnsi="Arial" w:cs="Arial"/>
          <w:sz w:val="20"/>
        </w:rPr>
        <w:t xml:space="preserve"> 2007 to</w:t>
      </w:r>
      <w:r>
        <w:rPr>
          <w:rFonts w:ascii="Arial" w:hAnsi="Arial" w:cs="Arial"/>
          <w:sz w:val="20"/>
        </w:rPr>
        <w:t xml:space="preserve"> 93.1 per cent in</w:t>
      </w:r>
      <w:r w:rsidRPr="008823D0">
        <w:rPr>
          <w:rFonts w:ascii="Arial" w:hAnsi="Arial" w:cs="Arial"/>
          <w:sz w:val="20"/>
        </w:rPr>
        <w:t xml:space="preserve"> 2014.</w:t>
      </w:r>
    </w:p>
    <w:p w14:paraId="0C4B73A4" w14:textId="77777777" w:rsidR="001A07FB" w:rsidRDefault="001A07FB" w:rsidP="005A1F7F">
      <w:pPr>
        <w:ind w:left="1134" w:hanging="584"/>
        <w:jc w:val="both"/>
        <w:rPr>
          <w:rFonts w:ascii="Arial" w:hAnsi="Arial" w:cs="Arial"/>
          <w:sz w:val="20"/>
        </w:rPr>
      </w:pPr>
    </w:p>
    <w:p w14:paraId="45A011E0" w14:textId="77777777" w:rsidR="001A07FB" w:rsidRPr="00481C55" w:rsidRDefault="001A07FB" w:rsidP="00B66A4A">
      <w:pPr>
        <w:numPr>
          <w:ilvl w:val="0"/>
          <w:numId w:val="43"/>
        </w:numPr>
        <w:ind w:left="1134" w:hanging="584"/>
        <w:jc w:val="both"/>
        <w:rPr>
          <w:rFonts w:ascii="Arial" w:hAnsi="Arial" w:cs="Arial"/>
          <w:sz w:val="20"/>
        </w:rPr>
      </w:pPr>
      <w:r w:rsidRPr="00481C55">
        <w:rPr>
          <w:rFonts w:ascii="Arial" w:hAnsi="Arial" w:cs="Arial"/>
          <w:sz w:val="20"/>
        </w:rPr>
        <w:t xml:space="preserve">The </w:t>
      </w:r>
      <w:r>
        <w:rPr>
          <w:rFonts w:ascii="Arial" w:hAnsi="Arial" w:cs="Arial"/>
          <w:sz w:val="20"/>
        </w:rPr>
        <w:t>remarkable</w:t>
      </w:r>
      <w:r w:rsidRPr="00481C55">
        <w:rPr>
          <w:rFonts w:ascii="Arial" w:hAnsi="Arial" w:cs="Arial"/>
          <w:sz w:val="20"/>
        </w:rPr>
        <w:t xml:space="preserve"> increase of the quality index </w:t>
      </w:r>
      <w:r>
        <w:rPr>
          <w:rFonts w:ascii="Arial" w:hAnsi="Arial" w:cs="Arial"/>
          <w:sz w:val="20"/>
        </w:rPr>
        <w:t>in</w:t>
      </w:r>
      <w:r w:rsidRPr="00481C55">
        <w:rPr>
          <w:rFonts w:ascii="Arial" w:hAnsi="Arial" w:cs="Arial"/>
          <w:sz w:val="20"/>
        </w:rPr>
        <w:t xml:space="preserve"> 201</w:t>
      </w:r>
      <w:r>
        <w:rPr>
          <w:rFonts w:ascii="Arial" w:hAnsi="Arial" w:cs="Arial"/>
          <w:sz w:val="20"/>
        </w:rPr>
        <w:t>4</w:t>
      </w:r>
      <w:r w:rsidRPr="00481C55">
        <w:rPr>
          <w:rFonts w:ascii="Arial" w:hAnsi="Arial" w:cs="Arial"/>
          <w:sz w:val="20"/>
        </w:rPr>
        <w:t xml:space="preserve"> is mainly due to </w:t>
      </w:r>
      <w:r>
        <w:rPr>
          <w:rFonts w:ascii="Arial" w:hAnsi="Arial" w:cs="Arial"/>
          <w:sz w:val="20"/>
        </w:rPr>
        <w:t xml:space="preserve">improved timeliness in performing formalities examination as well as </w:t>
      </w:r>
      <w:r w:rsidRPr="00481C55">
        <w:rPr>
          <w:rFonts w:ascii="Arial" w:hAnsi="Arial" w:cs="Arial"/>
          <w:sz w:val="20"/>
        </w:rPr>
        <w:t>reduced delay</w:t>
      </w:r>
      <w:r>
        <w:rPr>
          <w:rFonts w:ascii="Arial" w:hAnsi="Arial" w:cs="Arial"/>
          <w:sz w:val="20"/>
        </w:rPr>
        <w:t>s</w:t>
      </w:r>
      <w:r w:rsidRPr="00481C55">
        <w:rPr>
          <w:rFonts w:ascii="Arial" w:hAnsi="Arial" w:cs="Arial"/>
          <w:sz w:val="20"/>
        </w:rPr>
        <w:t xml:space="preserve"> in republishing applications with the ISR.</w:t>
      </w:r>
      <w:r>
        <w:rPr>
          <w:rFonts w:ascii="Arial" w:hAnsi="Arial" w:cs="Arial"/>
          <w:sz w:val="20"/>
        </w:rPr>
        <w:t xml:space="preserve"> The delay in formalities examination and republication mainly explained the decrease of the quality index observed during the 2010–2013 period.</w:t>
      </w:r>
    </w:p>
    <w:p w14:paraId="28DA9A2A" w14:textId="77777777" w:rsidR="001A07FB" w:rsidRPr="008823D0" w:rsidRDefault="001A07FB" w:rsidP="005A1F7F">
      <w:pPr>
        <w:jc w:val="both"/>
        <w:rPr>
          <w:rFonts w:ascii="Arial" w:hAnsi="Arial" w:cs="Arial"/>
          <w:sz w:val="20"/>
        </w:rPr>
      </w:pPr>
    </w:p>
    <w:p w14:paraId="6559044A" w14:textId="77777777" w:rsidR="001A07FB" w:rsidRDefault="001A07FB" w:rsidP="005A1F7F">
      <w:pPr>
        <w:pStyle w:val="ListParagraph"/>
        <w:rPr>
          <w:rFonts w:ascii="Arial" w:hAnsi="Arial" w:cs="Arial"/>
          <w:sz w:val="20"/>
        </w:rPr>
      </w:pPr>
    </w:p>
    <w:p w14:paraId="23066C37" w14:textId="77777777" w:rsidR="001A07FB" w:rsidRPr="005F6BFD" w:rsidRDefault="001A07FB" w:rsidP="005A1F7F">
      <w:pPr>
        <w:rPr>
          <w:rFonts w:ascii="Arial" w:hAnsi="Arial" w:cs="Arial"/>
          <w:i/>
          <w:sz w:val="20"/>
        </w:rPr>
      </w:pPr>
      <w:r w:rsidRPr="005F6BFD">
        <w:rPr>
          <w:rFonts w:ascii="Arial" w:hAnsi="Arial" w:cs="Arial"/>
          <w:i/>
          <w:sz w:val="20"/>
        </w:rPr>
        <w:t>Timeliness of formalities examination</w:t>
      </w:r>
    </w:p>
    <w:p w14:paraId="487251F2" w14:textId="77777777" w:rsidR="001A07FB" w:rsidRPr="005F6BFD" w:rsidRDefault="001A07FB" w:rsidP="005A1F7F">
      <w:pPr>
        <w:rPr>
          <w:rFonts w:ascii="Arial" w:hAnsi="Arial" w:cs="Arial"/>
          <w:b/>
          <w:sz w:val="20"/>
        </w:rPr>
      </w:pPr>
    </w:p>
    <w:p w14:paraId="64BE9431" w14:textId="77777777" w:rsidR="001A07FB" w:rsidRPr="00EE0539" w:rsidRDefault="001A07FB" w:rsidP="00B66A4A">
      <w:pPr>
        <w:numPr>
          <w:ilvl w:val="0"/>
          <w:numId w:val="41"/>
        </w:numPr>
        <w:rPr>
          <w:rFonts w:ascii="Arial" w:hAnsi="Arial" w:cs="Arial"/>
          <w:b/>
          <w:sz w:val="20"/>
          <w:szCs w:val="20"/>
        </w:rPr>
      </w:pPr>
      <w:r w:rsidRPr="00EE0539">
        <w:rPr>
          <w:rFonts w:ascii="Arial" w:hAnsi="Arial" w:cs="Arial"/>
          <w:sz w:val="20"/>
          <w:szCs w:val="20"/>
        </w:rPr>
        <w:t>This indicator reflects in more detail one of the components of the aggregate quality indicator, namely the time required by the IB to issue Form 301.  This form is issued after the formality examination of the application has been completed. Applicants appreciate receiving this Form as soon as possible because it acknowledges receipt of the application at the IB and allows them to know whether their application has any formal defects.</w:t>
      </w:r>
    </w:p>
    <w:p w14:paraId="7E480F7D" w14:textId="77777777" w:rsidR="001A07FB" w:rsidRPr="00D37EBA" w:rsidRDefault="001A07FB" w:rsidP="005A1F7F">
      <w:pPr>
        <w:rPr>
          <w:rFonts w:ascii="Arial" w:hAnsi="Arial" w:cs="Arial"/>
          <w:b/>
          <w:sz w:val="20"/>
          <w:szCs w:val="20"/>
        </w:rPr>
      </w:pPr>
    </w:p>
    <w:p w14:paraId="2D8719A2" w14:textId="77777777" w:rsidR="001A07FB" w:rsidRPr="005F6BFD" w:rsidRDefault="001A07FB" w:rsidP="005A1F7F">
      <w:r>
        <w:rPr>
          <w:noProof/>
          <w:lang w:eastAsia="en-US"/>
        </w:rPr>
        <w:drawing>
          <wp:inline distT="0" distB="0" distL="0" distR="0" wp14:anchorId="7078A0E6" wp14:editId="5EC185D9">
            <wp:extent cx="5742940" cy="2488565"/>
            <wp:effectExtent l="0" t="0" r="0" b="698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42940" cy="2488565"/>
                    </a:xfrm>
                    <a:prstGeom prst="rect">
                      <a:avLst/>
                    </a:prstGeom>
                    <a:noFill/>
                  </pic:spPr>
                </pic:pic>
              </a:graphicData>
            </a:graphic>
          </wp:inline>
        </w:drawing>
      </w:r>
    </w:p>
    <w:p w14:paraId="32EF32FF" w14:textId="77777777" w:rsidR="001A07FB" w:rsidRPr="005F6BFD" w:rsidRDefault="001A07FB" w:rsidP="005A1F7F">
      <w:pPr>
        <w:rPr>
          <w:rFonts w:ascii="Arial" w:hAnsi="Arial" w:cs="Arial"/>
          <w:i/>
          <w:sz w:val="20"/>
        </w:rPr>
      </w:pPr>
      <w:r w:rsidRPr="005F6BFD">
        <w:rPr>
          <w:rFonts w:ascii="Arial" w:hAnsi="Arial" w:cs="Arial"/>
          <w:i/>
          <w:sz w:val="20"/>
        </w:rPr>
        <w:lastRenderedPageBreak/>
        <w:t>Timeliness of publication</w:t>
      </w:r>
    </w:p>
    <w:p w14:paraId="1D841DA1" w14:textId="77777777" w:rsidR="001A07FB" w:rsidRPr="005F6BFD" w:rsidRDefault="001A07FB" w:rsidP="005A1F7F">
      <w:pPr>
        <w:rPr>
          <w:rFonts w:ascii="Arial" w:hAnsi="Arial" w:cs="Arial"/>
          <w:sz w:val="18"/>
          <w:szCs w:val="18"/>
        </w:rPr>
      </w:pPr>
    </w:p>
    <w:p w14:paraId="70717DC8"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This indicator reflects in more detail one of the components of the aggregate quality indicator, namely the time required by the IB to publish the application.  Article 21 (2) (a) of the PCT states that the “… international publication of the international application shall be effected promptly after the expiration of 18 months from the priority date of that application.”</w:t>
      </w:r>
    </w:p>
    <w:p w14:paraId="4CF348C2" w14:textId="77777777" w:rsidR="001A07FB" w:rsidRPr="005F6BFD" w:rsidRDefault="001A07FB" w:rsidP="005A1F7F">
      <w:pPr>
        <w:pStyle w:val="BodyText2"/>
        <w:spacing w:line="240" w:lineRule="auto"/>
        <w:rPr>
          <w:rFonts w:cs="Arial"/>
        </w:rPr>
      </w:pPr>
    </w:p>
    <w:p w14:paraId="2C3B11EB" w14:textId="77777777" w:rsidR="001A07FB" w:rsidRPr="000E46C3" w:rsidRDefault="001A07FB" w:rsidP="005A1F7F">
      <w:pPr>
        <w:pStyle w:val="BodyText2"/>
        <w:spacing w:line="240" w:lineRule="auto"/>
        <w:jc w:val="center"/>
        <w:rPr>
          <w:rFonts w:cs="Arial"/>
          <w:b/>
          <w:bCs/>
          <w:sz w:val="16"/>
          <w:szCs w:val="16"/>
          <w:highlight w:val="yellow"/>
        </w:rPr>
      </w:pPr>
      <w:r>
        <w:rPr>
          <w:rFonts w:cs="Arial"/>
          <w:b/>
          <w:bCs/>
          <w:noProof/>
          <w:sz w:val="16"/>
          <w:szCs w:val="16"/>
          <w:lang w:eastAsia="en-US"/>
        </w:rPr>
        <w:drawing>
          <wp:inline distT="0" distB="0" distL="0" distR="0" wp14:anchorId="4138BE0F" wp14:editId="38E01254">
            <wp:extent cx="5566410" cy="255524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66410" cy="2555240"/>
                    </a:xfrm>
                    <a:prstGeom prst="rect">
                      <a:avLst/>
                    </a:prstGeom>
                    <a:noFill/>
                  </pic:spPr>
                </pic:pic>
              </a:graphicData>
            </a:graphic>
          </wp:inline>
        </w:drawing>
      </w:r>
    </w:p>
    <w:p w14:paraId="712B3D3C" w14:textId="77777777" w:rsidR="001A07FB" w:rsidRPr="00D65AC8" w:rsidRDefault="001A07FB" w:rsidP="005A1F7F">
      <w:pPr>
        <w:rPr>
          <w:rFonts w:ascii="Arial" w:hAnsi="Arial" w:cs="Arial"/>
          <w:i/>
          <w:sz w:val="20"/>
        </w:rPr>
      </w:pPr>
      <w:r w:rsidRPr="00D65AC8">
        <w:rPr>
          <w:rFonts w:ascii="Arial" w:hAnsi="Arial" w:cs="Arial"/>
          <w:i/>
          <w:sz w:val="20"/>
        </w:rPr>
        <w:t>Timeliness of republication</w:t>
      </w:r>
    </w:p>
    <w:p w14:paraId="22D910F9" w14:textId="77777777" w:rsidR="001A07FB" w:rsidRPr="00D65AC8" w:rsidRDefault="001A07FB" w:rsidP="005A1F7F">
      <w:pPr>
        <w:rPr>
          <w:rFonts w:ascii="Arial" w:hAnsi="Arial" w:cs="Arial"/>
          <w:sz w:val="18"/>
          <w:szCs w:val="18"/>
        </w:rPr>
      </w:pPr>
    </w:p>
    <w:p w14:paraId="7C6CE2C4"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This indicator reflects in more detail one of the components of the aggregate quality indicator, namely the time required by the IB to republish the application with the ISR.  Due to delays in the communication of ISRs by ISAs, a number of international applications are published without the ISR.  When the ISR becomes available, the international application needs to be republished with the ISR as soon as possible, so as to complete the international publication.</w:t>
      </w:r>
    </w:p>
    <w:p w14:paraId="78446FE3" w14:textId="77777777" w:rsidR="001A07FB" w:rsidRPr="00EE0539" w:rsidRDefault="001A07FB" w:rsidP="005A1F7F">
      <w:pPr>
        <w:rPr>
          <w:rFonts w:ascii="Arial" w:hAnsi="Arial" w:cs="Arial"/>
          <w:sz w:val="20"/>
          <w:szCs w:val="20"/>
        </w:rPr>
      </w:pPr>
    </w:p>
    <w:p w14:paraId="74854CE0" w14:textId="77777777" w:rsidR="001A07FB" w:rsidRPr="00D65AC8" w:rsidRDefault="001A07FB" w:rsidP="005A1F7F">
      <w:pPr>
        <w:rPr>
          <w:rFonts w:ascii="Arial" w:eastAsia="SimSun" w:hAnsi="Arial" w:cs="Arial"/>
          <w:b/>
          <w:szCs w:val="18"/>
          <w:lang w:eastAsia="zh-CN"/>
        </w:rPr>
      </w:pPr>
      <w:r>
        <w:rPr>
          <w:rFonts w:ascii="Arial" w:eastAsia="SimSun" w:hAnsi="Arial" w:cs="Arial"/>
          <w:b/>
          <w:noProof/>
          <w:szCs w:val="18"/>
          <w:lang w:eastAsia="en-US"/>
        </w:rPr>
        <w:drawing>
          <wp:inline distT="0" distB="0" distL="0" distR="0" wp14:anchorId="072BE1EF" wp14:editId="398730E4">
            <wp:extent cx="5836285" cy="2677160"/>
            <wp:effectExtent l="0" t="0" r="0" b="889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836285" cy="2677160"/>
                    </a:xfrm>
                    <a:prstGeom prst="rect">
                      <a:avLst/>
                    </a:prstGeom>
                    <a:noFill/>
                  </pic:spPr>
                </pic:pic>
              </a:graphicData>
            </a:graphic>
          </wp:inline>
        </w:drawing>
      </w:r>
    </w:p>
    <w:p w14:paraId="38E31F7E" w14:textId="77777777" w:rsidR="001A07FB" w:rsidRDefault="001A07FB" w:rsidP="005A1F7F">
      <w:pPr>
        <w:rPr>
          <w:rFonts w:ascii="Arial" w:hAnsi="Arial" w:cs="Arial"/>
          <w:i/>
          <w:sz w:val="20"/>
        </w:rPr>
      </w:pPr>
    </w:p>
    <w:p w14:paraId="7C3BF0D3" w14:textId="77777777" w:rsidR="001A07FB" w:rsidRPr="00E34675" w:rsidRDefault="001A07FB" w:rsidP="005A1F7F">
      <w:pPr>
        <w:rPr>
          <w:rFonts w:ascii="Arial" w:hAnsi="Arial" w:cs="Arial"/>
          <w:i/>
          <w:sz w:val="20"/>
        </w:rPr>
      </w:pPr>
      <w:r w:rsidRPr="00E34675">
        <w:rPr>
          <w:rFonts w:ascii="Arial" w:hAnsi="Arial" w:cs="Arial"/>
          <w:i/>
          <w:sz w:val="20"/>
        </w:rPr>
        <w:t xml:space="preserve">Quality of translation </w:t>
      </w:r>
    </w:p>
    <w:p w14:paraId="2292B681" w14:textId="77777777" w:rsidR="001A07FB" w:rsidRPr="00E34675" w:rsidRDefault="001A07FB" w:rsidP="005A1F7F">
      <w:pPr>
        <w:rPr>
          <w:rFonts w:ascii="Arial" w:hAnsi="Arial" w:cs="Arial"/>
          <w:b/>
          <w:szCs w:val="18"/>
        </w:rPr>
      </w:pPr>
    </w:p>
    <w:p w14:paraId="71704342"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 xml:space="preserve">Statistically calculated numbers of documents are selected at random from translations of abstracts and patentability reports prepared under the responsibility of the IB for quality control.  The evaluation determines whether a translation is “acceptable” or “not acceptable”.  This indicator aggregates the results of such quality control performed by the IB across all language combinations and document types.  Relationships with any agencies that consistently have less than 80 per cent of their translations deemed “acceptable” are discontinued. </w:t>
      </w:r>
    </w:p>
    <w:p w14:paraId="7AD1375B" w14:textId="77777777" w:rsidR="001A07FB" w:rsidRDefault="001A07FB" w:rsidP="005A1F7F">
      <w:pPr>
        <w:jc w:val="center"/>
        <w:rPr>
          <w:rFonts w:ascii="Arial" w:hAnsi="Arial"/>
          <w:highlight w:val="yellow"/>
        </w:rPr>
      </w:pPr>
    </w:p>
    <w:p w14:paraId="47458BFA" w14:textId="77777777" w:rsidR="001A07FB" w:rsidRPr="000D2666" w:rsidRDefault="001A07FB" w:rsidP="005A1F7F">
      <w:pPr>
        <w:keepNext/>
        <w:keepLines/>
        <w:jc w:val="center"/>
        <w:rPr>
          <w:rFonts w:ascii="Arial" w:hAnsi="Arial"/>
          <w:b/>
          <w:sz w:val="18"/>
          <w:szCs w:val="20"/>
        </w:rPr>
      </w:pPr>
      <w:r w:rsidRPr="000D2666">
        <w:rPr>
          <w:rFonts w:ascii="Arial" w:hAnsi="Arial"/>
          <w:b/>
          <w:sz w:val="18"/>
          <w:szCs w:val="20"/>
        </w:rPr>
        <w:lastRenderedPageBreak/>
        <w:t>Quality of PCT Translation</w:t>
      </w:r>
    </w:p>
    <w:p w14:paraId="5217E1A4" w14:textId="77777777" w:rsidR="001A07FB" w:rsidRPr="00664E37" w:rsidRDefault="001A07FB" w:rsidP="005A1F7F">
      <w:pPr>
        <w:keepNext/>
        <w:keepLines/>
        <w:jc w:val="center"/>
        <w:rPr>
          <w:rFonts w:ascii="Arial" w:hAnsi="Arial"/>
          <w:b/>
          <w:sz w:val="20"/>
          <w:szCs w:val="20"/>
        </w:rPr>
      </w:pPr>
    </w:p>
    <w:p w14:paraId="79383906" w14:textId="77777777" w:rsidR="001A07FB" w:rsidRPr="004005D3" w:rsidRDefault="001A07FB" w:rsidP="005A1F7F">
      <w:pPr>
        <w:keepNext/>
        <w:keepLines/>
        <w:jc w:val="center"/>
        <w:rPr>
          <w:rFonts w:ascii="Arial" w:hAnsi="Arial"/>
        </w:rPr>
      </w:pPr>
      <w:r>
        <w:rPr>
          <w:rFonts w:ascii="Arial" w:hAnsi="Arial"/>
          <w:noProof/>
          <w:lang w:eastAsia="en-US"/>
        </w:rPr>
        <w:drawing>
          <wp:inline distT="0" distB="0" distL="0" distR="0" wp14:anchorId="126B74F8" wp14:editId="76FAE26F">
            <wp:extent cx="5606718" cy="31623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614215" cy="3166528"/>
                    </a:xfrm>
                    <a:prstGeom prst="rect">
                      <a:avLst/>
                    </a:prstGeom>
                    <a:noFill/>
                  </pic:spPr>
                </pic:pic>
              </a:graphicData>
            </a:graphic>
          </wp:inline>
        </w:drawing>
      </w:r>
    </w:p>
    <w:p w14:paraId="7CF0A352" w14:textId="77777777" w:rsidR="001A07FB" w:rsidRPr="004005D3" w:rsidRDefault="001A07FB" w:rsidP="005A1F7F">
      <w:pPr>
        <w:keepNext/>
        <w:keepLines/>
        <w:jc w:val="center"/>
        <w:rPr>
          <w:rFonts w:ascii="Arial" w:hAnsi="Arial"/>
        </w:rPr>
      </w:pPr>
    </w:p>
    <w:p w14:paraId="764CA6E6" w14:textId="1FC2E2FD" w:rsidR="000D2666" w:rsidRDefault="000D2666">
      <w:pPr>
        <w:rPr>
          <w:rFonts w:ascii="Arial" w:hAnsi="Arial" w:cs="Arial"/>
          <w:i/>
          <w:sz w:val="20"/>
          <w:szCs w:val="20"/>
        </w:rPr>
      </w:pPr>
    </w:p>
    <w:p w14:paraId="12BE9F2E" w14:textId="5A331F82" w:rsidR="001A07FB" w:rsidRPr="00EE0539" w:rsidRDefault="001A07FB" w:rsidP="005A1F7F">
      <w:pPr>
        <w:keepNext/>
        <w:keepLines/>
        <w:rPr>
          <w:rFonts w:ascii="Arial" w:hAnsi="Arial" w:cs="Arial"/>
          <w:i/>
          <w:sz w:val="20"/>
          <w:szCs w:val="20"/>
        </w:rPr>
      </w:pPr>
      <w:r w:rsidRPr="00EE0539">
        <w:rPr>
          <w:rFonts w:ascii="Arial" w:hAnsi="Arial" w:cs="Arial"/>
          <w:i/>
          <w:sz w:val="20"/>
          <w:szCs w:val="20"/>
        </w:rPr>
        <w:t>Timeliness of report translation</w:t>
      </w:r>
    </w:p>
    <w:p w14:paraId="35ED53C5" w14:textId="77777777" w:rsidR="001A07FB" w:rsidRPr="00EE0539" w:rsidRDefault="001A07FB" w:rsidP="005A1F7F">
      <w:pPr>
        <w:rPr>
          <w:rFonts w:ascii="Arial" w:hAnsi="Arial" w:cs="Arial"/>
          <w:sz w:val="20"/>
          <w:szCs w:val="20"/>
        </w:rPr>
      </w:pPr>
    </w:p>
    <w:p w14:paraId="6CB37EE9"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This indicator provides information on the timeliness with which patentability report translations are made available by the IB to applicants and Offices.  The share of patentability report translations delivered at 30 months from the priority date of the international application has steadily increased since 2010. In 2014, 82.5</w:t>
      </w:r>
      <w:r>
        <w:rPr>
          <w:rFonts w:ascii="Arial" w:hAnsi="Arial" w:cs="Arial"/>
          <w:sz w:val="20"/>
          <w:szCs w:val="20"/>
        </w:rPr>
        <w:t xml:space="preserve"> per cent</w:t>
      </w:r>
      <w:r w:rsidRPr="00EE0539">
        <w:rPr>
          <w:rFonts w:ascii="Arial" w:hAnsi="Arial" w:cs="Arial"/>
          <w:sz w:val="20"/>
          <w:szCs w:val="20"/>
        </w:rPr>
        <w:t xml:space="preserve"> of patentability report translations were delivered at 30 months from the priority date.</w:t>
      </w:r>
    </w:p>
    <w:p w14:paraId="3D18A263" w14:textId="77777777" w:rsidR="001A07FB" w:rsidRDefault="001A07FB" w:rsidP="005A1F7F">
      <w:pPr>
        <w:ind w:left="142"/>
        <w:jc w:val="both"/>
      </w:pPr>
    </w:p>
    <w:p w14:paraId="751A7F76" w14:textId="77777777" w:rsidR="001A07FB" w:rsidRPr="000D2666" w:rsidRDefault="001A07FB" w:rsidP="005A1F7F">
      <w:pPr>
        <w:ind w:left="142"/>
        <w:jc w:val="center"/>
        <w:rPr>
          <w:rFonts w:ascii="Arial" w:hAnsi="Arial" w:cs="Arial"/>
          <w:b/>
          <w:sz w:val="18"/>
          <w:szCs w:val="20"/>
        </w:rPr>
      </w:pPr>
      <w:r w:rsidRPr="000D2666">
        <w:rPr>
          <w:rFonts w:ascii="Arial" w:hAnsi="Arial" w:cs="Arial"/>
          <w:b/>
          <w:sz w:val="18"/>
          <w:szCs w:val="20"/>
        </w:rPr>
        <w:t>Timeliness of Report Translation</w:t>
      </w:r>
    </w:p>
    <w:p w14:paraId="1498C75C" w14:textId="77777777" w:rsidR="001A07FB" w:rsidRPr="004005D3" w:rsidRDefault="001A07FB" w:rsidP="005A1F7F">
      <w:pPr>
        <w:pStyle w:val="BodyText2"/>
        <w:keepNext/>
        <w:keepLines/>
        <w:spacing w:after="0" w:line="240" w:lineRule="auto"/>
        <w:ind w:left="142"/>
        <w:jc w:val="both"/>
      </w:pPr>
      <w:r>
        <w:rPr>
          <w:noProof/>
          <w:lang w:eastAsia="en-US"/>
        </w:rPr>
        <w:drawing>
          <wp:inline distT="0" distB="0" distL="0" distR="0" wp14:anchorId="3D040DB3" wp14:editId="7072E7DB">
            <wp:extent cx="5838825" cy="2591554"/>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847136" cy="2595243"/>
                    </a:xfrm>
                    <a:prstGeom prst="rect">
                      <a:avLst/>
                    </a:prstGeom>
                    <a:noFill/>
                  </pic:spPr>
                </pic:pic>
              </a:graphicData>
            </a:graphic>
          </wp:inline>
        </w:drawing>
      </w:r>
    </w:p>
    <w:p w14:paraId="4424C0B4" w14:textId="77777777" w:rsidR="001A07FB" w:rsidRDefault="001A07FB" w:rsidP="005A1F7F">
      <w:pPr>
        <w:rPr>
          <w:rFonts w:ascii="Arial" w:hAnsi="Arial" w:cs="Arial"/>
          <w:i/>
          <w:sz w:val="20"/>
        </w:rPr>
      </w:pPr>
    </w:p>
    <w:p w14:paraId="5101A0A4" w14:textId="77777777" w:rsidR="001A07FB" w:rsidRPr="009915C4" w:rsidRDefault="001A07FB" w:rsidP="005A1F7F">
      <w:pPr>
        <w:rPr>
          <w:rFonts w:ascii="Arial" w:hAnsi="Arial" w:cs="Arial"/>
          <w:i/>
          <w:sz w:val="20"/>
          <w:szCs w:val="20"/>
        </w:rPr>
      </w:pPr>
      <w:r w:rsidRPr="00F6583F">
        <w:rPr>
          <w:rFonts w:ascii="Arial" w:hAnsi="Arial" w:cs="Arial"/>
          <w:i/>
          <w:sz w:val="20"/>
          <w:szCs w:val="20"/>
        </w:rPr>
        <w:t xml:space="preserve">Quality of software </w:t>
      </w:r>
      <w:r w:rsidRPr="009915C4">
        <w:rPr>
          <w:rFonts w:ascii="Arial" w:hAnsi="Arial" w:cs="Arial"/>
          <w:i/>
          <w:sz w:val="20"/>
          <w:szCs w:val="20"/>
        </w:rPr>
        <w:t>development</w:t>
      </w:r>
    </w:p>
    <w:p w14:paraId="467C98F5" w14:textId="77777777" w:rsidR="001A07FB" w:rsidRPr="00EE0539" w:rsidRDefault="001A07FB" w:rsidP="005A1F7F">
      <w:pPr>
        <w:jc w:val="both"/>
        <w:rPr>
          <w:rFonts w:ascii="Arial" w:hAnsi="Arial" w:cs="Arial"/>
          <w:b/>
          <w:sz w:val="20"/>
          <w:szCs w:val="20"/>
        </w:rPr>
      </w:pPr>
    </w:p>
    <w:p w14:paraId="3504BFA1"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quality of software development (QSD) indicator provides a measure of the quality of major software releases for </w:t>
      </w:r>
      <w:proofErr w:type="spellStart"/>
      <w:r w:rsidRPr="00EE0539">
        <w:rPr>
          <w:rFonts w:ascii="Arial" w:hAnsi="Arial" w:cs="Arial"/>
          <w:sz w:val="20"/>
          <w:szCs w:val="20"/>
        </w:rPr>
        <w:t>eDossier</w:t>
      </w:r>
      <w:proofErr w:type="spellEnd"/>
      <w:r w:rsidRPr="00EE0539">
        <w:rPr>
          <w:rFonts w:ascii="Arial" w:hAnsi="Arial" w:cs="Arial"/>
          <w:sz w:val="20"/>
          <w:szCs w:val="20"/>
        </w:rPr>
        <w:t xml:space="preserve"> and </w:t>
      </w:r>
      <w:proofErr w:type="spellStart"/>
      <w:r w:rsidRPr="00EE0539">
        <w:rPr>
          <w:rFonts w:ascii="Arial" w:hAnsi="Arial" w:cs="Arial"/>
          <w:sz w:val="20"/>
          <w:szCs w:val="20"/>
        </w:rPr>
        <w:t>ePCT</w:t>
      </w:r>
      <w:proofErr w:type="spellEnd"/>
      <w:r w:rsidRPr="00EE0539">
        <w:rPr>
          <w:rFonts w:ascii="Arial" w:hAnsi="Arial" w:cs="Arial"/>
          <w:sz w:val="20"/>
          <w:szCs w:val="20"/>
        </w:rPr>
        <w:t xml:space="preserve"> projects. </w:t>
      </w:r>
      <w:r w:rsidRPr="00F6583F">
        <w:rPr>
          <w:rFonts w:ascii="Arial" w:hAnsi="Arial" w:cs="Arial"/>
          <w:sz w:val="20"/>
          <w:szCs w:val="20"/>
        </w:rPr>
        <w:t xml:space="preserve"> </w:t>
      </w:r>
      <w:r w:rsidRPr="00EE0539">
        <w:rPr>
          <w:rFonts w:ascii="Arial" w:hAnsi="Arial" w:cs="Arial"/>
          <w:sz w:val="20"/>
          <w:szCs w:val="20"/>
        </w:rPr>
        <w:t xml:space="preserve">The QSD reflects the share of the time spent delivering new functionality in the release (i.e. work) out of the total time spent (i.e. work + rework). Rework is the time spent correcting defective work that was detected in the production environment.  </w:t>
      </w:r>
    </w:p>
    <w:p w14:paraId="1238480D" w14:textId="77777777" w:rsidR="001A07FB" w:rsidRPr="00EE0539" w:rsidRDefault="001A07FB" w:rsidP="005A1F7F">
      <w:pPr>
        <w:jc w:val="both"/>
        <w:rPr>
          <w:rFonts w:ascii="Arial" w:hAnsi="Arial" w:cs="Arial"/>
          <w:sz w:val="20"/>
          <w:szCs w:val="20"/>
        </w:rPr>
      </w:pPr>
    </w:p>
    <w:p w14:paraId="1430D5EB"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lastRenderedPageBreak/>
        <w:t>Under</w:t>
      </w:r>
      <w:r w:rsidRPr="00EE0539">
        <w:rPr>
          <w:rFonts w:ascii="Arial" w:hAnsi="Arial" w:cs="Arial"/>
          <w:sz w:val="20"/>
          <w:szCs w:val="20"/>
        </w:rPr>
        <w:t xml:space="preserve"> this approach, development outputs that contain low levels of rework are deemed high quality as it reflects the extent of value added to the product through the delivery of new features. </w:t>
      </w:r>
    </w:p>
    <w:p w14:paraId="308B5EE1" w14:textId="77777777" w:rsidR="001A07FB" w:rsidRPr="00EE0539" w:rsidRDefault="001A07FB" w:rsidP="005A1F7F">
      <w:pPr>
        <w:jc w:val="both"/>
        <w:rPr>
          <w:rFonts w:ascii="Arial" w:hAnsi="Arial" w:cs="Arial"/>
          <w:sz w:val="20"/>
          <w:szCs w:val="20"/>
        </w:rPr>
      </w:pPr>
    </w:p>
    <w:p w14:paraId="6DC3B4A7"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QSD is defined as:</w:t>
      </w:r>
    </w:p>
    <w:p w14:paraId="07F65F7C" w14:textId="77777777" w:rsidR="001A07FB" w:rsidRDefault="001A07FB" w:rsidP="005A1F7F">
      <w:pPr>
        <w:pStyle w:val="BodyText2"/>
        <w:spacing w:after="0" w:line="240" w:lineRule="auto"/>
        <w:jc w:val="both"/>
        <w:rPr>
          <w:rFonts w:ascii="Arial" w:hAnsi="Arial" w:cs="Arial"/>
          <w:sz w:val="20"/>
          <w:szCs w:val="20"/>
        </w:rPr>
      </w:pPr>
    </w:p>
    <w:p w14:paraId="11B9D26B" w14:textId="77777777" w:rsidR="001A07FB" w:rsidRDefault="001A07FB" w:rsidP="005A1F7F">
      <w:pPr>
        <w:pStyle w:val="BodyText2"/>
        <w:spacing w:after="0" w:line="240" w:lineRule="auto"/>
        <w:jc w:val="center"/>
        <w:rPr>
          <w:rFonts w:ascii="Arial" w:hAnsi="Arial" w:cs="Arial"/>
          <w:sz w:val="20"/>
          <w:szCs w:val="20"/>
        </w:rPr>
      </w:pPr>
      <w:r>
        <w:rPr>
          <w:noProof/>
          <w:lang w:eastAsia="en-US"/>
        </w:rPr>
        <w:drawing>
          <wp:inline distT="0" distB="0" distL="0" distR="0" wp14:anchorId="7362B8C7" wp14:editId="2D5796F1">
            <wp:extent cx="3267075"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14:paraId="20CA1975" w14:textId="77777777" w:rsidR="001A07FB" w:rsidRPr="00EE0539" w:rsidRDefault="001A07FB" w:rsidP="005A1F7F">
      <w:pPr>
        <w:pStyle w:val="BodyText2"/>
        <w:spacing w:after="0" w:line="240" w:lineRule="auto"/>
        <w:jc w:val="both"/>
        <w:rPr>
          <w:rFonts w:ascii="Arial" w:hAnsi="Arial" w:cs="Arial"/>
          <w:sz w:val="20"/>
          <w:szCs w:val="20"/>
        </w:rPr>
      </w:pPr>
    </w:p>
    <w:p w14:paraId="043F5508"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In 2014, the quality of major releases, as defined by the QSD, was 94.3</w:t>
      </w:r>
      <w:r>
        <w:rPr>
          <w:rFonts w:ascii="Arial" w:hAnsi="Arial" w:cs="Arial"/>
          <w:sz w:val="20"/>
          <w:szCs w:val="20"/>
        </w:rPr>
        <w:t xml:space="preserve"> per cent</w:t>
      </w:r>
      <w:r w:rsidRPr="00EE0539">
        <w:rPr>
          <w:rFonts w:ascii="Arial" w:hAnsi="Arial" w:cs="Arial"/>
          <w:sz w:val="20"/>
          <w:szCs w:val="20"/>
        </w:rPr>
        <w:t xml:space="preserve">. This share is nearly five percentage points higher than </w:t>
      </w:r>
      <w:r>
        <w:rPr>
          <w:rFonts w:ascii="Arial" w:hAnsi="Arial" w:cs="Arial"/>
          <w:sz w:val="20"/>
          <w:szCs w:val="20"/>
        </w:rPr>
        <w:t>in</w:t>
      </w:r>
      <w:r w:rsidRPr="00EE0539">
        <w:rPr>
          <w:rFonts w:ascii="Arial" w:hAnsi="Arial" w:cs="Arial"/>
          <w:sz w:val="20"/>
          <w:szCs w:val="20"/>
        </w:rPr>
        <w:t xml:space="preserve"> 2013.</w:t>
      </w:r>
    </w:p>
    <w:p w14:paraId="0CADB7E0" w14:textId="77777777" w:rsidR="001A07FB" w:rsidRDefault="001A07FB" w:rsidP="005A1F7F"/>
    <w:p w14:paraId="7F73C70A" w14:textId="77777777" w:rsidR="001A07FB" w:rsidRDefault="001A07FB" w:rsidP="005A1F7F">
      <w:pPr>
        <w:jc w:val="center"/>
        <w:rPr>
          <w:rFonts w:ascii="Arial" w:hAnsi="Arial" w:cs="Arial"/>
          <w:b/>
          <w:sz w:val="20"/>
        </w:rPr>
      </w:pPr>
    </w:p>
    <w:p w14:paraId="17A7D374" w14:textId="77777777" w:rsidR="001A07FB" w:rsidRPr="000D2666" w:rsidRDefault="001A07FB" w:rsidP="000D2666">
      <w:pPr>
        <w:keepNext/>
        <w:keepLines/>
        <w:jc w:val="center"/>
        <w:rPr>
          <w:rFonts w:ascii="Arial" w:hAnsi="Arial" w:cs="Arial"/>
          <w:b/>
          <w:sz w:val="18"/>
        </w:rPr>
      </w:pPr>
      <w:r w:rsidRPr="000D2666">
        <w:rPr>
          <w:rFonts w:ascii="Arial" w:hAnsi="Arial" w:cs="Arial"/>
          <w:b/>
          <w:sz w:val="18"/>
        </w:rPr>
        <w:t>Quality of Software Development</w:t>
      </w:r>
    </w:p>
    <w:p w14:paraId="1C67D68B" w14:textId="77777777" w:rsidR="001A07FB" w:rsidRDefault="001A07FB" w:rsidP="00F02482">
      <w:pPr>
        <w:keepNext/>
        <w:keepLines/>
        <w:jc w:val="center"/>
      </w:pPr>
      <w:r>
        <w:rPr>
          <w:noProof/>
          <w:lang w:eastAsia="en-US"/>
        </w:rPr>
        <w:drawing>
          <wp:inline distT="0" distB="0" distL="0" distR="0" wp14:anchorId="14465D91" wp14:editId="0A938AEA">
            <wp:extent cx="4791075" cy="2820112"/>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800846" cy="2825864"/>
                    </a:xfrm>
                    <a:prstGeom prst="rect">
                      <a:avLst/>
                    </a:prstGeom>
                    <a:noFill/>
                    <a:ln>
                      <a:noFill/>
                    </a:ln>
                  </pic:spPr>
                </pic:pic>
              </a:graphicData>
            </a:graphic>
          </wp:inline>
        </w:drawing>
      </w:r>
    </w:p>
    <w:p w14:paraId="569E5E53" w14:textId="77777777" w:rsidR="001A07FB" w:rsidRDefault="001A07FB" w:rsidP="000D2666">
      <w:pPr>
        <w:keepNext/>
        <w:keepLines/>
      </w:pPr>
    </w:p>
    <w:p w14:paraId="1495691A" w14:textId="77777777" w:rsidR="001A07FB" w:rsidRPr="004853B3" w:rsidRDefault="001A07FB" w:rsidP="005A1F7F">
      <w:pPr>
        <w:rPr>
          <w:rFonts w:ascii="Arial" w:hAnsi="Arial" w:cs="Arial"/>
          <w:i/>
          <w:sz w:val="20"/>
        </w:rPr>
      </w:pPr>
      <w:r w:rsidRPr="004853B3">
        <w:rPr>
          <w:rFonts w:ascii="Arial" w:hAnsi="Arial" w:cs="Arial"/>
          <w:i/>
          <w:sz w:val="20"/>
        </w:rPr>
        <w:t>Information systems service levels</w:t>
      </w:r>
    </w:p>
    <w:p w14:paraId="42EDC0D8" w14:textId="77777777" w:rsidR="001A07FB" w:rsidRDefault="001A07FB" w:rsidP="005A1F7F">
      <w:pPr>
        <w:pStyle w:val="BodyText2"/>
        <w:spacing w:after="0" w:line="240" w:lineRule="auto"/>
        <w:jc w:val="both"/>
        <w:rPr>
          <w:rFonts w:cs="Arial"/>
        </w:rPr>
      </w:pPr>
    </w:p>
    <w:p w14:paraId="360BF35D" w14:textId="77777777" w:rsidR="001A07FB" w:rsidRPr="00EE0539" w:rsidRDefault="001A07FB" w:rsidP="00B66A4A">
      <w:pPr>
        <w:numPr>
          <w:ilvl w:val="0"/>
          <w:numId w:val="41"/>
        </w:numPr>
        <w:rPr>
          <w:rFonts w:ascii="Arial" w:eastAsia="Times New Roman" w:hAnsi="Arial" w:cs="Arial"/>
          <w:color w:val="000000"/>
          <w:sz w:val="20"/>
          <w:szCs w:val="20"/>
          <w:lang w:val="en-GB" w:eastAsia="en-GB"/>
        </w:rPr>
      </w:pPr>
      <w:r w:rsidRPr="00EE0539">
        <w:rPr>
          <w:rFonts w:ascii="Arial" w:hAnsi="Arial"/>
          <w:sz w:val="20"/>
          <w:lang w:val="en-GB"/>
        </w:rPr>
        <w:t>The</w:t>
      </w:r>
      <w:r w:rsidRPr="00EE0539">
        <w:rPr>
          <w:rFonts w:ascii="Arial" w:hAnsi="Arial" w:cs="Arial"/>
          <w:sz w:val="20"/>
          <w:szCs w:val="20"/>
        </w:rPr>
        <w:t xml:space="preserve"> performance indicator entitled information systems service levels (ISSL) </w:t>
      </w:r>
      <w:r w:rsidRPr="00EE0539">
        <w:rPr>
          <w:rFonts w:ascii="Arial" w:eastAsia="Times New Roman" w:hAnsi="Arial" w:cs="Arial"/>
          <w:color w:val="000000"/>
          <w:sz w:val="20"/>
          <w:szCs w:val="20"/>
          <w:lang w:val="en-GB" w:eastAsia="en-GB"/>
        </w:rPr>
        <w:t>reflects the performance of the service provided by the PCT information systems service to users, based on its ability to meet agreed targets.</w:t>
      </w:r>
    </w:p>
    <w:p w14:paraId="038408E9" w14:textId="77777777" w:rsidR="001A07FB" w:rsidRPr="00EE0539" w:rsidRDefault="001A07FB" w:rsidP="005A1F7F">
      <w:pPr>
        <w:pStyle w:val="BodyText2"/>
        <w:spacing w:after="0" w:line="240" w:lineRule="auto"/>
        <w:jc w:val="both"/>
        <w:rPr>
          <w:rFonts w:ascii="Arial" w:hAnsi="Arial" w:cs="Arial"/>
          <w:sz w:val="20"/>
          <w:szCs w:val="20"/>
        </w:rPr>
      </w:pPr>
    </w:p>
    <w:p w14:paraId="7B56891D" w14:textId="77777777" w:rsidR="001A07FB" w:rsidRPr="00EE0539" w:rsidRDefault="001A07FB" w:rsidP="00B66A4A">
      <w:pPr>
        <w:numPr>
          <w:ilvl w:val="0"/>
          <w:numId w:val="41"/>
        </w:numPr>
        <w:rPr>
          <w:rFonts w:ascii="Arial" w:eastAsia="Times New Roman" w:hAnsi="Arial" w:cs="Arial"/>
          <w:color w:val="000000"/>
          <w:sz w:val="20"/>
          <w:szCs w:val="20"/>
          <w:lang w:val="en-GB" w:eastAsia="en-GB"/>
        </w:rPr>
      </w:pPr>
      <w:r w:rsidRPr="00EE0539">
        <w:rPr>
          <w:rFonts w:ascii="Arial" w:hAnsi="Arial"/>
          <w:sz w:val="20"/>
          <w:lang w:val="en-GB"/>
        </w:rPr>
        <w:t>This</w:t>
      </w:r>
      <w:r w:rsidRPr="00EE0539">
        <w:rPr>
          <w:rFonts w:ascii="Arial" w:eastAsia="Times New Roman" w:hAnsi="Arial" w:cs="Arial"/>
          <w:color w:val="000000"/>
          <w:sz w:val="20"/>
          <w:szCs w:val="20"/>
          <w:lang w:val="en-GB" w:eastAsia="en-GB"/>
        </w:rPr>
        <w:t xml:space="preserve"> composite indicator is calculated using the weighted average of five target-based performance indicators</w:t>
      </w:r>
      <w:r w:rsidRPr="00EE0539">
        <w:rPr>
          <w:rStyle w:val="FootnoteReference"/>
          <w:sz w:val="20"/>
          <w:szCs w:val="20"/>
        </w:rPr>
        <w:footnoteReference w:id="26"/>
      </w:r>
      <w:r w:rsidRPr="00EE0539">
        <w:rPr>
          <w:rFonts w:ascii="Arial" w:eastAsia="Times New Roman" w:hAnsi="Arial" w:cs="Arial"/>
          <w:color w:val="000000"/>
          <w:sz w:val="20"/>
          <w:szCs w:val="20"/>
          <w:lang w:val="en-GB" w:eastAsia="en-GB"/>
        </w:rPr>
        <w:t xml:space="preserve">.  Each indicator is expressed as the percentage of the target actually attained.  </w:t>
      </w:r>
    </w:p>
    <w:p w14:paraId="41D71FC3" w14:textId="77777777" w:rsidR="001A07FB" w:rsidRPr="00EE0539" w:rsidRDefault="001A07FB" w:rsidP="005A1F7F">
      <w:pPr>
        <w:autoSpaceDE w:val="0"/>
        <w:autoSpaceDN w:val="0"/>
        <w:adjustRightInd w:val="0"/>
        <w:jc w:val="both"/>
        <w:rPr>
          <w:rFonts w:ascii="Arial" w:eastAsia="Times New Roman" w:hAnsi="Arial" w:cs="Arial"/>
          <w:color w:val="000000"/>
          <w:sz w:val="20"/>
          <w:szCs w:val="20"/>
          <w:lang w:val="en-GB" w:eastAsia="en-GB"/>
        </w:rPr>
      </w:pPr>
      <w:r w:rsidRPr="00EE0539">
        <w:rPr>
          <w:rFonts w:ascii="Arial" w:eastAsia="Times New Roman" w:hAnsi="Arial" w:cs="Arial"/>
          <w:color w:val="000000"/>
          <w:sz w:val="20"/>
          <w:szCs w:val="20"/>
          <w:lang w:val="en-GB" w:eastAsia="en-GB"/>
        </w:rPr>
        <w:t xml:space="preserve"> </w:t>
      </w:r>
    </w:p>
    <w:p w14:paraId="74EA49D6" w14:textId="77777777" w:rsidR="001A07FB" w:rsidRPr="00EE0539" w:rsidRDefault="001A07FB" w:rsidP="00B66A4A">
      <w:pPr>
        <w:numPr>
          <w:ilvl w:val="0"/>
          <w:numId w:val="41"/>
        </w:numPr>
        <w:rPr>
          <w:rFonts w:ascii="Arial" w:hAnsi="Arial" w:cs="Arial"/>
          <w:sz w:val="20"/>
          <w:szCs w:val="20"/>
        </w:rPr>
      </w:pPr>
      <w:r w:rsidRPr="00EE0539">
        <w:rPr>
          <w:rFonts w:ascii="Arial" w:hAnsi="Arial" w:cs="Arial"/>
          <w:sz w:val="20"/>
          <w:szCs w:val="20"/>
        </w:rPr>
        <w:t>In 2014, overall service level was 95.3</w:t>
      </w:r>
      <w:r>
        <w:rPr>
          <w:rFonts w:ascii="Arial" w:hAnsi="Arial" w:cs="Arial"/>
          <w:sz w:val="20"/>
          <w:szCs w:val="20"/>
        </w:rPr>
        <w:t xml:space="preserve"> per cent</w:t>
      </w:r>
      <w:r w:rsidRPr="00EE0539">
        <w:rPr>
          <w:rFonts w:ascii="Arial" w:hAnsi="Arial" w:cs="Arial"/>
          <w:sz w:val="20"/>
          <w:szCs w:val="20"/>
        </w:rPr>
        <w:t xml:space="preserve"> towards meeting the target performance levels. </w:t>
      </w:r>
    </w:p>
    <w:p w14:paraId="5B1F9A51" w14:textId="77777777" w:rsidR="001A07FB" w:rsidRDefault="001A07FB" w:rsidP="005A1F7F">
      <w:pPr>
        <w:autoSpaceDE w:val="0"/>
        <w:autoSpaceDN w:val="0"/>
        <w:adjustRightInd w:val="0"/>
        <w:jc w:val="both"/>
        <w:rPr>
          <w:rFonts w:cs="Arial"/>
        </w:rPr>
      </w:pPr>
    </w:p>
    <w:p w14:paraId="666FEDC4" w14:textId="77777777" w:rsidR="001A07FB" w:rsidRDefault="001A07FB" w:rsidP="005A1F7F">
      <w:pPr>
        <w:jc w:val="center"/>
        <w:rPr>
          <w:rFonts w:ascii="Arial" w:hAnsi="Arial" w:cs="Arial"/>
          <w:b/>
          <w:sz w:val="20"/>
        </w:rPr>
      </w:pPr>
    </w:p>
    <w:p w14:paraId="6F0157F5" w14:textId="77777777" w:rsidR="001A07FB" w:rsidRPr="000E0146" w:rsidRDefault="001A07FB" w:rsidP="005A1F7F">
      <w:pPr>
        <w:jc w:val="center"/>
        <w:rPr>
          <w:rFonts w:ascii="Arial" w:hAnsi="Arial" w:cs="Arial"/>
          <w:b/>
          <w:sz w:val="20"/>
        </w:rPr>
      </w:pPr>
      <w:r>
        <w:rPr>
          <w:rFonts w:ascii="Arial" w:hAnsi="Arial" w:cs="Arial"/>
          <w:b/>
          <w:sz w:val="20"/>
        </w:rPr>
        <w:br w:type="page"/>
      </w:r>
      <w:r w:rsidRPr="000E0146">
        <w:rPr>
          <w:rFonts w:ascii="Arial" w:hAnsi="Arial" w:cs="Arial"/>
          <w:b/>
          <w:sz w:val="20"/>
        </w:rPr>
        <w:lastRenderedPageBreak/>
        <w:t xml:space="preserve">Information </w:t>
      </w:r>
      <w:r>
        <w:rPr>
          <w:rFonts w:ascii="Arial" w:hAnsi="Arial" w:cs="Arial"/>
          <w:b/>
          <w:sz w:val="20"/>
        </w:rPr>
        <w:t>S</w:t>
      </w:r>
      <w:r w:rsidRPr="000E0146">
        <w:rPr>
          <w:rFonts w:ascii="Arial" w:hAnsi="Arial" w:cs="Arial"/>
          <w:b/>
          <w:sz w:val="20"/>
        </w:rPr>
        <w:t xml:space="preserve">ystems </w:t>
      </w:r>
      <w:r>
        <w:rPr>
          <w:rFonts w:ascii="Arial" w:hAnsi="Arial" w:cs="Arial"/>
          <w:b/>
          <w:sz w:val="20"/>
        </w:rPr>
        <w:t>S</w:t>
      </w:r>
      <w:r w:rsidRPr="000E0146">
        <w:rPr>
          <w:rFonts w:ascii="Arial" w:hAnsi="Arial" w:cs="Arial"/>
          <w:b/>
          <w:sz w:val="20"/>
        </w:rPr>
        <w:t xml:space="preserve">ervice </w:t>
      </w:r>
      <w:r>
        <w:rPr>
          <w:rFonts w:ascii="Arial" w:hAnsi="Arial" w:cs="Arial"/>
          <w:b/>
          <w:sz w:val="20"/>
        </w:rPr>
        <w:t>Le</w:t>
      </w:r>
      <w:r w:rsidRPr="000E0146">
        <w:rPr>
          <w:rFonts w:ascii="Arial" w:hAnsi="Arial" w:cs="Arial"/>
          <w:b/>
          <w:sz w:val="20"/>
        </w:rPr>
        <w:t>vels</w:t>
      </w:r>
    </w:p>
    <w:p w14:paraId="21985774" w14:textId="77777777" w:rsidR="001A07FB" w:rsidRDefault="001A07FB" w:rsidP="005A1F7F">
      <w:pPr>
        <w:autoSpaceDE w:val="0"/>
        <w:autoSpaceDN w:val="0"/>
        <w:adjustRightInd w:val="0"/>
        <w:rPr>
          <w:rFonts w:eastAsia="Times New Roman"/>
          <w:color w:val="000000"/>
          <w:lang w:val="en-GB"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1A07FB" w:rsidRPr="00EE0539" w14:paraId="0B864AF5" w14:textId="77777777" w:rsidTr="005A1F7F">
        <w:trPr>
          <w:jc w:val="center"/>
        </w:trPr>
        <w:tc>
          <w:tcPr>
            <w:tcW w:w="534" w:type="dxa"/>
            <w:shd w:val="clear" w:color="auto" w:fill="auto"/>
            <w:tcMar>
              <w:top w:w="85" w:type="dxa"/>
              <w:bottom w:w="85" w:type="dxa"/>
            </w:tcMar>
          </w:tcPr>
          <w:p w14:paraId="6C5FC3F2"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Id</w:t>
            </w:r>
          </w:p>
        </w:tc>
        <w:tc>
          <w:tcPr>
            <w:tcW w:w="2534" w:type="dxa"/>
            <w:shd w:val="clear" w:color="auto" w:fill="auto"/>
            <w:tcMar>
              <w:top w:w="85" w:type="dxa"/>
              <w:bottom w:w="85" w:type="dxa"/>
            </w:tcMar>
          </w:tcPr>
          <w:p w14:paraId="30ED0DB5"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 xml:space="preserve">Performance Indicator </w:t>
            </w:r>
          </w:p>
          <w:p w14:paraId="113396B9" w14:textId="77777777" w:rsidR="001A07FB" w:rsidRPr="00EE0539" w:rsidRDefault="001A07FB" w:rsidP="005A1F7F">
            <w:pPr>
              <w:autoSpaceDE w:val="0"/>
              <w:autoSpaceDN w:val="0"/>
              <w:adjustRightInd w:val="0"/>
              <w:jc w:val="center"/>
              <w:rPr>
                <w:rFonts w:ascii="Arial" w:eastAsia="Times New Roman" w:hAnsi="Arial" w:cs="Arial"/>
                <w:b/>
                <w:i/>
                <w:color w:val="000000"/>
                <w:sz w:val="20"/>
                <w:szCs w:val="20"/>
                <w:lang w:val="en-GB" w:eastAsia="en-GB"/>
              </w:rPr>
            </w:pPr>
            <w:r w:rsidRPr="00EE0539">
              <w:rPr>
                <w:rFonts w:ascii="Arial" w:eastAsia="Times New Roman" w:hAnsi="Arial" w:cs="Arial"/>
                <w:b/>
                <w:i/>
                <w:color w:val="000000"/>
                <w:sz w:val="20"/>
                <w:szCs w:val="20"/>
                <w:lang w:val="en-GB" w:eastAsia="en-GB"/>
              </w:rPr>
              <w:t>Short description</w:t>
            </w:r>
          </w:p>
        </w:tc>
        <w:tc>
          <w:tcPr>
            <w:tcW w:w="2002" w:type="dxa"/>
            <w:shd w:val="clear" w:color="auto" w:fill="auto"/>
            <w:tcMar>
              <w:top w:w="85" w:type="dxa"/>
              <w:bottom w:w="85" w:type="dxa"/>
            </w:tcMar>
          </w:tcPr>
          <w:p w14:paraId="0329F301"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Target</w:t>
            </w:r>
          </w:p>
        </w:tc>
        <w:tc>
          <w:tcPr>
            <w:tcW w:w="1984" w:type="dxa"/>
            <w:shd w:val="clear" w:color="auto" w:fill="auto"/>
            <w:tcMar>
              <w:top w:w="85" w:type="dxa"/>
              <w:bottom w:w="85" w:type="dxa"/>
            </w:tcMar>
          </w:tcPr>
          <w:p w14:paraId="7B5C1EE3"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Conditions</w:t>
            </w:r>
          </w:p>
        </w:tc>
        <w:tc>
          <w:tcPr>
            <w:tcW w:w="1134" w:type="dxa"/>
            <w:tcMar>
              <w:top w:w="85" w:type="dxa"/>
              <w:bottom w:w="85" w:type="dxa"/>
            </w:tcMar>
          </w:tcPr>
          <w:p w14:paraId="1819ED25"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Pr>
                <w:rFonts w:ascii="Arial" w:hAnsi="Arial" w:cs="Arial"/>
                <w:b/>
                <w:sz w:val="20"/>
                <w:szCs w:val="20"/>
              </w:rPr>
              <w:t xml:space="preserve">2013 </w:t>
            </w:r>
            <w:r w:rsidRPr="009915C4">
              <w:rPr>
                <w:rFonts w:ascii="Arial" w:hAnsi="Arial" w:cs="Arial"/>
                <w:b/>
                <w:sz w:val="20"/>
                <w:szCs w:val="20"/>
              </w:rPr>
              <w:t>Result</w:t>
            </w:r>
          </w:p>
        </w:tc>
        <w:tc>
          <w:tcPr>
            <w:tcW w:w="1101" w:type="dxa"/>
            <w:tcMar>
              <w:top w:w="85" w:type="dxa"/>
              <w:bottom w:w="85" w:type="dxa"/>
            </w:tcMar>
          </w:tcPr>
          <w:p w14:paraId="35AB6674"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Pr>
                <w:rFonts w:ascii="Arial" w:hAnsi="Arial" w:cs="Arial"/>
                <w:b/>
                <w:sz w:val="20"/>
                <w:szCs w:val="20"/>
              </w:rPr>
              <w:t xml:space="preserve">2014 </w:t>
            </w:r>
            <w:r w:rsidRPr="009915C4">
              <w:rPr>
                <w:rFonts w:ascii="Arial" w:hAnsi="Arial" w:cs="Arial"/>
                <w:b/>
                <w:sz w:val="20"/>
                <w:szCs w:val="20"/>
              </w:rPr>
              <w:t>Result</w:t>
            </w:r>
          </w:p>
        </w:tc>
      </w:tr>
      <w:tr w:rsidR="001A07FB" w14:paraId="6687D6C0" w14:textId="77777777" w:rsidTr="005A1F7F">
        <w:trPr>
          <w:jc w:val="center"/>
        </w:trPr>
        <w:tc>
          <w:tcPr>
            <w:tcW w:w="534" w:type="dxa"/>
            <w:shd w:val="clear" w:color="auto" w:fill="auto"/>
            <w:tcMar>
              <w:top w:w="85" w:type="dxa"/>
              <w:bottom w:w="85" w:type="dxa"/>
            </w:tcMar>
          </w:tcPr>
          <w:p w14:paraId="39F6522D"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 xml:space="preserve">(1) </w:t>
            </w:r>
          </w:p>
        </w:tc>
        <w:tc>
          <w:tcPr>
            <w:tcW w:w="2534" w:type="dxa"/>
            <w:shd w:val="clear" w:color="auto" w:fill="auto"/>
            <w:tcMar>
              <w:top w:w="85" w:type="dxa"/>
              <w:bottom w:w="85" w:type="dxa"/>
            </w:tcMar>
          </w:tcPr>
          <w:p w14:paraId="39BB5287"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Incident resolution time</w:t>
            </w:r>
          </w:p>
          <w:p w14:paraId="6259D823" w14:textId="77777777" w:rsidR="001A07FB" w:rsidRPr="00EE0539" w:rsidRDefault="001A07FB" w:rsidP="005A1F7F">
            <w:pPr>
              <w:rPr>
                <w:rFonts w:ascii="Arial" w:hAnsi="Arial" w:cs="Arial"/>
                <w:i/>
                <w:sz w:val="16"/>
                <w:szCs w:val="16"/>
                <w:lang w:val="en-GB" w:eastAsia="en-GB"/>
              </w:rPr>
            </w:pPr>
            <w:r w:rsidRPr="00EE0539">
              <w:rPr>
                <w:rFonts w:ascii="Arial" w:hAnsi="Arial" w:cs="Arial"/>
                <w:i/>
                <w:sz w:val="16"/>
                <w:szCs w:val="16"/>
                <w:lang w:val="en-GB" w:eastAsia="en-GB"/>
              </w:rPr>
              <w:t xml:space="preserve">Working time (7am-7pm on WIPO working days) between a ticket being created and resolved. </w:t>
            </w:r>
          </w:p>
        </w:tc>
        <w:tc>
          <w:tcPr>
            <w:tcW w:w="2002" w:type="dxa"/>
            <w:shd w:val="clear" w:color="auto" w:fill="auto"/>
            <w:tcMar>
              <w:top w:w="85" w:type="dxa"/>
              <w:bottom w:w="85" w:type="dxa"/>
            </w:tcMar>
          </w:tcPr>
          <w:p w14:paraId="2BC5A16A"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1: 4 hours</w:t>
            </w:r>
          </w:p>
          <w:p w14:paraId="57CE2C29"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2: 2 days</w:t>
            </w:r>
          </w:p>
          <w:p w14:paraId="1B80F3C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3: 5 days</w:t>
            </w:r>
          </w:p>
          <w:p w14:paraId="3D147BF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4: 10 days</w:t>
            </w:r>
          </w:p>
        </w:tc>
        <w:tc>
          <w:tcPr>
            <w:tcW w:w="1984" w:type="dxa"/>
            <w:shd w:val="clear" w:color="auto" w:fill="auto"/>
            <w:tcMar>
              <w:top w:w="85" w:type="dxa"/>
              <w:bottom w:w="85" w:type="dxa"/>
            </w:tcMar>
          </w:tcPr>
          <w:p w14:paraId="55E5BEA7"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Production and Support tickets resolved by the support team</w:t>
            </w:r>
          </w:p>
        </w:tc>
        <w:tc>
          <w:tcPr>
            <w:tcW w:w="1134" w:type="dxa"/>
            <w:tcMar>
              <w:top w:w="85" w:type="dxa"/>
              <w:bottom w:w="85" w:type="dxa"/>
            </w:tcMar>
          </w:tcPr>
          <w:p w14:paraId="69CFDE6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85.5%</w:t>
            </w:r>
          </w:p>
        </w:tc>
        <w:tc>
          <w:tcPr>
            <w:tcW w:w="1101" w:type="dxa"/>
            <w:tcMar>
              <w:top w:w="85" w:type="dxa"/>
              <w:bottom w:w="85" w:type="dxa"/>
            </w:tcMar>
          </w:tcPr>
          <w:p w14:paraId="669468DD"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88.8%</w:t>
            </w:r>
          </w:p>
        </w:tc>
      </w:tr>
      <w:tr w:rsidR="001A07FB" w14:paraId="5C3CAF7E" w14:textId="77777777" w:rsidTr="005A1F7F">
        <w:trPr>
          <w:jc w:val="center"/>
        </w:trPr>
        <w:tc>
          <w:tcPr>
            <w:tcW w:w="534" w:type="dxa"/>
            <w:shd w:val="clear" w:color="auto" w:fill="auto"/>
            <w:tcMar>
              <w:top w:w="85" w:type="dxa"/>
              <w:bottom w:w="85" w:type="dxa"/>
            </w:tcMar>
          </w:tcPr>
          <w:p w14:paraId="0446763F"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 xml:space="preserve">(2) </w:t>
            </w:r>
          </w:p>
        </w:tc>
        <w:tc>
          <w:tcPr>
            <w:tcW w:w="2534" w:type="dxa"/>
            <w:shd w:val="clear" w:color="auto" w:fill="auto"/>
            <w:tcMar>
              <w:top w:w="85" w:type="dxa"/>
              <w:bottom w:w="85" w:type="dxa"/>
            </w:tcMar>
          </w:tcPr>
          <w:p w14:paraId="1E32F0FB"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Document load time</w:t>
            </w:r>
          </w:p>
          <w:p w14:paraId="23539976" w14:textId="77777777" w:rsidR="001A07FB" w:rsidRPr="00EE0539" w:rsidRDefault="001A07FB" w:rsidP="005A1F7F">
            <w:pPr>
              <w:rPr>
                <w:rFonts w:ascii="Arial" w:hAnsi="Arial" w:cs="Arial"/>
                <w:sz w:val="16"/>
                <w:szCs w:val="16"/>
                <w:lang w:val="en-GB" w:eastAsia="en-GB"/>
              </w:rPr>
            </w:pPr>
            <w:r w:rsidRPr="00EE0539">
              <w:rPr>
                <w:rFonts w:ascii="Arial" w:hAnsi="Arial" w:cs="Arial"/>
                <w:i/>
                <w:sz w:val="16"/>
                <w:szCs w:val="16"/>
                <w:lang w:val="en-GB" w:eastAsia="en-GB"/>
              </w:rPr>
              <w:t xml:space="preserve">elapsed time between receipt of document at IB and its availability in </w:t>
            </w:r>
            <w:proofErr w:type="spellStart"/>
            <w:r w:rsidRPr="00EE0539">
              <w:rPr>
                <w:rFonts w:ascii="Arial" w:hAnsi="Arial" w:cs="Arial"/>
                <w:i/>
                <w:sz w:val="16"/>
                <w:szCs w:val="16"/>
                <w:lang w:val="en-GB" w:eastAsia="en-GB"/>
              </w:rPr>
              <w:t>eDossier</w:t>
            </w:r>
            <w:proofErr w:type="spellEnd"/>
          </w:p>
        </w:tc>
        <w:tc>
          <w:tcPr>
            <w:tcW w:w="2002" w:type="dxa"/>
            <w:shd w:val="clear" w:color="auto" w:fill="auto"/>
            <w:tcMar>
              <w:top w:w="85" w:type="dxa"/>
              <w:bottom w:w="85" w:type="dxa"/>
            </w:tcMar>
          </w:tcPr>
          <w:p w14:paraId="59331A42"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8 hours</w:t>
            </w:r>
          </w:p>
        </w:tc>
        <w:tc>
          <w:tcPr>
            <w:tcW w:w="1984" w:type="dxa"/>
            <w:shd w:val="clear" w:color="auto" w:fill="auto"/>
            <w:tcMar>
              <w:top w:w="85" w:type="dxa"/>
              <w:bottom w:w="85" w:type="dxa"/>
            </w:tcMar>
          </w:tcPr>
          <w:p w14:paraId="1883406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Documents loaded by a semi or fully automated process</w:t>
            </w:r>
          </w:p>
        </w:tc>
        <w:tc>
          <w:tcPr>
            <w:tcW w:w="1134" w:type="dxa"/>
            <w:tcMar>
              <w:top w:w="85" w:type="dxa"/>
              <w:bottom w:w="85" w:type="dxa"/>
            </w:tcMar>
          </w:tcPr>
          <w:p w14:paraId="7E497A03"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80.0%</w:t>
            </w:r>
          </w:p>
        </w:tc>
        <w:tc>
          <w:tcPr>
            <w:tcW w:w="1101" w:type="dxa"/>
            <w:tcMar>
              <w:top w:w="85" w:type="dxa"/>
              <w:bottom w:w="85" w:type="dxa"/>
            </w:tcMar>
          </w:tcPr>
          <w:p w14:paraId="63DACECE"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88.2%</w:t>
            </w:r>
          </w:p>
        </w:tc>
      </w:tr>
      <w:tr w:rsidR="001A07FB" w14:paraId="134120FF" w14:textId="77777777" w:rsidTr="005A1F7F">
        <w:trPr>
          <w:jc w:val="center"/>
        </w:trPr>
        <w:tc>
          <w:tcPr>
            <w:tcW w:w="534" w:type="dxa"/>
            <w:shd w:val="clear" w:color="auto" w:fill="auto"/>
            <w:tcMar>
              <w:top w:w="85" w:type="dxa"/>
              <w:bottom w:w="85" w:type="dxa"/>
            </w:tcMar>
          </w:tcPr>
          <w:p w14:paraId="1F255BE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 xml:space="preserve">(3) </w:t>
            </w:r>
          </w:p>
        </w:tc>
        <w:tc>
          <w:tcPr>
            <w:tcW w:w="2534" w:type="dxa"/>
            <w:shd w:val="clear" w:color="auto" w:fill="auto"/>
            <w:tcMar>
              <w:top w:w="85" w:type="dxa"/>
              <w:bottom w:w="85" w:type="dxa"/>
            </w:tcMar>
          </w:tcPr>
          <w:p w14:paraId="774277D0"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Batch job processing success rate</w:t>
            </w:r>
          </w:p>
        </w:tc>
        <w:tc>
          <w:tcPr>
            <w:tcW w:w="2002" w:type="dxa"/>
            <w:shd w:val="clear" w:color="auto" w:fill="auto"/>
            <w:tcMar>
              <w:top w:w="85" w:type="dxa"/>
              <w:bottom w:w="85" w:type="dxa"/>
            </w:tcMar>
          </w:tcPr>
          <w:p w14:paraId="4BFB65CA"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100%</w:t>
            </w:r>
          </w:p>
        </w:tc>
        <w:tc>
          <w:tcPr>
            <w:tcW w:w="1984" w:type="dxa"/>
            <w:shd w:val="clear" w:color="auto" w:fill="auto"/>
            <w:tcMar>
              <w:top w:w="85" w:type="dxa"/>
              <w:bottom w:w="85" w:type="dxa"/>
            </w:tcMar>
          </w:tcPr>
          <w:p w14:paraId="067CE08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Batch jobs to be completed successfully by the close of business on the scheduled date</w:t>
            </w:r>
          </w:p>
        </w:tc>
        <w:tc>
          <w:tcPr>
            <w:tcW w:w="1134" w:type="dxa"/>
            <w:tcMar>
              <w:top w:w="85" w:type="dxa"/>
              <w:bottom w:w="85" w:type="dxa"/>
            </w:tcMar>
          </w:tcPr>
          <w:p w14:paraId="7FBF902F"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99.6%</w:t>
            </w:r>
          </w:p>
        </w:tc>
        <w:tc>
          <w:tcPr>
            <w:tcW w:w="1101" w:type="dxa"/>
            <w:tcMar>
              <w:top w:w="85" w:type="dxa"/>
              <w:bottom w:w="85" w:type="dxa"/>
            </w:tcMar>
          </w:tcPr>
          <w:p w14:paraId="730B4AC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99.5%</w:t>
            </w:r>
          </w:p>
        </w:tc>
      </w:tr>
      <w:tr w:rsidR="001A07FB" w14:paraId="083105A3" w14:textId="77777777" w:rsidTr="005A1F7F">
        <w:trPr>
          <w:jc w:val="center"/>
        </w:trPr>
        <w:tc>
          <w:tcPr>
            <w:tcW w:w="534" w:type="dxa"/>
            <w:shd w:val="clear" w:color="auto" w:fill="auto"/>
            <w:tcMar>
              <w:top w:w="85" w:type="dxa"/>
              <w:bottom w:w="85" w:type="dxa"/>
            </w:tcMar>
          </w:tcPr>
          <w:p w14:paraId="449B829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(4)</w:t>
            </w:r>
          </w:p>
        </w:tc>
        <w:tc>
          <w:tcPr>
            <w:tcW w:w="2534" w:type="dxa"/>
            <w:shd w:val="clear" w:color="auto" w:fill="auto"/>
            <w:tcMar>
              <w:top w:w="85" w:type="dxa"/>
              <w:bottom w:w="85" w:type="dxa"/>
            </w:tcMar>
          </w:tcPr>
          <w:p w14:paraId="1CEED924"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proofErr w:type="spellStart"/>
            <w:r w:rsidRPr="00EE0539">
              <w:rPr>
                <w:rFonts w:ascii="Arial" w:eastAsia="Times New Roman" w:hAnsi="Arial" w:cs="Arial"/>
                <w:color w:val="000000"/>
                <w:sz w:val="16"/>
                <w:szCs w:val="16"/>
                <w:lang w:val="en-GB" w:eastAsia="en-GB"/>
              </w:rPr>
              <w:t>eDossier</w:t>
            </w:r>
            <w:proofErr w:type="spellEnd"/>
            <w:r w:rsidRPr="00EE0539">
              <w:rPr>
                <w:rFonts w:ascii="Arial" w:eastAsia="Times New Roman" w:hAnsi="Arial" w:cs="Arial"/>
                <w:color w:val="000000"/>
                <w:sz w:val="16"/>
                <w:szCs w:val="16"/>
                <w:lang w:val="en-GB" w:eastAsia="en-GB"/>
              </w:rPr>
              <w:t xml:space="preserve"> system availability</w:t>
            </w:r>
          </w:p>
        </w:tc>
        <w:tc>
          <w:tcPr>
            <w:tcW w:w="2002" w:type="dxa"/>
            <w:shd w:val="clear" w:color="auto" w:fill="auto"/>
            <w:tcMar>
              <w:top w:w="85" w:type="dxa"/>
              <w:bottom w:w="85" w:type="dxa"/>
            </w:tcMar>
          </w:tcPr>
          <w:p w14:paraId="120D099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99%</w:t>
            </w:r>
          </w:p>
        </w:tc>
        <w:tc>
          <w:tcPr>
            <w:tcW w:w="1984" w:type="dxa"/>
            <w:shd w:val="clear" w:color="auto" w:fill="auto"/>
            <w:tcMar>
              <w:top w:w="85" w:type="dxa"/>
              <w:bottom w:w="85" w:type="dxa"/>
            </w:tcMar>
          </w:tcPr>
          <w:p w14:paraId="193541E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7am-7pm on working days</w:t>
            </w:r>
          </w:p>
        </w:tc>
        <w:tc>
          <w:tcPr>
            <w:tcW w:w="1134" w:type="dxa"/>
            <w:tcMar>
              <w:top w:w="85" w:type="dxa"/>
              <w:bottom w:w="85" w:type="dxa"/>
            </w:tcMar>
          </w:tcPr>
          <w:p w14:paraId="2B2D9A7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c>
          <w:tcPr>
            <w:tcW w:w="1101" w:type="dxa"/>
            <w:tcMar>
              <w:top w:w="85" w:type="dxa"/>
              <w:bottom w:w="85" w:type="dxa"/>
            </w:tcMar>
          </w:tcPr>
          <w:p w14:paraId="0F8BFB36"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r>
      <w:tr w:rsidR="001A07FB" w14:paraId="30B74EBC" w14:textId="77777777" w:rsidTr="005A1F7F">
        <w:trPr>
          <w:jc w:val="center"/>
        </w:trPr>
        <w:tc>
          <w:tcPr>
            <w:tcW w:w="534" w:type="dxa"/>
            <w:shd w:val="clear" w:color="auto" w:fill="auto"/>
            <w:tcMar>
              <w:top w:w="85" w:type="dxa"/>
              <w:bottom w:w="85" w:type="dxa"/>
            </w:tcMar>
          </w:tcPr>
          <w:p w14:paraId="5BB1E879"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 xml:space="preserve">(5) </w:t>
            </w:r>
          </w:p>
        </w:tc>
        <w:tc>
          <w:tcPr>
            <w:tcW w:w="2534" w:type="dxa"/>
            <w:shd w:val="clear" w:color="auto" w:fill="auto"/>
            <w:tcMar>
              <w:top w:w="85" w:type="dxa"/>
              <w:bottom w:w="85" w:type="dxa"/>
            </w:tcMar>
          </w:tcPr>
          <w:p w14:paraId="533054E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proofErr w:type="spellStart"/>
            <w:r w:rsidRPr="00EE0539">
              <w:rPr>
                <w:rFonts w:ascii="Arial" w:eastAsia="Times New Roman" w:hAnsi="Arial" w:cs="Arial"/>
                <w:color w:val="000000"/>
                <w:sz w:val="16"/>
                <w:szCs w:val="16"/>
                <w:lang w:val="en-GB" w:eastAsia="en-GB"/>
              </w:rPr>
              <w:t>ePCT</w:t>
            </w:r>
            <w:proofErr w:type="spellEnd"/>
            <w:r w:rsidRPr="00EE0539">
              <w:rPr>
                <w:rFonts w:ascii="Arial" w:eastAsia="Times New Roman" w:hAnsi="Arial" w:cs="Arial"/>
                <w:color w:val="000000"/>
                <w:sz w:val="16"/>
                <w:szCs w:val="16"/>
                <w:lang w:val="en-GB" w:eastAsia="en-GB"/>
              </w:rPr>
              <w:t xml:space="preserve"> system availability</w:t>
            </w:r>
          </w:p>
        </w:tc>
        <w:tc>
          <w:tcPr>
            <w:tcW w:w="2002" w:type="dxa"/>
            <w:shd w:val="clear" w:color="auto" w:fill="auto"/>
            <w:tcMar>
              <w:top w:w="85" w:type="dxa"/>
              <w:bottom w:w="85" w:type="dxa"/>
            </w:tcMar>
          </w:tcPr>
          <w:p w14:paraId="00351D4D"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99%</w:t>
            </w:r>
          </w:p>
        </w:tc>
        <w:tc>
          <w:tcPr>
            <w:tcW w:w="1984" w:type="dxa"/>
            <w:shd w:val="clear" w:color="auto" w:fill="auto"/>
            <w:tcMar>
              <w:top w:w="85" w:type="dxa"/>
              <w:bottom w:w="85" w:type="dxa"/>
            </w:tcMar>
          </w:tcPr>
          <w:p w14:paraId="10B1B31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24 hours</w:t>
            </w:r>
          </w:p>
        </w:tc>
        <w:tc>
          <w:tcPr>
            <w:tcW w:w="1134" w:type="dxa"/>
            <w:tcMar>
              <w:top w:w="85" w:type="dxa"/>
              <w:bottom w:w="85" w:type="dxa"/>
            </w:tcMar>
          </w:tcPr>
          <w:p w14:paraId="0C315CD2"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c>
          <w:tcPr>
            <w:tcW w:w="1101" w:type="dxa"/>
            <w:tcMar>
              <w:top w:w="85" w:type="dxa"/>
              <w:bottom w:w="85" w:type="dxa"/>
            </w:tcMar>
          </w:tcPr>
          <w:p w14:paraId="5CC29ABE"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r>
      <w:tr w:rsidR="001A07FB" w:rsidRPr="00171DDB" w14:paraId="16B200CB" w14:textId="77777777" w:rsidTr="005A1F7F">
        <w:trPr>
          <w:jc w:val="center"/>
        </w:trPr>
        <w:tc>
          <w:tcPr>
            <w:tcW w:w="534" w:type="dxa"/>
            <w:shd w:val="clear" w:color="auto" w:fill="auto"/>
            <w:tcMar>
              <w:top w:w="85" w:type="dxa"/>
              <w:bottom w:w="85" w:type="dxa"/>
            </w:tcMar>
          </w:tcPr>
          <w:p w14:paraId="03545AF1"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2534" w:type="dxa"/>
            <w:shd w:val="clear" w:color="auto" w:fill="auto"/>
            <w:tcMar>
              <w:top w:w="85" w:type="dxa"/>
              <w:bottom w:w="85" w:type="dxa"/>
            </w:tcMar>
          </w:tcPr>
          <w:p w14:paraId="56317E74"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r w:rsidRPr="00EE0539">
              <w:rPr>
                <w:rFonts w:ascii="Arial" w:eastAsia="Times New Roman" w:hAnsi="Arial" w:cs="Arial"/>
                <w:b/>
                <w:color w:val="000000"/>
                <w:sz w:val="16"/>
                <w:szCs w:val="16"/>
                <w:lang w:val="en-GB" w:eastAsia="en-GB"/>
              </w:rPr>
              <w:t>Information systems service levels (ISSL)</w:t>
            </w:r>
          </w:p>
          <w:p w14:paraId="43CD1D1B" w14:textId="77777777" w:rsidR="001A07FB" w:rsidRPr="00EE0539" w:rsidRDefault="001A07FB" w:rsidP="005A1F7F">
            <w:pPr>
              <w:autoSpaceDE w:val="0"/>
              <w:autoSpaceDN w:val="0"/>
              <w:adjustRightInd w:val="0"/>
              <w:rPr>
                <w:rFonts w:ascii="Arial" w:eastAsia="Times New Roman" w:hAnsi="Arial" w:cs="Arial"/>
                <w:b/>
                <w:i/>
                <w:color w:val="000000"/>
                <w:sz w:val="16"/>
                <w:szCs w:val="16"/>
                <w:lang w:val="en-GB" w:eastAsia="en-GB"/>
              </w:rPr>
            </w:pPr>
            <w:r w:rsidRPr="00EE0539">
              <w:rPr>
                <w:rFonts w:ascii="Arial" w:eastAsia="Times New Roman" w:hAnsi="Arial" w:cs="Arial"/>
                <w:b/>
                <w:i/>
                <w:color w:val="000000"/>
                <w:sz w:val="16"/>
                <w:szCs w:val="16"/>
                <w:lang w:val="en-GB" w:eastAsia="en-GB"/>
              </w:rPr>
              <w:t>Weighted average of the above indicators: (1): 20% (2): 20% (3) 20% (4) 20% (5) 20%.</w:t>
            </w:r>
          </w:p>
        </w:tc>
        <w:tc>
          <w:tcPr>
            <w:tcW w:w="2002" w:type="dxa"/>
            <w:shd w:val="clear" w:color="auto" w:fill="auto"/>
            <w:tcMar>
              <w:top w:w="85" w:type="dxa"/>
              <w:bottom w:w="85" w:type="dxa"/>
            </w:tcMar>
          </w:tcPr>
          <w:p w14:paraId="2EE2740B"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1984" w:type="dxa"/>
            <w:shd w:val="clear" w:color="auto" w:fill="auto"/>
            <w:tcMar>
              <w:top w:w="85" w:type="dxa"/>
              <w:bottom w:w="85" w:type="dxa"/>
            </w:tcMar>
          </w:tcPr>
          <w:p w14:paraId="408A9EAA"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1134" w:type="dxa"/>
            <w:tcMar>
              <w:top w:w="85" w:type="dxa"/>
              <w:bottom w:w="85" w:type="dxa"/>
            </w:tcMar>
          </w:tcPr>
          <w:p w14:paraId="20F5C357" w14:textId="77777777" w:rsidR="001A07FB" w:rsidRPr="00EE0539" w:rsidRDefault="001A07FB" w:rsidP="005A1F7F">
            <w:pPr>
              <w:autoSpaceDE w:val="0"/>
              <w:autoSpaceDN w:val="0"/>
              <w:adjustRightInd w:val="0"/>
              <w:jc w:val="right"/>
              <w:rPr>
                <w:rFonts w:ascii="Arial" w:hAnsi="Arial" w:cs="Arial"/>
                <w:b/>
                <w:sz w:val="16"/>
                <w:szCs w:val="16"/>
              </w:rPr>
            </w:pPr>
            <w:r w:rsidRPr="00EE0539">
              <w:rPr>
                <w:rFonts w:ascii="Arial" w:hAnsi="Arial" w:cs="Arial"/>
                <w:b/>
                <w:sz w:val="16"/>
                <w:szCs w:val="16"/>
              </w:rPr>
              <w:t>93.0%</w:t>
            </w:r>
          </w:p>
        </w:tc>
        <w:tc>
          <w:tcPr>
            <w:tcW w:w="1101" w:type="dxa"/>
            <w:tcMar>
              <w:top w:w="85" w:type="dxa"/>
              <w:bottom w:w="85" w:type="dxa"/>
            </w:tcMar>
          </w:tcPr>
          <w:p w14:paraId="0F53A372" w14:textId="77777777" w:rsidR="001A07FB" w:rsidRPr="00EE0539" w:rsidRDefault="001A07FB" w:rsidP="005A1F7F">
            <w:pPr>
              <w:autoSpaceDE w:val="0"/>
              <w:autoSpaceDN w:val="0"/>
              <w:adjustRightInd w:val="0"/>
              <w:jc w:val="right"/>
              <w:rPr>
                <w:rFonts w:ascii="Arial" w:hAnsi="Arial" w:cs="Arial"/>
                <w:b/>
                <w:sz w:val="16"/>
                <w:szCs w:val="16"/>
              </w:rPr>
            </w:pPr>
            <w:r w:rsidRPr="00EE0539">
              <w:rPr>
                <w:rFonts w:ascii="Arial" w:hAnsi="Arial" w:cs="Arial"/>
                <w:b/>
                <w:sz w:val="16"/>
                <w:szCs w:val="16"/>
              </w:rPr>
              <w:t>95.3%</w:t>
            </w:r>
          </w:p>
        </w:tc>
      </w:tr>
    </w:tbl>
    <w:p w14:paraId="45D51DF3" w14:textId="77777777" w:rsidR="001A07FB" w:rsidRDefault="001A07FB" w:rsidP="005A1F7F">
      <w:pPr>
        <w:autoSpaceDE w:val="0"/>
        <w:autoSpaceDN w:val="0"/>
        <w:adjustRightInd w:val="0"/>
        <w:rPr>
          <w:rFonts w:eastAsia="Times New Roman"/>
          <w:color w:val="000000"/>
          <w:lang w:val="en-GB" w:eastAsia="en-GB"/>
        </w:rPr>
      </w:pPr>
    </w:p>
    <w:p w14:paraId="1BEAC194" w14:textId="77777777" w:rsidR="001A07FB" w:rsidRPr="000E46C3" w:rsidRDefault="001A07FB" w:rsidP="005A1F7F">
      <w:pPr>
        <w:rPr>
          <w:rFonts w:ascii="Arial" w:hAnsi="Arial" w:cs="Arial"/>
          <w:b/>
          <w:sz w:val="20"/>
          <w:szCs w:val="16"/>
          <w:highlight w:val="yellow"/>
        </w:rPr>
      </w:pPr>
    </w:p>
    <w:p w14:paraId="18111D7D" w14:textId="77777777" w:rsidR="001A07FB" w:rsidRPr="00E34675" w:rsidRDefault="001A07FB" w:rsidP="005A1F7F">
      <w:pPr>
        <w:rPr>
          <w:rFonts w:ascii="Arial" w:hAnsi="Arial" w:cs="Arial"/>
          <w:b/>
          <w:sz w:val="20"/>
          <w:szCs w:val="16"/>
        </w:rPr>
      </w:pPr>
      <w:r w:rsidRPr="00E34675">
        <w:rPr>
          <w:rFonts w:ascii="Arial" w:hAnsi="Arial" w:cs="Arial"/>
          <w:b/>
          <w:sz w:val="20"/>
          <w:szCs w:val="16"/>
        </w:rPr>
        <w:t>Receiving Office at the International Bureau (RO/IB)</w:t>
      </w:r>
    </w:p>
    <w:p w14:paraId="63A50C44" w14:textId="77777777" w:rsidR="001A07FB" w:rsidRPr="00E34675" w:rsidRDefault="001A07FB" w:rsidP="005A1F7F">
      <w:pPr>
        <w:rPr>
          <w:rFonts w:ascii="Arial" w:hAnsi="Arial" w:cs="Arial"/>
          <w:b/>
          <w:sz w:val="20"/>
          <w:szCs w:val="16"/>
        </w:rPr>
      </w:pPr>
    </w:p>
    <w:p w14:paraId="4DD46DF6" w14:textId="77777777" w:rsidR="001A07FB" w:rsidRPr="00E34675" w:rsidRDefault="001A07FB" w:rsidP="005A1F7F">
      <w:pPr>
        <w:rPr>
          <w:rFonts w:ascii="Arial" w:hAnsi="Arial" w:cs="Arial"/>
          <w:i/>
          <w:sz w:val="20"/>
        </w:rPr>
      </w:pPr>
      <w:r w:rsidRPr="00E34675">
        <w:rPr>
          <w:rFonts w:ascii="Arial" w:hAnsi="Arial" w:cs="Arial"/>
          <w:i/>
          <w:sz w:val="20"/>
        </w:rPr>
        <w:t xml:space="preserve">Filings </w:t>
      </w:r>
    </w:p>
    <w:p w14:paraId="698B475D" w14:textId="77777777" w:rsidR="001A07FB" w:rsidRPr="00E34675" w:rsidRDefault="001A07FB" w:rsidP="005A1F7F">
      <w:pPr>
        <w:rPr>
          <w:rFonts w:ascii="Arial" w:hAnsi="Arial" w:cs="Arial"/>
          <w:b/>
          <w:szCs w:val="18"/>
        </w:rPr>
      </w:pPr>
    </w:p>
    <w:p w14:paraId="1F3DA230"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This</w:t>
      </w:r>
      <w:r w:rsidRPr="00EE0539">
        <w:rPr>
          <w:rFonts w:ascii="Arial" w:hAnsi="Arial" w:cs="Arial"/>
          <w:sz w:val="20"/>
          <w:szCs w:val="20"/>
        </w:rPr>
        <w:t xml:space="preserve"> table presents PCT filings by the top ten receiving offices over the past five years to 2014.  In principle, a PCT application is filed at the national patent office of the applicant’s home country or at a regional patent office acting for the applicant’s home jurisdiction.  The IB is a competent receiving office (RO/IB) for applicants from all PCT contracting states.  The evolution of the filings at the RO/IB, its ranking in terms of the number of filings among other receiving offices, as well as its market share can be observed in this table.</w:t>
      </w:r>
    </w:p>
    <w:p w14:paraId="1A83D864" w14:textId="77777777" w:rsidR="001A07FB" w:rsidRDefault="001A07FB" w:rsidP="005A1F7F">
      <w:pPr>
        <w:jc w:val="both"/>
        <w:rPr>
          <w:rFonts w:ascii="Arial" w:hAnsi="Arial"/>
          <w:sz w:val="18"/>
          <w:highlight w:val="yellow"/>
        </w:rPr>
      </w:pPr>
    </w:p>
    <w:p w14:paraId="4F113CB5" w14:textId="77777777" w:rsidR="001A07FB" w:rsidRPr="00E34675" w:rsidRDefault="001A07FB" w:rsidP="005A1F7F">
      <w:pPr>
        <w:jc w:val="both"/>
        <w:rPr>
          <w:rFonts w:ascii="Arial" w:hAnsi="Arial"/>
          <w:sz w:val="18"/>
        </w:rPr>
      </w:pPr>
      <w:r>
        <w:rPr>
          <w:noProof/>
          <w:lang w:eastAsia="en-US"/>
        </w:rPr>
        <w:drawing>
          <wp:inline distT="0" distB="0" distL="0" distR="0" wp14:anchorId="53F60328" wp14:editId="1FE40613">
            <wp:extent cx="5753100" cy="28098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14:paraId="6352D76D" w14:textId="77777777" w:rsidR="001A07FB" w:rsidRPr="000E46C3" w:rsidRDefault="001A07FB" w:rsidP="005A1F7F">
      <w:pPr>
        <w:rPr>
          <w:rFonts w:ascii="Arial" w:hAnsi="Arial"/>
          <w:sz w:val="18"/>
          <w:highlight w:val="yellow"/>
        </w:rPr>
      </w:pPr>
    </w:p>
    <w:p w14:paraId="7C1F4B1C" w14:textId="77777777" w:rsidR="001A07FB" w:rsidRPr="00EE0539" w:rsidRDefault="001A07FB" w:rsidP="00B66A4A">
      <w:pPr>
        <w:numPr>
          <w:ilvl w:val="0"/>
          <w:numId w:val="41"/>
        </w:numPr>
        <w:rPr>
          <w:rFonts w:ascii="Arial" w:hAnsi="Arial" w:cs="Arial"/>
          <w:sz w:val="20"/>
          <w:szCs w:val="20"/>
        </w:rPr>
      </w:pPr>
      <w:r>
        <w:rPr>
          <w:rFonts w:ascii="Arial" w:hAnsi="Arial" w:cs="Arial"/>
          <w:sz w:val="20"/>
          <w:szCs w:val="20"/>
        </w:rPr>
        <w:t>I</w:t>
      </w:r>
      <w:r w:rsidRPr="00EE0539">
        <w:rPr>
          <w:rFonts w:ascii="Arial" w:hAnsi="Arial" w:cs="Arial"/>
          <w:sz w:val="20"/>
          <w:szCs w:val="20"/>
        </w:rPr>
        <w:t xml:space="preserve">n the </w:t>
      </w:r>
      <w:r>
        <w:rPr>
          <w:rFonts w:ascii="Arial" w:hAnsi="Arial" w:cs="Arial"/>
          <w:sz w:val="20"/>
          <w:szCs w:val="20"/>
        </w:rPr>
        <w:t xml:space="preserve">Program and Budget </w:t>
      </w:r>
      <w:r w:rsidRPr="00EE0539">
        <w:rPr>
          <w:rFonts w:ascii="Arial" w:hAnsi="Arial" w:cs="Arial"/>
          <w:sz w:val="20"/>
          <w:szCs w:val="20"/>
        </w:rPr>
        <w:t xml:space="preserve">2014/15, the following two performance indicators were added for the RO/IB:  </w:t>
      </w:r>
    </w:p>
    <w:p w14:paraId="57915B32" w14:textId="77777777" w:rsidR="001A07FB" w:rsidRPr="0054556A" w:rsidRDefault="001A07FB" w:rsidP="005A1F7F">
      <w:pPr>
        <w:pStyle w:val="PlainText"/>
        <w:rPr>
          <w:rFonts w:ascii="Arial" w:hAnsi="Arial" w:cs="Arial"/>
          <w:color w:val="auto"/>
        </w:rPr>
      </w:pPr>
    </w:p>
    <w:p w14:paraId="7E6467E6" w14:textId="77777777" w:rsidR="001A07FB" w:rsidRPr="0054556A" w:rsidRDefault="001A07FB" w:rsidP="005A1F7F">
      <w:pPr>
        <w:pStyle w:val="PlainText"/>
        <w:rPr>
          <w:rFonts w:ascii="Arial" w:hAnsi="Arial" w:cs="Arial"/>
          <w:color w:val="auto"/>
        </w:rPr>
      </w:pPr>
      <w:r w:rsidRPr="0054556A">
        <w:rPr>
          <w:rFonts w:ascii="Arial" w:hAnsi="Arial" w:cs="Arial"/>
          <w:i/>
          <w:color w:val="auto"/>
        </w:rPr>
        <w:t>Timeliness of notification of international filing date</w:t>
      </w:r>
    </w:p>
    <w:p w14:paraId="6CF2E17B" w14:textId="77777777" w:rsidR="001A07FB" w:rsidRPr="0054556A" w:rsidRDefault="001A07FB" w:rsidP="005A1F7F">
      <w:pPr>
        <w:pStyle w:val="PlainText"/>
        <w:rPr>
          <w:rFonts w:ascii="Arial" w:hAnsi="Arial" w:cs="Arial"/>
          <w:color w:val="auto"/>
        </w:rPr>
      </w:pPr>
    </w:p>
    <w:p w14:paraId="3CC12059" w14:textId="77777777" w:rsidR="001A07FB" w:rsidRPr="00EE0539" w:rsidRDefault="001A07FB" w:rsidP="00B66A4A">
      <w:pPr>
        <w:numPr>
          <w:ilvl w:val="0"/>
          <w:numId w:val="41"/>
        </w:numPr>
        <w:rPr>
          <w:rFonts w:ascii="Arial" w:hAnsi="Arial" w:cs="Arial"/>
          <w:sz w:val="20"/>
          <w:szCs w:val="20"/>
        </w:rPr>
      </w:pPr>
      <w:r w:rsidRPr="00EE0539">
        <w:rPr>
          <w:rFonts w:ascii="Arial" w:hAnsi="Arial"/>
          <w:sz w:val="20"/>
          <w:lang w:val="en-GB"/>
        </w:rPr>
        <w:t>This</w:t>
      </w:r>
      <w:r w:rsidRPr="00EE0539">
        <w:rPr>
          <w:rFonts w:ascii="Arial" w:hAnsi="Arial" w:cs="Arial"/>
          <w:sz w:val="20"/>
          <w:szCs w:val="20"/>
        </w:rPr>
        <w:t xml:space="preserve"> indicator reflects the time required by the RO/IB to issue Form 105.  This form is issued after the international filing date has been accorded.  Applicants appreciate receiving this form as soon as possible, because an international application has the effect of a regular national application in each designated State as of the international filing date, which date shall be considered to be the actual filing date in each designated State.</w:t>
      </w:r>
    </w:p>
    <w:p w14:paraId="5802C920" w14:textId="77777777" w:rsidR="001A07FB" w:rsidRPr="00EE0539" w:rsidRDefault="001A07FB" w:rsidP="005A1F7F">
      <w:pPr>
        <w:pStyle w:val="BodyText2"/>
        <w:spacing w:after="0" w:line="240" w:lineRule="auto"/>
        <w:jc w:val="both"/>
        <w:rPr>
          <w:rFonts w:ascii="Arial" w:hAnsi="Arial" w:cs="Arial"/>
          <w:sz w:val="20"/>
          <w:szCs w:val="20"/>
        </w:rPr>
      </w:pPr>
    </w:p>
    <w:p w14:paraId="7DEAC5CF" w14:textId="77777777" w:rsidR="001A07FB" w:rsidRPr="000D2666" w:rsidRDefault="001A07FB" w:rsidP="005A1F7F">
      <w:pPr>
        <w:pStyle w:val="PlainText"/>
        <w:jc w:val="center"/>
        <w:rPr>
          <w:rFonts w:ascii="Arial" w:hAnsi="Arial" w:cs="Arial"/>
          <w:b/>
          <w:color w:val="auto"/>
          <w:sz w:val="18"/>
        </w:rPr>
      </w:pPr>
      <w:r w:rsidRPr="000D2666">
        <w:rPr>
          <w:rFonts w:ascii="Arial" w:hAnsi="Arial" w:cs="Arial"/>
          <w:b/>
          <w:color w:val="auto"/>
          <w:sz w:val="18"/>
        </w:rPr>
        <w:t>Timeliness of Notification of International Filing Date</w:t>
      </w:r>
    </w:p>
    <w:p w14:paraId="32B399B3" w14:textId="77777777" w:rsidR="001A07FB" w:rsidRPr="0054556A" w:rsidRDefault="001A07FB" w:rsidP="005A1F7F">
      <w:pPr>
        <w:pStyle w:val="PlainText"/>
        <w:ind w:left="567"/>
        <w:rPr>
          <w:rFonts w:ascii="Arial" w:hAnsi="Arial" w:cs="Arial"/>
          <w:color w:val="auto"/>
        </w:rPr>
      </w:pPr>
      <w:r>
        <w:rPr>
          <w:rFonts w:cs="Arial"/>
          <w:noProof/>
          <w:lang w:eastAsia="en-US"/>
        </w:rPr>
        <w:drawing>
          <wp:inline distT="0" distB="0" distL="0" distR="0" wp14:anchorId="09C9DA00" wp14:editId="1FBCF656">
            <wp:extent cx="5757545" cy="253492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57545" cy="2534920"/>
                    </a:xfrm>
                    <a:prstGeom prst="rect">
                      <a:avLst/>
                    </a:prstGeom>
                    <a:noFill/>
                  </pic:spPr>
                </pic:pic>
              </a:graphicData>
            </a:graphic>
          </wp:inline>
        </w:drawing>
      </w:r>
    </w:p>
    <w:p w14:paraId="2F1C397A" w14:textId="77777777" w:rsidR="001A07FB" w:rsidRPr="0054556A" w:rsidRDefault="001A07FB" w:rsidP="005A1F7F">
      <w:pPr>
        <w:pStyle w:val="PlainText"/>
        <w:ind w:left="567"/>
        <w:rPr>
          <w:rFonts w:ascii="Arial" w:hAnsi="Arial" w:cs="Arial"/>
          <w:color w:val="auto"/>
        </w:rPr>
      </w:pPr>
    </w:p>
    <w:p w14:paraId="68D5C1CD" w14:textId="77777777" w:rsidR="001A07FB" w:rsidRPr="0054556A" w:rsidRDefault="001A07FB" w:rsidP="005A1F7F">
      <w:pPr>
        <w:pStyle w:val="PlainText"/>
        <w:ind w:left="567"/>
        <w:rPr>
          <w:rFonts w:ascii="Arial" w:hAnsi="Arial" w:cs="Arial"/>
          <w:i/>
          <w:color w:val="auto"/>
        </w:rPr>
      </w:pPr>
      <w:r w:rsidRPr="0054556A">
        <w:rPr>
          <w:rFonts w:ascii="Arial" w:hAnsi="Arial" w:cs="Arial"/>
          <w:color w:val="auto"/>
        </w:rPr>
        <w:t> </w:t>
      </w:r>
    </w:p>
    <w:p w14:paraId="6B78D66C" w14:textId="77777777" w:rsidR="001A07FB" w:rsidRPr="0054556A" w:rsidRDefault="001A07FB" w:rsidP="005A1F7F">
      <w:pPr>
        <w:pStyle w:val="PlainText"/>
        <w:rPr>
          <w:rFonts w:ascii="Arial" w:hAnsi="Arial" w:cs="Arial"/>
          <w:i/>
          <w:color w:val="auto"/>
        </w:rPr>
      </w:pPr>
      <w:r w:rsidRPr="0054556A">
        <w:rPr>
          <w:rFonts w:ascii="Arial" w:hAnsi="Arial" w:cs="Arial"/>
          <w:i/>
          <w:color w:val="auto"/>
        </w:rPr>
        <w:t>Timeliness of transmittal of search copy</w:t>
      </w:r>
    </w:p>
    <w:p w14:paraId="15C6DE3B" w14:textId="77777777" w:rsidR="001A07FB" w:rsidRPr="0054556A" w:rsidRDefault="001A07FB" w:rsidP="005A1F7F">
      <w:pPr>
        <w:pStyle w:val="PlainText"/>
        <w:rPr>
          <w:rFonts w:ascii="Arial" w:hAnsi="Arial" w:cs="Arial"/>
          <w:color w:val="auto"/>
        </w:rPr>
      </w:pPr>
    </w:p>
    <w:p w14:paraId="09482D9E" w14:textId="77777777" w:rsidR="001A07FB" w:rsidRPr="00EE0539" w:rsidRDefault="001A07FB" w:rsidP="00B66A4A">
      <w:pPr>
        <w:numPr>
          <w:ilvl w:val="0"/>
          <w:numId w:val="41"/>
        </w:numPr>
        <w:rPr>
          <w:rFonts w:ascii="Arial" w:hAnsi="Arial" w:cs="Arial"/>
          <w:sz w:val="20"/>
          <w:szCs w:val="20"/>
        </w:rPr>
      </w:pPr>
      <w:r w:rsidRPr="0054556A">
        <w:rPr>
          <w:rFonts w:ascii="Arial" w:hAnsi="Arial"/>
          <w:sz w:val="20"/>
          <w:lang w:val="en-GB"/>
        </w:rPr>
        <w:t>This</w:t>
      </w:r>
      <w:r w:rsidRPr="0054556A">
        <w:rPr>
          <w:rFonts w:ascii="Arial" w:hAnsi="Arial" w:cs="Arial"/>
          <w:sz w:val="20"/>
          <w:szCs w:val="20"/>
        </w:rPr>
        <w:t xml:space="preserve"> indicator reflects the time required by the RO/IB to transmit the search copies to the ISAs.</w:t>
      </w:r>
      <w:r w:rsidRPr="00EE0539">
        <w:rPr>
          <w:rFonts w:ascii="Arial" w:hAnsi="Arial" w:cs="Arial"/>
          <w:sz w:val="20"/>
          <w:szCs w:val="20"/>
        </w:rPr>
        <w:t xml:space="preserve"> The search copy is to be transmitted promptly after payment of the search fee, so that the ISA can establish the ISR within the deadlines stipulated by the PCT regulatory framework.  Delays in paying the fee will delay the transmission of the search copies to the ISAs and therefore negatively impact upon the ability of ISAs to meet these deadlines.</w:t>
      </w:r>
    </w:p>
    <w:p w14:paraId="310AB202" w14:textId="77777777" w:rsidR="001A07FB" w:rsidRPr="00245747" w:rsidRDefault="001A07FB" w:rsidP="005A1F7F">
      <w:pPr>
        <w:rPr>
          <w:rFonts w:ascii="Arial" w:hAnsi="Arial" w:cs="Arial"/>
          <w:sz w:val="20"/>
          <w:szCs w:val="20"/>
        </w:rPr>
      </w:pPr>
    </w:p>
    <w:p w14:paraId="025BC5A1" w14:textId="77777777" w:rsidR="001A07FB" w:rsidRPr="000D2666" w:rsidRDefault="001A07FB" w:rsidP="005A1F7F">
      <w:pPr>
        <w:pStyle w:val="PlainText"/>
        <w:jc w:val="center"/>
        <w:rPr>
          <w:rFonts w:ascii="Arial" w:hAnsi="Arial" w:cs="Arial"/>
          <w:b/>
          <w:color w:val="auto"/>
          <w:sz w:val="18"/>
        </w:rPr>
      </w:pPr>
      <w:r w:rsidRPr="000D2666">
        <w:rPr>
          <w:rFonts w:ascii="Arial" w:hAnsi="Arial" w:cs="Arial"/>
          <w:b/>
          <w:color w:val="auto"/>
          <w:sz w:val="18"/>
        </w:rPr>
        <w:t>Timeliness of Transmittal of Search Copy</w:t>
      </w:r>
    </w:p>
    <w:p w14:paraId="15B96F3B" w14:textId="77777777" w:rsidR="001A07FB" w:rsidRPr="0054556A" w:rsidRDefault="001A07FB" w:rsidP="005A1F7F">
      <w:pPr>
        <w:rPr>
          <w:rFonts w:ascii="Arial" w:hAnsi="Arial" w:cs="Arial"/>
          <w:b/>
          <w:sz w:val="20"/>
        </w:rPr>
      </w:pPr>
      <w:r>
        <w:rPr>
          <w:noProof/>
          <w:lang w:eastAsia="en-US"/>
        </w:rPr>
        <w:drawing>
          <wp:inline distT="0" distB="0" distL="0" distR="0" wp14:anchorId="2F430DE5" wp14:editId="3A78DD10">
            <wp:extent cx="5311775" cy="2436495"/>
            <wp:effectExtent l="0" t="0" r="3175" b="190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311775" cy="2436495"/>
                    </a:xfrm>
                    <a:prstGeom prst="rect">
                      <a:avLst/>
                    </a:prstGeom>
                    <a:noFill/>
                  </pic:spPr>
                </pic:pic>
              </a:graphicData>
            </a:graphic>
          </wp:inline>
        </w:drawing>
      </w:r>
    </w:p>
    <w:p w14:paraId="05ECF7B1" w14:textId="77777777" w:rsidR="001A07FB" w:rsidRPr="0054556A" w:rsidRDefault="001A07FB" w:rsidP="005A1F7F">
      <w:pPr>
        <w:rPr>
          <w:rFonts w:ascii="Arial" w:hAnsi="Arial" w:cs="Arial"/>
        </w:rPr>
      </w:pPr>
    </w:p>
    <w:p w14:paraId="72BD0650" w14:textId="07667BF3" w:rsidR="000D2666" w:rsidRDefault="000D2666">
      <w:pPr>
        <w:rPr>
          <w:rFonts w:ascii="Arial" w:hAnsi="Arial" w:cs="Arial"/>
          <w:sz w:val="20"/>
        </w:rPr>
      </w:pPr>
      <w:r>
        <w:rPr>
          <w:rFonts w:ascii="Arial" w:hAnsi="Arial" w:cs="Arial"/>
          <w:sz w:val="20"/>
        </w:rPr>
        <w:br w:type="page"/>
      </w:r>
    </w:p>
    <w:p w14:paraId="01ADBDFF" w14:textId="77777777" w:rsidR="00D7361F" w:rsidRDefault="00D7361F" w:rsidP="00592800">
      <w:pPr>
        <w:rPr>
          <w:rFonts w:ascii="Arial" w:hAnsi="Arial" w:cs="Arial"/>
          <w:sz w:val="20"/>
        </w:rPr>
      </w:pPr>
    </w:p>
    <w:p w14:paraId="18BDA0F5" w14:textId="4166DF5D" w:rsidR="00592800" w:rsidRPr="0069571C" w:rsidRDefault="00592800" w:rsidP="00592800">
      <w:pPr>
        <w:pStyle w:val="StyleHeading3ComplexItalic"/>
        <w:keepNext w:val="0"/>
        <w:tabs>
          <w:tab w:val="clear" w:pos="1985"/>
          <w:tab w:val="left" w:pos="1418"/>
        </w:tabs>
        <w:ind w:left="1418" w:hanging="1418"/>
      </w:pPr>
      <w:bookmarkStart w:id="107" w:name="_Toc356567791"/>
      <w:bookmarkStart w:id="108" w:name="_Toc367350617"/>
      <w:bookmarkStart w:id="109" w:name="_Toc431221450"/>
      <w:r w:rsidRPr="007F65E7">
        <w:rPr>
          <w:caps w:val="0"/>
        </w:rPr>
        <w:t>ANNEX V</w:t>
      </w:r>
      <w:r>
        <w:rPr>
          <w:caps w:val="0"/>
        </w:rPr>
        <w:t>I</w:t>
      </w:r>
      <w:r w:rsidRPr="007F65E7">
        <w:rPr>
          <w:caps w:val="0"/>
        </w:rPr>
        <w:tab/>
        <w:t xml:space="preserve">INDICATORS OF </w:t>
      </w:r>
      <w:r>
        <w:rPr>
          <w:caps w:val="0"/>
        </w:rPr>
        <w:t xml:space="preserve">MADRID </w:t>
      </w:r>
      <w:r w:rsidRPr="007F65E7">
        <w:rPr>
          <w:caps w:val="0"/>
        </w:rPr>
        <w:t>OPERATIONS</w:t>
      </w:r>
      <w:bookmarkEnd w:id="107"/>
      <w:bookmarkEnd w:id="108"/>
      <w:bookmarkEnd w:id="109"/>
    </w:p>
    <w:p w14:paraId="3DD498A4" w14:textId="77777777" w:rsidR="00592800" w:rsidRDefault="00592800" w:rsidP="00592800">
      <w:pPr>
        <w:rPr>
          <w:rFonts w:ascii="Arial" w:hAnsi="Arial" w:cs="Arial"/>
          <w:sz w:val="20"/>
        </w:rPr>
      </w:pPr>
    </w:p>
    <w:p w14:paraId="2264BC8F" w14:textId="77777777" w:rsidR="000877C4" w:rsidRPr="00990B8A" w:rsidRDefault="000877C4" w:rsidP="005A1F7F">
      <w:pPr>
        <w:rPr>
          <w:rFonts w:ascii="Arial" w:hAnsi="Arial" w:cs="Arial"/>
          <w:b/>
        </w:rPr>
      </w:pPr>
    </w:p>
    <w:p w14:paraId="0DA27EF6" w14:textId="77777777" w:rsidR="000877C4" w:rsidRPr="00990B8A" w:rsidRDefault="000877C4" w:rsidP="005A1F7F">
      <w:pPr>
        <w:rPr>
          <w:rFonts w:ascii="Arial" w:hAnsi="Arial" w:cs="Arial"/>
          <w:lang w:eastAsia="zh-CN" w:bidi="th-TH"/>
        </w:rPr>
      </w:pPr>
      <w:r w:rsidRPr="00990B8A">
        <w:rPr>
          <w:rFonts w:ascii="Arial" w:hAnsi="Arial" w:cs="Arial"/>
          <w:lang w:eastAsia="zh-CN" w:bidi="th-TH"/>
        </w:rPr>
        <w:t>PERFORMANCE INDICATORS FOR THE EXPECTED RESULT</w:t>
      </w:r>
    </w:p>
    <w:p w14:paraId="2DED6202" w14:textId="77777777" w:rsidR="000877C4" w:rsidRPr="00990B8A" w:rsidRDefault="000877C4" w:rsidP="005A1F7F">
      <w:pPr>
        <w:tabs>
          <w:tab w:val="left" w:pos="1525"/>
          <w:tab w:val="right" w:pos="2835"/>
        </w:tabs>
        <w:spacing w:after="60"/>
        <w:rPr>
          <w:rFonts w:ascii="Arial" w:hAnsi="Arial" w:cs="Arial"/>
        </w:rPr>
      </w:pPr>
      <w:r w:rsidRPr="00990B8A">
        <w:rPr>
          <w:rFonts w:ascii="Arial" w:hAnsi="Arial" w:cs="Arial"/>
        </w:rPr>
        <w:t>“</w:t>
      </w:r>
      <w:r w:rsidRPr="00990B8A">
        <w:rPr>
          <w:rFonts w:ascii="Arial" w:hAnsi="Arial" w:cs="Arial"/>
          <w:lang w:eastAsia="zh-CN" w:bidi="th-TH"/>
        </w:rPr>
        <w:t>IMPROVED PRODUCTIVITY AND SERVICE QUALITY OF</w:t>
      </w:r>
      <w:r w:rsidRPr="00990B8A">
        <w:rPr>
          <w:rFonts w:ascii="Arial" w:hAnsi="Arial" w:cs="Arial"/>
        </w:rPr>
        <w:t xml:space="preserve"> MADRID OPERATIONS”</w:t>
      </w:r>
    </w:p>
    <w:p w14:paraId="06D5BAE0" w14:textId="77777777" w:rsidR="000877C4" w:rsidRPr="00990B8A" w:rsidRDefault="000877C4" w:rsidP="005A1F7F">
      <w:pPr>
        <w:rPr>
          <w:rFonts w:ascii="Arial" w:hAnsi="Arial" w:cs="Arial"/>
          <w:b/>
        </w:rPr>
      </w:pPr>
    </w:p>
    <w:p w14:paraId="506ED62D"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background for the performance indicators for the expected result “</w:t>
      </w:r>
      <w:r w:rsidRPr="00990B8A">
        <w:rPr>
          <w:rFonts w:ascii="Arial" w:hAnsi="Arial" w:cs="Arial"/>
          <w:sz w:val="20"/>
          <w:szCs w:val="20"/>
          <w:lang w:eastAsia="zh-CN" w:bidi="th-TH"/>
        </w:rPr>
        <w:t>improved productivity and service quality of</w:t>
      </w:r>
      <w:r w:rsidRPr="00990B8A">
        <w:rPr>
          <w:rFonts w:ascii="Arial" w:hAnsi="Arial" w:cs="Arial"/>
          <w:sz w:val="20"/>
          <w:szCs w:val="20"/>
        </w:rPr>
        <w:t xml:space="preserve"> Madrid operations”, the evolution of the following factors needs to be considered:</w:t>
      </w:r>
    </w:p>
    <w:p w14:paraId="471B5C08" w14:textId="77777777" w:rsidR="000877C4" w:rsidRPr="00990B8A" w:rsidRDefault="000877C4" w:rsidP="005A1F7F">
      <w:pPr>
        <w:jc w:val="both"/>
        <w:rPr>
          <w:rFonts w:ascii="Arial" w:hAnsi="Arial" w:cs="Arial"/>
          <w:sz w:val="20"/>
          <w:szCs w:val="20"/>
        </w:rPr>
      </w:pPr>
    </w:p>
    <w:p w14:paraId="7FA67705" w14:textId="77777777" w:rsidR="000877C4" w:rsidRPr="00990B8A" w:rsidRDefault="000877C4" w:rsidP="00B66A4A">
      <w:pPr>
        <w:numPr>
          <w:ilvl w:val="0"/>
          <w:numId w:val="45"/>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Madrid workloads;</w:t>
      </w:r>
    </w:p>
    <w:p w14:paraId="3030EC09" w14:textId="77777777" w:rsidR="000877C4" w:rsidRPr="00990B8A" w:rsidRDefault="000877C4" w:rsidP="00B66A4A">
      <w:pPr>
        <w:numPr>
          <w:ilvl w:val="0"/>
          <w:numId w:val="45"/>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Composition of those workloads;</w:t>
      </w:r>
    </w:p>
    <w:p w14:paraId="5FDBDA6D" w14:textId="77777777" w:rsidR="000877C4" w:rsidRPr="00990B8A" w:rsidRDefault="000877C4" w:rsidP="00B66A4A">
      <w:pPr>
        <w:numPr>
          <w:ilvl w:val="0"/>
          <w:numId w:val="45"/>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Number of staff assigned to process those workloads;</w:t>
      </w:r>
    </w:p>
    <w:p w14:paraId="10577A8A" w14:textId="77777777" w:rsidR="000877C4" w:rsidRPr="00990B8A" w:rsidRDefault="000877C4" w:rsidP="00B66A4A">
      <w:pPr>
        <w:numPr>
          <w:ilvl w:val="0"/>
          <w:numId w:val="45"/>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Level of automation;  and</w:t>
      </w:r>
    </w:p>
    <w:p w14:paraId="0704CC0A" w14:textId="77777777" w:rsidR="000877C4" w:rsidRPr="00990B8A" w:rsidRDefault="000877C4" w:rsidP="00B66A4A">
      <w:pPr>
        <w:numPr>
          <w:ilvl w:val="0"/>
          <w:numId w:val="45"/>
        </w:numPr>
        <w:tabs>
          <w:tab w:val="clear" w:pos="720"/>
          <w:tab w:val="num" w:pos="1701"/>
        </w:tabs>
        <w:ind w:left="1701" w:hanging="567"/>
        <w:jc w:val="both"/>
        <w:rPr>
          <w:rFonts w:ascii="Arial" w:hAnsi="Arial" w:cs="Arial"/>
          <w:sz w:val="20"/>
          <w:szCs w:val="20"/>
        </w:rPr>
      </w:pPr>
      <w:r w:rsidRPr="00990B8A">
        <w:rPr>
          <w:rFonts w:ascii="Arial" w:hAnsi="Arial" w:cs="Arial"/>
          <w:sz w:val="20"/>
          <w:szCs w:val="20"/>
        </w:rPr>
        <w:t>Total cost of production.</w:t>
      </w:r>
    </w:p>
    <w:p w14:paraId="5E144F2F" w14:textId="77777777" w:rsidR="000877C4" w:rsidRPr="00990B8A" w:rsidRDefault="000877C4" w:rsidP="005A1F7F">
      <w:pPr>
        <w:ind w:left="360"/>
        <w:jc w:val="both"/>
        <w:rPr>
          <w:rFonts w:ascii="Arial" w:hAnsi="Arial" w:cs="Arial"/>
          <w:sz w:val="20"/>
          <w:szCs w:val="20"/>
        </w:rPr>
      </w:pPr>
    </w:p>
    <w:p w14:paraId="4C2E96B7" w14:textId="77777777" w:rsidR="000877C4" w:rsidRPr="00990B8A" w:rsidRDefault="000877C4" w:rsidP="00B66A4A">
      <w:pPr>
        <w:pStyle w:val="ListParagraph"/>
        <w:numPr>
          <w:ilvl w:val="0"/>
          <w:numId w:val="44"/>
        </w:numPr>
        <w:ind w:left="360" w:hanging="360"/>
        <w:jc w:val="both"/>
        <w:rPr>
          <w:rFonts w:ascii="Arial" w:hAnsi="Arial" w:cs="Arial"/>
          <w:b/>
          <w:sz w:val="20"/>
          <w:szCs w:val="20"/>
        </w:rPr>
      </w:pPr>
      <w:r w:rsidRPr="00990B8A">
        <w:rPr>
          <w:rFonts w:ascii="Arial" w:hAnsi="Arial" w:cs="Arial"/>
          <w:b/>
          <w:sz w:val="20"/>
          <w:szCs w:val="20"/>
        </w:rPr>
        <w:t>Incoming documents</w:t>
      </w:r>
    </w:p>
    <w:p w14:paraId="3258BFC0" w14:textId="77777777" w:rsidR="000877C4" w:rsidRPr="00990B8A" w:rsidRDefault="000877C4" w:rsidP="005A1F7F">
      <w:pPr>
        <w:pStyle w:val="ListParagraph"/>
        <w:ind w:left="1080"/>
        <w:jc w:val="both"/>
        <w:rPr>
          <w:rFonts w:ascii="Arial" w:hAnsi="Arial" w:cs="Arial"/>
          <w:sz w:val="20"/>
          <w:szCs w:val="20"/>
        </w:rPr>
      </w:pPr>
    </w:p>
    <w:p w14:paraId="11C0F75A"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International Bureau (IB) receives six different categories of documents, namely international applications, renewals, subsequent designations, modifications, decisions and corrections. The latest trend for each of these documents is presented below. Additional information on applications, such as their average number of classes and average number of words is also provided. For technical reasons, some indicators show data based on processed documents rather than on incoming documents. Backlogs in processing may therefore affect some indicators.</w:t>
      </w:r>
    </w:p>
    <w:p w14:paraId="32DDFFED" w14:textId="77777777" w:rsidR="000877C4" w:rsidRPr="00990B8A" w:rsidRDefault="000877C4" w:rsidP="005A1F7F">
      <w:pPr>
        <w:pStyle w:val="ListParagraph"/>
        <w:ind w:left="0"/>
        <w:jc w:val="both"/>
        <w:rPr>
          <w:rFonts w:ascii="Arial" w:hAnsi="Arial" w:cs="Arial"/>
        </w:rPr>
      </w:pPr>
    </w:p>
    <w:p w14:paraId="09B004D6"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International applications </w:t>
      </w:r>
    </w:p>
    <w:p w14:paraId="40B64222"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3083A20A" wp14:editId="5C96B1F1">
            <wp:extent cx="5029200" cy="227550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033219" cy="2277321"/>
                    </a:xfrm>
                    <a:prstGeom prst="rect">
                      <a:avLst/>
                    </a:prstGeom>
                    <a:noFill/>
                  </pic:spPr>
                </pic:pic>
              </a:graphicData>
            </a:graphic>
          </wp:inline>
        </w:drawing>
      </w:r>
    </w:p>
    <w:p w14:paraId="2B13FBA1" w14:textId="77777777" w:rsidR="000877C4" w:rsidRPr="00990B8A" w:rsidRDefault="000877C4" w:rsidP="005A1F7F">
      <w:pPr>
        <w:pStyle w:val="ListParagraph"/>
        <w:tabs>
          <w:tab w:val="left" w:pos="993"/>
        </w:tabs>
        <w:ind w:left="567"/>
        <w:jc w:val="both"/>
        <w:rPr>
          <w:rFonts w:ascii="Arial" w:hAnsi="Arial" w:cs="Arial"/>
          <w:sz w:val="20"/>
          <w:szCs w:val="20"/>
        </w:rPr>
      </w:pPr>
    </w:p>
    <w:p w14:paraId="38A90AD5" w14:textId="77777777" w:rsidR="000877C4" w:rsidRPr="00990B8A" w:rsidRDefault="000877C4" w:rsidP="00B66A4A">
      <w:pPr>
        <w:numPr>
          <w:ilvl w:val="0"/>
          <w:numId w:val="45"/>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 xml:space="preserve">The IB received 47,885 applications in 2014, representing an increase of 2.3 per cent compared to 2013. </w:t>
      </w:r>
    </w:p>
    <w:p w14:paraId="481161D3" w14:textId="77777777" w:rsidR="000877C4" w:rsidRPr="00990B8A" w:rsidRDefault="000877C4" w:rsidP="00B66A4A">
      <w:pPr>
        <w:numPr>
          <w:ilvl w:val="0"/>
          <w:numId w:val="45"/>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The numbers of applications received have increased continuously since 2010.</w:t>
      </w:r>
    </w:p>
    <w:p w14:paraId="5DE2AA53" w14:textId="77777777" w:rsidR="000877C4" w:rsidRPr="00990B8A" w:rsidRDefault="000877C4" w:rsidP="005A1F7F">
      <w:pPr>
        <w:pStyle w:val="ListParagraph"/>
        <w:ind w:left="1418"/>
        <w:jc w:val="both"/>
        <w:rPr>
          <w:rFonts w:ascii="Arial" w:hAnsi="Arial" w:cs="Arial"/>
          <w:sz w:val="20"/>
          <w:szCs w:val="20"/>
        </w:rPr>
      </w:pPr>
    </w:p>
    <w:p w14:paraId="5BAD27B7"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lastRenderedPageBreak/>
        <w:t>Distribution of applications by language of filing</w:t>
      </w:r>
    </w:p>
    <w:p w14:paraId="5CD488D9" w14:textId="0E4476F6"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355CD0AC" wp14:editId="6405288D">
            <wp:extent cx="5133975" cy="22574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8">
                      <a:extLst>
                        <a:ext uri="{28A0092B-C50C-407E-A947-70E740481C1C}">
                          <a14:useLocalDpi xmlns:a14="http://schemas.microsoft.com/office/drawing/2010/main" val="0"/>
                        </a:ext>
                      </a:extLst>
                    </a:blip>
                    <a:srcRect t="10902" r="-106"/>
                    <a:stretch/>
                  </pic:blipFill>
                  <pic:spPr bwMode="auto">
                    <a:xfrm>
                      <a:off x="0" y="0"/>
                      <a:ext cx="5148228" cy="2263692"/>
                    </a:xfrm>
                    <a:prstGeom prst="rect">
                      <a:avLst/>
                    </a:prstGeom>
                    <a:noFill/>
                    <a:ln>
                      <a:noFill/>
                    </a:ln>
                    <a:extLst>
                      <a:ext uri="{53640926-AAD7-44D8-BBD7-CCE9431645EC}">
                        <a14:shadowObscured xmlns:a14="http://schemas.microsoft.com/office/drawing/2010/main"/>
                      </a:ext>
                    </a:extLst>
                  </pic:spPr>
                </pic:pic>
              </a:graphicData>
            </a:graphic>
          </wp:inline>
        </w:drawing>
      </w:r>
    </w:p>
    <w:p w14:paraId="6092D295" w14:textId="77777777" w:rsidR="000877C4" w:rsidRPr="00990B8A" w:rsidRDefault="000877C4" w:rsidP="00B66A4A">
      <w:pPr>
        <w:keepNext/>
        <w:keepLines/>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80 per cent of all applications were filed in English. </w:t>
      </w:r>
      <w:r>
        <w:rPr>
          <w:rFonts w:ascii="Arial" w:hAnsi="Arial" w:cs="Arial"/>
          <w:sz w:val="20"/>
          <w:szCs w:val="20"/>
        </w:rPr>
        <w:t xml:space="preserve"> </w:t>
      </w:r>
      <w:r w:rsidRPr="00990B8A">
        <w:rPr>
          <w:rFonts w:ascii="Arial" w:hAnsi="Arial" w:cs="Arial"/>
          <w:sz w:val="20"/>
          <w:szCs w:val="20"/>
        </w:rPr>
        <w:t>This share grew by 15</w:t>
      </w:r>
      <w:r>
        <w:rPr>
          <w:rFonts w:ascii="Arial" w:hAnsi="Arial" w:cs="Arial"/>
          <w:sz w:val="20"/>
          <w:szCs w:val="20"/>
        </w:rPr>
        <w:t> </w:t>
      </w:r>
      <w:r w:rsidRPr="00990B8A">
        <w:rPr>
          <w:rFonts w:ascii="Arial" w:hAnsi="Arial" w:cs="Arial"/>
          <w:sz w:val="20"/>
          <w:szCs w:val="20"/>
        </w:rPr>
        <w:t>percentage points from 65 per cent in 2008 to 80 per cent in 2014.</w:t>
      </w:r>
    </w:p>
    <w:p w14:paraId="7BA59197" w14:textId="77777777" w:rsidR="000877C4" w:rsidRDefault="000877C4" w:rsidP="005A1F7F">
      <w:pPr>
        <w:jc w:val="both"/>
        <w:rPr>
          <w:rFonts w:ascii="Arial" w:hAnsi="Arial" w:cs="Arial"/>
          <w:sz w:val="20"/>
          <w:szCs w:val="20"/>
        </w:rPr>
      </w:pPr>
    </w:p>
    <w:p w14:paraId="19CF4A8A" w14:textId="77777777" w:rsidR="000877C4" w:rsidRPr="00990B8A" w:rsidRDefault="000877C4" w:rsidP="005A1F7F">
      <w:pPr>
        <w:jc w:val="both"/>
        <w:rPr>
          <w:rFonts w:ascii="Arial" w:hAnsi="Arial" w:cs="Arial"/>
          <w:sz w:val="20"/>
          <w:szCs w:val="20"/>
        </w:rPr>
      </w:pPr>
    </w:p>
    <w:p w14:paraId="406B4D33"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Average</w:t>
      </w:r>
      <w:r w:rsidRPr="00990B8A">
        <w:rPr>
          <w:rFonts w:ascii="Arial" w:hAnsi="Arial" w:cs="Arial"/>
          <w:sz w:val="20"/>
          <w:szCs w:val="20"/>
        </w:rPr>
        <w:t xml:space="preserve"> </w:t>
      </w:r>
      <w:r w:rsidRPr="009049DD">
        <w:rPr>
          <w:rFonts w:ascii="Arial" w:hAnsi="Arial" w:cs="Arial"/>
          <w:i/>
          <w:sz w:val="20"/>
          <w:szCs w:val="20"/>
        </w:rPr>
        <w:t>number of designations per registration</w:t>
      </w:r>
    </w:p>
    <w:p w14:paraId="6F7D78CA"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4DAFE493" wp14:editId="31E5CB73">
            <wp:extent cx="5372100" cy="227416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9">
                      <a:extLst>
                        <a:ext uri="{28A0092B-C50C-407E-A947-70E740481C1C}">
                          <a14:useLocalDpi xmlns:a14="http://schemas.microsoft.com/office/drawing/2010/main" val="0"/>
                        </a:ext>
                      </a:extLst>
                    </a:blip>
                    <a:srcRect t="11818"/>
                    <a:stretch/>
                  </pic:blipFill>
                  <pic:spPr bwMode="auto">
                    <a:xfrm>
                      <a:off x="0" y="0"/>
                      <a:ext cx="5380397" cy="2277672"/>
                    </a:xfrm>
                    <a:prstGeom prst="rect">
                      <a:avLst/>
                    </a:prstGeom>
                    <a:noFill/>
                    <a:ln>
                      <a:noFill/>
                    </a:ln>
                    <a:extLst>
                      <a:ext uri="{53640926-AAD7-44D8-BBD7-CCE9431645EC}">
                        <a14:shadowObscured xmlns:a14="http://schemas.microsoft.com/office/drawing/2010/main"/>
                      </a:ext>
                    </a:extLst>
                  </pic:spPr>
                </pic:pic>
              </a:graphicData>
            </a:graphic>
          </wp:inline>
        </w:drawing>
      </w:r>
    </w:p>
    <w:p w14:paraId="3B8FC05D" w14:textId="77777777" w:rsidR="000877C4" w:rsidRPr="00990B8A" w:rsidRDefault="000877C4" w:rsidP="00B66A4A">
      <w:pPr>
        <w:numPr>
          <w:ilvl w:val="0"/>
          <w:numId w:val="45"/>
        </w:numPr>
        <w:tabs>
          <w:tab w:val="clear" w:pos="720"/>
          <w:tab w:val="num" w:pos="1134"/>
        </w:tabs>
        <w:spacing w:after="120"/>
        <w:ind w:left="993" w:hanging="426"/>
        <w:jc w:val="both"/>
        <w:rPr>
          <w:rFonts w:ascii="Arial" w:hAnsi="Arial" w:cs="Arial"/>
          <w:sz w:val="20"/>
          <w:szCs w:val="20"/>
        </w:rPr>
      </w:pPr>
      <w:r w:rsidRPr="00990B8A">
        <w:rPr>
          <w:rFonts w:ascii="Arial" w:hAnsi="Arial" w:cs="Arial"/>
          <w:sz w:val="20"/>
          <w:szCs w:val="20"/>
        </w:rPr>
        <w:t>An average 6.9 designations were made in applications registered in 2014.</w:t>
      </w:r>
    </w:p>
    <w:p w14:paraId="14D387AE" w14:textId="77777777" w:rsidR="000877C4" w:rsidRDefault="000877C4" w:rsidP="00B66A4A">
      <w:pPr>
        <w:numPr>
          <w:ilvl w:val="0"/>
          <w:numId w:val="45"/>
        </w:numPr>
        <w:tabs>
          <w:tab w:val="clear" w:pos="720"/>
          <w:tab w:val="num" w:pos="1134"/>
        </w:tabs>
        <w:spacing w:after="120"/>
        <w:ind w:left="993" w:hanging="426"/>
        <w:jc w:val="both"/>
        <w:rPr>
          <w:rFonts w:ascii="Arial" w:hAnsi="Arial" w:cs="Arial"/>
          <w:sz w:val="20"/>
          <w:szCs w:val="20"/>
        </w:rPr>
      </w:pPr>
      <w:r w:rsidRPr="00990B8A">
        <w:rPr>
          <w:rFonts w:ascii="Arial" w:hAnsi="Arial" w:cs="Arial"/>
          <w:sz w:val="20"/>
          <w:szCs w:val="20"/>
        </w:rPr>
        <w:t>The average number of designations per registration has remained almost unchanged since 2010.</w:t>
      </w:r>
    </w:p>
    <w:p w14:paraId="00FD31CC" w14:textId="77777777" w:rsidR="00E37749" w:rsidRDefault="00E37749" w:rsidP="008D4CE9">
      <w:pPr>
        <w:spacing w:after="120"/>
        <w:ind w:left="993"/>
        <w:jc w:val="both"/>
        <w:rPr>
          <w:rFonts w:ascii="Arial" w:hAnsi="Arial" w:cs="Arial"/>
          <w:sz w:val="20"/>
          <w:szCs w:val="20"/>
        </w:rPr>
      </w:pPr>
    </w:p>
    <w:p w14:paraId="77BFFA57"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Average number of classes per registration</w:t>
      </w:r>
    </w:p>
    <w:p w14:paraId="1AF3C675" w14:textId="77777777"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1DD497D3" wp14:editId="028DFDCB">
            <wp:extent cx="5353050" cy="2152139"/>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0">
                      <a:extLst>
                        <a:ext uri="{28A0092B-C50C-407E-A947-70E740481C1C}">
                          <a14:useLocalDpi xmlns:a14="http://schemas.microsoft.com/office/drawing/2010/main" val="0"/>
                        </a:ext>
                      </a:extLst>
                    </a:blip>
                    <a:srcRect t="13412" r="1404"/>
                    <a:stretch/>
                  </pic:blipFill>
                  <pic:spPr bwMode="auto">
                    <a:xfrm>
                      <a:off x="0" y="0"/>
                      <a:ext cx="5362032" cy="2155750"/>
                    </a:xfrm>
                    <a:prstGeom prst="rect">
                      <a:avLst/>
                    </a:prstGeom>
                    <a:noFill/>
                    <a:ln>
                      <a:noFill/>
                    </a:ln>
                    <a:extLst>
                      <a:ext uri="{53640926-AAD7-44D8-BBD7-CCE9431645EC}">
                        <a14:shadowObscured xmlns:a14="http://schemas.microsoft.com/office/drawing/2010/main"/>
                      </a:ext>
                    </a:extLst>
                  </pic:spPr>
                </pic:pic>
              </a:graphicData>
            </a:graphic>
          </wp:inline>
        </w:drawing>
      </w:r>
    </w:p>
    <w:p w14:paraId="15112ABB" w14:textId="77777777" w:rsidR="000877C4" w:rsidRPr="00990B8A" w:rsidRDefault="000877C4" w:rsidP="00B66A4A">
      <w:pPr>
        <w:keepNext/>
        <w:keepLines/>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On average, 2.5 classes were specified in all applications registered in 2014. </w:t>
      </w:r>
    </w:p>
    <w:p w14:paraId="4EA11290" w14:textId="77777777" w:rsidR="000877C4" w:rsidRPr="00990B8A" w:rsidRDefault="000877C4" w:rsidP="005A1F7F">
      <w:pPr>
        <w:jc w:val="both"/>
        <w:rPr>
          <w:rFonts w:ascii="Arial" w:hAnsi="Arial" w:cs="Arial"/>
          <w:sz w:val="20"/>
          <w:szCs w:val="20"/>
        </w:rPr>
      </w:pPr>
    </w:p>
    <w:p w14:paraId="1451F4DC" w14:textId="77777777" w:rsidR="000877C4" w:rsidRPr="009049DD" w:rsidRDefault="000877C4" w:rsidP="005A1F7F">
      <w:pPr>
        <w:pStyle w:val="ListParagraph"/>
        <w:tabs>
          <w:tab w:val="left" w:pos="1701"/>
        </w:tabs>
        <w:ind w:left="567"/>
        <w:jc w:val="both"/>
        <w:rPr>
          <w:rFonts w:ascii="Arial" w:hAnsi="Arial" w:cs="Arial"/>
          <w:i/>
          <w:sz w:val="20"/>
          <w:szCs w:val="20"/>
        </w:rPr>
      </w:pPr>
      <w:r w:rsidRPr="009049DD">
        <w:rPr>
          <w:rFonts w:ascii="Arial" w:hAnsi="Arial" w:cs="Arial"/>
          <w:i/>
          <w:sz w:val="20"/>
          <w:szCs w:val="20"/>
        </w:rPr>
        <w:lastRenderedPageBreak/>
        <w:t xml:space="preserve">Average length of applications </w:t>
      </w:r>
    </w:p>
    <w:p w14:paraId="272B4788" w14:textId="77777777" w:rsidR="000877C4" w:rsidRPr="00990B8A" w:rsidRDefault="000877C4" w:rsidP="005A1F7F">
      <w:pPr>
        <w:pStyle w:val="ListParagraph"/>
        <w:ind w:left="1980"/>
        <w:jc w:val="both"/>
        <w:rPr>
          <w:rFonts w:ascii="Arial" w:hAnsi="Arial" w:cs="Arial"/>
          <w:sz w:val="20"/>
          <w:szCs w:val="20"/>
        </w:rPr>
      </w:pPr>
    </w:p>
    <w:p w14:paraId="4263FB4E"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 xml:space="preserve">The length of an application is determined by the total number of words used by applicants to describe their mark, by the basic list of goods and services and by any accompanying limitations. These three elements are translated by the IB into two languages (English, French or Spanish). </w:t>
      </w:r>
    </w:p>
    <w:p w14:paraId="10ACC371" w14:textId="77777777" w:rsidR="000877C4" w:rsidRPr="00990B8A" w:rsidRDefault="000877C4" w:rsidP="005A1F7F">
      <w:pPr>
        <w:jc w:val="both"/>
        <w:rPr>
          <w:rFonts w:ascii="Arial" w:hAnsi="Arial" w:cs="Arial"/>
          <w:sz w:val="20"/>
          <w:szCs w:val="20"/>
        </w:rPr>
      </w:pPr>
    </w:p>
    <w:p w14:paraId="4ED2934D"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 xml:space="preserve">The length of applications has an impact on the workload of examiners, which includes classifying the goods and/or services in the application according to the Nice Classification. </w:t>
      </w:r>
    </w:p>
    <w:p w14:paraId="7F69D539" w14:textId="77777777" w:rsidR="000877C4" w:rsidRPr="00990B8A" w:rsidRDefault="000877C4" w:rsidP="005A1F7F">
      <w:pPr>
        <w:jc w:val="both"/>
        <w:rPr>
          <w:rFonts w:ascii="Arial" w:hAnsi="Arial" w:cs="Arial"/>
          <w:sz w:val="20"/>
          <w:szCs w:val="20"/>
        </w:rPr>
      </w:pPr>
    </w:p>
    <w:p w14:paraId="1A25ED43"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average length of an application is determined by the total number of words in basic lists of goods and services, limitations and descriptions divided by the number of applications registered.</w:t>
      </w:r>
    </w:p>
    <w:p w14:paraId="3C0BD910"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166CA049" wp14:editId="604DC3D8">
            <wp:extent cx="5461695" cy="2695492"/>
            <wp:effectExtent l="0" t="0" r="571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460766" cy="2695033"/>
                    </a:xfrm>
                    <a:prstGeom prst="rect">
                      <a:avLst/>
                    </a:prstGeom>
                    <a:noFill/>
                  </pic:spPr>
                </pic:pic>
              </a:graphicData>
            </a:graphic>
          </wp:inline>
        </w:drawing>
      </w:r>
    </w:p>
    <w:p w14:paraId="2D931DB8" w14:textId="77777777" w:rsidR="000877C4" w:rsidRPr="00990B8A" w:rsidRDefault="000877C4" w:rsidP="005A1F7F">
      <w:pPr>
        <w:jc w:val="both"/>
        <w:rPr>
          <w:rFonts w:ascii="Arial" w:hAnsi="Arial" w:cs="Arial"/>
          <w:sz w:val="20"/>
          <w:szCs w:val="20"/>
        </w:rPr>
      </w:pPr>
    </w:p>
    <w:p w14:paraId="7FE7ECB0"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In 2014, the average length of an application was 239 words. This represents an increase of 12 per cent compared to 2013.</w:t>
      </w:r>
    </w:p>
    <w:p w14:paraId="7F701BC3"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While certain aspects of the translation and classification work are automated, significant increases in the length of applications has a large impact on the workload of the IB.</w:t>
      </w:r>
    </w:p>
    <w:p w14:paraId="0AE60366" w14:textId="77777777" w:rsidR="000877C4" w:rsidRPr="00990B8A" w:rsidRDefault="000877C4" w:rsidP="005A1F7F">
      <w:pPr>
        <w:pStyle w:val="ListParagraph"/>
        <w:jc w:val="both"/>
        <w:rPr>
          <w:rFonts w:ascii="Arial" w:hAnsi="Arial" w:cs="Arial"/>
          <w:sz w:val="20"/>
          <w:szCs w:val="20"/>
        </w:rPr>
      </w:pPr>
    </w:p>
    <w:p w14:paraId="351D27C3" w14:textId="77777777" w:rsidR="000877C4" w:rsidRPr="00990B8A" w:rsidRDefault="000877C4" w:rsidP="005A1F7F">
      <w:pPr>
        <w:pStyle w:val="ListParagraph"/>
        <w:jc w:val="both"/>
        <w:rPr>
          <w:rFonts w:ascii="Arial" w:hAnsi="Arial" w:cs="Arial"/>
          <w:sz w:val="20"/>
          <w:szCs w:val="20"/>
        </w:rPr>
      </w:pPr>
    </w:p>
    <w:p w14:paraId="3A8B3729"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 xml:space="preserve">Distribution of regular and irregular applications </w:t>
      </w:r>
    </w:p>
    <w:p w14:paraId="09CFF923"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225F1F92" wp14:editId="309C2AB5">
            <wp:extent cx="5762625" cy="2624301"/>
            <wp:effectExtent l="0" t="0" r="0"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2">
                      <a:extLst>
                        <a:ext uri="{28A0092B-C50C-407E-A947-70E740481C1C}">
                          <a14:useLocalDpi xmlns:a14="http://schemas.microsoft.com/office/drawing/2010/main" val="0"/>
                        </a:ext>
                      </a:extLst>
                    </a:blip>
                    <a:srcRect t="9225"/>
                    <a:stretch/>
                  </pic:blipFill>
                  <pic:spPr bwMode="auto">
                    <a:xfrm>
                      <a:off x="0" y="0"/>
                      <a:ext cx="5769370" cy="2627373"/>
                    </a:xfrm>
                    <a:prstGeom prst="rect">
                      <a:avLst/>
                    </a:prstGeom>
                    <a:noFill/>
                    <a:ln>
                      <a:noFill/>
                    </a:ln>
                    <a:extLst>
                      <a:ext uri="{53640926-AAD7-44D8-BBD7-CCE9431645EC}">
                        <a14:shadowObscured xmlns:a14="http://schemas.microsoft.com/office/drawing/2010/main"/>
                      </a:ext>
                    </a:extLst>
                  </pic:spPr>
                </pic:pic>
              </a:graphicData>
            </a:graphic>
          </wp:inline>
        </w:drawing>
      </w:r>
    </w:p>
    <w:p w14:paraId="0A957402"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The share of regular applications has remained more or less the same since 2011. </w:t>
      </w:r>
    </w:p>
    <w:p w14:paraId="22901E5C" w14:textId="721F1E8E" w:rsidR="00E37749" w:rsidRDefault="00E37749">
      <w:pPr>
        <w:rPr>
          <w:rFonts w:ascii="Arial" w:hAnsi="Arial" w:cs="Arial"/>
          <w:sz w:val="20"/>
          <w:szCs w:val="20"/>
        </w:rPr>
      </w:pPr>
      <w:r>
        <w:rPr>
          <w:rFonts w:ascii="Arial" w:hAnsi="Arial" w:cs="Arial"/>
          <w:sz w:val="20"/>
          <w:szCs w:val="20"/>
        </w:rPr>
        <w:br w:type="page"/>
      </w:r>
    </w:p>
    <w:p w14:paraId="2EE42A01" w14:textId="77777777" w:rsidR="000877C4" w:rsidRPr="00990B8A" w:rsidRDefault="000877C4" w:rsidP="005A1F7F">
      <w:pPr>
        <w:jc w:val="both"/>
        <w:rPr>
          <w:rFonts w:ascii="Arial" w:hAnsi="Arial" w:cs="Arial"/>
          <w:sz w:val="20"/>
          <w:szCs w:val="20"/>
        </w:rPr>
      </w:pPr>
    </w:p>
    <w:p w14:paraId="0DE97AA7"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Renewals </w:t>
      </w:r>
    </w:p>
    <w:p w14:paraId="51131A3B"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7165A72C" wp14:editId="63CB3C24">
            <wp:extent cx="5390984" cy="2639730"/>
            <wp:effectExtent l="0" t="0" r="635"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390352" cy="2639420"/>
                    </a:xfrm>
                    <a:prstGeom prst="rect">
                      <a:avLst/>
                    </a:prstGeom>
                    <a:noFill/>
                  </pic:spPr>
                </pic:pic>
              </a:graphicData>
            </a:graphic>
          </wp:inline>
        </w:drawing>
      </w:r>
    </w:p>
    <w:p w14:paraId="64E220CC" w14:textId="77777777" w:rsidR="000877C4" w:rsidRPr="00990B8A" w:rsidRDefault="000877C4" w:rsidP="00B66A4A">
      <w:pPr>
        <w:numPr>
          <w:ilvl w:val="0"/>
          <w:numId w:val="45"/>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 xml:space="preserve">In 2014, the IB registered 25,729 renewals, up 12 per cent from 2013. </w:t>
      </w:r>
    </w:p>
    <w:p w14:paraId="52112A5E" w14:textId="77777777" w:rsidR="000877C4" w:rsidRDefault="000877C4" w:rsidP="00B66A4A">
      <w:pPr>
        <w:numPr>
          <w:ilvl w:val="0"/>
          <w:numId w:val="45"/>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Despite the increase in renewals between 2009 and 2014, the numbers of renewals processed manually have remained relatively stable. In 2014, 59 per cent of renewals were processed automatically.</w:t>
      </w:r>
    </w:p>
    <w:p w14:paraId="77934671" w14:textId="77777777" w:rsidR="000877C4" w:rsidRPr="00990B8A" w:rsidRDefault="000877C4" w:rsidP="005A1F7F">
      <w:pPr>
        <w:spacing w:after="120"/>
        <w:ind w:left="993" w:hanging="426"/>
        <w:jc w:val="both"/>
        <w:rPr>
          <w:rFonts w:ascii="Arial" w:hAnsi="Arial" w:cs="Arial"/>
          <w:sz w:val="20"/>
          <w:szCs w:val="20"/>
        </w:rPr>
      </w:pPr>
    </w:p>
    <w:p w14:paraId="68024546" w14:textId="77777777" w:rsidR="000877C4" w:rsidRPr="009049DD" w:rsidRDefault="000877C4" w:rsidP="005A1F7F">
      <w:pPr>
        <w:pStyle w:val="ListParagraph"/>
        <w:keepNext/>
        <w:keepLines/>
        <w:ind w:left="0"/>
        <w:jc w:val="both"/>
        <w:rPr>
          <w:rFonts w:ascii="Arial" w:hAnsi="Arial" w:cs="Arial"/>
          <w:sz w:val="20"/>
          <w:u w:val="single"/>
        </w:rPr>
      </w:pPr>
      <w:r w:rsidRPr="009049DD">
        <w:rPr>
          <w:rFonts w:ascii="Arial" w:hAnsi="Arial" w:cs="Arial"/>
          <w:sz w:val="20"/>
          <w:u w:val="single"/>
        </w:rPr>
        <w:t xml:space="preserve">Subsequent Designations </w:t>
      </w:r>
    </w:p>
    <w:p w14:paraId="3A2881BF" w14:textId="77777777" w:rsidR="000877C4" w:rsidRPr="00BF43CC" w:rsidRDefault="000877C4" w:rsidP="005A1F7F">
      <w:pPr>
        <w:keepNext/>
        <w:keepLines/>
        <w:jc w:val="center"/>
        <w:rPr>
          <w:rFonts w:ascii="Arial" w:hAnsi="Arial" w:cs="Arial"/>
          <w:sz w:val="20"/>
          <w:szCs w:val="20"/>
          <w:highlight w:val="yellow"/>
        </w:rPr>
      </w:pPr>
      <w:r w:rsidRPr="00990B8A">
        <w:rPr>
          <w:rFonts w:ascii="Arial" w:hAnsi="Arial" w:cs="Arial"/>
          <w:noProof/>
          <w:color w:val="FF0000"/>
          <w:sz w:val="20"/>
          <w:szCs w:val="20"/>
          <w:lang w:eastAsia="en-US"/>
        </w:rPr>
        <w:drawing>
          <wp:inline distT="0" distB="0" distL="0" distR="0" wp14:anchorId="06CF2658" wp14:editId="779B4F0F">
            <wp:extent cx="5276850" cy="2773976"/>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283262" cy="2777347"/>
                    </a:xfrm>
                    <a:prstGeom prst="rect">
                      <a:avLst/>
                    </a:prstGeom>
                    <a:noFill/>
                  </pic:spPr>
                </pic:pic>
              </a:graphicData>
            </a:graphic>
          </wp:inline>
        </w:drawing>
      </w:r>
    </w:p>
    <w:p w14:paraId="3F0644C5" w14:textId="77777777" w:rsidR="000877C4" w:rsidRPr="00460795" w:rsidRDefault="000877C4" w:rsidP="005A1F7F">
      <w:pPr>
        <w:keepNext/>
        <w:keepLines/>
        <w:jc w:val="both"/>
        <w:rPr>
          <w:rFonts w:ascii="Arial" w:hAnsi="Arial" w:cs="Arial"/>
          <w:sz w:val="20"/>
          <w:szCs w:val="20"/>
          <w:highlight w:val="yellow"/>
        </w:rPr>
      </w:pPr>
    </w:p>
    <w:p w14:paraId="6E88FEDF" w14:textId="77777777" w:rsidR="000877C4" w:rsidRPr="0043175E" w:rsidRDefault="000877C4" w:rsidP="00B66A4A">
      <w:pPr>
        <w:keepNext/>
        <w:keepLines/>
        <w:numPr>
          <w:ilvl w:val="0"/>
          <w:numId w:val="45"/>
        </w:numPr>
        <w:tabs>
          <w:tab w:val="clear" w:pos="720"/>
          <w:tab w:val="num" w:pos="993"/>
        </w:tabs>
        <w:spacing w:after="120"/>
        <w:ind w:left="993" w:hanging="426"/>
        <w:jc w:val="both"/>
        <w:rPr>
          <w:rFonts w:ascii="Arial" w:hAnsi="Arial" w:cs="Arial"/>
          <w:sz w:val="20"/>
          <w:szCs w:val="20"/>
        </w:rPr>
      </w:pPr>
      <w:r w:rsidRPr="0043175E">
        <w:rPr>
          <w:rFonts w:ascii="Arial" w:hAnsi="Arial" w:cs="Arial"/>
          <w:sz w:val="20"/>
          <w:szCs w:val="20"/>
        </w:rPr>
        <w:t xml:space="preserve">In 2014, the IB recorded 17,316 subsequent designations, down 2.5 per cent from 2013. </w:t>
      </w:r>
    </w:p>
    <w:p w14:paraId="18A6B1E4" w14:textId="77777777" w:rsidR="000877C4" w:rsidRPr="0043175E" w:rsidRDefault="000877C4" w:rsidP="00B66A4A">
      <w:pPr>
        <w:keepNext/>
        <w:keepLines/>
        <w:numPr>
          <w:ilvl w:val="0"/>
          <w:numId w:val="45"/>
        </w:numPr>
        <w:tabs>
          <w:tab w:val="clear" w:pos="720"/>
          <w:tab w:val="num" w:pos="993"/>
        </w:tabs>
        <w:ind w:left="993" w:hanging="426"/>
        <w:jc w:val="both"/>
        <w:rPr>
          <w:rFonts w:ascii="Arial" w:hAnsi="Arial" w:cs="Arial"/>
          <w:b/>
          <w:sz w:val="20"/>
          <w:szCs w:val="20"/>
        </w:rPr>
      </w:pPr>
      <w:r w:rsidRPr="0043175E">
        <w:rPr>
          <w:rFonts w:ascii="Arial" w:hAnsi="Arial" w:cs="Arial"/>
          <w:sz w:val="20"/>
          <w:szCs w:val="20"/>
        </w:rPr>
        <w:t xml:space="preserve">In 2014, a new web form called E-Subsequent Designation was made available to applicants. </w:t>
      </w:r>
      <w:r>
        <w:rPr>
          <w:rFonts w:ascii="Arial" w:hAnsi="Arial" w:cs="Arial"/>
          <w:sz w:val="20"/>
          <w:szCs w:val="20"/>
        </w:rPr>
        <w:t xml:space="preserve"> </w:t>
      </w:r>
      <w:r w:rsidRPr="0043175E">
        <w:rPr>
          <w:rFonts w:ascii="Arial" w:hAnsi="Arial" w:cs="Arial"/>
          <w:sz w:val="20"/>
          <w:szCs w:val="20"/>
        </w:rPr>
        <w:t xml:space="preserve">This electronic form enabled the IB to process 14 per cent of all subsequent designations automatically. </w:t>
      </w:r>
    </w:p>
    <w:p w14:paraId="4E033B7D" w14:textId="77777777" w:rsidR="000877C4" w:rsidRDefault="000877C4" w:rsidP="005A1F7F">
      <w:pPr>
        <w:pStyle w:val="ListParagraph"/>
        <w:ind w:left="1418"/>
        <w:jc w:val="both"/>
        <w:rPr>
          <w:rFonts w:ascii="Arial" w:hAnsi="Arial" w:cs="Arial"/>
          <w:b/>
          <w:sz w:val="20"/>
          <w:szCs w:val="20"/>
        </w:rPr>
      </w:pPr>
    </w:p>
    <w:p w14:paraId="6D0E0512" w14:textId="77777777" w:rsidR="000877C4" w:rsidRPr="0043175E" w:rsidRDefault="000877C4" w:rsidP="005A1F7F">
      <w:pPr>
        <w:pStyle w:val="ListParagraph"/>
        <w:ind w:left="1418"/>
        <w:jc w:val="both"/>
        <w:rPr>
          <w:rFonts w:ascii="Arial" w:hAnsi="Arial" w:cs="Arial"/>
          <w:b/>
          <w:sz w:val="20"/>
          <w:szCs w:val="20"/>
        </w:rPr>
      </w:pPr>
    </w:p>
    <w:p w14:paraId="4DE57B80" w14:textId="77777777" w:rsidR="000877C4" w:rsidRPr="009049DD" w:rsidRDefault="000877C4" w:rsidP="008D4CE9">
      <w:pPr>
        <w:pStyle w:val="ListParagraph"/>
        <w:keepNext/>
        <w:keepLines/>
        <w:ind w:left="0"/>
        <w:jc w:val="both"/>
        <w:rPr>
          <w:rFonts w:ascii="Arial" w:hAnsi="Arial" w:cs="Arial"/>
          <w:sz w:val="20"/>
          <w:u w:val="single"/>
        </w:rPr>
      </w:pPr>
      <w:r w:rsidRPr="009049DD">
        <w:rPr>
          <w:rFonts w:ascii="Arial" w:hAnsi="Arial" w:cs="Arial"/>
          <w:sz w:val="20"/>
          <w:u w:val="single"/>
        </w:rPr>
        <w:lastRenderedPageBreak/>
        <w:t>Modifications</w:t>
      </w:r>
    </w:p>
    <w:p w14:paraId="77BFAFFE" w14:textId="77777777" w:rsidR="000877C4" w:rsidRPr="00990B8A" w:rsidRDefault="000877C4" w:rsidP="008D4CE9">
      <w:pPr>
        <w:keepNext/>
        <w:keepLines/>
        <w:ind w:left="360"/>
        <w:jc w:val="center"/>
        <w:rPr>
          <w:rFonts w:ascii="Arial" w:hAnsi="Arial" w:cs="Arial"/>
        </w:rPr>
      </w:pPr>
      <w:r w:rsidRPr="00990B8A">
        <w:rPr>
          <w:rFonts w:ascii="Arial" w:hAnsi="Arial" w:cs="Arial"/>
          <w:noProof/>
          <w:lang w:eastAsia="en-US"/>
        </w:rPr>
        <w:drawing>
          <wp:inline distT="0" distB="0" distL="0" distR="0" wp14:anchorId="6E74025E" wp14:editId="33759A1F">
            <wp:extent cx="4876800" cy="2340016"/>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5">
                      <a:extLst>
                        <a:ext uri="{28A0092B-C50C-407E-A947-70E740481C1C}">
                          <a14:useLocalDpi xmlns:a14="http://schemas.microsoft.com/office/drawing/2010/main" val="0"/>
                        </a:ext>
                      </a:extLst>
                    </a:blip>
                    <a:srcRect t="4466"/>
                    <a:stretch/>
                  </pic:blipFill>
                  <pic:spPr bwMode="auto">
                    <a:xfrm>
                      <a:off x="0" y="0"/>
                      <a:ext cx="4877977" cy="2340581"/>
                    </a:xfrm>
                    <a:prstGeom prst="rect">
                      <a:avLst/>
                    </a:prstGeom>
                    <a:noFill/>
                    <a:ln>
                      <a:noFill/>
                    </a:ln>
                    <a:extLst>
                      <a:ext uri="{53640926-AAD7-44D8-BBD7-CCE9431645EC}">
                        <a14:shadowObscured xmlns:a14="http://schemas.microsoft.com/office/drawing/2010/main"/>
                      </a:ext>
                    </a:extLst>
                  </pic:spPr>
                </pic:pic>
              </a:graphicData>
            </a:graphic>
          </wp:inline>
        </w:drawing>
      </w:r>
    </w:p>
    <w:p w14:paraId="0FCFA2F4" w14:textId="77777777" w:rsidR="000877C4"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the IB received 38,817 requests for modification, up 5.5 per cent from 2013. </w:t>
      </w:r>
    </w:p>
    <w:p w14:paraId="2BAB31E6" w14:textId="77777777" w:rsidR="000877C4" w:rsidRPr="00990B8A" w:rsidRDefault="000877C4" w:rsidP="005A1F7F">
      <w:pPr>
        <w:spacing w:after="120"/>
        <w:ind w:left="1560"/>
        <w:jc w:val="both"/>
        <w:rPr>
          <w:rFonts w:ascii="Arial" w:hAnsi="Arial" w:cs="Arial"/>
          <w:sz w:val="20"/>
          <w:szCs w:val="20"/>
        </w:rPr>
      </w:pPr>
    </w:p>
    <w:p w14:paraId="61A6146D" w14:textId="77777777" w:rsidR="000877C4" w:rsidRPr="009049DD" w:rsidRDefault="000877C4" w:rsidP="005A1F7F">
      <w:pPr>
        <w:pStyle w:val="ListParagraph"/>
        <w:keepNext/>
        <w:keepLines/>
        <w:ind w:left="0"/>
        <w:jc w:val="both"/>
        <w:rPr>
          <w:rFonts w:ascii="Arial" w:hAnsi="Arial" w:cs="Arial"/>
          <w:sz w:val="20"/>
          <w:u w:val="single"/>
        </w:rPr>
      </w:pPr>
      <w:r w:rsidRPr="009049DD">
        <w:rPr>
          <w:rFonts w:ascii="Arial" w:hAnsi="Arial" w:cs="Arial"/>
          <w:sz w:val="20"/>
          <w:u w:val="single"/>
        </w:rPr>
        <w:t>Decisions</w:t>
      </w:r>
    </w:p>
    <w:p w14:paraId="3B6A8B90" w14:textId="77777777"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5194AE9B" wp14:editId="356999BB">
            <wp:extent cx="5343525" cy="2600768"/>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6">
                      <a:extLst>
                        <a:ext uri="{28A0092B-C50C-407E-A947-70E740481C1C}">
                          <a14:useLocalDpi xmlns:a14="http://schemas.microsoft.com/office/drawing/2010/main" val="0"/>
                        </a:ext>
                      </a:extLst>
                    </a:blip>
                    <a:srcRect t="4717"/>
                    <a:stretch/>
                  </pic:blipFill>
                  <pic:spPr bwMode="auto">
                    <a:xfrm>
                      <a:off x="0" y="0"/>
                      <a:ext cx="5345262" cy="2601613"/>
                    </a:xfrm>
                    <a:prstGeom prst="rect">
                      <a:avLst/>
                    </a:prstGeom>
                    <a:noFill/>
                    <a:ln>
                      <a:noFill/>
                    </a:ln>
                    <a:extLst>
                      <a:ext uri="{53640926-AAD7-44D8-BBD7-CCE9431645EC}">
                        <a14:shadowObscured xmlns:a14="http://schemas.microsoft.com/office/drawing/2010/main"/>
                      </a:ext>
                    </a:extLst>
                  </pic:spPr>
                </pic:pic>
              </a:graphicData>
            </a:graphic>
          </wp:inline>
        </w:drawing>
      </w:r>
    </w:p>
    <w:p w14:paraId="0178F7B8" w14:textId="77777777" w:rsidR="000877C4" w:rsidRPr="00990B8A" w:rsidRDefault="000877C4" w:rsidP="00B66A4A">
      <w:pPr>
        <w:keepNext/>
        <w:keepLines/>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the number of decisions registered decreased by 0.3 per cent compared to 2013, totaling 521,208. </w:t>
      </w:r>
      <w:r>
        <w:rPr>
          <w:rFonts w:ascii="Arial" w:hAnsi="Arial" w:cs="Arial"/>
          <w:sz w:val="20"/>
          <w:szCs w:val="20"/>
        </w:rPr>
        <w:t xml:space="preserve"> </w:t>
      </w:r>
      <w:r w:rsidRPr="00990B8A">
        <w:rPr>
          <w:rFonts w:ascii="Arial" w:hAnsi="Arial" w:cs="Arial"/>
          <w:sz w:val="20"/>
          <w:szCs w:val="20"/>
        </w:rPr>
        <w:t>The number of decisions processed has rapidly increased since 2010.</w:t>
      </w:r>
    </w:p>
    <w:p w14:paraId="18C4109C"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62 per cent of decisions were processed automatically. </w:t>
      </w:r>
      <w:r>
        <w:rPr>
          <w:rFonts w:ascii="Arial" w:hAnsi="Arial" w:cs="Arial"/>
          <w:sz w:val="20"/>
          <w:szCs w:val="20"/>
        </w:rPr>
        <w:t xml:space="preserve"> </w:t>
      </w:r>
      <w:r w:rsidRPr="00990B8A">
        <w:rPr>
          <w:rFonts w:ascii="Arial" w:hAnsi="Arial" w:cs="Arial"/>
          <w:sz w:val="20"/>
          <w:szCs w:val="20"/>
        </w:rPr>
        <w:t>The majority of decisions have been processed automatically since 2011.</w:t>
      </w:r>
    </w:p>
    <w:p w14:paraId="34BDDE15" w14:textId="77777777" w:rsidR="000877C4" w:rsidRPr="00990B8A" w:rsidRDefault="000877C4" w:rsidP="005A1F7F">
      <w:pPr>
        <w:jc w:val="both"/>
        <w:rPr>
          <w:rFonts w:ascii="Arial" w:hAnsi="Arial" w:cs="Arial"/>
        </w:rPr>
      </w:pPr>
    </w:p>
    <w:p w14:paraId="72FD8D73"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Corrections</w:t>
      </w:r>
    </w:p>
    <w:p w14:paraId="042877B8"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76AEA198" wp14:editId="383C196B">
            <wp:extent cx="4933950" cy="2228819"/>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7">
                      <a:extLst>
                        <a:ext uri="{28A0092B-C50C-407E-A947-70E740481C1C}">
                          <a14:useLocalDpi xmlns:a14="http://schemas.microsoft.com/office/drawing/2010/main" val="0"/>
                        </a:ext>
                      </a:extLst>
                    </a:blip>
                    <a:srcRect t="3944"/>
                    <a:stretch/>
                  </pic:blipFill>
                  <pic:spPr bwMode="auto">
                    <a:xfrm>
                      <a:off x="0" y="0"/>
                      <a:ext cx="4932738" cy="2228271"/>
                    </a:xfrm>
                    <a:prstGeom prst="rect">
                      <a:avLst/>
                    </a:prstGeom>
                    <a:noFill/>
                    <a:ln>
                      <a:noFill/>
                    </a:ln>
                    <a:extLst>
                      <a:ext uri="{53640926-AAD7-44D8-BBD7-CCE9431645EC}">
                        <a14:shadowObscured xmlns:a14="http://schemas.microsoft.com/office/drawing/2010/main"/>
                      </a:ext>
                    </a:extLst>
                  </pic:spPr>
                </pic:pic>
              </a:graphicData>
            </a:graphic>
          </wp:inline>
        </w:drawing>
      </w:r>
    </w:p>
    <w:p w14:paraId="1F857E2D"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lastRenderedPageBreak/>
        <w:t xml:space="preserve">In 2014, the IB recorded approximately 6,000 corrections. </w:t>
      </w:r>
      <w:r>
        <w:rPr>
          <w:rFonts w:ascii="Arial" w:hAnsi="Arial" w:cs="Arial"/>
          <w:sz w:val="20"/>
          <w:szCs w:val="20"/>
        </w:rPr>
        <w:t xml:space="preserve"> </w:t>
      </w:r>
      <w:r w:rsidRPr="00990B8A">
        <w:rPr>
          <w:rFonts w:ascii="Arial" w:hAnsi="Arial" w:cs="Arial"/>
          <w:sz w:val="20"/>
          <w:szCs w:val="20"/>
        </w:rPr>
        <w:t>This represents an increase of 17 per cent compared to 2013.</w:t>
      </w:r>
    </w:p>
    <w:p w14:paraId="5F463DE4" w14:textId="77777777" w:rsidR="000877C4" w:rsidRPr="00460795" w:rsidRDefault="000877C4" w:rsidP="00B66A4A">
      <w:pPr>
        <w:pStyle w:val="ListParagraph"/>
        <w:keepNext/>
        <w:keepLines/>
        <w:numPr>
          <w:ilvl w:val="0"/>
          <w:numId w:val="44"/>
        </w:numPr>
        <w:ind w:left="540" w:hanging="540"/>
        <w:jc w:val="both"/>
        <w:rPr>
          <w:rFonts w:ascii="Arial" w:hAnsi="Arial" w:cs="Arial"/>
          <w:b/>
          <w:sz w:val="20"/>
          <w:szCs w:val="20"/>
        </w:rPr>
      </w:pPr>
      <w:r w:rsidRPr="00460795">
        <w:rPr>
          <w:rFonts w:ascii="Arial" w:hAnsi="Arial" w:cs="Arial"/>
          <w:b/>
          <w:sz w:val="20"/>
          <w:szCs w:val="20"/>
        </w:rPr>
        <w:t>Total workload</w:t>
      </w:r>
    </w:p>
    <w:p w14:paraId="24C140DA" w14:textId="77777777" w:rsidR="000877C4" w:rsidRPr="00990B8A" w:rsidRDefault="000877C4" w:rsidP="005A1F7F">
      <w:pPr>
        <w:keepNext/>
        <w:keepLines/>
        <w:jc w:val="both"/>
        <w:rPr>
          <w:rFonts w:ascii="Arial" w:hAnsi="Arial" w:cs="Arial"/>
          <w:sz w:val="20"/>
          <w:szCs w:val="20"/>
        </w:rPr>
      </w:pPr>
    </w:p>
    <w:p w14:paraId="24E1A9B0" w14:textId="77777777" w:rsidR="000877C4" w:rsidRPr="00990B8A" w:rsidRDefault="000877C4" w:rsidP="00B66A4A">
      <w:pPr>
        <w:pStyle w:val="ListParagraph"/>
        <w:keepNext/>
        <w:keepLines/>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 xml:space="preserve">The total workload represents the weighted total number of documents processed by the IB. </w:t>
      </w:r>
      <w:r>
        <w:rPr>
          <w:rFonts w:ascii="Arial" w:hAnsi="Arial" w:cs="Arial"/>
          <w:sz w:val="20"/>
          <w:szCs w:val="20"/>
        </w:rPr>
        <w:t xml:space="preserve"> </w:t>
      </w:r>
      <w:r w:rsidRPr="00990B8A">
        <w:rPr>
          <w:rFonts w:ascii="Arial" w:hAnsi="Arial" w:cs="Arial"/>
          <w:sz w:val="20"/>
          <w:szCs w:val="20"/>
        </w:rPr>
        <w:t>All six categories of documents are included (applications, renewals, subsequent designations, modifications, decisions and corrections).</w:t>
      </w:r>
    </w:p>
    <w:p w14:paraId="00378B26" w14:textId="77777777" w:rsidR="000877C4" w:rsidRPr="00990B8A" w:rsidRDefault="000877C4" w:rsidP="005A1F7F">
      <w:pPr>
        <w:keepNext/>
        <w:keepLines/>
        <w:jc w:val="both"/>
        <w:rPr>
          <w:rFonts w:ascii="Arial" w:hAnsi="Arial" w:cs="Arial"/>
          <w:sz w:val="20"/>
          <w:szCs w:val="20"/>
        </w:rPr>
      </w:pPr>
    </w:p>
    <w:p w14:paraId="6DE1EBD9" w14:textId="77777777" w:rsidR="000877C4" w:rsidRPr="00990B8A" w:rsidRDefault="000877C4" w:rsidP="00B66A4A">
      <w:pPr>
        <w:pStyle w:val="ListParagraph"/>
        <w:keepNext/>
        <w:keepLines/>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processing these types of documents do not require equal resources, they are each weighted differently.  According to this weighted system, during the time required to process an international application, an examiner can process 1.6 renewals, 1.8 subsequent designat</w:t>
      </w:r>
      <w:r>
        <w:rPr>
          <w:rFonts w:ascii="Arial" w:hAnsi="Arial" w:cs="Arial"/>
          <w:sz w:val="20"/>
          <w:szCs w:val="20"/>
        </w:rPr>
        <w:t>ions, 1.8 </w:t>
      </w:r>
      <w:r w:rsidRPr="00990B8A">
        <w:rPr>
          <w:rFonts w:ascii="Arial" w:hAnsi="Arial" w:cs="Arial"/>
          <w:sz w:val="20"/>
          <w:szCs w:val="20"/>
        </w:rPr>
        <w:t>modifications or 10 decisions. Similarly, during the time required to process an international application, an employee involved in the automation process can be deemed to process 17</w:t>
      </w:r>
      <w:r>
        <w:rPr>
          <w:rFonts w:ascii="Arial" w:hAnsi="Arial" w:cs="Arial"/>
          <w:sz w:val="20"/>
          <w:szCs w:val="20"/>
        </w:rPr>
        <w:t> </w:t>
      </w:r>
      <w:r w:rsidRPr="00990B8A">
        <w:rPr>
          <w:rFonts w:ascii="Arial" w:hAnsi="Arial" w:cs="Arial"/>
          <w:sz w:val="20"/>
          <w:szCs w:val="20"/>
        </w:rPr>
        <w:t xml:space="preserve">documents. </w:t>
      </w:r>
    </w:p>
    <w:p w14:paraId="0F21C2C5" w14:textId="77777777" w:rsidR="000877C4" w:rsidRPr="00990B8A" w:rsidRDefault="000877C4" w:rsidP="005A1F7F">
      <w:pPr>
        <w:jc w:val="both"/>
        <w:rPr>
          <w:rFonts w:ascii="Arial" w:hAnsi="Arial" w:cs="Arial"/>
          <w:sz w:val="16"/>
          <w:szCs w:val="16"/>
        </w:rPr>
      </w:pPr>
    </w:p>
    <w:p w14:paraId="1D39C6AD"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0046C481" wp14:editId="35ED3EAA">
            <wp:extent cx="5210132" cy="2259106"/>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218726" cy="2262832"/>
                    </a:xfrm>
                    <a:prstGeom prst="rect">
                      <a:avLst/>
                    </a:prstGeom>
                    <a:noFill/>
                  </pic:spPr>
                </pic:pic>
              </a:graphicData>
            </a:graphic>
          </wp:inline>
        </w:drawing>
      </w:r>
    </w:p>
    <w:p w14:paraId="4C879CC9"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In 2014, the total workload remained stable compared to 2013. Applications, decisions and modifications represented nearly 80 per cent of the total workload.</w:t>
      </w:r>
    </w:p>
    <w:p w14:paraId="09969EDE"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rPr>
      </w:pPr>
      <w:r w:rsidRPr="00990B8A">
        <w:rPr>
          <w:rFonts w:ascii="Arial" w:hAnsi="Arial" w:cs="Arial"/>
          <w:sz w:val="20"/>
          <w:szCs w:val="20"/>
        </w:rPr>
        <w:t>Between 2011 and 2013, the workload increased sharply, mainly due to the increasing number of decisions.</w:t>
      </w:r>
    </w:p>
    <w:p w14:paraId="725967F0" w14:textId="77777777" w:rsidR="000877C4" w:rsidRPr="00990B8A" w:rsidRDefault="000877C4" w:rsidP="005A1F7F">
      <w:pPr>
        <w:pStyle w:val="ListParagraph"/>
        <w:ind w:left="1080"/>
        <w:jc w:val="both"/>
        <w:rPr>
          <w:rFonts w:ascii="Arial" w:hAnsi="Arial" w:cs="Arial"/>
          <w:sz w:val="16"/>
          <w:szCs w:val="16"/>
        </w:rPr>
      </w:pPr>
    </w:p>
    <w:p w14:paraId="6AF5525A" w14:textId="77777777" w:rsidR="000877C4" w:rsidRPr="00990B8A" w:rsidRDefault="000877C4" w:rsidP="005A1F7F">
      <w:pPr>
        <w:pStyle w:val="ListParagraph"/>
        <w:ind w:left="1080"/>
        <w:jc w:val="both"/>
        <w:rPr>
          <w:rFonts w:ascii="Arial" w:hAnsi="Arial" w:cs="Arial"/>
          <w:sz w:val="16"/>
          <w:szCs w:val="16"/>
        </w:rPr>
      </w:pPr>
    </w:p>
    <w:p w14:paraId="606543C0" w14:textId="77777777" w:rsidR="000877C4" w:rsidRDefault="000877C4" w:rsidP="00B66A4A">
      <w:pPr>
        <w:pStyle w:val="ListParagraph"/>
        <w:numPr>
          <w:ilvl w:val="0"/>
          <w:numId w:val="44"/>
        </w:numPr>
        <w:ind w:left="567" w:hanging="567"/>
        <w:jc w:val="both"/>
        <w:rPr>
          <w:rFonts w:ascii="Arial" w:hAnsi="Arial" w:cs="Arial"/>
          <w:b/>
          <w:sz w:val="20"/>
          <w:szCs w:val="20"/>
        </w:rPr>
      </w:pPr>
      <w:r w:rsidRPr="00460795">
        <w:rPr>
          <w:rFonts w:ascii="Arial" w:hAnsi="Arial" w:cs="Arial"/>
          <w:b/>
          <w:sz w:val="20"/>
          <w:szCs w:val="20"/>
        </w:rPr>
        <w:t xml:space="preserve">Medium of Transmission of Incoming Documents </w:t>
      </w:r>
    </w:p>
    <w:p w14:paraId="27E4FCBC" w14:textId="77777777" w:rsidR="000877C4" w:rsidRPr="00460795" w:rsidRDefault="000877C4" w:rsidP="005A1F7F">
      <w:pPr>
        <w:pStyle w:val="ListParagraph"/>
        <w:ind w:left="1080"/>
        <w:jc w:val="both"/>
        <w:rPr>
          <w:rFonts w:ascii="Arial" w:hAnsi="Arial" w:cs="Arial"/>
          <w:b/>
          <w:sz w:val="20"/>
          <w:szCs w:val="20"/>
        </w:rPr>
      </w:pPr>
    </w:p>
    <w:p w14:paraId="16C085ED" w14:textId="77777777" w:rsidR="000877C4" w:rsidRPr="00990B8A" w:rsidRDefault="000877C4" w:rsidP="005A1F7F">
      <w:pPr>
        <w:jc w:val="center"/>
        <w:rPr>
          <w:rFonts w:ascii="Arial" w:hAnsi="Arial" w:cs="Arial"/>
          <w:noProof/>
        </w:rPr>
      </w:pPr>
      <w:r w:rsidRPr="00990B8A">
        <w:rPr>
          <w:rFonts w:ascii="Arial" w:hAnsi="Arial" w:cs="Arial"/>
          <w:noProof/>
          <w:lang w:eastAsia="en-US"/>
        </w:rPr>
        <w:drawing>
          <wp:inline distT="0" distB="0" distL="0" distR="0" wp14:anchorId="6989C344" wp14:editId="6515092D">
            <wp:extent cx="5335325" cy="2450539"/>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339261" cy="2452347"/>
                    </a:xfrm>
                    <a:prstGeom prst="rect">
                      <a:avLst/>
                    </a:prstGeom>
                    <a:noFill/>
                  </pic:spPr>
                </pic:pic>
              </a:graphicData>
            </a:graphic>
          </wp:inline>
        </w:drawing>
      </w:r>
    </w:p>
    <w:p w14:paraId="72DE8F77" w14:textId="77777777" w:rsidR="000877C4" w:rsidRPr="00990B8A" w:rsidRDefault="000877C4" w:rsidP="00B66A4A">
      <w:pPr>
        <w:numPr>
          <w:ilvl w:val="0"/>
          <w:numId w:val="45"/>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66 per cent of all incoming documents were transmitted electronically to the IB. </w:t>
      </w:r>
    </w:p>
    <w:p w14:paraId="5F32B52D" w14:textId="77777777" w:rsidR="000877C4" w:rsidRDefault="000877C4" w:rsidP="00B66A4A">
      <w:pPr>
        <w:pStyle w:val="ListParagraph"/>
        <w:numPr>
          <w:ilvl w:val="0"/>
          <w:numId w:val="47"/>
        </w:numPr>
        <w:tabs>
          <w:tab w:val="num" w:pos="993"/>
        </w:tabs>
        <w:spacing w:after="200"/>
        <w:ind w:left="993" w:hanging="426"/>
        <w:jc w:val="both"/>
        <w:rPr>
          <w:rFonts w:ascii="Arial" w:hAnsi="Arial" w:cs="Arial"/>
          <w:sz w:val="20"/>
          <w:szCs w:val="20"/>
        </w:rPr>
      </w:pPr>
      <w:r w:rsidRPr="00990B8A">
        <w:rPr>
          <w:rFonts w:ascii="Arial" w:hAnsi="Arial" w:cs="Arial"/>
          <w:sz w:val="20"/>
          <w:szCs w:val="20"/>
        </w:rPr>
        <w:t>The share of documents transmitted electronically has been stable since 2012.</w:t>
      </w:r>
    </w:p>
    <w:p w14:paraId="375D5D3C" w14:textId="77777777" w:rsidR="000877C4" w:rsidRPr="00372816" w:rsidRDefault="000877C4" w:rsidP="005A1F7F">
      <w:pPr>
        <w:tabs>
          <w:tab w:val="num" w:pos="993"/>
        </w:tabs>
        <w:jc w:val="both"/>
        <w:rPr>
          <w:rFonts w:ascii="Arial" w:hAnsi="Arial" w:cs="Arial"/>
          <w:sz w:val="20"/>
          <w:szCs w:val="20"/>
        </w:rPr>
      </w:pPr>
    </w:p>
    <w:p w14:paraId="13CE9121" w14:textId="77777777" w:rsidR="000877C4" w:rsidRPr="0006197C" w:rsidRDefault="000877C4" w:rsidP="00B66A4A">
      <w:pPr>
        <w:pStyle w:val="ListParagraph"/>
        <w:keepNext/>
        <w:keepLines/>
        <w:numPr>
          <w:ilvl w:val="0"/>
          <w:numId w:val="44"/>
        </w:numPr>
        <w:ind w:left="567" w:hanging="567"/>
        <w:jc w:val="both"/>
        <w:rPr>
          <w:rFonts w:ascii="Arial" w:hAnsi="Arial" w:cs="Arial"/>
          <w:b/>
          <w:sz w:val="20"/>
          <w:szCs w:val="20"/>
        </w:rPr>
      </w:pPr>
      <w:r w:rsidRPr="0006197C">
        <w:rPr>
          <w:rFonts w:ascii="Arial" w:hAnsi="Arial" w:cs="Arial"/>
          <w:b/>
          <w:sz w:val="20"/>
          <w:szCs w:val="20"/>
        </w:rPr>
        <w:lastRenderedPageBreak/>
        <w:t>Processing</w:t>
      </w:r>
    </w:p>
    <w:p w14:paraId="76A259A7" w14:textId="77777777" w:rsidR="000877C4" w:rsidRPr="00990B8A" w:rsidRDefault="000877C4" w:rsidP="005A1F7F">
      <w:pPr>
        <w:keepNext/>
        <w:keepLines/>
        <w:jc w:val="both"/>
        <w:rPr>
          <w:rFonts w:ascii="Arial" w:hAnsi="Arial" w:cs="Arial"/>
          <w:sz w:val="20"/>
          <w:szCs w:val="20"/>
        </w:rPr>
      </w:pPr>
    </w:p>
    <w:p w14:paraId="4D56647D"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Total cost of production</w:t>
      </w:r>
    </w:p>
    <w:p w14:paraId="0659DCD1" w14:textId="77777777" w:rsidR="000877C4" w:rsidRPr="0043175E" w:rsidRDefault="000877C4" w:rsidP="005A1F7F">
      <w:pPr>
        <w:pStyle w:val="ListParagraph"/>
        <w:keepNext/>
        <w:keepLines/>
        <w:ind w:left="1440"/>
        <w:jc w:val="both"/>
        <w:rPr>
          <w:rFonts w:ascii="Arial" w:hAnsi="Arial" w:cs="Arial"/>
          <w:b/>
          <w:i/>
          <w:sz w:val="20"/>
          <w:szCs w:val="20"/>
        </w:rPr>
      </w:pPr>
    </w:p>
    <w:p w14:paraId="4078E364" w14:textId="77777777" w:rsidR="000877C4" w:rsidRPr="00990B8A" w:rsidRDefault="000877C4" w:rsidP="00B66A4A">
      <w:pPr>
        <w:pStyle w:val="ListParagraph"/>
        <w:keepNext/>
        <w:keepLines/>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total cost of production has direct and indirect components.</w:t>
      </w:r>
      <w:r>
        <w:rPr>
          <w:rFonts w:ascii="Arial" w:hAnsi="Arial" w:cs="Arial"/>
          <w:sz w:val="20"/>
          <w:szCs w:val="20"/>
        </w:rPr>
        <w:t xml:space="preserve"> </w:t>
      </w:r>
      <w:r w:rsidRPr="00990B8A">
        <w:rPr>
          <w:rFonts w:ascii="Arial" w:hAnsi="Arial" w:cs="Arial"/>
          <w:sz w:val="20"/>
          <w:szCs w:val="20"/>
        </w:rPr>
        <w:t xml:space="preserve"> Direct costs reflect expenditure incurred by the IB in administering the Madrid System (such as management, translation and registration). Indirect costs reflect expenditure for supporting activities (such as those associated with buildings and information technology). Indirect costs are weighted to take into account only the share attributable to the Madrid System.</w:t>
      </w:r>
    </w:p>
    <w:p w14:paraId="78B84645"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730DFEC0" wp14:editId="27765954">
            <wp:extent cx="4895850" cy="276673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902478" cy="2770483"/>
                    </a:xfrm>
                    <a:prstGeom prst="rect">
                      <a:avLst/>
                    </a:prstGeom>
                    <a:noFill/>
                  </pic:spPr>
                </pic:pic>
              </a:graphicData>
            </a:graphic>
          </wp:inline>
        </w:drawing>
      </w:r>
    </w:p>
    <w:p w14:paraId="506CC831" w14:textId="6F2CDEB5" w:rsidR="000877C4" w:rsidRPr="00990B8A" w:rsidRDefault="000877C4" w:rsidP="00B66A4A">
      <w:pPr>
        <w:pStyle w:val="ListParagraph"/>
        <w:numPr>
          <w:ilvl w:val="0"/>
          <w:numId w:val="48"/>
        </w:numPr>
        <w:spacing w:after="200"/>
        <w:ind w:left="1134" w:hanging="567"/>
        <w:jc w:val="both"/>
        <w:rPr>
          <w:rFonts w:ascii="Arial" w:hAnsi="Arial" w:cs="Arial"/>
          <w:sz w:val="20"/>
          <w:szCs w:val="20"/>
        </w:rPr>
      </w:pPr>
      <w:r w:rsidRPr="00990B8A">
        <w:rPr>
          <w:rFonts w:ascii="Arial" w:hAnsi="Arial" w:cs="Arial"/>
          <w:sz w:val="20"/>
          <w:szCs w:val="20"/>
        </w:rPr>
        <w:t xml:space="preserve">The total cost of production is estimated at 41.8 million Swiss </w:t>
      </w:r>
      <w:r>
        <w:rPr>
          <w:rFonts w:ascii="Arial" w:hAnsi="Arial" w:cs="Arial"/>
          <w:sz w:val="20"/>
          <w:szCs w:val="20"/>
        </w:rPr>
        <w:t>f</w:t>
      </w:r>
      <w:r w:rsidRPr="00990B8A">
        <w:rPr>
          <w:rFonts w:ascii="Arial" w:hAnsi="Arial" w:cs="Arial"/>
          <w:sz w:val="20"/>
          <w:szCs w:val="20"/>
        </w:rPr>
        <w:t>rancs in 2014.</w:t>
      </w:r>
      <w:r>
        <w:rPr>
          <w:rFonts w:ascii="Arial" w:hAnsi="Arial" w:cs="Arial"/>
          <w:sz w:val="20"/>
          <w:szCs w:val="20"/>
        </w:rPr>
        <w:t xml:space="preserve"> </w:t>
      </w:r>
      <w:r w:rsidRPr="00990B8A">
        <w:rPr>
          <w:rFonts w:ascii="Arial" w:hAnsi="Arial" w:cs="Arial"/>
          <w:sz w:val="20"/>
          <w:szCs w:val="20"/>
        </w:rPr>
        <w:t xml:space="preserve"> This represents a slight increase of 0.1 per cent compared to 2013. </w:t>
      </w:r>
    </w:p>
    <w:p w14:paraId="7848D4B1" w14:textId="77777777" w:rsidR="000877C4" w:rsidRPr="00990B8A" w:rsidRDefault="000877C4" w:rsidP="005A1F7F">
      <w:pPr>
        <w:pStyle w:val="ListParagraph"/>
        <w:ind w:left="1134" w:hanging="567"/>
        <w:jc w:val="both"/>
        <w:rPr>
          <w:rFonts w:ascii="Arial" w:hAnsi="Arial" w:cs="Arial"/>
          <w:sz w:val="20"/>
          <w:szCs w:val="20"/>
        </w:rPr>
      </w:pPr>
    </w:p>
    <w:p w14:paraId="1D1482CA" w14:textId="77777777" w:rsidR="000877C4" w:rsidRPr="00990B8A" w:rsidRDefault="000877C4" w:rsidP="00B66A4A">
      <w:pPr>
        <w:pStyle w:val="ListParagraph"/>
        <w:numPr>
          <w:ilvl w:val="0"/>
          <w:numId w:val="48"/>
        </w:numPr>
        <w:ind w:left="1134" w:hanging="567"/>
        <w:jc w:val="both"/>
        <w:rPr>
          <w:rFonts w:ascii="Arial" w:hAnsi="Arial" w:cs="Arial"/>
          <w:sz w:val="20"/>
          <w:szCs w:val="20"/>
        </w:rPr>
      </w:pPr>
      <w:r w:rsidRPr="00990B8A">
        <w:rPr>
          <w:rFonts w:ascii="Arial" w:hAnsi="Arial" w:cs="Arial"/>
          <w:sz w:val="20"/>
          <w:szCs w:val="20"/>
        </w:rPr>
        <w:t xml:space="preserve">In 2014, the direct costs accounted for 61 per cent of total costs. </w:t>
      </w:r>
    </w:p>
    <w:p w14:paraId="36EA35DB" w14:textId="77777777" w:rsidR="000877C4" w:rsidRPr="00990B8A" w:rsidRDefault="000877C4" w:rsidP="005A1F7F">
      <w:pPr>
        <w:ind w:left="1134" w:hanging="567"/>
        <w:jc w:val="both"/>
        <w:rPr>
          <w:rFonts w:ascii="Arial" w:hAnsi="Arial" w:cs="Arial"/>
          <w:sz w:val="20"/>
          <w:szCs w:val="20"/>
        </w:rPr>
      </w:pPr>
    </w:p>
    <w:p w14:paraId="5220EE6B" w14:textId="77777777" w:rsidR="000877C4" w:rsidRPr="00990B8A" w:rsidRDefault="000877C4" w:rsidP="005A1F7F">
      <w:pPr>
        <w:ind w:left="1080"/>
        <w:jc w:val="both"/>
        <w:rPr>
          <w:rFonts w:ascii="Arial" w:hAnsi="Arial" w:cs="Arial"/>
          <w:sz w:val="20"/>
          <w:szCs w:val="20"/>
        </w:rPr>
      </w:pPr>
    </w:p>
    <w:p w14:paraId="5467733C"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Unit cost </w:t>
      </w:r>
    </w:p>
    <w:p w14:paraId="1FBCA203" w14:textId="77777777" w:rsidR="000877C4" w:rsidRPr="00990B8A" w:rsidRDefault="000877C4" w:rsidP="005A1F7F">
      <w:pPr>
        <w:jc w:val="both"/>
        <w:rPr>
          <w:rFonts w:ascii="Arial" w:hAnsi="Arial" w:cs="Arial"/>
          <w:sz w:val="20"/>
          <w:szCs w:val="20"/>
        </w:rPr>
      </w:pPr>
    </w:p>
    <w:p w14:paraId="229FFF12"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IB’s efficiency in processing transactions can be measured by the unit cost, defined as the average cost of producing one unit of output.</w:t>
      </w:r>
    </w:p>
    <w:p w14:paraId="6F090EEE" w14:textId="77777777" w:rsidR="000877C4" w:rsidRPr="00990B8A" w:rsidRDefault="000877C4" w:rsidP="005A1F7F">
      <w:pPr>
        <w:contextualSpacing/>
        <w:jc w:val="both"/>
        <w:rPr>
          <w:rFonts w:ascii="Arial" w:hAnsi="Arial" w:cs="Arial"/>
          <w:sz w:val="20"/>
          <w:szCs w:val="20"/>
        </w:rPr>
      </w:pPr>
    </w:p>
    <w:p w14:paraId="498EC5E8" w14:textId="77777777" w:rsidR="000877C4"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the IB registers new applications and maintains existing registrations, it is relevant to have a unit of output which includes a set of transactions.</w:t>
      </w:r>
      <w:r>
        <w:rPr>
          <w:rFonts w:ascii="Arial" w:hAnsi="Arial" w:cs="Arial"/>
          <w:sz w:val="20"/>
          <w:szCs w:val="20"/>
        </w:rPr>
        <w:t xml:space="preserve"> </w:t>
      </w:r>
      <w:r w:rsidRPr="00990B8A">
        <w:rPr>
          <w:rFonts w:ascii="Arial" w:hAnsi="Arial" w:cs="Arial"/>
          <w:sz w:val="20"/>
          <w:szCs w:val="20"/>
        </w:rPr>
        <w:t xml:space="preserve"> Two unit cost indicators are presented below using two different units of output.</w:t>
      </w:r>
    </w:p>
    <w:p w14:paraId="054B4275" w14:textId="77777777" w:rsidR="000877C4" w:rsidRPr="00990B8A" w:rsidRDefault="000877C4" w:rsidP="005A1F7F">
      <w:pPr>
        <w:pStyle w:val="ListParagraph"/>
        <w:tabs>
          <w:tab w:val="left" w:pos="567"/>
        </w:tabs>
        <w:ind w:left="0"/>
        <w:jc w:val="both"/>
        <w:rPr>
          <w:rFonts w:ascii="Arial" w:hAnsi="Arial" w:cs="Arial"/>
          <w:sz w:val="20"/>
          <w:szCs w:val="20"/>
        </w:rPr>
      </w:pPr>
    </w:p>
    <w:p w14:paraId="33412892" w14:textId="77777777" w:rsidR="000877C4"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part of the IB’s efforts to continuously refine the methodology for calculating unit costs, the methodology has been revised in the Program and Budget 2016/17 to reflect more accurately the cost of processing Madrid workloads at the IB:</w:t>
      </w:r>
    </w:p>
    <w:p w14:paraId="65BE2701" w14:textId="77777777" w:rsidR="000877C4" w:rsidRPr="00990B8A" w:rsidRDefault="000877C4" w:rsidP="005A1F7F">
      <w:pPr>
        <w:pStyle w:val="ListParagraph"/>
        <w:tabs>
          <w:tab w:val="left" w:pos="567"/>
        </w:tabs>
        <w:ind w:left="0"/>
        <w:jc w:val="both"/>
        <w:rPr>
          <w:rFonts w:ascii="Arial" w:hAnsi="Arial" w:cs="Arial"/>
          <w:sz w:val="20"/>
          <w:szCs w:val="20"/>
        </w:rPr>
      </w:pPr>
    </w:p>
    <w:p w14:paraId="4AEB3385" w14:textId="77777777" w:rsidR="000877C4" w:rsidRPr="00990B8A" w:rsidRDefault="000877C4" w:rsidP="00B66A4A">
      <w:pPr>
        <w:pStyle w:val="ListParagraph"/>
        <w:numPr>
          <w:ilvl w:val="0"/>
          <w:numId w:val="46"/>
        </w:numPr>
        <w:spacing w:after="200"/>
        <w:ind w:left="1134" w:hanging="567"/>
        <w:jc w:val="both"/>
        <w:rPr>
          <w:rFonts w:ascii="Arial" w:hAnsi="Arial" w:cs="Arial"/>
          <w:sz w:val="20"/>
          <w:szCs w:val="20"/>
        </w:rPr>
      </w:pPr>
      <w:r w:rsidRPr="00990B8A">
        <w:rPr>
          <w:rFonts w:ascii="Arial" w:hAnsi="Arial" w:cs="Arial"/>
          <w:sz w:val="20"/>
          <w:szCs w:val="20"/>
        </w:rPr>
        <w:t>The methodology for calculating direct and indirect Madrid costs have been aligned with the methodologies for calculating PCT and the Hague unit costs.</w:t>
      </w:r>
    </w:p>
    <w:p w14:paraId="3C244D35" w14:textId="77777777" w:rsidR="000877C4" w:rsidRPr="00990B8A" w:rsidRDefault="000877C4" w:rsidP="005A1F7F">
      <w:pPr>
        <w:pStyle w:val="ListParagraph"/>
        <w:ind w:left="1134" w:hanging="567"/>
        <w:jc w:val="both"/>
        <w:rPr>
          <w:rFonts w:ascii="Arial" w:hAnsi="Arial" w:cs="Arial"/>
          <w:sz w:val="20"/>
          <w:szCs w:val="20"/>
        </w:rPr>
      </w:pPr>
    </w:p>
    <w:p w14:paraId="57B2C690" w14:textId="77777777" w:rsidR="000877C4" w:rsidRPr="00990B8A" w:rsidRDefault="000877C4" w:rsidP="00B66A4A">
      <w:pPr>
        <w:pStyle w:val="ListParagraph"/>
        <w:numPr>
          <w:ilvl w:val="0"/>
          <w:numId w:val="46"/>
        </w:numPr>
        <w:spacing w:after="200"/>
        <w:ind w:left="1134" w:hanging="567"/>
        <w:jc w:val="both"/>
        <w:rPr>
          <w:rFonts w:ascii="Arial" w:hAnsi="Arial" w:cs="Arial"/>
          <w:sz w:val="20"/>
          <w:szCs w:val="20"/>
        </w:rPr>
      </w:pPr>
      <w:r w:rsidRPr="00990B8A">
        <w:rPr>
          <w:rFonts w:ascii="Arial" w:hAnsi="Arial" w:cs="Arial"/>
          <w:sz w:val="20"/>
          <w:szCs w:val="20"/>
        </w:rPr>
        <w:t>A weighted system has been introduced to better approximate the actual work required to process the six categories of documents, taking into account that certain of these documents are more labor-intensive than others.</w:t>
      </w:r>
      <w:r w:rsidRPr="00990B8A">
        <w:rPr>
          <w:rStyle w:val="FootnoteReference"/>
          <w:rFonts w:ascii="Arial" w:hAnsi="Arial" w:cs="Arial"/>
          <w:sz w:val="20"/>
          <w:szCs w:val="20"/>
        </w:rPr>
        <w:footnoteReference w:id="27"/>
      </w:r>
    </w:p>
    <w:p w14:paraId="00787A21" w14:textId="77777777" w:rsidR="000877C4" w:rsidRPr="00990B8A" w:rsidRDefault="000877C4" w:rsidP="005A1F7F">
      <w:pPr>
        <w:pStyle w:val="ListParagraph"/>
        <w:ind w:left="1134" w:hanging="567"/>
        <w:jc w:val="both"/>
        <w:rPr>
          <w:rFonts w:ascii="Arial" w:hAnsi="Arial" w:cs="Arial"/>
          <w:sz w:val="20"/>
          <w:szCs w:val="20"/>
        </w:rPr>
      </w:pPr>
    </w:p>
    <w:p w14:paraId="28F1E21C" w14:textId="77777777" w:rsidR="000877C4" w:rsidRPr="00990B8A" w:rsidRDefault="000877C4" w:rsidP="00B66A4A">
      <w:pPr>
        <w:pStyle w:val="ListParagraph"/>
        <w:numPr>
          <w:ilvl w:val="0"/>
          <w:numId w:val="46"/>
        </w:numPr>
        <w:spacing w:after="200"/>
        <w:ind w:left="1134" w:hanging="567"/>
        <w:jc w:val="both"/>
        <w:rPr>
          <w:rFonts w:ascii="Arial" w:hAnsi="Arial" w:cs="Arial"/>
          <w:sz w:val="20"/>
          <w:szCs w:val="20"/>
        </w:rPr>
      </w:pPr>
      <w:r w:rsidRPr="00990B8A">
        <w:rPr>
          <w:rFonts w:ascii="Arial" w:hAnsi="Arial" w:cs="Arial"/>
          <w:sz w:val="20"/>
          <w:szCs w:val="20"/>
        </w:rPr>
        <w:t xml:space="preserve">The first unit cost has been redefined to include only new international registrations and renewals (the unit cost in the Program and Budget 2014/15 also included subsequent designations). </w:t>
      </w:r>
      <w:r>
        <w:rPr>
          <w:rFonts w:ascii="Arial" w:hAnsi="Arial" w:cs="Arial"/>
          <w:sz w:val="20"/>
          <w:szCs w:val="20"/>
        </w:rPr>
        <w:t xml:space="preserve"> </w:t>
      </w:r>
      <w:r w:rsidRPr="00990B8A">
        <w:rPr>
          <w:rFonts w:ascii="Arial" w:hAnsi="Arial" w:cs="Arial"/>
          <w:sz w:val="20"/>
          <w:szCs w:val="20"/>
        </w:rPr>
        <w:t xml:space="preserve">The rationale for removing subsequent designations as a component of this unit cost is a sharper focus on the core Madrid outputs, namely the international registration and its renewal. </w:t>
      </w:r>
      <w:r>
        <w:rPr>
          <w:rFonts w:ascii="Arial" w:hAnsi="Arial" w:cs="Arial"/>
          <w:sz w:val="20"/>
          <w:szCs w:val="20"/>
        </w:rPr>
        <w:t xml:space="preserve"> </w:t>
      </w:r>
      <w:r w:rsidRPr="00990B8A">
        <w:rPr>
          <w:rFonts w:ascii="Arial" w:hAnsi="Arial" w:cs="Arial"/>
          <w:sz w:val="20"/>
          <w:szCs w:val="20"/>
        </w:rPr>
        <w:t xml:space="preserve">All other Madrid transactions (subsequent designations, </w:t>
      </w:r>
      <w:r w:rsidRPr="00990B8A">
        <w:rPr>
          <w:rFonts w:ascii="Arial" w:hAnsi="Arial" w:cs="Arial"/>
          <w:sz w:val="20"/>
          <w:szCs w:val="20"/>
        </w:rPr>
        <w:lastRenderedPageBreak/>
        <w:t>modifications, decisions and corrections) can be considered secondary to these two core transactions.  Furthermore, there is no real justification for including one of these secondary transactions as a component of unit costs, while not including the others.</w:t>
      </w:r>
    </w:p>
    <w:p w14:paraId="627C26C2" w14:textId="77777777" w:rsidR="000877C4" w:rsidRPr="00990B8A" w:rsidRDefault="000877C4" w:rsidP="005A1F7F">
      <w:pPr>
        <w:pStyle w:val="ListParagraph"/>
        <w:ind w:left="1134" w:hanging="567"/>
        <w:rPr>
          <w:rFonts w:ascii="Arial" w:hAnsi="Arial" w:cs="Arial"/>
          <w:sz w:val="20"/>
          <w:szCs w:val="20"/>
        </w:rPr>
      </w:pPr>
    </w:p>
    <w:p w14:paraId="4FE7DCF8" w14:textId="77777777" w:rsidR="000877C4" w:rsidRDefault="000877C4" w:rsidP="00B66A4A">
      <w:pPr>
        <w:pStyle w:val="ListParagraph"/>
        <w:numPr>
          <w:ilvl w:val="0"/>
          <w:numId w:val="46"/>
        </w:numPr>
        <w:ind w:left="1134" w:hanging="567"/>
        <w:jc w:val="both"/>
        <w:rPr>
          <w:rFonts w:ascii="Arial" w:hAnsi="Arial" w:cs="Arial"/>
          <w:sz w:val="20"/>
          <w:szCs w:val="20"/>
        </w:rPr>
      </w:pPr>
      <w:r w:rsidRPr="00990B8A">
        <w:rPr>
          <w:rFonts w:ascii="Arial" w:hAnsi="Arial" w:cs="Arial"/>
          <w:sz w:val="20"/>
          <w:szCs w:val="20"/>
        </w:rPr>
        <w:t>The second unit cost is based on the number of documents inscribed in the register rather than the number of inscriptions due to the different levels of efforts required to process the various documents.</w:t>
      </w:r>
    </w:p>
    <w:p w14:paraId="0D14FB53" w14:textId="77777777" w:rsidR="000877C4" w:rsidRPr="0043175E" w:rsidRDefault="000877C4" w:rsidP="005A1F7F">
      <w:pPr>
        <w:jc w:val="both"/>
        <w:rPr>
          <w:rFonts w:ascii="Arial" w:hAnsi="Arial" w:cs="Arial"/>
          <w:sz w:val="20"/>
          <w:szCs w:val="20"/>
        </w:rPr>
      </w:pPr>
    </w:p>
    <w:p w14:paraId="78FA61D6"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For ease of comparison, the graphs below depict the evolution of the two unit costs from 2008 to 2014 using the old methodology and from 2012 to 2014 using the new methodology, including a breakdown of the contribution of direct and indirect costs.</w:t>
      </w:r>
    </w:p>
    <w:p w14:paraId="388841E8" w14:textId="77777777" w:rsidR="000877C4" w:rsidRPr="00990B8A" w:rsidRDefault="000877C4" w:rsidP="005A1F7F">
      <w:pPr>
        <w:jc w:val="both"/>
        <w:rPr>
          <w:rFonts w:ascii="Arial" w:hAnsi="Arial" w:cs="Arial"/>
          <w:sz w:val="20"/>
          <w:szCs w:val="20"/>
        </w:rPr>
      </w:pPr>
    </w:p>
    <w:p w14:paraId="5E554229"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Unit cost per new/renewed international registration</w:t>
      </w:r>
    </w:p>
    <w:p w14:paraId="07D819C8" w14:textId="77777777" w:rsidR="000877C4" w:rsidRPr="00990B8A" w:rsidRDefault="000877C4" w:rsidP="005A1F7F">
      <w:pPr>
        <w:jc w:val="both"/>
        <w:rPr>
          <w:rFonts w:ascii="Arial" w:hAnsi="Arial" w:cs="Arial"/>
          <w:sz w:val="20"/>
          <w:szCs w:val="20"/>
        </w:rPr>
      </w:pPr>
    </w:p>
    <w:p w14:paraId="0861BCF1"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New international registrations consist of applications that are registered within a given year, and renewed international registrations consist of existing registrations that are renewed within a given year. Combined, these two types of transactions reflect the core business of the IB.</w:t>
      </w:r>
    </w:p>
    <w:p w14:paraId="289A0E44" w14:textId="77777777" w:rsidR="000877C4" w:rsidRPr="00990B8A" w:rsidRDefault="000877C4" w:rsidP="005A1F7F">
      <w:pPr>
        <w:jc w:val="both"/>
        <w:rPr>
          <w:rFonts w:ascii="Arial" w:hAnsi="Arial" w:cs="Arial"/>
          <w:sz w:val="20"/>
          <w:szCs w:val="20"/>
        </w:rPr>
      </w:pPr>
    </w:p>
    <w:p w14:paraId="392220B1"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As processing these two types of transactions do not require equal resources, they are each weighted differently.</w:t>
      </w:r>
      <w:r w:rsidRPr="00990B8A">
        <w:rPr>
          <w:rStyle w:val="FootnoteReference"/>
          <w:rFonts w:ascii="Arial" w:hAnsi="Arial" w:cs="Arial"/>
          <w:sz w:val="20"/>
          <w:szCs w:val="20"/>
        </w:rPr>
        <w:t xml:space="preserve"> </w:t>
      </w:r>
      <w:r w:rsidRPr="00990B8A">
        <w:rPr>
          <w:rStyle w:val="FootnoteReference"/>
          <w:rFonts w:ascii="Arial" w:hAnsi="Arial" w:cs="Arial"/>
          <w:sz w:val="20"/>
          <w:szCs w:val="20"/>
        </w:rPr>
        <w:footnoteReference w:id="28"/>
      </w:r>
      <w:r w:rsidRPr="00990B8A">
        <w:rPr>
          <w:rFonts w:ascii="Arial" w:hAnsi="Arial" w:cs="Arial"/>
          <w:sz w:val="20"/>
          <w:szCs w:val="20"/>
        </w:rPr>
        <w:t xml:space="preserve"> The unit cost is calculated by dividing the total cost of production by the number of new/renewed international registrations.  </w:t>
      </w:r>
    </w:p>
    <w:p w14:paraId="6D4D05E8" w14:textId="77777777" w:rsidR="000877C4" w:rsidRPr="00990B8A" w:rsidRDefault="000877C4" w:rsidP="005A1F7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331"/>
      </w:tblGrid>
      <w:tr w:rsidR="000877C4" w:rsidRPr="00990B8A" w14:paraId="6C6D5BC9" w14:textId="77777777" w:rsidTr="00976F9F">
        <w:trPr>
          <w:cantSplit/>
        </w:trPr>
        <w:tc>
          <w:tcPr>
            <w:tcW w:w="4788" w:type="dxa"/>
            <w:tcBorders>
              <w:top w:val="single" w:sz="4" w:space="0" w:color="auto"/>
              <w:left w:val="single" w:sz="4" w:space="0" w:color="auto"/>
              <w:bottom w:val="single" w:sz="4" w:space="0" w:color="auto"/>
              <w:right w:val="single" w:sz="4" w:space="0" w:color="auto"/>
            </w:tcBorders>
          </w:tcPr>
          <w:p w14:paraId="3EE88CCB" w14:textId="77777777" w:rsidR="000877C4" w:rsidRPr="00990B8A" w:rsidRDefault="000877C4" w:rsidP="005A1F7F">
            <w:pPr>
              <w:jc w:val="center"/>
              <w:rPr>
                <w:rFonts w:ascii="Arial" w:hAnsi="Arial" w:cs="Arial"/>
              </w:rPr>
            </w:pPr>
            <w:r w:rsidRPr="00990B8A">
              <w:rPr>
                <w:rFonts w:ascii="Arial" w:hAnsi="Arial" w:cs="Arial"/>
              </w:rPr>
              <w:t>Old method</w:t>
            </w:r>
          </w:p>
        </w:tc>
        <w:tc>
          <w:tcPr>
            <w:tcW w:w="4788" w:type="dxa"/>
            <w:tcBorders>
              <w:top w:val="single" w:sz="4" w:space="0" w:color="auto"/>
              <w:left w:val="single" w:sz="4" w:space="0" w:color="auto"/>
              <w:bottom w:val="single" w:sz="4" w:space="0" w:color="auto"/>
              <w:right w:val="single" w:sz="4" w:space="0" w:color="auto"/>
            </w:tcBorders>
          </w:tcPr>
          <w:p w14:paraId="7A6E16CB" w14:textId="77777777" w:rsidR="000877C4" w:rsidRPr="00990B8A" w:rsidRDefault="000877C4" w:rsidP="005A1F7F">
            <w:pPr>
              <w:jc w:val="center"/>
              <w:rPr>
                <w:rFonts w:ascii="Arial" w:hAnsi="Arial" w:cs="Arial"/>
              </w:rPr>
            </w:pPr>
            <w:r w:rsidRPr="00990B8A">
              <w:rPr>
                <w:rFonts w:ascii="Arial" w:hAnsi="Arial" w:cs="Arial"/>
              </w:rPr>
              <w:t>New method</w:t>
            </w:r>
          </w:p>
        </w:tc>
      </w:tr>
      <w:tr w:rsidR="000877C4" w:rsidRPr="00990B8A" w14:paraId="370ACEE5" w14:textId="77777777" w:rsidTr="00976F9F">
        <w:trPr>
          <w:cantSplit/>
        </w:trPr>
        <w:tc>
          <w:tcPr>
            <w:tcW w:w="4788" w:type="dxa"/>
            <w:tcBorders>
              <w:top w:val="single" w:sz="4" w:space="0" w:color="auto"/>
              <w:bottom w:val="single" w:sz="4" w:space="0" w:color="auto"/>
            </w:tcBorders>
          </w:tcPr>
          <w:p w14:paraId="3A671964" w14:textId="77777777" w:rsidR="000877C4" w:rsidRPr="00990B8A" w:rsidRDefault="000877C4" w:rsidP="005A1F7F">
            <w:pPr>
              <w:jc w:val="center"/>
              <w:rPr>
                <w:rFonts w:ascii="Arial" w:hAnsi="Arial" w:cs="Arial"/>
              </w:rPr>
            </w:pPr>
            <w:r w:rsidRPr="00990B8A">
              <w:rPr>
                <w:rFonts w:ascii="Arial" w:hAnsi="Arial" w:cs="Arial"/>
                <w:noProof/>
              </w:rPr>
              <w:drawing>
                <wp:inline distT="0" distB="0" distL="0" distR="0" wp14:anchorId="5A0CF694" wp14:editId="3E5C6874">
                  <wp:extent cx="3096666" cy="1999654"/>
                  <wp:effectExtent l="0" t="0" r="889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097809" cy="2000392"/>
                          </a:xfrm>
                          <a:prstGeom prst="rect">
                            <a:avLst/>
                          </a:prstGeom>
                          <a:noFill/>
                        </pic:spPr>
                      </pic:pic>
                    </a:graphicData>
                  </a:graphic>
                </wp:inline>
              </w:drawing>
            </w:r>
          </w:p>
        </w:tc>
        <w:tc>
          <w:tcPr>
            <w:tcW w:w="4788" w:type="dxa"/>
            <w:tcBorders>
              <w:top w:val="single" w:sz="4" w:space="0" w:color="auto"/>
              <w:bottom w:val="single" w:sz="4" w:space="0" w:color="auto"/>
            </w:tcBorders>
          </w:tcPr>
          <w:p w14:paraId="2045F669" w14:textId="77777777" w:rsidR="000877C4" w:rsidRPr="00990B8A" w:rsidRDefault="000877C4" w:rsidP="005A1F7F">
            <w:pPr>
              <w:jc w:val="center"/>
              <w:rPr>
                <w:rFonts w:ascii="Arial" w:hAnsi="Arial" w:cs="Arial"/>
              </w:rPr>
            </w:pPr>
            <w:r w:rsidRPr="00990B8A">
              <w:rPr>
                <w:rFonts w:ascii="Arial" w:hAnsi="Arial" w:cs="Arial"/>
                <w:noProof/>
              </w:rPr>
              <w:drawing>
                <wp:inline distT="0" distB="0" distL="0" distR="0" wp14:anchorId="7A1FF810" wp14:editId="0AB4E07E">
                  <wp:extent cx="2695575" cy="2073083"/>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705200" cy="2080485"/>
                          </a:xfrm>
                          <a:prstGeom prst="rect">
                            <a:avLst/>
                          </a:prstGeom>
                          <a:noFill/>
                        </pic:spPr>
                      </pic:pic>
                    </a:graphicData>
                  </a:graphic>
                </wp:inline>
              </w:drawing>
            </w:r>
          </w:p>
        </w:tc>
      </w:tr>
    </w:tbl>
    <w:p w14:paraId="34AFFC3C" w14:textId="77777777" w:rsidR="000877C4" w:rsidRPr="00990B8A" w:rsidRDefault="000877C4" w:rsidP="005A1F7F">
      <w:pPr>
        <w:rPr>
          <w:rFonts w:ascii="Arial" w:hAnsi="Arial" w:cs="Arial"/>
        </w:rPr>
      </w:pPr>
    </w:p>
    <w:p w14:paraId="5E6C69DA" w14:textId="2768C595" w:rsidR="000877C4" w:rsidRPr="00990B8A" w:rsidRDefault="000877C4" w:rsidP="00B66A4A">
      <w:pPr>
        <w:pStyle w:val="ListParagraph"/>
        <w:numPr>
          <w:ilvl w:val="0"/>
          <w:numId w:val="49"/>
        </w:numPr>
        <w:ind w:left="851" w:hanging="284"/>
        <w:jc w:val="both"/>
        <w:rPr>
          <w:rFonts w:ascii="Arial" w:hAnsi="Arial" w:cs="Arial"/>
          <w:sz w:val="20"/>
          <w:szCs w:val="20"/>
        </w:rPr>
      </w:pPr>
      <w:r w:rsidRPr="00990B8A">
        <w:rPr>
          <w:rFonts w:ascii="Arial" w:hAnsi="Arial" w:cs="Arial"/>
          <w:sz w:val="20"/>
          <w:szCs w:val="20"/>
        </w:rPr>
        <w:t xml:space="preserve">The average cost of processing a new/renewed international registration was 837 Swiss </w:t>
      </w:r>
      <w:r>
        <w:rPr>
          <w:rFonts w:ascii="Arial" w:hAnsi="Arial" w:cs="Arial"/>
          <w:sz w:val="20"/>
          <w:szCs w:val="20"/>
        </w:rPr>
        <w:t>f</w:t>
      </w:r>
      <w:r w:rsidRPr="00990B8A">
        <w:rPr>
          <w:rFonts w:ascii="Arial" w:hAnsi="Arial" w:cs="Arial"/>
          <w:sz w:val="20"/>
          <w:szCs w:val="20"/>
        </w:rPr>
        <w:t>rancs in 2014. This represents an increase of 2.6 per cent compared to 2013. The increase was mainly due to a processing cost that remained relatively stable, combined with a decrease of 4.5 per cent in the number of international applications registered.</w:t>
      </w:r>
    </w:p>
    <w:p w14:paraId="0025CB28" w14:textId="77777777" w:rsidR="000877C4" w:rsidRPr="00990B8A" w:rsidRDefault="000877C4" w:rsidP="005A1F7F">
      <w:pPr>
        <w:keepNext/>
        <w:keepLines/>
        <w:jc w:val="center"/>
        <w:rPr>
          <w:rFonts w:ascii="Arial" w:hAnsi="Arial" w:cs="Arial"/>
          <w:sz w:val="20"/>
          <w:szCs w:val="20"/>
        </w:rPr>
      </w:pPr>
    </w:p>
    <w:p w14:paraId="44EF73C8"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Unit cost per document inscribed in the register</w:t>
      </w:r>
    </w:p>
    <w:p w14:paraId="3139869E" w14:textId="77777777" w:rsidR="000877C4" w:rsidRPr="00990B8A" w:rsidRDefault="000877C4" w:rsidP="005A1F7F">
      <w:pPr>
        <w:keepNext/>
        <w:keepLines/>
        <w:jc w:val="both"/>
        <w:rPr>
          <w:rFonts w:ascii="Arial" w:hAnsi="Arial" w:cs="Arial"/>
          <w:sz w:val="20"/>
          <w:szCs w:val="20"/>
        </w:rPr>
      </w:pPr>
    </w:p>
    <w:p w14:paraId="06EE1DCA" w14:textId="77777777" w:rsidR="000877C4" w:rsidRPr="00990B8A" w:rsidRDefault="000877C4" w:rsidP="00B66A4A">
      <w:pPr>
        <w:pStyle w:val="ListParagraph"/>
        <w:keepNext/>
        <w:keepLines/>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 xml:space="preserve">The documents inscribed in the register correspond to the total volume of workload (see “Total volume of workload” above). </w:t>
      </w:r>
    </w:p>
    <w:p w14:paraId="77F97F4F" w14:textId="77777777" w:rsidR="000877C4" w:rsidRPr="00990B8A" w:rsidRDefault="000877C4" w:rsidP="005A1F7F">
      <w:pPr>
        <w:keepNext/>
        <w:keepLines/>
        <w:jc w:val="center"/>
        <w:rPr>
          <w:rFonts w:ascii="Arial" w:hAnsi="Arial" w:cs="Arial"/>
        </w:rPr>
      </w:pPr>
    </w:p>
    <w:tbl>
      <w:tblPr>
        <w:tblStyle w:val="TableGrid"/>
        <w:tblW w:w="960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7"/>
        <w:gridCol w:w="4429"/>
      </w:tblGrid>
      <w:tr w:rsidR="000877C4" w:rsidRPr="00990B8A" w14:paraId="03B1FE02" w14:textId="77777777" w:rsidTr="00976F9F">
        <w:trPr>
          <w:cantSplit/>
          <w:trHeight w:val="273"/>
        </w:trPr>
        <w:tc>
          <w:tcPr>
            <w:tcW w:w="5177" w:type="dxa"/>
            <w:tcBorders>
              <w:top w:val="single" w:sz="4" w:space="0" w:color="auto"/>
              <w:left w:val="single" w:sz="4" w:space="0" w:color="auto"/>
              <w:bottom w:val="single" w:sz="4" w:space="0" w:color="auto"/>
              <w:right w:val="single" w:sz="4" w:space="0" w:color="auto"/>
            </w:tcBorders>
          </w:tcPr>
          <w:p w14:paraId="3995EAFE" w14:textId="77777777" w:rsidR="000877C4" w:rsidRPr="00990B8A" w:rsidRDefault="000877C4" w:rsidP="005A1F7F">
            <w:pPr>
              <w:keepNext/>
              <w:keepLines/>
              <w:jc w:val="center"/>
              <w:rPr>
                <w:rFonts w:ascii="Arial" w:hAnsi="Arial" w:cs="Arial"/>
              </w:rPr>
            </w:pPr>
            <w:r w:rsidRPr="00990B8A">
              <w:rPr>
                <w:rFonts w:ascii="Arial" w:hAnsi="Arial" w:cs="Arial"/>
              </w:rPr>
              <w:t>Old method</w:t>
            </w:r>
          </w:p>
        </w:tc>
        <w:tc>
          <w:tcPr>
            <w:tcW w:w="4429" w:type="dxa"/>
            <w:tcBorders>
              <w:top w:val="single" w:sz="4" w:space="0" w:color="auto"/>
              <w:left w:val="single" w:sz="4" w:space="0" w:color="auto"/>
              <w:bottom w:val="single" w:sz="4" w:space="0" w:color="auto"/>
              <w:right w:val="single" w:sz="4" w:space="0" w:color="auto"/>
            </w:tcBorders>
          </w:tcPr>
          <w:p w14:paraId="4764DE53" w14:textId="77777777" w:rsidR="000877C4" w:rsidRPr="00990B8A" w:rsidRDefault="000877C4" w:rsidP="005A1F7F">
            <w:pPr>
              <w:keepNext/>
              <w:keepLines/>
              <w:jc w:val="center"/>
              <w:rPr>
                <w:rFonts w:ascii="Arial" w:hAnsi="Arial" w:cs="Arial"/>
              </w:rPr>
            </w:pPr>
            <w:r w:rsidRPr="00990B8A">
              <w:rPr>
                <w:rFonts w:ascii="Arial" w:hAnsi="Arial" w:cs="Arial"/>
              </w:rPr>
              <w:t>New method</w:t>
            </w:r>
          </w:p>
        </w:tc>
      </w:tr>
      <w:tr w:rsidR="000877C4" w:rsidRPr="00990B8A" w14:paraId="0B3DF17B" w14:textId="77777777" w:rsidTr="00976F9F">
        <w:trPr>
          <w:cantSplit/>
          <w:trHeight w:val="3013"/>
        </w:trPr>
        <w:tc>
          <w:tcPr>
            <w:tcW w:w="5177" w:type="dxa"/>
            <w:tcBorders>
              <w:top w:val="single" w:sz="4" w:space="0" w:color="auto"/>
            </w:tcBorders>
          </w:tcPr>
          <w:p w14:paraId="5E6A3CC3" w14:textId="77777777" w:rsidR="000877C4" w:rsidRPr="00990B8A" w:rsidRDefault="000877C4" w:rsidP="005A1F7F">
            <w:pPr>
              <w:keepNext/>
              <w:keepLines/>
              <w:jc w:val="center"/>
              <w:rPr>
                <w:rFonts w:ascii="Arial" w:hAnsi="Arial" w:cs="Arial"/>
              </w:rPr>
            </w:pPr>
            <w:r w:rsidRPr="00990B8A">
              <w:rPr>
                <w:rFonts w:ascii="Arial" w:hAnsi="Arial" w:cs="Arial"/>
                <w:noProof/>
              </w:rPr>
              <w:drawing>
                <wp:inline distT="0" distB="0" distL="0" distR="0" wp14:anchorId="3D713768" wp14:editId="3B677722">
                  <wp:extent cx="3150454" cy="2014416"/>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154922" cy="2017273"/>
                          </a:xfrm>
                          <a:prstGeom prst="rect">
                            <a:avLst/>
                          </a:prstGeom>
                          <a:noFill/>
                        </pic:spPr>
                      </pic:pic>
                    </a:graphicData>
                  </a:graphic>
                </wp:inline>
              </w:drawing>
            </w:r>
          </w:p>
        </w:tc>
        <w:tc>
          <w:tcPr>
            <w:tcW w:w="4429" w:type="dxa"/>
            <w:tcBorders>
              <w:top w:val="single" w:sz="4" w:space="0" w:color="auto"/>
            </w:tcBorders>
          </w:tcPr>
          <w:p w14:paraId="2CA9DADC" w14:textId="77777777" w:rsidR="000877C4" w:rsidRPr="00990B8A" w:rsidRDefault="000877C4" w:rsidP="005A1F7F">
            <w:pPr>
              <w:keepNext/>
              <w:keepLines/>
              <w:jc w:val="center"/>
              <w:rPr>
                <w:rFonts w:ascii="Arial" w:hAnsi="Arial" w:cs="Arial"/>
              </w:rPr>
            </w:pPr>
            <w:r w:rsidRPr="00990B8A">
              <w:rPr>
                <w:rFonts w:ascii="Arial" w:hAnsi="Arial" w:cs="Arial"/>
                <w:noProof/>
              </w:rPr>
              <w:drawing>
                <wp:inline distT="0" distB="0" distL="0" distR="0" wp14:anchorId="0B5231D7" wp14:editId="6B4EBA74">
                  <wp:extent cx="2723279" cy="2036125"/>
                  <wp:effectExtent l="0" t="0" r="127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731244" cy="2042080"/>
                          </a:xfrm>
                          <a:prstGeom prst="rect">
                            <a:avLst/>
                          </a:prstGeom>
                          <a:noFill/>
                        </pic:spPr>
                      </pic:pic>
                    </a:graphicData>
                  </a:graphic>
                </wp:inline>
              </w:drawing>
            </w:r>
          </w:p>
        </w:tc>
      </w:tr>
    </w:tbl>
    <w:p w14:paraId="6265C111" w14:textId="77777777" w:rsidR="000877C4" w:rsidRPr="00990B8A" w:rsidRDefault="000877C4" w:rsidP="005A1F7F">
      <w:pPr>
        <w:keepNext/>
        <w:keepLines/>
        <w:jc w:val="center"/>
        <w:rPr>
          <w:rFonts w:ascii="Arial" w:hAnsi="Arial" w:cs="Arial"/>
        </w:rPr>
      </w:pPr>
    </w:p>
    <w:p w14:paraId="74AC8AA8" w14:textId="77777777" w:rsidR="000877C4" w:rsidRPr="00990B8A" w:rsidRDefault="000877C4" w:rsidP="00B66A4A">
      <w:pPr>
        <w:pStyle w:val="ListParagraph"/>
        <w:keepNext/>
        <w:keepLines/>
        <w:numPr>
          <w:ilvl w:val="0"/>
          <w:numId w:val="49"/>
        </w:numPr>
        <w:jc w:val="both"/>
        <w:rPr>
          <w:rFonts w:ascii="Arial" w:hAnsi="Arial" w:cs="Arial"/>
          <w:sz w:val="20"/>
          <w:szCs w:val="20"/>
        </w:rPr>
      </w:pPr>
      <w:r w:rsidRPr="00990B8A">
        <w:rPr>
          <w:rFonts w:ascii="Arial" w:hAnsi="Arial" w:cs="Arial"/>
          <w:sz w:val="20"/>
          <w:szCs w:val="20"/>
        </w:rPr>
        <w:t xml:space="preserve">The average cost of inscribing a document in the register increased slightly from 320 </w:t>
      </w:r>
      <w:r>
        <w:rPr>
          <w:rFonts w:ascii="Arial" w:hAnsi="Arial" w:cs="Arial"/>
          <w:sz w:val="20"/>
          <w:szCs w:val="20"/>
        </w:rPr>
        <w:t>Swiss francs</w:t>
      </w:r>
      <w:r w:rsidRPr="00990B8A">
        <w:rPr>
          <w:rFonts w:ascii="Arial" w:hAnsi="Arial" w:cs="Arial"/>
          <w:sz w:val="20"/>
          <w:szCs w:val="20"/>
        </w:rPr>
        <w:t xml:space="preserve"> in 2012 to 322 </w:t>
      </w:r>
      <w:r>
        <w:rPr>
          <w:rFonts w:ascii="Arial" w:hAnsi="Arial" w:cs="Arial"/>
          <w:sz w:val="20"/>
          <w:szCs w:val="20"/>
        </w:rPr>
        <w:t>Swiss francs</w:t>
      </w:r>
      <w:r w:rsidRPr="00990B8A">
        <w:rPr>
          <w:rFonts w:ascii="Arial" w:hAnsi="Arial" w:cs="Arial"/>
          <w:sz w:val="20"/>
          <w:szCs w:val="20"/>
        </w:rPr>
        <w:t xml:space="preserve"> in 2014. </w:t>
      </w:r>
    </w:p>
    <w:p w14:paraId="1A5034F0" w14:textId="77777777" w:rsidR="000877C4" w:rsidRPr="00990B8A" w:rsidRDefault="000877C4" w:rsidP="005A1F7F">
      <w:pPr>
        <w:pStyle w:val="ListParagraph"/>
        <w:ind w:left="1417"/>
        <w:jc w:val="both"/>
        <w:rPr>
          <w:rFonts w:ascii="Arial" w:hAnsi="Arial" w:cs="Arial"/>
          <w:sz w:val="20"/>
          <w:szCs w:val="20"/>
        </w:rPr>
      </w:pPr>
    </w:p>
    <w:p w14:paraId="120B8FDD" w14:textId="77777777" w:rsidR="000877C4" w:rsidRPr="00990B8A" w:rsidRDefault="000877C4" w:rsidP="005A1F7F">
      <w:pPr>
        <w:jc w:val="both"/>
        <w:rPr>
          <w:rFonts w:ascii="Arial" w:hAnsi="Arial" w:cs="Arial"/>
          <w:sz w:val="20"/>
          <w:szCs w:val="20"/>
        </w:rPr>
      </w:pPr>
    </w:p>
    <w:p w14:paraId="609ADF5C" w14:textId="77777777" w:rsidR="000877C4" w:rsidRPr="00641133" w:rsidRDefault="000877C4" w:rsidP="00B66A4A">
      <w:pPr>
        <w:pStyle w:val="ListParagraph"/>
        <w:numPr>
          <w:ilvl w:val="0"/>
          <w:numId w:val="44"/>
        </w:numPr>
        <w:ind w:left="567" w:hanging="567"/>
        <w:jc w:val="both"/>
        <w:rPr>
          <w:rFonts w:ascii="Arial" w:hAnsi="Arial" w:cs="Arial"/>
          <w:b/>
          <w:sz w:val="20"/>
          <w:szCs w:val="20"/>
        </w:rPr>
      </w:pPr>
      <w:r w:rsidRPr="00641133">
        <w:rPr>
          <w:rFonts w:ascii="Arial" w:hAnsi="Arial" w:cs="Arial"/>
          <w:b/>
          <w:sz w:val="20"/>
          <w:szCs w:val="20"/>
        </w:rPr>
        <w:t>Productivity of examination</w:t>
      </w:r>
    </w:p>
    <w:p w14:paraId="3077B09A" w14:textId="77777777" w:rsidR="000877C4" w:rsidRPr="00990B8A" w:rsidRDefault="000877C4" w:rsidP="005A1F7F">
      <w:pPr>
        <w:jc w:val="both"/>
        <w:rPr>
          <w:rFonts w:ascii="Arial" w:hAnsi="Arial" w:cs="Arial"/>
          <w:sz w:val="20"/>
          <w:szCs w:val="20"/>
        </w:rPr>
      </w:pPr>
    </w:p>
    <w:p w14:paraId="7ABED829"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definition of examination productivity is the number of new/renewed international registrations processed by examiners divided by the number of personnel involved in examination.</w:t>
      </w:r>
      <w:r w:rsidRPr="00990B8A">
        <w:rPr>
          <w:rStyle w:val="FootnoteReference"/>
          <w:rFonts w:ascii="Arial" w:hAnsi="Arial" w:cs="Arial"/>
          <w:sz w:val="20"/>
          <w:szCs w:val="20"/>
        </w:rPr>
        <w:t xml:space="preserve"> </w:t>
      </w:r>
      <w:r>
        <w:rPr>
          <w:rFonts w:ascii="Arial" w:hAnsi="Arial" w:cs="Arial"/>
          <w:sz w:val="20"/>
          <w:szCs w:val="20"/>
        </w:rPr>
        <w:t xml:space="preserve"> </w:t>
      </w:r>
      <w:r w:rsidRPr="00990B8A">
        <w:rPr>
          <w:rFonts w:ascii="Arial" w:hAnsi="Arial" w:cs="Arial"/>
          <w:sz w:val="20"/>
          <w:szCs w:val="20"/>
        </w:rPr>
        <w:t xml:space="preserve">The number of personnel includes fellows, interns and external contractors. </w:t>
      </w:r>
    </w:p>
    <w:p w14:paraId="0677A365" w14:textId="77777777" w:rsidR="000877C4" w:rsidRPr="00990B8A" w:rsidRDefault="000877C4" w:rsidP="005A1F7F">
      <w:pPr>
        <w:jc w:val="both"/>
        <w:rPr>
          <w:rFonts w:ascii="Arial" w:hAnsi="Arial" w:cs="Arial"/>
          <w:noProof/>
        </w:rPr>
      </w:pPr>
    </w:p>
    <w:p w14:paraId="36C40EF7"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4653DA91" wp14:editId="11EE226A">
            <wp:extent cx="5362575" cy="259896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368058" cy="2601618"/>
                    </a:xfrm>
                    <a:prstGeom prst="rect">
                      <a:avLst/>
                    </a:prstGeom>
                    <a:noFill/>
                  </pic:spPr>
                </pic:pic>
              </a:graphicData>
            </a:graphic>
          </wp:inline>
        </w:drawing>
      </w:r>
    </w:p>
    <w:p w14:paraId="1A7EF931" w14:textId="77777777" w:rsidR="000877C4" w:rsidRPr="00990B8A" w:rsidRDefault="000877C4" w:rsidP="005A1F7F">
      <w:pPr>
        <w:jc w:val="both"/>
        <w:rPr>
          <w:rFonts w:ascii="Arial" w:hAnsi="Arial" w:cs="Arial"/>
        </w:rPr>
      </w:pPr>
    </w:p>
    <w:p w14:paraId="142A9004" w14:textId="77777777" w:rsidR="000877C4" w:rsidRPr="00990B8A" w:rsidRDefault="000877C4" w:rsidP="00B66A4A">
      <w:pPr>
        <w:pStyle w:val="ListParagraph"/>
        <w:numPr>
          <w:ilvl w:val="0"/>
          <w:numId w:val="49"/>
        </w:numPr>
        <w:ind w:left="1134" w:hanging="567"/>
        <w:jc w:val="both"/>
        <w:rPr>
          <w:rFonts w:ascii="Arial" w:hAnsi="Arial" w:cs="Arial"/>
          <w:sz w:val="20"/>
          <w:szCs w:val="20"/>
        </w:rPr>
      </w:pPr>
      <w:r w:rsidRPr="00990B8A">
        <w:rPr>
          <w:rFonts w:ascii="Arial" w:hAnsi="Arial" w:cs="Arial"/>
          <w:sz w:val="20"/>
          <w:szCs w:val="20"/>
        </w:rPr>
        <w:t>The productivity of examination remained relatively stable in 2014 compared to 2013.</w:t>
      </w:r>
    </w:p>
    <w:p w14:paraId="3FE39A4F" w14:textId="77777777" w:rsidR="000877C4" w:rsidRPr="00990B8A" w:rsidRDefault="000877C4" w:rsidP="005A1F7F">
      <w:pPr>
        <w:pStyle w:val="ListParagraph"/>
        <w:jc w:val="both"/>
        <w:rPr>
          <w:rFonts w:ascii="Arial" w:hAnsi="Arial" w:cs="Arial"/>
          <w:sz w:val="20"/>
          <w:szCs w:val="20"/>
        </w:rPr>
      </w:pPr>
    </w:p>
    <w:p w14:paraId="19A38CA9" w14:textId="77777777" w:rsidR="000877C4" w:rsidRPr="00990B8A" w:rsidRDefault="000877C4" w:rsidP="005A1F7F">
      <w:pPr>
        <w:pStyle w:val="ListParagraph"/>
        <w:keepNext/>
        <w:keepLines/>
        <w:jc w:val="both"/>
        <w:rPr>
          <w:rFonts w:ascii="Arial" w:hAnsi="Arial" w:cs="Arial"/>
          <w:sz w:val="20"/>
          <w:szCs w:val="20"/>
        </w:rPr>
      </w:pPr>
    </w:p>
    <w:p w14:paraId="3257FF92" w14:textId="77777777" w:rsidR="000877C4" w:rsidRPr="00641133" w:rsidRDefault="000877C4" w:rsidP="00B66A4A">
      <w:pPr>
        <w:pStyle w:val="ListParagraph"/>
        <w:keepNext/>
        <w:keepLines/>
        <w:numPr>
          <w:ilvl w:val="0"/>
          <w:numId w:val="44"/>
        </w:numPr>
        <w:ind w:left="567" w:hanging="567"/>
        <w:jc w:val="both"/>
        <w:rPr>
          <w:rFonts w:ascii="Arial" w:hAnsi="Arial" w:cs="Arial"/>
          <w:b/>
          <w:sz w:val="20"/>
          <w:szCs w:val="20"/>
        </w:rPr>
      </w:pPr>
      <w:r w:rsidRPr="00641133">
        <w:rPr>
          <w:rFonts w:ascii="Arial" w:hAnsi="Arial" w:cs="Arial"/>
          <w:b/>
          <w:sz w:val="20"/>
          <w:szCs w:val="20"/>
        </w:rPr>
        <w:t>Personnel</w:t>
      </w:r>
    </w:p>
    <w:p w14:paraId="74F44526" w14:textId="77777777" w:rsidR="000877C4" w:rsidRPr="00990B8A" w:rsidRDefault="000877C4" w:rsidP="005A1F7F">
      <w:pPr>
        <w:pStyle w:val="ListParagraph"/>
        <w:keepNext/>
        <w:keepLines/>
        <w:ind w:left="1440"/>
        <w:jc w:val="both"/>
        <w:rPr>
          <w:rFonts w:ascii="Arial" w:hAnsi="Arial" w:cs="Arial"/>
          <w:sz w:val="20"/>
          <w:szCs w:val="20"/>
        </w:rPr>
      </w:pPr>
    </w:p>
    <w:p w14:paraId="5C1BDF9D" w14:textId="7E5D06D1" w:rsidR="000877C4" w:rsidRPr="00990B8A" w:rsidRDefault="000877C4" w:rsidP="008D4CE9">
      <w:pPr>
        <w:keepNext/>
        <w:keepLines/>
        <w:jc w:val="center"/>
        <w:rPr>
          <w:rFonts w:ascii="Arial" w:hAnsi="Arial" w:cs="Arial"/>
        </w:rPr>
      </w:pPr>
      <w:r w:rsidRPr="00990B8A">
        <w:rPr>
          <w:rFonts w:ascii="Arial" w:hAnsi="Arial" w:cs="Arial"/>
          <w:noProof/>
          <w:color w:val="FF0000"/>
          <w:lang w:eastAsia="en-US"/>
        </w:rPr>
        <w:drawing>
          <wp:inline distT="0" distB="0" distL="0" distR="0" wp14:anchorId="6030F373" wp14:editId="78E4AF95">
            <wp:extent cx="5143500" cy="2392748"/>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146448" cy="2394119"/>
                    </a:xfrm>
                    <a:prstGeom prst="rect">
                      <a:avLst/>
                    </a:prstGeom>
                    <a:noFill/>
                  </pic:spPr>
                </pic:pic>
              </a:graphicData>
            </a:graphic>
          </wp:inline>
        </w:drawing>
      </w:r>
    </w:p>
    <w:p w14:paraId="345E7615" w14:textId="77777777" w:rsidR="000877C4" w:rsidRPr="00990B8A" w:rsidRDefault="000877C4" w:rsidP="00B66A4A">
      <w:pPr>
        <w:pStyle w:val="ListParagraph"/>
        <w:numPr>
          <w:ilvl w:val="0"/>
          <w:numId w:val="49"/>
        </w:numPr>
        <w:spacing w:after="120"/>
        <w:ind w:left="993" w:hanging="426"/>
        <w:contextualSpacing w:val="0"/>
        <w:jc w:val="both"/>
        <w:rPr>
          <w:rFonts w:ascii="Arial" w:hAnsi="Arial" w:cs="Arial"/>
          <w:sz w:val="20"/>
          <w:szCs w:val="20"/>
        </w:rPr>
      </w:pPr>
      <w:r w:rsidRPr="00990B8A">
        <w:rPr>
          <w:rFonts w:ascii="Arial" w:hAnsi="Arial" w:cs="Arial"/>
          <w:sz w:val="20"/>
          <w:szCs w:val="20"/>
        </w:rPr>
        <w:t>The number of staff has remained relatively stable since 2010, while the number of flexible resources has increased from 1 in 2012 to 12 in 2014.</w:t>
      </w:r>
    </w:p>
    <w:p w14:paraId="26E4DA9F" w14:textId="77777777" w:rsidR="000877C4" w:rsidRPr="00990B8A" w:rsidRDefault="000877C4" w:rsidP="00B66A4A">
      <w:pPr>
        <w:pStyle w:val="ListParagraph"/>
        <w:numPr>
          <w:ilvl w:val="0"/>
          <w:numId w:val="49"/>
        </w:numPr>
        <w:spacing w:after="120"/>
        <w:ind w:left="993" w:hanging="426"/>
        <w:contextualSpacing w:val="0"/>
        <w:jc w:val="both"/>
        <w:rPr>
          <w:rFonts w:ascii="Arial" w:hAnsi="Arial" w:cs="Arial"/>
          <w:sz w:val="20"/>
          <w:szCs w:val="20"/>
        </w:rPr>
      </w:pPr>
      <w:r w:rsidRPr="00990B8A">
        <w:rPr>
          <w:rFonts w:ascii="Arial" w:hAnsi="Arial" w:cs="Arial"/>
          <w:sz w:val="20"/>
          <w:szCs w:val="20"/>
        </w:rPr>
        <w:t>Personnel of outsourcing companies not working on WIPO premises are not included in this indicator.</w:t>
      </w:r>
    </w:p>
    <w:p w14:paraId="34A3DB2E" w14:textId="77777777" w:rsidR="000877C4" w:rsidRPr="00990B8A" w:rsidRDefault="000877C4" w:rsidP="005A1F7F">
      <w:pPr>
        <w:ind w:left="567" w:hanging="567"/>
        <w:rPr>
          <w:rFonts w:ascii="Arial" w:hAnsi="Arial" w:cs="Arial"/>
          <w:b/>
          <w:sz w:val="20"/>
          <w:szCs w:val="20"/>
          <w:u w:val="single"/>
        </w:rPr>
      </w:pPr>
    </w:p>
    <w:p w14:paraId="0D1C5040" w14:textId="77777777" w:rsidR="000877C4" w:rsidRPr="009565B7" w:rsidRDefault="000877C4" w:rsidP="00B66A4A">
      <w:pPr>
        <w:pStyle w:val="ListParagraph"/>
        <w:numPr>
          <w:ilvl w:val="0"/>
          <w:numId w:val="44"/>
        </w:numPr>
        <w:ind w:left="567" w:hanging="567"/>
        <w:jc w:val="both"/>
        <w:rPr>
          <w:rFonts w:ascii="Arial" w:hAnsi="Arial" w:cs="Arial"/>
          <w:b/>
          <w:sz w:val="20"/>
          <w:szCs w:val="20"/>
        </w:rPr>
      </w:pPr>
      <w:r w:rsidRPr="009565B7">
        <w:rPr>
          <w:rFonts w:ascii="Arial" w:hAnsi="Arial" w:cs="Arial"/>
          <w:b/>
          <w:sz w:val="20"/>
          <w:szCs w:val="20"/>
        </w:rPr>
        <w:t>Pendency</w:t>
      </w:r>
    </w:p>
    <w:p w14:paraId="123F673E" w14:textId="77777777" w:rsidR="000877C4" w:rsidRPr="00990B8A" w:rsidRDefault="000877C4" w:rsidP="005A1F7F">
      <w:pPr>
        <w:pStyle w:val="ListParagraph"/>
        <w:ind w:left="567" w:hanging="567"/>
        <w:jc w:val="both"/>
        <w:rPr>
          <w:rFonts w:ascii="Arial" w:hAnsi="Arial" w:cs="Arial"/>
          <w:sz w:val="20"/>
          <w:szCs w:val="20"/>
        </w:rPr>
      </w:pPr>
    </w:p>
    <w:p w14:paraId="25686DA6" w14:textId="77777777" w:rsidR="000877C4" w:rsidRPr="00990B8A" w:rsidRDefault="000877C4" w:rsidP="00B66A4A">
      <w:pPr>
        <w:pStyle w:val="ListParagraph"/>
        <w:numPr>
          <w:ilvl w:val="0"/>
          <w:numId w:val="51"/>
        </w:numPr>
        <w:tabs>
          <w:tab w:val="left" w:pos="567"/>
        </w:tabs>
        <w:ind w:left="0" w:firstLine="0"/>
        <w:jc w:val="both"/>
        <w:rPr>
          <w:rFonts w:ascii="Arial" w:hAnsi="Arial" w:cs="Arial"/>
          <w:sz w:val="20"/>
          <w:szCs w:val="20"/>
        </w:rPr>
      </w:pPr>
      <w:r w:rsidRPr="00990B8A">
        <w:rPr>
          <w:rFonts w:ascii="Arial" w:hAnsi="Arial" w:cs="Arial"/>
          <w:sz w:val="20"/>
          <w:szCs w:val="20"/>
        </w:rPr>
        <w:t>The average pendency for each of the six transactions performed by the IB is shown below. The pendency is calculated from the date a document is received to the date it is inscribed.</w:t>
      </w:r>
    </w:p>
    <w:p w14:paraId="32432EA8" w14:textId="77777777" w:rsidR="000877C4" w:rsidRPr="00990B8A" w:rsidRDefault="000877C4" w:rsidP="005A1F7F">
      <w:pPr>
        <w:pStyle w:val="ListParagraph"/>
        <w:ind w:left="0"/>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659"/>
      </w:tblGrid>
      <w:tr w:rsidR="000877C4" w:rsidRPr="00990B8A" w14:paraId="67C53093" w14:textId="77777777" w:rsidTr="00976F9F">
        <w:trPr>
          <w:trHeight w:val="3298"/>
          <w:jc w:val="center"/>
        </w:trPr>
        <w:tc>
          <w:tcPr>
            <w:tcW w:w="4560" w:type="dxa"/>
          </w:tcPr>
          <w:p w14:paraId="5661A318"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64591BCF" wp14:editId="498CBA07">
                  <wp:extent cx="2886323" cy="219556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885407" cy="2194869"/>
                          </a:xfrm>
                          <a:prstGeom prst="rect">
                            <a:avLst/>
                          </a:prstGeom>
                          <a:noFill/>
                        </pic:spPr>
                      </pic:pic>
                    </a:graphicData>
                  </a:graphic>
                </wp:inline>
              </w:drawing>
            </w:r>
          </w:p>
        </w:tc>
        <w:tc>
          <w:tcPr>
            <w:tcW w:w="4591" w:type="dxa"/>
          </w:tcPr>
          <w:p w14:paraId="7ABAB52B"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36C9729D" wp14:editId="69626AC7">
                  <wp:extent cx="2949934" cy="2181805"/>
                  <wp:effectExtent l="0" t="0" r="317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949934" cy="2181805"/>
                          </a:xfrm>
                          <a:prstGeom prst="rect">
                            <a:avLst/>
                          </a:prstGeom>
                          <a:noFill/>
                        </pic:spPr>
                      </pic:pic>
                    </a:graphicData>
                  </a:graphic>
                </wp:inline>
              </w:drawing>
            </w:r>
          </w:p>
        </w:tc>
      </w:tr>
      <w:tr w:rsidR="000877C4" w:rsidRPr="00990B8A" w14:paraId="3FFA1587" w14:textId="77777777" w:rsidTr="00976F9F">
        <w:trPr>
          <w:trHeight w:val="3418"/>
          <w:jc w:val="center"/>
        </w:trPr>
        <w:tc>
          <w:tcPr>
            <w:tcW w:w="4560" w:type="dxa"/>
          </w:tcPr>
          <w:p w14:paraId="12E55E48"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27D4923D" wp14:editId="20FB05E7">
                  <wp:extent cx="3013544" cy="216275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015879" cy="2164431"/>
                          </a:xfrm>
                          <a:prstGeom prst="rect">
                            <a:avLst/>
                          </a:prstGeom>
                          <a:noFill/>
                        </pic:spPr>
                      </pic:pic>
                    </a:graphicData>
                  </a:graphic>
                </wp:inline>
              </w:drawing>
            </w:r>
          </w:p>
        </w:tc>
        <w:tc>
          <w:tcPr>
            <w:tcW w:w="4591" w:type="dxa"/>
          </w:tcPr>
          <w:p w14:paraId="045EB2B2" w14:textId="77777777" w:rsidR="000877C4" w:rsidRPr="00990B8A" w:rsidRDefault="000877C4" w:rsidP="005A1F7F">
            <w:pPr>
              <w:jc w:val="both"/>
              <w:rPr>
                <w:rFonts w:ascii="Arial" w:hAnsi="Arial" w:cs="Arial"/>
                <w:color w:val="FF0000"/>
              </w:rPr>
            </w:pPr>
            <w:r w:rsidRPr="00990B8A">
              <w:rPr>
                <w:rFonts w:ascii="Arial" w:hAnsi="Arial" w:cs="Arial"/>
                <w:noProof/>
                <w:color w:val="FF0000"/>
              </w:rPr>
              <w:drawing>
                <wp:inline distT="0" distB="0" distL="0" distR="0" wp14:anchorId="591E3D4B" wp14:editId="78223FEF">
                  <wp:extent cx="2933802" cy="216275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944753" cy="2170828"/>
                          </a:xfrm>
                          <a:prstGeom prst="rect">
                            <a:avLst/>
                          </a:prstGeom>
                          <a:noFill/>
                        </pic:spPr>
                      </pic:pic>
                    </a:graphicData>
                  </a:graphic>
                </wp:inline>
              </w:drawing>
            </w:r>
          </w:p>
        </w:tc>
      </w:tr>
      <w:tr w:rsidR="000877C4" w:rsidRPr="00990B8A" w14:paraId="6EF72D32" w14:textId="77777777" w:rsidTr="00976F9F">
        <w:trPr>
          <w:trHeight w:val="3194"/>
          <w:jc w:val="center"/>
        </w:trPr>
        <w:tc>
          <w:tcPr>
            <w:tcW w:w="4560" w:type="dxa"/>
          </w:tcPr>
          <w:p w14:paraId="7818C517" w14:textId="77777777" w:rsidR="000877C4" w:rsidRPr="00990B8A" w:rsidRDefault="000877C4" w:rsidP="005A1F7F">
            <w:pPr>
              <w:jc w:val="both"/>
              <w:rPr>
                <w:rFonts w:ascii="Arial" w:hAnsi="Arial" w:cs="Arial"/>
              </w:rPr>
            </w:pPr>
            <w:r w:rsidRPr="00990B8A">
              <w:rPr>
                <w:rFonts w:ascii="Arial" w:hAnsi="Arial" w:cs="Arial"/>
                <w:noProof/>
              </w:rPr>
              <w:lastRenderedPageBreak/>
              <w:drawing>
                <wp:inline distT="0" distB="0" distL="0" distR="0" wp14:anchorId="54FB9DEC" wp14:editId="53E6485D">
                  <wp:extent cx="3010418" cy="2075291"/>
                  <wp:effectExtent l="0" t="0" r="0"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012419" cy="2076671"/>
                          </a:xfrm>
                          <a:prstGeom prst="rect">
                            <a:avLst/>
                          </a:prstGeom>
                          <a:noFill/>
                        </pic:spPr>
                      </pic:pic>
                    </a:graphicData>
                  </a:graphic>
                </wp:inline>
              </w:drawing>
            </w:r>
          </w:p>
        </w:tc>
        <w:tc>
          <w:tcPr>
            <w:tcW w:w="4591" w:type="dxa"/>
          </w:tcPr>
          <w:p w14:paraId="694DF685"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44730BA0" wp14:editId="0C91CBED">
                  <wp:extent cx="3034221" cy="2075291"/>
                  <wp:effectExtent l="0" t="0" r="0"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041191" cy="2080058"/>
                          </a:xfrm>
                          <a:prstGeom prst="rect">
                            <a:avLst/>
                          </a:prstGeom>
                          <a:noFill/>
                        </pic:spPr>
                      </pic:pic>
                    </a:graphicData>
                  </a:graphic>
                </wp:inline>
              </w:drawing>
            </w:r>
          </w:p>
        </w:tc>
      </w:tr>
    </w:tbl>
    <w:p w14:paraId="1B8DD20D" w14:textId="77777777" w:rsidR="000877C4" w:rsidRPr="00990B8A" w:rsidRDefault="000877C4" w:rsidP="005A1F7F">
      <w:pPr>
        <w:jc w:val="both"/>
        <w:rPr>
          <w:rFonts w:ascii="Arial" w:hAnsi="Arial" w:cs="Arial"/>
        </w:rPr>
      </w:pPr>
    </w:p>
    <w:p w14:paraId="2ABFEC01" w14:textId="77777777" w:rsidR="000877C4" w:rsidRPr="00990B8A" w:rsidRDefault="000877C4" w:rsidP="00B66A4A">
      <w:pPr>
        <w:pStyle w:val="ListParagraph"/>
        <w:numPr>
          <w:ilvl w:val="0"/>
          <w:numId w:val="50"/>
        </w:numPr>
        <w:spacing w:after="120"/>
        <w:ind w:left="993" w:hanging="426"/>
        <w:contextualSpacing w:val="0"/>
        <w:jc w:val="both"/>
        <w:rPr>
          <w:rFonts w:ascii="Arial" w:hAnsi="Arial" w:cs="Arial"/>
          <w:sz w:val="20"/>
          <w:szCs w:val="20"/>
        </w:rPr>
      </w:pPr>
      <w:r w:rsidRPr="00990B8A">
        <w:rPr>
          <w:rFonts w:ascii="Arial" w:hAnsi="Arial" w:cs="Arial"/>
          <w:sz w:val="20"/>
          <w:szCs w:val="20"/>
        </w:rPr>
        <w:t xml:space="preserve">Compared to 2013, the average pendency in 2014 increased for applications, corrections, modifications and subsequent designations. </w:t>
      </w:r>
      <w:r>
        <w:rPr>
          <w:rFonts w:ascii="Arial" w:hAnsi="Arial" w:cs="Arial"/>
          <w:sz w:val="20"/>
          <w:szCs w:val="20"/>
        </w:rPr>
        <w:t xml:space="preserve"> </w:t>
      </w:r>
      <w:r w:rsidRPr="00990B8A">
        <w:rPr>
          <w:rFonts w:ascii="Arial" w:hAnsi="Arial" w:cs="Arial"/>
          <w:sz w:val="20"/>
          <w:szCs w:val="20"/>
        </w:rPr>
        <w:t>The average pendency time for renewals remained stable, whereas that for decisions decreased for the second consecutive year.</w:t>
      </w:r>
    </w:p>
    <w:p w14:paraId="1FCDAD72" w14:textId="77777777" w:rsidR="000877C4" w:rsidRPr="00990B8A" w:rsidRDefault="000877C4" w:rsidP="00B66A4A">
      <w:pPr>
        <w:pStyle w:val="ListParagraph"/>
        <w:numPr>
          <w:ilvl w:val="0"/>
          <w:numId w:val="50"/>
        </w:numPr>
        <w:spacing w:after="200"/>
        <w:ind w:left="993" w:hanging="426"/>
        <w:jc w:val="both"/>
        <w:rPr>
          <w:rFonts w:ascii="Arial" w:hAnsi="Arial" w:cs="Arial"/>
          <w:sz w:val="20"/>
          <w:szCs w:val="20"/>
        </w:rPr>
      </w:pPr>
      <w:r w:rsidRPr="00990B8A">
        <w:rPr>
          <w:rFonts w:ascii="Arial" w:hAnsi="Arial" w:cs="Arial"/>
          <w:sz w:val="20"/>
          <w:szCs w:val="20"/>
        </w:rPr>
        <w:t>Improving and stabilizing pendency across all transactions is a major objective of the IB.</w:t>
      </w:r>
    </w:p>
    <w:p w14:paraId="4D539609" w14:textId="1AAFBBC0" w:rsidR="00592800" w:rsidRDefault="00592800" w:rsidP="008D3EC2">
      <w:pPr>
        <w:autoSpaceDE w:val="0"/>
        <w:autoSpaceDN w:val="0"/>
        <w:adjustRightInd w:val="0"/>
        <w:rPr>
          <w:rFonts w:ascii="Arial" w:hAnsi="Arial" w:cs="Arial"/>
          <w:sz w:val="20"/>
        </w:rPr>
      </w:pPr>
    </w:p>
    <w:p w14:paraId="1FF0A9EA" w14:textId="77777777" w:rsidR="00592800" w:rsidRDefault="00592800" w:rsidP="008D3EC2">
      <w:pPr>
        <w:autoSpaceDE w:val="0"/>
        <w:autoSpaceDN w:val="0"/>
        <w:adjustRightInd w:val="0"/>
        <w:rPr>
          <w:rFonts w:ascii="Arial" w:hAnsi="Arial" w:cs="Arial"/>
          <w:sz w:val="20"/>
        </w:rPr>
      </w:pPr>
    </w:p>
    <w:p w14:paraId="182FDAEF"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4FC0E30E" w14:textId="77777777" w:rsidR="00592800" w:rsidRPr="0069571C" w:rsidRDefault="00592800" w:rsidP="00592800">
      <w:pPr>
        <w:pStyle w:val="StyleHeading3ComplexItalic"/>
        <w:keepNext w:val="0"/>
        <w:tabs>
          <w:tab w:val="clear" w:pos="1985"/>
          <w:tab w:val="left" w:pos="1418"/>
        </w:tabs>
        <w:ind w:left="1418" w:hanging="1418"/>
      </w:pPr>
      <w:bookmarkStart w:id="110" w:name="_Toc356567792"/>
      <w:bookmarkStart w:id="111" w:name="_Toc367350618"/>
      <w:bookmarkStart w:id="112" w:name="_Toc431221451"/>
      <w:r w:rsidRPr="007F65E7">
        <w:rPr>
          <w:caps w:val="0"/>
        </w:rPr>
        <w:lastRenderedPageBreak/>
        <w:t>ANNEX V</w:t>
      </w:r>
      <w:r>
        <w:rPr>
          <w:caps w:val="0"/>
        </w:rPr>
        <w:t>II</w:t>
      </w:r>
      <w:r w:rsidRPr="007F65E7">
        <w:rPr>
          <w:caps w:val="0"/>
        </w:rPr>
        <w:tab/>
        <w:t xml:space="preserve">INDICATORS OF </w:t>
      </w:r>
      <w:smartTag w:uri="urn:schemas-microsoft-com:office:smarttags" w:element="place">
        <w:smartTag w:uri="urn:schemas-microsoft-com:office:smarttags" w:element="City">
          <w:r>
            <w:rPr>
              <w:caps w:val="0"/>
            </w:rPr>
            <w:t>THE HAGUE</w:t>
          </w:r>
        </w:smartTag>
      </w:smartTag>
      <w:r>
        <w:rPr>
          <w:caps w:val="0"/>
        </w:rPr>
        <w:t xml:space="preserve"> SYSTEM</w:t>
      </w:r>
      <w:r w:rsidRPr="007F65E7">
        <w:rPr>
          <w:caps w:val="0"/>
        </w:rPr>
        <w:t xml:space="preserve"> OPERATIONS</w:t>
      </w:r>
      <w:bookmarkEnd w:id="110"/>
      <w:bookmarkEnd w:id="111"/>
      <w:bookmarkEnd w:id="112"/>
    </w:p>
    <w:p w14:paraId="35D37324" w14:textId="77777777" w:rsidR="00592800" w:rsidRDefault="00592800" w:rsidP="00592800">
      <w:pPr>
        <w:rPr>
          <w:rFonts w:ascii="Arial" w:hAnsi="Arial" w:cs="Arial"/>
          <w:sz w:val="20"/>
        </w:rPr>
      </w:pPr>
    </w:p>
    <w:p w14:paraId="6EB343C8" w14:textId="6E3C3E53" w:rsidR="00592800" w:rsidRDefault="00592800" w:rsidP="008D3EC2">
      <w:pPr>
        <w:autoSpaceDE w:val="0"/>
        <w:autoSpaceDN w:val="0"/>
        <w:adjustRightInd w:val="0"/>
        <w:rPr>
          <w:rFonts w:ascii="Arial" w:hAnsi="Arial" w:cs="Arial"/>
          <w:sz w:val="20"/>
        </w:rPr>
      </w:pPr>
    </w:p>
    <w:p w14:paraId="0A2295D3" w14:textId="77777777" w:rsidR="007F0669" w:rsidRPr="00DC6A4E" w:rsidRDefault="007F0669" w:rsidP="005A1F7F">
      <w:pPr>
        <w:rPr>
          <w:rFonts w:ascii="Arial" w:hAnsi="Arial" w:cs="Arial"/>
        </w:rPr>
      </w:pPr>
      <w:r w:rsidRPr="00DC6A4E">
        <w:rPr>
          <w:rFonts w:ascii="Arial" w:hAnsi="Arial" w:cs="Arial"/>
        </w:rPr>
        <w:t>PERFORMANCE INDICATORS FOR THE EXPECTED RESULT</w:t>
      </w:r>
    </w:p>
    <w:p w14:paraId="6BDA7693" w14:textId="77777777" w:rsidR="007F0669" w:rsidRPr="00DC6A4E" w:rsidRDefault="007F0669" w:rsidP="005A1F7F">
      <w:pPr>
        <w:rPr>
          <w:rFonts w:ascii="Arial" w:hAnsi="Arial" w:cs="Arial"/>
        </w:rPr>
      </w:pPr>
      <w:r w:rsidRPr="00DC6A4E">
        <w:rPr>
          <w:rFonts w:ascii="Arial" w:hAnsi="Arial" w:cs="Arial"/>
        </w:rPr>
        <w:t>“IMPROVED PRODUCTIVITY AND SERVICE QUALITY OF THE HAGUE OPERATIONS”</w:t>
      </w:r>
    </w:p>
    <w:p w14:paraId="3703C4B6" w14:textId="77777777" w:rsidR="007F0669" w:rsidRPr="00DC6A4E" w:rsidRDefault="007F0669" w:rsidP="005A1F7F">
      <w:pPr>
        <w:rPr>
          <w:rFonts w:ascii="Arial" w:hAnsi="Arial" w:cs="Arial"/>
          <w:b/>
          <w:sz w:val="20"/>
          <w:szCs w:val="20"/>
        </w:rPr>
      </w:pPr>
    </w:p>
    <w:p w14:paraId="269E55C2" w14:textId="77777777" w:rsidR="007F0669" w:rsidRPr="00DC6A4E" w:rsidRDefault="007F0669" w:rsidP="005A1F7F">
      <w:pPr>
        <w:rPr>
          <w:rFonts w:ascii="Arial" w:hAnsi="Arial" w:cs="Arial"/>
          <w:sz w:val="20"/>
          <w:szCs w:val="20"/>
        </w:rPr>
      </w:pPr>
    </w:p>
    <w:p w14:paraId="234CAC93"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As background for the performance indicators for the expected result “improved productivity and service quality of the Hague operations”, the evolution of the following factors needs to be considered:</w:t>
      </w:r>
    </w:p>
    <w:p w14:paraId="4F85469D"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46F2CC40" w14:textId="77777777" w:rsidR="007F0669" w:rsidRPr="00DC6A4E" w:rsidRDefault="007F0669" w:rsidP="00B66A4A">
      <w:pPr>
        <w:numPr>
          <w:ilvl w:val="0"/>
          <w:numId w:val="45"/>
        </w:numPr>
        <w:spacing w:after="120"/>
        <w:ind w:left="1134" w:firstLine="0"/>
        <w:jc w:val="both"/>
        <w:rPr>
          <w:rFonts w:ascii="Arial" w:hAnsi="Arial" w:cs="Arial"/>
          <w:sz w:val="20"/>
          <w:szCs w:val="20"/>
        </w:rPr>
      </w:pPr>
      <w:r w:rsidRPr="00DC6A4E">
        <w:rPr>
          <w:rFonts w:ascii="Arial" w:hAnsi="Arial" w:cs="Arial"/>
          <w:sz w:val="20"/>
          <w:szCs w:val="20"/>
        </w:rPr>
        <w:t>The Hague System workloads;</w:t>
      </w:r>
    </w:p>
    <w:p w14:paraId="6B929D92" w14:textId="77777777" w:rsidR="007F0669" w:rsidRPr="00DC6A4E" w:rsidRDefault="007F0669" w:rsidP="00B66A4A">
      <w:pPr>
        <w:numPr>
          <w:ilvl w:val="0"/>
          <w:numId w:val="45"/>
        </w:numPr>
        <w:spacing w:after="120"/>
        <w:ind w:left="1134" w:firstLine="0"/>
        <w:jc w:val="both"/>
        <w:rPr>
          <w:rFonts w:ascii="Arial" w:hAnsi="Arial" w:cs="Arial"/>
          <w:sz w:val="20"/>
          <w:szCs w:val="20"/>
        </w:rPr>
      </w:pPr>
      <w:r w:rsidRPr="00DC6A4E">
        <w:rPr>
          <w:rFonts w:ascii="Arial" w:hAnsi="Arial" w:cs="Arial"/>
          <w:sz w:val="20"/>
          <w:szCs w:val="20"/>
        </w:rPr>
        <w:t>The composition of those workloads;</w:t>
      </w:r>
    </w:p>
    <w:p w14:paraId="72B3E093" w14:textId="77777777" w:rsidR="007F0669" w:rsidRPr="00DC6A4E" w:rsidRDefault="007F0669" w:rsidP="00B66A4A">
      <w:pPr>
        <w:numPr>
          <w:ilvl w:val="0"/>
          <w:numId w:val="45"/>
        </w:numPr>
        <w:spacing w:after="120"/>
        <w:ind w:left="1134" w:firstLine="0"/>
        <w:jc w:val="both"/>
        <w:rPr>
          <w:rFonts w:ascii="Arial" w:hAnsi="Arial" w:cs="Arial"/>
          <w:sz w:val="20"/>
          <w:szCs w:val="20"/>
        </w:rPr>
      </w:pPr>
      <w:r w:rsidRPr="00DC6A4E">
        <w:rPr>
          <w:rFonts w:ascii="Arial" w:hAnsi="Arial" w:cs="Arial"/>
          <w:sz w:val="20"/>
          <w:szCs w:val="20"/>
        </w:rPr>
        <w:t>The level of automation; and</w:t>
      </w:r>
    </w:p>
    <w:p w14:paraId="79BB4EE0" w14:textId="77777777" w:rsidR="007F0669" w:rsidRPr="00DC6A4E" w:rsidRDefault="007F0669" w:rsidP="00B66A4A">
      <w:pPr>
        <w:numPr>
          <w:ilvl w:val="0"/>
          <w:numId w:val="45"/>
        </w:numPr>
        <w:ind w:left="1134" w:firstLine="0"/>
        <w:jc w:val="both"/>
        <w:rPr>
          <w:rFonts w:ascii="Arial" w:hAnsi="Arial" w:cs="Arial"/>
          <w:sz w:val="20"/>
          <w:szCs w:val="20"/>
        </w:rPr>
      </w:pPr>
      <w:r w:rsidRPr="00DC6A4E">
        <w:rPr>
          <w:rFonts w:ascii="Arial" w:hAnsi="Arial" w:cs="Arial"/>
          <w:sz w:val="20"/>
          <w:szCs w:val="20"/>
        </w:rPr>
        <w:t>The resources assigned to cope with the workload.</w:t>
      </w:r>
    </w:p>
    <w:p w14:paraId="21CDE1BC" w14:textId="77777777" w:rsidR="007F0669" w:rsidRPr="00DC6A4E" w:rsidRDefault="007F0669" w:rsidP="005A1F7F">
      <w:pPr>
        <w:jc w:val="both"/>
        <w:rPr>
          <w:rFonts w:ascii="Arial" w:hAnsi="Arial" w:cs="Arial"/>
          <w:sz w:val="20"/>
          <w:szCs w:val="20"/>
        </w:rPr>
      </w:pPr>
    </w:p>
    <w:p w14:paraId="7259B499"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International Bureau (IB) receives four main types of documents, namely international applications, renewals, changes and decisions. </w:t>
      </w:r>
      <w:r>
        <w:rPr>
          <w:rFonts w:ascii="Arial" w:hAnsi="Arial" w:cs="Arial"/>
          <w:sz w:val="20"/>
          <w:szCs w:val="20"/>
        </w:rPr>
        <w:t xml:space="preserve"> </w:t>
      </w:r>
      <w:r w:rsidRPr="00DC6A4E">
        <w:rPr>
          <w:rFonts w:ascii="Arial" w:hAnsi="Arial" w:cs="Arial"/>
          <w:sz w:val="20"/>
          <w:szCs w:val="20"/>
        </w:rPr>
        <w:t xml:space="preserve">The latest trend for each of these documents is presented below. </w:t>
      </w:r>
      <w:r>
        <w:rPr>
          <w:rFonts w:ascii="Arial" w:hAnsi="Arial" w:cs="Arial"/>
          <w:sz w:val="20"/>
          <w:szCs w:val="20"/>
        </w:rPr>
        <w:t xml:space="preserve"> </w:t>
      </w:r>
      <w:r w:rsidRPr="00DC6A4E">
        <w:rPr>
          <w:rFonts w:ascii="Arial" w:hAnsi="Arial" w:cs="Arial"/>
          <w:sz w:val="20"/>
          <w:szCs w:val="20"/>
        </w:rPr>
        <w:t xml:space="preserve">Additional information on the applications received, such as their average number of designs, are also provided. For technical reasons, the indicator on the irregularities issued shows data based on processed documents rather than on incoming documents. </w:t>
      </w:r>
    </w:p>
    <w:p w14:paraId="76724079" w14:textId="77777777" w:rsidR="007F0669" w:rsidRDefault="007F0669" w:rsidP="005A1F7F">
      <w:pPr>
        <w:pStyle w:val="ListParagraph"/>
        <w:tabs>
          <w:tab w:val="left" w:pos="0"/>
          <w:tab w:val="left" w:pos="567"/>
        </w:tabs>
        <w:ind w:left="0"/>
        <w:jc w:val="both"/>
        <w:rPr>
          <w:rFonts w:ascii="Arial" w:hAnsi="Arial" w:cs="Arial"/>
          <w:sz w:val="20"/>
          <w:szCs w:val="20"/>
        </w:rPr>
      </w:pPr>
    </w:p>
    <w:p w14:paraId="18205B92" w14:textId="77777777" w:rsidR="007F0669" w:rsidRPr="007138E9" w:rsidRDefault="007F0669" w:rsidP="005A1F7F">
      <w:pPr>
        <w:tabs>
          <w:tab w:val="left" w:pos="567"/>
        </w:tabs>
        <w:spacing w:before="120" w:after="240"/>
        <w:rPr>
          <w:rFonts w:ascii="Arial" w:hAnsi="Arial" w:cs="Arial"/>
          <w:b/>
          <w:sz w:val="20"/>
          <w:szCs w:val="20"/>
        </w:rPr>
      </w:pPr>
      <w:r>
        <w:rPr>
          <w:rFonts w:ascii="Arial" w:hAnsi="Arial" w:cs="Arial"/>
          <w:b/>
          <w:sz w:val="20"/>
          <w:szCs w:val="20"/>
        </w:rPr>
        <w:t>I.</w:t>
      </w:r>
      <w:r>
        <w:rPr>
          <w:rFonts w:ascii="Arial" w:hAnsi="Arial" w:cs="Arial"/>
          <w:b/>
          <w:sz w:val="20"/>
          <w:szCs w:val="20"/>
        </w:rPr>
        <w:tab/>
      </w:r>
      <w:r w:rsidRPr="007138E9">
        <w:rPr>
          <w:rFonts w:ascii="Arial" w:hAnsi="Arial" w:cs="Arial"/>
          <w:b/>
          <w:sz w:val="20"/>
          <w:szCs w:val="20"/>
        </w:rPr>
        <w:t>Incoming Documents</w:t>
      </w:r>
    </w:p>
    <w:p w14:paraId="2C659C06" w14:textId="77777777" w:rsidR="007F0669" w:rsidRPr="007138E9" w:rsidRDefault="007F0669" w:rsidP="005A1F7F">
      <w:pPr>
        <w:spacing w:before="120" w:after="240"/>
        <w:rPr>
          <w:rFonts w:ascii="Arial" w:hAnsi="Arial" w:cs="Arial"/>
          <w:sz w:val="20"/>
          <w:szCs w:val="20"/>
          <w:u w:val="single"/>
        </w:rPr>
      </w:pPr>
      <w:r w:rsidRPr="007138E9">
        <w:rPr>
          <w:rFonts w:ascii="Arial" w:hAnsi="Arial" w:cs="Arial"/>
          <w:sz w:val="20"/>
          <w:szCs w:val="20"/>
          <w:u w:val="single"/>
        </w:rPr>
        <w:t xml:space="preserve">Applications received </w:t>
      </w:r>
    </w:p>
    <w:p w14:paraId="511F5D8F"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lang w:eastAsia="en-US"/>
        </w:rPr>
        <w:drawing>
          <wp:inline distT="0" distB="0" distL="0" distR="0" wp14:anchorId="6A87DB5E" wp14:editId="7B413584">
            <wp:extent cx="4340707" cy="2838450"/>
            <wp:effectExtent l="0" t="0" r="317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48681" cy="2843665"/>
                    </a:xfrm>
                    <a:prstGeom prst="rect">
                      <a:avLst/>
                    </a:prstGeom>
                    <a:noFill/>
                  </pic:spPr>
                </pic:pic>
              </a:graphicData>
            </a:graphic>
          </wp:inline>
        </w:drawing>
      </w:r>
    </w:p>
    <w:p w14:paraId="3B550673" w14:textId="77777777" w:rsidR="007F0669" w:rsidRPr="00DC6A4E" w:rsidRDefault="007F0669" w:rsidP="00B66A4A">
      <w:pPr>
        <w:pStyle w:val="ListParagraph"/>
        <w:numPr>
          <w:ilvl w:val="0"/>
          <w:numId w:val="52"/>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In 2014, the IB received 2,924 international applications, down 2.2 per cent from 2013. </w:t>
      </w:r>
      <w:r>
        <w:rPr>
          <w:rFonts w:ascii="Arial" w:hAnsi="Arial" w:cs="Arial"/>
          <w:sz w:val="20"/>
          <w:szCs w:val="20"/>
        </w:rPr>
        <w:t xml:space="preserve"> </w:t>
      </w:r>
      <w:r w:rsidRPr="00DC6A4E">
        <w:rPr>
          <w:rFonts w:ascii="Arial" w:hAnsi="Arial" w:cs="Arial"/>
          <w:sz w:val="20"/>
          <w:szCs w:val="20"/>
        </w:rPr>
        <w:t>In</w:t>
      </w:r>
      <w:r>
        <w:rPr>
          <w:rFonts w:ascii="Arial" w:hAnsi="Arial" w:cs="Arial"/>
          <w:sz w:val="20"/>
          <w:szCs w:val="20"/>
        </w:rPr>
        <w:t> </w:t>
      </w:r>
      <w:r w:rsidRPr="00DC6A4E">
        <w:rPr>
          <w:rFonts w:ascii="Arial" w:hAnsi="Arial" w:cs="Arial"/>
          <w:sz w:val="20"/>
          <w:szCs w:val="20"/>
        </w:rPr>
        <w:t>2013, applications received sharply grew by 15 per cent.</w:t>
      </w:r>
    </w:p>
    <w:p w14:paraId="47E538E7" w14:textId="77777777" w:rsidR="007F0669" w:rsidRPr="00DC6A4E" w:rsidRDefault="007F0669" w:rsidP="00B66A4A">
      <w:pPr>
        <w:pStyle w:val="ListParagraph"/>
        <w:numPr>
          <w:ilvl w:val="0"/>
          <w:numId w:val="52"/>
        </w:numPr>
        <w:spacing w:after="200"/>
        <w:ind w:left="993" w:hanging="426"/>
        <w:jc w:val="both"/>
        <w:rPr>
          <w:rFonts w:ascii="Arial" w:hAnsi="Arial" w:cs="Arial"/>
          <w:sz w:val="20"/>
          <w:szCs w:val="20"/>
        </w:rPr>
      </w:pPr>
      <w:r w:rsidRPr="00DC6A4E">
        <w:rPr>
          <w:rFonts w:ascii="Arial" w:hAnsi="Arial" w:cs="Arial"/>
          <w:sz w:val="20"/>
          <w:szCs w:val="20"/>
        </w:rPr>
        <w:t>In 2014, 89 per cent of applications were filed electronically. The share of electronic filings increased by 10 percentage points from 2011 to 2014, from 79 per cent in 2011 to 89 per cent in 2014.</w:t>
      </w:r>
    </w:p>
    <w:p w14:paraId="3FC4C890" w14:textId="77777777" w:rsidR="007F0669" w:rsidRPr="00DC6A4E" w:rsidRDefault="007F0669" w:rsidP="005A1F7F">
      <w:pPr>
        <w:rPr>
          <w:rFonts w:ascii="Arial" w:hAnsi="Arial" w:cs="Arial"/>
          <w:sz w:val="20"/>
          <w:szCs w:val="20"/>
        </w:rPr>
      </w:pPr>
    </w:p>
    <w:p w14:paraId="7B4F238F" w14:textId="77777777" w:rsidR="007F0669" w:rsidRPr="007138E9" w:rsidRDefault="007F0669" w:rsidP="005A1F7F">
      <w:pPr>
        <w:pStyle w:val="ListParagraph"/>
        <w:keepNext/>
        <w:keepLines/>
        <w:ind w:left="567"/>
        <w:rPr>
          <w:rFonts w:ascii="Arial" w:hAnsi="Arial" w:cs="Arial"/>
          <w:i/>
          <w:sz w:val="20"/>
          <w:szCs w:val="20"/>
        </w:rPr>
      </w:pPr>
      <w:r w:rsidRPr="007138E9">
        <w:rPr>
          <w:rFonts w:ascii="Arial" w:hAnsi="Arial" w:cs="Arial"/>
          <w:i/>
          <w:sz w:val="20"/>
          <w:szCs w:val="20"/>
        </w:rPr>
        <w:lastRenderedPageBreak/>
        <w:t>Average number of designs per application</w:t>
      </w:r>
    </w:p>
    <w:p w14:paraId="261430B1" w14:textId="77777777" w:rsidR="007F0669" w:rsidRPr="00DC6A4E" w:rsidRDefault="007F0669" w:rsidP="005A1F7F">
      <w:pPr>
        <w:keepNext/>
        <w:keepLines/>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4B259231" wp14:editId="7B664394">
            <wp:extent cx="4030675" cy="2635716"/>
            <wp:effectExtent l="0" t="0" r="825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034368" cy="2638131"/>
                    </a:xfrm>
                    <a:prstGeom prst="rect">
                      <a:avLst/>
                    </a:prstGeom>
                    <a:noFill/>
                  </pic:spPr>
                </pic:pic>
              </a:graphicData>
            </a:graphic>
          </wp:inline>
        </w:drawing>
      </w:r>
    </w:p>
    <w:p w14:paraId="6F9CC6FF" w14:textId="77777777" w:rsidR="007F0669" w:rsidRPr="00DC6A4E" w:rsidRDefault="007F0669" w:rsidP="00B66A4A">
      <w:pPr>
        <w:pStyle w:val="ListParagraph"/>
        <w:numPr>
          <w:ilvl w:val="0"/>
          <w:numId w:val="53"/>
        </w:numPr>
        <w:spacing w:after="200"/>
        <w:ind w:left="993" w:hanging="426"/>
        <w:jc w:val="both"/>
        <w:rPr>
          <w:rFonts w:ascii="Arial" w:hAnsi="Arial" w:cs="Arial"/>
          <w:sz w:val="20"/>
          <w:szCs w:val="20"/>
        </w:rPr>
      </w:pPr>
      <w:r w:rsidRPr="00DC6A4E">
        <w:rPr>
          <w:rFonts w:ascii="Arial" w:hAnsi="Arial" w:cs="Arial"/>
          <w:sz w:val="20"/>
          <w:szCs w:val="20"/>
        </w:rPr>
        <w:t>In 2014, an application contained, on average, nearly five designs. Between 2011 and 2014, the average number of designs per application varied between 4.5 and 5 designs.</w:t>
      </w:r>
    </w:p>
    <w:p w14:paraId="6C8B1686" w14:textId="77777777" w:rsidR="007F0669" w:rsidRDefault="007F0669" w:rsidP="005A1F7F">
      <w:pPr>
        <w:pStyle w:val="ListParagraph"/>
        <w:ind w:left="1418"/>
        <w:jc w:val="both"/>
        <w:rPr>
          <w:rFonts w:ascii="Arial" w:hAnsi="Arial" w:cs="Arial"/>
          <w:sz w:val="20"/>
          <w:szCs w:val="20"/>
        </w:rPr>
      </w:pPr>
    </w:p>
    <w:p w14:paraId="2EEC167B" w14:textId="77777777" w:rsidR="007F0669" w:rsidRPr="00DC6A4E" w:rsidRDefault="007F0669" w:rsidP="005A1F7F">
      <w:pPr>
        <w:pStyle w:val="ListParagraph"/>
        <w:ind w:left="1418"/>
        <w:jc w:val="both"/>
        <w:rPr>
          <w:rFonts w:ascii="Arial" w:hAnsi="Arial" w:cs="Arial"/>
          <w:sz w:val="20"/>
          <w:szCs w:val="20"/>
        </w:rPr>
      </w:pPr>
    </w:p>
    <w:p w14:paraId="322733A4" w14:textId="77777777" w:rsidR="007F0669" w:rsidRPr="00CD5999" w:rsidRDefault="007F0669" w:rsidP="005A1F7F">
      <w:pPr>
        <w:pStyle w:val="ListParagraph"/>
        <w:keepNext/>
        <w:keepLines/>
        <w:ind w:left="567"/>
        <w:rPr>
          <w:rFonts w:ascii="Arial" w:hAnsi="Arial" w:cs="Arial"/>
          <w:i/>
          <w:sz w:val="20"/>
          <w:szCs w:val="20"/>
        </w:rPr>
      </w:pPr>
      <w:r w:rsidRPr="00CD5999">
        <w:rPr>
          <w:rFonts w:ascii="Arial" w:hAnsi="Arial" w:cs="Arial"/>
          <w:i/>
          <w:sz w:val="20"/>
          <w:szCs w:val="20"/>
        </w:rPr>
        <w:t>Average number of designations per application</w:t>
      </w:r>
    </w:p>
    <w:p w14:paraId="24F4F4F2"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1D3B868B" wp14:editId="0FA54D0E">
            <wp:extent cx="3920947" cy="2563963"/>
            <wp:effectExtent l="0" t="0" r="3810" b="825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929634" cy="2569644"/>
                    </a:xfrm>
                    <a:prstGeom prst="rect">
                      <a:avLst/>
                    </a:prstGeom>
                    <a:noFill/>
                  </pic:spPr>
                </pic:pic>
              </a:graphicData>
            </a:graphic>
          </wp:inline>
        </w:drawing>
      </w:r>
    </w:p>
    <w:p w14:paraId="64659DA3" w14:textId="77777777" w:rsidR="007F0669" w:rsidRDefault="007F0669" w:rsidP="00B66A4A">
      <w:pPr>
        <w:pStyle w:val="ListParagraph"/>
        <w:numPr>
          <w:ilvl w:val="0"/>
          <w:numId w:val="53"/>
        </w:numPr>
        <w:spacing w:after="200"/>
        <w:ind w:left="993" w:hanging="426"/>
        <w:jc w:val="both"/>
        <w:rPr>
          <w:rFonts w:ascii="Arial" w:hAnsi="Arial" w:cs="Arial"/>
          <w:sz w:val="20"/>
          <w:szCs w:val="20"/>
        </w:rPr>
      </w:pPr>
      <w:r w:rsidRPr="00DC6A4E">
        <w:rPr>
          <w:rFonts w:ascii="Arial" w:hAnsi="Arial" w:cs="Arial"/>
          <w:sz w:val="20"/>
          <w:szCs w:val="20"/>
        </w:rPr>
        <w:t>In 2014, an application contained, on average, nearly five designations.</w:t>
      </w:r>
    </w:p>
    <w:p w14:paraId="295D591F" w14:textId="77777777" w:rsidR="007F0669" w:rsidRPr="007138E9" w:rsidRDefault="007F0669" w:rsidP="005A1F7F">
      <w:pPr>
        <w:jc w:val="both"/>
        <w:rPr>
          <w:rFonts w:ascii="Arial" w:hAnsi="Arial" w:cs="Arial"/>
          <w:sz w:val="20"/>
          <w:szCs w:val="20"/>
        </w:rPr>
      </w:pPr>
    </w:p>
    <w:p w14:paraId="7D30CB1B" w14:textId="77777777" w:rsidR="007F0669" w:rsidRPr="007138E9" w:rsidRDefault="007F0669" w:rsidP="005A1F7F">
      <w:pPr>
        <w:pStyle w:val="ListParagraph"/>
        <w:keepNext/>
        <w:keepLines/>
        <w:spacing w:before="120" w:after="240"/>
        <w:ind w:left="567"/>
        <w:rPr>
          <w:rFonts w:ascii="Arial" w:hAnsi="Arial" w:cs="Arial"/>
          <w:i/>
          <w:sz w:val="20"/>
          <w:szCs w:val="20"/>
        </w:rPr>
      </w:pPr>
      <w:r w:rsidRPr="007138E9">
        <w:rPr>
          <w:rFonts w:ascii="Arial" w:hAnsi="Arial" w:cs="Arial"/>
          <w:i/>
          <w:sz w:val="20"/>
          <w:szCs w:val="20"/>
        </w:rPr>
        <w:lastRenderedPageBreak/>
        <w:t>Trend of irregularities in applications</w:t>
      </w:r>
    </w:p>
    <w:p w14:paraId="53ECCAA3" w14:textId="77777777" w:rsidR="007F0669" w:rsidRPr="00DC6A4E" w:rsidRDefault="007F0669" w:rsidP="005A1F7F">
      <w:pPr>
        <w:pStyle w:val="ListParagraph"/>
        <w:keepNext/>
        <w:keepLines/>
        <w:spacing w:before="120" w:after="240"/>
        <w:ind w:left="1080"/>
        <w:rPr>
          <w:rFonts w:ascii="Arial" w:hAnsi="Arial" w:cs="Arial"/>
          <w:sz w:val="20"/>
          <w:szCs w:val="20"/>
        </w:rPr>
      </w:pPr>
    </w:p>
    <w:p w14:paraId="3E26A469" w14:textId="77777777" w:rsidR="007F0669" w:rsidRPr="00DC6A4E" w:rsidRDefault="007F0669" w:rsidP="00B66A4A">
      <w:pPr>
        <w:pStyle w:val="ListParagraph"/>
        <w:keepNext/>
        <w:keepLines/>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Irregularities in applications are grouped among the ten categories shown below. </w:t>
      </w:r>
    </w:p>
    <w:p w14:paraId="6B7E17C6" w14:textId="77777777" w:rsidR="007F0669" w:rsidRPr="00DC6A4E" w:rsidRDefault="007F0669" w:rsidP="005A1F7F">
      <w:pPr>
        <w:keepNext/>
        <w:keepLines/>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5389BB4C" wp14:editId="65E328B3">
            <wp:extent cx="4746929" cy="2901976"/>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746601" cy="2901776"/>
                    </a:xfrm>
                    <a:prstGeom prst="rect">
                      <a:avLst/>
                    </a:prstGeom>
                    <a:noFill/>
                  </pic:spPr>
                </pic:pic>
              </a:graphicData>
            </a:graphic>
          </wp:inline>
        </w:drawing>
      </w:r>
    </w:p>
    <w:p w14:paraId="5F62F9A5" w14:textId="77777777" w:rsidR="007F0669" w:rsidRPr="00DC6A4E" w:rsidRDefault="007F0669" w:rsidP="00B66A4A">
      <w:pPr>
        <w:pStyle w:val="ListParagraph"/>
        <w:numPr>
          <w:ilvl w:val="0"/>
          <w:numId w:val="53"/>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In 2014, the IB identified 1,557 irregularities in applications, down 14 per cent over 2013. </w:t>
      </w:r>
    </w:p>
    <w:p w14:paraId="73100C60" w14:textId="77777777" w:rsidR="007F0669" w:rsidRPr="00DC6A4E" w:rsidRDefault="007F0669" w:rsidP="00B66A4A">
      <w:pPr>
        <w:pStyle w:val="ListParagraph"/>
        <w:numPr>
          <w:ilvl w:val="0"/>
          <w:numId w:val="53"/>
        </w:numPr>
        <w:spacing w:after="200"/>
        <w:ind w:left="993" w:hanging="426"/>
        <w:jc w:val="both"/>
        <w:rPr>
          <w:rFonts w:ascii="Arial" w:hAnsi="Arial" w:cs="Arial"/>
          <w:sz w:val="20"/>
          <w:szCs w:val="20"/>
        </w:rPr>
      </w:pPr>
      <w:r w:rsidRPr="00DC6A4E">
        <w:rPr>
          <w:rFonts w:ascii="Arial" w:hAnsi="Arial" w:cs="Arial"/>
          <w:sz w:val="20"/>
          <w:szCs w:val="20"/>
        </w:rPr>
        <w:t xml:space="preserve">Despite this sharp decrease, the irregularities related to product indications increased for the third consecutive year. </w:t>
      </w:r>
      <w:r>
        <w:rPr>
          <w:rFonts w:ascii="Arial" w:hAnsi="Arial" w:cs="Arial"/>
          <w:sz w:val="20"/>
          <w:szCs w:val="20"/>
        </w:rPr>
        <w:t xml:space="preserve"> </w:t>
      </w:r>
      <w:r w:rsidRPr="00DC6A4E">
        <w:rPr>
          <w:rFonts w:ascii="Arial" w:hAnsi="Arial" w:cs="Arial"/>
          <w:sz w:val="20"/>
          <w:szCs w:val="20"/>
        </w:rPr>
        <w:t>Together with irregularities of payment, they nearly accounted for half of total irregularities in 2014.</w:t>
      </w:r>
    </w:p>
    <w:p w14:paraId="49B7AC1F" w14:textId="77777777" w:rsidR="007F0669" w:rsidRPr="00DC6A4E" w:rsidRDefault="007F0669" w:rsidP="005A1F7F">
      <w:pPr>
        <w:spacing w:before="120"/>
        <w:rPr>
          <w:rFonts w:ascii="Arial" w:hAnsi="Arial" w:cs="Arial"/>
          <w:sz w:val="20"/>
          <w:szCs w:val="20"/>
        </w:rPr>
      </w:pPr>
    </w:p>
    <w:p w14:paraId="2652F4A9" w14:textId="77777777" w:rsidR="007F0669" w:rsidRPr="007138E9" w:rsidRDefault="007F0669" w:rsidP="005A1F7F">
      <w:pPr>
        <w:spacing w:before="120"/>
        <w:rPr>
          <w:rFonts w:ascii="Arial" w:hAnsi="Arial" w:cs="Arial"/>
          <w:sz w:val="20"/>
          <w:szCs w:val="20"/>
          <w:u w:val="single"/>
        </w:rPr>
      </w:pPr>
      <w:r w:rsidRPr="007138E9">
        <w:rPr>
          <w:rFonts w:ascii="Arial" w:hAnsi="Arial" w:cs="Arial"/>
          <w:sz w:val="20"/>
          <w:szCs w:val="20"/>
          <w:u w:val="single"/>
        </w:rPr>
        <w:t xml:space="preserve">Renewals </w:t>
      </w:r>
    </w:p>
    <w:p w14:paraId="5780B13D"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569D4FEA" wp14:editId="6C0FABA2">
            <wp:extent cx="4067251" cy="2655585"/>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67611" cy="2655820"/>
                    </a:xfrm>
                    <a:prstGeom prst="rect">
                      <a:avLst/>
                    </a:prstGeom>
                    <a:noFill/>
                  </pic:spPr>
                </pic:pic>
              </a:graphicData>
            </a:graphic>
          </wp:inline>
        </w:drawing>
      </w:r>
    </w:p>
    <w:p w14:paraId="7F1C53B0" w14:textId="74A8C9C8" w:rsidR="007F0669" w:rsidRPr="00DC6A4E" w:rsidRDefault="007F0669" w:rsidP="00B66A4A">
      <w:pPr>
        <w:pStyle w:val="ListParagraph"/>
        <w:numPr>
          <w:ilvl w:val="0"/>
          <w:numId w:val="54"/>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The number of renewals decreased </w:t>
      </w:r>
      <w:r>
        <w:rPr>
          <w:rFonts w:ascii="Arial" w:hAnsi="Arial" w:cs="Arial"/>
          <w:sz w:val="20"/>
          <w:szCs w:val="20"/>
        </w:rPr>
        <w:t>for the second consecutive year</w:t>
      </w:r>
      <w:r w:rsidRPr="00DC6A4E">
        <w:rPr>
          <w:rFonts w:ascii="Arial" w:hAnsi="Arial" w:cs="Arial"/>
          <w:sz w:val="20"/>
          <w:szCs w:val="20"/>
        </w:rPr>
        <w:t xml:space="preserve"> to </w:t>
      </w:r>
      <w:r w:rsidR="00235AAC">
        <w:rPr>
          <w:rFonts w:ascii="Arial" w:hAnsi="Arial" w:cs="Arial"/>
          <w:sz w:val="20"/>
          <w:szCs w:val="20"/>
        </w:rPr>
        <w:t>2,703</w:t>
      </w:r>
      <w:r w:rsidRPr="00DC6A4E">
        <w:rPr>
          <w:rFonts w:ascii="Arial" w:hAnsi="Arial" w:cs="Arial"/>
          <w:sz w:val="20"/>
          <w:szCs w:val="20"/>
        </w:rPr>
        <w:t xml:space="preserve"> renewals in</w:t>
      </w:r>
      <w:r>
        <w:rPr>
          <w:rFonts w:ascii="Arial" w:hAnsi="Arial" w:cs="Arial"/>
          <w:sz w:val="20"/>
          <w:szCs w:val="20"/>
        </w:rPr>
        <w:t> </w:t>
      </w:r>
      <w:r w:rsidRPr="00DC6A4E">
        <w:rPr>
          <w:rFonts w:ascii="Arial" w:hAnsi="Arial" w:cs="Arial"/>
          <w:sz w:val="20"/>
          <w:szCs w:val="20"/>
        </w:rPr>
        <w:t xml:space="preserve">2014. </w:t>
      </w:r>
      <w:r>
        <w:rPr>
          <w:rFonts w:ascii="Arial" w:hAnsi="Arial" w:cs="Arial"/>
          <w:sz w:val="20"/>
          <w:szCs w:val="20"/>
        </w:rPr>
        <w:t xml:space="preserve"> </w:t>
      </w:r>
      <w:r w:rsidRPr="00DC6A4E">
        <w:rPr>
          <w:rFonts w:ascii="Arial" w:hAnsi="Arial" w:cs="Arial"/>
          <w:sz w:val="20"/>
          <w:szCs w:val="20"/>
        </w:rPr>
        <w:t xml:space="preserve">This represented a </w:t>
      </w:r>
      <w:r w:rsidR="00235AAC">
        <w:rPr>
          <w:rFonts w:ascii="Arial" w:hAnsi="Arial" w:cs="Arial"/>
          <w:sz w:val="20"/>
          <w:szCs w:val="20"/>
        </w:rPr>
        <w:t xml:space="preserve">5 </w:t>
      </w:r>
      <w:r w:rsidRPr="00DC6A4E">
        <w:rPr>
          <w:rFonts w:ascii="Arial" w:hAnsi="Arial" w:cs="Arial"/>
          <w:sz w:val="20"/>
          <w:szCs w:val="20"/>
        </w:rPr>
        <w:t xml:space="preserve">per cent drop on 2013. </w:t>
      </w:r>
    </w:p>
    <w:p w14:paraId="3850AF27" w14:textId="77777777" w:rsidR="000D2666" w:rsidRPr="000D2666" w:rsidRDefault="007F0669" w:rsidP="00B66A4A">
      <w:pPr>
        <w:pStyle w:val="ListParagraph"/>
        <w:numPr>
          <w:ilvl w:val="0"/>
          <w:numId w:val="54"/>
        </w:numPr>
        <w:spacing w:after="200"/>
        <w:ind w:left="993" w:hanging="426"/>
        <w:jc w:val="both"/>
        <w:rPr>
          <w:rFonts w:ascii="Arial" w:hAnsi="Arial" w:cs="Arial"/>
          <w:sz w:val="20"/>
          <w:szCs w:val="20"/>
          <w:u w:val="single"/>
        </w:rPr>
      </w:pPr>
      <w:r w:rsidRPr="000D2666">
        <w:rPr>
          <w:rFonts w:ascii="Arial" w:hAnsi="Arial" w:cs="Arial"/>
          <w:sz w:val="20"/>
          <w:szCs w:val="20"/>
        </w:rPr>
        <w:t>Since 2013, a majority of renewals were processed automatically.  They accounted for 60 per cent of total renewals in 2014</w:t>
      </w:r>
    </w:p>
    <w:p w14:paraId="3BE70A32" w14:textId="635F3B38" w:rsidR="007F0669" w:rsidRPr="000D2666" w:rsidRDefault="007F0669" w:rsidP="000D2666">
      <w:pPr>
        <w:spacing w:after="200"/>
        <w:jc w:val="both"/>
        <w:rPr>
          <w:rFonts w:ascii="Arial" w:hAnsi="Arial" w:cs="Arial"/>
          <w:sz w:val="20"/>
          <w:szCs w:val="20"/>
          <w:u w:val="single"/>
        </w:rPr>
      </w:pPr>
    </w:p>
    <w:p w14:paraId="297F0073" w14:textId="77777777" w:rsidR="007F0669" w:rsidRPr="007138E9" w:rsidRDefault="007F0669" w:rsidP="00FB68E0">
      <w:pPr>
        <w:keepNext/>
        <w:keepLines/>
        <w:spacing w:before="120"/>
        <w:rPr>
          <w:rFonts w:ascii="Arial" w:hAnsi="Arial" w:cs="Arial"/>
          <w:sz w:val="20"/>
          <w:szCs w:val="20"/>
          <w:u w:val="single"/>
        </w:rPr>
      </w:pPr>
      <w:r w:rsidRPr="007138E9">
        <w:rPr>
          <w:rFonts w:ascii="Arial" w:hAnsi="Arial" w:cs="Arial"/>
          <w:sz w:val="20"/>
          <w:szCs w:val="20"/>
          <w:u w:val="single"/>
        </w:rPr>
        <w:lastRenderedPageBreak/>
        <w:t xml:space="preserve">Changes </w:t>
      </w:r>
    </w:p>
    <w:p w14:paraId="0840FEEB" w14:textId="77777777" w:rsidR="007F0669" w:rsidRPr="007138E9" w:rsidRDefault="007F0669" w:rsidP="00FB68E0">
      <w:pPr>
        <w:keepNext/>
        <w:keepLines/>
        <w:spacing w:before="120" w:after="240"/>
        <w:jc w:val="center"/>
        <w:rPr>
          <w:rFonts w:ascii="Arial" w:hAnsi="Arial" w:cs="Arial"/>
          <w:sz w:val="18"/>
          <w:szCs w:val="20"/>
        </w:rPr>
      </w:pPr>
      <w:r w:rsidRPr="00DC6A4E">
        <w:rPr>
          <w:rFonts w:ascii="Arial" w:hAnsi="Arial" w:cs="Arial"/>
          <w:noProof/>
          <w:sz w:val="20"/>
          <w:szCs w:val="20"/>
          <w:lang w:eastAsia="en-US"/>
        </w:rPr>
        <w:drawing>
          <wp:inline distT="0" distB="0" distL="0" distR="0" wp14:anchorId="303847B6" wp14:editId="7A23CD22">
            <wp:extent cx="4476902" cy="2927510"/>
            <wp:effectExtent l="0" t="0" r="0" b="635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480114" cy="2929610"/>
                    </a:xfrm>
                    <a:prstGeom prst="rect">
                      <a:avLst/>
                    </a:prstGeom>
                    <a:noFill/>
                  </pic:spPr>
                </pic:pic>
              </a:graphicData>
            </a:graphic>
          </wp:inline>
        </w:drawing>
      </w:r>
    </w:p>
    <w:p w14:paraId="40802742" w14:textId="77777777" w:rsidR="007F0669" w:rsidRPr="00DC6A4E" w:rsidRDefault="007F0669" w:rsidP="00B66A4A">
      <w:pPr>
        <w:pStyle w:val="ListParagraph"/>
        <w:keepNext/>
        <w:keepLines/>
        <w:numPr>
          <w:ilvl w:val="0"/>
          <w:numId w:val="54"/>
        </w:numPr>
        <w:ind w:left="992" w:hanging="425"/>
        <w:contextualSpacing w:val="0"/>
        <w:jc w:val="both"/>
        <w:rPr>
          <w:rFonts w:ascii="Arial" w:hAnsi="Arial" w:cs="Arial"/>
          <w:sz w:val="20"/>
          <w:szCs w:val="20"/>
        </w:rPr>
      </w:pPr>
      <w:r w:rsidRPr="00DC6A4E">
        <w:rPr>
          <w:rFonts w:ascii="Arial" w:hAnsi="Arial" w:cs="Arial"/>
          <w:sz w:val="20"/>
          <w:szCs w:val="20"/>
        </w:rPr>
        <w:t xml:space="preserve">Applicants requested 1,063 changes in international registrations in 2014, up </w:t>
      </w:r>
      <w:r>
        <w:rPr>
          <w:rFonts w:ascii="Arial" w:hAnsi="Arial" w:cs="Arial"/>
          <w:sz w:val="20"/>
          <w:szCs w:val="20"/>
        </w:rPr>
        <w:t>8</w:t>
      </w:r>
      <w:r w:rsidRPr="00DC6A4E">
        <w:rPr>
          <w:rFonts w:ascii="Arial" w:hAnsi="Arial" w:cs="Arial"/>
          <w:sz w:val="20"/>
          <w:szCs w:val="20"/>
        </w:rPr>
        <w:t xml:space="preserve"> per cent from 2013. </w:t>
      </w:r>
    </w:p>
    <w:p w14:paraId="0F6ED710" w14:textId="77777777" w:rsidR="007F0669" w:rsidRPr="00DC6A4E" w:rsidRDefault="007F0669" w:rsidP="005A1F7F">
      <w:pPr>
        <w:rPr>
          <w:rFonts w:ascii="Arial" w:hAnsi="Arial" w:cs="Arial"/>
          <w:sz w:val="20"/>
          <w:szCs w:val="20"/>
        </w:rPr>
      </w:pPr>
    </w:p>
    <w:p w14:paraId="2A3D2A40" w14:textId="77777777" w:rsidR="007F0669" w:rsidRPr="007138E9" w:rsidRDefault="007F0669" w:rsidP="005A1F7F">
      <w:pPr>
        <w:rPr>
          <w:rFonts w:ascii="Arial" w:hAnsi="Arial" w:cs="Arial"/>
          <w:sz w:val="20"/>
          <w:szCs w:val="20"/>
          <w:u w:val="single"/>
        </w:rPr>
      </w:pPr>
      <w:r w:rsidRPr="007138E9">
        <w:rPr>
          <w:rFonts w:ascii="Arial" w:hAnsi="Arial" w:cs="Arial"/>
          <w:sz w:val="20"/>
          <w:szCs w:val="20"/>
          <w:u w:val="single"/>
        </w:rPr>
        <w:t xml:space="preserve">Decisions </w:t>
      </w:r>
    </w:p>
    <w:p w14:paraId="078A9DE3" w14:textId="77777777" w:rsidR="007F0669" w:rsidRPr="007138E9" w:rsidRDefault="007F0669" w:rsidP="005A1F7F">
      <w:pPr>
        <w:spacing w:before="120" w:after="240"/>
        <w:jc w:val="center"/>
        <w:rPr>
          <w:rFonts w:ascii="Arial" w:hAnsi="Arial" w:cs="Arial"/>
          <w:sz w:val="18"/>
          <w:szCs w:val="20"/>
        </w:rPr>
      </w:pPr>
      <w:r w:rsidRPr="00DC6A4E">
        <w:rPr>
          <w:rFonts w:ascii="Arial" w:hAnsi="Arial" w:cs="Arial"/>
          <w:noProof/>
          <w:sz w:val="20"/>
          <w:szCs w:val="20"/>
          <w:lang w:eastAsia="en-US"/>
        </w:rPr>
        <w:drawing>
          <wp:inline distT="0" distB="0" distL="0" distR="0" wp14:anchorId="4A817E26" wp14:editId="64D147C0">
            <wp:extent cx="4169664" cy="2726603"/>
            <wp:effectExtent l="0" t="0" r="254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72655" cy="2728559"/>
                    </a:xfrm>
                    <a:prstGeom prst="rect">
                      <a:avLst/>
                    </a:prstGeom>
                    <a:noFill/>
                  </pic:spPr>
                </pic:pic>
              </a:graphicData>
            </a:graphic>
          </wp:inline>
        </w:drawing>
      </w:r>
    </w:p>
    <w:p w14:paraId="6BD7CFA0" w14:textId="77777777" w:rsidR="007F0669" w:rsidRPr="00DC6A4E" w:rsidRDefault="007F0669" w:rsidP="00B66A4A">
      <w:pPr>
        <w:pStyle w:val="ListParagraph"/>
        <w:numPr>
          <w:ilvl w:val="0"/>
          <w:numId w:val="58"/>
        </w:numPr>
        <w:spacing w:after="120"/>
        <w:ind w:left="992" w:hanging="425"/>
        <w:contextualSpacing w:val="0"/>
        <w:rPr>
          <w:rFonts w:ascii="Arial" w:hAnsi="Arial" w:cs="Arial"/>
          <w:sz w:val="20"/>
          <w:szCs w:val="20"/>
        </w:rPr>
      </w:pPr>
      <w:r w:rsidRPr="00DC6A4E">
        <w:rPr>
          <w:rFonts w:ascii="Arial" w:hAnsi="Arial" w:cs="Arial"/>
          <w:sz w:val="20"/>
          <w:szCs w:val="20"/>
        </w:rPr>
        <w:t xml:space="preserve">The number of decisions received in 2014 increased by 10 per cent, to 3,169 decisions. </w:t>
      </w:r>
    </w:p>
    <w:p w14:paraId="514515E0" w14:textId="77777777" w:rsidR="007F0669" w:rsidRPr="00DC6A4E" w:rsidRDefault="007F0669" w:rsidP="00B66A4A">
      <w:pPr>
        <w:pStyle w:val="ListParagraph"/>
        <w:numPr>
          <w:ilvl w:val="0"/>
          <w:numId w:val="58"/>
        </w:numPr>
        <w:spacing w:after="200"/>
        <w:ind w:left="993" w:hanging="426"/>
        <w:rPr>
          <w:rFonts w:ascii="Arial" w:hAnsi="Arial" w:cs="Arial"/>
          <w:sz w:val="20"/>
          <w:szCs w:val="20"/>
        </w:rPr>
      </w:pPr>
      <w:r w:rsidRPr="00DC6A4E">
        <w:rPr>
          <w:rFonts w:ascii="Arial" w:hAnsi="Arial" w:cs="Arial"/>
          <w:sz w:val="20"/>
          <w:szCs w:val="20"/>
        </w:rPr>
        <w:t>Between 68 per cent and 72 per cent of decisions were processed automatically since</w:t>
      </w:r>
      <w:r>
        <w:rPr>
          <w:rFonts w:ascii="Arial" w:hAnsi="Arial" w:cs="Arial"/>
          <w:sz w:val="20"/>
          <w:szCs w:val="20"/>
        </w:rPr>
        <w:t> </w:t>
      </w:r>
      <w:r w:rsidRPr="00DC6A4E">
        <w:rPr>
          <w:rFonts w:ascii="Arial" w:hAnsi="Arial" w:cs="Arial"/>
          <w:sz w:val="20"/>
          <w:szCs w:val="20"/>
        </w:rPr>
        <w:t>2011.</w:t>
      </w:r>
    </w:p>
    <w:p w14:paraId="626509AA" w14:textId="77777777" w:rsidR="007F0669" w:rsidRDefault="007F0669" w:rsidP="005A1F7F">
      <w:pPr>
        <w:pStyle w:val="ListParagraph"/>
        <w:spacing w:before="120" w:after="240"/>
        <w:rPr>
          <w:rFonts w:ascii="Arial" w:hAnsi="Arial" w:cs="Arial"/>
          <w:sz w:val="20"/>
          <w:szCs w:val="20"/>
        </w:rPr>
      </w:pPr>
    </w:p>
    <w:p w14:paraId="5930B00C" w14:textId="77777777" w:rsidR="007F0669" w:rsidRPr="00DC6A4E" w:rsidRDefault="007F0669" w:rsidP="005A1F7F">
      <w:pPr>
        <w:pStyle w:val="ListParagraph"/>
        <w:rPr>
          <w:rFonts w:ascii="Arial" w:hAnsi="Arial" w:cs="Arial"/>
          <w:sz w:val="20"/>
          <w:szCs w:val="20"/>
        </w:rPr>
      </w:pPr>
    </w:p>
    <w:p w14:paraId="3BDEAEC7" w14:textId="77777777" w:rsidR="007F0669" w:rsidRPr="00CD5999" w:rsidRDefault="007F0669" w:rsidP="005A1F7F">
      <w:pPr>
        <w:tabs>
          <w:tab w:val="left" w:pos="567"/>
        </w:tabs>
        <w:rPr>
          <w:rFonts w:ascii="Arial" w:hAnsi="Arial" w:cs="Arial"/>
          <w:b/>
          <w:sz w:val="20"/>
          <w:szCs w:val="20"/>
        </w:rPr>
      </w:pPr>
      <w:r w:rsidRPr="00CD5999">
        <w:rPr>
          <w:rFonts w:ascii="Arial" w:hAnsi="Arial" w:cs="Arial"/>
          <w:b/>
          <w:sz w:val="20"/>
          <w:szCs w:val="20"/>
        </w:rPr>
        <w:t>II.</w:t>
      </w:r>
      <w:r w:rsidRPr="00CD5999">
        <w:rPr>
          <w:rFonts w:ascii="Arial" w:hAnsi="Arial" w:cs="Arial"/>
          <w:b/>
          <w:sz w:val="20"/>
          <w:szCs w:val="20"/>
        </w:rPr>
        <w:tab/>
        <w:t xml:space="preserve">Total workload </w:t>
      </w:r>
    </w:p>
    <w:p w14:paraId="68E3C9C7" w14:textId="77777777" w:rsidR="007F0669" w:rsidRPr="00DC6A4E" w:rsidRDefault="007F0669" w:rsidP="005A1F7F">
      <w:pPr>
        <w:pStyle w:val="ListParagraph"/>
        <w:ind w:left="1080"/>
        <w:jc w:val="both"/>
        <w:rPr>
          <w:rFonts w:ascii="Arial" w:hAnsi="Arial" w:cs="Arial"/>
          <w:sz w:val="20"/>
          <w:szCs w:val="20"/>
        </w:rPr>
      </w:pPr>
    </w:p>
    <w:p w14:paraId="05C0CE0F"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total workload represents the weighted total number of documents received at the IB. </w:t>
      </w:r>
      <w:r>
        <w:rPr>
          <w:rFonts w:ascii="Arial" w:hAnsi="Arial" w:cs="Arial"/>
          <w:sz w:val="20"/>
          <w:szCs w:val="20"/>
        </w:rPr>
        <w:t xml:space="preserve"> </w:t>
      </w:r>
      <w:r w:rsidRPr="00DC6A4E">
        <w:rPr>
          <w:rFonts w:ascii="Arial" w:hAnsi="Arial" w:cs="Arial"/>
          <w:sz w:val="20"/>
          <w:szCs w:val="20"/>
        </w:rPr>
        <w:t>All four categories of documents are included (applications, renewals, changes and decisions).</w:t>
      </w:r>
    </w:p>
    <w:p w14:paraId="50ADC51A" w14:textId="77777777" w:rsidR="007F0669" w:rsidRPr="00DC6A4E" w:rsidRDefault="007F0669" w:rsidP="005A1F7F">
      <w:pPr>
        <w:jc w:val="both"/>
        <w:rPr>
          <w:rFonts w:ascii="Arial" w:hAnsi="Arial" w:cs="Arial"/>
          <w:sz w:val="20"/>
          <w:szCs w:val="20"/>
        </w:rPr>
      </w:pPr>
    </w:p>
    <w:p w14:paraId="356F645E"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processing these types of documents does not require equal resources, they are each weighted differently.  According to this weighting, during the time required to process an international application, an examiner can process eight renewals, four changes or four decisions. </w:t>
      </w:r>
      <w:r>
        <w:rPr>
          <w:rFonts w:ascii="Arial" w:hAnsi="Arial" w:cs="Arial"/>
          <w:sz w:val="20"/>
          <w:szCs w:val="20"/>
        </w:rPr>
        <w:t xml:space="preserve"> </w:t>
      </w:r>
      <w:r w:rsidRPr="00DC6A4E">
        <w:rPr>
          <w:rFonts w:ascii="Arial" w:hAnsi="Arial" w:cs="Arial"/>
          <w:sz w:val="20"/>
          <w:szCs w:val="20"/>
        </w:rPr>
        <w:t xml:space="preserve">Similarly, during </w:t>
      </w:r>
      <w:r w:rsidRPr="00DC6A4E">
        <w:rPr>
          <w:rFonts w:ascii="Arial" w:hAnsi="Arial" w:cs="Arial"/>
          <w:sz w:val="20"/>
          <w:szCs w:val="20"/>
        </w:rPr>
        <w:lastRenderedPageBreak/>
        <w:t xml:space="preserve">the time required to process an international application, an employee involved in the automation process can be deemed to process 13 documents. </w:t>
      </w:r>
    </w:p>
    <w:p w14:paraId="0D6A2F89" w14:textId="77777777" w:rsidR="007F0669" w:rsidRPr="00DC6A4E" w:rsidRDefault="007F0669" w:rsidP="005A1F7F">
      <w:pPr>
        <w:jc w:val="center"/>
        <w:rPr>
          <w:rFonts w:ascii="Arial" w:hAnsi="Arial" w:cs="Arial"/>
          <w:sz w:val="20"/>
          <w:szCs w:val="20"/>
        </w:rPr>
      </w:pPr>
      <w:r w:rsidRPr="00DC6A4E">
        <w:rPr>
          <w:rFonts w:ascii="Arial" w:hAnsi="Arial" w:cs="Arial"/>
          <w:noProof/>
          <w:sz w:val="20"/>
          <w:szCs w:val="20"/>
          <w:lang w:eastAsia="en-US"/>
        </w:rPr>
        <w:drawing>
          <wp:inline distT="0" distB="0" distL="0" distR="0" wp14:anchorId="4BBA89AF" wp14:editId="4E40DEDB">
            <wp:extent cx="5297460" cy="2296972"/>
            <wp:effectExtent l="0" t="0" r="0" b="825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293943" cy="2295447"/>
                    </a:xfrm>
                    <a:prstGeom prst="rect">
                      <a:avLst/>
                    </a:prstGeom>
                    <a:noFill/>
                  </pic:spPr>
                </pic:pic>
              </a:graphicData>
            </a:graphic>
          </wp:inline>
        </w:drawing>
      </w:r>
    </w:p>
    <w:p w14:paraId="3DAE55E3" w14:textId="77777777" w:rsidR="007F0669" w:rsidRPr="00DC6A4E" w:rsidRDefault="007F0669" w:rsidP="00B66A4A">
      <w:pPr>
        <w:pStyle w:val="ListParagraph"/>
        <w:numPr>
          <w:ilvl w:val="0"/>
          <w:numId w:val="55"/>
        </w:numPr>
        <w:spacing w:after="120"/>
        <w:ind w:left="992" w:hanging="425"/>
        <w:contextualSpacing w:val="0"/>
        <w:jc w:val="both"/>
        <w:rPr>
          <w:rFonts w:ascii="Arial" w:hAnsi="Arial" w:cs="Arial"/>
          <w:sz w:val="20"/>
          <w:szCs w:val="20"/>
        </w:rPr>
      </w:pPr>
      <w:r w:rsidRPr="00DC6A4E">
        <w:rPr>
          <w:rFonts w:ascii="Arial" w:hAnsi="Arial" w:cs="Arial"/>
          <w:sz w:val="20"/>
          <w:szCs w:val="20"/>
        </w:rPr>
        <w:t>In 2014, the total workload remained stable compared to 2013. In 2014, applications alone represented 76 per cent of the total workload.</w:t>
      </w:r>
    </w:p>
    <w:p w14:paraId="6421CB5E" w14:textId="77777777" w:rsidR="007F0669" w:rsidRPr="00DC6A4E" w:rsidRDefault="007F0669" w:rsidP="00B66A4A">
      <w:pPr>
        <w:pStyle w:val="ListParagraph"/>
        <w:numPr>
          <w:ilvl w:val="0"/>
          <w:numId w:val="55"/>
        </w:numPr>
        <w:spacing w:after="200"/>
        <w:ind w:left="993" w:hanging="426"/>
        <w:jc w:val="both"/>
        <w:rPr>
          <w:rFonts w:ascii="Arial" w:hAnsi="Arial" w:cs="Arial"/>
          <w:sz w:val="20"/>
          <w:szCs w:val="20"/>
        </w:rPr>
      </w:pPr>
      <w:r w:rsidRPr="00DC6A4E">
        <w:rPr>
          <w:rFonts w:ascii="Arial" w:hAnsi="Arial" w:cs="Arial"/>
          <w:sz w:val="20"/>
          <w:szCs w:val="20"/>
        </w:rPr>
        <w:t>Between 2011 and 2013, the increase in workload was mainly due to the increase in the number of applications received.</w:t>
      </w:r>
    </w:p>
    <w:p w14:paraId="7F83B02F" w14:textId="77777777" w:rsidR="007F0669" w:rsidRPr="00DC6A4E" w:rsidRDefault="007F0669" w:rsidP="005A1F7F">
      <w:pPr>
        <w:rPr>
          <w:rFonts w:ascii="Arial" w:hAnsi="Arial" w:cs="Arial"/>
          <w:sz w:val="20"/>
          <w:szCs w:val="20"/>
        </w:rPr>
      </w:pPr>
    </w:p>
    <w:p w14:paraId="7A0AEF82" w14:textId="77777777" w:rsidR="007F0669" w:rsidRPr="00613F8E" w:rsidRDefault="007F0669" w:rsidP="005A1F7F">
      <w:pPr>
        <w:tabs>
          <w:tab w:val="left" w:pos="567"/>
        </w:tabs>
        <w:rPr>
          <w:rFonts w:ascii="Arial" w:hAnsi="Arial" w:cs="Arial"/>
          <w:b/>
          <w:sz w:val="20"/>
          <w:szCs w:val="20"/>
        </w:rPr>
      </w:pPr>
      <w:r>
        <w:rPr>
          <w:rFonts w:ascii="Arial" w:hAnsi="Arial" w:cs="Arial"/>
          <w:b/>
          <w:sz w:val="20"/>
          <w:szCs w:val="20"/>
        </w:rPr>
        <w:t>III.</w:t>
      </w:r>
      <w:r>
        <w:rPr>
          <w:rFonts w:ascii="Arial" w:hAnsi="Arial" w:cs="Arial"/>
          <w:b/>
          <w:sz w:val="20"/>
          <w:szCs w:val="20"/>
        </w:rPr>
        <w:tab/>
      </w:r>
      <w:r w:rsidRPr="00613F8E">
        <w:rPr>
          <w:rFonts w:ascii="Arial" w:hAnsi="Arial" w:cs="Arial"/>
          <w:b/>
          <w:sz w:val="20"/>
          <w:szCs w:val="20"/>
        </w:rPr>
        <w:t>Cost of Processing</w:t>
      </w:r>
    </w:p>
    <w:p w14:paraId="109358C6" w14:textId="77777777" w:rsidR="007F0669" w:rsidRPr="00DC6A4E" w:rsidRDefault="007F0669" w:rsidP="005A1F7F">
      <w:pPr>
        <w:pStyle w:val="ListParagraph"/>
        <w:ind w:left="1080"/>
        <w:rPr>
          <w:rFonts w:ascii="Arial" w:hAnsi="Arial" w:cs="Arial"/>
          <w:sz w:val="20"/>
          <w:szCs w:val="20"/>
        </w:rPr>
      </w:pPr>
    </w:p>
    <w:p w14:paraId="7FC151DB" w14:textId="77777777" w:rsidR="007F0669" w:rsidRPr="00613F8E" w:rsidRDefault="007F0669" w:rsidP="005A1F7F">
      <w:pPr>
        <w:rPr>
          <w:rFonts w:ascii="Arial" w:hAnsi="Arial" w:cs="Arial"/>
          <w:sz w:val="20"/>
          <w:szCs w:val="20"/>
          <w:u w:val="single"/>
        </w:rPr>
      </w:pPr>
      <w:r w:rsidRPr="00613F8E">
        <w:rPr>
          <w:rFonts w:ascii="Arial" w:hAnsi="Arial" w:cs="Arial"/>
          <w:sz w:val="20"/>
          <w:szCs w:val="20"/>
          <w:u w:val="single"/>
        </w:rPr>
        <w:t>Total cost of production</w:t>
      </w:r>
    </w:p>
    <w:p w14:paraId="366E4C06" w14:textId="77777777" w:rsidR="007F0669" w:rsidRPr="00DC6A4E" w:rsidRDefault="007F0669" w:rsidP="005A1F7F">
      <w:pPr>
        <w:pStyle w:val="ListParagraph"/>
        <w:ind w:left="1080"/>
        <w:jc w:val="both"/>
        <w:rPr>
          <w:rFonts w:ascii="Arial" w:hAnsi="Arial" w:cs="Arial"/>
          <w:sz w:val="20"/>
          <w:szCs w:val="20"/>
        </w:rPr>
      </w:pPr>
    </w:p>
    <w:p w14:paraId="4067599F"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total cost of production is the total Hague System expenditure, plus a proportion of expenditure on support and management activities.</w:t>
      </w:r>
      <w:r>
        <w:rPr>
          <w:rFonts w:ascii="Arial" w:hAnsi="Arial" w:cs="Arial"/>
          <w:sz w:val="20"/>
          <w:szCs w:val="20"/>
        </w:rPr>
        <w:t xml:space="preserve"> </w:t>
      </w:r>
      <w:r w:rsidRPr="00DC6A4E">
        <w:rPr>
          <w:rFonts w:ascii="Arial" w:hAnsi="Arial" w:cs="Arial"/>
          <w:sz w:val="20"/>
          <w:szCs w:val="20"/>
        </w:rPr>
        <w:t xml:space="preserve"> It has direct and indirect components. Direct costs reflect expenditure incurred by the IB in administering the Hague System.</w:t>
      </w:r>
      <w:r w:rsidRPr="00DC6A4E">
        <w:rPr>
          <w:rStyle w:val="FootnoteReference"/>
          <w:rFonts w:ascii="Arial" w:hAnsi="Arial" w:cs="Arial"/>
          <w:sz w:val="20"/>
          <w:szCs w:val="20"/>
        </w:rPr>
        <w:footnoteReference w:id="29"/>
      </w:r>
      <w:r w:rsidRPr="00DC6A4E">
        <w:rPr>
          <w:rFonts w:ascii="Arial" w:hAnsi="Arial" w:cs="Arial"/>
          <w:sz w:val="20"/>
          <w:szCs w:val="20"/>
        </w:rPr>
        <w:t xml:space="preserve"> </w:t>
      </w:r>
      <w:r>
        <w:rPr>
          <w:rFonts w:ascii="Arial" w:hAnsi="Arial" w:cs="Arial"/>
          <w:sz w:val="20"/>
          <w:szCs w:val="20"/>
        </w:rPr>
        <w:t xml:space="preserve"> </w:t>
      </w:r>
      <w:r w:rsidRPr="00DC6A4E">
        <w:rPr>
          <w:rFonts w:ascii="Arial" w:hAnsi="Arial" w:cs="Arial"/>
          <w:sz w:val="20"/>
          <w:szCs w:val="20"/>
        </w:rPr>
        <w:t>Indirect costs reflect expenditure for supporting activities (such as buildings and information technology). Indirect costs are weighted to take into account only the share attributable to the Hague System.</w:t>
      </w:r>
    </w:p>
    <w:p w14:paraId="57E601A0" w14:textId="77777777" w:rsidR="007F0669" w:rsidRPr="00DC6A4E" w:rsidRDefault="007F0669" w:rsidP="005A1F7F">
      <w:pPr>
        <w:pStyle w:val="ListParagraph"/>
        <w:ind w:left="1080"/>
        <w:jc w:val="both"/>
        <w:rPr>
          <w:rFonts w:ascii="Arial" w:hAnsi="Arial" w:cs="Arial"/>
          <w:sz w:val="20"/>
          <w:szCs w:val="20"/>
        </w:rPr>
      </w:pPr>
    </w:p>
    <w:p w14:paraId="2DD9414D" w14:textId="77777777" w:rsidR="007F0669" w:rsidRPr="00613F8E" w:rsidRDefault="007F0669" w:rsidP="005A1F7F">
      <w:pPr>
        <w:pStyle w:val="ListParagraph"/>
        <w:ind w:left="1080"/>
        <w:rPr>
          <w:rFonts w:ascii="Arial" w:hAnsi="Arial" w:cs="Arial"/>
          <w:sz w:val="20"/>
          <w:szCs w:val="20"/>
        </w:rPr>
      </w:pPr>
      <w:r w:rsidRPr="00DC6A4E">
        <w:rPr>
          <w:rFonts w:ascii="Arial" w:hAnsi="Arial" w:cs="Arial"/>
          <w:noProof/>
          <w:color w:val="FF0000"/>
          <w:sz w:val="20"/>
          <w:szCs w:val="20"/>
          <w:lang w:eastAsia="en-US"/>
        </w:rPr>
        <w:drawing>
          <wp:inline distT="0" distB="0" distL="0" distR="0" wp14:anchorId="29B2610F" wp14:editId="3B424CB3">
            <wp:extent cx="4452730" cy="2665951"/>
            <wp:effectExtent l="0" t="0" r="5080"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455224" cy="2667444"/>
                    </a:xfrm>
                    <a:prstGeom prst="rect">
                      <a:avLst/>
                    </a:prstGeom>
                    <a:noFill/>
                  </pic:spPr>
                </pic:pic>
              </a:graphicData>
            </a:graphic>
          </wp:inline>
        </w:drawing>
      </w:r>
    </w:p>
    <w:p w14:paraId="02AAE937" w14:textId="0A51F060" w:rsidR="007F0669" w:rsidRPr="00DC6A4E" w:rsidRDefault="007F0669" w:rsidP="00B66A4A">
      <w:pPr>
        <w:pStyle w:val="ListParagraph"/>
        <w:numPr>
          <w:ilvl w:val="0"/>
          <w:numId w:val="56"/>
        </w:numPr>
        <w:spacing w:after="120"/>
        <w:ind w:left="992" w:hanging="425"/>
        <w:contextualSpacing w:val="0"/>
        <w:jc w:val="both"/>
        <w:rPr>
          <w:rFonts w:ascii="Arial" w:hAnsi="Arial" w:cs="Arial"/>
          <w:sz w:val="20"/>
          <w:szCs w:val="20"/>
        </w:rPr>
      </w:pPr>
      <w:r w:rsidRPr="00DC6A4E">
        <w:rPr>
          <w:rFonts w:ascii="Arial" w:hAnsi="Arial" w:cs="Arial"/>
          <w:sz w:val="20"/>
          <w:szCs w:val="20"/>
        </w:rPr>
        <w:t>The total expenditures related to the processing of the Hague System are estimated at 5.7</w:t>
      </w:r>
      <w:r>
        <w:rPr>
          <w:rFonts w:ascii="Arial" w:hAnsi="Arial" w:cs="Arial"/>
          <w:sz w:val="20"/>
          <w:szCs w:val="20"/>
        </w:rPr>
        <w:t> </w:t>
      </w:r>
      <w:r w:rsidRPr="00DC6A4E">
        <w:rPr>
          <w:rFonts w:ascii="Arial" w:hAnsi="Arial" w:cs="Arial"/>
          <w:sz w:val="20"/>
          <w:szCs w:val="20"/>
        </w:rPr>
        <w:t xml:space="preserve">million Swiss </w:t>
      </w:r>
      <w:r>
        <w:rPr>
          <w:rFonts w:ascii="Arial" w:hAnsi="Arial" w:cs="Arial"/>
          <w:sz w:val="20"/>
          <w:szCs w:val="20"/>
        </w:rPr>
        <w:t>f</w:t>
      </w:r>
      <w:r w:rsidRPr="00DC6A4E">
        <w:rPr>
          <w:rFonts w:ascii="Arial" w:hAnsi="Arial" w:cs="Arial"/>
          <w:sz w:val="20"/>
          <w:szCs w:val="20"/>
        </w:rPr>
        <w:t xml:space="preserve">rancs in 2014. </w:t>
      </w:r>
      <w:r>
        <w:rPr>
          <w:rFonts w:ascii="Arial" w:hAnsi="Arial" w:cs="Arial"/>
          <w:sz w:val="20"/>
          <w:szCs w:val="20"/>
        </w:rPr>
        <w:t xml:space="preserve"> </w:t>
      </w:r>
      <w:r w:rsidRPr="00DC6A4E">
        <w:rPr>
          <w:rFonts w:ascii="Arial" w:hAnsi="Arial" w:cs="Arial"/>
          <w:sz w:val="20"/>
          <w:szCs w:val="20"/>
        </w:rPr>
        <w:t>This represents a decrease of 5.7 per cent on 2013. Direct and indirect costs have decreased, by respectively 8.1 per cent and 2 per cent.</w:t>
      </w:r>
    </w:p>
    <w:p w14:paraId="71C185F8" w14:textId="77777777" w:rsidR="007F0669" w:rsidRPr="00DC6A4E" w:rsidRDefault="007F0669" w:rsidP="00B66A4A">
      <w:pPr>
        <w:pStyle w:val="ListParagraph"/>
        <w:numPr>
          <w:ilvl w:val="0"/>
          <w:numId w:val="56"/>
        </w:numPr>
        <w:spacing w:after="200"/>
        <w:ind w:left="993" w:hanging="426"/>
        <w:jc w:val="both"/>
        <w:rPr>
          <w:rFonts w:ascii="Arial" w:hAnsi="Arial" w:cs="Arial"/>
          <w:sz w:val="20"/>
          <w:szCs w:val="20"/>
        </w:rPr>
      </w:pPr>
      <w:r w:rsidRPr="00DC6A4E">
        <w:rPr>
          <w:rFonts w:ascii="Arial" w:hAnsi="Arial" w:cs="Arial"/>
          <w:sz w:val="20"/>
          <w:szCs w:val="20"/>
        </w:rPr>
        <w:t xml:space="preserve">In 2014, the direct costs accounted for 60 per cent of total expenditures. </w:t>
      </w:r>
    </w:p>
    <w:p w14:paraId="283D74A2" w14:textId="77777777" w:rsidR="007F0669" w:rsidRPr="00DC6A4E" w:rsidRDefault="007F0669" w:rsidP="005A1F7F">
      <w:pPr>
        <w:pStyle w:val="ListParagraph"/>
        <w:ind w:left="993" w:hanging="426"/>
        <w:rPr>
          <w:rFonts w:ascii="Arial" w:hAnsi="Arial" w:cs="Arial"/>
          <w:sz w:val="20"/>
          <w:szCs w:val="20"/>
        </w:rPr>
      </w:pPr>
    </w:p>
    <w:p w14:paraId="58B026B8" w14:textId="77777777" w:rsidR="007F0669" w:rsidRDefault="007F0669" w:rsidP="005A1F7F">
      <w:pPr>
        <w:rPr>
          <w:rFonts w:ascii="Arial" w:hAnsi="Arial" w:cs="Arial"/>
          <w:sz w:val="20"/>
          <w:szCs w:val="20"/>
          <w:u w:val="single"/>
        </w:rPr>
      </w:pPr>
      <w:r w:rsidRPr="00613F8E">
        <w:rPr>
          <w:rFonts w:ascii="Arial" w:hAnsi="Arial" w:cs="Arial"/>
          <w:sz w:val="20"/>
          <w:szCs w:val="20"/>
          <w:u w:val="single"/>
        </w:rPr>
        <w:lastRenderedPageBreak/>
        <w:t xml:space="preserve">Unit cost </w:t>
      </w:r>
    </w:p>
    <w:p w14:paraId="78CA3FB3" w14:textId="77777777" w:rsidR="007F0669" w:rsidRPr="00613F8E" w:rsidRDefault="007F0669" w:rsidP="005A1F7F">
      <w:pPr>
        <w:rPr>
          <w:rFonts w:ascii="Arial" w:hAnsi="Arial" w:cs="Arial"/>
          <w:sz w:val="20"/>
          <w:szCs w:val="20"/>
          <w:u w:val="single"/>
        </w:rPr>
      </w:pPr>
    </w:p>
    <w:p w14:paraId="01FAB496"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IB’s efficiency in processing transactions can be measured by the unit cost, defined as the average cost of producing one unit of output.</w:t>
      </w:r>
    </w:p>
    <w:p w14:paraId="09EE8A07" w14:textId="77777777" w:rsidR="007F0669" w:rsidRPr="00DC6A4E" w:rsidRDefault="007F0669" w:rsidP="005A1F7F">
      <w:pPr>
        <w:contextualSpacing/>
        <w:jc w:val="both"/>
        <w:rPr>
          <w:rFonts w:ascii="Arial" w:hAnsi="Arial" w:cs="Arial"/>
          <w:sz w:val="20"/>
          <w:szCs w:val="20"/>
        </w:rPr>
      </w:pPr>
    </w:p>
    <w:p w14:paraId="1F31F67B"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the IB registers new applications and maintains existing registrations, it is relevant to have a unit of output which includes a set of transactions. </w:t>
      </w:r>
      <w:r>
        <w:rPr>
          <w:rFonts w:ascii="Arial" w:hAnsi="Arial" w:cs="Arial"/>
          <w:sz w:val="20"/>
          <w:szCs w:val="20"/>
        </w:rPr>
        <w:t xml:space="preserve"> </w:t>
      </w:r>
      <w:r w:rsidRPr="00DC6A4E">
        <w:rPr>
          <w:rFonts w:ascii="Arial" w:hAnsi="Arial" w:cs="Arial"/>
          <w:sz w:val="20"/>
          <w:szCs w:val="20"/>
        </w:rPr>
        <w:t>Two unit cost indicators are presented below using two different units of output.</w:t>
      </w:r>
    </w:p>
    <w:p w14:paraId="5AC97F2D"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7F20BC45"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part of the IB’s efforts to continuously refine the methodology for calculating unit costs, the methodology has been revised in the Program and Budget to reflect more accurately the cost of processing Hague workloads at the IB. </w:t>
      </w:r>
    </w:p>
    <w:p w14:paraId="25E3A046"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288864FD"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revisions in question are the following:</w:t>
      </w:r>
    </w:p>
    <w:p w14:paraId="1397034C" w14:textId="77777777" w:rsidR="007F0669" w:rsidRPr="00DC6A4E" w:rsidRDefault="007F0669" w:rsidP="005A1F7F">
      <w:pPr>
        <w:pStyle w:val="ListParagraph"/>
        <w:tabs>
          <w:tab w:val="left" w:pos="0"/>
          <w:tab w:val="left" w:pos="567"/>
        </w:tabs>
        <w:spacing w:after="120"/>
        <w:ind w:left="0"/>
        <w:jc w:val="both"/>
        <w:rPr>
          <w:rFonts w:ascii="Arial" w:hAnsi="Arial" w:cs="Arial"/>
          <w:sz w:val="20"/>
          <w:szCs w:val="20"/>
        </w:rPr>
      </w:pPr>
    </w:p>
    <w:p w14:paraId="236635BB" w14:textId="77777777" w:rsidR="007F0669" w:rsidRPr="00DC6A4E" w:rsidRDefault="007F0669" w:rsidP="00B66A4A">
      <w:pPr>
        <w:pStyle w:val="ListParagraph"/>
        <w:numPr>
          <w:ilvl w:val="0"/>
          <w:numId w:val="59"/>
        </w:numPr>
        <w:spacing w:after="120"/>
        <w:ind w:left="1134" w:hanging="567"/>
        <w:contextualSpacing w:val="0"/>
        <w:jc w:val="both"/>
        <w:rPr>
          <w:rFonts w:ascii="Arial" w:hAnsi="Arial" w:cs="Arial"/>
          <w:sz w:val="20"/>
          <w:szCs w:val="20"/>
        </w:rPr>
      </w:pPr>
      <w:r w:rsidRPr="00DC6A4E">
        <w:rPr>
          <w:rFonts w:ascii="Arial" w:hAnsi="Arial" w:cs="Arial"/>
          <w:sz w:val="20"/>
          <w:szCs w:val="20"/>
        </w:rPr>
        <w:t xml:space="preserve">The methodology for calculating direct and indirect costs for </w:t>
      </w:r>
      <w:r w:rsidRPr="00DC6A4E">
        <w:rPr>
          <w:rFonts w:ascii="Arial" w:hAnsi="Arial" w:cs="Arial"/>
          <w:bCs/>
          <w:sz w:val="20"/>
          <w:szCs w:val="20"/>
        </w:rPr>
        <w:t>the Hague</w:t>
      </w:r>
      <w:r w:rsidRPr="00DC6A4E">
        <w:rPr>
          <w:rFonts w:ascii="Arial" w:hAnsi="Arial" w:cs="Arial"/>
          <w:sz w:val="20"/>
          <w:szCs w:val="20"/>
        </w:rPr>
        <w:t xml:space="preserve"> have been aligned with the methodologies for calculating PCT and Madrid unit costs.</w:t>
      </w:r>
    </w:p>
    <w:p w14:paraId="2328067A" w14:textId="77777777" w:rsidR="007F0669" w:rsidRPr="00DC6A4E" w:rsidRDefault="007F0669" w:rsidP="00B66A4A">
      <w:pPr>
        <w:pStyle w:val="ListParagraph"/>
        <w:numPr>
          <w:ilvl w:val="0"/>
          <w:numId w:val="46"/>
        </w:numPr>
        <w:spacing w:after="120"/>
        <w:ind w:left="1134" w:hanging="567"/>
        <w:contextualSpacing w:val="0"/>
        <w:jc w:val="both"/>
        <w:rPr>
          <w:rFonts w:ascii="Arial" w:hAnsi="Arial" w:cs="Arial"/>
          <w:sz w:val="20"/>
          <w:szCs w:val="20"/>
        </w:rPr>
      </w:pPr>
      <w:r w:rsidRPr="00DC6A4E">
        <w:rPr>
          <w:rFonts w:ascii="Arial" w:hAnsi="Arial" w:cs="Arial"/>
          <w:sz w:val="20"/>
          <w:szCs w:val="20"/>
        </w:rPr>
        <w:t>A weighted System has been introduced to better approximate the actual work required to process the four categories of documents, taking into account that certain of these documents are more labor-intensive than others.</w:t>
      </w:r>
      <w:r w:rsidRPr="00DC6A4E">
        <w:rPr>
          <w:rStyle w:val="FootnoteReference"/>
          <w:rFonts w:ascii="Arial" w:hAnsi="Arial" w:cs="Arial"/>
          <w:sz w:val="20"/>
          <w:szCs w:val="20"/>
        </w:rPr>
        <w:footnoteReference w:id="30"/>
      </w:r>
    </w:p>
    <w:p w14:paraId="518D2AFF" w14:textId="77777777" w:rsidR="007F0669" w:rsidRPr="00DC6A4E" w:rsidRDefault="007F0669" w:rsidP="00B66A4A">
      <w:pPr>
        <w:pStyle w:val="ListParagraph"/>
        <w:numPr>
          <w:ilvl w:val="0"/>
          <w:numId w:val="46"/>
        </w:numPr>
        <w:spacing w:after="120"/>
        <w:ind w:left="1134" w:hanging="567"/>
        <w:contextualSpacing w:val="0"/>
        <w:jc w:val="both"/>
        <w:rPr>
          <w:rFonts w:ascii="Arial" w:hAnsi="Arial" w:cs="Arial"/>
          <w:sz w:val="20"/>
          <w:szCs w:val="20"/>
        </w:rPr>
      </w:pPr>
      <w:r w:rsidRPr="00DC6A4E">
        <w:rPr>
          <w:rFonts w:ascii="Arial" w:hAnsi="Arial" w:cs="Arial"/>
          <w:sz w:val="20"/>
          <w:szCs w:val="20"/>
        </w:rPr>
        <w:t xml:space="preserve">The first unit cost has been redefined to include designs contained in new international registrations and in renewals (the unit cost in the Program and Budget 2014/15 included only designs contained in new international registrations). </w:t>
      </w:r>
      <w:r>
        <w:rPr>
          <w:rFonts w:ascii="Arial" w:hAnsi="Arial" w:cs="Arial"/>
          <w:sz w:val="20"/>
          <w:szCs w:val="20"/>
        </w:rPr>
        <w:t xml:space="preserve"> </w:t>
      </w:r>
      <w:r w:rsidRPr="00DC6A4E">
        <w:rPr>
          <w:rFonts w:ascii="Arial" w:hAnsi="Arial" w:cs="Arial"/>
          <w:sz w:val="20"/>
          <w:szCs w:val="20"/>
        </w:rPr>
        <w:t xml:space="preserve">The rationale for adding designs contained in renewals as a component of this unit cost is a sharper focus on the core Hague outputs, namely the international registration and its renewal. </w:t>
      </w:r>
    </w:p>
    <w:p w14:paraId="2FB746B7" w14:textId="77777777" w:rsidR="007F0669" w:rsidRDefault="007F0669" w:rsidP="00B66A4A">
      <w:pPr>
        <w:pStyle w:val="ListParagraph"/>
        <w:numPr>
          <w:ilvl w:val="0"/>
          <w:numId w:val="46"/>
        </w:numPr>
        <w:spacing w:after="200"/>
        <w:ind w:left="1134" w:hanging="567"/>
        <w:jc w:val="both"/>
        <w:rPr>
          <w:rFonts w:ascii="Arial" w:hAnsi="Arial" w:cs="Arial"/>
          <w:sz w:val="20"/>
          <w:szCs w:val="20"/>
        </w:rPr>
      </w:pPr>
      <w:r w:rsidRPr="00DC6A4E">
        <w:rPr>
          <w:rFonts w:ascii="Arial" w:hAnsi="Arial" w:cs="Arial"/>
          <w:sz w:val="20"/>
          <w:szCs w:val="20"/>
        </w:rPr>
        <w:t>The second unit cost is based on the number of documents processed and recorded in the register rather than the number of recordings due to the different levels of efforts required to process the various documents.</w:t>
      </w:r>
    </w:p>
    <w:p w14:paraId="2520984C" w14:textId="77777777" w:rsidR="007F0669" w:rsidRPr="00DC6A4E" w:rsidRDefault="007F0669" w:rsidP="005A1F7F">
      <w:pPr>
        <w:pStyle w:val="ListParagraph"/>
        <w:jc w:val="both"/>
        <w:rPr>
          <w:rFonts w:ascii="Arial" w:hAnsi="Arial" w:cs="Arial"/>
          <w:sz w:val="20"/>
          <w:szCs w:val="20"/>
        </w:rPr>
      </w:pPr>
    </w:p>
    <w:p w14:paraId="6E7F6FD4" w14:textId="77777777" w:rsidR="007F0669"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For ease of comparison, the graphs below depict the evolution of the two unit costs from 2008 to 2014 using the old methodology and from 2012 to 2014 using the new methodology, including a breakdown of the contribution of direct and indirect costs.</w:t>
      </w:r>
    </w:p>
    <w:p w14:paraId="29F1F826"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42C9A571" w14:textId="77777777" w:rsidR="007F0669" w:rsidRPr="00613F8E" w:rsidRDefault="007F0669" w:rsidP="005A1F7F">
      <w:pPr>
        <w:jc w:val="both"/>
        <w:rPr>
          <w:rFonts w:ascii="Arial" w:hAnsi="Arial" w:cs="Arial"/>
          <w:i/>
          <w:sz w:val="20"/>
          <w:szCs w:val="20"/>
        </w:rPr>
      </w:pPr>
      <w:r w:rsidRPr="00613F8E">
        <w:rPr>
          <w:rFonts w:ascii="Arial" w:hAnsi="Arial" w:cs="Arial"/>
          <w:i/>
          <w:sz w:val="20"/>
          <w:szCs w:val="20"/>
        </w:rPr>
        <w:t>Unit cost per new/renewed design</w:t>
      </w:r>
    </w:p>
    <w:p w14:paraId="4CDCBF82" w14:textId="77777777" w:rsidR="007F0669" w:rsidRPr="00DC6A4E" w:rsidRDefault="007F0669" w:rsidP="005A1F7F">
      <w:pPr>
        <w:jc w:val="both"/>
        <w:rPr>
          <w:rFonts w:ascii="Arial" w:hAnsi="Arial" w:cs="Arial"/>
          <w:sz w:val="20"/>
          <w:szCs w:val="20"/>
        </w:rPr>
      </w:pPr>
    </w:p>
    <w:p w14:paraId="4BABC7CD"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New designs consist of designs in international applications that are registered within a given year, and renewed designs consist of existing designs in international registrations that are renewed within a given year. </w:t>
      </w:r>
      <w:r>
        <w:rPr>
          <w:rFonts w:ascii="Arial" w:hAnsi="Arial" w:cs="Arial"/>
          <w:sz w:val="20"/>
          <w:szCs w:val="20"/>
        </w:rPr>
        <w:t xml:space="preserve"> </w:t>
      </w:r>
      <w:r w:rsidRPr="00DC6A4E">
        <w:rPr>
          <w:rFonts w:ascii="Arial" w:hAnsi="Arial" w:cs="Arial"/>
          <w:sz w:val="20"/>
          <w:szCs w:val="20"/>
        </w:rPr>
        <w:t>Combined, designs contained in these two types of transactions reflect the core business of the IB.</w:t>
      </w:r>
    </w:p>
    <w:p w14:paraId="181CDAB1" w14:textId="77777777" w:rsidR="007F0669" w:rsidRPr="00DC6A4E" w:rsidRDefault="007F0669" w:rsidP="005A1F7F">
      <w:pPr>
        <w:jc w:val="both"/>
        <w:rPr>
          <w:rFonts w:ascii="Arial" w:hAnsi="Arial" w:cs="Arial"/>
          <w:sz w:val="20"/>
          <w:szCs w:val="20"/>
        </w:rPr>
      </w:pPr>
    </w:p>
    <w:p w14:paraId="25FE7C43"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As processing designs contained in these two types of documents do not require equal resources, they are each weighted differently.</w:t>
      </w:r>
      <w:r w:rsidRPr="00DC6A4E">
        <w:rPr>
          <w:rStyle w:val="FootnoteReference"/>
          <w:rFonts w:ascii="Arial" w:hAnsi="Arial" w:cs="Arial"/>
          <w:sz w:val="20"/>
          <w:szCs w:val="20"/>
        </w:rPr>
        <w:footnoteReference w:id="31"/>
      </w:r>
      <w:r w:rsidRPr="00DC6A4E">
        <w:rPr>
          <w:rFonts w:ascii="Arial" w:hAnsi="Arial" w:cs="Arial"/>
          <w:sz w:val="20"/>
          <w:szCs w:val="20"/>
        </w:rPr>
        <w:t xml:space="preserve"> </w:t>
      </w:r>
      <w:r>
        <w:rPr>
          <w:rFonts w:ascii="Arial" w:hAnsi="Arial" w:cs="Arial"/>
          <w:sz w:val="20"/>
          <w:szCs w:val="20"/>
        </w:rPr>
        <w:t xml:space="preserve"> </w:t>
      </w:r>
      <w:r w:rsidRPr="00DC6A4E">
        <w:rPr>
          <w:rFonts w:ascii="Arial" w:hAnsi="Arial" w:cs="Arial"/>
          <w:sz w:val="20"/>
          <w:szCs w:val="20"/>
        </w:rPr>
        <w:t xml:space="preserve">The unit cost is calculated by dividing the total cost of production by the number of new/renewed designs.  </w:t>
      </w:r>
    </w:p>
    <w:p w14:paraId="2EF1E684" w14:textId="77777777" w:rsidR="007F0669" w:rsidRPr="00DC6A4E" w:rsidRDefault="007F0669" w:rsidP="005A1F7F">
      <w:pPr>
        <w:rPr>
          <w:rFonts w:ascii="Arial" w:hAnsi="Arial" w:cs="Arial"/>
          <w:sz w:val="20"/>
          <w:szCs w:val="20"/>
        </w:rPr>
      </w:pPr>
    </w:p>
    <w:p w14:paraId="11251712" w14:textId="77777777" w:rsidR="007F0669" w:rsidRPr="00DC6A4E" w:rsidRDefault="007F0669" w:rsidP="005A1F7F">
      <w:pPr>
        <w:spacing w:before="120" w:after="120"/>
        <w:jc w:val="both"/>
        <w:rPr>
          <w:rFonts w:ascii="Arial" w:hAnsi="Arial" w:cs="Arial"/>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50"/>
        <w:gridCol w:w="4937"/>
      </w:tblGrid>
      <w:tr w:rsidR="007F0669" w:rsidRPr="00DC6A4E" w14:paraId="612F5FA6" w14:textId="77777777" w:rsidTr="00976F9F">
        <w:tc>
          <w:tcPr>
            <w:tcW w:w="4788" w:type="dxa"/>
            <w:tcBorders>
              <w:left w:val="single" w:sz="4" w:space="0" w:color="auto"/>
              <w:right w:val="single" w:sz="4" w:space="0" w:color="auto"/>
            </w:tcBorders>
          </w:tcPr>
          <w:p w14:paraId="56F2BB1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sz w:val="20"/>
                <w:szCs w:val="20"/>
              </w:rPr>
              <w:lastRenderedPageBreak/>
              <w:t>Old method</w:t>
            </w:r>
          </w:p>
        </w:tc>
        <w:tc>
          <w:tcPr>
            <w:tcW w:w="4788" w:type="dxa"/>
            <w:tcBorders>
              <w:left w:val="single" w:sz="4" w:space="0" w:color="auto"/>
              <w:right w:val="single" w:sz="4" w:space="0" w:color="auto"/>
            </w:tcBorders>
          </w:tcPr>
          <w:p w14:paraId="3900725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sz w:val="20"/>
                <w:szCs w:val="20"/>
              </w:rPr>
              <w:t>New method</w:t>
            </w:r>
          </w:p>
        </w:tc>
      </w:tr>
      <w:tr w:rsidR="007F0669" w:rsidRPr="00DC6A4E" w14:paraId="7F00F018" w14:textId="77777777" w:rsidTr="00976F9F">
        <w:tc>
          <w:tcPr>
            <w:tcW w:w="4788" w:type="dxa"/>
          </w:tcPr>
          <w:p w14:paraId="717560A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7985371B" wp14:editId="069FFCF9">
                  <wp:extent cx="2743200" cy="1911578"/>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744985" cy="1912822"/>
                          </a:xfrm>
                          <a:prstGeom prst="rect">
                            <a:avLst/>
                          </a:prstGeom>
                          <a:noFill/>
                        </pic:spPr>
                      </pic:pic>
                    </a:graphicData>
                  </a:graphic>
                </wp:inline>
              </w:drawing>
            </w:r>
          </w:p>
        </w:tc>
        <w:tc>
          <w:tcPr>
            <w:tcW w:w="4788" w:type="dxa"/>
          </w:tcPr>
          <w:p w14:paraId="3F0A08D0"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42B8A12B" wp14:editId="400BB7C0">
                  <wp:extent cx="3132814" cy="1985526"/>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139448" cy="1989730"/>
                          </a:xfrm>
                          <a:prstGeom prst="rect">
                            <a:avLst/>
                          </a:prstGeom>
                          <a:noFill/>
                        </pic:spPr>
                      </pic:pic>
                    </a:graphicData>
                  </a:graphic>
                </wp:inline>
              </w:drawing>
            </w:r>
          </w:p>
        </w:tc>
      </w:tr>
    </w:tbl>
    <w:p w14:paraId="6207D56F" w14:textId="77777777" w:rsidR="007F0669" w:rsidRPr="006A0DF9" w:rsidRDefault="007F0669" w:rsidP="005A1F7F">
      <w:pPr>
        <w:pStyle w:val="ListParagraph"/>
        <w:spacing w:before="120" w:after="120"/>
        <w:ind w:left="1080"/>
        <w:jc w:val="center"/>
        <w:rPr>
          <w:rFonts w:ascii="Arial" w:hAnsi="Arial" w:cs="Arial"/>
          <w:sz w:val="20"/>
          <w:szCs w:val="20"/>
        </w:rPr>
      </w:pPr>
    </w:p>
    <w:p w14:paraId="6193E1CF" w14:textId="047F49F4" w:rsidR="007F0669" w:rsidRPr="00DC6A4E" w:rsidRDefault="007F0669" w:rsidP="00B66A4A">
      <w:pPr>
        <w:pStyle w:val="ListParagraph"/>
        <w:numPr>
          <w:ilvl w:val="0"/>
          <w:numId w:val="57"/>
        </w:numPr>
        <w:ind w:left="993" w:hanging="426"/>
        <w:jc w:val="both"/>
        <w:rPr>
          <w:rFonts w:ascii="Arial" w:hAnsi="Arial" w:cs="Arial"/>
          <w:sz w:val="20"/>
          <w:szCs w:val="20"/>
        </w:rPr>
      </w:pPr>
      <w:r w:rsidRPr="00DC6A4E">
        <w:rPr>
          <w:rFonts w:ascii="Arial" w:hAnsi="Arial" w:cs="Arial"/>
          <w:sz w:val="20"/>
          <w:szCs w:val="20"/>
        </w:rPr>
        <w:t xml:space="preserve">The average cost of processing a new/renewed design was of 366 Swiss </w:t>
      </w:r>
      <w:r>
        <w:rPr>
          <w:rFonts w:ascii="Arial" w:hAnsi="Arial" w:cs="Arial"/>
          <w:sz w:val="20"/>
          <w:szCs w:val="20"/>
        </w:rPr>
        <w:t>f</w:t>
      </w:r>
      <w:r w:rsidRPr="00DC6A4E">
        <w:rPr>
          <w:rFonts w:ascii="Arial" w:hAnsi="Arial" w:cs="Arial"/>
          <w:sz w:val="20"/>
          <w:szCs w:val="20"/>
        </w:rPr>
        <w:t xml:space="preserve">rancs in 2014, down 12.8 per cent from 2013. </w:t>
      </w:r>
      <w:r>
        <w:rPr>
          <w:rFonts w:ascii="Arial" w:hAnsi="Arial" w:cs="Arial"/>
          <w:sz w:val="20"/>
          <w:szCs w:val="20"/>
        </w:rPr>
        <w:t xml:space="preserve"> </w:t>
      </w:r>
      <w:r w:rsidRPr="00DC6A4E">
        <w:rPr>
          <w:rFonts w:ascii="Arial" w:hAnsi="Arial" w:cs="Arial"/>
          <w:sz w:val="20"/>
          <w:szCs w:val="20"/>
        </w:rPr>
        <w:t>This decrease was mainly due to a decrease of 5.7 per cent of the cost of production combined with an increase of 8.2 per cent of the number of new/renewed designs.</w:t>
      </w:r>
    </w:p>
    <w:p w14:paraId="014A9DEA" w14:textId="77777777" w:rsidR="007F0669" w:rsidRPr="00DC6A4E" w:rsidRDefault="007F0669" w:rsidP="005A1F7F">
      <w:pPr>
        <w:jc w:val="center"/>
        <w:rPr>
          <w:rFonts w:ascii="Arial" w:hAnsi="Arial" w:cs="Arial"/>
          <w:sz w:val="20"/>
          <w:szCs w:val="20"/>
        </w:rPr>
      </w:pPr>
    </w:p>
    <w:p w14:paraId="2698DA13" w14:textId="77777777" w:rsidR="007F0669" w:rsidRPr="00613F8E" w:rsidRDefault="007F0669" w:rsidP="005A1F7F">
      <w:pPr>
        <w:jc w:val="both"/>
        <w:rPr>
          <w:rFonts w:ascii="Arial" w:hAnsi="Arial" w:cs="Arial"/>
          <w:i/>
          <w:sz w:val="20"/>
          <w:szCs w:val="20"/>
        </w:rPr>
      </w:pPr>
      <w:r w:rsidRPr="00613F8E">
        <w:rPr>
          <w:rFonts w:ascii="Arial" w:hAnsi="Arial" w:cs="Arial"/>
          <w:i/>
          <w:sz w:val="20"/>
          <w:szCs w:val="20"/>
        </w:rPr>
        <w:t>Unit cost per document recorded in the register</w:t>
      </w:r>
    </w:p>
    <w:p w14:paraId="50F2C9FE" w14:textId="77777777" w:rsidR="007F0669" w:rsidRPr="00DC6A4E" w:rsidRDefault="007F0669" w:rsidP="005A1F7F">
      <w:pPr>
        <w:jc w:val="both"/>
        <w:rPr>
          <w:rFonts w:ascii="Arial" w:hAnsi="Arial" w:cs="Arial"/>
          <w:sz w:val="20"/>
          <w:szCs w:val="20"/>
        </w:rPr>
      </w:pPr>
    </w:p>
    <w:p w14:paraId="0D3BF85F"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documents recorded in the register correspond to the total workload (see “Total workload” above). </w:t>
      </w:r>
    </w:p>
    <w:p w14:paraId="50B3FD46" w14:textId="77777777" w:rsidR="007F0669" w:rsidRPr="00DC6A4E" w:rsidRDefault="007F0669" w:rsidP="000D2666">
      <w:pPr>
        <w:keepNext/>
        <w:keepLines/>
        <w:jc w:val="both"/>
        <w:rPr>
          <w:rFonts w:ascii="Arial" w:hAnsi="Arial" w:cs="Arial"/>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457"/>
        <w:gridCol w:w="4830"/>
      </w:tblGrid>
      <w:tr w:rsidR="007F0669" w:rsidRPr="00DC6A4E" w14:paraId="29D53E8C" w14:textId="77777777" w:rsidTr="00976F9F">
        <w:tc>
          <w:tcPr>
            <w:tcW w:w="4788" w:type="dxa"/>
            <w:tcBorders>
              <w:left w:val="single" w:sz="4" w:space="0" w:color="auto"/>
              <w:right w:val="single" w:sz="4" w:space="0" w:color="auto"/>
            </w:tcBorders>
          </w:tcPr>
          <w:p w14:paraId="24083914"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sz w:val="20"/>
                <w:szCs w:val="20"/>
              </w:rPr>
              <w:t>Old method</w:t>
            </w:r>
          </w:p>
        </w:tc>
        <w:tc>
          <w:tcPr>
            <w:tcW w:w="4788" w:type="dxa"/>
            <w:tcBorders>
              <w:left w:val="single" w:sz="4" w:space="0" w:color="auto"/>
              <w:right w:val="single" w:sz="4" w:space="0" w:color="auto"/>
            </w:tcBorders>
          </w:tcPr>
          <w:p w14:paraId="6A827527"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sz w:val="20"/>
                <w:szCs w:val="20"/>
              </w:rPr>
              <w:t>New method</w:t>
            </w:r>
          </w:p>
        </w:tc>
      </w:tr>
      <w:tr w:rsidR="007F0669" w:rsidRPr="00DC6A4E" w14:paraId="55BF09F0" w14:textId="77777777" w:rsidTr="00976F9F">
        <w:tc>
          <w:tcPr>
            <w:tcW w:w="4788" w:type="dxa"/>
          </w:tcPr>
          <w:p w14:paraId="74CD517B"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1C952562" wp14:editId="20C7D1E8">
                  <wp:extent cx="2806979" cy="1956021"/>
                  <wp:effectExtent l="0" t="0" r="0" b="635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807895" cy="1956660"/>
                          </a:xfrm>
                          <a:prstGeom prst="rect">
                            <a:avLst/>
                          </a:prstGeom>
                          <a:noFill/>
                        </pic:spPr>
                      </pic:pic>
                    </a:graphicData>
                  </a:graphic>
                </wp:inline>
              </w:drawing>
            </w:r>
          </w:p>
        </w:tc>
        <w:tc>
          <w:tcPr>
            <w:tcW w:w="4788" w:type="dxa"/>
          </w:tcPr>
          <w:p w14:paraId="03BBC69C"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2CCC78B0" wp14:editId="3B3ED5C0">
                  <wp:extent cx="3053301" cy="2002299"/>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59480" cy="2006351"/>
                          </a:xfrm>
                          <a:prstGeom prst="rect">
                            <a:avLst/>
                          </a:prstGeom>
                          <a:noFill/>
                        </pic:spPr>
                      </pic:pic>
                    </a:graphicData>
                  </a:graphic>
                </wp:inline>
              </w:drawing>
            </w:r>
          </w:p>
        </w:tc>
      </w:tr>
    </w:tbl>
    <w:p w14:paraId="1CED3007" w14:textId="77777777" w:rsidR="007F0669" w:rsidRPr="00DC6A4E" w:rsidRDefault="007F0669" w:rsidP="000D2666">
      <w:pPr>
        <w:keepNext/>
        <w:keepLines/>
        <w:jc w:val="center"/>
        <w:rPr>
          <w:rFonts w:ascii="Arial" w:hAnsi="Arial" w:cs="Arial"/>
          <w:sz w:val="20"/>
          <w:szCs w:val="20"/>
        </w:rPr>
      </w:pPr>
    </w:p>
    <w:p w14:paraId="52584F57" w14:textId="2244B629" w:rsidR="007F0669" w:rsidRPr="00DC6A4E" w:rsidRDefault="007F0669" w:rsidP="00B66A4A">
      <w:pPr>
        <w:pStyle w:val="ListParagraph"/>
        <w:keepNext/>
        <w:keepLines/>
        <w:numPr>
          <w:ilvl w:val="0"/>
          <w:numId w:val="57"/>
        </w:numPr>
        <w:ind w:left="993" w:hanging="426"/>
        <w:jc w:val="both"/>
        <w:rPr>
          <w:rFonts w:ascii="Arial" w:hAnsi="Arial" w:cs="Arial"/>
          <w:sz w:val="20"/>
          <w:szCs w:val="20"/>
        </w:rPr>
      </w:pPr>
      <w:r w:rsidRPr="00DC6A4E">
        <w:rPr>
          <w:rFonts w:ascii="Arial" w:hAnsi="Arial" w:cs="Arial"/>
          <w:sz w:val="20"/>
          <w:szCs w:val="20"/>
        </w:rPr>
        <w:t xml:space="preserve">The average cost of recording a document in the register decreased to 1,483 Swiss </w:t>
      </w:r>
      <w:r>
        <w:rPr>
          <w:rFonts w:ascii="Arial" w:hAnsi="Arial" w:cs="Arial"/>
          <w:sz w:val="20"/>
          <w:szCs w:val="20"/>
        </w:rPr>
        <w:t>f</w:t>
      </w:r>
      <w:r w:rsidRPr="00DC6A4E">
        <w:rPr>
          <w:rFonts w:ascii="Arial" w:hAnsi="Arial" w:cs="Arial"/>
          <w:sz w:val="20"/>
          <w:szCs w:val="20"/>
        </w:rPr>
        <w:t>rancs in 2014. This is due to the decrease of 5.7 per cent of the cost of production.</w:t>
      </w:r>
    </w:p>
    <w:p w14:paraId="20E88B6F" w14:textId="77777777" w:rsidR="007F0669" w:rsidRPr="00DC6A4E" w:rsidRDefault="007F0669" w:rsidP="005A1F7F">
      <w:pPr>
        <w:pStyle w:val="ListParagraph"/>
        <w:ind w:left="0"/>
        <w:jc w:val="both"/>
        <w:rPr>
          <w:rFonts w:ascii="Arial" w:hAnsi="Arial" w:cs="Arial"/>
          <w:sz w:val="20"/>
          <w:szCs w:val="20"/>
        </w:rPr>
      </w:pPr>
    </w:p>
    <w:p w14:paraId="1439D81A" w14:textId="77777777" w:rsidR="007F0669" w:rsidRPr="00DC6A4E" w:rsidRDefault="007F0669" w:rsidP="005A1F7F">
      <w:pPr>
        <w:pStyle w:val="ListParagraph"/>
        <w:ind w:left="0"/>
        <w:rPr>
          <w:rFonts w:ascii="Arial" w:hAnsi="Arial" w:cs="Arial"/>
          <w:sz w:val="20"/>
          <w:szCs w:val="20"/>
        </w:rPr>
      </w:pPr>
    </w:p>
    <w:p w14:paraId="0A240875" w14:textId="77777777" w:rsidR="007F0669" w:rsidRPr="00CD5999" w:rsidRDefault="007F0669" w:rsidP="005A1F7F">
      <w:pPr>
        <w:tabs>
          <w:tab w:val="left" w:pos="567"/>
        </w:tabs>
        <w:spacing w:before="120" w:after="240"/>
        <w:rPr>
          <w:rFonts w:ascii="Arial" w:hAnsi="Arial" w:cs="Arial"/>
          <w:b/>
          <w:sz w:val="20"/>
          <w:szCs w:val="20"/>
        </w:rPr>
      </w:pPr>
      <w:r w:rsidRPr="00CD5999">
        <w:rPr>
          <w:rFonts w:ascii="Arial" w:hAnsi="Arial" w:cs="Arial"/>
          <w:b/>
          <w:sz w:val="20"/>
          <w:szCs w:val="20"/>
        </w:rPr>
        <w:t>III.</w:t>
      </w:r>
      <w:r w:rsidRPr="00CD5999">
        <w:rPr>
          <w:rFonts w:ascii="Arial" w:hAnsi="Arial" w:cs="Arial"/>
          <w:b/>
          <w:sz w:val="20"/>
          <w:szCs w:val="20"/>
        </w:rPr>
        <w:tab/>
        <w:t>Timeliness to process international applications</w:t>
      </w:r>
    </w:p>
    <w:p w14:paraId="23652E06" w14:textId="77777777" w:rsidR="007F0669" w:rsidRPr="00DC6A4E" w:rsidRDefault="007F0669" w:rsidP="00B66A4A">
      <w:pPr>
        <w:pStyle w:val="ListParagraph"/>
        <w:numPr>
          <w:ilvl w:val="0"/>
          <w:numId w:val="60"/>
        </w:numPr>
        <w:tabs>
          <w:tab w:val="left" w:pos="0"/>
          <w:tab w:val="left" w:pos="567"/>
        </w:tabs>
        <w:ind w:left="0" w:firstLine="0"/>
        <w:jc w:val="both"/>
        <w:rPr>
          <w:rFonts w:ascii="Arial" w:hAnsi="Arial" w:cs="Arial"/>
          <w:sz w:val="20"/>
          <w:szCs w:val="20"/>
        </w:rPr>
      </w:pPr>
      <w:r w:rsidRPr="00DC6A4E">
        <w:rPr>
          <w:rFonts w:ascii="Arial" w:hAnsi="Arial" w:cs="Arial"/>
          <w:sz w:val="20"/>
          <w:szCs w:val="20"/>
        </w:rPr>
        <w:t>This indicator reflects the time required by the IB to process regular applications. The timeliness is calculated between the time elapsed between the date of receipt of an application and the date it was registered.</w:t>
      </w:r>
    </w:p>
    <w:p w14:paraId="7BA35486"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lastRenderedPageBreak/>
        <w:drawing>
          <wp:inline distT="0" distB="0" distL="0" distR="0" wp14:anchorId="749AEA1C" wp14:editId="76141952">
            <wp:extent cx="5077398" cy="294107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086370" cy="2946267"/>
                    </a:xfrm>
                    <a:prstGeom prst="rect">
                      <a:avLst/>
                    </a:prstGeom>
                    <a:noFill/>
                  </pic:spPr>
                </pic:pic>
              </a:graphicData>
            </a:graphic>
          </wp:inline>
        </w:drawing>
      </w:r>
    </w:p>
    <w:p w14:paraId="43EE894C" w14:textId="77777777" w:rsidR="007F0669" w:rsidRPr="00DC6A4E" w:rsidRDefault="007F0669" w:rsidP="00B66A4A">
      <w:pPr>
        <w:pStyle w:val="ListParagraph"/>
        <w:numPr>
          <w:ilvl w:val="0"/>
          <w:numId w:val="57"/>
        </w:numPr>
        <w:spacing w:after="120"/>
        <w:ind w:left="992" w:hanging="425"/>
        <w:contextualSpacing w:val="0"/>
        <w:jc w:val="both"/>
        <w:rPr>
          <w:rFonts w:ascii="Arial" w:hAnsi="Arial" w:cs="Arial"/>
          <w:sz w:val="20"/>
          <w:szCs w:val="20"/>
        </w:rPr>
      </w:pPr>
      <w:r w:rsidRPr="00DC6A4E">
        <w:rPr>
          <w:rFonts w:ascii="Arial" w:hAnsi="Arial" w:cs="Arial"/>
          <w:sz w:val="20"/>
          <w:szCs w:val="20"/>
        </w:rPr>
        <w:t>The share of applications processed within less than one week constantly increased since</w:t>
      </w:r>
      <w:r>
        <w:rPr>
          <w:rFonts w:ascii="Arial" w:hAnsi="Arial" w:cs="Arial"/>
          <w:sz w:val="20"/>
          <w:szCs w:val="20"/>
        </w:rPr>
        <w:t> </w:t>
      </w:r>
      <w:r w:rsidRPr="00DC6A4E">
        <w:rPr>
          <w:rFonts w:ascii="Arial" w:hAnsi="Arial" w:cs="Arial"/>
          <w:sz w:val="20"/>
          <w:szCs w:val="20"/>
        </w:rPr>
        <w:t>2011, to 45 per cent of applications in 2014.</w:t>
      </w:r>
    </w:p>
    <w:p w14:paraId="311602C0" w14:textId="77777777" w:rsidR="007F0669" w:rsidRDefault="007F0669" w:rsidP="00B66A4A">
      <w:pPr>
        <w:pStyle w:val="ListParagraph"/>
        <w:numPr>
          <w:ilvl w:val="0"/>
          <w:numId w:val="57"/>
        </w:numPr>
        <w:spacing w:after="120"/>
        <w:ind w:left="993" w:hanging="426"/>
        <w:contextualSpacing w:val="0"/>
        <w:jc w:val="both"/>
        <w:rPr>
          <w:rFonts w:ascii="Arial" w:hAnsi="Arial" w:cs="Arial"/>
          <w:sz w:val="20"/>
          <w:szCs w:val="20"/>
        </w:rPr>
      </w:pPr>
      <w:r w:rsidRPr="00DC6A4E">
        <w:rPr>
          <w:rFonts w:ascii="Arial" w:hAnsi="Arial" w:cs="Arial"/>
          <w:sz w:val="20"/>
          <w:szCs w:val="20"/>
        </w:rPr>
        <w:t>In 2014, 85 per cent of applications were processed within 2 weeks from the date of receipt at the IB.</w:t>
      </w:r>
    </w:p>
    <w:p w14:paraId="0BF50ADE" w14:textId="77777777" w:rsidR="00592800" w:rsidRDefault="00592800" w:rsidP="008D3EC2">
      <w:pPr>
        <w:autoSpaceDE w:val="0"/>
        <w:autoSpaceDN w:val="0"/>
        <w:adjustRightInd w:val="0"/>
        <w:rPr>
          <w:rFonts w:ascii="Arial" w:hAnsi="Arial" w:cs="Arial"/>
          <w:sz w:val="20"/>
        </w:rPr>
      </w:pPr>
    </w:p>
    <w:p w14:paraId="25E5BDF6" w14:textId="77777777" w:rsidR="007F0669" w:rsidRDefault="007F0669" w:rsidP="008D3EC2">
      <w:pPr>
        <w:autoSpaceDE w:val="0"/>
        <w:autoSpaceDN w:val="0"/>
        <w:adjustRightInd w:val="0"/>
        <w:rPr>
          <w:rFonts w:ascii="Arial" w:hAnsi="Arial" w:cs="Arial"/>
          <w:sz w:val="20"/>
        </w:rPr>
      </w:pPr>
    </w:p>
    <w:p w14:paraId="3CF39E93"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6467C39B" w14:textId="12EF2528" w:rsidR="00592800" w:rsidRPr="0069571C" w:rsidRDefault="00592800" w:rsidP="00592800">
      <w:pPr>
        <w:pStyle w:val="StyleHeading3ComplexItalic"/>
        <w:keepNext w:val="0"/>
        <w:tabs>
          <w:tab w:val="clear" w:pos="1985"/>
          <w:tab w:val="left" w:pos="1418"/>
        </w:tabs>
        <w:ind w:left="1418" w:hanging="1418"/>
      </w:pPr>
      <w:bookmarkStart w:id="113" w:name="_Toc293334844"/>
      <w:bookmarkStart w:id="114" w:name="_Toc298920426"/>
      <w:bookmarkStart w:id="115" w:name="_Toc356567793"/>
      <w:bookmarkStart w:id="116" w:name="_Toc367350619"/>
      <w:bookmarkStart w:id="117" w:name="_Toc431221452"/>
      <w:r w:rsidRPr="007F65E7">
        <w:rPr>
          <w:caps w:val="0"/>
        </w:rPr>
        <w:lastRenderedPageBreak/>
        <w:t>ANNEX V</w:t>
      </w:r>
      <w:r>
        <w:rPr>
          <w:caps w:val="0"/>
        </w:rPr>
        <w:t>III</w:t>
      </w:r>
      <w:r w:rsidRPr="007F65E7">
        <w:rPr>
          <w:caps w:val="0"/>
        </w:rPr>
        <w:tab/>
        <w:t>FUNDS IN TRUST RESOURCES POTENTIALLY AVAILABLE FOR</w:t>
      </w:r>
      <w:r w:rsidR="004807F0">
        <w:rPr>
          <w:caps w:val="0"/>
        </w:rPr>
        <w:t> </w:t>
      </w:r>
      <w:r w:rsidRPr="007F65E7">
        <w:rPr>
          <w:caps w:val="0"/>
        </w:rPr>
        <w:t>PROGRAMMIN</w:t>
      </w:r>
      <w:r>
        <w:rPr>
          <w:caps w:val="0"/>
        </w:rPr>
        <w:t>G</w:t>
      </w:r>
      <w:bookmarkEnd w:id="113"/>
      <w:bookmarkEnd w:id="114"/>
      <w:bookmarkEnd w:id="115"/>
      <w:bookmarkEnd w:id="116"/>
      <w:bookmarkEnd w:id="117"/>
    </w:p>
    <w:p w14:paraId="7BC803DF" w14:textId="77777777" w:rsidR="00592800" w:rsidRDefault="00592800" w:rsidP="00592800">
      <w:pPr>
        <w:rPr>
          <w:rFonts w:ascii="Arial" w:hAnsi="Arial" w:cs="Arial"/>
          <w:sz w:val="20"/>
        </w:rPr>
      </w:pPr>
    </w:p>
    <w:p w14:paraId="78EF5B60" w14:textId="77777777" w:rsidR="004807F0" w:rsidRDefault="004807F0" w:rsidP="00592800">
      <w:pPr>
        <w:rPr>
          <w:rFonts w:ascii="Arial" w:hAnsi="Arial" w:cs="Arial"/>
          <w:sz w:val="20"/>
        </w:rPr>
      </w:pPr>
    </w:p>
    <w:p w14:paraId="1C83D21C" w14:textId="54D0D9A7" w:rsidR="004807F0" w:rsidRPr="004807F0" w:rsidRDefault="004807F0" w:rsidP="005A1F7F">
      <w:pPr>
        <w:jc w:val="center"/>
        <w:rPr>
          <w:rFonts w:ascii="Arial" w:hAnsi="Arial" w:cs="Arial"/>
          <w:b/>
          <w:sz w:val="20"/>
          <w:szCs w:val="16"/>
        </w:rPr>
      </w:pPr>
      <w:r w:rsidRPr="004807F0">
        <w:rPr>
          <w:rFonts w:ascii="Arial" w:hAnsi="Arial" w:cs="Arial"/>
          <w:b/>
          <w:sz w:val="20"/>
          <w:szCs w:val="16"/>
        </w:rPr>
        <w:t xml:space="preserve">Table </w:t>
      </w:r>
      <w:r w:rsidR="000D2666">
        <w:rPr>
          <w:rFonts w:ascii="Arial" w:hAnsi="Arial" w:cs="Arial"/>
          <w:b/>
          <w:sz w:val="20"/>
          <w:szCs w:val="16"/>
        </w:rPr>
        <w:t>19</w:t>
      </w:r>
      <w:r w:rsidRPr="004807F0">
        <w:rPr>
          <w:rFonts w:ascii="Arial" w:hAnsi="Arial" w:cs="Arial"/>
          <w:b/>
          <w:sz w:val="20"/>
          <w:szCs w:val="16"/>
        </w:rPr>
        <w:t>.  Funds in Trust Potentially Available for Programming in 2016/17</w:t>
      </w:r>
      <w:r w:rsidRPr="004807F0">
        <w:rPr>
          <w:rFonts w:ascii="Arial" w:hAnsi="Arial" w:cs="Arial"/>
          <w:sz w:val="20"/>
          <w:szCs w:val="16"/>
          <w:vertAlign w:val="superscript"/>
        </w:rPr>
        <w:t>1</w:t>
      </w:r>
      <w:r w:rsidRPr="004807F0">
        <w:rPr>
          <w:rFonts w:ascii="Arial" w:hAnsi="Arial" w:cs="Arial"/>
          <w:b/>
          <w:sz w:val="20"/>
          <w:szCs w:val="16"/>
        </w:rPr>
        <w:t xml:space="preserve"> </w:t>
      </w:r>
    </w:p>
    <w:p w14:paraId="0820332C" w14:textId="77777777" w:rsidR="004807F0" w:rsidRDefault="004807F0" w:rsidP="005A1F7F">
      <w:pPr>
        <w:jc w:val="center"/>
        <w:rPr>
          <w:rFonts w:ascii="Arial" w:hAnsi="Arial" w:cs="Arial"/>
          <w:i/>
          <w:sz w:val="20"/>
          <w:szCs w:val="16"/>
        </w:rPr>
      </w:pPr>
      <w:r w:rsidRPr="004807F0">
        <w:rPr>
          <w:rFonts w:ascii="Arial" w:hAnsi="Arial" w:cs="Arial"/>
          <w:i/>
          <w:sz w:val="20"/>
          <w:szCs w:val="16"/>
        </w:rPr>
        <w:t>(in thousands of Swiss francs)</w:t>
      </w:r>
    </w:p>
    <w:p w14:paraId="320E60BC" w14:textId="77777777" w:rsidR="00F0548F" w:rsidRDefault="00F0548F" w:rsidP="005A1F7F">
      <w:pPr>
        <w:jc w:val="center"/>
        <w:rPr>
          <w:rFonts w:ascii="Arial" w:hAnsi="Arial" w:cs="Arial"/>
          <w:i/>
          <w:sz w:val="20"/>
          <w:szCs w:val="16"/>
        </w:rPr>
      </w:pPr>
    </w:p>
    <w:p w14:paraId="6CA1CD55" w14:textId="6B3ACADC" w:rsidR="00F0548F" w:rsidRDefault="008C21BB" w:rsidP="005A1F7F">
      <w:pPr>
        <w:jc w:val="center"/>
        <w:rPr>
          <w:rFonts w:ascii="Arial" w:hAnsi="Arial" w:cs="Arial"/>
          <w:i/>
          <w:sz w:val="20"/>
          <w:szCs w:val="16"/>
        </w:rPr>
      </w:pPr>
      <w:r w:rsidRPr="008C21BB">
        <w:rPr>
          <w:noProof/>
          <w:lang w:eastAsia="en-US"/>
        </w:rPr>
        <w:drawing>
          <wp:inline distT="0" distB="0" distL="0" distR="0" wp14:anchorId="2E7AA447" wp14:editId="684513A9">
            <wp:extent cx="5896340" cy="33051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896017" cy="3304994"/>
                    </a:xfrm>
                    <a:prstGeom prst="rect">
                      <a:avLst/>
                    </a:prstGeom>
                    <a:noFill/>
                    <a:ln>
                      <a:noFill/>
                    </a:ln>
                  </pic:spPr>
                </pic:pic>
              </a:graphicData>
            </a:graphic>
          </wp:inline>
        </w:drawing>
      </w:r>
    </w:p>
    <w:p w14:paraId="411355F9" w14:textId="77777777" w:rsidR="004807F0" w:rsidRDefault="004807F0" w:rsidP="005A1F7F">
      <w:pPr>
        <w:jc w:val="center"/>
        <w:rPr>
          <w:rFonts w:ascii="Arial" w:hAnsi="Arial" w:cs="Arial"/>
          <w:sz w:val="20"/>
          <w:szCs w:val="20"/>
        </w:rPr>
      </w:pPr>
    </w:p>
    <w:p w14:paraId="040EF513" w14:textId="77777777" w:rsidR="004807F0" w:rsidRDefault="004807F0">
      <w:pPr>
        <w:rPr>
          <w:rFonts w:ascii="Arial" w:hAnsi="Arial" w:cs="Arial"/>
          <w:i/>
          <w:sz w:val="16"/>
          <w:szCs w:val="14"/>
        </w:rPr>
      </w:pPr>
      <w:r w:rsidRPr="003A1160">
        <w:rPr>
          <w:rFonts w:ascii="Arial" w:hAnsi="Arial" w:cs="Arial"/>
          <w:i/>
          <w:sz w:val="16"/>
          <w:szCs w:val="14"/>
          <w:vertAlign w:val="superscript"/>
        </w:rPr>
        <w:t>1</w:t>
      </w:r>
      <w:r w:rsidRPr="003A1160">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1DD606F4" w14:textId="77777777" w:rsidR="004807F0" w:rsidRPr="003A1160" w:rsidRDefault="004807F0">
      <w:pPr>
        <w:rPr>
          <w:rFonts w:ascii="Arial" w:hAnsi="Arial" w:cs="Arial"/>
          <w:i/>
          <w:sz w:val="16"/>
          <w:szCs w:val="14"/>
        </w:rPr>
      </w:pPr>
    </w:p>
    <w:p w14:paraId="4CDC935F" w14:textId="77777777" w:rsidR="004807F0" w:rsidRDefault="004807F0">
      <w:pPr>
        <w:rPr>
          <w:rFonts w:ascii="Arial" w:hAnsi="Arial" w:cs="Arial"/>
          <w:i/>
          <w:sz w:val="16"/>
          <w:szCs w:val="14"/>
        </w:rPr>
      </w:pPr>
      <w:r w:rsidRPr="003A1160">
        <w:rPr>
          <w:rFonts w:ascii="Arial" w:hAnsi="Arial" w:cs="Arial"/>
          <w:i/>
          <w:sz w:val="16"/>
          <w:szCs w:val="14"/>
          <w:vertAlign w:val="superscript"/>
        </w:rPr>
        <w:t>2</w:t>
      </w:r>
      <w:r w:rsidRPr="003A1160">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36D57BC8" w14:textId="77777777" w:rsidR="004807F0" w:rsidRPr="003A1160" w:rsidRDefault="004807F0">
      <w:pPr>
        <w:rPr>
          <w:rFonts w:ascii="Arial" w:hAnsi="Arial" w:cs="Arial"/>
          <w:i/>
          <w:sz w:val="16"/>
          <w:szCs w:val="14"/>
        </w:rPr>
      </w:pPr>
    </w:p>
    <w:p w14:paraId="450E8990" w14:textId="77777777" w:rsidR="004807F0" w:rsidRDefault="004807F0">
      <w:pPr>
        <w:rPr>
          <w:rFonts w:ascii="Arial" w:hAnsi="Arial" w:cs="Arial"/>
          <w:i/>
          <w:sz w:val="16"/>
          <w:szCs w:val="14"/>
        </w:rPr>
      </w:pPr>
      <w:r w:rsidRPr="003A1160">
        <w:rPr>
          <w:rFonts w:ascii="Arial" w:hAnsi="Arial" w:cs="Arial"/>
          <w:i/>
          <w:sz w:val="16"/>
          <w:szCs w:val="14"/>
          <w:vertAlign w:val="superscript"/>
        </w:rPr>
        <w:t>3</w:t>
      </w:r>
      <w:r w:rsidRPr="003A1160">
        <w:rPr>
          <w:rFonts w:ascii="Arial" w:hAnsi="Arial" w:cs="Arial"/>
          <w:i/>
          <w:sz w:val="16"/>
          <w:szCs w:val="14"/>
        </w:rPr>
        <w:t>Annual contributions vary and fluctuations have been observed from one year to another.</w:t>
      </w:r>
    </w:p>
    <w:p w14:paraId="36FA89E3" w14:textId="77777777" w:rsidR="004807F0" w:rsidRPr="003A1160" w:rsidRDefault="004807F0">
      <w:pPr>
        <w:rPr>
          <w:rFonts w:ascii="Arial" w:hAnsi="Arial" w:cs="Arial"/>
          <w:i/>
          <w:sz w:val="16"/>
          <w:szCs w:val="14"/>
        </w:rPr>
      </w:pPr>
    </w:p>
    <w:p w14:paraId="4488A853" w14:textId="77777777" w:rsidR="004807F0" w:rsidRDefault="004807F0" w:rsidP="005A1F7F">
      <w:pPr>
        <w:rPr>
          <w:rFonts w:ascii="Arial" w:hAnsi="Arial" w:cs="Arial"/>
          <w:i/>
          <w:sz w:val="16"/>
          <w:szCs w:val="14"/>
        </w:rPr>
      </w:pPr>
      <w:r w:rsidRPr="003A1160">
        <w:rPr>
          <w:rFonts w:ascii="Arial" w:hAnsi="Arial" w:cs="Arial"/>
          <w:i/>
          <w:sz w:val="16"/>
          <w:szCs w:val="14"/>
          <w:vertAlign w:val="superscript"/>
        </w:rPr>
        <w:t>4</w:t>
      </w:r>
      <w:r w:rsidRPr="003A1160">
        <w:rPr>
          <w:rFonts w:ascii="Arial" w:hAnsi="Arial" w:cs="Arial"/>
          <w:i/>
          <w:sz w:val="16"/>
          <w:szCs w:val="14"/>
        </w:rPr>
        <w:t>Republic of Korea (Education) - Expected Balance end 2015 takes into account encumbrances and obligations</w:t>
      </w:r>
    </w:p>
    <w:p w14:paraId="3F4D11CA" w14:textId="77777777" w:rsidR="004807F0" w:rsidRDefault="004807F0" w:rsidP="005A1F7F">
      <w:pPr>
        <w:rPr>
          <w:rFonts w:ascii="Arial" w:hAnsi="Arial" w:cs="Arial"/>
          <w:i/>
          <w:sz w:val="16"/>
          <w:szCs w:val="14"/>
        </w:rPr>
      </w:pPr>
    </w:p>
    <w:p w14:paraId="434977CD" w14:textId="5E48DEAE" w:rsidR="00592800" w:rsidRDefault="004807F0" w:rsidP="00592800">
      <w:pPr>
        <w:rPr>
          <w:rFonts w:ascii="Arial" w:hAnsi="Arial" w:cs="Arial"/>
          <w:sz w:val="20"/>
        </w:rPr>
      </w:pPr>
      <w:r w:rsidRPr="0086144F">
        <w:rPr>
          <w:rFonts w:ascii="Arial" w:hAnsi="Arial" w:cs="Arial"/>
          <w:i/>
          <w:sz w:val="14"/>
          <w:szCs w:val="14"/>
        </w:rPr>
        <w:t>.</w:t>
      </w:r>
    </w:p>
    <w:p w14:paraId="497BE641"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4CE591ED" w14:textId="77777777" w:rsidR="00592800" w:rsidRPr="0069571C" w:rsidRDefault="00592800" w:rsidP="00592800">
      <w:pPr>
        <w:pStyle w:val="StyleHeading3ComplexItalic"/>
        <w:keepNext w:val="0"/>
        <w:tabs>
          <w:tab w:val="clear" w:pos="1985"/>
          <w:tab w:val="left" w:pos="1418"/>
        </w:tabs>
        <w:ind w:left="1418" w:hanging="1418"/>
      </w:pPr>
      <w:bookmarkStart w:id="118" w:name="_Toc293334847"/>
      <w:bookmarkStart w:id="119" w:name="_Toc298920429"/>
      <w:bookmarkStart w:id="120" w:name="_Toc356567794"/>
      <w:bookmarkStart w:id="121" w:name="_Toc367350620"/>
      <w:bookmarkStart w:id="122" w:name="_Toc431221453"/>
      <w:r w:rsidRPr="007F65E7">
        <w:rPr>
          <w:caps w:val="0"/>
        </w:rPr>
        <w:lastRenderedPageBreak/>
        <w:t xml:space="preserve">ANNEX </w:t>
      </w:r>
      <w:r>
        <w:rPr>
          <w:caps w:val="0"/>
        </w:rPr>
        <w:t>IX</w:t>
      </w:r>
      <w:r w:rsidRPr="007F65E7">
        <w:rPr>
          <w:caps w:val="0"/>
        </w:rPr>
        <w:tab/>
        <w:t>ANNUAL BUDGET TABLES FOR IPSAS REPORTING</w:t>
      </w:r>
      <w:bookmarkEnd w:id="118"/>
      <w:bookmarkEnd w:id="119"/>
      <w:bookmarkEnd w:id="120"/>
      <w:bookmarkEnd w:id="121"/>
      <w:bookmarkEnd w:id="122"/>
    </w:p>
    <w:p w14:paraId="1E1C1A26" w14:textId="77777777" w:rsidR="00592800" w:rsidRDefault="00592800" w:rsidP="00592800">
      <w:pPr>
        <w:rPr>
          <w:rFonts w:ascii="Arial" w:hAnsi="Arial" w:cs="Arial"/>
          <w:sz w:val="20"/>
        </w:rPr>
      </w:pPr>
    </w:p>
    <w:p w14:paraId="52AE9182" w14:textId="7485BBA0" w:rsidR="00592800" w:rsidRDefault="00592800" w:rsidP="008D3EC2">
      <w:pPr>
        <w:autoSpaceDE w:val="0"/>
        <w:autoSpaceDN w:val="0"/>
        <w:adjustRightInd w:val="0"/>
        <w:rPr>
          <w:rFonts w:ascii="Arial" w:hAnsi="Arial" w:cs="Arial"/>
          <w:sz w:val="20"/>
        </w:rPr>
      </w:pPr>
    </w:p>
    <w:p w14:paraId="26257E71" w14:textId="77777777" w:rsidR="004439C9" w:rsidRPr="00136426" w:rsidRDefault="004439C9" w:rsidP="00B66A4A">
      <w:pPr>
        <w:numPr>
          <w:ilvl w:val="0"/>
          <w:numId w:val="61"/>
        </w:numPr>
        <w:jc w:val="both"/>
        <w:rPr>
          <w:rFonts w:ascii="Arial" w:hAnsi="Arial" w:cs="Arial"/>
          <w:sz w:val="20"/>
          <w:szCs w:val="20"/>
        </w:rPr>
      </w:pPr>
      <w:r w:rsidRPr="00136426">
        <w:rPr>
          <w:rFonts w:ascii="Arial" w:hAnsi="Arial" w:cs="Arial"/>
          <w:sz w:val="20"/>
          <w:szCs w:val="20"/>
        </w:rPr>
        <w:t xml:space="preserve">At the forty-third session of the Assemblies from September 24 to October 3, 2007, Member States </w:t>
      </w:r>
      <w:r>
        <w:rPr>
          <w:rFonts w:ascii="Arial" w:hAnsi="Arial" w:cs="Arial"/>
          <w:sz w:val="20"/>
          <w:szCs w:val="20"/>
        </w:rPr>
        <w:t>approved the principle of</w:t>
      </w:r>
      <w:r w:rsidRPr="00136426">
        <w:rPr>
          <w:rFonts w:ascii="Arial" w:hAnsi="Arial" w:cs="Arial"/>
          <w:sz w:val="20"/>
          <w:szCs w:val="20"/>
        </w:rPr>
        <w:t xml:space="preserve"> the adoption by WIPO of IPSAS by 2010 (reference document</w:t>
      </w:r>
      <w:r>
        <w:rPr>
          <w:rFonts w:ascii="Arial" w:hAnsi="Arial" w:cs="Arial"/>
          <w:sz w:val="20"/>
          <w:szCs w:val="20"/>
        </w:rPr>
        <w:t>s</w:t>
      </w:r>
      <w:r w:rsidRPr="00136426">
        <w:rPr>
          <w:rFonts w:ascii="Arial" w:hAnsi="Arial" w:cs="Arial"/>
          <w:sz w:val="20"/>
          <w:szCs w:val="20"/>
        </w:rPr>
        <w:t xml:space="preserve"> A/43/5</w:t>
      </w:r>
      <w:r>
        <w:rPr>
          <w:rFonts w:ascii="Arial" w:hAnsi="Arial" w:cs="Arial"/>
          <w:sz w:val="20"/>
          <w:szCs w:val="20"/>
        </w:rPr>
        <w:t xml:space="preserve"> and A/43/16</w:t>
      </w:r>
      <w:r w:rsidRPr="00136426">
        <w:rPr>
          <w:rFonts w:ascii="Arial" w:hAnsi="Arial" w:cs="Arial"/>
          <w:sz w:val="20"/>
          <w:szCs w:val="20"/>
        </w:rPr>
        <w:t xml:space="preserve">).  This </w:t>
      </w:r>
      <w:r>
        <w:rPr>
          <w:rFonts w:ascii="Arial" w:hAnsi="Arial" w:cs="Arial"/>
          <w:sz w:val="20"/>
          <w:szCs w:val="20"/>
        </w:rPr>
        <w:t>approval</w:t>
      </w:r>
      <w:r w:rsidRPr="00136426">
        <w:rPr>
          <w:rFonts w:ascii="Arial" w:hAnsi="Arial" w:cs="Arial"/>
          <w:sz w:val="20"/>
          <w:szCs w:val="20"/>
        </w:rPr>
        <w:t xml:space="preserve"> </w:t>
      </w:r>
      <w:r>
        <w:rPr>
          <w:rFonts w:ascii="Arial" w:hAnsi="Arial" w:cs="Arial"/>
          <w:sz w:val="20"/>
          <w:szCs w:val="20"/>
        </w:rPr>
        <w:t>was related to the</w:t>
      </w:r>
      <w:r w:rsidRPr="00136426">
        <w:rPr>
          <w:rFonts w:ascii="Arial" w:hAnsi="Arial" w:cs="Arial"/>
          <w:sz w:val="20"/>
          <w:szCs w:val="20"/>
        </w:rPr>
        <w:t xml:space="preserve"> United Nations system-wide initiative endorsed by the General Assembly (A/RES/60/283(IV)I) to replace the existing United Nations Systems Accounting Standards (UNSAS) with IPSAS, which are internationally recognized. Accordingly, WIPO’s financial statements from the year 2010 are prepared in accordance with IPSAS. </w:t>
      </w:r>
    </w:p>
    <w:p w14:paraId="07707E1A" w14:textId="77777777" w:rsidR="004439C9" w:rsidRPr="00136426" w:rsidRDefault="004439C9" w:rsidP="005A1F7F">
      <w:pPr>
        <w:ind w:left="1"/>
        <w:jc w:val="both"/>
        <w:rPr>
          <w:rFonts w:ascii="Arial" w:hAnsi="Arial" w:cs="Arial"/>
          <w:sz w:val="20"/>
          <w:szCs w:val="20"/>
        </w:rPr>
      </w:pPr>
    </w:p>
    <w:p w14:paraId="01A25380" w14:textId="77777777" w:rsidR="004439C9" w:rsidRPr="00136426" w:rsidRDefault="004439C9" w:rsidP="00B66A4A">
      <w:pPr>
        <w:numPr>
          <w:ilvl w:val="0"/>
          <w:numId w:val="61"/>
        </w:numPr>
        <w:jc w:val="both"/>
        <w:rPr>
          <w:rFonts w:ascii="Arial" w:hAnsi="Arial" w:cs="Arial"/>
          <w:sz w:val="20"/>
          <w:szCs w:val="20"/>
        </w:rPr>
      </w:pPr>
      <w:r w:rsidRPr="00136426">
        <w:rPr>
          <w:rFonts w:ascii="Arial" w:hAnsi="Arial" w:cs="Arial"/>
          <w:sz w:val="20"/>
          <w:szCs w:val="20"/>
        </w:rPr>
        <w:t xml:space="preserve">WIPO’s budget continues to be adopted by the Assemblies on a biennial basis.  In compliance with IPSAS, the Organization must present financial statements on an annual basis.  For this purpose, annual budget figures are provided for both income and expenditure. </w:t>
      </w:r>
    </w:p>
    <w:p w14:paraId="4B69F921" w14:textId="77777777" w:rsidR="004439C9" w:rsidRPr="00136426" w:rsidRDefault="004439C9" w:rsidP="005A1F7F">
      <w:pPr>
        <w:jc w:val="both"/>
        <w:rPr>
          <w:rFonts w:ascii="Arial" w:hAnsi="Arial" w:cs="Arial"/>
          <w:sz w:val="20"/>
          <w:szCs w:val="20"/>
        </w:rPr>
      </w:pPr>
    </w:p>
    <w:p w14:paraId="3B873BD9" w14:textId="77777777" w:rsidR="004439C9" w:rsidRPr="00136426" w:rsidRDefault="004439C9" w:rsidP="00B66A4A">
      <w:pPr>
        <w:numPr>
          <w:ilvl w:val="0"/>
          <w:numId w:val="61"/>
        </w:numPr>
        <w:jc w:val="both"/>
        <w:rPr>
          <w:rFonts w:ascii="Arial" w:hAnsi="Arial" w:cs="Arial"/>
          <w:sz w:val="20"/>
          <w:szCs w:val="20"/>
        </w:rPr>
      </w:pPr>
      <w:r w:rsidRPr="00136426">
        <w:rPr>
          <w:rFonts w:ascii="Arial" w:hAnsi="Arial" w:cs="Arial"/>
          <w:sz w:val="20"/>
          <w:szCs w:val="20"/>
        </w:rPr>
        <w:t xml:space="preserve">It is recalled that, within the context of the approval of the 2010/11 Program and Budget, the Member States approved the methodology for the annual presentation for WIPO’s biennial approved budget.  The table below provides the estimated annual income amounts in accordance with this methodology for the </w:t>
      </w:r>
      <w:r>
        <w:rPr>
          <w:rFonts w:ascii="Arial" w:hAnsi="Arial" w:cs="Arial"/>
          <w:sz w:val="20"/>
          <w:szCs w:val="20"/>
        </w:rPr>
        <w:t>2016/17</w:t>
      </w:r>
      <w:r w:rsidRPr="00136426">
        <w:rPr>
          <w:rFonts w:ascii="Arial" w:hAnsi="Arial" w:cs="Arial"/>
          <w:sz w:val="20"/>
          <w:szCs w:val="20"/>
        </w:rPr>
        <w:t xml:space="preserve"> Program and Budget. </w:t>
      </w:r>
    </w:p>
    <w:p w14:paraId="4E0FBACA" w14:textId="77777777" w:rsidR="004439C9" w:rsidRPr="00136426" w:rsidRDefault="004439C9" w:rsidP="005A1F7F">
      <w:pPr>
        <w:rPr>
          <w:rFonts w:ascii="Arial" w:hAnsi="Arial" w:cs="Arial"/>
          <w:sz w:val="20"/>
          <w:szCs w:val="20"/>
        </w:rPr>
      </w:pPr>
    </w:p>
    <w:p w14:paraId="4C7DB1BF" w14:textId="4457A9C4" w:rsidR="004439C9" w:rsidRPr="00B05CA6" w:rsidRDefault="00B05CA6" w:rsidP="005A1F7F">
      <w:pPr>
        <w:jc w:val="center"/>
        <w:rPr>
          <w:rFonts w:ascii="Arial" w:hAnsi="Arial" w:cs="Arial"/>
          <w:b/>
          <w:sz w:val="20"/>
          <w:szCs w:val="16"/>
        </w:rPr>
      </w:pPr>
      <w:r>
        <w:rPr>
          <w:rFonts w:ascii="Arial" w:hAnsi="Arial" w:cs="Arial"/>
          <w:b/>
          <w:sz w:val="20"/>
          <w:szCs w:val="16"/>
        </w:rPr>
        <w:t>Table 20</w:t>
      </w:r>
      <w:r w:rsidR="004439C9" w:rsidRPr="00B05CA6">
        <w:rPr>
          <w:rFonts w:ascii="Arial" w:hAnsi="Arial" w:cs="Arial"/>
          <w:b/>
          <w:sz w:val="20"/>
          <w:szCs w:val="16"/>
        </w:rPr>
        <w:t>.  Annual Income 200</w:t>
      </w:r>
      <w:r w:rsidR="00CD4ED7">
        <w:rPr>
          <w:rFonts w:ascii="Arial" w:hAnsi="Arial" w:cs="Arial"/>
          <w:b/>
          <w:sz w:val="20"/>
          <w:szCs w:val="16"/>
        </w:rPr>
        <w:t>6</w:t>
      </w:r>
      <w:r w:rsidR="004439C9" w:rsidRPr="00B05CA6">
        <w:rPr>
          <w:rFonts w:ascii="Arial" w:hAnsi="Arial" w:cs="Arial"/>
          <w:b/>
          <w:sz w:val="20"/>
          <w:szCs w:val="16"/>
        </w:rPr>
        <w:t>-2017</w:t>
      </w:r>
    </w:p>
    <w:p w14:paraId="0D18C87A" w14:textId="77777777" w:rsidR="004439C9" w:rsidRPr="00B05CA6" w:rsidRDefault="004439C9" w:rsidP="005A1F7F">
      <w:pPr>
        <w:jc w:val="center"/>
        <w:rPr>
          <w:rFonts w:ascii="Arial" w:hAnsi="Arial" w:cs="Arial"/>
          <w:i/>
          <w:iCs/>
          <w:sz w:val="20"/>
          <w:szCs w:val="20"/>
        </w:rPr>
      </w:pPr>
      <w:r w:rsidRPr="00B05CA6">
        <w:rPr>
          <w:rFonts w:ascii="Arial" w:hAnsi="Arial" w:cs="Arial"/>
          <w:i/>
          <w:iCs/>
          <w:sz w:val="20"/>
          <w:szCs w:val="16"/>
        </w:rPr>
        <w:t>(in millions of Swiss francs)</w:t>
      </w:r>
    </w:p>
    <w:p w14:paraId="0ACFACDE" w14:textId="77777777" w:rsidR="004439C9" w:rsidRPr="004439C9" w:rsidRDefault="004439C9" w:rsidP="005A1F7F">
      <w:pPr>
        <w:rPr>
          <w:rFonts w:ascii="Arial" w:hAnsi="Arial" w:cs="Arial"/>
          <w:sz w:val="18"/>
          <w:szCs w:val="20"/>
        </w:rPr>
      </w:pPr>
    </w:p>
    <w:p w14:paraId="5C276B22" w14:textId="3BC91C0B" w:rsidR="004439C9" w:rsidRDefault="0033554A" w:rsidP="0033554A">
      <w:pPr>
        <w:jc w:val="center"/>
        <w:rPr>
          <w:rFonts w:ascii="Arial" w:hAnsi="Arial" w:cs="Arial"/>
          <w:sz w:val="20"/>
          <w:szCs w:val="20"/>
        </w:rPr>
      </w:pPr>
      <w:r w:rsidRPr="0033554A">
        <w:rPr>
          <w:noProof/>
          <w:lang w:eastAsia="en-US"/>
        </w:rPr>
        <w:drawing>
          <wp:inline distT="0" distB="0" distL="0" distR="0" wp14:anchorId="45EB00CE" wp14:editId="4AFDCEDA">
            <wp:extent cx="5971540" cy="1866494"/>
            <wp:effectExtent l="0" t="0" r="0" b="63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71540" cy="1866494"/>
                    </a:xfrm>
                    <a:prstGeom prst="rect">
                      <a:avLst/>
                    </a:prstGeom>
                    <a:noFill/>
                    <a:ln>
                      <a:noFill/>
                    </a:ln>
                  </pic:spPr>
                </pic:pic>
              </a:graphicData>
            </a:graphic>
          </wp:inline>
        </w:drawing>
      </w:r>
    </w:p>
    <w:p w14:paraId="6F45D0D0" w14:textId="77777777" w:rsidR="004439C9" w:rsidRPr="0033554A" w:rsidRDefault="004439C9" w:rsidP="005A1F7F">
      <w:pPr>
        <w:rPr>
          <w:rFonts w:ascii="Arial" w:hAnsi="Arial" w:cs="Arial"/>
          <w:i/>
          <w:sz w:val="16"/>
          <w:szCs w:val="14"/>
        </w:rPr>
      </w:pPr>
      <w:r w:rsidRPr="0033554A">
        <w:rPr>
          <w:rFonts w:ascii="Arial" w:hAnsi="Arial" w:cs="Arial"/>
          <w:i/>
          <w:sz w:val="16"/>
          <w:szCs w:val="14"/>
        </w:rPr>
        <w:t>*previously, Interest Income (up to the 2014/15 biennium)</w:t>
      </w:r>
    </w:p>
    <w:p w14:paraId="6468B71E" w14:textId="6D36BF14" w:rsidR="004439C9" w:rsidRPr="00136426" w:rsidRDefault="00D50719" w:rsidP="005A1F7F">
      <w:pPr>
        <w:rPr>
          <w:rFonts w:ascii="Arial" w:hAnsi="Arial" w:cs="Arial"/>
          <w:sz w:val="20"/>
          <w:szCs w:val="20"/>
        </w:rPr>
      </w:pPr>
      <w:r w:rsidRPr="006459EA">
        <w:rPr>
          <w:rFonts w:ascii="Arial" w:hAnsi="Arial" w:cs="Arial"/>
          <w:i/>
          <w:sz w:val="16"/>
          <w:szCs w:val="16"/>
        </w:rPr>
        <w:t xml:space="preserve">Note: Lisbon fee income (2014/15 budgeted </w:t>
      </w:r>
      <w:r w:rsidRPr="00104E6F">
        <w:rPr>
          <w:rFonts w:ascii="Arial" w:hAnsi="Arial" w:cs="Arial"/>
          <w:i/>
          <w:sz w:val="16"/>
          <w:szCs w:val="16"/>
        </w:rPr>
        <w:t>estimate:</w:t>
      </w:r>
      <w:r w:rsidRPr="006459EA">
        <w:rPr>
          <w:rFonts w:ascii="Arial" w:hAnsi="Arial" w:cs="Arial"/>
          <w:i/>
          <w:sz w:val="16"/>
          <w:szCs w:val="16"/>
        </w:rPr>
        <w:t xml:space="preserve"> 8,000 </w:t>
      </w:r>
      <w:r w:rsidR="003736E0">
        <w:rPr>
          <w:rFonts w:ascii="Arial" w:hAnsi="Arial" w:cs="Arial"/>
          <w:i/>
          <w:sz w:val="16"/>
          <w:szCs w:val="16"/>
        </w:rPr>
        <w:t>Swiss francs</w:t>
      </w:r>
      <w:r w:rsidRPr="006459EA">
        <w:rPr>
          <w:rFonts w:ascii="Arial" w:hAnsi="Arial" w:cs="Arial"/>
          <w:i/>
          <w:sz w:val="16"/>
          <w:szCs w:val="16"/>
        </w:rPr>
        <w:t xml:space="preserve">; 2016/17: 30,000 </w:t>
      </w:r>
      <w:r w:rsidR="003736E0">
        <w:rPr>
          <w:rFonts w:ascii="Arial" w:hAnsi="Arial" w:cs="Arial"/>
          <w:i/>
          <w:sz w:val="16"/>
          <w:szCs w:val="16"/>
        </w:rPr>
        <w:t>Swiss francs</w:t>
      </w:r>
      <w:r w:rsidRPr="006459EA">
        <w:rPr>
          <w:rFonts w:ascii="Arial" w:hAnsi="Arial" w:cs="Arial"/>
          <w:i/>
          <w:sz w:val="16"/>
          <w:szCs w:val="16"/>
        </w:rPr>
        <w:t>)</w:t>
      </w:r>
    </w:p>
    <w:p w14:paraId="2045E7F8" w14:textId="103E78E3" w:rsidR="004439C9" w:rsidRDefault="004439C9">
      <w:pPr>
        <w:rPr>
          <w:rFonts w:ascii="Arial" w:eastAsia="Times New Roman" w:hAnsi="Arial" w:cs="Arial"/>
          <w:sz w:val="20"/>
          <w:szCs w:val="20"/>
          <w:lang w:eastAsia="en-US"/>
        </w:rPr>
      </w:pPr>
      <w:r>
        <w:rPr>
          <w:rFonts w:ascii="Arial" w:hAnsi="Arial" w:cs="Arial"/>
          <w:sz w:val="20"/>
        </w:rPr>
        <w:br w:type="page"/>
      </w:r>
    </w:p>
    <w:p w14:paraId="47B06033" w14:textId="77777777" w:rsidR="004439C9" w:rsidRPr="00136426" w:rsidRDefault="004439C9" w:rsidP="005A1F7F">
      <w:pPr>
        <w:pStyle w:val="Endofdocument"/>
        <w:ind w:left="0"/>
        <w:jc w:val="left"/>
        <w:rPr>
          <w:rFonts w:ascii="Arial" w:hAnsi="Arial" w:cs="Arial"/>
          <w:sz w:val="20"/>
        </w:rPr>
      </w:pPr>
    </w:p>
    <w:p w14:paraId="34E0E86A" w14:textId="77777777" w:rsidR="004439C9" w:rsidRPr="00136426" w:rsidRDefault="004439C9" w:rsidP="00B66A4A">
      <w:pPr>
        <w:numPr>
          <w:ilvl w:val="0"/>
          <w:numId w:val="61"/>
        </w:numPr>
        <w:jc w:val="both"/>
        <w:rPr>
          <w:rFonts w:ascii="Arial" w:hAnsi="Arial" w:cs="Arial"/>
          <w:sz w:val="20"/>
          <w:szCs w:val="20"/>
        </w:rPr>
      </w:pPr>
      <w:r w:rsidRPr="00136426">
        <w:rPr>
          <w:rFonts w:ascii="Arial" w:hAnsi="Arial" w:cs="Arial"/>
          <w:sz w:val="20"/>
          <w:szCs w:val="20"/>
        </w:rPr>
        <w:t>In respect of WIPO’s 201</w:t>
      </w:r>
      <w:r>
        <w:rPr>
          <w:rFonts w:ascii="Arial" w:hAnsi="Arial" w:cs="Arial"/>
          <w:sz w:val="20"/>
          <w:szCs w:val="20"/>
        </w:rPr>
        <w:t>6</w:t>
      </w:r>
      <w:r w:rsidRPr="00136426">
        <w:rPr>
          <w:rFonts w:ascii="Arial" w:hAnsi="Arial" w:cs="Arial"/>
          <w:sz w:val="20"/>
          <w:szCs w:val="20"/>
        </w:rPr>
        <w:t>/1</w:t>
      </w:r>
      <w:r>
        <w:rPr>
          <w:rFonts w:ascii="Arial" w:hAnsi="Arial" w:cs="Arial"/>
          <w:sz w:val="20"/>
          <w:szCs w:val="20"/>
        </w:rPr>
        <w:t>7</w:t>
      </w:r>
      <w:r w:rsidRPr="00136426">
        <w:rPr>
          <w:rFonts w:ascii="Arial" w:hAnsi="Arial" w:cs="Arial"/>
          <w:sz w:val="20"/>
          <w:szCs w:val="20"/>
        </w:rPr>
        <w:t xml:space="preserve"> expenditure budget, a 50/50 split has been applied to the biennial </w:t>
      </w:r>
      <w:r>
        <w:rPr>
          <w:rFonts w:ascii="Arial" w:hAnsi="Arial" w:cs="Arial"/>
          <w:sz w:val="20"/>
          <w:szCs w:val="20"/>
        </w:rPr>
        <w:t xml:space="preserve">non-personnel </w:t>
      </w:r>
      <w:r w:rsidRPr="00136426">
        <w:rPr>
          <w:rFonts w:ascii="Arial" w:hAnsi="Arial" w:cs="Arial"/>
          <w:sz w:val="20"/>
          <w:szCs w:val="20"/>
        </w:rPr>
        <w:t xml:space="preserve">budget figures in order to establish the annual budget view.  </w:t>
      </w:r>
      <w:r>
        <w:rPr>
          <w:rFonts w:ascii="Arial" w:hAnsi="Arial" w:cs="Arial"/>
          <w:sz w:val="20"/>
          <w:szCs w:val="20"/>
        </w:rPr>
        <w:t>T</w:t>
      </w:r>
      <w:r w:rsidRPr="00136426">
        <w:rPr>
          <w:rFonts w:ascii="Arial" w:hAnsi="Arial" w:cs="Arial"/>
          <w:sz w:val="20"/>
          <w:szCs w:val="20"/>
        </w:rPr>
        <w:t xml:space="preserve">he personnel budget has been </w:t>
      </w:r>
      <w:r>
        <w:rPr>
          <w:rFonts w:ascii="Arial" w:hAnsi="Arial" w:cs="Arial"/>
          <w:sz w:val="20"/>
          <w:szCs w:val="20"/>
        </w:rPr>
        <w:t xml:space="preserve">split on an annual basis based on the calculated costs for the two years respectively. </w:t>
      </w:r>
      <w:r w:rsidRPr="00136426">
        <w:rPr>
          <w:rFonts w:ascii="Arial" w:hAnsi="Arial" w:cs="Arial"/>
          <w:sz w:val="20"/>
          <w:szCs w:val="20"/>
        </w:rPr>
        <w:t xml:space="preserve">The table below provides the annual expenditure amounts accordingly. </w:t>
      </w:r>
    </w:p>
    <w:p w14:paraId="334103C0" w14:textId="77777777" w:rsidR="004439C9" w:rsidRPr="00136426" w:rsidRDefault="004439C9" w:rsidP="005A1F7F">
      <w:pPr>
        <w:pStyle w:val="Endofdocument"/>
        <w:ind w:left="0"/>
        <w:jc w:val="left"/>
        <w:rPr>
          <w:rFonts w:ascii="Arial" w:hAnsi="Arial" w:cs="Arial"/>
          <w:sz w:val="20"/>
        </w:rPr>
      </w:pPr>
    </w:p>
    <w:p w14:paraId="387FF4C2" w14:textId="1FDD84DB" w:rsidR="004439C9" w:rsidRDefault="004439C9">
      <w:pPr>
        <w:rPr>
          <w:rFonts w:ascii="Arial" w:hAnsi="Arial" w:cs="Arial"/>
          <w:b/>
          <w:sz w:val="20"/>
          <w:szCs w:val="16"/>
        </w:rPr>
      </w:pPr>
    </w:p>
    <w:p w14:paraId="60399D09" w14:textId="4D23E4FC" w:rsidR="004439C9" w:rsidRPr="00B05CA6" w:rsidRDefault="00B05CA6" w:rsidP="005A1F7F">
      <w:pPr>
        <w:jc w:val="center"/>
        <w:rPr>
          <w:rFonts w:ascii="Arial" w:hAnsi="Arial" w:cs="Arial"/>
          <w:b/>
          <w:sz w:val="20"/>
          <w:szCs w:val="16"/>
        </w:rPr>
      </w:pPr>
      <w:r>
        <w:rPr>
          <w:rFonts w:ascii="Arial" w:hAnsi="Arial" w:cs="Arial"/>
          <w:b/>
          <w:sz w:val="20"/>
          <w:szCs w:val="16"/>
        </w:rPr>
        <w:t>Table 21</w:t>
      </w:r>
      <w:r w:rsidR="004439C9" w:rsidRPr="00B05CA6">
        <w:rPr>
          <w:rFonts w:ascii="Arial" w:hAnsi="Arial" w:cs="Arial"/>
          <w:b/>
          <w:sz w:val="20"/>
          <w:szCs w:val="16"/>
        </w:rPr>
        <w:t xml:space="preserve">.  Annual Expenditure </w:t>
      </w:r>
      <w:r w:rsidR="00CD4ED7" w:rsidRPr="00B05CA6">
        <w:rPr>
          <w:rFonts w:ascii="Arial" w:hAnsi="Arial" w:cs="Arial"/>
          <w:b/>
          <w:sz w:val="20"/>
          <w:szCs w:val="16"/>
        </w:rPr>
        <w:t>200</w:t>
      </w:r>
      <w:r w:rsidR="00CD4ED7">
        <w:rPr>
          <w:rFonts w:ascii="Arial" w:hAnsi="Arial" w:cs="Arial"/>
          <w:b/>
          <w:sz w:val="20"/>
          <w:szCs w:val="16"/>
        </w:rPr>
        <w:t>6</w:t>
      </w:r>
      <w:r w:rsidR="004439C9" w:rsidRPr="00B05CA6">
        <w:rPr>
          <w:rFonts w:ascii="Arial" w:hAnsi="Arial" w:cs="Arial"/>
          <w:b/>
          <w:sz w:val="20"/>
          <w:szCs w:val="16"/>
        </w:rPr>
        <w:t>-2017</w:t>
      </w:r>
    </w:p>
    <w:p w14:paraId="1D4A5CA1" w14:textId="77777777" w:rsidR="004439C9" w:rsidRPr="00B05CA6" w:rsidRDefault="004439C9" w:rsidP="005A1F7F">
      <w:pPr>
        <w:jc w:val="center"/>
        <w:rPr>
          <w:rFonts w:ascii="Arial" w:hAnsi="Arial" w:cs="Arial"/>
          <w:sz w:val="20"/>
          <w:szCs w:val="16"/>
        </w:rPr>
      </w:pPr>
      <w:r w:rsidRPr="00B05CA6">
        <w:rPr>
          <w:rFonts w:ascii="Arial" w:hAnsi="Arial" w:cs="Arial"/>
          <w:i/>
          <w:iCs/>
          <w:sz w:val="20"/>
          <w:szCs w:val="16"/>
        </w:rPr>
        <w:t>(in millions of Swiss francs)</w:t>
      </w:r>
      <w:r w:rsidRPr="00B05CA6">
        <w:rPr>
          <w:rFonts w:ascii="Arial" w:hAnsi="Arial" w:cs="Arial"/>
          <w:sz w:val="20"/>
          <w:szCs w:val="16"/>
        </w:rPr>
        <w:t xml:space="preserve"> </w:t>
      </w:r>
    </w:p>
    <w:p w14:paraId="48D057B7" w14:textId="77777777" w:rsidR="004439C9" w:rsidRPr="00B05CA6" w:rsidRDefault="004439C9" w:rsidP="00FB68E0">
      <w:pPr>
        <w:pStyle w:val="Endofdocument"/>
        <w:ind w:left="-284"/>
        <w:jc w:val="left"/>
        <w:rPr>
          <w:rFonts w:ascii="Arial" w:hAnsi="Arial" w:cs="Arial"/>
          <w:sz w:val="18"/>
        </w:rPr>
      </w:pPr>
    </w:p>
    <w:p w14:paraId="7BC1EF67" w14:textId="77777777" w:rsidR="004439C9" w:rsidRDefault="004439C9" w:rsidP="00FB68E0">
      <w:pPr>
        <w:pStyle w:val="Endofdocument"/>
        <w:ind w:left="-284"/>
        <w:rPr>
          <w:rFonts w:ascii="Arial" w:hAnsi="Arial" w:cs="Arial"/>
          <w:sz w:val="20"/>
        </w:rPr>
      </w:pPr>
      <w:r w:rsidRPr="00712B30">
        <w:rPr>
          <w:noProof/>
        </w:rPr>
        <w:drawing>
          <wp:inline distT="0" distB="0" distL="0" distR="0" wp14:anchorId="00D44ADC" wp14:editId="6B489CFB">
            <wp:extent cx="6322131" cy="2806810"/>
            <wp:effectExtent l="0" t="0" r="254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319549" cy="2805664"/>
                    </a:xfrm>
                    <a:prstGeom prst="rect">
                      <a:avLst/>
                    </a:prstGeom>
                    <a:noFill/>
                    <a:ln>
                      <a:noFill/>
                    </a:ln>
                  </pic:spPr>
                </pic:pic>
              </a:graphicData>
            </a:graphic>
          </wp:inline>
        </w:drawing>
      </w:r>
    </w:p>
    <w:p w14:paraId="05F56CDF" w14:textId="77777777" w:rsidR="0033554A" w:rsidRPr="0033554A" w:rsidRDefault="0033554A" w:rsidP="00FB68E0">
      <w:pPr>
        <w:pStyle w:val="Endofdocument"/>
        <w:ind w:left="-284"/>
        <w:rPr>
          <w:rFonts w:ascii="Arial" w:hAnsi="Arial" w:cs="Arial"/>
          <w:sz w:val="18"/>
        </w:rPr>
      </w:pPr>
    </w:p>
    <w:p w14:paraId="5A0A4025" w14:textId="77777777" w:rsidR="004439C9" w:rsidRDefault="004439C9" w:rsidP="00FB68E0">
      <w:pPr>
        <w:ind w:left="-284"/>
        <w:rPr>
          <w:rFonts w:ascii="Arial" w:hAnsi="Arial" w:cs="Arial"/>
          <w:i/>
          <w:sz w:val="16"/>
          <w:szCs w:val="14"/>
        </w:rPr>
      </w:pPr>
      <w:r w:rsidRPr="0033554A">
        <w:rPr>
          <w:rFonts w:ascii="Arial" w:hAnsi="Arial" w:cs="Arial"/>
          <w:i/>
          <w:sz w:val="16"/>
          <w:szCs w:val="14"/>
        </w:rPr>
        <w:t>*previously, Travel and Course Fellowships (up to the 2014/15 biennium)</w:t>
      </w:r>
    </w:p>
    <w:p w14:paraId="335E5B2A" w14:textId="77777777" w:rsidR="0033554A" w:rsidRPr="0033554A" w:rsidRDefault="0033554A" w:rsidP="00FB68E0">
      <w:pPr>
        <w:ind w:left="-284"/>
        <w:rPr>
          <w:rFonts w:ascii="Arial" w:hAnsi="Arial" w:cs="Arial"/>
          <w:i/>
          <w:sz w:val="16"/>
          <w:szCs w:val="14"/>
        </w:rPr>
      </w:pPr>
    </w:p>
    <w:p w14:paraId="564BC3B3" w14:textId="77777777" w:rsidR="004439C9" w:rsidRDefault="004439C9" w:rsidP="00FB68E0">
      <w:pPr>
        <w:ind w:left="-284"/>
        <w:rPr>
          <w:rFonts w:ascii="Arial" w:hAnsi="Arial" w:cs="Arial"/>
          <w:i/>
          <w:sz w:val="16"/>
          <w:szCs w:val="14"/>
        </w:rPr>
      </w:pPr>
      <w:r w:rsidRPr="0033554A">
        <w:rPr>
          <w:rFonts w:ascii="Arial" w:hAnsi="Arial" w:cs="Arial"/>
          <w:i/>
          <w:sz w:val="16"/>
          <w:szCs w:val="14"/>
        </w:rPr>
        <w:t>**Contractual Services were restated for years 2004-2009 to include SSAs due to the change introduced in April 2010</w:t>
      </w:r>
    </w:p>
    <w:p w14:paraId="45DC1DEB" w14:textId="77777777" w:rsidR="0033554A" w:rsidRPr="0033554A" w:rsidRDefault="0033554A" w:rsidP="00FB68E0">
      <w:pPr>
        <w:ind w:left="-284"/>
        <w:rPr>
          <w:rFonts w:ascii="Arial" w:hAnsi="Arial" w:cs="Arial"/>
          <w:i/>
          <w:sz w:val="16"/>
          <w:szCs w:val="14"/>
        </w:rPr>
      </w:pPr>
    </w:p>
    <w:p w14:paraId="339F9853" w14:textId="77777777" w:rsidR="004439C9" w:rsidRPr="0033554A" w:rsidRDefault="004439C9" w:rsidP="00FB68E0">
      <w:pPr>
        <w:ind w:left="-284"/>
        <w:rPr>
          <w:rFonts w:ascii="Arial" w:hAnsi="Arial" w:cs="Arial"/>
          <w:i/>
          <w:sz w:val="16"/>
          <w:szCs w:val="14"/>
        </w:rPr>
      </w:pPr>
      <w:r w:rsidRPr="0033554A">
        <w:rPr>
          <w:rFonts w:ascii="Arial" w:hAnsi="Arial" w:cs="Arial"/>
          <w:i/>
          <w:sz w:val="16"/>
          <w:szCs w:val="14"/>
        </w:rPr>
        <w:t>***previously, included under Operating Expenses (up to the 2014/15 biennium)</w:t>
      </w:r>
    </w:p>
    <w:p w14:paraId="0CA36A05" w14:textId="77777777" w:rsidR="004439C9" w:rsidRPr="00136426" w:rsidRDefault="004439C9" w:rsidP="00FB68E0">
      <w:pPr>
        <w:pStyle w:val="Endofdocument"/>
        <w:ind w:left="-284"/>
        <w:jc w:val="left"/>
        <w:rPr>
          <w:rFonts w:ascii="Arial" w:hAnsi="Arial" w:cs="Arial"/>
          <w:sz w:val="20"/>
        </w:rPr>
      </w:pPr>
    </w:p>
    <w:p w14:paraId="7426E854" w14:textId="77777777" w:rsidR="004439C9" w:rsidRPr="00136426" w:rsidRDefault="004439C9" w:rsidP="00FB68E0">
      <w:pPr>
        <w:ind w:left="-284"/>
        <w:rPr>
          <w:rFonts w:ascii="Arial" w:hAnsi="Arial" w:cs="Arial"/>
          <w:sz w:val="20"/>
          <w:szCs w:val="20"/>
        </w:rPr>
      </w:pPr>
    </w:p>
    <w:p w14:paraId="3988A962" w14:textId="77777777" w:rsidR="00383169" w:rsidRDefault="00383169" w:rsidP="008D3EC2">
      <w:pPr>
        <w:autoSpaceDE w:val="0"/>
        <w:autoSpaceDN w:val="0"/>
        <w:adjustRightInd w:val="0"/>
        <w:rPr>
          <w:rFonts w:ascii="Arial" w:hAnsi="Arial" w:cs="Arial"/>
          <w:sz w:val="20"/>
        </w:rPr>
      </w:pPr>
    </w:p>
    <w:p w14:paraId="4AD6F5A2" w14:textId="77777777" w:rsidR="00383169" w:rsidRDefault="00383169" w:rsidP="008D3EC2">
      <w:pPr>
        <w:autoSpaceDE w:val="0"/>
        <w:autoSpaceDN w:val="0"/>
        <w:adjustRightInd w:val="0"/>
        <w:rPr>
          <w:rFonts w:ascii="Arial" w:hAnsi="Arial" w:cs="Arial"/>
          <w:sz w:val="20"/>
        </w:rPr>
      </w:pPr>
    </w:p>
    <w:p w14:paraId="36988B73"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5BDDE2ED" w14:textId="574B205E" w:rsidR="00592800" w:rsidRDefault="00592800" w:rsidP="00592800">
      <w:pPr>
        <w:pStyle w:val="StyleHeading3ComplexItalic"/>
        <w:keepNext w:val="0"/>
        <w:tabs>
          <w:tab w:val="clear" w:pos="1985"/>
          <w:tab w:val="left" w:pos="1418"/>
        </w:tabs>
        <w:ind w:left="1418" w:hanging="1418"/>
        <w:rPr>
          <w:caps w:val="0"/>
        </w:rPr>
      </w:pPr>
      <w:bookmarkStart w:id="123" w:name="_Toc293334848"/>
      <w:bookmarkStart w:id="124" w:name="_Toc298920430"/>
      <w:bookmarkStart w:id="125" w:name="_Toc356567795"/>
      <w:bookmarkStart w:id="126" w:name="_Toc367350621"/>
      <w:bookmarkStart w:id="127" w:name="_Toc431221454"/>
      <w:r>
        <w:rPr>
          <w:caps w:val="0"/>
        </w:rPr>
        <w:lastRenderedPageBreak/>
        <w:t xml:space="preserve">ANNEX </w:t>
      </w:r>
      <w:r w:rsidRPr="007F65E7">
        <w:rPr>
          <w:caps w:val="0"/>
        </w:rPr>
        <w:t>X</w:t>
      </w:r>
      <w:r w:rsidRPr="007F65E7">
        <w:rPr>
          <w:caps w:val="0"/>
        </w:rPr>
        <w:tab/>
      </w:r>
      <w:r>
        <w:rPr>
          <w:caps w:val="0"/>
        </w:rPr>
        <w:t>2016/17 BUDGET BY EXPECTED RESULT AND PROGRAM</w:t>
      </w:r>
      <w:bookmarkEnd w:id="123"/>
      <w:bookmarkEnd w:id="124"/>
      <w:bookmarkEnd w:id="125"/>
      <w:bookmarkEnd w:id="126"/>
      <w:bookmarkEnd w:id="127"/>
    </w:p>
    <w:p w14:paraId="736222A8" w14:textId="5DF30CD8" w:rsidR="00DB67E7" w:rsidRDefault="00DB67E7" w:rsidP="005A1F7F">
      <w:pPr>
        <w:rPr>
          <w:rFonts w:ascii="Arial" w:hAnsi="Arial" w:cs="Arial"/>
          <w:b/>
          <w:sz w:val="20"/>
          <w:szCs w:val="20"/>
        </w:rPr>
      </w:pPr>
    </w:p>
    <w:p w14:paraId="16D86D89" w14:textId="737E4627" w:rsidR="00DB67E7" w:rsidRDefault="000159A3" w:rsidP="000159A3">
      <w:pPr>
        <w:ind w:left="-142"/>
        <w:rPr>
          <w:rFonts w:ascii="Arial" w:hAnsi="Arial" w:cs="Arial"/>
          <w:sz w:val="18"/>
          <w:szCs w:val="18"/>
        </w:rPr>
      </w:pPr>
      <w:r w:rsidRPr="000159A3">
        <w:rPr>
          <w:rFonts w:ascii="Arial" w:hAnsi="Arial" w:cs="Arial"/>
          <w:sz w:val="18"/>
          <w:szCs w:val="18"/>
        </w:rPr>
        <w:t xml:space="preserve"> </w:t>
      </w:r>
      <w:r w:rsidR="008B60EB" w:rsidRPr="008B60EB">
        <w:rPr>
          <w:noProof/>
          <w:lang w:eastAsia="en-US"/>
        </w:rPr>
        <w:drawing>
          <wp:inline distT="0" distB="0" distL="0" distR="0" wp14:anchorId="00017EEF" wp14:editId="6B8FF06F">
            <wp:extent cx="9720072" cy="3748188"/>
            <wp:effectExtent l="0" t="0" r="0" b="508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720072" cy="3748188"/>
                    </a:xfrm>
                    <a:prstGeom prst="rect">
                      <a:avLst/>
                    </a:prstGeom>
                    <a:noFill/>
                    <a:ln>
                      <a:noFill/>
                    </a:ln>
                  </pic:spPr>
                </pic:pic>
              </a:graphicData>
            </a:graphic>
          </wp:inline>
        </w:drawing>
      </w:r>
    </w:p>
    <w:p w14:paraId="167F00EF" w14:textId="77777777" w:rsidR="001A05EB" w:rsidRDefault="001A05EB" w:rsidP="00C84440">
      <w:pPr>
        <w:rPr>
          <w:rFonts w:ascii="Arial" w:hAnsi="Arial" w:cs="Arial"/>
          <w:sz w:val="18"/>
          <w:szCs w:val="18"/>
        </w:rPr>
      </w:pPr>
    </w:p>
    <w:p w14:paraId="617AE6F8" w14:textId="77777777" w:rsidR="000159A3" w:rsidRDefault="000159A3" w:rsidP="00C84440">
      <w:pPr>
        <w:rPr>
          <w:rFonts w:ascii="Arial" w:hAnsi="Arial" w:cs="Arial"/>
          <w:sz w:val="18"/>
          <w:szCs w:val="18"/>
        </w:rPr>
      </w:pPr>
    </w:p>
    <w:p w14:paraId="42FBA005" w14:textId="77777777" w:rsidR="000159A3" w:rsidRDefault="000159A3" w:rsidP="00C84440">
      <w:pPr>
        <w:rPr>
          <w:rFonts w:ascii="Arial" w:hAnsi="Arial" w:cs="Arial"/>
          <w:sz w:val="18"/>
          <w:szCs w:val="18"/>
        </w:rPr>
      </w:pPr>
    </w:p>
    <w:p w14:paraId="4A36B72F" w14:textId="77777777" w:rsidR="000159A3" w:rsidRDefault="000159A3" w:rsidP="00C84440">
      <w:pPr>
        <w:rPr>
          <w:rFonts w:ascii="Arial" w:hAnsi="Arial" w:cs="Arial"/>
          <w:sz w:val="18"/>
          <w:szCs w:val="18"/>
        </w:rPr>
      </w:pPr>
    </w:p>
    <w:p w14:paraId="301E57F9" w14:textId="77777777" w:rsidR="000159A3" w:rsidRDefault="000159A3" w:rsidP="00C84440">
      <w:pPr>
        <w:rPr>
          <w:rFonts w:ascii="Arial" w:hAnsi="Arial" w:cs="Arial"/>
          <w:sz w:val="18"/>
          <w:szCs w:val="18"/>
        </w:rPr>
      </w:pPr>
    </w:p>
    <w:p w14:paraId="1721B364" w14:textId="77777777" w:rsidR="000159A3" w:rsidRDefault="000159A3" w:rsidP="00C84440">
      <w:pPr>
        <w:rPr>
          <w:rFonts w:ascii="Arial" w:hAnsi="Arial" w:cs="Arial"/>
          <w:sz w:val="18"/>
          <w:szCs w:val="18"/>
        </w:rPr>
      </w:pPr>
    </w:p>
    <w:p w14:paraId="02EBC532" w14:textId="77777777" w:rsidR="000159A3" w:rsidRDefault="000159A3" w:rsidP="00C84440">
      <w:pPr>
        <w:rPr>
          <w:rFonts w:ascii="Arial" w:hAnsi="Arial" w:cs="Arial"/>
          <w:sz w:val="18"/>
          <w:szCs w:val="18"/>
        </w:rPr>
      </w:pPr>
    </w:p>
    <w:p w14:paraId="29F8B5AE" w14:textId="77777777" w:rsidR="000159A3" w:rsidRDefault="000159A3" w:rsidP="00C84440">
      <w:pPr>
        <w:rPr>
          <w:rFonts w:ascii="Arial" w:hAnsi="Arial" w:cs="Arial"/>
          <w:sz w:val="18"/>
          <w:szCs w:val="18"/>
        </w:rPr>
      </w:pPr>
    </w:p>
    <w:p w14:paraId="455E95A0" w14:textId="3E732171" w:rsidR="000159A3" w:rsidRDefault="000159A3">
      <w:pPr>
        <w:rPr>
          <w:rFonts w:ascii="Arial" w:hAnsi="Arial" w:cs="Arial"/>
          <w:sz w:val="18"/>
          <w:szCs w:val="18"/>
        </w:rPr>
      </w:pPr>
      <w:r>
        <w:rPr>
          <w:rFonts w:ascii="Arial" w:hAnsi="Arial" w:cs="Arial"/>
          <w:sz w:val="18"/>
          <w:szCs w:val="18"/>
        </w:rPr>
        <w:br w:type="page"/>
      </w:r>
    </w:p>
    <w:p w14:paraId="29834B31" w14:textId="77777777" w:rsidR="00DB67E7" w:rsidRDefault="00DB67E7" w:rsidP="005A1F7F">
      <w:pPr>
        <w:ind w:left="-360"/>
        <w:rPr>
          <w:rFonts w:ascii="Arial" w:hAnsi="Arial" w:cs="Arial"/>
          <w:b/>
          <w:sz w:val="18"/>
          <w:szCs w:val="18"/>
        </w:rPr>
      </w:pPr>
      <w:r>
        <w:rPr>
          <w:rFonts w:ascii="Arial" w:hAnsi="Arial" w:cs="Arial"/>
          <w:b/>
          <w:sz w:val="18"/>
          <w:szCs w:val="18"/>
        </w:rPr>
        <w:lastRenderedPageBreak/>
        <w:t>ANNEX X (CONT.)</w:t>
      </w:r>
    </w:p>
    <w:p w14:paraId="18744A05" w14:textId="68A17BA8" w:rsidR="00DB67E7" w:rsidRDefault="001C3BF3" w:rsidP="000159A3">
      <w:pPr>
        <w:rPr>
          <w:rFonts w:ascii="Arial" w:hAnsi="Arial" w:cs="Arial"/>
          <w:sz w:val="20"/>
        </w:rPr>
      </w:pPr>
      <w:r w:rsidRPr="001C3BF3">
        <w:rPr>
          <w:noProof/>
          <w:lang w:eastAsia="en-US"/>
        </w:rPr>
        <w:drawing>
          <wp:inline distT="0" distB="0" distL="0" distR="0" wp14:anchorId="106745AB" wp14:editId="0D0180C8">
            <wp:extent cx="9286504" cy="577655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9299773" cy="5784809"/>
                    </a:xfrm>
                    <a:prstGeom prst="rect">
                      <a:avLst/>
                    </a:prstGeom>
                    <a:noFill/>
                    <a:ln>
                      <a:noFill/>
                    </a:ln>
                  </pic:spPr>
                </pic:pic>
              </a:graphicData>
            </a:graphic>
          </wp:inline>
        </w:drawing>
      </w:r>
    </w:p>
    <w:p w14:paraId="15015878" w14:textId="77777777" w:rsidR="00FB583B" w:rsidRDefault="00FB583B" w:rsidP="00DB67E7">
      <w:pPr>
        <w:autoSpaceDE w:val="0"/>
        <w:autoSpaceDN w:val="0"/>
        <w:adjustRightInd w:val="0"/>
        <w:ind w:left="-142"/>
        <w:rPr>
          <w:rFonts w:ascii="Arial" w:hAnsi="Arial" w:cs="Arial"/>
          <w:sz w:val="20"/>
        </w:rPr>
        <w:sectPr w:rsidR="00FB583B" w:rsidSect="00FB68E0">
          <w:pgSz w:w="16839" w:h="11907" w:orient="landscape" w:code="9"/>
          <w:pgMar w:top="737" w:right="851" w:bottom="907" w:left="794" w:header="567" w:footer="851" w:gutter="0"/>
          <w:cols w:space="720"/>
          <w:docGrid w:linePitch="360"/>
        </w:sectPr>
      </w:pPr>
    </w:p>
    <w:p w14:paraId="6FABA784" w14:textId="191CB990" w:rsidR="00FB583B" w:rsidRPr="009D39E7" w:rsidRDefault="00FB583B" w:rsidP="00FB583B">
      <w:pPr>
        <w:pStyle w:val="StyleHeading3ComplexItalic"/>
        <w:keepNext w:val="0"/>
        <w:tabs>
          <w:tab w:val="clear" w:pos="1985"/>
          <w:tab w:val="left" w:pos="1418"/>
        </w:tabs>
        <w:ind w:left="1418" w:hanging="1418"/>
        <w:rPr>
          <w:caps w:val="0"/>
        </w:rPr>
      </w:pPr>
      <w:bookmarkStart w:id="128" w:name="_Toc356567796"/>
      <w:bookmarkStart w:id="129" w:name="_Toc367350622"/>
      <w:bookmarkStart w:id="130" w:name="_Toc431221455"/>
      <w:r w:rsidRPr="009D39E7">
        <w:rPr>
          <w:caps w:val="0"/>
        </w:rPr>
        <w:lastRenderedPageBreak/>
        <w:t>ANNEX XI</w:t>
      </w:r>
      <w:r w:rsidR="00414DB1">
        <w:rPr>
          <w:caps w:val="0"/>
        </w:rPr>
        <w:tab/>
        <w:t>2016</w:t>
      </w:r>
      <w:r>
        <w:rPr>
          <w:caps w:val="0"/>
        </w:rPr>
        <w:t>/1</w:t>
      </w:r>
      <w:r w:rsidR="00414DB1">
        <w:rPr>
          <w:caps w:val="0"/>
        </w:rPr>
        <w:t>7</w:t>
      </w:r>
      <w:r>
        <w:rPr>
          <w:caps w:val="0"/>
        </w:rPr>
        <w:t xml:space="preserve"> BUDGET BY EXPECTED RESULT</w:t>
      </w:r>
      <w:bookmarkEnd w:id="128"/>
      <w:bookmarkEnd w:id="129"/>
      <w:bookmarkEnd w:id="130"/>
    </w:p>
    <w:p w14:paraId="27466E70" w14:textId="02C4C83C" w:rsidR="00FB583B" w:rsidRPr="001C3BF3" w:rsidRDefault="001C3BF3" w:rsidP="00FB583B">
      <w:pPr>
        <w:ind w:left="851" w:firstLine="567"/>
        <w:rPr>
          <w:rFonts w:ascii="Arial" w:hAnsi="Arial" w:cs="Arial"/>
          <w:i/>
          <w:sz w:val="20"/>
        </w:rPr>
      </w:pPr>
      <w:r w:rsidRPr="001C3BF3">
        <w:rPr>
          <w:rFonts w:ascii="Arial" w:hAnsi="Arial" w:cs="Arial"/>
          <w:i/>
          <w:sz w:val="20"/>
        </w:rPr>
        <w:t>(in thousand</w:t>
      </w:r>
      <w:r w:rsidR="00FB583B" w:rsidRPr="001C3BF3">
        <w:rPr>
          <w:rFonts w:ascii="Arial" w:hAnsi="Arial" w:cs="Arial"/>
          <w:i/>
          <w:sz w:val="20"/>
        </w:rPr>
        <w:t>s of Swiss francs)</w:t>
      </w:r>
    </w:p>
    <w:p w14:paraId="0CCD65BC" w14:textId="3EC48A7B" w:rsidR="00FB583B" w:rsidRDefault="00FB583B" w:rsidP="008D3EC2">
      <w:pPr>
        <w:autoSpaceDE w:val="0"/>
        <w:autoSpaceDN w:val="0"/>
        <w:adjustRightInd w:val="0"/>
        <w:rPr>
          <w:rFonts w:ascii="Arial" w:hAnsi="Arial" w:cs="Arial"/>
          <w:sz w:val="20"/>
        </w:rPr>
      </w:pPr>
    </w:p>
    <w:p w14:paraId="54077F5A" w14:textId="77777777" w:rsidR="00FB583B" w:rsidRDefault="00FB583B" w:rsidP="008D3EC2">
      <w:pPr>
        <w:autoSpaceDE w:val="0"/>
        <w:autoSpaceDN w:val="0"/>
        <w:adjustRightInd w:val="0"/>
        <w:rPr>
          <w:rFonts w:ascii="Arial" w:hAnsi="Arial" w:cs="Arial"/>
          <w:sz w:val="20"/>
        </w:rPr>
      </w:pPr>
    </w:p>
    <w:p w14:paraId="20986A1C" w14:textId="4E564971" w:rsidR="005A1F7F" w:rsidRDefault="005544D2" w:rsidP="008D3EC2">
      <w:pPr>
        <w:autoSpaceDE w:val="0"/>
        <w:autoSpaceDN w:val="0"/>
        <w:adjustRightInd w:val="0"/>
        <w:rPr>
          <w:rFonts w:ascii="Arial" w:hAnsi="Arial" w:cs="Arial"/>
          <w:sz w:val="20"/>
        </w:rPr>
      </w:pPr>
      <w:r w:rsidRPr="005544D2">
        <w:rPr>
          <w:rFonts w:ascii="Arial" w:hAnsi="Arial" w:cs="Arial"/>
          <w:sz w:val="20"/>
        </w:rPr>
        <w:t xml:space="preserve"> </w:t>
      </w:r>
      <w:r w:rsidR="00564E14" w:rsidRPr="00564E14">
        <w:rPr>
          <w:noProof/>
          <w:lang w:eastAsia="en-US"/>
        </w:rPr>
        <w:drawing>
          <wp:inline distT="0" distB="0" distL="0" distR="0" wp14:anchorId="231F880C" wp14:editId="67F6F40B">
            <wp:extent cx="5625248" cy="7141464"/>
            <wp:effectExtent l="0" t="0" r="0" b="254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625248" cy="7141464"/>
                    </a:xfrm>
                    <a:prstGeom prst="rect">
                      <a:avLst/>
                    </a:prstGeom>
                    <a:noFill/>
                    <a:ln>
                      <a:noFill/>
                    </a:ln>
                  </pic:spPr>
                </pic:pic>
              </a:graphicData>
            </a:graphic>
          </wp:inline>
        </w:drawing>
      </w:r>
    </w:p>
    <w:p w14:paraId="5B31040D" w14:textId="77777777" w:rsidR="005A1F7F" w:rsidRDefault="005A1F7F">
      <w:pPr>
        <w:rPr>
          <w:rFonts w:ascii="Arial" w:hAnsi="Arial" w:cs="Arial"/>
          <w:sz w:val="20"/>
        </w:rPr>
      </w:pPr>
      <w:r>
        <w:rPr>
          <w:rFonts w:ascii="Arial" w:hAnsi="Arial" w:cs="Arial"/>
          <w:sz w:val="20"/>
        </w:rPr>
        <w:br w:type="page"/>
      </w:r>
    </w:p>
    <w:p w14:paraId="3ACD44B5" w14:textId="0C8D859B" w:rsidR="00FB583B" w:rsidRPr="00733738" w:rsidRDefault="00733738" w:rsidP="008D3EC2">
      <w:pPr>
        <w:autoSpaceDE w:val="0"/>
        <w:autoSpaceDN w:val="0"/>
        <w:adjustRightInd w:val="0"/>
        <w:rPr>
          <w:rFonts w:ascii="Arial" w:hAnsi="Arial" w:cs="Arial"/>
          <w:b/>
          <w:sz w:val="20"/>
        </w:rPr>
      </w:pPr>
      <w:r w:rsidRPr="00733738">
        <w:rPr>
          <w:rFonts w:ascii="Arial" w:hAnsi="Arial" w:cs="Arial"/>
          <w:b/>
          <w:sz w:val="20"/>
        </w:rPr>
        <w:lastRenderedPageBreak/>
        <w:t>Annex XI cont.</w:t>
      </w:r>
    </w:p>
    <w:p w14:paraId="1A7EC663" w14:textId="77777777" w:rsidR="00733738" w:rsidRDefault="00733738" w:rsidP="008D3EC2">
      <w:pPr>
        <w:autoSpaceDE w:val="0"/>
        <w:autoSpaceDN w:val="0"/>
        <w:adjustRightInd w:val="0"/>
        <w:rPr>
          <w:rFonts w:ascii="Arial" w:hAnsi="Arial" w:cs="Arial"/>
          <w:sz w:val="20"/>
        </w:rPr>
      </w:pPr>
    </w:p>
    <w:p w14:paraId="02755399" w14:textId="28E13438" w:rsidR="005A1F7F" w:rsidRDefault="005A1F7F" w:rsidP="008D3EC2">
      <w:pPr>
        <w:autoSpaceDE w:val="0"/>
        <w:autoSpaceDN w:val="0"/>
        <w:adjustRightInd w:val="0"/>
        <w:rPr>
          <w:rFonts w:ascii="Arial" w:hAnsi="Arial" w:cs="Arial"/>
          <w:sz w:val="20"/>
        </w:rPr>
      </w:pPr>
      <w:r w:rsidRPr="005A1F7F">
        <w:rPr>
          <w:noProof/>
          <w:lang w:eastAsia="en-US"/>
        </w:rPr>
        <w:drawing>
          <wp:inline distT="0" distB="0" distL="0" distR="0" wp14:anchorId="6FDBAB29" wp14:editId="4A6D752C">
            <wp:extent cx="5971540" cy="5897292"/>
            <wp:effectExtent l="0" t="0" r="0" b="825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971540" cy="5897292"/>
                    </a:xfrm>
                    <a:prstGeom prst="rect">
                      <a:avLst/>
                    </a:prstGeom>
                    <a:noFill/>
                    <a:ln>
                      <a:noFill/>
                    </a:ln>
                  </pic:spPr>
                </pic:pic>
              </a:graphicData>
            </a:graphic>
          </wp:inline>
        </w:drawing>
      </w:r>
    </w:p>
    <w:p w14:paraId="37DA927B" w14:textId="77777777" w:rsidR="00407A40" w:rsidRDefault="00407A40" w:rsidP="008D3EC2">
      <w:pPr>
        <w:autoSpaceDE w:val="0"/>
        <w:autoSpaceDN w:val="0"/>
        <w:adjustRightInd w:val="0"/>
        <w:rPr>
          <w:rFonts w:ascii="Arial" w:hAnsi="Arial" w:cs="Arial"/>
          <w:sz w:val="20"/>
        </w:rPr>
      </w:pPr>
    </w:p>
    <w:p w14:paraId="6434F6F1" w14:textId="163ABB88" w:rsidR="005A1F7F" w:rsidRDefault="005A1F7F">
      <w:pPr>
        <w:rPr>
          <w:rFonts w:ascii="Arial" w:hAnsi="Arial" w:cs="Arial"/>
          <w:sz w:val="20"/>
        </w:rPr>
      </w:pPr>
      <w:r>
        <w:rPr>
          <w:rFonts w:ascii="Arial" w:hAnsi="Arial" w:cs="Arial"/>
          <w:sz w:val="20"/>
        </w:rPr>
        <w:br w:type="page"/>
      </w:r>
    </w:p>
    <w:p w14:paraId="66390CDF" w14:textId="5E60EEEE" w:rsidR="005A1F7F" w:rsidRPr="00733738" w:rsidRDefault="00733738" w:rsidP="008D3EC2">
      <w:pPr>
        <w:autoSpaceDE w:val="0"/>
        <w:autoSpaceDN w:val="0"/>
        <w:adjustRightInd w:val="0"/>
        <w:rPr>
          <w:rFonts w:ascii="Arial" w:hAnsi="Arial" w:cs="Arial"/>
          <w:b/>
          <w:sz w:val="20"/>
        </w:rPr>
      </w:pPr>
      <w:r w:rsidRPr="00733738">
        <w:rPr>
          <w:rFonts w:ascii="Arial" w:hAnsi="Arial" w:cs="Arial"/>
          <w:b/>
          <w:sz w:val="20"/>
        </w:rPr>
        <w:lastRenderedPageBreak/>
        <w:t>Annex XI cont.</w:t>
      </w:r>
    </w:p>
    <w:p w14:paraId="2C4B4348" w14:textId="77777777" w:rsidR="00733738" w:rsidRDefault="00733738" w:rsidP="008D3EC2">
      <w:pPr>
        <w:autoSpaceDE w:val="0"/>
        <w:autoSpaceDN w:val="0"/>
        <w:adjustRightInd w:val="0"/>
        <w:rPr>
          <w:rFonts w:ascii="Arial" w:hAnsi="Arial" w:cs="Arial"/>
          <w:sz w:val="20"/>
        </w:rPr>
      </w:pPr>
    </w:p>
    <w:p w14:paraId="35AFB741" w14:textId="6F070C4C" w:rsidR="005A1F7F" w:rsidRDefault="005A1F7F" w:rsidP="008D3EC2">
      <w:pPr>
        <w:autoSpaceDE w:val="0"/>
        <w:autoSpaceDN w:val="0"/>
        <w:adjustRightInd w:val="0"/>
        <w:rPr>
          <w:rFonts w:ascii="Arial" w:hAnsi="Arial" w:cs="Arial"/>
          <w:sz w:val="20"/>
        </w:rPr>
      </w:pPr>
      <w:r w:rsidRPr="005A1F7F">
        <w:rPr>
          <w:noProof/>
          <w:lang w:eastAsia="en-US"/>
        </w:rPr>
        <w:drawing>
          <wp:inline distT="0" distB="0" distL="0" distR="0" wp14:anchorId="24F72145" wp14:editId="3403AF91">
            <wp:extent cx="5971540" cy="3070806"/>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71540" cy="3070806"/>
                    </a:xfrm>
                    <a:prstGeom prst="rect">
                      <a:avLst/>
                    </a:prstGeom>
                    <a:noFill/>
                    <a:ln>
                      <a:noFill/>
                    </a:ln>
                  </pic:spPr>
                </pic:pic>
              </a:graphicData>
            </a:graphic>
          </wp:inline>
        </w:drawing>
      </w:r>
    </w:p>
    <w:p w14:paraId="5EF27336" w14:textId="77777777" w:rsidR="005A1F7F" w:rsidRDefault="005A1F7F" w:rsidP="008D3EC2">
      <w:pPr>
        <w:autoSpaceDE w:val="0"/>
        <w:autoSpaceDN w:val="0"/>
        <w:adjustRightInd w:val="0"/>
        <w:rPr>
          <w:rFonts w:ascii="Arial" w:hAnsi="Arial" w:cs="Arial"/>
          <w:sz w:val="20"/>
        </w:rPr>
      </w:pPr>
    </w:p>
    <w:p w14:paraId="47BB0F21" w14:textId="77777777" w:rsidR="00733738" w:rsidRDefault="00733738" w:rsidP="008D3EC2">
      <w:pPr>
        <w:autoSpaceDE w:val="0"/>
        <w:autoSpaceDN w:val="0"/>
        <w:adjustRightInd w:val="0"/>
        <w:rPr>
          <w:rFonts w:ascii="Arial" w:hAnsi="Arial" w:cs="Arial"/>
          <w:sz w:val="20"/>
        </w:rPr>
      </w:pPr>
    </w:p>
    <w:p w14:paraId="57324A48" w14:textId="77777777" w:rsidR="00407A40" w:rsidRDefault="00407A40" w:rsidP="008D3EC2">
      <w:pPr>
        <w:autoSpaceDE w:val="0"/>
        <w:autoSpaceDN w:val="0"/>
        <w:adjustRightInd w:val="0"/>
        <w:rPr>
          <w:rFonts w:ascii="Arial" w:hAnsi="Arial" w:cs="Arial"/>
          <w:sz w:val="20"/>
        </w:rPr>
        <w:sectPr w:rsidR="00407A40" w:rsidSect="00FB68E0">
          <w:pgSz w:w="11907" w:h="16839" w:code="9"/>
          <w:pgMar w:top="624" w:right="1418" w:bottom="1361" w:left="1418" w:header="567" w:footer="851" w:gutter="0"/>
          <w:cols w:space="720"/>
          <w:docGrid w:linePitch="360"/>
        </w:sectPr>
      </w:pPr>
    </w:p>
    <w:p w14:paraId="28F17D6C" w14:textId="77777777" w:rsidR="00FB583B" w:rsidRPr="00492372" w:rsidRDefault="00FB583B" w:rsidP="00F04E0B">
      <w:pPr>
        <w:pStyle w:val="StyleHeading3ComplexItalic"/>
        <w:keepNext w:val="0"/>
        <w:tabs>
          <w:tab w:val="clear" w:pos="1985"/>
          <w:tab w:val="left" w:pos="1418"/>
        </w:tabs>
        <w:ind w:left="1418" w:hanging="1418"/>
        <w:rPr>
          <w:caps w:val="0"/>
          <w:sz w:val="18"/>
        </w:rPr>
      </w:pPr>
      <w:bookmarkStart w:id="131" w:name="_Toc356567797"/>
      <w:bookmarkStart w:id="132" w:name="_Toc367350623"/>
      <w:bookmarkStart w:id="133" w:name="_Toc431221456"/>
      <w:r w:rsidRPr="003518EB">
        <w:rPr>
          <w:caps w:val="0"/>
        </w:rPr>
        <w:lastRenderedPageBreak/>
        <w:t>ANNEX XII</w:t>
      </w:r>
      <w:r w:rsidRPr="003518EB">
        <w:rPr>
          <w:caps w:val="0"/>
        </w:rPr>
        <w:tab/>
        <w:t>WIPO ORGANIGRAM</w:t>
      </w:r>
      <w:bookmarkEnd w:id="131"/>
      <w:bookmarkEnd w:id="132"/>
      <w:bookmarkEnd w:id="133"/>
      <w:r w:rsidRPr="003518EB">
        <w:rPr>
          <w:caps w:val="0"/>
        </w:rPr>
        <w:t xml:space="preserve">   </w:t>
      </w:r>
    </w:p>
    <w:p w14:paraId="1F8905F6" w14:textId="06FA2958" w:rsidR="00B05CA6" w:rsidRDefault="008D1E5D" w:rsidP="002668E0">
      <w:pPr>
        <w:autoSpaceDE w:val="0"/>
        <w:autoSpaceDN w:val="0"/>
        <w:adjustRightInd w:val="0"/>
        <w:ind w:left="142"/>
        <w:jc w:val="center"/>
        <w:rPr>
          <w:rFonts w:ascii="Arial" w:hAnsi="Arial" w:cs="Arial"/>
          <w:sz w:val="16"/>
        </w:rPr>
      </w:pPr>
      <w:r w:rsidRPr="008D1E5D">
        <w:rPr>
          <w:noProof/>
          <w:lang w:eastAsia="en-US"/>
        </w:rPr>
        <w:drawing>
          <wp:inline distT="0" distB="0" distL="0" distR="0" wp14:anchorId="09E03F69" wp14:editId="57CC8BD5">
            <wp:extent cx="8717248" cy="564832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726313" cy="5654199"/>
                    </a:xfrm>
                    <a:prstGeom prst="rect">
                      <a:avLst/>
                    </a:prstGeom>
                    <a:noFill/>
                    <a:ln>
                      <a:noFill/>
                    </a:ln>
                  </pic:spPr>
                </pic:pic>
              </a:graphicData>
            </a:graphic>
          </wp:inline>
        </w:drawing>
      </w:r>
    </w:p>
    <w:p w14:paraId="69200BEF" w14:textId="1C6334B6" w:rsidR="000D2666" w:rsidRPr="000D2666" w:rsidRDefault="000D2666" w:rsidP="00F04E0B">
      <w:pPr>
        <w:pStyle w:val="BodyText"/>
        <w:jc w:val="both"/>
        <w:rPr>
          <w:sz w:val="18"/>
        </w:rPr>
      </w:pPr>
    </w:p>
    <w:p w14:paraId="29F496EF" w14:textId="77777777" w:rsidR="00FB583B" w:rsidRDefault="00FB583B" w:rsidP="008D3EC2">
      <w:pPr>
        <w:autoSpaceDE w:val="0"/>
        <w:autoSpaceDN w:val="0"/>
        <w:adjustRightInd w:val="0"/>
        <w:rPr>
          <w:rFonts w:ascii="Arial" w:hAnsi="Arial" w:cs="Arial"/>
          <w:sz w:val="20"/>
        </w:rPr>
        <w:sectPr w:rsidR="00FB583B" w:rsidSect="00B30215">
          <w:headerReference w:type="first" r:id="rId326"/>
          <w:footerReference w:type="first" r:id="rId327"/>
          <w:pgSz w:w="16839" w:h="11907" w:orient="landscape" w:code="9"/>
          <w:pgMar w:top="907" w:right="737" w:bottom="709" w:left="1077" w:header="567" w:footer="851" w:gutter="0"/>
          <w:cols w:space="720"/>
          <w:titlePg/>
          <w:docGrid w:linePitch="360"/>
        </w:sectPr>
      </w:pPr>
    </w:p>
    <w:p w14:paraId="38653130" w14:textId="31E6E8ED" w:rsidR="00FB583B" w:rsidRPr="00B30215" w:rsidRDefault="00F66122" w:rsidP="00FB583B">
      <w:pPr>
        <w:pStyle w:val="Heading1"/>
        <w:keepNext w:val="0"/>
        <w:rPr>
          <w:szCs w:val="20"/>
        </w:rPr>
      </w:pPr>
      <w:bookmarkStart w:id="134" w:name="_Toc293334850"/>
      <w:bookmarkStart w:id="135" w:name="_Toc298920432"/>
      <w:bookmarkStart w:id="136" w:name="_Toc310950812"/>
      <w:bookmarkStart w:id="137" w:name="_Toc356567798"/>
      <w:bookmarkStart w:id="138" w:name="_Toc367350624"/>
      <w:bookmarkStart w:id="139" w:name="_Toc431221457"/>
      <w:r w:rsidRPr="00B30215">
        <w:rPr>
          <w:szCs w:val="20"/>
        </w:rPr>
        <w:lastRenderedPageBreak/>
        <w:t>I</w:t>
      </w:r>
      <w:r w:rsidR="00FB583B" w:rsidRPr="00B30215">
        <w:rPr>
          <w:szCs w:val="20"/>
        </w:rPr>
        <w:t>V.</w:t>
      </w:r>
      <w:r w:rsidR="00FB583B" w:rsidRPr="00B30215">
        <w:rPr>
          <w:szCs w:val="20"/>
        </w:rPr>
        <w:tab/>
        <w:t>APPENDICES</w:t>
      </w:r>
      <w:bookmarkEnd w:id="134"/>
      <w:bookmarkEnd w:id="135"/>
      <w:bookmarkEnd w:id="136"/>
      <w:bookmarkEnd w:id="137"/>
      <w:bookmarkEnd w:id="138"/>
      <w:bookmarkEnd w:id="139"/>
      <w:r w:rsidR="00FB583B" w:rsidRPr="00B30215">
        <w:rPr>
          <w:szCs w:val="20"/>
        </w:rPr>
        <w:t xml:space="preserve"> </w:t>
      </w:r>
    </w:p>
    <w:p w14:paraId="1D1CCA91" w14:textId="77777777" w:rsidR="00FB583B" w:rsidRDefault="00FB583B" w:rsidP="00FB583B">
      <w:pPr>
        <w:rPr>
          <w:rFonts w:ascii="Arial" w:hAnsi="Arial" w:cs="Arial"/>
          <w:sz w:val="24"/>
        </w:rPr>
      </w:pPr>
    </w:p>
    <w:p w14:paraId="18EC7A97" w14:textId="77777777" w:rsidR="00552612" w:rsidRPr="00CF4788" w:rsidRDefault="00552612" w:rsidP="00FB583B">
      <w:pPr>
        <w:rPr>
          <w:rFonts w:ascii="Arial" w:hAnsi="Arial" w:cs="Arial"/>
          <w:sz w:val="24"/>
        </w:rPr>
      </w:pPr>
    </w:p>
    <w:p w14:paraId="75251880" w14:textId="6227E7EE" w:rsidR="00FB583B" w:rsidRPr="00B35BD1" w:rsidRDefault="00FB583B" w:rsidP="00FB583B">
      <w:pPr>
        <w:pStyle w:val="StyleHeading3ComplexItalic"/>
        <w:keepNext w:val="0"/>
        <w:tabs>
          <w:tab w:val="clear" w:pos="1985"/>
          <w:tab w:val="left" w:pos="0"/>
        </w:tabs>
        <w:rPr>
          <w:b w:val="0"/>
        </w:rPr>
      </w:pPr>
      <w:bookmarkStart w:id="140" w:name="_Toc293334851"/>
      <w:bookmarkStart w:id="141" w:name="_Toc298920433"/>
      <w:bookmarkStart w:id="142" w:name="_Toc310950813"/>
      <w:bookmarkStart w:id="143" w:name="_Toc356567799"/>
      <w:bookmarkStart w:id="144" w:name="_Toc367350625"/>
      <w:bookmarkStart w:id="145" w:name="_Toc431221458"/>
      <w:r w:rsidRPr="00B35BD1">
        <w:rPr>
          <w:caps w:val="0"/>
        </w:rPr>
        <w:t xml:space="preserve">APPENDIX A    </w:t>
      </w:r>
      <w:r w:rsidRPr="00B35BD1">
        <w:rPr>
          <w:b w:val="0"/>
          <w:caps w:val="0"/>
        </w:rPr>
        <w:br/>
      </w:r>
      <w:r w:rsidRPr="00B35BD1">
        <w:rPr>
          <w:bCs/>
          <w:caps w:val="0"/>
        </w:rPr>
        <w:t>MEMBER STATES’ CONTRIBUTIONS</w:t>
      </w:r>
      <w:bookmarkEnd w:id="140"/>
      <w:bookmarkEnd w:id="141"/>
      <w:bookmarkEnd w:id="142"/>
      <w:bookmarkEnd w:id="143"/>
      <w:bookmarkEnd w:id="144"/>
      <w:bookmarkEnd w:id="145"/>
    </w:p>
    <w:p w14:paraId="2B29D03A" w14:textId="77777777" w:rsidR="00FB583B" w:rsidRPr="00CF238E" w:rsidRDefault="00FB583B" w:rsidP="00FB583B">
      <w:pPr>
        <w:rPr>
          <w:rFonts w:ascii="Arial" w:hAnsi="Arial" w:cs="Arial"/>
          <w:sz w:val="20"/>
        </w:rPr>
      </w:pPr>
      <w:r w:rsidRPr="00CF238E">
        <w:rPr>
          <w:rFonts w:ascii="Arial" w:hAnsi="Arial" w:cs="Arial"/>
          <w:sz w:val="20"/>
        </w:rPr>
        <w:t>(in Swiss francs)</w:t>
      </w:r>
    </w:p>
    <w:p w14:paraId="748E6350" w14:textId="1584FD42" w:rsidR="00FB583B" w:rsidRDefault="00FB583B" w:rsidP="008D3EC2">
      <w:pPr>
        <w:autoSpaceDE w:val="0"/>
        <w:autoSpaceDN w:val="0"/>
        <w:adjustRightInd w:val="0"/>
        <w:rPr>
          <w:rFonts w:ascii="Arial" w:hAnsi="Arial" w:cs="Arial"/>
          <w:sz w:val="20"/>
        </w:rPr>
      </w:pPr>
    </w:p>
    <w:p w14:paraId="7E25FFEF" w14:textId="77777777" w:rsidR="00FB583B" w:rsidRDefault="00FB583B" w:rsidP="008D3EC2">
      <w:pPr>
        <w:autoSpaceDE w:val="0"/>
        <w:autoSpaceDN w:val="0"/>
        <w:adjustRightInd w:val="0"/>
        <w:rPr>
          <w:rFonts w:ascii="Arial" w:hAnsi="Arial" w:cs="Arial"/>
          <w:sz w:val="20"/>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2523FB" w:rsidRPr="000C5ED6" w14:paraId="0A231C98" w14:textId="77777777" w:rsidTr="00C2153C">
        <w:trPr>
          <w:trHeight w:val="200"/>
          <w:tblHeader/>
        </w:trPr>
        <w:tc>
          <w:tcPr>
            <w:tcW w:w="2750" w:type="dxa"/>
            <w:shd w:val="pct15" w:color="auto" w:fill="FFFFFF"/>
          </w:tcPr>
          <w:p w14:paraId="7B25A7B9"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 xml:space="preserve">States Members of </w:t>
            </w:r>
            <w:r w:rsidRPr="000C5ED6">
              <w:rPr>
                <w:rFonts w:ascii="Arial" w:hAnsi="Arial" w:cs="Arial"/>
                <w:b/>
                <w:snapToGrid w:val="0"/>
                <w:sz w:val="18"/>
                <w:szCs w:val="18"/>
              </w:rPr>
              <w:br/>
              <w:t>One or More</w:t>
            </w:r>
          </w:p>
        </w:tc>
        <w:tc>
          <w:tcPr>
            <w:tcW w:w="1430" w:type="dxa"/>
            <w:vMerge w:val="restart"/>
            <w:shd w:val="pct15" w:color="auto" w:fill="FFFFFF"/>
            <w:vAlign w:val="center"/>
          </w:tcPr>
          <w:p w14:paraId="6EA056D8"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7"/>
                <w:szCs w:val="17"/>
              </w:rPr>
              <w:t>Contribution</w:t>
            </w:r>
            <w:r>
              <w:rPr>
                <w:rFonts w:ascii="Arial" w:hAnsi="Arial" w:cs="Arial"/>
                <w:b/>
                <w:snapToGrid w:val="0"/>
                <w:sz w:val="18"/>
                <w:szCs w:val="18"/>
              </w:rPr>
              <w:t xml:space="preserve"> </w:t>
            </w:r>
            <w:r w:rsidRPr="000C5ED6">
              <w:rPr>
                <w:rFonts w:ascii="Arial" w:hAnsi="Arial" w:cs="Arial"/>
                <w:b/>
                <w:snapToGrid w:val="0"/>
                <w:sz w:val="18"/>
                <w:szCs w:val="18"/>
              </w:rPr>
              <w:t>Class</w:t>
            </w:r>
          </w:p>
        </w:tc>
        <w:tc>
          <w:tcPr>
            <w:tcW w:w="1210" w:type="dxa"/>
            <w:vMerge w:val="restart"/>
            <w:shd w:val="pct15" w:color="auto" w:fill="FFFFFF"/>
            <w:vAlign w:val="center"/>
          </w:tcPr>
          <w:p w14:paraId="1830993A" w14:textId="77777777" w:rsidR="002523FB" w:rsidRPr="00647722" w:rsidRDefault="002523FB" w:rsidP="00C2153C">
            <w:pPr>
              <w:spacing w:before="60"/>
              <w:jc w:val="center"/>
              <w:rPr>
                <w:rFonts w:ascii="Arial" w:hAnsi="Arial" w:cs="Arial"/>
                <w:b/>
                <w:snapToGrid w:val="0"/>
                <w:sz w:val="12"/>
                <w:szCs w:val="12"/>
              </w:rPr>
            </w:pPr>
          </w:p>
          <w:p w14:paraId="1B730A2F"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 Units</w:t>
            </w:r>
          </w:p>
          <w:p w14:paraId="275A64D3" w14:textId="77777777" w:rsidR="002523FB" w:rsidRPr="000C5ED6"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2016/17</w:t>
            </w:r>
          </w:p>
        </w:tc>
        <w:tc>
          <w:tcPr>
            <w:tcW w:w="1320" w:type="dxa"/>
            <w:vMerge w:val="restart"/>
            <w:shd w:val="pct15" w:color="auto" w:fill="FFFFFF"/>
            <w:vAlign w:val="center"/>
          </w:tcPr>
          <w:p w14:paraId="51DAAB86" w14:textId="77777777" w:rsidR="002523FB" w:rsidRPr="002E4714"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w:t>
            </w:r>
            <w:r w:rsidRPr="00647722">
              <w:rPr>
                <w:rFonts w:ascii="Arial" w:hAnsi="Arial" w:cs="Arial"/>
                <w:b/>
                <w:snapToGrid w:val="0"/>
                <w:sz w:val="18"/>
                <w:szCs w:val="18"/>
                <w:vertAlign w:val="superscript"/>
              </w:rPr>
              <w:t>1</w:t>
            </w:r>
          </w:p>
          <w:p w14:paraId="4CF30859"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w:t>
            </w:r>
          </w:p>
        </w:tc>
        <w:tc>
          <w:tcPr>
            <w:tcW w:w="1430" w:type="dxa"/>
            <w:vMerge w:val="restart"/>
            <w:shd w:val="pct15" w:color="auto" w:fill="FFFFFF"/>
            <w:vAlign w:val="center"/>
          </w:tcPr>
          <w:p w14:paraId="229421EA" w14:textId="77777777" w:rsidR="002523FB" w:rsidRPr="002E4714"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w:t>
            </w:r>
            <w:r w:rsidRPr="00647722">
              <w:rPr>
                <w:rFonts w:ascii="Arial" w:hAnsi="Arial" w:cs="Arial"/>
                <w:b/>
                <w:snapToGrid w:val="0"/>
                <w:sz w:val="18"/>
                <w:szCs w:val="18"/>
                <w:vertAlign w:val="superscript"/>
              </w:rPr>
              <w:t>1</w:t>
            </w:r>
          </w:p>
          <w:p w14:paraId="27E5D0D8"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2017</w:t>
            </w:r>
          </w:p>
        </w:tc>
        <w:tc>
          <w:tcPr>
            <w:tcW w:w="1320" w:type="dxa"/>
            <w:vMerge w:val="restart"/>
            <w:shd w:val="pct15" w:color="auto" w:fill="FFFFFF"/>
            <w:vAlign w:val="center"/>
          </w:tcPr>
          <w:p w14:paraId="3689C935"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Contributions</w:t>
            </w:r>
          </w:p>
          <w:p w14:paraId="5EF8CED1" w14:textId="77777777" w:rsidR="002523FB" w:rsidRPr="000C5ED6"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2016/17</w:t>
            </w:r>
          </w:p>
        </w:tc>
      </w:tr>
      <w:tr w:rsidR="002523FB" w:rsidRPr="000C5ED6" w14:paraId="1287A5DD" w14:textId="77777777" w:rsidTr="00C2153C">
        <w:trPr>
          <w:trHeight w:val="200"/>
          <w:tblHeader/>
        </w:trPr>
        <w:tc>
          <w:tcPr>
            <w:tcW w:w="2750" w:type="dxa"/>
            <w:shd w:val="pct15" w:color="auto" w:fill="FFFFFF"/>
          </w:tcPr>
          <w:p w14:paraId="000C9F95" w14:textId="77777777" w:rsidR="002523FB" w:rsidRPr="00226324" w:rsidRDefault="002523FB" w:rsidP="00C2153C">
            <w:pPr>
              <w:pStyle w:val="Heading6"/>
              <w:tabs>
                <w:tab w:val="num" w:pos="0"/>
              </w:tabs>
              <w:ind w:left="-46" w:firstLine="46"/>
              <w:jc w:val="center"/>
              <w:rPr>
                <w:sz w:val="17"/>
                <w:szCs w:val="17"/>
              </w:rPr>
            </w:pPr>
            <w:r w:rsidRPr="00226324">
              <w:rPr>
                <w:sz w:val="17"/>
                <w:szCs w:val="17"/>
              </w:rPr>
              <w:t>Contribution-Financed Unions</w:t>
            </w:r>
          </w:p>
        </w:tc>
        <w:tc>
          <w:tcPr>
            <w:tcW w:w="1430" w:type="dxa"/>
            <w:vMerge/>
            <w:shd w:val="pct15" w:color="auto" w:fill="FFFFFF"/>
          </w:tcPr>
          <w:p w14:paraId="7F52B89E" w14:textId="77777777" w:rsidR="002523FB" w:rsidRPr="000C5ED6" w:rsidRDefault="002523FB" w:rsidP="00C2153C">
            <w:pPr>
              <w:spacing w:before="60"/>
              <w:jc w:val="center"/>
              <w:rPr>
                <w:rFonts w:ascii="Arial" w:hAnsi="Arial" w:cs="Arial"/>
                <w:b/>
                <w:snapToGrid w:val="0"/>
                <w:sz w:val="18"/>
                <w:szCs w:val="18"/>
              </w:rPr>
            </w:pPr>
          </w:p>
        </w:tc>
        <w:tc>
          <w:tcPr>
            <w:tcW w:w="1210" w:type="dxa"/>
            <w:vMerge/>
            <w:shd w:val="pct15" w:color="auto" w:fill="FFFFFF"/>
            <w:vAlign w:val="center"/>
          </w:tcPr>
          <w:p w14:paraId="23818D06" w14:textId="77777777" w:rsidR="002523FB" w:rsidRPr="000C5ED6" w:rsidRDefault="002523FB" w:rsidP="00C2153C">
            <w:pPr>
              <w:spacing w:before="60"/>
              <w:jc w:val="center"/>
              <w:rPr>
                <w:rFonts w:ascii="Arial" w:hAnsi="Arial" w:cs="Arial"/>
                <w:b/>
                <w:snapToGrid w:val="0"/>
                <w:sz w:val="18"/>
                <w:szCs w:val="18"/>
              </w:rPr>
            </w:pPr>
          </w:p>
        </w:tc>
        <w:tc>
          <w:tcPr>
            <w:tcW w:w="1320" w:type="dxa"/>
            <w:vMerge/>
            <w:shd w:val="pct15" w:color="auto" w:fill="FFFFFF"/>
            <w:vAlign w:val="center"/>
          </w:tcPr>
          <w:p w14:paraId="3C0BD774" w14:textId="77777777" w:rsidR="002523FB" w:rsidRPr="000C5ED6" w:rsidRDefault="002523FB" w:rsidP="00C2153C">
            <w:pPr>
              <w:spacing w:before="60"/>
              <w:jc w:val="center"/>
              <w:rPr>
                <w:rFonts w:ascii="Arial" w:hAnsi="Arial" w:cs="Arial"/>
                <w:b/>
                <w:snapToGrid w:val="0"/>
                <w:sz w:val="18"/>
                <w:szCs w:val="18"/>
              </w:rPr>
            </w:pPr>
          </w:p>
        </w:tc>
        <w:tc>
          <w:tcPr>
            <w:tcW w:w="1430" w:type="dxa"/>
            <w:vMerge/>
            <w:shd w:val="pct15" w:color="auto" w:fill="FFFFFF"/>
            <w:vAlign w:val="center"/>
          </w:tcPr>
          <w:p w14:paraId="2D55406D" w14:textId="77777777" w:rsidR="002523FB" w:rsidRPr="000C5ED6" w:rsidRDefault="002523FB" w:rsidP="00C2153C">
            <w:pPr>
              <w:spacing w:before="60"/>
              <w:jc w:val="center"/>
              <w:rPr>
                <w:rFonts w:ascii="Arial" w:hAnsi="Arial" w:cs="Arial"/>
                <w:b/>
                <w:snapToGrid w:val="0"/>
                <w:sz w:val="18"/>
                <w:szCs w:val="18"/>
              </w:rPr>
            </w:pPr>
          </w:p>
        </w:tc>
        <w:tc>
          <w:tcPr>
            <w:tcW w:w="1320" w:type="dxa"/>
            <w:vMerge/>
            <w:shd w:val="pct15" w:color="auto" w:fill="FFFFFF"/>
            <w:vAlign w:val="center"/>
          </w:tcPr>
          <w:p w14:paraId="3A9573C8" w14:textId="77777777" w:rsidR="002523FB" w:rsidRPr="000C5ED6" w:rsidRDefault="002523FB" w:rsidP="00C2153C">
            <w:pPr>
              <w:spacing w:before="60"/>
              <w:jc w:val="center"/>
              <w:rPr>
                <w:rFonts w:ascii="Arial" w:hAnsi="Arial" w:cs="Arial"/>
                <w:b/>
                <w:snapToGrid w:val="0"/>
                <w:sz w:val="18"/>
                <w:szCs w:val="18"/>
              </w:rPr>
            </w:pPr>
          </w:p>
        </w:tc>
      </w:tr>
      <w:tr w:rsidR="002523FB" w:rsidRPr="000C5ED6" w14:paraId="2F0B4A02" w14:textId="77777777" w:rsidTr="00BC15CA">
        <w:trPr>
          <w:trHeight w:val="100"/>
          <w:tblHeader/>
        </w:trPr>
        <w:tc>
          <w:tcPr>
            <w:tcW w:w="2750" w:type="dxa"/>
          </w:tcPr>
          <w:p w14:paraId="78F2B977" w14:textId="77777777" w:rsidR="002523FB" w:rsidRPr="000C5ED6" w:rsidRDefault="002523FB" w:rsidP="00C2153C">
            <w:pPr>
              <w:jc w:val="right"/>
              <w:rPr>
                <w:rFonts w:ascii="Arial" w:hAnsi="Arial" w:cs="Arial"/>
                <w:snapToGrid w:val="0"/>
                <w:color w:val="000000"/>
                <w:sz w:val="18"/>
                <w:szCs w:val="18"/>
              </w:rPr>
            </w:pPr>
          </w:p>
        </w:tc>
        <w:tc>
          <w:tcPr>
            <w:tcW w:w="1430" w:type="dxa"/>
          </w:tcPr>
          <w:p w14:paraId="12C2148D" w14:textId="77777777" w:rsidR="002523FB" w:rsidRPr="000C5ED6" w:rsidRDefault="002523FB" w:rsidP="00C2153C">
            <w:pPr>
              <w:jc w:val="center"/>
              <w:rPr>
                <w:rFonts w:ascii="Arial" w:hAnsi="Arial" w:cs="Arial"/>
                <w:snapToGrid w:val="0"/>
                <w:color w:val="000000"/>
                <w:sz w:val="18"/>
                <w:szCs w:val="18"/>
              </w:rPr>
            </w:pPr>
          </w:p>
        </w:tc>
        <w:tc>
          <w:tcPr>
            <w:tcW w:w="1210" w:type="dxa"/>
          </w:tcPr>
          <w:p w14:paraId="3A9B248A" w14:textId="77777777" w:rsidR="002523FB" w:rsidRPr="000C5ED6" w:rsidRDefault="002523FB" w:rsidP="00C2153C">
            <w:pPr>
              <w:jc w:val="right"/>
              <w:rPr>
                <w:rFonts w:ascii="Arial" w:hAnsi="Arial" w:cs="Arial"/>
                <w:snapToGrid w:val="0"/>
                <w:color w:val="000000"/>
                <w:sz w:val="18"/>
                <w:szCs w:val="18"/>
              </w:rPr>
            </w:pPr>
          </w:p>
        </w:tc>
        <w:tc>
          <w:tcPr>
            <w:tcW w:w="1320" w:type="dxa"/>
          </w:tcPr>
          <w:p w14:paraId="6CD58843" w14:textId="77777777" w:rsidR="002523FB" w:rsidRPr="000C5ED6" w:rsidRDefault="002523FB" w:rsidP="00C2153C">
            <w:pPr>
              <w:jc w:val="right"/>
              <w:rPr>
                <w:rFonts w:ascii="Arial" w:hAnsi="Arial" w:cs="Arial"/>
                <w:snapToGrid w:val="0"/>
                <w:color w:val="000000"/>
                <w:sz w:val="18"/>
                <w:szCs w:val="18"/>
              </w:rPr>
            </w:pPr>
          </w:p>
        </w:tc>
        <w:tc>
          <w:tcPr>
            <w:tcW w:w="1430" w:type="dxa"/>
          </w:tcPr>
          <w:p w14:paraId="56D97324" w14:textId="77777777" w:rsidR="002523FB" w:rsidRPr="000C5ED6" w:rsidRDefault="002523FB" w:rsidP="00C2153C">
            <w:pPr>
              <w:jc w:val="right"/>
              <w:rPr>
                <w:rFonts w:ascii="Arial" w:hAnsi="Arial" w:cs="Arial"/>
                <w:snapToGrid w:val="0"/>
                <w:color w:val="000000"/>
                <w:sz w:val="18"/>
                <w:szCs w:val="18"/>
              </w:rPr>
            </w:pPr>
          </w:p>
        </w:tc>
        <w:tc>
          <w:tcPr>
            <w:tcW w:w="1320" w:type="dxa"/>
          </w:tcPr>
          <w:p w14:paraId="6F230F35" w14:textId="77777777" w:rsidR="002523FB" w:rsidRPr="000C5ED6" w:rsidRDefault="002523FB" w:rsidP="00C2153C">
            <w:pPr>
              <w:jc w:val="right"/>
              <w:rPr>
                <w:rFonts w:ascii="Arial" w:hAnsi="Arial" w:cs="Arial"/>
                <w:snapToGrid w:val="0"/>
                <w:color w:val="000000"/>
                <w:sz w:val="18"/>
                <w:szCs w:val="18"/>
              </w:rPr>
            </w:pPr>
          </w:p>
        </w:tc>
      </w:tr>
      <w:tr w:rsidR="002523FB" w:rsidRPr="000C5ED6" w14:paraId="30C21426" w14:textId="77777777" w:rsidTr="00BC15CA">
        <w:tc>
          <w:tcPr>
            <w:tcW w:w="2750" w:type="dxa"/>
            <w:shd w:val="clear" w:color="auto" w:fill="auto"/>
          </w:tcPr>
          <w:p w14:paraId="5F22FBD4"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A</w:t>
            </w:r>
            <w:r w:rsidRPr="000C5ED6">
              <w:rPr>
                <w:rFonts w:ascii="Arial" w:hAnsi="Arial" w:cs="Arial"/>
                <w:snapToGrid w:val="0"/>
                <w:color w:val="000000"/>
                <w:sz w:val="18"/>
                <w:szCs w:val="18"/>
              </w:rPr>
              <w:t>fghanistan</w:t>
            </w:r>
            <w:r w:rsidRPr="000C5ED6">
              <w:rPr>
                <w:rFonts w:ascii="Arial" w:hAnsi="Arial" w:cs="Arial"/>
                <w:snapToGrid w:val="0"/>
                <w:color w:val="000000"/>
                <w:sz w:val="18"/>
                <w:szCs w:val="18"/>
                <w:vertAlign w:val="superscript"/>
              </w:rPr>
              <w:t>2</w:t>
            </w:r>
          </w:p>
        </w:tc>
        <w:tc>
          <w:tcPr>
            <w:tcW w:w="1430" w:type="dxa"/>
            <w:shd w:val="clear" w:color="auto" w:fill="auto"/>
          </w:tcPr>
          <w:p w14:paraId="5C23CA55"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i/>
                <w:snapToGrid w:val="0"/>
                <w:color w:val="000000"/>
                <w:sz w:val="18"/>
                <w:szCs w:val="18"/>
              </w:rPr>
              <w:t>Ster</w:t>
            </w:r>
            <w:proofErr w:type="spellEnd"/>
          </w:p>
        </w:tc>
        <w:tc>
          <w:tcPr>
            <w:tcW w:w="1210" w:type="dxa"/>
            <w:shd w:val="clear" w:color="auto" w:fill="auto"/>
          </w:tcPr>
          <w:p w14:paraId="641602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B636B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70319F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3ABAF1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674A968D" w14:textId="77777777" w:rsidTr="00BC15CA">
        <w:tc>
          <w:tcPr>
            <w:tcW w:w="2750" w:type="dxa"/>
            <w:shd w:val="clear" w:color="auto" w:fill="auto"/>
          </w:tcPr>
          <w:p w14:paraId="208BCB6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Albania</w:t>
            </w:r>
          </w:p>
        </w:tc>
        <w:tc>
          <w:tcPr>
            <w:tcW w:w="1430" w:type="dxa"/>
            <w:shd w:val="clear" w:color="auto" w:fill="auto"/>
          </w:tcPr>
          <w:p w14:paraId="2E05E5F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354D2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82256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385443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13A977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09560B9E" w14:textId="77777777" w:rsidTr="00BC15CA">
        <w:tc>
          <w:tcPr>
            <w:tcW w:w="2750" w:type="dxa"/>
            <w:shd w:val="clear" w:color="auto" w:fill="auto"/>
          </w:tcPr>
          <w:p w14:paraId="337EA05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Algeria</w:t>
            </w:r>
          </w:p>
        </w:tc>
        <w:tc>
          <w:tcPr>
            <w:tcW w:w="1430" w:type="dxa"/>
            <w:shd w:val="clear" w:color="auto" w:fill="auto"/>
          </w:tcPr>
          <w:p w14:paraId="1BD968B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E93292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E9E43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48836A1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48ABB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1E6D48CA" w14:textId="77777777" w:rsidTr="00BC15CA">
        <w:tc>
          <w:tcPr>
            <w:tcW w:w="2750" w:type="dxa"/>
            <w:shd w:val="clear" w:color="auto" w:fill="auto"/>
          </w:tcPr>
          <w:p w14:paraId="45086951"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Andorra</w:t>
            </w:r>
          </w:p>
        </w:tc>
        <w:tc>
          <w:tcPr>
            <w:tcW w:w="1430" w:type="dxa"/>
            <w:shd w:val="clear" w:color="auto" w:fill="auto"/>
          </w:tcPr>
          <w:p w14:paraId="6EBD15C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66F851F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F6D94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09EA94F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07608F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D1AF8CA" w14:textId="77777777" w:rsidTr="00BC15CA">
        <w:tc>
          <w:tcPr>
            <w:tcW w:w="2750" w:type="dxa"/>
            <w:shd w:val="clear" w:color="auto" w:fill="auto"/>
          </w:tcPr>
          <w:p w14:paraId="618E1E76"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Angola </w:t>
            </w:r>
          </w:p>
        </w:tc>
        <w:tc>
          <w:tcPr>
            <w:tcW w:w="1430" w:type="dxa"/>
            <w:shd w:val="clear" w:color="auto" w:fill="auto"/>
          </w:tcPr>
          <w:p w14:paraId="24336DB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40589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4369B9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9FABA8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2D193A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7DAA307F" w14:textId="77777777" w:rsidTr="00BC15CA">
        <w:tc>
          <w:tcPr>
            <w:tcW w:w="2750" w:type="dxa"/>
            <w:shd w:val="clear" w:color="auto" w:fill="auto"/>
          </w:tcPr>
          <w:p w14:paraId="7EC725E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Antigua and Barbuda</w:t>
            </w:r>
          </w:p>
        </w:tc>
        <w:tc>
          <w:tcPr>
            <w:tcW w:w="1430" w:type="dxa"/>
            <w:shd w:val="clear" w:color="auto" w:fill="auto"/>
          </w:tcPr>
          <w:p w14:paraId="39065541"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30170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295758B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6F466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391BE1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535D463" w14:textId="77777777" w:rsidTr="00BC15CA">
        <w:tc>
          <w:tcPr>
            <w:tcW w:w="2750" w:type="dxa"/>
            <w:shd w:val="clear" w:color="auto" w:fill="auto"/>
          </w:tcPr>
          <w:p w14:paraId="051385C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Argentina</w:t>
            </w:r>
          </w:p>
        </w:tc>
        <w:tc>
          <w:tcPr>
            <w:tcW w:w="1430" w:type="dxa"/>
            <w:shd w:val="clear" w:color="auto" w:fill="auto"/>
          </w:tcPr>
          <w:p w14:paraId="58FEFC2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491B4E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37A3A1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1B7B25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5E6509C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50B57F2B" w14:textId="77777777" w:rsidTr="00BC15CA">
        <w:tc>
          <w:tcPr>
            <w:tcW w:w="2750" w:type="dxa"/>
            <w:shd w:val="clear" w:color="auto" w:fill="auto"/>
          </w:tcPr>
          <w:p w14:paraId="5D21CEC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Armenia</w:t>
            </w:r>
          </w:p>
        </w:tc>
        <w:tc>
          <w:tcPr>
            <w:tcW w:w="1430" w:type="dxa"/>
            <w:shd w:val="clear" w:color="auto" w:fill="auto"/>
          </w:tcPr>
          <w:p w14:paraId="750688F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6C0B8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A6977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3B21B8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17B332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1AE9AC4C" w14:textId="77777777" w:rsidTr="00BC15CA">
        <w:tc>
          <w:tcPr>
            <w:tcW w:w="2750" w:type="dxa"/>
            <w:shd w:val="clear" w:color="auto" w:fill="auto"/>
          </w:tcPr>
          <w:p w14:paraId="5DDC82F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Australia</w:t>
            </w:r>
          </w:p>
        </w:tc>
        <w:tc>
          <w:tcPr>
            <w:tcW w:w="1430" w:type="dxa"/>
            <w:shd w:val="clear" w:color="auto" w:fill="auto"/>
          </w:tcPr>
          <w:p w14:paraId="6F9A131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04DBBB9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7CB76B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clear" w:color="auto" w:fill="auto"/>
          </w:tcPr>
          <w:p w14:paraId="23A55A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clear" w:color="auto" w:fill="auto"/>
          </w:tcPr>
          <w:p w14:paraId="197AE6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2523FB" w:rsidRPr="000C5ED6" w14:paraId="2B3B964B" w14:textId="77777777" w:rsidTr="00BC15CA">
        <w:tc>
          <w:tcPr>
            <w:tcW w:w="2750" w:type="dxa"/>
            <w:shd w:val="clear" w:color="auto" w:fill="auto"/>
          </w:tcPr>
          <w:p w14:paraId="1183936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Austria</w:t>
            </w:r>
          </w:p>
        </w:tc>
        <w:tc>
          <w:tcPr>
            <w:tcW w:w="1430" w:type="dxa"/>
            <w:shd w:val="clear" w:color="auto" w:fill="auto"/>
          </w:tcPr>
          <w:p w14:paraId="7FBA0425"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1E3DEE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48FB8BE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shd w:val="clear" w:color="auto" w:fill="auto"/>
          </w:tcPr>
          <w:p w14:paraId="75337B0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shd w:val="clear" w:color="auto" w:fill="auto"/>
          </w:tcPr>
          <w:p w14:paraId="5302BD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2523FB" w:rsidRPr="000C5ED6" w14:paraId="7C1BBB42" w14:textId="77777777" w:rsidTr="00BC15CA">
        <w:tc>
          <w:tcPr>
            <w:tcW w:w="2750" w:type="dxa"/>
            <w:shd w:val="clear" w:color="auto" w:fill="auto"/>
          </w:tcPr>
          <w:p w14:paraId="2801732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Azerbaijan</w:t>
            </w:r>
          </w:p>
        </w:tc>
        <w:tc>
          <w:tcPr>
            <w:tcW w:w="1430" w:type="dxa"/>
            <w:shd w:val="clear" w:color="auto" w:fill="auto"/>
          </w:tcPr>
          <w:p w14:paraId="5AAB193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0F478A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DC6692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6FBDC5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5E519DB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EBE3D28" w14:textId="77777777" w:rsidTr="00BC15CA">
        <w:tc>
          <w:tcPr>
            <w:tcW w:w="2750" w:type="dxa"/>
            <w:shd w:val="clear" w:color="auto" w:fill="auto"/>
          </w:tcPr>
          <w:p w14:paraId="4EEBCE02" w14:textId="77777777" w:rsidR="002523FB" w:rsidRPr="000C5ED6" w:rsidRDefault="002523FB" w:rsidP="00C2153C">
            <w:pPr>
              <w:rPr>
                <w:rFonts w:ascii="Arial" w:hAnsi="Arial" w:cs="Arial"/>
                <w:b/>
                <w:snapToGrid w:val="0"/>
                <w:color w:val="000000"/>
                <w:sz w:val="18"/>
                <w:szCs w:val="18"/>
              </w:rPr>
            </w:pPr>
            <w:r w:rsidRPr="000C5ED6">
              <w:rPr>
                <w:rFonts w:ascii="Arial" w:hAnsi="Arial" w:cs="Arial"/>
                <w:b/>
                <w:snapToGrid w:val="0"/>
                <w:color w:val="000000"/>
                <w:sz w:val="18"/>
                <w:szCs w:val="18"/>
              </w:rPr>
              <w:t>B</w:t>
            </w:r>
            <w:r w:rsidRPr="000C5ED6">
              <w:rPr>
                <w:rFonts w:ascii="Arial" w:hAnsi="Arial" w:cs="Arial"/>
                <w:snapToGrid w:val="0"/>
                <w:color w:val="000000"/>
                <w:sz w:val="18"/>
                <w:szCs w:val="18"/>
              </w:rPr>
              <w:t>ahamas</w:t>
            </w:r>
            <w:r w:rsidRPr="000C5ED6">
              <w:rPr>
                <w:rFonts w:ascii="Arial" w:hAnsi="Arial" w:cs="Arial"/>
                <w:b/>
                <w:snapToGrid w:val="0"/>
                <w:color w:val="000000"/>
                <w:sz w:val="18"/>
                <w:szCs w:val="18"/>
              </w:rPr>
              <w:t xml:space="preserve"> </w:t>
            </w:r>
          </w:p>
        </w:tc>
        <w:tc>
          <w:tcPr>
            <w:tcW w:w="1430" w:type="dxa"/>
            <w:shd w:val="clear" w:color="auto" w:fill="auto"/>
          </w:tcPr>
          <w:p w14:paraId="474B064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43DC7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11CAD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74392C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5078360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1B5603D2" w14:textId="77777777" w:rsidTr="00BC15CA">
        <w:tc>
          <w:tcPr>
            <w:tcW w:w="2750" w:type="dxa"/>
            <w:shd w:val="clear" w:color="auto" w:fill="auto"/>
          </w:tcPr>
          <w:p w14:paraId="533CF65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Bahrain</w:t>
            </w:r>
          </w:p>
        </w:tc>
        <w:tc>
          <w:tcPr>
            <w:tcW w:w="1430" w:type="dxa"/>
            <w:shd w:val="clear" w:color="auto" w:fill="auto"/>
          </w:tcPr>
          <w:p w14:paraId="64C3DE31"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92FF5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4FEB6C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5B3FB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34B192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284967A5" w14:textId="77777777" w:rsidTr="00BC15CA">
        <w:tc>
          <w:tcPr>
            <w:tcW w:w="2750" w:type="dxa"/>
            <w:shd w:val="clear" w:color="auto" w:fill="auto"/>
          </w:tcPr>
          <w:p w14:paraId="4DDD4F8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Bangladesh</w:t>
            </w:r>
          </w:p>
        </w:tc>
        <w:tc>
          <w:tcPr>
            <w:tcW w:w="1430" w:type="dxa"/>
            <w:shd w:val="clear" w:color="auto" w:fill="auto"/>
          </w:tcPr>
          <w:p w14:paraId="3E3FD4E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1D6FE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FE1EBE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923B17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295B228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6AA068B" w14:textId="77777777" w:rsidTr="00BC15CA">
        <w:tc>
          <w:tcPr>
            <w:tcW w:w="2750" w:type="dxa"/>
            <w:shd w:val="clear" w:color="auto" w:fill="auto"/>
          </w:tcPr>
          <w:p w14:paraId="2319F86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Barbados</w:t>
            </w:r>
          </w:p>
        </w:tc>
        <w:tc>
          <w:tcPr>
            <w:tcW w:w="1430" w:type="dxa"/>
            <w:shd w:val="clear" w:color="auto" w:fill="auto"/>
          </w:tcPr>
          <w:p w14:paraId="365BBB5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782E17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B3CD4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07A845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5D865C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46F4D473" w14:textId="77777777" w:rsidTr="00BC15CA">
        <w:tc>
          <w:tcPr>
            <w:tcW w:w="2750" w:type="dxa"/>
            <w:shd w:val="clear" w:color="auto" w:fill="auto"/>
          </w:tcPr>
          <w:p w14:paraId="43C9B18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Belarus</w:t>
            </w:r>
          </w:p>
        </w:tc>
        <w:tc>
          <w:tcPr>
            <w:tcW w:w="1430" w:type="dxa"/>
            <w:shd w:val="clear" w:color="auto" w:fill="auto"/>
          </w:tcPr>
          <w:p w14:paraId="2BAD4AC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219DA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4ECD5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2CC76B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7968DD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597C640A" w14:textId="77777777" w:rsidTr="00BC15CA">
        <w:tc>
          <w:tcPr>
            <w:tcW w:w="2750" w:type="dxa"/>
            <w:shd w:val="clear" w:color="auto" w:fill="auto"/>
          </w:tcPr>
          <w:p w14:paraId="3987175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Belgium</w:t>
            </w:r>
          </w:p>
        </w:tc>
        <w:tc>
          <w:tcPr>
            <w:tcW w:w="1430" w:type="dxa"/>
            <w:shd w:val="clear" w:color="auto" w:fill="auto"/>
          </w:tcPr>
          <w:p w14:paraId="0E9857F4"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IV</w:t>
            </w:r>
          </w:p>
        </w:tc>
        <w:tc>
          <w:tcPr>
            <w:tcW w:w="1210" w:type="dxa"/>
            <w:shd w:val="clear" w:color="auto" w:fill="auto"/>
          </w:tcPr>
          <w:p w14:paraId="0572E73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10</w:t>
            </w:r>
          </w:p>
        </w:tc>
        <w:tc>
          <w:tcPr>
            <w:tcW w:w="1320" w:type="dxa"/>
            <w:shd w:val="clear" w:color="auto" w:fill="auto"/>
          </w:tcPr>
          <w:p w14:paraId="241CC59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430" w:type="dxa"/>
            <w:shd w:val="clear" w:color="auto" w:fill="auto"/>
          </w:tcPr>
          <w:p w14:paraId="7ED58D9E"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320" w:type="dxa"/>
            <w:shd w:val="clear" w:color="auto" w:fill="auto"/>
          </w:tcPr>
          <w:p w14:paraId="61A6DD15"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911,580</w:t>
            </w:r>
          </w:p>
        </w:tc>
      </w:tr>
      <w:tr w:rsidR="002523FB" w:rsidRPr="000C5ED6" w14:paraId="6607BAF3" w14:textId="77777777" w:rsidTr="00BC15CA">
        <w:tc>
          <w:tcPr>
            <w:tcW w:w="2750" w:type="dxa"/>
            <w:shd w:val="clear" w:color="auto" w:fill="auto"/>
          </w:tcPr>
          <w:p w14:paraId="1416C5A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Belize</w:t>
            </w:r>
          </w:p>
        </w:tc>
        <w:tc>
          <w:tcPr>
            <w:tcW w:w="1430" w:type="dxa"/>
            <w:shd w:val="clear" w:color="auto" w:fill="auto"/>
          </w:tcPr>
          <w:p w14:paraId="48AA42D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6D3B09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22958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473359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1803D4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8E3815D" w14:textId="77777777" w:rsidTr="00BC15CA">
        <w:tc>
          <w:tcPr>
            <w:tcW w:w="2750" w:type="dxa"/>
            <w:shd w:val="clear" w:color="auto" w:fill="auto"/>
          </w:tcPr>
          <w:p w14:paraId="519BED7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Benin</w:t>
            </w:r>
          </w:p>
        </w:tc>
        <w:tc>
          <w:tcPr>
            <w:tcW w:w="1430" w:type="dxa"/>
            <w:shd w:val="clear" w:color="auto" w:fill="auto"/>
          </w:tcPr>
          <w:p w14:paraId="65F2E63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276DE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53B99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2A7AAA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EE4C1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19E26291" w14:textId="77777777" w:rsidTr="00BC15CA">
        <w:tc>
          <w:tcPr>
            <w:tcW w:w="2750" w:type="dxa"/>
            <w:shd w:val="clear" w:color="auto" w:fill="auto"/>
          </w:tcPr>
          <w:p w14:paraId="7AE6BFD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Bhutan </w:t>
            </w:r>
          </w:p>
        </w:tc>
        <w:tc>
          <w:tcPr>
            <w:tcW w:w="1430" w:type="dxa"/>
            <w:shd w:val="clear" w:color="auto" w:fill="auto"/>
          </w:tcPr>
          <w:p w14:paraId="015BCE3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A02E5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C33F0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0FAEB0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BA3E7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3988F2D" w14:textId="77777777" w:rsidTr="00BC15CA">
        <w:tc>
          <w:tcPr>
            <w:tcW w:w="2750" w:type="dxa"/>
            <w:shd w:val="clear" w:color="auto" w:fill="auto"/>
          </w:tcPr>
          <w:p w14:paraId="1CEC0D8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Bolivia </w:t>
            </w:r>
            <w:r w:rsidRPr="000C5ED6">
              <w:rPr>
                <w:rFonts w:ascii="Arial" w:hAnsi="Arial" w:cs="Arial"/>
                <w:sz w:val="18"/>
                <w:szCs w:val="18"/>
              </w:rPr>
              <w:t>(</w:t>
            </w:r>
            <w:proofErr w:type="spellStart"/>
            <w:r w:rsidRPr="000C5ED6">
              <w:rPr>
                <w:rFonts w:ascii="Arial" w:hAnsi="Arial" w:cs="Arial"/>
                <w:sz w:val="18"/>
                <w:szCs w:val="18"/>
              </w:rPr>
              <w:t>Plurinational</w:t>
            </w:r>
            <w:proofErr w:type="spellEnd"/>
            <w:r w:rsidRPr="000C5ED6">
              <w:rPr>
                <w:rFonts w:ascii="Arial" w:hAnsi="Arial" w:cs="Arial"/>
                <w:sz w:val="18"/>
                <w:szCs w:val="18"/>
              </w:rPr>
              <w:t xml:space="preserve"> State of)</w:t>
            </w:r>
          </w:p>
        </w:tc>
        <w:tc>
          <w:tcPr>
            <w:tcW w:w="1430" w:type="dxa"/>
            <w:shd w:val="clear" w:color="auto" w:fill="auto"/>
          </w:tcPr>
          <w:p w14:paraId="26D0888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91286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6C36A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51EB3A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4820F66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36E628A1" w14:textId="77777777" w:rsidTr="00BC15CA">
        <w:tc>
          <w:tcPr>
            <w:tcW w:w="2750" w:type="dxa"/>
            <w:shd w:val="clear" w:color="auto" w:fill="auto"/>
          </w:tcPr>
          <w:p w14:paraId="7EB9841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Bosnia and Herzegovina</w:t>
            </w:r>
          </w:p>
        </w:tc>
        <w:tc>
          <w:tcPr>
            <w:tcW w:w="1430" w:type="dxa"/>
            <w:shd w:val="clear" w:color="auto" w:fill="auto"/>
          </w:tcPr>
          <w:p w14:paraId="2E0C6E66"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DF3FA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03CB90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3365BE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61528C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18B13CBD" w14:textId="77777777" w:rsidTr="00BC15CA">
        <w:tc>
          <w:tcPr>
            <w:tcW w:w="2750" w:type="dxa"/>
            <w:shd w:val="clear" w:color="auto" w:fill="auto"/>
          </w:tcPr>
          <w:p w14:paraId="36B17F8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Botswana</w:t>
            </w:r>
          </w:p>
        </w:tc>
        <w:tc>
          <w:tcPr>
            <w:tcW w:w="1430" w:type="dxa"/>
            <w:shd w:val="clear" w:color="auto" w:fill="auto"/>
          </w:tcPr>
          <w:p w14:paraId="527746F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4EA96D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6AACF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1F060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4DB7A13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7D91F14E" w14:textId="77777777" w:rsidTr="00BC15CA">
        <w:tc>
          <w:tcPr>
            <w:tcW w:w="2750" w:type="dxa"/>
            <w:shd w:val="clear" w:color="auto" w:fill="auto"/>
          </w:tcPr>
          <w:p w14:paraId="6273CC2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Brazil</w:t>
            </w:r>
          </w:p>
        </w:tc>
        <w:tc>
          <w:tcPr>
            <w:tcW w:w="1430" w:type="dxa"/>
            <w:shd w:val="clear" w:color="auto" w:fill="auto"/>
          </w:tcPr>
          <w:p w14:paraId="0F6B64B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26044A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0D9B9E1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260BA4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27BC4AE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0848C984" w14:textId="77777777" w:rsidTr="00BC15CA">
        <w:tc>
          <w:tcPr>
            <w:tcW w:w="2750" w:type="dxa"/>
            <w:shd w:val="clear" w:color="auto" w:fill="auto"/>
            <w:vAlign w:val="center"/>
          </w:tcPr>
          <w:p w14:paraId="62E32D6D"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Brunei Darussalam </w:t>
            </w:r>
          </w:p>
        </w:tc>
        <w:tc>
          <w:tcPr>
            <w:tcW w:w="1430" w:type="dxa"/>
            <w:shd w:val="clear" w:color="auto" w:fill="auto"/>
            <w:vAlign w:val="center"/>
          </w:tcPr>
          <w:p w14:paraId="4052A49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vAlign w:val="center"/>
          </w:tcPr>
          <w:p w14:paraId="3D81D1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vAlign w:val="center"/>
          </w:tcPr>
          <w:p w14:paraId="3857E3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vAlign w:val="center"/>
          </w:tcPr>
          <w:p w14:paraId="1EC732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vAlign w:val="center"/>
          </w:tcPr>
          <w:p w14:paraId="5AD714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E42EE21" w14:textId="77777777" w:rsidTr="00BC15CA">
        <w:tc>
          <w:tcPr>
            <w:tcW w:w="2750" w:type="dxa"/>
            <w:shd w:val="clear" w:color="auto" w:fill="auto"/>
          </w:tcPr>
          <w:p w14:paraId="6B67954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Bulgaria</w:t>
            </w:r>
          </w:p>
        </w:tc>
        <w:tc>
          <w:tcPr>
            <w:tcW w:w="1430" w:type="dxa"/>
            <w:shd w:val="clear" w:color="auto" w:fill="auto"/>
          </w:tcPr>
          <w:p w14:paraId="7FD5E9A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4C7296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6311C63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3BED2A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1495B4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7D61C38A" w14:textId="77777777" w:rsidTr="00BC15CA">
        <w:tc>
          <w:tcPr>
            <w:tcW w:w="2750" w:type="dxa"/>
            <w:shd w:val="clear" w:color="auto" w:fill="auto"/>
          </w:tcPr>
          <w:p w14:paraId="78B6486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Burkina Faso</w:t>
            </w:r>
          </w:p>
        </w:tc>
        <w:tc>
          <w:tcPr>
            <w:tcW w:w="1430" w:type="dxa"/>
            <w:shd w:val="clear" w:color="auto" w:fill="auto"/>
          </w:tcPr>
          <w:p w14:paraId="0405285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4E826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921B6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D66613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6BAD96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56FD09C" w14:textId="77777777" w:rsidTr="00BC15CA">
        <w:tc>
          <w:tcPr>
            <w:tcW w:w="2750" w:type="dxa"/>
            <w:shd w:val="clear" w:color="auto" w:fill="auto"/>
          </w:tcPr>
          <w:p w14:paraId="2A97711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Burundi</w:t>
            </w:r>
          </w:p>
        </w:tc>
        <w:tc>
          <w:tcPr>
            <w:tcW w:w="1430" w:type="dxa"/>
            <w:shd w:val="clear" w:color="auto" w:fill="auto"/>
          </w:tcPr>
          <w:p w14:paraId="0EDAE8E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7F25EC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CF9D96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816EE8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2CAB4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5C1FA8C" w14:textId="77777777" w:rsidTr="00BC15CA">
        <w:tc>
          <w:tcPr>
            <w:tcW w:w="2750" w:type="dxa"/>
            <w:shd w:val="clear" w:color="auto" w:fill="auto"/>
          </w:tcPr>
          <w:p w14:paraId="4DA2C078"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C</w:t>
            </w:r>
            <w:r>
              <w:rPr>
                <w:rFonts w:ascii="Arial" w:hAnsi="Arial" w:cs="Arial"/>
                <w:snapToGrid w:val="0"/>
                <w:color w:val="000000"/>
                <w:sz w:val="18"/>
                <w:szCs w:val="18"/>
              </w:rPr>
              <w:t>abo Verde</w:t>
            </w:r>
          </w:p>
        </w:tc>
        <w:tc>
          <w:tcPr>
            <w:tcW w:w="1430" w:type="dxa"/>
            <w:shd w:val="clear" w:color="auto" w:fill="auto"/>
          </w:tcPr>
          <w:p w14:paraId="77BEA69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Pr>
                <w:rFonts w:ascii="Arial" w:hAnsi="Arial" w:cs="Arial"/>
                <w:i/>
                <w:snapToGrid w:val="0"/>
                <w:color w:val="000000"/>
                <w:sz w:val="18"/>
                <w:szCs w:val="18"/>
              </w:rPr>
              <w:t>bis</w:t>
            </w:r>
            <w:proofErr w:type="spellEnd"/>
          </w:p>
        </w:tc>
        <w:tc>
          <w:tcPr>
            <w:tcW w:w="1210" w:type="dxa"/>
            <w:shd w:val="clear" w:color="auto" w:fill="auto"/>
          </w:tcPr>
          <w:p w14:paraId="6809D76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5C988D1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63687D1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3A9308B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5ED98644" w14:textId="77777777" w:rsidTr="00BC15CA">
        <w:tc>
          <w:tcPr>
            <w:tcW w:w="2750" w:type="dxa"/>
            <w:shd w:val="clear" w:color="auto" w:fill="auto"/>
          </w:tcPr>
          <w:p w14:paraId="6DB58AD3"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Cambodia</w:t>
            </w:r>
          </w:p>
        </w:tc>
        <w:tc>
          <w:tcPr>
            <w:tcW w:w="1430" w:type="dxa"/>
            <w:shd w:val="clear" w:color="auto" w:fill="auto"/>
          </w:tcPr>
          <w:p w14:paraId="689BA2C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Pr>
                <w:rFonts w:ascii="Arial" w:hAnsi="Arial" w:cs="Arial"/>
                <w:i/>
                <w:snapToGrid w:val="0"/>
                <w:color w:val="000000"/>
                <w:sz w:val="18"/>
                <w:szCs w:val="18"/>
              </w:rPr>
              <w:t>ter</w:t>
            </w:r>
            <w:proofErr w:type="spellEnd"/>
          </w:p>
        </w:tc>
        <w:tc>
          <w:tcPr>
            <w:tcW w:w="1210" w:type="dxa"/>
            <w:shd w:val="clear" w:color="auto" w:fill="auto"/>
          </w:tcPr>
          <w:p w14:paraId="35C1B71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6399C9A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1DDA769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6103838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4018ED8C" w14:textId="77777777" w:rsidTr="00BC15CA">
        <w:tc>
          <w:tcPr>
            <w:tcW w:w="2750" w:type="dxa"/>
            <w:shd w:val="clear" w:color="auto" w:fill="auto"/>
          </w:tcPr>
          <w:p w14:paraId="5A00CFB2"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Cameroon</w:t>
            </w:r>
          </w:p>
        </w:tc>
        <w:tc>
          <w:tcPr>
            <w:tcW w:w="1430" w:type="dxa"/>
            <w:shd w:val="clear" w:color="auto" w:fill="auto"/>
          </w:tcPr>
          <w:p w14:paraId="6C2CB634"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 xml:space="preserve">          </w:t>
            </w:r>
            <w:proofErr w:type="spellStart"/>
            <w:r>
              <w:rPr>
                <w:rFonts w:ascii="Arial" w:hAnsi="Arial" w:cs="Arial"/>
                <w:snapToGrid w:val="0"/>
                <w:color w:val="000000"/>
                <w:sz w:val="18"/>
                <w:szCs w:val="18"/>
              </w:rPr>
              <w:t>S</w:t>
            </w:r>
            <w:r w:rsidRPr="00A71351">
              <w:rPr>
                <w:rFonts w:ascii="Arial" w:hAnsi="Arial" w:cs="Arial"/>
                <w:i/>
                <w:snapToGrid w:val="0"/>
                <w:color w:val="000000"/>
                <w:sz w:val="18"/>
                <w:szCs w:val="18"/>
              </w:rPr>
              <w:t>bis</w:t>
            </w:r>
            <w:proofErr w:type="spellEnd"/>
          </w:p>
        </w:tc>
        <w:tc>
          <w:tcPr>
            <w:tcW w:w="1210" w:type="dxa"/>
            <w:shd w:val="clear" w:color="auto" w:fill="auto"/>
          </w:tcPr>
          <w:p w14:paraId="0A56E13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420B3CF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442EDA3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5475A3C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0E953182" w14:textId="77777777" w:rsidTr="00BC15CA">
        <w:tc>
          <w:tcPr>
            <w:tcW w:w="2750" w:type="dxa"/>
            <w:shd w:val="clear" w:color="auto" w:fill="auto"/>
          </w:tcPr>
          <w:p w14:paraId="175DEF0D"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Canada</w:t>
            </w:r>
          </w:p>
        </w:tc>
        <w:tc>
          <w:tcPr>
            <w:tcW w:w="1430" w:type="dxa"/>
            <w:shd w:val="clear" w:color="auto" w:fill="auto"/>
          </w:tcPr>
          <w:p w14:paraId="09A87B60" w14:textId="77777777" w:rsidR="002523FB" w:rsidRPr="000C5ED6" w:rsidRDefault="002523FB" w:rsidP="00C2153C">
            <w:pPr>
              <w:jc w:val="center"/>
              <w:rPr>
                <w:rFonts w:ascii="Arial" w:hAnsi="Arial" w:cs="Arial"/>
                <w:i/>
                <w:snapToGrid w:val="0"/>
                <w:color w:val="000000"/>
                <w:sz w:val="18"/>
                <w:szCs w:val="18"/>
              </w:rPr>
            </w:pPr>
            <w:r>
              <w:rPr>
                <w:rFonts w:ascii="Arial" w:hAnsi="Arial" w:cs="Arial"/>
                <w:snapToGrid w:val="0"/>
                <w:color w:val="000000"/>
                <w:sz w:val="18"/>
                <w:szCs w:val="18"/>
              </w:rPr>
              <w:t>IV</w:t>
            </w:r>
          </w:p>
        </w:tc>
        <w:tc>
          <w:tcPr>
            <w:tcW w:w="1210" w:type="dxa"/>
            <w:shd w:val="clear" w:color="auto" w:fill="auto"/>
          </w:tcPr>
          <w:p w14:paraId="1F91C77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10</w:t>
            </w:r>
          </w:p>
        </w:tc>
        <w:tc>
          <w:tcPr>
            <w:tcW w:w="1320" w:type="dxa"/>
            <w:shd w:val="clear" w:color="auto" w:fill="auto"/>
          </w:tcPr>
          <w:p w14:paraId="369D5BB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430" w:type="dxa"/>
            <w:shd w:val="clear" w:color="auto" w:fill="auto"/>
          </w:tcPr>
          <w:p w14:paraId="4DD5877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320" w:type="dxa"/>
            <w:shd w:val="clear" w:color="auto" w:fill="auto"/>
          </w:tcPr>
          <w:p w14:paraId="13BB2C0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911,580</w:t>
            </w:r>
          </w:p>
        </w:tc>
      </w:tr>
      <w:tr w:rsidR="002523FB" w:rsidRPr="000C5ED6" w14:paraId="01AC4C3F" w14:textId="77777777" w:rsidTr="00BC15CA">
        <w:tc>
          <w:tcPr>
            <w:tcW w:w="2750" w:type="dxa"/>
            <w:shd w:val="clear" w:color="auto" w:fill="auto"/>
          </w:tcPr>
          <w:p w14:paraId="0C9912B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Central African Republic </w:t>
            </w:r>
          </w:p>
        </w:tc>
        <w:tc>
          <w:tcPr>
            <w:tcW w:w="1430" w:type="dxa"/>
            <w:shd w:val="clear" w:color="auto" w:fill="auto"/>
          </w:tcPr>
          <w:p w14:paraId="676F725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9830D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3AEF4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19E17E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7ACF66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65FA3FB" w14:textId="77777777" w:rsidTr="00BC15CA">
        <w:tc>
          <w:tcPr>
            <w:tcW w:w="2750" w:type="dxa"/>
            <w:shd w:val="clear" w:color="auto" w:fill="auto"/>
          </w:tcPr>
          <w:p w14:paraId="49F5BE9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Chad</w:t>
            </w:r>
          </w:p>
        </w:tc>
        <w:tc>
          <w:tcPr>
            <w:tcW w:w="1430" w:type="dxa"/>
            <w:shd w:val="clear" w:color="auto" w:fill="auto"/>
          </w:tcPr>
          <w:p w14:paraId="739C848F"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696688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3498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73D891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56473F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01C64F4" w14:textId="77777777" w:rsidTr="00BC15CA">
        <w:tc>
          <w:tcPr>
            <w:tcW w:w="2750" w:type="dxa"/>
            <w:shd w:val="clear" w:color="auto" w:fill="auto"/>
          </w:tcPr>
          <w:p w14:paraId="1E228E0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Chile</w:t>
            </w:r>
          </w:p>
        </w:tc>
        <w:tc>
          <w:tcPr>
            <w:tcW w:w="1430" w:type="dxa"/>
            <w:shd w:val="clear" w:color="auto" w:fill="auto"/>
          </w:tcPr>
          <w:p w14:paraId="2EAF851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E90FE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B778B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42191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46C5DF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3B78D493" w14:textId="77777777" w:rsidTr="00BC15CA">
        <w:tc>
          <w:tcPr>
            <w:tcW w:w="2750" w:type="dxa"/>
            <w:shd w:val="clear" w:color="auto" w:fill="auto"/>
          </w:tcPr>
          <w:p w14:paraId="4C59BF9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China</w:t>
            </w:r>
          </w:p>
        </w:tc>
        <w:tc>
          <w:tcPr>
            <w:tcW w:w="1430" w:type="dxa"/>
            <w:shd w:val="clear" w:color="auto" w:fill="auto"/>
          </w:tcPr>
          <w:p w14:paraId="2A18646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04D11ED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6597BF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shd w:val="clear" w:color="auto" w:fill="auto"/>
          </w:tcPr>
          <w:p w14:paraId="0988EC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shd w:val="clear" w:color="auto" w:fill="auto"/>
          </w:tcPr>
          <w:p w14:paraId="64EB8C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2523FB" w:rsidRPr="000C5ED6" w14:paraId="7BCFC972" w14:textId="77777777" w:rsidTr="00BC15CA">
        <w:tc>
          <w:tcPr>
            <w:tcW w:w="2750" w:type="dxa"/>
            <w:shd w:val="clear" w:color="auto" w:fill="auto"/>
          </w:tcPr>
          <w:p w14:paraId="257FE45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Colombia</w:t>
            </w:r>
          </w:p>
        </w:tc>
        <w:tc>
          <w:tcPr>
            <w:tcW w:w="1430" w:type="dxa"/>
            <w:shd w:val="clear" w:color="auto" w:fill="auto"/>
          </w:tcPr>
          <w:p w14:paraId="3667CEC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477359D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F4B63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A304F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2A75948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6C3AB75B" w14:textId="77777777" w:rsidTr="00BC15CA">
        <w:tc>
          <w:tcPr>
            <w:tcW w:w="2750" w:type="dxa"/>
            <w:shd w:val="clear" w:color="auto" w:fill="auto"/>
          </w:tcPr>
          <w:p w14:paraId="6D70026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Comoros</w:t>
            </w:r>
          </w:p>
        </w:tc>
        <w:tc>
          <w:tcPr>
            <w:tcW w:w="1430" w:type="dxa"/>
            <w:shd w:val="clear" w:color="auto" w:fill="auto"/>
          </w:tcPr>
          <w:p w14:paraId="7D197AD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58A7E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D1CDF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17A929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4FA0F0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7472F0CE" w14:textId="77777777" w:rsidTr="00BC15CA">
        <w:tc>
          <w:tcPr>
            <w:tcW w:w="2750" w:type="dxa"/>
            <w:shd w:val="clear" w:color="auto" w:fill="auto"/>
          </w:tcPr>
          <w:p w14:paraId="23990A7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Congo </w:t>
            </w:r>
          </w:p>
        </w:tc>
        <w:tc>
          <w:tcPr>
            <w:tcW w:w="1430" w:type="dxa"/>
            <w:shd w:val="clear" w:color="auto" w:fill="auto"/>
          </w:tcPr>
          <w:p w14:paraId="4133E43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7EC7733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49BDF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2AD12F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360EE4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7573BED9" w14:textId="77777777" w:rsidTr="00BC15CA">
        <w:tc>
          <w:tcPr>
            <w:tcW w:w="2750" w:type="dxa"/>
            <w:shd w:val="clear" w:color="auto" w:fill="auto"/>
          </w:tcPr>
          <w:p w14:paraId="788D128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Costa Rica</w:t>
            </w:r>
          </w:p>
        </w:tc>
        <w:tc>
          <w:tcPr>
            <w:tcW w:w="1430" w:type="dxa"/>
            <w:shd w:val="clear" w:color="auto" w:fill="auto"/>
          </w:tcPr>
          <w:p w14:paraId="570DDE3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A132E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5CF1F0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489890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1FDCD21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6A7F6FE0" w14:textId="77777777" w:rsidTr="00BC15CA">
        <w:tc>
          <w:tcPr>
            <w:tcW w:w="2750" w:type="dxa"/>
            <w:shd w:val="clear" w:color="auto" w:fill="auto"/>
          </w:tcPr>
          <w:p w14:paraId="746D818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Côte d'Ivoire</w:t>
            </w:r>
          </w:p>
        </w:tc>
        <w:tc>
          <w:tcPr>
            <w:tcW w:w="1430" w:type="dxa"/>
            <w:shd w:val="clear" w:color="auto" w:fill="auto"/>
          </w:tcPr>
          <w:p w14:paraId="280E9A5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344D3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28210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22CF021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A8F676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0F5D7C6E" w14:textId="77777777" w:rsidTr="00BC15CA">
        <w:tc>
          <w:tcPr>
            <w:tcW w:w="2750" w:type="dxa"/>
            <w:shd w:val="clear" w:color="auto" w:fill="auto"/>
          </w:tcPr>
          <w:p w14:paraId="35F3D5E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Croatia</w:t>
            </w:r>
          </w:p>
        </w:tc>
        <w:tc>
          <w:tcPr>
            <w:tcW w:w="1430" w:type="dxa"/>
            <w:shd w:val="clear" w:color="auto" w:fill="auto"/>
          </w:tcPr>
          <w:p w14:paraId="66616CC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429736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3E12EAC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430" w:type="dxa"/>
            <w:shd w:val="clear" w:color="auto" w:fill="auto"/>
          </w:tcPr>
          <w:p w14:paraId="76C493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320" w:type="dxa"/>
            <w:shd w:val="clear" w:color="auto" w:fill="auto"/>
          </w:tcPr>
          <w:p w14:paraId="6E5008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45,578 </w:t>
            </w:r>
          </w:p>
        </w:tc>
      </w:tr>
      <w:tr w:rsidR="002523FB" w:rsidRPr="000C5ED6" w14:paraId="440B4848" w14:textId="77777777" w:rsidTr="00BC15CA">
        <w:tc>
          <w:tcPr>
            <w:tcW w:w="2750" w:type="dxa"/>
            <w:shd w:val="clear" w:color="auto" w:fill="auto"/>
          </w:tcPr>
          <w:p w14:paraId="107B34B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Cuba</w:t>
            </w:r>
          </w:p>
        </w:tc>
        <w:tc>
          <w:tcPr>
            <w:tcW w:w="1430" w:type="dxa"/>
            <w:shd w:val="clear" w:color="auto" w:fill="auto"/>
          </w:tcPr>
          <w:p w14:paraId="61A154F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546AD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0380B28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7B4E2D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0144B6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1A78BE7A" w14:textId="77777777" w:rsidTr="00BC15CA">
        <w:tc>
          <w:tcPr>
            <w:tcW w:w="2750" w:type="dxa"/>
            <w:shd w:val="clear" w:color="auto" w:fill="auto"/>
          </w:tcPr>
          <w:p w14:paraId="7FE0D28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Cyprus</w:t>
            </w:r>
          </w:p>
        </w:tc>
        <w:tc>
          <w:tcPr>
            <w:tcW w:w="1430" w:type="dxa"/>
            <w:shd w:val="clear" w:color="auto" w:fill="auto"/>
          </w:tcPr>
          <w:p w14:paraId="6EF8E78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5DD6C3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321FA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99672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3BC1F2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4C38D92" w14:textId="77777777" w:rsidTr="00BC15CA">
        <w:tc>
          <w:tcPr>
            <w:tcW w:w="2750" w:type="dxa"/>
            <w:shd w:val="clear" w:color="auto" w:fill="auto"/>
          </w:tcPr>
          <w:p w14:paraId="25300DA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Czech Republic </w:t>
            </w:r>
          </w:p>
        </w:tc>
        <w:tc>
          <w:tcPr>
            <w:tcW w:w="1430" w:type="dxa"/>
            <w:shd w:val="clear" w:color="auto" w:fill="auto"/>
          </w:tcPr>
          <w:p w14:paraId="3F87EC5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5C82ECC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25C224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430" w:type="dxa"/>
            <w:shd w:val="clear" w:color="auto" w:fill="auto"/>
          </w:tcPr>
          <w:p w14:paraId="2403C6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320" w:type="dxa"/>
            <w:shd w:val="clear" w:color="auto" w:fill="auto"/>
          </w:tcPr>
          <w:p w14:paraId="3FE4BA1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2523FB" w:rsidRPr="000C5ED6" w14:paraId="0CB00440" w14:textId="77777777" w:rsidTr="00BC15CA">
        <w:tc>
          <w:tcPr>
            <w:tcW w:w="2750" w:type="dxa"/>
            <w:shd w:val="clear" w:color="auto" w:fill="auto"/>
          </w:tcPr>
          <w:p w14:paraId="1D1B00FE" w14:textId="77777777" w:rsidR="002523FB" w:rsidRPr="000C5ED6" w:rsidRDefault="002523FB" w:rsidP="00C2153C">
            <w:pPr>
              <w:rPr>
                <w:rFonts w:ascii="Arial" w:hAnsi="Arial" w:cs="Arial"/>
                <w:b/>
                <w:snapToGrid w:val="0"/>
                <w:color w:val="000000"/>
                <w:sz w:val="18"/>
                <w:szCs w:val="18"/>
              </w:rPr>
            </w:pPr>
            <w:r w:rsidRPr="000C5ED6">
              <w:rPr>
                <w:rFonts w:ascii="Arial" w:hAnsi="Arial" w:cs="Arial"/>
                <w:b/>
                <w:snapToGrid w:val="0"/>
                <w:color w:val="000000"/>
                <w:sz w:val="18"/>
                <w:szCs w:val="18"/>
              </w:rPr>
              <w:t>D</w:t>
            </w:r>
            <w:r w:rsidRPr="000C5ED6">
              <w:rPr>
                <w:rFonts w:ascii="Arial" w:hAnsi="Arial" w:cs="Arial"/>
                <w:snapToGrid w:val="0"/>
                <w:color w:val="000000"/>
                <w:sz w:val="18"/>
                <w:szCs w:val="18"/>
              </w:rPr>
              <w:t>emocratic People's Republic of Korea</w:t>
            </w:r>
          </w:p>
        </w:tc>
        <w:tc>
          <w:tcPr>
            <w:tcW w:w="1430" w:type="dxa"/>
            <w:shd w:val="clear" w:color="auto" w:fill="auto"/>
          </w:tcPr>
          <w:p w14:paraId="3001D9C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20C88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5D99A7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480829F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C3EB4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0664F30B" w14:textId="77777777" w:rsidTr="00BC15CA">
        <w:tc>
          <w:tcPr>
            <w:tcW w:w="2750" w:type="dxa"/>
            <w:shd w:val="clear" w:color="auto" w:fill="auto"/>
          </w:tcPr>
          <w:p w14:paraId="579FD36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Democratic Republic of the Congo </w:t>
            </w:r>
          </w:p>
        </w:tc>
        <w:tc>
          <w:tcPr>
            <w:tcW w:w="1430" w:type="dxa"/>
            <w:shd w:val="clear" w:color="auto" w:fill="auto"/>
          </w:tcPr>
          <w:p w14:paraId="297E138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4C0C8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2E1BD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9240C6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6FC41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4497D26D" w14:textId="77777777" w:rsidTr="00BC15CA">
        <w:tc>
          <w:tcPr>
            <w:tcW w:w="2750" w:type="dxa"/>
            <w:shd w:val="clear" w:color="auto" w:fill="auto"/>
          </w:tcPr>
          <w:p w14:paraId="69CCA77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Denmark</w:t>
            </w:r>
          </w:p>
        </w:tc>
        <w:tc>
          <w:tcPr>
            <w:tcW w:w="1430" w:type="dxa"/>
            <w:shd w:val="clear" w:color="auto" w:fill="auto"/>
          </w:tcPr>
          <w:p w14:paraId="6B40679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20D358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66FF08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shd w:val="clear" w:color="auto" w:fill="auto"/>
          </w:tcPr>
          <w:p w14:paraId="61023DC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shd w:val="clear" w:color="auto" w:fill="auto"/>
          </w:tcPr>
          <w:p w14:paraId="2E09AF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2523FB" w:rsidRPr="000C5ED6" w14:paraId="2CF58917" w14:textId="77777777" w:rsidTr="00BC15CA">
        <w:tc>
          <w:tcPr>
            <w:tcW w:w="2750" w:type="dxa"/>
            <w:shd w:val="clear" w:color="auto" w:fill="auto"/>
          </w:tcPr>
          <w:p w14:paraId="0F70802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Djibouti</w:t>
            </w:r>
          </w:p>
        </w:tc>
        <w:tc>
          <w:tcPr>
            <w:tcW w:w="1430" w:type="dxa"/>
            <w:shd w:val="clear" w:color="auto" w:fill="auto"/>
          </w:tcPr>
          <w:p w14:paraId="69F243B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E1CCF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02634D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68F3A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2FBE274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B59A012" w14:textId="77777777" w:rsidTr="00BC15CA">
        <w:tc>
          <w:tcPr>
            <w:tcW w:w="2750" w:type="dxa"/>
            <w:shd w:val="clear" w:color="auto" w:fill="auto"/>
          </w:tcPr>
          <w:p w14:paraId="6298F6F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Dominica </w:t>
            </w:r>
          </w:p>
        </w:tc>
        <w:tc>
          <w:tcPr>
            <w:tcW w:w="1430" w:type="dxa"/>
            <w:shd w:val="clear" w:color="auto" w:fill="auto"/>
          </w:tcPr>
          <w:p w14:paraId="21476A1A"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BBE31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A79FA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49003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3DE1F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3B1B66BE" w14:textId="77777777" w:rsidTr="00BC15CA">
        <w:tc>
          <w:tcPr>
            <w:tcW w:w="2750" w:type="dxa"/>
            <w:shd w:val="clear" w:color="auto" w:fill="auto"/>
          </w:tcPr>
          <w:p w14:paraId="285E997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lastRenderedPageBreak/>
              <w:t xml:space="preserve">Dominican Republic </w:t>
            </w:r>
          </w:p>
        </w:tc>
        <w:tc>
          <w:tcPr>
            <w:tcW w:w="1430" w:type="dxa"/>
            <w:shd w:val="clear" w:color="auto" w:fill="auto"/>
          </w:tcPr>
          <w:p w14:paraId="5033778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617C45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7866E6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7B460F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49DCEA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D1C2E2A" w14:textId="77777777" w:rsidTr="00BC15CA">
        <w:tc>
          <w:tcPr>
            <w:tcW w:w="2750" w:type="dxa"/>
            <w:shd w:val="clear" w:color="auto" w:fill="auto"/>
          </w:tcPr>
          <w:p w14:paraId="25415181"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E</w:t>
            </w:r>
            <w:r w:rsidRPr="000C5ED6">
              <w:rPr>
                <w:rFonts w:ascii="Arial" w:hAnsi="Arial" w:cs="Arial"/>
                <w:snapToGrid w:val="0"/>
                <w:color w:val="000000"/>
                <w:sz w:val="18"/>
                <w:szCs w:val="18"/>
              </w:rPr>
              <w:t>cuador</w:t>
            </w:r>
          </w:p>
        </w:tc>
        <w:tc>
          <w:tcPr>
            <w:tcW w:w="1430" w:type="dxa"/>
            <w:shd w:val="clear" w:color="auto" w:fill="auto"/>
          </w:tcPr>
          <w:p w14:paraId="55E08A7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22CF7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322B8E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4C00D77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575759C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7DF57412" w14:textId="77777777" w:rsidTr="00BC15CA">
        <w:tc>
          <w:tcPr>
            <w:tcW w:w="2750" w:type="dxa"/>
            <w:shd w:val="clear" w:color="auto" w:fill="auto"/>
          </w:tcPr>
          <w:p w14:paraId="4D23D94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Egypt</w:t>
            </w:r>
          </w:p>
        </w:tc>
        <w:tc>
          <w:tcPr>
            <w:tcW w:w="1430" w:type="dxa"/>
            <w:shd w:val="clear" w:color="auto" w:fill="auto"/>
          </w:tcPr>
          <w:p w14:paraId="735422DB"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7DCA1B2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4D7F864C"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p>
        </w:tc>
        <w:tc>
          <w:tcPr>
            <w:tcW w:w="1430" w:type="dxa"/>
            <w:shd w:val="clear" w:color="auto" w:fill="auto"/>
          </w:tcPr>
          <w:p w14:paraId="304FEC3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p>
        </w:tc>
        <w:tc>
          <w:tcPr>
            <w:tcW w:w="1320" w:type="dxa"/>
            <w:shd w:val="clear" w:color="auto" w:fill="auto"/>
          </w:tcPr>
          <w:p w14:paraId="05252B2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6EB79094" w14:textId="77777777" w:rsidTr="00BC15CA">
        <w:tc>
          <w:tcPr>
            <w:tcW w:w="2750" w:type="dxa"/>
            <w:shd w:val="clear" w:color="auto" w:fill="auto"/>
          </w:tcPr>
          <w:p w14:paraId="4C72CEE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El Salvador</w:t>
            </w:r>
          </w:p>
        </w:tc>
        <w:tc>
          <w:tcPr>
            <w:tcW w:w="1430" w:type="dxa"/>
            <w:shd w:val="clear" w:color="auto" w:fill="auto"/>
          </w:tcPr>
          <w:p w14:paraId="6B773646"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769FF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87CF8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clear" w:color="auto" w:fill="auto"/>
          </w:tcPr>
          <w:p w14:paraId="0D43BC1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clear" w:color="auto" w:fill="auto"/>
          </w:tcPr>
          <w:p w14:paraId="7A92D9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2523FB" w:rsidRPr="000C5ED6" w14:paraId="629E1CB2" w14:textId="77777777" w:rsidTr="00BC15CA">
        <w:tc>
          <w:tcPr>
            <w:tcW w:w="2750" w:type="dxa"/>
            <w:shd w:val="clear" w:color="auto" w:fill="auto"/>
          </w:tcPr>
          <w:p w14:paraId="1332801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Equatorial Guinea</w:t>
            </w:r>
          </w:p>
        </w:tc>
        <w:tc>
          <w:tcPr>
            <w:tcW w:w="1430" w:type="dxa"/>
            <w:shd w:val="clear" w:color="auto" w:fill="auto"/>
          </w:tcPr>
          <w:p w14:paraId="1367E13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1338016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9AA1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551FCCB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FFCDC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B07CB7A" w14:textId="77777777" w:rsidTr="00BC15CA">
        <w:tc>
          <w:tcPr>
            <w:tcW w:w="2750" w:type="dxa"/>
            <w:shd w:val="clear" w:color="auto" w:fill="auto"/>
          </w:tcPr>
          <w:p w14:paraId="66BFB4C0"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Eritrea </w:t>
            </w:r>
            <w:r w:rsidRPr="000C5ED6">
              <w:rPr>
                <w:rFonts w:ascii="Arial" w:hAnsi="Arial" w:cs="Arial"/>
                <w:snapToGrid w:val="0"/>
                <w:color w:val="000000"/>
                <w:sz w:val="18"/>
                <w:szCs w:val="18"/>
                <w:vertAlign w:val="superscript"/>
              </w:rPr>
              <w:t>2</w:t>
            </w:r>
          </w:p>
        </w:tc>
        <w:tc>
          <w:tcPr>
            <w:tcW w:w="1430" w:type="dxa"/>
            <w:shd w:val="clear" w:color="auto" w:fill="auto"/>
          </w:tcPr>
          <w:p w14:paraId="63860CA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28A059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AA4E63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3202E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494C99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1039C95" w14:textId="77777777" w:rsidTr="00BC15CA">
        <w:tc>
          <w:tcPr>
            <w:tcW w:w="2750" w:type="dxa"/>
            <w:shd w:val="clear" w:color="auto" w:fill="auto"/>
          </w:tcPr>
          <w:p w14:paraId="2515E4A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Estonia</w:t>
            </w:r>
          </w:p>
        </w:tc>
        <w:tc>
          <w:tcPr>
            <w:tcW w:w="1430" w:type="dxa"/>
            <w:shd w:val="clear" w:color="auto" w:fill="auto"/>
          </w:tcPr>
          <w:p w14:paraId="53F2CD7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4C20B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435062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DF02A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19BCC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F8D933E" w14:textId="77777777" w:rsidTr="00BC15CA">
        <w:tc>
          <w:tcPr>
            <w:tcW w:w="2750" w:type="dxa"/>
            <w:shd w:val="clear" w:color="auto" w:fill="auto"/>
          </w:tcPr>
          <w:p w14:paraId="129AEC08"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Ethiopia </w:t>
            </w:r>
            <w:r w:rsidRPr="000C5ED6">
              <w:rPr>
                <w:rFonts w:ascii="Arial" w:hAnsi="Arial" w:cs="Arial"/>
                <w:snapToGrid w:val="0"/>
                <w:color w:val="000000"/>
                <w:sz w:val="18"/>
                <w:szCs w:val="18"/>
                <w:vertAlign w:val="superscript"/>
              </w:rPr>
              <w:t>2</w:t>
            </w:r>
          </w:p>
        </w:tc>
        <w:tc>
          <w:tcPr>
            <w:tcW w:w="1430" w:type="dxa"/>
            <w:shd w:val="clear" w:color="auto" w:fill="auto"/>
          </w:tcPr>
          <w:p w14:paraId="5C5D9D1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E5F4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7D207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F79B9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0BBF93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071D6486" w14:textId="77777777" w:rsidTr="00BC15CA">
        <w:tc>
          <w:tcPr>
            <w:tcW w:w="2750" w:type="dxa"/>
            <w:shd w:val="clear" w:color="auto" w:fill="auto"/>
          </w:tcPr>
          <w:p w14:paraId="0556A2BE"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F</w:t>
            </w:r>
            <w:r w:rsidRPr="000C5ED6">
              <w:rPr>
                <w:rFonts w:ascii="Arial" w:hAnsi="Arial" w:cs="Arial"/>
                <w:snapToGrid w:val="0"/>
                <w:color w:val="000000"/>
                <w:sz w:val="18"/>
                <w:szCs w:val="18"/>
              </w:rPr>
              <w:t>iji</w:t>
            </w:r>
          </w:p>
        </w:tc>
        <w:tc>
          <w:tcPr>
            <w:tcW w:w="1430" w:type="dxa"/>
            <w:shd w:val="clear" w:color="auto" w:fill="auto"/>
          </w:tcPr>
          <w:p w14:paraId="67AE181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1CDFAFC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C675BA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3434FBC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FAAD0E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099AD47" w14:textId="77777777" w:rsidTr="00BC15CA">
        <w:tc>
          <w:tcPr>
            <w:tcW w:w="2750" w:type="dxa"/>
            <w:shd w:val="clear" w:color="auto" w:fill="auto"/>
          </w:tcPr>
          <w:p w14:paraId="0DA60F1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Finland</w:t>
            </w:r>
          </w:p>
        </w:tc>
        <w:tc>
          <w:tcPr>
            <w:tcW w:w="1430" w:type="dxa"/>
            <w:shd w:val="clear" w:color="auto" w:fill="auto"/>
          </w:tcPr>
          <w:p w14:paraId="369ED2B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060637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378485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71F301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127FEC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02EC484B" w14:textId="77777777" w:rsidTr="00BC15CA">
        <w:tc>
          <w:tcPr>
            <w:tcW w:w="2750" w:type="dxa"/>
            <w:shd w:val="clear" w:color="auto" w:fill="auto"/>
          </w:tcPr>
          <w:p w14:paraId="32994C1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France</w:t>
            </w:r>
          </w:p>
        </w:tc>
        <w:tc>
          <w:tcPr>
            <w:tcW w:w="1430" w:type="dxa"/>
            <w:shd w:val="clear" w:color="auto" w:fill="auto"/>
          </w:tcPr>
          <w:p w14:paraId="3E0808C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5544D9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4D5850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500897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74B947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01D511E" w14:textId="77777777" w:rsidTr="00BC15CA">
        <w:tc>
          <w:tcPr>
            <w:tcW w:w="2750" w:type="dxa"/>
            <w:shd w:val="clear" w:color="auto" w:fill="auto"/>
          </w:tcPr>
          <w:p w14:paraId="3D9E088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G</w:t>
            </w:r>
            <w:r w:rsidRPr="000C5ED6">
              <w:rPr>
                <w:rFonts w:ascii="Arial" w:hAnsi="Arial" w:cs="Arial"/>
                <w:snapToGrid w:val="0"/>
                <w:color w:val="000000"/>
                <w:sz w:val="18"/>
                <w:szCs w:val="18"/>
              </w:rPr>
              <w:t>abon</w:t>
            </w:r>
          </w:p>
        </w:tc>
        <w:tc>
          <w:tcPr>
            <w:tcW w:w="1430" w:type="dxa"/>
            <w:shd w:val="clear" w:color="auto" w:fill="auto"/>
          </w:tcPr>
          <w:p w14:paraId="72BA5ED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72D449B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551E0BB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7CB431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27DD4E9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48EE6A19" w14:textId="77777777" w:rsidTr="00BC15CA">
        <w:tc>
          <w:tcPr>
            <w:tcW w:w="2750" w:type="dxa"/>
            <w:shd w:val="clear" w:color="auto" w:fill="auto"/>
          </w:tcPr>
          <w:p w14:paraId="2FBDF0A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Gambia </w:t>
            </w:r>
          </w:p>
        </w:tc>
        <w:tc>
          <w:tcPr>
            <w:tcW w:w="1430" w:type="dxa"/>
            <w:shd w:val="clear" w:color="auto" w:fill="auto"/>
          </w:tcPr>
          <w:p w14:paraId="24C6CB3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796F5A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FF4447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18F3D7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D9F723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3EE76A0" w14:textId="77777777" w:rsidTr="00BC15CA">
        <w:tc>
          <w:tcPr>
            <w:tcW w:w="2750" w:type="dxa"/>
            <w:shd w:val="clear" w:color="auto" w:fill="auto"/>
          </w:tcPr>
          <w:p w14:paraId="7D69160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Georgia</w:t>
            </w:r>
          </w:p>
        </w:tc>
        <w:tc>
          <w:tcPr>
            <w:tcW w:w="1430" w:type="dxa"/>
            <w:shd w:val="clear" w:color="auto" w:fill="auto"/>
          </w:tcPr>
          <w:p w14:paraId="437FC9D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86E09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069A4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FE7F8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12C84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DF8DD0A" w14:textId="77777777" w:rsidTr="00BC15CA">
        <w:tc>
          <w:tcPr>
            <w:tcW w:w="2750" w:type="dxa"/>
            <w:shd w:val="clear" w:color="auto" w:fill="auto"/>
          </w:tcPr>
          <w:p w14:paraId="0E4991A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Germany</w:t>
            </w:r>
          </w:p>
        </w:tc>
        <w:tc>
          <w:tcPr>
            <w:tcW w:w="1430" w:type="dxa"/>
            <w:shd w:val="clear" w:color="auto" w:fill="auto"/>
          </w:tcPr>
          <w:p w14:paraId="376645A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698A981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04F924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64F1E9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2F92CE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DDB69C7" w14:textId="77777777" w:rsidTr="00BC15CA">
        <w:tc>
          <w:tcPr>
            <w:tcW w:w="2750" w:type="dxa"/>
            <w:shd w:val="clear" w:color="auto" w:fill="auto"/>
          </w:tcPr>
          <w:p w14:paraId="3F44813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Ghana</w:t>
            </w:r>
          </w:p>
        </w:tc>
        <w:tc>
          <w:tcPr>
            <w:tcW w:w="1430" w:type="dxa"/>
            <w:shd w:val="clear" w:color="auto" w:fill="auto"/>
          </w:tcPr>
          <w:p w14:paraId="421D870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01D2CB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0ED2D5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9661A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D19479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9328C9B" w14:textId="77777777" w:rsidTr="00BC15CA">
        <w:tc>
          <w:tcPr>
            <w:tcW w:w="2750" w:type="dxa"/>
            <w:shd w:val="clear" w:color="auto" w:fill="auto"/>
          </w:tcPr>
          <w:p w14:paraId="6575EAE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Greece</w:t>
            </w:r>
          </w:p>
        </w:tc>
        <w:tc>
          <w:tcPr>
            <w:tcW w:w="1430" w:type="dxa"/>
            <w:shd w:val="clear" w:color="auto" w:fill="auto"/>
          </w:tcPr>
          <w:p w14:paraId="77C1AA9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5BBB04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30B510E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2D5670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682A48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2523FB" w:rsidRPr="000C5ED6" w14:paraId="306E4882" w14:textId="77777777" w:rsidTr="00BC15CA">
        <w:tc>
          <w:tcPr>
            <w:tcW w:w="2750" w:type="dxa"/>
            <w:shd w:val="clear" w:color="auto" w:fill="auto"/>
          </w:tcPr>
          <w:p w14:paraId="6348F0E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Grenada</w:t>
            </w:r>
          </w:p>
        </w:tc>
        <w:tc>
          <w:tcPr>
            <w:tcW w:w="1430" w:type="dxa"/>
            <w:shd w:val="clear" w:color="auto" w:fill="auto"/>
          </w:tcPr>
          <w:p w14:paraId="004E723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C7F4B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A84BE6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71881FC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E38B46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5465A7D" w14:textId="77777777" w:rsidTr="00BC15CA">
        <w:tc>
          <w:tcPr>
            <w:tcW w:w="2750" w:type="dxa"/>
            <w:shd w:val="clear" w:color="auto" w:fill="auto"/>
          </w:tcPr>
          <w:p w14:paraId="11E082B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Guatemala</w:t>
            </w:r>
          </w:p>
        </w:tc>
        <w:tc>
          <w:tcPr>
            <w:tcW w:w="1430" w:type="dxa"/>
            <w:shd w:val="clear" w:color="auto" w:fill="auto"/>
          </w:tcPr>
          <w:p w14:paraId="6D025D2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EBC52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9A374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3EAB59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E8BD3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3C202018" w14:textId="77777777" w:rsidTr="00BC15CA">
        <w:tc>
          <w:tcPr>
            <w:tcW w:w="2750" w:type="dxa"/>
            <w:shd w:val="clear" w:color="auto" w:fill="auto"/>
          </w:tcPr>
          <w:p w14:paraId="570A580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Guinea</w:t>
            </w:r>
          </w:p>
        </w:tc>
        <w:tc>
          <w:tcPr>
            <w:tcW w:w="1430" w:type="dxa"/>
            <w:shd w:val="clear" w:color="auto" w:fill="auto"/>
          </w:tcPr>
          <w:p w14:paraId="42E016F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29DD65A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D90CD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271FAC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052D764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356CC27" w14:textId="77777777" w:rsidTr="00BC15CA">
        <w:tc>
          <w:tcPr>
            <w:tcW w:w="2750" w:type="dxa"/>
            <w:shd w:val="clear" w:color="auto" w:fill="auto"/>
          </w:tcPr>
          <w:p w14:paraId="377C146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Guinea-Bissau</w:t>
            </w:r>
          </w:p>
        </w:tc>
        <w:tc>
          <w:tcPr>
            <w:tcW w:w="1430" w:type="dxa"/>
            <w:shd w:val="clear" w:color="auto" w:fill="auto"/>
          </w:tcPr>
          <w:p w14:paraId="2E28A66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884096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C6A257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7F2C06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5708B00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C6A2DA7" w14:textId="77777777" w:rsidTr="00BC15CA">
        <w:tc>
          <w:tcPr>
            <w:tcW w:w="2750" w:type="dxa"/>
            <w:shd w:val="clear" w:color="auto" w:fill="auto"/>
          </w:tcPr>
          <w:p w14:paraId="33E2971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Guyana</w:t>
            </w:r>
          </w:p>
        </w:tc>
        <w:tc>
          <w:tcPr>
            <w:tcW w:w="1430" w:type="dxa"/>
            <w:shd w:val="clear" w:color="auto" w:fill="auto"/>
          </w:tcPr>
          <w:p w14:paraId="16CAF33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02E094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CB12D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418A2D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02CA9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689E8BC" w14:textId="77777777" w:rsidTr="00BC15CA">
        <w:tc>
          <w:tcPr>
            <w:tcW w:w="2750" w:type="dxa"/>
            <w:shd w:val="clear" w:color="auto" w:fill="auto"/>
          </w:tcPr>
          <w:p w14:paraId="5066237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H</w:t>
            </w:r>
            <w:r w:rsidRPr="000C5ED6">
              <w:rPr>
                <w:rFonts w:ascii="Arial" w:hAnsi="Arial" w:cs="Arial"/>
                <w:snapToGrid w:val="0"/>
                <w:color w:val="000000"/>
                <w:sz w:val="18"/>
                <w:szCs w:val="18"/>
              </w:rPr>
              <w:t>aiti</w:t>
            </w:r>
          </w:p>
        </w:tc>
        <w:tc>
          <w:tcPr>
            <w:tcW w:w="1430" w:type="dxa"/>
            <w:shd w:val="clear" w:color="auto" w:fill="auto"/>
          </w:tcPr>
          <w:p w14:paraId="796BE7E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BAD12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99BCF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97819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F6C3D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BE902CE" w14:textId="77777777" w:rsidTr="00BC15CA">
        <w:tc>
          <w:tcPr>
            <w:tcW w:w="2750" w:type="dxa"/>
            <w:shd w:val="clear" w:color="auto" w:fill="auto"/>
          </w:tcPr>
          <w:p w14:paraId="63B2430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Holy See </w:t>
            </w:r>
          </w:p>
        </w:tc>
        <w:tc>
          <w:tcPr>
            <w:tcW w:w="1430" w:type="dxa"/>
            <w:shd w:val="clear" w:color="auto" w:fill="auto"/>
          </w:tcPr>
          <w:p w14:paraId="48C2F98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AEB85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86EBC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0B39AB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3E7B51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67147A9C" w14:textId="77777777" w:rsidTr="00BC15CA">
        <w:tc>
          <w:tcPr>
            <w:tcW w:w="2750" w:type="dxa"/>
            <w:shd w:val="clear" w:color="auto" w:fill="auto"/>
          </w:tcPr>
          <w:p w14:paraId="551D6A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Honduras</w:t>
            </w:r>
          </w:p>
        </w:tc>
        <w:tc>
          <w:tcPr>
            <w:tcW w:w="1430" w:type="dxa"/>
            <w:shd w:val="clear" w:color="auto" w:fill="auto"/>
          </w:tcPr>
          <w:p w14:paraId="6491965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0420D6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1091B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5688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5AE34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3F44E3C" w14:textId="77777777" w:rsidTr="00BC15CA">
        <w:tc>
          <w:tcPr>
            <w:tcW w:w="2750" w:type="dxa"/>
            <w:shd w:val="clear" w:color="auto" w:fill="auto"/>
          </w:tcPr>
          <w:p w14:paraId="17B0B1D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Hungary</w:t>
            </w:r>
          </w:p>
        </w:tc>
        <w:tc>
          <w:tcPr>
            <w:tcW w:w="1430" w:type="dxa"/>
            <w:shd w:val="clear" w:color="auto" w:fill="auto"/>
          </w:tcPr>
          <w:p w14:paraId="70A2CED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30E6944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18D357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7EC590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7C3CCF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38AE8B21" w14:textId="77777777" w:rsidTr="00BC15CA">
        <w:tc>
          <w:tcPr>
            <w:tcW w:w="2750" w:type="dxa"/>
            <w:shd w:val="clear" w:color="auto" w:fill="auto"/>
          </w:tcPr>
          <w:p w14:paraId="0E6A3C2D"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I</w:t>
            </w:r>
            <w:r w:rsidRPr="000C5ED6">
              <w:rPr>
                <w:rFonts w:ascii="Arial" w:hAnsi="Arial" w:cs="Arial"/>
                <w:snapToGrid w:val="0"/>
                <w:color w:val="000000"/>
                <w:sz w:val="18"/>
                <w:szCs w:val="18"/>
              </w:rPr>
              <w:t>celand</w:t>
            </w:r>
          </w:p>
        </w:tc>
        <w:tc>
          <w:tcPr>
            <w:tcW w:w="1430" w:type="dxa"/>
            <w:shd w:val="clear" w:color="auto" w:fill="auto"/>
          </w:tcPr>
          <w:p w14:paraId="1C933EC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57DCF7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53153F1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71235B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74749C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631188BD" w14:textId="77777777" w:rsidTr="00BC15CA">
        <w:tc>
          <w:tcPr>
            <w:tcW w:w="2750" w:type="dxa"/>
            <w:shd w:val="clear" w:color="auto" w:fill="auto"/>
          </w:tcPr>
          <w:p w14:paraId="1B1C43F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India</w:t>
            </w:r>
          </w:p>
        </w:tc>
        <w:tc>
          <w:tcPr>
            <w:tcW w:w="1430" w:type="dxa"/>
            <w:shd w:val="clear" w:color="auto" w:fill="auto"/>
          </w:tcPr>
          <w:p w14:paraId="26670496"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5927C3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657F7F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673B4B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8D8DF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118E4FB3" w14:textId="77777777" w:rsidTr="00BC15CA">
        <w:tc>
          <w:tcPr>
            <w:tcW w:w="2750" w:type="dxa"/>
            <w:shd w:val="clear" w:color="auto" w:fill="auto"/>
          </w:tcPr>
          <w:p w14:paraId="32B797D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Indonesia</w:t>
            </w:r>
          </w:p>
        </w:tc>
        <w:tc>
          <w:tcPr>
            <w:tcW w:w="1430" w:type="dxa"/>
            <w:shd w:val="clear" w:color="auto" w:fill="auto"/>
          </w:tcPr>
          <w:p w14:paraId="484A1E5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5E7B42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39B13B3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5F39E6C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4B58324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7059D26D" w14:textId="77777777" w:rsidTr="00BC15CA">
        <w:tc>
          <w:tcPr>
            <w:tcW w:w="2750" w:type="dxa"/>
            <w:shd w:val="clear" w:color="auto" w:fill="auto"/>
          </w:tcPr>
          <w:p w14:paraId="1B94417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Iran (Islamic Republic of)</w:t>
            </w:r>
          </w:p>
        </w:tc>
        <w:tc>
          <w:tcPr>
            <w:tcW w:w="1430" w:type="dxa"/>
            <w:shd w:val="clear" w:color="auto" w:fill="auto"/>
          </w:tcPr>
          <w:p w14:paraId="219F8DD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0110C8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7BEB58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0EB355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10D5AC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478460B0" w14:textId="77777777" w:rsidTr="00BC15CA">
        <w:tc>
          <w:tcPr>
            <w:tcW w:w="2750" w:type="dxa"/>
            <w:shd w:val="clear" w:color="auto" w:fill="auto"/>
          </w:tcPr>
          <w:p w14:paraId="40EA971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Iraq</w:t>
            </w:r>
          </w:p>
        </w:tc>
        <w:tc>
          <w:tcPr>
            <w:tcW w:w="1430" w:type="dxa"/>
            <w:shd w:val="clear" w:color="auto" w:fill="auto"/>
          </w:tcPr>
          <w:p w14:paraId="02B3DC3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91442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294394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14:paraId="20B7107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14:paraId="29FF70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06B60894" w14:textId="77777777" w:rsidTr="00BC15CA">
        <w:tc>
          <w:tcPr>
            <w:tcW w:w="2750" w:type="dxa"/>
            <w:shd w:val="clear" w:color="auto" w:fill="auto"/>
          </w:tcPr>
          <w:p w14:paraId="3C7E1F8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Ireland</w:t>
            </w:r>
          </w:p>
        </w:tc>
        <w:tc>
          <w:tcPr>
            <w:tcW w:w="1430" w:type="dxa"/>
            <w:shd w:val="clear" w:color="auto" w:fill="auto"/>
          </w:tcPr>
          <w:p w14:paraId="4D8D0F0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37858E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19C054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026732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4C0C16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23CBD8B9" w14:textId="77777777" w:rsidTr="00BC15CA">
        <w:tc>
          <w:tcPr>
            <w:tcW w:w="2750" w:type="dxa"/>
            <w:shd w:val="clear" w:color="auto" w:fill="auto"/>
          </w:tcPr>
          <w:p w14:paraId="1073CDD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Israel</w:t>
            </w:r>
          </w:p>
        </w:tc>
        <w:tc>
          <w:tcPr>
            <w:tcW w:w="1430" w:type="dxa"/>
            <w:shd w:val="clear" w:color="auto" w:fill="auto"/>
          </w:tcPr>
          <w:p w14:paraId="45AB794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5E598F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2CF1B6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4FE6DDD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6D8BCB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6F33519A" w14:textId="77777777" w:rsidTr="00BC15CA">
        <w:tc>
          <w:tcPr>
            <w:tcW w:w="2750" w:type="dxa"/>
            <w:shd w:val="clear" w:color="auto" w:fill="auto"/>
          </w:tcPr>
          <w:p w14:paraId="5E4605C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Italy</w:t>
            </w:r>
          </w:p>
        </w:tc>
        <w:tc>
          <w:tcPr>
            <w:tcW w:w="1430" w:type="dxa"/>
            <w:shd w:val="clear" w:color="auto" w:fill="auto"/>
          </w:tcPr>
          <w:p w14:paraId="3F59661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63AE20F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2A32E4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7D7A43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5682B3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5E8C0DF2" w14:textId="77777777" w:rsidTr="00BC15CA">
        <w:tc>
          <w:tcPr>
            <w:tcW w:w="2750" w:type="dxa"/>
            <w:shd w:val="clear" w:color="auto" w:fill="auto"/>
          </w:tcPr>
          <w:p w14:paraId="1ECE80C6"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J</w:t>
            </w:r>
            <w:r w:rsidRPr="000C5ED6">
              <w:rPr>
                <w:rFonts w:ascii="Arial" w:hAnsi="Arial" w:cs="Arial"/>
                <w:snapToGrid w:val="0"/>
                <w:color w:val="000000"/>
                <w:sz w:val="18"/>
                <w:szCs w:val="18"/>
              </w:rPr>
              <w:t>amaica</w:t>
            </w:r>
          </w:p>
        </w:tc>
        <w:tc>
          <w:tcPr>
            <w:tcW w:w="1430" w:type="dxa"/>
            <w:shd w:val="clear" w:color="auto" w:fill="auto"/>
          </w:tcPr>
          <w:p w14:paraId="732F011F"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6D4AF0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EEFE0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37DD3F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D38FE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2FF55BA" w14:textId="77777777" w:rsidTr="00BC15CA">
        <w:tc>
          <w:tcPr>
            <w:tcW w:w="2750" w:type="dxa"/>
            <w:shd w:val="clear" w:color="auto" w:fill="auto"/>
          </w:tcPr>
          <w:p w14:paraId="3DFFD90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Japan</w:t>
            </w:r>
          </w:p>
        </w:tc>
        <w:tc>
          <w:tcPr>
            <w:tcW w:w="1430" w:type="dxa"/>
            <w:shd w:val="clear" w:color="auto" w:fill="auto"/>
          </w:tcPr>
          <w:p w14:paraId="1B34B7E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5080102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5BF79B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451386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191558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29C8B20" w14:textId="77777777" w:rsidTr="00BC15CA">
        <w:tc>
          <w:tcPr>
            <w:tcW w:w="2750" w:type="dxa"/>
            <w:shd w:val="clear" w:color="auto" w:fill="auto"/>
          </w:tcPr>
          <w:p w14:paraId="78889DE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Jordan</w:t>
            </w:r>
          </w:p>
        </w:tc>
        <w:tc>
          <w:tcPr>
            <w:tcW w:w="1430" w:type="dxa"/>
            <w:shd w:val="clear" w:color="auto" w:fill="auto"/>
          </w:tcPr>
          <w:p w14:paraId="2C1F99BD" w14:textId="77777777" w:rsidR="002523FB" w:rsidRPr="000C5ED6" w:rsidRDefault="002523FB" w:rsidP="00C2153C">
            <w:pPr>
              <w:jc w:val="center"/>
              <w:rPr>
                <w:rFonts w:ascii="Arial" w:hAnsi="Arial" w:cs="Arial"/>
                <w:i/>
                <w:snapToGrid w:val="0"/>
                <w:color w:val="000000"/>
                <w:sz w:val="18"/>
                <w:szCs w:val="18"/>
              </w:rPr>
            </w:pPr>
            <w:r>
              <w:rPr>
                <w:rFonts w:ascii="Arial" w:hAnsi="Arial" w:cs="Arial"/>
                <w:snapToGrid w:val="0"/>
                <w:color w:val="000000"/>
                <w:sz w:val="18"/>
                <w:szCs w:val="18"/>
              </w:rPr>
              <w:t>S</w:t>
            </w:r>
          </w:p>
        </w:tc>
        <w:tc>
          <w:tcPr>
            <w:tcW w:w="1210" w:type="dxa"/>
            <w:shd w:val="clear" w:color="auto" w:fill="auto"/>
          </w:tcPr>
          <w:p w14:paraId="5359BF4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350AE10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7D6891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2FA89D0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4864FA92" w14:textId="77777777" w:rsidTr="00BC15CA">
        <w:tc>
          <w:tcPr>
            <w:tcW w:w="2750" w:type="dxa"/>
            <w:shd w:val="clear" w:color="auto" w:fill="auto"/>
          </w:tcPr>
          <w:p w14:paraId="7A9241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K</w:t>
            </w:r>
            <w:r w:rsidRPr="000C5ED6">
              <w:rPr>
                <w:rFonts w:ascii="Arial" w:hAnsi="Arial" w:cs="Arial"/>
                <w:snapToGrid w:val="0"/>
                <w:color w:val="000000"/>
                <w:sz w:val="18"/>
                <w:szCs w:val="18"/>
              </w:rPr>
              <w:t>azakhstan</w:t>
            </w:r>
          </w:p>
        </w:tc>
        <w:tc>
          <w:tcPr>
            <w:tcW w:w="1430" w:type="dxa"/>
            <w:shd w:val="clear" w:color="auto" w:fill="auto"/>
          </w:tcPr>
          <w:p w14:paraId="57E0691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72D49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F6167D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6DA43C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E680A6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0774C261" w14:textId="77777777" w:rsidTr="00BC15CA">
        <w:tc>
          <w:tcPr>
            <w:tcW w:w="2750" w:type="dxa"/>
            <w:shd w:val="clear" w:color="auto" w:fill="auto"/>
          </w:tcPr>
          <w:p w14:paraId="64EDA05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Kenya</w:t>
            </w:r>
          </w:p>
        </w:tc>
        <w:tc>
          <w:tcPr>
            <w:tcW w:w="1430" w:type="dxa"/>
            <w:shd w:val="clear" w:color="auto" w:fill="auto"/>
          </w:tcPr>
          <w:p w14:paraId="0B2DC3CA" w14:textId="77777777" w:rsidR="002523FB" w:rsidRPr="000C5ED6" w:rsidRDefault="002523FB" w:rsidP="00C2153C">
            <w:pPr>
              <w:jc w:val="center"/>
              <w:rPr>
                <w:rFonts w:ascii="Arial" w:hAnsi="Arial" w:cs="Arial"/>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75BCD2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7D538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430" w:type="dxa"/>
            <w:shd w:val="clear" w:color="auto" w:fill="auto"/>
          </w:tcPr>
          <w:p w14:paraId="79ED95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clear" w:color="auto" w:fill="auto"/>
          </w:tcPr>
          <w:p w14:paraId="2A8690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w:t>
            </w:r>
          </w:p>
        </w:tc>
      </w:tr>
      <w:tr w:rsidR="002523FB" w:rsidRPr="000C5ED6" w14:paraId="4B2379AA" w14:textId="77777777" w:rsidTr="00C2153C">
        <w:tc>
          <w:tcPr>
            <w:tcW w:w="2750" w:type="dxa"/>
            <w:shd w:val="clear" w:color="auto" w:fill="auto"/>
          </w:tcPr>
          <w:p w14:paraId="2551CADF"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Kiribati</w:t>
            </w:r>
            <w:r w:rsidRPr="00A643B7">
              <w:rPr>
                <w:rFonts w:ascii="Arial" w:hAnsi="Arial" w:cs="Arial"/>
                <w:snapToGrid w:val="0"/>
                <w:color w:val="000000"/>
                <w:sz w:val="18"/>
                <w:szCs w:val="18"/>
                <w:vertAlign w:val="superscript"/>
              </w:rPr>
              <w:t>2</w:t>
            </w:r>
          </w:p>
        </w:tc>
        <w:tc>
          <w:tcPr>
            <w:tcW w:w="1430" w:type="dxa"/>
            <w:shd w:val="clear" w:color="auto" w:fill="auto"/>
          </w:tcPr>
          <w:p w14:paraId="4DE0995D" w14:textId="77777777" w:rsidR="002523FB" w:rsidRPr="003303D1" w:rsidRDefault="002523FB" w:rsidP="00C2153C">
            <w:pPr>
              <w:jc w:val="center"/>
              <w:rPr>
                <w:rFonts w:ascii="Arial" w:hAnsi="Arial" w:cs="Arial"/>
                <w:i/>
                <w:snapToGrid w:val="0"/>
                <w:color w:val="000000"/>
                <w:sz w:val="18"/>
                <w:szCs w:val="18"/>
              </w:rPr>
            </w:pPr>
            <w:proofErr w:type="spellStart"/>
            <w:r>
              <w:rPr>
                <w:rFonts w:ascii="Arial" w:hAnsi="Arial" w:cs="Arial"/>
                <w:snapToGrid w:val="0"/>
                <w:color w:val="000000"/>
                <w:sz w:val="18"/>
                <w:szCs w:val="18"/>
              </w:rPr>
              <w:t>S</w:t>
            </w:r>
            <w:r>
              <w:rPr>
                <w:rFonts w:ascii="Arial" w:hAnsi="Arial" w:cs="Arial"/>
                <w:i/>
                <w:snapToGrid w:val="0"/>
                <w:color w:val="000000"/>
                <w:sz w:val="18"/>
                <w:szCs w:val="18"/>
              </w:rPr>
              <w:t>ter</w:t>
            </w:r>
            <w:proofErr w:type="spellEnd"/>
          </w:p>
        </w:tc>
        <w:tc>
          <w:tcPr>
            <w:tcW w:w="1210" w:type="dxa"/>
            <w:shd w:val="clear" w:color="auto" w:fill="auto"/>
          </w:tcPr>
          <w:p w14:paraId="3C686225"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0B8A0BB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430" w:type="dxa"/>
            <w:shd w:val="clear" w:color="auto" w:fill="auto"/>
          </w:tcPr>
          <w:p w14:paraId="49F0695C"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320" w:type="dxa"/>
            <w:shd w:val="clear" w:color="auto" w:fill="auto"/>
          </w:tcPr>
          <w:p w14:paraId="2706CE42" w14:textId="273D89E9" w:rsidR="002523FB" w:rsidRPr="000C5ED6" w:rsidRDefault="002523FB" w:rsidP="009D40F3">
            <w:pPr>
              <w:jc w:val="right"/>
              <w:rPr>
                <w:rFonts w:ascii="Arial" w:hAnsi="Arial" w:cs="Arial"/>
                <w:snapToGrid w:val="0"/>
                <w:color w:val="000000"/>
                <w:sz w:val="18"/>
                <w:szCs w:val="18"/>
              </w:rPr>
            </w:pPr>
            <w:r>
              <w:rPr>
                <w:rFonts w:ascii="Arial" w:hAnsi="Arial" w:cs="Arial"/>
                <w:snapToGrid w:val="0"/>
                <w:color w:val="000000"/>
                <w:sz w:val="18"/>
                <w:szCs w:val="18"/>
              </w:rPr>
              <w:t>2</w:t>
            </w:r>
            <w:r w:rsidR="009D40F3">
              <w:rPr>
                <w:rFonts w:ascii="Arial" w:hAnsi="Arial" w:cs="Arial"/>
                <w:snapToGrid w:val="0"/>
                <w:color w:val="000000"/>
                <w:sz w:val="18"/>
                <w:szCs w:val="18"/>
              </w:rPr>
              <w:t>,</w:t>
            </w:r>
            <w:r>
              <w:rPr>
                <w:rFonts w:ascii="Arial" w:hAnsi="Arial" w:cs="Arial"/>
                <w:snapToGrid w:val="0"/>
                <w:color w:val="000000"/>
                <w:sz w:val="18"/>
                <w:szCs w:val="18"/>
              </w:rPr>
              <w:t>848</w:t>
            </w:r>
            <w:r w:rsidRPr="000C5ED6">
              <w:rPr>
                <w:rFonts w:ascii="Arial" w:hAnsi="Arial" w:cs="Arial"/>
                <w:snapToGrid w:val="0"/>
                <w:color w:val="000000"/>
                <w:sz w:val="18"/>
                <w:szCs w:val="18"/>
              </w:rPr>
              <w:t xml:space="preserve"> </w:t>
            </w:r>
          </w:p>
        </w:tc>
      </w:tr>
      <w:tr w:rsidR="002523FB" w:rsidRPr="000C5ED6" w14:paraId="0B9A0E64" w14:textId="77777777" w:rsidTr="00BC15CA">
        <w:tc>
          <w:tcPr>
            <w:tcW w:w="2750" w:type="dxa"/>
            <w:shd w:val="clear" w:color="auto" w:fill="auto"/>
          </w:tcPr>
          <w:p w14:paraId="2AFF57BC" w14:textId="77777777" w:rsidR="002523FB" w:rsidRPr="000C5ED6" w:rsidRDefault="002523FB" w:rsidP="00C2153C">
            <w:pPr>
              <w:rPr>
                <w:rFonts w:ascii="Arial" w:hAnsi="Arial" w:cs="Arial"/>
                <w:snapToGrid w:val="0"/>
                <w:color w:val="000000"/>
                <w:sz w:val="18"/>
                <w:szCs w:val="18"/>
                <w:vertAlign w:val="superscript"/>
              </w:rPr>
            </w:pPr>
            <w:r>
              <w:rPr>
                <w:rFonts w:ascii="Arial" w:hAnsi="Arial" w:cs="Arial"/>
                <w:snapToGrid w:val="0"/>
                <w:color w:val="000000"/>
                <w:sz w:val="18"/>
                <w:szCs w:val="18"/>
              </w:rPr>
              <w:t>Kuwait</w:t>
            </w:r>
          </w:p>
        </w:tc>
        <w:tc>
          <w:tcPr>
            <w:tcW w:w="1430" w:type="dxa"/>
            <w:shd w:val="clear" w:color="auto" w:fill="auto"/>
          </w:tcPr>
          <w:p w14:paraId="20D58D2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B940F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A3377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37E13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6B151B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5682C51A" w14:textId="77777777" w:rsidTr="00C2153C">
        <w:tc>
          <w:tcPr>
            <w:tcW w:w="2750" w:type="dxa"/>
            <w:shd w:val="clear" w:color="auto" w:fill="auto"/>
          </w:tcPr>
          <w:p w14:paraId="3026CB8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Kyrgyzstan</w:t>
            </w:r>
          </w:p>
        </w:tc>
        <w:tc>
          <w:tcPr>
            <w:tcW w:w="1430" w:type="dxa"/>
            <w:shd w:val="clear" w:color="auto" w:fill="auto"/>
          </w:tcPr>
          <w:p w14:paraId="5B59B7A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BE861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CE9D8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72119D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28E439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290FC50C" w14:textId="77777777" w:rsidTr="00BC15CA">
        <w:tc>
          <w:tcPr>
            <w:tcW w:w="2750" w:type="dxa"/>
            <w:shd w:val="clear" w:color="auto" w:fill="auto"/>
          </w:tcPr>
          <w:p w14:paraId="71D04F75" w14:textId="77777777" w:rsidR="002523FB" w:rsidRPr="008C0069" w:rsidRDefault="002523FB" w:rsidP="00C2153C">
            <w:pPr>
              <w:rPr>
                <w:rFonts w:ascii="Arial" w:hAnsi="Arial" w:cs="Arial"/>
                <w:snapToGrid w:val="0"/>
                <w:color w:val="000000"/>
                <w:sz w:val="17"/>
                <w:szCs w:val="17"/>
              </w:rPr>
            </w:pPr>
            <w:r w:rsidRPr="008C0069">
              <w:rPr>
                <w:rFonts w:ascii="Arial" w:hAnsi="Arial" w:cs="Arial"/>
                <w:b/>
                <w:snapToGrid w:val="0"/>
                <w:color w:val="000000"/>
                <w:sz w:val="18"/>
                <w:szCs w:val="18"/>
              </w:rPr>
              <w:t>L</w:t>
            </w:r>
            <w:r w:rsidRPr="008C0069">
              <w:rPr>
                <w:rFonts w:ascii="Arial" w:hAnsi="Arial" w:cs="Arial"/>
                <w:snapToGrid w:val="0"/>
                <w:color w:val="000000"/>
                <w:sz w:val="17"/>
                <w:szCs w:val="17"/>
              </w:rPr>
              <w:t xml:space="preserve">ao People's Democratic Republic </w:t>
            </w:r>
          </w:p>
        </w:tc>
        <w:tc>
          <w:tcPr>
            <w:tcW w:w="1430" w:type="dxa"/>
            <w:shd w:val="clear" w:color="auto" w:fill="auto"/>
          </w:tcPr>
          <w:p w14:paraId="5F85339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1419EE7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41DE42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6B062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7B154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ADAEAB9" w14:textId="77777777" w:rsidTr="00C2153C">
        <w:tc>
          <w:tcPr>
            <w:tcW w:w="2750" w:type="dxa"/>
            <w:shd w:val="clear" w:color="auto" w:fill="auto"/>
          </w:tcPr>
          <w:p w14:paraId="5D071F2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Latvia</w:t>
            </w:r>
          </w:p>
        </w:tc>
        <w:tc>
          <w:tcPr>
            <w:tcW w:w="1430" w:type="dxa"/>
            <w:shd w:val="clear" w:color="auto" w:fill="auto"/>
          </w:tcPr>
          <w:p w14:paraId="7542BAB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C01C4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AC996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729FD6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9039E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DE6852C" w14:textId="77777777" w:rsidTr="00BC15CA">
        <w:tc>
          <w:tcPr>
            <w:tcW w:w="2750" w:type="dxa"/>
            <w:shd w:val="clear" w:color="auto" w:fill="auto"/>
          </w:tcPr>
          <w:p w14:paraId="5B6B7D3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Lebanon</w:t>
            </w:r>
          </w:p>
        </w:tc>
        <w:tc>
          <w:tcPr>
            <w:tcW w:w="1430" w:type="dxa"/>
            <w:shd w:val="clear" w:color="auto" w:fill="auto"/>
          </w:tcPr>
          <w:p w14:paraId="45AFA82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7ED2E61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BD0E4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7D54A2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6C8AA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52C867FE" w14:textId="77777777" w:rsidTr="00C2153C">
        <w:tc>
          <w:tcPr>
            <w:tcW w:w="2750" w:type="dxa"/>
            <w:shd w:val="clear" w:color="auto" w:fill="auto"/>
          </w:tcPr>
          <w:p w14:paraId="2F8FB7B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Lesotho</w:t>
            </w:r>
          </w:p>
        </w:tc>
        <w:tc>
          <w:tcPr>
            <w:tcW w:w="1430" w:type="dxa"/>
            <w:shd w:val="clear" w:color="auto" w:fill="auto"/>
          </w:tcPr>
          <w:p w14:paraId="37887D7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A4213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3FB83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2F8BF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BD198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398406F8" w14:textId="77777777" w:rsidTr="00BC15CA">
        <w:tc>
          <w:tcPr>
            <w:tcW w:w="2750" w:type="dxa"/>
            <w:shd w:val="clear" w:color="auto" w:fill="auto"/>
          </w:tcPr>
          <w:p w14:paraId="6D4A641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Liberia</w:t>
            </w:r>
          </w:p>
        </w:tc>
        <w:tc>
          <w:tcPr>
            <w:tcW w:w="1430" w:type="dxa"/>
            <w:shd w:val="clear" w:color="auto" w:fill="auto"/>
          </w:tcPr>
          <w:p w14:paraId="59EEF15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EAD83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1A535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5A0AB8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684852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96DDDC2" w14:textId="77777777" w:rsidTr="00C2153C">
        <w:tc>
          <w:tcPr>
            <w:tcW w:w="2750" w:type="dxa"/>
            <w:shd w:val="clear" w:color="auto" w:fill="auto"/>
          </w:tcPr>
          <w:p w14:paraId="190C3468"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Libya</w:t>
            </w:r>
            <w:r w:rsidRPr="000C5ED6">
              <w:rPr>
                <w:rFonts w:ascii="Arial" w:hAnsi="Arial" w:cs="Arial"/>
                <w:snapToGrid w:val="0"/>
                <w:color w:val="000000"/>
                <w:sz w:val="18"/>
                <w:szCs w:val="18"/>
              </w:rPr>
              <w:t xml:space="preserve"> </w:t>
            </w:r>
          </w:p>
        </w:tc>
        <w:tc>
          <w:tcPr>
            <w:tcW w:w="1430" w:type="dxa"/>
            <w:shd w:val="clear" w:color="auto" w:fill="auto"/>
          </w:tcPr>
          <w:p w14:paraId="04434B3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4A9DA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34043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737BFE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6F2532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22010520" w14:textId="77777777" w:rsidTr="00BC15CA">
        <w:tc>
          <w:tcPr>
            <w:tcW w:w="2750" w:type="dxa"/>
            <w:shd w:val="clear" w:color="auto" w:fill="auto"/>
          </w:tcPr>
          <w:p w14:paraId="16E1316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Liechtenstein</w:t>
            </w:r>
          </w:p>
        </w:tc>
        <w:tc>
          <w:tcPr>
            <w:tcW w:w="1430" w:type="dxa"/>
            <w:shd w:val="clear" w:color="auto" w:fill="auto"/>
          </w:tcPr>
          <w:p w14:paraId="5831BCD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0725B4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4C7D43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7C98AD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084A35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382BF479" w14:textId="77777777" w:rsidTr="00C2153C">
        <w:tc>
          <w:tcPr>
            <w:tcW w:w="2750" w:type="dxa"/>
            <w:shd w:val="clear" w:color="auto" w:fill="auto"/>
          </w:tcPr>
          <w:p w14:paraId="1C2E6C0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Lithuania</w:t>
            </w:r>
          </w:p>
        </w:tc>
        <w:tc>
          <w:tcPr>
            <w:tcW w:w="1430" w:type="dxa"/>
            <w:shd w:val="clear" w:color="auto" w:fill="auto"/>
          </w:tcPr>
          <w:p w14:paraId="3BF3F6E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952EC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1D47F7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CF7F68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FBAB1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4D656D0" w14:textId="77777777" w:rsidTr="00BC15CA">
        <w:tc>
          <w:tcPr>
            <w:tcW w:w="2750" w:type="dxa"/>
            <w:shd w:val="clear" w:color="auto" w:fill="auto"/>
          </w:tcPr>
          <w:p w14:paraId="094E99C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Luxembourg</w:t>
            </w:r>
          </w:p>
        </w:tc>
        <w:tc>
          <w:tcPr>
            <w:tcW w:w="1430" w:type="dxa"/>
            <w:shd w:val="clear" w:color="auto" w:fill="auto"/>
          </w:tcPr>
          <w:p w14:paraId="276F312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6FBC88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2ED8AA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490C8A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0132CC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5BB89E8C" w14:textId="77777777" w:rsidTr="00C2153C">
        <w:tc>
          <w:tcPr>
            <w:tcW w:w="2750" w:type="dxa"/>
            <w:shd w:val="clear" w:color="auto" w:fill="auto"/>
          </w:tcPr>
          <w:p w14:paraId="7DCD334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M</w:t>
            </w:r>
            <w:r w:rsidRPr="000C5ED6">
              <w:rPr>
                <w:rFonts w:ascii="Arial" w:hAnsi="Arial" w:cs="Arial"/>
                <w:snapToGrid w:val="0"/>
                <w:color w:val="000000"/>
                <w:sz w:val="18"/>
                <w:szCs w:val="18"/>
              </w:rPr>
              <w:t>adagascar</w:t>
            </w:r>
          </w:p>
        </w:tc>
        <w:tc>
          <w:tcPr>
            <w:tcW w:w="1430" w:type="dxa"/>
            <w:shd w:val="clear" w:color="auto" w:fill="auto"/>
          </w:tcPr>
          <w:p w14:paraId="44359F65"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830D1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DCB7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570C8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2CDC9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7E66F3AB" w14:textId="77777777" w:rsidTr="00BC15CA">
        <w:tc>
          <w:tcPr>
            <w:tcW w:w="2750" w:type="dxa"/>
            <w:shd w:val="clear" w:color="auto" w:fill="auto"/>
          </w:tcPr>
          <w:p w14:paraId="54A759B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Malawi</w:t>
            </w:r>
          </w:p>
        </w:tc>
        <w:tc>
          <w:tcPr>
            <w:tcW w:w="1430" w:type="dxa"/>
            <w:shd w:val="clear" w:color="auto" w:fill="auto"/>
          </w:tcPr>
          <w:p w14:paraId="3329C12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3E409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E3FED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5758A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952F3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95445E7" w14:textId="77777777" w:rsidTr="00C2153C">
        <w:tc>
          <w:tcPr>
            <w:tcW w:w="2750" w:type="dxa"/>
            <w:shd w:val="clear" w:color="auto" w:fill="auto"/>
          </w:tcPr>
          <w:p w14:paraId="4E9EE15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Malaysia</w:t>
            </w:r>
          </w:p>
        </w:tc>
        <w:tc>
          <w:tcPr>
            <w:tcW w:w="1430" w:type="dxa"/>
            <w:shd w:val="clear" w:color="auto" w:fill="auto"/>
          </w:tcPr>
          <w:p w14:paraId="4037373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214F3C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77D6F1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0C0A91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0C6EFF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705B65D7" w14:textId="77777777" w:rsidTr="00BC15CA">
        <w:tc>
          <w:tcPr>
            <w:tcW w:w="2750" w:type="dxa"/>
            <w:shd w:val="clear" w:color="auto" w:fill="auto"/>
          </w:tcPr>
          <w:p w14:paraId="510A7A8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Maldives </w:t>
            </w:r>
            <w:r w:rsidRPr="000C5ED6">
              <w:rPr>
                <w:rFonts w:ascii="Arial" w:hAnsi="Arial" w:cs="Arial"/>
                <w:snapToGrid w:val="0"/>
                <w:color w:val="000000"/>
                <w:sz w:val="18"/>
                <w:szCs w:val="18"/>
                <w:vertAlign w:val="superscript"/>
              </w:rPr>
              <w:t>2</w:t>
            </w:r>
          </w:p>
        </w:tc>
        <w:tc>
          <w:tcPr>
            <w:tcW w:w="1430" w:type="dxa"/>
            <w:shd w:val="clear" w:color="auto" w:fill="auto"/>
          </w:tcPr>
          <w:p w14:paraId="1A0B24B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Pr>
                <w:rFonts w:ascii="Arial" w:hAnsi="Arial" w:cs="Arial"/>
                <w:i/>
                <w:snapToGrid w:val="0"/>
                <w:color w:val="000000"/>
                <w:sz w:val="18"/>
                <w:szCs w:val="18"/>
              </w:rPr>
              <w:t>bis</w:t>
            </w:r>
            <w:proofErr w:type="spellEnd"/>
          </w:p>
        </w:tc>
        <w:tc>
          <w:tcPr>
            <w:tcW w:w="1210" w:type="dxa"/>
            <w:shd w:val="clear" w:color="auto" w:fill="auto"/>
          </w:tcPr>
          <w:p w14:paraId="388C8FF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037BF0DE"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44D42AF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1A81606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0C2A1DBD" w14:textId="77777777" w:rsidTr="00C2153C">
        <w:tc>
          <w:tcPr>
            <w:tcW w:w="2750" w:type="dxa"/>
            <w:shd w:val="clear" w:color="auto" w:fill="auto"/>
          </w:tcPr>
          <w:p w14:paraId="7D5EEBE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Mali</w:t>
            </w:r>
          </w:p>
        </w:tc>
        <w:tc>
          <w:tcPr>
            <w:tcW w:w="1430" w:type="dxa"/>
            <w:shd w:val="clear" w:color="auto" w:fill="auto"/>
          </w:tcPr>
          <w:p w14:paraId="3D8DE8D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82A89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2DC591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A536D0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D896D1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2C2F4735" w14:textId="77777777" w:rsidTr="00BC15CA">
        <w:tc>
          <w:tcPr>
            <w:tcW w:w="2750" w:type="dxa"/>
            <w:shd w:val="clear" w:color="auto" w:fill="auto"/>
          </w:tcPr>
          <w:p w14:paraId="46C3991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Malta</w:t>
            </w:r>
          </w:p>
        </w:tc>
        <w:tc>
          <w:tcPr>
            <w:tcW w:w="1430" w:type="dxa"/>
            <w:shd w:val="clear" w:color="auto" w:fill="auto"/>
          </w:tcPr>
          <w:p w14:paraId="58D5522F"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0ABEC9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4510A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40323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476FEEF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E81A212" w14:textId="77777777" w:rsidTr="00C2153C">
        <w:tc>
          <w:tcPr>
            <w:tcW w:w="2750" w:type="dxa"/>
            <w:shd w:val="clear" w:color="auto" w:fill="auto"/>
          </w:tcPr>
          <w:p w14:paraId="2CCB8F0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Mauritania</w:t>
            </w:r>
          </w:p>
        </w:tc>
        <w:tc>
          <w:tcPr>
            <w:tcW w:w="1430" w:type="dxa"/>
            <w:shd w:val="clear" w:color="auto" w:fill="auto"/>
          </w:tcPr>
          <w:p w14:paraId="183BB48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458A3B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2C77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BDE6B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ED2F8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FAA182E" w14:textId="77777777" w:rsidTr="00BC15CA">
        <w:tc>
          <w:tcPr>
            <w:tcW w:w="2750" w:type="dxa"/>
            <w:shd w:val="clear" w:color="auto" w:fill="auto"/>
          </w:tcPr>
          <w:p w14:paraId="2E33669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Mauritius</w:t>
            </w:r>
          </w:p>
        </w:tc>
        <w:tc>
          <w:tcPr>
            <w:tcW w:w="1430" w:type="dxa"/>
            <w:shd w:val="clear" w:color="auto" w:fill="auto"/>
          </w:tcPr>
          <w:p w14:paraId="04F4088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0F7C9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D01F4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2EFE70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7241C18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ADD0C6A" w14:textId="77777777" w:rsidTr="00C2153C">
        <w:tc>
          <w:tcPr>
            <w:tcW w:w="2750" w:type="dxa"/>
            <w:shd w:val="clear" w:color="auto" w:fill="auto"/>
          </w:tcPr>
          <w:p w14:paraId="1B6E892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Mexico</w:t>
            </w:r>
          </w:p>
        </w:tc>
        <w:tc>
          <w:tcPr>
            <w:tcW w:w="1430" w:type="dxa"/>
            <w:shd w:val="clear" w:color="auto" w:fill="auto"/>
          </w:tcPr>
          <w:p w14:paraId="7A8FB0D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757F4F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301866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332956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53DF5C1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76B5F513" w14:textId="77777777" w:rsidTr="00BC15CA">
        <w:tc>
          <w:tcPr>
            <w:tcW w:w="2750" w:type="dxa"/>
            <w:shd w:val="clear" w:color="auto" w:fill="auto"/>
          </w:tcPr>
          <w:p w14:paraId="4D32167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Micronesia (Federates States of)</w:t>
            </w:r>
          </w:p>
        </w:tc>
        <w:tc>
          <w:tcPr>
            <w:tcW w:w="1430" w:type="dxa"/>
            <w:shd w:val="clear" w:color="auto" w:fill="auto"/>
          </w:tcPr>
          <w:p w14:paraId="1595033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10AA087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61468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clear" w:color="auto" w:fill="auto"/>
          </w:tcPr>
          <w:p w14:paraId="37F0F6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clear" w:color="auto" w:fill="auto"/>
          </w:tcPr>
          <w:p w14:paraId="321F52B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2523FB" w:rsidRPr="000C5ED6" w14:paraId="342B5346" w14:textId="77777777" w:rsidTr="00BC15CA">
        <w:tc>
          <w:tcPr>
            <w:tcW w:w="2750" w:type="dxa"/>
            <w:shd w:val="clear" w:color="auto" w:fill="auto"/>
          </w:tcPr>
          <w:p w14:paraId="3D87C0A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Monaco</w:t>
            </w:r>
          </w:p>
        </w:tc>
        <w:tc>
          <w:tcPr>
            <w:tcW w:w="1430" w:type="dxa"/>
            <w:shd w:val="clear" w:color="auto" w:fill="auto"/>
          </w:tcPr>
          <w:p w14:paraId="1BF5BB8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3D27F8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41667B1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138C827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1076AF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1993CA14" w14:textId="77777777" w:rsidTr="00BC15CA">
        <w:tc>
          <w:tcPr>
            <w:tcW w:w="2750" w:type="dxa"/>
            <w:shd w:val="clear" w:color="auto" w:fill="auto"/>
          </w:tcPr>
          <w:p w14:paraId="7D267CE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Mongolia</w:t>
            </w:r>
          </w:p>
        </w:tc>
        <w:tc>
          <w:tcPr>
            <w:tcW w:w="1430" w:type="dxa"/>
            <w:shd w:val="clear" w:color="auto" w:fill="auto"/>
          </w:tcPr>
          <w:p w14:paraId="48933111"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1CE30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E14F7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560036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F6ED2A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3677009" w14:textId="77777777" w:rsidTr="00BC15CA">
        <w:tc>
          <w:tcPr>
            <w:tcW w:w="2750" w:type="dxa"/>
            <w:shd w:val="clear" w:color="auto" w:fill="auto"/>
          </w:tcPr>
          <w:p w14:paraId="55BC155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lastRenderedPageBreak/>
              <w:t>Montenegro</w:t>
            </w:r>
          </w:p>
        </w:tc>
        <w:tc>
          <w:tcPr>
            <w:tcW w:w="1430" w:type="dxa"/>
            <w:shd w:val="clear" w:color="auto" w:fill="auto"/>
          </w:tcPr>
          <w:p w14:paraId="2B8B8DA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3C66B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E0A9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47006AC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60CC8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684964FC" w14:textId="77777777" w:rsidTr="00BC15CA">
        <w:tc>
          <w:tcPr>
            <w:tcW w:w="2750" w:type="dxa"/>
            <w:shd w:val="clear" w:color="auto" w:fill="auto"/>
          </w:tcPr>
          <w:p w14:paraId="1241EA7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Morocco</w:t>
            </w:r>
          </w:p>
        </w:tc>
        <w:tc>
          <w:tcPr>
            <w:tcW w:w="1430" w:type="dxa"/>
            <w:shd w:val="clear" w:color="auto" w:fill="auto"/>
          </w:tcPr>
          <w:p w14:paraId="05CC2E2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51413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E2F3F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25916E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575162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340E4815" w14:textId="77777777" w:rsidTr="00BC15CA">
        <w:tc>
          <w:tcPr>
            <w:tcW w:w="2750" w:type="dxa"/>
            <w:shd w:val="clear" w:color="auto" w:fill="auto"/>
          </w:tcPr>
          <w:p w14:paraId="62B40F0E"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Mozambique</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30B2816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4B1BF74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0AEB5A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2085B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5B0A0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5AA9BB1" w14:textId="77777777" w:rsidTr="00BC15CA">
        <w:tc>
          <w:tcPr>
            <w:tcW w:w="2750" w:type="dxa"/>
            <w:shd w:val="clear" w:color="auto" w:fill="auto"/>
          </w:tcPr>
          <w:p w14:paraId="22F01C15"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Myanmar </w:t>
            </w:r>
            <w:r w:rsidRPr="000C5ED6">
              <w:rPr>
                <w:rFonts w:ascii="Arial" w:hAnsi="Arial" w:cs="Arial"/>
                <w:snapToGrid w:val="0"/>
                <w:color w:val="000000"/>
                <w:sz w:val="18"/>
                <w:szCs w:val="18"/>
                <w:vertAlign w:val="superscript"/>
              </w:rPr>
              <w:t>2</w:t>
            </w:r>
          </w:p>
        </w:tc>
        <w:tc>
          <w:tcPr>
            <w:tcW w:w="1430" w:type="dxa"/>
            <w:shd w:val="clear" w:color="auto" w:fill="auto"/>
          </w:tcPr>
          <w:p w14:paraId="70720BE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24042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64C22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1C8CF7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4FCB4F3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305BE00" w14:textId="77777777" w:rsidTr="00BC15CA">
        <w:tc>
          <w:tcPr>
            <w:tcW w:w="2750" w:type="dxa"/>
            <w:shd w:val="clear" w:color="auto" w:fill="auto"/>
          </w:tcPr>
          <w:p w14:paraId="3D239D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N</w:t>
            </w:r>
            <w:r w:rsidRPr="000C5ED6">
              <w:rPr>
                <w:rFonts w:ascii="Arial" w:hAnsi="Arial" w:cs="Arial"/>
                <w:snapToGrid w:val="0"/>
                <w:color w:val="000000"/>
                <w:sz w:val="18"/>
                <w:szCs w:val="18"/>
              </w:rPr>
              <w:t>amibia</w:t>
            </w:r>
          </w:p>
        </w:tc>
        <w:tc>
          <w:tcPr>
            <w:tcW w:w="1430" w:type="dxa"/>
            <w:shd w:val="clear" w:color="auto" w:fill="auto"/>
          </w:tcPr>
          <w:p w14:paraId="1A56A88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098C322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26D37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2E58D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B6955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2A3B37D" w14:textId="77777777" w:rsidTr="00BC15CA">
        <w:tc>
          <w:tcPr>
            <w:tcW w:w="2750" w:type="dxa"/>
            <w:shd w:val="clear" w:color="auto" w:fill="auto"/>
          </w:tcPr>
          <w:p w14:paraId="6E56E3A8"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Nepal </w:t>
            </w:r>
          </w:p>
        </w:tc>
        <w:tc>
          <w:tcPr>
            <w:tcW w:w="1430" w:type="dxa"/>
            <w:shd w:val="clear" w:color="auto" w:fill="auto"/>
          </w:tcPr>
          <w:p w14:paraId="1668A62F"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47BC20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72B6D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7801DF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AF8B77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7FAFC401" w14:textId="77777777" w:rsidTr="00BC15CA">
        <w:tc>
          <w:tcPr>
            <w:tcW w:w="2750" w:type="dxa"/>
            <w:shd w:val="clear" w:color="auto" w:fill="auto"/>
          </w:tcPr>
          <w:p w14:paraId="4D29991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Netherlands</w:t>
            </w:r>
          </w:p>
        </w:tc>
        <w:tc>
          <w:tcPr>
            <w:tcW w:w="1430" w:type="dxa"/>
            <w:shd w:val="clear" w:color="auto" w:fill="auto"/>
          </w:tcPr>
          <w:p w14:paraId="4FE35A5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600E1B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184A20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6EC7497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6E59A2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31E9FE6F" w14:textId="77777777" w:rsidTr="00BC15CA">
        <w:tc>
          <w:tcPr>
            <w:tcW w:w="2750" w:type="dxa"/>
            <w:shd w:val="clear" w:color="auto" w:fill="auto"/>
          </w:tcPr>
          <w:p w14:paraId="14FF5FF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New Zealand</w:t>
            </w:r>
          </w:p>
        </w:tc>
        <w:tc>
          <w:tcPr>
            <w:tcW w:w="1430" w:type="dxa"/>
            <w:shd w:val="clear" w:color="auto" w:fill="auto"/>
          </w:tcPr>
          <w:p w14:paraId="2411351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432F5D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0B2B40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156678D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1736F1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6527367" w14:textId="77777777" w:rsidTr="00BC15CA">
        <w:tc>
          <w:tcPr>
            <w:tcW w:w="2750" w:type="dxa"/>
            <w:shd w:val="clear" w:color="auto" w:fill="auto"/>
          </w:tcPr>
          <w:p w14:paraId="78D2BCE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Nicaragua</w:t>
            </w:r>
          </w:p>
        </w:tc>
        <w:tc>
          <w:tcPr>
            <w:tcW w:w="1430" w:type="dxa"/>
            <w:shd w:val="clear" w:color="auto" w:fill="auto"/>
          </w:tcPr>
          <w:p w14:paraId="47A65FF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4BD0D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3BBE83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AC8D5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55A642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1B498482" w14:textId="77777777" w:rsidTr="00BC15CA">
        <w:tc>
          <w:tcPr>
            <w:tcW w:w="2750" w:type="dxa"/>
            <w:shd w:val="clear" w:color="auto" w:fill="auto"/>
          </w:tcPr>
          <w:p w14:paraId="0422322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Niger </w:t>
            </w:r>
          </w:p>
        </w:tc>
        <w:tc>
          <w:tcPr>
            <w:tcW w:w="1430" w:type="dxa"/>
            <w:shd w:val="clear" w:color="auto" w:fill="auto"/>
          </w:tcPr>
          <w:p w14:paraId="2EE9CB3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A2501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8AEB8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1EA65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83F9B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B01C56" w14:paraId="31BCB323" w14:textId="77777777" w:rsidTr="00BC15CA">
        <w:tc>
          <w:tcPr>
            <w:tcW w:w="2750" w:type="dxa"/>
            <w:shd w:val="clear" w:color="auto" w:fill="auto"/>
          </w:tcPr>
          <w:p w14:paraId="6E6D320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Nigeria</w:t>
            </w:r>
          </w:p>
        </w:tc>
        <w:tc>
          <w:tcPr>
            <w:tcW w:w="1430" w:type="dxa"/>
            <w:shd w:val="clear" w:color="auto" w:fill="auto"/>
          </w:tcPr>
          <w:p w14:paraId="6E266A8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52D27B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FE6A2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DF9D00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73AF938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63FCC7AB" w14:textId="77777777" w:rsidTr="00BC15CA">
        <w:tc>
          <w:tcPr>
            <w:tcW w:w="2750" w:type="dxa"/>
            <w:shd w:val="clear" w:color="auto" w:fill="auto"/>
          </w:tcPr>
          <w:p w14:paraId="2F3105A1"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Niue</w:t>
            </w:r>
            <w:r w:rsidRPr="00635E95">
              <w:rPr>
                <w:rFonts w:ascii="Arial" w:hAnsi="Arial" w:cs="Arial"/>
                <w:snapToGrid w:val="0"/>
                <w:color w:val="000000"/>
                <w:sz w:val="18"/>
                <w:szCs w:val="18"/>
                <w:vertAlign w:val="superscript"/>
              </w:rPr>
              <w:t>2</w:t>
            </w:r>
          </w:p>
        </w:tc>
        <w:tc>
          <w:tcPr>
            <w:tcW w:w="1430" w:type="dxa"/>
            <w:shd w:val="clear" w:color="auto" w:fill="auto"/>
          </w:tcPr>
          <w:p w14:paraId="06B1C902" w14:textId="77777777" w:rsidR="002523FB" w:rsidRPr="000C5ED6" w:rsidRDefault="002523FB" w:rsidP="00C2153C">
            <w:pPr>
              <w:jc w:val="center"/>
              <w:rPr>
                <w:rFonts w:ascii="Arial" w:hAnsi="Arial" w:cs="Arial"/>
                <w:snapToGrid w:val="0"/>
                <w:color w:val="000000"/>
                <w:sz w:val="18"/>
                <w:szCs w:val="18"/>
              </w:rPr>
            </w:pPr>
            <w:proofErr w:type="spellStart"/>
            <w:r>
              <w:rPr>
                <w:rFonts w:ascii="Arial" w:hAnsi="Arial" w:cs="Arial"/>
                <w:snapToGrid w:val="0"/>
                <w:color w:val="000000"/>
                <w:sz w:val="18"/>
                <w:szCs w:val="18"/>
              </w:rPr>
              <w:t>S</w:t>
            </w:r>
            <w:r w:rsidRPr="00DD7368">
              <w:rPr>
                <w:rFonts w:ascii="Arial" w:hAnsi="Arial" w:cs="Arial"/>
                <w:i/>
                <w:snapToGrid w:val="0"/>
                <w:color w:val="000000"/>
                <w:sz w:val="18"/>
                <w:szCs w:val="18"/>
              </w:rPr>
              <w:t>bis</w:t>
            </w:r>
            <w:proofErr w:type="spellEnd"/>
          </w:p>
        </w:tc>
        <w:tc>
          <w:tcPr>
            <w:tcW w:w="1210" w:type="dxa"/>
            <w:shd w:val="clear" w:color="auto" w:fill="auto"/>
          </w:tcPr>
          <w:p w14:paraId="6D790B3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57AF633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7E7E1DF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475005D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1F0E709E" w14:textId="77777777" w:rsidTr="00BC15CA">
        <w:tc>
          <w:tcPr>
            <w:tcW w:w="2750" w:type="dxa"/>
            <w:shd w:val="clear" w:color="auto" w:fill="auto"/>
          </w:tcPr>
          <w:p w14:paraId="7384DE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Norway</w:t>
            </w:r>
          </w:p>
        </w:tc>
        <w:tc>
          <w:tcPr>
            <w:tcW w:w="1430" w:type="dxa"/>
            <w:shd w:val="clear" w:color="auto" w:fill="auto"/>
          </w:tcPr>
          <w:p w14:paraId="4B5ED6AE"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105EB0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1BA999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547F0EF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296EE9D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6E40B4B4" w14:textId="77777777" w:rsidTr="00BC15CA">
        <w:tc>
          <w:tcPr>
            <w:tcW w:w="2750" w:type="dxa"/>
            <w:shd w:val="clear" w:color="auto" w:fill="auto"/>
          </w:tcPr>
          <w:p w14:paraId="0803331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b/>
                <w:snapToGrid w:val="0"/>
                <w:color w:val="000000"/>
                <w:sz w:val="18"/>
                <w:szCs w:val="18"/>
              </w:rPr>
              <w:t>O</w:t>
            </w:r>
            <w:r w:rsidRPr="000C5ED6">
              <w:rPr>
                <w:rFonts w:ascii="Arial" w:hAnsi="Arial" w:cs="Arial"/>
                <w:snapToGrid w:val="0"/>
                <w:color w:val="000000"/>
                <w:sz w:val="18"/>
                <w:szCs w:val="18"/>
              </w:rPr>
              <w:t>man</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7DCCD7F1"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368534C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2F46BC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47BFAD3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1F6484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5B1F7769" w14:textId="77777777" w:rsidTr="00BC15CA">
        <w:tc>
          <w:tcPr>
            <w:tcW w:w="2750" w:type="dxa"/>
            <w:shd w:val="clear" w:color="auto" w:fill="auto"/>
          </w:tcPr>
          <w:p w14:paraId="436161A4"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P</w:t>
            </w:r>
            <w:r w:rsidRPr="000C5ED6">
              <w:rPr>
                <w:rFonts w:ascii="Arial" w:hAnsi="Arial" w:cs="Arial"/>
                <w:snapToGrid w:val="0"/>
                <w:color w:val="000000"/>
                <w:sz w:val="18"/>
                <w:szCs w:val="18"/>
              </w:rPr>
              <w:t>akistan</w:t>
            </w:r>
          </w:p>
        </w:tc>
        <w:tc>
          <w:tcPr>
            <w:tcW w:w="1430" w:type="dxa"/>
            <w:shd w:val="clear" w:color="auto" w:fill="auto"/>
          </w:tcPr>
          <w:p w14:paraId="09EB9AF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EA577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CDA24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7B39D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0BE2F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726E091A" w14:textId="77777777" w:rsidTr="00BC15CA">
        <w:tc>
          <w:tcPr>
            <w:tcW w:w="2750" w:type="dxa"/>
            <w:shd w:val="clear" w:color="auto" w:fill="auto"/>
          </w:tcPr>
          <w:p w14:paraId="6134DCB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Panama</w:t>
            </w:r>
          </w:p>
        </w:tc>
        <w:tc>
          <w:tcPr>
            <w:tcW w:w="1430" w:type="dxa"/>
            <w:shd w:val="clear" w:color="auto" w:fill="auto"/>
          </w:tcPr>
          <w:p w14:paraId="440570E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FC99F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4FB60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0AAC65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12B9869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2CC1F3DC" w14:textId="77777777" w:rsidTr="00BC15CA">
        <w:tc>
          <w:tcPr>
            <w:tcW w:w="2750" w:type="dxa"/>
            <w:shd w:val="clear" w:color="auto" w:fill="auto"/>
          </w:tcPr>
          <w:p w14:paraId="0260230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Papua New Guinea </w:t>
            </w:r>
          </w:p>
        </w:tc>
        <w:tc>
          <w:tcPr>
            <w:tcW w:w="1430" w:type="dxa"/>
            <w:shd w:val="clear" w:color="auto" w:fill="auto"/>
          </w:tcPr>
          <w:p w14:paraId="3D2BC13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2A1463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0104D0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5C68E31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EDC84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C0CFF4C" w14:textId="77777777" w:rsidTr="00BC15CA">
        <w:tc>
          <w:tcPr>
            <w:tcW w:w="2750" w:type="dxa"/>
            <w:shd w:val="clear" w:color="auto" w:fill="auto"/>
          </w:tcPr>
          <w:p w14:paraId="27B5074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Paraguay</w:t>
            </w:r>
          </w:p>
        </w:tc>
        <w:tc>
          <w:tcPr>
            <w:tcW w:w="1430" w:type="dxa"/>
            <w:shd w:val="clear" w:color="auto" w:fill="auto"/>
          </w:tcPr>
          <w:p w14:paraId="66E600A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0B39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2453102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219FF5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10AA30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4DD5E51" w14:textId="77777777" w:rsidTr="00BC15CA">
        <w:tc>
          <w:tcPr>
            <w:tcW w:w="2750" w:type="dxa"/>
            <w:shd w:val="clear" w:color="auto" w:fill="auto"/>
          </w:tcPr>
          <w:p w14:paraId="49AAFF5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Peru</w:t>
            </w:r>
          </w:p>
        </w:tc>
        <w:tc>
          <w:tcPr>
            <w:tcW w:w="1430" w:type="dxa"/>
            <w:shd w:val="clear" w:color="auto" w:fill="auto"/>
          </w:tcPr>
          <w:p w14:paraId="4011B83E"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02D5F8F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65BDF34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432ABDD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59C0CF4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43C2D657" w14:textId="77777777" w:rsidTr="00BC15CA">
        <w:tc>
          <w:tcPr>
            <w:tcW w:w="2750" w:type="dxa"/>
            <w:shd w:val="clear" w:color="auto" w:fill="auto"/>
          </w:tcPr>
          <w:p w14:paraId="4B781CB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Philippines</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59F3A4A0"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72FF74C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4D2FCA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3D7044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16F4AD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7DD77F5E" w14:textId="77777777" w:rsidTr="00BC15CA">
        <w:tc>
          <w:tcPr>
            <w:tcW w:w="2750" w:type="dxa"/>
            <w:shd w:val="clear" w:color="auto" w:fill="auto"/>
          </w:tcPr>
          <w:p w14:paraId="24A599E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Poland</w:t>
            </w:r>
          </w:p>
        </w:tc>
        <w:tc>
          <w:tcPr>
            <w:tcW w:w="1430" w:type="dxa"/>
            <w:shd w:val="clear" w:color="auto" w:fill="auto"/>
          </w:tcPr>
          <w:p w14:paraId="000D112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1057B26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0F64CE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294D102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0C719E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667B331" w14:textId="77777777" w:rsidTr="00BC15CA">
        <w:tc>
          <w:tcPr>
            <w:tcW w:w="2750" w:type="dxa"/>
            <w:shd w:val="clear" w:color="auto" w:fill="auto"/>
          </w:tcPr>
          <w:p w14:paraId="4F3E317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Portugal</w:t>
            </w:r>
          </w:p>
        </w:tc>
        <w:tc>
          <w:tcPr>
            <w:tcW w:w="1430" w:type="dxa"/>
            <w:shd w:val="clear" w:color="auto" w:fill="auto"/>
          </w:tcPr>
          <w:p w14:paraId="1FFBC10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1829D3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1790D1E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29D1BDD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6E6CFE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142EB8F2" w14:textId="77777777" w:rsidTr="00BC15CA">
        <w:tc>
          <w:tcPr>
            <w:tcW w:w="2750" w:type="dxa"/>
            <w:shd w:val="clear" w:color="auto" w:fill="auto"/>
          </w:tcPr>
          <w:p w14:paraId="3352447B"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Q</w:t>
            </w:r>
            <w:r w:rsidRPr="000C5ED6">
              <w:rPr>
                <w:rFonts w:ascii="Arial" w:hAnsi="Arial" w:cs="Arial"/>
                <w:snapToGrid w:val="0"/>
                <w:color w:val="000000"/>
                <w:sz w:val="18"/>
                <w:szCs w:val="18"/>
              </w:rPr>
              <w:t xml:space="preserve">atar </w:t>
            </w:r>
          </w:p>
        </w:tc>
        <w:tc>
          <w:tcPr>
            <w:tcW w:w="1430" w:type="dxa"/>
            <w:shd w:val="clear" w:color="auto" w:fill="auto"/>
          </w:tcPr>
          <w:p w14:paraId="7619E8D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B0574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B4DF6E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790654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02EE89F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79B9A76C" w14:textId="77777777" w:rsidTr="00BC15CA">
        <w:tc>
          <w:tcPr>
            <w:tcW w:w="2750" w:type="dxa"/>
            <w:shd w:val="clear" w:color="auto" w:fill="auto"/>
          </w:tcPr>
          <w:p w14:paraId="5F79DFF3"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R</w:t>
            </w:r>
            <w:r w:rsidRPr="000C5ED6">
              <w:rPr>
                <w:rFonts w:ascii="Arial" w:hAnsi="Arial" w:cs="Arial"/>
                <w:snapToGrid w:val="0"/>
                <w:color w:val="000000"/>
                <w:sz w:val="18"/>
                <w:szCs w:val="18"/>
              </w:rPr>
              <w:t xml:space="preserve">epublic of Korea </w:t>
            </w:r>
          </w:p>
        </w:tc>
        <w:tc>
          <w:tcPr>
            <w:tcW w:w="1430" w:type="dxa"/>
            <w:shd w:val="clear" w:color="auto" w:fill="auto"/>
          </w:tcPr>
          <w:p w14:paraId="61915B6C" w14:textId="77777777" w:rsidR="002523FB" w:rsidRPr="00280457" w:rsidRDefault="002523FB" w:rsidP="00C2153C">
            <w:pPr>
              <w:jc w:val="center"/>
              <w:rPr>
                <w:rFonts w:ascii="Arial" w:hAnsi="Arial" w:cs="Arial"/>
                <w:i/>
                <w:snapToGrid w:val="0"/>
                <w:color w:val="000000"/>
                <w:sz w:val="18"/>
                <w:szCs w:val="18"/>
              </w:rPr>
            </w:pPr>
            <w:proofErr w:type="spellStart"/>
            <w:r>
              <w:rPr>
                <w:rFonts w:ascii="Arial" w:hAnsi="Arial" w:cs="Arial"/>
                <w:snapToGrid w:val="0"/>
                <w:color w:val="000000"/>
                <w:sz w:val="18"/>
                <w:szCs w:val="18"/>
              </w:rPr>
              <w:t>IV</w:t>
            </w:r>
            <w:r>
              <w:rPr>
                <w:rFonts w:ascii="Arial" w:hAnsi="Arial" w:cs="Arial"/>
                <w:i/>
                <w:snapToGrid w:val="0"/>
                <w:color w:val="000000"/>
                <w:sz w:val="18"/>
                <w:szCs w:val="18"/>
              </w:rPr>
              <w:t>bis</w:t>
            </w:r>
            <w:proofErr w:type="spellEnd"/>
          </w:p>
        </w:tc>
        <w:tc>
          <w:tcPr>
            <w:tcW w:w="1210" w:type="dxa"/>
            <w:shd w:val="clear" w:color="auto" w:fill="auto"/>
          </w:tcPr>
          <w:p w14:paraId="206D188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7.5</w:t>
            </w:r>
          </w:p>
        </w:tc>
        <w:tc>
          <w:tcPr>
            <w:tcW w:w="1320" w:type="dxa"/>
            <w:shd w:val="clear" w:color="auto" w:fill="auto"/>
          </w:tcPr>
          <w:p w14:paraId="1452A1CD"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430" w:type="dxa"/>
            <w:shd w:val="clear" w:color="auto" w:fill="auto"/>
          </w:tcPr>
          <w:p w14:paraId="4115F62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320" w:type="dxa"/>
            <w:shd w:val="clear" w:color="auto" w:fill="auto"/>
          </w:tcPr>
          <w:p w14:paraId="02906D3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683,684</w:t>
            </w:r>
            <w:r w:rsidRPr="000C5ED6">
              <w:rPr>
                <w:rFonts w:ascii="Arial" w:hAnsi="Arial" w:cs="Arial"/>
                <w:snapToGrid w:val="0"/>
                <w:color w:val="000000"/>
                <w:sz w:val="18"/>
                <w:szCs w:val="18"/>
              </w:rPr>
              <w:t xml:space="preserve"> </w:t>
            </w:r>
          </w:p>
        </w:tc>
      </w:tr>
      <w:tr w:rsidR="002523FB" w:rsidRPr="000C5ED6" w14:paraId="2DD4E37D" w14:textId="77777777" w:rsidTr="00BC15CA">
        <w:tc>
          <w:tcPr>
            <w:tcW w:w="2750" w:type="dxa"/>
            <w:shd w:val="clear" w:color="auto" w:fill="auto"/>
          </w:tcPr>
          <w:p w14:paraId="6258C40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Republic of Moldova </w:t>
            </w:r>
          </w:p>
        </w:tc>
        <w:tc>
          <w:tcPr>
            <w:tcW w:w="1430" w:type="dxa"/>
            <w:shd w:val="clear" w:color="auto" w:fill="auto"/>
          </w:tcPr>
          <w:p w14:paraId="026569F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079EA9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CE9E5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41E1D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26BD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w:t>
            </w:r>
          </w:p>
        </w:tc>
      </w:tr>
      <w:tr w:rsidR="002523FB" w:rsidRPr="000C5ED6" w14:paraId="03770E04" w14:textId="77777777" w:rsidTr="00BC15CA">
        <w:tc>
          <w:tcPr>
            <w:tcW w:w="2750" w:type="dxa"/>
            <w:shd w:val="clear" w:color="auto" w:fill="auto"/>
          </w:tcPr>
          <w:p w14:paraId="5B28064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Romania</w:t>
            </w:r>
          </w:p>
        </w:tc>
        <w:tc>
          <w:tcPr>
            <w:tcW w:w="1430" w:type="dxa"/>
            <w:shd w:val="clear" w:color="auto" w:fill="auto"/>
          </w:tcPr>
          <w:p w14:paraId="2984CF45"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671053D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786E68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3EB0C16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1DF963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77C6B7FC" w14:textId="77777777" w:rsidTr="00BC15CA">
        <w:tc>
          <w:tcPr>
            <w:tcW w:w="2750" w:type="dxa"/>
            <w:shd w:val="clear" w:color="auto" w:fill="auto"/>
          </w:tcPr>
          <w:p w14:paraId="09614EB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Russian Federation </w:t>
            </w:r>
          </w:p>
        </w:tc>
        <w:tc>
          <w:tcPr>
            <w:tcW w:w="1430" w:type="dxa"/>
            <w:shd w:val="clear" w:color="auto" w:fill="auto"/>
          </w:tcPr>
          <w:p w14:paraId="7514F90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40A341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520B83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1EC38F3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4F5B2C7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331B53CF" w14:textId="77777777" w:rsidTr="00C2153C">
        <w:tc>
          <w:tcPr>
            <w:tcW w:w="2750" w:type="dxa"/>
            <w:shd w:val="clear" w:color="auto" w:fill="auto"/>
          </w:tcPr>
          <w:p w14:paraId="1D8D331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Rwanda</w:t>
            </w:r>
          </w:p>
        </w:tc>
        <w:tc>
          <w:tcPr>
            <w:tcW w:w="1430" w:type="dxa"/>
            <w:shd w:val="clear" w:color="auto" w:fill="auto"/>
          </w:tcPr>
          <w:p w14:paraId="4CECB1A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2F68EA8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FAFF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62CDC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42041E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3E1D189C" w14:textId="77777777" w:rsidTr="00BC15CA">
        <w:tc>
          <w:tcPr>
            <w:tcW w:w="2750" w:type="dxa"/>
            <w:shd w:val="clear" w:color="auto" w:fill="auto"/>
          </w:tcPr>
          <w:p w14:paraId="3A6AF3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S</w:t>
            </w:r>
            <w:r w:rsidRPr="000C5ED6">
              <w:rPr>
                <w:rFonts w:ascii="Arial" w:hAnsi="Arial" w:cs="Arial"/>
                <w:snapToGrid w:val="0"/>
                <w:color w:val="000000"/>
                <w:sz w:val="18"/>
                <w:szCs w:val="18"/>
              </w:rPr>
              <w:t>aint Kitts and Nevis</w:t>
            </w:r>
          </w:p>
        </w:tc>
        <w:tc>
          <w:tcPr>
            <w:tcW w:w="1430" w:type="dxa"/>
            <w:shd w:val="clear" w:color="auto" w:fill="auto"/>
          </w:tcPr>
          <w:p w14:paraId="3404DFA3"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3A04440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0B3D7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E4FF09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7BCE8D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79D75859" w14:textId="77777777" w:rsidTr="00C2153C">
        <w:tc>
          <w:tcPr>
            <w:tcW w:w="2750" w:type="dxa"/>
            <w:shd w:val="clear" w:color="auto" w:fill="auto"/>
          </w:tcPr>
          <w:p w14:paraId="7D45E38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Saint Lucia</w:t>
            </w:r>
          </w:p>
        </w:tc>
        <w:tc>
          <w:tcPr>
            <w:tcW w:w="1430" w:type="dxa"/>
            <w:shd w:val="clear" w:color="auto" w:fill="auto"/>
          </w:tcPr>
          <w:p w14:paraId="7D36772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D84F2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05BA7A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73C9E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2BA1D0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81BA43E" w14:textId="77777777" w:rsidTr="00BC15CA">
        <w:tc>
          <w:tcPr>
            <w:tcW w:w="2750" w:type="dxa"/>
            <w:shd w:val="clear" w:color="auto" w:fill="auto"/>
          </w:tcPr>
          <w:p w14:paraId="55653DE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Saint Vincent and the Grenadines</w:t>
            </w:r>
          </w:p>
        </w:tc>
        <w:tc>
          <w:tcPr>
            <w:tcW w:w="1430" w:type="dxa"/>
            <w:shd w:val="clear" w:color="auto" w:fill="auto"/>
          </w:tcPr>
          <w:p w14:paraId="28048C3A"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18467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F86A9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C1417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9E317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7C9E89E1" w14:textId="77777777" w:rsidTr="00C2153C">
        <w:tc>
          <w:tcPr>
            <w:tcW w:w="2750" w:type="dxa"/>
            <w:shd w:val="clear" w:color="auto" w:fill="auto"/>
          </w:tcPr>
          <w:p w14:paraId="3778B0D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Samoa </w:t>
            </w:r>
          </w:p>
        </w:tc>
        <w:tc>
          <w:tcPr>
            <w:tcW w:w="1430" w:type="dxa"/>
            <w:shd w:val="clear" w:color="auto" w:fill="auto"/>
          </w:tcPr>
          <w:p w14:paraId="2C26266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Pr>
                <w:rFonts w:ascii="Arial" w:hAnsi="Arial" w:cs="Arial"/>
                <w:i/>
                <w:snapToGrid w:val="0"/>
                <w:color w:val="000000"/>
                <w:sz w:val="18"/>
                <w:szCs w:val="18"/>
              </w:rPr>
              <w:t>bis</w:t>
            </w:r>
            <w:proofErr w:type="spellEnd"/>
          </w:p>
        </w:tc>
        <w:tc>
          <w:tcPr>
            <w:tcW w:w="1210" w:type="dxa"/>
            <w:shd w:val="clear" w:color="auto" w:fill="auto"/>
          </w:tcPr>
          <w:p w14:paraId="4E9B99D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4269292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575C1CB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03C6CC7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675BB8C8" w14:textId="77777777" w:rsidTr="00BC15CA">
        <w:tc>
          <w:tcPr>
            <w:tcW w:w="2750" w:type="dxa"/>
            <w:shd w:val="clear" w:color="auto" w:fill="auto"/>
          </w:tcPr>
          <w:p w14:paraId="691C73B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San Marino</w:t>
            </w:r>
          </w:p>
        </w:tc>
        <w:tc>
          <w:tcPr>
            <w:tcW w:w="1430" w:type="dxa"/>
            <w:shd w:val="clear" w:color="auto" w:fill="auto"/>
          </w:tcPr>
          <w:p w14:paraId="03906B2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66AB28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6506B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633CC1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6C2876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B0631C3" w14:textId="77777777" w:rsidTr="00C2153C">
        <w:tc>
          <w:tcPr>
            <w:tcW w:w="2750" w:type="dxa"/>
            <w:shd w:val="clear" w:color="auto" w:fill="auto"/>
          </w:tcPr>
          <w:p w14:paraId="44CCB6A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Sao Tome and Principe</w:t>
            </w:r>
          </w:p>
        </w:tc>
        <w:tc>
          <w:tcPr>
            <w:tcW w:w="1430" w:type="dxa"/>
            <w:shd w:val="clear" w:color="auto" w:fill="auto"/>
          </w:tcPr>
          <w:p w14:paraId="7C8746D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CB62F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457890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D2FC3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C5CB1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3BA21C1" w14:textId="77777777" w:rsidTr="00BC15CA">
        <w:tc>
          <w:tcPr>
            <w:tcW w:w="2750" w:type="dxa"/>
            <w:shd w:val="clear" w:color="auto" w:fill="auto"/>
          </w:tcPr>
          <w:p w14:paraId="47AFEFF0"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Saudi Arabia</w:t>
            </w:r>
          </w:p>
        </w:tc>
        <w:tc>
          <w:tcPr>
            <w:tcW w:w="1430" w:type="dxa"/>
            <w:shd w:val="clear" w:color="auto" w:fill="auto"/>
          </w:tcPr>
          <w:p w14:paraId="4394ABD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399064C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737685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24FF7C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786487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76D1E6C5" w14:textId="77777777" w:rsidTr="00BC15CA">
        <w:tc>
          <w:tcPr>
            <w:tcW w:w="2750" w:type="dxa"/>
            <w:shd w:val="clear" w:color="auto" w:fill="auto"/>
          </w:tcPr>
          <w:p w14:paraId="56ADCCF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Senega</w:t>
            </w:r>
            <w:r>
              <w:rPr>
                <w:rFonts w:ascii="Arial" w:hAnsi="Arial" w:cs="Arial"/>
                <w:snapToGrid w:val="0"/>
                <w:color w:val="000000"/>
                <w:sz w:val="18"/>
                <w:szCs w:val="18"/>
              </w:rPr>
              <w:t>l</w:t>
            </w:r>
          </w:p>
        </w:tc>
        <w:tc>
          <w:tcPr>
            <w:tcW w:w="1430" w:type="dxa"/>
            <w:shd w:val="clear" w:color="auto" w:fill="auto"/>
          </w:tcPr>
          <w:p w14:paraId="649E0AFB" w14:textId="77777777" w:rsidR="002523FB" w:rsidRPr="00BC3807" w:rsidRDefault="002523FB" w:rsidP="00C2153C">
            <w:pPr>
              <w:jc w:val="center"/>
              <w:rPr>
                <w:rFonts w:ascii="Arial" w:hAnsi="Arial" w:cs="Arial"/>
                <w:i/>
                <w:iCs/>
                <w:snapToGrid w:val="0"/>
                <w:color w:val="000000"/>
                <w:sz w:val="18"/>
                <w:szCs w:val="18"/>
              </w:rPr>
            </w:pPr>
            <w:proofErr w:type="spellStart"/>
            <w:r w:rsidRPr="00BC3807">
              <w:rPr>
                <w:rFonts w:ascii="Arial" w:hAnsi="Arial" w:cs="Arial"/>
                <w:i/>
                <w:iCs/>
                <w:snapToGrid w:val="0"/>
                <w:color w:val="000000"/>
                <w:sz w:val="18"/>
                <w:szCs w:val="18"/>
              </w:rPr>
              <w:t>Ster</w:t>
            </w:r>
            <w:proofErr w:type="spellEnd"/>
          </w:p>
        </w:tc>
        <w:tc>
          <w:tcPr>
            <w:tcW w:w="1210" w:type="dxa"/>
            <w:shd w:val="clear" w:color="auto" w:fill="auto"/>
          </w:tcPr>
          <w:p w14:paraId="1E182FC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0EEA5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7E515F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12C3A6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392AEB0A" w14:textId="77777777" w:rsidTr="00BC15CA">
        <w:tc>
          <w:tcPr>
            <w:tcW w:w="2750" w:type="dxa"/>
            <w:shd w:val="clear" w:color="auto" w:fill="auto"/>
          </w:tcPr>
          <w:p w14:paraId="6D8EFB1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Serbia</w:t>
            </w:r>
          </w:p>
        </w:tc>
        <w:tc>
          <w:tcPr>
            <w:tcW w:w="1430" w:type="dxa"/>
            <w:shd w:val="clear" w:color="auto" w:fill="auto"/>
          </w:tcPr>
          <w:p w14:paraId="214488C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5D406D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0BB953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430" w:type="dxa"/>
            <w:shd w:val="clear" w:color="auto" w:fill="auto"/>
          </w:tcPr>
          <w:p w14:paraId="5FC9570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320" w:type="dxa"/>
            <w:shd w:val="clear" w:color="auto" w:fill="auto"/>
          </w:tcPr>
          <w:p w14:paraId="4A1C42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45,578</w:t>
            </w:r>
          </w:p>
        </w:tc>
      </w:tr>
      <w:tr w:rsidR="002523FB" w:rsidRPr="000C5ED6" w14:paraId="6705E715" w14:textId="77777777" w:rsidTr="00C2153C">
        <w:tc>
          <w:tcPr>
            <w:tcW w:w="2750" w:type="dxa"/>
            <w:shd w:val="clear" w:color="auto" w:fill="auto"/>
          </w:tcPr>
          <w:p w14:paraId="3E879EC6"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Seychelles </w:t>
            </w:r>
          </w:p>
        </w:tc>
        <w:tc>
          <w:tcPr>
            <w:tcW w:w="1430" w:type="dxa"/>
            <w:shd w:val="clear" w:color="auto" w:fill="auto"/>
          </w:tcPr>
          <w:p w14:paraId="73E2D7F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6084D8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36DE86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A7A08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6B4F4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0D3A0523" w14:textId="77777777" w:rsidTr="00BC15CA">
        <w:tc>
          <w:tcPr>
            <w:tcW w:w="2750" w:type="dxa"/>
            <w:shd w:val="clear" w:color="auto" w:fill="auto"/>
          </w:tcPr>
          <w:p w14:paraId="687EF5B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Sierra Leone</w:t>
            </w:r>
          </w:p>
        </w:tc>
        <w:tc>
          <w:tcPr>
            <w:tcW w:w="1430" w:type="dxa"/>
            <w:shd w:val="clear" w:color="auto" w:fill="auto"/>
          </w:tcPr>
          <w:p w14:paraId="69A4FBD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795F48B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7748E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D8634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0865A1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FAF291D" w14:textId="77777777" w:rsidTr="00C2153C">
        <w:tc>
          <w:tcPr>
            <w:tcW w:w="2750" w:type="dxa"/>
            <w:shd w:val="clear" w:color="auto" w:fill="auto"/>
          </w:tcPr>
          <w:p w14:paraId="05E3C3B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Singapore</w:t>
            </w:r>
          </w:p>
        </w:tc>
        <w:tc>
          <w:tcPr>
            <w:tcW w:w="1430" w:type="dxa"/>
            <w:shd w:val="clear" w:color="auto" w:fill="auto"/>
          </w:tcPr>
          <w:p w14:paraId="0DD81F9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73FE0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89784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7D544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2BA979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1C014B1" w14:textId="77777777" w:rsidTr="00BC15CA">
        <w:tc>
          <w:tcPr>
            <w:tcW w:w="2750" w:type="dxa"/>
            <w:shd w:val="clear" w:color="auto" w:fill="auto"/>
          </w:tcPr>
          <w:p w14:paraId="1DC909E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Slovakia</w:t>
            </w:r>
          </w:p>
        </w:tc>
        <w:tc>
          <w:tcPr>
            <w:tcW w:w="1430" w:type="dxa"/>
            <w:shd w:val="clear" w:color="auto" w:fill="auto"/>
          </w:tcPr>
          <w:p w14:paraId="448D26D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761752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77D54B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4CD095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790A0DC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19CEE3A" w14:textId="77777777" w:rsidTr="00C2153C">
        <w:tc>
          <w:tcPr>
            <w:tcW w:w="2750" w:type="dxa"/>
            <w:shd w:val="clear" w:color="auto" w:fill="auto"/>
          </w:tcPr>
          <w:p w14:paraId="10E68C0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Slovenia</w:t>
            </w:r>
          </w:p>
        </w:tc>
        <w:tc>
          <w:tcPr>
            <w:tcW w:w="1430" w:type="dxa"/>
            <w:shd w:val="clear" w:color="auto" w:fill="auto"/>
          </w:tcPr>
          <w:p w14:paraId="7796346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5864D0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2E99AF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58DEC72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758A9C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0F819B7D" w14:textId="77777777" w:rsidTr="00BC15CA">
        <w:tc>
          <w:tcPr>
            <w:tcW w:w="2750" w:type="dxa"/>
            <w:shd w:val="clear" w:color="auto" w:fill="auto"/>
          </w:tcPr>
          <w:p w14:paraId="5C6C167D"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Somalia </w:t>
            </w:r>
            <w:r w:rsidRPr="000C5ED6">
              <w:rPr>
                <w:rFonts w:ascii="Arial" w:hAnsi="Arial" w:cs="Arial"/>
                <w:snapToGrid w:val="0"/>
                <w:color w:val="000000"/>
                <w:sz w:val="18"/>
                <w:szCs w:val="18"/>
                <w:vertAlign w:val="superscript"/>
              </w:rPr>
              <w:t>2</w:t>
            </w:r>
          </w:p>
        </w:tc>
        <w:tc>
          <w:tcPr>
            <w:tcW w:w="1430" w:type="dxa"/>
            <w:shd w:val="clear" w:color="auto" w:fill="auto"/>
          </w:tcPr>
          <w:p w14:paraId="39A7971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D5B69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E482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77116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86D2DC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0EE7824" w14:textId="77777777" w:rsidTr="00C2153C">
        <w:tc>
          <w:tcPr>
            <w:tcW w:w="2750" w:type="dxa"/>
            <w:shd w:val="clear" w:color="auto" w:fill="auto"/>
          </w:tcPr>
          <w:p w14:paraId="7A36B17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South Africa</w:t>
            </w:r>
          </w:p>
        </w:tc>
        <w:tc>
          <w:tcPr>
            <w:tcW w:w="1430" w:type="dxa"/>
            <w:shd w:val="clear" w:color="auto" w:fill="auto"/>
          </w:tcPr>
          <w:p w14:paraId="1F42549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4EB491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003547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170002C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767711B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03EBFFB4" w14:textId="77777777" w:rsidTr="00BC15CA">
        <w:tc>
          <w:tcPr>
            <w:tcW w:w="2750" w:type="dxa"/>
            <w:shd w:val="clear" w:color="auto" w:fill="auto"/>
          </w:tcPr>
          <w:p w14:paraId="6783DC0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Spain</w:t>
            </w:r>
          </w:p>
        </w:tc>
        <w:tc>
          <w:tcPr>
            <w:tcW w:w="1430" w:type="dxa"/>
            <w:shd w:val="clear" w:color="auto" w:fill="auto"/>
          </w:tcPr>
          <w:p w14:paraId="489C3E4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2D0CEA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639E53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4C0886A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7E2246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581F794D" w14:textId="77777777" w:rsidTr="00C2153C">
        <w:tc>
          <w:tcPr>
            <w:tcW w:w="2750" w:type="dxa"/>
            <w:shd w:val="clear" w:color="auto" w:fill="auto"/>
          </w:tcPr>
          <w:p w14:paraId="0FBD428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Sri Lanka</w:t>
            </w:r>
          </w:p>
        </w:tc>
        <w:tc>
          <w:tcPr>
            <w:tcW w:w="1430" w:type="dxa"/>
            <w:shd w:val="clear" w:color="auto" w:fill="auto"/>
          </w:tcPr>
          <w:p w14:paraId="6AAE205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351B87A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7C2F76D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43EF15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460F68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3917D865" w14:textId="77777777" w:rsidTr="00BC15CA">
        <w:tc>
          <w:tcPr>
            <w:tcW w:w="2750" w:type="dxa"/>
            <w:shd w:val="clear" w:color="auto" w:fill="auto"/>
          </w:tcPr>
          <w:p w14:paraId="4A7D6A3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Sudan </w:t>
            </w:r>
          </w:p>
        </w:tc>
        <w:tc>
          <w:tcPr>
            <w:tcW w:w="1430" w:type="dxa"/>
            <w:shd w:val="clear" w:color="auto" w:fill="auto"/>
          </w:tcPr>
          <w:p w14:paraId="485FD73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1FD0CED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89B26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328AE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AAC8F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D267841" w14:textId="77777777" w:rsidTr="00C2153C">
        <w:tc>
          <w:tcPr>
            <w:tcW w:w="2750" w:type="dxa"/>
            <w:shd w:val="clear" w:color="auto" w:fill="auto"/>
          </w:tcPr>
          <w:p w14:paraId="62D55CA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Suriname</w:t>
            </w:r>
          </w:p>
        </w:tc>
        <w:tc>
          <w:tcPr>
            <w:tcW w:w="1430" w:type="dxa"/>
            <w:shd w:val="clear" w:color="auto" w:fill="auto"/>
          </w:tcPr>
          <w:p w14:paraId="2E4F6056"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362F80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762D1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50ECB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238F57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40C8082" w14:textId="77777777" w:rsidTr="00BC15CA">
        <w:tc>
          <w:tcPr>
            <w:tcW w:w="2750" w:type="dxa"/>
            <w:shd w:val="clear" w:color="auto" w:fill="auto"/>
          </w:tcPr>
          <w:p w14:paraId="57E03A1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Swaziland</w:t>
            </w:r>
          </w:p>
        </w:tc>
        <w:tc>
          <w:tcPr>
            <w:tcW w:w="1430" w:type="dxa"/>
            <w:shd w:val="clear" w:color="auto" w:fill="auto"/>
          </w:tcPr>
          <w:p w14:paraId="50217473"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E7D2F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39145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72A2EC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852301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D67CE09" w14:textId="77777777" w:rsidTr="00C2153C">
        <w:tc>
          <w:tcPr>
            <w:tcW w:w="2750" w:type="dxa"/>
            <w:shd w:val="clear" w:color="auto" w:fill="auto"/>
          </w:tcPr>
          <w:p w14:paraId="2EAAC90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Sweden</w:t>
            </w:r>
          </w:p>
        </w:tc>
        <w:tc>
          <w:tcPr>
            <w:tcW w:w="1430" w:type="dxa"/>
            <w:shd w:val="clear" w:color="auto" w:fill="auto"/>
          </w:tcPr>
          <w:p w14:paraId="68EDF3A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0BA9CB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0BFD3C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0CFEA6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20399D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74D1E7E8" w14:textId="77777777" w:rsidTr="00BC15CA">
        <w:tc>
          <w:tcPr>
            <w:tcW w:w="2750" w:type="dxa"/>
            <w:shd w:val="clear" w:color="auto" w:fill="auto"/>
          </w:tcPr>
          <w:p w14:paraId="7258262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Switzerland</w:t>
            </w:r>
          </w:p>
        </w:tc>
        <w:tc>
          <w:tcPr>
            <w:tcW w:w="1430" w:type="dxa"/>
            <w:shd w:val="clear" w:color="auto" w:fill="auto"/>
          </w:tcPr>
          <w:p w14:paraId="3ABD96A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1649DD7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2AC0D7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43246D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67925B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18BC9998" w14:textId="77777777" w:rsidTr="00C2153C">
        <w:tc>
          <w:tcPr>
            <w:tcW w:w="2750" w:type="dxa"/>
            <w:shd w:val="clear" w:color="auto" w:fill="auto"/>
          </w:tcPr>
          <w:p w14:paraId="33BAA6D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Syrian Arab Republic </w:t>
            </w:r>
          </w:p>
        </w:tc>
        <w:tc>
          <w:tcPr>
            <w:tcW w:w="1430" w:type="dxa"/>
            <w:shd w:val="clear" w:color="auto" w:fill="auto"/>
          </w:tcPr>
          <w:p w14:paraId="1AA0689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6D94F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29D781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14:paraId="4B97B77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14:paraId="16676C9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1FE3FA9B" w14:textId="77777777" w:rsidTr="00BC15CA">
        <w:tc>
          <w:tcPr>
            <w:tcW w:w="2750" w:type="dxa"/>
            <w:shd w:val="clear" w:color="auto" w:fill="auto"/>
          </w:tcPr>
          <w:p w14:paraId="165D286C"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T</w:t>
            </w:r>
            <w:r w:rsidRPr="000C5ED6">
              <w:rPr>
                <w:rFonts w:ascii="Arial" w:hAnsi="Arial" w:cs="Arial"/>
                <w:snapToGrid w:val="0"/>
                <w:color w:val="000000"/>
                <w:sz w:val="18"/>
                <w:szCs w:val="18"/>
              </w:rPr>
              <w:t>ajikistan</w:t>
            </w:r>
          </w:p>
        </w:tc>
        <w:tc>
          <w:tcPr>
            <w:tcW w:w="1430" w:type="dxa"/>
            <w:shd w:val="clear" w:color="auto" w:fill="auto"/>
          </w:tcPr>
          <w:p w14:paraId="0EE486A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00EC9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256FC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E345C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9D873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D749F8B" w14:textId="77777777" w:rsidTr="00C2153C">
        <w:tc>
          <w:tcPr>
            <w:tcW w:w="2750" w:type="dxa"/>
            <w:shd w:val="clear" w:color="auto" w:fill="auto"/>
          </w:tcPr>
          <w:p w14:paraId="0811C5E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Thailand</w:t>
            </w:r>
          </w:p>
        </w:tc>
        <w:tc>
          <w:tcPr>
            <w:tcW w:w="1430" w:type="dxa"/>
            <w:shd w:val="clear" w:color="auto" w:fill="auto"/>
          </w:tcPr>
          <w:p w14:paraId="2CE3091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CE071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977B3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020BD0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3018C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DF9BC7A" w14:textId="77777777" w:rsidTr="00BC15CA">
        <w:tc>
          <w:tcPr>
            <w:tcW w:w="2750" w:type="dxa"/>
            <w:shd w:val="clear" w:color="auto" w:fill="auto"/>
          </w:tcPr>
          <w:p w14:paraId="1E1953A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The former Yugoslav Republic of Macedonia</w:t>
            </w:r>
          </w:p>
        </w:tc>
        <w:tc>
          <w:tcPr>
            <w:tcW w:w="1430" w:type="dxa"/>
            <w:shd w:val="clear" w:color="auto" w:fill="auto"/>
          </w:tcPr>
          <w:p w14:paraId="4CAB752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68B93A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0.5</w:t>
            </w:r>
          </w:p>
        </w:tc>
        <w:tc>
          <w:tcPr>
            <w:tcW w:w="1320" w:type="dxa"/>
            <w:shd w:val="clear" w:color="auto" w:fill="auto"/>
          </w:tcPr>
          <w:p w14:paraId="250D91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14A649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4A698AA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64064A70" w14:textId="77777777" w:rsidTr="00C2153C">
        <w:tc>
          <w:tcPr>
            <w:tcW w:w="2750" w:type="dxa"/>
            <w:shd w:val="clear" w:color="auto" w:fill="auto"/>
          </w:tcPr>
          <w:p w14:paraId="00C085E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Togo</w:t>
            </w:r>
          </w:p>
        </w:tc>
        <w:tc>
          <w:tcPr>
            <w:tcW w:w="1430" w:type="dxa"/>
            <w:shd w:val="clear" w:color="auto" w:fill="auto"/>
          </w:tcPr>
          <w:p w14:paraId="74DE2391"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9076F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D49C6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246193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64299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4A9BB58" w14:textId="77777777" w:rsidTr="00BC15CA">
        <w:tc>
          <w:tcPr>
            <w:tcW w:w="2750" w:type="dxa"/>
            <w:shd w:val="clear" w:color="auto" w:fill="auto"/>
          </w:tcPr>
          <w:p w14:paraId="60628D3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Tonga</w:t>
            </w:r>
          </w:p>
        </w:tc>
        <w:tc>
          <w:tcPr>
            <w:tcW w:w="1430" w:type="dxa"/>
            <w:shd w:val="clear" w:color="auto" w:fill="auto"/>
          </w:tcPr>
          <w:p w14:paraId="3FD071B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3AA741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3D7CA1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715668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clear" w:color="auto" w:fill="auto"/>
          </w:tcPr>
          <w:p w14:paraId="1AFC1B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134756C" w14:textId="77777777" w:rsidTr="00C2153C">
        <w:tc>
          <w:tcPr>
            <w:tcW w:w="2750" w:type="dxa"/>
            <w:shd w:val="clear" w:color="auto" w:fill="auto"/>
          </w:tcPr>
          <w:p w14:paraId="0E85109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Trinidad and Tobago</w:t>
            </w:r>
          </w:p>
        </w:tc>
        <w:tc>
          <w:tcPr>
            <w:tcW w:w="1430" w:type="dxa"/>
            <w:shd w:val="clear" w:color="auto" w:fill="auto"/>
          </w:tcPr>
          <w:p w14:paraId="21D925E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28ED9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5D441F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98968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78129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w:t>
            </w:r>
          </w:p>
        </w:tc>
      </w:tr>
      <w:tr w:rsidR="002523FB" w:rsidRPr="000C5ED6" w14:paraId="41225954" w14:textId="77777777" w:rsidTr="00BC15CA">
        <w:tc>
          <w:tcPr>
            <w:tcW w:w="2750" w:type="dxa"/>
            <w:shd w:val="clear" w:color="auto" w:fill="auto"/>
          </w:tcPr>
          <w:p w14:paraId="1489980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Tunisia</w:t>
            </w:r>
          </w:p>
        </w:tc>
        <w:tc>
          <w:tcPr>
            <w:tcW w:w="1430" w:type="dxa"/>
            <w:shd w:val="clear" w:color="auto" w:fill="auto"/>
          </w:tcPr>
          <w:p w14:paraId="7D99748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317EC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47D70BC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FEB07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1693DA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2F95ADBA" w14:textId="77777777" w:rsidTr="00C2153C">
        <w:tc>
          <w:tcPr>
            <w:tcW w:w="2750" w:type="dxa"/>
            <w:shd w:val="clear" w:color="auto" w:fill="auto"/>
          </w:tcPr>
          <w:p w14:paraId="5DC9D57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Turkey</w:t>
            </w:r>
          </w:p>
        </w:tc>
        <w:tc>
          <w:tcPr>
            <w:tcW w:w="1430" w:type="dxa"/>
            <w:shd w:val="clear" w:color="auto" w:fill="auto"/>
          </w:tcPr>
          <w:p w14:paraId="230F09E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12FC9E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006589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526AEB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AD2AF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7A3AF906" w14:textId="77777777" w:rsidTr="00BC15CA">
        <w:tc>
          <w:tcPr>
            <w:tcW w:w="2750" w:type="dxa"/>
            <w:shd w:val="clear" w:color="auto" w:fill="auto"/>
          </w:tcPr>
          <w:p w14:paraId="1C36948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Turkmenistan</w:t>
            </w:r>
          </w:p>
        </w:tc>
        <w:tc>
          <w:tcPr>
            <w:tcW w:w="1430" w:type="dxa"/>
            <w:shd w:val="clear" w:color="auto" w:fill="auto"/>
          </w:tcPr>
          <w:p w14:paraId="74EC143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FCF9B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A83E5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10483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53A57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34F4513C" w14:textId="77777777" w:rsidTr="00BC15CA">
        <w:tc>
          <w:tcPr>
            <w:tcW w:w="2750" w:type="dxa"/>
            <w:shd w:val="clear" w:color="auto" w:fill="auto"/>
          </w:tcPr>
          <w:p w14:paraId="4370583C" w14:textId="77777777" w:rsidR="002523FB" w:rsidRPr="00635E95" w:rsidRDefault="002523FB" w:rsidP="00C2153C">
            <w:pPr>
              <w:keepNext/>
              <w:rPr>
                <w:rFonts w:ascii="Arial" w:hAnsi="Arial" w:cs="Arial"/>
                <w:snapToGrid w:val="0"/>
                <w:color w:val="000000"/>
                <w:sz w:val="18"/>
                <w:szCs w:val="18"/>
              </w:rPr>
            </w:pPr>
            <w:r w:rsidRPr="00635E95">
              <w:rPr>
                <w:rFonts w:ascii="Arial" w:hAnsi="Arial" w:cs="Arial"/>
                <w:snapToGrid w:val="0"/>
                <w:color w:val="000000"/>
                <w:sz w:val="18"/>
                <w:szCs w:val="18"/>
              </w:rPr>
              <w:lastRenderedPageBreak/>
              <w:t>Tuvalu</w:t>
            </w:r>
            <w:r w:rsidRPr="00635E95">
              <w:rPr>
                <w:rFonts w:ascii="Arial" w:hAnsi="Arial" w:cs="Arial"/>
                <w:snapToGrid w:val="0"/>
                <w:color w:val="000000"/>
                <w:sz w:val="18"/>
                <w:szCs w:val="18"/>
                <w:vertAlign w:val="superscript"/>
              </w:rPr>
              <w:t>2</w:t>
            </w:r>
          </w:p>
        </w:tc>
        <w:tc>
          <w:tcPr>
            <w:tcW w:w="1430" w:type="dxa"/>
            <w:shd w:val="clear" w:color="auto" w:fill="auto"/>
          </w:tcPr>
          <w:p w14:paraId="47F5D5C8" w14:textId="77777777" w:rsidR="002523FB" w:rsidRPr="000C5ED6" w:rsidRDefault="002523FB" w:rsidP="00C2153C">
            <w:pPr>
              <w:keepNext/>
              <w:jc w:val="center"/>
              <w:rPr>
                <w:rFonts w:ascii="Arial" w:hAnsi="Arial" w:cs="Arial"/>
                <w:snapToGrid w:val="0"/>
                <w:color w:val="000000"/>
                <w:sz w:val="18"/>
                <w:szCs w:val="18"/>
              </w:rPr>
            </w:pPr>
            <w:proofErr w:type="spellStart"/>
            <w:r>
              <w:rPr>
                <w:rFonts w:ascii="Arial" w:hAnsi="Arial" w:cs="Arial"/>
                <w:snapToGrid w:val="0"/>
                <w:color w:val="000000"/>
                <w:sz w:val="18"/>
                <w:szCs w:val="18"/>
              </w:rPr>
              <w:t>S</w:t>
            </w:r>
            <w:r w:rsidRPr="00635E95">
              <w:rPr>
                <w:rFonts w:ascii="Arial" w:hAnsi="Arial" w:cs="Arial"/>
                <w:i/>
                <w:snapToGrid w:val="0"/>
                <w:color w:val="000000"/>
                <w:sz w:val="18"/>
                <w:szCs w:val="18"/>
              </w:rPr>
              <w:t>ter</w:t>
            </w:r>
            <w:proofErr w:type="spellEnd"/>
          </w:p>
        </w:tc>
        <w:tc>
          <w:tcPr>
            <w:tcW w:w="1210" w:type="dxa"/>
            <w:shd w:val="clear" w:color="auto" w:fill="auto"/>
          </w:tcPr>
          <w:p w14:paraId="3D17274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3C4AD5E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1DFC526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73F2640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60AA3AFD" w14:textId="77777777" w:rsidTr="00BC15CA">
        <w:tc>
          <w:tcPr>
            <w:tcW w:w="2750" w:type="dxa"/>
            <w:shd w:val="clear" w:color="auto" w:fill="auto"/>
          </w:tcPr>
          <w:p w14:paraId="1BDD4BD5" w14:textId="77777777" w:rsidR="002523FB" w:rsidRPr="000C5ED6" w:rsidRDefault="002523FB" w:rsidP="00C2153C">
            <w:pPr>
              <w:keepNext/>
              <w:rPr>
                <w:rFonts w:ascii="Arial" w:hAnsi="Arial" w:cs="Arial"/>
                <w:snapToGrid w:val="0"/>
                <w:color w:val="000000"/>
                <w:sz w:val="18"/>
                <w:szCs w:val="18"/>
              </w:rPr>
            </w:pPr>
            <w:r w:rsidRPr="000C5ED6">
              <w:rPr>
                <w:rFonts w:ascii="Arial" w:hAnsi="Arial" w:cs="Arial"/>
                <w:b/>
                <w:snapToGrid w:val="0"/>
                <w:color w:val="000000"/>
                <w:sz w:val="18"/>
                <w:szCs w:val="18"/>
              </w:rPr>
              <w:t>U</w:t>
            </w:r>
            <w:r w:rsidRPr="000C5ED6">
              <w:rPr>
                <w:rFonts w:ascii="Arial" w:hAnsi="Arial" w:cs="Arial"/>
                <w:snapToGrid w:val="0"/>
                <w:color w:val="000000"/>
                <w:sz w:val="18"/>
                <w:szCs w:val="18"/>
              </w:rPr>
              <w:t>ganda</w:t>
            </w:r>
          </w:p>
        </w:tc>
        <w:tc>
          <w:tcPr>
            <w:tcW w:w="1430" w:type="dxa"/>
            <w:shd w:val="clear" w:color="auto" w:fill="auto"/>
          </w:tcPr>
          <w:p w14:paraId="13B2E679" w14:textId="77777777" w:rsidR="002523FB" w:rsidRPr="000C5ED6" w:rsidRDefault="002523FB" w:rsidP="00C2153C">
            <w:pPr>
              <w:keepNext/>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1407D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215FE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0C7B0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7BF4A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638BE89" w14:textId="77777777" w:rsidTr="00BC15CA">
        <w:tc>
          <w:tcPr>
            <w:tcW w:w="2750" w:type="dxa"/>
            <w:shd w:val="clear" w:color="auto" w:fill="auto"/>
          </w:tcPr>
          <w:p w14:paraId="7DA5F464" w14:textId="77777777" w:rsidR="002523FB" w:rsidRPr="000C5ED6" w:rsidRDefault="002523FB" w:rsidP="00C2153C">
            <w:pPr>
              <w:keepNext/>
              <w:rPr>
                <w:rFonts w:ascii="Arial" w:hAnsi="Arial" w:cs="Arial"/>
                <w:snapToGrid w:val="0"/>
                <w:color w:val="000000"/>
                <w:sz w:val="18"/>
                <w:szCs w:val="18"/>
              </w:rPr>
            </w:pPr>
            <w:r w:rsidRPr="000C5ED6">
              <w:rPr>
                <w:rFonts w:ascii="Arial" w:hAnsi="Arial" w:cs="Arial"/>
                <w:snapToGrid w:val="0"/>
                <w:color w:val="000000"/>
                <w:sz w:val="18"/>
                <w:szCs w:val="18"/>
              </w:rPr>
              <w:t>Ukraine</w:t>
            </w:r>
          </w:p>
        </w:tc>
        <w:tc>
          <w:tcPr>
            <w:tcW w:w="1430" w:type="dxa"/>
            <w:shd w:val="clear" w:color="auto" w:fill="auto"/>
          </w:tcPr>
          <w:p w14:paraId="629DA387" w14:textId="77777777" w:rsidR="002523FB" w:rsidRPr="000C5ED6" w:rsidRDefault="002523FB" w:rsidP="00C2153C">
            <w:pPr>
              <w:keepNext/>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4974D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4B976B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0AF690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30090C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769C55E5" w14:textId="77777777" w:rsidTr="00BC15CA">
        <w:tc>
          <w:tcPr>
            <w:tcW w:w="2750" w:type="dxa"/>
            <w:shd w:val="clear" w:color="auto" w:fill="auto"/>
          </w:tcPr>
          <w:p w14:paraId="29F27E9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Arab Emirates </w:t>
            </w:r>
          </w:p>
        </w:tc>
        <w:tc>
          <w:tcPr>
            <w:tcW w:w="1430" w:type="dxa"/>
            <w:shd w:val="clear" w:color="auto" w:fill="auto"/>
          </w:tcPr>
          <w:p w14:paraId="56F015A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37B0E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2F34F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B4CEF5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186AC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30D5AD33" w14:textId="77777777" w:rsidTr="00BC15CA">
        <w:tc>
          <w:tcPr>
            <w:tcW w:w="2750" w:type="dxa"/>
            <w:shd w:val="clear" w:color="auto" w:fill="auto"/>
          </w:tcPr>
          <w:p w14:paraId="6698309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United Kingdom</w:t>
            </w:r>
          </w:p>
        </w:tc>
        <w:tc>
          <w:tcPr>
            <w:tcW w:w="1430" w:type="dxa"/>
            <w:shd w:val="clear" w:color="auto" w:fill="auto"/>
          </w:tcPr>
          <w:p w14:paraId="778D218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7C4CA1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22E304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7A3435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3FF839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1A932B55" w14:textId="77777777" w:rsidTr="00BC15CA">
        <w:tc>
          <w:tcPr>
            <w:tcW w:w="2750" w:type="dxa"/>
            <w:shd w:val="clear" w:color="auto" w:fill="auto"/>
          </w:tcPr>
          <w:p w14:paraId="106254E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Republic of Tanzania </w:t>
            </w:r>
          </w:p>
        </w:tc>
        <w:tc>
          <w:tcPr>
            <w:tcW w:w="1430" w:type="dxa"/>
            <w:shd w:val="clear" w:color="auto" w:fill="auto"/>
          </w:tcPr>
          <w:p w14:paraId="275FA71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1B99E5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9FE09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1C8B1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B453F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48D589E" w14:textId="77777777" w:rsidTr="00BC15CA">
        <w:tc>
          <w:tcPr>
            <w:tcW w:w="2750" w:type="dxa"/>
            <w:shd w:val="clear" w:color="auto" w:fill="auto"/>
          </w:tcPr>
          <w:p w14:paraId="1AF20F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States of America </w:t>
            </w:r>
          </w:p>
        </w:tc>
        <w:tc>
          <w:tcPr>
            <w:tcW w:w="1430" w:type="dxa"/>
            <w:shd w:val="clear" w:color="auto" w:fill="auto"/>
          </w:tcPr>
          <w:p w14:paraId="534F673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283771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7218E1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3F83D2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3F2E0B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34CFCDCC" w14:textId="77777777" w:rsidTr="00BC15CA">
        <w:tc>
          <w:tcPr>
            <w:tcW w:w="2750" w:type="dxa"/>
            <w:shd w:val="clear" w:color="auto" w:fill="auto"/>
          </w:tcPr>
          <w:p w14:paraId="1D8DA27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Uruguay</w:t>
            </w:r>
          </w:p>
        </w:tc>
        <w:tc>
          <w:tcPr>
            <w:tcW w:w="1430" w:type="dxa"/>
            <w:shd w:val="clear" w:color="auto" w:fill="auto"/>
          </w:tcPr>
          <w:p w14:paraId="5D9E1C0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5A6E5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3EBA9F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87621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070062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5A5E68B4" w14:textId="77777777" w:rsidTr="00BC15CA">
        <w:tc>
          <w:tcPr>
            <w:tcW w:w="2750" w:type="dxa"/>
            <w:shd w:val="clear" w:color="auto" w:fill="auto"/>
          </w:tcPr>
          <w:p w14:paraId="2316EA4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Uzbekistan</w:t>
            </w:r>
          </w:p>
        </w:tc>
        <w:tc>
          <w:tcPr>
            <w:tcW w:w="1430" w:type="dxa"/>
            <w:shd w:val="clear" w:color="auto" w:fill="auto"/>
          </w:tcPr>
          <w:p w14:paraId="412626C4"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6FAA14E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0.25</w:t>
            </w:r>
          </w:p>
        </w:tc>
        <w:tc>
          <w:tcPr>
            <w:tcW w:w="1320" w:type="dxa"/>
            <w:shd w:val="clear" w:color="auto" w:fill="auto"/>
          </w:tcPr>
          <w:p w14:paraId="6AF0CA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329EB9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0E39CC4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411FAEE9" w14:textId="77777777" w:rsidTr="00BC15CA">
        <w:tc>
          <w:tcPr>
            <w:tcW w:w="2750" w:type="dxa"/>
            <w:shd w:val="clear" w:color="auto" w:fill="auto"/>
          </w:tcPr>
          <w:p w14:paraId="72E3A1F8"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Vanuatu</w:t>
            </w:r>
          </w:p>
        </w:tc>
        <w:tc>
          <w:tcPr>
            <w:tcW w:w="1430" w:type="dxa"/>
            <w:shd w:val="clear" w:color="auto" w:fill="auto"/>
          </w:tcPr>
          <w:p w14:paraId="21C9AC78" w14:textId="77777777" w:rsidR="002523FB" w:rsidRDefault="002523FB" w:rsidP="00C2153C">
            <w:pPr>
              <w:jc w:val="center"/>
              <w:rPr>
                <w:rFonts w:ascii="Arial" w:hAnsi="Arial" w:cs="Arial"/>
                <w:snapToGrid w:val="0"/>
                <w:color w:val="000000"/>
                <w:sz w:val="18"/>
                <w:szCs w:val="18"/>
              </w:rPr>
            </w:pPr>
            <w:proofErr w:type="spellStart"/>
            <w:r>
              <w:rPr>
                <w:rFonts w:ascii="Arial" w:hAnsi="Arial" w:cs="Arial"/>
                <w:snapToGrid w:val="0"/>
                <w:color w:val="000000"/>
                <w:sz w:val="18"/>
                <w:szCs w:val="18"/>
              </w:rPr>
              <w:t>S</w:t>
            </w:r>
            <w:r>
              <w:rPr>
                <w:rFonts w:ascii="Arial" w:hAnsi="Arial" w:cs="Arial"/>
                <w:i/>
                <w:snapToGrid w:val="0"/>
                <w:color w:val="000000"/>
                <w:sz w:val="18"/>
                <w:szCs w:val="18"/>
              </w:rPr>
              <w:t>ter</w:t>
            </w:r>
            <w:proofErr w:type="spellEnd"/>
          </w:p>
        </w:tc>
        <w:tc>
          <w:tcPr>
            <w:tcW w:w="1210" w:type="dxa"/>
            <w:shd w:val="clear" w:color="auto" w:fill="auto"/>
          </w:tcPr>
          <w:p w14:paraId="50EA375B" w14:textId="77777777" w:rsidR="002523FB"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445A8E0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61067E1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511F843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12EA325B" w14:textId="77777777" w:rsidTr="00BC15CA">
        <w:tc>
          <w:tcPr>
            <w:tcW w:w="2750" w:type="dxa"/>
            <w:shd w:val="clear" w:color="auto" w:fill="auto"/>
          </w:tcPr>
          <w:p w14:paraId="7785E952" w14:textId="77777777" w:rsidR="002523FB" w:rsidRPr="008C0069" w:rsidRDefault="002523FB" w:rsidP="00C2153C">
            <w:pPr>
              <w:rPr>
                <w:rFonts w:ascii="Arial" w:hAnsi="Arial" w:cs="Arial"/>
                <w:snapToGrid w:val="0"/>
                <w:color w:val="000000"/>
                <w:sz w:val="17"/>
                <w:szCs w:val="17"/>
              </w:rPr>
            </w:pPr>
            <w:r w:rsidRPr="008C0069">
              <w:rPr>
                <w:rFonts w:ascii="Arial" w:hAnsi="Arial" w:cs="Arial"/>
                <w:b/>
                <w:snapToGrid w:val="0"/>
                <w:color w:val="000000"/>
                <w:sz w:val="18"/>
                <w:szCs w:val="18"/>
              </w:rPr>
              <w:t>V</w:t>
            </w:r>
            <w:r w:rsidRPr="008C0069">
              <w:rPr>
                <w:rFonts w:ascii="Arial" w:hAnsi="Arial" w:cs="Arial"/>
                <w:snapToGrid w:val="0"/>
                <w:color w:val="000000"/>
                <w:sz w:val="17"/>
                <w:szCs w:val="17"/>
              </w:rPr>
              <w:t>enezuela (Bolivarian Republic of)</w:t>
            </w:r>
          </w:p>
        </w:tc>
        <w:tc>
          <w:tcPr>
            <w:tcW w:w="1430" w:type="dxa"/>
            <w:shd w:val="clear" w:color="auto" w:fill="auto"/>
          </w:tcPr>
          <w:p w14:paraId="6754F65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417B0B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86F21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4A6374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647260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6C6FC7D5" w14:textId="77777777" w:rsidTr="00BC15CA">
        <w:tc>
          <w:tcPr>
            <w:tcW w:w="2750" w:type="dxa"/>
            <w:shd w:val="clear" w:color="auto" w:fill="auto"/>
          </w:tcPr>
          <w:p w14:paraId="3D9A911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Viet Nam</w:t>
            </w:r>
          </w:p>
        </w:tc>
        <w:tc>
          <w:tcPr>
            <w:tcW w:w="1430" w:type="dxa"/>
            <w:shd w:val="clear" w:color="auto" w:fill="auto"/>
          </w:tcPr>
          <w:p w14:paraId="6DBD1CDC"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B09074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46903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BA84A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022F522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3D8D871F" w14:textId="77777777" w:rsidTr="00BC15CA">
        <w:tc>
          <w:tcPr>
            <w:tcW w:w="2750" w:type="dxa"/>
            <w:shd w:val="clear" w:color="auto" w:fill="auto"/>
          </w:tcPr>
          <w:p w14:paraId="17522787"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b/>
                <w:snapToGrid w:val="0"/>
                <w:color w:val="000000"/>
                <w:sz w:val="18"/>
                <w:szCs w:val="18"/>
              </w:rPr>
              <w:t>Y</w:t>
            </w:r>
            <w:r w:rsidRPr="000C5ED6">
              <w:rPr>
                <w:rFonts w:ascii="Arial" w:hAnsi="Arial" w:cs="Arial"/>
                <w:snapToGrid w:val="0"/>
                <w:color w:val="000000"/>
                <w:sz w:val="18"/>
                <w:szCs w:val="18"/>
              </w:rPr>
              <w:t xml:space="preserve">emen </w:t>
            </w:r>
          </w:p>
        </w:tc>
        <w:tc>
          <w:tcPr>
            <w:tcW w:w="1430" w:type="dxa"/>
            <w:shd w:val="clear" w:color="auto" w:fill="auto"/>
          </w:tcPr>
          <w:p w14:paraId="45C314B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7FEDD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77B4E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077963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6CACF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E060949" w14:textId="77777777" w:rsidTr="00BC15CA">
        <w:tc>
          <w:tcPr>
            <w:tcW w:w="2750" w:type="dxa"/>
            <w:shd w:val="clear" w:color="auto" w:fill="auto"/>
          </w:tcPr>
          <w:p w14:paraId="79858C58"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Z</w:t>
            </w:r>
            <w:r w:rsidRPr="000C5ED6">
              <w:rPr>
                <w:rFonts w:ascii="Arial" w:hAnsi="Arial" w:cs="Arial"/>
                <w:snapToGrid w:val="0"/>
                <w:color w:val="000000"/>
                <w:sz w:val="18"/>
                <w:szCs w:val="18"/>
              </w:rPr>
              <w:t>ambia</w:t>
            </w:r>
          </w:p>
        </w:tc>
        <w:tc>
          <w:tcPr>
            <w:tcW w:w="1430" w:type="dxa"/>
            <w:shd w:val="clear" w:color="auto" w:fill="auto"/>
          </w:tcPr>
          <w:p w14:paraId="1366153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4E4996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80CA4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803C0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630FBE5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A83B05B" w14:textId="77777777" w:rsidTr="00C2153C">
        <w:tc>
          <w:tcPr>
            <w:tcW w:w="2750" w:type="dxa"/>
            <w:shd w:val="clear" w:color="auto" w:fill="FFFFFF"/>
          </w:tcPr>
          <w:p w14:paraId="789F351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Zimbabwe</w:t>
            </w:r>
          </w:p>
        </w:tc>
        <w:tc>
          <w:tcPr>
            <w:tcW w:w="1430" w:type="dxa"/>
            <w:shd w:val="clear" w:color="auto" w:fill="FFFFFF"/>
          </w:tcPr>
          <w:p w14:paraId="0EC5CCF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FFFFFF"/>
          </w:tcPr>
          <w:p w14:paraId="5555E0F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FFFFFF"/>
          </w:tcPr>
          <w:p w14:paraId="5AA398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FFFFFF"/>
          </w:tcPr>
          <w:p w14:paraId="511898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FFFFFF"/>
          </w:tcPr>
          <w:p w14:paraId="37AD9D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7DC7F2E" w14:textId="77777777" w:rsidTr="00C2153C">
        <w:tc>
          <w:tcPr>
            <w:tcW w:w="2750" w:type="dxa"/>
            <w:shd w:val="pct15" w:color="auto" w:fill="FFFFFF"/>
          </w:tcPr>
          <w:p w14:paraId="49114842" w14:textId="77777777" w:rsidR="002523FB" w:rsidRPr="000C5ED6" w:rsidRDefault="002523FB" w:rsidP="00C2153C">
            <w:pPr>
              <w:rPr>
                <w:rFonts w:ascii="Arial" w:hAnsi="Arial" w:cs="Arial"/>
                <w:b/>
                <w:snapToGrid w:val="0"/>
                <w:sz w:val="18"/>
                <w:szCs w:val="18"/>
                <w:vertAlign w:val="superscript"/>
              </w:rPr>
            </w:pPr>
            <w:r w:rsidRPr="000C5ED6">
              <w:rPr>
                <w:rFonts w:ascii="Arial" w:hAnsi="Arial" w:cs="Arial"/>
                <w:b/>
                <w:snapToGrid w:val="0"/>
                <w:sz w:val="18"/>
                <w:szCs w:val="18"/>
              </w:rPr>
              <w:t xml:space="preserve">Total Contributions </w:t>
            </w:r>
          </w:p>
        </w:tc>
        <w:tc>
          <w:tcPr>
            <w:tcW w:w="1430" w:type="dxa"/>
            <w:shd w:val="pct15" w:color="auto" w:fill="FFFFFF"/>
          </w:tcPr>
          <w:p w14:paraId="370DE478" w14:textId="77777777" w:rsidR="002523FB" w:rsidRPr="000C5ED6" w:rsidRDefault="002523FB" w:rsidP="00C2153C">
            <w:pPr>
              <w:jc w:val="right"/>
              <w:rPr>
                <w:rFonts w:ascii="Arial" w:hAnsi="Arial" w:cs="Arial"/>
                <w:b/>
                <w:snapToGrid w:val="0"/>
                <w:sz w:val="18"/>
                <w:szCs w:val="18"/>
              </w:rPr>
            </w:pPr>
          </w:p>
        </w:tc>
        <w:tc>
          <w:tcPr>
            <w:tcW w:w="1210" w:type="dxa"/>
            <w:shd w:val="pct15" w:color="auto" w:fill="FFFFFF"/>
          </w:tcPr>
          <w:p w14:paraId="2B0296ED" w14:textId="77777777" w:rsidR="002523FB" w:rsidRPr="000C5ED6" w:rsidRDefault="002523FB" w:rsidP="00C2153C">
            <w:pPr>
              <w:jc w:val="right"/>
              <w:rPr>
                <w:rFonts w:ascii="Arial" w:hAnsi="Arial" w:cs="Arial"/>
                <w:b/>
                <w:snapToGrid w:val="0"/>
                <w:sz w:val="18"/>
                <w:szCs w:val="18"/>
              </w:rPr>
            </w:pPr>
          </w:p>
        </w:tc>
        <w:tc>
          <w:tcPr>
            <w:tcW w:w="1320" w:type="dxa"/>
            <w:shd w:val="pct15" w:color="auto" w:fill="FFFFFF"/>
          </w:tcPr>
          <w:p w14:paraId="1D64D8F1"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17,361,317</w:t>
            </w:r>
          </w:p>
        </w:tc>
        <w:tc>
          <w:tcPr>
            <w:tcW w:w="1430" w:type="dxa"/>
            <w:shd w:val="pct15" w:color="auto" w:fill="FFFFFF"/>
          </w:tcPr>
          <w:p w14:paraId="40E35D08"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17,361,317</w:t>
            </w:r>
          </w:p>
        </w:tc>
        <w:tc>
          <w:tcPr>
            <w:tcW w:w="1320" w:type="dxa"/>
            <w:shd w:val="pct15" w:color="auto" w:fill="FFFFFF"/>
          </w:tcPr>
          <w:p w14:paraId="6D74E0AF"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34,722,634</w:t>
            </w:r>
          </w:p>
        </w:tc>
      </w:tr>
    </w:tbl>
    <w:p w14:paraId="08AC0129" w14:textId="77777777" w:rsidR="00FB583B" w:rsidRPr="00F04E0B" w:rsidRDefault="00FB583B" w:rsidP="008D3EC2">
      <w:pPr>
        <w:autoSpaceDE w:val="0"/>
        <w:autoSpaceDN w:val="0"/>
        <w:adjustRightInd w:val="0"/>
        <w:rPr>
          <w:rFonts w:ascii="Arial" w:hAnsi="Arial" w:cs="Arial"/>
          <w:sz w:val="18"/>
          <w:szCs w:val="18"/>
        </w:rPr>
      </w:pPr>
    </w:p>
    <w:p w14:paraId="174ABE6E" w14:textId="03874C12" w:rsidR="002523FB" w:rsidRPr="00F04E0B" w:rsidRDefault="002523FB" w:rsidP="002523FB">
      <w:pPr>
        <w:tabs>
          <w:tab w:val="left" w:pos="284"/>
        </w:tabs>
        <w:ind w:hanging="6"/>
        <w:jc w:val="both"/>
        <w:rPr>
          <w:rFonts w:ascii="Arial" w:hAnsi="Arial" w:cs="Arial"/>
          <w:snapToGrid w:val="0"/>
          <w:color w:val="000000"/>
          <w:sz w:val="18"/>
          <w:szCs w:val="18"/>
        </w:rPr>
      </w:pPr>
      <w:r w:rsidRPr="00F04E0B">
        <w:rPr>
          <w:rFonts w:ascii="Arial" w:hAnsi="Arial" w:cs="Arial"/>
          <w:snapToGrid w:val="0"/>
          <w:color w:val="000000"/>
          <w:sz w:val="18"/>
          <w:szCs w:val="18"/>
          <w:vertAlign w:val="superscript"/>
        </w:rPr>
        <w:t>1</w:t>
      </w:r>
      <w:r w:rsidRPr="00F04E0B">
        <w:rPr>
          <w:rFonts w:ascii="Arial" w:hAnsi="Arial" w:cs="Arial"/>
          <w:snapToGrid w:val="0"/>
          <w:color w:val="000000"/>
          <w:sz w:val="18"/>
          <w:szCs w:val="18"/>
        </w:rPr>
        <w:tab/>
        <w:t>The value of one unit remains unchanged for 2016 and 2017 at 45,579 Swiss francs as compared to 2014 and</w:t>
      </w:r>
      <w:r w:rsidR="00F04E0B">
        <w:rPr>
          <w:rFonts w:ascii="Arial" w:hAnsi="Arial" w:cs="Arial"/>
          <w:snapToGrid w:val="0"/>
          <w:color w:val="000000"/>
          <w:sz w:val="18"/>
          <w:szCs w:val="18"/>
        </w:rPr>
        <w:t> </w:t>
      </w:r>
      <w:r w:rsidRPr="00F04E0B">
        <w:rPr>
          <w:rFonts w:ascii="Arial" w:hAnsi="Arial" w:cs="Arial"/>
          <w:snapToGrid w:val="0"/>
          <w:color w:val="000000"/>
          <w:sz w:val="18"/>
          <w:szCs w:val="18"/>
        </w:rPr>
        <w:t>2015.</w:t>
      </w:r>
    </w:p>
    <w:p w14:paraId="147278FE" w14:textId="77777777" w:rsidR="00F04E0B" w:rsidRPr="00F04E0B" w:rsidRDefault="00F04E0B" w:rsidP="002523FB">
      <w:pPr>
        <w:tabs>
          <w:tab w:val="left" w:pos="284"/>
        </w:tabs>
        <w:ind w:hanging="6"/>
        <w:jc w:val="both"/>
        <w:rPr>
          <w:rFonts w:ascii="Arial" w:hAnsi="Arial" w:cs="Arial"/>
          <w:snapToGrid w:val="0"/>
          <w:color w:val="000000"/>
          <w:sz w:val="18"/>
          <w:szCs w:val="18"/>
        </w:rPr>
      </w:pPr>
    </w:p>
    <w:p w14:paraId="2978488C" w14:textId="77777777" w:rsidR="002523FB" w:rsidRPr="00F04E0B" w:rsidRDefault="002523FB" w:rsidP="002523FB">
      <w:pPr>
        <w:pStyle w:val="BodyTextIndent2"/>
        <w:tabs>
          <w:tab w:val="left" w:pos="0"/>
          <w:tab w:val="left" w:pos="330"/>
        </w:tabs>
        <w:spacing w:after="160"/>
        <w:rPr>
          <w:rFonts w:cs="Arial"/>
          <w:sz w:val="18"/>
          <w:szCs w:val="18"/>
        </w:rPr>
      </w:pPr>
      <w:r w:rsidRPr="00F04E0B">
        <w:rPr>
          <w:rFonts w:cs="Arial"/>
          <w:sz w:val="18"/>
          <w:szCs w:val="18"/>
          <w:vertAlign w:val="superscript"/>
        </w:rPr>
        <w:t>2</w:t>
      </w:r>
      <w:r w:rsidRPr="00F04E0B">
        <w:rPr>
          <w:rFonts w:cs="Arial"/>
          <w:sz w:val="18"/>
          <w:szCs w:val="18"/>
        </w:rPr>
        <w:t xml:space="preserve"> </w:t>
      </w:r>
      <w:r w:rsidRPr="00F04E0B">
        <w:rPr>
          <w:rFonts w:cs="Arial"/>
          <w:sz w:val="18"/>
          <w:szCs w:val="18"/>
        </w:rPr>
        <w:tab/>
        <w:t>States members of WIPO which are not members of any of the Unions.</w:t>
      </w:r>
    </w:p>
    <w:p w14:paraId="27EC45D9" w14:textId="77777777" w:rsidR="002523FB" w:rsidRDefault="002523FB" w:rsidP="008D3EC2">
      <w:pPr>
        <w:autoSpaceDE w:val="0"/>
        <w:autoSpaceDN w:val="0"/>
        <w:adjustRightInd w:val="0"/>
        <w:rPr>
          <w:rFonts w:ascii="Arial" w:hAnsi="Arial" w:cs="Arial"/>
          <w:sz w:val="20"/>
        </w:rPr>
      </w:pPr>
    </w:p>
    <w:p w14:paraId="7C6FA32D" w14:textId="1296825B" w:rsidR="00F04E0B" w:rsidRDefault="00F04E0B">
      <w:pPr>
        <w:rPr>
          <w:rFonts w:ascii="Arial" w:hAnsi="Arial" w:cs="Arial"/>
          <w:sz w:val="20"/>
        </w:rPr>
      </w:pPr>
      <w:r>
        <w:rPr>
          <w:rFonts w:ascii="Arial" w:hAnsi="Arial" w:cs="Arial"/>
          <w:sz w:val="20"/>
        </w:rPr>
        <w:br w:type="page"/>
      </w:r>
    </w:p>
    <w:p w14:paraId="33139ABA" w14:textId="77777777" w:rsidR="002523FB" w:rsidRDefault="002523FB" w:rsidP="008D3EC2">
      <w:pPr>
        <w:autoSpaceDE w:val="0"/>
        <w:autoSpaceDN w:val="0"/>
        <w:adjustRightInd w:val="0"/>
        <w:rPr>
          <w:rFonts w:ascii="Arial" w:hAnsi="Arial" w:cs="Arial"/>
          <w:sz w:val="20"/>
        </w:rPr>
      </w:pPr>
    </w:p>
    <w:p w14:paraId="45F5E465" w14:textId="410D164A" w:rsidR="00FB583B" w:rsidRPr="00B35BD1" w:rsidRDefault="00FB583B" w:rsidP="00FB583B">
      <w:pPr>
        <w:pStyle w:val="StyleHeading3ComplexItalic"/>
        <w:keepNext w:val="0"/>
        <w:tabs>
          <w:tab w:val="clear" w:pos="1985"/>
          <w:tab w:val="left" w:pos="0"/>
        </w:tabs>
        <w:rPr>
          <w:caps w:val="0"/>
        </w:rPr>
      </w:pPr>
      <w:bookmarkStart w:id="146" w:name="_Toc293334852"/>
      <w:bookmarkStart w:id="147" w:name="_Toc298920434"/>
      <w:bookmarkStart w:id="148" w:name="_Toc310950814"/>
      <w:bookmarkStart w:id="149" w:name="_Toc356567800"/>
      <w:bookmarkStart w:id="150" w:name="_Toc367350626"/>
      <w:bookmarkStart w:id="151" w:name="_Toc431221459"/>
      <w:r w:rsidRPr="00B35BD1">
        <w:rPr>
          <w:caps w:val="0"/>
        </w:rPr>
        <w:t xml:space="preserve">APPENDIX B    </w:t>
      </w:r>
      <w:r w:rsidRPr="00B35BD1">
        <w:rPr>
          <w:caps w:val="0"/>
        </w:rPr>
        <w:br/>
        <w:t xml:space="preserve">DEFINITION OF </w:t>
      </w:r>
      <w:r w:rsidR="0032473C">
        <w:rPr>
          <w:caps w:val="0"/>
        </w:rPr>
        <w:t>COST CATEGORIES</w:t>
      </w:r>
      <w:bookmarkEnd w:id="146"/>
      <w:bookmarkEnd w:id="147"/>
      <w:bookmarkEnd w:id="148"/>
      <w:bookmarkEnd w:id="149"/>
      <w:bookmarkEnd w:id="150"/>
      <w:bookmarkEnd w:id="151"/>
    </w:p>
    <w:p w14:paraId="12D85CE0" w14:textId="116FCA2E" w:rsidR="00FB583B" w:rsidRDefault="00FB583B" w:rsidP="008D3EC2">
      <w:pPr>
        <w:autoSpaceDE w:val="0"/>
        <w:autoSpaceDN w:val="0"/>
        <w:adjustRightInd w:val="0"/>
        <w:rPr>
          <w:rFonts w:ascii="Arial" w:hAnsi="Arial" w:cs="Arial"/>
          <w:sz w:val="20"/>
        </w:rPr>
      </w:pPr>
    </w:p>
    <w:p w14:paraId="1FB5F816" w14:textId="77777777" w:rsidR="005A1F7F" w:rsidRDefault="005A1F7F" w:rsidP="005A1F7F">
      <w:pPr>
        <w:ind w:right="91"/>
        <w:rPr>
          <w:rFonts w:ascii="Arial" w:hAnsi="Arial" w:cs="Arial"/>
          <w:b/>
          <w:sz w:val="20"/>
        </w:rPr>
      </w:pPr>
    </w:p>
    <w:p w14:paraId="5C9354A6" w14:textId="77777777" w:rsidR="005A1F7F" w:rsidRPr="00CF238E" w:rsidRDefault="005A1F7F" w:rsidP="005A1F7F">
      <w:pPr>
        <w:ind w:right="91"/>
        <w:rPr>
          <w:rFonts w:ascii="Arial" w:hAnsi="Arial" w:cs="Arial"/>
          <w:b/>
          <w:sz w:val="20"/>
        </w:rPr>
      </w:pPr>
      <w:r>
        <w:rPr>
          <w:rFonts w:ascii="Arial" w:hAnsi="Arial" w:cs="Arial"/>
          <w:b/>
          <w:sz w:val="20"/>
        </w:rPr>
        <w:t>S</w:t>
      </w:r>
      <w:r w:rsidRPr="00CF238E">
        <w:rPr>
          <w:rFonts w:ascii="Arial" w:hAnsi="Arial" w:cs="Arial"/>
          <w:b/>
          <w:sz w:val="20"/>
        </w:rPr>
        <w:t>OURCES OF INCOME</w:t>
      </w:r>
    </w:p>
    <w:p w14:paraId="1B233D66" w14:textId="77777777" w:rsidR="005A1F7F" w:rsidRPr="00CF238E" w:rsidRDefault="005A1F7F" w:rsidP="005A1F7F">
      <w:pPr>
        <w:ind w:right="91"/>
        <w:jc w:val="both"/>
        <w:rPr>
          <w:rFonts w:ascii="Arial" w:hAnsi="Arial" w:cs="Arial"/>
          <w:sz w:val="20"/>
        </w:rPr>
      </w:pPr>
    </w:p>
    <w:p w14:paraId="31F72468"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Contributions</w:t>
      </w:r>
      <w:r w:rsidRPr="00CF238E">
        <w:rPr>
          <w:rFonts w:ascii="Arial" w:hAnsi="Arial" w:cs="Arial"/>
          <w:i/>
          <w:iCs/>
          <w:color w:val="000000"/>
          <w:sz w:val="20"/>
        </w:rPr>
        <w:t>:</w:t>
      </w:r>
      <w:r w:rsidRPr="00CF238E">
        <w:rPr>
          <w:rFonts w:ascii="Arial" w:hAnsi="Arial" w:cs="Arial"/>
          <w:color w:val="000000"/>
          <w:sz w:val="20"/>
        </w:rPr>
        <w:t xml:space="preserve">  Contributions of Member States to the Organization under the unitary contribution system.</w:t>
      </w:r>
    </w:p>
    <w:p w14:paraId="713C8604" w14:textId="77777777" w:rsidR="005A1F7F" w:rsidRPr="00CF238E" w:rsidRDefault="005A1F7F" w:rsidP="005A1F7F">
      <w:pPr>
        <w:pStyle w:val="zanxtext"/>
        <w:spacing w:before="0"/>
        <w:ind w:right="91"/>
        <w:jc w:val="both"/>
        <w:rPr>
          <w:rFonts w:ascii="Arial" w:hAnsi="Arial" w:cs="Arial"/>
          <w:sz w:val="20"/>
        </w:rPr>
      </w:pPr>
    </w:p>
    <w:p w14:paraId="39EE384C"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Fees</w:t>
      </w:r>
      <w:r w:rsidRPr="00CF238E">
        <w:rPr>
          <w:rFonts w:ascii="Arial" w:hAnsi="Arial" w:cs="Arial"/>
          <w:color w:val="000000"/>
          <w:sz w:val="20"/>
        </w:rPr>
        <w:t>:  Fees for the International Bureau under the PCT, Madrid, Hague and Lisbon Systems</w:t>
      </w:r>
      <w:r>
        <w:rPr>
          <w:rFonts w:ascii="Arial" w:hAnsi="Arial" w:cs="Arial"/>
          <w:color w:val="000000"/>
          <w:sz w:val="20"/>
        </w:rPr>
        <w:t>,  net of related currency adjustments</w:t>
      </w:r>
      <w:r w:rsidRPr="00CF238E">
        <w:rPr>
          <w:rFonts w:ascii="Arial" w:hAnsi="Arial" w:cs="Arial"/>
          <w:color w:val="000000"/>
          <w:sz w:val="20"/>
        </w:rPr>
        <w:t xml:space="preserve">. </w:t>
      </w:r>
    </w:p>
    <w:p w14:paraId="02F28438" w14:textId="77777777" w:rsidR="005A1F7F" w:rsidRPr="00CF238E" w:rsidRDefault="005A1F7F" w:rsidP="005A1F7F">
      <w:pPr>
        <w:pStyle w:val="zanxtext"/>
        <w:spacing w:before="0"/>
        <w:ind w:right="91"/>
        <w:jc w:val="both"/>
        <w:rPr>
          <w:rFonts w:ascii="Arial" w:hAnsi="Arial" w:cs="Arial"/>
          <w:sz w:val="20"/>
        </w:rPr>
      </w:pPr>
    </w:p>
    <w:p w14:paraId="2CC70C32" w14:textId="77777777" w:rsidR="005A1F7F" w:rsidRDefault="005A1F7F" w:rsidP="005A1F7F">
      <w:pPr>
        <w:tabs>
          <w:tab w:val="left" w:pos="567"/>
        </w:tabs>
        <w:ind w:left="567" w:right="91"/>
        <w:jc w:val="both"/>
        <w:rPr>
          <w:rFonts w:ascii="Arial" w:hAnsi="Arial" w:cs="Arial"/>
          <w:b/>
          <w:bCs/>
          <w:i/>
          <w:iCs/>
          <w:color w:val="000000"/>
          <w:sz w:val="20"/>
        </w:rPr>
      </w:pPr>
      <w:r>
        <w:rPr>
          <w:rFonts w:ascii="Arial" w:hAnsi="Arial" w:cs="Arial"/>
          <w:b/>
          <w:bCs/>
          <w:i/>
          <w:iCs/>
          <w:color w:val="000000"/>
          <w:sz w:val="20"/>
        </w:rPr>
        <w:t xml:space="preserve">Arbitration:  </w:t>
      </w:r>
      <w:r>
        <w:rPr>
          <w:rFonts w:ascii="Arial" w:hAnsi="Arial" w:cs="Arial"/>
          <w:color w:val="000000"/>
          <w:sz w:val="20"/>
        </w:rPr>
        <w:t>Fe</w:t>
      </w:r>
      <w:r w:rsidRPr="00CF238E">
        <w:rPr>
          <w:rFonts w:ascii="Arial" w:hAnsi="Arial" w:cs="Arial"/>
          <w:color w:val="000000"/>
          <w:sz w:val="20"/>
        </w:rPr>
        <w:t>es for the arbitration of domain names</w:t>
      </w:r>
      <w:r>
        <w:rPr>
          <w:rFonts w:ascii="Arial" w:hAnsi="Arial" w:cs="Arial"/>
          <w:color w:val="000000"/>
          <w:sz w:val="20"/>
        </w:rPr>
        <w:t>, registration fees for the meetings of the WIPO Arbitration and Mediation Center, net of related currency adjustments</w:t>
      </w:r>
    </w:p>
    <w:p w14:paraId="6B2BA850" w14:textId="77777777" w:rsidR="005A1F7F" w:rsidRDefault="005A1F7F" w:rsidP="005A1F7F">
      <w:pPr>
        <w:tabs>
          <w:tab w:val="left" w:pos="567"/>
        </w:tabs>
        <w:ind w:left="567" w:right="91"/>
        <w:jc w:val="both"/>
        <w:rPr>
          <w:rFonts w:ascii="Arial" w:hAnsi="Arial" w:cs="Arial"/>
          <w:b/>
          <w:bCs/>
          <w:i/>
          <w:iCs/>
          <w:color w:val="000000"/>
          <w:sz w:val="20"/>
        </w:rPr>
      </w:pPr>
    </w:p>
    <w:p w14:paraId="04E50738"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In</w:t>
      </w:r>
      <w:r>
        <w:rPr>
          <w:rFonts w:ascii="Arial" w:hAnsi="Arial" w:cs="Arial"/>
          <w:b/>
          <w:bCs/>
          <w:i/>
          <w:iCs/>
          <w:color w:val="000000"/>
          <w:sz w:val="20"/>
        </w:rPr>
        <w:t>vestment revenue</w:t>
      </w:r>
      <w:r w:rsidRPr="00CF238E">
        <w:rPr>
          <w:rFonts w:ascii="Arial" w:hAnsi="Arial" w:cs="Arial"/>
          <w:color w:val="000000"/>
          <w:sz w:val="20"/>
        </w:rPr>
        <w:t xml:space="preserve">:  Revenues </w:t>
      </w:r>
      <w:r>
        <w:rPr>
          <w:rFonts w:ascii="Arial" w:hAnsi="Arial" w:cs="Arial"/>
          <w:color w:val="000000"/>
          <w:sz w:val="20"/>
        </w:rPr>
        <w:t xml:space="preserve">earned from investments, including </w:t>
      </w:r>
      <w:r w:rsidRPr="00CF238E">
        <w:rPr>
          <w:rFonts w:ascii="Arial" w:hAnsi="Arial" w:cs="Arial"/>
          <w:color w:val="000000"/>
          <w:sz w:val="20"/>
        </w:rPr>
        <w:t>interest on capital deposits.</w:t>
      </w:r>
    </w:p>
    <w:p w14:paraId="61529016" w14:textId="77777777" w:rsidR="005A1F7F" w:rsidRPr="00CF238E" w:rsidRDefault="005A1F7F" w:rsidP="005A1F7F">
      <w:pPr>
        <w:pStyle w:val="zanxtext"/>
        <w:spacing w:before="0"/>
        <w:ind w:right="91"/>
        <w:jc w:val="both"/>
        <w:rPr>
          <w:rFonts w:ascii="Arial" w:hAnsi="Arial" w:cs="Arial"/>
          <w:sz w:val="20"/>
        </w:rPr>
      </w:pPr>
    </w:p>
    <w:p w14:paraId="376E844B"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Publications</w:t>
      </w:r>
      <w:r w:rsidRPr="00CF238E">
        <w:rPr>
          <w:rFonts w:ascii="Arial" w:hAnsi="Arial" w:cs="Arial"/>
          <w:color w:val="000000"/>
          <w:sz w:val="20"/>
        </w:rPr>
        <w:t>:  Revenues from the sale of publications and from subscriptions to periodicals published by the Secretariat, in paper, CD</w:t>
      </w:r>
      <w:r w:rsidRPr="00CF238E">
        <w:rPr>
          <w:rFonts w:ascii="Arial" w:hAnsi="Arial" w:cs="Arial"/>
          <w:color w:val="000000"/>
          <w:sz w:val="20"/>
        </w:rPr>
        <w:noBreakHyphen/>
        <w:t>ROM or any other format.</w:t>
      </w:r>
    </w:p>
    <w:p w14:paraId="25D60518" w14:textId="77777777" w:rsidR="005A1F7F" w:rsidRPr="00CF238E" w:rsidRDefault="005A1F7F" w:rsidP="005A1F7F">
      <w:pPr>
        <w:pStyle w:val="zanxtext"/>
        <w:spacing w:before="0"/>
        <w:ind w:right="91"/>
        <w:jc w:val="both"/>
        <w:rPr>
          <w:rFonts w:ascii="Arial" w:hAnsi="Arial" w:cs="Arial"/>
          <w:sz w:val="20"/>
        </w:rPr>
      </w:pPr>
    </w:p>
    <w:p w14:paraId="1E8E2703" w14:textId="77777777"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 xml:space="preserve">Miscellaneous </w:t>
      </w:r>
      <w:r w:rsidRPr="00CF238E">
        <w:rPr>
          <w:rFonts w:ascii="Arial" w:hAnsi="Arial" w:cs="Arial"/>
          <w:b/>
          <w:bCs/>
          <w:i/>
          <w:iCs/>
          <w:color w:val="000000"/>
          <w:sz w:val="20"/>
        </w:rPr>
        <w:t>income</w:t>
      </w:r>
      <w:r w:rsidRPr="00CF238E">
        <w:rPr>
          <w:rFonts w:ascii="Arial" w:hAnsi="Arial" w:cs="Arial"/>
          <w:color w:val="000000"/>
          <w:sz w:val="20"/>
        </w:rPr>
        <w:t>:  registration fees for conferences and training courses, support charges in respect of extra</w:t>
      </w:r>
      <w:r w:rsidRPr="00CF238E">
        <w:rPr>
          <w:rFonts w:ascii="Arial" w:hAnsi="Arial" w:cs="Arial"/>
          <w:color w:val="000000"/>
          <w:sz w:val="20"/>
        </w:rPr>
        <w:noBreakHyphen/>
        <w:t>budgetary activities executed by WIPO and financed by UNDP and trust funds, accounting adjustments (credits) in respect of prior years and currency adjustments, rental of WIPO premises, UPOV’s payments to WIPO for administrative support services.</w:t>
      </w:r>
    </w:p>
    <w:p w14:paraId="4E7B67E5" w14:textId="77777777" w:rsidR="005A1F7F" w:rsidRDefault="005A1F7F" w:rsidP="005A1F7F">
      <w:pPr>
        <w:pStyle w:val="zanxtext"/>
        <w:spacing w:before="0"/>
        <w:ind w:right="91"/>
        <w:jc w:val="both"/>
        <w:rPr>
          <w:rFonts w:ascii="Arial" w:hAnsi="Arial" w:cs="Arial"/>
          <w:sz w:val="20"/>
        </w:rPr>
      </w:pPr>
    </w:p>
    <w:p w14:paraId="6F4D92CE" w14:textId="77777777" w:rsidR="005A1F7F" w:rsidRPr="00CF238E" w:rsidRDefault="005A1F7F" w:rsidP="005A1F7F">
      <w:pPr>
        <w:pStyle w:val="zanxtext"/>
        <w:spacing w:before="0"/>
        <w:ind w:right="91"/>
        <w:jc w:val="both"/>
        <w:rPr>
          <w:rFonts w:ascii="Arial" w:hAnsi="Arial" w:cs="Arial"/>
          <w:sz w:val="20"/>
        </w:rPr>
      </w:pPr>
    </w:p>
    <w:p w14:paraId="0E05E824" w14:textId="77777777" w:rsidR="005A1F7F" w:rsidRPr="00CF238E" w:rsidRDefault="005A1F7F" w:rsidP="005A1F7F">
      <w:pPr>
        <w:pStyle w:val="Footer"/>
        <w:ind w:right="91"/>
        <w:jc w:val="both"/>
        <w:rPr>
          <w:rFonts w:ascii="Arial" w:hAnsi="Arial" w:cs="Arial"/>
          <w:b/>
          <w:sz w:val="20"/>
        </w:rPr>
      </w:pPr>
      <w:r w:rsidRPr="00CF238E">
        <w:rPr>
          <w:rFonts w:ascii="Arial" w:hAnsi="Arial" w:cs="Arial"/>
          <w:b/>
          <w:sz w:val="20"/>
        </w:rPr>
        <w:t>OBJECTS OF EXPENDITURE</w:t>
      </w:r>
    </w:p>
    <w:p w14:paraId="13A777EF" w14:textId="77777777" w:rsidR="005A1F7F" w:rsidRPr="00CF238E" w:rsidRDefault="005A1F7F" w:rsidP="005A1F7F">
      <w:pPr>
        <w:pStyle w:val="zanxtext"/>
        <w:spacing w:before="0"/>
        <w:ind w:right="91"/>
        <w:jc w:val="both"/>
        <w:rPr>
          <w:rFonts w:ascii="Arial" w:hAnsi="Arial" w:cs="Arial"/>
          <w:sz w:val="20"/>
        </w:rPr>
      </w:pPr>
    </w:p>
    <w:p w14:paraId="1AB0D0E9" w14:textId="77777777" w:rsidR="005A1F7F" w:rsidRPr="003151BA" w:rsidRDefault="005A1F7F" w:rsidP="005A1F7F">
      <w:pPr>
        <w:pStyle w:val="zanxtext"/>
        <w:spacing w:before="0"/>
        <w:ind w:right="91"/>
        <w:jc w:val="both"/>
        <w:rPr>
          <w:rFonts w:ascii="Arial" w:hAnsi="Arial" w:cs="Arial"/>
          <w:bCs/>
          <w:sz w:val="20"/>
        </w:rPr>
      </w:pPr>
      <w:r w:rsidRPr="003151BA">
        <w:rPr>
          <w:rFonts w:ascii="Arial" w:hAnsi="Arial" w:cs="Arial"/>
          <w:bCs/>
          <w:sz w:val="20"/>
        </w:rPr>
        <w:t>PERSONNEL RESOURCES</w:t>
      </w:r>
    </w:p>
    <w:p w14:paraId="0C4B4042" w14:textId="77777777" w:rsidR="005A1F7F" w:rsidRPr="00CF238E" w:rsidRDefault="005A1F7F" w:rsidP="005A1F7F">
      <w:pPr>
        <w:pStyle w:val="zanxtext"/>
        <w:spacing w:before="0"/>
        <w:ind w:right="91"/>
        <w:jc w:val="both"/>
        <w:rPr>
          <w:rFonts w:ascii="Arial" w:hAnsi="Arial" w:cs="Arial"/>
          <w:b/>
          <w:sz w:val="20"/>
          <w:u w:val="single"/>
        </w:rPr>
      </w:pPr>
    </w:p>
    <w:p w14:paraId="3DECCDA3" w14:textId="77777777" w:rsidR="005A1F7F" w:rsidRDefault="005A1F7F" w:rsidP="005A1F7F">
      <w:pPr>
        <w:tabs>
          <w:tab w:val="left" w:pos="567"/>
        </w:tabs>
        <w:ind w:left="567" w:right="91"/>
        <w:jc w:val="both"/>
        <w:rPr>
          <w:rFonts w:ascii="Arial" w:hAnsi="Arial" w:cs="Arial"/>
          <w:sz w:val="20"/>
        </w:rPr>
      </w:pPr>
      <w:r w:rsidRPr="00CF238E">
        <w:rPr>
          <w:rFonts w:ascii="Arial" w:hAnsi="Arial" w:cs="Arial"/>
          <w:b/>
          <w:i/>
          <w:sz w:val="20"/>
        </w:rPr>
        <w:t>Posts:</w:t>
      </w:r>
      <w:r w:rsidRPr="00CF238E">
        <w:rPr>
          <w:rFonts w:ascii="Arial" w:hAnsi="Arial" w:cs="Arial"/>
          <w:sz w:val="20"/>
        </w:rPr>
        <w:t xml:space="preserve">  remuneration received by staff members, in particular salaries, post adjustment, dependency allowances, language allowances and overtime, non</w:t>
      </w:r>
      <w:r w:rsidRPr="00CF238E">
        <w:rPr>
          <w:rFonts w:ascii="Arial" w:hAnsi="Arial" w:cs="Arial"/>
          <w:sz w:val="20"/>
        </w:rPr>
        <w:noBreakHyphen/>
        <w:t>resident allowances, assignment grant and representation allowances.</w:t>
      </w:r>
    </w:p>
    <w:p w14:paraId="4099BFC1" w14:textId="77777777" w:rsidR="005A1F7F" w:rsidRPr="00CF238E" w:rsidRDefault="005A1F7F" w:rsidP="005A1F7F">
      <w:pPr>
        <w:tabs>
          <w:tab w:val="left" w:pos="567"/>
        </w:tabs>
        <w:ind w:left="567" w:right="91"/>
        <w:jc w:val="both"/>
        <w:rPr>
          <w:rFonts w:ascii="Arial" w:hAnsi="Arial" w:cs="Arial"/>
          <w:i/>
          <w:sz w:val="20"/>
        </w:rPr>
      </w:pPr>
    </w:p>
    <w:p w14:paraId="655E2B46" w14:textId="77777777"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Temporary Staff</w:t>
      </w:r>
      <w:r w:rsidRPr="00CF238E">
        <w:rPr>
          <w:rFonts w:ascii="Arial" w:hAnsi="Arial" w:cs="Arial"/>
          <w:color w:val="000000"/>
          <w:sz w:val="20"/>
        </w:rPr>
        <w:t xml:space="preserve">:  remuneration and allowances paid to professional </w:t>
      </w:r>
      <w:r>
        <w:rPr>
          <w:rFonts w:ascii="Arial" w:hAnsi="Arial" w:cs="Arial"/>
          <w:color w:val="000000"/>
          <w:sz w:val="20"/>
        </w:rPr>
        <w:t xml:space="preserve">and general service </w:t>
      </w:r>
      <w:r w:rsidRPr="00CF238E">
        <w:rPr>
          <w:rFonts w:ascii="Arial" w:hAnsi="Arial" w:cs="Arial"/>
          <w:color w:val="000000"/>
          <w:sz w:val="20"/>
        </w:rPr>
        <w:t>employees on short-term contracts.</w:t>
      </w:r>
    </w:p>
    <w:p w14:paraId="68AF064D" w14:textId="77777777" w:rsidR="005A1F7F" w:rsidRPr="00CF238E" w:rsidRDefault="005A1F7F" w:rsidP="005A1F7F">
      <w:pPr>
        <w:tabs>
          <w:tab w:val="left" w:pos="567"/>
        </w:tabs>
        <w:ind w:right="91"/>
        <w:jc w:val="both"/>
        <w:rPr>
          <w:rFonts w:ascii="Arial" w:hAnsi="Arial" w:cs="Arial"/>
          <w:color w:val="000000"/>
          <w:sz w:val="20"/>
        </w:rPr>
      </w:pPr>
    </w:p>
    <w:p w14:paraId="1D91AB11" w14:textId="27F355E3"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Other Staff Costs</w:t>
      </w:r>
      <w:r>
        <w:rPr>
          <w:rFonts w:ascii="Arial" w:hAnsi="Arial" w:cs="Arial"/>
          <w:color w:val="000000"/>
          <w:sz w:val="20"/>
        </w:rPr>
        <w:t xml:space="preserve">: provision for professional accident insurance, closed pension fund, litigation costs and Rewards and Recognition Program. </w:t>
      </w:r>
    </w:p>
    <w:p w14:paraId="785C5EA6" w14:textId="77777777" w:rsidR="005A1F7F" w:rsidRDefault="005A1F7F" w:rsidP="005A1F7F">
      <w:pPr>
        <w:jc w:val="both"/>
        <w:rPr>
          <w:rFonts w:ascii="Arial" w:hAnsi="Arial" w:cs="Arial"/>
          <w:b/>
          <w:bCs/>
          <w:sz w:val="20"/>
        </w:rPr>
      </w:pPr>
    </w:p>
    <w:p w14:paraId="0AA7FE58" w14:textId="77777777" w:rsidR="005A1F7F" w:rsidRPr="00633455" w:rsidRDefault="005A1F7F" w:rsidP="005A1F7F">
      <w:pPr>
        <w:jc w:val="both"/>
        <w:rPr>
          <w:rFonts w:ascii="Arial" w:hAnsi="Arial" w:cs="Arial"/>
          <w:sz w:val="20"/>
        </w:rPr>
      </w:pPr>
    </w:p>
    <w:p w14:paraId="69D528FE" w14:textId="77777777" w:rsidR="005A1F7F" w:rsidRPr="004E24C9" w:rsidRDefault="005A1F7F" w:rsidP="005A1F7F">
      <w:pPr>
        <w:jc w:val="both"/>
        <w:rPr>
          <w:rFonts w:ascii="Arial" w:hAnsi="Arial" w:cs="Arial"/>
          <w:sz w:val="20"/>
        </w:rPr>
      </w:pPr>
      <w:r w:rsidRPr="004E24C9">
        <w:rPr>
          <w:rFonts w:ascii="Arial" w:hAnsi="Arial" w:cs="Arial"/>
          <w:sz w:val="20"/>
        </w:rPr>
        <w:t>NON-</w:t>
      </w:r>
      <w:r>
        <w:rPr>
          <w:rFonts w:ascii="Arial" w:hAnsi="Arial" w:cs="Arial"/>
          <w:sz w:val="20"/>
        </w:rPr>
        <w:t>PERSONNEL</w:t>
      </w:r>
      <w:r w:rsidRPr="004E24C9">
        <w:rPr>
          <w:rFonts w:ascii="Arial" w:hAnsi="Arial" w:cs="Arial"/>
          <w:sz w:val="20"/>
        </w:rPr>
        <w:t xml:space="preserve"> RESOURCES</w:t>
      </w:r>
    </w:p>
    <w:p w14:paraId="31928CDD" w14:textId="77777777" w:rsidR="005A1F7F" w:rsidRPr="00633455" w:rsidRDefault="005A1F7F" w:rsidP="005A1F7F">
      <w:pPr>
        <w:jc w:val="both"/>
        <w:rPr>
          <w:rFonts w:ascii="Arial" w:hAnsi="Arial" w:cs="Arial"/>
          <w:sz w:val="20"/>
        </w:rPr>
      </w:pPr>
    </w:p>
    <w:p w14:paraId="5E32C609" w14:textId="77777777" w:rsidR="005A1F7F" w:rsidRPr="00633455" w:rsidRDefault="005A1F7F" w:rsidP="005A1F7F">
      <w:pPr>
        <w:jc w:val="both"/>
        <w:rPr>
          <w:rFonts w:ascii="Arial" w:hAnsi="Arial" w:cs="Arial"/>
          <w:b/>
          <w:bCs/>
          <w:sz w:val="20"/>
        </w:rPr>
      </w:pPr>
      <w:r w:rsidRPr="00633455">
        <w:rPr>
          <w:rFonts w:ascii="Arial" w:hAnsi="Arial" w:cs="Arial"/>
          <w:b/>
          <w:bCs/>
          <w:sz w:val="20"/>
        </w:rPr>
        <w:t>Internships and WIPO Fellowships</w:t>
      </w:r>
    </w:p>
    <w:p w14:paraId="5CE4399C" w14:textId="77777777" w:rsidR="005A1F7F" w:rsidRPr="00633455" w:rsidRDefault="005A1F7F" w:rsidP="005A1F7F">
      <w:pPr>
        <w:jc w:val="both"/>
        <w:rPr>
          <w:rFonts w:ascii="Arial" w:hAnsi="Arial" w:cs="Arial"/>
          <w:sz w:val="20"/>
        </w:rPr>
      </w:pPr>
    </w:p>
    <w:p w14:paraId="3A82F68E" w14:textId="77777777" w:rsidR="005A1F7F" w:rsidRDefault="005A1F7F" w:rsidP="00B66A4A">
      <w:pPr>
        <w:numPr>
          <w:ilvl w:val="0"/>
          <w:numId w:val="62"/>
        </w:numPr>
        <w:tabs>
          <w:tab w:val="clear" w:pos="1287"/>
          <w:tab w:val="num" w:pos="567"/>
        </w:tabs>
        <w:ind w:left="567" w:hanging="283"/>
        <w:jc w:val="both"/>
        <w:rPr>
          <w:rFonts w:ascii="Arial" w:hAnsi="Arial" w:cs="Arial"/>
          <w:sz w:val="20"/>
        </w:rPr>
      </w:pPr>
      <w:r w:rsidRPr="00633455">
        <w:rPr>
          <w:rFonts w:ascii="Arial" w:hAnsi="Arial" w:cs="Arial"/>
          <w:b/>
          <w:bCs/>
          <w:i/>
          <w:iCs/>
          <w:sz w:val="20"/>
        </w:rPr>
        <w:t>Internships</w:t>
      </w:r>
      <w:r>
        <w:rPr>
          <w:rFonts w:ascii="Arial" w:hAnsi="Arial" w:cs="Arial"/>
          <w:sz w:val="20"/>
        </w:rPr>
        <w:t xml:space="preserve">: remuneration and allowances paid to interns. </w:t>
      </w:r>
    </w:p>
    <w:p w14:paraId="4D397A1B" w14:textId="77777777" w:rsidR="005A1F7F" w:rsidRPr="00C27F17" w:rsidRDefault="005A1F7F" w:rsidP="005A1F7F">
      <w:pPr>
        <w:ind w:left="567"/>
        <w:jc w:val="both"/>
        <w:rPr>
          <w:rFonts w:ascii="Arial" w:hAnsi="Arial" w:cs="Arial"/>
          <w:sz w:val="20"/>
        </w:rPr>
      </w:pPr>
    </w:p>
    <w:p w14:paraId="310E3374" w14:textId="77777777" w:rsidR="005A1F7F" w:rsidRPr="00C27F17" w:rsidRDefault="005A1F7F" w:rsidP="00B66A4A">
      <w:pPr>
        <w:numPr>
          <w:ilvl w:val="0"/>
          <w:numId w:val="62"/>
        </w:numPr>
        <w:tabs>
          <w:tab w:val="clear" w:pos="1287"/>
          <w:tab w:val="num" w:pos="567"/>
        </w:tabs>
        <w:ind w:left="567" w:hanging="283"/>
        <w:jc w:val="both"/>
        <w:rPr>
          <w:rFonts w:ascii="Arial" w:hAnsi="Arial" w:cs="Arial"/>
          <w:sz w:val="20"/>
        </w:rPr>
      </w:pPr>
      <w:r w:rsidRPr="00C27F17">
        <w:rPr>
          <w:rFonts w:ascii="Arial" w:hAnsi="Arial" w:cs="Arial"/>
          <w:b/>
          <w:bCs/>
          <w:i/>
          <w:iCs/>
          <w:sz w:val="20"/>
        </w:rPr>
        <w:t xml:space="preserve">WIPO Fellowships: </w:t>
      </w:r>
      <w:r w:rsidRPr="00C27F17">
        <w:rPr>
          <w:rFonts w:ascii="Arial" w:hAnsi="Arial" w:cs="Arial"/>
          <w:bCs/>
          <w:iCs/>
          <w:sz w:val="20"/>
        </w:rPr>
        <w:t xml:space="preserve">expenses related to a </w:t>
      </w:r>
      <w:r w:rsidRPr="00C27F17">
        <w:rPr>
          <w:rFonts w:ascii="Arial" w:hAnsi="Arial" w:cs="Arial"/>
          <w:sz w:val="20"/>
        </w:rPr>
        <w:t xml:space="preserve">training activity that provides a monetary grant to qualified individuals for the purpose of fulfilling special learning objectives. </w:t>
      </w:r>
      <w:bookmarkStart w:id="152" w:name="RANGE!A3"/>
    </w:p>
    <w:p w14:paraId="08D8B439" w14:textId="77777777" w:rsidR="005A1F7F" w:rsidRDefault="005A1F7F" w:rsidP="005A1F7F">
      <w:pPr>
        <w:rPr>
          <w:rFonts w:ascii="Arial" w:hAnsi="Arial" w:cs="Arial"/>
          <w:b/>
          <w:bCs/>
          <w:sz w:val="20"/>
        </w:rPr>
      </w:pPr>
    </w:p>
    <w:p w14:paraId="7C86A254" w14:textId="77777777" w:rsidR="005A1F7F" w:rsidRPr="00633455" w:rsidRDefault="005A1F7F" w:rsidP="005A1F7F">
      <w:pPr>
        <w:rPr>
          <w:rFonts w:ascii="Arial" w:hAnsi="Arial" w:cs="Arial"/>
          <w:b/>
          <w:bCs/>
          <w:sz w:val="20"/>
        </w:rPr>
      </w:pPr>
      <w:r w:rsidRPr="00633455">
        <w:rPr>
          <w:rFonts w:ascii="Arial" w:hAnsi="Arial" w:cs="Arial"/>
          <w:b/>
          <w:bCs/>
          <w:sz w:val="20"/>
        </w:rPr>
        <w:t>Travel</w:t>
      </w:r>
      <w:r>
        <w:rPr>
          <w:rFonts w:ascii="Arial" w:hAnsi="Arial" w:cs="Arial"/>
          <w:b/>
          <w:bCs/>
          <w:sz w:val="20"/>
        </w:rPr>
        <w:t>, Training</w:t>
      </w:r>
      <w:r w:rsidRPr="00633455">
        <w:rPr>
          <w:rFonts w:ascii="Arial" w:hAnsi="Arial" w:cs="Arial"/>
          <w:b/>
          <w:bCs/>
          <w:sz w:val="20"/>
        </w:rPr>
        <w:t xml:space="preserve"> and </w:t>
      </w:r>
      <w:r>
        <w:rPr>
          <w:rFonts w:ascii="Arial" w:hAnsi="Arial" w:cs="Arial"/>
          <w:b/>
          <w:bCs/>
          <w:sz w:val="20"/>
        </w:rPr>
        <w:t xml:space="preserve">Grants </w:t>
      </w:r>
      <w:bookmarkEnd w:id="152"/>
    </w:p>
    <w:p w14:paraId="540E767D" w14:textId="77777777" w:rsidR="005A1F7F" w:rsidRPr="00633455" w:rsidRDefault="005A1F7F" w:rsidP="005A1F7F">
      <w:pPr>
        <w:rPr>
          <w:rFonts w:ascii="Arial" w:hAnsi="Arial" w:cs="Arial"/>
          <w:sz w:val="20"/>
        </w:rPr>
      </w:pPr>
    </w:p>
    <w:p w14:paraId="49E46A8F" w14:textId="77777777" w:rsidR="005A1F7F" w:rsidRPr="00633455" w:rsidRDefault="005A1F7F" w:rsidP="00B66A4A">
      <w:pPr>
        <w:numPr>
          <w:ilvl w:val="0"/>
          <w:numId w:val="63"/>
        </w:numPr>
        <w:tabs>
          <w:tab w:val="clear" w:pos="1120"/>
          <w:tab w:val="num" w:pos="567"/>
        </w:tabs>
        <w:ind w:left="567" w:hanging="283"/>
        <w:jc w:val="both"/>
        <w:rPr>
          <w:rFonts w:ascii="Arial" w:hAnsi="Arial" w:cs="Arial"/>
          <w:color w:val="000000"/>
          <w:sz w:val="20"/>
        </w:rPr>
      </w:pPr>
      <w:r w:rsidRPr="00633455">
        <w:rPr>
          <w:rFonts w:ascii="Arial" w:hAnsi="Arial" w:cs="Arial"/>
          <w:b/>
          <w:bCs/>
          <w:i/>
          <w:iCs/>
          <w:color w:val="000000"/>
          <w:sz w:val="20"/>
        </w:rPr>
        <w:t>Staff missions</w:t>
      </w:r>
      <w:r w:rsidRPr="00633455">
        <w:rPr>
          <w:rFonts w:ascii="Arial" w:hAnsi="Arial" w:cs="Arial"/>
          <w:color w:val="000000"/>
          <w:sz w:val="20"/>
        </w:rPr>
        <w:t>: travel expenses and daily subsistence allowances for all staff on official travel.</w:t>
      </w:r>
    </w:p>
    <w:p w14:paraId="5AD8BEEC" w14:textId="77777777" w:rsidR="005A1F7F" w:rsidRPr="00633455" w:rsidRDefault="005A1F7F" w:rsidP="005A1F7F">
      <w:pPr>
        <w:tabs>
          <w:tab w:val="num" w:pos="567"/>
        </w:tabs>
        <w:ind w:left="567" w:hanging="283"/>
        <w:jc w:val="both"/>
        <w:rPr>
          <w:rFonts w:ascii="Arial" w:hAnsi="Arial" w:cs="Arial"/>
          <w:sz w:val="20"/>
        </w:rPr>
      </w:pPr>
    </w:p>
    <w:p w14:paraId="48214ECF" w14:textId="77777777" w:rsidR="005A1F7F" w:rsidRPr="00633455" w:rsidRDefault="005A1F7F" w:rsidP="00B66A4A">
      <w:pPr>
        <w:numPr>
          <w:ilvl w:val="0"/>
          <w:numId w:val="63"/>
        </w:numPr>
        <w:tabs>
          <w:tab w:val="clear" w:pos="1120"/>
          <w:tab w:val="num" w:pos="567"/>
        </w:tabs>
        <w:ind w:left="567" w:hanging="283"/>
        <w:jc w:val="both"/>
        <w:rPr>
          <w:rFonts w:ascii="Arial" w:hAnsi="Arial" w:cs="Arial"/>
          <w:color w:val="000000"/>
          <w:sz w:val="20"/>
        </w:rPr>
      </w:pPr>
      <w:r w:rsidRPr="00633455">
        <w:rPr>
          <w:rFonts w:ascii="Arial" w:hAnsi="Arial" w:cs="Arial"/>
          <w:b/>
          <w:bCs/>
          <w:i/>
          <w:iCs/>
          <w:color w:val="000000"/>
          <w:sz w:val="20"/>
        </w:rPr>
        <w:t>Third party travel</w:t>
      </w:r>
      <w:r w:rsidRPr="00633455">
        <w:rPr>
          <w:rFonts w:ascii="Arial" w:hAnsi="Arial" w:cs="Arial"/>
          <w:color w:val="000000"/>
          <w:sz w:val="20"/>
        </w:rPr>
        <w:t>: travel expenses and daily subsistence allowances for all third parties</w:t>
      </w:r>
      <w:r>
        <w:rPr>
          <w:rFonts w:ascii="Arial" w:hAnsi="Arial" w:cs="Arial"/>
          <w:color w:val="000000"/>
          <w:sz w:val="20"/>
        </w:rPr>
        <w:t>, including</w:t>
      </w:r>
      <w:r w:rsidRPr="00633455">
        <w:rPr>
          <w:rFonts w:ascii="Arial" w:hAnsi="Arial" w:cs="Arial"/>
          <w:color w:val="000000"/>
          <w:sz w:val="20"/>
        </w:rPr>
        <w:t xml:space="preserve"> the travel costs of Government officials, participants and lecturers attending WIPO</w:t>
      </w:r>
      <w:r w:rsidRPr="00633455">
        <w:rPr>
          <w:rFonts w:ascii="Arial" w:hAnsi="Arial" w:cs="Arial"/>
          <w:color w:val="000000"/>
          <w:sz w:val="20"/>
        </w:rPr>
        <w:noBreakHyphen/>
        <w:t>sponsored meetings.</w:t>
      </w:r>
    </w:p>
    <w:p w14:paraId="40D92454" w14:textId="77777777" w:rsidR="005A1F7F" w:rsidRPr="00633455" w:rsidRDefault="005A1F7F" w:rsidP="005A1F7F">
      <w:pPr>
        <w:tabs>
          <w:tab w:val="num" w:pos="567"/>
        </w:tabs>
        <w:ind w:left="567" w:hanging="283"/>
        <w:jc w:val="both"/>
        <w:rPr>
          <w:rFonts w:ascii="Arial" w:hAnsi="Arial" w:cs="Arial"/>
          <w:sz w:val="20"/>
        </w:rPr>
      </w:pPr>
    </w:p>
    <w:p w14:paraId="65538F24" w14:textId="77777777" w:rsidR="005A1F7F" w:rsidRPr="00633455" w:rsidRDefault="005A1F7F" w:rsidP="00B66A4A">
      <w:pPr>
        <w:numPr>
          <w:ilvl w:val="0"/>
          <w:numId w:val="63"/>
        </w:numPr>
        <w:tabs>
          <w:tab w:val="clear" w:pos="1120"/>
          <w:tab w:val="num" w:pos="567"/>
        </w:tabs>
        <w:ind w:left="567" w:hanging="283"/>
        <w:jc w:val="both"/>
        <w:rPr>
          <w:rFonts w:ascii="Arial" w:hAnsi="Arial" w:cs="Arial"/>
          <w:color w:val="000000"/>
          <w:sz w:val="20"/>
        </w:rPr>
      </w:pPr>
      <w:r>
        <w:rPr>
          <w:rFonts w:ascii="Arial" w:hAnsi="Arial" w:cs="Arial"/>
          <w:b/>
          <w:bCs/>
          <w:i/>
          <w:iCs/>
          <w:color w:val="000000"/>
          <w:sz w:val="20"/>
        </w:rPr>
        <w:lastRenderedPageBreak/>
        <w:t>Training and related travel grants</w:t>
      </w:r>
      <w:r w:rsidRPr="00633455">
        <w:rPr>
          <w:rFonts w:ascii="Arial" w:hAnsi="Arial" w:cs="Arial"/>
          <w:color w:val="000000"/>
          <w:sz w:val="20"/>
        </w:rPr>
        <w:t>: travel expenses, daily subsistence allowances and training and other fees in connection with trainees attending courses, seminars, fellowships</w:t>
      </w:r>
      <w:r>
        <w:rPr>
          <w:rFonts w:ascii="Arial" w:hAnsi="Arial" w:cs="Arial"/>
          <w:color w:val="000000"/>
          <w:sz w:val="20"/>
        </w:rPr>
        <w:t xml:space="preserve">. </w:t>
      </w:r>
    </w:p>
    <w:p w14:paraId="51A7561B" w14:textId="77777777" w:rsidR="005A1F7F" w:rsidRPr="00633455" w:rsidRDefault="005A1F7F" w:rsidP="005A1F7F">
      <w:pPr>
        <w:tabs>
          <w:tab w:val="num" w:pos="567"/>
        </w:tabs>
        <w:ind w:left="567" w:hanging="283"/>
        <w:jc w:val="both"/>
        <w:rPr>
          <w:rFonts w:ascii="Arial" w:hAnsi="Arial" w:cs="Arial"/>
          <w:sz w:val="20"/>
        </w:rPr>
      </w:pPr>
    </w:p>
    <w:p w14:paraId="1B9F3795" w14:textId="77777777" w:rsidR="005A1F7F" w:rsidRDefault="005A1F7F" w:rsidP="005A1F7F">
      <w:pPr>
        <w:rPr>
          <w:rFonts w:ascii="Arial" w:hAnsi="Arial" w:cs="Arial"/>
          <w:b/>
          <w:bCs/>
          <w:sz w:val="20"/>
        </w:rPr>
      </w:pPr>
      <w:bookmarkStart w:id="153" w:name="RANGE!A11"/>
    </w:p>
    <w:p w14:paraId="46240693" w14:textId="77777777" w:rsidR="005A1F7F" w:rsidRPr="00633455" w:rsidRDefault="005A1F7F" w:rsidP="005A1F7F">
      <w:pPr>
        <w:keepNext/>
        <w:keepLines/>
        <w:rPr>
          <w:rFonts w:ascii="Arial" w:hAnsi="Arial" w:cs="Arial"/>
          <w:b/>
          <w:bCs/>
          <w:sz w:val="20"/>
        </w:rPr>
      </w:pPr>
      <w:r w:rsidRPr="00633455">
        <w:rPr>
          <w:rFonts w:ascii="Arial" w:hAnsi="Arial" w:cs="Arial"/>
          <w:b/>
          <w:bCs/>
          <w:sz w:val="20"/>
        </w:rPr>
        <w:t>Contractual Services</w:t>
      </w:r>
      <w:bookmarkEnd w:id="153"/>
    </w:p>
    <w:p w14:paraId="6F1D1F20" w14:textId="77777777" w:rsidR="005A1F7F" w:rsidRPr="00633455" w:rsidRDefault="005A1F7F" w:rsidP="005A1F7F">
      <w:pPr>
        <w:keepNext/>
        <w:keepLines/>
        <w:rPr>
          <w:rFonts w:ascii="Arial" w:hAnsi="Arial" w:cs="Arial"/>
          <w:sz w:val="20"/>
        </w:rPr>
      </w:pPr>
    </w:p>
    <w:p w14:paraId="4B3FF3C7" w14:textId="77777777" w:rsidR="005A1F7F" w:rsidRPr="00633455" w:rsidRDefault="005A1F7F" w:rsidP="00B66A4A">
      <w:pPr>
        <w:keepNext/>
        <w:keepLines/>
        <w:numPr>
          <w:ilvl w:val="0"/>
          <w:numId w:val="63"/>
        </w:numPr>
        <w:tabs>
          <w:tab w:val="clear" w:pos="1120"/>
        </w:tabs>
        <w:ind w:left="567" w:hanging="283"/>
        <w:rPr>
          <w:rFonts w:ascii="Arial" w:hAnsi="Arial" w:cs="Arial"/>
          <w:color w:val="000000"/>
          <w:sz w:val="20"/>
        </w:rPr>
      </w:pPr>
      <w:r w:rsidRPr="00633455">
        <w:rPr>
          <w:rFonts w:ascii="Arial" w:hAnsi="Arial" w:cs="Arial"/>
          <w:b/>
          <w:bCs/>
          <w:i/>
          <w:iCs/>
          <w:color w:val="000000"/>
          <w:sz w:val="20"/>
        </w:rPr>
        <w:t>Conferences</w:t>
      </w:r>
      <w:r w:rsidRPr="00633455">
        <w:rPr>
          <w:rFonts w:ascii="Arial" w:hAnsi="Arial" w:cs="Arial"/>
          <w:color w:val="000000"/>
          <w:sz w:val="20"/>
        </w:rPr>
        <w:t xml:space="preserve">: remuneration, travel expenses and daily subsistence allowances for interpreters; renting of conference facilities, and interpretation equipment; refreshments and receptions; and the cost of any other service directly linked to the organization of a conference. </w:t>
      </w:r>
    </w:p>
    <w:p w14:paraId="6F77FB5F" w14:textId="77777777" w:rsidR="005A1F7F" w:rsidRPr="00633455" w:rsidRDefault="005A1F7F" w:rsidP="005A1F7F">
      <w:pPr>
        <w:keepNext/>
        <w:keepLines/>
        <w:ind w:left="567" w:hanging="283"/>
        <w:rPr>
          <w:rFonts w:ascii="Arial" w:hAnsi="Arial" w:cs="Arial"/>
          <w:sz w:val="20"/>
        </w:rPr>
      </w:pPr>
    </w:p>
    <w:p w14:paraId="68F362CC" w14:textId="77777777" w:rsidR="005A1F7F" w:rsidRPr="00633455" w:rsidRDefault="005A1F7F" w:rsidP="00B66A4A">
      <w:pPr>
        <w:numPr>
          <w:ilvl w:val="0"/>
          <w:numId w:val="63"/>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Publishing</w:t>
      </w:r>
      <w:r w:rsidRPr="00633455">
        <w:rPr>
          <w:rFonts w:ascii="Arial" w:hAnsi="Arial" w:cs="Arial"/>
          <w:color w:val="000000"/>
          <w:sz w:val="20"/>
        </w:rPr>
        <w:t>: outside printing and binding; reviews; paper and printing; other printing:  reprints of articles published in reviews;  brochures;  treaties;  collections of texts;  manuals;  working forms and other miscellaneous printed material;  production of CD-ROMs, videos, magnetic tapes and other forms of electronic publishing.</w:t>
      </w:r>
    </w:p>
    <w:p w14:paraId="5C220C8A" w14:textId="77777777" w:rsidR="005A1F7F" w:rsidRPr="00633455" w:rsidRDefault="005A1F7F" w:rsidP="005A1F7F">
      <w:pPr>
        <w:ind w:left="567" w:firstLineChars="200" w:firstLine="400"/>
        <w:jc w:val="both"/>
        <w:rPr>
          <w:rFonts w:ascii="Arial" w:hAnsi="Arial" w:cs="Arial"/>
          <w:color w:val="000000"/>
          <w:sz w:val="20"/>
        </w:rPr>
      </w:pPr>
    </w:p>
    <w:p w14:paraId="21480192" w14:textId="77777777" w:rsidR="005A1F7F" w:rsidRPr="00633455" w:rsidRDefault="005A1F7F" w:rsidP="00B66A4A">
      <w:pPr>
        <w:numPr>
          <w:ilvl w:val="0"/>
          <w:numId w:val="63"/>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Individual Contractual Services</w:t>
      </w:r>
      <w:r>
        <w:rPr>
          <w:rFonts w:ascii="Arial" w:hAnsi="Arial" w:cs="Arial"/>
          <w:color w:val="000000"/>
          <w:sz w:val="20"/>
        </w:rPr>
        <w:t xml:space="preserve">: </w:t>
      </w:r>
      <w:r w:rsidRPr="00633455">
        <w:rPr>
          <w:rFonts w:ascii="Arial" w:hAnsi="Arial" w:cs="Arial"/>
          <w:color w:val="000000"/>
          <w:sz w:val="20"/>
        </w:rPr>
        <w:t xml:space="preserve">remuneration paid in respect of individual contractual services.  </w:t>
      </w:r>
    </w:p>
    <w:p w14:paraId="6271060B" w14:textId="77777777" w:rsidR="005A1F7F" w:rsidRPr="00633455" w:rsidRDefault="005A1F7F" w:rsidP="005A1F7F">
      <w:pPr>
        <w:ind w:left="567" w:hanging="283"/>
        <w:jc w:val="both"/>
        <w:rPr>
          <w:rFonts w:ascii="Arial" w:hAnsi="Arial" w:cs="Arial"/>
          <w:color w:val="000000"/>
          <w:sz w:val="20"/>
        </w:rPr>
      </w:pPr>
    </w:p>
    <w:p w14:paraId="2501C331" w14:textId="77777777" w:rsidR="005A1F7F" w:rsidRPr="00633455" w:rsidRDefault="005A1F7F" w:rsidP="00B66A4A">
      <w:pPr>
        <w:numPr>
          <w:ilvl w:val="0"/>
          <w:numId w:val="63"/>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 xml:space="preserve">Other Contractual Services: </w:t>
      </w:r>
      <w:r w:rsidRPr="00633455">
        <w:rPr>
          <w:rFonts w:ascii="Arial" w:hAnsi="Arial" w:cs="Arial"/>
          <w:color w:val="000000"/>
          <w:sz w:val="20"/>
        </w:rPr>
        <w:t>includes all other contractual services with both commercial and non-commercial service providers.</w:t>
      </w:r>
    </w:p>
    <w:p w14:paraId="4FA9F78E" w14:textId="77777777" w:rsidR="005A1F7F" w:rsidRDefault="005A1F7F" w:rsidP="005A1F7F">
      <w:pPr>
        <w:jc w:val="both"/>
        <w:rPr>
          <w:rFonts w:ascii="Arial" w:hAnsi="Arial" w:cs="Arial"/>
          <w:sz w:val="20"/>
        </w:rPr>
      </w:pPr>
    </w:p>
    <w:p w14:paraId="468AEABC" w14:textId="77777777" w:rsidR="005A1F7F" w:rsidRPr="00633455" w:rsidRDefault="005A1F7F" w:rsidP="005A1F7F">
      <w:pPr>
        <w:jc w:val="both"/>
        <w:rPr>
          <w:rFonts w:ascii="Arial" w:hAnsi="Arial" w:cs="Arial"/>
          <w:sz w:val="20"/>
        </w:rPr>
      </w:pPr>
    </w:p>
    <w:p w14:paraId="5A5C1A91" w14:textId="77777777" w:rsidR="005A1F7F" w:rsidRDefault="005A1F7F" w:rsidP="005A1F7F">
      <w:pPr>
        <w:keepNext/>
        <w:keepLines/>
        <w:jc w:val="both"/>
        <w:rPr>
          <w:rFonts w:ascii="Arial" w:hAnsi="Arial" w:cs="Arial"/>
          <w:b/>
          <w:sz w:val="20"/>
        </w:rPr>
      </w:pPr>
      <w:bookmarkStart w:id="154" w:name="RANGE!A23"/>
      <w:r w:rsidRPr="00DD088F">
        <w:rPr>
          <w:rFonts w:ascii="Arial" w:hAnsi="Arial" w:cs="Arial"/>
          <w:b/>
          <w:bCs/>
          <w:iCs/>
          <w:sz w:val="20"/>
        </w:rPr>
        <w:t xml:space="preserve">Finance </w:t>
      </w:r>
      <w:r>
        <w:rPr>
          <w:rFonts w:ascii="Arial" w:hAnsi="Arial" w:cs="Arial"/>
          <w:b/>
          <w:bCs/>
          <w:iCs/>
          <w:sz w:val="20"/>
        </w:rPr>
        <w:t>C</w:t>
      </w:r>
      <w:r w:rsidRPr="00DD088F">
        <w:rPr>
          <w:rFonts w:ascii="Arial" w:hAnsi="Arial" w:cs="Arial"/>
          <w:b/>
          <w:bCs/>
          <w:iCs/>
          <w:sz w:val="20"/>
        </w:rPr>
        <w:t>osts</w:t>
      </w:r>
      <w:r w:rsidRPr="00DD088F">
        <w:rPr>
          <w:rFonts w:ascii="Arial" w:hAnsi="Arial" w:cs="Arial"/>
          <w:b/>
          <w:sz w:val="20"/>
        </w:rPr>
        <w:t xml:space="preserve"> </w:t>
      </w:r>
    </w:p>
    <w:p w14:paraId="1A741893" w14:textId="77777777" w:rsidR="005A1F7F" w:rsidRDefault="005A1F7F" w:rsidP="005A1F7F">
      <w:pPr>
        <w:keepNext/>
        <w:keepLines/>
        <w:jc w:val="both"/>
        <w:rPr>
          <w:rFonts w:ascii="Arial" w:hAnsi="Arial" w:cs="Arial"/>
          <w:b/>
          <w:sz w:val="20"/>
        </w:rPr>
      </w:pPr>
    </w:p>
    <w:p w14:paraId="72DF8874" w14:textId="77777777" w:rsidR="005A1F7F" w:rsidRPr="00DD088F" w:rsidRDefault="005A1F7F" w:rsidP="00B66A4A">
      <w:pPr>
        <w:pStyle w:val="ListParagraph"/>
        <w:keepNext/>
        <w:keepLines/>
        <w:numPr>
          <w:ilvl w:val="0"/>
          <w:numId w:val="66"/>
        </w:numPr>
        <w:spacing w:after="200" w:line="276" w:lineRule="auto"/>
        <w:jc w:val="both"/>
        <w:rPr>
          <w:rFonts w:ascii="Arial" w:hAnsi="Arial" w:cs="Arial"/>
          <w:b/>
          <w:bCs/>
          <w:sz w:val="20"/>
        </w:rPr>
      </w:pPr>
      <w:r w:rsidRPr="00DD088F">
        <w:rPr>
          <w:rFonts w:ascii="Arial" w:hAnsi="Arial" w:cs="Arial"/>
          <w:b/>
          <w:i/>
          <w:sz w:val="20"/>
        </w:rPr>
        <w:t>Finance costs:</w:t>
      </w:r>
      <w:r>
        <w:rPr>
          <w:rFonts w:ascii="Arial" w:hAnsi="Arial" w:cs="Arial"/>
          <w:sz w:val="20"/>
        </w:rPr>
        <w:t xml:space="preserve"> I</w:t>
      </w:r>
      <w:r w:rsidRPr="00DD088F">
        <w:rPr>
          <w:rFonts w:ascii="Arial" w:hAnsi="Arial" w:cs="Arial"/>
          <w:sz w:val="20"/>
        </w:rPr>
        <w:t>nterest on loan; bank charges.</w:t>
      </w:r>
    </w:p>
    <w:p w14:paraId="0482CE2B" w14:textId="77777777" w:rsidR="005A1F7F" w:rsidRDefault="005A1F7F" w:rsidP="005A1F7F">
      <w:pPr>
        <w:keepNext/>
        <w:keepLines/>
        <w:jc w:val="both"/>
        <w:rPr>
          <w:rFonts w:ascii="Arial" w:hAnsi="Arial" w:cs="Arial"/>
          <w:b/>
          <w:bCs/>
          <w:sz w:val="20"/>
        </w:rPr>
      </w:pPr>
    </w:p>
    <w:p w14:paraId="292BFD0C" w14:textId="77777777" w:rsidR="005A1F7F" w:rsidRPr="00633455" w:rsidRDefault="005A1F7F" w:rsidP="005A1F7F">
      <w:pPr>
        <w:keepNext/>
        <w:keepLines/>
        <w:jc w:val="both"/>
        <w:rPr>
          <w:rFonts w:ascii="Arial" w:hAnsi="Arial" w:cs="Arial"/>
          <w:b/>
          <w:bCs/>
          <w:sz w:val="20"/>
        </w:rPr>
      </w:pPr>
      <w:r w:rsidRPr="00633455">
        <w:rPr>
          <w:rFonts w:ascii="Arial" w:hAnsi="Arial" w:cs="Arial"/>
          <w:b/>
          <w:bCs/>
          <w:sz w:val="20"/>
        </w:rPr>
        <w:t>Operating Expenses</w:t>
      </w:r>
      <w:bookmarkEnd w:id="154"/>
    </w:p>
    <w:p w14:paraId="17977C65" w14:textId="77777777" w:rsidR="005A1F7F" w:rsidRPr="00633455" w:rsidRDefault="005A1F7F" w:rsidP="005A1F7F">
      <w:pPr>
        <w:keepNext/>
        <w:keepLines/>
        <w:jc w:val="both"/>
        <w:rPr>
          <w:rFonts w:ascii="Arial" w:hAnsi="Arial" w:cs="Arial"/>
          <w:sz w:val="20"/>
        </w:rPr>
      </w:pPr>
    </w:p>
    <w:p w14:paraId="298BE9A9" w14:textId="77777777" w:rsidR="005A1F7F" w:rsidRPr="00633455" w:rsidRDefault="005A1F7F" w:rsidP="00B66A4A">
      <w:pPr>
        <w:keepNext/>
        <w:keepLines/>
        <w:numPr>
          <w:ilvl w:val="0"/>
          <w:numId w:val="64"/>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Premises and maintenance</w:t>
      </w:r>
      <w:r w:rsidRPr="00633455">
        <w:rPr>
          <w:rFonts w:ascii="Arial" w:hAnsi="Arial" w:cs="Arial"/>
          <w:color w:val="000000"/>
          <w:sz w:val="20"/>
        </w:rPr>
        <w:t>: acquiring, renting, improving and maintaining office space and renting or maintaining equipment and furniture, external management consultants related to new construction.</w:t>
      </w:r>
    </w:p>
    <w:p w14:paraId="778FD05B" w14:textId="77777777" w:rsidR="005A1F7F" w:rsidRPr="00633455" w:rsidRDefault="005A1F7F" w:rsidP="005A1F7F">
      <w:pPr>
        <w:tabs>
          <w:tab w:val="num" w:pos="567"/>
        </w:tabs>
        <w:ind w:left="567" w:hanging="283"/>
        <w:jc w:val="both"/>
        <w:rPr>
          <w:rFonts w:ascii="Arial" w:hAnsi="Arial" w:cs="Arial"/>
          <w:sz w:val="20"/>
        </w:rPr>
      </w:pPr>
    </w:p>
    <w:p w14:paraId="63393CB3" w14:textId="77777777" w:rsidR="005A1F7F" w:rsidRPr="00633455" w:rsidRDefault="005A1F7F" w:rsidP="00B66A4A">
      <w:pPr>
        <w:numPr>
          <w:ilvl w:val="0"/>
          <w:numId w:val="64"/>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Communication</w:t>
      </w:r>
      <w:r w:rsidRPr="00633455">
        <w:rPr>
          <w:rFonts w:ascii="Arial" w:hAnsi="Arial" w:cs="Arial"/>
          <w:sz w:val="20"/>
        </w:rPr>
        <w:t xml:space="preserve">:  communication expenses such as telephone, internet, facsimile and mail, postage and carriage of documents. </w:t>
      </w:r>
    </w:p>
    <w:p w14:paraId="25DA92CB" w14:textId="77777777" w:rsidR="005A1F7F" w:rsidRPr="00633455" w:rsidRDefault="005A1F7F" w:rsidP="005A1F7F">
      <w:pPr>
        <w:tabs>
          <w:tab w:val="num" w:pos="567"/>
        </w:tabs>
        <w:ind w:left="567" w:firstLineChars="200" w:firstLine="400"/>
        <w:jc w:val="both"/>
        <w:rPr>
          <w:rFonts w:ascii="Arial" w:hAnsi="Arial" w:cs="Arial"/>
          <w:color w:val="000000"/>
          <w:sz w:val="20"/>
        </w:rPr>
      </w:pPr>
    </w:p>
    <w:p w14:paraId="4D3E4193" w14:textId="77777777" w:rsidR="005A1F7F" w:rsidRPr="00633455" w:rsidRDefault="005A1F7F" w:rsidP="00B66A4A">
      <w:pPr>
        <w:numPr>
          <w:ilvl w:val="0"/>
          <w:numId w:val="64"/>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Representation</w:t>
      </w:r>
      <w:r>
        <w:rPr>
          <w:rFonts w:ascii="Arial" w:hAnsi="Arial" w:cs="Arial"/>
          <w:b/>
          <w:bCs/>
          <w:i/>
          <w:iCs/>
          <w:sz w:val="20"/>
        </w:rPr>
        <w:t xml:space="preserve"> and Other Operating Expenses</w:t>
      </w:r>
      <w:r w:rsidRPr="00633455">
        <w:rPr>
          <w:rFonts w:ascii="Arial" w:hAnsi="Arial" w:cs="Arial"/>
          <w:sz w:val="20"/>
        </w:rPr>
        <w:t>: official hospitality</w:t>
      </w:r>
      <w:r>
        <w:rPr>
          <w:rFonts w:ascii="Arial" w:hAnsi="Arial" w:cs="Arial"/>
          <w:sz w:val="20"/>
        </w:rPr>
        <w:t xml:space="preserve">, WIPO contribution to Staff Association and other operating </w:t>
      </w:r>
      <w:r w:rsidRPr="00633455">
        <w:rPr>
          <w:rFonts w:ascii="Arial" w:hAnsi="Arial" w:cs="Arial"/>
          <w:sz w:val="20"/>
        </w:rPr>
        <w:t>expenses.</w:t>
      </w:r>
    </w:p>
    <w:p w14:paraId="68667759" w14:textId="77777777" w:rsidR="005A1F7F" w:rsidRPr="00633455" w:rsidRDefault="005A1F7F" w:rsidP="005A1F7F">
      <w:pPr>
        <w:tabs>
          <w:tab w:val="num" w:pos="567"/>
        </w:tabs>
        <w:ind w:left="567" w:firstLineChars="200" w:firstLine="400"/>
        <w:jc w:val="both"/>
        <w:rPr>
          <w:rFonts w:ascii="Arial" w:hAnsi="Arial" w:cs="Arial"/>
          <w:color w:val="000000"/>
          <w:sz w:val="20"/>
        </w:rPr>
      </w:pPr>
    </w:p>
    <w:p w14:paraId="3DFD6E18" w14:textId="77777777" w:rsidR="005A1F7F" w:rsidRPr="00633455" w:rsidRDefault="005A1F7F" w:rsidP="00B66A4A">
      <w:pPr>
        <w:numPr>
          <w:ilvl w:val="0"/>
          <w:numId w:val="64"/>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UN Joint Services</w:t>
      </w:r>
      <w:r w:rsidRPr="00633455">
        <w:rPr>
          <w:rFonts w:ascii="Arial" w:hAnsi="Arial" w:cs="Arial"/>
          <w:sz w:val="20"/>
        </w:rPr>
        <w:t>:  medical assistance, contributions to joint administrative activities within the United Nations system</w:t>
      </w:r>
      <w:r>
        <w:rPr>
          <w:rFonts w:ascii="Arial" w:hAnsi="Arial" w:cs="Arial"/>
          <w:sz w:val="20"/>
        </w:rPr>
        <w:t xml:space="preserve">, </w:t>
      </w:r>
      <w:r w:rsidRPr="00D6239D">
        <w:rPr>
          <w:rFonts w:ascii="Arial" w:hAnsi="Arial" w:cs="Arial"/>
          <w:sz w:val="20"/>
        </w:rPr>
        <w:t xml:space="preserve">United Nations cost </w:t>
      </w:r>
      <w:r>
        <w:rPr>
          <w:rFonts w:ascii="Arial" w:hAnsi="Arial" w:cs="Arial"/>
          <w:sz w:val="20"/>
        </w:rPr>
        <w:t>shared</w:t>
      </w:r>
      <w:r w:rsidRPr="00D6239D">
        <w:rPr>
          <w:rFonts w:ascii="Arial" w:hAnsi="Arial" w:cs="Arial"/>
          <w:sz w:val="20"/>
        </w:rPr>
        <w:t xml:space="preserve"> activities</w:t>
      </w:r>
      <w:r w:rsidRPr="00633455">
        <w:rPr>
          <w:rFonts w:ascii="Arial" w:hAnsi="Arial" w:cs="Arial"/>
          <w:sz w:val="20"/>
        </w:rPr>
        <w:t>, Administrative Tribunal.</w:t>
      </w:r>
    </w:p>
    <w:p w14:paraId="3E75639D" w14:textId="77777777" w:rsidR="005A1F7F" w:rsidRPr="00633455" w:rsidRDefault="005A1F7F" w:rsidP="005A1F7F">
      <w:pPr>
        <w:jc w:val="both"/>
        <w:rPr>
          <w:rFonts w:ascii="Arial" w:hAnsi="Arial" w:cs="Arial"/>
          <w:b/>
          <w:bCs/>
          <w:sz w:val="20"/>
        </w:rPr>
      </w:pPr>
    </w:p>
    <w:p w14:paraId="387B5028" w14:textId="77777777" w:rsidR="005A1F7F" w:rsidRDefault="005A1F7F" w:rsidP="005A1F7F">
      <w:pPr>
        <w:jc w:val="both"/>
        <w:rPr>
          <w:rFonts w:ascii="Arial" w:hAnsi="Arial" w:cs="Arial"/>
          <w:b/>
          <w:bCs/>
          <w:sz w:val="20"/>
        </w:rPr>
      </w:pPr>
      <w:bookmarkStart w:id="155" w:name="RANGE!A35"/>
    </w:p>
    <w:p w14:paraId="6DBEEB5D" w14:textId="77777777" w:rsidR="005A1F7F" w:rsidRPr="00633455" w:rsidRDefault="005A1F7F" w:rsidP="005A1F7F">
      <w:pPr>
        <w:rPr>
          <w:rFonts w:ascii="Arial" w:hAnsi="Arial" w:cs="Arial"/>
          <w:b/>
          <w:bCs/>
          <w:sz w:val="20"/>
        </w:rPr>
      </w:pPr>
      <w:r w:rsidRPr="00633455">
        <w:rPr>
          <w:rFonts w:ascii="Arial" w:hAnsi="Arial" w:cs="Arial"/>
          <w:b/>
          <w:bCs/>
          <w:sz w:val="20"/>
        </w:rPr>
        <w:t>Equipment and Supplies</w:t>
      </w:r>
      <w:bookmarkEnd w:id="155"/>
    </w:p>
    <w:p w14:paraId="50585103" w14:textId="77777777" w:rsidR="005A1F7F" w:rsidRPr="00633455" w:rsidRDefault="005A1F7F" w:rsidP="005A1F7F">
      <w:pPr>
        <w:jc w:val="both"/>
        <w:rPr>
          <w:rFonts w:ascii="Arial" w:hAnsi="Arial" w:cs="Arial"/>
          <w:sz w:val="20"/>
        </w:rPr>
      </w:pPr>
    </w:p>
    <w:p w14:paraId="6728AE17" w14:textId="77777777" w:rsidR="005A1F7F" w:rsidRPr="00633455" w:rsidRDefault="005A1F7F" w:rsidP="00B66A4A">
      <w:pPr>
        <w:numPr>
          <w:ilvl w:val="0"/>
          <w:numId w:val="65"/>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Furniture and equipment</w:t>
      </w:r>
      <w:r w:rsidRPr="00633455">
        <w:rPr>
          <w:rFonts w:ascii="Arial" w:hAnsi="Arial" w:cs="Arial"/>
          <w:color w:val="000000"/>
          <w:sz w:val="20"/>
        </w:rPr>
        <w:t xml:space="preserve">: purchase of office furniture, office machines, computer equipment (desktop, laptops, printers, servers, </w:t>
      </w:r>
      <w:proofErr w:type="spellStart"/>
      <w:r w:rsidRPr="00633455">
        <w:rPr>
          <w:rFonts w:ascii="Arial" w:hAnsi="Arial" w:cs="Arial"/>
          <w:color w:val="000000"/>
          <w:sz w:val="20"/>
        </w:rPr>
        <w:t>etc</w:t>
      </w:r>
      <w:proofErr w:type="spellEnd"/>
      <w:r w:rsidRPr="00633455">
        <w:rPr>
          <w:rFonts w:ascii="Arial" w:hAnsi="Arial" w:cs="Arial"/>
          <w:color w:val="000000"/>
          <w:sz w:val="20"/>
        </w:rPr>
        <w:t>), conference servicing equipment, reproduction equipment and transportation equipment.</w:t>
      </w:r>
    </w:p>
    <w:p w14:paraId="1EAB8592" w14:textId="77777777" w:rsidR="005A1F7F" w:rsidRPr="00633455" w:rsidRDefault="005A1F7F" w:rsidP="005A1F7F">
      <w:pPr>
        <w:tabs>
          <w:tab w:val="num" w:pos="567"/>
        </w:tabs>
        <w:ind w:left="567" w:hanging="283"/>
        <w:jc w:val="both"/>
        <w:rPr>
          <w:rFonts w:ascii="Arial" w:hAnsi="Arial" w:cs="Arial"/>
          <w:sz w:val="20"/>
        </w:rPr>
      </w:pPr>
    </w:p>
    <w:p w14:paraId="352FE404" w14:textId="77777777" w:rsidR="005A1F7F" w:rsidRPr="00633455" w:rsidRDefault="005A1F7F" w:rsidP="00B66A4A">
      <w:pPr>
        <w:numPr>
          <w:ilvl w:val="0"/>
          <w:numId w:val="65"/>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Supplies and materials</w:t>
      </w:r>
      <w:r w:rsidRPr="00633455">
        <w:rPr>
          <w:rFonts w:ascii="Arial" w:hAnsi="Arial" w:cs="Arial"/>
          <w:color w:val="000000"/>
          <w:sz w:val="20"/>
        </w:rPr>
        <w:t>: stationery and office supplies; internal reproduction supplies (offset, microfilms, etc.); library books and subscriptions to reviews and periodicals; uniforms; computer supplies, software and licenses.</w:t>
      </w:r>
    </w:p>
    <w:p w14:paraId="315F454C" w14:textId="6BEFB1DA" w:rsidR="00FB583B" w:rsidRDefault="00F04E0B" w:rsidP="00F04E0B">
      <w:pPr>
        <w:rPr>
          <w:rFonts w:ascii="Arial" w:hAnsi="Arial" w:cs="Arial"/>
          <w:sz w:val="20"/>
        </w:rPr>
      </w:pPr>
      <w:r>
        <w:rPr>
          <w:rFonts w:ascii="Arial" w:hAnsi="Arial" w:cs="Arial"/>
          <w:sz w:val="20"/>
        </w:rPr>
        <w:br w:type="page"/>
      </w:r>
    </w:p>
    <w:p w14:paraId="218D4654" w14:textId="5F5FAAF9" w:rsidR="00FB583B" w:rsidRPr="00B35BD1" w:rsidRDefault="00FB583B" w:rsidP="00FB583B">
      <w:pPr>
        <w:pStyle w:val="StyleHeading3ComplexItalic"/>
        <w:keepNext w:val="0"/>
        <w:tabs>
          <w:tab w:val="clear" w:pos="1985"/>
          <w:tab w:val="left" w:pos="0"/>
        </w:tabs>
        <w:rPr>
          <w:caps w:val="0"/>
        </w:rPr>
      </w:pPr>
      <w:bookmarkStart w:id="156" w:name="_Toc310950815"/>
      <w:bookmarkStart w:id="157" w:name="_Toc356567801"/>
      <w:bookmarkStart w:id="158" w:name="_Toc367350627"/>
      <w:bookmarkStart w:id="159" w:name="_Toc431221460"/>
      <w:r w:rsidRPr="00B35BD1">
        <w:rPr>
          <w:caps w:val="0"/>
        </w:rPr>
        <w:lastRenderedPageBreak/>
        <w:t xml:space="preserve">APPENDIX C    </w:t>
      </w:r>
      <w:r w:rsidRPr="00B35BD1">
        <w:rPr>
          <w:caps w:val="0"/>
        </w:rPr>
        <w:br/>
        <w:t>COST</w:t>
      </w:r>
      <w:r w:rsidR="00B20524">
        <w:rPr>
          <w:caps w:val="0"/>
        </w:rPr>
        <w:t>ING</w:t>
      </w:r>
      <w:r w:rsidRPr="00B35BD1">
        <w:rPr>
          <w:caps w:val="0"/>
        </w:rPr>
        <w:t xml:space="preserve"> FOR PERSONNEL</w:t>
      </w:r>
      <w:bookmarkEnd w:id="156"/>
      <w:bookmarkEnd w:id="157"/>
      <w:bookmarkEnd w:id="158"/>
      <w:bookmarkEnd w:id="159"/>
    </w:p>
    <w:p w14:paraId="43CFCE18" w14:textId="77777777" w:rsidR="00FB583B" w:rsidRPr="00F04E0B" w:rsidRDefault="00FB583B" w:rsidP="00FB583B">
      <w:pPr>
        <w:pStyle w:val="Header"/>
        <w:rPr>
          <w:rFonts w:ascii="Arial" w:hAnsi="Arial" w:cs="Arial"/>
          <w:sz w:val="20"/>
        </w:rPr>
      </w:pPr>
    </w:p>
    <w:p w14:paraId="43741F0D" w14:textId="77777777" w:rsidR="0032473C" w:rsidRPr="00F04E0B" w:rsidRDefault="0032473C" w:rsidP="00FB583B">
      <w:pPr>
        <w:pStyle w:val="Header"/>
        <w:rPr>
          <w:rFonts w:ascii="Arial" w:hAnsi="Arial" w:cs="Arial"/>
          <w:sz w:val="20"/>
        </w:rPr>
      </w:pPr>
    </w:p>
    <w:p w14:paraId="0E706E56" w14:textId="77777777" w:rsidR="0032473C" w:rsidRPr="0032473C" w:rsidRDefault="0032473C" w:rsidP="00B66A4A">
      <w:pPr>
        <w:pStyle w:val="ListParagraph"/>
        <w:numPr>
          <w:ilvl w:val="0"/>
          <w:numId w:val="67"/>
        </w:numPr>
        <w:tabs>
          <w:tab w:val="left" w:pos="567"/>
        </w:tabs>
        <w:ind w:left="0" w:firstLine="0"/>
        <w:rPr>
          <w:rFonts w:ascii="Arial" w:hAnsi="Arial" w:cs="Arial"/>
          <w:sz w:val="20"/>
        </w:rPr>
      </w:pPr>
      <w:r w:rsidRPr="0032473C">
        <w:rPr>
          <w:rFonts w:ascii="Arial" w:hAnsi="Arial" w:cs="Arial"/>
          <w:sz w:val="20"/>
        </w:rPr>
        <w:t>With the launch of EPM (Enterprise Performance Management) system and implementation of ERP (HR Payroll) and as part of further strengthening results-based management, and in particular to reinforce the link between the work performed and the associated resources necessary for implementation, a change in the costing methodology for personnel costs  has been applied for 2016/17.  The budget for the personnel resources of the Organization has been derived on the basis of actuals based budgeting.</w:t>
      </w:r>
    </w:p>
    <w:p w14:paraId="0A4585AE" w14:textId="77777777" w:rsidR="0032473C" w:rsidRPr="00C86097" w:rsidRDefault="0032473C" w:rsidP="009D7A18">
      <w:pPr>
        <w:rPr>
          <w:rFonts w:ascii="Arial" w:hAnsi="Arial" w:cs="Arial"/>
          <w:sz w:val="20"/>
        </w:rPr>
      </w:pPr>
    </w:p>
    <w:p w14:paraId="28260CAD" w14:textId="51FDFDE3" w:rsidR="0032473C" w:rsidRPr="00C86097" w:rsidRDefault="0032473C" w:rsidP="00B66A4A">
      <w:pPr>
        <w:pStyle w:val="ListParagraph"/>
        <w:numPr>
          <w:ilvl w:val="0"/>
          <w:numId w:val="67"/>
        </w:numPr>
        <w:tabs>
          <w:tab w:val="left" w:pos="567"/>
        </w:tabs>
        <w:ind w:left="0" w:firstLine="0"/>
        <w:rPr>
          <w:rFonts w:ascii="Arial" w:hAnsi="Arial"/>
          <w:sz w:val="20"/>
        </w:rPr>
      </w:pPr>
      <w:r w:rsidRPr="0032473C">
        <w:rPr>
          <w:rFonts w:ascii="Arial" w:hAnsi="Arial" w:cs="Arial"/>
          <w:sz w:val="20"/>
        </w:rPr>
        <w:t>The</w:t>
      </w:r>
      <w:r>
        <w:rPr>
          <w:rFonts w:ascii="Arial" w:hAnsi="Arial"/>
          <w:sz w:val="20"/>
        </w:rPr>
        <w:t xml:space="preserve"> a</w:t>
      </w:r>
      <w:r w:rsidRPr="00C86097">
        <w:rPr>
          <w:rFonts w:ascii="Arial" w:hAnsi="Arial"/>
          <w:sz w:val="20"/>
        </w:rPr>
        <w:t>ctual</w:t>
      </w:r>
      <w:r>
        <w:rPr>
          <w:rFonts w:ascii="Arial" w:hAnsi="Arial"/>
          <w:sz w:val="20"/>
        </w:rPr>
        <w:t>s</w:t>
      </w:r>
      <w:r w:rsidRPr="00C86097">
        <w:rPr>
          <w:rFonts w:ascii="Arial" w:hAnsi="Arial"/>
          <w:sz w:val="20"/>
        </w:rPr>
        <w:t xml:space="preserve"> based costing </w:t>
      </w:r>
      <w:r>
        <w:rPr>
          <w:rFonts w:ascii="Arial" w:hAnsi="Arial"/>
          <w:sz w:val="20"/>
        </w:rPr>
        <w:t>is</w:t>
      </w:r>
      <w:r w:rsidRPr="00C86097">
        <w:rPr>
          <w:rFonts w:ascii="Arial" w:hAnsi="Arial"/>
          <w:sz w:val="20"/>
        </w:rPr>
        <w:t xml:space="preserve"> built on the latest available</w:t>
      </w:r>
      <w:r>
        <w:rPr>
          <w:rStyle w:val="FootnoteReference"/>
          <w:rFonts w:ascii="Arial" w:hAnsi="Arial"/>
          <w:sz w:val="20"/>
        </w:rPr>
        <w:footnoteReference w:id="32"/>
      </w:r>
      <w:r w:rsidRPr="00C86097">
        <w:rPr>
          <w:rFonts w:ascii="Arial" w:hAnsi="Arial"/>
          <w:sz w:val="20"/>
        </w:rPr>
        <w:t xml:space="preserve"> UN salary and pensionable remuneration scales</w:t>
      </w:r>
      <w:r>
        <w:rPr>
          <w:rFonts w:ascii="Arial" w:hAnsi="Arial"/>
          <w:sz w:val="20"/>
        </w:rPr>
        <w:t xml:space="preserve"> for </w:t>
      </w:r>
      <w:r w:rsidR="00CD682C">
        <w:rPr>
          <w:rFonts w:ascii="Arial" w:hAnsi="Arial"/>
          <w:sz w:val="20"/>
        </w:rPr>
        <w:t>P</w:t>
      </w:r>
      <w:r>
        <w:rPr>
          <w:rFonts w:ascii="Arial" w:hAnsi="Arial"/>
          <w:sz w:val="20"/>
        </w:rPr>
        <w:t>rofessional</w:t>
      </w:r>
      <w:r w:rsidR="00CD682C">
        <w:rPr>
          <w:rFonts w:ascii="Arial" w:hAnsi="Arial"/>
          <w:sz w:val="20"/>
        </w:rPr>
        <w:t>s and higher categories</w:t>
      </w:r>
      <w:r>
        <w:rPr>
          <w:rFonts w:ascii="Arial" w:hAnsi="Arial"/>
          <w:sz w:val="20"/>
        </w:rPr>
        <w:t xml:space="preserve"> and General Service staff</w:t>
      </w:r>
      <w:r w:rsidRPr="00C86097">
        <w:rPr>
          <w:rFonts w:ascii="Arial" w:hAnsi="Arial"/>
          <w:sz w:val="20"/>
        </w:rPr>
        <w:t>, historical data</w:t>
      </w:r>
      <w:r>
        <w:rPr>
          <w:rFonts w:ascii="Arial" w:hAnsi="Arial"/>
          <w:sz w:val="20"/>
        </w:rPr>
        <w:t xml:space="preserve"> of dependencies, and </w:t>
      </w:r>
      <w:r w:rsidRPr="00C86097">
        <w:rPr>
          <w:rFonts w:ascii="Arial" w:hAnsi="Arial"/>
          <w:sz w:val="20"/>
        </w:rPr>
        <w:t xml:space="preserve">applicable policies and entitlements.  The costing methodology applied incorporates </w:t>
      </w:r>
      <w:r>
        <w:rPr>
          <w:rFonts w:ascii="Arial" w:hAnsi="Arial"/>
          <w:sz w:val="20"/>
        </w:rPr>
        <w:t>several</w:t>
      </w:r>
      <w:r w:rsidRPr="00C86097">
        <w:rPr>
          <w:rFonts w:ascii="Arial" w:hAnsi="Arial"/>
          <w:sz w:val="20"/>
        </w:rPr>
        <w:t xml:space="preserve"> cost elements to derive costs at position level, which is then used to provide an overall costing for personnel resources.  The cost elements included in the actuals based costing and the underlying assumptions are summarized below.</w:t>
      </w:r>
    </w:p>
    <w:p w14:paraId="69EDC6FD" w14:textId="77777777" w:rsidR="0032473C" w:rsidRDefault="0032473C" w:rsidP="009D7A18">
      <w:pPr>
        <w:ind w:left="1134" w:firstLine="567"/>
        <w:rPr>
          <w:rFonts w:ascii="Arial" w:hAnsi="Arial"/>
          <w:sz w:val="20"/>
        </w:rPr>
      </w:pPr>
    </w:p>
    <w:p w14:paraId="56C0FF9F" w14:textId="77777777" w:rsidR="0032473C" w:rsidRPr="0032473C" w:rsidRDefault="0032473C" w:rsidP="009D7A18">
      <w:pPr>
        <w:ind w:left="1134" w:firstLine="567"/>
        <w:rPr>
          <w:rFonts w:ascii="Arial" w:hAnsi="Arial"/>
          <w:b/>
          <w:sz w:val="20"/>
        </w:rPr>
      </w:pPr>
      <w:r w:rsidRPr="0032473C">
        <w:rPr>
          <w:rFonts w:ascii="Arial" w:hAnsi="Arial"/>
          <w:b/>
          <w:sz w:val="20"/>
        </w:rPr>
        <w:t xml:space="preserve">Actuals Based Costing and Underlying Assumptions </w:t>
      </w:r>
    </w:p>
    <w:p w14:paraId="451B4822" w14:textId="77777777" w:rsidR="0032473C" w:rsidRPr="00C86097" w:rsidRDefault="0032473C" w:rsidP="009D7A18">
      <w:pPr>
        <w:jc w:val="center"/>
        <w:rPr>
          <w:rFonts w:ascii="Arial" w:hAnsi="Arial"/>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32473C" w:rsidRPr="00C86097" w14:paraId="60D435E7" w14:textId="77777777" w:rsidTr="00FB68E0">
        <w:tc>
          <w:tcPr>
            <w:tcW w:w="1548" w:type="dxa"/>
            <w:shd w:val="clear" w:color="auto" w:fill="auto"/>
            <w:tcMar>
              <w:top w:w="85" w:type="dxa"/>
            </w:tcMar>
          </w:tcPr>
          <w:p w14:paraId="42AB243B" w14:textId="77777777" w:rsidR="0032473C" w:rsidRPr="0032473C" w:rsidRDefault="0032473C" w:rsidP="009D7A18">
            <w:pPr>
              <w:spacing w:before="60" w:after="60"/>
              <w:rPr>
                <w:rFonts w:ascii="Arial" w:hAnsi="Arial"/>
                <w:b/>
                <w:sz w:val="18"/>
              </w:rPr>
            </w:pPr>
          </w:p>
        </w:tc>
        <w:tc>
          <w:tcPr>
            <w:tcW w:w="3870" w:type="dxa"/>
            <w:shd w:val="clear" w:color="auto" w:fill="auto"/>
            <w:tcMar>
              <w:top w:w="85" w:type="dxa"/>
            </w:tcMar>
          </w:tcPr>
          <w:p w14:paraId="3A99CA25" w14:textId="77777777" w:rsidR="0032473C" w:rsidRPr="0032473C" w:rsidRDefault="0032473C" w:rsidP="009D7A18">
            <w:pPr>
              <w:spacing w:before="60" w:after="60"/>
              <w:jc w:val="center"/>
              <w:rPr>
                <w:rFonts w:ascii="Arial" w:hAnsi="Arial"/>
                <w:bCs/>
                <w:sz w:val="18"/>
              </w:rPr>
            </w:pPr>
            <w:r w:rsidRPr="0032473C">
              <w:rPr>
                <w:rFonts w:ascii="Arial" w:hAnsi="Arial"/>
                <w:b/>
                <w:sz w:val="18"/>
              </w:rPr>
              <w:t xml:space="preserve">Post </w:t>
            </w:r>
          </w:p>
          <w:p w14:paraId="38ECB7B2" w14:textId="77777777" w:rsidR="0032473C" w:rsidRPr="0032473C" w:rsidRDefault="0032473C" w:rsidP="009D7A18">
            <w:pPr>
              <w:spacing w:before="60" w:after="60"/>
              <w:jc w:val="center"/>
              <w:rPr>
                <w:rFonts w:ascii="Arial" w:hAnsi="Arial"/>
                <w:bCs/>
                <w:sz w:val="18"/>
              </w:rPr>
            </w:pPr>
            <w:r w:rsidRPr="0032473C">
              <w:rPr>
                <w:rFonts w:ascii="Arial" w:hAnsi="Arial"/>
                <w:bCs/>
                <w:sz w:val="18"/>
              </w:rPr>
              <w:t>(</w:t>
            </w:r>
            <w:r w:rsidRPr="0032473C">
              <w:rPr>
                <w:rFonts w:ascii="Arial" w:hAnsi="Arial"/>
                <w:bCs/>
                <w:i/>
                <w:iCs/>
                <w:sz w:val="18"/>
              </w:rPr>
              <w:t>Professional and higher categories and  General Service</w:t>
            </w:r>
            <w:r w:rsidRPr="0032473C">
              <w:rPr>
                <w:rFonts w:ascii="Arial" w:hAnsi="Arial"/>
                <w:bCs/>
                <w:sz w:val="18"/>
              </w:rPr>
              <w:t>)</w:t>
            </w:r>
          </w:p>
        </w:tc>
        <w:tc>
          <w:tcPr>
            <w:tcW w:w="3870" w:type="dxa"/>
            <w:tcMar>
              <w:top w:w="85" w:type="dxa"/>
            </w:tcMar>
          </w:tcPr>
          <w:p w14:paraId="6C5001BA" w14:textId="77777777" w:rsidR="0032473C" w:rsidRPr="0032473C" w:rsidRDefault="0032473C" w:rsidP="009D7A18">
            <w:pPr>
              <w:spacing w:before="60" w:after="60"/>
              <w:jc w:val="center"/>
              <w:rPr>
                <w:rFonts w:ascii="Arial" w:hAnsi="Arial"/>
                <w:b/>
                <w:sz w:val="18"/>
              </w:rPr>
            </w:pPr>
            <w:r w:rsidRPr="0032473C">
              <w:rPr>
                <w:rFonts w:ascii="Arial" w:hAnsi="Arial"/>
                <w:b/>
                <w:sz w:val="18"/>
              </w:rPr>
              <w:t xml:space="preserve">Temporary Staff </w:t>
            </w:r>
          </w:p>
          <w:p w14:paraId="545F2325" w14:textId="77777777" w:rsidR="0032473C" w:rsidRPr="0032473C" w:rsidRDefault="0032473C" w:rsidP="009D7A18">
            <w:pPr>
              <w:spacing w:before="60" w:after="60"/>
              <w:jc w:val="center"/>
              <w:rPr>
                <w:rFonts w:ascii="Arial" w:hAnsi="Arial"/>
                <w:bCs/>
                <w:sz w:val="18"/>
              </w:rPr>
            </w:pPr>
            <w:r w:rsidRPr="0032473C">
              <w:rPr>
                <w:rFonts w:ascii="Arial" w:hAnsi="Arial"/>
                <w:bCs/>
                <w:sz w:val="18"/>
              </w:rPr>
              <w:t>(</w:t>
            </w:r>
            <w:r w:rsidRPr="0032473C">
              <w:rPr>
                <w:rFonts w:ascii="Arial" w:hAnsi="Arial"/>
                <w:bCs/>
                <w:i/>
                <w:iCs/>
                <w:sz w:val="18"/>
              </w:rPr>
              <w:t>Professional and higher categories and  General Service</w:t>
            </w:r>
            <w:r w:rsidRPr="0032473C">
              <w:rPr>
                <w:rFonts w:ascii="Arial" w:hAnsi="Arial"/>
                <w:bCs/>
                <w:sz w:val="18"/>
              </w:rPr>
              <w:t>)</w:t>
            </w:r>
          </w:p>
        </w:tc>
      </w:tr>
      <w:tr w:rsidR="0032473C" w:rsidRPr="00C86097" w14:paraId="3301BB04" w14:textId="77777777" w:rsidTr="00FB68E0">
        <w:trPr>
          <w:trHeight w:val="2307"/>
        </w:trPr>
        <w:tc>
          <w:tcPr>
            <w:tcW w:w="1548" w:type="dxa"/>
            <w:tcMar>
              <w:top w:w="85" w:type="dxa"/>
            </w:tcMar>
          </w:tcPr>
          <w:p w14:paraId="4824DB99" w14:textId="77777777" w:rsidR="0032473C" w:rsidRPr="0032473C" w:rsidRDefault="0032473C" w:rsidP="009D7A18">
            <w:pPr>
              <w:spacing w:before="60"/>
              <w:rPr>
                <w:rFonts w:ascii="Arial" w:hAnsi="Arial"/>
                <w:b/>
                <w:sz w:val="18"/>
              </w:rPr>
            </w:pPr>
            <w:r w:rsidRPr="0032473C">
              <w:rPr>
                <w:rFonts w:ascii="Arial" w:hAnsi="Arial"/>
                <w:b/>
                <w:sz w:val="18"/>
              </w:rPr>
              <w:t>Salary</w:t>
            </w:r>
          </w:p>
        </w:tc>
        <w:tc>
          <w:tcPr>
            <w:tcW w:w="3870" w:type="dxa"/>
            <w:tcMar>
              <w:top w:w="85" w:type="dxa"/>
            </w:tcMar>
          </w:tcPr>
          <w:p w14:paraId="49096003" w14:textId="1801C775" w:rsidR="0032473C" w:rsidRPr="0032473C" w:rsidRDefault="0032473C" w:rsidP="009D7A18">
            <w:pPr>
              <w:spacing w:before="60"/>
              <w:rPr>
                <w:rFonts w:ascii="Arial" w:hAnsi="Arial"/>
                <w:sz w:val="16"/>
              </w:rPr>
            </w:pPr>
            <w:r w:rsidRPr="0032473C">
              <w:rPr>
                <w:rFonts w:ascii="Arial" w:hAnsi="Arial"/>
                <w:sz w:val="16"/>
              </w:rPr>
              <w:t xml:space="preserve">The salary component for an occupied position is calculated at position level applying single or dependent rate scales (ICSC) at projected grade/step. For vacant positions it is at dependent rate at an average step grade. The calculated USD amount is then converted to Swiss francs, with the application of the post adjustment (PA) multiplier, where applicable (for </w:t>
            </w:r>
            <w:r w:rsidR="00CD682C">
              <w:rPr>
                <w:rFonts w:ascii="Arial" w:hAnsi="Arial"/>
                <w:sz w:val="16"/>
              </w:rPr>
              <w:t>P</w:t>
            </w:r>
            <w:r w:rsidRPr="0032473C">
              <w:rPr>
                <w:rFonts w:ascii="Arial" w:hAnsi="Arial"/>
                <w:sz w:val="16"/>
              </w:rPr>
              <w:t>rofessionals</w:t>
            </w:r>
            <w:r w:rsidR="00CD682C">
              <w:rPr>
                <w:rFonts w:ascii="Arial" w:hAnsi="Arial"/>
                <w:sz w:val="16"/>
              </w:rPr>
              <w:t xml:space="preserve"> and higher categories</w:t>
            </w:r>
            <w:r w:rsidRPr="0032473C">
              <w:rPr>
                <w:rFonts w:ascii="Arial" w:hAnsi="Arial"/>
                <w:sz w:val="16"/>
              </w:rPr>
              <w:t xml:space="preserve">). </w:t>
            </w:r>
          </w:p>
          <w:p w14:paraId="07B52E5B" w14:textId="53585B3C" w:rsidR="0032473C" w:rsidRPr="0032473C" w:rsidRDefault="0032473C" w:rsidP="009D7A18">
            <w:pPr>
              <w:spacing w:before="60"/>
              <w:rPr>
                <w:rFonts w:ascii="Arial" w:hAnsi="Arial"/>
                <w:sz w:val="16"/>
              </w:rPr>
            </w:pPr>
            <w:r w:rsidRPr="0032473C">
              <w:rPr>
                <w:rFonts w:ascii="Arial" w:hAnsi="Arial"/>
                <w:sz w:val="16"/>
              </w:rPr>
              <w:t>The Organization’s share of the pensionable remuneration (UNJSPF) is added to the total amount.</w:t>
            </w:r>
            <w:r w:rsidR="00FB68E0">
              <w:rPr>
                <w:rFonts w:ascii="Arial" w:hAnsi="Arial"/>
                <w:sz w:val="16"/>
              </w:rPr>
              <w:br/>
            </w:r>
          </w:p>
        </w:tc>
        <w:tc>
          <w:tcPr>
            <w:tcW w:w="3870" w:type="dxa"/>
            <w:tcMar>
              <w:top w:w="85" w:type="dxa"/>
            </w:tcMar>
          </w:tcPr>
          <w:p w14:paraId="4CC015AD" w14:textId="174D8CC0" w:rsidR="0032473C" w:rsidRPr="0032473C" w:rsidRDefault="0032473C" w:rsidP="009D7A18">
            <w:pPr>
              <w:spacing w:before="60"/>
              <w:rPr>
                <w:rFonts w:ascii="Arial" w:hAnsi="Arial"/>
                <w:sz w:val="16"/>
              </w:rPr>
            </w:pPr>
            <w:r w:rsidRPr="0032473C">
              <w:rPr>
                <w:rFonts w:ascii="Arial" w:hAnsi="Arial"/>
                <w:sz w:val="16"/>
              </w:rPr>
              <w:t xml:space="preserve">The salary component for an occupied position is calculated at position level applying single or dependent rate scales (ICSC) at projected grade/step. For vacant positions it is at dependent rate at an average step grade. The calculated USD amount is then converted to Swiss francs, with the application of the post adjustment (PA) multiplier, where applicable (for </w:t>
            </w:r>
            <w:r w:rsidR="00CD682C">
              <w:rPr>
                <w:rFonts w:ascii="Arial" w:hAnsi="Arial"/>
                <w:sz w:val="16"/>
              </w:rPr>
              <w:t>P</w:t>
            </w:r>
            <w:r w:rsidRPr="0032473C">
              <w:rPr>
                <w:rFonts w:ascii="Arial" w:hAnsi="Arial"/>
                <w:sz w:val="16"/>
              </w:rPr>
              <w:t>rofessionals</w:t>
            </w:r>
            <w:r w:rsidR="00CD682C">
              <w:rPr>
                <w:rFonts w:ascii="Arial" w:hAnsi="Arial"/>
                <w:sz w:val="16"/>
              </w:rPr>
              <w:t xml:space="preserve"> and higher categories</w:t>
            </w:r>
            <w:r w:rsidRPr="0032473C">
              <w:rPr>
                <w:rFonts w:ascii="Arial" w:hAnsi="Arial"/>
                <w:sz w:val="16"/>
              </w:rPr>
              <w:t xml:space="preserve">). </w:t>
            </w:r>
          </w:p>
          <w:p w14:paraId="76A50019" w14:textId="7955D356" w:rsidR="0032473C" w:rsidRPr="0032473C" w:rsidRDefault="0032473C" w:rsidP="00FB68E0">
            <w:pPr>
              <w:spacing w:before="60"/>
              <w:rPr>
                <w:rFonts w:ascii="Arial" w:hAnsi="Arial"/>
                <w:sz w:val="16"/>
              </w:rPr>
            </w:pPr>
            <w:r w:rsidRPr="0032473C">
              <w:rPr>
                <w:rFonts w:ascii="Arial" w:hAnsi="Arial"/>
                <w:sz w:val="16"/>
              </w:rPr>
              <w:t>The Organization’s share of the pensionable remuneration (UNJSPF) is added to the total amount.</w:t>
            </w:r>
          </w:p>
        </w:tc>
      </w:tr>
      <w:tr w:rsidR="0032473C" w:rsidRPr="00C86097" w14:paraId="436085DE" w14:textId="77777777" w:rsidTr="00FB68E0">
        <w:tc>
          <w:tcPr>
            <w:tcW w:w="1548" w:type="dxa"/>
            <w:tcBorders>
              <w:bottom w:val="nil"/>
            </w:tcBorders>
            <w:tcMar>
              <w:top w:w="85" w:type="dxa"/>
            </w:tcMar>
          </w:tcPr>
          <w:p w14:paraId="64705A33" w14:textId="77777777" w:rsidR="0032473C" w:rsidRPr="0032473C" w:rsidRDefault="0032473C" w:rsidP="009D7A18">
            <w:pPr>
              <w:spacing w:before="60" w:after="60"/>
              <w:rPr>
                <w:rFonts w:ascii="Arial" w:hAnsi="Arial"/>
                <w:b/>
                <w:sz w:val="18"/>
              </w:rPr>
            </w:pPr>
            <w:r w:rsidRPr="0032473C">
              <w:rPr>
                <w:rFonts w:ascii="Arial" w:hAnsi="Arial"/>
                <w:b/>
                <w:sz w:val="18"/>
              </w:rPr>
              <w:t>Common Staff Costs (CSC)</w:t>
            </w:r>
          </w:p>
        </w:tc>
        <w:tc>
          <w:tcPr>
            <w:tcW w:w="3870" w:type="dxa"/>
            <w:tcBorders>
              <w:bottom w:val="nil"/>
            </w:tcBorders>
            <w:tcMar>
              <w:top w:w="85" w:type="dxa"/>
            </w:tcMar>
          </w:tcPr>
          <w:p w14:paraId="454136E3" w14:textId="12C5F632" w:rsidR="0032473C" w:rsidRPr="0032473C" w:rsidRDefault="0032473C" w:rsidP="0032473C">
            <w:pPr>
              <w:spacing w:after="120"/>
              <w:rPr>
                <w:rFonts w:ascii="Arial" w:hAnsi="Arial"/>
                <w:sz w:val="16"/>
              </w:rPr>
            </w:pPr>
            <w:r w:rsidRPr="0032473C">
              <w:rPr>
                <w:rFonts w:ascii="Arial" w:hAnsi="Arial"/>
                <w:sz w:val="16"/>
              </w:rPr>
              <w:t>The CSC includes all benefits and entitlements other than salary, provided in accordance with the Staff Regulations and Rules (such as dependency allowance,</w:t>
            </w:r>
            <w:r w:rsidR="00CD682C">
              <w:rPr>
                <w:rFonts w:ascii="Arial" w:hAnsi="Arial"/>
                <w:sz w:val="16"/>
              </w:rPr>
              <w:t xml:space="preserve"> medical contributions,</w:t>
            </w:r>
            <w:r w:rsidRPr="0032473C">
              <w:rPr>
                <w:rFonts w:ascii="Arial" w:hAnsi="Arial"/>
                <w:sz w:val="16"/>
              </w:rPr>
              <w:t xml:space="preserve"> home leave, education grant etc.). The common staff cost is applied at the position level on the basis of a historic pattern of expenditures and projections made.</w:t>
            </w:r>
          </w:p>
          <w:p w14:paraId="3CC8E92B" w14:textId="6C997DA1" w:rsidR="0032473C" w:rsidRPr="0032473C" w:rsidRDefault="0032473C" w:rsidP="00FB68E0">
            <w:pPr>
              <w:spacing w:after="120"/>
              <w:rPr>
                <w:rFonts w:ascii="Arial" w:hAnsi="Arial"/>
                <w:sz w:val="16"/>
              </w:rPr>
            </w:pPr>
            <w:r w:rsidRPr="0032473C">
              <w:rPr>
                <w:rFonts w:ascii="Arial" w:hAnsi="Arial"/>
                <w:sz w:val="16"/>
              </w:rPr>
              <w:t>For vacant positions, an assumption of a spouse and a dependent child is applied to calculate the projected benefits.</w:t>
            </w:r>
          </w:p>
        </w:tc>
        <w:tc>
          <w:tcPr>
            <w:tcW w:w="3870" w:type="dxa"/>
            <w:tcBorders>
              <w:bottom w:val="nil"/>
            </w:tcBorders>
            <w:tcMar>
              <w:top w:w="85" w:type="dxa"/>
            </w:tcMar>
          </w:tcPr>
          <w:p w14:paraId="02A5DF15" w14:textId="151D72E6" w:rsidR="0032473C" w:rsidRPr="0032473C" w:rsidRDefault="0032473C" w:rsidP="0032473C">
            <w:pPr>
              <w:spacing w:after="120"/>
              <w:rPr>
                <w:rFonts w:ascii="Arial" w:hAnsi="Arial"/>
                <w:sz w:val="16"/>
              </w:rPr>
            </w:pPr>
            <w:r w:rsidRPr="0032473C">
              <w:rPr>
                <w:rFonts w:ascii="Arial" w:hAnsi="Arial"/>
                <w:sz w:val="16"/>
              </w:rPr>
              <w:t xml:space="preserve">The CSC includes all benefits and entitlements other than salary, provided in accordance with the Staff Regulations and Rules (such as dependency allowance, </w:t>
            </w:r>
            <w:r w:rsidR="00CD682C">
              <w:rPr>
                <w:rFonts w:ascii="Arial" w:hAnsi="Arial"/>
                <w:sz w:val="16"/>
              </w:rPr>
              <w:t>medical contributions</w:t>
            </w:r>
            <w:r w:rsidRPr="0032473C">
              <w:rPr>
                <w:rFonts w:ascii="Arial" w:hAnsi="Arial"/>
                <w:sz w:val="16"/>
              </w:rPr>
              <w:t xml:space="preserve"> etc.). The common staff cost is applied to the position level on the basis of a historic pattern of expenditures and projections made.</w:t>
            </w:r>
          </w:p>
          <w:p w14:paraId="32DF80E4" w14:textId="57758ABD" w:rsidR="0032473C" w:rsidRPr="0032473C" w:rsidRDefault="0032473C" w:rsidP="00FB68E0">
            <w:pPr>
              <w:rPr>
                <w:rFonts w:ascii="Arial" w:hAnsi="Arial"/>
                <w:sz w:val="16"/>
              </w:rPr>
            </w:pPr>
            <w:r w:rsidRPr="0032473C">
              <w:rPr>
                <w:rFonts w:ascii="Arial" w:hAnsi="Arial"/>
                <w:sz w:val="16"/>
              </w:rPr>
              <w:t>For vacant positions, an assumption of a spouse and a dependent child is applied to calculate the projected benefits.</w:t>
            </w:r>
          </w:p>
        </w:tc>
      </w:tr>
      <w:tr w:rsidR="0032473C" w:rsidRPr="00C86097" w14:paraId="546EE135" w14:textId="77777777" w:rsidTr="00FB68E0">
        <w:tc>
          <w:tcPr>
            <w:tcW w:w="1548" w:type="dxa"/>
            <w:tcBorders>
              <w:top w:val="single" w:sz="6" w:space="0" w:color="auto"/>
              <w:left w:val="single" w:sz="6" w:space="0" w:color="auto"/>
              <w:bottom w:val="single" w:sz="6" w:space="0" w:color="auto"/>
              <w:right w:val="single" w:sz="6" w:space="0" w:color="auto"/>
            </w:tcBorders>
            <w:tcMar>
              <w:top w:w="85" w:type="dxa"/>
            </w:tcMar>
          </w:tcPr>
          <w:p w14:paraId="68FC63B9" w14:textId="77777777" w:rsidR="0032473C" w:rsidRPr="0032473C" w:rsidRDefault="0032473C" w:rsidP="009D7A18">
            <w:pPr>
              <w:spacing w:beforeLines="60" w:before="144"/>
              <w:rPr>
                <w:rFonts w:ascii="Arial" w:hAnsi="Arial"/>
                <w:b/>
                <w:sz w:val="18"/>
              </w:rPr>
            </w:pPr>
            <w:r w:rsidRPr="0032473C">
              <w:rPr>
                <w:rFonts w:ascii="Arial" w:hAnsi="Arial"/>
                <w:b/>
                <w:sz w:val="18"/>
              </w:rPr>
              <w:t xml:space="preserve">Adjustment </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358A9463" w14:textId="7FB1002F" w:rsidR="0032473C" w:rsidRPr="0032473C" w:rsidRDefault="0032473C" w:rsidP="009D7A18">
            <w:pPr>
              <w:ind w:left="34"/>
              <w:rPr>
                <w:rFonts w:ascii="Arial" w:hAnsi="Arial"/>
                <w:sz w:val="16"/>
              </w:rPr>
            </w:pPr>
            <w:r w:rsidRPr="0032473C">
              <w:rPr>
                <w:rFonts w:ascii="Arial" w:hAnsi="Arial"/>
                <w:sz w:val="16"/>
              </w:rPr>
              <w:t>The cost for all positions is adjusted downward to take into account the 3% expected vacancy rate.</w:t>
            </w:r>
            <w:r w:rsidR="00FB68E0">
              <w:rPr>
                <w:rFonts w:ascii="Arial" w:hAnsi="Arial"/>
                <w:sz w:val="16"/>
              </w:rPr>
              <w:br/>
            </w:r>
            <w:r w:rsidRPr="0032473C">
              <w:rPr>
                <w:rFonts w:ascii="Arial" w:hAnsi="Arial"/>
                <w:sz w:val="16"/>
              </w:rPr>
              <w:t xml:space="preserve"> </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206B6E30" w14:textId="77777777" w:rsidR="0032473C" w:rsidRPr="0032473C" w:rsidRDefault="0032473C" w:rsidP="009D7A18">
            <w:pPr>
              <w:rPr>
                <w:rFonts w:ascii="Arial" w:hAnsi="Arial"/>
                <w:sz w:val="16"/>
              </w:rPr>
            </w:pPr>
            <w:r w:rsidRPr="0032473C">
              <w:rPr>
                <w:rFonts w:ascii="Arial" w:hAnsi="Arial"/>
                <w:sz w:val="16"/>
              </w:rPr>
              <w:t xml:space="preserve">No vacancy rate is applied for temporary positions. </w:t>
            </w:r>
          </w:p>
        </w:tc>
      </w:tr>
      <w:tr w:rsidR="0032473C" w:rsidRPr="00C86097" w14:paraId="17EFD8BC" w14:textId="77777777" w:rsidTr="00FB68E0">
        <w:tc>
          <w:tcPr>
            <w:tcW w:w="1548" w:type="dxa"/>
            <w:tcBorders>
              <w:top w:val="single" w:sz="6" w:space="0" w:color="auto"/>
              <w:left w:val="single" w:sz="6" w:space="0" w:color="auto"/>
              <w:bottom w:val="single" w:sz="6" w:space="0" w:color="auto"/>
              <w:right w:val="single" w:sz="6" w:space="0" w:color="auto"/>
            </w:tcBorders>
            <w:tcMar>
              <w:top w:w="85" w:type="dxa"/>
            </w:tcMar>
          </w:tcPr>
          <w:p w14:paraId="3CC289D1" w14:textId="77777777" w:rsidR="0032473C" w:rsidRPr="0032473C" w:rsidRDefault="0032473C" w:rsidP="009D7A18">
            <w:pPr>
              <w:spacing w:before="60" w:after="60"/>
              <w:rPr>
                <w:rFonts w:ascii="Arial" w:hAnsi="Arial"/>
                <w:b/>
                <w:sz w:val="18"/>
              </w:rPr>
            </w:pPr>
            <w:r w:rsidRPr="0032473C">
              <w:rPr>
                <w:rFonts w:ascii="Arial" w:hAnsi="Arial"/>
                <w:b/>
                <w:sz w:val="18"/>
              </w:rPr>
              <w:t>Provision for Separation and other related Costs</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0E2DEF6B" w14:textId="77777777" w:rsidR="0032473C" w:rsidRPr="0032473C" w:rsidRDefault="0032473C" w:rsidP="009D7A18">
            <w:pPr>
              <w:spacing w:before="60" w:after="60"/>
              <w:rPr>
                <w:rFonts w:ascii="Arial" w:hAnsi="Arial"/>
                <w:sz w:val="16"/>
              </w:rPr>
            </w:pPr>
            <w:r w:rsidRPr="0032473C">
              <w:rPr>
                <w:rFonts w:ascii="Arial" w:hAnsi="Arial"/>
                <w:sz w:val="16"/>
              </w:rPr>
              <w:t>A 6% provision is applied to the total cost to cover for separation related costs and various after service benefits.</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1346A335" w14:textId="77777777" w:rsidR="0032473C" w:rsidRPr="0032473C" w:rsidRDefault="0032473C" w:rsidP="009D7A18">
            <w:pPr>
              <w:spacing w:before="60" w:after="60"/>
              <w:rPr>
                <w:rFonts w:ascii="Arial" w:hAnsi="Arial"/>
                <w:sz w:val="16"/>
              </w:rPr>
            </w:pPr>
            <w:r w:rsidRPr="0032473C">
              <w:rPr>
                <w:rFonts w:ascii="Arial" w:hAnsi="Arial"/>
                <w:sz w:val="16"/>
              </w:rPr>
              <w:t>A 2% provision is applied is to the total cost to cover for the separation related costs and various after service benefits.</w:t>
            </w:r>
          </w:p>
        </w:tc>
      </w:tr>
    </w:tbl>
    <w:p w14:paraId="7A797C04" w14:textId="77777777" w:rsidR="00F04E0B" w:rsidRDefault="00F04E0B">
      <w:pPr>
        <w:rPr>
          <w:rFonts w:ascii="Arial" w:hAnsi="Arial" w:cs="Arial"/>
          <w:sz w:val="20"/>
        </w:rPr>
      </w:pPr>
      <w:r>
        <w:rPr>
          <w:rFonts w:ascii="Arial" w:hAnsi="Arial" w:cs="Arial"/>
          <w:sz w:val="20"/>
        </w:rPr>
        <w:br w:type="page"/>
      </w:r>
    </w:p>
    <w:p w14:paraId="004D489C" w14:textId="77777777" w:rsidR="0032473C" w:rsidRDefault="0032473C" w:rsidP="009D7A18">
      <w:pPr>
        <w:rPr>
          <w:rFonts w:ascii="Arial" w:hAnsi="Arial" w:cs="Arial"/>
          <w:sz w:val="20"/>
          <w:lang w:val="en-GB"/>
        </w:rPr>
        <w:sectPr w:rsidR="0032473C" w:rsidSect="00C84440">
          <w:pgSz w:w="11907" w:h="16839" w:code="9"/>
          <w:pgMar w:top="624" w:right="1418" w:bottom="1361" w:left="1418" w:header="567" w:footer="851" w:gutter="0"/>
          <w:cols w:space="720"/>
          <w:docGrid w:linePitch="360"/>
        </w:sectPr>
      </w:pPr>
    </w:p>
    <w:p w14:paraId="2FD20290" w14:textId="77777777" w:rsidR="00FB583B" w:rsidRPr="00B35BD1" w:rsidRDefault="00FB583B" w:rsidP="00FB583B">
      <w:pPr>
        <w:pStyle w:val="StyleHeading3ComplexItalic"/>
        <w:keepNext w:val="0"/>
        <w:tabs>
          <w:tab w:val="clear" w:pos="1985"/>
          <w:tab w:val="left" w:pos="0"/>
        </w:tabs>
        <w:rPr>
          <w:caps w:val="0"/>
        </w:rPr>
      </w:pPr>
      <w:bookmarkStart w:id="160" w:name="_Toc293334853"/>
      <w:bookmarkStart w:id="161" w:name="_Toc298920435"/>
      <w:bookmarkStart w:id="162" w:name="_Toc310950816"/>
      <w:bookmarkStart w:id="163" w:name="_Toc356567802"/>
      <w:bookmarkStart w:id="164" w:name="_Toc367350628"/>
      <w:bookmarkStart w:id="165" w:name="_Toc431221461"/>
      <w:r w:rsidRPr="00B35BD1">
        <w:rPr>
          <w:caps w:val="0"/>
        </w:rPr>
        <w:lastRenderedPageBreak/>
        <w:t xml:space="preserve">APPENDIX D    </w:t>
      </w:r>
      <w:r w:rsidRPr="00B35BD1">
        <w:rPr>
          <w:caps w:val="0"/>
        </w:rPr>
        <w:br/>
        <w:t>FLEXIBILITY FORMULAS</w:t>
      </w:r>
      <w:bookmarkEnd w:id="160"/>
      <w:bookmarkEnd w:id="161"/>
      <w:bookmarkEnd w:id="162"/>
      <w:bookmarkEnd w:id="163"/>
      <w:bookmarkEnd w:id="164"/>
      <w:bookmarkEnd w:id="165"/>
    </w:p>
    <w:p w14:paraId="26B911D3" w14:textId="77777777" w:rsidR="00FB583B" w:rsidRDefault="00FB583B" w:rsidP="00FB583B">
      <w:pPr>
        <w:rPr>
          <w:rFonts w:ascii="Arial" w:hAnsi="Arial" w:cs="Arial"/>
          <w:sz w:val="20"/>
          <w:lang w:val="en-GB"/>
        </w:rPr>
      </w:pPr>
    </w:p>
    <w:p w14:paraId="2CD31D34" w14:textId="162256CC" w:rsidR="00FB583B" w:rsidRPr="001A3887" w:rsidRDefault="00FB583B">
      <w:pPr>
        <w:autoSpaceDE w:val="0"/>
        <w:autoSpaceDN w:val="0"/>
        <w:adjustRightInd w:val="0"/>
        <w:rPr>
          <w:rFonts w:ascii="Arial" w:hAnsi="Arial" w:cs="Arial"/>
          <w:sz w:val="20"/>
          <w:szCs w:val="20"/>
        </w:rPr>
      </w:pPr>
    </w:p>
    <w:p w14:paraId="1DB29ADB" w14:textId="2BB18ABA" w:rsidR="00E034AC" w:rsidRPr="003B57BC" w:rsidRDefault="003B57BC" w:rsidP="00C84440">
      <w:pPr>
        <w:pStyle w:val="Body"/>
        <w:rPr>
          <w:rFonts w:ascii="Arial" w:hAnsi="Arial" w:cs="Arial"/>
          <w:sz w:val="20"/>
        </w:rPr>
      </w:pPr>
      <w:r w:rsidRPr="003B57BC">
        <w:rPr>
          <w:rFonts w:ascii="Arial" w:hAnsi="Arial" w:cs="Arial"/>
          <w:sz w:val="20"/>
        </w:rPr>
        <w:t>GENERAL</w:t>
      </w:r>
    </w:p>
    <w:p w14:paraId="67EB8E69" w14:textId="77777777" w:rsidR="00E034AC" w:rsidRPr="001A3887" w:rsidRDefault="00E034AC">
      <w:pPr>
        <w:jc w:val="both"/>
        <w:rPr>
          <w:rFonts w:ascii="Arial" w:hAnsi="Arial" w:cs="Arial"/>
          <w:sz w:val="20"/>
          <w:szCs w:val="20"/>
        </w:rPr>
      </w:pPr>
    </w:p>
    <w:p w14:paraId="52C33D97" w14:textId="77777777" w:rsidR="00E034AC" w:rsidRPr="003F5036" w:rsidRDefault="00E034AC">
      <w:pPr>
        <w:jc w:val="both"/>
        <w:rPr>
          <w:rFonts w:ascii="Arial" w:hAnsi="Arial" w:cs="Arial"/>
          <w:sz w:val="20"/>
          <w:szCs w:val="20"/>
        </w:rPr>
      </w:pPr>
      <w:r w:rsidRPr="00B749A5">
        <w:rPr>
          <w:rFonts w:ascii="Arial" w:hAnsi="Arial" w:cs="Arial"/>
          <w:sz w:val="20"/>
          <w:szCs w:val="20"/>
        </w:rPr>
        <w:t>The flexibility formulas are the mechanism which enables the levels of financial resources allocated to the global protection systems (PCT, Madrid, Hague) to be varied to reflect unbudgeted variation</w:t>
      </w:r>
      <w:r w:rsidRPr="003F5036">
        <w:rPr>
          <w:rFonts w:ascii="Arial" w:hAnsi="Arial" w:cs="Arial"/>
          <w:sz w:val="20"/>
          <w:szCs w:val="20"/>
        </w:rPr>
        <w:t>s in the total volume of registration activities.  The flexibility formulas for the PCT, Madrid and Hague systems were revised and approved by their respective Assemblies, which convened from September 24 to October 3, 2007.</w:t>
      </w:r>
    </w:p>
    <w:p w14:paraId="271EB5D4" w14:textId="77777777" w:rsidR="00E034AC" w:rsidRPr="003F5036" w:rsidRDefault="00E034AC">
      <w:pPr>
        <w:jc w:val="both"/>
        <w:rPr>
          <w:rFonts w:ascii="Arial" w:hAnsi="Arial" w:cs="Arial"/>
          <w:sz w:val="20"/>
          <w:szCs w:val="20"/>
        </w:rPr>
      </w:pPr>
    </w:p>
    <w:p w14:paraId="6032560A" w14:textId="77777777" w:rsidR="00E034AC" w:rsidRPr="00764DA3" w:rsidRDefault="00E034AC">
      <w:pPr>
        <w:jc w:val="both"/>
        <w:rPr>
          <w:rFonts w:ascii="Arial" w:hAnsi="Arial" w:cs="Arial"/>
          <w:sz w:val="20"/>
          <w:szCs w:val="20"/>
        </w:rPr>
      </w:pPr>
    </w:p>
    <w:p w14:paraId="061B972D" w14:textId="72AB7577" w:rsidR="00E034AC" w:rsidRPr="00C84440" w:rsidRDefault="00E034AC" w:rsidP="00C84440">
      <w:pPr>
        <w:pStyle w:val="Body"/>
        <w:jc w:val="both"/>
        <w:rPr>
          <w:rFonts w:ascii="Arial" w:hAnsi="Arial" w:cs="Arial"/>
        </w:rPr>
      </w:pPr>
      <w:r w:rsidRPr="00C84440">
        <w:rPr>
          <w:rFonts w:ascii="Arial" w:hAnsi="Arial" w:cs="Arial"/>
          <w:sz w:val="20"/>
        </w:rPr>
        <w:t>PCT SYSTEM</w:t>
      </w:r>
    </w:p>
    <w:p w14:paraId="6B834F25" w14:textId="77777777" w:rsidR="00E034AC" w:rsidRPr="001A3887" w:rsidRDefault="00E034AC">
      <w:pPr>
        <w:jc w:val="both"/>
        <w:rPr>
          <w:rFonts w:ascii="Arial" w:hAnsi="Arial" w:cs="Arial"/>
          <w:sz w:val="20"/>
          <w:szCs w:val="20"/>
        </w:rPr>
      </w:pPr>
    </w:p>
    <w:p w14:paraId="27802851" w14:textId="77777777" w:rsidR="00E034AC" w:rsidRPr="00764DA3" w:rsidRDefault="00E034AC">
      <w:pPr>
        <w:jc w:val="both"/>
        <w:rPr>
          <w:rFonts w:ascii="Arial" w:hAnsi="Arial" w:cs="Arial"/>
          <w:sz w:val="20"/>
          <w:szCs w:val="20"/>
        </w:rPr>
      </w:pPr>
      <w:r w:rsidRPr="00B749A5">
        <w:rPr>
          <w:rFonts w:ascii="Arial" w:hAnsi="Arial" w:cs="Arial"/>
          <w:sz w:val="20"/>
          <w:szCs w:val="20"/>
        </w:rPr>
        <w:t>The revised flexi</w:t>
      </w:r>
      <w:r w:rsidRPr="00C87CC8">
        <w:rPr>
          <w:rFonts w:ascii="Arial" w:hAnsi="Arial" w:cs="Arial"/>
          <w:sz w:val="20"/>
          <w:szCs w:val="20"/>
        </w:rPr>
        <w:t xml:space="preserve">bility formula for the PCT system is described in document PCT/A/36/5, and it was approved by the PCT Assembly as indicated in document PCT/A/36/13.  As noted in these documents, the flexibility formula for PCT was revised to reflect a budget variation of </w:t>
      </w:r>
      <w:r w:rsidRPr="003F5036">
        <w:rPr>
          <w:rFonts w:ascii="Arial" w:hAnsi="Arial" w:cs="Arial"/>
          <w:sz w:val="20"/>
          <w:szCs w:val="20"/>
        </w:rPr>
        <w:t>341,870 Swiss francs per 1,000 unbudgeted PCT international applications.  The revised formula no longer linked the variations in the number of applications to variations in the number of staff posts as it was done before.  Rather, the formula proposed to vary the total resources allocated to programs involved, allowing to use both personnel resources (such as posts, short-term employees, SSAs, etc.) and non</w:t>
      </w:r>
      <w:r w:rsidRPr="003F5036">
        <w:rPr>
          <w:rFonts w:ascii="Arial" w:hAnsi="Arial" w:cs="Arial"/>
          <w:sz w:val="20"/>
          <w:szCs w:val="20"/>
        </w:rPr>
        <w:noBreakHyphen/>
        <w:t>personnel resources (such as outsourcing contracts).  The adjustments are allocated to the administr</w:t>
      </w:r>
      <w:r w:rsidRPr="00764DA3">
        <w:rPr>
          <w:rFonts w:ascii="Arial" w:hAnsi="Arial" w:cs="Arial"/>
          <w:sz w:val="20"/>
          <w:szCs w:val="20"/>
        </w:rPr>
        <w:t xml:space="preserve">ation of the PCT system and support services at a 87.5:12.5 ratio.  </w:t>
      </w:r>
    </w:p>
    <w:p w14:paraId="7A977839" w14:textId="77777777" w:rsidR="00E034AC" w:rsidRPr="00764DA3" w:rsidRDefault="00E034AC">
      <w:pPr>
        <w:jc w:val="both"/>
        <w:rPr>
          <w:rFonts w:ascii="Arial" w:hAnsi="Arial" w:cs="Arial"/>
          <w:sz w:val="20"/>
          <w:szCs w:val="20"/>
        </w:rPr>
      </w:pPr>
    </w:p>
    <w:p w14:paraId="1FEC29E1" w14:textId="77777777" w:rsidR="00E034AC" w:rsidRPr="00764DA3" w:rsidRDefault="00E034AC">
      <w:pPr>
        <w:jc w:val="both"/>
        <w:rPr>
          <w:rFonts w:ascii="Arial" w:hAnsi="Arial" w:cs="Arial"/>
          <w:sz w:val="20"/>
          <w:szCs w:val="20"/>
        </w:rPr>
      </w:pPr>
    </w:p>
    <w:p w14:paraId="420F6A4A" w14:textId="4BA057F3" w:rsidR="00E034AC" w:rsidRPr="00C84440" w:rsidRDefault="00E034AC" w:rsidP="00C84440">
      <w:pPr>
        <w:pStyle w:val="Body"/>
        <w:jc w:val="both"/>
        <w:rPr>
          <w:rFonts w:ascii="Arial" w:hAnsi="Arial" w:cs="Arial"/>
        </w:rPr>
      </w:pPr>
      <w:r w:rsidRPr="00C84440">
        <w:rPr>
          <w:rFonts w:ascii="Arial" w:hAnsi="Arial" w:cs="Arial"/>
          <w:sz w:val="20"/>
        </w:rPr>
        <w:t>MADRID SYSTEM</w:t>
      </w:r>
    </w:p>
    <w:p w14:paraId="646D72A5" w14:textId="77777777" w:rsidR="00E034AC" w:rsidRPr="001A3887" w:rsidRDefault="00E034AC">
      <w:pPr>
        <w:jc w:val="both"/>
        <w:rPr>
          <w:rFonts w:ascii="Arial" w:hAnsi="Arial" w:cs="Arial"/>
          <w:sz w:val="20"/>
          <w:szCs w:val="20"/>
        </w:rPr>
      </w:pPr>
    </w:p>
    <w:p w14:paraId="55D41502" w14:textId="71115BF4" w:rsidR="00E034AC" w:rsidRPr="003F5036" w:rsidRDefault="00E034AC">
      <w:pPr>
        <w:jc w:val="both"/>
        <w:rPr>
          <w:rFonts w:ascii="Arial" w:hAnsi="Arial" w:cs="Arial"/>
          <w:sz w:val="20"/>
          <w:szCs w:val="20"/>
        </w:rPr>
      </w:pPr>
      <w:r w:rsidRPr="00B749A5">
        <w:rPr>
          <w:rFonts w:ascii="Arial" w:hAnsi="Arial" w:cs="Arial"/>
          <w:sz w:val="20"/>
          <w:szCs w:val="20"/>
        </w:rPr>
        <w:t>The revised flexibility formula for the Madrid system is described in document MM/A/38</w:t>
      </w:r>
      <w:r>
        <w:rPr>
          <w:rFonts w:ascii="Arial" w:hAnsi="Arial" w:cs="Arial"/>
          <w:sz w:val="20"/>
          <w:szCs w:val="20"/>
        </w:rPr>
        <w:t xml:space="preserve">/5, and it was approved by the </w:t>
      </w:r>
      <w:r w:rsidRPr="001A3887">
        <w:rPr>
          <w:rFonts w:ascii="Arial" w:hAnsi="Arial" w:cs="Arial"/>
          <w:sz w:val="20"/>
          <w:szCs w:val="20"/>
        </w:rPr>
        <w:t>Madrid Assembly as reflected in document MM/A/38/6.  The new formula allows for adjustments in the M</w:t>
      </w:r>
      <w:r w:rsidRPr="00B749A5">
        <w:rPr>
          <w:rFonts w:ascii="Arial" w:hAnsi="Arial" w:cs="Arial"/>
          <w:sz w:val="20"/>
          <w:szCs w:val="20"/>
        </w:rPr>
        <w:t xml:space="preserve">adrid Union budget by 197,060 Swiss francs for each variation of 500 registrations and/or renewals recorded as compared to the approved initial estimates.  The formula no longer links the adjustments to staff </w:t>
      </w:r>
      <w:r w:rsidRPr="003F5036">
        <w:rPr>
          <w:rFonts w:ascii="Arial" w:hAnsi="Arial" w:cs="Arial"/>
          <w:sz w:val="20"/>
          <w:szCs w:val="20"/>
        </w:rPr>
        <w:t>posts only, but rather allows for adjustments in overall financial resources allocated to the programs directly involved in the processing of t</w:t>
      </w:r>
      <w:bookmarkStart w:id="166" w:name="_GoBack"/>
      <w:bookmarkEnd w:id="166"/>
      <w:r w:rsidRPr="003F5036">
        <w:rPr>
          <w:rFonts w:ascii="Arial" w:hAnsi="Arial" w:cs="Arial"/>
          <w:sz w:val="20"/>
          <w:szCs w:val="20"/>
        </w:rPr>
        <w:t>he resulting workload.  These resources may be of personnel (posts, short-term employees, etc.) and non-personnel nature (e.g., outsourcing contracts).  The adjustments are allocated to the administration of the International Trademark Registry and support services at a 87.5:12.5 ratio.</w:t>
      </w:r>
    </w:p>
    <w:p w14:paraId="4436CB3D" w14:textId="77777777" w:rsidR="00E034AC" w:rsidRPr="00764DA3" w:rsidRDefault="00E034AC">
      <w:pPr>
        <w:jc w:val="both"/>
        <w:rPr>
          <w:rFonts w:ascii="Arial" w:hAnsi="Arial" w:cs="Arial"/>
          <w:sz w:val="20"/>
          <w:szCs w:val="20"/>
        </w:rPr>
      </w:pPr>
    </w:p>
    <w:p w14:paraId="051FB104" w14:textId="77777777" w:rsidR="00E034AC" w:rsidRPr="00764DA3" w:rsidRDefault="00E034AC">
      <w:pPr>
        <w:jc w:val="both"/>
        <w:rPr>
          <w:rFonts w:ascii="Arial" w:hAnsi="Arial" w:cs="Arial"/>
          <w:sz w:val="20"/>
          <w:szCs w:val="20"/>
        </w:rPr>
      </w:pPr>
    </w:p>
    <w:p w14:paraId="2BD68F5E" w14:textId="09EF0688" w:rsidR="00E034AC" w:rsidRPr="00C84440" w:rsidRDefault="00E034AC" w:rsidP="00C84440">
      <w:pPr>
        <w:pStyle w:val="Body"/>
        <w:jc w:val="both"/>
        <w:rPr>
          <w:rFonts w:ascii="Arial" w:hAnsi="Arial" w:cs="Arial"/>
        </w:rPr>
      </w:pPr>
      <w:r w:rsidRPr="00C84440">
        <w:rPr>
          <w:rFonts w:ascii="Arial" w:hAnsi="Arial" w:cs="Arial"/>
          <w:sz w:val="20"/>
        </w:rPr>
        <w:t>HAGUE SYSTEM</w:t>
      </w:r>
    </w:p>
    <w:p w14:paraId="6146C35E" w14:textId="77777777" w:rsidR="00E034AC" w:rsidRPr="001A3887" w:rsidRDefault="00E034AC">
      <w:pPr>
        <w:jc w:val="both"/>
        <w:rPr>
          <w:rFonts w:ascii="Arial" w:hAnsi="Arial" w:cs="Arial"/>
          <w:sz w:val="20"/>
          <w:szCs w:val="20"/>
        </w:rPr>
      </w:pPr>
    </w:p>
    <w:p w14:paraId="72C1CC28" w14:textId="77777777" w:rsidR="00E034AC" w:rsidRPr="00C84440" w:rsidRDefault="00E034AC" w:rsidP="00C84440">
      <w:pPr>
        <w:pStyle w:val="BodyText2"/>
        <w:spacing w:after="0" w:line="240" w:lineRule="auto"/>
        <w:jc w:val="both"/>
        <w:rPr>
          <w:rFonts w:ascii="Arial" w:hAnsi="Arial" w:cs="Arial"/>
          <w:sz w:val="20"/>
          <w:szCs w:val="20"/>
        </w:rPr>
      </w:pPr>
      <w:r w:rsidRPr="00C84440">
        <w:rPr>
          <w:rFonts w:ascii="Arial" w:hAnsi="Arial" w:cs="Arial"/>
          <w:sz w:val="20"/>
          <w:szCs w:val="20"/>
        </w:rPr>
        <w:t>The revised flexibility formula for the Hague system is described in document H/A/24/3, and it was approved by the Hague Assembly as reflected in document H/A/24/4.  The new formula provides for adjustments of the Hague Union budget by an amount of 99,024 Swiss francs for each variation of 300 registrations and/or renewals recorded in the Hague Union Registry as compared to the approved initial estimates.  The resources may be of personnel and non-personnel nature, and they are allocated to the administration of the Hague Union Registry and support services at a 87.5:12.5 ratio.</w:t>
      </w:r>
    </w:p>
    <w:p w14:paraId="0FC200A9" w14:textId="77777777" w:rsidR="00E034AC" w:rsidRPr="001A3887" w:rsidRDefault="00E034AC">
      <w:pPr>
        <w:jc w:val="both"/>
        <w:rPr>
          <w:rFonts w:ascii="Arial" w:hAnsi="Arial" w:cs="Arial"/>
          <w:sz w:val="20"/>
          <w:szCs w:val="20"/>
        </w:rPr>
      </w:pPr>
    </w:p>
    <w:p w14:paraId="20A01D0D" w14:textId="77777777" w:rsidR="00E034AC" w:rsidRPr="00B749A5" w:rsidRDefault="00E034AC">
      <w:pPr>
        <w:jc w:val="both"/>
        <w:rPr>
          <w:rFonts w:ascii="Arial" w:hAnsi="Arial" w:cs="Arial"/>
          <w:sz w:val="20"/>
          <w:szCs w:val="20"/>
        </w:rPr>
      </w:pPr>
    </w:p>
    <w:p w14:paraId="6DB396F1" w14:textId="77777777" w:rsidR="00E034AC" w:rsidRPr="003F5036" w:rsidRDefault="00E034AC">
      <w:pPr>
        <w:autoSpaceDE w:val="0"/>
        <w:autoSpaceDN w:val="0"/>
        <w:adjustRightInd w:val="0"/>
        <w:rPr>
          <w:rFonts w:ascii="Arial" w:hAnsi="Arial" w:cs="Arial"/>
          <w:sz w:val="20"/>
          <w:szCs w:val="20"/>
        </w:rPr>
      </w:pPr>
    </w:p>
    <w:p w14:paraId="4C44AF60" w14:textId="2197AA01" w:rsidR="00F04E0B" w:rsidRDefault="00F04E0B">
      <w:pPr>
        <w:rPr>
          <w:rFonts w:ascii="Arial" w:hAnsi="Arial" w:cs="Arial"/>
          <w:sz w:val="20"/>
        </w:rPr>
      </w:pPr>
      <w:r>
        <w:rPr>
          <w:rFonts w:ascii="Arial" w:hAnsi="Arial" w:cs="Arial"/>
          <w:sz w:val="20"/>
        </w:rPr>
        <w:br w:type="page"/>
      </w:r>
    </w:p>
    <w:p w14:paraId="4289CEEC" w14:textId="77777777" w:rsidR="00FB583B" w:rsidRPr="00B35BD1" w:rsidRDefault="00FB583B" w:rsidP="00FB583B">
      <w:pPr>
        <w:pStyle w:val="StyleHeading3ComplexItalic"/>
        <w:keepNext w:val="0"/>
        <w:tabs>
          <w:tab w:val="clear" w:pos="1985"/>
          <w:tab w:val="left" w:pos="0"/>
        </w:tabs>
        <w:rPr>
          <w:b w:val="0"/>
          <w:bCs/>
          <w:caps w:val="0"/>
        </w:rPr>
      </w:pPr>
      <w:bookmarkStart w:id="167" w:name="_Toc293334854"/>
      <w:bookmarkStart w:id="168" w:name="_Toc298920436"/>
      <w:bookmarkStart w:id="169" w:name="_Toc310950817"/>
      <w:bookmarkStart w:id="170" w:name="_Toc356567803"/>
      <w:bookmarkStart w:id="171" w:name="_Toc367350629"/>
      <w:bookmarkStart w:id="172" w:name="_Toc431221462"/>
      <w:r w:rsidRPr="00B35BD1">
        <w:rPr>
          <w:caps w:val="0"/>
        </w:rPr>
        <w:lastRenderedPageBreak/>
        <w:t xml:space="preserve">APPENDIX E  </w:t>
      </w:r>
      <w:r w:rsidRPr="00B35BD1">
        <w:rPr>
          <w:b w:val="0"/>
          <w:bCs/>
          <w:caps w:val="0"/>
        </w:rPr>
        <w:t xml:space="preserve"> </w:t>
      </w:r>
      <w:r w:rsidRPr="00B35BD1">
        <w:rPr>
          <w:b w:val="0"/>
          <w:bCs/>
          <w:caps w:val="0"/>
        </w:rPr>
        <w:br/>
      </w:r>
      <w:r w:rsidRPr="00B35BD1">
        <w:rPr>
          <w:caps w:val="0"/>
        </w:rPr>
        <w:t>ACRONYMS</w:t>
      </w:r>
      <w:r w:rsidRPr="00B35BD1">
        <w:rPr>
          <w:b w:val="0"/>
          <w:bCs/>
        </w:rPr>
        <w:t xml:space="preserve"> </w:t>
      </w:r>
      <w:r w:rsidRPr="00B35BD1">
        <w:rPr>
          <w:caps w:val="0"/>
        </w:rPr>
        <w:t>AND</w:t>
      </w:r>
      <w:r w:rsidRPr="00B35BD1">
        <w:rPr>
          <w:b w:val="0"/>
          <w:bCs/>
        </w:rPr>
        <w:t xml:space="preserve"> </w:t>
      </w:r>
      <w:r w:rsidRPr="00B35BD1">
        <w:rPr>
          <w:caps w:val="0"/>
        </w:rPr>
        <w:t>ABBREVIATIONS</w:t>
      </w:r>
      <w:r w:rsidRPr="00B35BD1">
        <w:rPr>
          <w:b w:val="0"/>
          <w:bCs/>
        </w:rPr>
        <w:t xml:space="preserve"> </w:t>
      </w:r>
      <w:r w:rsidRPr="00B35BD1">
        <w:rPr>
          <w:caps w:val="0"/>
        </w:rPr>
        <w:t>USED</w:t>
      </w:r>
      <w:r w:rsidRPr="00B35BD1">
        <w:rPr>
          <w:b w:val="0"/>
          <w:bCs/>
        </w:rPr>
        <w:t xml:space="preserve"> </w:t>
      </w:r>
      <w:r w:rsidRPr="00B35BD1">
        <w:rPr>
          <w:caps w:val="0"/>
        </w:rPr>
        <w:t>IN THE PRESENT</w:t>
      </w:r>
      <w:r w:rsidRPr="00B35BD1">
        <w:rPr>
          <w:b w:val="0"/>
          <w:bCs/>
        </w:rPr>
        <w:t xml:space="preserve"> </w:t>
      </w:r>
      <w:r w:rsidRPr="00B35BD1">
        <w:rPr>
          <w:caps w:val="0"/>
        </w:rPr>
        <w:t>DOCUMENT</w:t>
      </w:r>
      <w:bookmarkEnd w:id="167"/>
      <w:bookmarkEnd w:id="168"/>
      <w:bookmarkEnd w:id="169"/>
      <w:bookmarkEnd w:id="170"/>
      <w:bookmarkEnd w:id="171"/>
      <w:bookmarkEnd w:id="172"/>
      <w:r w:rsidRPr="00B35BD1">
        <w:rPr>
          <w:b w:val="0"/>
          <w:bCs/>
          <w:caps w:val="0"/>
        </w:rPr>
        <w:t xml:space="preserve"> </w:t>
      </w:r>
    </w:p>
    <w:p w14:paraId="3BD3F9F1" w14:textId="77777777" w:rsidR="00FB583B" w:rsidRDefault="00FB583B" w:rsidP="00FB583B">
      <w:pPr>
        <w:tabs>
          <w:tab w:val="left" w:pos="1980"/>
          <w:tab w:val="left" w:pos="3261"/>
        </w:tabs>
        <w:spacing w:line="280" w:lineRule="exact"/>
        <w:ind w:left="2268" w:hanging="2268"/>
        <w:jc w:val="both"/>
        <w:rPr>
          <w:rFonts w:ascii="Arial" w:hAnsi="Arial" w:cs="Arial"/>
          <w:sz w:val="20"/>
        </w:rPr>
      </w:pPr>
    </w:p>
    <w:p w14:paraId="4E2873F5" w14:textId="77777777" w:rsidR="00FB583B" w:rsidRDefault="00FB583B" w:rsidP="00FB583B">
      <w:pPr>
        <w:tabs>
          <w:tab w:val="left" w:pos="1980"/>
          <w:tab w:val="left" w:pos="3261"/>
        </w:tabs>
        <w:spacing w:line="280" w:lineRule="exact"/>
        <w:ind w:left="2268" w:hanging="2268"/>
        <w:jc w:val="both"/>
        <w:rPr>
          <w:rFonts w:ascii="Arial" w:hAnsi="Arial" w:cs="Arial"/>
          <w:sz w:val="20"/>
        </w:rPr>
      </w:pPr>
    </w:p>
    <w:p w14:paraId="00F55CF1" w14:textId="77777777" w:rsidR="00FB583B" w:rsidRPr="00F10C59" w:rsidRDefault="00FB583B" w:rsidP="00FB583B">
      <w:pPr>
        <w:tabs>
          <w:tab w:val="left" w:pos="1980"/>
          <w:tab w:val="left" w:pos="3261"/>
        </w:tabs>
        <w:spacing w:line="280" w:lineRule="exact"/>
        <w:ind w:left="2268" w:hanging="2268"/>
        <w:jc w:val="both"/>
        <w:rPr>
          <w:rFonts w:ascii="Arial" w:hAnsi="Arial" w:cs="Arial"/>
          <w:sz w:val="20"/>
        </w:rPr>
      </w:pPr>
    </w:p>
    <w:p w14:paraId="64EC7F00" w14:textId="3AE50434" w:rsidR="005D60B3" w:rsidRDefault="005D60B3" w:rsidP="00FB583B">
      <w:pPr>
        <w:tabs>
          <w:tab w:val="left" w:pos="2127"/>
        </w:tabs>
        <w:spacing w:after="40"/>
        <w:ind w:left="2126" w:right="-476" w:hanging="2126"/>
        <w:rPr>
          <w:rFonts w:ascii="Arial" w:hAnsi="Arial" w:cs="Arial"/>
          <w:b/>
          <w:bCs/>
          <w:sz w:val="20"/>
        </w:rPr>
      </w:pPr>
      <w:r>
        <w:rPr>
          <w:rFonts w:ascii="Arial" w:hAnsi="Arial" w:cs="Arial"/>
          <w:sz w:val="20"/>
        </w:rPr>
        <w:t>ABC</w:t>
      </w:r>
      <w:r>
        <w:rPr>
          <w:rFonts w:ascii="Arial" w:hAnsi="Arial" w:cs="Arial"/>
          <w:sz w:val="20"/>
        </w:rPr>
        <w:tab/>
      </w:r>
      <w:r w:rsidRPr="00B30856">
        <w:rPr>
          <w:rFonts w:ascii="Arial" w:hAnsi="Arial" w:cs="Arial"/>
          <w:sz w:val="20"/>
        </w:rPr>
        <w:t xml:space="preserve">Accessible Books Consortium </w:t>
      </w:r>
    </w:p>
    <w:p w14:paraId="5FFB4258" w14:textId="77777777" w:rsidR="00FB583B" w:rsidRPr="00F10C59" w:rsidRDefault="00FB583B" w:rsidP="00FB583B">
      <w:pPr>
        <w:tabs>
          <w:tab w:val="left" w:pos="2127"/>
        </w:tabs>
        <w:spacing w:after="40"/>
        <w:ind w:left="2126" w:right="-476" w:hanging="2126"/>
        <w:rPr>
          <w:rFonts w:ascii="Arial" w:hAnsi="Arial" w:cs="Arial"/>
          <w:sz w:val="20"/>
        </w:rPr>
      </w:pPr>
      <w:r w:rsidRPr="00B30215">
        <w:rPr>
          <w:rFonts w:ascii="Arial" w:hAnsi="Arial" w:cs="Arial"/>
          <w:bCs/>
          <w:sz w:val="20"/>
        </w:rPr>
        <w:t>A</w:t>
      </w:r>
      <w:r w:rsidRPr="00F10C59">
        <w:rPr>
          <w:rFonts w:ascii="Arial" w:hAnsi="Arial" w:cs="Arial"/>
          <w:sz w:val="20"/>
        </w:rPr>
        <w:t>CE</w:t>
      </w:r>
      <w:r w:rsidRPr="00F10C59">
        <w:rPr>
          <w:rFonts w:ascii="Arial" w:hAnsi="Arial" w:cs="Arial"/>
          <w:sz w:val="20"/>
        </w:rPr>
        <w:tab/>
        <w:t xml:space="preserve">Advisory Committee on Enforcement </w:t>
      </w:r>
    </w:p>
    <w:p w14:paraId="452D1E09" w14:textId="77777777" w:rsidR="00FB583B" w:rsidRPr="00F10C59" w:rsidRDefault="00FB583B" w:rsidP="00FB583B">
      <w:pPr>
        <w:tabs>
          <w:tab w:val="left" w:pos="2127"/>
        </w:tabs>
        <w:spacing w:after="40"/>
        <w:ind w:left="2126" w:hanging="2126"/>
        <w:rPr>
          <w:rFonts w:ascii="Arial" w:hAnsi="Arial" w:cs="Arial"/>
          <w:sz w:val="20"/>
        </w:rPr>
      </w:pPr>
      <w:r w:rsidRPr="00F10C59">
        <w:rPr>
          <w:rFonts w:ascii="Arial" w:hAnsi="Arial" w:cs="Arial"/>
          <w:sz w:val="20"/>
        </w:rPr>
        <w:t>ADR</w:t>
      </w:r>
      <w:r w:rsidRPr="00F10C59">
        <w:rPr>
          <w:rFonts w:ascii="Arial" w:hAnsi="Arial" w:cs="Arial"/>
          <w:sz w:val="20"/>
        </w:rPr>
        <w:tab/>
        <w:t>Alternative Dispute Resolution</w:t>
      </w:r>
    </w:p>
    <w:p w14:paraId="6EE60C12" w14:textId="77777777" w:rsidR="00FB583B" w:rsidRPr="00F10C59" w:rsidRDefault="00FB583B" w:rsidP="00FB583B">
      <w:pPr>
        <w:tabs>
          <w:tab w:val="left" w:pos="2127"/>
        </w:tabs>
        <w:spacing w:after="40"/>
        <w:ind w:left="2126" w:hanging="2126"/>
        <w:rPr>
          <w:rFonts w:ascii="Arial" w:hAnsi="Arial" w:cs="Arial"/>
          <w:sz w:val="20"/>
        </w:rPr>
      </w:pPr>
      <w:r w:rsidRPr="00F10C59">
        <w:rPr>
          <w:rFonts w:ascii="Arial" w:hAnsi="Arial" w:cs="Arial"/>
          <w:sz w:val="20"/>
        </w:rPr>
        <w:t>AGICOA</w:t>
      </w:r>
      <w:r w:rsidRPr="00F10C59">
        <w:rPr>
          <w:rFonts w:ascii="Arial" w:hAnsi="Arial" w:cs="Arial"/>
          <w:sz w:val="20"/>
        </w:rPr>
        <w:tab/>
        <w:t>Association of International Collective Management of Audiovisual Works</w:t>
      </w:r>
    </w:p>
    <w:p w14:paraId="2CE95260" w14:textId="652AEC89" w:rsidR="00B34F97" w:rsidRPr="000F6BE2" w:rsidRDefault="00B34F97" w:rsidP="00FB583B">
      <w:pPr>
        <w:tabs>
          <w:tab w:val="left" w:pos="2127"/>
        </w:tabs>
        <w:spacing w:after="40"/>
        <w:ind w:left="2126" w:hanging="2126"/>
        <w:rPr>
          <w:rFonts w:ascii="Arial" w:hAnsi="Arial" w:cs="Arial"/>
          <w:sz w:val="20"/>
          <w:szCs w:val="20"/>
          <w:lang w:val="en"/>
        </w:rPr>
      </w:pPr>
      <w:r>
        <w:rPr>
          <w:rFonts w:ascii="Arial" w:hAnsi="Arial" w:cs="Arial"/>
          <w:sz w:val="20"/>
          <w:lang w:val="en"/>
        </w:rPr>
        <w:t>AIMS</w:t>
      </w:r>
      <w:r>
        <w:rPr>
          <w:rFonts w:ascii="Arial" w:hAnsi="Arial" w:cs="Arial"/>
          <w:sz w:val="20"/>
          <w:lang w:val="en"/>
        </w:rPr>
        <w:tab/>
      </w:r>
      <w:r w:rsidRPr="00B30215">
        <w:rPr>
          <w:rStyle w:val="Emphasis"/>
          <w:rFonts w:ascii="Arial" w:hAnsi="Arial" w:cs="Arial"/>
          <w:i w:val="0"/>
          <w:sz w:val="20"/>
          <w:szCs w:val="20"/>
        </w:rPr>
        <w:t>Administration Information Management System</w:t>
      </w:r>
    </w:p>
    <w:p w14:paraId="0A69EF5A" w14:textId="77777777" w:rsidR="00FB583B" w:rsidRDefault="00FB583B" w:rsidP="00FB583B">
      <w:pPr>
        <w:tabs>
          <w:tab w:val="left" w:pos="2127"/>
        </w:tabs>
        <w:spacing w:after="40"/>
        <w:ind w:left="2126" w:hanging="2126"/>
        <w:rPr>
          <w:rFonts w:ascii="Arial" w:hAnsi="Arial" w:cs="Arial"/>
          <w:sz w:val="20"/>
        </w:rPr>
      </w:pPr>
      <w:r w:rsidRPr="00C02386">
        <w:rPr>
          <w:rFonts w:ascii="Arial" w:hAnsi="Arial" w:cs="Arial"/>
          <w:sz w:val="20"/>
          <w:lang w:val="en"/>
        </w:rPr>
        <w:t>AIPMS</w:t>
      </w:r>
      <w:r w:rsidRPr="00C02386">
        <w:rPr>
          <w:rFonts w:ascii="Arial" w:hAnsi="Arial" w:cs="Arial"/>
          <w:sz w:val="20"/>
          <w:lang w:val="en"/>
        </w:rPr>
        <w:tab/>
        <w:t>Arab IP Management System</w:t>
      </w:r>
    </w:p>
    <w:p w14:paraId="1D0FF6E3" w14:textId="77777777" w:rsidR="00FB583B" w:rsidRDefault="00FB583B" w:rsidP="00FB583B">
      <w:pPr>
        <w:tabs>
          <w:tab w:val="left" w:pos="2127"/>
        </w:tabs>
        <w:spacing w:after="40"/>
        <w:ind w:left="2126" w:hanging="2126"/>
        <w:rPr>
          <w:rFonts w:ascii="Arial" w:hAnsi="Arial" w:cs="Arial"/>
          <w:sz w:val="20"/>
        </w:rPr>
      </w:pPr>
      <w:proofErr w:type="spellStart"/>
      <w:r>
        <w:rPr>
          <w:rFonts w:ascii="Arial" w:hAnsi="Arial" w:cs="Arial"/>
          <w:sz w:val="20"/>
        </w:rPr>
        <w:t>aRDi</w:t>
      </w:r>
      <w:proofErr w:type="spellEnd"/>
      <w:r>
        <w:rPr>
          <w:rFonts w:ascii="Arial" w:hAnsi="Arial" w:cs="Arial"/>
          <w:sz w:val="20"/>
        </w:rPr>
        <w:tab/>
      </w:r>
      <w:r w:rsidRPr="00371DB3">
        <w:rPr>
          <w:rFonts w:ascii="Arial" w:hAnsi="Arial" w:cs="Arial"/>
          <w:bCs/>
          <w:sz w:val="20"/>
        </w:rPr>
        <w:t>Access to Research for Development and Innovation</w:t>
      </w:r>
    </w:p>
    <w:p w14:paraId="087F15DF" w14:textId="77777777" w:rsidR="00FB583B" w:rsidRDefault="00FB583B" w:rsidP="00FB583B">
      <w:pPr>
        <w:tabs>
          <w:tab w:val="left" w:pos="2127"/>
        </w:tabs>
        <w:spacing w:after="40"/>
        <w:rPr>
          <w:rFonts w:ascii="Arial" w:hAnsi="Arial" w:cs="Arial"/>
          <w:sz w:val="20"/>
        </w:rPr>
      </w:pPr>
      <w:r w:rsidRPr="0036669E">
        <w:rPr>
          <w:rFonts w:ascii="Arial" w:hAnsi="Arial" w:cs="Arial"/>
          <w:b/>
          <w:bCs/>
          <w:sz w:val="20"/>
        </w:rPr>
        <w:t>A</w:t>
      </w:r>
      <w:r>
        <w:rPr>
          <w:rFonts w:ascii="Arial" w:hAnsi="Arial" w:cs="Arial"/>
          <w:sz w:val="20"/>
        </w:rPr>
        <w:t>SEAN</w:t>
      </w:r>
      <w:r>
        <w:rPr>
          <w:rFonts w:ascii="Arial" w:hAnsi="Arial" w:cs="Arial"/>
          <w:sz w:val="20"/>
        </w:rPr>
        <w:tab/>
      </w:r>
      <w:r w:rsidRPr="0036669E">
        <w:rPr>
          <w:rFonts w:ascii="Arial" w:hAnsi="Arial" w:cs="Arial"/>
          <w:sz w:val="20"/>
          <w:lang w:val="en"/>
        </w:rPr>
        <w:t>Association of South East Asian Nations</w:t>
      </w:r>
    </w:p>
    <w:p w14:paraId="0E76B05B" w14:textId="77777777" w:rsidR="00FB583B" w:rsidRDefault="00FB583B" w:rsidP="00FB583B">
      <w:pPr>
        <w:tabs>
          <w:tab w:val="left" w:pos="2127"/>
        </w:tabs>
        <w:spacing w:after="40"/>
        <w:rPr>
          <w:rFonts w:ascii="Arial" w:hAnsi="Arial" w:cs="Arial"/>
          <w:sz w:val="20"/>
        </w:rPr>
      </w:pPr>
      <w:r>
        <w:rPr>
          <w:rFonts w:ascii="Arial" w:hAnsi="Arial" w:cs="Arial"/>
          <w:sz w:val="20"/>
        </w:rPr>
        <w:t>ASHI</w:t>
      </w:r>
      <w:r>
        <w:rPr>
          <w:rFonts w:ascii="Arial" w:hAnsi="Arial" w:cs="Arial"/>
          <w:sz w:val="20"/>
        </w:rPr>
        <w:tab/>
        <w:t>After-Service Health Insurance</w:t>
      </w:r>
    </w:p>
    <w:p w14:paraId="7A584A34" w14:textId="77777777" w:rsidR="00FB583B" w:rsidRDefault="00FB583B" w:rsidP="00FB583B">
      <w:pPr>
        <w:tabs>
          <w:tab w:val="left" w:pos="2127"/>
        </w:tabs>
        <w:spacing w:after="40"/>
        <w:rPr>
          <w:rFonts w:ascii="Arial" w:hAnsi="Arial" w:cs="Arial"/>
          <w:sz w:val="20"/>
        </w:rPr>
      </w:pPr>
      <w:r w:rsidRPr="00F10C59">
        <w:rPr>
          <w:rFonts w:ascii="Arial" w:hAnsi="Arial" w:cs="Arial"/>
          <w:sz w:val="20"/>
        </w:rPr>
        <w:t>ASPI</w:t>
      </w:r>
      <w:r w:rsidRPr="00F10C59">
        <w:rPr>
          <w:rFonts w:ascii="Arial" w:hAnsi="Arial" w:cs="Arial"/>
          <w:sz w:val="20"/>
        </w:rPr>
        <w:tab/>
        <w:t>A</w:t>
      </w:r>
      <w:r>
        <w:rPr>
          <w:rFonts w:ascii="Arial" w:hAnsi="Arial" w:cs="Arial"/>
          <w:sz w:val="20"/>
        </w:rPr>
        <w:t>c</w:t>
      </w:r>
      <w:r w:rsidRPr="00F10C59">
        <w:rPr>
          <w:rFonts w:ascii="Arial" w:hAnsi="Arial" w:cs="Arial"/>
          <w:sz w:val="20"/>
        </w:rPr>
        <w:t>cess to Specialized Patent Information</w:t>
      </w:r>
    </w:p>
    <w:p w14:paraId="487B9678" w14:textId="0C4689CD" w:rsidR="00177388" w:rsidRPr="00F10C59" w:rsidRDefault="00177388" w:rsidP="00FB583B">
      <w:pPr>
        <w:tabs>
          <w:tab w:val="left" w:pos="2127"/>
        </w:tabs>
        <w:spacing w:after="40"/>
        <w:rPr>
          <w:rFonts w:ascii="Arial" w:hAnsi="Arial" w:cs="Arial"/>
          <w:sz w:val="20"/>
        </w:rPr>
      </w:pPr>
      <w:r>
        <w:rPr>
          <w:rFonts w:ascii="Arial" w:hAnsi="Arial" w:cs="Arial"/>
          <w:sz w:val="20"/>
        </w:rPr>
        <w:t>AUTM</w:t>
      </w:r>
      <w:r>
        <w:rPr>
          <w:rFonts w:ascii="Arial" w:hAnsi="Arial" w:cs="Arial"/>
          <w:sz w:val="20"/>
        </w:rPr>
        <w:tab/>
      </w:r>
      <w:r>
        <w:rPr>
          <w:rFonts w:ascii="Arial" w:hAnsi="Arial" w:cs="Arial"/>
          <w:sz w:val="20"/>
          <w:szCs w:val="20"/>
        </w:rPr>
        <w:t>Association of University Technology Managers</w:t>
      </w:r>
    </w:p>
    <w:p w14:paraId="2823A11B" w14:textId="6D82BEDD" w:rsidR="00FB583B" w:rsidRDefault="005C0B8F" w:rsidP="00FB583B">
      <w:pPr>
        <w:tabs>
          <w:tab w:val="left" w:pos="2127"/>
        </w:tabs>
        <w:spacing w:after="180"/>
        <w:ind w:left="2126" w:hanging="2126"/>
        <w:rPr>
          <w:rFonts w:ascii="Arial" w:hAnsi="Arial" w:cs="Arial"/>
          <w:sz w:val="20"/>
        </w:rPr>
      </w:pPr>
      <w:r>
        <w:rPr>
          <w:rFonts w:ascii="Arial" w:hAnsi="Arial" w:cs="Arial"/>
          <w:sz w:val="20"/>
        </w:rPr>
        <w:t>AWGIPC</w:t>
      </w:r>
      <w:r>
        <w:rPr>
          <w:rFonts w:ascii="Arial" w:hAnsi="Arial" w:cs="Arial"/>
          <w:sz w:val="20"/>
        </w:rPr>
        <w:tab/>
        <w:t xml:space="preserve">ASEAN </w:t>
      </w:r>
      <w:r w:rsidRPr="00785BEE">
        <w:rPr>
          <w:rFonts w:ascii="Arial" w:hAnsi="Arial" w:cs="Arial"/>
          <w:sz w:val="20"/>
        </w:rPr>
        <w:t>Working Group on Intellectual Property Cooperation</w:t>
      </w:r>
    </w:p>
    <w:p w14:paraId="7BE6DAA7" w14:textId="0CDBD43D" w:rsidR="00177388" w:rsidRPr="00C84440" w:rsidRDefault="00177388" w:rsidP="00FB583B">
      <w:pPr>
        <w:tabs>
          <w:tab w:val="left" w:pos="2127"/>
        </w:tabs>
        <w:spacing w:after="180"/>
        <w:ind w:left="2126" w:hanging="2126"/>
        <w:rPr>
          <w:rFonts w:ascii="Arial" w:hAnsi="Arial" w:cs="Arial"/>
          <w:sz w:val="18"/>
        </w:rPr>
      </w:pPr>
      <w:r w:rsidRPr="00C84440">
        <w:rPr>
          <w:rFonts w:ascii="Arial" w:hAnsi="Arial" w:cs="Arial"/>
          <w:b/>
          <w:sz w:val="20"/>
        </w:rPr>
        <w:t>B</w:t>
      </w:r>
      <w:r>
        <w:rPr>
          <w:rFonts w:ascii="Arial" w:hAnsi="Arial" w:cs="Arial"/>
          <w:sz w:val="20"/>
        </w:rPr>
        <w:t>OIP</w:t>
      </w:r>
      <w:r>
        <w:rPr>
          <w:rFonts w:ascii="Arial" w:hAnsi="Arial" w:cs="Arial"/>
          <w:sz w:val="20"/>
        </w:rPr>
        <w:tab/>
      </w:r>
      <w:r w:rsidRPr="00C84440">
        <w:rPr>
          <w:rStyle w:val="st"/>
          <w:rFonts w:ascii="Arial" w:hAnsi="Arial" w:cs="Arial"/>
          <w:sz w:val="20"/>
        </w:rPr>
        <w:t>Benelux Organization for Intellectual Property</w:t>
      </w:r>
    </w:p>
    <w:p w14:paraId="79E85828"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C</w:t>
      </w:r>
      <w:r w:rsidRPr="00F10C59">
        <w:rPr>
          <w:rFonts w:ascii="Arial" w:hAnsi="Arial" w:cs="Arial"/>
          <w:sz w:val="20"/>
        </w:rPr>
        <w:t>ASE</w:t>
      </w:r>
      <w:r w:rsidRPr="00F10C59">
        <w:rPr>
          <w:rFonts w:ascii="Arial" w:hAnsi="Arial" w:cs="Arial"/>
          <w:sz w:val="20"/>
        </w:rPr>
        <w:tab/>
        <w:t>Centralized Access to Search and Examination Results</w:t>
      </w:r>
    </w:p>
    <w:p w14:paraId="618ADE15" w14:textId="77777777" w:rsidR="00FB583B" w:rsidRPr="00F10C59" w:rsidRDefault="00FB583B" w:rsidP="00FB583B">
      <w:pPr>
        <w:tabs>
          <w:tab w:val="left" w:pos="2127"/>
        </w:tabs>
        <w:spacing w:after="40"/>
        <w:ind w:left="2127" w:hanging="2127"/>
        <w:rPr>
          <w:rFonts w:ascii="Arial" w:hAnsi="Arial" w:cs="Arial"/>
          <w:sz w:val="20"/>
        </w:rPr>
      </w:pPr>
      <w:proofErr w:type="spellStart"/>
      <w:r w:rsidRPr="00F10C59">
        <w:rPr>
          <w:rFonts w:ascii="Arial" w:hAnsi="Arial" w:cs="Arial"/>
          <w:sz w:val="20"/>
        </w:rPr>
        <w:t>ccTLDs</w:t>
      </w:r>
      <w:proofErr w:type="spellEnd"/>
      <w:r w:rsidRPr="00F10C59">
        <w:rPr>
          <w:rFonts w:ascii="Arial" w:hAnsi="Arial" w:cs="Arial"/>
          <w:sz w:val="20"/>
        </w:rPr>
        <w:tab/>
        <w:t>country code Top-Level Domain</w:t>
      </w:r>
    </w:p>
    <w:p w14:paraId="2776A685" w14:textId="77777777" w:rsidR="00FB583B" w:rsidRPr="00F10C59" w:rsidRDefault="00FB583B" w:rsidP="00FB583B">
      <w:pPr>
        <w:pStyle w:val="BlockText"/>
        <w:rPr>
          <w:rFonts w:ascii="Arial" w:hAnsi="Arial" w:cs="Arial"/>
          <w:sz w:val="20"/>
        </w:rPr>
      </w:pPr>
      <w:r w:rsidRPr="00F10C59">
        <w:rPr>
          <w:rFonts w:ascii="Arial" w:hAnsi="Arial" w:cs="Arial"/>
          <w:sz w:val="20"/>
        </w:rPr>
        <w:t>CDIP</w:t>
      </w:r>
      <w:r w:rsidRPr="00F10C59">
        <w:rPr>
          <w:rFonts w:ascii="Arial" w:hAnsi="Arial" w:cs="Arial"/>
          <w:sz w:val="20"/>
        </w:rPr>
        <w:tab/>
        <w:t>Conference on Development and Intellectual Property</w:t>
      </w:r>
    </w:p>
    <w:p w14:paraId="0DDEFC75" w14:textId="77777777" w:rsidR="00FB583B" w:rsidRPr="00F10C59" w:rsidRDefault="00FB583B" w:rsidP="00FB583B">
      <w:pPr>
        <w:pStyle w:val="BlockText"/>
        <w:rPr>
          <w:rFonts w:ascii="Arial" w:hAnsi="Arial" w:cs="Arial"/>
          <w:sz w:val="20"/>
        </w:rPr>
      </w:pPr>
      <w:r w:rsidRPr="00F10C59">
        <w:rPr>
          <w:rFonts w:ascii="Arial" w:hAnsi="Arial" w:cs="Arial"/>
          <w:sz w:val="20"/>
        </w:rPr>
        <w:t>CIS</w:t>
      </w:r>
      <w:r w:rsidRPr="00F10C59">
        <w:rPr>
          <w:rFonts w:ascii="Arial" w:hAnsi="Arial" w:cs="Arial"/>
          <w:sz w:val="20"/>
        </w:rPr>
        <w:tab/>
        <w:t>Commonwea</w:t>
      </w:r>
      <w:r>
        <w:rPr>
          <w:rFonts w:ascii="Arial" w:hAnsi="Arial" w:cs="Arial"/>
          <w:sz w:val="20"/>
        </w:rPr>
        <w:t>l</w:t>
      </w:r>
      <w:r w:rsidRPr="00F10C59">
        <w:rPr>
          <w:rFonts w:ascii="Arial" w:hAnsi="Arial" w:cs="Arial"/>
          <w:sz w:val="20"/>
        </w:rPr>
        <w:t>th of Independent States</w:t>
      </w:r>
    </w:p>
    <w:p w14:paraId="3E87DA90" w14:textId="77777777" w:rsidR="00FB583B" w:rsidRDefault="00FB583B" w:rsidP="00FB583B">
      <w:pPr>
        <w:tabs>
          <w:tab w:val="left" w:pos="2127"/>
        </w:tabs>
        <w:spacing w:after="40"/>
        <w:ind w:left="2127" w:hanging="2127"/>
        <w:rPr>
          <w:rFonts w:ascii="Arial" w:hAnsi="Arial" w:cs="Arial"/>
          <w:sz w:val="20"/>
        </w:rPr>
      </w:pPr>
      <w:r>
        <w:rPr>
          <w:rFonts w:ascii="Arial" w:hAnsi="Arial" w:cs="Arial"/>
          <w:bCs/>
          <w:sz w:val="20"/>
        </w:rPr>
        <w:t>CLIR</w:t>
      </w:r>
      <w:r>
        <w:rPr>
          <w:rFonts w:ascii="Arial" w:hAnsi="Arial" w:cs="Arial"/>
          <w:bCs/>
          <w:sz w:val="20"/>
        </w:rPr>
        <w:tab/>
      </w:r>
      <w:r w:rsidRPr="003A6A2F">
        <w:rPr>
          <w:rFonts w:ascii="Arial" w:hAnsi="Arial" w:cs="Arial"/>
          <w:bCs/>
          <w:sz w:val="20"/>
        </w:rPr>
        <w:t>Cross Lingual Information Retrieval</w:t>
      </w:r>
    </w:p>
    <w:p w14:paraId="7CD899C7"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CMG</w:t>
      </w:r>
      <w:r w:rsidRPr="00F10C59">
        <w:rPr>
          <w:rFonts w:ascii="Arial" w:hAnsi="Arial" w:cs="Arial"/>
          <w:sz w:val="20"/>
        </w:rPr>
        <w:tab/>
        <w:t>Crisis Management Group</w:t>
      </w:r>
    </w:p>
    <w:p w14:paraId="1C9074D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CMOs</w:t>
      </w:r>
      <w:r w:rsidRPr="00F10C59">
        <w:rPr>
          <w:rFonts w:ascii="Arial" w:hAnsi="Arial" w:cs="Arial"/>
          <w:sz w:val="20"/>
        </w:rPr>
        <w:tab/>
        <w:t>collective management organizations</w:t>
      </w:r>
    </w:p>
    <w:p w14:paraId="6CDEEDDC" w14:textId="25BD2AF0" w:rsidR="00FB583B" w:rsidRPr="00F10C59" w:rsidRDefault="005C0B8F" w:rsidP="00FB583B">
      <w:pPr>
        <w:tabs>
          <w:tab w:val="left" w:pos="2127"/>
        </w:tabs>
        <w:spacing w:after="180"/>
        <w:ind w:left="2126" w:hanging="2126"/>
        <w:rPr>
          <w:rFonts w:ascii="Arial" w:hAnsi="Arial" w:cs="Arial"/>
          <w:sz w:val="20"/>
        </w:rPr>
      </w:pPr>
      <w:r>
        <w:rPr>
          <w:rFonts w:ascii="Arial" w:hAnsi="Arial" w:cs="Arial"/>
          <w:sz w:val="20"/>
        </w:rPr>
        <w:t>CTCN</w:t>
      </w:r>
      <w:r>
        <w:rPr>
          <w:rFonts w:ascii="Arial" w:hAnsi="Arial" w:cs="Arial"/>
          <w:sz w:val="20"/>
        </w:rPr>
        <w:tab/>
      </w:r>
      <w:r w:rsidRPr="00E9644C">
        <w:rPr>
          <w:rFonts w:ascii="Arial" w:hAnsi="Arial" w:cs="Arial"/>
          <w:sz w:val="20"/>
        </w:rPr>
        <w:t>Climate Technology Center and Network</w:t>
      </w:r>
    </w:p>
    <w:p w14:paraId="3F5812FF" w14:textId="77777777" w:rsidR="00FB583B" w:rsidRPr="00F10C59" w:rsidRDefault="00FB583B" w:rsidP="00FB583B">
      <w:pPr>
        <w:tabs>
          <w:tab w:val="left" w:pos="2127"/>
        </w:tabs>
        <w:spacing w:after="40"/>
        <w:rPr>
          <w:rFonts w:ascii="Arial" w:hAnsi="Arial" w:cs="Arial"/>
          <w:sz w:val="20"/>
        </w:rPr>
      </w:pPr>
      <w:r w:rsidRPr="00F10AB9">
        <w:rPr>
          <w:rFonts w:ascii="Arial" w:hAnsi="Arial" w:cs="Arial"/>
          <w:b/>
          <w:bCs/>
          <w:sz w:val="20"/>
        </w:rPr>
        <w:t>D</w:t>
      </w:r>
      <w:r w:rsidRPr="00F10C59">
        <w:rPr>
          <w:rFonts w:ascii="Arial" w:hAnsi="Arial" w:cs="Arial"/>
          <w:sz w:val="20"/>
        </w:rPr>
        <w:t>A</w:t>
      </w:r>
      <w:r w:rsidRPr="00F10C59">
        <w:rPr>
          <w:rFonts w:ascii="Arial" w:hAnsi="Arial" w:cs="Arial"/>
          <w:sz w:val="20"/>
        </w:rPr>
        <w:tab/>
        <w:t>Development Agenda</w:t>
      </w:r>
    </w:p>
    <w:p w14:paraId="30DDA711" w14:textId="77777777" w:rsidR="00FB583B" w:rsidRPr="00F10C59" w:rsidRDefault="00FB583B" w:rsidP="00FB583B">
      <w:pPr>
        <w:tabs>
          <w:tab w:val="left" w:pos="2127"/>
          <w:tab w:val="left" w:pos="2268"/>
        </w:tabs>
        <w:spacing w:after="40"/>
        <w:rPr>
          <w:rFonts w:ascii="Arial" w:hAnsi="Arial" w:cs="Arial"/>
          <w:sz w:val="20"/>
        </w:rPr>
      </w:pPr>
      <w:r w:rsidRPr="00F10C59">
        <w:rPr>
          <w:rFonts w:ascii="Arial" w:hAnsi="Arial" w:cs="Arial"/>
          <w:sz w:val="20"/>
        </w:rPr>
        <w:t>DAS</w:t>
      </w:r>
      <w:r w:rsidRPr="00F10C59">
        <w:rPr>
          <w:rFonts w:ascii="Arial" w:hAnsi="Arial" w:cs="Arial"/>
          <w:sz w:val="20"/>
        </w:rPr>
        <w:tab/>
        <w:t xml:space="preserve">Digital Access Service for Priority </w:t>
      </w:r>
      <w:smartTag w:uri="urn:schemas-microsoft-com:office:smarttags" w:element="PersonName">
        <w:r w:rsidRPr="00F10C59">
          <w:rPr>
            <w:rFonts w:ascii="Arial" w:hAnsi="Arial" w:cs="Arial"/>
            <w:sz w:val="20"/>
          </w:rPr>
          <w:t>Documents</w:t>
        </w:r>
      </w:smartTag>
    </w:p>
    <w:p w14:paraId="3D8E3AF7" w14:textId="514FD20B" w:rsidR="003376F4" w:rsidRDefault="003376F4" w:rsidP="00FB583B">
      <w:pPr>
        <w:tabs>
          <w:tab w:val="left" w:pos="2127"/>
        </w:tabs>
        <w:spacing w:after="40"/>
        <w:rPr>
          <w:rFonts w:ascii="Arial" w:hAnsi="Arial" w:cs="Arial"/>
          <w:sz w:val="20"/>
        </w:rPr>
      </w:pPr>
      <w:r>
        <w:rPr>
          <w:rFonts w:ascii="Arial" w:hAnsi="Arial" w:cs="Arial"/>
          <w:sz w:val="20"/>
        </w:rPr>
        <w:t>DGIPR</w:t>
      </w:r>
      <w:r>
        <w:rPr>
          <w:rFonts w:ascii="Arial" w:hAnsi="Arial" w:cs="Arial"/>
          <w:sz w:val="20"/>
        </w:rPr>
        <w:tab/>
      </w:r>
      <w:r w:rsidRPr="00C84440">
        <w:rPr>
          <w:rStyle w:val="st"/>
          <w:rFonts w:ascii="Arial" w:hAnsi="Arial" w:cs="Arial"/>
          <w:sz w:val="20"/>
        </w:rPr>
        <w:t>Directorate General of Intellectual Property Rights</w:t>
      </w:r>
    </w:p>
    <w:p w14:paraId="425EF644" w14:textId="1478E3E2" w:rsidR="00FB583B" w:rsidRPr="00F10C59" w:rsidRDefault="00FB583B" w:rsidP="00FB583B">
      <w:pPr>
        <w:tabs>
          <w:tab w:val="left" w:pos="2127"/>
        </w:tabs>
        <w:spacing w:after="40"/>
        <w:rPr>
          <w:rFonts w:ascii="Arial" w:hAnsi="Arial" w:cs="Arial"/>
          <w:sz w:val="20"/>
        </w:rPr>
      </w:pPr>
      <w:r w:rsidRPr="00F10C59">
        <w:rPr>
          <w:rFonts w:ascii="Arial" w:hAnsi="Arial" w:cs="Arial"/>
          <w:sz w:val="20"/>
        </w:rPr>
        <w:t>DNS</w:t>
      </w:r>
      <w:r w:rsidRPr="00F10C59">
        <w:rPr>
          <w:rFonts w:ascii="Arial" w:hAnsi="Arial" w:cs="Arial"/>
          <w:sz w:val="20"/>
        </w:rPr>
        <w:tab/>
        <w:t>Domain Name System</w:t>
      </w:r>
    </w:p>
    <w:p w14:paraId="501A664B" w14:textId="77777777" w:rsidR="00FB583B" w:rsidRPr="00F10C59" w:rsidRDefault="00FB583B" w:rsidP="00FB583B">
      <w:pPr>
        <w:tabs>
          <w:tab w:val="left" w:pos="2127"/>
        </w:tabs>
        <w:spacing w:after="180"/>
        <w:ind w:left="2126" w:hanging="2126"/>
        <w:rPr>
          <w:rFonts w:ascii="Arial" w:hAnsi="Arial" w:cs="Arial"/>
          <w:sz w:val="20"/>
        </w:rPr>
      </w:pPr>
    </w:p>
    <w:p w14:paraId="6BB1E42D" w14:textId="669F355A" w:rsidR="002117DB" w:rsidRPr="00C84440" w:rsidRDefault="002117DB" w:rsidP="00FB583B">
      <w:pPr>
        <w:tabs>
          <w:tab w:val="left" w:pos="2127"/>
        </w:tabs>
        <w:spacing w:after="40"/>
        <w:ind w:left="2127" w:hanging="2127"/>
        <w:rPr>
          <w:rFonts w:ascii="Arial" w:hAnsi="Arial" w:cs="Arial"/>
          <w:b/>
          <w:bCs/>
          <w:sz w:val="18"/>
        </w:rPr>
      </w:pPr>
      <w:r>
        <w:rPr>
          <w:rFonts w:ascii="Arial" w:hAnsi="Arial" w:cs="Arial"/>
          <w:b/>
          <w:bCs/>
          <w:sz w:val="20"/>
        </w:rPr>
        <w:t>E</w:t>
      </w:r>
      <w:r w:rsidRPr="00C84440">
        <w:rPr>
          <w:rFonts w:ascii="Arial" w:hAnsi="Arial" w:cs="Arial"/>
          <w:bCs/>
          <w:sz w:val="20"/>
        </w:rPr>
        <w:t>ACIN</w:t>
      </w:r>
      <w:r>
        <w:rPr>
          <w:rFonts w:ascii="Arial" w:hAnsi="Arial" w:cs="Arial"/>
          <w:b/>
          <w:bCs/>
          <w:sz w:val="20"/>
        </w:rPr>
        <w:tab/>
      </w:r>
      <w:r w:rsidRPr="00C84440">
        <w:rPr>
          <w:rFonts w:ascii="Arial" w:hAnsi="Arial" w:cs="Arial"/>
          <w:sz w:val="20"/>
        </w:rPr>
        <w:t>East Africa Climate Innovation Network</w:t>
      </w:r>
    </w:p>
    <w:p w14:paraId="1FD3320D" w14:textId="77777777" w:rsidR="00FB583B" w:rsidRDefault="00FB583B" w:rsidP="00FB583B">
      <w:pPr>
        <w:tabs>
          <w:tab w:val="left" w:pos="2127"/>
        </w:tabs>
        <w:spacing w:after="40"/>
        <w:ind w:left="2127" w:hanging="2127"/>
        <w:rPr>
          <w:rFonts w:ascii="Arial" w:hAnsi="Arial" w:cs="Arial"/>
          <w:sz w:val="20"/>
        </w:rPr>
      </w:pPr>
      <w:r w:rsidRPr="00C84440">
        <w:rPr>
          <w:rFonts w:ascii="Arial" w:hAnsi="Arial" w:cs="Arial"/>
          <w:bCs/>
          <w:sz w:val="20"/>
        </w:rPr>
        <w:t>E</w:t>
      </w:r>
      <w:r w:rsidRPr="0036669E">
        <w:rPr>
          <w:rFonts w:ascii="Arial" w:hAnsi="Arial" w:cs="Arial"/>
          <w:sz w:val="20"/>
        </w:rPr>
        <w:t>CDL</w:t>
      </w:r>
      <w:r>
        <w:rPr>
          <w:rFonts w:ascii="Arial" w:hAnsi="Arial" w:cs="Arial"/>
          <w:sz w:val="20"/>
        </w:rPr>
        <w:t xml:space="preserve"> (test)</w:t>
      </w:r>
      <w:r>
        <w:rPr>
          <w:rFonts w:ascii="Arial" w:hAnsi="Arial" w:cs="Arial"/>
          <w:sz w:val="20"/>
        </w:rPr>
        <w:tab/>
      </w:r>
      <w:r w:rsidRPr="000A57C8">
        <w:rPr>
          <w:rFonts w:ascii="Arial" w:hAnsi="Arial" w:cs="Arial"/>
          <w:sz w:val="20"/>
        </w:rPr>
        <w:t xml:space="preserve">European Computer Driving </w:t>
      </w:r>
      <w:proofErr w:type="spellStart"/>
      <w:r w:rsidRPr="000A57C8">
        <w:rPr>
          <w:rFonts w:ascii="Arial" w:hAnsi="Arial" w:cs="Arial"/>
          <w:sz w:val="20"/>
        </w:rPr>
        <w:t>Licence</w:t>
      </w:r>
      <w:proofErr w:type="spellEnd"/>
      <w:r>
        <w:rPr>
          <w:rFonts w:ascii="Arial" w:hAnsi="Arial" w:cs="Arial"/>
          <w:sz w:val="20"/>
        </w:rPr>
        <w:t xml:space="preserve"> (global computer literacy certification)</w:t>
      </w:r>
    </w:p>
    <w:p w14:paraId="0433D84B" w14:textId="77777777" w:rsidR="00FB583B" w:rsidRDefault="00FB583B" w:rsidP="00FB583B">
      <w:pPr>
        <w:tabs>
          <w:tab w:val="left" w:pos="2127"/>
        </w:tabs>
        <w:spacing w:after="40"/>
        <w:ind w:left="2127" w:hanging="2127"/>
        <w:rPr>
          <w:rFonts w:ascii="Arial" w:hAnsi="Arial" w:cs="Arial"/>
          <w:b/>
          <w:bCs/>
          <w:sz w:val="20"/>
        </w:rPr>
      </w:pPr>
      <w:r>
        <w:rPr>
          <w:rFonts w:ascii="Arial" w:hAnsi="Arial" w:cs="Arial"/>
          <w:sz w:val="20"/>
        </w:rPr>
        <w:t>ECLA</w:t>
      </w:r>
      <w:r>
        <w:rPr>
          <w:rFonts w:ascii="Arial" w:hAnsi="Arial" w:cs="Arial"/>
          <w:sz w:val="20"/>
        </w:rPr>
        <w:tab/>
        <w:t>patent classification assigned by the European Patent office</w:t>
      </w:r>
    </w:p>
    <w:p w14:paraId="53FD783B" w14:textId="77777777" w:rsidR="00FB583B" w:rsidRPr="00AC4500" w:rsidRDefault="00FB583B" w:rsidP="00FB583B">
      <w:pPr>
        <w:tabs>
          <w:tab w:val="left" w:pos="2127"/>
        </w:tabs>
        <w:spacing w:after="40"/>
        <w:ind w:left="2127" w:hanging="2127"/>
        <w:rPr>
          <w:rFonts w:ascii="Arial" w:hAnsi="Arial" w:cs="Arial"/>
          <w:sz w:val="20"/>
        </w:rPr>
      </w:pPr>
      <w:r w:rsidRPr="00AC4500">
        <w:rPr>
          <w:rFonts w:ascii="Arial" w:hAnsi="Arial" w:cs="Arial"/>
          <w:sz w:val="20"/>
        </w:rPr>
        <w:t>ECM</w:t>
      </w:r>
      <w:r w:rsidRPr="00AC4500">
        <w:rPr>
          <w:rFonts w:ascii="Arial" w:hAnsi="Arial" w:cs="Arial"/>
          <w:sz w:val="20"/>
        </w:rPr>
        <w:tab/>
        <w:t>Enterprise Content management</w:t>
      </w:r>
    </w:p>
    <w:p w14:paraId="3DFA581C" w14:textId="77777777" w:rsidR="00FB583B" w:rsidRPr="00AC4500" w:rsidRDefault="00FB583B" w:rsidP="00FB583B">
      <w:pPr>
        <w:tabs>
          <w:tab w:val="left" w:pos="2127"/>
        </w:tabs>
        <w:spacing w:after="40"/>
        <w:ind w:left="2127" w:hanging="2127"/>
        <w:rPr>
          <w:rFonts w:ascii="Arial" w:hAnsi="Arial" w:cs="Arial"/>
          <w:sz w:val="20"/>
        </w:rPr>
      </w:pPr>
      <w:r w:rsidRPr="00AC4500">
        <w:rPr>
          <w:rFonts w:ascii="Arial" w:hAnsi="Arial" w:cs="Arial"/>
          <w:sz w:val="20"/>
        </w:rPr>
        <w:t>EDMS</w:t>
      </w:r>
      <w:r w:rsidRPr="00AC4500">
        <w:rPr>
          <w:rFonts w:ascii="Arial" w:hAnsi="Arial" w:cs="Arial"/>
          <w:sz w:val="20"/>
        </w:rPr>
        <w:tab/>
        <w:t>Electronic Document Management System</w:t>
      </w:r>
    </w:p>
    <w:p w14:paraId="4812FA7F" w14:textId="77777777" w:rsidR="00FB583B" w:rsidRPr="00AC4500" w:rsidRDefault="00FB583B" w:rsidP="00FB583B">
      <w:pPr>
        <w:tabs>
          <w:tab w:val="left" w:pos="2127"/>
        </w:tabs>
        <w:spacing w:after="40"/>
        <w:ind w:left="2127" w:hanging="2127"/>
        <w:rPr>
          <w:rFonts w:ascii="Arial" w:hAnsi="Arial" w:cs="Arial"/>
          <w:sz w:val="20"/>
        </w:rPr>
      </w:pPr>
      <w:r w:rsidRPr="00AC4500">
        <w:rPr>
          <w:rFonts w:ascii="Arial" w:hAnsi="Arial" w:cs="Arial"/>
          <w:sz w:val="20"/>
        </w:rPr>
        <w:t>EEC</w:t>
      </w:r>
      <w:r w:rsidRPr="00AC4500">
        <w:rPr>
          <w:rFonts w:ascii="Arial" w:hAnsi="Arial" w:cs="Arial"/>
          <w:sz w:val="20"/>
        </w:rPr>
        <w:tab/>
        <w:t>Eurasian Economic Commission</w:t>
      </w:r>
    </w:p>
    <w:p w14:paraId="1B20A930" w14:textId="77777777" w:rsidR="00FB583B" w:rsidRPr="00AC4500" w:rsidRDefault="00FB583B" w:rsidP="00FB583B">
      <w:pPr>
        <w:tabs>
          <w:tab w:val="left" w:pos="2127"/>
        </w:tabs>
        <w:spacing w:after="40"/>
        <w:ind w:left="2127" w:hanging="2127"/>
        <w:rPr>
          <w:rFonts w:ascii="Arial" w:hAnsi="Arial" w:cs="Arial"/>
          <w:sz w:val="20"/>
        </w:rPr>
      </w:pPr>
      <w:r w:rsidRPr="00AC4500">
        <w:rPr>
          <w:rFonts w:ascii="Arial" w:hAnsi="Arial" w:cs="Arial"/>
          <w:sz w:val="20"/>
        </w:rPr>
        <w:t>EGEDA</w:t>
      </w:r>
      <w:r w:rsidRPr="00AC4500">
        <w:rPr>
          <w:rFonts w:ascii="Arial" w:hAnsi="Arial" w:cs="Arial"/>
          <w:sz w:val="20"/>
        </w:rPr>
        <w:tab/>
      </w:r>
      <w:proofErr w:type="spellStart"/>
      <w:r w:rsidRPr="00AC4500">
        <w:rPr>
          <w:rFonts w:ascii="Arial" w:hAnsi="Arial" w:cs="Arial"/>
          <w:i/>
          <w:iCs/>
          <w:sz w:val="20"/>
        </w:rPr>
        <w:t>Entidad</w:t>
      </w:r>
      <w:proofErr w:type="spellEnd"/>
      <w:r w:rsidRPr="00AC4500">
        <w:rPr>
          <w:rFonts w:ascii="Arial" w:hAnsi="Arial" w:cs="Arial"/>
          <w:i/>
          <w:iCs/>
          <w:sz w:val="20"/>
        </w:rPr>
        <w:t xml:space="preserve"> de </w:t>
      </w:r>
      <w:proofErr w:type="spellStart"/>
      <w:r w:rsidRPr="00AC4500">
        <w:rPr>
          <w:rFonts w:ascii="Arial" w:hAnsi="Arial" w:cs="Arial"/>
          <w:i/>
          <w:iCs/>
          <w:sz w:val="20"/>
        </w:rPr>
        <w:t>Gestión</w:t>
      </w:r>
      <w:proofErr w:type="spellEnd"/>
      <w:r w:rsidRPr="00AC4500">
        <w:rPr>
          <w:rFonts w:ascii="Arial" w:hAnsi="Arial" w:cs="Arial"/>
          <w:i/>
          <w:iCs/>
          <w:sz w:val="20"/>
        </w:rPr>
        <w:t xml:space="preserve"> de Derechos de </w:t>
      </w:r>
      <w:proofErr w:type="spellStart"/>
      <w:r w:rsidRPr="00AC4500">
        <w:rPr>
          <w:rFonts w:ascii="Arial" w:hAnsi="Arial" w:cs="Arial"/>
          <w:i/>
          <w:iCs/>
          <w:sz w:val="20"/>
        </w:rPr>
        <w:t>los</w:t>
      </w:r>
      <w:proofErr w:type="spellEnd"/>
      <w:r w:rsidRPr="00AC4500">
        <w:rPr>
          <w:rFonts w:ascii="Arial" w:hAnsi="Arial" w:cs="Arial"/>
          <w:i/>
          <w:iCs/>
          <w:sz w:val="20"/>
        </w:rPr>
        <w:t xml:space="preserve"> </w:t>
      </w:r>
      <w:proofErr w:type="spellStart"/>
      <w:r w:rsidRPr="00AC4500">
        <w:rPr>
          <w:rFonts w:ascii="Arial" w:hAnsi="Arial" w:cs="Arial"/>
          <w:i/>
          <w:iCs/>
          <w:sz w:val="20"/>
        </w:rPr>
        <w:t>Productores</w:t>
      </w:r>
      <w:proofErr w:type="spellEnd"/>
      <w:r w:rsidRPr="00AC4500">
        <w:rPr>
          <w:rFonts w:ascii="Arial" w:hAnsi="Arial" w:cs="Arial"/>
          <w:i/>
          <w:iCs/>
          <w:sz w:val="20"/>
        </w:rPr>
        <w:t xml:space="preserve"> </w:t>
      </w:r>
      <w:proofErr w:type="spellStart"/>
      <w:r w:rsidRPr="00AC4500">
        <w:rPr>
          <w:rFonts w:ascii="Arial" w:hAnsi="Arial" w:cs="Arial"/>
          <w:i/>
          <w:iCs/>
          <w:sz w:val="20"/>
        </w:rPr>
        <w:t>Audiovisuales</w:t>
      </w:r>
      <w:proofErr w:type="spellEnd"/>
    </w:p>
    <w:p w14:paraId="4F07621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EPO</w:t>
      </w:r>
      <w:r w:rsidRPr="00F10C59">
        <w:rPr>
          <w:rFonts w:ascii="Arial" w:hAnsi="Arial" w:cs="Arial"/>
          <w:sz w:val="20"/>
        </w:rPr>
        <w:tab/>
        <w:t>European Patent Office</w:t>
      </w:r>
    </w:p>
    <w:p w14:paraId="694BDDE8" w14:textId="77777777" w:rsidR="00FB583B" w:rsidRPr="00F10C59" w:rsidRDefault="00FB583B" w:rsidP="00FB583B">
      <w:pPr>
        <w:ind w:left="2127" w:hanging="2127"/>
        <w:rPr>
          <w:rFonts w:ascii="Arial" w:hAnsi="Arial" w:cs="Arial"/>
          <w:sz w:val="20"/>
        </w:rPr>
      </w:pPr>
      <w:r w:rsidRPr="00F10C59">
        <w:rPr>
          <w:rFonts w:ascii="Arial" w:hAnsi="Arial" w:cs="Arial"/>
          <w:sz w:val="20"/>
        </w:rPr>
        <w:t>ERP</w:t>
      </w:r>
      <w:r w:rsidRPr="00F10C59">
        <w:rPr>
          <w:rFonts w:ascii="Arial" w:hAnsi="Arial" w:cs="Arial"/>
          <w:sz w:val="20"/>
        </w:rPr>
        <w:tab/>
        <w:t>enterprise resource planning</w:t>
      </w:r>
    </w:p>
    <w:p w14:paraId="49C99846" w14:textId="372A1F41" w:rsidR="005A234B" w:rsidRPr="00C84440" w:rsidRDefault="005A234B" w:rsidP="00FB583B">
      <w:pPr>
        <w:tabs>
          <w:tab w:val="left" w:pos="2127"/>
        </w:tabs>
        <w:spacing w:after="40"/>
        <w:ind w:left="2127" w:right="-759" w:hanging="2127"/>
        <w:rPr>
          <w:rFonts w:ascii="Arial" w:hAnsi="Arial" w:cs="Arial"/>
          <w:sz w:val="18"/>
        </w:rPr>
      </w:pPr>
      <w:r>
        <w:rPr>
          <w:rFonts w:ascii="Arial" w:hAnsi="Arial" w:cs="Arial"/>
          <w:sz w:val="20"/>
        </w:rPr>
        <w:t>ETSI</w:t>
      </w:r>
      <w:r>
        <w:rPr>
          <w:rFonts w:ascii="Arial" w:hAnsi="Arial" w:cs="Arial"/>
          <w:sz w:val="20"/>
        </w:rPr>
        <w:tab/>
      </w:r>
      <w:r w:rsidRPr="00C84440">
        <w:rPr>
          <w:rStyle w:val="Emphasis"/>
          <w:rFonts w:ascii="Arial" w:hAnsi="Arial" w:cs="Arial"/>
          <w:i w:val="0"/>
          <w:sz w:val="20"/>
        </w:rPr>
        <w:t>European Telecommunication Standards Institute</w:t>
      </w:r>
    </w:p>
    <w:p w14:paraId="1E8CF249" w14:textId="77777777" w:rsidR="00FB583B" w:rsidRPr="00F10C59" w:rsidRDefault="00FB583B" w:rsidP="00FB583B">
      <w:pPr>
        <w:tabs>
          <w:tab w:val="left" w:pos="2127"/>
        </w:tabs>
        <w:spacing w:after="40"/>
        <w:ind w:left="2127" w:right="-759" w:hanging="2127"/>
        <w:rPr>
          <w:rFonts w:ascii="Arial" w:hAnsi="Arial" w:cs="Arial"/>
          <w:sz w:val="20"/>
        </w:rPr>
      </w:pPr>
      <w:r w:rsidRPr="00F10C59">
        <w:rPr>
          <w:rFonts w:ascii="Arial" w:hAnsi="Arial" w:cs="Arial"/>
          <w:sz w:val="20"/>
        </w:rPr>
        <w:t>EU</w:t>
      </w:r>
      <w:r w:rsidRPr="00F10C59">
        <w:rPr>
          <w:rFonts w:ascii="Arial" w:hAnsi="Arial" w:cs="Arial"/>
          <w:sz w:val="20"/>
        </w:rPr>
        <w:tab/>
        <w:t>European Union</w:t>
      </w:r>
    </w:p>
    <w:p w14:paraId="2037AEAB" w14:textId="77777777" w:rsidR="00FB583B" w:rsidRPr="00F10C59" w:rsidRDefault="00FB583B" w:rsidP="00FB583B">
      <w:pPr>
        <w:tabs>
          <w:tab w:val="left" w:pos="2127"/>
        </w:tabs>
        <w:spacing w:after="180"/>
        <w:ind w:left="2126" w:hanging="2126"/>
        <w:rPr>
          <w:rFonts w:ascii="Arial" w:hAnsi="Arial" w:cs="Arial"/>
          <w:sz w:val="20"/>
        </w:rPr>
      </w:pPr>
    </w:p>
    <w:p w14:paraId="133488ED" w14:textId="77777777" w:rsidR="00FB583B" w:rsidRPr="00F10C59" w:rsidRDefault="00FB583B" w:rsidP="00FB583B">
      <w:pPr>
        <w:tabs>
          <w:tab w:val="left" w:pos="2127"/>
        </w:tabs>
        <w:spacing w:after="40"/>
        <w:ind w:left="2127" w:right="-759" w:hanging="2127"/>
        <w:rPr>
          <w:rFonts w:ascii="Arial" w:hAnsi="Arial" w:cs="Arial"/>
          <w:sz w:val="20"/>
        </w:rPr>
      </w:pPr>
      <w:r w:rsidRPr="00F10AB9">
        <w:rPr>
          <w:rFonts w:ascii="Arial" w:hAnsi="Arial" w:cs="Arial"/>
          <w:b/>
          <w:bCs/>
          <w:sz w:val="20"/>
        </w:rPr>
        <w:t>F</w:t>
      </w:r>
      <w:r w:rsidRPr="00F10C59">
        <w:rPr>
          <w:rFonts w:ascii="Arial" w:hAnsi="Arial" w:cs="Arial"/>
          <w:sz w:val="20"/>
        </w:rPr>
        <w:t>AO</w:t>
      </w:r>
      <w:r w:rsidRPr="00F10C59">
        <w:rPr>
          <w:rFonts w:ascii="Arial" w:hAnsi="Arial" w:cs="Arial"/>
          <w:sz w:val="20"/>
        </w:rPr>
        <w:tab/>
        <w:t xml:space="preserve">Food and Agricultural Organization </w:t>
      </w:r>
    </w:p>
    <w:p w14:paraId="6175A56B"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FI</w:t>
      </w:r>
      <w:r>
        <w:rPr>
          <w:rFonts w:ascii="Arial" w:hAnsi="Arial" w:cs="Arial"/>
          <w:sz w:val="20"/>
        </w:rPr>
        <w:tab/>
        <w:t>patent classification assigned by the Japanese Patent office</w:t>
      </w:r>
    </w:p>
    <w:p w14:paraId="7957D1FC"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FIT</w:t>
      </w:r>
      <w:r w:rsidRPr="00F10C59">
        <w:rPr>
          <w:rFonts w:ascii="Arial" w:hAnsi="Arial" w:cs="Arial"/>
          <w:sz w:val="20"/>
        </w:rPr>
        <w:tab/>
        <w:t>Fund-in-Trust</w:t>
      </w:r>
    </w:p>
    <w:p w14:paraId="391FA1C4" w14:textId="77777777" w:rsidR="00FB583B" w:rsidRPr="00F10C59" w:rsidRDefault="00FB583B" w:rsidP="00FB583B">
      <w:pPr>
        <w:tabs>
          <w:tab w:val="left" w:pos="2127"/>
        </w:tabs>
        <w:spacing w:after="180"/>
        <w:ind w:left="2126" w:hanging="2126"/>
        <w:rPr>
          <w:rFonts w:ascii="Arial" w:hAnsi="Arial" w:cs="Arial"/>
          <w:sz w:val="20"/>
        </w:rPr>
      </w:pPr>
    </w:p>
    <w:p w14:paraId="0D8DA15E" w14:textId="77777777" w:rsidR="00FB583B" w:rsidRDefault="00FB583B" w:rsidP="00FB583B">
      <w:pPr>
        <w:tabs>
          <w:tab w:val="left" w:pos="2127"/>
        </w:tabs>
        <w:spacing w:after="40"/>
        <w:ind w:left="2127" w:hanging="2127"/>
        <w:rPr>
          <w:rFonts w:ascii="Arial" w:hAnsi="Arial" w:cs="Arial"/>
          <w:b/>
          <w:bCs/>
          <w:sz w:val="20"/>
        </w:rPr>
      </w:pPr>
      <w:r w:rsidRPr="00C02386">
        <w:rPr>
          <w:rFonts w:ascii="Arial" w:hAnsi="Arial" w:cs="Arial"/>
          <w:b/>
          <w:bCs/>
          <w:sz w:val="20"/>
        </w:rPr>
        <w:t>G</w:t>
      </w:r>
      <w:r w:rsidRPr="00C02386">
        <w:rPr>
          <w:rFonts w:ascii="Arial" w:hAnsi="Arial" w:cs="Arial"/>
          <w:sz w:val="20"/>
        </w:rPr>
        <w:t>NIPA</w:t>
      </w:r>
      <w:r w:rsidRPr="00C02386">
        <w:rPr>
          <w:rFonts w:ascii="Arial" w:hAnsi="Arial" w:cs="Arial"/>
          <w:sz w:val="20"/>
        </w:rPr>
        <w:tab/>
        <w:t>Global Network of IP Academies</w:t>
      </w:r>
    </w:p>
    <w:p w14:paraId="0D74395E" w14:textId="77777777" w:rsidR="00FB583B" w:rsidRPr="00F10C59" w:rsidRDefault="00FB583B" w:rsidP="00FB583B">
      <w:pPr>
        <w:tabs>
          <w:tab w:val="left" w:pos="2127"/>
        </w:tabs>
        <w:spacing w:after="40"/>
        <w:ind w:left="2127" w:hanging="2127"/>
        <w:rPr>
          <w:rFonts w:ascii="Arial" w:hAnsi="Arial" w:cs="Arial"/>
          <w:sz w:val="20"/>
        </w:rPr>
      </w:pPr>
      <w:r w:rsidRPr="002E4152">
        <w:rPr>
          <w:rFonts w:ascii="Arial" w:hAnsi="Arial" w:cs="Arial"/>
          <w:sz w:val="20"/>
        </w:rPr>
        <w:t>G</w:t>
      </w:r>
      <w:r w:rsidRPr="00F10C59">
        <w:rPr>
          <w:rFonts w:ascii="Arial" w:hAnsi="Arial" w:cs="Arial"/>
          <w:sz w:val="20"/>
        </w:rPr>
        <w:t>R</w:t>
      </w:r>
      <w:r w:rsidRPr="00F10C59">
        <w:rPr>
          <w:rFonts w:ascii="Arial" w:hAnsi="Arial" w:cs="Arial"/>
          <w:sz w:val="20"/>
        </w:rPr>
        <w:tab/>
        <w:t>genetic resources</w:t>
      </w:r>
    </w:p>
    <w:p w14:paraId="3EC970B0" w14:textId="77777777" w:rsidR="00FB583B" w:rsidRPr="00F10C59" w:rsidRDefault="00FB583B" w:rsidP="00FB583B">
      <w:pPr>
        <w:tabs>
          <w:tab w:val="left" w:pos="2127"/>
        </w:tabs>
        <w:spacing w:after="40"/>
        <w:ind w:left="2127" w:hanging="2127"/>
        <w:rPr>
          <w:rFonts w:ascii="Arial" w:hAnsi="Arial" w:cs="Arial"/>
          <w:sz w:val="20"/>
        </w:rPr>
      </w:pPr>
      <w:proofErr w:type="spellStart"/>
      <w:r w:rsidRPr="00F10C59">
        <w:rPr>
          <w:rFonts w:ascii="Arial" w:hAnsi="Arial" w:cs="Arial"/>
          <w:sz w:val="20"/>
        </w:rPr>
        <w:lastRenderedPageBreak/>
        <w:t>gTLDs</w:t>
      </w:r>
      <w:proofErr w:type="spellEnd"/>
      <w:r w:rsidRPr="00F10C59">
        <w:rPr>
          <w:rFonts w:ascii="Arial" w:hAnsi="Arial" w:cs="Arial"/>
          <w:sz w:val="20"/>
        </w:rPr>
        <w:tab/>
        <w:t>generic Top-Level Domains</w:t>
      </w:r>
    </w:p>
    <w:p w14:paraId="50F4E9DA" w14:textId="77777777" w:rsidR="00FB583B" w:rsidRPr="00F10C59" w:rsidRDefault="00FB583B" w:rsidP="00FB583B">
      <w:pPr>
        <w:tabs>
          <w:tab w:val="left" w:pos="2127"/>
        </w:tabs>
        <w:spacing w:after="180"/>
        <w:ind w:left="2126" w:hanging="2126"/>
        <w:rPr>
          <w:rFonts w:ascii="Arial" w:hAnsi="Arial" w:cs="Arial"/>
          <w:sz w:val="20"/>
        </w:rPr>
      </w:pPr>
    </w:p>
    <w:p w14:paraId="73776F02" w14:textId="77777777" w:rsidR="00FB583B" w:rsidRPr="00F10C59" w:rsidRDefault="00FB583B" w:rsidP="00FB583B">
      <w:pPr>
        <w:tabs>
          <w:tab w:val="left" w:pos="2127"/>
        </w:tabs>
        <w:spacing w:after="40"/>
        <w:ind w:left="2127" w:hanging="2127"/>
        <w:rPr>
          <w:rFonts w:ascii="Arial" w:hAnsi="Arial" w:cs="Arial"/>
          <w:sz w:val="20"/>
        </w:rPr>
      </w:pPr>
      <w:r w:rsidRPr="00C84440">
        <w:rPr>
          <w:rFonts w:ascii="Arial" w:hAnsi="Arial" w:cs="Arial"/>
          <w:b/>
          <w:sz w:val="20"/>
        </w:rPr>
        <w:t>H</w:t>
      </w:r>
      <w:r w:rsidRPr="00F10C59">
        <w:rPr>
          <w:rFonts w:ascii="Arial" w:hAnsi="Arial" w:cs="Arial"/>
          <w:sz w:val="20"/>
        </w:rPr>
        <w:t>R</w:t>
      </w:r>
      <w:r w:rsidRPr="00F10C59">
        <w:rPr>
          <w:rFonts w:ascii="Arial" w:hAnsi="Arial" w:cs="Arial"/>
          <w:sz w:val="20"/>
        </w:rPr>
        <w:tab/>
        <w:t>Human Resources</w:t>
      </w:r>
    </w:p>
    <w:p w14:paraId="47EA94B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HRMD</w:t>
      </w:r>
      <w:r w:rsidRPr="00F10C59">
        <w:rPr>
          <w:rFonts w:ascii="Arial" w:hAnsi="Arial" w:cs="Arial"/>
          <w:sz w:val="20"/>
        </w:rPr>
        <w:tab/>
        <w:t>Human Resources Management Department</w:t>
      </w:r>
    </w:p>
    <w:p w14:paraId="0D57129C" w14:textId="77777777" w:rsidR="00FB583B" w:rsidRPr="00F10C59" w:rsidRDefault="00FB583B" w:rsidP="00FB583B">
      <w:pPr>
        <w:tabs>
          <w:tab w:val="left" w:pos="2127"/>
        </w:tabs>
        <w:spacing w:after="180"/>
        <w:ind w:left="2126" w:hanging="2126"/>
        <w:rPr>
          <w:rFonts w:ascii="Arial" w:hAnsi="Arial" w:cs="Arial"/>
          <w:sz w:val="20"/>
        </w:rPr>
      </w:pPr>
    </w:p>
    <w:p w14:paraId="6071A903"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I</w:t>
      </w:r>
      <w:r w:rsidRPr="00F10C59">
        <w:rPr>
          <w:rFonts w:ascii="Arial" w:hAnsi="Arial" w:cs="Arial"/>
          <w:sz w:val="20"/>
        </w:rPr>
        <w:t>AOC</w:t>
      </w:r>
      <w:r w:rsidRPr="00F10C59">
        <w:rPr>
          <w:rFonts w:ascii="Arial" w:hAnsi="Arial" w:cs="Arial"/>
          <w:sz w:val="20"/>
        </w:rPr>
        <w:tab/>
        <w:t>Independent Advisory and Oversight Committee</w:t>
      </w:r>
    </w:p>
    <w:p w14:paraId="1B872DE5" w14:textId="77777777" w:rsidR="005A234B" w:rsidRDefault="005A234B" w:rsidP="00FB583B">
      <w:pPr>
        <w:tabs>
          <w:tab w:val="left" w:pos="2127"/>
        </w:tabs>
        <w:rPr>
          <w:rFonts w:ascii="Arial" w:hAnsi="Arial" w:cs="Arial"/>
          <w:sz w:val="20"/>
        </w:rPr>
      </w:pPr>
    </w:p>
    <w:p w14:paraId="2BF86982" w14:textId="7C3F280C" w:rsidR="005A234B" w:rsidRDefault="005A234B" w:rsidP="00FB583B">
      <w:pPr>
        <w:tabs>
          <w:tab w:val="left" w:pos="2127"/>
        </w:tabs>
        <w:rPr>
          <w:rFonts w:ascii="Arial" w:hAnsi="Arial" w:cs="Arial"/>
          <w:sz w:val="20"/>
        </w:rPr>
      </w:pPr>
      <w:r>
        <w:rPr>
          <w:rFonts w:ascii="Arial" w:hAnsi="Arial" w:cs="Arial"/>
          <w:sz w:val="20"/>
        </w:rPr>
        <w:t>ICOM</w:t>
      </w:r>
      <w:r>
        <w:rPr>
          <w:rFonts w:ascii="Arial" w:hAnsi="Arial" w:cs="Arial"/>
          <w:sz w:val="20"/>
        </w:rPr>
        <w:tab/>
        <w:t>International Council of Museums</w:t>
      </w:r>
    </w:p>
    <w:p w14:paraId="036DB6BA" w14:textId="742AB812" w:rsidR="00FB583B" w:rsidRDefault="00FB583B" w:rsidP="00FB583B">
      <w:pPr>
        <w:tabs>
          <w:tab w:val="left" w:pos="2127"/>
        </w:tabs>
        <w:rPr>
          <w:rFonts w:ascii="Arial" w:hAnsi="Arial" w:cs="Arial"/>
          <w:sz w:val="20"/>
        </w:rPr>
      </w:pPr>
      <w:r>
        <w:rPr>
          <w:rFonts w:ascii="Arial" w:hAnsi="Arial" w:cs="Arial"/>
          <w:sz w:val="20"/>
        </w:rPr>
        <w:t>IOD</w:t>
      </w:r>
      <w:r>
        <w:rPr>
          <w:rFonts w:ascii="Arial" w:hAnsi="Arial" w:cs="Arial"/>
          <w:sz w:val="20"/>
        </w:rPr>
        <w:tab/>
        <w:t>Internal Oversight Division</w:t>
      </w:r>
    </w:p>
    <w:p w14:paraId="2307C0DC"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ICANN</w:t>
      </w:r>
      <w:r w:rsidRPr="00F10C59">
        <w:rPr>
          <w:rFonts w:ascii="Arial" w:hAnsi="Arial" w:cs="Arial"/>
          <w:sz w:val="20"/>
        </w:rPr>
        <w:tab/>
        <w:t xml:space="preserve">Internet Corporation for Assigned Names and Numbers </w:t>
      </w:r>
    </w:p>
    <w:p w14:paraId="7B7E6FBD"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ICE</w:t>
      </w:r>
      <w:r w:rsidRPr="00F10C59">
        <w:rPr>
          <w:rFonts w:ascii="Arial" w:hAnsi="Arial" w:cs="Arial"/>
          <w:sz w:val="20"/>
        </w:rPr>
        <w:tab/>
        <w:t>International Cooperation on Examination</w:t>
      </w:r>
    </w:p>
    <w:p w14:paraId="3C91B23A"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ICSEI</w:t>
      </w:r>
      <w:r w:rsidRPr="00F10C59">
        <w:rPr>
          <w:rFonts w:ascii="Arial" w:hAnsi="Arial" w:cs="Arial"/>
          <w:sz w:val="20"/>
        </w:rPr>
        <w:tab/>
        <w:t>International Cooperation for the Search and Examination of Inventions</w:t>
      </w:r>
    </w:p>
    <w:p w14:paraId="3C6F2B9E"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ICPIP</w:t>
      </w:r>
      <w:r w:rsidRPr="00F10C59">
        <w:rPr>
          <w:rFonts w:ascii="Arial" w:hAnsi="Arial" w:cs="Arial"/>
          <w:sz w:val="20"/>
        </w:rPr>
        <w:tab/>
        <w:t>Inter-State Council on the Protection of Industrial Property</w:t>
      </w:r>
    </w:p>
    <w:p w14:paraId="0FE9305B"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ICSC</w:t>
      </w:r>
      <w:r w:rsidRPr="00F10C59">
        <w:rPr>
          <w:rFonts w:ascii="Arial" w:hAnsi="Arial" w:cs="Arial"/>
          <w:sz w:val="20"/>
        </w:rPr>
        <w:tab/>
        <w:t xml:space="preserve">International Civil Service Commission </w:t>
      </w:r>
    </w:p>
    <w:p w14:paraId="7FF0D25F"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ICT</w:t>
      </w:r>
      <w:r w:rsidRPr="00F10C59">
        <w:rPr>
          <w:rFonts w:ascii="Arial" w:hAnsi="Arial" w:cs="Arial"/>
          <w:sz w:val="20"/>
        </w:rPr>
        <w:tab/>
        <w:t xml:space="preserve">Information and Communication Technology </w:t>
      </w:r>
    </w:p>
    <w:p w14:paraId="54C37302"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IGC</w:t>
      </w:r>
      <w:r w:rsidRPr="00F10C59">
        <w:rPr>
          <w:rFonts w:ascii="Arial" w:hAnsi="Arial" w:cs="Arial"/>
          <w:sz w:val="20"/>
        </w:rPr>
        <w:tab/>
        <w:t>Intergovernmental Committee on Intellectual Property and Genetic Resources, Traditional Knowledge and Folklore</w:t>
      </w:r>
    </w:p>
    <w:p w14:paraId="691FEE2A"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IGOs</w:t>
      </w:r>
      <w:r w:rsidRPr="00F10C59">
        <w:rPr>
          <w:rFonts w:ascii="Arial" w:hAnsi="Arial" w:cs="Arial"/>
          <w:sz w:val="20"/>
        </w:rPr>
        <w:tab/>
        <w:t>inter-governmental organizations</w:t>
      </w:r>
    </w:p>
    <w:p w14:paraId="0900A451"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IIA</w:t>
      </w:r>
      <w:r>
        <w:rPr>
          <w:rFonts w:ascii="Arial" w:hAnsi="Arial" w:cs="Arial"/>
          <w:sz w:val="20"/>
        </w:rPr>
        <w:tab/>
        <w:t>Institute of Internal Auditors</w:t>
      </w:r>
    </w:p>
    <w:p w14:paraId="64E917A0" w14:textId="6EFDCCFA" w:rsidR="00487F03" w:rsidRPr="00C84440" w:rsidRDefault="00487F03" w:rsidP="00FB583B">
      <w:pPr>
        <w:tabs>
          <w:tab w:val="left" w:pos="2127"/>
        </w:tabs>
        <w:spacing w:after="40"/>
        <w:ind w:left="2127" w:hanging="2127"/>
        <w:rPr>
          <w:rFonts w:ascii="Arial" w:hAnsi="Arial" w:cs="Arial"/>
          <w:sz w:val="18"/>
        </w:rPr>
      </w:pPr>
      <w:r>
        <w:rPr>
          <w:rFonts w:ascii="Arial" w:hAnsi="Arial" w:cs="Arial"/>
          <w:sz w:val="20"/>
        </w:rPr>
        <w:t>IMPI</w:t>
      </w:r>
      <w:r>
        <w:rPr>
          <w:rFonts w:ascii="Arial" w:hAnsi="Arial" w:cs="Arial"/>
          <w:sz w:val="20"/>
        </w:rPr>
        <w:tab/>
      </w:r>
      <w:r w:rsidRPr="00C84440">
        <w:rPr>
          <w:rStyle w:val="st"/>
          <w:rFonts w:ascii="Arial" w:hAnsi="Arial" w:cs="Arial"/>
          <w:sz w:val="20"/>
        </w:rPr>
        <w:t>Mexican Institute of Industrial Property</w:t>
      </w:r>
    </w:p>
    <w:p w14:paraId="78AC6FD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IMR</w:t>
      </w:r>
      <w:r w:rsidRPr="00F10C59">
        <w:rPr>
          <w:rFonts w:ascii="Arial" w:hAnsi="Arial" w:cs="Arial"/>
          <w:sz w:val="20"/>
        </w:rPr>
        <w:tab/>
        <w:t>International Music Registry</w:t>
      </w:r>
    </w:p>
    <w:p w14:paraId="715F8368" w14:textId="7D80E87C" w:rsidR="00177388" w:rsidRPr="00C84440" w:rsidRDefault="00177388" w:rsidP="00FB583B">
      <w:pPr>
        <w:tabs>
          <w:tab w:val="left" w:pos="2127"/>
        </w:tabs>
        <w:spacing w:after="40"/>
        <w:ind w:left="2127" w:hanging="2127"/>
        <w:rPr>
          <w:rFonts w:ascii="Arial" w:hAnsi="Arial" w:cs="Arial"/>
          <w:sz w:val="18"/>
        </w:rPr>
      </w:pPr>
      <w:r>
        <w:rPr>
          <w:rFonts w:ascii="Arial" w:hAnsi="Arial" w:cs="Arial"/>
          <w:sz w:val="20"/>
        </w:rPr>
        <w:t>INP-BR</w:t>
      </w:r>
      <w:r>
        <w:rPr>
          <w:rFonts w:ascii="Arial" w:hAnsi="Arial" w:cs="Arial"/>
          <w:sz w:val="20"/>
        </w:rPr>
        <w:tab/>
      </w:r>
      <w:r w:rsidRPr="00C84440">
        <w:rPr>
          <w:rStyle w:val="st"/>
          <w:rFonts w:ascii="Arial" w:hAnsi="Arial" w:cs="Arial"/>
          <w:sz w:val="20"/>
        </w:rPr>
        <w:t>Brazilian National Institute of Industrial Property</w:t>
      </w:r>
    </w:p>
    <w:p w14:paraId="0A4BA90F" w14:textId="78412FC1"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w:t>
      </w:r>
      <w:r w:rsidRPr="00F10C59">
        <w:rPr>
          <w:rFonts w:ascii="Arial" w:hAnsi="Arial" w:cs="Arial"/>
          <w:sz w:val="20"/>
        </w:rPr>
        <w:tab/>
        <w:t>Intellectual Property</w:t>
      </w:r>
    </w:p>
    <w:p w14:paraId="4563FEBF" w14:textId="7221DA5C" w:rsidR="00EF0E49" w:rsidRDefault="00EF0E49" w:rsidP="00FB583B">
      <w:pPr>
        <w:tabs>
          <w:tab w:val="left" w:pos="2127"/>
        </w:tabs>
        <w:spacing w:after="40"/>
        <w:ind w:left="2126" w:hanging="2126"/>
        <w:rPr>
          <w:rFonts w:ascii="Arial" w:hAnsi="Arial" w:cs="Arial"/>
          <w:sz w:val="20"/>
          <w:lang w:val="en"/>
        </w:rPr>
      </w:pPr>
      <w:r>
        <w:rPr>
          <w:rFonts w:ascii="Arial" w:hAnsi="Arial" w:cs="Arial"/>
          <w:sz w:val="20"/>
          <w:lang w:val="en"/>
        </w:rPr>
        <w:t>IPAG</w:t>
      </w:r>
      <w:r>
        <w:rPr>
          <w:rFonts w:ascii="Arial" w:hAnsi="Arial" w:cs="Arial"/>
          <w:sz w:val="20"/>
          <w:lang w:val="en"/>
        </w:rPr>
        <w:tab/>
      </w:r>
      <w:r w:rsidRPr="0033783F">
        <w:rPr>
          <w:rFonts w:ascii="Arial" w:hAnsi="Arial" w:cs="Arial"/>
          <w:bCs/>
          <w:kern w:val="36"/>
          <w:sz w:val="20"/>
          <w:szCs w:val="48"/>
        </w:rPr>
        <w:t>Intellectual Property Agreement Guide</w:t>
      </w:r>
    </w:p>
    <w:p w14:paraId="13A15408" w14:textId="77777777" w:rsidR="00FB583B" w:rsidRPr="00C02386" w:rsidRDefault="00FB583B" w:rsidP="00FB583B">
      <w:pPr>
        <w:tabs>
          <w:tab w:val="left" w:pos="2127"/>
        </w:tabs>
        <w:spacing w:after="40"/>
        <w:ind w:left="2126" w:hanging="2126"/>
        <w:rPr>
          <w:rFonts w:ascii="Arial" w:hAnsi="Arial" w:cs="Arial"/>
          <w:sz w:val="20"/>
          <w:lang w:val="en"/>
        </w:rPr>
      </w:pPr>
      <w:r w:rsidRPr="00C02386">
        <w:rPr>
          <w:rFonts w:ascii="Arial" w:hAnsi="Arial" w:cs="Arial"/>
          <w:sz w:val="20"/>
          <w:lang w:val="en"/>
        </w:rPr>
        <w:t>IPAS</w:t>
      </w:r>
      <w:r w:rsidRPr="00C02386">
        <w:rPr>
          <w:rFonts w:ascii="Arial" w:hAnsi="Arial" w:cs="Arial"/>
          <w:sz w:val="20"/>
          <w:lang w:val="en"/>
        </w:rPr>
        <w:tab/>
        <w:t>IP Office Administration System</w:t>
      </w:r>
    </w:p>
    <w:p w14:paraId="2F21777F" w14:textId="77777777" w:rsidR="00FB583B" w:rsidRPr="00C02386" w:rsidRDefault="00FB583B" w:rsidP="00FB583B">
      <w:pPr>
        <w:tabs>
          <w:tab w:val="left" w:pos="2127"/>
        </w:tabs>
        <w:rPr>
          <w:rFonts w:ascii="Arial" w:hAnsi="Arial" w:cs="Arial"/>
          <w:sz w:val="20"/>
        </w:rPr>
      </w:pPr>
      <w:r w:rsidRPr="00C02386">
        <w:rPr>
          <w:rFonts w:ascii="Arial" w:hAnsi="Arial" w:cs="Arial"/>
          <w:sz w:val="20"/>
        </w:rPr>
        <w:t>IPACIS</w:t>
      </w:r>
      <w:r w:rsidRPr="00C02386">
        <w:rPr>
          <w:rFonts w:ascii="Arial" w:hAnsi="Arial" w:cs="Arial"/>
          <w:sz w:val="20"/>
        </w:rPr>
        <w:tab/>
        <w:t>Assembly of the CIS Member States</w:t>
      </w:r>
    </w:p>
    <w:p w14:paraId="31F20CA4" w14:textId="7777777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IPC</w:t>
      </w:r>
      <w:r w:rsidRPr="00C02386">
        <w:rPr>
          <w:rFonts w:ascii="Arial" w:hAnsi="Arial" w:cs="Arial"/>
          <w:sz w:val="20"/>
        </w:rPr>
        <w:tab/>
        <w:t>International Patent Classification</w:t>
      </w:r>
    </w:p>
    <w:p w14:paraId="4CD35C0A" w14:textId="2E1618D3" w:rsidR="002B31EF" w:rsidRPr="00B30215" w:rsidRDefault="002B31EF" w:rsidP="00FB583B">
      <w:pPr>
        <w:tabs>
          <w:tab w:val="left" w:pos="2127"/>
        </w:tabs>
        <w:spacing w:after="40"/>
        <w:ind w:left="2127" w:hanging="2127"/>
        <w:rPr>
          <w:rFonts w:ascii="Arial" w:hAnsi="Arial" w:cs="Arial"/>
          <w:sz w:val="20"/>
          <w:szCs w:val="20"/>
        </w:rPr>
      </w:pPr>
      <w:r>
        <w:rPr>
          <w:rFonts w:ascii="Arial" w:hAnsi="Arial" w:cs="Arial"/>
          <w:sz w:val="20"/>
        </w:rPr>
        <w:t>IP-DMD</w:t>
      </w:r>
      <w:r>
        <w:rPr>
          <w:rFonts w:ascii="Arial" w:hAnsi="Arial" w:cs="Arial"/>
          <w:sz w:val="20"/>
        </w:rPr>
        <w:tab/>
      </w:r>
      <w:r w:rsidRPr="00964B24">
        <w:rPr>
          <w:rStyle w:val="st"/>
          <w:rFonts w:ascii="Arial" w:hAnsi="Arial" w:cs="Arial"/>
          <w:sz w:val="20"/>
          <w:szCs w:val="20"/>
        </w:rPr>
        <w:t xml:space="preserve">Intellectual Property </w:t>
      </w:r>
      <w:r w:rsidRPr="00B30215">
        <w:rPr>
          <w:rFonts w:ascii="Arial" w:hAnsi="Arial" w:cs="Arial"/>
          <w:sz w:val="20"/>
          <w:szCs w:val="20"/>
        </w:rPr>
        <w:t xml:space="preserve">Development Matchmaking Database </w:t>
      </w:r>
    </w:p>
    <w:p w14:paraId="2DDBD0B0" w14:textId="637EBFC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IPO</w:t>
      </w:r>
      <w:r w:rsidRPr="00C02386">
        <w:rPr>
          <w:rFonts w:ascii="Arial" w:hAnsi="Arial" w:cs="Arial"/>
          <w:sz w:val="20"/>
        </w:rPr>
        <w:tab/>
        <w:t>Intellectual Property Office</w:t>
      </w:r>
    </w:p>
    <w:p w14:paraId="64E1B2FF" w14:textId="77777777" w:rsidR="00FB583B" w:rsidRDefault="00FB583B" w:rsidP="00FB583B">
      <w:pPr>
        <w:tabs>
          <w:tab w:val="left" w:pos="2127"/>
        </w:tabs>
        <w:spacing w:after="40"/>
        <w:ind w:left="2127" w:hanging="2127"/>
        <w:rPr>
          <w:rFonts w:ascii="Arial" w:hAnsi="Arial" w:cs="Arial"/>
          <w:sz w:val="20"/>
        </w:rPr>
      </w:pPr>
      <w:proofErr w:type="spellStart"/>
      <w:r w:rsidRPr="00C02386">
        <w:rPr>
          <w:rFonts w:ascii="Arial" w:hAnsi="Arial" w:cs="Arial"/>
          <w:sz w:val="20"/>
        </w:rPr>
        <w:t>IPoA</w:t>
      </w:r>
      <w:proofErr w:type="spellEnd"/>
      <w:r w:rsidRPr="00C02386">
        <w:rPr>
          <w:rFonts w:ascii="Arial" w:hAnsi="Arial" w:cs="Arial"/>
          <w:sz w:val="20"/>
        </w:rPr>
        <w:tab/>
      </w:r>
      <w:smartTag w:uri="urn:schemas-microsoft-com:office:smarttags" w:element="place">
        <w:smartTag w:uri="urn:schemas-microsoft-com:office:smarttags" w:element="City">
          <w:r w:rsidRPr="00C02386">
            <w:rPr>
              <w:rFonts w:ascii="Arial" w:hAnsi="Arial" w:cs="Arial"/>
              <w:sz w:val="20"/>
            </w:rPr>
            <w:t>Istanbul</w:t>
          </w:r>
        </w:smartTag>
      </w:smartTag>
      <w:r w:rsidRPr="00C02386">
        <w:rPr>
          <w:rFonts w:ascii="Arial" w:hAnsi="Arial" w:cs="Arial"/>
          <w:sz w:val="20"/>
        </w:rPr>
        <w:t xml:space="preserve"> </w:t>
      </w:r>
      <w:proofErr w:type="spellStart"/>
      <w:r w:rsidRPr="00C02386">
        <w:rPr>
          <w:rFonts w:ascii="Arial" w:hAnsi="Arial" w:cs="Arial"/>
          <w:sz w:val="20"/>
        </w:rPr>
        <w:t>Programme</w:t>
      </w:r>
      <w:proofErr w:type="spellEnd"/>
      <w:r w:rsidRPr="00C02386">
        <w:rPr>
          <w:rFonts w:ascii="Arial" w:hAnsi="Arial" w:cs="Arial"/>
          <w:sz w:val="20"/>
        </w:rPr>
        <w:t xml:space="preserve"> for Action</w:t>
      </w:r>
    </w:p>
    <w:p w14:paraId="77A1DE52" w14:textId="54D66622" w:rsidR="008A1B16" w:rsidRPr="00C84440" w:rsidRDefault="008A1B16" w:rsidP="00FB583B">
      <w:pPr>
        <w:tabs>
          <w:tab w:val="left" w:pos="2127"/>
        </w:tabs>
        <w:spacing w:after="40"/>
        <w:ind w:left="2127" w:hanging="2127"/>
        <w:rPr>
          <w:rFonts w:ascii="Arial" w:hAnsi="Arial" w:cs="Arial"/>
          <w:sz w:val="18"/>
        </w:rPr>
      </w:pPr>
      <w:r>
        <w:rPr>
          <w:rFonts w:ascii="Arial" w:hAnsi="Arial" w:cs="Arial"/>
          <w:sz w:val="20"/>
        </w:rPr>
        <w:t>OPOPHL</w:t>
      </w:r>
      <w:r>
        <w:rPr>
          <w:rFonts w:ascii="Arial" w:hAnsi="Arial" w:cs="Arial"/>
          <w:sz w:val="20"/>
        </w:rPr>
        <w:tab/>
      </w:r>
      <w:r w:rsidRPr="00C84440">
        <w:rPr>
          <w:rStyle w:val="st"/>
          <w:rFonts w:ascii="Arial" w:hAnsi="Arial" w:cs="Arial"/>
          <w:sz w:val="20"/>
        </w:rPr>
        <w:t>Intellectual Property Office of the Philippines</w:t>
      </w:r>
    </w:p>
    <w:p w14:paraId="419CD04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IPRs</w:t>
      </w:r>
      <w:r w:rsidRPr="00F10C59">
        <w:rPr>
          <w:rFonts w:ascii="Arial" w:hAnsi="Arial" w:cs="Arial"/>
          <w:sz w:val="20"/>
        </w:rPr>
        <w:tab/>
        <w:t>Intellectual Property Rights</w:t>
      </w:r>
    </w:p>
    <w:p w14:paraId="37EF265C"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IPSAS</w:t>
      </w:r>
      <w:r w:rsidRPr="00F10C59">
        <w:rPr>
          <w:rFonts w:ascii="Arial" w:hAnsi="Arial" w:cs="Arial"/>
          <w:sz w:val="20"/>
        </w:rPr>
        <w:tab/>
        <w:t>International Public Sector Accounting Standards</w:t>
      </w:r>
    </w:p>
    <w:p w14:paraId="6C9F66D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IT</w:t>
      </w:r>
      <w:r w:rsidRPr="00F10C59">
        <w:rPr>
          <w:rFonts w:ascii="Arial" w:hAnsi="Arial" w:cs="Arial"/>
          <w:sz w:val="20"/>
        </w:rPr>
        <w:tab/>
        <w:t>Information Technology</w:t>
      </w:r>
    </w:p>
    <w:p w14:paraId="272D7E6E" w14:textId="2259584E" w:rsidR="008256AB" w:rsidRDefault="008256AB" w:rsidP="00FB583B">
      <w:pPr>
        <w:tabs>
          <w:tab w:val="left" w:pos="2127"/>
        </w:tabs>
        <w:spacing w:after="40"/>
        <w:ind w:left="2127" w:hanging="2127"/>
        <w:rPr>
          <w:rStyle w:val="st"/>
          <w:rFonts w:ascii="Arial" w:hAnsi="Arial" w:cs="Arial"/>
          <w:sz w:val="20"/>
          <w:szCs w:val="20"/>
        </w:rPr>
      </w:pPr>
      <w:r w:rsidRPr="009B4A78">
        <w:rPr>
          <w:rFonts w:ascii="Arial" w:hAnsi="Arial" w:cs="Arial"/>
          <w:sz w:val="20"/>
        </w:rPr>
        <w:t>IP-TAD</w:t>
      </w:r>
      <w:r>
        <w:rPr>
          <w:rFonts w:ascii="Arial" w:hAnsi="Arial" w:cs="Arial"/>
          <w:sz w:val="20"/>
        </w:rPr>
        <w:tab/>
      </w:r>
      <w:r w:rsidRPr="00B30215">
        <w:rPr>
          <w:rStyle w:val="st"/>
          <w:rFonts w:ascii="Arial" w:hAnsi="Arial" w:cs="Arial"/>
          <w:sz w:val="20"/>
          <w:szCs w:val="20"/>
        </w:rPr>
        <w:t>Intellectual Property Technical Assistance Database</w:t>
      </w:r>
    </w:p>
    <w:p w14:paraId="54A6E9CB" w14:textId="29DEA0A6" w:rsidR="002B31EF" w:rsidRPr="000F6BE2" w:rsidRDefault="002B31EF" w:rsidP="00FB583B">
      <w:pPr>
        <w:tabs>
          <w:tab w:val="left" w:pos="2127"/>
        </w:tabs>
        <w:spacing w:after="40"/>
        <w:ind w:left="2127" w:hanging="2127"/>
        <w:rPr>
          <w:rFonts w:ascii="Arial" w:hAnsi="Arial" w:cs="Arial"/>
          <w:sz w:val="20"/>
          <w:szCs w:val="20"/>
        </w:rPr>
      </w:pPr>
      <w:r>
        <w:rPr>
          <w:rStyle w:val="st"/>
          <w:rFonts w:ascii="Arial" w:hAnsi="Arial" w:cs="Arial"/>
          <w:sz w:val="20"/>
          <w:szCs w:val="20"/>
        </w:rPr>
        <w:t>IP-ROC</w:t>
      </w:r>
      <w:r>
        <w:rPr>
          <w:rStyle w:val="st"/>
          <w:rFonts w:ascii="Arial" w:hAnsi="Arial" w:cs="Arial"/>
          <w:sz w:val="20"/>
          <w:szCs w:val="20"/>
        </w:rPr>
        <w:tab/>
      </w:r>
      <w:r w:rsidRPr="00964B24">
        <w:rPr>
          <w:rStyle w:val="st"/>
          <w:rFonts w:ascii="Arial" w:hAnsi="Arial" w:cs="Arial"/>
          <w:sz w:val="20"/>
          <w:szCs w:val="20"/>
        </w:rPr>
        <w:t xml:space="preserve">Intellectual </w:t>
      </w:r>
      <w:r w:rsidRPr="002B31EF">
        <w:rPr>
          <w:rStyle w:val="st"/>
          <w:rFonts w:ascii="Arial" w:hAnsi="Arial" w:cs="Arial"/>
          <w:sz w:val="20"/>
          <w:szCs w:val="20"/>
        </w:rPr>
        <w:t>Property Roster of Consultants</w:t>
      </w:r>
    </w:p>
    <w:p w14:paraId="29CB16F0" w14:textId="5C1E7E1C" w:rsidR="00B34F97" w:rsidRPr="000F6BE2" w:rsidRDefault="00B34F97" w:rsidP="00FB583B">
      <w:pPr>
        <w:tabs>
          <w:tab w:val="left" w:pos="2127"/>
        </w:tabs>
        <w:spacing w:after="40"/>
        <w:ind w:left="2127" w:hanging="2127"/>
        <w:rPr>
          <w:rFonts w:ascii="Arial" w:hAnsi="Arial" w:cs="Arial"/>
          <w:sz w:val="20"/>
          <w:szCs w:val="20"/>
        </w:rPr>
      </w:pPr>
      <w:r>
        <w:rPr>
          <w:rFonts w:ascii="Arial" w:hAnsi="Arial" w:cs="Arial"/>
          <w:sz w:val="20"/>
        </w:rPr>
        <w:t>ISO</w:t>
      </w:r>
      <w:r>
        <w:rPr>
          <w:rFonts w:ascii="Arial" w:hAnsi="Arial" w:cs="Arial"/>
          <w:sz w:val="20"/>
        </w:rPr>
        <w:tab/>
      </w:r>
      <w:r w:rsidRPr="00B30215">
        <w:rPr>
          <w:rStyle w:val="st"/>
          <w:rFonts w:ascii="Arial" w:hAnsi="Arial" w:cs="Arial"/>
          <w:sz w:val="20"/>
          <w:szCs w:val="20"/>
        </w:rPr>
        <w:t>International Organization for Standardization</w:t>
      </w:r>
    </w:p>
    <w:p w14:paraId="3A395AF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ITIL</w:t>
      </w:r>
      <w:r w:rsidRPr="00F10C59">
        <w:rPr>
          <w:rFonts w:ascii="Arial" w:hAnsi="Arial" w:cs="Arial"/>
          <w:sz w:val="20"/>
        </w:rPr>
        <w:tab/>
        <w:t>Information Technology Infrastructure Library</w:t>
      </w:r>
    </w:p>
    <w:p w14:paraId="3903ADC4" w14:textId="77777777" w:rsidR="00307AC6" w:rsidRPr="00C84440" w:rsidRDefault="00307AC6" w:rsidP="00C84440">
      <w:pPr>
        <w:tabs>
          <w:tab w:val="left" w:pos="2127"/>
        </w:tabs>
        <w:rPr>
          <w:rFonts w:ascii="Arial" w:hAnsi="Arial" w:cs="Arial"/>
          <w:sz w:val="20"/>
        </w:rPr>
      </w:pPr>
      <w:r>
        <w:rPr>
          <w:rFonts w:ascii="Arial" w:hAnsi="Arial" w:cs="Arial"/>
          <w:sz w:val="20"/>
        </w:rPr>
        <w:t>ITPGRFA</w:t>
      </w:r>
      <w:r>
        <w:rPr>
          <w:rFonts w:ascii="Arial" w:hAnsi="Arial" w:cs="Arial"/>
          <w:sz w:val="20"/>
        </w:rPr>
        <w:tab/>
      </w:r>
      <w:r w:rsidRPr="00C84440">
        <w:rPr>
          <w:rFonts w:ascii="Arial" w:hAnsi="Arial" w:cs="Arial"/>
          <w:sz w:val="20"/>
        </w:rPr>
        <w:t>International Treaty on Plant Genetic Resources for Food and Agriculture</w:t>
      </w:r>
    </w:p>
    <w:p w14:paraId="456472C1" w14:textId="2A879242"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ITU</w:t>
      </w:r>
      <w:r w:rsidRPr="00F10C59">
        <w:rPr>
          <w:rFonts w:ascii="Arial" w:hAnsi="Arial" w:cs="Arial"/>
          <w:sz w:val="20"/>
        </w:rPr>
        <w:tab/>
      </w:r>
      <w:r w:rsidRPr="00F10C59">
        <w:rPr>
          <w:rFonts w:ascii="Arial" w:hAnsi="Arial" w:cs="Arial"/>
          <w:snapToGrid w:val="0"/>
          <w:sz w:val="20"/>
        </w:rPr>
        <w:t>International Telecommunications Union</w:t>
      </w:r>
    </w:p>
    <w:p w14:paraId="39931D98" w14:textId="77777777" w:rsidR="00FB583B" w:rsidRPr="00F10C59" w:rsidRDefault="00FB583B" w:rsidP="00FB583B">
      <w:pPr>
        <w:tabs>
          <w:tab w:val="left" w:pos="2127"/>
        </w:tabs>
        <w:spacing w:after="180"/>
        <w:ind w:left="2126" w:hanging="2126"/>
        <w:rPr>
          <w:rFonts w:ascii="Arial" w:hAnsi="Arial" w:cs="Arial"/>
          <w:sz w:val="20"/>
        </w:rPr>
      </w:pPr>
    </w:p>
    <w:p w14:paraId="23D79712" w14:textId="317FEC46" w:rsidR="0014319A" w:rsidRPr="00C84440" w:rsidRDefault="0014319A" w:rsidP="00FB583B">
      <w:pPr>
        <w:tabs>
          <w:tab w:val="left" w:pos="2127"/>
        </w:tabs>
        <w:spacing w:after="40"/>
        <w:ind w:left="2127" w:hanging="2127"/>
        <w:rPr>
          <w:rFonts w:ascii="Arial" w:hAnsi="Arial" w:cs="Arial"/>
          <w:b/>
          <w:bCs/>
          <w:sz w:val="18"/>
        </w:rPr>
      </w:pPr>
      <w:r w:rsidRPr="00C84440">
        <w:rPr>
          <w:rStyle w:val="st"/>
          <w:rFonts w:ascii="Arial" w:hAnsi="Arial" w:cs="Arial"/>
          <w:b/>
          <w:sz w:val="20"/>
        </w:rPr>
        <w:t>K</w:t>
      </w:r>
      <w:r w:rsidRPr="00C84440">
        <w:rPr>
          <w:rStyle w:val="st"/>
          <w:rFonts w:ascii="Arial" w:hAnsi="Arial" w:cs="Arial"/>
          <w:sz w:val="20"/>
        </w:rPr>
        <w:t>OTEC</w:t>
      </w:r>
      <w:r w:rsidRPr="00C84440">
        <w:rPr>
          <w:rStyle w:val="st"/>
          <w:rFonts w:ascii="Arial" w:hAnsi="Arial" w:cs="Arial"/>
          <w:sz w:val="20"/>
        </w:rPr>
        <w:tab/>
        <w:t>Korea Technology Finance Corporation</w:t>
      </w:r>
    </w:p>
    <w:p w14:paraId="20CB5134" w14:textId="77777777" w:rsidR="0014319A" w:rsidRDefault="0014319A" w:rsidP="00FB583B">
      <w:pPr>
        <w:tabs>
          <w:tab w:val="left" w:pos="2127"/>
        </w:tabs>
        <w:spacing w:after="40"/>
        <w:ind w:left="2127" w:hanging="2127"/>
        <w:rPr>
          <w:rFonts w:ascii="Arial" w:hAnsi="Arial" w:cs="Arial"/>
          <w:b/>
          <w:bCs/>
          <w:sz w:val="20"/>
        </w:rPr>
      </w:pPr>
    </w:p>
    <w:p w14:paraId="5BE334FF"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L</w:t>
      </w:r>
      <w:r w:rsidRPr="00F10C59">
        <w:rPr>
          <w:rFonts w:ascii="Arial" w:hAnsi="Arial" w:cs="Arial"/>
          <w:sz w:val="20"/>
        </w:rPr>
        <w:t>DCs</w:t>
      </w:r>
      <w:r w:rsidRPr="00F10C59">
        <w:rPr>
          <w:rFonts w:ascii="Arial" w:hAnsi="Arial" w:cs="Arial"/>
          <w:sz w:val="20"/>
        </w:rPr>
        <w:tab/>
        <w:t>Least Developed Countries</w:t>
      </w:r>
    </w:p>
    <w:p w14:paraId="3675003E" w14:textId="77777777" w:rsidR="00FB583B" w:rsidRPr="00F10C59" w:rsidRDefault="00FB583B" w:rsidP="00FB583B">
      <w:pPr>
        <w:tabs>
          <w:tab w:val="left" w:pos="2127"/>
        </w:tabs>
        <w:spacing w:after="180"/>
        <w:ind w:left="2126" w:hanging="2126"/>
        <w:rPr>
          <w:rFonts w:ascii="Arial" w:hAnsi="Arial" w:cs="Arial"/>
          <w:sz w:val="20"/>
        </w:rPr>
      </w:pPr>
    </w:p>
    <w:p w14:paraId="419709B0" w14:textId="77777777" w:rsidR="00FB583B" w:rsidRPr="00F10C59" w:rsidRDefault="00FB583B" w:rsidP="00FB583B">
      <w:pPr>
        <w:tabs>
          <w:tab w:val="left" w:pos="2127"/>
        </w:tabs>
        <w:spacing w:after="40"/>
        <w:ind w:left="2127" w:hanging="2127"/>
        <w:rPr>
          <w:rFonts w:ascii="Arial" w:hAnsi="Arial" w:cs="Arial"/>
          <w:sz w:val="20"/>
        </w:rPr>
      </w:pPr>
      <w:r w:rsidRPr="00FF1219">
        <w:rPr>
          <w:rFonts w:ascii="Arial" w:hAnsi="Arial" w:cs="Arial"/>
          <w:b/>
          <w:bCs/>
          <w:sz w:val="20"/>
        </w:rPr>
        <w:t>M</w:t>
      </w:r>
      <w:r w:rsidRPr="00F10C59">
        <w:rPr>
          <w:rFonts w:ascii="Arial" w:hAnsi="Arial" w:cs="Arial"/>
          <w:sz w:val="20"/>
        </w:rPr>
        <w:t>DGs</w:t>
      </w:r>
      <w:r w:rsidRPr="00F10C59">
        <w:rPr>
          <w:rFonts w:ascii="Arial" w:hAnsi="Arial" w:cs="Arial"/>
          <w:sz w:val="20"/>
        </w:rPr>
        <w:tab/>
      </w:r>
      <w:proofErr w:type="spellStart"/>
      <w:r w:rsidRPr="00F10C59">
        <w:rPr>
          <w:rFonts w:ascii="Arial" w:hAnsi="Arial" w:cs="Arial"/>
          <w:sz w:val="20"/>
        </w:rPr>
        <w:t>Millenium</w:t>
      </w:r>
      <w:proofErr w:type="spellEnd"/>
      <w:r w:rsidRPr="00F10C59">
        <w:rPr>
          <w:rFonts w:ascii="Arial" w:hAnsi="Arial" w:cs="Arial"/>
          <w:sz w:val="20"/>
        </w:rPr>
        <w:t xml:space="preserve"> Development Goals</w:t>
      </w:r>
    </w:p>
    <w:p w14:paraId="5A5B837F"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MGS</w:t>
      </w:r>
      <w:r>
        <w:rPr>
          <w:rFonts w:ascii="Arial" w:hAnsi="Arial" w:cs="Arial"/>
          <w:sz w:val="20"/>
        </w:rPr>
        <w:tab/>
      </w:r>
      <w:smartTag w:uri="urn:schemas-microsoft-com:office:smarttags" w:element="place">
        <w:smartTag w:uri="urn:schemas-microsoft-com:office:smarttags" w:element="State">
          <w:r w:rsidRPr="00AC0AF8">
            <w:rPr>
              <w:rFonts w:ascii="Arial" w:hAnsi="Arial" w:cs="Arial"/>
              <w:sz w:val="20"/>
            </w:rPr>
            <w:t>Madrid</w:t>
          </w:r>
        </w:smartTag>
      </w:smartTag>
      <w:r w:rsidRPr="00AC0AF8">
        <w:rPr>
          <w:rFonts w:ascii="Arial" w:hAnsi="Arial" w:cs="Arial"/>
          <w:sz w:val="20"/>
        </w:rPr>
        <w:t xml:space="preserve"> Goods and Services Manager</w:t>
      </w:r>
    </w:p>
    <w:p w14:paraId="03D081D2"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MTSP</w:t>
      </w:r>
      <w:r w:rsidRPr="00F10C59">
        <w:rPr>
          <w:rFonts w:ascii="Arial" w:hAnsi="Arial" w:cs="Arial"/>
          <w:sz w:val="20"/>
        </w:rPr>
        <w:tab/>
        <w:t>Medium Term Strategic Plan</w:t>
      </w:r>
    </w:p>
    <w:p w14:paraId="7111113B" w14:textId="77777777" w:rsidR="00FB583B" w:rsidRPr="00F10C59" w:rsidRDefault="00FB583B" w:rsidP="00FB583B">
      <w:pPr>
        <w:tabs>
          <w:tab w:val="left" w:pos="2127"/>
        </w:tabs>
        <w:spacing w:after="180"/>
        <w:ind w:left="2126" w:hanging="2126"/>
        <w:rPr>
          <w:rFonts w:ascii="Arial" w:hAnsi="Arial" w:cs="Arial"/>
          <w:sz w:val="20"/>
        </w:rPr>
      </w:pPr>
    </w:p>
    <w:p w14:paraId="36CEEA43" w14:textId="77777777" w:rsidR="00FB583B" w:rsidRPr="003D313D" w:rsidRDefault="00FB583B" w:rsidP="00FB583B">
      <w:pPr>
        <w:tabs>
          <w:tab w:val="left" w:pos="2127"/>
        </w:tabs>
        <w:spacing w:after="40"/>
        <w:ind w:left="2127" w:hanging="2127"/>
        <w:rPr>
          <w:rFonts w:ascii="Arial" w:hAnsi="Arial" w:cs="Arial"/>
          <w:sz w:val="20"/>
        </w:rPr>
      </w:pPr>
      <w:r w:rsidRPr="003D313D">
        <w:rPr>
          <w:rFonts w:ascii="Arial" w:hAnsi="Arial" w:cs="Arial"/>
          <w:b/>
          <w:bCs/>
          <w:sz w:val="20"/>
        </w:rPr>
        <w:t>N</w:t>
      </w:r>
      <w:r w:rsidRPr="003D313D">
        <w:rPr>
          <w:rFonts w:ascii="Arial" w:hAnsi="Arial" w:cs="Arial"/>
          <w:sz w:val="20"/>
        </w:rPr>
        <w:t>GOs</w:t>
      </w:r>
      <w:r w:rsidRPr="003D313D">
        <w:rPr>
          <w:rFonts w:ascii="Arial" w:hAnsi="Arial" w:cs="Arial"/>
          <w:sz w:val="20"/>
        </w:rPr>
        <w:tab/>
        <w:t>non-governmental organizations</w:t>
      </w:r>
    </w:p>
    <w:p w14:paraId="3AFDE07C" w14:textId="77777777" w:rsidR="00FB583B" w:rsidRPr="003D313D" w:rsidRDefault="00FB583B" w:rsidP="00FB583B">
      <w:pPr>
        <w:tabs>
          <w:tab w:val="left" w:pos="2127"/>
        </w:tabs>
        <w:spacing w:after="180"/>
        <w:ind w:left="2126" w:hanging="2126"/>
        <w:rPr>
          <w:rFonts w:ascii="Arial" w:hAnsi="Arial" w:cs="Arial"/>
          <w:sz w:val="20"/>
        </w:rPr>
      </w:pPr>
    </w:p>
    <w:p w14:paraId="7F88CD4C" w14:textId="77777777" w:rsidR="00FB583B" w:rsidRPr="00F10C59" w:rsidRDefault="00FB583B" w:rsidP="00FB583B">
      <w:pPr>
        <w:tabs>
          <w:tab w:val="left" w:pos="2127"/>
        </w:tabs>
        <w:spacing w:after="40"/>
        <w:ind w:left="2127" w:hanging="2127"/>
        <w:rPr>
          <w:rFonts w:ascii="Arial" w:hAnsi="Arial" w:cs="Arial"/>
          <w:sz w:val="20"/>
        </w:rPr>
      </w:pPr>
      <w:r w:rsidRPr="00C84440">
        <w:rPr>
          <w:rFonts w:ascii="Arial" w:hAnsi="Arial" w:cs="Arial"/>
          <w:b/>
          <w:sz w:val="20"/>
        </w:rPr>
        <w:lastRenderedPageBreak/>
        <w:t>O</w:t>
      </w:r>
      <w:r w:rsidRPr="00F10C59">
        <w:rPr>
          <w:rFonts w:ascii="Arial" w:hAnsi="Arial" w:cs="Arial"/>
          <w:sz w:val="20"/>
        </w:rPr>
        <w:t>HIM</w:t>
      </w:r>
      <w:r w:rsidRPr="00F10C59">
        <w:rPr>
          <w:rFonts w:ascii="Arial" w:hAnsi="Arial" w:cs="Arial"/>
          <w:sz w:val="20"/>
        </w:rPr>
        <w:tab/>
        <w:t>Office for Harmonization in the Internal Market (Community Trademarks)</w:t>
      </w:r>
    </w:p>
    <w:p w14:paraId="2639CC36" w14:textId="45235672" w:rsidR="00FB583B" w:rsidRDefault="002B31EF" w:rsidP="00C84440">
      <w:pPr>
        <w:tabs>
          <w:tab w:val="left" w:pos="2127"/>
        </w:tabs>
        <w:spacing w:after="40"/>
        <w:ind w:left="2127" w:hanging="2127"/>
        <w:rPr>
          <w:rFonts w:ascii="Arial" w:hAnsi="Arial" w:cs="Arial"/>
          <w:color w:val="000000"/>
          <w:sz w:val="20"/>
          <w:szCs w:val="20"/>
        </w:rPr>
      </w:pPr>
      <w:r w:rsidRPr="00B30215">
        <w:rPr>
          <w:rFonts w:ascii="Arial" w:hAnsi="Arial" w:cs="Arial"/>
          <w:bCs/>
          <w:sz w:val="20"/>
        </w:rPr>
        <w:t>OCR</w:t>
      </w:r>
      <w:r>
        <w:rPr>
          <w:rFonts w:ascii="Arial" w:hAnsi="Arial" w:cs="Arial"/>
          <w:b/>
          <w:bCs/>
          <w:sz w:val="20"/>
        </w:rPr>
        <w:tab/>
      </w:r>
      <w:r w:rsidRPr="009B4A78">
        <w:rPr>
          <w:rFonts w:ascii="Arial" w:hAnsi="Arial" w:cs="Arial"/>
          <w:color w:val="000000"/>
          <w:sz w:val="20"/>
          <w:szCs w:val="20"/>
        </w:rPr>
        <w:t>Optical Character Recognition (OCR</w:t>
      </w:r>
    </w:p>
    <w:p w14:paraId="77B83F15" w14:textId="77777777" w:rsidR="002B31EF" w:rsidRPr="00B30215" w:rsidRDefault="002B31EF" w:rsidP="00B30215">
      <w:pPr>
        <w:tabs>
          <w:tab w:val="left" w:pos="2127"/>
        </w:tabs>
        <w:spacing w:after="180"/>
        <w:ind w:left="2126" w:hanging="2126"/>
        <w:rPr>
          <w:rFonts w:ascii="Arial" w:hAnsi="Arial" w:cs="Arial"/>
          <w:sz w:val="20"/>
        </w:rPr>
      </w:pPr>
    </w:p>
    <w:p w14:paraId="125BF8B4" w14:textId="77777777" w:rsidR="00FB583B" w:rsidRPr="00033D90" w:rsidRDefault="00FB583B" w:rsidP="00FB583B">
      <w:pPr>
        <w:tabs>
          <w:tab w:val="left" w:pos="2127"/>
        </w:tabs>
        <w:spacing w:after="40"/>
        <w:ind w:left="2127" w:hanging="2127"/>
        <w:rPr>
          <w:rFonts w:ascii="Arial" w:hAnsi="Arial" w:cs="Arial"/>
          <w:sz w:val="20"/>
        </w:rPr>
      </w:pPr>
      <w:r w:rsidRPr="00033D90">
        <w:rPr>
          <w:rFonts w:ascii="Arial" w:hAnsi="Arial" w:cs="Arial"/>
          <w:b/>
          <w:bCs/>
          <w:sz w:val="20"/>
        </w:rPr>
        <w:t>P</w:t>
      </w:r>
      <w:r w:rsidRPr="00033D90">
        <w:rPr>
          <w:rFonts w:ascii="Arial" w:hAnsi="Arial" w:cs="Arial"/>
          <w:sz w:val="20"/>
        </w:rPr>
        <w:t>CD</w:t>
      </w:r>
      <w:r w:rsidRPr="00033D90">
        <w:rPr>
          <w:rFonts w:ascii="Arial" w:hAnsi="Arial" w:cs="Arial"/>
          <w:sz w:val="20"/>
        </w:rPr>
        <w:tab/>
        <w:t>Procurement Services Division</w:t>
      </w:r>
    </w:p>
    <w:p w14:paraId="6D60D6FF"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PCT</w:t>
      </w:r>
      <w:r w:rsidRPr="00F10C59">
        <w:rPr>
          <w:rFonts w:ascii="Arial" w:hAnsi="Arial" w:cs="Arial"/>
          <w:sz w:val="20"/>
        </w:rPr>
        <w:tab/>
        <w:t>Patent Cooperation Treaty</w:t>
      </w:r>
    </w:p>
    <w:p w14:paraId="3724EB06"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PLR</w:t>
      </w:r>
      <w:r>
        <w:rPr>
          <w:rFonts w:ascii="Arial" w:hAnsi="Arial" w:cs="Arial"/>
          <w:sz w:val="20"/>
        </w:rPr>
        <w:tab/>
        <w:t>Patent Landscape Reports</w:t>
      </w:r>
    </w:p>
    <w:p w14:paraId="1E591EB9"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PLT</w:t>
      </w:r>
      <w:r w:rsidRPr="00F10C59">
        <w:rPr>
          <w:rFonts w:ascii="Arial" w:hAnsi="Arial" w:cs="Arial"/>
          <w:sz w:val="20"/>
        </w:rPr>
        <w:tab/>
        <w:t>Patent Law Treaty</w:t>
      </w:r>
    </w:p>
    <w:p w14:paraId="5BFC550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PMSDS</w:t>
      </w:r>
      <w:r w:rsidRPr="00F10C59">
        <w:rPr>
          <w:rFonts w:ascii="Arial" w:hAnsi="Arial" w:cs="Arial"/>
          <w:sz w:val="20"/>
        </w:rPr>
        <w:tab/>
      </w:r>
      <w:r w:rsidRPr="00F10C59">
        <w:rPr>
          <w:rFonts w:ascii="Arial" w:hAnsi="Arial" w:cs="Arial"/>
          <w:snapToGrid w:val="0"/>
          <w:sz w:val="20"/>
        </w:rPr>
        <w:t>Performance Management and Staff Development System</w:t>
      </w:r>
    </w:p>
    <w:p w14:paraId="7A55F13C" w14:textId="77777777" w:rsidR="00FB583B" w:rsidRPr="00F10C59" w:rsidRDefault="00FB583B" w:rsidP="00FB583B">
      <w:pPr>
        <w:tabs>
          <w:tab w:val="left" w:pos="2127"/>
        </w:tabs>
        <w:spacing w:after="180"/>
        <w:ind w:left="2126" w:hanging="2126"/>
        <w:rPr>
          <w:rFonts w:ascii="Arial" w:hAnsi="Arial" w:cs="Arial"/>
          <w:sz w:val="20"/>
        </w:rPr>
      </w:pPr>
      <w:r>
        <w:rPr>
          <w:rFonts w:ascii="Arial" w:hAnsi="Arial" w:cs="Arial"/>
          <w:sz w:val="20"/>
        </w:rPr>
        <w:t>PPR</w:t>
      </w:r>
      <w:r>
        <w:rPr>
          <w:rFonts w:ascii="Arial" w:hAnsi="Arial" w:cs="Arial"/>
          <w:sz w:val="20"/>
        </w:rPr>
        <w:tab/>
        <w:t>Program Performance Report</w:t>
      </w:r>
    </w:p>
    <w:p w14:paraId="4E147DE3" w14:textId="77777777" w:rsidR="00FB583B" w:rsidRDefault="00FB583B" w:rsidP="00FB583B">
      <w:pPr>
        <w:tabs>
          <w:tab w:val="left" w:pos="2127"/>
        </w:tabs>
        <w:spacing w:after="40"/>
        <w:ind w:left="2127" w:hanging="2127"/>
        <w:rPr>
          <w:rFonts w:ascii="Arial" w:hAnsi="Arial" w:cs="Arial"/>
          <w:b/>
          <w:bCs/>
          <w:sz w:val="20"/>
        </w:rPr>
      </w:pPr>
    </w:p>
    <w:p w14:paraId="032E474F"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R</w:t>
      </w:r>
      <w:r w:rsidRPr="00F10C59">
        <w:rPr>
          <w:rFonts w:ascii="Arial" w:hAnsi="Arial" w:cs="Arial"/>
          <w:sz w:val="20"/>
        </w:rPr>
        <w:t>BM</w:t>
      </w:r>
      <w:r w:rsidRPr="00F10C59">
        <w:rPr>
          <w:rFonts w:ascii="Arial" w:hAnsi="Arial" w:cs="Arial"/>
          <w:sz w:val="20"/>
        </w:rPr>
        <w:tab/>
        <w:t>Results-based Management</w:t>
      </w:r>
    </w:p>
    <w:p w14:paraId="21724D03"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R&amp;D</w:t>
      </w:r>
      <w:r w:rsidRPr="00F10C59">
        <w:rPr>
          <w:rFonts w:ascii="Arial" w:hAnsi="Arial" w:cs="Arial"/>
          <w:sz w:val="20"/>
        </w:rPr>
        <w:tab/>
        <w:t>research and development</w:t>
      </w:r>
    </w:p>
    <w:p w14:paraId="39011F1E"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RFPs</w:t>
      </w:r>
      <w:r>
        <w:rPr>
          <w:rFonts w:ascii="Arial" w:hAnsi="Arial" w:cs="Arial"/>
          <w:sz w:val="20"/>
        </w:rPr>
        <w:tab/>
        <w:t>Requests for Proposals</w:t>
      </w:r>
    </w:p>
    <w:p w14:paraId="7B13A720"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RO</w:t>
      </w:r>
      <w:r w:rsidRPr="00F10C59">
        <w:rPr>
          <w:rFonts w:ascii="Arial" w:hAnsi="Arial" w:cs="Arial"/>
          <w:sz w:val="20"/>
        </w:rPr>
        <w:tab/>
        <w:t>Receiving Office</w:t>
      </w:r>
    </w:p>
    <w:p w14:paraId="3BFF5FAD" w14:textId="77777777" w:rsidR="00FB583B" w:rsidRPr="00F10C59" w:rsidRDefault="00FB583B" w:rsidP="00FB583B">
      <w:pPr>
        <w:tabs>
          <w:tab w:val="left" w:pos="2127"/>
        </w:tabs>
        <w:spacing w:after="180"/>
        <w:ind w:left="2126" w:hanging="2126"/>
        <w:rPr>
          <w:rFonts w:ascii="Arial" w:hAnsi="Arial" w:cs="Arial"/>
          <w:sz w:val="20"/>
        </w:rPr>
      </w:pPr>
    </w:p>
    <w:p w14:paraId="4F063CA6" w14:textId="77777777" w:rsidR="00FB583B" w:rsidRPr="00F10C59" w:rsidRDefault="00FB583B" w:rsidP="00FB583B">
      <w:pPr>
        <w:tabs>
          <w:tab w:val="left" w:pos="2127"/>
        </w:tabs>
        <w:spacing w:after="40"/>
        <w:ind w:left="2127" w:hanging="2127"/>
        <w:rPr>
          <w:rFonts w:ascii="Arial" w:hAnsi="Arial" w:cs="Arial"/>
          <w:sz w:val="20"/>
        </w:rPr>
      </w:pPr>
      <w:r w:rsidRPr="00FF1219">
        <w:rPr>
          <w:rFonts w:ascii="Arial" w:hAnsi="Arial" w:cs="Arial"/>
          <w:b/>
          <w:bCs/>
          <w:sz w:val="20"/>
        </w:rPr>
        <w:t>S</w:t>
      </w:r>
      <w:r w:rsidRPr="00F10C59">
        <w:rPr>
          <w:rFonts w:ascii="Arial" w:hAnsi="Arial" w:cs="Arial"/>
          <w:sz w:val="20"/>
        </w:rPr>
        <w:t>CCR</w:t>
      </w:r>
      <w:r w:rsidRPr="00F10C59">
        <w:rPr>
          <w:rFonts w:ascii="Arial" w:hAnsi="Arial" w:cs="Arial"/>
          <w:sz w:val="20"/>
        </w:rPr>
        <w:tab/>
        <w:t>Standing Committee on Copyright and Related Rights</w:t>
      </w:r>
    </w:p>
    <w:p w14:paraId="3D518D1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SCP</w:t>
      </w:r>
      <w:r w:rsidRPr="00F10C59">
        <w:rPr>
          <w:rFonts w:ascii="Arial" w:hAnsi="Arial" w:cs="Arial"/>
          <w:sz w:val="20"/>
        </w:rPr>
        <w:tab/>
        <w:t>Standing Committee on the Law of Patents</w:t>
      </w:r>
    </w:p>
    <w:p w14:paraId="7C9F5F1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SCT</w:t>
      </w:r>
      <w:r w:rsidRPr="00F10C59">
        <w:rPr>
          <w:rFonts w:ascii="Arial" w:hAnsi="Arial" w:cs="Arial"/>
          <w:sz w:val="20"/>
        </w:rPr>
        <w:tab/>
        <w:t>Standing Committee on the Law of Trademarks, Industrial Designs and Geographical Indications</w:t>
      </w:r>
    </w:p>
    <w:p w14:paraId="5AC53C3E" w14:textId="59D118B7" w:rsidR="002B31EF" w:rsidRDefault="002B31EF" w:rsidP="00FB583B">
      <w:pPr>
        <w:tabs>
          <w:tab w:val="left" w:pos="2127"/>
        </w:tabs>
        <w:spacing w:after="40"/>
        <w:ind w:left="2127" w:hanging="2127"/>
        <w:rPr>
          <w:rFonts w:ascii="Arial" w:hAnsi="Arial" w:cs="Arial"/>
          <w:sz w:val="20"/>
        </w:rPr>
      </w:pPr>
      <w:r>
        <w:rPr>
          <w:rFonts w:ascii="Arial" w:hAnsi="Arial" w:cs="Arial"/>
          <w:sz w:val="20"/>
        </w:rPr>
        <w:t>SDG</w:t>
      </w:r>
      <w:r>
        <w:rPr>
          <w:rFonts w:ascii="Arial" w:hAnsi="Arial" w:cs="Arial"/>
          <w:sz w:val="20"/>
        </w:rPr>
        <w:tab/>
        <w:t>Sustainable Development Goals</w:t>
      </w:r>
    </w:p>
    <w:p w14:paraId="090FA8C3" w14:textId="331F7B7C" w:rsidR="00FB583B" w:rsidRDefault="00FB583B" w:rsidP="00FB583B">
      <w:pPr>
        <w:tabs>
          <w:tab w:val="left" w:pos="2127"/>
        </w:tabs>
        <w:spacing w:after="40"/>
        <w:ind w:left="2127" w:hanging="2127"/>
        <w:rPr>
          <w:rFonts w:ascii="Arial" w:hAnsi="Arial" w:cs="Arial"/>
          <w:sz w:val="20"/>
        </w:rPr>
      </w:pPr>
      <w:r>
        <w:rPr>
          <w:rFonts w:ascii="Arial" w:hAnsi="Arial" w:cs="Arial"/>
          <w:sz w:val="20"/>
        </w:rPr>
        <w:t>SLC</w:t>
      </w:r>
      <w:r>
        <w:rPr>
          <w:rFonts w:ascii="Arial" w:hAnsi="Arial" w:cs="Arial"/>
          <w:sz w:val="20"/>
        </w:rPr>
        <w:tab/>
        <w:t>Special Labor Contract</w:t>
      </w:r>
    </w:p>
    <w:p w14:paraId="38C9E52E"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SMEs</w:t>
      </w:r>
      <w:r>
        <w:rPr>
          <w:rFonts w:ascii="Arial" w:hAnsi="Arial" w:cs="Arial"/>
          <w:sz w:val="20"/>
        </w:rPr>
        <w:tab/>
        <w:t>small and medium sized enterprises</w:t>
      </w:r>
    </w:p>
    <w:p w14:paraId="3469F339"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SSA</w:t>
      </w:r>
      <w:r>
        <w:rPr>
          <w:rFonts w:ascii="Arial" w:hAnsi="Arial" w:cs="Arial"/>
          <w:sz w:val="20"/>
        </w:rPr>
        <w:tab/>
        <w:t>Special Service Agreements</w:t>
      </w:r>
    </w:p>
    <w:p w14:paraId="5FA49F8E" w14:textId="77777777" w:rsidR="00FB583B" w:rsidRDefault="00FB583B" w:rsidP="00FB583B">
      <w:pPr>
        <w:tabs>
          <w:tab w:val="left" w:pos="2127"/>
        </w:tabs>
        <w:spacing w:after="40"/>
        <w:ind w:left="2127" w:hanging="2127"/>
        <w:rPr>
          <w:rFonts w:ascii="Arial" w:hAnsi="Arial" w:cs="Arial"/>
          <w:sz w:val="20"/>
        </w:rPr>
      </w:pPr>
      <w:r w:rsidRPr="00F10C59">
        <w:rPr>
          <w:rFonts w:ascii="Arial" w:hAnsi="Arial" w:cs="Arial"/>
          <w:sz w:val="20"/>
        </w:rPr>
        <w:t>SRP</w:t>
      </w:r>
      <w:r w:rsidRPr="00F10C59">
        <w:rPr>
          <w:rFonts w:ascii="Arial" w:hAnsi="Arial" w:cs="Arial"/>
          <w:sz w:val="20"/>
        </w:rPr>
        <w:tab/>
        <w:t>Strategic Realignment Program</w:t>
      </w:r>
    </w:p>
    <w:p w14:paraId="45AE080F" w14:textId="407810A6" w:rsidR="002B31EF" w:rsidRPr="00F10C59" w:rsidRDefault="002B31EF" w:rsidP="00FB583B">
      <w:pPr>
        <w:tabs>
          <w:tab w:val="left" w:pos="2127"/>
        </w:tabs>
        <w:spacing w:after="40"/>
        <w:ind w:left="2127" w:hanging="2127"/>
        <w:rPr>
          <w:rFonts w:ascii="Arial" w:hAnsi="Arial" w:cs="Arial"/>
          <w:sz w:val="20"/>
        </w:rPr>
      </w:pPr>
      <w:r>
        <w:rPr>
          <w:rFonts w:ascii="Arial" w:hAnsi="Arial" w:cs="Arial"/>
          <w:sz w:val="20"/>
        </w:rPr>
        <w:t>SRR</w:t>
      </w:r>
      <w:r>
        <w:rPr>
          <w:rFonts w:ascii="Arial" w:hAnsi="Arial" w:cs="Arial"/>
          <w:sz w:val="20"/>
        </w:rPr>
        <w:tab/>
        <w:t>Staff Regulations and Rules</w:t>
      </w:r>
    </w:p>
    <w:p w14:paraId="498A0039" w14:textId="77777777" w:rsidR="00FB583B" w:rsidRPr="00F10C59" w:rsidRDefault="00FB583B" w:rsidP="00FB583B">
      <w:pPr>
        <w:tabs>
          <w:tab w:val="left" w:pos="2127"/>
        </w:tabs>
        <w:spacing w:after="180"/>
        <w:ind w:left="2126" w:hanging="2126"/>
        <w:rPr>
          <w:rFonts w:ascii="Arial" w:hAnsi="Arial" w:cs="Arial"/>
          <w:sz w:val="20"/>
        </w:rPr>
      </w:pPr>
    </w:p>
    <w:p w14:paraId="4E376B4A" w14:textId="77777777" w:rsidR="00FB583B" w:rsidRPr="00B30215" w:rsidRDefault="00FB583B" w:rsidP="00FB583B">
      <w:pPr>
        <w:keepNext/>
        <w:tabs>
          <w:tab w:val="left" w:pos="2127"/>
        </w:tabs>
        <w:spacing w:after="40"/>
        <w:ind w:left="2126" w:hanging="2126"/>
        <w:rPr>
          <w:rFonts w:ascii="Arial" w:hAnsi="Arial" w:cs="Arial"/>
          <w:b/>
          <w:bCs/>
          <w:sz w:val="20"/>
        </w:rPr>
      </w:pPr>
      <w:r w:rsidRPr="00B30215">
        <w:rPr>
          <w:rFonts w:ascii="Arial" w:hAnsi="Arial" w:cs="Arial"/>
          <w:b/>
          <w:bCs/>
          <w:sz w:val="20"/>
        </w:rPr>
        <w:t>T</w:t>
      </w:r>
      <w:r w:rsidRPr="00B30215">
        <w:rPr>
          <w:rFonts w:ascii="Arial" w:hAnsi="Arial" w:cs="Arial"/>
          <w:sz w:val="20"/>
        </w:rPr>
        <w:t>A</w:t>
      </w:r>
      <w:r w:rsidRPr="00B30215">
        <w:rPr>
          <w:rFonts w:ascii="Arial" w:hAnsi="Arial" w:cs="Arial"/>
          <w:sz w:val="20"/>
        </w:rPr>
        <w:tab/>
        <w:t>Travel Authorization</w:t>
      </w:r>
    </w:p>
    <w:p w14:paraId="7F633E80" w14:textId="5EE3A2D4" w:rsidR="00371BF2" w:rsidRDefault="00371BF2" w:rsidP="00FB583B">
      <w:pPr>
        <w:keepNext/>
        <w:tabs>
          <w:tab w:val="left" w:pos="2127"/>
        </w:tabs>
        <w:spacing w:after="40"/>
        <w:ind w:left="2126" w:hanging="2126"/>
        <w:rPr>
          <w:rFonts w:ascii="Arial" w:hAnsi="Arial" w:cs="Arial"/>
          <w:sz w:val="20"/>
        </w:rPr>
      </w:pPr>
      <w:r>
        <w:rPr>
          <w:rFonts w:ascii="Arial" w:hAnsi="Arial" w:cs="Arial"/>
          <w:sz w:val="20"/>
        </w:rPr>
        <w:t>TAG</w:t>
      </w:r>
      <w:r>
        <w:rPr>
          <w:rFonts w:ascii="Arial" w:hAnsi="Arial" w:cs="Arial"/>
          <w:sz w:val="20"/>
        </w:rPr>
        <w:tab/>
        <w:t>Transparency, Accountability and Governance</w:t>
      </w:r>
    </w:p>
    <w:p w14:paraId="3F1BD4E4" w14:textId="77777777" w:rsidR="00FB583B" w:rsidRPr="00500901" w:rsidRDefault="00FB583B" w:rsidP="00FB583B">
      <w:pPr>
        <w:keepNext/>
        <w:tabs>
          <w:tab w:val="left" w:pos="2127"/>
        </w:tabs>
        <w:spacing w:after="40"/>
        <w:ind w:left="2126" w:hanging="2126"/>
        <w:rPr>
          <w:rFonts w:ascii="Arial" w:hAnsi="Arial" w:cs="Arial"/>
          <w:sz w:val="20"/>
        </w:rPr>
      </w:pPr>
      <w:r w:rsidRPr="00500901">
        <w:rPr>
          <w:rFonts w:ascii="Arial" w:hAnsi="Arial" w:cs="Arial"/>
          <w:sz w:val="20"/>
        </w:rPr>
        <w:t>TCEs</w:t>
      </w:r>
      <w:r w:rsidRPr="00500901">
        <w:rPr>
          <w:rFonts w:ascii="Arial" w:hAnsi="Arial" w:cs="Arial"/>
          <w:sz w:val="20"/>
        </w:rPr>
        <w:tab/>
        <w:t>Traditional Cultural Expressions/Folklore</w:t>
      </w:r>
    </w:p>
    <w:p w14:paraId="29C314F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TIGAR</w:t>
      </w:r>
      <w:r w:rsidRPr="00F10C59">
        <w:rPr>
          <w:rFonts w:ascii="Arial" w:hAnsi="Arial" w:cs="Arial"/>
          <w:sz w:val="20"/>
        </w:rPr>
        <w:tab/>
        <w:t xml:space="preserve">Trusted Intermediary Global </w:t>
      </w:r>
      <w:r>
        <w:rPr>
          <w:rFonts w:ascii="Arial" w:hAnsi="Arial" w:cs="Arial"/>
          <w:sz w:val="20"/>
        </w:rPr>
        <w:t>Accessible</w:t>
      </w:r>
      <w:r w:rsidRPr="00F10C59">
        <w:rPr>
          <w:rFonts w:ascii="Arial" w:hAnsi="Arial" w:cs="Arial"/>
          <w:sz w:val="20"/>
        </w:rPr>
        <w:t xml:space="preserve"> Resources</w:t>
      </w:r>
    </w:p>
    <w:p w14:paraId="3C07C49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TISCs</w:t>
      </w:r>
      <w:r w:rsidRPr="00F10C59">
        <w:rPr>
          <w:rFonts w:ascii="Arial" w:hAnsi="Arial" w:cs="Arial"/>
          <w:sz w:val="20"/>
        </w:rPr>
        <w:tab/>
        <w:t>Technology Innovation Support Centers</w:t>
      </w:r>
    </w:p>
    <w:p w14:paraId="110D703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TK</w:t>
      </w:r>
      <w:r w:rsidRPr="00F10C59">
        <w:rPr>
          <w:rFonts w:ascii="Arial" w:hAnsi="Arial" w:cs="Arial"/>
          <w:sz w:val="20"/>
        </w:rPr>
        <w:tab/>
        <w:t>Traditional Knowledge</w:t>
      </w:r>
    </w:p>
    <w:p w14:paraId="4B96603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TTO</w:t>
      </w:r>
      <w:r w:rsidRPr="00F10C59">
        <w:rPr>
          <w:rFonts w:ascii="Arial" w:hAnsi="Arial" w:cs="Arial"/>
          <w:sz w:val="20"/>
        </w:rPr>
        <w:tab/>
        <w:t>Technology Transfer Office</w:t>
      </w:r>
    </w:p>
    <w:p w14:paraId="62F527D1" w14:textId="77777777" w:rsidR="00FB583B" w:rsidRPr="00F10C59" w:rsidRDefault="00FB583B" w:rsidP="00FB583B">
      <w:pPr>
        <w:tabs>
          <w:tab w:val="left" w:pos="2127"/>
        </w:tabs>
        <w:spacing w:after="180"/>
        <w:ind w:left="2126" w:hanging="2126"/>
        <w:rPr>
          <w:rFonts w:ascii="Arial" w:hAnsi="Arial" w:cs="Arial"/>
          <w:sz w:val="20"/>
        </w:rPr>
      </w:pPr>
    </w:p>
    <w:p w14:paraId="72056BF7"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U</w:t>
      </w:r>
      <w:r w:rsidRPr="00F10C59">
        <w:rPr>
          <w:rFonts w:ascii="Arial" w:hAnsi="Arial" w:cs="Arial"/>
          <w:sz w:val="20"/>
        </w:rPr>
        <w:t>DRP</w:t>
      </w:r>
      <w:r w:rsidRPr="00F10C59">
        <w:rPr>
          <w:rFonts w:ascii="Arial" w:hAnsi="Arial" w:cs="Arial"/>
          <w:sz w:val="20"/>
        </w:rPr>
        <w:tab/>
        <w:t>Uniform Domain Name Dispute Resolution Policy</w:t>
      </w:r>
    </w:p>
    <w:p w14:paraId="550BEA4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w:t>
      </w:r>
      <w:r w:rsidRPr="00F10C59">
        <w:rPr>
          <w:rFonts w:ascii="Arial" w:hAnsi="Arial" w:cs="Arial"/>
          <w:sz w:val="20"/>
        </w:rPr>
        <w:tab/>
        <w:t>United Nations</w:t>
      </w:r>
    </w:p>
    <w:p w14:paraId="45276FE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UNCTAD</w:t>
      </w:r>
      <w:r w:rsidRPr="00F10C59">
        <w:rPr>
          <w:rFonts w:ascii="Arial" w:hAnsi="Arial" w:cs="Arial"/>
          <w:sz w:val="20"/>
        </w:rPr>
        <w:tab/>
        <w:t>United Nations Conference on Trade and Development</w:t>
      </w:r>
    </w:p>
    <w:p w14:paraId="14FC96AF"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 CEB</w:t>
      </w:r>
      <w:r w:rsidRPr="00F10C59">
        <w:rPr>
          <w:rFonts w:ascii="Arial" w:hAnsi="Arial" w:cs="Arial"/>
          <w:sz w:val="20"/>
        </w:rPr>
        <w:tab/>
        <w:t>United Nations Chief Executives Board</w:t>
      </w:r>
    </w:p>
    <w:p w14:paraId="392D800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UN-DESA</w:t>
      </w:r>
      <w:r w:rsidRPr="00F10C59">
        <w:rPr>
          <w:rFonts w:ascii="Arial" w:hAnsi="Arial" w:cs="Arial"/>
          <w:sz w:val="20"/>
        </w:rPr>
        <w:tab/>
        <w:t>United Nations Department of Social and Economic Affaires</w:t>
      </w:r>
    </w:p>
    <w:p w14:paraId="21957F2F" w14:textId="63C4A2E2" w:rsidR="00FB583B" w:rsidRPr="00EC6D63" w:rsidRDefault="00FB583B" w:rsidP="00FB583B">
      <w:pPr>
        <w:tabs>
          <w:tab w:val="left" w:pos="2127"/>
        </w:tabs>
        <w:spacing w:after="40"/>
        <w:ind w:left="2127" w:hanging="2127"/>
        <w:rPr>
          <w:rFonts w:ascii="Arial" w:hAnsi="Arial" w:cs="Arial"/>
          <w:sz w:val="20"/>
        </w:rPr>
      </w:pPr>
      <w:r>
        <w:rPr>
          <w:rFonts w:ascii="Arial" w:hAnsi="Arial" w:cs="Arial"/>
          <w:noProof/>
          <w:sz w:val="20"/>
          <w:lang w:eastAsia="en-US"/>
        </w:rPr>
        <mc:AlternateContent>
          <mc:Choice Requires="wps">
            <w:drawing>
              <wp:anchor distT="0" distB="0" distL="114300" distR="114300" simplePos="0" relativeHeight="251667456" behindDoc="0" locked="0" layoutInCell="0" allowOverlap="1" wp14:anchorId="1FE93F39" wp14:editId="137AA97C">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522B2740" w14:textId="77777777" w:rsidR="00AC4500" w:rsidRDefault="00AC4500" w:rsidP="00FB583B">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14:paraId="522B2740" w14:textId="77777777" w:rsidR="00AC4500" w:rsidRDefault="00AC4500" w:rsidP="00FB583B">
                      <w:pPr>
                        <w:pStyle w:val="BodyText2"/>
                      </w:pPr>
                    </w:p>
                  </w:txbxContent>
                </v:textbox>
              </v:shape>
            </w:pict>
          </mc:Fallback>
        </mc:AlternateContent>
      </w:r>
      <w:r w:rsidRPr="00EC6D63">
        <w:rPr>
          <w:rFonts w:ascii="Arial" w:hAnsi="Arial" w:cs="Arial"/>
          <w:sz w:val="20"/>
        </w:rPr>
        <w:t>UNEP</w:t>
      </w:r>
      <w:r w:rsidRPr="00EC6D63">
        <w:rPr>
          <w:rFonts w:ascii="Arial" w:hAnsi="Arial" w:cs="Arial"/>
          <w:sz w:val="20"/>
        </w:rPr>
        <w:tab/>
        <w:t xml:space="preserve">United Nations Environmental </w:t>
      </w:r>
      <w:proofErr w:type="spellStart"/>
      <w:r w:rsidRPr="00EC6D63">
        <w:rPr>
          <w:rFonts w:ascii="Arial" w:hAnsi="Arial" w:cs="Arial"/>
          <w:sz w:val="20"/>
        </w:rPr>
        <w:t>Programme</w:t>
      </w:r>
      <w:proofErr w:type="spellEnd"/>
    </w:p>
    <w:p w14:paraId="7F3D0477"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UNESCO</w:t>
      </w:r>
      <w:r w:rsidRPr="00F10C59">
        <w:rPr>
          <w:rFonts w:ascii="Arial" w:hAnsi="Arial" w:cs="Arial"/>
          <w:sz w:val="20"/>
        </w:rPr>
        <w:tab/>
        <w:t>United Nations Educational, Scientific and Cultural Organization</w:t>
      </w:r>
    </w:p>
    <w:p w14:paraId="62E133A0"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UNFCCC</w:t>
      </w:r>
      <w:r w:rsidRPr="00F10C59">
        <w:rPr>
          <w:rFonts w:ascii="Arial" w:hAnsi="Arial" w:cs="Arial"/>
          <w:sz w:val="20"/>
        </w:rPr>
        <w:tab/>
        <w:t>Framework Convention on Climate Change</w:t>
      </w:r>
    </w:p>
    <w:p w14:paraId="74867EA1" w14:textId="77777777" w:rsidR="00FB583B" w:rsidRPr="00F10C59" w:rsidRDefault="00FB583B" w:rsidP="00FB583B">
      <w:pPr>
        <w:tabs>
          <w:tab w:val="left" w:pos="2127"/>
        </w:tabs>
        <w:spacing w:after="40"/>
        <w:ind w:left="2127" w:hanging="2127"/>
        <w:rPr>
          <w:rFonts w:ascii="Arial" w:hAnsi="Arial" w:cs="Arial"/>
          <w:sz w:val="20"/>
        </w:rPr>
      </w:pPr>
      <w:r w:rsidRPr="003D3EB8">
        <w:rPr>
          <w:rFonts w:ascii="Arial" w:hAnsi="Arial" w:cs="Arial"/>
          <w:sz w:val="20"/>
        </w:rPr>
        <w:t>UN-H-MOSS</w:t>
      </w:r>
      <w:r w:rsidRPr="003D3EB8">
        <w:rPr>
          <w:rFonts w:ascii="Arial" w:hAnsi="Arial" w:cs="Arial"/>
          <w:sz w:val="20"/>
        </w:rPr>
        <w:tab/>
        <w:t>UN Headquarters Minimum Operating Security Standards</w:t>
      </w:r>
    </w:p>
    <w:p w14:paraId="66B4C9D7" w14:textId="77777777" w:rsidR="00FB583B" w:rsidRPr="00EC6D63" w:rsidRDefault="00FB583B" w:rsidP="00FB583B">
      <w:pPr>
        <w:tabs>
          <w:tab w:val="left" w:pos="2127"/>
        </w:tabs>
        <w:spacing w:after="40"/>
        <w:ind w:left="2127" w:right="-476" w:hanging="2127"/>
        <w:rPr>
          <w:rFonts w:ascii="Arial" w:hAnsi="Arial" w:cs="Arial"/>
          <w:sz w:val="20"/>
        </w:rPr>
      </w:pPr>
      <w:r w:rsidRPr="00EC6D63">
        <w:rPr>
          <w:rFonts w:ascii="Arial" w:hAnsi="Arial" w:cs="Arial"/>
          <w:sz w:val="20"/>
        </w:rPr>
        <w:t>UNICC</w:t>
      </w:r>
      <w:r w:rsidRPr="00EC6D63">
        <w:rPr>
          <w:rFonts w:ascii="Arial" w:hAnsi="Arial" w:cs="Arial"/>
          <w:sz w:val="20"/>
        </w:rPr>
        <w:tab/>
        <w:t>UN International Computing Centre</w:t>
      </w:r>
    </w:p>
    <w:p w14:paraId="40B037C3"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UNIDO</w:t>
      </w:r>
      <w:r w:rsidRPr="00F10C59">
        <w:rPr>
          <w:rFonts w:ascii="Arial" w:hAnsi="Arial" w:cs="Arial"/>
          <w:sz w:val="20"/>
        </w:rPr>
        <w:tab/>
        <w:t>United Nations Industrial Development Organization</w:t>
      </w:r>
    </w:p>
    <w:p w14:paraId="0BF62AD2" w14:textId="0E36AB04" w:rsidR="004F51AB" w:rsidRPr="004F51AB" w:rsidRDefault="004F51AB" w:rsidP="00FB583B">
      <w:pPr>
        <w:tabs>
          <w:tab w:val="left" w:pos="2127"/>
        </w:tabs>
        <w:spacing w:after="40"/>
        <w:ind w:left="2127" w:hanging="2127"/>
        <w:rPr>
          <w:rFonts w:ascii="Arial" w:hAnsi="Arial" w:cs="Arial"/>
          <w:sz w:val="20"/>
          <w:szCs w:val="20"/>
        </w:rPr>
      </w:pPr>
      <w:r w:rsidRPr="004F51AB">
        <w:rPr>
          <w:rFonts w:ascii="Arial" w:hAnsi="Arial" w:cs="Arial"/>
          <w:color w:val="000000"/>
          <w:sz w:val="20"/>
          <w:szCs w:val="20"/>
        </w:rPr>
        <w:t>UNOSSC</w:t>
      </w:r>
      <w:r w:rsidRPr="004F51AB">
        <w:rPr>
          <w:rFonts w:ascii="Arial" w:hAnsi="Arial" w:cs="Arial"/>
          <w:color w:val="000000"/>
          <w:sz w:val="20"/>
          <w:szCs w:val="20"/>
        </w:rPr>
        <w:tab/>
      </w:r>
      <w:r w:rsidRPr="004F51AB">
        <w:rPr>
          <w:rFonts w:ascii="Arial" w:hAnsi="Arial" w:cs="Arial"/>
          <w:sz w:val="20"/>
          <w:szCs w:val="20"/>
        </w:rPr>
        <w:t>United Nations</w:t>
      </w:r>
      <w:r>
        <w:rPr>
          <w:rFonts w:ascii="Arial" w:hAnsi="Arial" w:cs="Arial"/>
          <w:sz w:val="20"/>
          <w:szCs w:val="20"/>
        </w:rPr>
        <w:t xml:space="preserve"> Office for South-</w:t>
      </w:r>
      <w:r w:rsidRPr="004F51AB">
        <w:rPr>
          <w:rFonts w:ascii="Arial" w:hAnsi="Arial" w:cs="Arial"/>
          <w:sz w:val="20"/>
          <w:szCs w:val="20"/>
        </w:rPr>
        <w:t>South Cooperation</w:t>
      </w:r>
    </w:p>
    <w:p w14:paraId="43581AF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UNSAS</w:t>
      </w:r>
      <w:r w:rsidRPr="00F10C59">
        <w:rPr>
          <w:rFonts w:ascii="Arial" w:hAnsi="Arial" w:cs="Arial"/>
          <w:sz w:val="20"/>
        </w:rPr>
        <w:tab/>
        <w:t>United Nations System Accounting Standards</w:t>
      </w:r>
    </w:p>
    <w:p w14:paraId="260E66FE"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UPOV</w:t>
      </w:r>
      <w:r w:rsidRPr="00F10C59">
        <w:rPr>
          <w:rFonts w:ascii="Arial" w:hAnsi="Arial" w:cs="Arial"/>
          <w:sz w:val="20"/>
        </w:rPr>
        <w:tab/>
        <w:t xml:space="preserve">International </w:t>
      </w:r>
      <w:smartTag w:uri="urn:schemas-microsoft-com:office:smarttags" w:element="place">
        <w:r w:rsidRPr="00F10C59">
          <w:rPr>
            <w:rFonts w:ascii="Arial" w:hAnsi="Arial" w:cs="Arial"/>
            <w:sz w:val="20"/>
          </w:rPr>
          <w:t>Union</w:t>
        </w:r>
      </w:smartTag>
      <w:r w:rsidRPr="00F10C59">
        <w:rPr>
          <w:rFonts w:ascii="Arial" w:hAnsi="Arial" w:cs="Arial"/>
          <w:sz w:val="20"/>
        </w:rPr>
        <w:t xml:space="preserve"> for the Protection of New Varieties of Plants</w:t>
      </w:r>
    </w:p>
    <w:p w14:paraId="1191F724"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USCLA</w:t>
      </w:r>
      <w:r w:rsidRPr="00F10C59">
        <w:rPr>
          <w:rFonts w:ascii="Arial" w:hAnsi="Arial" w:cs="Arial"/>
          <w:sz w:val="20"/>
        </w:rPr>
        <w:tab/>
      </w:r>
      <w:smartTag w:uri="urn:schemas-microsoft-com:office:smarttags" w:element="place">
        <w:smartTag w:uri="urn:schemas-microsoft-com:office:smarttags" w:element="country-region">
          <w:r w:rsidRPr="00F10C59">
            <w:rPr>
              <w:rFonts w:ascii="Arial" w:hAnsi="Arial" w:cs="Arial"/>
              <w:sz w:val="20"/>
            </w:rPr>
            <w:t>US</w:t>
          </w:r>
        </w:smartTag>
      </w:smartTag>
      <w:r w:rsidRPr="00F10C59">
        <w:rPr>
          <w:rFonts w:ascii="Arial" w:hAnsi="Arial" w:cs="Arial"/>
          <w:sz w:val="20"/>
        </w:rPr>
        <w:t xml:space="preserve"> Classifications</w:t>
      </w:r>
    </w:p>
    <w:p w14:paraId="27C2E3E4"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USPTO</w:t>
      </w:r>
      <w:r w:rsidRPr="00F10C59">
        <w:rPr>
          <w:rFonts w:ascii="Arial" w:hAnsi="Arial" w:cs="Arial"/>
          <w:sz w:val="20"/>
        </w:rPr>
        <w:tab/>
      </w:r>
      <w:smartTag w:uri="urn:schemas-microsoft-com:office:smarttags" w:element="place">
        <w:smartTag w:uri="urn:schemas-microsoft-com:office:smarttags" w:element="country-region">
          <w:r w:rsidRPr="00F10C59">
            <w:rPr>
              <w:rFonts w:ascii="Arial" w:hAnsi="Arial" w:cs="Arial"/>
              <w:sz w:val="20"/>
            </w:rPr>
            <w:t>United States</w:t>
          </w:r>
        </w:smartTag>
      </w:smartTag>
      <w:r w:rsidRPr="00F10C59">
        <w:rPr>
          <w:rFonts w:ascii="Arial" w:hAnsi="Arial" w:cs="Arial"/>
          <w:sz w:val="20"/>
        </w:rPr>
        <w:t xml:space="preserve"> Patent and Trademark Office</w:t>
      </w:r>
    </w:p>
    <w:p w14:paraId="7AAD6410" w14:textId="77777777" w:rsidR="00FB583B" w:rsidRPr="00F10C59" w:rsidRDefault="00FB583B" w:rsidP="00FB583B">
      <w:pPr>
        <w:tabs>
          <w:tab w:val="left" w:pos="2127"/>
        </w:tabs>
        <w:spacing w:after="180"/>
        <w:ind w:left="2126" w:hanging="2126"/>
        <w:rPr>
          <w:rFonts w:ascii="Arial" w:hAnsi="Arial" w:cs="Arial"/>
          <w:sz w:val="20"/>
        </w:rPr>
      </w:pPr>
    </w:p>
    <w:p w14:paraId="68E4A987"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V</w:t>
      </w:r>
      <w:r w:rsidRPr="00F10C59">
        <w:rPr>
          <w:rFonts w:ascii="Arial" w:hAnsi="Arial" w:cs="Arial"/>
          <w:sz w:val="20"/>
        </w:rPr>
        <w:t>IP</w:t>
      </w:r>
      <w:r w:rsidRPr="00F10C59">
        <w:rPr>
          <w:rFonts w:ascii="Arial" w:hAnsi="Arial" w:cs="Arial"/>
          <w:sz w:val="20"/>
        </w:rPr>
        <w:tab/>
        <w:t>Visually Impaired Persons</w:t>
      </w:r>
      <w:r>
        <w:rPr>
          <w:rFonts w:ascii="Arial" w:hAnsi="Arial" w:cs="Arial"/>
          <w:sz w:val="20"/>
        </w:rPr>
        <w:t xml:space="preserve"> and other persons with print disabilities</w:t>
      </w:r>
    </w:p>
    <w:p w14:paraId="274899A7" w14:textId="77777777" w:rsidR="00FB583B" w:rsidRPr="00F10C59" w:rsidRDefault="00FB583B" w:rsidP="00FB583B">
      <w:pPr>
        <w:tabs>
          <w:tab w:val="left" w:pos="2127"/>
        </w:tabs>
        <w:spacing w:after="180"/>
        <w:ind w:left="2126" w:hanging="2126"/>
        <w:rPr>
          <w:rFonts w:ascii="Arial" w:hAnsi="Arial" w:cs="Arial"/>
          <w:sz w:val="20"/>
        </w:rPr>
      </w:pPr>
    </w:p>
    <w:p w14:paraId="4BE12097" w14:textId="6582D993" w:rsidR="005C0B8F" w:rsidRPr="00B30215" w:rsidRDefault="005C0B8F" w:rsidP="00B30215">
      <w:pPr>
        <w:tabs>
          <w:tab w:val="left" w:pos="2127"/>
        </w:tabs>
        <w:rPr>
          <w:rFonts w:ascii="Arial" w:hAnsi="Arial" w:cs="Arial"/>
          <w:bCs/>
          <w:sz w:val="20"/>
        </w:rPr>
      </w:pPr>
      <w:r>
        <w:rPr>
          <w:rFonts w:ascii="Arial" w:hAnsi="Arial" w:cs="Arial"/>
          <w:b/>
          <w:bCs/>
          <w:sz w:val="20"/>
        </w:rPr>
        <w:t>W</w:t>
      </w:r>
      <w:r w:rsidRPr="00B30215">
        <w:rPr>
          <w:rFonts w:ascii="Arial" w:hAnsi="Arial" w:cs="Arial"/>
          <w:bCs/>
          <w:sz w:val="20"/>
        </w:rPr>
        <w:t>BO</w:t>
      </w:r>
      <w:r w:rsidRPr="00B30215">
        <w:rPr>
          <w:rFonts w:ascii="Arial" w:hAnsi="Arial" w:cs="Arial"/>
          <w:bCs/>
          <w:sz w:val="20"/>
        </w:rPr>
        <w:tab/>
      </w:r>
      <w:r>
        <w:rPr>
          <w:rFonts w:ascii="Arial" w:hAnsi="Arial" w:cs="Arial"/>
          <w:bCs/>
          <w:sz w:val="20"/>
        </w:rPr>
        <w:t>WIPO Brazil Office</w:t>
      </w:r>
    </w:p>
    <w:p w14:paraId="4752C07C" w14:textId="77777777" w:rsidR="002B31EF" w:rsidRDefault="002B31EF" w:rsidP="00B30215">
      <w:pPr>
        <w:tabs>
          <w:tab w:val="left" w:pos="2127"/>
        </w:tabs>
        <w:rPr>
          <w:rFonts w:ascii="Arial" w:hAnsi="Arial" w:cs="Arial"/>
          <w:bCs/>
          <w:sz w:val="20"/>
        </w:rPr>
      </w:pPr>
      <w:r w:rsidRPr="00B30215">
        <w:rPr>
          <w:rFonts w:ascii="Arial" w:hAnsi="Arial" w:cs="Arial"/>
          <w:bCs/>
          <w:sz w:val="20"/>
        </w:rPr>
        <w:t>W</w:t>
      </w:r>
      <w:r w:rsidRPr="00964B24">
        <w:rPr>
          <w:rFonts w:ascii="Arial" w:hAnsi="Arial" w:cs="Arial"/>
          <w:bCs/>
          <w:sz w:val="20"/>
        </w:rPr>
        <w:t>CC</w:t>
      </w:r>
      <w:r>
        <w:rPr>
          <w:rFonts w:ascii="Arial" w:hAnsi="Arial" w:cs="Arial"/>
          <w:bCs/>
          <w:sz w:val="20"/>
        </w:rPr>
        <w:tab/>
        <w:t>WIPO Copyright Connection</w:t>
      </w:r>
    </w:p>
    <w:p w14:paraId="273B6DF1" w14:textId="5C5A11F3" w:rsidR="00FB583B" w:rsidRDefault="00FB583B" w:rsidP="00FB583B">
      <w:pPr>
        <w:tabs>
          <w:tab w:val="left" w:pos="2127"/>
        </w:tabs>
        <w:spacing w:after="40"/>
        <w:ind w:left="2127" w:hanging="2127"/>
        <w:rPr>
          <w:rFonts w:ascii="Arial" w:hAnsi="Arial" w:cs="Arial"/>
          <w:sz w:val="20"/>
        </w:rPr>
      </w:pPr>
      <w:r w:rsidRPr="00B30215">
        <w:rPr>
          <w:rFonts w:ascii="Arial" w:hAnsi="Arial" w:cs="Arial"/>
          <w:bCs/>
          <w:sz w:val="20"/>
        </w:rPr>
        <w:t>W</w:t>
      </w:r>
      <w:r w:rsidRPr="00F10C59">
        <w:rPr>
          <w:rFonts w:ascii="Arial" w:hAnsi="Arial" w:cs="Arial"/>
          <w:sz w:val="20"/>
        </w:rPr>
        <w:t>CO</w:t>
      </w:r>
      <w:r w:rsidRPr="00F10C59">
        <w:rPr>
          <w:rFonts w:ascii="Arial" w:hAnsi="Arial" w:cs="Arial"/>
          <w:sz w:val="20"/>
        </w:rPr>
        <w:tab/>
        <w:t>World Customs Organization</w:t>
      </w:r>
    </w:p>
    <w:p w14:paraId="2DF57AF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WCT</w:t>
      </w:r>
      <w:r w:rsidRPr="00F10C59">
        <w:rPr>
          <w:rFonts w:ascii="Arial" w:hAnsi="Arial" w:cs="Arial"/>
          <w:sz w:val="20"/>
        </w:rPr>
        <w:tab/>
        <w:t>WIPO Copyright Treaty</w:t>
      </w:r>
    </w:p>
    <w:p w14:paraId="3D7B02F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WHO</w:t>
      </w:r>
      <w:r w:rsidRPr="00F10C59">
        <w:rPr>
          <w:rFonts w:ascii="Arial" w:hAnsi="Arial" w:cs="Arial"/>
          <w:sz w:val="20"/>
        </w:rPr>
        <w:tab/>
        <w:t>World Health Organization</w:t>
      </w:r>
    </w:p>
    <w:p w14:paraId="056F7AD7" w14:textId="3F4533E7" w:rsidR="002B31EF" w:rsidRDefault="002B31EF" w:rsidP="00FB583B">
      <w:pPr>
        <w:tabs>
          <w:tab w:val="left" w:pos="2127"/>
        </w:tabs>
        <w:spacing w:after="40"/>
        <w:ind w:left="2127" w:hanging="2127"/>
        <w:rPr>
          <w:rFonts w:ascii="Arial" w:hAnsi="Arial" w:cs="Arial"/>
          <w:sz w:val="20"/>
        </w:rPr>
      </w:pPr>
      <w:r>
        <w:rPr>
          <w:rFonts w:ascii="Arial" w:hAnsi="Arial" w:cs="Arial"/>
          <w:sz w:val="20"/>
        </w:rPr>
        <w:t>WIPO CASE</w:t>
      </w:r>
      <w:r>
        <w:rPr>
          <w:rFonts w:ascii="Arial" w:hAnsi="Arial" w:cs="Arial"/>
          <w:sz w:val="20"/>
        </w:rPr>
        <w:tab/>
      </w:r>
      <w:r w:rsidRPr="009B4A78">
        <w:rPr>
          <w:rFonts w:ascii="Arial" w:hAnsi="Arial" w:cs="Arial"/>
          <w:color w:val="000000"/>
          <w:sz w:val="20"/>
          <w:szCs w:val="21"/>
        </w:rPr>
        <w:t>Centralized Access to Search and Examination results</w:t>
      </w:r>
    </w:p>
    <w:p w14:paraId="332E72A9"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WIPOCOS</w:t>
      </w:r>
      <w:r>
        <w:rPr>
          <w:rFonts w:ascii="Arial" w:hAnsi="Arial" w:cs="Arial"/>
          <w:sz w:val="20"/>
        </w:rPr>
        <w:tab/>
      </w:r>
      <w:r w:rsidRPr="00FF1219">
        <w:rPr>
          <w:rFonts w:ascii="Arial" w:hAnsi="Arial" w:cs="Arial"/>
          <w:sz w:val="20"/>
          <w:lang w:val="en"/>
        </w:rPr>
        <w:t>software for collective management of copyright and neighboring rights</w:t>
      </w:r>
    </w:p>
    <w:p w14:paraId="67E1B963" w14:textId="5991F4C3" w:rsidR="005C0B8F" w:rsidRDefault="005C0B8F" w:rsidP="00FB583B">
      <w:pPr>
        <w:tabs>
          <w:tab w:val="left" w:pos="2127"/>
        </w:tabs>
        <w:spacing w:after="40"/>
        <w:ind w:left="2127" w:hanging="2127"/>
        <w:rPr>
          <w:rFonts w:ascii="Arial" w:hAnsi="Arial" w:cs="Arial"/>
          <w:sz w:val="20"/>
        </w:rPr>
      </w:pPr>
      <w:r>
        <w:rPr>
          <w:rFonts w:ascii="Arial" w:hAnsi="Arial" w:cs="Arial"/>
          <w:sz w:val="20"/>
        </w:rPr>
        <w:t>WJO</w:t>
      </w:r>
      <w:r>
        <w:rPr>
          <w:rFonts w:ascii="Arial" w:hAnsi="Arial" w:cs="Arial"/>
          <w:sz w:val="20"/>
        </w:rPr>
        <w:tab/>
        <w:t>WIPO Japan Office</w:t>
      </w:r>
    </w:p>
    <w:p w14:paraId="458B73FC" w14:textId="44859D4B" w:rsidR="00371BF2" w:rsidRDefault="00371BF2" w:rsidP="00FB583B">
      <w:pPr>
        <w:tabs>
          <w:tab w:val="left" w:pos="2127"/>
        </w:tabs>
        <w:spacing w:after="40"/>
        <w:ind w:left="2127" w:hanging="2127"/>
        <w:rPr>
          <w:rFonts w:ascii="Arial" w:hAnsi="Arial" w:cs="Arial"/>
          <w:sz w:val="20"/>
        </w:rPr>
      </w:pPr>
      <w:r>
        <w:rPr>
          <w:rFonts w:ascii="Arial" w:hAnsi="Arial" w:cs="Arial"/>
          <w:sz w:val="20"/>
        </w:rPr>
        <w:t>WOC</w:t>
      </w:r>
      <w:r>
        <w:rPr>
          <w:rFonts w:ascii="Arial" w:hAnsi="Arial" w:cs="Arial"/>
          <w:sz w:val="20"/>
        </w:rPr>
        <w:tab/>
        <w:t>WIPO Office in China</w:t>
      </w:r>
    </w:p>
    <w:p w14:paraId="17F1939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WPPT</w:t>
      </w:r>
      <w:r w:rsidRPr="00F10C59">
        <w:rPr>
          <w:rFonts w:ascii="Arial" w:hAnsi="Arial" w:cs="Arial"/>
          <w:sz w:val="20"/>
        </w:rPr>
        <w:tab/>
        <w:t>WIPO Performances and Phonograms Treaty</w:t>
      </w:r>
    </w:p>
    <w:p w14:paraId="0D105ED1" w14:textId="48122E79" w:rsidR="005C0B8F" w:rsidRDefault="005C0B8F" w:rsidP="00FB583B">
      <w:pPr>
        <w:tabs>
          <w:tab w:val="left" w:pos="2127"/>
        </w:tabs>
        <w:spacing w:after="40"/>
        <w:ind w:left="2127" w:hanging="2127"/>
        <w:rPr>
          <w:rFonts w:ascii="Arial" w:hAnsi="Arial" w:cs="Arial"/>
          <w:sz w:val="20"/>
        </w:rPr>
      </w:pPr>
      <w:r>
        <w:rPr>
          <w:rFonts w:ascii="Arial" w:hAnsi="Arial" w:cs="Arial"/>
          <w:sz w:val="20"/>
        </w:rPr>
        <w:t>WRO</w:t>
      </w:r>
      <w:r>
        <w:rPr>
          <w:rFonts w:ascii="Arial" w:hAnsi="Arial" w:cs="Arial"/>
          <w:sz w:val="20"/>
        </w:rPr>
        <w:tab/>
        <w:t>WIPO Russia Office</w:t>
      </w:r>
    </w:p>
    <w:p w14:paraId="29B6D0CF" w14:textId="7777777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WSIS</w:t>
      </w:r>
      <w:r w:rsidRPr="00C02386">
        <w:rPr>
          <w:rFonts w:ascii="Arial" w:hAnsi="Arial" w:cs="Arial"/>
          <w:sz w:val="20"/>
        </w:rPr>
        <w:tab/>
      </w:r>
      <w:r w:rsidRPr="00C02386">
        <w:rPr>
          <w:rFonts w:ascii="Arial" w:hAnsi="Arial" w:cs="Arial"/>
          <w:bCs/>
          <w:sz w:val="20"/>
        </w:rPr>
        <w:t>World Summit on the Information Society</w:t>
      </w:r>
    </w:p>
    <w:p w14:paraId="65755257" w14:textId="77777777" w:rsidR="00FB583B" w:rsidRDefault="00FB583B" w:rsidP="00FB583B">
      <w:pPr>
        <w:tabs>
          <w:tab w:val="left" w:pos="2127"/>
        </w:tabs>
        <w:spacing w:after="40"/>
        <w:ind w:left="2127" w:hanging="2127"/>
        <w:rPr>
          <w:rFonts w:ascii="Arial" w:hAnsi="Arial" w:cs="Arial"/>
          <w:sz w:val="20"/>
        </w:rPr>
      </w:pPr>
      <w:r w:rsidRPr="00C02386">
        <w:rPr>
          <w:rFonts w:ascii="Arial" w:hAnsi="Arial" w:cs="Arial"/>
          <w:sz w:val="20"/>
        </w:rPr>
        <w:t>WSO</w:t>
      </w:r>
      <w:r w:rsidRPr="00C02386">
        <w:rPr>
          <w:rFonts w:ascii="Arial" w:hAnsi="Arial" w:cs="Arial"/>
          <w:sz w:val="20"/>
        </w:rPr>
        <w:tab/>
        <w:t xml:space="preserve">WIPO </w:t>
      </w:r>
      <w:smartTag w:uri="urn:schemas-microsoft-com:office:smarttags" w:element="place">
        <w:smartTag w:uri="urn:schemas-microsoft-com:office:smarttags" w:element="country-region">
          <w:r w:rsidRPr="00C02386">
            <w:rPr>
              <w:rFonts w:ascii="Arial" w:hAnsi="Arial" w:cs="Arial"/>
              <w:sz w:val="20"/>
            </w:rPr>
            <w:t>Singapore</w:t>
          </w:r>
        </w:smartTag>
      </w:smartTag>
      <w:r w:rsidRPr="00C02386">
        <w:rPr>
          <w:rFonts w:ascii="Arial" w:hAnsi="Arial" w:cs="Arial"/>
          <w:sz w:val="20"/>
        </w:rPr>
        <w:t xml:space="preserve"> Office</w:t>
      </w:r>
    </w:p>
    <w:p w14:paraId="60E4B5D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WTO</w:t>
      </w:r>
      <w:r w:rsidRPr="00F10C59">
        <w:rPr>
          <w:rFonts w:ascii="Arial" w:hAnsi="Arial" w:cs="Arial"/>
          <w:sz w:val="20"/>
        </w:rPr>
        <w:tab/>
        <w:t xml:space="preserve">World Trade Organization </w:t>
      </w:r>
    </w:p>
    <w:p w14:paraId="4120B19A" w14:textId="77777777" w:rsidR="00FB583B" w:rsidRPr="00F10C59" w:rsidRDefault="00FB583B" w:rsidP="00FB583B">
      <w:pPr>
        <w:pStyle w:val="BodyText"/>
        <w:rPr>
          <w:sz w:val="20"/>
        </w:rPr>
      </w:pPr>
    </w:p>
    <w:p w14:paraId="1E4A3923" w14:textId="77777777" w:rsidR="00FB583B" w:rsidRPr="00F10C59" w:rsidRDefault="00FB583B" w:rsidP="00FB583B">
      <w:pPr>
        <w:pStyle w:val="Endofdocument"/>
        <w:rPr>
          <w:rFonts w:ascii="Arial" w:hAnsi="Arial" w:cs="Arial"/>
          <w:sz w:val="20"/>
        </w:rPr>
      </w:pPr>
      <w:r>
        <w:rPr>
          <w:rFonts w:ascii="Arial" w:hAnsi="Arial" w:cs="Arial"/>
          <w:sz w:val="20"/>
        </w:rPr>
        <w:t>[End of document]</w:t>
      </w:r>
    </w:p>
    <w:p w14:paraId="207EC58A" w14:textId="77777777" w:rsidR="00FB583B" w:rsidRPr="004E24C9" w:rsidRDefault="00FB583B" w:rsidP="00FB583B">
      <w:pPr>
        <w:keepNext/>
        <w:keepLines/>
        <w:autoSpaceDE w:val="0"/>
        <w:autoSpaceDN w:val="0"/>
        <w:adjustRightInd w:val="0"/>
        <w:jc w:val="both"/>
        <w:rPr>
          <w:rFonts w:ascii="Arial" w:hAnsi="Arial" w:cs="Arial"/>
        </w:rPr>
      </w:pPr>
    </w:p>
    <w:p w14:paraId="0208E4EC" w14:textId="24ED9862" w:rsidR="00FB583B" w:rsidRPr="002F58D0" w:rsidRDefault="00FB583B" w:rsidP="008D3EC2">
      <w:pPr>
        <w:autoSpaceDE w:val="0"/>
        <w:autoSpaceDN w:val="0"/>
        <w:adjustRightInd w:val="0"/>
        <w:rPr>
          <w:rFonts w:ascii="Arial" w:hAnsi="Arial" w:cs="Arial"/>
          <w:sz w:val="20"/>
        </w:rPr>
      </w:pPr>
    </w:p>
    <w:sectPr w:rsidR="00FB583B" w:rsidRPr="002F58D0" w:rsidSect="00C84440">
      <w:pgSz w:w="11907" w:h="16839" w:code="9"/>
      <w:pgMar w:top="624" w:right="1418" w:bottom="1418"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84587" w14:textId="77777777" w:rsidR="00AC4500" w:rsidRDefault="00AC4500" w:rsidP="00060B44">
      <w:r>
        <w:separator/>
      </w:r>
    </w:p>
  </w:endnote>
  <w:endnote w:type="continuationSeparator" w:id="0">
    <w:p w14:paraId="7EEC694E" w14:textId="77777777" w:rsidR="00AC4500" w:rsidRDefault="00AC4500" w:rsidP="0006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20411" w14:textId="7DAE11E5" w:rsidR="00AC4500" w:rsidRPr="00B1363F" w:rsidRDefault="00AC4500" w:rsidP="008B27BE">
    <w:pPr>
      <w:pStyle w:val="Footer"/>
      <w:jc w:val="center"/>
      <w:rPr>
        <w:rFonts w:ascii="Arial" w:hAnsi="Arial"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881932"/>
      <w:docPartObj>
        <w:docPartGallery w:val="Page Numbers (Bottom of Page)"/>
        <w:docPartUnique/>
      </w:docPartObj>
    </w:sdtPr>
    <w:sdtEndPr>
      <w:rPr>
        <w:rFonts w:ascii="Arial" w:hAnsi="Arial" w:cs="Arial"/>
        <w:noProof/>
        <w:sz w:val="20"/>
      </w:rPr>
    </w:sdtEndPr>
    <w:sdtContent>
      <w:p w14:paraId="348F26FB" w14:textId="518EC961" w:rsidR="00AC4500" w:rsidRPr="00AC4500" w:rsidRDefault="00AC4500" w:rsidP="00AC4500">
        <w:pPr>
          <w:pStyle w:val="Footer"/>
          <w:jc w:val="center"/>
          <w:rPr>
            <w:rFonts w:ascii="Arial" w:hAnsi="Arial" w:cs="Arial"/>
            <w:sz w:val="20"/>
          </w:rPr>
        </w:pPr>
        <w:r w:rsidRPr="00BA43A0">
          <w:rPr>
            <w:rFonts w:ascii="Arial" w:hAnsi="Arial" w:cs="Arial"/>
            <w:sz w:val="20"/>
          </w:rPr>
          <w:fldChar w:fldCharType="begin"/>
        </w:r>
        <w:r w:rsidRPr="00BA43A0">
          <w:rPr>
            <w:rFonts w:ascii="Arial" w:hAnsi="Arial" w:cs="Arial"/>
            <w:sz w:val="20"/>
          </w:rPr>
          <w:instrText xml:space="preserve"> PAGE   \* MERGEFORMAT </w:instrText>
        </w:r>
        <w:r w:rsidRPr="00BA43A0">
          <w:rPr>
            <w:rFonts w:ascii="Arial" w:hAnsi="Arial" w:cs="Arial"/>
            <w:sz w:val="20"/>
          </w:rPr>
          <w:fldChar w:fldCharType="separate"/>
        </w:r>
        <w:r w:rsidR="006D6DD1">
          <w:rPr>
            <w:rFonts w:ascii="Arial" w:hAnsi="Arial" w:cs="Arial"/>
            <w:noProof/>
            <w:sz w:val="20"/>
          </w:rPr>
          <w:t>3</w:t>
        </w:r>
        <w:r w:rsidRPr="00BA43A0">
          <w:rPr>
            <w:rFonts w:ascii="Arial" w:hAnsi="Arial" w:cs="Arial"/>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011925"/>
      <w:docPartObj>
        <w:docPartGallery w:val="Page Numbers (Bottom of Page)"/>
        <w:docPartUnique/>
      </w:docPartObj>
    </w:sdtPr>
    <w:sdtEndPr>
      <w:rPr>
        <w:rFonts w:ascii="Arial" w:hAnsi="Arial" w:cs="Arial"/>
        <w:noProof/>
        <w:sz w:val="20"/>
      </w:rPr>
    </w:sdtEndPr>
    <w:sdtContent>
      <w:p w14:paraId="005E00E4" w14:textId="5F16ABA3" w:rsidR="00D331F7" w:rsidRPr="00B1363F" w:rsidRDefault="00D331F7" w:rsidP="00D331F7">
        <w:pPr>
          <w:pStyle w:val="Footer"/>
          <w:jc w:val="center"/>
          <w:rPr>
            <w:rFonts w:ascii="Arial" w:hAnsi="Arial" w:cs="Arial"/>
            <w:sz w:val="20"/>
          </w:rPr>
        </w:pPr>
        <w:r w:rsidRPr="00BA43A0">
          <w:rPr>
            <w:rFonts w:ascii="Arial" w:hAnsi="Arial" w:cs="Arial"/>
            <w:sz w:val="20"/>
          </w:rPr>
          <w:fldChar w:fldCharType="begin"/>
        </w:r>
        <w:r w:rsidRPr="00BA43A0">
          <w:rPr>
            <w:rFonts w:ascii="Arial" w:hAnsi="Arial" w:cs="Arial"/>
            <w:sz w:val="20"/>
          </w:rPr>
          <w:instrText xml:space="preserve"> PAGE   \* MERGEFORMAT </w:instrText>
        </w:r>
        <w:r w:rsidRPr="00BA43A0">
          <w:rPr>
            <w:rFonts w:ascii="Arial" w:hAnsi="Arial" w:cs="Arial"/>
            <w:sz w:val="20"/>
          </w:rPr>
          <w:fldChar w:fldCharType="separate"/>
        </w:r>
        <w:r w:rsidR="006D6DD1">
          <w:rPr>
            <w:rFonts w:ascii="Arial" w:hAnsi="Arial" w:cs="Arial"/>
            <w:noProof/>
            <w:sz w:val="20"/>
          </w:rPr>
          <w:t>4</w:t>
        </w:r>
        <w:r w:rsidRPr="00BA43A0">
          <w:rPr>
            <w:rFonts w:ascii="Arial" w:hAnsi="Arial" w:cs="Arial"/>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8E4F8" w14:textId="77777777" w:rsidR="008B27BE" w:rsidRDefault="008B27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034327"/>
      <w:docPartObj>
        <w:docPartGallery w:val="Page Numbers (Bottom of Page)"/>
        <w:docPartUnique/>
      </w:docPartObj>
    </w:sdtPr>
    <w:sdtEndPr>
      <w:rPr>
        <w:rFonts w:ascii="Arial" w:hAnsi="Arial" w:cs="Arial"/>
        <w:noProof/>
        <w:sz w:val="20"/>
      </w:rPr>
    </w:sdtEndPr>
    <w:sdtContent>
      <w:p w14:paraId="0263A3E0" w14:textId="77777777" w:rsidR="00AC4500" w:rsidRPr="00ED73D1" w:rsidRDefault="00AC4500" w:rsidP="005A1F7F">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6D6DD1">
          <w:rPr>
            <w:rFonts w:ascii="Arial" w:hAnsi="Arial" w:cs="Arial"/>
            <w:noProof/>
            <w:sz w:val="20"/>
          </w:rPr>
          <w:t>252</w:t>
        </w:r>
        <w:r w:rsidRPr="00BF43CC">
          <w:rPr>
            <w:rFonts w:ascii="Arial" w:hAnsi="Arial" w:cs="Arial"/>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17357"/>
      <w:docPartObj>
        <w:docPartGallery w:val="Page Numbers (Bottom of Page)"/>
        <w:docPartUnique/>
      </w:docPartObj>
    </w:sdtPr>
    <w:sdtEndPr>
      <w:rPr>
        <w:rFonts w:ascii="Arial" w:hAnsi="Arial" w:cs="Arial"/>
        <w:noProof/>
        <w:sz w:val="20"/>
      </w:rPr>
    </w:sdtEndPr>
    <w:sdtContent>
      <w:p w14:paraId="65A62BDE" w14:textId="77777777" w:rsidR="00AC4500" w:rsidRPr="00ED73D1" w:rsidRDefault="00AC4500" w:rsidP="005A1F7F">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6D6DD1">
          <w:rPr>
            <w:rFonts w:ascii="Arial" w:hAnsi="Arial" w:cs="Arial"/>
            <w:noProof/>
            <w:sz w:val="20"/>
          </w:rPr>
          <w:t>251</w:t>
        </w:r>
        <w:r w:rsidRPr="00BF43CC">
          <w:rPr>
            <w:rFonts w:ascii="Arial" w:hAnsi="Arial" w:cs="Arial"/>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886212"/>
      <w:docPartObj>
        <w:docPartGallery w:val="Page Numbers (Bottom of Page)"/>
        <w:docPartUnique/>
      </w:docPartObj>
    </w:sdtPr>
    <w:sdtEndPr>
      <w:rPr>
        <w:rFonts w:ascii="Arial" w:hAnsi="Arial" w:cs="Arial"/>
        <w:noProof/>
        <w:sz w:val="20"/>
      </w:rPr>
    </w:sdtEndPr>
    <w:sdtContent>
      <w:p w14:paraId="4C6D45F5" w14:textId="77777777" w:rsidR="00AC4500" w:rsidRDefault="00AC4500" w:rsidP="008D1E5D">
        <w:pPr>
          <w:pStyle w:val="Footer"/>
          <w:jc w:val="center"/>
        </w:pPr>
      </w:p>
      <w:p w14:paraId="6903A8BD" w14:textId="1721A60B" w:rsidR="00AC4500" w:rsidRPr="00ED73D1" w:rsidRDefault="00AC4500" w:rsidP="008D1E5D">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6D6DD1">
          <w:rPr>
            <w:rFonts w:ascii="Arial" w:hAnsi="Arial" w:cs="Arial"/>
            <w:noProof/>
            <w:sz w:val="20"/>
          </w:rPr>
          <w:t>243</w:t>
        </w:r>
        <w:r w:rsidRPr="00BF43CC">
          <w:rPr>
            <w:rFonts w:ascii="Arial" w:hAnsi="Arial" w:cs="Arial"/>
            <w:noProof/>
            <w:sz w:val="20"/>
          </w:rPr>
          <w:fldChar w:fldCharType="end"/>
        </w:r>
      </w:p>
    </w:sdtContent>
  </w:sdt>
  <w:p w14:paraId="30F45942" w14:textId="77777777" w:rsidR="00AC4500" w:rsidRPr="00F04E0B" w:rsidRDefault="00AC4500" w:rsidP="00CF4788">
    <w:pPr>
      <w:pStyle w:val="Footer"/>
      <w:jc w:val="center"/>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397F2" w14:textId="77777777" w:rsidR="00AC4500" w:rsidRDefault="00AC4500" w:rsidP="00060B44">
      <w:r>
        <w:separator/>
      </w:r>
    </w:p>
  </w:footnote>
  <w:footnote w:type="continuationSeparator" w:id="0">
    <w:p w14:paraId="044E690B" w14:textId="77777777" w:rsidR="00AC4500" w:rsidRDefault="00AC4500" w:rsidP="00060B44">
      <w:r>
        <w:continuationSeparator/>
      </w:r>
    </w:p>
  </w:footnote>
  <w:footnote w:id="1">
    <w:p w14:paraId="788525C3" w14:textId="61426015" w:rsidR="00AC4500" w:rsidRPr="00730D73" w:rsidRDefault="00AC4500">
      <w:pPr>
        <w:pStyle w:val="FootnoteText"/>
        <w:rPr>
          <w:rFonts w:ascii="Arial" w:hAnsi="Arial" w:cs="Arial"/>
          <w:sz w:val="16"/>
          <w:szCs w:val="16"/>
        </w:rPr>
      </w:pPr>
      <w:r w:rsidRPr="004D0C42">
        <w:rPr>
          <w:rStyle w:val="FootnoteReference"/>
          <w:rFonts w:ascii="Arial" w:hAnsi="Arial" w:cs="Arial"/>
          <w:sz w:val="16"/>
          <w:szCs w:val="16"/>
        </w:rPr>
        <w:footnoteRef/>
      </w:r>
      <w:r w:rsidRPr="004D0C42">
        <w:rPr>
          <w:rFonts w:ascii="Arial" w:hAnsi="Arial" w:cs="Arial"/>
          <w:sz w:val="16"/>
          <w:szCs w:val="16"/>
          <w:vertAlign w:val="superscript"/>
        </w:rPr>
        <w:t xml:space="preserve"> </w:t>
      </w:r>
      <w:r w:rsidRPr="00730D73">
        <w:rPr>
          <w:rFonts w:ascii="Arial" w:hAnsi="Arial" w:cs="Arial"/>
          <w:sz w:val="16"/>
          <w:szCs w:val="16"/>
        </w:rPr>
        <w:t xml:space="preserve">The detailed forecasts are included in Annex </w:t>
      </w:r>
      <w:r>
        <w:rPr>
          <w:rFonts w:ascii="Arial" w:hAnsi="Arial" w:cs="Arial"/>
          <w:sz w:val="16"/>
          <w:szCs w:val="16"/>
        </w:rPr>
        <w:t>IV</w:t>
      </w:r>
      <w:r w:rsidRPr="00730D73">
        <w:rPr>
          <w:rFonts w:ascii="Arial" w:hAnsi="Arial" w:cs="Arial"/>
          <w:sz w:val="16"/>
          <w:szCs w:val="16"/>
        </w:rPr>
        <w:t>.</w:t>
      </w:r>
    </w:p>
  </w:footnote>
  <w:footnote w:id="2">
    <w:p w14:paraId="2706AFAA" w14:textId="77777777" w:rsidR="00AC4500" w:rsidRPr="00B67D0A" w:rsidRDefault="00AC4500" w:rsidP="00F02301">
      <w:pPr>
        <w:pStyle w:val="FootnoteText"/>
        <w:rPr>
          <w:rFonts w:ascii="Arial" w:hAnsi="Arial" w:cs="Arial"/>
          <w:sz w:val="16"/>
          <w:szCs w:val="16"/>
        </w:rPr>
      </w:pPr>
      <w:r w:rsidRPr="004D0C42">
        <w:rPr>
          <w:rFonts w:ascii="Arial" w:hAnsi="Arial" w:cs="Arial"/>
          <w:sz w:val="16"/>
          <w:szCs w:val="16"/>
          <w:vertAlign w:val="superscript"/>
        </w:rPr>
        <w:footnoteRef/>
      </w:r>
      <w:r w:rsidRPr="004D0C42">
        <w:rPr>
          <w:rFonts w:ascii="Arial" w:hAnsi="Arial" w:cs="Arial"/>
          <w:sz w:val="16"/>
          <w:szCs w:val="16"/>
          <w:vertAlign w:val="superscript"/>
        </w:rPr>
        <w:t xml:space="preserve"> </w:t>
      </w:r>
      <w:proofErr w:type="gramStart"/>
      <w:r w:rsidRPr="00B67D0A">
        <w:rPr>
          <w:rFonts w:ascii="Arial" w:hAnsi="Arial" w:cs="Arial"/>
          <w:sz w:val="16"/>
          <w:szCs w:val="16"/>
        </w:rPr>
        <w:t>As at April 2015.</w:t>
      </w:r>
      <w:proofErr w:type="gramEnd"/>
    </w:p>
  </w:footnote>
  <w:footnote w:id="3">
    <w:p w14:paraId="017FDFDE" w14:textId="2BB0EA4C" w:rsidR="00AC4500" w:rsidRPr="00DA3F93" w:rsidRDefault="00AC4500">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rPr>
        <w:t>For details on Member States’ contributions please refer to Appendix A</w:t>
      </w:r>
      <w:r>
        <w:rPr>
          <w:rFonts w:ascii="Arial" w:hAnsi="Arial" w:cs="Arial"/>
          <w:sz w:val="16"/>
          <w:szCs w:val="16"/>
        </w:rPr>
        <w:t>.</w:t>
      </w:r>
      <w:r w:rsidRPr="00DA3F93">
        <w:rPr>
          <w:rFonts w:ascii="Arial" w:hAnsi="Arial" w:cs="Arial"/>
          <w:sz w:val="16"/>
          <w:szCs w:val="16"/>
        </w:rPr>
        <w:t xml:space="preserve"> </w:t>
      </w:r>
    </w:p>
  </w:footnote>
  <w:footnote w:id="4">
    <w:p w14:paraId="2C58149B" w14:textId="18E2B292" w:rsidR="00AC4500" w:rsidRPr="00DA3F93" w:rsidRDefault="00AC4500">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vertAlign w:val="superscript"/>
        </w:rPr>
        <w:t xml:space="preserve"> </w:t>
      </w:r>
      <w:r w:rsidRPr="00DA3F93">
        <w:rPr>
          <w:rFonts w:ascii="Arial" w:hAnsi="Arial" w:cs="Arial"/>
          <w:sz w:val="16"/>
          <w:szCs w:val="16"/>
        </w:rPr>
        <w:t xml:space="preserve">For definitions of </w:t>
      </w:r>
      <w:r>
        <w:rPr>
          <w:rFonts w:ascii="Arial" w:hAnsi="Arial" w:cs="Arial"/>
          <w:sz w:val="16"/>
          <w:szCs w:val="16"/>
        </w:rPr>
        <w:t>sources of income</w:t>
      </w:r>
      <w:r w:rsidRPr="00DA3F93">
        <w:rPr>
          <w:rFonts w:ascii="Arial" w:hAnsi="Arial" w:cs="Arial"/>
          <w:sz w:val="16"/>
          <w:szCs w:val="16"/>
        </w:rPr>
        <w:t>, please refer to Appendix B</w:t>
      </w:r>
      <w:r>
        <w:rPr>
          <w:rFonts w:ascii="Arial" w:hAnsi="Arial" w:cs="Arial"/>
          <w:sz w:val="16"/>
          <w:szCs w:val="16"/>
        </w:rPr>
        <w:t>.</w:t>
      </w:r>
    </w:p>
  </w:footnote>
  <w:footnote w:id="5">
    <w:p w14:paraId="0F52D923" w14:textId="77777777" w:rsidR="00AC4500" w:rsidRPr="004E06D4" w:rsidRDefault="00AC4500" w:rsidP="00AE288C">
      <w:pPr>
        <w:pStyle w:val="FootnoteText"/>
        <w:rPr>
          <w:rFonts w:ascii="Arial" w:hAnsi="Arial" w:cs="Arial"/>
          <w:sz w:val="16"/>
          <w:szCs w:val="16"/>
        </w:rPr>
      </w:pPr>
      <w:r w:rsidRPr="004D0C42">
        <w:rPr>
          <w:rStyle w:val="FootnoteReference"/>
          <w:rFonts w:ascii="Arial" w:hAnsi="Arial" w:cs="Arial"/>
          <w:sz w:val="18"/>
          <w:szCs w:val="16"/>
        </w:rPr>
        <w:footnoteRef/>
      </w:r>
      <w:r w:rsidRPr="004D0C42">
        <w:rPr>
          <w:rFonts w:ascii="Arial" w:hAnsi="Arial" w:cs="Arial"/>
          <w:sz w:val="18"/>
          <w:szCs w:val="16"/>
        </w:rPr>
        <w:t xml:space="preserve"> </w:t>
      </w:r>
      <w:r w:rsidRPr="004E06D4">
        <w:rPr>
          <w:rFonts w:ascii="Arial" w:hAnsi="Arial" w:cs="Arial"/>
          <w:sz w:val="16"/>
          <w:szCs w:val="16"/>
        </w:rPr>
        <w:t xml:space="preserve">WIPO’s financial statements are prepared in accordance with IPSAS, on a full accrual basis, since 2010.  </w:t>
      </w:r>
    </w:p>
  </w:footnote>
  <w:footnote w:id="6">
    <w:p w14:paraId="16095E5E" w14:textId="578753C2" w:rsidR="00AC4500" w:rsidRPr="006E3C1D" w:rsidRDefault="00AC4500">
      <w:pPr>
        <w:pStyle w:val="FootnoteText"/>
      </w:pPr>
      <w:r>
        <w:rPr>
          <w:rStyle w:val="FootnoteReference"/>
        </w:rPr>
        <w:footnoteRef/>
      </w:r>
      <w:r>
        <w:t xml:space="preserve"> </w:t>
      </w:r>
      <w:r w:rsidRPr="00DA3F93">
        <w:rPr>
          <w:rFonts w:ascii="Arial" w:hAnsi="Arial" w:cs="Arial"/>
          <w:sz w:val="16"/>
          <w:szCs w:val="16"/>
        </w:rPr>
        <w:t>See Table 6</w:t>
      </w:r>
    </w:p>
  </w:footnote>
  <w:footnote w:id="7">
    <w:p w14:paraId="4970344F" w14:textId="77777777" w:rsidR="00AC4500" w:rsidRPr="00320DE7" w:rsidRDefault="00AC4500" w:rsidP="00F02301">
      <w:pPr>
        <w:pStyle w:val="FootnoteText"/>
        <w:rPr>
          <w:rFonts w:ascii="Arial" w:hAnsi="Arial"/>
          <w:szCs w:val="18"/>
        </w:rPr>
      </w:pPr>
      <w:r w:rsidRPr="00320DE7">
        <w:rPr>
          <w:rStyle w:val="FootnoteReference"/>
          <w:rFonts w:ascii="Arial" w:hAnsi="Arial"/>
          <w:szCs w:val="18"/>
        </w:rPr>
        <w:footnoteRef/>
      </w:r>
      <w:r w:rsidRPr="00320DE7">
        <w:rPr>
          <w:rFonts w:ascii="Arial" w:hAnsi="Arial"/>
          <w:szCs w:val="18"/>
        </w:rPr>
        <w:t xml:space="preserve"> </w:t>
      </w:r>
      <w:r>
        <w:rPr>
          <w:rFonts w:ascii="Arial" w:hAnsi="Arial"/>
          <w:szCs w:val="18"/>
        </w:rPr>
        <w:t xml:space="preserve"> </w:t>
      </w:r>
      <w:r w:rsidRPr="00A31A52">
        <w:rPr>
          <w:rFonts w:ascii="Arial" w:hAnsi="Arial"/>
          <w:color w:val="000000"/>
          <w:sz w:val="16"/>
          <w:szCs w:val="16"/>
        </w:rPr>
        <w:t>Review of Budgetary Process Applied to Projects Proposed by the Committee on Development and Intellectual Property (CDIP) for the Implementation of the Development Agenda Recommendations (A/48/5 REV.)</w:t>
      </w:r>
    </w:p>
  </w:footnote>
  <w:footnote w:id="8">
    <w:p w14:paraId="7093A505" w14:textId="77777777" w:rsidR="00AC4500" w:rsidRPr="003B1A5B" w:rsidRDefault="00AC4500" w:rsidP="00F02301">
      <w:pPr>
        <w:pStyle w:val="FootnoteText"/>
        <w:rPr>
          <w:rFonts w:ascii="Arial" w:hAnsi="Arial"/>
          <w:color w:val="000000"/>
          <w:sz w:val="16"/>
          <w:szCs w:val="16"/>
        </w:rPr>
      </w:pPr>
      <w:r w:rsidRPr="00851CC8">
        <w:rPr>
          <w:rFonts w:ascii="Arial" w:hAnsi="Arial"/>
          <w:color w:val="000000"/>
          <w:szCs w:val="16"/>
          <w:vertAlign w:val="superscript"/>
        </w:rPr>
        <w:footnoteRef/>
      </w:r>
      <w:r w:rsidRPr="00851CC8">
        <w:rPr>
          <w:rFonts w:ascii="Arial" w:hAnsi="Arial"/>
          <w:color w:val="000000"/>
          <w:sz w:val="18"/>
          <w:szCs w:val="16"/>
        </w:rPr>
        <w:t xml:space="preserve"> </w:t>
      </w:r>
      <w:proofErr w:type="gramStart"/>
      <w:r w:rsidRPr="003B1A5B">
        <w:rPr>
          <w:rFonts w:ascii="Arial" w:hAnsi="Arial"/>
          <w:color w:val="000000"/>
          <w:sz w:val="16"/>
          <w:szCs w:val="16"/>
        </w:rPr>
        <w:t>Subject to approval by the Committee on Development and Intellectual Property (CDIP).</w:t>
      </w:r>
      <w:proofErr w:type="gramEnd"/>
    </w:p>
  </w:footnote>
  <w:footnote w:id="9">
    <w:p w14:paraId="492169EA" w14:textId="47409902" w:rsidR="00AC4500" w:rsidRPr="00DA3F93" w:rsidRDefault="00AC4500">
      <w:pPr>
        <w:pStyle w:val="FootnoteText"/>
        <w:rPr>
          <w:rFonts w:ascii="Arial" w:hAnsi="Arial"/>
          <w:color w:val="000000"/>
          <w:sz w:val="16"/>
          <w:szCs w:val="16"/>
        </w:rPr>
      </w:pPr>
      <w:r w:rsidRPr="00DA3F93">
        <w:rPr>
          <w:rFonts w:ascii="Arial" w:hAnsi="Arial"/>
          <w:color w:val="000000"/>
          <w:sz w:val="16"/>
          <w:szCs w:val="16"/>
        </w:rPr>
        <w:footnoteRef/>
      </w:r>
      <w:r w:rsidRPr="00DA3F93">
        <w:rPr>
          <w:rFonts w:ascii="Arial" w:hAnsi="Arial"/>
          <w:color w:val="000000"/>
          <w:sz w:val="16"/>
          <w:szCs w:val="16"/>
        </w:rPr>
        <w:t xml:space="preserve"> See table 7</w:t>
      </w:r>
      <w:r>
        <w:rPr>
          <w:rFonts w:ascii="Arial" w:hAnsi="Arial"/>
          <w:color w:val="000000"/>
          <w:sz w:val="16"/>
          <w:szCs w:val="16"/>
        </w:rPr>
        <w:t>.</w:t>
      </w:r>
    </w:p>
  </w:footnote>
  <w:footnote w:id="10">
    <w:p w14:paraId="6B2EA75A" w14:textId="77777777" w:rsidR="00AC4500" w:rsidRPr="00EB26F0" w:rsidRDefault="00AC4500" w:rsidP="00F02301">
      <w:pPr>
        <w:pStyle w:val="FootnoteText"/>
        <w:rPr>
          <w:rFonts w:ascii="Arial" w:hAnsi="Arial" w:cs="Arial"/>
          <w:sz w:val="16"/>
          <w:szCs w:val="16"/>
        </w:rPr>
      </w:pPr>
      <w:r w:rsidRPr="004D0C42">
        <w:rPr>
          <w:rStyle w:val="FootnoteReference"/>
          <w:rFonts w:ascii="Arial" w:hAnsi="Arial" w:cs="Arial"/>
          <w:sz w:val="18"/>
          <w:szCs w:val="16"/>
        </w:rPr>
        <w:footnoteRef/>
      </w:r>
      <w:r w:rsidRPr="004D0C42">
        <w:rPr>
          <w:rFonts w:ascii="Arial" w:hAnsi="Arial" w:cs="Arial"/>
          <w:sz w:val="18"/>
          <w:szCs w:val="16"/>
        </w:rPr>
        <w:t xml:space="preserve"> </w:t>
      </w:r>
      <w:r w:rsidRPr="00EB26F0">
        <w:rPr>
          <w:rFonts w:ascii="Arial" w:hAnsi="Arial" w:cs="Arial"/>
          <w:sz w:val="16"/>
          <w:szCs w:val="16"/>
        </w:rPr>
        <w:t xml:space="preserve">Due to the fact that the Program and Budget and the PPR for 2014 are prepared in parallel, any discrepancies between the two documents will be adjusted during the baseline update exercise. </w:t>
      </w:r>
    </w:p>
  </w:footnote>
  <w:footnote w:id="11">
    <w:p w14:paraId="7FF26328" w14:textId="4A38B285" w:rsidR="00AC4500" w:rsidRPr="00DA3F93" w:rsidRDefault="00AC4500">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rPr>
        <w:t xml:space="preserve"> The total non-personnel 2012/13 Approved Budget amounted to 238.8 million Swiss francs </w:t>
      </w:r>
    </w:p>
  </w:footnote>
  <w:footnote w:id="12">
    <w:p w14:paraId="77D70F2B" w14:textId="7A3B7926" w:rsidR="00AC4500" w:rsidRPr="000953C1" w:rsidRDefault="00AC4500">
      <w:pPr>
        <w:pStyle w:val="FootnoteText"/>
        <w:rPr>
          <w:rFonts w:ascii="Arial" w:hAnsi="Arial" w:cs="Arial"/>
          <w:sz w:val="16"/>
          <w:szCs w:val="16"/>
        </w:rPr>
      </w:pPr>
      <w:r w:rsidRPr="004D0C42">
        <w:rPr>
          <w:rStyle w:val="FootnoteReference"/>
          <w:rFonts w:ascii="Arial" w:hAnsi="Arial" w:cs="Arial"/>
          <w:sz w:val="18"/>
        </w:rPr>
        <w:footnoteRef/>
      </w:r>
      <w:r w:rsidRPr="00292FCD">
        <w:rPr>
          <w:rFonts w:ascii="Arial" w:hAnsi="Arial" w:cs="Arial"/>
        </w:rPr>
        <w:t xml:space="preserve"> </w:t>
      </w:r>
      <w:r w:rsidRPr="000953C1">
        <w:rPr>
          <w:rFonts w:ascii="Arial" w:hAnsi="Arial" w:cs="Arial"/>
          <w:sz w:val="16"/>
          <w:szCs w:val="16"/>
        </w:rPr>
        <w:t xml:space="preserve">A detailed description of the cost categories is </w:t>
      </w:r>
      <w:r w:rsidRPr="00350AA3">
        <w:rPr>
          <w:rFonts w:ascii="Arial" w:hAnsi="Arial" w:cs="Arial"/>
          <w:sz w:val="16"/>
          <w:szCs w:val="16"/>
        </w:rPr>
        <w:t xml:space="preserve">provided in </w:t>
      </w:r>
      <w:r w:rsidRPr="00FB68E0">
        <w:rPr>
          <w:rFonts w:ascii="Arial" w:hAnsi="Arial" w:cs="Arial"/>
          <w:sz w:val="16"/>
          <w:szCs w:val="16"/>
        </w:rPr>
        <w:t>A</w:t>
      </w:r>
      <w:r>
        <w:rPr>
          <w:rFonts w:ascii="Arial" w:hAnsi="Arial" w:cs="Arial"/>
          <w:sz w:val="16"/>
          <w:szCs w:val="16"/>
        </w:rPr>
        <w:t>ppendix</w:t>
      </w:r>
      <w:r w:rsidRPr="00FB68E0">
        <w:rPr>
          <w:rFonts w:ascii="Arial" w:hAnsi="Arial" w:cs="Arial"/>
          <w:sz w:val="16"/>
          <w:szCs w:val="16"/>
        </w:rPr>
        <w:t xml:space="preserve"> B</w:t>
      </w:r>
      <w:r>
        <w:rPr>
          <w:rFonts w:ascii="Arial" w:hAnsi="Arial" w:cs="Arial"/>
          <w:sz w:val="16"/>
          <w:szCs w:val="16"/>
        </w:rPr>
        <w:t>.</w:t>
      </w:r>
    </w:p>
  </w:footnote>
  <w:footnote w:id="13">
    <w:p w14:paraId="106DDEFB" w14:textId="77777777" w:rsidR="00AC4500" w:rsidRPr="00271EB3" w:rsidRDefault="00AC4500" w:rsidP="00F02301">
      <w:pPr>
        <w:jc w:val="both"/>
        <w:rPr>
          <w:rFonts w:ascii="Arial" w:eastAsia="SimSun" w:hAnsi="Arial" w:cs="Arial"/>
          <w:color w:val="000000"/>
          <w:sz w:val="16"/>
          <w:szCs w:val="16"/>
          <w:lang w:eastAsia="zh-CN"/>
        </w:rPr>
      </w:pPr>
      <w:r w:rsidRPr="00271EB3">
        <w:rPr>
          <w:rStyle w:val="FootnoteReference"/>
          <w:rFonts w:ascii="Arial" w:hAnsi="Arial" w:cs="Arial"/>
          <w:sz w:val="16"/>
          <w:szCs w:val="16"/>
        </w:rPr>
        <w:footnoteRef/>
      </w:r>
      <w:r w:rsidRPr="00271EB3">
        <w:rPr>
          <w:rFonts w:ascii="Arial" w:hAnsi="Arial" w:cs="Arial"/>
          <w:sz w:val="16"/>
          <w:szCs w:val="16"/>
        </w:rPr>
        <w:t xml:space="preserve"> </w:t>
      </w:r>
      <w:r w:rsidRPr="00271EB3">
        <w:rPr>
          <w:rFonts w:ascii="Arial" w:eastAsia="SimSun" w:hAnsi="Arial" w:cs="Arial"/>
          <w:b/>
          <w:bCs/>
          <w:color w:val="000000"/>
          <w:sz w:val="16"/>
          <w:szCs w:val="16"/>
          <w:lang w:eastAsia="zh-CN"/>
        </w:rPr>
        <w:t>Posts</w:t>
      </w:r>
      <w:r w:rsidRPr="00271EB3">
        <w:rPr>
          <w:rFonts w:ascii="Arial" w:eastAsia="SimSun" w:hAnsi="Arial" w:cs="Arial"/>
          <w:color w:val="000000"/>
          <w:sz w:val="16"/>
          <w:szCs w:val="16"/>
          <w:lang w:eastAsia="zh-CN"/>
        </w:rPr>
        <w:t xml:space="preserve"> – this category covers staff on fixed term, continuing or permanent contracts against approved posts in the Professional and General Services categories.</w:t>
      </w:r>
    </w:p>
    <w:p w14:paraId="62100E7C" w14:textId="77777777" w:rsidR="00AC4500" w:rsidRPr="00271EB3" w:rsidRDefault="00AC4500" w:rsidP="00F02301">
      <w:pPr>
        <w:pStyle w:val="FootnoteText"/>
        <w:rPr>
          <w:rFonts w:ascii="Arial" w:hAnsi="Arial" w:cs="Arial"/>
          <w:sz w:val="2"/>
          <w:szCs w:val="2"/>
        </w:rPr>
      </w:pPr>
    </w:p>
  </w:footnote>
  <w:footnote w:id="14">
    <w:p w14:paraId="1D0899F1" w14:textId="77777777" w:rsidR="00AC4500" w:rsidRPr="00271EB3" w:rsidRDefault="00AC4500" w:rsidP="00F02301">
      <w:pPr>
        <w:pStyle w:val="FootnoteText"/>
        <w:rPr>
          <w:rFonts w:ascii="Arial" w:hAnsi="Arial" w:cs="Arial"/>
          <w:sz w:val="16"/>
          <w:szCs w:val="16"/>
        </w:rPr>
      </w:pPr>
      <w:r w:rsidRPr="00271EB3">
        <w:rPr>
          <w:rStyle w:val="FootnoteReference"/>
          <w:rFonts w:ascii="Arial" w:hAnsi="Arial" w:cs="Arial"/>
          <w:sz w:val="16"/>
          <w:szCs w:val="16"/>
        </w:rPr>
        <w:footnoteRef/>
      </w:r>
      <w:r w:rsidRPr="00271EB3">
        <w:rPr>
          <w:rFonts w:ascii="Arial" w:hAnsi="Arial" w:cs="Arial"/>
          <w:sz w:val="16"/>
          <w:szCs w:val="16"/>
        </w:rPr>
        <w:t xml:space="preserve"> </w:t>
      </w:r>
      <w:r w:rsidRPr="00271EB3">
        <w:rPr>
          <w:rFonts w:ascii="Arial" w:eastAsia="SimSun" w:hAnsi="Arial" w:cs="Arial"/>
          <w:b/>
          <w:bCs/>
          <w:color w:val="000000"/>
          <w:sz w:val="16"/>
          <w:szCs w:val="16"/>
          <w:lang w:eastAsia="zh-CN"/>
        </w:rPr>
        <w:t>Temporary staff</w:t>
      </w:r>
      <w:r w:rsidRPr="00271EB3">
        <w:rPr>
          <w:rFonts w:ascii="Arial" w:eastAsia="SimSun" w:hAnsi="Arial" w:cs="Arial"/>
          <w:color w:val="000000"/>
          <w:sz w:val="16"/>
          <w:szCs w:val="16"/>
          <w:lang w:eastAsia="zh-CN"/>
        </w:rPr>
        <w:t xml:space="preserve"> – this category covers staff holding temporary contracts.</w:t>
      </w:r>
    </w:p>
  </w:footnote>
  <w:footnote w:id="15">
    <w:p w14:paraId="6E0685CB" w14:textId="77777777" w:rsidR="00AC4500" w:rsidRPr="00340CDB" w:rsidRDefault="00AC4500" w:rsidP="00F02301">
      <w:pPr>
        <w:pStyle w:val="FootnoteText"/>
        <w:rPr>
          <w:rFonts w:ascii="Arial" w:hAnsi="Arial" w:cs="Arial"/>
          <w:szCs w:val="18"/>
        </w:rPr>
      </w:pPr>
      <w:r w:rsidRPr="004D0C42">
        <w:rPr>
          <w:rStyle w:val="FootnoteReference"/>
          <w:rFonts w:ascii="Arial" w:hAnsi="Arial" w:cs="Arial"/>
          <w:sz w:val="16"/>
          <w:szCs w:val="16"/>
        </w:rPr>
        <w:footnoteRef/>
      </w:r>
      <w:r w:rsidRPr="004D0C42">
        <w:rPr>
          <w:rFonts w:ascii="Arial" w:hAnsi="Arial" w:cs="Arial"/>
          <w:sz w:val="16"/>
          <w:szCs w:val="16"/>
        </w:rPr>
        <w:t xml:space="preserve"> Consistent with past practice, countries with economies in transition are included for the purpose of the Program and Budget</w:t>
      </w:r>
      <w:r w:rsidRPr="003E5AF5">
        <w:rPr>
          <w:rFonts w:ascii="Arial" w:hAnsi="Arial" w:cs="Arial"/>
          <w:sz w:val="16"/>
          <w:szCs w:val="16"/>
        </w:rPr>
        <w:t>.</w:t>
      </w:r>
    </w:p>
  </w:footnote>
  <w:footnote w:id="16">
    <w:p w14:paraId="7564D758" w14:textId="5E9415E1" w:rsidR="00AC4500" w:rsidRDefault="00AC4500">
      <w:pPr>
        <w:pStyle w:val="FootnoteText"/>
      </w:pPr>
      <w:r w:rsidRPr="00AC4500">
        <w:rPr>
          <w:rStyle w:val="FootnoteReference"/>
          <w:rFonts w:ascii="Arial" w:hAnsi="Arial" w:cs="Arial"/>
          <w:sz w:val="16"/>
          <w:szCs w:val="16"/>
        </w:rPr>
        <w:footnoteRef/>
      </w:r>
      <w:r w:rsidRPr="00AC4500">
        <w:rPr>
          <w:rFonts w:ascii="Arial" w:hAnsi="Arial" w:cs="Arial"/>
          <w:sz w:val="16"/>
          <w:szCs w:val="16"/>
        </w:rPr>
        <w:t xml:space="preserve"> It is understood that possible accreditation of CMOs is not likely to begin before the second half of 2017</w:t>
      </w:r>
      <w:r>
        <w:t>.</w:t>
      </w:r>
    </w:p>
  </w:footnote>
  <w:footnote w:id="17">
    <w:p w14:paraId="580D12AA" w14:textId="315F0952" w:rsidR="00AC4500" w:rsidRDefault="00AC4500">
      <w:pPr>
        <w:pStyle w:val="FootnoteText"/>
      </w:pPr>
      <w:r w:rsidRPr="008D4CE9">
        <w:rPr>
          <w:rStyle w:val="FootnoteReference"/>
          <w:rFonts w:ascii="Arial" w:hAnsi="Arial" w:cs="Arial"/>
          <w:sz w:val="16"/>
          <w:szCs w:val="16"/>
        </w:rPr>
        <w:footnoteRef/>
      </w:r>
      <w:r>
        <w:t xml:space="preserve"> </w:t>
      </w:r>
      <w:r w:rsidRPr="00B46E15">
        <w:rPr>
          <w:rFonts w:ascii="Arial" w:hAnsi="Arial" w:cs="Arial"/>
          <w:sz w:val="16"/>
          <w:szCs w:val="16"/>
        </w:rPr>
        <w:t xml:space="preserve">Sustainable </w:t>
      </w:r>
      <w:r>
        <w:rPr>
          <w:rFonts w:ascii="Arial" w:hAnsi="Arial" w:cs="Arial"/>
          <w:sz w:val="16"/>
          <w:szCs w:val="16"/>
        </w:rPr>
        <w:t xml:space="preserve">national start-up academies </w:t>
      </w:r>
      <w:r w:rsidRPr="00B46E15">
        <w:rPr>
          <w:rFonts w:ascii="Arial" w:hAnsi="Arial" w:cs="Arial"/>
          <w:sz w:val="16"/>
          <w:szCs w:val="16"/>
        </w:rPr>
        <w:t>are financially and technically self-supporting institutions to which WIPO provides advice on demand.</w:t>
      </w:r>
    </w:p>
  </w:footnote>
  <w:footnote w:id="18">
    <w:p w14:paraId="6F6343A6" w14:textId="77777777" w:rsidR="00AC4500" w:rsidRDefault="00AC4500" w:rsidP="00B46E15">
      <w:pPr>
        <w:rPr>
          <w:rFonts w:ascii="Arial" w:hAnsi="Arial" w:cs="Arial"/>
          <w:sz w:val="20"/>
          <w:szCs w:val="20"/>
        </w:rPr>
      </w:pPr>
      <w:r w:rsidRPr="00B46E15">
        <w:rPr>
          <w:rStyle w:val="FootnoteReference"/>
          <w:rFonts w:ascii="Arial" w:hAnsi="Arial" w:cs="Arial"/>
          <w:sz w:val="16"/>
          <w:szCs w:val="16"/>
        </w:rPr>
        <w:footnoteRef/>
      </w:r>
      <w:r>
        <w:t xml:space="preserve"> </w:t>
      </w:r>
      <w:r w:rsidRPr="00B46E15">
        <w:rPr>
          <w:rFonts w:ascii="Arial" w:hAnsi="Arial" w:cs="Arial"/>
          <w:sz w:val="16"/>
          <w:szCs w:val="16"/>
        </w:rPr>
        <w:t>Sustainable TISCs are financially and technically self-supporting institutions to which WIPO provides advice on demand.</w:t>
      </w:r>
    </w:p>
    <w:p w14:paraId="16D70E00" w14:textId="7980A7D7" w:rsidR="00AC4500" w:rsidRDefault="00AC4500">
      <w:pPr>
        <w:pStyle w:val="FootnoteText"/>
      </w:pPr>
    </w:p>
  </w:footnote>
  <w:footnote w:id="19">
    <w:p w14:paraId="783D28B8" w14:textId="093AB12E" w:rsidR="00AC4500" w:rsidRDefault="00AC4500">
      <w:pPr>
        <w:pStyle w:val="FootnoteText"/>
      </w:pPr>
      <w:r w:rsidRPr="008D4CE9">
        <w:rPr>
          <w:rStyle w:val="FootnoteReference"/>
          <w:rFonts w:ascii="Arial" w:hAnsi="Arial" w:cs="Arial"/>
          <w:sz w:val="16"/>
          <w:szCs w:val="16"/>
        </w:rPr>
        <w:footnoteRef/>
      </w:r>
      <w:r>
        <w:t xml:space="preserve"> </w:t>
      </w:r>
      <w:r w:rsidRPr="00B46E15">
        <w:rPr>
          <w:rFonts w:ascii="Arial" w:hAnsi="Arial" w:cs="Arial"/>
          <w:sz w:val="16"/>
          <w:szCs w:val="16"/>
        </w:rPr>
        <w:t xml:space="preserve">Sustainable </w:t>
      </w:r>
      <w:r>
        <w:rPr>
          <w:rFonts w:ascii="Arial" w:hAnsi="Arial" w:cs="Arial"/>
          <w:sz w:val="16"/>
          <w:szCs w:val="16"/>
        </w:rPr>
        <w:t xml:space="preserve">national start-up academies </w:t>
      </w:r>
      <w:r w:rsidRPr="00B46E15">
        <w:rPr>
          <w:rFonts w:ascii="Arial" w:hAnsi="Arial" w:cs="Arial"/>
          <w:sz w:val="16"/>
          <w:szCs w:val="16"/>
        </w:rPr>
        <w:t>are financially and technically self-supporting institutions to which WIPO provides advice on demand.</w:t>
      </w:r>
    </w:p>
  </w:footnote>
  <w:footnote w:id="20">
    <w:p w14:paraId="440ABE43" w14:textId="6C1759F7" w:rsidR="00AC4500" w:rsidRDefault="00AC4500">
      <w:pPr>
        <w:pStyle w:val="FootnoteText"/>
      </w:pPr>
      <w:r w:rsidRPr="008D4CE9">
        <w:rPr>
          <w:rStyle w:val="FootnoteReference"/>
          <w:rFonts w:ascii="Arial" w:hAnsi="Arial" w:cs="Arial"/>
          <w:sz w:val="16"/>
          <w:szCs w:val="16"/>
        </w:rPr>
        <w:footnoteRef/>
      </w:r>
      <w:r w:rsidRPr="008D4CE9">
        <w:rPr>
          <w:rFonts w:ascii="Arial" w:hAnsi="Arial" w:cs="Arial"/>
          <w:sz w:val="16"/>
          <w:szCs w:val="16"/>
        </w:rPr>
        <w:t xml:space="preserve"> </w:t>
      </w:r>
      <w:r w:rsidRPr="00B46E15">
        <w:rPr>
          <w:rFonts w:ascii="Arial" w:hAnsi="Arial" w:cs="Arial"/>
          <w:sz w:val="16"/>
          <w:szCs w:val="16"/>
        </w:rPr>
        <w:t>Sustainable TISCs are financially and technically self-supporting institutions to which WIPO provides advice on demand.</w:t>
      </w:r>
    </w:p>
  </w:footnote>
  <w:footnote w:id="21">
    <w:p w14:paraId="302B12EA" w14:textId="1DD85B02" w:rsidR="00AC4500" w:rsidRDefault="00AC4500">
      <w:pPr>
        <w:pStyle w:val="FootnoteText"/>
      </w:pPr>
      <w:r w:rsidRPr="00B46E15">
        <w:rPr>
          <w:rStyle w:val="FootnoteReference"/>
          <w:rFonts w:ascii="Arial" w:hAnsi="Arial" w:cs="Arial"/>
          <w:sz w:val="16"/>
          <w:szCs w:val="16"/>
        </w:rPr>
        <w:footnoteRef/>
      </w:r>
      <w:r w:rsidRPr="00B46E15">
        <w:rPr>
          <w:sz w:val="16"/>
          <w:szCs w:val="16"/>
        </w:rPr>
        <w:t xml:space="preserve"> </w:t>
      </w:r>
      <w:r w:rsidRPr="00B46E15">
        <w:rPr>
          <w:rFonts w:ascii="Arial" w:hAnsi="Arial" w:cs="Arial"/>
          <w:sz w:val="16"/>
          <w:szCs w:val="16"/>
        </w:rPr>
        <w:t>Sustainable TISCs are financially and technically self-supporting institutions to which WIPO provides advice on demand.</w:t>
      </w:r>
    </w:p>
  </w:footnote>
  <w:footnote w:id="22">
    <w:p w14:paraId="4F666C97" w14:textId="061E0388" w:rsidR="00AC4500" w:rsidRPr="00FB68E0" w:rsidRDefault="00AC4500">
      <w:pPr>
        <w:pStyle w:val="FootnoteText"/>
        <w:rPr>
          <w:rFonts w:ascii="Arial" w:hAnsi="Arial" w:cs="Arial"/>
          <w:sz w:val="16"/>
          <w:szCs w:val="16"/>
        </w:rPr>
      </w:pPr>
      <w:r w:rsidRPr="00FB68E0">
        <w:rPr>
          <w:rStyle w:val="FootnoteReference"/>
          <w:rFonts w:ascii="Arial" w:hAnsi="Arial" w:cs="Arial"/>
          <w:sz w:val="16"/>
          <w:szCs w:val="16"/>
        </w:rPr>
        <w:footnoteRef/>
      </w:r>
      <w:r w:rsidRPr="00FB68E0">
        <w:rPr>
          <w:rFonts w:ascii="Arial" w:hAnsi="Arial" w:cs="Arial"/>
          <w:sz w:val="16"/>
          <w:szCs w:val="16"/>
        </w:rPr>
        <w:t xml:space="preserve"> Baselines and targets to be established end-2015 once the new web-based statistical tools and methodologies have been tested and confirmed </w:t>
      </w:r>
    </w:p>
  </w:footnote>
  <w:footnote w:id="23">
    <w:p w14:paraId="1ADD0E31" w14:textId="3E253016" w:rsidR="00AC4500" w:rsidRPr="00AC4500" w:rsidRDefault="00AC4500">
      <w:pPr>
        <w:pStyle w:val="FootnoteText"/>
        <w:rPr>
          <w:rFonts w:ascii="Arial" w:hAnsi="Arial" w:cs="Arial"/>
          <w:sz w:val="16"/>
          <w:szCs w:val="16"/>
        </w:rPr>
      </w:pPr>
      <w:r w:rsidRPr="00AC4500">
        <w:rPr>
          <w:rStyle w:val="FootnoteReference"/>
          <w:rFonts w:ascii="Arial" w:hAnsi="Arial" w:cs="Arial"/>
          <w:sz w:val="18"/>
          <w:szCs w:val="18"/>
        </w:rPr>
        <w:footnoteRef/>
      </w:r>
      <w:r>
        <w:rPr>
          <w:rFonts w:ascii="Arial" w:hAnsi="Arial" w:cs="Arial"/>
          <w:sz w:val="16"/>
          <w:szCs w:val="16"/>
        </w:rPr>
        <w:t>As regards the 2016/17 Proposed Budget for Program 20, please refer to the explanation in paragraph 20.22.</w:t>
      </w:r>
    </w:p>
  </w:footnote>
  <w:footnote w:id="24">
    <w:p w14:paraId="4596620F" w14:textId="77777777" w:rsidR="00AC4500" w:rsidRPr="00CA447D" w:rsidRDefault="00AC4500" w:rsidP="005A1F7F">
      <w:pPr>
        <w:pStyle w:val="FootnoteText"/>
        <w:rPr>
          <w:rFonts w:ascii="Arial" w:hAnsi="Arial" w:cs="Arial"/>
          <w:sz w:val="16"/>
          <w:szCs w:val="16"/>
        </w:rPr>
      </w:pPr>
      <w:r w:rsidRPr="00CA447D">
        <w:rPr>
          <w:rStyle w:val="FootnoteReference"/>
          <w:rFonts w:ascii="Arial" w:eastAsiaTheme="majorEastAsia" w:hAnsi="Arial" w:cs="Arial"/>
        </w:rPr>
        <w:footnoteRef/>
      </w:r>
      <w:r w:rsidRPr="00CA447D">
        <w:rPr>
          <w:rFonts w:ascii="Arial" w:hAnsi="Arial" w:cs="Arial"/>
        </w:rPr>
        <w:t xml:space="preserve"> </w:t>
      </w:r>
      <w:r>
        <w:rPr>
          <w:rFonts w:ascii="Arial" w:hAnsi="Arial" w:cs="Arial"/>
        </w:rPr>
        <w:t xml:space="preserve"> </w:t>
      </w:r>
      <w:r w:rsidRPr="00CA447D">
        <w:rPr>
          <w:rFonts w:ascii="Arial" w:hAnsi="Arial" w:cs="Arial"/>
          <w:sz w:val="16"/>
          <w:szCs w:val="16"/>
        </w:rPr>
        <w:t>All statistics are based on the date of filing of PCT applications or Chapter II demands.</w:t>
      </w:r>
    </w:p>
  </w:footnote>
  <w:footnote w:id="25">
    <w:p w14:paraId="49C5849B" w14:textId="567C601D" w:rsidR="00AC4500" w:rsidRPr="00F907A7" w:rsidRDefault="00AC4500" w:rsidP="005A1F7F">
      <w:pPr>
        <w:tabs>
          <w:tab w:val="left" w:pos="330"/>
        </w:tabs>
        <w:spacing w:after="120"/>
        <w:rPr>
          <w:rFonts w:ascii="Arial" w:hAnsi="Arial"/>
          <w:sz w:val="16"/>
          <w:szCs w:val="16"/>
        </w:rPr>
      </w:pPr>
      <w:r w:rsidRPr="000D2666">
        <w:rPr>
          <w:rStyle w:val="FootnoteReference"/>
          <w:rFonts w:ascii="Arial" w:hAnsi="Arial" w:cs="Arial"/>
          <w:sz w:val="20"/>
        </w:rPr>
        <w:footnoteRef/>
      </w:r>
      <w:r w:rsidRPr="000D2666">
        <w:rPr>
          <w:rFonts w:ascii="Arial" w:hAnsi="Arial" w:cs="Arial"/>
          <w:sz w:val="18"/>
        </w:rPr>
        <w:t xml:space="preserve"> </w:t>
      </w:r>
      <w:r w:rsidRPr="00F907A7">
        <w:rPr>
          <w:rFonts w:ascii="Arial" w:hAnsi="Arial"/>
          <w:sz w:val="16"/>
          <w:szCs w:val="16"/>
        </w:rPr>
        <w:t xml:space="preserve">A record copy is a PCT application transmitted to the International Bureau </w:t>
      </w:r>
      <w:r>
        <w:rPr>
          <w:rFonts w:ascii="Arial" w:hAnsi="Arial"/>
          <w:sz w:val="16"/>
          <w:szCs w:val="16"/>
        </w:rPr>
        <w:t xml:space="preserve">(IB) </w:t>
      </w:r>
      <w:r w:rsidRPr="00F907A7">
        <w:rPr>
          <w:rFonts w:ascii="Arial" w:hAnsi="Arial"/>
          <w:sz w:val="16"/>
          <w:szCs w:val="16"/>
        </w:rPr>
        <w:t xml:space="preserve">by a receiving </w:t>
      </w:r>
      <w:r>
        <w:rPr>
          <w:rFonts w:ascii="Arial" w:hAnsi="Arial"/>
          <w:sz w:val="16"/>
          <w:szCs w:val="16"/>
        </w:rPr>
        <w:t>O</w:t>
      </w:r>
      <w:r w:rsidRPr="00F907A7">
        <w:rPr>
          <w:rFonts w:ascii="Arial" w:hAnsi="Arial"/>
          <w:sz w:val="16"/>
          <w:szCs w:val="16"/>
        </w:rPr>
        <w:t xml:space="preserve">ffice after its filing at, and </w:t>
      </w:r>
      <w:proofErr w:type="gramStart"/>
      <w:r w:rsidRPr="00F907A7">
        <w:rPr>
          <w:rFonts w:ascii="Arial" w:hAnsi="Arial"/>
          <w:sz w:val="16"/>
          <w:szCs w:val="16"/>
        </w:rPr>
        <w:t>its</w:t>
      </w:r>
      <w:proofErr w:type="gramEnd"/>
      <w:r w:rsidRPr="00F907A7">
        <w:rPr>
          <w:rFonts w:ascii="Arial" w:hAnsi="Arial"/>
          <w:sz w:val="16"/>
          <w:szCs w:val="16"/>
        </w:rPr>
        <w:t xml:space="preserve"> processing by, that </w:t>
      </w:r>
      <w:r>
        <w:rPr>
          <w:rFonts w:ascii="Arial" w:hAnsi="Arial"/>
          <w:sz w:val="16"/>
          <w:szCs w:val="16"/>
        </w:rPr>
        <w:t>O</w:t>
      </w:r>
      <w:r w:rsidRPr="00F907A7">
        <w:rPr>
          <w:rFonts w:ascii="Arial" w:hAnsi="Arial"/>
          <w:sz w:val="16"/>
          <w:szCs w:val="16"/>
        </w:rPr>
        <w:t>ffice.  B</w:t>
      </w:r>
      <w:proofErr w:type="spellStart"/>
      <w:r w:rsidRPr="00F907A7">
        <w:rPr>
          <w:rFonts w:ascii="Arial" w:hAnsi="Arial"/>
          <w:sz w:val="16"/>
          <w:szCs w:val="16"/>
          <w:lang w:val="en-GB"/>
        </w:rPr>
        <w:t>ecause</w:t>
      </w:r>
      <w:proofErr w:type="spellEnd"/>
      <w:r w:rsidRPr="00F907A7">
        <w:rPr>
          <w:rFonts w:ascii="Arial" w:hAnsi="Arial"/>
          <w:sz w:val="16"/>
          <w:szCs w:val="16"/>
          <w:lang w:val="en-GB"/>
        </w:rPr>
        <w:t xml:space="preserve"> record copies are only received at the IB after processing at a receiving Office, the figures are strongly influenced by processing times at the</w:t>
      </w:r>
      <w:r>
        <w:rPr>
          <w:rFonts w:ascii="Arial" w:hAnsi="Arial"/>
          <w:sz w:val="16"/>
          <w:szCs w:val="16"/>
          <w:lang w:val="en-GB"/>
        </w:rPr>
        <w:t>se</w:t>
      </w:r>
      <w:r w:rsidRPr="00F907A7">
        <w:rPr>
          <w:rFonts w:ascii="Arial" w:hAnsi="Arial"/>
          <w:sz w:val="16"/>
          <w:szCs w:val="16"/>
          <w:lang w:val="en-GB"/>
        </w:rPr>
        <w:t xml:space="preserve"> Offices. </w:t>
      </w:r>
      <w:r>
        <w:rPr>
          <w:rFonts w:ascii="Arial" w:hAnsi="Arial"/>
          <w:sz w:val="16"/>
          <w:szCs w:val="16"/>
          <w:lang w:val="en-GB"/>
        </w:rPr>
        <w:t xml:space="preserve"> </w:t>
      </w:r>
      <w:r w:rsidRPr="00F907A7">
        <w:rPr>
          <w:rFonts w:ascii="Arial" w:hAnsi="Arial"/>
          <w:sz w:val="16"/>
          <w:szCs w:val="16"/>
          <w:lang w:val="en-GB"/>
        </w:rPr>
        <w:t xml:space="preserve">For this reason, trends in the receipt of record copies, while valid indicators of IB </w:t>
      </w:r>
      <w:proofErr w:type="gramStart"/>
      <w:r w:rsidRPr="00F907A7">
        <w:rPr>
          <w:rFonts w:ascii="Arial" w:hAnsi="Arial"/>
          <w:sz w:val="16"/>
          <w:szCs w:val="16"/>
          <w:lang w:val="en-GB"/>
        </w:rPr>
        <w:t>workloads</w:t>
      </w:r>
      <w:r>
        <w:rPr>
          <w:rFonts w:ascii="Arial" w:hAnsi="Arial"/>
          <w:sz w:val="16"/>
          <w:szCs w:val="16"/>
          <w:lang w:val="en-GB"/>
        </w:rPr>
        <w:t>,</w:t>
      </w:r>
      <w:proofErr w:type="gramEnd"/>
      <w:r w:rsidRPr="00F907A7">
        <w:rPr>
          <w:rFonts w:ascii="Arial" w:hAnsi="Arial"/>
          <w:sz w:val="16"/>
          <w:szCs w:val="16"/>
          <w:lang w:val="en-GB"/>
        </w:rPr>
        <w:t xml:space="preserve"> do </w:t>
      </w:r>
      <w:proofErr w:type="spellStart"/>
      <w:r w:rsidRPr="00F907A7">
        <w:rPr>
          <w:rFonts w:ascii="Arial" w:hAnsi="Arial"/>
          <w:sz w:val="16"/>
          <w:szCs w:val="16"/>
          <w:lang w:val="en-GB"/>
        </w:rPr>
        <w:t>no</w:t>
      </w:r>
      <w:proofErr w:type="spellEnd"/>
      <w:r>
        <w:rPr>
          <w:rFonts w:ascii="Arial" w:hAnsi="Arial"/>
          <w:sz w:val="16"/>
          <w:szCs w:val="16"/>
          <w:lang w:val="en-GB"/>
        </w:rPr>
        <w:t xml:space="preserve"> exactly match trends in the filing</w:t>
      </w:r>
      <w:r w:rsidRPr="00F907A7">
        <w:rPr>
          <w:rFonts w:ascii="Arial" w:hAnsi="Arial"/>
          <w:sz w:val="16"/>
          <w:szCs w:val="16"/>
          <w:lang w:val="en-GB"/>
        </w:rPr>
        <w:t xml:space="preserve"> of PCT applications.</w:t>
      </w:r>
    </w:p>
  </w:footnote>
  <w:footnote w:id="26">
    <w:p w14:paraId="397D0753" w14:textId="77777777" w:rsidR="00AC4500" w:rsidRPr="000D2666" w:rsidRDefault="00AC4500">
      <w:pPr>
        <w:rPr>
          <w:sz w:val="20"/>
        </w:rPr>
      </w:pPr>
      <w:r w:rsidRPr="000D2666">
        <w:rPr>
          <w:rStyle w:val="FootnoteReference"/>
          <w:rFonts w:ascii="Arial" w:hAnsi="Arial" w:cs="Arial"/>
          <w:sz w:val="18"/>
          <w:szCs w:val="18"/>
        </w:rPr>
        <w:footnoteRef/>
      </w:r>
      <w:r w:rsidRPr="000D2666">
        <w:rPr>
          <w:rFonts w:ascii="Arial" w:hAnsi="Arial" w:cs="Arial"/>
          <w:sz w:val="18"/>
          <w:szCs w:val="18"/>
        </w:rPr>
        <w:t xml:space="preserve"> </w:t>
      </w:r>
      <w:r w:rsidRPr="000D2666">
        <w:rPr>
          <w:rFonts w:ascii="Arial" w:hAnsi="Arial" w:cs="Arial"/>
          <w:sz w:val="16"/>
          <w:szCs w:val="18"/>
        </w:rPr>
        <w:t xml:space="preserve">Following an independent review of PCTIS performance metrics, its definition slightly changed from the one </w:t>
      </w:r>
      <w:r w:rsidRPr="000D2666">
        <w:rPr>
          <w:rFonts w:ascii="Arial" w:hAnsi="Arial" w:cs="Arial"/>
          <w:sz w:val="16"/>
          <w:szCs w:val="18"/>
          <w:lang w:val="en-GB"/>
        </w:rPr>
        <w:t>described in the Program and Budget 2014/15</w:t>
      </w:r>
    </w:p>
  </w:footnote>
  <w:footnote w:id="27">
    <w:p w14:paraId="5048EB8F" w14:textId="77777777" w:rsidR="00AC4500" w:rsidRPr="004469FF" w:rsidRDefault="00AC4500" w:rsidP="005A1F7F">
      <w:pPr>
        <w:pStyle w:val="FootnoteText"/>
      </w:pPr>
      <w:r w:rsidRPr="0043175E">
        <w:rPr>
          <w:rStyle w:val="FootnoteReference"/>
          <w:rFonts w:ascii="Arial" w:hAnsi="Arial" w:cs="Arial"/>
        </w:rPr>
        <w:footnoteRef/>
      </w:r>
      <w:r w:rsidRPr="0043175E">
        <w:rPr>
          <w:rFonts w:ascii="Arial" w:hAnsi="Arial" w:cs="Arial"/>
        </w:rPr>
        <w:t xml:space="preserve">  </w:t>
      </w:r>
      <w:proofErr w:type="gramStart"/>
      <w:r w:rsidRPr="0043175E">
        <w:rPr>
          <w:rFonts w:ascii="Arial" w:hAnsi="Arial" w:cs="Arial"/>
          <w:sz w:val="18"/>
        </w:rPr>
        <w:t>See “Total workload” above</w:t>
      </w:r>
      <w:r>
        <w:rPr>
          <w:rFonts w:ascii="Arial" w:hAnsi="Arial" w:cs="Arial"/>
          <w:sz w:val="18"/>
        </w:rPr>
        <w:t>.</w:t>
      </w:r>
      <w:proofErr w:type="gramEnd"/>
    </w:p>
  </w:footnote>
  <w:footnote w:id="28">
    <w:p w14:paraId="1881AA16" w14:textId="7C8010DF" w:rsidR="00AC4500" w:rsidRPr="0043175E" w:rsidRDefault="00AC4500" w:rsidP="005A1F7F">
      <w:pPr>
        <w:pStyle w:val="FootnoteText"/>
        <w:rPr>
          <w:rFonts w:ascii="Arial" w:hAnsi="Arial" w:cs="Arial"/>
          <w:sz w:val="18"/>
          <w:szCs w:val="18"/>
        </w:rPr>
      </w:pPr>
      <w:r w:rsidRPr="0043175E">
        <w:rPr>
          <w:rStyle w:val="FootnoteReference"/>
          <w:rFonts w:ascii="Arial" w:hAnsi="Arial" w:cs="Arial"/>
          <w:sz w:val="18"/>
          <w:szCs w:val="18"/>
        </w:rPr>
        <w:footnoteRef/>
      </w:r>
      <w:r w:rsidRPr="0043175E">
        <w:rPr>
          <w:rFonts w:ascii="Arial" w:hAnsi="Arial" w:cs="Arial"/>
          <w:sz w:val="18"/>
          <w:szCs w:val="18"/>
        </w:rPr>
        <w:t xml:space="preserve"> </w:t>
      </w:r>
      <w:proofErr w:type="gramStart"/>
      <w:r w:rsidRPr="004D0C42">
        <w:rPr>
          <w:rFonts w:ascii="Arial" w:hAnsi="Arial" w:cs="Arial"/>
          <w:sz w:val="16"/>
          <w:szCs w:val="18"/>
        </w:rPr>
        <w:t>See “Total workload” above</w:t>
      </w:r>
      <w:r>
        <w:rPr>
          <w:rFonts w:ascii="Arial" w:hAnsi="Arial" w:cs="Arial"/>
          <w:sz w:val="16"/>
          <w:szCs w:val="18"/>
        </w:rPr>
        <w:t>.</w:t>
      </w:r>
      <w:proofErr w:type="gramEnd"/>
    </w:p>
  </w:footnote>
  <w:footnote w:id="29">
    <w:p w14:paraId="7C1C673B" w14:textId="77777777" w:rsidR="00AC4500" w:rsidRPr="00613F8E" w:rsidRDefault="00AC4500">
      <w:pPr>
        <w:pStyle w:val="FootnoteText"/>
        <w:rPr>
          <w:rFonts w:ascii="Arial" w:hAnsi="Arial" w:cs="Arial"/>
          <w:sz w:val="18"/>
        </w:rPr>
      </w:pPr>
      <w:r w:rsidRPr="00DC6A4E">
        <w:rPr>
          <w:rStyle w:val="FootnoteReference"/>
          <w:rFonts w:ascii="Arial" w:hAnsi="Arial" w:cs="Arial"/>
        </w:rPr>
        <w:footnoteRef/>
      </w:r>
      <w:r w:rsidRPr="00DC6A4E">
        <w:rPr>
          <w:rFonts w:ascii="Arial" w:hAnsi="Arial" w:cs="Arial"/>
        </w:rPr>
        <w:t xml:space="preserve"> </w:t>
      </w:r>
      <w:r w:rsidRPr="00613F8E">
        <w:rPr>
          <w:rFonts w:ascii="Arial" w:hAnsi="Arial" w:cs="Arial"/>
          <w:sz w:val="16"/>
        </w:rPr>
        <w:t>The Madrid System provides support to the Hague System, in particular in translation and IT activities. These costs were disregarded in this method</w:t>
      </w:r>
      <w:r w:rsidRPr="00613F8E">
        <w:rPr>
          <w:rFonts w:ascii="Arial" w:hAnsi="Arial" w:cs="Arial"/>
          <w:sz w:val="14"/>
        </w:rPr>
        <w:t>.</w:t>
      </w:r>
    </w:p>
  </w:footnote>
  <w:footnote w:id="30">
    <w:p w14:paraId="68B139CB" w14:textId="77777777" w:rsidR="00AC4500" w:rsidRPr="00613F8E" w:rsidRDefault="00AC4500" w:rsidP="005A1F7F">
      <w:pPr>
        <w:pStyle w:val="FootnoteText"/>
        <w:rPr>
          <w:rFonts w:ascii="Arial" w:hAnsi="Arial" w:cs="Arial"/>
          <w:sz w:val="16"/>
          <w:szCs w:val="16"/>
        </w:rPr>
      </w:pPr>
      <w:r w:rsidRPr="00DC6A4E">
        <w:rPr>
          <w:rStyle w:val="FootnoteReference"/>
          <w:rFonts w:ascii="Arial" w:hAnsi="Arial" w:cs="Arial"/>
        </w:rPr>
        <w:footnoteRef/>
      </w:r>
      <w:r w:rsidRPr="00DC6A4E">
        <w:rPr>
          <w:rFonts w:ascii="Arial" w:hAnsi="Arial" w:cs="Arial"/>
        </w:rPr>
        <w:t xml:space="preserve"> </w:t>
      </w:r>
      <w:r w:rsidRPr="00613F8E">
        <w:rPr>
          <w:rFonts w:ascii="Arial" w:hAnsi="Arial" w:cs="Arial"/>
          <w:sz w:val="16"/>
          <w:szCs w:val="16"/>
        </w:rPr>
        <w:t>See “Total workload” above</w:t>
      </w:r>
    </w:p>
  </w:footnote>
  <w:footnote w:id="31">
    <w:p w14:paraId="72030838" w14:textId="58144122" w:rsidR="00AC4500" w:rsidRPr="00613F8E" w:rsidRDefault="00AC4500" w:rsidP="005A1F7F">
      <w:pPr>
        <w:pStyle w:val="FootnoteText"/>
        <w:rPr>
          <w:rFonts w:ascii="Arial" w:hAnsi="Arial" w:cs="Arial"/>
          <w:sz w:val="16"/>
          <w:szCs w:val="16"/>
        </w:rPr>
      </w:pPr>
      <w:r w:rsidRPr="00613F8E">
        <w:rPr>
          <w:rStyle w:val="FootnoteReference"/>
          <w:rFonts w:ascii="Arial" w:hAnsi="Arial" w:cs="Arial"/>
          <w:szCs w:val="16"/>
        </w:rPr>
        <w:footnoteRef/>
      </w:r>
      <w:r w:rsidRPr="00613F8E">
        <w:rPr>
          <w:rFonts w:ascii="Arial" w:hAnsi="Arial" w:cs="Arial"/>
          <w:sz w:val="16"/>
          <w:szCs w:val="16"/>
        </w:rPr>
        <w:t xml:space="preserve"> See the ratios for applications and renewals in “Total workload”, above</w:t>
      </w:r>
      <w:r>
        <w:rPr>
          <w:rFonts w:ascii="Arial" w:hAnsi="Arial" w:cs="Arial"/>
          <w:sz w:val="16"/>
          <w:szCs w:val="16"/>
        </w:rPr>
        <w:t>.</w:t>
      </w:r>
    </w:p>
  </w:footnote>
  <w:footnote w:id="32">
    <w:p w14:paraId="19F0BC4A" w14:textId="05647111" w:rsidR="00AC4500" w:rsidRDefault="00AC4500">
      <w:pPr>
        <w:pStyle w:val="FootnoteText"/>
      </w:pPr>
      <w:r w:rsidRPr="003B57BC">
        <w:rPr>
          <w:rStyle w:val="FootnoteReference"/>
          <w:rFonts w:ascii="Arial" w:hAnsi="Arial" w:cs="Arial"/>
          <w:sz w:val="16"/>
          <w:szCs w:val="16"/>
        </w:rPr>
        <w:footnoteRef/>
      </w:r>
      <w:r w:rsidRPr="003B57BC">
        <w:rPr>
          <w:rFonts w:ascii="Arial" w:hAnsi="Arial" w:cs="Arial"/>
          <w:sz w:val="16"/>
          <w:szCs w:val="16"/>
        </w:rPr>
        <w:t xml:space="preserve"> </w:t>
      </w:r>
      <w:r w:rsidRPr="003B57BC">
        <w:rPr>
          <w:rFonts w:ascii="Arial" w:eastAsiaTheme="minorHAnsi" w:hAnsi="Arial" w:cs="Arial"/>
          <w:bCs/>
          <w:i/>
          <w:sz w:val="16"/>
          <w:szCs w:val="16"/>
        </w:rPr>
        <w:t>Salary scale for the Professional and higher categories as of 1 Jan 2015;  Pensionable remuneration scale as of February</w:t>
      </w:r>
      <w:r>
        <w:rPr>
          <w:rFonts w:ascii="Arial" w:eastAsiaTheme="minorHAnsi" w:hAnsi="Arial" w:cs="Arial"/>
          <w:bCs/>
          <w:i/>
          <w:sz w:val="16"/>
          <w:szCs w:val="16"/>
        </w:rPr>
        <w:t> </w:t>
      </w:r>
      <w:r w:rsidRPr="003B57BC">
        <w:rPr>
          <w:rFonts w:ascii="Arial" w:eastAsiaTheme="minorHAnsi" w:hAnsi="Arial" w:cs="Arial"/>
          <w:bCs/>
          <w:i/>
          <w:sz w:val="16"/>
          <w:szCs w:val="16"/>
        </w:rPr>
        <w:t>2013</w:t>
      </w:r>
      <w:r>
        <w:rPr>
          <w:rFonts w:ascii="Arial" w:eastAsiaTheme="minorHAnsi" w:hAnsi="Arial" w:cs="Arial"/>
          <w:bCs/>
          <w:i/>
          <w:sz w:val="16"/>
          <w:szCs w:val="16"/>
        </w:rPr>
        <w:t xml:space="preserve">;  </w:t>
      </w:r>
      <w:r w:rsidRPr="003B57BC">
        <w:rPr>
          <w:rFonts w:ascii="Arial" w:eastAsiaTheme="minorHAnsi" w:hAnsi="Arial" w:cs="Arial"/>
          <w:bCs/>
          <w:i/>
          <w:sz w:val="16"/>
          <w:szCs w:val="16"/>
        </w:rPr>
        <w:t xml:space="preserve">General Service Category </w:t>
      </w:r>
      <w:r w:rsidRPr="00FB68E0">
        <w:rPr>
          <w:rFonts w:ascii="Arial" w:eastAsiaTheme="minorHAnsi" w:hAnsi="Arial" w:cs="Arial"/>
          <w:bCs/>
          <w:i/>
          <w:sz w:val="16"/>
          <w:szCs w:val="16"/>
        </w:rPr>
        <w:t>Annual salaries and Allowances as of 1 April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5A211" w14:textId="77777777" w:rsidR="00AC4500" w:rsidRPr="008D4CE9" w:rsidRDefault="00AC4500" w:rsidP="008D4CE9">
    <w:pPr>
      <w:pStyle w:val="Header"/>
      <w:jc w:val="right"/>
      <w:rPr>
        <w:rFonts w:ascii="Arial" w:hAnsi="Arial" w:cs="Arial"/>
      </w:rPr>
    </w:pPr>
  </w:p>
  <w:p w14:paraId="5FD76D32" w14:textId="77777777" w:rsidR="00AC4500" w:rsidRPr="008D4CE9" w:rsidRDefault="00AC4500" w:rsidP="008D4CE9">
    <w:pPr>
      <w:pStyle w:val="Header"/>
      <w:jc w:val="right"/>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0D54" w14:textId="77777777" w:rsidR="002026B1" w:rsidRDefault="002026B1" w:rsidP="002026B1">
    <w:pPr>
      <w:pStyle w:val="Header"/>
      <w:jc w:val="right"/>
      <w:rPr>
        <w:rFonts w:ascii="Arial" w:hAnsi="Arial" w:cs="Arial"/>
        <w:b/>
        <w:bCs/>
        <w:sz w:val="18"/>
        <w:szCs w:val="18"/>
      </w:rPr>
    </w:pPr>
    <w:r>
      <w:rPr>
        <w:rFonts w:ascii="Arial" w:hAnsi="Arial" w:cs="Arial"/>
        <w:b/>
        <w:bCs/>
        <w:sz w:val="18"/>
        <w:szCs w:val="18"/>
      </w:rPr>
      <w:t>Proposed Program and Budget 2016/17</w:t>
    </w:r>
  </w:p>
  <w:p w14:paraId="036A4026" w14:textId="77777777" w:rsidR="002026B1" w:rsidRDefault="002026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3503" w14:textId="7F4CF4CB" w:rsidR="00AC4500" w:rsidRDefault="00AC4500" w:rsidP="00F02301">
    <w:pPr>
      <w:pStyle w:val="Header"/>
      <w:rPr>
        <w:rFonts w:ascii="Arial" w:hAnsi="Arial" w:cs="Arial"/>
        <w:b/>
        <w:bCs/>
        <w:sz w:val="18"/>
        <w:szCs w:val="18"/>
      </w:rPr>
    </w:pPr>
    <w:r>
      <w:rPr>
        <w:rFonts w:ascii="Arial" w:hAnsi="Arial" w:cs="Arial"/>
        <w:b/>
        <w:bCs/>
        <w:sz w:val="18"/>
        <w:szCs w:val="18"/>
      </w:rPr>
      <w:t>Proposed Program and Budget 2016/17</w:t>
    </w:r>
  </w:p>
  <w:p w14:paraId="50C17726" w14:textId="77777777" w:rsidR="00AC4500" w:rsidRDefault="00AC4500" w:rsidP="00F02301">
    <w:pPr>
      <w:pStyle w:val="Header"/>
      <w:rPr>
        <w:rFonts w:ascii="Arial" w:hAnsi="Arial" w:cs="Arial"/>
        <w:b/>
        <w:bCs/>
        <w:sz w:val="18"/>
        <w:szCs w:val="18"/>
      </w:rPr>
    </w:pPr>
  </w:p>
  <w:p w14:paraId="5E2C87B5" w14:textId="77777777" w:rsidR="00AC4500" w:rsidRPr="00B336F5" w:rsidRDefault="00AC4500" w:rsidP="00F02301">
    <w:pPr>
      <w:pStyle w:val="Header"/>
      <w:rPr>
        <w:rFonts w:ascii="Arial" w:hAnsi="Arial" w:cs="Arial"/>
        <w:b/>
        <w:bCs/>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1393" w14:textId="4657FEDD" w:rsidR="00AC4500" w:rsidRPr="0054556A" w:rsidRDefault="00AC4500" w:rsidP="005A1F7F">
    <w:pPr>
      <w:pStyle w:val="Header"/>
      <w:rPr>
        <w:rFonts w:ascii="Arial" w:hAnsi="Arial" w:cs="Arial"/>
        <w:b/>
        <w:sz w:val="18"/>
        <w:szCs w:val="18"/>
      </w:rPr>
    </w:pPr>
    <w:r>
      <w:rPr>
        <w:rFonts w:ascii="Arial" w:hAnsi="Arial" w:cs="Arial"/>
        <w:b/>
        <w:sz w:val="18"/>
        <w:szCs w:val="18"/>
      </w:rPr>
      <w:t>Proposed Program and Budget 2016/17</w:t>
    </w:r>
  </w:p>
  <w:p w14:paraId="283BB942" w14:textId="77777777" w:rsidR="00AC4500" w:rsidRDefault="00AC4500" w:rsidP="005A1F7F">
    <w:pPr>
      <w:pStyle w:val="Header"/>
      <w:rPr>
        <w:rFonts w:ascii="Arial" w:hAnsi="Arial" w:cs="Arial"/>
        <w:sz w:val="18"/>
        <w:szCs w:val="18"/>
      </w:rPr>
    </w:pPr>
  </w:p>
  <w:p w14:paraId="163EDE10" w14:textId="77777777" w:rsidR="00AC4500" w:rsidRPr="00101F3F" w:rsidRDefault="00AC4500" w:rsidP="005A1F7F">
    <w:pPr>
      <w:pStyle w:val="Header"/>
      <w:jc w:val="right"/>
      <w:rPr>
        <w:rFonts w:ascii="Arial" w:hAnsi="Arial"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EC42" w14:textId="38D94C83" w:rsidR="00AC4500" w:rsidRPr="0054556A" w:rsidRDefault="00AC4500" w:rsidP="005A1F7F">
    <w:pPr>
      <w:pStyle w:val="Header"/>
      <w:jc w:val="right"/>
      <w:rPr>
        <w:rFonts w:ascii="Arial" w:hAnsi="Arial" w:cs="Arial"/>
        <w:b/>
        <w:sz w:val="18"/>
        <w:szCs w:val="18"/>
      </w:rPr>
    </w:pPr>
    <w:r>
      <w:rPr>
        <w:rFonts w:ascii="Arial" w:hAnsi="Arial" w:cs="Arial"/>
        <w:b/>
        <w:sz w:val="18"/>
        <w:szCs w:val="18"/>
      </w:rPr>
      <w:t>Proposed Program and Budget for 2016/17</w:t>
    </w:r>
  </w:p>
  <w:p w14:paraId="4FCB7984" w14:textId="77777777" w:rsidR="00AC4500" w:rsidRDefault="00AC4500" w:rsidP="005A1F7F">
    <w:pPr>
      <w:pStyle w:val="Header"/>
      <w:jc w:val="right"/>
      <w:rPr>
        <w:rFonts w:ascii="Arial" w:hAnsi="Arial" w:cs="Arial"/>
        <w:sz w:val="18"/>
        <w:szCs w:val="18"/>
      </w:rPr>
    </w:pPr>
  </w:p>
  <w:p w14:paraId="4C01991D" w14:textId="77777777" w:rsidR="00AC4500" w:rsidRPr="00101F3F" w:rsidRDefault="00AC4500" w:rsidP="005A1F7F">
    <w:pPr>
      <w:pStyle w:val="Header"/>
      <w:jc w:val="right"/>
      <w:rPr>
        <w:rFonts w:ascii="Arial" w:hAnsi="Arial" w:cs="Arial"/>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2E8C26AB" w:rsidR="00AC4500" w:rsidRPr="0054556A" w:rsidRDefault="00AC4500" w:rsidP="00F04E0B">
    <w:pPr>
      <w:pStyle w:val="Header"/>
      <w:rPr>
        <w:rFonts w:ascii="Arial" w:hAnsi="Arial" w:cs="Arial"/>
        <w:b/>
        <w:sz w:val="18"/>
        <w:szCs w:val="18"/>
      </w:rPr>
    </w:pPr>
    <w:r>
      <w:rPr>
        <w:rFonts w:ascii="Arial" w:hAnsi="Arial" w:cs="Arial"/>
        <w:b/>
        <w:sz w:val="18"/>
        <w:szCs w:val="18"/>
      </w:rPr>
      <w:t>Proposed Program and Budget for 2016/17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6">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DF6A28"/>
    <w:multiLevelType w:val="hybridMultilevel"/>
    <w:tmpl w:val="C262D1BE"/>
    <w:lvl w:ilvl="0" w:tplc="164CB550">
      <w:start w:val="1"/>
      <w:numFmt w:val="decimal"/>
      <w:lvlText w:val="28.%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E97CFA"/>
    <w:multiLevelType w:val="hybridMultilevel"/>
    <w:tmpl w:val="DC44AAB2"/>
    <w:lvl w:ilvl="0" w:tplc="16B451D6">
      <w:start w:val="1"/>
      <w:numFmt w:val="lowerRoman"/>
      <w:lvlText w:val="&quot;(%1)"/>
      <w:lvlJc w:val="left"/>
      <w:pPr>
        <w:ind w:left="1080" w:hanging="720"/>
      </w:pPr>
      <w:rPr>
        <w:rFonts w:hint="default"/>
      </w:rPr>
    </w:lvl>
    <w:lvl w:ilvl="1" w:tplc="6F1606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FD92605"/>
    <w:multiLevelType w:val="hybridMultilevel"/>
    <w:tmpl w:val="99AABF1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547780"/>
    <w:multiLevelType w:val="hybridMultilevel"/>
    <w:tmpl w:val="2B9A23F0"/>
    <w:lvl w:ilvl="0" w:tplc="A3C68D84">
      <w:start w:val="1"/>
      <w:numFmt w:val="decimal"/>
      <w:lvlRestart w:val="0"/>
      <w:lvlText w:val="21.%1."/>
      <w:lvlJc w:val="left"/>
      <w:pPr>
        <w:tabs>
          <w:tab w:val="num" w:pos="680"/>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8">
    <w:nsid w:val="178B5A9C"/>
    <w:multiLevelType w:val="multilevel"/>
    <w:tmpl w:val="9BE89706"/>
    <w:lvl w:ilvl="0">
      <w:start w:val="1"/>
      <w:numFmt w:val="decimal"/>
      <w:lvlRestart w:val="0"/>
      <w:pStyle w:val="ONUME"/>
      <w:lvlText w:val="%1."/>
      <w:lvlJc w:val="left"/>
      <w:pPr>
        <w:tabs>
          <w:tab w:val="num" w:pos="567"/>
        </w:tabs>
        <w:ind w:left="0" w:firstLine="0"/>
      </w:pPr>
      <w:rPr>
        <w:rFonts w:hint="default"/>
        <w:b w:val="0"/>
        <w:bCs/>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2">
    <w:nsid w:val="246747EC"/>
    <w:multiLevelType w:val="hybridMultilevel"/>
    <w:tmpl w:val="34AABE42"/>
    <w:lvl w:ilvl="0" w:tplc="AB8C9374">
      <w:start w:val="1"/>
      <w:numFmt w:val="decimal"/>
      <w:lvlText w:val="14.%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4">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8">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CAF703A"/>
    <w:multiLevelType w:val="hybridMultilevel"/>
    <w:tmpl w:val="5B16E47E"/>
    <w:lvl w:ilvl="0" w:tplc="ADA8ABFE">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3">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1402651"/>
    <w:multiLevelType w:val="hybridMultilevel"/>
    <w:tmpl w:val="6C00A2A8"/>
    <w:lvl w:ilvl="0" w:tplc="21FAD320">
      <w:start w:val="1"/>
      <w:numFmt w:val="lowerRoman"/>
      <w:lvlText w:val="(%1)"/>
      <w:lvlJc w:val="left"/>
      <w:pPr>
        <w:ind w:left="1080" w:hanging="72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8">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9">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0736D2"/>
    <w:multiLevelType w:val="multilevel"/>
    <w:tmpl w:val="D3D29B48"/>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color w:val="auto"/>
        <w:w w:val="98"/>
        <w:position w:val="1"/>
        <w:sz w:val="20"/>
        <w:szCs w:val="20"/>
      </w:rPr>
    </w:lvl>
    <w:lvl w:ilvl="2">
      <w:start w:val="1"/>
      <w:numFmt w:val="lowerRoman"/>
      <w:lvlText w:val="(%3)"/>
      <w:lvlJc w:val="left"/>
      <w:pPr>
        <w:ind w:hanging="562"/>
      </w:pPr>
      <w:rPr>
        <w:rFonts w:ascii="Arial" w:eastAsia="Arial" w:hAnsi="Arial"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A85A25"/>
    <w:multiLevelType w:val="hybridMultilevel"/>
    <w:tmpl w:val="EB3E49EE"/>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0F0D6F"/>
    <w:multiLevelType w:val="hybridMultilevel"/>
    <w:tmpl w:val="7D36EC52"/>
    <w:lvl w:ilvl="0" w:tplc="CEA40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A91F7F"/>
    <w:multiLevelType w:val="hybridMultilevel"/>
    <w:tmpl w:val="E0467898"/>
    <w:lvl w:ilvl="0" w:tplc="BC0A62E8">
      <w:start w:val="1"/>
      <w:numFmt w:val="decimal"/>
      <w:lvlRestart w:val="0"/>
      <w:lvlText w:val="3.%1."/>
      <w:lvlJc w:val="left"/>
      <w:pPr>
        <w:tabs>
          <w:tab w:val="num" w:pos="680"/>
        </w:tabs>
        <w:ind w:left="0" w:firstLine="0"/>
      </w:pPr>
      <w:rPr>
        <w:rFonts w:ascii="Arial" w:hAnsi="Arial" w:cs="Arial" w:hint="default"/>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0EA46D4"/>
    <w:multiLevelType w:val="hybridMultilevel"/>
    <w:tmpl w:val="0F0CB76E"/>
    <w:lvl w:ilvl="0" w:tplc="ADA8ABFE">
      <w:start w:val="1"/>
      <w:numFmt w:val="decimal"/>
      <w:lvlText w:val="3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895133"/>
    <w:multiLevelType w:val="hybridMultilevel"/>
    <w:tmpl w:val="7A70A7FA"/>
    <w:lvl w:ilvl="0" w:tplc="05FE42D0">
      <w:start w:val="1"/>
      <w:numFmt w:val="lowerRoman"/>
      <w:lvlRestart w:val="0"/>
      <w:lvlText w:val="&quot;(%1)"/>
      <w:lvlJc w:val="left"/>
      <w:pPr>
        <w:tabs>
          <w:tab w:val="num" w:pos="1146"/>
        </w:tabs>
        <w:ind w:left="1060" w:hanging="3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4B65F3B"/>
    <w:multiLevelType w:val="hybridMultilevel"/>
    <w:tmpl w:val="8564EF2A"/>
    <w:lvl w:ilvl="0" w:tplc="ADA8ABFE">
      <w:start w:val="1"/>
      <w:numFmt w:val="decimal"/>
      <w:lvlText w:val="32.%1"/>
      <w:lvlJc w:val="left"/>
      <w:pPr>
        <w:tabs>
          <w:tab w:val="num" w:pos="680"/>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74">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3"/>
  </w:num>
  <w:num w:numId="3">
    <w:abstractNumId w:val="56"/>
  </w:num>
  <w:num w:numId="4">
    <w:abstractNumId w:val="55"/>
  </w:num>
  <w:num w:numId="5">
    <w:abstractNumId w:val="57"/>
  </w:num>
  <w:num w:numId="6">
    <w:abstractNumId w:val="47"/>
  </w:num>
  <w:num w:numId="7">
    <w:abstractNumId w:val="9"/>
  </w:num>
  <w:num w:numId="8">
    <w:abstractNumId w:val="24"/>
  </w:num>
  <w:num w:numId="9">
    <w:abstractNumId w:val="43"/>
  </w:num>
  <w:num w:numId="10">
    <w:abstractNumId w:val="41"/>
  </w:num>
  <w:num w:numId="11">
    <w:abstractNumId w:val="53"/>
  </w:num>
  <w:num w:numId="12">
    <w:abstractNumId w:val="51"/>
  </w:num>
  <w:num w:numId="13">
    <w:abstractNumId w:val="73"/>
  </w:num>
  <w:num w:numId="14">
    <w:abstractNumId w:val="77"/>
  </w:num>
  <w:num w:numId="15">
    <w:abstractNumId w:val="25"/>
  </w:num>
  <w:num w:numId="16">
    <w:abstractNumId w:val="22"/>
  </w:num>
  <w:num w:numId="17">
    <w:abstractNumId w:val="0"/>
  </w:num>
  <w:num w:numId="18">
    <w:abstractNumId w:val="1"/>
  </w:num>
  <w:num w:numId="19">
    <w:abstractNumId w:val="50"/>
  </w:num>
  <w:num w:numId="20">
    <w:abstractNumId w:val="61"/>
  </w:num>
  <w:num w:numId="21">
    <w:abstractNumId w:val="15"/>
  </w:num>
  <w:num w:numId="22">
    <w:abstractNumId w:val="70"/>
  </w:num>
  <w:num w:numId="23">
    <w:abstractNumId w:val="79"/>
  </w:num>
  <w:num w:numId="24">
    <w:abstractNumId w:val="6"/>
  </w:num>
  <w:num w:numId="25">
    <w:abstractNumId w:val="35"/>
  </w:num>
  <w:num w:numId="26">
    <w:abstractNumId w:val="54"/>
  </w:num>
  <w:num w:numId="27">
    <w:abstractNumId w:val="14"/>
  </w:num>
  <w:num w:numId="28">
    <w:abstractNumId w:val="66"/>
  </w:num>
  <w:num w:numId="29">
    <w:abstractNumId w:val="46"/>
  </w:num>
  <w:num w:numId="30">
    <w:abstractNumId w:val="7"/>
  </w:num>
  <w:num w:numId="31">
    <w:abstractNumId w:val="58"/>
  </w:num>
  <w:num w:numId="32">
    <w:abstractNumId w:val="28"/>
  </w:num>
  <w:num w:numId="33">
    <w:abstractNumId w:val="72"/>
  </w:num>
  <w:num w:numId="34">
    <w:abstractNumId w:val="75"/>
  </w:num>
  <w:num w:numId="35">
    <w:abstractNumId w:val="38"/>
  </w:num>
  <w:num w:numId="36">
    <w:abstractNumId w:val="21"/>
  </w:num>
  <w:num w:numId="37">
    <w:abstractNumId w:val="11"/>
  </w:num>
  <w:num w:numId="38">
    <w:abstractNumId w:val="29"/>
  </w:num>
  <w:num w:numId="39">
    <w:abstractNumId w:val="39"/>
  </w:num>
  <w:num w:numId="40">
    <w:abstractNumId w:val="64"/>
  </w:num>
  <w:num w:numId="41">
    <w:abstractNumId w:val="16"/>
  </w:num>
  <w:num w:numId="42">
    <w:abstractNumId w:val="71"/>
  </w:num>
  <w:num w:numId="43">
    <w:abstractNumId w:val="5"/>
  </w:num>
  <w:num w:numId="44">
    <w:abstractNumId w:val="19"/>
  </w:num>
  <w:num w:numId="45">
    <w:abstractNumId w:val="34"/>
  </w:num>
  <w:num w:numId="46">
    <w:abstractNumId w:val="74"/>
  </w:num>
  <w:num w:numId="47">
    <w:abstractNumId w:val="42"/>
  </w:num>
  <w:num w:numId="48">
    <w:abstractNumId w:val="40"/>
  </w:num>
  <w:num w:numId="49">
    <w:abstractNumId w:val="76"/>
  </w:num>
  <w:num w:numId="50">
    <w:abstractNumId w:val="82"/>
  </w:num>
  <w:num w:numId="51">
    <w:abstractNumId w:val="60"/>
  </w:num>
  <w:num w:numId="52">
    <w:abstractNumId w:val="81"/>
  </w:num>
  <w:num w:numId="53">
    <w:abstractNumId w:val="26"/>
  </w:num>
  <w:num w:numId="54">
    <w:abstractNumId w:val="44"/>
  </w:num>
  <w:num w:numId="55">
    <w:abstractNumId w:val="68"/>
  </w:num>
  <w:num w:numId="56">
    <w:abstractNumId w:val="59"/>
  </w:num>
  <w:num w:numId="57">
    <w:abstractNumId w:val="78"/>
  </w:num>
  <w:num w:numId="58">
    <w:abstractNumId w:val="52"/>
  </w:num>
  <w:num w:numId="59">
    <w:abstractNumId w:val="20"/>
  </w:num>
  <w:num w:numId="60">
    <w:abstractNumId w:val="4"/>
  </w:num>
  <w:num w:numId="61">
    <w:abstractNumId w:val="30"/>
  </w:num>
  <w:num w:numId="62">
    <w:abstractNumId w:val="37"/>
  </w:num>
  <w:num w:numId="63">
    <w:abstractNumId w:val="32"/>
  </w:num>
  <w:num w:numId="64">
    <w:abstractNumId w:val="27"/>
  </w:num>
  <w:num w:numId="65">
    <w:abstractNumId w:val="23"/>
  </w:num>
  <w:num w:numId="66">
    <w:abstractNumId w:val="33"/>
  </w:num>
  <w:num w:numId="67">
    <w:abstractNumId w:val="10"/>
  </w:num>
  <w:num w:numId="68">
    <w:abstractNumId w:val="12"/>
  </w:num>
  <w:num w:numId="69">
    <w:abstractNumId w:val="18"/>
  </w:num>
  <w:num w:numId="70">
    <w:abstractNumId w:val="62"/>
  </w:num>
  <w:num w:numId="71">
    <w:abstractNumId w:val="48"/>
  </w:num>
  <w:num w:numId="72">
    <w:abstractNumId w:val="80"/>
  </w:num>
  <w:num w:numId="73">
    <w:abstractNumId w:val="17"/>
  </w:num>
  <w:num w:numId="74">
    <w:abstractNumId w:val="45"/>
  </w:num>
  <w:num w:numId="75">
    <w:abstractNumId w:val="13"/>
  </w:num>
  <w:num w:numId="76">
    <w:abstractNumId w:val="49"/>
  </w:num>
  <w:num w:numId="77">
    <w:abstractNumId w:val="67"/>
  </w:num>
  <w:num w:numId="78">
    <w:abstractNumId w:val="36"/>
  </w:num>
  <w:num w:numId="79">
    <w:abstractNumId w:val="8"/>
  </w:num>
  <w:num w:numId="80">
    <w:abstractNumId w:val="18"/>
  </w:num>
  <w:num w:numId="81">
    <w:abstractNumId w:val="18"/>
  </w:num>
  <w:num w:numId="82">
    <w:abstractNumId w:val="18"/>
  </w:num>
  <w:num w:numId="83">
    <w:abstractNumId w:val="18"/>
  </w:num>
  <w:num w:numId="84">
    <w:abstractNumId w:val="65"/>
  </w:num>
  <w:num w:numId="85">
    <w:abstractNumId w:val="69"/>
  </w:num>
  <w:num w:numId="86">
    <w:abstractNumId w:val="31"/>
  </w:num>
  <w:num w:numId="87">
    <w:abstractNumId w:val="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6A"/>
    <w:rsid w:val="000049A4"/>
    <w:rsid w:val="000063C9"/>
    <w:rsid w:val="00010CEF"/>
    <w:rsid w:val="00012963"/>
    <w:rsid w:val="000159A3"/>
    <w:rsid w:val="00015BFF"/>
    <w:rsid w:val="000227FF"/>
    <w:rsid w:val="00027A6C"/>
    <w:rsid w:val="00031299"/>
    <w:rsid w:val="00036047"/>
    <w:rsid w:val="00036259"/>
    <w:rsid w:val="000404F6"/>
    <w:rsid w:val="00042D7B"/>
    <w:rsid w:val="000442E9"/>
    <w:rsid w:val="00044E9A"/>
    <w:rsid w:val="00051C3C"/>
    <w:rsid w:val="00051E73"/>
    <w:rsid w:val="00052E4C"/>
    <w:rsid w:val="00053C3E"/>
    <w:rsid w:val="00053F1C"/>
    <w:rsid w:val="00055D38"/>
    <w:rsid w:val="0005653D"/>
    <w:rsid w:val="00057B48"/>
    <w:rsid w:val="00060B44"/>
    <w:rsid w:val="00062517"/>
    <w:rsid w:val="00063B73"/>
    <w:rsid w:val="00063BB1"/>
    <w:rsid w:val="00073412"/>
    <w:rsid w:val="00073FB6"/>
    <w:rsid w:val="00074B69"/>
    <w:rsid w:val="00081691"/>
    <w:rsid w:val="000877C4"/>
    <w:rsid w:val="00093750"/>
    <w:rsid w:val="00093A8F"/>
    <w:rsid w:val="00094172"/>
    <w:rsid w:val="00097BBE"/>
    <w:rsid w:val="000A3927"/>
    <w:rsid w:val="000A401E"/>
    <w:rsid w:val="000B1931"/>
    <w:rsid w:val="000B244B"/>
    <w:rsid w:val="000B5017"/>
    <w:rsid w:val="000B5E17"/>
    <w:rsid w:val="000B5ED8"/>
    <w:rsid w:val="000B7550"/>
    <w:rsid w:val="000C037F"/>
    <w:rsid w:val="000C277A"/>
    <w:rsid w:val="000C4B20"/>
    <w:rsid w:val="000C537C"/>
    <w:rsid w:val="000C7E3F"/>
    <w:rsid w:val="000D1ADC"/>
    <w:rsid w:val="000D2655"/>
    <w:rsid w:val="000D2666"/>
    <w:rsid w:val="000D2861"/>
    <w:rsid w:val="000D3DC0"/>
    <w:rsid w:val="000D7862"/>
    <w:rsid w:val="000D7992"/>
    <w:rsid w:val="000D7C57"/>
    <w:rsid w:val="000E09BC"/>
    <w:rsid w:val="000E530D"/>
    <w:rsid w:val="000F0F77"/>
    <w:rsid w:val="000F5A12"/>
    <w:rsid w:val="000F6BE2"/>
    <w:rsid w:val="0010092D"/>
    <w:rsid w:val="00102279"/>
    <w:rsid w:val="001157BF"/>
    <w:rsid w:val="00117C7E"/>
    <w:rsid w:val="0012063D"/>
    <w:rsid w:val="0012156E"/>
    <w:rsid w:val="001219BE"/>
    <w:rsid w:val="00123A82"/>
    <w:rsid w:val="00125302"/>
    <w:rsid w:val="001339CA"/>
    <w:rsid w:val="0013655C"/>
    <w:rsid w:val="0013773A"/>
    <w:rsid w:val="001403F8"/>
    <w:rsid w:val="0014319A"/>
    <w:rsid w:val="00143B2C"/>
    <w:rsid w:val="00151AB0"/>
    <w:rsid w:val="00153641"/>
    <w:rsid w:val="00160A9E"/>
    <w:rsid w:val="001638AD"/>
    <w:rsid w:val="00165703"/>
    <w:rsid w:val="00167E05"/>
    <w:rsid w:val="00172C2F"/>
    <w:rsid w:val="001736A1"/>
    <w:rsid w:val="00174C9C"/>
    <w:rsid w:val="00177388"/>
    <w:rsid w:val="001859D8"/>
    <w:rsid w:val="00186C16"/>
    <w:rsid w:val="00186D1C"/>
    <w:rsid w:val="00187E88"/>
    <w:rsid w:val="00191706"/>
    <w:rsid w:val="0019359F"/>
    <w:rsid w:val="00197045"/>
    <w:rsid w:val="001A05EB"/>
    <w:rsid w:val="001A07FB"/>
    <w:rsid w:val="001A0918"/>
    <w:rsid w:val="001A3887"/>
    <w:rsid w:val="001A5177"/>
    <w:rsid w:val="001A5ED9"/>
    <w:rsid w:val="001B3D70"/>
    <w:rsid w:val="001B7766"/>
    <w:rsid w:val="001B78C9"/>
    <w:rsid w:val="001B7BDB"/>
    <w:rsid w:val="001C1B0D"/>
    <w:rsid w:val="001C3BF3"/>
    <w:rsid w:val="001C41D6"/>
    <w:rsid w:val="001C4D1B"/>
    <w:rsid w:val="001D0244"/>
    <w:rsid w:val="001D0C84"/>
    <w:rsid w:val="001D5059"/>
    <w:rsid w:val="001D5DB6"/>
    <w:rsid w:val="001E2B15"/>
    <w:rsid w:val="001E6F3B"/>
    <w:rsid w:val="002026B1"/>
    <w:rsid w:val="002047DA"/>
    <w:rsid w:val="002117DB"/>
    <w:rsid w:val="0021601F"/>
    <w:rsid w:val="002171A2"/>
    <w:rsid w:val="002200ED"/>
    <w:rsid w:val="002216DB"/>
    <w:rsid w:val="002239E1"/>
    <w:rsid w:val="00225D2B"/>
    <w:rsid w:val="0022677E"/>
    <w:rsid w:val="00231373"/>
    <w:rsid w:val="0023213C"/>
    <w:rsid w:val="00235AAC"/>
    <w:rsid w:val="0024401F"/>
    <w:rsid w:val="00244232"/>
    <w:rsid w:val="00247F1A"/>
    <w:rsid w:val="00250CF8"/>
    <w:rsid w:val="002523FB"/>
    <w:rsid w:val="0025458F"/>
    <w:rsid w:val="002546A4"/>
    <w:rsid w:val="00255FD8"/>
    <w:rsid w:val="00256534"/>
    <w:rsid w:val="00260AD8"/>
    <w:rsid w:val="00264933"/>
    <w:rsid w:val="002668E0"/>
    <w:rsid w:val="0026733A"/>
    <w:rsid w:val="0027749A"/>
    <w:rsid w:val="002809D4"/>
    <w:rsid w:val="00292B80"/>
    <w:rsid w:val="00292FCD"/>
    <w:rsid w:val="00293332"/>
    <w:rsid w:val="002979C6"/>
    <w:rsid w:val="002A7E0F"/>
    <w:rsid w:val="002B052A"/>
    <w:rsid w:val="002B2E9D"/>
    <w:rsid w:val="002B31EF"/>
    <w:rsid w:val="002B6D96"/>
    <w:rsid w:val="002B754A"/>
    <w:rsid w:val="002C1B9F"/>
    <w:rsid w:val="002C21D4"/>
    <w:rsid w:val="002E58DF"/>
    <w:rsid w:val="002F070A"/>
    <w:rsid w:val="002F14B9"/>
    <w:rsid w:val="002F58D0"/>
    <w:rsid w:val="002F75BB"/>
    <w:rsid w:val="003013AB"/>
    <w:rsid w:val="00301DB2"/>
    <w:rsid w:val="00307AC6"/>
    <w:rsid w:val="00310671"/>
    <w:rsid w:val="003201C7"/>
    <w:rsid w:val="00323229"/>
    <w:rsid w:val="00323604"/>
    <w:rsid w:val="003238A0"/>
    <w:rsid w:val="0032473C"/>
    <w:rsid w:val="003256B2"/>
    <w:rsid w:val="00327926"/>
    <w:rsid w:val="0033064E"/>
    <w:rsid w:val="00331368"/>
    <w:rsid w:val="003329FD"/>
    <w:rsid w:val="0033554A"/>
    <w:rsid w:val="003376F4"/>
    <w:rsid w:val="00345FD7"/>
    <w:rsid w:val="00346A33"/>
    <w:rsid w:val="00346B63"/>
    <w:rsid w:val="0035078D"/>
    <w:rsid w:val="003509E1"/>
    <w:rsid w:val="00350AA3"/>
    <w:rsid w:val="003530B5"/>
    <w:rsid w:val="00356514"/>
    <w:rsid w:val="00357038"/>
    <w:rsid w:val="0036187D"/>
    <w:rsid w:val="00361CAD"/>
    <w:rsid w:val="00365BD3"/>
    <w:rsid w:val="003714BA"/>
    <w:rsid w:val="00371BF2"/>
    <w:rsid w:val="00371CD9"/>
    <w:rsid w:val="003736E0"/>
    <w:rsid w:val="0037373D"/>
    <w:rsid w:val="003751B8"/>
    <w:rsid w:val="003765BE"/>
    <w:rsid w:val="0037778C"/>
    <w:rsid w:val="003822EB"/>
    <w:rsid w:val="00383169"/>
    <w:rsid w:val="003866D2"/>
    <w:rsid w:val="003971D8"/>
    <w:rsid w:val="003974DF"/>
    <w:rsid w:val="00397D32"/>
    <w:rsid w:val="003A2BC9"/>
    <w:rsid w:val="003B1039"/>
    <w:rsid w:val="003B57BC"/>
    <w:rsid w:val="003B7F81"/>
    <w:rsid w:val="003C1247"/>
    <w:rsid w:val="003C2E0B"/>
    <w:rsid w:val="003D0FD7"/>
    <w:rsid w:val="003D2BD8"/>
    <w:rsid w:val="003D4CB7"/>
    <w:rsid w:val="003D65C6"/>
    <w:rsid w:val="003E0261"/>
    <w:rsid w:val="003E1571"/>
    <w:rsid w:val="003E305D"/>
    <w:rsid w:val="003E3D30"/>
    <w:rsid w:val="003E4415"/>
    <w:rsid w:val="003F0305"/>
    <w:rsid w:val="003F14A6"/>
    <w:rsid w:val="003F5036"/>
    <w:rsid w:val="003F740F"/>
    <w:rsid w:val="003F7D3D"/>
    <w:rsid w:val="00400E47"/>
    <w:rsid w:val="00403934"/>
    <w:rsid w:val="00406A7B"/>
    <w:rsid w:val="00407A40"/>
    <w:rsid w:val="004104B3"/>
    <w:rsid w:val="00413F4B"/>
    <w:rsid w:val="00414DB1"/>
    <w:rsid w:val="00416ECB"/>
    <w:rsid w:val="00420790"/>
    <w:rsid w:val="00420985"/>
    <w:rsid w:val="00421CA2"/>
    <w:rsid w:val="00425BAB"/>
    <w:rsid w:val="004264B7"/>
    <w:rsid w:val="00427798"/>
    <w:rsid w:val="0043286E"/>
    <w:rsid w:val="00433347"/>
    <w:rsid w:val="0043390E"/>
    <w:rsid w:val="00433AA7"/>
    <w:rsid w:val="00433EE7"/>
    <w:rsid w:val="004439C9"/>
    <w:rsid w:val="004457DB"/>
    <w:rsid w:val="00447770"/>
    <w:rsid w:val="0045785B"/>
    <w:rsid w:val="00457C73"/>
    <w:rsid w:val="00466359"/>
    <w:rsid w:val="00470EF3"/>
    <w:rsid w:val="004759EB"/>
    <w:rsid w:val="004805AA"/>
    <w:rsid w:val="004807F0"/>
    <w:rsid w:val="0048141E"/>
    <w:rsid w:val="0048537A"/>
    <w:rsid w:val="004860A2"/>
    <w:rsid w:val="00486550"/>
    <w:rsid w:val="00487F03"/>
    <w:rsid w:val="00490F07"/>
    <w:rsid w:val="00492372"/>
    <w:rsid w:val="00494C79"/>
    <w:rsid w:val="00494C85"/>
    <w:rsid w:val="004A34C9"/>
    <w:rsid w:val="004A53D0"/>
    <w:rsid w:val="004A6C16"/>
    <w:rsid w:val="004B0027"/>
    <w:rsid w:val="004B1807"/>
    <w:rsid w:val="004B1D31"/>
    <w:rsid w:val="004B4125"/>
    <w:rsid w:val="004C341C"/>
    <w:rsid w:val="004D0754"/>
    <w:rsid w:val="004D0C02"/>
    <w:rsid w:val="004D0C42"/>
    <w:rsid w:val="004D21CD"/>
    <w:rsid w:val="004D3E01"/>
    <w:rsid w:val="004E4A2E"/>
    <w:rsid w:val="004E671F"/>
    <w:rsid w:val="004F09D6"/>
    <w:rsid w:val="004F2AD1"/>
    <w:rsid w:val="004F3F15"/>
    <w:rsid w:val="004F51AB"/>
    <w:rsid w:val="004F798C"/>
    <w:rsid w:val="00500901"/>
    <w:rsid w:val="00502473"/>
    <w:rsid w:val="00503705"/>
    <w:rsid w:val="00507827"/>
    <w:rsid w:val="00511015"/>
    <w:rsid w:val="005154AB"/>
    <w:rsid w:val="00516D2C"/>
    <w:rsid w:val="0051741A"/>
    <w:rsid w:val="00517572"/>
    <w:rsid w:val="00520134"/>
    <w:rsid w:val="00522CE6"/>
    <w:rsid w:val="00524085"/>
    <w:rsid w:val="00531D77"/>
    <w:rsid w:val="00533A0B"/>
    <w:rsid w:val="00536218"/>
    <w:rsid w:val="005363E7"/>
    <w:rsid w:val="0053770F"/>
    <w:rsid w:val="00537742"/>
    <w:rsid w:val="005412E8"/>
    <w:rsid w:val="00541CA8"/>
    <w:rsid w:val="00544380"/>
    <w:rsid w:val="005444F9"/>
    <w:rsid w:val="00544724"/>
    <w:rsid w:val="0054624D"/>
    <w:rsid w:val="005464B4"/>
    <w:rsid w:val="00550487"/>
    <w:rsid w:val="005521CC"/>
    <w:rsid w:val="00552612"/>
    <w:rsid w:val="00553AC2"/>
    <w:rsid w:val="005544D2"/>
    <w:rsid w:val="005546DD"/>
    <w:rsid w:val="005548F2"/>
    <w:rsid w:val="005550E4"/>
    <w:rsid w:val="00557F93"/>
    <w:rsid w:val="005607A5"/>
    <w:rsid w:val="00564E14"/>
    <w:rsid w:val="00566D0E"/>
    <w:rsid w:val="00566FDC"/>
    <w:rsid w:val="005706BE"/>
    <w:rsid w:val="00571BD7"/>
    <w:rsid w:val="005738EB"/>
    <w:rsid w:val="0057462B"/>
    <w:rsid w:val="00581BFB"/>
    <w:rsid w:val="005840A7"/>
    <w:rsid w:val="00584485"/>
    <w:rsid w:val="00584F84"/>
    <w:rsid w:val="005925B1"/>
    <w:rsid w:val="00592800"/>
    <w:rsid w:val="00592830"/>
    <w:rsid w:val="00592947"/>
    <w:rsid w:val="00593F35"/>
    <w:rsid w:val="005A1F7F"/>
    <w:rsid w:val="005A234B"/>
    <w:rsid w:val="005A2D95"/>
    <w:rsid w:val="005A4F9B"/>
    <w:rsid w:val="005A7FDC"/>
    <w:rsid w:val="005B0A1C"/>
    <w:rsid w:val="005B55D4"/>
    <w:rsid w:val="005C0B8F"/>
    <w:rsid w:val="005C0E4A"/>
    <w:rsid w:val="005C2A6F"/>
    <w:rsid w:val="005C4062"/>
    <w:rsid w:val="005D2C79"/>
    <w:rsid w:val="005D3241"/>
    <w:rsid w:val="005D3486"/>
    <w:rsid w:val="005D4F01"/>
    <w:rsid w:val="005D60B3"/>
    <w:rsid w:val="005D613B"/>
    <w:rsid w:val="005D689C"/>
    <w:rsid w:val="005E6C4D"/>
    <w:rsid w:val="005F1F8F"/>
    <w:rsid w:val="005F46DE"/>
    <w:rsid w:val="00614B77"/>
    <w:rsid w:val="00617FF9"/>
    <w:rsid w:val="00631C5D"/>
    <w:rsid w:val="00632222"/>
    <w:rsid w:val="00632C2B"/>
    <w:rsid w:val="006332D8"/>
    <w:rsid w:val="00633448"/>
    <w:rsid w:val="006342AC"/>
    <w:rsid w:val="00634A29"/>
    <w:rsid w:val="0064046E"/>
    <w:rsid w:val="006412DA"/>
    <w:rsid w:val="00644426"/>
    <w:rsid w:val="00644D4C"/>
    <w:rsid w:val="00645E70"/>
    <w:rsid w:val="00646618"/>
    <w:rsid w:val="00650483"/>
    <w:rsid w:val="00650803"/>
    <w:rsid w:val="00653219"/>
    <w:rsid w:val="00653890"/>
    <w:rsid w:val="00656EEF"/>
    <w:rsid w:val="006625C5"/>
    <w:rsid w:val="00662FB6"/>
    <w:rsid w:val="0066466A"/>
    <w:rsid w:val="00664CD3"/>
    <w:rsid w:val="00666E19"/>
    <w:rsid w:val="00667A48"/>
    <w:rsid w:val="006748A0"/>
    <w:rsid w:val="006773FE"/>
    <w:rsid w:val="00681660"/>
    <w:rsid w:val="00681CC7"/>
    <w:rsid w:val="00684CC9"/>
    <w:rsid w:val="00685A18"/>
    <w:rsid w:val="00685AB3"/>
    <w:rsid w:val="006919D4"/>
    <w:rsid w:val="006944A2"/>
    <w:rsid w:val="006945BF"/>
    <w:rsid w:val="00695C1D"/>
    <w:rsid w:val="00696159"/>
    <w:rsid w:val="00697986"/>
    <w:rsid w:val="006A08A2"/>
    <w:rsid w:val="006A2734"/>
    <w:rsid w:val="006A78BA"/>
    <w:rsid w:val="006B1E69"/>
    <w:rsid w:val="006B45D9"/>
    <w:rsid w:val="006B69E5"/>
    <w:rsid w:val="006C1162"/>
    <w:rsid w:val="006C2469"/>
    <w:rsid w:val="006D1E38"/>
    <w:rsid w:val="006D5504"/>
    <w:rsid w:val="006D631E"/>
    <w:rsid w:val="006D6DD1"/>
    <w:rsid w:val="006E030C"/>
    <w:rsid w:val="006E1BC6"/>
    <w:rsid w:val="006E3C1D"/>
    <w:rsid w:val="006E526F"/>
    <w:rsid w:val="006F07BE"/>
    <w:rsid w:val="006F3A00"/>
    <w:rsid w:val="006F4BC0"/>
    <w:rsid w:val="006F6CD6"/>
    <w:rsid w:val="006F7033"/>
    <w:rsid w:val="006F79DD"/>
    <w:rsid w:val="00701F92"/>
    <w:rsid w:val="00702F63"/>
    <w:rsid w:val="00706960"/>
    <w:rsid w:val="00707DCE"/>
    <w:rsid w:val="007100C9"/>
    <w:rsid w:val="00710C01"/>
    <w:rsid w:val="00710CEA"/>
    <w:rsid w:val="007120C6"/>
    <w:rsid w:val="007142A5"/>
    <w:rsid w:val="007155BE"/>
    <w:rsid w:val="007202F3"/>
    <w:rsid w:val="00722480"/>
    <w:rsid w:val="00722C22"/>
    <w:rsid w:val="00722EEB"/>
    <w:rsid w:val="00723542"/>
    <w:rsid w:val="007321C3"/>
    <w:rsid w:val="00733738"/>
    <w:rsid w:val="00734F09"/>
    <w:rsid w:val="00737393"/>
    <w:rsid w:val="007379DC"/>
    <w:rsid w:val="00744022"/>
    <w:rsid w:val="00745B6A"/>
    <w:rsid w:val="007460A0"/>
    <w:rsid w:val="00746A78"/>
    <w:rsid w:val="00750BF2"/>
    <w:rsid w:val="00750C9F"/>
    <w:rsid w:val="00751EA6"/>
    <w:rsid w:val="007536CC"/>
    <w:rsid w:val="00754D6A"/>
    <w:rsid w:val="00757237"/>
    <w:rsid w:val="00763F27"/>
    <w:rsid w:val="007644FB"/>
    <w:rsid w:val="00764DA3"/>
    <w:rsid w:val="0076547C"/>
    <w:rsid w:val="00770C06"/>
    <w:rsid w:val="007737CF"/>
    <w:rsid w:val="00775672"/>
    <w:rsid w:val="007824BC"/>
    <w:rsid w:val="00784855"/>
    <w:rsid w:val="0078708F"/>
    <w:rsid w:val="00790705"/>
    <w:rsid w:val="00792AD4"/>
    <w:rsid w:val="0079358B"/>
    <w:rsid w:val="00794B2A"/>
    <w:rsid w:val="007979F6"/>
    <w:rsid w:val="007A12FA"/>
    <w:rsid w:val="007A45E0"/>
    <w:rsid w:val="007A53BF"/>
    <w:rsid w:val="007A5A68"/>
    <w:rsid w:val="007A6F2D"/>
    <w:rsid w:val="007B4126"/>
    <w:rsid w:val="007B5015"/>
    <w:rsid w:val="007B6E08"/>
    <w:rsid w:val="007C1198"/>
    <w:rsid w:val="007C274A"/>
    <w:rsid w:val="007C3038"/>
    <w:rsid w:val="007D3B04"/>
    <w:rsid w:val="007D51CF"/>
    <w:rsid w:val="007D76DC"/>
    <w:rsid w:val="007E1546"/>
    <w:rsid w:val="007E19DB"/>
    <w:rsid w:val="007E34E1"/>
    <w:rsid w:val="007F0669"/>
    <w:rsid w:val="007F1DFA"/>
    <w:rsid w:val="007F22AC"/>
    <w:rsid w:val="008030BF"/>
    <w:rsid w:val="0080330B"/>
    <w:rsid w:val="008049E6"/>
    <w:rsid w:val="00805253"/>
    <w:rsid w:val="008107B9"/>
    <w:rsid w:val="00811796"/>
    <w:rsid w:val="00815757"/>
    <w:rsid w:val="00815E96"/>
    <w:rsid w:val="00824636"/>
    <w:rsid w:val="008256AB"/>
    <w:rsid w:val="0082581D"/>
    <w:rsid w:val="00825CDD"/>
    <w:rsid w:val="00830412"/>
    <w:rsid w:val="008433F2"/>
    <w:rsid w:val="00847732"/>
    <w:rsid w:val="00851CC8"/>
    <w:rsid w:val="008547D7"/>
    <w:rsid w:val="00855738"/>
    <w:rsid w:val="00865AEC"/>
    <w:rsid w:val="008710A7"/>
    <w:rsid w:val="00886CE4"/>
    <w:rsid w:val="00893F56"/>
    <w:rsid w:val="008A1483"/>
    <w:rsid w:val="008A1B16"/>
    <w:rsid w:val="008B0282"/>
    <w:rsid w:val="008B075D"/>
    <w:rsid w:val="008B0FB8"/>
    <w:rsid w:val="008B26BE"/>
    <w:rsid w:val="008B27BE"/>
    <w:rsid w:val="008B4CD5"/>
    <w:rsid w:val="008B60EB"/>
    <w:rsid w:val="008C21BB"/>
    <w:rsid w:val="008C4584"/>
    <w:rsid w:val="008D0DE4"/>
    <w:rsid w:val="008D184A"/>
    <w:rsid w:val="008D1E5D"/>
    <w:rsid w:val="008D2A0B"/>
    <w:rsid w:val="008D3EC2"/>
    <w:rsid w:val="008D4CE9"/>
    <w:rsid w:val="008D7C43"/>
    <w:rsid w:val="008D7E6A"/>
    <w:rsid w:val="008E0346"/>
    <w:rsid w:val="008E1651"/>
    <w:rsid w:val="008E554C"/>
    <w:rsid w:val="008E568A"/>
    <w:rsid w:val="008E6294"/>
    <w:rsid w:val="008E7FF2"/>
    <w:rsid w:val="008F04D5"/>
    <w:rsid w:val="008F082B"/>
    <w:rsid w:val="008F3633"/>
    <w:rsid w:val="008F6661"/>
    <w:rsid w:val="008F77D9"/>
    <w:rsid w:val="00901665"/>
    <w:rsid w:val="009018F2"/>
    <w:rsid w:val="009023D4"/>
    <w:rsid w:val="0090584C"/>
    <w:rsid w:val="00907D5A"/>
    <w:rsid w:val="00911E98"/>
    <w:rsid w:val="00912A71"/>
    <w:rsid w:val="00913F4F"/>
    <w:rsid w:val="00916CF7"/>
    <w:rsid w:val="00925533"/>
    <w:rsid w:val="00934085"/>
    <w:rsid w:val="009346F5"/>
    <w:rsid w:val="00934E17"/>
    <w:rsid w:val="00940746"/>
    <w:rsid w:val="00940C27"/>
    <w:rsid w:val="00941451"/>
    <w:rsid w:val="00941AB6"/>
    <w:rsid w:val="00945A90"/>
    <w:rsid w:val="00947755"/>
    <w:rsid w:val="009539C7"/>
    <w:rsid w:val="00954EE5"/>
    <w:rsid w:val="00955F53"/>
    <w:rsid w:val="00963C41"/>
    <w:rsid w:val="00964B92"/>
    <w:rsid w:val="00964EB8"/>
    <w:rsid w:val="00971567"/>
    <w:rsid w:val="00971715"/>
    <w:rsid w:val="00971C84"/>
    <w:rsid w:val="00972CF5"/>
    <w:rsid w:val="00974839"/>
    <w:rsid w:val="00976F9F"/>
    <w:rsid w:val="00980DDD"/>
    <w:rsid w:val="00982D92"/>
    <w:rsid w:val="009832C2"/>
    <w:rsid w:val="009843A4"/>
    <w:rsid w:val="009846BC"/>
    <w:rsid w:val="0098497F"/>
    <w:rsid w:val="00984F70"/>
    <w:rsid w:val="009879E4"/>
    <w:rsid w:val="0099282B"/>
    <w:rsid w:val="00992C5E"/>
    <w:rsid w:val="00994F76"/>
    <w:rsid w:val="009950B9"/>
    <w:rsid w:val="009961D3"/>
    <w:rsid w:val="009967B0"/>
    <w:rsid w:val="00997275"/>
    <w:rsid w:val="009972E3"/>
    <w:rsid w:val="009A0E18"/>
    <w:rsid w:val="009A2E90"/>
    <w:rsid w:val="009B0708"/>
    <w:rsid w:val="009B4A78"/>
    <w:rsid w:val="009B57F9"/>
    <w:rsid w:val="009B6DCE"/>
    <w:rsid w:val="009B6E57"/>
    <w:rsid w:val="009C165B"/>
    <w:rsid w:val="009C51EF"/>
    <w:rsid w:val="009C6413"/>
    <w:rsid w:val="009C755B"/>
    <w:rsid w:val="009D40F3"/>
    <w:rsid w:val="009D5750"/>
    <w:rsid w:val="009D7A18"/>
    <w:rsid w:val="009E2D75"/>
    <w:rsid w:val="009E3929"/>
    <w:rsid w:val="009E460B"/>
    <w:rsid w:val="009E725A"/>
    <w:rsid w:val="009F13A9"/>
    <w:rsid w:val="009F209D"/>
    <w:rsid w:val="009F3EEE"/>
    <w:rsid w:val="00A00E63"/>
    <w:rsid w:val="00A03CCB"/>
    <w:rsid w:val="00A04699"/>
    <w:rsid w:val="00A14AC0"/>
    <w:rsid w:val="00A1518B"/>
    <w:rsid w:val="00A15309"/>
    <w:rsid w:val="00A1569D"/>
    <w:rsid w:val="00A15C14"/>
    <w:rsid w:val="00A17AC2"/>
    <w:rsid w:val="00A21D1B"/>
    <w:rsid w:val="00A226D5"/>
    <w:rsid w:val="00A2699E"/>
    <w:rsid w:val="00A2772E"/>
    <w:rsid w:val="00A32B86"/>
    <w:rsid w:val="00A344C0"/>
    <w:rsid w:val="00A355DD"/>
    <w:rsid w:val="00A35F8B"/>
    <w:rsid w:val="00A41611"/>
    <w:rsid w:val="00A4166C"/>
    <w:rsid w:val="00A42BA1"/>
    <w:rsid w:val="00A42BFB"/>
    <w:rsid w:val="00A52130"/>
    <w:rsid w:val="00A52A22"/>
    <w:rsid w:val="00A55BB0"/>
    <w:rsid w:val="00A60A1B"/>
    <w:rsid w:val="00A6543C"/>
    <w:rsid w:val="00A72EDD"/>
    <w:rsid w:val="00A74116"/>
    <w:rsid w:val="00A7528A"/>
    <w:rsid w:val="00A81184"/>
    <w:rsid w:val="00A828C4"/>
    <w:rsid w:val="00A836C7"/>
    <w:rsid w:val="00A84144"/>
    <w:rsid w:val="00A9302A"/>
    <w:rsid w:val="00AA007C"/>
    <w:rsid w:val="00AA1BB5"/>
    <w:rsid w:val="00AA62DF"/>
    <w:rsid w:val="00AA73B9"/>
    <w:rsid w:val="00AB2DBE"/>
    <w:rsid w:val="00AB421C"/>
    <w:rsid w:val="00AB5AA7"/>
    <w:rsid w:val="00AC267B"/>
    <w:rsid w:val="00AC4500"/>
    <w:rsid w:val="00AD1FB5"/>
    <w:rsid w:val="00AD5F2C"/>
    <w:rsid w:val="00AD6316"/>
    <w:rsid w:val="00AE1093"/>
    <w:rsid w:val="00AE288C"/>
    <w:rsid w:val="00AF3731"/>
    <w:rsid w:val="00AF5A57"/>
    <w:rsid w:val="00AF6176"/>
    <w:rsid w:val="00B026FC"/>
    <w:rsid w:val="00B051CC"/>
    <w:rsid w:val="00B05CA6"/>
    <w:rsid w:val="00B06049"/>
    <w:rsid w:val="00B07684"/>
    <w:rsid w:val="00B10EF3"/>
    <w:rsid w:val="00B12A21"/>
    <w:rsid w:val="00B1363F"/>
    <w:rsid w:val="00B14A09"/>
    <w:rsid w:val="00B1536A"/>
    <w:rsid w:val="00B20524"/>
    <w:rsid w:val="00B2097D"/>
    <w:rsid w:val="00B22662"/>
    <w:rsid w:val="00B26CA4"/>
    <w:rsid w:val="00B30215"/>
    <w:rsid w:val="00B31F59"/>
    <w:rsid w:val="00B345FA"/>
    <w:rsid w:val="00B34F97"/>
    <w:rsid w:val="00B3629C"/>
    <w:rsid w:val="00B44918"/>
    <w:rsid w:val="00B46DD7"/>
    <w:rsid w:val="00B46E15"/>
    <w:rsid w:val="00B472A8"/>
    <w:rsid w:val="00B50DBE"/>
    <w:rsid w:val="00B511F2"/>
    <w:rsid w:val="00B5316B"/>
    <w:rsid w:val="00B5770D"/>
    <w:rsid w:val="00B606F3"/>
    <w:rsid w:val="00B62F81"/>
    <w:rsid w:val="00B63BE4"/>
    <w:rsid w:val="00B64DA0"/>
    <w:rsid w:val="00B65F7B"/>
    <w:rsid w:val="00B66294"/>
    <w:rsid w:val="00B66A4A"/>
    <w:rsid w:val="00B67D0A"/>
    <w:rsid w:val="00B70B7D"/>
    <w:rsid w:val="00B70F0D"/>
    <w:rsid w:val="00B712FB"/>
    <w:rsid w:val="00B72218"/>
    <w:rsid w:val="00B7224E"/>
    <w:rsid w:val="00B72EB9"/>
    <w:rsid w:val="00B734C5"/>
    <w:rsid w:val="00B735C6"/>
    <w:rsid w:val="00B749A5"/>
    <w:rsid w:val="00B80C17"/>
    <w:rsid w:val="00B81E77"/>
    <w:rsid w:val="00B82832"/>
    <w:rsid w:val="00B830D6"/>
    <w:rsid w:val="00B834C1"/>
    <w:rsid w:val="00B902AD"/>
    <w:rsid w:val="00B90B19"/>
    <w:rsid w:val="00B932D5"/>
    <w:rsid w:val="00BA3805"/>
    <w:rsid w:val="00BA43A0"/>
    <w:rsid w:val="00BA4FE4"/>
    <w:rsid w:val="00BA6E61"/>
    <w:rsid w:val="00BB169D"/>
    <w:rsid w:val="00BB4CB0"/>
    <w:rsid w:val="00BB73B7"/>
    <w:rsid w:val="00BC15CA"/>
    <w:rsid w:val="00BC57C8"/>
    <w:rsid w:val="00BC77A3"/>
    <w:rsid w:val="00BD24F0"/>
    <w:rsid w:val="00BD5F3D"/>
    <w:rsid w:val="00BD7B08"/>
    <w:rsid w:val="00BE2490"/>
    <w:rsid w:val="00BE2600"/>
    <w:rsid w:val="00BE3F1B"/>
    <w:rsid w:val="00BE4112"/>
    <w:rsid w:val="00BE49CE"/>
    <w:rsid w:val="00BE4C5D"/>
    <w:rsid w:val="00BE6CE1"/>
    <w:rsid w:val="00BE6F94"/>
    <w:rsid w:val="00BF4CC1"/>
    <w:rsid w:val="00BF4DDC"/>
    <w:rsid w:val="00BF5BD2"/>
    <w:rsid w:val="00BF5C6B"/>
    <w:rsid w:val="00BF5EAA"/>
    <w:rsid w:val="00C04245"/>
    <w:rsid w:val="00C116BA"/>
    <w:rsid w:val="00C11878"/>
    <w:rsid w:val="00C1226F"/>
    <w:rsid w:val="00C15235"/>
    <w:rsid w:val="00C1764C"/>
    <w:rsid w:val="00C2153C"/>
    <w:rsid w:val="00C224D6"/>
    <w:rsid w:val="00C240B2"/>
    <w:rsid w:val="00C2428A"/>
    <w:rsid w:val="00C25CF7"/>
    <w:rsid w:val="00C2748E"/>
    <w:rsid w:val="00C3170B"/>
    <w:rsid w:val="00C32EC8"/>
    <w:rsid w:val="00C368CC"/>
    <w:rsid w:val="00C43336"/>
    <w:rsid w:val="00C51FE4"/>
    <w:rsid w:val="00C52B8B"/>
    <w:rsid w:val="00C53E9A"/>
    <w:rsid w:val="00C55502"/>
    <w:rsid w:val="00C60563"/>
    <w:rsid w:val="00C614B4"/>
    <w:rsid w:val="00C61B8D"/>
    <w:rsid w:val="00C65FE0"/>
    <w:rsid w:val="00C67B65"/>
    <w:rsid w:val="00C70311"/>
    <w:rsid w:val="00C71CBF"/>
    <w:rsid w:val="00C74442"/>
    <w:rsid w:val="00C776E2"/>
    <w:rsid w:val="00C83962"/>
    <w:rsid w:val="00C84440"/>
    <w:rsid w:val="00C84D9D"/>
    <w:rsid w:val="00C871DB"/>
    <w:rsid w:val="00C87CC8"/>
    <w:rsid w:val="00C87FF1"/>
    <w:rsid w:val="00C90AAF"/>
    <w:rsid w:val="00C90BCA"/>
    <w:rsid w:val="00C923B6"/>
    <w:rsid w:val="00C946CD"/>
    <w:rsid w:val="00C95D81"/>
    <w:rsid w:val="00C9789B"/>
    <w:rsid w:val="00CA09B5"/>
    <w:rsid w:val="00CA0FE8"/>
    <w:rsid w:val="00CA3243"/>
    <w:rsid w:val="00CA42D8"/>
    <w:rsid w:val="00CB11FC"/>
    <w:rsid w:val="00CB2CFC"/>
    <w:rsid w:val="00CB32BD"/>
    <w:rsid w:val="00CB4716"/>
    <w:rsid w:val="00CB7861"/>
    <w:rsid w:val="00CC035C"/>
    <w:rsid w:val="00CC543A"/>
    <w:rsid w:val="00CD2918"/>
    <w:rsid w:val="00CD4750"/>
    <w:rsid w:val="00CD4ED7"/>
    <w:rsid w:val="00CD682C"/>
    <w:rsid w:val="00CD69D9"/>
    <w:rsid w:val="00CD75A8"/>
    <w:rsid w:val="00CE3CC7"/>
    <w:rsid w:val="00CE3D06"/>
    <w:rsid w:val="00CE3E59"/>
    <w:rsid w:val="00CF4788"/>
    <w:rsid w:val="00CF7658"/>
    <w:rsid w:val="00D00815"/>
    <w:rsid w:val="00D02920"/>
    <w:rsid w:val="00D049E6"/>
    <w:rsid w:val="00D05C3F"/>
    <w:rsid w:val="00D06C7D"/>
    <w:rsid w:val="00D123FF"/>
    <w:rsid w:val="00D14485"/>
    <w:rsid w:val="00D15028"/>
    <w:rsid w:val="00D150FD"/>
    <w:rsid w:val="00D15C1B"/>
    <w:rsid w:val="00D16C71"/>
    <w:rsid w:val="00D2539F"/>
    <w:rsid w:val="00D256C3"/>
    <w:rsid w:val="00D331F7"/>
    <w:rsid w:val="00D337E0"/>
    <w:rsid w:val="00D3563F"/>
    <w:rsid w:val="00D356B6"/>
    <w:rsid w:val="00D410A0"/>
    <w:rsid w:val="00D42529"/>
    <w:rsid w:val="00D445EF"/>
    <w:rsid w:val="00D45F27"/>
    <w:rsid w:val="00D5028B"/>
    <w:rsid w:val="00D50719"/>
    <w:rsid w:val="00D537BC"/>
    <w:rsid w:val="00D54BE8"/>
    <w:rsid w:val="00D55DBD"/>
    <w:rsid w:val="00D655F5"/>
    <w:rsid w:val="00D656E4"/>
    <w:rsid w:val="00D65E4D"/>
    <w:rsid w:val="00D67297"/>
    <w:rsid w:val="00D7361F"/>
    <w:rsid w:val="00D74F86"/>
    <w:rsid w:val="00D76EB7"/>
    <w:rsid w:val="00D77796"/>
    <w:rsid w:val="00D837B4"/>
    <w:rsid w:val="00D852D8"/>
    <w:rsid w:val="00D86441"/>
    <w:rsid w:val="00D868C7"/>
    <w:rsid w:val="00D86D26"/>
    <w:rsid w:val="00D870DF"/>
    <w:rsid w:val="00D9129C"/>
    <w:rsid w:val="00DA0D82"/>
    <w:rsid w:val="00DA2DA6"/>
    <w:rsid w:val="00DA3F93"/>
    <w:rsid w:val="00DA434C"/>
    <w:rsid w:val="00DB3700"/>
    <w:rsid w:val="00DB4F15"/>
    <w:rsid w:val="00DB5620"/>
    <w:rsid w:val="00DB67E7"/>
    <w:rsid w:val="00DC0E8F"/>
    <w:rsid w:val="00DC2E3C"/>
    <w:rsid w:val="00DC57BC"/>
    <w:rsid w:val="00DC5AFF"/>
    <w:rsid w:val="00DC5BCD"/>
    <w:rsid w:val="00DC7798"/>
    <w:rsid w:val="00DD22EC"/>
    <w:rsid w:val="00DD2EF8"/>
    <w:rsid w:val="00DD40DE"/>
    <w:rsid w:val="00DD6638"/>
    <w:rsid w:val="00DD6D99"/>
    <w:rsid w:val="00DE3C84"/>
    <w:rsid w:val="00DE4B1A"/>
    <w:rsid w:val="00DE7315"/>
    <w:rsid w:val="00DF28E6"/>
    <w:rsid w:val="00DF5D9A"/>
    <w:rsid w:val="00E01DCC"/>
    <w:rsid w:val="00E01FB9"/>
    <w:rsid w:val="00E02613"/>
    <w:rsid w:val="00E034AC"/>
    <w:rsid w:val="00E136ED"/>
    <w:rsid w:val="00E2087F"/>
    <w:rsid w:val="00E23B7D"/>
    <w:rsid w:val="00E2419A"/>
    <w:rsid w:val="00E25DB8"/>
    <w:rsid w:val="00E27FB7"/>
    <w:rsid w:val="00E27FBC"/>
    <w:rsid w:val="00E31A62"/>
    <w:rsid w:val="00E33078"/>
    <w:rsid w:val="00E34525"/>
    <w:rsid w:val="00E347D4"/>
    <w:rsid w:val="00E358DF"/>
    <w:rsid w:val="00E37749"/>
    <w:rsid w:val="00E379D9"/>
    <w:rsid w:val="00E40974"/>
    <w:rsid w:val="00E426AE"/>
    <w:rsid w:val="00E516AC"/>
    <w:rsid w:val="00E53C36"/>
    <w:rsid w:val="00E57011"/>
    <w:rsid w:val="00E62F61"/>
    <w:rsid w:val="00E641D8"/>
    <w:rsid w:val="00E646FF"/>
    <w:rsid w:val="00E647F8"/>
    <w:rsid w:val="00E66A2C"/>
    <w:rsid w:val="00E67C4A"/>
    <w:rsid w:val="00E67EF7"/>
    <w:rsid w:val="00E73B07"/>
    <w:rsid w:val="00E81087"/>
    <w:rsid w:val="00E85E73"/>
    <w:rsid w:val="00E92173"/>
    <w:rsid w:val="00E92683"/>
    <w:rsid w:val="00EA0E72"/>
    <w:rsid w:val="00EA0EA5"/>
    <w:rsid w:val="00EA14EE"/>
    <w:rsid w:val="00EA1595"/>
    <w:rsid w:val="00EA3A00"/>
    <w:rsid w:val="00EA697C"/>
    <w:rsid w:val="00EB2496"/>
    <w:rsid w:val="00EB35A3"/>
    <w:rsid w:val="00EB392E"/>
    <w:rsid w:val="00EB549B"/>
    <w:rsid w:val="00EB61B8"/>
    <w:rsid w:val="00EC2FB6"/>
    <w:rsid w:val="00EC30AE"/>
    <w:rsid w:val="00EC3E4D"/>
    <w:rsid w:val="00ED2725"/>
    <w:rsid w:val="00ED5891"/>
    <w:rsid w:val="00ED6FE3"/>
    <w:rsid w:val="00EE027A"/>
    <w:rsid w:val="00EE5019"/>
    <w:rsid w:val="00EE57D1"/>
    <w:rsid w:val="00EE5BA3"/>
    <w:rsid w:val="00EE5DC7"/>
    <w:rsid w:val="00EE5E86"/>
    <w:rsid w:val="00EF0E49"/>
    <w:rsid w:val="00EF13C4"/>
    <w:rsid w:val="00EF3D75"/>
    <w:rsid w:val="00EF3F43"/>
    <w:rsid w:val="00EF41B6"/>
    <w:rsid w:val="00EF472A"/>
    <w:rsid w:val="00EF4B88"/>
    <w:rsid w:val="00EF6E20"/>
    <w:rsid w:val="00F00AF5"/>
    <w:rsid w:val="00F01245"/>
    <w:rsid w:val="00F02301"/>
    <w:rsid w:val="00F02482"/>
    <w:rsid w:val="00F04E0B"/>
    <w:rsid w:val="00F052CF"/>
    <w:rsid w:val="00F0548F"/>
    <w:rsid w:val="00F07555"/>
    <w:rsid w:val="00F11D86"/>
    <w:rsid w:val="00F1532E"/>
    <w:rsid w:val="00F15697"/>
    <w:rsid w:val="00F23671"/>
    <w:rsid w:val="00F27148"/>
    <w:rsid w:val="00F32563"/>
    <w:rsid w:val="00F33E49"/>
    <w:rsid w:val="00F35FAB"/>
    <w:rsid w:val="00F36E7A"/>
    <w:rsid w:val="00F42A1C"/>
    <w:rsid w:val="00F43622"/>
    <w:rsid w:val="00F4553A"/>
    <w:rsid w:val="00F47745"/>
    <w:rsid w:val="00F51335"/>
    <w:rsid w:val="00F54443"/>
    <w:rsid w:val="00F5497C"/>
    <w:rsid w:val="00F56680"/>
    <w:rsid w:val="00F64A3A"/>
    <w:rsid w:val="00F66122"/>
    <w:rsid w:val="00F66697"/>
    <w:rsid w:val="00F66CAF"/>
    <w:rsid w:val="00F67876"/>
    <w:rsid w:val="00F7225F"/>
    <w:rsid w:val="00F753C1"/>
    <w:rsid w:val="00F77D4B"/>
    <w:rsid w:val="00F83FB6"/>
    <w:rsid w:val="00F850AF"/>
    <w:rsid w:val="00F85ED0"/>
    <w:rsid w:val="00F87E08"/>
    <w:rsid w:val="00F912ED"/>
    <w:rsid w:val="00F94AE2"/>
    <w:rsid w:val="00F95D12"/>
    <w:rsid w:val="00F968FD"/>
    <w:rsid w:val="00FA1094"/>
    <w:rsid w:val="00FA17AB"/>
    <w:rsid w:val="00FA2135"/>
    <w:rsid w:val="00FA2257"/>
    <w:rsid w:val="00FA383A"/>
    <w:rsid w:val="00FA5FD2"/>
    <w:rsid w:val="00FB0B18"/>
    <w:rsid w:val="00FB1525"/>
    <w:rsid w:val="00FB5519"/>
    <w:rsid w:val="00FB583B"/>
    <w:rsid w:val="00FB65CD"/>
    <w:rsid w:val="00FB68E0"/>
    <w:rsid w:val="00FC0422"/>
    <w:rsid w:val="00FC35E2"/>
    <w:rsid w:val="00FC41DE"/>
    <w:rsid w:val="00FD3C38"/>
    <w:rsid w:val="00FD3DD2"/>
    <w:rsid w:val="00FD3ECD"/>
    <w:rsid w:val="00FD46E4"/>
    <w:rsid w:val="00FD57F8"/>
    <w:rsid w:val="00FD67D6"/>
    <w:rsid w:val="00FD7047"/>
    <w:rsid w:val="00FE1138"/>
    <w:rsid w:val="00FE3211"/>
    <w:rsid w:val="00FF32B6"/>
    <w:rsid w:val="00FF6943"/>
    <w:rsid w:val="00FF7E7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ersonName"/>
  <w:shapeDefaults>
    <o:shapedefaults v:ext="edit" spidmax="1028"/>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ascii="Arial" w:eastAsia="SimSun" w:hAnsi="Arial" w:cs="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semiHidden/>
    <w:unhideWhenUsed/>
    <w:rsid w:val="005706BE"/>
    <w:rPr>
      <w:rFonts w:ascii="Tahoma" w:hAnsi="Tahoma" w:cs="Tahoma"/>
      <w:sz w:val="16"/>
      <w:szCs w:val="16"/>
    </w:rPr>
  </w:style>
  <w:style w:type="character" w:customStyle="1" w:styleId="BalloonTextChar">
    <w:name w:val="Balloon Text Char"/>
    <w:basedOn w:val="DefaultParagraphFont"/>
    <w:link w:val="BalloonText"/>
    <w:semiHidden/>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ascii="Arial" w:eastAsia="Times New Roman" w:hAnsi="Arial"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B31F59"/>
    <w:pPr>
      <w:tabs>
        <w:tab w:val="left" w:pos="440"/>
        <w:tab w:val="left" w:pos="851"/>
        <w:tab w:val="right" w:leader="dot" w:pos="9394"/>
      </w:tabs>
      <w:spacing w:after="100"/>
    </w:pPr>
    <w:rPr>
      <w:rFonts w:ascii="Arial" w:hAnsi="Arial"/>
      <w:b/>
      <w:noProof/>
    </w:rPr>
  </w:style>
  <w:style w:type="paragraph" w:styleId="TOC3">
    <w:name w:val="toc 3"/>
    <w:basedOn w:val="Normal"/>
    <w:next w:val="Normal"/>
    <w:autoRedefine/>
    <w:uiPriority w:val="39"/>
    <w:unhideWhenUsed/>
    <w:rsid w:val="00BA6E61"/>
    <w:pPr>
      <w:tabs>
        <w:tab w:val="left" w:pos="1985"/>
        <w:tab w:val="right" w:leader="dot" w:pos="9394"/>
      </w:tabs>
      <w:spacing w:after="100"/>
      <w:ind w:left="1985" w:hanging="1545"/>
    </w:pPr>
    <w:rPr>
      <w:rFonts w:ascii="Arial" w:eastAsia="SimSun" w:hAnsi="Arial"/>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heme="minorHAnsi" w:hAnsi="Arial"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cs="Arial"/>
      <w:bCs/>
      <w:sz w:val="20"/>
      <w:szCs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69"/>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0"/>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semiHidden/>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68"/>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eastAsia="SimSun" w:hAnsi="Arial" w:cs="Arial"/>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ascii="Arial" w:eastAsia="SimSun" w:hAnsi="Arial" w:cs="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semiHidden/>
    <w:unhideWhenUsed/>
    <w:rsid w:val="005706BE"/>
    <w:rPr>
      <w:rFonts w:ascii="Tahoma" w:hAnsi="Tahoma" w:cs="Tahoma"/>
      <w:sz w:val="16"/>
      <w:szCs w:val="16"/>
    </w:rPr>
  </w:style>
  <w:style w:type="character" w:customStyle="1" w:styleId="BalloonTextChar">
    <w:name w:val="Balloon Text Char"/>
    <w:basedOn w:val="DefaultParagraphFont"/>
    <w:link w:val="BalloonText"/>
    <w:semiHidden/>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ascii="Arial" w:eastAsia="Times New Roman" w:hAnsi="Arial"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B31F59"/>
    <w:pPr>
      <w:tabs>
        <w:tab w:val="left" w:pos="440"/>
        <w:tab w:val="left" w:pos="851"/>
        <w:tab w:val="right" w:leader="dot" w:pos="9394"/>
      </w:tabs>
      <w:spacing w:after="100"/>
    </w:pPr>
    <w:rPr>
      <w:rFonts w:ascii="Arial" w:hAnsi="Arial"/>
      <w:b/>
      <w:noProof/>
    </w:rPr>
  </w:style>
  <w:style w:type="paragraph" w:styleId="TOC3">
    <w:name w:val="toc 3"/>
    <w:basedOn w:val="Normal"/>
    <w:next w:val="Normal"/>
    <w:autoRedefine/>
    <w:uiPriority w:val="39"/>
    <w:unhideWhenUsed/>
    <w:rsid w:val="00BA6E61"/>
    <w:pPr>
      <w:tabs>
        <w:tab w:val="left" w:pos="1985"/>
        <w:tab w:val="right" w:leader="dot" w:pos="9394"/>
      </w:tabs>
      <w:spacing w:after="100"/>
      <w:ind w:left="1985" w:hanging="1545"/>
    </w:pPr>
    <w:rPr>
      <w:rFonts w:ascii="Arial" w:eastAsia="SimSun" w:hAnsi="Arial"/>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heme="minorHAnsi" w:hAnsi="Arial"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cs="Arial"/>
      <w:bCs/>
      <w:sz w:val="20"/>
      <w:szCs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69"/>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0"/>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semiHidden/>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68"/>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eastAsia="SimSun" w:hAnsi="Arial" w:cs="Arial"/>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00717">
      <w:bodyDiv w:val="1"/>
      <w:marLeft w:val="0"/>
      <w:marRight w:val="0"/>
      <w:marTop w:val="0"/>
      <w:marBottom w:val="0"/>
      <w:divBdr>
        <w:top w:val="none" w:sz="0" w:space="0" w:color="auto"/>
        <w:left w:val="none" w:sz="0" w:space="0" w:color="auto"/>
        <w:bottom w:val="none" w:sz="0" w:space="0" w:color="auto"/>
        <w:right w:val="none" w:sz="0" w:space="0" w:color="auto"/>
      </w:divBdr>
    </w:div>
    <w:div w:id="375088258">
      <w:bodyDiv w:val="1"/>
      <w:marLeft w:val="0"/>
      <w:marRight w:val="0"/>
      <w:marTop w:val="0"/>
      <w:marBottom w:val="0"/>
      <w:divBdr>
        <w:top w:val="none" w:sz="0" w:space="0" w:color="auto"/>
        <w:left w:val="none" w:sz="0" w:space="0" w:color="auto"/>
        <w:bottom w:val="none" w:sz="0" w:space="0" w:color="auto"/>
        <w:right w:val="none" w:sz="0" w:space="0" w:color="auto"/>
      </w:divBdr>
    </w:div>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578946676">
      <w:bodyDiv w:val="1"/>
      <w:marLeft w:val="0"/>
      <w:marRight w:val="0"/>
      <w:marTop w:val="0"/>
      <w:marBottom w:val="0"/>
      <w:divBdr>
        <w:top w:val="none" w:sz="0" w:space="0" w:color="auto"/>
        <w:left w:val="none" w:sz="0" w:space="0" w:color="auto"/>
        <w:bottom w:val="none" w:sz="0" w:space="0" w:color="auto"/>
        <w:right w:val="none" w:sz="0" w:space="0" w:color="auto"/>
      </w:divBdr>
    </w:div>
    <w:div w:id="671026873">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1071468288">
          <w:marLeft w:val="547"/>
          <w:marRight w:val="0"/>
          <w:marTop w:val="0"/>
          <w:marBottom w:val="0"/>
          <w:divBdr>
            <w:top w:val="none" w:sz="0" w:space="0" w:color="auto"/>
            <w:left w:val="none" w:sz="0" w:space="0" w:color="auto"/>
            <w:bottom w:val="none" w:sz="0" w:space="0" w:color="auto"/>
            <w:right w:val="none" w:sz="0" w:space="0" w:color="auto"/>
          </w:divBdr>
        </w:div>
        <w:div w:id="999650043">
          <w:marLeft w:val="547"/>
          <w:marRight w:val="0"/>
          <w:marTop w:val="0"/>
          <w:marBottom w:val="0"/>
          <w:divBdr>
            <w:top w:val="none" w:sz="0" w:space="0" w:color="auto"/>
            <w:left w:val="none" w:sz="0" w:space="0" w:color="auto"/>
            <w:bottom w:val="none" w:sz="0" w:space="0" w:color="auto"/>
            <w:right w:val="none" w:sz="0" w:space="0" w:color="auto"/>
          </w:divBdr>
        </w:div>
      </w:divsChild>
    </w:div>
    <w:div w:id="887184606">
      <w:bodyDiv w:val="1"/>
      <w:marLeft w:val="0"/>
      <w:marRight w:val="0"/>
      <w:marTop w:val="0"/>
      <w:marBottom w:val="0"/>
      <w:divBdr>
        <w:top w:val="none" w:sz="0" w:space="0" w:color="auto"/>
        <w:left w:val="none" w:sz="0" w:space="0" w:color="auto"/>
        <w:bottom w:val="none" w:sz="0" w:space="0" w:color="auto"/>
        <w:right w:val="none" w:sz="0" w:space="0" w:color="auto"/>
      </w:divBdr>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085882307">
      <w:bodyDiv w:val="1"/>
      <w:marLeft w:val="0"/>
      <w:marRight w:val="0"/>
      <w:marTop w:val="0"/>
      <w:marBottom w:val="0"/>
      <w:divBdr>
        <w:top w:val="none" w:sz="0" w:space="0" w:color="auto"/>
        <w:left w:val="none" w:sz="0" w:space="0" w:color="auto"/>
        <w:bottom w:val="none" w:sz="0" w:space="0" w:color="auto"/>
        <w:right w:val="none" w:sz="0" w:space="0" w:color="auto"/>
      </w:divBdr>
    </w:div>
    <w:div w:id="1118523198">
      <w:bodyDiv w:val="1"/>
      <w:marLeft w:val="0"/>
      <w:marRight w:val="0"/>
      <w:marTop w:val="0"/>
      <w:marBottom w:val="0"/>
      <w:divBdr>
        <w:top w:val="none" w:sz="0" w:space="0" w:color="auto"/>
        <w:left w:val="none" w:sz="0" w:space="0" w:color="auto"/>
        <w:bottom w:val="none" w:sz="0" w:space="0" w:color="auto"/>
        <w:right w:val="none" w:sz="0" w:space="0" w:color="auto"/>
      </w:divBdr>
    </w:div>
    <w:div w:id="1155028740">
      <w:bodyDiv w:val="1"/>
      <w:marLeft w:val="0"/>
      <w:marRight w:val="0"/>
      <w:marTop w:val="0"/>
      <w:marBottom w:val="0"/>
      <w:divBdr>
        <w:top w:val="none" w:sz="0" w:space="0" w:color="auto"/>
        <w:left w:val="none" w:sz="0" w:space="0" w:color="auto"/>
        <w:bottom w:val="none" w:sz="0" w:space="0" w:color="auto"/>
        <w:right w:val="none" w:sz="0" w:space="0" w:color="auto"/>
      </w:divBdr>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527401704">
      <w:bodyDiv w:val="1"/>
      <w:marLeft w:val="0"/>
      <w:marRight w:val="0"/>
      <w:marTop w:val="0"/>
      <w:marBottom w:val="0"/>
      <w:divBdr>
        <w:top w:val="none" w:sz="0" w:space="0" w:color="auto"/>
        <w:left w:val="none" w:sz="0" w:space="0" w:color="auto"/>
        <w:bottom w:val="none" w:sz="0" w:space="0" w:color="auto"/>
        <w:right w:val="none" w:sz="0" w:space="0" w:color="auto"/>
      </w:divBdr>
    </w:div>
    <w:div w:id="1604410876">
      <w:bodyDiv w:val="1"/>
      <w:marLeft w:val="0"/>
      <w:marRight w:val="0"/>
      <w:marTop w:val="0"/>
      <w:marBottom w:val="0"/>
      <w:divBdr>
        <w:top w:val="none" w:sz="0" w:space="0" w:color="auto"/>
        <w:left w:val="none" w:sz="0" w:space="0" w:color="auto"/>
        <w:bottom w:val="none" w:sz="0" w:space="0" w:color="auto"/>
        <w:right w:val="none" w:sz="0" w:space="0" w:color="auto"/>
      </w:divBdr>
    </w:div>
    <w:div w:id="1863857559">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 w:id="2045666215">
      <w:bodyDiv w:val="1"/>
      <w:marLeft w:val="0"/>
      <w:marRight w:val="0"/>
      <w:marTop w:val="0"/>
      <w:marBottom w:val="0"/>
      <w:divBdr>
        <w:top w:val="none" w:sz="0" w:space="0" w:color="auto"/>
        <w:left w:val="none" w:sz="0" w:space="0" w:color="auto"/>
        <w:bottom w:val="none" w:sz="0" w:space="0" w:color="auto"/>
        <w:right w:val="none" w:sz="0" w:space="0" w:color="auto"/>
      </w:divBdr>
    </w:div>
    <w:div w:id="204906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emf"/><Relationship Id="rId299" Type="http://schemas.openxmlformats.org/officeDocument/2006/relationships/image" Target="media/image174.png"/><Relationship Id="rId303" Type="http://schemas.openxmlformats.org/officeDocument/2006/relationships/image" Target="media/image178.png"/><Relationship Id="rId21" Type="http://schemas.openxmlformats.org/officeDocument/2006/relationships/image" Target="media/image7.png"/><Relationship Id="rId42" Type="http://schemas.openxmlformats.org/officeDocument/2006/relationships/image" Target="media/image17.emf"/><Relationship Id="rId63" Type="http://schemas.microsoft.com/office/2007/relationships/diagramDrawing" Target="diagrams/drawing5.xml"/><Relationship Id="rId84" Type="http://schemas.microsoft.com/office/2007/relationships/diagramDrawing" Target="diagrams/drawing8.xml"/><Relationship Id="rId138" Type="http://schemas.openxmlformats.org/officeDocument/2006/relationships/image" Target="media/image48.emf"/><Relationship Id="rId159" Type="http://schemas.microsoft.com/office/2007/relationships/diagramDrawing" Target="diagrams/drawing18.xml"/><Relationship Id="rId324" Type="http://schemas.openxmlformats.org/officeDocument/2006/relationships/image" Target="media/image199.emf"/><Relationship Id="rId170" Type="http://schemas.openxmlformats.org/officeDocument/2006/relationships/diagramData" Target="diagrams/data20.xml"/><Relationship Id="rId191" Type="http://schemas.openxmlformats.org/officeDocument/2006/relationships/image" Target="media/image70.emf"/><Relationship Id="rId205" Type="http://schemas.openxmlformats.org/officeDocument/2006/relationships/image" Target="media/image84.emf"/><Relationship Id="rId226" Type="http://schemas.openxmlformats.org/officeDocument/2006/relationships/image" Target="media/image101.jpeg"/><Relationship Id="rId247" Type="http://schemas.openxmlformats.org/officeDocument/2006/relationships/image" Target="media/image122.jpeg"/><Relationship Id="rId107" Type="http://schemas.openxmlformats.org/officeDocument/2006/relationships/diagramColors" Target="diagrams/colors11.xml"/><Relationship Id="rId268" Type="http://schemas.openxmlformats.org/officeDocument/2006/relationships/image" Target="media/image143.png"/><Relationship Id="rId289" Type="http://schemas.openxmlformats.org/officeDocument/2006/relationships/image" Target="media/image164.png"/><Relationship Id="rId11" Type="http://schemas.openxmlformats.org/officeDocument/2006/relationships/header" Target="header2.xml"/><Relationship Id="rId32" Type="http://schemas.openxmlformats.org/officeDocument/2006/relationships/diagramQuickStyle" Target="diagrams/quickStyle1.xml"/><Relationship Id="rId53" Type="http://schemas.openxmlformats.org/officeDocument/2006/relationships/diagramLayout" Target="diagrams/layout4.xml"/><Relationship Id="rId74" Type="http://schemas.openxmlformats.org/officeDocument/2006/relationships/diagramLayout" Target="diagrams/layout7.xml"/><Relationship Id="rId128" Type="http://schemas.openxmlformats.org/officeDocument/2006/relationships/diagramQuickStyle" Target="diagrams/quickStyle14.xml"/><Relationship Id="rId149" Type="http://schemas.openxmlformats.org/officeDocument/2006/relationships/diagramLayout" Target="diagrams/layout17.xml"/><Relationship Id="rId314" Type="http://schemas.openxmlformats.org/officeDocument/2006/relationships/image" Target="media/image189.png"/><Relationship Id="rId5" Type="http://schemas.openxmlformats.org/officeDocument/2006/relationships/settings" Target="settings.xml"/><Relationship Id="rId95" Type="http://schemas.openxmlformats.org/officeDocument/2006/relationships/image" Target="media/image35.emf"/><Relationship Id="rId160" Type="http://schemas.openxmlformats.org/officeDocument/2006/relationships/image" Target="media/image54.emf"/><Relationship Id="rId181" Type="http://schemas.openxmlformats.org/officeDocument/2006/relationships/diagramQuickStyle" Target="diagrams/quickStyle21.xml"/><Relationship Id="rId216" Type="http://schemas.openxmlformats.org/officeDocument/2006/relationships/image" Target="media/image91.emf"/><Relationship Id="rId237" Type="http://schemas.openxmlformats.org/officeDocument/2006/relationships/image" Target="media/image112.jpeg"/><Relationship Id="rId258" Type="http://schemas.openxmlformats.org/officeDocument/2006/relationships/image" Target="media/image133.png"/><Relationship Id="rId279" Type="http://schemas.openxmlformats.org/officeDocument/2006/relationships/image" Target="media/image154.png"/><Relationship Id="rId22" Type="http://schemas.openxmlformats.org/officeDocument/2006/relationships/image" Target="media/image8.png"/><Relationship Id="rId43" Type="http://schemas.openxmlformats.org/officeDocument/2006/relationships/image" Target="media/image18.emf"/><Relationship Id="rId64" Type="http://schemas.openxmlformats.org/officeDocument/2006/relationships/image" Target="media/image24.emf"/><Relationship Id="rId118" Type="http://schemas.openxmlformats.org/officeDocument/2006/relationships/image" Target="media/image43.emf"/><Relationship Id="rId139" Type="http://schemas.openxmlformats.org/officeDocument/2006/relationships/image" Target="media/image49.emf"/><Relationship Id="rId290" Type="http://schemas.openxmlformats.org/officeDocument/2006/relationships/image" Target="media/image165.png"/><Relationship Id="rId304" Type="http://schemas.openxmlformats.org/officeDocument/2006/relationships/image" Target="media/image179.png"/><Relationship Id="rId325" Type="http://schemas.openxmlformats.org/officeDocument/2006/relationships/image" Target="media/image200.emf"/><Relationship Id="rId85" Type="http://schemas.openxmlformats.org/officeDocument/2006/relationships/image" Target="media/image30.emf"/><Relationship Id="rId150" Type="http://schemas.openxmlformats.org/officeDocument/2006/relationships/diagramQuickStyle" Target="diagrams/quickStyle17.xml"/><Relationship Id="rId171" Type="http://schemas.openxmlformats.org/officeDocument/2006/relationships/diagramLayout" Target="diagrams/layout20.xml"/><Relationship Id="rId192" Type="http://schemas.openxmlformats.org/officeDocument/2006/relationships/image" Target="media/image71.emf"/><Relationship Id="rId206" Type="http://schemas.openxmlformats.org/officeDocument/2006/relationships/image" Target="media/image85.emf"/><Relationship Id="rId227" Type="http://schemas.openxmlformats.org/officeDocument/2006/relationships/image" Target="media/image102.emf"/><Relationship Id="rId248" Type="http://schemas.openxmlformats.org/officeDocument/2006/relationships/image" Target="media/image123.emf"/><Relationship Id="rId269" Type="http://schemas.openxmlformats.org/officeDocument/2006/relationships/image" Target="media/image144.png"/><Relationship Id="rId12" Type="http://schemas.openxmlformats.org/officeDocument/2006/relationships/footer" Target="footer1.xml"/><Relationship Id="rId33" Type="http://schemas.openxmlformats.org/officeDocument/2006/relationships/diagramColors" Target="diagrams/colors1.xml"/><Relationship Id="rId108" Type="http://schemas.microsoft.com/office/2007/relationships/diagramDrawing" Target="diagrams/drawing11.xml"/><Relationship Id="rId129" Type="http://schemas.openxmlformats.org/officeDocument/2006/relationships/diagramColors" Target="diagrams/colors14.xml"/><Relationship Id="rId280" Type="http://schemas.openxmlformats.org/officeDocument/2006/relationships/image" Target="media/image155.png"/><Relationship Id="rId315" Type="http://schemas.openxmlformats.org/officeDocument/2006/relationships/image" Target="media/image190.png"/><Relationship Id="rId54" Type="http://schemas.openxmlformats.org/officeDocument/2006/relationships/diagramQuickStyle" Target="diagrams/quickStyle4.xml"/><Relationship Id="rId75" Type="http://schemas.openxmlformats.org/officeDocument/2006/relationships/diagramQuickStyle" Target="diagrams/quickStyle7.xml"/><Relationship Id="rId96" Type="http://schemas.openxmlformats.org/officeDocument/2006/relationships/diagramData" Target="diagrams/data10.xml"/><Relationship Id="rId140" Type="http://schemas.openxmlformats.org/officeDocument/2006/relationships/diagramData" Target="diagrams/data16.xml"/><Relationship Id="rId161" Type="http://schemas.openxmlformats.org/officeDocument/2006/relationships/image" Target="media/image55.emf"/><Relationship Id="rId182" Type="http://schemas.openxmlformats.org/officeDocument/2006/relationships/diagramColors" Target="diagrams/colors21.xml"/><Relationship Id="rId217" Type="http://schemas.openxmlformats.org/officeDocument/2006/relationships/image" Target="media/image92.emf"/><Relationship Id="rId6" Type="http://schemas.openxmlformats.org/officeDocument/2006/relationships/webSettings" Target="webSettings.xml"/><Relationship Id="rId238" Type="http://schemas.openxmlformats.org/officeDocument/2006/relationships/image" Target="media/image113.emf"/><Relationship Id="rId259" Type="http://schemas.openxmlformats.org/officeDocument/2006/relationships/image" Target="media/image134.png"/><Relationship Id="rId23" Type="http://schemas.openxmlformats.org/officeDocument/2006/relationships/header" Target="header3.xml"/><Relationship Id="rId119" Type="http://schemas.openxmlformats.org/officeDocument/2006/relationships/diagramData" Target="diagrams/data13.xml"/><Relationship Id="rId270" Type="http://schemas.openxmlformats.org/officeDocument/2006/relationships/image" Target="media/image145.png"/><Relationship Id="rId291" Type="http://schemas.openxmlformats.org/officeDocument/2006/relationships/image" Target="media/image166.png"/><Relationship Id="rId305" Type="http://schemas.openxmlformats.org/officeDocument/2006/relationships/image" Target="media/image180.png"/><Relationship Id="rId326" Type="http://schemas.openxmlformats.org/officeDocument/2006/relationships/header" Target="header6.xml"/><Relationship Id="rId44" Type="http://schemas.openxmlformats.org/officeDocument/2006/relationships/diagramData" Target="diagrams/data3.xml"/><Relationship Id="rId65" Type="http://schemas.openxmlformats.org/officeDocument/2006/relationships/image" Target="media/image25.emf"/><Relationship Id="rId86" Type="http://schemas.openxmlformats.org/officeDocument/2006/relationships/image" Target="media/image31.emf"/><Relationship Id="rId130" Type="http://schemas.microsoft.com/office/2007/relationships/diagramDrawing" Target="diagrams/drawing14.xml"/><Relationship Id="rId151" Type="http://schemas.openxmlformats.org/officeDocument/2006/relationships/diagramColors" Target="diagrams/colors17.xml"/><Relationship Id="rId172" Type="http://schemas.openxmlformats.org/officeDocument/2006/relationships/diagramQuickStyle" Target="diagrams/quickStyle20.xml"/><Relationship Id="rId193" Type="http://schemas.openxmlformats.org/officeDocument/2006/relationships/image" Target="media/image72.emf"/><Relationship Id="rId207" Type="http://schemas.openxmlformats.org/officeDocument/2006/relationships/image" Target="media/image86.emf"/><Relationship Id="rId228" Type="http://schemas.openxmlformats.org/officeDocument/2006/relationships/image" Target="media/image103.emf"/><Relationship Id="rId249" Type="http://schemas.openxmlformats.org/officeDocument/2006/relationships/image" Target="media/image124.jpeg"/><Relationship Id="rId13" Type="http://schemas.openxmlformats.org/officeDocument/2006/relationships/footer" Target="footer2.xml"/><Relationship Id="rId109" Type="http://schemas.openxmlformats.org/officeDocument/2006/relationships/image" Target="media/image39.emf"/><Relationship Id="rId260" Type="http://schemas.openxmlformats.org/officeDocument/2006/relationships/image" Target="media/image135.png"/><Relationship Id="rId281" Type="http://schemas.openxmlformats.org/officeDocument/2006/relationships/image" Target="media/image156.png"/><Relationship Id="rId316" Type="http://schemas.openxmlformats.org/officeDocument/2006/relationships/image" Target="media/image191.png"/><Relationship Id="rId34" Type="http://schemas.microsoft.com/office/2007/relationships/diagramDrawing" Target="diagrams/drawing1.xml"/><Relationship Id="rId55" Type="http://schemas.openxmlformats.org/officeDocument/2006/relationships/diagramColors" Target="diagrams/colors4.xml"/><Relationship Id="rId76" Type="http://schemas.openxmlformats.org/officeDocument/2006/relationships/diagramColors" Target="diagrams/colors7.xml"/><Relationship Id="rId97" Type="http://schemas.openxmlformats.org/officeDocument/2006/relationships/diagramLayout" Target="diagrams/layout10.xml"/><Relationship Id="rId120" Type="http://schemas.openxmlformats.org/officeDocument/2006/relationships/diagramLayout" Target="diagrams/layout13.xml"/><Relationship Id="rId141" Type="http://schemas.openxmlformats.org/officeDocument/2006/relationships/diagramLayout" Target="diagrams/layout16.xml"/><Relationship Id="rId7" Type="http://schemas.openxmlformats.org/officeDocument/2006/relationships/footnotes" Target="footnotes.xml"/><Relationship Id="rId162" Type="http://schemas.openxmlformats.org/officeDocument/2006/relationships/diagramData" Target="diagrams/data19.xml"/><Relationship Id="rId183" Type="http://schemas.microsoft.com/office/2007/relationships/diagramDrawing" Target="diagrams/drawing21.xml"/><Relationship Id="rId218" Type="http://schemas.openxmlformats.org/officeDocument/2006/relationships/image" Target="media/image93.emf"/><Relationship Id="rId239" Type="http://schemas.openxmlformats.org/officeDocument/2006/relationships/image" Target="media/image114.jpeg"/><Relationship Id="rId250" Type="http://schemas.openxmlformats.org/officeDocument/2006/relationships/image" Target="media/image125.emf"/><Relationship Id="rId271" Type="http://schemas.openxmlformats.org/officeDocument/2006/relationships/image" Target="media/image146.png"/><Relationship Id="rId292" Type="http://schemas.openxmlformats.org/officeDocument/2006/relationships/image" Target="media/image167.png"/><Relationship Id="rId306" Type="http://schemas.openxmlformats.org/officeDocument/2006/relationships/image" Target="media/image181.png"/><Relationship Id="rId24" Type="http://schemas.openxmlformats.org/officeDocument/2006/relationships/image" Target="media/image9.emf"/><Relationship Id="rId45" Type="http://schemas.openxmlformats.org/officeDocument/2006/relationships/diagramLayout" Target="diagrams/layout3.xml"/><Relationship Id="rId66" Type="http://schemas.openxmlformats.org/officeDocument/2006/relationships/diagramData" Target="diagrams/data6.xml"/><Relationship Id="rId87" Type="http://schemas.openxmlformats.org/officeDocument/2006/relationships/diagramData" Target="diagrams/data9.xml"/><Relationship Id="rId110" Type="http://schemas.openxmlformats.org/officeDocument/2006/relationships/image" Target="media/image40.emf"/><Relationship Id="rId131" Type="http://schemas.openxmlformats.org/officeDocument/2006/relationships/image" Target="media/image46.emf"/><Relationship Id="rId327" Type="http://schemas.openxmlformats.org/officeDocument/2006/relationships/footer" Target="footer7.xml"/><Relationship Id="rId152" Type="http://schemas.microsoft.com/office/2007/relationships/diagramDrawing" Target="diagrams/drawing17.xml"/><Relationship Id="rId173" Type="http://schemas.openxmlformats.org/officeDocument/2006/relationships/diagramColors" Target="diagrams/colors20.xml"/><Relationship Id="rId194" Type="http://schemas.openxmlformats.org/officeDocument/2006/relationships/image" Target="media/image73.emf"/><Relationship Id="rId208" Type="http://schemas.openxmlformats.org/officeDocument/2006/relationships/image" Target="media/image87.emf"/><Relationship Id="rId229" Type="http://schemas.openxmlformats.org/officeDocument/2006/relationships/image" Target="media/image104.jpeg"/><Relationship Id="rId240" Type="http://schemas.openxmlformats.org/officeDocument/2006/relationships/image" Target="media/image115.emf"/><Relationship Id="rId261" Type="http://schemas.openxmlformats.org/officeDocument/2006/relationships/image" Target="media/image136.png"/><Relationship Id="rId14" Type="http://schemas.openxmlformats.org/officeDocument/2006/relationships/footer" Target="footer3.xml"/><Relationship Id="rId30" Type="http://schemas.openxmlformats.org/officeDocument/2006/relationships/diagramData" Target="diagrams/data1.xml"/><Relationship Id="rId35" Type="http://schemas.openxmlformats.org/officeDocument/2006/relationships/image" Target="media/image15.emf"/><Relationship Id="rId56" Type="http://schemas.microsoft.com/office/2007/relationships/diagramDrawing" Target="diagrams/drawing4.xml"/><Relationship Id="rId77" Type="http://schemas.microsoft.com/office/2007/relationships/diagramDrawing" Target="diagrams/drawing7.xml"/><Relationship Id="rId100" Type="http://schemas.microsoft.com/office/2007/relationships/diagramDrawing" Target="diagrams/drawing10.xml"/><Relationship Id="rId105" Type="http://schemas.openxmlformats.org/officeDocument/2006/relationships/diagramLayout" Target="diagrams/layout11.xml"/><Relationship Id="rId126" Type="http://schemas.openxmlformats.org/officeDocument/2006/relationships/diagramData" Target="diagrams/data14.xml"/><Relationship Id="rId147" Type="http://schemas.openxmlformats.org/officeDocument/2006/relationships/chart" Target="charts/chart1.xml"/><Relationship Id="rId168" Type="http://schemas.openxmlformats.org/officeDocument/2006/relationships/image" Target="media/image57.emf"/><Relationship Id="rId282" Type="http://schemas.openxmlformats.org/officeDocument/2006/relationships/image" Target="media/image157.png"/><Relationship Id="rId312" Type="http://schemas.openxmlformats.org/officeDocument/2006/relationships/image" Target="media/image187.png"/><Relationship Id="rId317" Type="http://schemas.openxmlformats.org/officeDocument/2006/relationships/image" Target="media/image192.e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27.emf"/><Relationship Id="rId93" Type="http://schemas.openxmlformats.org/officeDocument/2006/relationships/image" Target="media/image33.emf"/><Relationship Id="rId98" Type="http://schemas.openxmlformats.org/officeDocument/2006/relationships/diagramQuickStyle" Target="diagrams/quickStyle10.xml"/><Relationship Id="rId121" Type="http://schemas.openxmlformats.org/officeDocument/2006/relationships/diagramQuickStyle" Target="diagrams/quickStyle13.xml"/><Relationship Id="rId142" Type="http://schemas.openxmlformats.org/officeDocument/2006/relationships/diagramQuickStyle" Target="diagrams/quickStyle16.xml"/><Relationship Id="rId163" Type="http://schemas.openxmlformats.org/officeDocument/2006/relationships/diagramLayout" Target="diagrams/layout19.xml"/><Relationship Id="rId184" Type="http://schemas.openxmlformats.org/officeDocument/2006/relationships/image" Target="media/image63.emf"/><Relationship Id="rId189" Type="http://schemas.openxmlformats.org/officeDocument/2006/relationships/image" Target="media/image68.emf"/><Relationship Id="rId219" Type="http://schemas.openxmlformats.org/officeDocument/2006/relationships/image" Target="media/image94.emf"/><Relationship Id="rId3" Type="http://schemas.openxmlformats.org/officeDocument/2006/relationships/styles" Target="styles.xml"/><Relationship Id="rId214" Type="http://schemas.openxmlformats.org/officeDocument/2006/relationships/image" Target="media/image89.emf"/><Relationship Id="rId230" Type="http://schemas.openxmlformats.org/officeDocument/2006/relationships/image" Target="media/image105.emf"/><Relationship Id="rId235" Type="http://schemas.openxmlformats.org/officeDocument/2006/relationships/image" Target="media/image110.jpeg"/><Relationship Id="rId251" Type="http://schemas.openxmlformats.org/officeDocument/2006/relationships/image" Target="media/image126.jpeg"/><Relationship Id="rId256" Type="http://schemas.openxmlformats.org/officeDocument/2006/relationships/image" Target="media/image131.emf"/><Relationship Id="rId277" Type="http://schemas.openxmlformats.org/officeDocument/2006/relationships/image" Target="media/image152.png"/><Relationship Id="rId298" Type="http://schemas.openxmlformats.org/officeDocument/2006/relationships/image" Target="media/image173.png"/><Relationship Id="rId25" Type="http://schemas.openxmlformats.org/officeDocument/2006/relationships/image" Target="media/image10.emf"/><Relationship Id="rId46" Type="http://schemas.openxmlformats.org/officeDocument/2006/relationships/diagramQuickStyle" Target="diagrams/quickStyle3.xml"/><Relationship Id="rId67" Type="http://schemas.openxmlformats.org/officeDocument/2006/relationships/diagramLayout" Target="diagrams/layout6.xml"/><Relationship Id="rId116" Type="http://schemas.openxmlformats.org/officeDocument/2006/relationships/image" Target="media/image41.emf"/><Relationship Id="rId137" Type="http://schemas.microsoft.com/office/2007/relationships/diagramDrawing" Target="diagrams/drawing15.xml"/><Relationship Id="rId158" Type="http://schemas.openxmlformats.org/officeDocument/2006/relationships/diagramColors" Target="diagrams/colors18.xml"/><Relationship Id="rId272" Type="http://schemas.openxmlformats.org/officeDocument/2006/relationships/image" Target="media/image147.emf"/><Relationship Id="rId293" Type="http://schemas.openxmlformats.org/officeDocument/2006/relationships/image" Target="media/image168.png"/><Relationship Id="rId302" Type="http://schemas.openxmlformats.org/officeDocument/2006/relationships/image" Target="media/image177.png"/><Relationship Id="rId307" Type="http://schemas.openxmlformats.org/officeDocument/2006/relationships/image" Target="media/image182.png"/><Relationship Id="rId323" Type="http://schemas.openxmlformats.org/officeDocument/2006/relationships/image" Target="media/image198.emf"/><Relationship Id="rId328" Type="http://schemas.openxmlformats.org/officeDocument/2006/relationships/fontTable" Target="fontTable.xml"/><Relationship Id="rId20" Type="http://schemas.openxmlformats.org/officeDocument/2006/relationships/image" Target="media/image6.png"/><Relationship Id="rId41" Type="http://schemas.microsoft.com/office/2007/relationships/diagramDrawing" Target="diagrams/drawing2.xml"/><Relationship Id="rId62" Type="http://schemas.openxmlformats.org/officeDocument/2006/relationships/diagramColors" Target="diagrams/colors5.xml"/><Relationship Id="rId83" Type="http://schemas.openxmlformats.org/officeDocument/2006/relationships/diagramColors" Target="diagrams/colors8.xml"/><Relationship Id="rId88" Type="http://schemas.openxmlformats.org/officeDocument/2006/relationships/diagramLayout" Target="diagrams/layout9.xml"/><Relationship Id="rId111" Type="http://schemas.openxmlformats.org/officeDocument/2006/relationships/diagramData" Target="diagrams/data12.xml"/><Relationship Id="rId132" Type="http://schemas.openxmlformats.org/officeDocument/2006/relationships/image" Target="media/image47.emf"/><Relationship Id="rId153" Type="http://schemas.openxmlformats.org/officeDocument/2006/relationships/image" Target="media/image52.emf"/><Relationship Id="rId174" Type="http://schemas.microsoft.com/office/2007/relationships/diagramDrawing" Target="diagrams/drawing20.xml"/><Relationship Id="rId179" Type="http://schemas.openxmlformats.org/officeDocument/2006/relationships/diagramData" Target="diagrams/data21.xml"/><Relationship Id="rId195" Type="http://schemas.openxmlformats.org/officeDocument/2006/relationships/image" Target="media/image74.emf"/><Relationship Id="rId209" Type="http://schemas.openxmlformats.org/officeDocument/2006/relationships/header" Target="header4.xml"/><Relationship Id="rId190" Type="http://schemas.openxmlformats.org/officeDocument/2006/relationships/image" Target="media/image69.emf"/><Relationship Id="rId204" Type="http://schemas.openxmlformats.org/officeDocument/2006/relationships/image" Target="media/image83.emf"/><Relationship Id="rId220" Type="http://schemas.openxmlformats.org/officeDocument/2006/relationships/image" Target="media/image95.emf"/><Relationship Id="rId225" Type="http://schemas.openxmlformats.org/officeDocument/2006/relationships/image" Target="media/image100.jpeg"/><Relationship Id="rId241" Type="http://schemas.openxmlformats.org/officeDocument/2006/relationships/image" Target="media/image116.emf"/><Relationship Id="rId246" Type="http://schemas.openxmlformats.org/officeDocument/2006/relationships/image" Target="media/image121.emf"/><Relationship Id="rId267" Type="http://schemas.openxmlformats.org/officeDocument/2006/relationships/image" Target="media/image142.png"/><Relationship Id="rId288" Type="http://schemas.openxmlformats.org/officeDocument/2006/relationships/image" Target="media/image163.png"/><Relationship Id="rId15" Type="http://schemas.openxmlformats.org/officeDocument/2006/relationships/footer" Target="footer4.xml"/><Relationship Id="rId36" Type="http://schemas.openxmlformats.org/officeDocument/2006/relationships/image" Target="media/image16.emf"/><Relationship Id="rId57" Type="http://schemas.openxmlformats.org/officeDocument/2006/relationships/image" Target="media/image22.emf"/><Relationship Id="rId106" Type="http://schemas.openxmlformats.org/officeDocument/2006/relationships/diagramQuickStyle" Target="diagrams/quickStyle11.xml"/><Relationship Id="rId127" Type="http://schemas.openxmlformats.org/officeDocument/2006/relationships/diagramLayout" Target="diagrams/layout14.xml"/><Relationship Id="rId262" Type="http://schemas.openxmlformats.org/officeDocument/2006/relationships/image" Target="media/image137.emf"/><Relationship Id="rId283" Type="http://schemas.openxmlformats.org/officeDocument/2006/relationships/image" Target="media/image158.png"/><Relationship Id="rId313" Type="http://schemas.openxmlformats.org/officeDocument/2006/relationships/image" Target="media/image188.png"/><Relationship Id="rId318" Type="http://schemas.openxmlformats.org/officeDocument/2006/relationships/image" Target="media/image193.emf"/><Relationship Id="rId10" Type="http://schemas.openxmlformats.org/officeDocument/2006/relationships/header" Target="header1.xml"/><Relationship Id="rId31" Type="http://schemas.openxmlformats.org/officeDocument/2006/relationships/diagramLayout" Target="diagrams/layout1.xml"/><Relationship Id="rId52" Type="http://schemas.openxmlformats.org/officeDocument/2006/relationships/diagramData" Target="diagrams/data4.xml"/><Relationship Id="rId73" Type="http://schemas.openxmlformats.org/officeDocument/2006/relationships/diagramData" Target="diagrams/data7.xml"/><Relationship Id="rId78" Type="http://schemas.openxmlformats.org/officeDocument/2006/relationships/image" Target="media/image28.emf"/><Relationship Id="rId94" Type="http://schemas.openxmlformats.org/officeDocument/2006/relationships/image" Target="media/image34.emf"/><Relationship Id="rId99" Type="http://schemas.openxmlformats.org/officeDocument/2006/relationships/diagramColors" Target="diagrams/colors10.xml"/><Relationship Id="rId101" Type="http://schemas.openxmlformats.org/officeDocument/2006/relationships/image" Target="media/image36.emf"/><Relationship Id="rId122" Type="http://schemas.openxmlformats.org/officeDocument/2006/relationships/diagramColors" Target="diagrams/colors13.xml"/><Relationship Id="rId143" Type="http://schemas.openxmlformats.org/officeDocument/2006/relationships/diagramColors" Target="diagrams/colors16.xml"/><Relationship Id="rId148" Type="http://schemas.openxmlformats.org/officeDocument/2006/relationships/diagramData" Target="diagrams/data17.xml"/><Relationship Id="rId164" Type="http://schemas.openxmlformats.org/officeDocument/2006/relationships/diagramQuickStyle" Target="diagrams/quickStyle19.xml"/><Relationship Id="rId169" Type="http://schemas.openxmlformats.org/officeDocument/2006/relationships/image" Target="media/image58.emf"/><Relationship Id="rId185" Type="http://schemas.openxmlformats.org/officeDocument/2006/relationships/image" Target="media/image64.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Layout" Target="diagrams/layout21.xml"/><Relationship Id="rId210" Type="http://schemas.openxmlformats.org/officeDocument/2006/relationships/header" Target="header5.xml"/><Relationship Id="rId215" Type="http://schemas.openxmlformats.org/officeDocument/2006/relationships/image" Target="media/image90.emf"/><Relationship Id="rId236" Type="http://schemas.openxmlformats.org/officeDocument/2006/relationships/image" Target="media/image111.emf"/><Relationship Id="rId257" Type="http://schemas.openxmlformats.org/officeDocument/2006/relationships/image" Target="media/image132.emf"/><Relationship Id="rId278" Type="http://schemas.openxmlformats.org/officeDocument/2006/relationships/image" Target="media/image153.png"/><Relationship Id="rId26" Type="http://schemas.openxmlformats.org/officeDocument/2006/relationships/image" Target="media/image11.png"/><Relationship Id="rId231" Type="http://schemas.openxmlformats.org/officeDocument/2006/relationships/image" Target="media/image106.jpeg"/><Relationship Id="rId252" Type="http://schemas.openxmlformats.org/officeDocument/2006/relationships/image" Target="media/image127.emf"/><Relationship Id="rId273" Type="http://schemas.openxmlformats.org/officeDocument/2006/relationships/image" Target="media/image148.png"/><Relationship Id="rId294" Type="http://schemas.openxmlformats.org/officeDocument/2006/relationships/image" Target="media/image169.png"/><Relationship Id="rId308" Type="http://schemas.openxmlformats.org/officeDocument/2006/relationships/image" Target="media/image183.png"/><Relationship Id="rId329" Type="http://schemas.openxmlformats.org/officeDocument/2006/relationships/theme" Target="theme/theme1.xml"/><Relationship Id="rId47" Type="http://schemas.openxmlformats.org/officeDocument/2006/relationships/diagramColors" Target="diagrams/colors3.xml"/><Relationship Id="rId68" Type="http://schemas.openxmlformats.org/officeDocument/2006/relationships/diagramQuickStyle" Target="diagrams/quickStyle6.xml"/><Relationship Id="rId89" Type="http://schemas.openxmlformats.org/officeDocument/2006/relationships/diagramQuickStyle" Target="diagrams/quickStyle9.xml"/><Relationship Id="rId112" Type="http://schemas.openxmlformats.org/officeDocument/2006/relationships/diagramLayout" Target="diagrams/layout12.xml"/><Relationship Id="rId133" Type="http://schemas.openxmlformats.org/officeDocument/2006/relationships/diagramData" Target="diagrams/data15.xml"/><Relationship Id="rId154" Type="http://schemas.openxmlformats.org/officeDocument/2006/relationships/image" Target="media/image53.emf"/><Relationship Id="rId175" Type="http://schemas.openxmlformats.org/officeDocument/2006/relationships/image" Target="media/image59.emf"/><Relationship Id="rId196" Type="http://schemas.openxmlformats.org/officeDocument/2006/relationships/image" Target="media/image75.emf"/><Relationship Id="rId200" Type="http://schemas.openxmlformats.org/officeDocument/2006/relationships/image" Target="media/image79.emf"/><Relationship Id="rId16" Type="http://schemas.openxmlformats.org/officeDocument/2006/relationships/image" Target="media/image2.emf"/><Relationship Id="rId221" Type="http://schemas.openxmlformats.org/officeDocument/2006/relationships/image" Target="media/image96.jpeg"/><Relationship Id="rId242" Type="http://schemas.openxmlformats.org/officeDocument/2006/relationships/image" Target="media/image117.emf"/><Relationship Id="rId263" Type="http://schemas.openxmlformats.org/officeDocument/2006/relationships/image" Target="media/image138.png"/><Relationship Id="rId284" Type="http://schemas.openxmlformats.org/officeDocument/2006/relationships/image" Target="media/image159.png"/><Relationship Id="rId319" Type="http://schemas.openxmlformats.org/officeDocument/2006/relationships/image" Target="media/image194.emf"/><Relationship Id="rId37" Type="http://schemas.openxmlformats.org/officeDocument/2006/relationships/diagramData" Target="diagrams/data2.xml"/><Relationship Id="rId58" Type="http://schemas.openxmlformats.org/officeDocument/2006/relationships/image" Target="media/image23.emf"/><Relationship Id="rId79" Type="http://schemas.openxmlformats.org/officeDocument/2006/relationships/image" Target="media/image29.emf"/><Relationship Id="rId102" Type="http://schemas.openxmlformats.org/officeDocument/2006/relationships/image" Target="media/image37.emf"/><Relationship Id="rId123" Type="http://schemas.microsoft.com/office/2007/relationships/diagramDrawing" Target="diagrams/drawing13.xml"/><Relationship Id="rId144" Type="http://schemas.microsoft.com/office/2007/relationships/diagramDrawing" Target="diagrams/drawing16.xml"/><Relationship Id="rId90" Type="http://schemas.openxmlformats.org/officeDocument/2006/relationships/diagramColors" Target="diagrams/colors9.xml"/><Relationship Id="rId165" Type="http://schemas.openxmlformats.org/officeDocument/2006/relationships/diagramColors" Target="diagrams/colors19.xml"/><Relationship Id="rId186" Type="http://schemas.openxmlformats.org/officeDocument/2006/relationships/image" Target="media/image65.emf"/><Relationship Id="rId211" Type="http://schemas.openxmlformats.org/officeDocument/2006/relationships/footer" Target="footer5.xml"/><Relationship Id="rId232" Type="http://schemas.openxmlformats.org/officeDocument/2006/relationships/image" Target="media/image107.emf"/><Relationship Id="rId253" Type="http://schemas.openxmlformats.org/officeDocument/2006/relationships/image" Target="media/image128.jpeg"/><Relationship Id="rId274" Type="http://schemas.openxmlformats.org/officeDocument/2006/relationships/image" Target="media/image149.emf"/><Relationship Id="rId295" Type="http://schemas.openxmlformats.org/officeDocument/2006/relationships/image" Target="media/image170.png"/><Relationship Id="rId309" Type="http://schemas.openxmlformats.org/officeDocument/2006/relationships/image" Target="media/image184.png"/><Relationship Id="rId27" Type="http://schemas.openxmlformats.org/officeDocument/2006/relationships/image" Target="media/image12.emf"/><Relationship Id="rId48" Type="http://schemas.microsoft.com/office/2007/relationships/diagramDrawing" Target="diagrams/drawing3.xml"/><Relationship Id="rId69" Type="http://schemas.openxmlformats.org/officeDocument/2006/relationships/diagramColors" Target="diagrams/colors6.xml"/><Relationship Id="rId113" Type="http://schemas.openxmlformats.org/officeDocument/2006/relationships/diagramQuickStyle" Target="diagrams/quickStyle12.xml"/><Relationship Id="rId134" Type="http://schemas.openxmlformats.org/officeDocument/2006/relationships/diagramLayout" Target="diagrams/layout15.xml"/><Relationship Id="rId320" Type="http://schemas.openxmlformats.org/officeDocument/2006/relationships/image" Target="media/image195.emf"/><Relationship Id="rId80" Type="http://schemas.openxmlformats.org/officeDocument/2006/relationships/diagramData" Target="diagrams/data8.xml"/><Relationship Id="rId155" Type="http://schemas.openxmlformats.org/officeDocument/2006/relationships/diagramData" Target="diagrams/data18.xml"/><Relationship Id="rId176" Type="http://schemas.openxmlformats.org/officeDocument/2006/relationships/image" Target="media/image60.emf"/><Relationship Id="rId197" Type="http://schemas.openxmlformats.org/officeDocument/2006/relationships/image" Target="media/image76.emf"/><Relationship Id="rId201" Type="http://schemas.openxmlformats.org/officeDocument/2006/relationships/image" Target="media/image80.emf"/><Relationship Id="rId222" Type="http://schemas.openxmlformats.org/officeDocument/2006/relationships/image" Target="media/image97.emf"/><Relationship Id="rId243" Type="http://schemas.openxmlformats.org/officeDocument/2006/relationships/image" Target="media/image118.jpeg"/><Relationship Id="rId264" Type="http://schemas.openxmlformats.org/officeDocument/2006/relationships/image" Target="media/image139.png"/><Relationship Id="rId285" Type="http://schemas.openxmlformats.org/officeDocument/2006/relationships/image" Target="media/image160.png"/><Relationship Id="rId17" Type="http://schemas.openxmlformats.org/officeDocument/2006/relationships/image" Target="media/image3.emf"/><Relationship Id="rId38" Type="http://schemas.openxmlformats.org/officeDocument/2006/relationships/diagramLayout" Target="diagrams/layout2.xml"/><Relationship Id="rId59" Type="http://schemas.openxmlformats.org/officeDocument/2006/relationships/diagramData" Target="diagrams/data5.xml"/><Relationship Id="rId103" Type="http://schemas.openxmlformats.org/officeDocument/2006/relationships/image" Target="media/image38.emf"/><Relationship Id="rId124" Type="http://schemas.openxmlformats.org/officeDocument/2006/relationships/image" Target="media/image44.emf"/><Relationship Id="rId310" Type="http://schemas.openxmlformats.org/officeDocument/2006/relationships/image" Target="media/image185.png"/><Relationship Id="rId70" Type="http://schemas.microsoft.com/office/2007/relationships/diagramDrawing" Target="diagrams/drawing6.xml"/><Relationship Id="rId91" Type="http://schemas.microsoft.com/office/2007/relationships/diagramDrawing" Target="diagrams/drawing9.xml"/><Relationship Id="rId145" Type="http://schemas.openxmlformats.org/officeDocument/2006/relationships/image" Target="media/image50.emf"/><Relationship Id="rId166" Type="http://schemas.microsoft.com/office/2007/relationships/diagramDrawing" Target="diagrams/drawing19.xml"/><Relationship Id="rId187" Type="http://schemas.openxmlformats.org/officeDocument/2006/relationships/image" Target="media/image66.emf"/><Relationship Id="rId1" Type="http://schemas.openxmlformats.org/officeDocument/2006/relationships/customXml" Target="../customXml/item1.xml"/><Relationship Id="rId212" Type="http://schemas.openxmlformats.org/officeDocument/2006/relationships/footer" Target="footer6.xml"/><Relationship Id="rId233" Type="http://schemas.openxmlformats.org/officeDocument/2006/relationships/image" Target="media/image108.jpeg"/><Relationship Id="rId254" Type="http://schemas.openxmlformats.org/officeDocument/2006/relationships/image" Target="media/image129.emf"/><Relationship Id="rId28" Type="http://schemas.openxmlformats.org/officeDocument/2006/relationships/image" Target="media/image13.emf"/><Relationship Id="rId49" Type="http://schemas.openxmlformats.org/officeDocument/2006/relationships/image" Target="media/image19.emf"/><Relationship Id="rId114" Type="http://schemas.openxmlformats.org/officeDocument/2006/relationships/diagramColors" Target="diagrams/colors12.xml"/><Relationship Id="rId275" Type="http://schemas.openxmlformats.org/officeDocument/2006/relationships/image" Target="media/image150.png"/><Relationship Id="rId296" Type="http://schemas.openxmlformats.org/officeDocument/2006/relationships/image" Target="media/image171.png"/><Relationship Id="rId300" Type="http://schemas.openxmlformats.org/officeDocument/2006/relationships/image" Target="media/image175.png"/><Relationship Id="rId60" Type="http://schemas.openxmlformats.org/officeDocument/2006/relationships/diagramLayout" Target="diagrams/layout5.xml"/><Relationship Id="rId81" Type="http://schemas.openxmlformats.org/officeDocument/2006/relationships/diagramLayout" Target="diagrams/layout8.xml"/><Relationship Id="rId135" Type="http://schemas.openxmlformats.org/officeDocument/2006/relationships/diagramQuickStyle" Target="diagrams/quickStyle15.xml"/><Relationship Id="rId156" Type="http://schemas.openxmlformats.org/officeDocument/2006/relationships/diagramLayout" Target="diagrams/layout18.xml"/><Relationship Id="rId177" Type="http://schemas.openxmlformats.org/officeDocument/2006/relationships/image" Target="media/image61.emf"/><Relationship Id="rId198" Type="http://schemas.openxmlformats.org/officeDocument/2006/relationships/image" Target="media/image77.emf"/><Relationship Id="rId321" Type="http://schemas.openxmlformats.org/officeDocument/2006/relationships/image" Target="media/image196.emf"/><Relationship Id="rId202" Type="http://schemas.openxmlformats.org/officeDocument/2006/relationships/image" Target="media/image81.emf"/><Relationship Id="rId223" Type="http://schemas.openxmlformats.org/officeDocument/2006/relationships/image" Target="media/image98.jpeg"/><Relationship Id="rId244" Type="http://schemas.openxmlformats.org/officeDocument/2006/relationships/image" Target="media/image119.emf"/><Relationship Id="rId18" Type="http://schemas.openxmlformats.org/officeDocument/2006/relationships/image" Target="media/image4.emf"/><Relationship Id="rId39" Type="http://schemas.openxmlformats.org/officeDocument/2006/relationships/diagramQuickStyle" Target="diagrams/quickStyle2.xml"/><Relationship Id="rId265" Type="http://schemas.openxmlformats.org/officeDocument/2006/relationships/image" Target="media/image140.png"/><Relationship Id="rId286" Type="http://schemas.openxmlformats.org/officeDocument/2006/relationships/image" Target="media/image161.png"/><Relationship Id="rId50" Type="http://schemas.openxmlformats.org/officeDocument/2006/relationships/image" Target="media/image20.emf"/><Relationship Id="rId104" Type="http://schemas.openxmlformats.org/officeDocument/2006/relationships/diagramData" Target="diagrams/data11.xml"/><Relationship Id="rId125" Type="http://schemas.openxmlformats.org/officeDocument/2006/relationships/image" Target="media/image45.emf"/><Relationship Id="rId146" Type="http://schemas.openxmlformats.org/officeDocument/2006/relationships/image" Target="media/image51.emf"/><Relationship Id="rId167" Type="http://schemas.openxmlformats.org/officeDocument/2006/relationships/image" Target="media/image56.emf"/><Relationship Id="rId188" Type="http://schemas.openxmlformats.org/officeDocument/2006/relationships/image" Target="media/image67.emf"/><Relationship Id="rId311" Type="http://schemas.openxmlformats.org/officeDocument/2006/relationships/image" Target="media/image186.png"/><Relationship Id="rId71" Type="http://schemas.openxmlformats.org/officeDocument/2006/relationships/image" Target="media/image26.emf"/><Relationship Id="rId92" Type="http://schemas.openxmlformats.org/officeDocument/2006/relationships/image" Target="media/image32.emf"/><Relationship Id="rId213" Type="http://schemas.openxmlformats.org/officeDocument/2006/relationships/image" Target="media/image88.emf"/><Relationship Id="rId234" Type="http://schemas.openxmlformats.org/officeDocument/2006/relationships/image" Target="media/image109.emf"/><Relationship Id="rId2" Type="http://schemas.openxmlformats.org/officeDocument/2006/relationships/numbering" Target="numbering.xml"/><Relationship Id="rId29" Type="http://schemas.openxmlformats.org/officeDocument/2006/relationships/image" Target="media/image14.emf"/><Relationship Id="rId255" Type="http://schemas.openxmlformats.org/officeDocument/2006/relationships/image" Target="media/image130.jpeg"/><Relationship Id="rId276" Type="http://schemas.openxmlformats.org/officeDocument/2006/relationships/image" Target="media/image151.png"/><Relationship Id="rId297" Type="http://schemas.openxmlformats.org/officeDocument/2006/relationships/image" Target="media/image172.png"/><Relationship Id="rId40" Type="http://schemas.openxmlformats.org/officeDocument/2006/relationships/diagramColors" Target="diagrams/colors2.xml"/><Relationship Id="rId115" Type="http://schemas.microsoft.com/office/2007/relationships/diagramDrawing" Target="diagrams/drawing12.xml"/><Relationship Id="rId136" Type="http://schemas.openxmlformats.org/officeDocument/2006/relationships/diagramColors" Target="diagrams/colors15.xml"/><Relationship Id="rId157" Type="http://schemas.openxmlformats.org/officeDocument/2006/relationships/diagramQuickStyle" Target="diagrams/quickStyle18.xml"/><Relationship Id="rId178" Type="http://schemas.openxmlformats.org/officeDocument/2006/relationships/image" Target="media/image62.emf"/><Relationship Id="rId301" Type="http://schemas.openxmlformats.org/officeDocument/2006/relationships/image" Target="media/image176.png"/><Relationship Id="rId322" Type="http://schemas.openxmlformats.org/officeDocument/2006/relationships/image" Target="media/image197.emf"/><Relationship Id="rId61" Type="http://schemas.openxmlformats.org/officeDocument/2006/relationships/diagramQuickStyle" Target="diagrams/quickStyle5.xml"/><Relationship Id="rId82" Type="http://schemas.openxmlformats.org/officeDocument/2006/relationships/diagramQuickStyle" Target="diagrams/quickStyle8.xml"/><Relationship Id="rId199" Type="http://schemas.openxmlformats.org/officeDocument/2006/relationships/image" Target="media/image78.emf"/><Relationship Id="rId203" Type="http://schemas.openxmlformats.org/officeDocument/2006/relationships/image" Target="media/image82.emf"/><Relationship Id="rId19" Type="http://schemas.openxmlformats.org/officeDocument/2006/relationships/image" Target="media/image5.emf"/><Relationship Id="rId224" Type="http://schemas.openxmlformats.org/officeDocument/2006/relationships/image" Target="media/image99.emf"/><Relationship Id="rId245" Type="http://schemas.openxmlformats.org/officeDocument/2006/relationships/image" Target="media/image120.emf"/><Relationship Id="rId266" Type="http://schemas.openxmlformats.org/officeDocument/2006/relationships/image" Target="media/image141.png"/><Relationship Id="rId287" Type="http://schemas.openxmlformats.org/officeDocument/2006/relationships/image" Target="media/image162.png"/></Relationships>
</file>

<file path=word/charts/_rels/chart1.xml.rels><?xml version="1.0" encoding="UTF-8" standalone="yes"?>
<Relationships xmlns="http://schemas.openxmlformats.org/package/2006/relationships"><Relationship Id="rId2" Type="http://schemas.openxmlformats.org/officeDocument/2006/relationships/oleObject" Target="file:///\\adi.wipo.int\wipodata\DAT1\Orgipoa\Confid\Planning%20&amp;%20Statistics\IP%20Office%20Report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WIPO IP Office Systems - Usage by Region</a:t>
            </a:r>
          </a:p>
        </c:rich>
      </c:tx>
      <c:layout/>
      <c:overlay val="0"/>
    </c:title>
    <c:autoTitleDeleted val="0"/>
    <c:plotArea>
      <c:layout/>
      <c:barChart>
        <c:barDir val="col"/>
        <c:grouping val="clustered"/>
        <c:varyColors val="0"/>
        <c:ser>
          <c:idx val="0"/>
          <c:order val="0"/>
          <c:tx>
            <c:strRef>
              <c:f>'The Report'!$C$1</c:f>
              <c:strCache>
                <c:ptCount val="1"/>
                <c:pt idx="0">
                  <c:v>2010</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Report'!$C$2:$C$7</c:f>
              <c:numCache>
                <c:formatCode>0</c:formatCode>
                <c:ptCount val="6"/>
                <c:pt idx="0">
                  <c:v>14</c:v>
                </c:pt>
                <c:pt idx="1">
                  <c:v>9</c:v>
                </c:pt>
                <c:pt idx="2">
                  <c:v>7</c:v>
                </c:pt>
                <c:pt idx="3">
                  <c:v>4</c:v>
                </c:pt>
                <c:pt idx="4">
                  <c:v>10</c:v>
                </c:pt>
                <c:pt idx="5" formatCode="General">
                  <c:v>44</c:v>
                </c:pt>
              </c:numCache>
            </c:numRef>
          </c:val>
        </c:ser>
        <c:ser>
          <c:idx val="1"/>
          <c:order val="1"/>
          <c:tx>
            <c:strRef>
              <c:f>'The Report'!$D$1</c:f>
              <c:strCache>
                <c:ptCount val="1"/>
                <c:pt idx="0">
                  <c:v>2011</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Report'!$D$2:$D$7</c:f>
              <c:numCache>
                <c:formatCode>0</c:formatCode>
                <c:ptCount val="6"/>
                <c:pt idx="0">
                  <c:v>14</c:v>
                </c:pt>
                <c:pt idx="1">
                  <c:v>9</c:v>
                </c:pt>
                <c:pt idx="2">
                  <c:v>7</c:v>
                </c:pt>
                <c:pt idx="3">
                  <c:v>6</c:v>
                </c:pt>
                <c:pt idx="4">
                  <c:v>12</c:v>
                </c:pt>
                <c:pt idx="5" formatCode="General">
                  <c:v>48</c:v>
                </c:pt>
              </c:numCache>
            </c:numRef>
          </c:val>
        </c:ser>
        <c:ser>
          <c:idx val="2"/>
          <c:order val="2"/>
          <c:tx>
            <c:strRef>
              <c:f>'The Report'!$E$1</c:f>
              <c:strCache>
                <c:ptCount val="1"/>
                <c:pt idx="0">
                  <c:v>2012</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Report'!$E$2:$E$7</c:f>
              <c:numCache>
                <c:formatCode>0</c:formatCode>
                <c:ptCount val="6"/>
                <c:pt idx="0">
                  <c:v>17</c:v>
                </c:pt>
                <c:pt idx="1">
                  <c:v>13</c:v>
                </c:pt>
                <c:pt idx="2">
                  <c:v>9</c:v>
                </c:pt>
                <c:pt idx="3">
                  <c:v>6</c:v>
                </c:pt>
                <c:pt idx="4">
                  <c:v>14</c:v>
                </c:pt>
                <c:pt idx="5" formatCode="General">
                  <c:v>59</c:v>
                </c:pt>
              </c:numCache>
            </c:numRef>
          </c:val>
        </c:ser>
        <c:ser>
          <c:idx val="3"/>
          <c:order val="3"/>
          <c:tx>
            <c:strRef>
              <c:f>'The Report'!$F$1</c:f>
              <c:strCache>
                <c:ptCount val="1"/>
                <c:pt idx="0">
                  <c:v>2013</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Report'!$F$2:$F$7</c:f>
              <c:numCache>
                <c:formatCode>0</c:formatCode>
                <c:ptCount val="6"/>
                <c:pt idx="0">
                  <c:v>19</c:v>
                </c:pt>
                <c:pt idx="1">
                  <c:v>14</c:v>
                </c:pt>
                <c:pt idx="2">
                  <c:v>11</c:v>
                </c:pt>
                <c:pt idx="3">
                  <c:v>6</c:v>
                </c:pt>
                <c:pt idx="4">
                  <c:v>15</c:v>
                </c:pt>
                <c:pt idx="5" formatCode="General">
                  <c:v>65</c:v>
                </c:pt>
              </c:numCache>
            </c:numRef>
          </c:val>
        </c:ser>
        <c:ser>
          <c:idx val="4"/>
          <c:order val="4"/>
          <c:tx>
            <c:strRef>
              <c:f>'The Report'!$G$1</c:f>
              <c:strCache>
                <c:ptCount val="1"/>
                <c:pt idx="0">
                  <c:v>2014</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Report'!$G$2:$G$7</c:f>
              <c:numCache>
                <c:formatCode>0</c:formatCode>
                <c:ptCount val="6"/>
                <c:pt idx="0">
                  <c:v>19</c:v>
                </c:pt>
                <c:pt idx="1">
                  <c:v>14</c:v>
                </c:pt>
                <c:pt idx="2">
                  <c:v>13</c:v>
                </c:pt>
                <c:pt idx="3">
                  <c:v>6</c:v>
                </c:pt>
                <c:pt idx="4">
                  <c:v>16</c:v>
                </c:pt>
                <c:pt idx="5" formatCode="General">
                  <c:v>68</c:v>
                </c:pt>
              </c:numCache>
            </c:numRef>
          </c:val>
        </c:ser>
        <c:dLbls>
          <c:showLegendKey val="0"/>
          <c:showVal val="0"/>
          <c:showCatName val="0"/>
          <c:showSerName val="0"/>
          <c:showPercent val="0"/>
          <c:showBubbleSize val="0"/>
        </c:dLbls>
        <c:gapWidth val="150"/>
        <c:axId val="135980544"/>
        <c:axId val="135982080"/>
      </c:barChart>
      <c:catAx>
        <c:axId val="135980544"/>
        <c:scaling>
          <c:orientation val="minMax"/>
        </c:scaling>
        <c:delete val="0"/>
        <c:axPos val="b"/>
        <c:majorTickMark val="out"/>
        <c:minorTickMark val="none"/>
        <c:tickLblPos val="nextTo"/>
        <c:crossAx val="135982080"/>
        <c:crosses val="autoZero"/>
        <c:auto val="1"/>
        <c:lblAlgn val="ctr"/>
        <c:lblOffset val="100"/>
        <c:noMultiLvlLbl val="0"/>
      </c:catAx>
      <c:valAx>
        <c:axId val="135982080"/>
        <c:scaling>
          <c:orientation val="minMax"/>
        </c:scaling>
        <c:delete val="0"/>
        <c:axPos val="l"/>
        <c:majorGridlines/>
        <c:numFmt formatCode="0" sourceLinked="1"/>
        <c:majorTickMark val="out"/>
        <c:minorTickMark val="none"/>
        <c:tickLblPos val="nextTo"/>
        <c:crossAx val="135980544"/>
        <c:crosses val="autoZero"/>
        <c:crossBetween val="between"/>
      </c:valAx>
      <c:dTable>
        <c:showHorzBorder val="1"/>
        <c:showVertBorder val="1"/>
        <c:showOutline val="1"/>
        <c:showKeys val="0"/>
      </c:dTable>
    </c:plotArea>
    <c:legend>
      <c:legendPos val="r"/>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0E1FEA62-81EE-4117-997B-69ED8651A7D0}" type="parTrans" cxnId="{1763FEA0-AAF8-4DB3-8B21-253B8F239228}">
      <dgm:prSet/>
      <dgm:spPr>
        <a:xfrm rot="19792485">
          <a:off x="3256246" y="790522"/>
          <a:ext cx="241706" cy="14519"/>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069AD1A8-1718-4E51-AEE7-85B69D54F950}" type="parTrans" cxnId="{4B8455E7-4B99-4C1B-A85F-368F4A08E0BE}">
      <dgm:prSet/>
      <dgm:spPr>
        <a:xfrm rot="13">
          <a:off x="3465337" y="1038173"/>
          <a:ext cx="1000123" cy="14519"/>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F0719816-4AC2-4964-8797-61135BEDA83D}" type="parTrans" cxnId="{4E68C5E6-4E50-45B6-9E23-A7A97C86ED5E}">
      <dgm:prSet/>
      <dgm:spPr>
        <a:xfrm rot="1548005">
          <a:off x="3291555" y="1280610"/>
          <a:ext cx="320548" cy="14519"/>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gm:t>
    </dgm:pt>
    <dgm:pt modelId="{6FBFA200-28B9-441C-9603-B958FB3D45CE}" type="parTrans" cxnId="{427458F4-2128-4535-BC60-2C807BAEAB78}">
      <dgm:prSet/>
      <dgm:spPr>
        <a:xfrm rot="12476106">
          <a:off x="2414883" y="809342"/>
          <a:ext cx="207789" cy="14519"/>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4DA931F6-88AF-4B28-AA68-7BB47161ABA9}" type="parTrans" cxnId="{070AEFE9-55EF-4F5A-B707-AF0518F7B8C6}">
      <dgm:prSet/>
      <dgm:spPr>
        <a:xfrm rot="5400000">
          <a:off x="2799596" y="1428608"/>
          <a:ext cx="301444" cy="14519"/>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gm:t>
    </dgm:pt>
    <dgm:pt modelId="{FEDE4186-485A-46BD-B210-B0BD4480CB16}" type="parTrans" cxnId="{1AA9EDCB-7AF6-406C-9BE6-B90918B1AE07}">
      <dgm:prSet/>
      <dgm:spPr>
        <a:xfrm rot="9410013">
          <a:off x="2310824" y="1253771"/>
          <a:ext cx="271289" cy="14519"/>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Global Challenges </a:t>
          </a:r>
        </a:p>
      </dgm:t>
    </dgm:pt>
    <dgm:pt modelId="{BD2843B5-7E3E-4680-8A25-01BA23D8CE69}" type="parTrans" cxnId="{64EB48A2-0615-4134-85EB-A4DAE785AB7D}">
      <dgm:prSet/>
      <dgm:spPr>
        <a:xfrm rot="10800000">
          <a:off x="1351302" y="1038169"/>
          <a:ext cx="1083997" cy="14519"/>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9B9F281C-C5AE-4D97-A908-813F5DFAD970}" type="presOf" srcId="{FEDE4186-485A-46BD-B210-B0BD4480CB16}" destId="{CB1335D7-B771-475A-BE82-89C2F00DAF8B}" srcOrd="1" destOrd="0" presId="urn:microsoft.com/office/officeart/2005/8/layout/radial1"/>
    <dgm:cxn modelId="{8AEB6C87-D0AB-4C75-8E57-2B247EA1580E}" type="presOf" srcId="{6FBFA200-28B9-441C-9603-B958FB3D45CE}" destId="{98E66AFE-BCED-48F2-B78A-230BF42B9FFC}" srcOrd="0" destOrd="0" presId="urn:microsoft.com/office/officeart/2005/8/layout/radial1"/>
    <dgm:cxn modelId="{63AF0CF4-9328-42FE-AC08-087FECF5078B}" type="presOf" srcId="{F0719816-4AC2-4964-8797-61135BEDA83D}" destId="{93F2ABB5-3A44-45ED-A792-C294D6962C8F}" srcOrd="1" destOrd="0" presId="urn:microsoft.com/office/officeart/2005/8/layout/radial1"/>
    <dgm:cxn modelId="{188CD60D-6254-4BCF-97E2-A6E68DFCDA09}" type="presOf" srcId="{DAF30ECC-CB4B-483A-93C7-47A100649D5D}" destId="{E01DCF12-19AC-4734-9210-5F881573D3F5}" srcOrd="0" destOrd="0" presId="urn:microsoft.com/office/officeart/2005/8/layout/radial1"/>
    <dgm:cxn modelId="{39BE26E3-16A6-445E-9AE8-3B9B85F82AE7}" type="presOf" srcId="{F0719816-4AC2-4964-8797-61135BEDA83D}" destId="{7F30A5E4-3531-49F3-AC3C-8F1D2236451A}" srcOrd="0" destOrd="0" presId="urn:microsoft.com/office/officeart/2005/8/layout/radial1"/>
    <dgm:cxn modelId="{21D86761-840B-4A27-983E-ADCCB7570A94}" type="presOf" srcId="{FEDE4186-485A-46BD-B210-B0BD4480CB16}" destId="{2A6DC4FF-B426-4171-A201-27B83DA94370}" srcOrd="0" destOrd="0" presId="urn:microsoft.com/office/officeart/2005/8/layout/radial1"/>
    <dgm:cxn modelId="{5781E0B3-BAB8-433B-B3AA-D0F7A035C867}" type="presOf" srcId="{FB911F09-22D9-48A7-A087-AEF5110B6682}" destId="{5F1C34CD-B8DF-45F7-A431-2126D61FFACC}" srcOrd="0" destOrd="0" presId="urn:microsoft.com/office/officeart/2005/8/layout/radial1"/>
    <dgm:cxn modelId="{C37CA5C3-32C0-48B0-AB67-1D52539F39F8}" type="presOf" srcId="{DD2E3765-25B6-48F8-B902-5C026C284173}" destId="{4B42C994-9F34-48FA-B0E9-245578FAC1C6}"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4B8455E7-4B99-4C1B-A85F-368F4A08E0BE}" srcId="{615A8A4C-3386-41CB-B004-75AA2E0C8E7E}" destId="{447D5D1D-0860-4B1B-A10A-5D7EC9B637D8}" srcOrd="2" destOrd="0" parTransId="{069AD1A8-1718-4E51-AEE7-85B69D54F950}" sibTransId="{855AF909-31D3-4065-ABB3-82005C9FEF4C}"/>
    <dgm:cxn modelId="{AC36A7DF-71A1-43B6-8268-D0C26BC732F7}" type="presOf" srcId="{17173E60-1AB7-4219-9E5D-2EB707D4762A}" destId="{A8CAB3F2-A4A1-434C-9CB4-641DE8526482}" srcOrd="0" destOrd="0" presId="urn:microsoft.com/office/officeart/2005/8/layout/radial1"/>
    <dgm:cxn modelId="{7E22B9DA-A032-44AC-A842-9B41CE0CA083}" type="presOf" srcId="{0E1FEA62-81EE-4117-997B-69ED8651A7D0}" destId="{3FE6E2C5-0D84-4EA6-8A7C-D44D396A169E}" srcOrd="0" destOrd="0" presId="urn:microsoft.com/office/officeart/2005/8/layout/radial1"/>
    <dgm:cxn modelId="{67C3B866-81E5-47D9-BB04-DA309CCFF373}" type="presOf" srcId="{BD2843B5-7E3E-4680-8A25-01BA23D8CE69}" destId="{37A775CB-7592-434E-A233-9CA00876798D}" srcOrd="1" destOrd="0" presId="urn:microsoft.com/office/officeart/2005/8/layout/radial1"/>
    <dgm:cxn modelId="{CBA537AC-56B5-46A0-BE0D-6B09E1A46608}" type="presOf" srcId="{CF74A6F9-BA34-45B8-91B4-D30611FDBA60}" destId="{B7B7A49F-5E78-4AC5-B18E-2DC80AECCF08}" srcOrd="1"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E55333C4-687C-4186-B8C3-1AC5CE56517A}" srcId="{DD2E3765-25B6-48F8-B902-5C026C284173}" destId="{615A8A4C-3386-41CB-B004-75AA2E0C8E7E}" srcOrd="0" destOrd="0" parTransId="{E2BD043E-B694-4760-8FC3-4BE59593050C}" sibTransId="{A7B35DF3-2893-4CFA-8C75-4D2DB5615E44}"/>
    <dgm:cxn modelId="{D7032461-DFF8-43AF-8240-5D6E6BAC8D74}" type="presOf" srcId="{CFBCC7A9-248E-440C-A926-28CC42C6B860}" destId="{353BAFE4-0977-4589-9534-7471241857D7}" srcOrd="0" destOrd="0" presId="urn:microsoft.com/office/officeart/2005/8/layout/radial1"/>
    <dgm:cxn modelId="{B9045EBE-B77F-48C5-AA09-D0574C713D68}" type="presOf" srcId="{BD2843B5-7E3E-4680-8A25-01BA23D8CE69}" destId="{D3C62D02-BD66-40AA-8598-E6F03FA4330E}" srcOrd="0" destOrd="0" presId="urn:microsoft.com/office/officeart/2005/8/layout/radial1"/>
    <dgm:cxn modelId="{FC36FE19-180D-4CC5-ADBF-BFF926C657D6}" type="presOf" srcId="{0E1FEA62-81EE-4117-997B-69ED8651A7D0}" destId="{C8361934-9E8A-4B07-8048-7D48F9D9FCA9}" srcOrd="1"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B6CE91CC-D1A5-4373-86BD-6B46CDF34277}" type="presOf" srcId="{CF74A6F9-BA34-45B8-91B4-D30611FDBA60}" destId="{2E00D982-49D5-455F-888E-68E4C81A2365}" srcOrd="0" destOrd="0" presId="urn:microsoft.com/office/officeart/2005/8/layout/radial1"/>
    <dgm:cxn modelId="{8E883528-9973-4DE0-BE3F-E3D41B646FC6}" type="presOf" srcId="{615A8A4C-3386-41CB-B004-75AA2E0C8E7E}" destId="{262D173F-A40A-406A-BA41-067F590F5B00}" srcOrd="0" destOrd="0" presId="urn:microsoft.com/office/officeart/2005/8/layout/radial1"/>
    <dgm:cxn modelId="{E0217BE3-EC29-46C9-B0CF-A38A0E4FE098}" type="presOf" srcId="{06E8F230-0A46-4973-959C-5518A0F634E1}" destId="{C7416AF2-49A6-451C-80C3-A5143C86D045}" srcOrd="0"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061DF24F-7B75-4BAC-A11C-778C6DFD5115}" type="presOf" srcId="{069AD1A8-1718-4E51-AEE7-85B69D54F950}" destId="{93B3BE9E-D237-4DD9-937C-973455BC3658}" srcOrd="0" destOrd="0" presId="urn:microsoft.com/office/officeart/2005/8/layout/radial1"/>
    <dgm:cxn modelId="{09202C23-275D-42F1-A569-B0C2FA333EE0}" type="presOf" srcId="{447D5D1D-0860-4B1B-A10A-5D7EC9B637D8}" destId="{3A26272E-8DBD-422F-ABA2-A3DA0C9B3C69}" srcOrd="0"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CB81EE01-6D3D-4ABB-98B6-7A057ABBE40B}" type="presOf" srcId="{4DA931F6-88AF-4B28-AA68-7BB47161ABA9}" destId="{E19A1787-F640-4D8D-A88F-51D710E321CA}" srcOrd="1" destOrd="0" presId="urn:microsoft.com/office/officeart/2005/8/layout/radial1"/>
    <dgm:cxn modelId="{9DFCDE35-E614-4C52-8B23-191239894B00}" type="presOf" srcId="{069AD1A8-1718-4E51-AEE7-85B69D54F950}" destId="{E7C370CD-4B70-470B-B819-7260C176B479}" srcOrd="1"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070AEFE9-55EF-4F5A-B707-AF0518F7B8C6}" srcId="{615A8A4C-3386-41CB-B004-75AA2E0C8E7E}" destId="{06E8F230-0A46-4973-959C-5518A0F634E1}" srcOrd="4" destOrd="0" parTransId="{4DA931F6-88AF-4B28-AA68-7BB47161ABA9}" sibTransId="{05D557FB-EE62-41BD-A184-12A99A228BF1}"/>
    <dgm:cxn modelId="{BF16CE85-543B-4EAE-A6DF-A1AD4EA91A42}" type="presOf" srcId="{C8838BF5-4657-4DB6-B70A-DBA4AB5B97EE}" destId="{694C81C6-3E54-45BC-9ED9-5944CBD672A7}" srcOrd="0" destOrd="0" presId="urn:microsoft.com/office/officeart/2005/8/layout/radial1"/>
    <dgm:cxn modelId="{08B4657C-C958-4CCD-9DB6-CD42AEEC3C0A}" type="presOf" srcId="{6FBFA200-28B9-441C-9603-B958FB3D45CE}" destId="{7244ABB3-7BCC-4145-8C19-8C33F0A4C35F}" srcOrd="1" destOrd="0" presId="urn:microsoft.com/office/officeart/2005/8/layout/radial1"/>
    <dgm:cxn modelId="{76ED97CB-039B-4F35-AAAF-98F9BC08F7D4}" type="presOf" srcId="{4DA931F6-88AF-4B28-AA68-7BB47161ABA9}" destId="{9350C245-A165-4791-BD7A-BFCED0BB0361}" srcOrd="0" destOrd="0" presId="urn:microsoft.com/office/officeart/2005/8/layout/radial1"/>
    <dgm:cxn modelId="{D692C3E1-BDB2-4D2E-8BF5-543C4E03AB59}" type="presOf" srcId="{C1693A50-4E68-4912-9A70-0C97C87B3D7E}" destId="{44473C27-A9A3-4167-AEAF-A01C156E33F0}" srcOrd="0" destOrd="0" presId="urn:microsoft.com/office/officeart/2005/8/layout/radial1"/>
    <dgm:cxn modelId="{A68652DB-9195-40D4-B7D2-ABF9B0FE7A52}" type="presParOf" srcId="{4B42C994-9F34-48FA-B0E9-245578FAC1C6}" destId="{262D173F-A40A-406A-BA41-067F590F5B00}" srcOrd="0" destOrd="0" presId="urn:microsoft.com/office/officeart/2005/8/layout/radial1"/>
    <dgm:cxn modelId="{03D1BDA2-543D-4B0C-9C05-C1B98F17653E}" type="presParOf" srcId="{4B42C994-9F34-48FA-B0E9-245578FAC1C6}" destId="{2E00D982-49D5-455F-888E-68E4C81A2365}" srcOrd="1" destOrd="0" presId="urn:microsoft.com/office/officeart/2005/8/layout/radial1"/>
    <dgm:cxn modelId="{84DCC3B3-AD2D-4C6B-9007-D4E4490BB416}" type="presParOf" srcId="{2E00D982-49D5-455F-888E-68E4C81A2365}" destId="{B7B7A49F-5E78-4AC5-B18E-2DC80AECCF08}" srcOrd="0" destOrd="0" presId="urn:microsoft.com/office/officeart/2005/8/layout/radial1"/>
    <dgm:cxn modelId="{A1CAE083-A33E-4C8A-8E29-0FA904D3C050}" type="presParOf" srcId="{4B42C994-9F34-48FA-B0E9-245578FAC1C6}" destId="{44473C27-A9A3-4167-AEAF-A01C156E33F0}" srcOrd="2" destOrd="0" presId="urn:microsoft.com/office/officeart/2005/8/layout/radial1"/>
    <dgm:cxn modelId="{D02C3A5F-71F4-494C-896D-092B6CC02012}" type="presParOf" srcId="{4B42C994-9F34-48FA-B0E9-245578FAC1C6}" destId="{3FE6E2C5-0D84-4EA6-8A7C-D44D396A169E}" srcOrd="3" destOrd="0" presId="urn:microsoft.com/office/officeart/2005/8/layout/radial1"/>
    <dgm:cxn modelId="{2DEF81E4-6600-4490-8611-640BA520182B}" type="presParOf" srcId="{3FE6E2C5-0D84-4EA6-8A7C-D44D396A169E}" destId="{C8361934-9E8A-4B07-8048-7D48F9D9FCA9}" srcOrd="0" destOrd="0" presId="urn:microsoft.com/office/officeart/2005/8/layout/radial1"/>
    <dgm:cxn modelId="{030AF430-1ABA-4D3E-8A62-41DB70DB4257}" type="presParOf" srcId="{4B42C994-9F34-48FA-B0E9-245578FAC1C6}" destId="{5F1C34CD-B8DF-45F7-A431-2126D61FFACC}" srcOrd="4" destOrd="0" presId="urn:microsoft.com/office/officeart/2005/8/layout/radial1"/>
    <dgm:cxn modelId="{4CA0E262-F750-459D-BDA2-882BB8D49304}" type="presParOf" srcId="{4B42C994-9F34-48FA-B0E9-245578FAC1C6}" destId="{93B3BE9E-D237-4DD9-937C-973455BC3658}" srcOrd="5" destOrd="0" presId="urn:microsoft.com/office/officeart/2005/8/layout/radial1"/>
    <dgm:cxn modelId="{11E8DC40-F858-4569-A607-B1A86C52219E}" type="presParOf" srcId="{93B3BE9E-D237-4DD9-937C-973455BC3658}" destId="{E7C370CD-4B70-470B-B819-7260C176B479}" srcOrd="0" destOrd="0" presId="urn:microsoft.com/office/officeart/2005/8/layout/radial1"/>
    <dgm:cxn modelId="{89701CDD-D32A-46DE-BF0E-A927D5DB60F0}" type="presParOf" srcId="{4B42C994-9F34-48FA-B0E9-245578FAC1C6}" destId="{3A26272E-8DBD-422F-ABA2-A3DA0C9B3C69}" srcOrd="6" destOrd="0" presId="urn:microsoft.com/office/officeart/2005/8/layout/radial1"/>
    <dgm:cxn modelId="{9E4B53B8-4CF3-41B7-9D9F-7B38C593C9C8}" type="presParOf" srcId="{4B42C994-9F34-48FA-B0E9-245578FAC1C6}" destId="{7F30A5E4-3531-49F3-AC3C-8F1D2236451A}" srcOrd="7" destOrd="0" presId="urn:microsoft.com/office/officeart/2005/8/layout/radial1"/>
    <dgm:cxn modelId="{D4F208BC-AE29-4244-9BB0-E04803EB4874}" type="presParOf" srcId="{7F30A5E4-3531-49F3-AC3C-8F1D2236451A}" destId="{93F2ABB5-3A44-45ED-A792-C294D6962C8F}" srcOrd="0" destOrd="0" presId="urn:microsoft.com/office/officeart/2005/8/layout/radial1"/>
    <dgm:cxn modelId="{0C2B6C74-E495-428E-9DB8-52B5EFC83D44}" type="presParOf" srcId="{4B42C994-9F34-48FA-B0E9-245578FAC1C6}" destId="{E01DCF12-19AC-4734-9210-5F881573D3F5}" srcOrd="8" destOrd="0" presId="urn:microsoft.com/office/officeart/2005/8/layout/radial1"/>
    <dgm:cxn modelId="{05474213-2084-43F8-8409-A1E77403549E}" type="presParOf" srcId="{4B42C994-9F34-48FA-B0E9-245578FAC1C6}" destId="{9350C245-A165-4791-BD7A-BFCED0BB0361}" srcOrd="9" destOrd="0" presId="urn:microsoft.com/office/officeart/2005/8/layout/radial1"/>
    <dgm:cxn modelId="{E4C0B0ED-2B57-4996-880E-5182341BB5E8}" type="presParOf" srcId="{9350C245-A165-4791-BD7A-BFCED0BB0361}" destId="{E19A1787-F640-4D8D-A88F-51D710E321CA}" srcOrd="0" destOrd="0" presId="urn:microsoft.com/office/officeart/2005/8/layout/radial1"/>
    <dgm:cxn modelId="{DDD0C4F6-19D3-4EFE-ACB0-5BE394BC345C}" type="presParOf" srcId="{4B42C994-9F34-48FA-B0E9-245578FAC1C6}" destId="{C7416AF2-49A6-451C-80C3-A5143C86D045}" srcOrd="10" destOrd="0" presId="urn:microsoft.com/office/officeart/2005/8/layout/radial1"/>
    <dgm:cxn modelId="{B675433A-A8DF-411C-9897-77FB90821F0B}" type="presParOf" srcId="{4B42C994-9F34-48FA-B0E9-245578FAC1C6}" destId="{2A6DC4FF-B426-4171-A201-27B83DA94370}" srcOrd="11" destOrd="0" presId="urn:microsoft.com/office/officeart/2005/8/layout/radial1"/>
    <dgm:cxn modelId="{74148340-DA04-4A1B-886A-D11BCE4B57BC}" type="presParOf" srcId="{2A6DC4FF-B426-4171-A201-27B83DA94370}" destId="{CB1335D7-B771-475A-BE82-89C2F00DAF8B}" srcOrd="0" destOrd="0" presId="urn:microsoft.com/office/officeart/2005/8/layout/radial1"/>
    <dgm:cxn modelId="{BCE1E8BF-673C-44E9-8F2C-DD0B7F36C698}" type="presParOf" srcId="{4B42C994-9F34-48FA-B0E9-245578FAC1C6}" destId="{353BAFE4-0977-4589-9534-7471241857D7}" srcOrd="12" destOrd="0" presId="urn:microsoft.com/office/officeart/2005/8/layout/radial1"/>
    <dgm:cxn modelId="{224AD33F-2113-4868-B721-5375CCC3E9B3}" type="presParOf" srcId="{4B42C994-9F34-48FA-B0E9-245578FAC1C6}" destId="{D3C62D02-BD66-40AA-8598-E6F03FA4330E}" srcOrd="13" destOrd="0" presId="urn:microsoft.com/office/officeart/2005/8/layout/radial1"/>
    <dgm:cxn modelId="{09B51E86-9078-4C88-AD10-B93B1AA10A40}" type="presParOf" srcId="{D3C62D02-BD66-40AA-8598-E6F03FA4330E}" destId="{37A775CB-7592-434E-A233-9CA00876798D}" srcOrd="0" destOrd="0" presId="urn:microsoft.com/office/officeart/2005/8/layout/radial1"/>
    <dgm:cxn modelId="{4358F7EB-8DED-4D47-B519-0FFCA55FAF4D}" type="presParOf" srcId="{4B42C994-9F34-48FA-B0E9-245578FAC1C6}" destId="{694C81C6-3E54-45BC-9ED9-5944CBD672A7}" srcOrd="14" destOrd="0" presId="urn:microsoft.com/office/officeart/2005/8/layout/radial1"/>
    <dgm:cxn modelId="{2D97F6AC-8A40-4663-87DE-3AFEC333C8E1}" type="presParOf" srcId="{4B42C994-9F34-48FA-B0E9-245578FAC1C6}" destId="{98E66AFE-BCED-48F2-B78A-230BF42B9FFC}" srcOrd="15" destOrd="0" presId="urn:microsoft.com/office/officeart/2005/8/layout/radial1"/>
    <dgm:cxn modelId="{FD2D80CE-4408-465A-A640-B097602478A4}" type="presParOf" srcId="{98E66AFE-BCED-48F2-B78A-230BF42B9FFC}" destId="{7244ABB3-7BCC-4145-8C19-8C33F0A4C35F}" srcOrd="0" destOrd="0" presId="urn:microsoft.com/office/officeart/2005/8/layout/radial1"/>
    <dgm:cxn modelId="{5F494F59-A69D-4CB3-8785-B85859D05DAB}"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41836" y="1149444"/>
          <a:ext cx="1133517" cy="36018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289526" y="1549069"/>
          <a:ext cx="1495796" cy="5204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9979233">
          <a:off x="1637013" y="1543207"/>
          <a:ext cx="93490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1222821" y="2031391"/>
          <a:ext cx="1159697" cy="564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8447303">
          <a:off x="1997417" y="1777881"/>
          <a:ext cx="90770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2447138" y="2071285"/>
          <a:ext cx="1077113" cy="554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5477262">
          <a:off x="2717323" y="1784075"/>
          <a:ext cx="56182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3549355" y="2031694"/>
          <a:ext cx="1180101" cy="46557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2375020">
          <a:off x="3111740" y="1769625"/>
          <a:ext cx="873734"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4448020" y="1685419"/>
          <a:ext cx="1253034" cy="4735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System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960427">
          <a:off x="3406154" y="1608246"/>
          <a:ext cx="119246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885056" y="1171619"/>
          <a:ext cx="881981" cy="4218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8616">
          <a:off x="3573720" y="1351078"/>
          <a:ext cx="131201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49124" y="596674"/>
          <a:ext cx="1216220" cy="4507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0836922">
          <a:off x="3454729" y="1075868"/>
          <a:ext cx="1299059"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416570" y="152807"/>
          <a:ext cx="915618" cy="4282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19962579">
          <a:off x="3226838" y="844494"/>
          <a:ext cx="141903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89450" y="0"/>
          <a:ext cx="937272" cy="482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666159">
          <a:off x="3002076" y="802239"/>
          <a:ext cx="92195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550102" y="-16820"/>
          <a:ext cx="900487" cy="3979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5284">
          <a:off x="2620351" y="758880"/>
          <a:ext cx="76837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8954" y="1048623"/>
          <a:ext cx="1308717" cy="4421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98B9F8AD-7347-45A5-BC2B-65EB3DDF63CC}" type="parTrans" cxnId="{DF9EB478-C224-42F7-822E-5C2EA98D82E9}">
      <dgm:prSet/>
      <dgm:spPr>
        <a:xfrm rot="10895414">
          <a:off x="1505292" y="1294445"/>
          <a:ext cx="938875"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281445" y="400381"/>
          <a:ext cx="1431718" cy="53909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 30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a:t>
          </a:r>
        </a:p>
      </dgm:t>
    </dgm:pt>
    <dgm:pt modelId="{ED17F2E8-0F2C-4806-A165-056066C1285B}" type="parTrans" cxnId="{A38B847D-D226-4A6D-B270-7F561245ACC8}">
      <dgm:prSet/>
      <dgm:spPr>
        <a:xfrm rot="11889421">
          <a:off x="1508899" y="1017192"/>
          <a:ext cx="1133536"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89E3D9F6-D117-4291-BEA9-20650ACA1140}">
      <dgm:prSet phldrT="[Text]" custT="1"/>
      <dgm:spPr>
        <a:xfrm>
          <a:off x="1423368" y="84957"/>
          <a:ext cx="1113395" cy="4163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 </a:t>
          </a:r>
        </a:p>
      </dgm:t>
    </dgm:pt>
    <dgm:pt modelId="{7C5C21B7-8D79-4BDB-811A-C14C2BB877FA}" type="parTrans" cxnId="{2DE14BB3-C787-476D-8AEB-8D5E3558BC6C}">
      <dgm:prSet/>
      <dgm:spPr>
        <a:xfrm rot="13513101">
          <a:off x="2034357" y="816658"/>
          <a:ext cx="943188"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079A65-A81B-4CBE-B331-67DE498DE623}" type="sibTrans" cxnId="{2DE14BB3-C787-476D-8AEB-8D5E3558BC6C}">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a:custGeom>
          <a:avLst/>
          <a:gdLst/>
          <a:ahLst/>
          <a:cxnLst/>
          <a:rect l="0" t="0" r="0" b="0"/>
          <a:pathLst>
            <a:path>
              <a:moveTo>
                <a:pt x="0" y="6387"/>
              </a:moveTo>
              <a:lnTo>
                <a:pt x="768373" y="6387"/>
              </a:lnTo>
            </a:path>
          </a:pathLst>
        </a:custGeom>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a:custGeom>
          <a:avLst/>
          <a:gdLst/>
          <a:ahLst/>
          <a:cxnLst/>
          <a:rect l="0" t="0" r="0" b="0"/>
          <a:pathLst>
            <a:path>
              <a:moveTo>
                <a:pt x="0" y="6387"/>
              </a:moveTo>
              <a:lnTo>
                <a:pt x="921958" y="6387"/>
              </a:lnTo>
            </a:path>
          </a:pathLst>
        </a:custGeom>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a:custGeom>
          <a:avLst/>
          <a:gdLst/>
          <a:ahLst/>
          <a:cxnLst/>
          <a:rect l="0" t="0" r="0" b="0"/>
          <a:pathLst>
            <a:path>
              <a:moveTo>
                <a:pt x="0" y="6387"/>
              </a:moveTo>
              <a:lnTo>
                <a:pt x="1419030" y="6387"/>
              </a:lnTo>
            </a:path>
          </a:pathLst>
        </a:custGeom>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a:custGeom>
          <a:avLst/>
          <a:gdLst/>
          <a:ahLst/>
          <a:cxnLst/>
          <a:rect l="0" t="0" r="0" b="0"/>
          <a:pathLst>
            <a:path>
              <a:moveTo>
                <a:pt x="0" y="6387"/>
              </a:moveTo>
              <a:lnTo>
                <a:pt x="1299059" y="6387"/>
              </a:lnTo>
            </a:path>
          </a:pathLst>
        </a:custGeom>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a:custGeom>
          <a:avLst/>
          <a:gdLst/>
          <a:ahLst/>
          <a:cxnLst/>
          <a:rect l="0" t="0" r="0" b="0"/>
          <a:pathLst>
            <a:path>
              <a:moveTo>
                <a:pt x="0" y="6387"/>
              </a:moveTo>
              <a:lnTo>
                <a:pt x="1312010" y="6387"/>
              </a:lnTo>
            </a:path>
          </a:pathLst>
        </a:custGeom>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20104" custScaleY="93733"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a:custGeom>
          <a:avLst/>
          <a:gdLst/>
          <a:ahLst/>
          <a:cxnLst/>
          <a:rect l="0" t="0" r="0" b="0"/>
          <a:pathLst>
            <a:path>
              <a:moveTo>
                <a:pt x="0" y="6387"/>
              </a:moveTo>
              <a:lnTo>
                <a:pt x="1192460" y="6387"/>
              </a:lnTo>
            </a:path>
          </a:pathLst>
        </a:custGeom>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297038" custScaleY="112266" custRadScaleRad="187317" custRadScaleInc="-234393">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a:custGeom>
          <a:avLst/>
          <a:gdLst/>
          <a:ahLst/>
          <a:cxnLst/>
          <a:rect l="0" t="0" r="0" b="0"/>
          <a:pathLst>
            <a:path>
              <a:moveTo>
                <a:pt x="0" y="6387"/>
              </a:moveTo>
              <a:lnTo>
                <a:pt x="873734" y="6387"/>
              </a:lnTo>
            </a:path>
          </a:pathLst>
        </a:custGeom>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87889" custScaleY="114736" custRadScaleRad="127877" custRadScaleInc="-26411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a:custGeom>
          <a:avLst/>
          <a:gdLst/>
          <a:ahLst/>
          <a:cxnLst/>
          <a:rect l="0" t="0" r="0" b="0"/>
          <a:pathLst>
            <a:path>
              <a:moveTo>
                <a:pt x="0" y="6387"/>
              </a:moveTo>
              <a:lnTo>
                <a:pt x="561823" y="6387"/>
              </a:lnTo>
            </a:path>
          </a:pathLst>
        </a:custGeom>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55335" custScaleY="131355" custRadScaleRad="88815" custRadScaleInc="-90700">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6387"/>
              </a:moveTo>
              <a:lnTo>
                <a:pt x="907703" y="6387"/>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274912" custScaleY="133737" custRadScaleRad="135646" custRadScaleInc="66805">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a:custGeom>
          <a:avLst/>
          <a:gdLst/>
          <a:ahLst/>
          <a:cxnLst/>
          <a:rect l="0" t="0" r="0" b="0"/>
          <a:pathLst>
            <a:path>
              <a:moveTo>
                <a:pt x="0" y="6387"/>
              </a:moveTo>
              <a:lnTo>
                <a:pt x="934908" y="6387"/>
              </a:lnTo>
            </a:path>
          </a:pathLst>
        </a:custGeom>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354586" custScaleY="123381" custRadScaleRad="176810" custRadScaleInc="51204">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319485" custScaleY="116480" custRadScaleRad="187913" custRadScaleInc="-385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3"/>
      <dgm:spPr>
        <a:custGeom>
          <a:avLst/>
          <a:gdLst/>
          <a:ahLst/>
          <a:cxnLst/>
          <a:rect l="0" t="0" r="0" b="0"/>
          <a:pathLst>
            <a:path>
              <a:moveTo>
                <a:pt x="0" y="6387"/>
              </a:moveTo>
              <a:lnTo>
                <a:pt x="1133536" y="6387"/>
              </a:lnTo>
            </a:path>
          </a:pathLst>
        </a:custGeom>
      </dgm:spPr>
      <dgm:t>
        <a:bodyPr/>
        <a:lstStyle/>
        <a:p>
          <a:endParaRPr lang="en-US"/>
        </a:p>
      </dgm:t>
    </dgm:pt>
    <dgm:pt modelId="{3534FF94-72C6-43FB-8F21-668E71284740}" type="pres">
      <dgm:prSet presAssocID="{ED17F2E8-0F2C-4806-A165-056066C1285B}" presName="connTx" presStyleLbl="parChTrans1D2" presStyleIdx="11" presStyleCnt="13"/>
      <dgm:spPr/>
      <dgm:t>
        <a:bodyPr/>
        <a:lstStyle/>
        <a:p>
          <a:endParaRPr lang="en-US"/>
        </a:p>
      </dgm:t>
    </dgm:pt>
    <dgm:pt modelId="{2CC81EFE-1B09-4239-A772-C0141AEBEE08}" type="pres">
      <dgm:prSet presAssocID="{AAAA106F-E487-47CE-9BAB-D684E19C81DF}" presName="node" presStyleLbl="node1" presStyleIdx="11" presStyleCnt="13" custScaleX="339396" custScaleY="127795" custRadScaleRad="184477" custRadScaleInc="-118866">
        <dgm:presLayoutVars>
          <dgm:bulletEnabled val="1"/>
        </dgm:presLayoutVars>
      </dgm:prSet>
      <dgm:spPr>
        <a:prstGeom prst="ellipse">
          <a:avLst/>
        </a:prstGeom>
      </dgm:spPr>
      <dgm:t>
        <a:bodyPr/>
        <a:lstStyle/>
        <a:p>
          <a:endParaRPr lang="en-US"/>
        </a:p>
      </dgm:t>
    </dgm:pt>
    <dgm:pt modelId="{78727A99-0CB1-4013-8BE2-594D8BE4FB83}" type="pres">
      <dgm:prSet presAssocID="{7C5C21B7-8D79-4BDB-811A-C14C2BB877FA}" presName="Name9" presStyleLbl="parChTrans1D2" presStyleIdx="12" presStyleCnt="13"/>
      <dgm:spPr>
        <a:custGeom>
          <a:avLst/>
          <a:gdLst/>
          <a:ahLst/>
          <a:cxnLst/>
          <a:rect l="0" t="0" r="0" b="0"/>
          <a:pathLst>
            <a:path>
              <a:moveTo>
                <a:pt x="0" y="6387"/>
              </a:moveTo>
              <a:lnTo>
                <a:pt x="943188" y="6387"/>
              </a:lnTo>
            </a:path>
          </a:pathLst>
        </a:custGeom>
      </dgm:spPr>
      <dgm:t>
        <a:bodyPr/>
        <a:lstStyle/>
        <a:p>
          <a:endParaRPr lang="en-US"/>
        </a:p>
      </dgm:t>
    </dgm:pt>
    <dgm:pt modelId="{1DAD8E4C-6C91-4FCE-99C0-D5C0A3F24C17}" type="pres">
      <dgm:prSet presAssocID="{7C5C21B7-8D79-4BDB-811A-C14C2BB877FA}" presName="connTx" presStyleLbl="parChTrans1D2" presStyleIdx="12" presStyleCnt="13"/>
      <dgm:spPr/>
      <dgm:t>
        <a:bodyPr/>
        <a:lstStyle/>
        <a:p>
          <a:endParaRPr lang="en-US"/>
        </a:p>
      </dgm:t>
    </dgm:pt>
    <dgm:pt modelId="{098A803A-AAEA-485A-AF14-F5A0A7B3607E}" type="pres">
      <dgm:prSet presAssocID="{89E3D9F6-D117-4291-BEA9-20650ACA1140}" presName="node" presStyleLbl="node1" presStyleIdx="12" presStyleCnt="13" custScaleX="263936" custScaleY="98700" custRadScaleRad="127256" custRadScaleInc="-123423">
        <dgm:presLayoutVars>
          <dgm:bulletEnabled val="1"/>
        </dgm:presLayoutVars>
      </dgm:prSet>
      <dgm:spPr>
        <a:prstGeom prst="ellipse">
          <a:avLst/>
        </a:prstGeom>
      </dgm:spPr>
      <dgm:t>
        <a:bodyPr/>
        <a:lstStyle/>
        <a:p>
          <a:endParaRPr lang="en-US"/>
        </a:p>
      </dgm:t>
    </dgm:pt>
  </dgm:ptLst>
  <dgm:cxnLst>
    <dgm:cxn modelId="{606BDC7F-D8B4-40D3-B1C8-6C37B7630076}" type="presOf" srcId="{98585C11-761C-43C4-979D-FB1B8BABF102}" destId="{E49C447F-3477-4311-B10B-FFFA7DE7209F}"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955AF41B-5BDA-4C8C-A43E-EDE736B3FDF3}" type="presOf" srcId="{DB0D84B1-C440-4746-9EEF-F1ED71D64DD2}" destId="{66DADE40-99AE-41BE-B997-129EED231064}" srcOrd="0" destOrd="0" presId="urn:microsoft.com/office/officeart/2005/8/layout/radial1"/>
    <dgm:cxn modelId="{3815D944-E8E3-4B79-9981-6CC78C08F589}" type="presOf" srcId="{D981426F-5B7B-4AA5-957A-6E8C9E1A2487}" destId="{9D8B49BD-1DF7-4888-9A7E-2CFD4320CC2B}" srcOrd="0" destOrd="0" presId="urn:microsoft.com/office/officeart/2005/8/layout/radial1"/>
    <dgm:cxn modelId="{42057F43-F6FD-437E-A0D5-B193826C5CBE}" type="presOf" srcId="{D22DE764-173E-47DF-9480-722F8D8EA62C}" destId="{5CF8296B-0142-429D-A71A-20799D2EB74B}" srcOrd="0" destOrd="0" presId="urn:microsoft.com/office/officeart/2005/8/layout/radial1"/>
    <dgm:cxn modelId="{554A8B3F-0F97-4A96-8EBC-A41DA1A59B15}" type="presOf" srcId="{2F72DDEE-62D3-48A5-836A-4C87596541F0}" destId="{280B3AB5-4999-4B99-8BE9-E09C9DF5D482}" srcOrd="1" destOrd="0" presId="urn:microsoft.com/office/officeart/2005/8/layout/radial1"/>
    <dgm:cxn modelId="{4823B81D-5132-4134-BF6D-AFD8C63ABFEB}" type="presOf" srcId="{D94B5549-C2D2-4629-ACDF-33C6E334FA3A}" destId="{3F0F15B6-4D5A-493B-B03E-AE8141DC3DCE}" srcOrd="0" destOrd="0" presId="urn:microsoft.com/office/officeart/2005/8/layout/radial1"/>
    <dgm:cxn modelId="{6D239A5C-E3A6-4C24-9451-12414137343E}" type="presOf" srcId="{B4A5C031-92B2-438E-80BC-EAA05F5C7CF7}" destId="{A140118B-14B1-45A7-9CF9-17E4D006F84D}" srcOrd="1" destOrd="0" presId="urn:microsoft.com/office/officeart/2005/8/layout/radial1"/>
    <dgm:cxn modelId="{AD00E365-D24F-4531-961E-F4EA2583D6BC}" type="presOf" srcId="{98B9F8AD-7347-45A5-BC2B-65EB3DDF63CC}" destId="{282CA825-226C-4E92-9F37-4F68B159DB24}" srcOrd="1" destOrd="0" presId="urn:microsoft.com/office/officeart/2005/8/layout/radial1"/>
    <dgm:cxn modelId="{B4D5C08D-7425-454C-9907-E497198F462B}" type="presOf" srcId="{DB9FEC62-86A7-454A-89B3-F32F1907C71A}" destId="{34515D96-C834-4D67-AF5C-3B293601CBC3}" srcOrd="0" destOrd="0" presId="urn:microsoft.com/office/officeart/2005/8/layout/radial1"/>
    <dgm:cxn modelId="{12D0EE22-4B0E-452C-B039-174BA8239727}" type="presOf" srcId="{44FBC2E2-D754-42C1-BEE4-690296442511}" destId="{402B25BB-F397-46B5-AAB7-C38C2276BF82}" srcOrd="0" destOrd="0" presId="urn:microsoft.com/office/officeart/2005/8/layout/radial1"/>
    <dgm:cxn modelId="{9FD80C14-6EF6-4EC0-B6C0-8EAF0A7DE1CD}" type="presOf" srcId="{9E510621-404D-46D6-8EB3-39712C8626D4}" destId="{0D3BFC0A-5ED4-4CCF-A336-A529B3363890}" srcOrd="1"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683B2AFB-7604-47B1-8934-DC09E735982B}" type="presOf" srcId="{DEF73824-C893-4963-9504-7E97D2FF5253}" destId="{FCC14444-D5E7-4E9C-B980-A27CD799E442}" srcOrd="0" destOrd="0" presId="urn:microsoft.com/office/officeart/2005/8/layout/radial1"/>
    <dgm:cxn modelId="{A1581572-66F1-4913-8DBE-36786857AC0B}" type="presOf" srcId="{7C1FA040-4399-40F0-866F-845B7914F68D}" destId="{69F18085-0AC3-4BAE-9B16-F8478FFBD61E}" srcOrd="0" destOrd="0" presId="urn:microsoft.com/office/officeart/2005/8/layout/radial1"/>
    <dgm:cxn modelId="{0A5365EF-CB09-4CCB-A176-15F36DEDE68E}" type="presOf" srcId="{3F89048A-3F9F-4897-8631-4599F4976029}" destId="{4DF1B0BE-A63A-4BEA-9EE5-4168481CC99E}" srcOrd="0" destOrd="0" presId="urn:microsoft.com/office/officeart/2005/8/layout/radial1"/>
    <dgm:cxn modelId="{5ED44179-E0B6-4CD1-808C-1CF1E35CB996}" type="presOf" srcId="{ED17F2E8-0F2C-4806-A165-056066C1285B}" destId="{3534FF94-72C6-43FB-8F21-668E71284740}"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B047E7C2-B0B5-4E5B-9935-B6B5983E2148}" type="presOf" srcId="{BA28F4A6-AD16-499D-88C1-DBE004B28175}" destId="{B06AADB2-5D51-41DC-8677-C0CC2357518B}" srcOrd="1" destOrd="0" presId="urn:microsoft.com/office/officeart/2005/8/layout/radial1"/>
    <dgm:cxn modelId="{BF656652-9687-41DD-9622-CCC0A3D5386E}" type="presOf" srcId="{AAAA106F-E487-47CE-9BAB-D684E19C81DF}" destId="{2CC81EFE-1B09-4239-A772-C0141AEBEE08}" srcOrd="0" destOrd="0" presId="urn:microsoft.com/office/officeart/2005/8/layout/radial1"/>
    <dgm:cxn modelId="{A4B4808E-E36B-47A5-B023-5DB200AF1912}" type="presOf" srcId="{A7516A72-1FC0-46ED-AAC4-AF0F7063F737}" destId="{493DA7EC-5D69-41B7-92E4-ED7ED9F48883}" srcOrd="0" destOrd="0" presId="urn:microsoft.com/office/officeart/2005/8/layout/radial1"/>
    <dgm:cxn modelId="{9FDE81AB-B739-438F-AD5D-9E826C12E062}" type="presOf" srcId="{89E3D9F6-D117-4291-BEA9-20650ACA1140}" destId="{098A803A-AAEA-485A-AF14-F5A0A7B3607E}"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2C7F874F-E9F5-4343-BE7B-22BD1EC7537E}" type="presOf" srcId="{DEF73824-C893-4963-9504-7E97D2FF5253}" destId="{3EA6B60F-F2E8-4D48-9EC1-CAAE09243949}" srcOrd="1"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7B3DB15D-F876-44FC-931C-52780F9DF242}" type="presOf" srcId="{3F89048A-3F9F-4897-8631-4599F4976029}" destId="{32B4D7AF-BD29-4AC4-BA11-37F2AE9561F4}" srcOrd="1" destOrd="0" presId="urn:microsoft.com/office/officeart/2005/8/layout/radial1"/>
    <dgm:cxn modelId="{0B5930D2-9588-4F82-9EE2-B357ED62D6A5}" type="presOf" srcId="{BA28F4A6-AD16-499D-88C1-DBE004B28175}" destId="{E6ACA703-0949-41B3-BE6B-C702E5C7275F}" srcOrd="0" destOrd="0" presId="urn:microsoft.com/office/officeart/2005/8/layout/radial1"/>
    <dgm:cxn modelId="{5B1C5B5A-9F71-4480-A8F5-8363C2CA457E}" type="presOf" srcId="{7C5C21B7-8D79-4BDB-811A-C14C2BB877FA}" destId="{1DAD8E4C-6C91-4FCE-99C0-D5C0A3F24C17}"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445DCD6A-E161-4CC3-86CD-A21333BB8A7C}" type="presOf" srcId="{98585C11-761C-43C4-979D-FB1B8BABF102}" destId="{B930024E-8665-4782-9C41-36517A71FCD4}" srcOrd="1" destOrd="0" presId="urn:microsoft.com/office/officeart/2005/8/layout/radial1"/>
    <dgm:cxn modelId="{61AF1BE0-FAAA-4CFA-9D6F-61C886BC7E85}" type="presOf" srcId="{2628F477-2289-4CEE-9618-96DDAFCD4291}" destId="{49C45DFA-0A15-4DAA-80DC-CAE4ABCC6B43}"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E955D3B8-7E35-401C-9531-85E0B1C10C8F}" type="presOf" srcId="{D22DE764-173E-47DF-9480-722F8D8EA62C}" destId="{48797E66-4F8B-4B79-BCA7-6F88E85CF835}"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FC1BEFE5-26B9-4646-BE4D-AEB1FBDC20B5}" type="presOf" srcId="{6DAE892F-3F2D-42A5-BB1C-58D0E6BD9A47}" destId="{7E7DDE23-6C04-407D-AAB6-669511EA704E}"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CB9A5572-AA76-42BE-B57C-83CF2499871C}" type="presOf" srcId="{898446A3-EA8C-4C13-8A65-DF8A110D0838}" destId="{D9366F31-B7D7-4B43-830C-AD5E2193A794}" srcOrd="0" destOrd="0" presId="urn:microsoft.com/office/officeart/2005/8/layout/radial1"/>
    <dgm:cxn modelId="{11EEF27A-C6ED-449F-B3F1-8A508491B80F}" type="presOf" srcId="{98B9F8AD-7347-45A5-BC2B-65EB3DDF63CC}" destId="{701CC827-3AE5-4421-983B-6398C783C82F}" srcOrd="0" destOrd="0" presId="urn:microsoft.com/office/officeart/2005/8/layout/radial1"/>
    <dgm:cxn modelId="{68942615-1DB0-44B3-802D-0F05E424DAAC}" type="presOf" srcId="{D460D018-736B-4CE5-A14B-061F8EFE829B}" destId="{5AF8D9AC-0C15-4D1B-BCD3-7FFCFF0A581D}" srcOrd="0" destOrd="0" presId="urn:microsoft.com/office/officeart/2005/8/layout/radial1"/>
    <dgm:cxn modelId="{83AFE6B3-B979-4082-A91D-C239B0776A2F}" type="presOf" srcId="{F0FE4372-65E6-4D92-B9B0-D2B79F26FB27}" destId="{ECD2D13D-466C-468B-BD6C-1B646D8E5B8E}" srcOrd="0" destOrd="0" presId="urn:microsoft.com/office/officeart/2005/8/layout/radial1"/>
    <dgm:cxn modelId="{7433AC5D-5EB8-4CBB-BAF0-68799E244795}" type="presOf" srcId="{14602118-D739-48CC-85E0-791974AFA995}" destId="{DB594876-4070-4577-942D-67F5CD4D6A19}"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D8BB0AF1-F812-4AD3-972E-4DB922DF8C37}" type="presOf" srcId="{7C5C21B7-8D79-4BDB-811A-C14C2BB877FA}" destId="{78727A99-0CB1-4013-8BE2-594D8BE4FB83}" srcOrd="0" destOrd="0" presId="urn:microsoft.com/office/officeart/2005/8/layout/radial1"/>
    <dgm:cxn modelId="{9A9DE602-E62E-41A7-8F1D-730474413DC9}" type="presOf" srcId="{D94B5549-C2D2-4629-ACDF-33C6E334FA3A}" destId="{905DF954-A0B6-4A5F-9CE2-F1C3ADBDD0C1}" srcOrd="1" destOrd="0" presId="urn:microsoft.com/office/officeart/2005/8/layout/radial1"/>
    <dgm:cxn modelId="{71E56826-9D07-470D-87B3-7135E518B3D8}" type="presOf" srcId="{D65A13E9-3C79-4155-B943-C33E81DAC317}" destId="{A86195D8-E78B-4F8B-B1C4-EFBBA8999B88}" srcOrd="0" destOrd="0" presId="urn:microsoft.com/office/officeart/2005/8/layout/radial1"/>
    <dgm:cxn modelId="{32E135EF-274F-4F87-90B4-ABBDA4275157}" type="presOf" srcId="{2F72DDEE-62D3-48A5-836A-4C87596541F0}" destId="{7B59CB2C-C82F-41EE-B3CF-ADD4878ADBA6}"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2DE14BB3-C787-476D-8AEB-8D5E3558BC6C}" srcId="{A7516A72-1FC0-46ED-AAC4-AF0F7063F737}" destId="{89E3D9F6-D117-4291-BEA9-20650ACA1140}" srcOrd="12" destOrd="0" parTransId="{7C5C21B7-8D79-4BDB-811A-C14C2BB877FA}" sibTransId="{4F079A65-A81B-4CBE-B331-67DE498DE623}"/>
    <dgm:cxn modelId="{FAC48ABA-5BF8-4718-8418-7713C2F49543}" type="presOf" srcId="{9E510621-404D-46D6-8EB3-39712C8626D4}" destId="{DC281168-2DBC-4CFB-B21D-C54E9628B383}" srcOrd="0" destOrd="0" presId="urn:microsoft.com/office/officeart/2005/8/layout/radial1"/>
    <dgm:cxn modelId="{8F38EB4C-C8BD-4FBD-B89E-55155642A8F8}" type="presOf" srcId="{ED17F2E8-0F2C-4806-A165-056066C1285B}" destId="{48D8EFE9-A375-4136-B36E-91EB3A5F0349}" srcOrd="0" destOrd="0" presId="urn:microsoft.com/office/officeart/2005/8/layout/radial1"/>
    <dgm:cxn modelId="{1761B44D-2AF9-4760-B8E4-D9E9E6A69782}" type="presOf" srcId="{DB9FEC62-86A7-454A-89B3-F32F1907C71A}" destId="{A8CF68B1-7D91-429E-8C8D-53007288E1DC}" srcOrd="1" destOrd="0" presId="urn:microsoft.com/office/officeart/2005/8/layout/radial1"/>
    <dgm:cxn modelId="{6110C640-CDC4-4E3F-99FC-1A65921C1B97}" type="presOf" srcId="{68A5766F-115C-487E-B7CB-4ADE150678D1}" destId="{AFD0CC05-9AD4-4A51-8739-4FB4CA1E4ACE}" srcOrd="0" destOrd="0" presId="urn:microsoft.com/office/officeart/2005/8/layout/radial1"/>
    <dgm:cxn modelId="{7EC00E93-BAD4-4B4D-A1DF-DE9DCF7D1F04}" type="presOf" srcId="{B4A5C031-92B2-438E-80BC-EAA05F5C7CF7}" destId="{EFB9CB5A-411C-454B-96B1-9ED988829CBE}" srcOrd="0" destOrd="0" presId="urn:microsoft.com/office/officeart/2005/8/layout/radial1"/>
    <dgm:cxn modelId="{9115E966-FD09-485B-881F-8839785680A7}" type="presParOf" srcId="{9D8B49BD-1DF7-4888-9A7E-2CFD4320CC2B}" destId="{493DA7EC-5D69-41B7-92E4-ED7ED9F48883}" srcOrd="0" destOrd="0" presId="urn:microsoft.com/office/officeart/2005/8/layout/radial1"/>
    <dgm:cxn modelId="{1EBA29A3-ED90-4438-BFE4-2CE0D294D826}" type="presParOf" srcId="{9D8B49BD-1DF7-4888-9A7E-2CFD4320CC2B}" destId="{E6ACA703-0949-41B3-BE6B-C702E5C7275F}" srcOrd="1" destOrd="0" presId="urn:microsoft.com/office/officeart/2005/8/layout/radial1"/>
    <dgm:cxn modelId="{9248F6E6-43FA-42B1-9EC8-2E39FC743305}" type="presParOf" srcId="{E6ACA703-0949-41B3-BE6B-C702E5C7275F}" destId="{B06AADB2-5D51-41DC-8677-C0CC2357518B}" srcOrd="0" destOrd="0" presId="urn:microsoft.com/office/officeart/2005/8/layout/radial1"/>
    <dgm:cxn modelId="{A418EC43-C80D-4828-9FB9-9DF5FAF23DF3}" type="presParOf" srcId="{9D8B49BD-1DF7-4888-9A7E-2CFD4320CC2B}" destId="{AFD0CC05-9AD4-4A51-8739-4FB4CA1E4ACE}" srcOrd="2" destOrd="0" presId="urn:microsoft.com/office/officeart/2005/8/layout/radial1"/>
    <dgm:cxn modelId="{10FFB099-8F76-4EE5-9CB9-C0F6AD7E81F6}" type="presParOf" srcId="{9D8B49BD-1DF7-4888-9A7E-2CFD4320CC2B}" destId="{34515D96-C834-4D67-AF5C-3B293601CBC3}" srcOrd="3" destOrd="0" presId="urn:microsoft.com/office/officeart/2005/8/layout/radial1"/>
    <dgm:cxn modelId="{01776EDF-5A16-4457-B7C2-0C4AF813879C}" type="presParOf" srcId="{34515D96-C834-4D67-AF5C-3B293601CBC3}" destId="{A8CF68B1-7D91-429E-8C8D-53007288E1DC}" srcOrd="0" destOrd="0" presId="urn:microsoft.com/office/officeart/2005/8/layout/radial1"/>
    <dgm:cxn modelId="{A97734A9-3EFD-40E7-B174-AD7B8705363F}" type="presParOf" srcId="{9D8B49BD-1DF7-4888-9A7E-2CFD4320CC2B}" destId="{D9366F31-B7D7-4B43-830C-AD5E2193A794}" srcOrd="4" destOrd="0" presId="urn:microsoft.com/office/officeart/2005/8/layout/radial1"/>
    <dgm:cxn modelId="{0EA9E4F5-D917-4467-A0DD-6CA8AF2369FE}" type="presParOf" srcId="{9D8B49BD-1DF7-4888-9A7E-2CFD4320CC2B}" destId="{3F0F15B6-4D5A-493B-B03E-AE8141DC3DCE}" srcOrd="5" destOrd="0" presId="urn:microsoft.com/office/officeart/2005/8/layout/radial1"/>
    <dgm:cxn modelId="{D410B0C5-F15C-46BF-883B-5913C28D4556}" type="presParOf" srcId="{3F0F15B6-4D5A-493B-B03E-AE8141DC3DCE}" destId="{905DF954-A0B6-4A5F-9CE2-F1C3ADBDD0C1}" srcOrd="0" destOrd="0" presId="urn:microsoft.com/office/officeart/2005/8/layout/radial1"/>
    <dgm:cxn modelId="{778D0596-51DC-4693-AB55-7965611D3CA5}" type="presParOf" srcId="{9D8B49BD-1DF7-4888-9A7E-2CFD4320CC2B}" destId="{ECD2D13D-466C-468B-BD6C-1B646D8E5B8E}" srcOrd="6" destOrd="0" presId="urn:microsoft.com/office/officeart/2005/8/layout/radial1"/>
    <dgm:cxn modelId="{373DDF65-516C-4876-9A2D-C278D26E0760}" type="presParOf" srcId="{9D8B49BD-1DF7-4888-9A7E-2CFD4320CC2B}" destId="{5CF8296B-0142-429D-A71A-20799D2EB74B}" srcOrd="7" destOrd="0" presId="urn:microsoft.com/office/officeart/2005/8/layout/radial1"/>
    <dgm:cxn modelId="{9782301B-1DA0-4ED1-9168-9B89A1791E4A}" type="presParOf" srcId="{5CF8296B-0142-429D-A71A-20799D2EB74B}" destId="{48797E66-4F8B-4B79-BCA7-6F88E85CF835}" srcOrd="0" destOrd="0" presId="urn:microsoft.com/office/officeart/2005/8/layout/radial1"/>
    <dgm:cxn modelId="{25046536-D5C3-4256-8A90-2BEEB7901511}" type="presParOf" srcId="{9D8B49BD-1DF7-4888-9A7E-2CFD4320CC2B}" destId="{7E7DDE23-6C04-407D-AAB6-669511EA704E}" srcOrd="8" destOrd="0" presId="urn:microsoft.com/office/officeart/2005/8/layout/radial1"/>
    <dgm:cxn modelId="{DB3F9B00-FCDE-40FF-A128-1147C36D2B08}" type="presParOf" srcId="{9D8B49BD-1DF7-4888-9A7E-2CFD4320CC2B}" destId="{DC281168-2DBC-4CFB-B21D-C54E9628B383}" srcOrd="9" destOrd="0" presId="urn:microsoft.com/office/officeart/2005/8/layout/radial1"/>
    <dgm:cxn modelId="{53CC0680-935C-4CBA-A5AA-57F46A64FCAE}" type="presParOf" srcId="{DC281168-2DBC-4CFB-B21D-C54E9628B383}" destId="{0D3BFC0A-5ED4-4CCF-A336-A529B3363890}" srcOrd="0" destOrd="0" presId="urn:microsoft.com/office/officeart/2005/8/layout/radial1"/>
    <dgm:cxn modelId="{9BF16C0F-B28D-4162-ADBD-FFF53DF5DC71}" type="presParOf" srcId="{9D8B49BD-1DF7-4888-9A7E-2CFD4320CC2B}" destId="{66DADE40-99AE-41BE-B997-129EED231064}" srcOrd="10" destOrd="0" presId="urn:microsoft.com/office/officeart/2005/8/layout/radial1"/>
    <dgm:cxn modelId="{8C15AEB3-682C-4228-9E11-AF62E13CAA73}" type="presParOf" srcId="{9D8B49BD-1DF7-4888-9A7E-2CFD4320CC2B}" destId="{4DF1B0BE-A63A-4BEA-9EE5-4168481CC99E}" srcOrd="11" destOrd="0" presId="urn:microsoft.com/office/officeart/2005/8/layout/radial1"/>
    <dgm:cxn modelId="{DAE6448C-85D3-4B4D-8A25-63469FB5E856}" type="presParOf" srcId="{4DF1B0BE-A63A-4BEA-9EE5-4168481CC99E}" destId="{32B4D7AF-BD29-4AC4-BA11-37F2AE9561F4}" srcOrd="0" destOrd="0" presId="urn:microsoft.com/office/officeart/2005/8/layout/radial1"/>
    <dgm:cxn modelId="{4DA21078-21BA-4714-95DD-163FF7B9CCED}" type="presParOf" srcId="{9D8B49BD-1DF7-4888-9A7E-2CFD4320CC2B}" destId="{DB594876-4070-4577-942D-67F5CD4D6A19}" srcOrd="12" destOrd="0" presId="urn:microsoft.com/office/officeart/2005/8/layout/radial1"/>
    <dgm:cxn modelId="{019F0B31-ABEE-446D-90E8-257B04078409}" type="presParOf" srcId="{9D8B49BD-1DF7-4888-9A7E-2CFD4320CC2B}" destId="{E49C447F-3477-4311-B10B-FFFA7DE7209F}" srcOrd="13" destOrd="0" presId="urn:microsoft.com/office/officeart/2005/8/layout/radial1"/>
    <dgm:cxn modelId="{6617E7DE-3059-40E3-96BB-F74C494DDE9B}" type="presParOf" srcId="{E49C447F-3477-4311-B10B-FFFA7DE7209F}" destId="{B930024E-8665-4782-9C41-36517A71FCD4}" srcOrd="0" destOrd="0" presId="urn:microsoft.com/office/officeart/2005/8/layout/radial1"/>
    <dgm:cxn modelId="{C11FF6ED-2306-40EC-A974-18B8238C9934}" type="presParOf" srcId="{9D8B49BD-1DF7-4888-9A7E-2CFD4320CC2B}" destId="{69F18085-0AC3-4BAE-9B16-F8478FFBD61E}" srcOrd="14" destOrd="0" presId="urn:microsoft.com/office/officeart/2005/8/layout/radial1"/>
    <dgm:cxn modelId="{05145A77-7D4A-46B6-97C8-C91ACA7856A1}" type="presParOf" srcId="{9D8B49BD-1DF7-4888-9A7E-2CFD4320CC2B}" destId="{FCC14444-D5E7-4E9C-B980-A27CD799E442}" srcOrd="15" destOrd="0" presId="urn:microsoft.com/office/officeart/2005/8/layout/radial1"/>
    <dgm:cxn modelId="{ACFF51B9-58A7-4EB6-BB0F-14D2160B56CD}" type="presParOf" srcId="{FCC14444-D5E7-4E9C-B980-A27CD799E442}" destId="{3EA6B60F-F2E8-4D48-9EC1-CAAE09243949}" srcOrd="0" destOrd="0" presId="urn:microsoft.com/office/officeart/2005/8/layout/radial1"/>
    <dgm:cxn modelId="{FDB3A084-08CB-490E-9BD4-F387F16D047B}" type="presParOf" srcId="{9D8B49BD-1DF7-4888-9A7E-2CFD4320CC2B}" destId="{49C45DFA-0A15-4DAA-80DC-CAE4ABCC6B43}" srcOrd="16" destOrd="0" presId="urn:microsoft.com/office/officeart/2005/8/layout/radial1"/>
    <dgm:cxn modelId="{52691F69-979E-41B1-A2C6-BC45261090BC}" type="presParOf" srcId="{9D8B49BD-1DF7-4888-9A7E-2CFD4320CC2B}" destId="{7B59CB2C-C82F-41EE-B3CF-ADD4878ADBA6}" srcOrd="17" destOrd="0" presId="urn:microsoft.com/office/officeart/2005/8/layout/radial1"/>
    <dgm:cxn modelId="{76897366-F4D6-4452-A4C1-142870B3B50E}" type="presParOf" srcId="{7B59CB2C-C82F-41EE-B3CF-ADD4878ADBA6}" destId="{280B3AB5-4999-4B99-8BE9-E09C9DF5D482}" srcOrd="0" destOrd="0" presId="urn:microsoft.com/office/officeart/2005/8/layout/radial1"/>
    <dgm:cxn modelId="{DB699DBF-D767-4C80-BB35-C079881C440D}" type="presParOf" srcId="{9D8B49BD-1DF7-4888-9A7E-2CFD4320CC2B}" destId="{402B25BB-F397-46B5-AAB7-C38C2276BF82}" srcOrd="18" destOrd="0" presId="urn:microsoft.com/office/officeart/2005/8/layout/radial1"/>
    <dgm:cxn modelId="{AC622363-01F3-416C-BC17-749261A4F8DD}" type="presParOf" srcId="{9D8B49BD-1DF7-4888-9A7E-2CFD4320CC2B}" destId="{EFB9CB5A-411C-454B-96B1-9ED988829CBE}" srcOrd="19" destOrd="0" presId="urn:microsoft.com/office/officeart/2005/8/layout/radial1"/>
    <dgm:cxn modelId="{C76A647A-ED6D-4DB3-AE9F-16F9C77D6F88}" type="presParOf" srcId="{EFB9CB5A-411C-454B-96B1-9ED988829CBE}" destId="{A140118B-14B1-45A7-9CF9-17E4D006F84D}" srcOrd="0" destOrd="0" presId="urn:microsoft.com/office/officeart/2005/8/layout/radial1"/>
    <dgm:cxn modelId="{68202804-A496-4635-9968-956B219C4005}" type="presParOf" srcId="{9D8B49BD-1DF7-4888-9A7E-2CFD4320CC2B}" destId="{5AF8D9AC-0C15-4D1B-BCD3-7FFCFF0A581D}" srcOrd="20" destOrd="0" presId="urn:microsoft.com/office/officeart/2005/8/layout/radial1"/>
    <dgm:cxn modelId="{2E185AE9-7075-443C-B3C2-B57F0068D417}" type="presParOf" srcId="{9D8B49BD-1DF7-4888-9A7E-2CFD4320CC2B}" destId="{701CC827-3AE5-4421-983B-6398C783C82F}" srcOrd="21" destOrd="0" presId="urn:microsoft.com/office/officeart/2005/8/layout/radial1"/>
    <dgm:cxn modelId="{E852DDFF-0375-472B-87D1-24025A8068F7}" type="presParOf" srcId="{701CC827-3AE5-4421-983B-6398C783C82F}" destId="{282CA825-226C-4E92-9F37-4F68B159DB24}" srcOrd="0" destOrd="0" presId="urn:microsoft.com/office/officeart/2005/8/layout/radial1"/>
    <dgm:cxn modelId="{A9BD40EA-3F2C-4C3C-9AB6-AF05A73C97A4}" type="presParOf" srcId="{9D8B49BD-1DF7-4888-9A7E-2CFD4320CC2B}" destId="{A86195D8-E78B-4F8B-B1C4-EFBBA8999B88}" srcOrd="22" destOrd="0" presId="urn:microsoft.com/office/officeart/2005/8/layout/radial1"/>
    <dgm:cxn modelId="{E8F48901-60A4-4AB5-A53B-707044081AB6}" type="presParOf" srcId="{9D8B49BD-1DF7-4888-9A7E-2CFD4320CC2B}" destId="{48D8EFE9-A375-4136-B36E-91EB3A5F0349}" srcOrd="23" destOrd="0" presId="urn:microsoft.com/office/officeart/2005/8/layout/radial1"/>
    <dgm:cxn modelId="{8E6B5969-8086-43B6-AFF2-DB8654212984}" type="presParOf" srcId="{48D8EFE9-A375-4136-B36E-91EB3A5F0349}" destId="{3534FF94-72C6-43FB-8F21-668E71284740}" srcOrd="0" destOrd="0" presId="urn:microsoft.com/office/officeart/2005/8/layout/radial1"/>
    <dgm:cxn modelId="{F4AD4752-8196-49CC-816C-300DC4BDCA76}" type="presParOf" srcId="{9D8B49BD-1DF7-4888-9A7E-2CFD4320CC2B}" destId="{2CC81EFE-1B09-4239-A772-C0141AEBEE08}" srcOrd="24" destOrd="0" presId="urn:microsoft.com/office/officeart/2005/8/layout/radial1"/>
    <dgm:cxn modelId="{70529E35-FD85-4618-8419-1EF4906CAC06}" type="presParOf" srcId="{9D8B49BD-1DF7-4888-9A7E-2CFD4320CC2B}" destId="{78727A99-0CB1-4013-8BE2-594D8BE4FB83}" srcOrd="25" destOrd="0" presId="urn:microsoft.com/office/officeart/2005/8/layout/radial1"/>
    <dgm:cxn modelId="{44AB1DB6-1E45-4511-A5B8-237793CF0E71}" type="presParOf" srcId="{78727A99-0CB1-4013-8BE2-594D8BE4FB83}" destId="{1DAD8E4C-6C91-4FCE-99C0-D5C0A3F24C17}" srcOrd="0" destOrd="0" presId="urn:microsoft.com/office/officeart/2005/8/layout/radial1"/>
    <dgm:cxn modelId="{29E63BB1-9571-45DE-BF9D-45B71BCDBE09}" type="presParOf" srcId="{9D8B49BD-1DF7-4888-9A7E-2CFD4320CC2B}" destId="{098A803A-AAEA-485A-AF14-F5A0A7B3607E}" srcOrd="26" destOrd="0" presId="urn:microsoft.com/office/officeart/2005/8/layout/radial1"/>
  </dgm:cxnLst>
  <dgm:bg>
    <a:noFill/>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252836" y="1123791"/>
          <a:ext cx="1254437" cy="36298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22354" y="1655504"/>
          <a:ext cx="1344049" cy="5461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9844973">
          <a:off x="1220765" y="1595816"/>
          <a:ext cx="123626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1033214" y="2102733"/>
          <a:ext cx="1142342" cy="46104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8468230">
          <a:off x="1745332" y="1795232"/>
          <a:ext cx="1037581"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2242920" y="2174277"/>
          <a:ext cx="1174528" cy="4466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5556841">
          <a:off x="2511942" y="1824149"/>
          <a:ext cx="68826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3489216" y="2108097"/>
          <a:ext cx="1153187" cy="5128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2506447">
          <a:off x="2947980" y="1800070"/>
          <a:ext cx="986229"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4376990" y="1748995"/>
          <a:ext cx="1185785" cy="485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System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090700">
          <a:off x="3262882" y="1634185"/>
          <a:ext cx="127651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67291" y="1236521"/>
          <a:ext cx="886787" cy="4663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242144">
          <a:off x="3487827" y="1387109"/>
          <a:ext cx="128499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43147" y="746905"/>
          <a:ext cx="1218207" cy="3967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059806">
          <a:off x="3422875" y="1118699"/>
          <a:ext cx="1188977"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288028" y="274034"/>
          <a:ext cx="873538" cy="45272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185657">
          <a:off x="3173732" y="893718"/>
          <a:ext cx="1269922"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321182" y="57154"/>
          <a:ext cx="1027026" cy="4577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787539">
          <a:off x="2906956" y="807305"/>
          <a:ext cx="86707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40898" y="-20672"/>
          <a:ext cx="862318" cy="4274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5284">
          <a:off x="2517670" y="758911"/>
          <a:ext cx="717003"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99207" y="1018215"/>
          <a:ext cx="1160927" cy="563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gm:t>
    </dgm:pt>
    <dgm:pt modelId="{98B9F8AD-7347-45A5-BC2B-65EB3DDF63CC}" type="parTrans" cxnId="{DF9EB478-C224-42F7-822E-5C2EA98D82E9}">
      <dgm:prSet/>
      <dgm:spPr>
        <a:xfrm rot="10808009">
          <a:off x="1260127" y="1296280"/>
          <a:ext cx="99273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356148" y="469290"/>
          <a:ext cx="1430153" cy="5314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a:t>
          </a:r>
        </a:p>
      </dgm:t>
    </dgm:pt>
    <dgm:pt modelId="{6BB491DD-4CE9-49F2-B4D3-F1DB91178D32}" type="parTrans" cxnId="{995CF8D1-4BF5-4F86-9B58-5047CF3CBA94}">
      <dgm:prSet/>
      <dgm:spPr>
        <a:xfrm rot="11849868">
          <a:off x="1596168" y="1032876"/>
          <a:ext cx="880120"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F51F62D6-385B-4051-B997-1060401C9451}">
      <dgm:prSet phldrT="[Text]" custT="1"/>
      <dgm:spPr>
        <a:xfrm>
          <a:off x="1228280" y="76270"/>
          <a:ext cx="1183957" cy="412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 </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9CD448D-8D26-48E4-B937-404DB6EAA971}" type="parTrans" cxnId="{845E974A-6A52-4A08-A6FB-669D4111AED0}">
      <dgm:prSet/>
      <dgm:spPr>
        <a:xfrm rot="13439138">
          <a:off x="1888807" y="797448"/>
          <a:ext cx="943441" cy="1277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EFE462D-23CF-423C-A38D-E803F1BA071E}" type="sibTrans" cxnId="{845E974A-6A52-4A08-A6FB-669D4111AED0}">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306777" custScaleY="8877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3"/>
      <dgm:spPr>
        <a:custGeom>
          <a:avLst/>
          <a:gdLst/>
          <a:ahLst/>
          <a:cxnLst/>
          <a:rect l="0" t="0" r="0" b="0"/>
          <a:pathLst>
            <a:path>
              <a:moveTo>
                <a:pt x="0" y="6387"/>
              </a:moveTo>
              <a:lnTo>
                <a:pt x="717003" y="6387"/>
              </a:lnTo>
            </a:path>
          </a:pathLst>
        </a:custGeom>
      </dgm:spPr>
      <dgm:t>
        <a:bodyPr/>
        <a:lstStyle/>
        <a:p>
          <a:endParaRPr lang="en-US"/>
        </a:p>
      </dgm:t>
    </dgm:pt>
    <dgm:pt modelId="{B06AADB2-5D51-41DC-8677-C0CC2357518B}" type="pres">
      <dgm:prSet presAssocID="{BA28F4A6-AD16-499D-88C1-DBE004B28175}" presName="connTx" presStyleLbl="parChTrans1D2" presStyleIdx="0" presStyleCnt="13"/>
      <dgm:spPr/>
      <dgm:t>
        <a:bodyPr/>
        <a:lstStyle/>
        <a:p>
          <a:endParaRPr lang="en-US"/>
        </a:p>
      </dgm:t>
    </dgm:pt>
    <dgm:pt modelId="{AFD0CC05-9AD4-4A51-8739-4FB4CA1E4ACE}" type="pres">
      <dgm:prSet presAssocID="{68A5766F-115C-487E-B7CB-4ADE150678D1}" presName="node" presStyleLbl="node1" presStyleIdx="0" presStyleCnt="13"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3"/>
      <dgm:spPr>
        <a:custGeom>
          <a:avLst/>
          <a:gdLst/>
          <a:ahLst/>
          <a:cxnLst/>
          <a:rect l="0" t="0" r="0" b="0"/>
          <a:pathLst>
            <a:path>
              <a:moveTo>
                <a:pt x="0" y="6387"/>
              </a:moveTo>
              <a:lnTo>
                <a:pt x="867070" y="6387"/>
              </a:lnTo>
            </a:path>
          </a:pathLst>
        </a:custGeom>
      </dgm:spPr>
      <dgm:t>
        <a:bodyPr/>
        <a:lstStyle/>
        <a:p>
          <a:endParaRPr lang="en-US"/>
        </a:p>
      </dgm:t>
    </dgm:pt>
    <dgm:pt modelId="{A8CF68B1-7D91-429E-8C8D-53007288E1DC}" type="pres">
      <dgm:prSet presAssocID="{DB9FEC62-86A7-454A-89B3-F32F1907C71A}" presName="connTx" presStyleLbl="parChTrans1D2" presStyleIdx="1" presStyleCnt="13"/>
      <dgm:spPr/>
      <dgm:t>
        <a:bodyPr/>
        <a:lstStyle/>
        <a:p>
          <a:endParaRPr lang="en-US"/>
        </a:p>
      </dgm:t>
    </dgm:pt>
    <dgm:pt modelId="{D9366F31-B7D7-4B43-830C-AD5E2193A794}" type="pres">
      <dgm:prSet presAssocID="{898446A3-EA8C-4C13-8A65-DF8A110D0838}" presName="node" presStyleLbl="node1" presStyleIdx="1" presStyleCnt="13" custScaleX="251163" custScaleY="111954" custRadScaleRad="125559" custRadScaleInc="111463">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3"/>
      <dgm:spPr>
        <a:custGeom>
          <a:avLst/>
          <a:gdLst/>
          <a:ahLst/>
          <a:cxnLst/>
          <a:rect l="0" t="0" r="0" b="0"/>
          <a:pathLst>
            <a:path>
              <a:moveTo>
                <a:pt x="0" y="6387"/>
              </a:moveTo>
              <a:lnTo>
                <a:pt x="1269922" y="6387"/>
              </a:lnTo>
            </a:path>
          </a:pathLst>
        </a:custGeom>
      </dgm:spPr>
      <dgm:t>
        <a:bodyPr/>
        <a:lstStyle/>
        <a:p>
          <a:endParaRPr lang="en-US"/>
        </a:p>
      </dgm:t>
    </dgm:pt>
    <dgm:pt modelId="{905DF954-A0B6-4A5F-9CE2-F1C3ADBDD0C1}" type="pres">
      <dgm:prSet presAssocID="{D94B5549-C2D2-4629-ACDF-33C6E334FA3A}" presName="connTx" presStyleLbl="parChTrans1D2" presStyleIdx="2" presStyleCnt="13"/>
      <dgm:spPr/>
      <dgm:t>
        <a:bodyPr/>
        <a:lstStyle/>
        <a:p>
          <a:endParaRPr lang="en-US"/>
        </a:p>
      </dgm:t>
    </dgm:pt>
    <dgm:pt modelId="{ECD2D13D-466C-468B-BD6C-1B646D8E5B8E}" type="pres">
      <dgm:prSet presAssocID="{F0FE4372-65E6-4D92-B9B0-D2B79F26FB27}" presName="node" presStyleLbl="node1" presStyleIdx="2" presStyleCnt="13" custScaleX="213627" custScaleY="110715" custRadScaleRad="180962" custRadScaleInc="79755">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3"/>
      <dgm:spPr>
        <a:custGeom>
          <a:avLst/>
          <a:gdLst/>
          <a:ahLst/>
          <a:cxnLst/>
          <a:rect l="0" t="0" r="0" b="0"/>
          <a:pathLst>
            <a:path>
              <a:moveTo>
                <a:pt x="0" y="6387"/>
              </a:moveTo>
              <a:lnTo>
                <a:pt x="1188977" y="6387"/>
              </a:lnTo>
            </a:path>
          </a:pathLst>
        </a:custGeom>
      </dgm:spPr>
      <dgm:t>
        <a:bodyPr/>
        <a:lstStyle/>
        <a:p>
          <a:endParaRPr lang="en-US"/>
        </a:p>
      </dgm:t>
    </dgm:pt>
    <dgm:pt modelId="{48797E66-4F8B-4B79-BCA7-6F88E85CF835}" type="pres">
      <dgm:prSet presAssocID="{D22DE764-173E-47DF-9480-722F8D8EA62C}" presName="connTx" presStyleLbl="parChTrans1D2" presStyleIdx="3" presStyleCnt="13"/>
      <dgm:spPr/>
      <dgm:t>
        <a:bodyPr/>
        <a:lstStyle/>
        <a:p>
          <a:endParaRPr lang="en-US"/>
        </a:p>
      </dgm:t>
    </dgm:pt>
    <dgm:pt modelId="{7E7DDE23-6C04-407D-AAB6-669511EA704E}" type="pres">
      <dgm:prSet presAssocID="{6DAE892F-3F2D-42A5-BB1C-58D0E6BD9A47}" presName="node" presStyleLbl="node1" presStyleIdx="3" presStyleCnt="13" custScaleX="297917" custScaleY="97023" custRadScaleRad="207258" custRadScaleInc="-1489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3"/>
      <dgm:spPr>
        <a:custGeom>
          <a:avLst/>
          <a:gdLst/>
          <a:ahLst/>
          <a:cxnLst/>
          <a:rect l="0" t="0" r="0" b="0"/>
          <a:pathLst>
            <a:path>
              <a:moveTo>
                <a:pt x="0" y="6387"/>
              </a:moveTo>
              <a:lnTo>
                <a:pt x="1284993" y="6387"/>
              </a:lnTo>
            </a:path>
          </a:pathLst>
        </a:custGeom>
      </dgm:spPr>
      <dgm:t>
        <a:bodyPr/>
        <a:lstStyle/>
        <a:p>
          <a:endParaRPr lang="en-US"/>
        </a:p>
      </dgm:t>
    </dgm:pt>
    <dgm:pt modelId="{0D3BFC0A-5ED4-4CCF-A336-A529B3363890}" type="pres">
      <dgm:prSet presAssocID="{9E510621-404D-46D6-8EB3-39712C8626D4}" presName="connTx" presStyleLbl="parChTrans1D2" presStyleIdx="4" presStyleCnt="13"/>
      <dgm:spPr/>
      <dgm:t>
        <a:bodyPr/>
        <a:lstStyle/>
        <a:p>
          <a:endParaRPr lang="en-US"/>
        </a:p>
      </dgm:t>
    </dgm:pt>
    <dgm:pt modelId="{66DADE40-99AE-41BE-B997-129EED231064}" type="pres">
      <dgm:prSet presAssocID="{DB0D84B1-C440-4746-9EEF-F1ED71D64DD2}" presName="node" presStyleLbl="node1" presStyleIdx="4" presStyleCnt="13" custScaleX="216867" custScaleY="114059" custRadScaleRad="210069" custRadScaleInc="-120853">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3"/>
      <dgm:spPr>
        <a:custGeom>
          <a:avLst/>
          <a:gdLst/>
          <a:ahLst/>
          <a:cxnLst/>
          <a:rect l="0" t="0" r="0" b="0"/>
          <a:pathLst>
            <a:path>
              <a:moveTo>
                <a:pt x="0" y="6387"/>
              </a:moveTo>
              <a:lnTo>
                <a:pt x="1276510" y="6387"/>
              </a:lnTo>
            </a:path>
          </a:pathLst>
        </a:custGeom>
      </dgm:spPr>
      <dgm:t>
        <a:bodyPr/>
        <a:lstStyle/>
        <a:p>
          <a:endParaRPr lang="en-US"/>
        </a:p>
      </dgm:t>
    </dgm:pt>
    <dgm:pt modelId="{32B4D7AF-BD29-4AC4-BA11-37F2AE9561F4}" type="pres">
      <dgm:prSet presAssocID="{3F89048A-3F9F-4897-8631-4599F4976029}" presName="connTx" presStyleLbl="parChTrans1D2" presStyleIdx="5" presStyleCnt="13"/>
      <dgm:spPr/>
      <dgm:t>
        <a:bodyPr/>
        <a:lstStyle/>
        <a:p>
          <a:endParaRPr lang="en-US"/>
        </a:p>
      </dgm:t>
    </dgm:pt>
    <dgm:pt modelId="{DB594876-4070-4577-942D-67F5CD4D6A19}" type="pres">
      <dgm:prSet presAssocID="{14602118-D739-48CC-85E0-791974AFA995}" presName="node" presStyleLbl="node1" presStyleIdx="5" presStyleCnt="13" custScaleX="289988" custScaleY="118616" custRadScaleRad="197768" custRadScaleInc="-21871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3"/>
      <dgm:spPr>
        <a:custGeom>
          <a:avLst/>
          <a:gdLst/>
          <a:ahLst/>
          <a:cxnLst/>
          <a:rect l="0" t="0" r="0" b="0"/>
          <a:pathLst>
            <a:path>
              <a:moveTo>
                <a:pt x="0" y="6387"/>
              </a:moveTo>
              <a:lnTo>
                <a:pt x="986229" y="6387"/>
              </a:lnTo>
            </a:path>
          </a:pathLst>
        </a:custGeom>
      </dgm:spPr>
      <dgm:t>
        <a:bodyPr/>
        <a:lstStyle/>
        <a:p>
          <a:endParaRPr lang="en-US"/>
        </a:p>
      </dgm:t>
    </dgm:pt>
    <dgm:pt modelId="{B930024E-8665-4782-9C41-36517A71FCD4}" type="pres">
      <dgm:prSet presAssocID="{98585C11-761C-43C4-979D-FB1B8BABF102}" presName="connTx" presStyleLbl="parChTrans1D2" presStyleIdx="6" presStyleCnt="13"/>
      <dgm:spPr/>
      <dgm:t>
        <a:bodyPr/>
        <a:lstStyle/>
        <a:p>
          <a:endParaRPr lang="en-US"/>
        </a:p>
      </dgm:t>
    </dgm:pt>
    <dgm:pt modelId="{69F18085-0AC3-4BAE-9B16-F8478FFBD61E}" type="pres">
      <dgm:prSet presAssocID="{7C1FA040-4399-40F0-866F-845B7914F68D}" presName="node" presStyleLbl="node1" presStyleIdx="6" presStyleCnt="13" custScaleX="282016" custScaleY="125413" custRadScaleRad="142954" custRadScaleInc="-24829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3"/>
      <dgm:spPr>
        <a:custGeom>
          <a:avLst/>
          <a:gdLst/>
          <a:ahLst/>
          <a:cxnLst/>
          <a:rect l="0" t="0" r="0" b="0"/>
          <a:pathLst>
            <a:path>
              <a:moveTo>
                <a:pt x="0" y="6387"/>
              </a:moveTo>
              <a:lnTo>
                <a:pt x="688263" y="6387"/>
              </a:lnTo>
            </a:path>
          </a:pathLst>
        </a:custGeom>
      </dgm:spPr>
      <dgm:t>
        <a:bodyPr/>
        <a:lstStyle/>
        <a:p>
          <a:endParaRPr lang="en-US"/>
        </a:p>
      </dgm:t>
    </dgm:pt>
    <dgm:pt modelId="{3EA6B60F-F2E8-4D48-9EC1-CAAE09243949}" type="pres">
      <dgm:prSet presAssocID="{DEF73824-C893-4963-9504-7E97D2FF5253}" presName="connTx" presStyleLbl="parChTrans1D2" presStyleIdx="7" presStyleCnt="13"/>
      <dgm:spPr/>
      <dgm:t>
        <a:bodyPr/>
        <a:lstStyle/>
        <a:p>
          <a:endParaRPr lang="en-US"/>
        </a:p>
      </dgm:t>
    </dgm:pt>
    <dgm:pt modelId="{49C45DFA-0A15-4DAA-80DC-CAE4ABCC6B43}" type="pres">
      <dgm:prSet presAssocID="{2628F477-2289-4CEE-9618-96DDAFCD4291}" presName="node" presStyleLbl="node1" presStyleIdx="7" presStyleCnt="13" custScaleX="283738" custScaleY="126027" custRadScaleRad="96201" custRadScaleInc="-9176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3"/>
      <dgm:spPr>
        <a:custGeom>
          <a:avLst/>
          <a:gdLst/>
          <a:ahLst/>
          <a:cxnLst/>
          <a:rect l="0" t="0" r="0" b="0"/>
          <a:pathLst>
            <a:path>
              <a:moveTo>
                <a:pt x="0" y="6387"/>
              </a:moveTo>
              <a:lnTo>
                <a:pt x="1037581" y="6387"/>
              </a:lnTo>
            </a:path>
          </a:pathLst>
        </a:custGeom>
      </dgm:spPr>
      <dgm:t>
        <a:bodyPr/>
        <a:lstStyle/>
        <a:p>
          <a:endParaRPr lang="en-US"/>
        </a:p>
      </dgm:t>
    </dgm:pt>
    <dgm:pt modelId="{280B3AB5-4999-4B99-8BE9-E09C9DF5D482}" type="pres">
      <dgm:prSet presAssocID="{2F72DDEE-62D3-48A5-836A-4C87596541F0}" presName="connTx" presStyleLbl="parChTrans1D2" presStyleIdx="8" presStyleCnt="13"/>
      <dgm:spPr/>
      <dgm:t>
        <a:bodyPr/>
        <a:lstStyle/>
        <a:p>
          <a:endParaRPr lang="en-US"/>
        </a:p>
      </dgm:t>
    </dgm:pt>
    <dgm:pt modelId="{402B25BB-F397-46B5-AAB7-C38C2276BF82}" type="pres">
      <dgm:prSet presAssocID="{44FBC2E2-D754-42C1-BEE4-690296442511}" presName="node" presStyleLbl="node1" presStyleIdx="8" presStyleCnt="13" custScaleX="315081" custScaleY="119586" custRadScaleRad="147301" custRadScaleInc="6932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3"/>
      <dgm:spPr>
        <a:custGeom>
          <a:avLst/>
          <a:gdLst/>
          <a:ahLst/>
          <a:cxnLst/>
          <a:rect l="0" t="0" r="0" b="0"/>
          <a:pathLst>
            <a:path>
              <a:moveTo>
                <a:pt x="0" y="6387"/>
              </a:moveTo>
              <a:lnTo>
                <a:pt x="1236260" y="6387"/>
              </a:lnTo>
            </a:path>
          </a:pathLst>
        </a:custGeom>
      </dgm:spPr>
      <dgm:t>
        <a:bodyPr/>
        <a:lstStyle/>
        <a:p>
          <a:endParaRPr lang="en-US"/>
        </a:p>
      </dgm:t>
    </dgm:pt>
    <dgm:pt modelId="{A140118B-14B1-45A7-9CF9-17E4D006F84D}" type="pres">
      <dgm:prSet presAssocID="{B4A5C031-92B2-438E-80BC-EAA05F5C7CF7}" presName="connTx" presStyleLbl="parChTrans1D2" presStyleIdx="9" presStyleCnt="13"/>
      <dgm:spPr/>
      <dgm:t>
        <a:bodyPr/>
        <a:lstStyle/>
        <a:p>
          <a:endParaRPr lang="en-US"/>
        </a:p>
      </dgm:t>
    </dgm:pt>
    <dgm:pt modelId="{5AF8D9AC-0C15-4D1B-BCD3-7FFCFF0A581D}" type="pres">
      <dgm:prSet presAssocID="{D460D018-736B-4CE5-A14B-061F8EFE829B}" presName="node" presStyleLbl="node1" presStyleIdx="9" presStyleCnt="13" custScaleX="317939" custScaleY="131277" custRadScaleRad="204350" custRadScaleInc="35043">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3"/>
      <dgm:spPr>
        <a:custGeom>
          <a:avLst/>
          <a:gdLst/>
          <a:ahLst/>
          <a:cxnLst/>
          <a:rect l="0" t="0" r="0" b="0"/>
          <a:pathLst>
            <a:path>
              <a:moveTo>
                <a:pt x="0" y="6387"/>
              </a:moveTo>
              <a:lnTo>
                <a:pt x="992730" y="6387"/>
              </a:lnTo>
            </a:path>
          </a:pathLst>
        </a:custGeom>
      </dgm:spPr>
      <dgm:t>
        <a:bodyPr/>
        <a:lstStyle/>
        <a:p>
          <a:endParaRPr lang="en-US"/>
        </a:p>
      </dgm:t>
    </dgm:pt>
    <dgm:pt modelId="{282CA825-226C-4E92-9F37-4F68B159DB24}" type="pres">
      <dgm:prSet presAssocID="{98B9F8AD-7347-45A5-BC2B-65EB3DDF63CC}" presName="connTx" presStyleLbl="parChTrans1D2" presStyleIdx="10" presStyleCnt="13"/>
      <dgm:spPr/>
      <dgm:t>
        <a:bodyPr/>
        <a:lstStyle/>
        <a:p>
          <a:endParaRPr lang="en-US"/>
        </a:p>
      </dgm:t>
    </dgm:pt>
    <dgm:pt modelId="{A86195D8-E78B-4F8B-B1C4-EFBBA8999B88}" type="pres">
      <dgm:prSet presAssocID="{D65A13E9-3C79-4155-B943-C33E81DAC317}" presName="node" presStyleLbl="node1" presStyleIdx="10" presStyleCnt="13" custScaleX="283909" custScaleY="137901" custRadScaleRad="197838" custRadScaleInc="-49036">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3"/>
      <dgm:spPr>
        <a:custGeom>
          <a:avLst/>
          <a:gdLst/>
          <a:ahLst/>
          <a:cxnLst/>
          <a:rect l="0" t="0" r="0" b="0"/>
          <a:pathLst>
            <a:path>
              <a:moveTo>
                <a:pt x="0" y="6387"/>
              </a:moveTo>
              <a:lnTo>
                <a:pt x="880120" y="6387"/>
              </a:lnTo>
            </a:path>
          </a:pathLst>
        </a:custGeom>
      </dgm:spPr>
      <dgm:t>
        <a:bodyPr/>
        <a:lstStyle/>
        <a:p>
          <a:endParaRPr lang="en-US"/>
        </a:p>
      </dgm:t>
    </dgm:pt>
    <dgm:pt modelId="{8C19F320-E7BE-4A6B-961D-98CF34160A4C}" type="pres">
      <dgm:prSet presAssocID="{6BB491DD-4CE9-49F2-B4D3-F1DB91178D32}" presName="connTx" presStyleLbl="parChTrans1D2" presStyleIdx="11" presStyleCnt="13"/>
      <dgm:spPr/>
      <dgm:t>
        <a:bodyPr/>
        <a:lstStyle/>
        <a:p>
          <a:endParaRPr lang="en-US"/>
        </a:p>
      </dgm:t>
    </dgm:pt>
    <dgm:pt modelId="{04A81C5D-1DF3-47DF-8447-322057132F11}" type="pres">
      <dgm:prSet presAssocID="{B5C2DFB0-7F22-4F16-BFC5-827634DBBB86}" presName="node" presStyleLbl="node1" presStyleIdx="11" presStyleCnt="13" custScaleX="349749" custScaleY="129980" custRadScaleRad="170523" custRadScaleInc="-123627">
        <dgm:presLayoutVars>
          <dgm:bulletEnabled val="1"/>
        </dgm:presLayoutVars>
      </dgm:prSet>
      <dgm:spPr>
        <a:prstGeom prst="ellipse">
          <a:avLst/>
        </a:prstGeom>
      </dgm:spPr>
      <dgm:t>
        <a:bodyPr/>
        <a:lstStyle/>
        <a:p>
          <a:endParaRPr lang="en-US"/>
        </a:p>
      </dgm:t>
    </dgm:pt>
    <dgm:pt modelId="{47348295-6BDB-4E05-AD3B-51EF984A2613}" type="pres">
      <dgm:prSet presAssocID="{B9CD448D-8D26-48E4-B937-404DB6EAA971}" presName="Name9" presStyleLbl="parChTrans1D2" presStyleIdx="12" presStyleCnt="13"/>
      <dgm:spPr>
        <a:custGeom>
          <a:avLst/>
          <a:gdLst/>
          <a:ahLst/>
          <a:cxnLst/>
          <a:rect l="0" t="0" r="0" b="0"/>
          <a:pathLst>
            <a:path>
              <a:moveTo>
                <a:pt x="0" y="6387"/>
              </a:moveTo>
              <a:lnTo>
                <a:pt x="943441" y="6387"/>
              </a:lnTo>
            </a:path>
          </a:pathLst>
        </a:custGeom>
      </dgm:spPr>
      <dgm:t>
        <a:bodyPr/>
        <a:lstStyle/>
        <a:p>
          <a:endParaRPr lang="en-US"/>
        </a:p>
      </dgm:t>
    </dgm:pt>
    <dgm:pt modelId="{B4437199-162D-48C5-A1B5-7F0753A50299}" type="pres">
      <dgm:prSet presAssocID="{B9CD448D-8D26-48E4-B937-404DB6EAA971}" presName="connTx" presStyleLbl="parChTrans1D2" presStyleIdx="12" presStyleCnt="13"/>
      <dgm:spPr/>
      <dgm:t>
        <a:bodyPr/>
        <a:lstStyle/>
        <a:p>
          <a:endParaRPr lang="en-US"/>
        </a:p>
      </dgm:t>
    </dgm:pt>
    <dgm:pt modelId="{F5E6D7AA-E65C-4867-B1BB-ADD5FB046412}" type="pres">
      <dgm:prSet presAssocID="{F51F62D6-385B-4051-B997-1060401C9451}" presName="node" presStyleLbl="node1" presStyleIdx="12" presStyleCnt="13" custScaleX="289541" custScaleY="100803" custRadScaleRad="132432" custRadScaleInc="-132326">
        <dgm:presLayoutVars>
          <dgm:bulletEnabled val="1"/>
        </dgm:presLayoutVars>
      </dgm:prSet>
      <dgm:spPr>
        <a:prstGeom prst="ellipse">
          <a:avLst/>
        </a:prstGeom>
      </dgm:spPr>
      <dgm:t>
        <a:bodyPr/>
        <a:lstStyle/>
        <a:p>
          <a:endParaRPr lang="en-US"/>
        </a:p>
      </dgm:t>
    </dgm:pt>
  </dgm:ptLst>
  <dgm:cxnLst>
    <dgm:cxn modelId="{C7DD68AE-99B2-4937-A127-D654A2E99784}" srcId="{A7516A72-1FC0-46ED-AAC4-AF0F7063F737}" destId="{DB0D84B1-C440-4746-9EEF-F1ED71D64DD2}" srcOrd="4" destOrd="0" parTransId="{9E510621-404D-46D6-8EB3-39712C8626D4}" sibTransId="{99C4878C-8523-40E3-93C5-8DC55D31DB77}"/>
    <dgm:cxn modelId="{51AAEFB4-326C-4385-8702-0844CCEEFE8E}" type="presOf" srcId="{98B9F8AD-7347-45A5-BC2B-65EB3DDF63CC}" destId="{282CA825-226C-4E92-9F37-4F68B159DB24}" srcOrd="1" destOrd="0" presId="urn:microsoft.com/office/officeart/2005/8/layout/radial1"/>
    <dgm:cxn modelId="{28FE91E1-B280-4B24-ADC7-4FC8CC6EB1EE}" type="presOf" srcId="{14602118-D739-48CC-85E0-791974AFA995}" destId="{DB594876-4070-4577-942D-67F5CD4D6A19}" srcOrd="0" destOrd="0" presId="urn:microsoft.com/office/officeart/2005/8/layout/radial1"/>
    <dgm:cxn modelId="{BC26A120-D667-4E72-9FBA-EE6DF3106E0A}" type="presOf" srcId="{6BB491DD-4CE9-49F2-B4D3-F1DB91178D32}" destId="{8C19F320-E7BE-4A6B-961D-98CF34160A4C}" srcOrd="1" destOrd="0" presId="urn:microsoft.com/office/officeart/2005/8/layout/radial1"/>
    <dgm:cxn modelId="{B6E8E0E9-E1BD-45E6-B9A1-91F3A8006360}" type="presOf" srcId="{B9CD448D-8D26-48E4-B937-404DB6EAA971}" destId="{47348295-6BDB-4E05-AD3B-51EF984A2613}" srcOrd="0" destOrd="0" presId="urn:microsoft.com/office/officeart/2005/8/layout/radial1"/>
    <dgm:cxn modelId="{2F60C343-F1A1-4DA2-8FFE-ED5A7FB0B786}" type="presOf" srcId="{B9CD448D-8D26-48E4-B937-404DB6EAA971}" destId="{B4437199-162D-48C5-A1B5-7F0753A50299}" srcOrd="1" destOrd="0" presId="urn:microsoft.com/office/officeart/2005/8/layout/radial1"/>
    <dgm:cxn modelId="{2C9D43B0-9B0E-45E6-904B-0269B2245C57}" type="presOf" srcId="{9E510621-404D-46D6-8EB3-39712C8626D4}" destId="{DC281168-2DBC-4CFB-B21D-C54E9628B383}" srcOrd="0" destOrd="0" presId="urn:microsoft.com/office/officeart/2005/8/layout/radial1"/>
    <dgm:cxn modelId="{B27AC747-28AD-4DC6-9F56-8486C1F00CCF}" type="presOf" srcId="{3F89048A-3F9F-4897-8631-4599F4976029}" destId="{4DF1B0BE-A63A-4BEA-9EE5-4168481CC99E}" srcOrd="0" destOrd="0" presId="urn:microsoft.com/office/officeart/2005/8/layout/radial1"/>
    <dgm:cxn modelId="{15244214-80A5-48E3-9D74-3B6BFEB922EF}" type="presOf" srcId="{7C1FA040-4399-40F0-866F-845B7914F68D}" destId="{69F18085-0AC3-4BAE-9B16-F8478FFBD61E}" srcOrd="0" destOrd="0" presId="urn:microsoft.com/office/officeart/2005/8/layout/radial1"/>
    <dgm:cxn modelId="{7B7B063E-E874-42F1-8069-E28B27B53F5D}" type="presOf" srcId="{BA28F4A6-AD16-499D-88C1-DBE004B28175}" destId="{B06AADB2-5D51-41DC-8677-C0CC2357518B}" srcOrd="1" destOrd="0" presId="urn:microsoft.com/office/officeart/2005/8/layout/radial1"/>
    <dgm:cxn modelId="{24424EE6-CB77-4B9A-8A43-DB0EE95675BF}" type="presOf" srcId="{44FBC2E2-D754-42C1-BEE4-690296442511}" destId="{402B25BB-F397-46B5-AAB7-C38C2276BF82}" srcOrd="0" destOrd="0" presId="urn:microsoft.com/office/officeart/2005/8/layout/radial1"/>
    <dgm:cxn modelId="{8B417891-89C2-45E6-971E-31FF3DF7C629}" type="presOf" srcId="{D981426F-5B7B-4AA5-957A-6E8C9E1A2487}" destId="{9D8B49BD-1DF7-4888-9A7E-2CFD4320CC2B}" srcOrd="0" destOrd="0" presId="urn:microsoft.com/office/officeart/2005/8/layout/radial1"/>
    <dgm:cxn modelId="{19F4865F-8632-4ECA-9E64-833A94933EF6}" type="presOf" srcId="{D94B5549-C2D2-4629-ACDF-33C6E334FA3A}" destId="{3F0F15B6-4D5A-493B-B03E-AE8141DC3DC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845E974A-6A52-4A08-A6FB-669D4111AED0}" srcId="{A7516A72-1FC0-46ED-AAC4-AF0F7063F737}" destId="{F51F62D6-385B-4051-B997-1060401C9451}" srcOrd="12" destOrd="0" parTransId="{B9CD448D-8D26-48E4-B937-404DB6EAA971}" sibTransId="{1EFE462D-23CF-423C-A38D-E803F1BA071E}"/>
    <dgm:cxn modelId="{E60A4D30-6EF2-4AAF-A3FB-BA3F12045652}" type="presOf" srcId="{DB9FEC62-86A7-454A-89B3-F32F1907C71A}" destId="{A8CF68B1-7D91-429E-8C8D-53007288E1DC}"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996B9653-906A-49F8-9E4B-3836F7905D4E}" srcId="{D981426F-5B7B-4AA5-957A-6E8C9E1A2487}" destId="{A7516A72-1FC0-46ED-AAC4-AF0F7063F737}" srcOrd="0" destOrd="0" parTransId="{D9E0AFEB-65B5-4280-ADD0-766B3ADA6CFD}" sibTransId="{6B1EB84D-437E-47A1-87CB-9027EE716AD0}"/>
    <dgm:cxn modelId="{32467082-8ADA-4F6B-AA6A-98A6985829A8}" type="presOf" srcId="{98585C11-761C-43C4-979D-FB1B8BABF102}" destId="{E49C447F-3477-4311-B10B-FFFA7DE7209F}" srcOrd="0" destOrd="0" presId="urn:microsoft.com/office/officeart/2005/8/layout/radial1"/>
    <dgm:cxn modelId="{97791E6F-7A47-4407-9871-4496C2F7B644}" type="presOf" srcId="{BA28F4A6-AD16-499D-88C1-DBE004B28175}" destId="{E6ACA703-0949-41B3-BE6B-C702E5C7275F}" srcOrd="0" destOrd="0" presId="urn:microsoft.com/office/officeart/2005/8/layout/radial1"/>
    <dgm:cxn modelId="{D107BC47-5ED3-41D0-BF10-FEABFA39DD04}" type="presOf" srcId="{DB0D84B1-C440-4746-9EEF-F1ED71D64DD2}" destId="{66DADE40-99AE-41BE-B997-129EED231064}" srcOrd="0" destOrd="0" presId="urn:microsoft.com/office/officeart/2005/8/layout/radial1"/>
    <dgm:cxn modelId="{DFEE15ED-F99E-4072-B1C2-2923FA457468}" type="presOf" srcId="{68A5766F-115C-487E-B7CB-4ADE150678D1}" destId="{AFD0CC05-9AD4-4A51-8739-4FB4CA1E4ACE}"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80E8A78D-E3D5-4062-BBB8-ABE15F889D68}" type="presOf" srcId="{D22DE764-173E-47DF-9480-722F8D8EA62C}" destId="{5CF8296B-0142-429D-A71A-20799D2EB74B}" srcOrd="0" destOrd="0" presId="urn:microsoft.com/office/officeart/2005/8/layout/radial1"/>
    <dgm:cxn modelId="{ACD66AAE-30FD-46B0-93E2-626D6C36EBF2}" type="presOf" srcId="{98585C11-761C-43C4-979D-FB1B8BABF102}" destId="{B930024E-8665-4782-9C41-36517A71FCD4}"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27F79030-49F4-4801-9CFB-32F48CDA67D7}" type="presOf" srcId="{B4A5C031-92B2-438E-80BC-EAA05F5C7CF7}" destId="{EFB9CB5A-411C-454B-96B1-9ED988829CBE}" srcOrd="0" destOrd="0" presId="urn:microsoft.com/office/officeart/2005/8/layout/radial1"/>
    <dgm:cxn modelId="{02F05229-611A-41A1-9690-6931E89BBE93}" type="presOf" srcId="{2F72DDEE-62D3-48A5-836A-4C87596541F0}" destId="{7B59CB2C-C82F-41EE-B3CF-ADD4878ADBA6}"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ED964A62-6D03-400A-B408-BCC05E103EB7}" type="presOf" srcId="{F0FE4372-65E6-4D92-B9B0-D2B79F26FB27}" destId="{ECD2D13D-466C-468B-BD6C-1B646D8E5B8E}"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1229807D-6A59-498C-A707-9DD6CEEA0C8D}" srcId="{A7516A72-1FC0-46ED-AAC4-AF0F7063F737}" destId="{F0FE4372-65E6-4D92-B9B0-D2B79F26FB27}" srcOrd="2" destOrd="0" parTransId="{D94B5549-C2D2-4629-ACDF-33C6E334FA3A}" sibTransId="{E2B06661-55BE-4022-AD18-067DB2509F93}"/>
    <dgm:cxn modelId="{345C13DF-1D3F-4982-AF23-DC2641540559}" srcId="{A7516A72-1FC0-46ED-AAC4-AF0F7063F737}" destId="{7C1FA040-4399-40F0-866F-845B7914F68D}" srcOrd="6" destOrd="0" parTransId="{98585C11-761C-43C4-979D-FB1B8BABF102}" sibTransId="{82A7CC90-6A4C-422A-B221-BA4CF5B4D442}"/>
    <dgm:cxn modelId="{70865943-5E6E-4B9F-8F72-5042F8A1406B}" type="presOf" srcId="{898446A3-EA8C-4C13-8A65-DF8A110D0838}" destId="{D9366F31-B7D7-4B43-830C-AD5E2193A794}" srcOrd="0" destOrd="0" presId="urn:microsoft.com/office/officeart/2005/8/layout/radial1"/>
    <dgm:cxn modelId="{FAFE43FF-89D8-4FB0-AD12-AFB86EE7B550}" type="presOf" srcId="{6DAE892F-3F2D-42A5-BB1C-58D0E6BD9A47}" destId="{7E7DDE23-6C04-407D-AAB6-669511EA704E}" srcOrd="0" destOrd="0" presId="urn:microsoft.com/office/officeart/2005/8/layout/radial1"/>
    <dgm:cxn modelId="{A80566F2-6AD4-464E-9121-DD3C0A824E3E}" type="presOf" srcId="{DEF73824-C893-4963-9504-7E97D2FF5253}" destId="{3EA6B60F-F2E8-4D48-9EC1-CAAE09243949}" srcOrd="1" destOrd="0" presId="urn:microsoft.com/office/officeart/2005/8/layout/radial1"/>
    <dgm:cxn modelId="{41D162F0-F96A-4AFD-85C3-3643658DFC78}" type="presOf" srcId="{A7516A72-1FC0-46ED-AAC4-AF0F7063F737}" destId="{493DA7EC-5D69-41B7-92E4-ED7ED9F48883}" srcOrd="0" destOrd="0" presId="urn:microsoft.com/office/officeart/2005/8/layout/radial1"/>
    <dgm:cxn modelId="{F4E38939-0E55-4F4A-AF13-F4393C84F986}" type="presOf" srcId="{F51F62D6-385B-4051-B997-1060401C9451}" destId="{F5E6D7AA-E65C-4867-B1BB-ADD5FB046412}" srcOrd="0" destOrd="0" presId="urn:microsoft.com/office/officeart/2005/8/layout/radial1"/>
    <dgm:cxn modelId="{7CDDB669-5673-4BAA-8623-9646A9D36767}" type="presOf" srcId="{D65A13E9-3C79-4155-B943-C33E81DAC317}" destId="{A86195D8-E78B-4F8B-B1C4-EFBBA8999B88}" srcOrd="0" destOrd="0" presId="urn:microsoft.com/office/officeart/2005/8/layout/radial1"/>
    <dgm:cxn modelId="{1ED9DB10-599C-432F-8F87-66139501D27C}" type="presOf" srcId="{D22DE764-173E-47DF-9480-722F8D8EA62C}" destId="{48797E66-4F8B-4B79-BCA7-6F88E85CF835}" srcOrd="1" destOrd="0" presId="urn:microsoft.com/office/officeart/2005/8/layout/radial1"/>
    <dgm:cxn modelId="{326BEB1D-1FEB-4B52-AFDE-D1DFD9D8EE78}" type="presOf" srcId="{B4A5C031-92B2-438E-80BC-EAA05F5C7CF7}" destId="{A140118B-14B1-45A7-9CF9-17E4D006F84D}" srcOrd="1" destOrd="0" presId="urn:microsoft.com/office/officeart/2005/8/layout/radial1"/>
    <dgm:cxn modelId="{6817274F-22DD-4701-BE52-B36FB08500CB}" type="presOf" srcId="{98B9F8AD-7347-45A5-BC2B-65EB3DDF63CC}" destId="{701CC827-3AE5-4421-983B-6398C783C82F}" srcOrd="0" destOrd="0" presId="urn:microsoft.com/office/officeart/2005/8/layout/radial1"/>
    <dgm:cxn modelId="{9D31F190-ABB2-46EE-978D-6F6162E5A311}" type="presOf" srcId="{DEF73824-C893-4963-9504-7E97D2FF5253}" destId="{FCC14444-D5E7-4E9C-B980-A27CD799E442}" srcOrd="0" destOrd="0" presId="urn:microsoft.com/office/officeart/2005/8/layout/radial1"/>
    <dgm:cxn modelId="{E588F5CC-23DC-4A79-8682-550A9D5AE194}" type="presOf" srcId="{DB9FEC62-86A7-454A-89B3-F32F1907C71A}" destId="{34515D96-C834-4D67-AF5C-3B293601CBC3}"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7E48B352-1D45-444F-BC87-2BD3E25B96B6}" type="presOf" srcId="{3F89048A-3F9F-4897-8631-4599F4976029}" destId="{32B4D7AF-BD29-4AC4-BA11-37F2AE9561F4}"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4863378F-A10F-431C-BBB2-F4575EC9A2CD}" type="presOf" srcId="{6BB491DD-4CE9-49F2-B4D3-F1DB91178D32}" destId="{155F429B-0A10-4501-ADF1-CAD1F85BB50E}" srcOrd="0" destOrd="0" presId="urn:microsoft.com/office/officeart/2005/8/layout/radial1"/>
    <dgm:cxn modelId="{F6C08BE7-A43F-41AA-B982-02B0F599A66D}" type="presOf" srcId="{2F72DDEE-62D3-48A5-836A-4C87596541F0}" destId="{280B3AB5-4999-4B99-8BE9-E09C9DF5D482}" srcOrd="1" destOrd="0" presId="urn:microsoft.com/office/officeart/2005/8/layout/radial1"/>
    <dgm:cxn modelId="{EFBAC48F-EC73-4B12-8FE0-1A9B3E7A6621}" type="presOf" srcId="{D94B5549-C2D2-4629-ACDF-33C6E334FA3A}" destId="{905DF954-A0B6-4A5F-9CE2-F1C3ADBDD0C1}" srcOrd="1" destOrd="0" presId="urn:microsoft.com/office/officeart/2005/8/layout/radial1"/>
    <dgm:cxn modelId="{2A612431-3EED-4395-BF38-396C7DE81B18}" type="presOf" srcId="{2628F477-2289-4CEE-9618-96DDAFCD4291}" destId="{49C45DFA-0A15-4DAA-80DC-CAE4ABCC6B43}"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61D19C6C-A354-4624-8042-704CD9551CBA}" type="presOf" srcId="{B5C2DFB0-7F22-4F16-BFC5-827634DBBB86}" destId="{04A81C5D-1DF3-47DF-8447-322057132F11}" srcOrd="0" destOrd="0" presId="urn:microsoft.com/office/officeart/2005/8/layout/radial1"/>
    <dgm:cxn modelId="{80F6E2B7-69F3-4F5A-9663-8DBC1C30BEDD}" type="presOf" srcId="{9E510621-404D-46D6-8EB3-39712C8626D4}" destId="{0D3BFC0A-5ED4-4CCF-A336-A529B3363890}" srcOrd="1" destOrd="0" presId="urn:microsoft.com/office/officeart/2005/8/layout/radial1"/>
    <dgm:cxn modelId="{1AE477EB-3C47-477D-BA36-73F5C2631C03}" type="presOf" srcId="{D460D018-736B-4CE5-A14B-061F8EFE829B}" destId="{5AF8D9AC-0C15-4D1B-BCD3-7FFCFF0A581D}" srcOrd="0" destOrd="0" presId="urn:microsoft.com/office/officeart/2005/8/layout/radial1"/>
    <dgm:cxn modelId="{17B198A8-93CB-42BC-BE9C-6C482F1755E9}" type="presParOf" srcId="{9D8B49BD-1DF7-4888-9A7E-2CFD4320CC2B}" destId="{493DA7EC-5D69-41B7-92E4-ED7ED9F48883}" srcOrd="0" destOrd="0" presId="urn:microsoft.com/office/officeart/2005/8/layout/radial1"/>
    <dgm:cxn modelId="{91DD61B1-F622-4D24-ABF6-046F6593EEB5}" type="presParOf" srcId="{9D8B49BD-1DF7-4888-9A7E-2CFD4320CC2B}" destId="{E6ACA703-0949-41B3-BE6B-C702E5C7275F}" srcOrd="1" destOrd="0" presId="urn:microsoft.com/office/officeart/2005/8/layout/radial1"/>
    <dgm:cxn modelId="{BB86E993-3CA3-4EA6-8D0B-9451B94AAC6F}" type="presParOf" srcId="{E6ACA703-0949-41B3-BE6B-C702E5C7275F}" destId="{B06AADB2-5D51-41DC-8677-C0CC2357518B}" srcOrd="0" destOrd="0" presId="urn:microsoft.com/office/officeart/2005/8/layout/radial1"/>
    <dgm:cxn modelId="{BB6449C5-0526-4071-8AEF-57FD5E2851D2}" type="presParOf" srcId="{9D8B49BD-1DF7-4888-9A7E-2CFD4320CC2B}" destId="{AFD0CC05-9AD4-4A51-8739-4FB4CA1E4ACE}" srcOrd="2" destOrd="0" presId="urn:microsoft.com/office/officeart/2005/8/layout/radial1"/>
    <dgm:cxn modelId="{3849FD4C-105F-4579-BB90-DB2E2BA97D7F}" type="presParOf" srcId="{9D8B49BD-1DF7-4888-9A7E-2CFD4320CC2B}" destId="{34515D96-C834-4D67-AF5C-3B293601CBC3}" srcOrd="3" destOrd="0" presId="urn:microsoft.com/office/officeart/2005/8/layout/radial1"/>
    <dgm:cxn modelId="{180A254F-1827-45A8-A3FA-0CBF69A65931}" type="presParOf" srcId="{34515D96-C834-4D67-AF5C-3B293601CBC3}" destId="{A8CF68B1-7D91-429E-8C8D-53007288E1DC}" srcOrd="0" destOrd="0" presId="urn:microsoft.com/office/officeart/2005/8/layout/radial1"/>
    <dgm:cxn modelId="{ABB0BEB8-597C-444C-80DD-AF4D06C911F5}" type="presParOf" srcId="{9D8B49BD-1DF7-4888-9A7E-2CFD4320CC2B}" destId="{D9366F31-B7D7-4B43-830C-AD5E2193A794}" srcOrd="4" destOrd="0" presId="urn:microsoft.com/office/officeart/2005/8/layout/radial1"/>
    <dgm:cxn modelId="{6936EFCC-E703-4ABE-9C26-3BB95EC53414}" type="presParOf" srcId="{9D8B49BD-1DF7-4888-9A7E-2CFD4320CC2B}" destId="{3F0F15B6-4D5A-493B-B03E-AE8141DC3DCE}" srcOrd="5" destOrd="0" presId="urn:microsoft.com/office/officeart/2005/8/layout/radial1"/>
    <dgm:cxn modelId="{12278656-1E06-48C1-B6EF-9A5339B0F107}" type="presParOf" srcId="{3F0F15B6-4D5A-493B-B03E-AE8141DC3DCE}" destId="{905DF954-A0B6-4A5F-9CE2-F1C3ADBDD0C1}" srcOrd="0" destOrd="0" presId="urn:microsoft.com/office/officeart/2005/8/layout/radial1"/>
    <dgm:cxn modelId="{B30D5362-85CE-44D3-B1C6-63791C98AD26}" type="presParOf" srcId="{9D8B49BD-1DF7-4888-9A7E-2CFD4320CC2B}" destId="{ECD2D13D-466C-468B-BD6C-1B646D8E5B8E}" srcOrd="6" destOrd="0" presId="urn:microsoft.com/office/officeart/2005/8/layout/radial1"/>
    <dgm:cxn modelId="{7DD97DD8-BC5B-4EE2-8D68-316FA7D1E754}" type="presParOf" srcId="{9D8B49BD-1DF7-4888-9A7E-2CFD4320CC2B}" destId="{5CF8296B-0142-429D-A71A-20799D2EB74B}" srcOrd="7" destOrd="0" presId="urn:microsoft.com/office/officeart/2005/8/layout/radial1"/>
    <dgm:cxn modelId="{34894CD2-2FE5-40F1-A3B5-F8990F1D9E02}" type="presParOf" srcId="{5CF8296B-0142-429D-A71A-20799D2EB74B}" destId="{48797E66-4F8B-4B79-BCA7-6F88E85CF835}" srcOrd="0" destOrd="0" presId="urn:microsoft.com/office/officeart/2005/8/layout/radial1"/>
    <dgm:cxn modelId="{B553BB91-F5FD-4BA5-B80D-0B60BF7769ED}" type="presParOf" srcId="{9D8B49BD-1DF7-4888-9A7E-2CFD4320CC2B}" destId="{7E7DDE23-6C04-407D-AAB6-669511EA704E}" srcOrd="8" destOrd="0" presId="urn:microsoft.com/office/officeart/2005/8/layout/radial1"/>
    <dgm:cxn modelId="{C1FA23FE-D18E-4EA1-A777-16B0A0CFCEEE}" type="presParOf" srcId="{9D8B49BD-1DF7-4888-9A7E-2CFD4320CC2B}" destId="{DC281168-2DBC-4CFB-B21D-C54E9628B383}" srcOrd="9" destOrd="0" presId="urn:microsoft.com/office/officeart/2005/8/layout/radial1"/>
    <dgm:cxn modelId="{34E7B52B-ED5D-4C07-BA7B-459F0FE95D5B}" type="presParOf" srcId="{DC281168-2DBC-4CFB-B21D-C54E9628B383}" destId="{0D3BFC0A-5ED4-4CCF-A336-A529B3363890}" srcOrd="0" destOrd="0" presId="urn:microsoft.com/office/officeart/2005/8/layout/radial1"/>
    <dgm:cxn modelId="{00471987-5760-48BC-A2A9-DB4B252F24F6}" type="presParOf" srcId="{9D8B49BD-1DF7-4888-9A7E-2CFD4320CC2B}" destId="{66DADE40-99AE-41BE-B997-129EED231064}" srcOrd="10" destOrd="0" presId="urn:microsoft.com/office/officeart/2005/8/layout/radial1"/>
    <dgm:cxn modelId="{B49B34D2-0EC1-452B-A1ED-7D9295098586}" type="presParOf" srcId="{9D8B49BD-1DF7-4888-9A7E-2CFD4320CC2B}" destId="{4DF1B0BE-A63A-4BEA-9EE5-4168481CC99E}" srcOrd="11" destOrd="0" presId="urn:microsoft.com/office/officeart/2005/8/layout/radial1"/>
    <dgm:cxn modelId="{686984DC-2A45-45A2-8569-4B83BE026370}" type="presParOf" srcId="{4DF1B0BE-A63A-4BEA-9EE5-4168481CC99E}" destId="{32B4D7AF-BD29-4AC4-BA11-37F2AE9561F4}" srcOrd="0" destOrd="0" presId="urn:microsoft.com/office/officeart/2005/8/layout/radial1"/>
    <dgm:cxn modelId="{924B03D3-7317-427A-A4BD-9F609E837D6F}" type="presParOf" srcId="{9D8B49BD-1DF7-4888-9A7E-2CFD4320CC2B}" destId="{DB594876-4070-4577-942D-67F5CD4D6A19}" srcOrd="12" destOrd="0" presId="urn:microsoft.com/office/officeart/2005/8/layout/radial1"/>
    <dgm:cxn modelId="{D1AEB7C6-9C5B-46DA-9F08-39A094F3FC9F}" type="presParOf" srcId="{9D8B49BD-1DF7-4888-9A7E-2CFD4320CC2B}" destId="{E49C447F-3477-4311-B10B-FFFA7DE7209F}" srcOrd="13" destOrd="0" presId="urn:microsoft.com/office/officeart/2005/8/layout/radial1"/>
    <dgm:cxn modelId="{CD1D640F-B4F4-45AB-9F14-3217201F9AA8}" type="presParOf" srcId="{E49C447F-3477-4311-B10B-FFFA7DE7209F}" destId="{B930024E-8665-4782-9C41-36517A71FCD4}" srcOrd="0" destOrd="0" presId="urn:microsoft.com/office/officeart/2005/8/layout/radial1"/>
    <dgm:cxn modelId="{7508EAB8-8CD4-4216-A24F-7A7712BD1808}" type="presParOf" srcId="{9D8B49BD-1DF7-4888-9A7E-2CFD4320CC2B}" destId="{69F18085-0AC3-4BAE-9B16-F8478FFBD61E}" srcOrd="14" destOrd="0" presId="urn:microsoft.com/office/officeart/2005/8/layout/radial1"/>
    <dgm:cxn modelId="{401BB87D-684D-4C9A-A2FF-54ABBB5E74A9}" type="presParOf" srcId="{9D8B49BD-1DF7-4888-9A7E-2CFD4320CC2B}" destId="{FCC14444-D5E7-4E9C-B980-A27CD799E442}" srcOrd="15" destOrd="0" presId="urn:microsoft.com/office/officeart/2005/8/layout/radial1"/>
    <dgm:cxn modelId="{4F53EC88-2154-4DC8-8F77-8D6C51149ED6}" type="presParOf" srcId="{FCC14444-D5E7-4E9C-B980-A27CD799E442}" destId="{3EA6B60F-F2E8-4D48-9EC1-CAAE09243949}" srcOrd="0" destOrd="0" presId="urn:microsoft.com/office/officeart/2005/8/layout/radial1"/>
    <dgm:cxn modelId="{FE71925C-77A1-4347-8F0E-A1CFC6FAC643}" type="presParOf" srcId="{9D8B49BD-1DF7-4888-9A7E-2CFD4320CC2B}" destId="{49C45DFA-0A15-4DAA-80DC-CAE4ABCC6B43}" srcOrd="16" destOrd="0" presId="urn:microsoft.com/office/officeart/2005/8/layout/radial1"/>
    <dgm:cxn modelId="{C2C3DBFE-A17E-4903-8ABB-46AE16A1E42C}" type="presParOf" srcId="{9D8B49BD-1DF7-4888-9A7E-2CFD4320CC2B}" destId="{7B59CB2C-C82F-41EE-B3CF-ADD4878ADBA6}" srcOrd="17" destOrd="0" presId="urn:microsoft.com/office/officeart/2005/8/layout/radial1"/>
    <dgm:cxn modelId="{4A7313FA-8639-4088-AE4E-4A64FCC6D027}" type="presParOf" srcId="{7B59CB2C-C82F-41EE-B3CF-ADD4878ADBA6}" destId="{280B3AB5-4999-4B99-8BE9-E09C9DF5D482}" srcOrd="0" destOrd="0" presId="urn:microsoft.com/office/officeart/2005/8/layout/radial1"/>
    <dgm:cxn modelId="{8A5CC0C6-08D7-4A94-B694-83501C1FDA0D}" type="presParOf" srcId="{9D8B49BD-1DF7-4888-9A7E-2CFD4320CC2B}" destId="{402B25BB-F397-46B5-AAB7-C38C2276BF82}" srcOrd="18" destOrd="0" presId="urn:microsoft.com/office/officeart/2005/8/layout/radial1"/>
    <dgm:cxn modelId="{2E893156-81F1-4D98-A43F-980D4FDAFB61}" type="presParOf" srcId="{9D8B49BD-1DF7-4888-9A7E-2CFD4320CC2B}" destId="{EFB9CB5A-411C-454B-96B1-9ED988829CBE}" srcOrd="19" destOrd="0" presId="urn:microsoft.com/office/officeart/2005/8/layout/radial1"/>
    <dgm:cxn modelId="{567FED31-D439-4D24-A2B0-DF73CF6BC5C1}" type="presParOf" srcId="{EFB9CB5A-411C-454B-96B1-9ED988829CBE}" destId="{A140118B-14B1-45A7-9CF9-17E4D006F84D}" srcOrd="0" destOrd="0" presId="urn:microsoft.com/office/officeart/2005/8/layout/radial1"/>
    <dgm:cxn modelId="{CD03E220-7545-43A4-93F9-92FE12EBD8B0}" type="presParOf" srcId="{9D8B49BD-1DF7-4888-9A7E-2CFD4320CC2B}" destId="{5AF8D9AC-0C15-4D1B-BCD3-7FFCFF0A581D}" srcOrd="20" destOrd="0" presId="urn:microsoft.com/office/officeart/2005/8/layout/radial1"/>
    <dgm:cxn modelId="{A8D465D0-A6A5-4413-A284-147088932535}" type="presParOf" srcId="{9D8B49BD-1DF7-4888-9A7E-2CFD4320CC2B}" destId="{701CC827-3AE5-4421-983B-6398C783C82F}" srcOrd="21" destOrd="0" presId="urn:microsoft.com/office/officeart/2005/8/layout/radial1"/>
    <dgm:cxn modelId="{7D00B294-094E-4B48-8F90-1A24B6CE715D}" type="presParOf" srcId="{701CC827-3AE5-4421-983B-6398C783C82F}" destId="{282CA825-226C-4E92-9F37-4F68B159DB24}" srcOrd="0" destOrd="0" presId="urn:microsoft.com/office/officeart/2005/8/layout/radial1"/>
    <dgm:cxn modelId="{04D130C3-4A2C-4B28-84D6-263C45CDC95A}" type="presParOf" srcId="{9D8B49BD-1DF7-4888-9A7E-2CFD4320CC2B}" destId="{A86195D8-E78B-4F8B-B1C4-EFBBA8999B88}" srcOrd="22" destOrd="0" presId="urn:microsoft.com/office/officeart/2005/8/layout/radial1"/>
    <dgm:cxn modelId="{60A17228-9A09-45F7-A8A7-0147EC3C4561}" type="presParOf" srcId="{9D8B49BD-1DF7-4888-9A7E-2CFD4320CC2B}" destId="{155F429B-0A10-4501-ADF1-CAD1F85BB50E}" srcOrd="23" destOrd="0" presId="urn:microsoft.com/office/officeart/2005/8/layout/radial1"/>
    <dgm:cxn modelId="{A7803DE8-58E8-4B6E-8257-846B58D4A55C}" type="presParOf" srcId="{155F429B-0A10-4501-ADF1-CAD1F85BB50E}" destId="{8C19F320-E7BE-4A6B-961D-98CF34160A4C}" srcOrd="0" destOrd="0" presId="urn:microsoft.com/office/officeart/2005/8/layout/radial1"/>
    <dgm:cxn modelId="{7890AB71-AACE-4748-BBCE-312B8D5FA81C}" type="presParOf" srcId="{9D8B49BD-1DF7-4888-9A7E-2CFD4320CC2B}" destId="{04A81C5D-1DF3-47DF-8447-322057132F11}" srcOrd="24" destOrd="0" presId="urn:microsoft.com/office/officeart/2005/8/layout/radial1"/>
    <dgm:cxn modelId="{11F15071-D32C-43FE-B037-92E64F5A2937}" type="presParOf" srcId="{9D8B49BD-1DF7-4888-9A7E-2CFD4320CC2B}" destId="{47348295-6BDB-4E05-AD3B-51EF984A2613}" srcOrd="25" destOrd="0" presId="urn:microsoft.com/office/officeart/2005/8/layout/radial1"/>
    <dgm:cxn modelId="{91A6BC14-BE09-4B42-92F7-92F6AF13A7E4}" type="presParOf" srcId="{47348295-6BDB-4E05-AD3B-51EF984A2613}" destId="{B4437199-162D-48C5-A1B5-7F0753A50299}" srcOrd="0" destOrd="0" presId="urn:microsoft.com/office/officeart/2005/8/layout/radial1"/>
    <dgm:cxn modelId="{6BDD2F13-131D-4E92-8104-754831D2A840}" type="presParOf" srcId="{9D8B49BD-1DF7-4888-9A7E-2CFD4320CC2B}" destId="{F5E6D7AA-E65C-4867-B1BB-ADD5FB046412}" srcOrd="26" destOrd="0" presId="urn:microsoft.com/office/officeart/2005/8/layout/radial1"/>
  </dgm:cxnLst>
  <dgm:bg>
    <a:noFill/>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1E6300E9-62A6-472B-A8E0-260A0A589B6D}" type="presOf" srcId="{7AF774ED-547E-4C04-8670-B0C1D08C5EE9}" destId="{326412CE-9911-4799-A459-B56F02EB4473}" srcOrd="1"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2" destOrd="0" parTransId="{4693CA52-075F-4BD8-ABEA-5368BE377DDA}" sibTransId="{9B3CB24D-A47A-4081-B256-B868D89D5387}"/>
    <dgm:cxn modelId="{FE37B3F3-E0D1-4395-9F11-108CC813F695}" type="presOf" srcId="{C06C39C9-71B8-489C-9C45-3DD37A424E39}" destId="{0FAF3FA1-8E6C-455E-B189-A468B3F4D8BC}" srcOrd="0" destOrd="0" presId="urn:microsoft.com/office/officeart/2005/8/layout/radial1"/>
    <dgm:cxn modelId="{3EAE543E-9C2C-4479-8C3A-1CF29F395EC4}" type="presOf" srcId="{4693CA52-075F-4BD8-ABEA-5368BE377DDA}" destId="{4AC11394-3179-4EC5-A97F-D1A1B521CE2F}" srcOrd="0" destOrd="0" presId="urn:microsoft.com/office/officeart/2005/8/layout/radial1"/>
    <dgm:cxn modelId="{DFAC5BD5-9CBF-4F2E-8785-292C7A6F8AD2}" type="presOf" srcId="{6A15E0A4-5C3C-46EC-813C-B512B6A8F114}" destId="{2E49232F-4FB2-4DC8-A6DD-3902EF154437}" srcOrd="1" destOrd="0" presId="urn:microsoft.com/office/officeart/2005/8/layout/radial1"/>
    <dgm:cxn modelId="{797944C8-4272-4278-8645-D0F80400F8DE}" type="presOf" srcId="{E8B72980-4234-42F0-8A76-7022BE1A23D4}" destId="{19ACA16F-4F02-4741-A973-0858AA9E727D}" srcOrd="0" destOrd="0" presId="urn:microsoft.com/office/officeart/2005/8/layout/radial1"/>
    <dgm:cxn modelId="{2770BBF8-8617-4794-AB55-A7AA22AA45B6}" type="presOf" srcId="{4631C2C5-1554-4289-90B0-F2D55D1595B6}" destId="{035B4C9A-0916-4FCC-A1CF-85DB358A289A}" srcOrd="0" destOrd="0" presId="urn:microsoft.com/office/officeart/2005/8/layout/radial1"/>
    <dgm:cxn modelId="{1FB20274-EE4C-4356-9879-1730BCE829E4}" type="presOf" srcId="{6A15E0A4-5C3C-46EC-813C-B512B6A8F114}" destId="{4344ACFB-6B44-4AAF-B1DB-49AB3ED02AF7}" srcOrd="0" destOrd="0" presId="urn:microsoft.com/office/officeart/2005/8/layout/radial1"/>
    <dgm:cxn modelId="{ED4F5F9E-763C-4789-85A3-188803865AD1}"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40353B63-95B4-4E78-9C81-047BCA7F38B8}" type="presOf" srcId="{960C5593-E0FF-4AA5-AA0B-E8BDFFBC5E53}" destId="{CED9197C-8322-406B-917C-172FA36E7B76}"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0303DA07-2808-48EE-8F4F-49EB50E42EA4}" type="presOf" srcId="{DE541715-C648-404D-8124-F14F463E9202}" destId="{062AF917-2F47-4639-8A23-58AD52EC0F32}" srcOrd="0" destOrd="0" presId="urn:microsoft.com/office/officeart/2005/8/layout/radial1"/>
    <dgm:cxn modelId="{9DD98554-A84C-41F0-944D-64B950ADB70D}" type="presOf" srcId="{0FABC453-0A5C-4CAE-813B-F0494A34E025}" destId="{ADF94B70-0D7F-4A27-8DF9-17BCD27F4A7A}" srcOrd="0" destOrd="0" presId="urn:microsoft.com/office/officeart/2005/8/layout/radial1"/>
    <dgm:cxn modelId="{AAF9912A-8B9A-4003-9D5B-DAF8D7BBDFAB}" type="presOf" srcId="{7AF774ED-547E-4C04-8670-B0C1D08C5EE9}" destId="{5337AE63-3722-42CC-AF72-36670EB7C5E1}" srcOrd="0" destOrd="0" presId="urn:microsoft.com/office/officeart/2005/8/layout/radial1"/>
    <dgm:cxn modelId="{4347ADF7-FAB6-460A-A45D-AC7036E38EC4}" type="presOf" srcId="{4693CA52-075F-4BD8-ABEA-5368BE377DDA}" destId="{62A1F741-432F-46BE-AE07-15F0B6D5EA89}" srcOrd="1" destOrd="0" presId="urn:microsoft.com/office/officeart/2005/8/layout/radial1"/>
    <dgm:cxn modelId="{69E6A49C-1EA3-4682-A60B-29B5A300B39A}" type="presOf" srcId="{34E6C8D5-8D4F-4714-8A12-8F4599A8E760}" destId="{08F189A1-AB47-41D1-8058-7A6DA66B3F52}" srcOrd="0" destOrd="0" presId="urn:microsoft.com/office/officeart/2005/8/layout/radial1"/>
    <dgm:cxn modelId="{4B0A3EC0-5C1F-47A2-B4C3-9F6117FDC9AA}" type="presParOf" srcId="{08F189A1-AB47-41D1-8058-7A6DA66B3F52}" destId="{062AF917-2F47-4639-8A23-58AD52EC0F32}" srcOrd="0" destOrd="0" presId="urn:microsoft.com/office/officeart/2005/8/layout/radial1"/>
    <dgm:cxn modelId="{1727378E-33E4-4AB1-A742-FA9D8D913266}" type="presParOf" srcId="{08F189A1-AB47-41D1-8058-7A6DA66B3F52}" destId="{4344ACFB-6B44-4AAF-B1DB-49AB3ED02AF7}" srcOrd="1" destOrd="0" presId="urn:microsoft.com/office/officeart/2005/8/layout/radial1"/>
    <dgm:cxn modelId="{370EBC78-E6C0-49DE-888B-A0EC9C64E981}" type="presParOf" srcId="{4344ACFB-6B44-4AAF-B1DB-49AB3ED02AF7}" destId="{2E49232F-4FB2-4DC8-A6DD-3902EF154437}" srcOrd="0" destOrd="0" presId="urn:microsoft.com/office/officeart/2005/8/layout/radial1"/>
    <dgm:cxn modelId="{12DC8199-04E3-4118-AC2B-7049A55486B5}" type="presParOf" srcId="{08F189A1-AB47-41D1-8058-7A6DA66B3F52}" destId="{19ACA16F-4F02-4741-A973-0858AA9E727D}" srcOrd="2" destOrd="0" presId="urn:microsoft.com/office/officeart/2005/8/layout/radial1"/>
    <dgm:cxn modelId="{0B95C75C-A998-4E3E-9389-7E869FEA8918}" type="presParOf" srcId="{08F189A1-AB47-41D1-8058-7A6DA66B3F52}" destId="{5337AE63-3722-42CC-AF72-36670EB7C5E1}" srcOrd="3" destOrd="0" presId="urn:microsoft.com/office/officeart/2005/8/layout/radial1"/>
    <dgm:cxn modelId="{F67CF255-5087-4FCA-B268-EE201BCF3537}" type="presParOf" srcId="{5337AE63-3722-42CC-AF72-36670EB7C5E1}" destId="{326412CE-9911-4799-A459-B56F02EB4473}" srcOrd="0" destOrd="0" presId="urn:microsoft.com/office/officeart/2005/8/layout/radial1"/>
    <dgm:cxn modelId="{BB2C12C0-2C41-490D-9FD7-39C4BFFC84AC}" type="presParOf" srcId="{08F189A1-AB47-41D1-8058-7A6DA66B3F52}" destId="{CED9197C-8322-406B-917C-172FA36E7B76}" srcOrd="4" destOrd="0" presId="urn:microsoft.com/office/officeart/2005/8/layout/radial1"/>
    <dgm:cxn modelId="{B4F0FB0E-E362-4FA3-8ADD-BA87A69D28C2}" type="presParOf" srcId="{08F189A1-AB47-41D1-8058-7A6DA66B3F52}" destId="{4AC11394-3179-4EC5-A97F-D1A1B521CE2F}" srcOrd="5" destOrd="0" presId="urn:microsoft.com/office/officeart/2005/8/layout/radial1"/>
    <dgm:cxn modelId="{071ED986-E4C3-40DB-9715-1CD7E0B4E4D5}" type="presParOf" srcId="{4AC11394-3179-4EC5-A97F-D1A1B521CE2F}" destId="{62A1F741-432F-46BE-AE07-15F0B6D5EA89}" srcOrd="0" destOrd="0" presId="urn:microsoft.com/office/officeart/2005/8/layout/radial1"/>
    <dgm:cxn modelId="{23C4287F-F6E9-4F35-B856-C9CACB3139DB}" type="presParOf" srcId="{08F189A1-AB47-41D1-8058-7A6DA66B3F52}" destId="{035B4C9A-0916-4FCC-A1CF-85DB358A289A}" srcOrd="6" destOrd="0" presId="urn:microsoft.com/office/officeart/2005/8/layout/radial1"/>
    <dgm:cxn modelId="{3B8012DD-28F6-4D82-99B5-F14062ACC5E1}" type="presParOf" srcId="{08F189A1-AB47-41D1-8058-7A6DA66B3F52}" destId="{ADF94B70-0D7F-4A27-8DF9-17BCD27F4A7A}" srcOrd="7" destOrd="0" presId="urn:microsoft.com/office/officeart/2005/8/layout/radial1"/>
    <dgm:cxn modelId="{58C7A5C8-C006-468C-BB41-C54F926C7113}" type="presParOf" srcId="{ADF94B70-0D7F-4A27-8DF9-17BCD27F4A7A}" destId="{EA4144E0-C5B2-4FC0-BDB2-550B61DB7DFD}" srcOrd="0" destOrd="0" presId="urn:microsoft.com/office/officeart/2005/8/layout/radial1"/>
    <dgm:cxn modelId="{FAF463CD-969B-4ABD-9700-8773C3E56A25}"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5"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BD8CFE06-1012-4CEE-B7EB-3A502A625EE0}" type="presOf" srcId="{4693CA52-075F-4BD8-ABEA-5368BE377DDA}" destId="{62A1F741-432F-46BE-AE07-15F0B6D5EA89}" srcOrd="1" destOrd="0" presId="urn:microsoft.com/office/officeart/2005/8/layout/radial1"/>
    <dgm:cxn modelId="{BC1E9313-698B-4847-840C-6A745877E59F}" type="presOf" srcId="{C06C39C9-71B8-489C-9C45-3DD37A424E39}" destId="{0FAF3FA1-8E6C-455E-B189-A468B3F4D8BC}" srcOrd="0" destOrd="0" presId="urn:microsoft.com/office/officeart/2005/8/layout/radial1"/>
    <dgm:cxn modelId="{41073B1B-7568-4EF6-A011-11B7BD2807AA}" type="presOf" srcId="{5C260341-F1C3-4458-A657-957289015FC3}" destId="{976BA53C-17D4-4F7C-9078-1272C469C9E5}" srcOrd="0" destOrd="0" presId="urn:microsoft.com/office/officeart/2005/8/layout/radial1"/>
    <dgm:cxn modelId="{326DB833-8A38-4F97-BFDA-DB58CC60F6B0}" type="presOf" srcId="{45A6C23B-D452-4078-BA3A-466D0894B9EB}" destId="{64248C57-3CE0-4657-BC67-6279BA0257B1}"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62E86A5A-34AE-4704-9243-ACB1FA5CB146}"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59E302F-AF41-464F-9A88-B4732C512F25}" type="presOf" srcId="{0FABC453-0A5C-4CAE-813B-F0494A34E025}" destId="{ADF94B70-0D7F-4A27-8DF9-17BCD27F4A7A}" srcOrd="0" destOrd="0" presId="urn:microsoft.com/office/officeart/2005/8/layout/radial1"/>
    <dgm:cxn modelId="{B8B9B358-72F8-4E68-8FE7-EBF4BB2BC10F}" type="presOf" srcId="{0FABC453-0A5C-4CAE-813B-F0494A34E025}" destId="{EA4144E0-C5B2-4FC0-BDB2-550B61DB7DFD}" srcOrd="1" destOrd="0" presId="urn:microsoft.com/office/officeart/2005/8/layout/radial1"/>
    <dgm:cxn modelId="{DD39B026-B26A-40DC-BD12-DC2732E5980C}" type="presOf" srcId="{45A6C23B-D452-4078-BA3A-466D0894B9EB}" destId="{C7C9B7EB-2DEF-4B99-8D38-AC2E9641BEB5}" srcOrd="1" destOrd="0" presId="urn:microsoft.com/office/officeart/2005/8/layout/radial1"/>
    <dgm:cxn modelId="{6C10B5FF-034C-4496-9FB9-3EA8C3AE93F3}" type="presOf" srcId="{4631C2C5-1554-4289-90B0-F2D55D1595B6}" destId="{035B4C9A-0916-4FCC-A1CF-85DB358A289A}" srcOrd="0" destOrd="0" presId="urn:microsoft.com/office/officeart/2005/8/layout/radial1"/>
    <dgm:cxn modelId="{76CE26C2-D6E5-434A-94FC-A3E25DE1DD6B}" type="presOf" srcId="{DE541715-C648-404D-8124-F14F463E9202}" destId="{062AF917-2F47-4639-8A23-58AD52EC0F32}" srcOrd="0" destOrd="0" presId="urn:microsoft.com/office/officeart/2005/8/layout/radial1"/>
    <dgm:cxn modelId="{6C28FB82-0A46-43EA-A26F-FA224066829D}" type="presOf" srcId="{4693CA52-075F-4BD8-ABEA-5368BE377DDA}" destId="{4AC11394-3179-4EC5-A97F-D1A1B521CE2F}" srcOrd="0" destOrd="0" presId="urn:microsoft.com/office/officeart/2005/8/layout/radial1"/>
    <dgm:cxn modelId="{5DB5BE92-0BFF-430E-B5CF-2B3B002D1AA0}" type="presParOf" srcId="{08F189A1-AB47-41D1-8058-7A6DA66B3F52}" destId="{062AF917-2F47-4639-8A23-58AD52EC0F32}" srcOrd="0" destOrd="0" presId="urn:microsoft.com/office/officeart/2005/8/layout/radial1"/>
    <dgm:cxn modelId="{0284139C-1E20-450F-8F27-A3C3E916B4DB}" type="presParOf" srcId="{08F189A1-AB47-41D1-8058-7A6DA66B3F52}" destId="{4AC11394-3179-4EC5-A97F-D1A1B521CE2F}" srcOrd="1" destOrd="0" presId="urn:microsoft.com/office/officeart/2005/8/layout/radial1"/>
    <dgm:cxn modelId="{773A417A-1CD8-4CD3-8498-4A92D67AC00A}" type="presParOf" srcId="{4AC11394-3179-4EC5-A97F-D1A1B521CE2F}" destId="{62A1F741-432F-46BE-AE07-15F0B6D5EA89}" srcOrd="0" destOrd="0" presId="urn:microsoft.com/office/officeart/2005/8/layout/radial1"/>
    <dgm:cxn modelId="{72DA9824-6BF4-4007-B92B-100D8A1C339E}" type="presParOf" srcId="{08F189A1-AB47-41D1-8058-7A6DA66B3F52}" destId="{035B4C9A-0916-4FCC-A1CF-85DB358A289A}" srcOrd="2" destOrd="0" presId="urn:microsoft.com/office/officeart/2005/8/layout/radial1"/>
    <dgm:cxn modelId="{B6FC6B7D-D76E-4971-BA0A-E131068C321D}" type="presParOf" srcId="{08F189A1-AB47-41D1-8058-7A6DA66B3F52}" destId="{64248C57-3CE0-4657-BC67-6279BA0257B1}" srcOrd="3" destOrd="0" presId="urn:microsoft.com/office/officeart/2005/8/layout/radial1"/>
    <dgm:cxn modelId="{D2E73A09-6A8E-4A62-AC8A-331D01CEA5CA}" type="presParOf" srcId="{64248C57-3CE0-4657-BC67-6279BA0257B1}" destId="{C7C9B7EB-2DEF-4B99-8D38-AC2E9641BEB5}" srcOrd="0" destOrd="0" presId="urn:microsoft.com/office/officeart/2005/8/layout/radial1"/>
    <dgm:cxn modelId="{CF0FAC95-CAA6-4826-82E3-4693FF31FC28}" type="presParOf" srcId="{08F189A1-AB47-41D1-8058-7A6DA66B3F52}" destId="{976BA53C-17D4-4F7C-9078-1272C469C9E5}" srcOrd="4" destOrd="0" presId="urn:microsoft.com/office/officeart/2005/8/layout/radial1"/>
    <dgm:cxn modelId="{2797F27F-A216-461F-98EC-AA17B587CEED}" type="presParOf" srcId="{08F189A1-AB47-41D1-8058-7A6DA66B3F52}" destId="{ADF94B70-0D7F-4A27-8DF9-17BCD27F4A7A}" srcOrd="5" destOrd="0" presId="urn:microsoft.com/office/officeart/2005/8/layout/radial1"/>
    <dgm:cxn modelId="{5A25425C-95C8-4417-A1F9-2A75D3B0F94F}" type="presParOf" srcId="{ADF94B70-0D7F-4A27-8DF9-17BCD27F4A7A}" destId="{EA4144E0-C5B2-4FC0-BDB2-550B61DB7DFD}" srcOrd="0" destOrd="0" presId="urn:microsoft.com/office/officeart/2005/8/layout/radial1"/>
    <dgm:cxn modelId="{AE2B9776-9A91-4420-A50A-844CE4970318}"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23"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9862" custScaleY="107336"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73EE0B25-0264-4E72-9B38-708A7902B071}"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8A192081-27FA-4B3A-A68B-C6CA134995F8}" type="presOf" srcId="{7AF774ED-547E-4C04-8670-B0C1D08C5EE9}" destId="{326412CE-9911-4799-A459-B56F02EB4473}" srcOrd="1" destOrd="0" presId="urn:microsoft.com/office/officeart/2005/8/layout/radial1"/>
    <dgm:cxn modelId="{32F150A4-55DF-4C39-8273-1C3CD380045A}" type="presOf" srcId="{7AF774ED-547E-4C04-8670-B0C1D08C5EE9}" destId="{5337AE63-3722-42CC-AF72-36670EB7C5E1}" srcOrd="0" destOrd="0" presId="urn:microsoft.com/office/officeart/2005/8/layout/radial1"/>
    <dgm:cxn modelId="{F66EFE1B-3020-437C-B637-0533AE4202E8}" type="presOf" srcId="{4693CA52-075F-4BD8-ABEA-5368BE377DDA}" destId="{62A1F741-432F-46BE-AE07-15F0B6D5EA89}" srcOrd="1" destOrd="0" presId="urn:microsoft.com/office/officeart/2005/8/layout/radial1"/>
    <dgm:cxn modelId="{4B307919-7DA5-4698-B24B-65A99D698431}" type="presOf" srcId="{960C5593-E0FF-4AA5-AA0B-E8BDFFBC5E53}" destId="{CED9197C-8322-406B-917C-172FA36E7B76}" srcOrd="0" destOrd="0" presId="urn:microsoft.com/office/officeart/2005/8/layout/radial1"/>
    <dgm:cxn modelId="{436AD808-0DEB-49B2-9E8B-8EFE883F5213}" type="presOf" srcId="{DE541715-C648-404D-8124-F14F463E9202}" destId="{062AF917-2F47-4639-8A23-58AD52EC0F32}" srcOrd="0" destOrd="0" presId="urn:microsoft.com/office/officeart/2005/8/layout/radial1"/>
    <dgm:cxn modelId="{5F0A3EB3-4B6C-4A72-A546-E0DA1BD92A6D}" type="presOf" srcId="{261B861F-8791-4E33-9941-A33DE5A2A768}" destId="{9D8804DD-C1C3-4668-9E8F-40BB54189D15}" srcOrd="0" destOrd="0" presId="urn:microsoft.com/office/officeart/2005/8/layout/radial1"/>
    <dgm:cxn modelId="{D9C6EDC2-DBF1-45DB-9310-2DC2D2A3150F}" type="presOf" srcId="{A5C3F0DB-E0F1-41F2-9F0F-D8D34C792173}" destId="{2F4F44BF-1E04-4136-A0FB-1DED4AC75151}" srcOrd="1"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8389AB31-BAD0-4C1D-9342-7D17730524D1}" type="presOf" srcId="{A5C3F0DB-E0F1-41F2-9F0F-D8D34C792173}" destId="{1281FAF2-438A-4E06-A630-42C5CD6DB1D1}" srcOrd="0" destOrd="0" presId="urn:microsoft.com/office/officeart/2005/8/layout/radial1"/>
    <dgm:cxn modelId="{19DB0586-3459-461E-A3CB-51ABA65CB0EB}" type="presOf" srcId="{1D0CE537-45F5-4C46-960F-D6A82B00F3DE}" destId="{F1CADBCB-761B-4EBD-8811-73EECDD73DC5}"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9D81BB17-380B-4648-8738-D2C311746C09}" type="presOf" srcId="{3D1DE322-E296-4167-BF53-8B5CE5EC28D8}" destId="{D0E3F8D6-DE9C-4394-8B02-9C131280903E}" srcOrd="0" destOrd="0" presId="urn:microsoft.com/office/officeart/2005/8/layout/radial1"/>
    <dgm:cxn modelId="{3F40C316-A9A4-4D7E-8784-AB2AC568F9E7}" type="presOf" srcId="{3D1DE322-E296-4167-BF53-8B5CE5EC28D8}" destId="{D9125633-39F7-4B37-B444-5ECC3B34BA4C}" srcOrd="1" destOrd="0" presId="urn:microsoft.com/office/officeart/2005/8/layout/radial1"/>
    <dgm:cxn modelId="{2496F2F4-4C5D-4E14-8F0A-DB3A0963B275}" type="presOf" srcId="{4693CA52-075F-4BD8-ABEA-5368BE377DDA}" destId="{4AC11394-3179-4EC5-A97F-D1A1B521CE2F}" srcOrd="0" destOrd="0" presId="urn:microsoft.com/office/officeart/2005/8/layout/radial1"/>
    <dgm:cxn modelId="{3A4E6F6B-E254-4CCC-A6F3-4A86860E0375}" type="presOf" srcId="{34E6C8D5-8D4F-4714-8A12-8F4599A8E760}" destId="{08F189A1-AB47-41D1-8058-7A6DA66B3F52}" srcOrd="0" destOrd="0" presId="urn:microsoft.com/office/officeart/2005/8/layout/radial1"/>
    <dgm:cxn modelId="{743561D2-286D-4D12-8833-33254BD1D98D}" type="presParOf" srcId="{08F189A1-AB47-41D1-8058-7A6DA66B3F52}" destId="{062AF917-2F47-4639-8A23-58AD52EC0F32}" srcOrd="0" destOrd="0" presId="urn:microsoft.com/office/officeart/2005/8/layout/radial1"/>
    <dgm:cxn modelId="{2044E458-D0B2-4EF6-9BA8-083B374267EA}" type="presParOf" srcId="{08F189A1-AB47-41D1-8058-7A6DA66B3F52}" destId="{5337AE63-3722-42CC-AF72-36670EB7C5E1}" srcOrd="1" destOrd="0" presId="urn:microsoft.com/office/officeart/2005/8/layout/radial1"/>
    <dgm:cxn modelId="{89A92E9A-42F8-4C17-A0AC-EA1462DD0B6D}" type="presParOf" srcId="{5337AE63-3722-42CC-AF72-36670EB7C5E1}" destId="{326412CE-9911-4799-A459-B56F02EB4473}" srcOrd="0" destOrd="0" presId="urn:microsoft.com/office/officeart/2005/8/layout/radial1"/>
    <dgm:cxn modelId="{CD5E8533-BFDE-4477-A959-EFAD7B99D8A8}" type="presParOf" srcId="{08F189A1-AB47-41D1-8058-7A6DA66B3F52}" destId="{CED9197C-8322-406B-917C-172FA36E7B76}" srcOrd="2" destOrd="0" presId="urn:microsoft.com/office/officeart/2005/8/layout/radial1"/>
    <dgm:cxn modelId="{5EAD3684-8C14-4A2F-9ADD-9211CAA5D073}" type="presParOf" srcId="{08F189A1-AB47-41D1-8058-7A6DA66B3F52}" destId="{4AC11394-3179-4EC5-A97F-D1A1B521CE2F}" srcOrd="3" destOrd="0" presId="urn:microsoft.com/office/officeart/2005/8/layout/radial1"/>
    <dgm:cxn modelId="{C85B0180-212F-4407-96A0-7EC521834107}" type="presParOf" srcId="{4AC11394-3179-4EC5-A97F-D1A1B521CE2F}" destId="{62A1F741-432F-46BE-AE07-15F0B6D5EA89}" srcOrd="0" destOrd="0" presId="urn:microsoft.com/office/officeart/2005/8/layout/radial1"/>
    <dgm:cxn modelId="{2E6383B5-E849-4FBE-82FE-C445A506CA12}" type="presParOf" srcId="{08F189A1-AB47-41D1-8058-7A6DA66B3F52}" destId="{035B4C9A-0916-4FCC-A1CF-85DB358A289A}" srcOrd="4" destOrd="0" presId="urn:microsoft.com/office/officeart/2005/8/layout/radial1"/>
    <dgm:cxn modelId="{695894BE-6925-49B1-A6CD-2A6370762924}" type="presParOf" srcId="{08F189A1-AB47-41D1-8058-7A6DA66B3F52}" destId="{1281FAF2-438A-4E06-A630-42C5CD6DB1D1}" srcOrd="5" destOrd="0" presId="urn:microsoft.com/office/officeart/2005/8/layout/radial1"/>
    <dgm:cxn modelId="{C9E18141-BCBB-48EA-B39D-E735809D05AF}" type="presParOf" srcId="{1281FAF2-438A-4E06-A630-42C5CD6DB1D1}" destId="{2F4F44BF-1E04-4136-A0FB-1DED4AC75151}" srcOrd="0" destOrd="0" presId="urn:microsoft.com/office/officeart/2005/8/layout/radial1"/>
    <dgm:cxn modelId="{4BB819DF-9EBE-4C29-BD47-B57E81636A59}" type="presParOf" srcId="{08F189A1-AB47-41D1-8058-7A6DA66B3F52}" destId="{9D8804DD-C1C3-4668-9E8F-40BB54189D15}" srcOrd="6" destOrd="0" presId="urn:microsoft.com/office/officeart/2005/8/layout/radial1"/>
    <dgm:cxn modelId="{8778AACE-813A-4BFE-A22D-8F3117BCC8E3}" type="presParOf" srcId="{08F189A1-AB47-41D1-8058-7A6DA66B3F52}" destId="{D0E3F8D6-DE9C-4394-8B02-9C131280903E}" srcOrd="7" destOrd="0" presId="urn:microsoft.com/office/officeart/2005/8/layout/radial1"/>
    <dgm:cxn modelId="{B0247E09-3D7D-43A8-AFFD-C1CFFD4DBC95}" type="presParOf" srcId="{D0E3F8D6-DE9C-4394-8B02-9C131280903E}" destId="{D9125633-39F7-4B37-B444-5ECC3B34BA4C}" srcOrd="0" destOrd="0" presId="urn:microsoft.com/office/officeart/2005/8/layout/radial1"/>
    <dgm:cxn modelId="{366C7D14-D627-4F7E-AA5B-142780B453C4}"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30"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80777" y="665203"/>
          <a:ext cx="1213961" cy="34931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164525" y="1052552"/>
          <a:ext cx="1372939" cy="5606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Business  Solutions for IP</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393212">
          <a:off x="2306704" y="1050498"/>
          <a:ext cx="360356"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434712" y="1098691"/>
          <a:ext cx="1303029" cy="5073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500735">
          <a:off x="3287631" y="1066469"/>
          <a:ext cx="399900"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362839" y="581418"/>
          <a:ext cx="1194049" cy="5044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21589143">
          <a:off x="3594700" y="830138"/>
          <a:ext cx="768157"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488168" y="-26200"/>
          <a:ext cx="999180" cy="4438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2863978" y="534828"/>
          <a:ext cx="247560"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3829310" y="47623"/>
          <a:ext cx="1138760" cy="4475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gm:t>
    </dgm:pt>
    <dgm:pt modelId="{8350B580-CEC5-40B7-8EB5-A172D5915A6B}" type="parTrans" cxnId="{DB613666-54CF-4D7E-982B-E399CC961051}">
      <dgm:prSet/>
      <dgm:spPr>
        <a:xfrm rot="20283379">
          <a:off x="3314743" y="558078"/>
          <a:ext cx="712131"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138832" y="561976"/>
          <a:ext cx="1257883" cy="5447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0808569">
          <a:off x="1396704" y="830528"/>
          <a:ext cx="984098"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D034F6AC-E459-483A-BC18-22A33AE5BDAE}">
      <dgm:prSet phldrT="[Text]" custT="1"/>
      <dgm:spPr>
        <a:xfrm>
          <a:off x="1035359" y="40747"/>
          <a:ext cx="1283030" cy="4736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 </a:t>
          </a:r>
        </a:p>
      </dgm:t>
    </dgm:pt>
    <dgm:pt modelId="{E25ACED9-64BE-4FFA-8C93-F38031958FA9}" type="parTrans" cxnId="{A1C8553A-C9ED-44D4-BF8D-B9844332441C}">
      <dgm:prSet/>
      <dgm:spPr>
        <a:xfrm rot="12193039">
          <a:off x="2070891" y="569333"/>
          <a:ext cx="603152" cy="1318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E283739-CFFF-4188-B6AB-05FB0B17A987}" type="sibTrans" cxnId="{A1C8553A-C9ED-44D4-BF8D-B9844332441C}">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8738" custScaleY="80207"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7"/>
      <dgm:spPr>
        <a:custGeom>
          <a:avLst/>
          <a:gdLst/>
          <a:ahLst/>
          <a:cxnLst/>
          <a:rect l="0" t="0" r="0" b="0"/>
          <a:pathLst>
            <a:path>
              <a:moveTo>
                <a:pt x="0" y="6594"/>
              </a:moveTo>
              <a:lnTo>
                <a:pt x="247560" y="6594"/>
              </a:lnTo>
            </a:path>
          </a:pathLst>
        </a:custGeom>
      </dgm:spPr>
      <dgm:t>
        <a:bodyPr/>
        <a:lstStyle/>
        <a:p>
          <a:endParaRPr lang="en-US"/>
        </a:p>
      </dgm:t>
    </dgm:pt>
    <dgm:pt modelId="{AB25BD6D-C05F-49D2-AE4A-144CA3C0FC88}" type="pres">
      <dgm:prSet presAssocID="{E2FC291C-D685-4C64-9B85-7318D8496566}" presName="connTx" presStyleLbl="parChTrans1D2" presStyleIdx="0" presStyleCnt="7"/>
      <dgm:spPr/>
      <dgm:t>
        <a:bodyPr/>
        <a:lstStyle/>
        <a:p>
          <a:endParaRPr lang="en-US"/>
        </a:p>
      </dgm:t>
    </dgm:pt>
    <dgm:pt modelId="{825B4589-2D50-4097-AF2B-6D3BD9DDE0B2}" type="pres">
      <dgm:prSet presAssocID="{70EC699C-58C9-413E-92A6-88F3FF9B1DC9}" presName="node" presStyleLbl="node1" presStyleIdx="0" presStyleCnt="7"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7"/>
      <dgm:spPr>
        <a:custGeom>
          <a:avLst/>
          <a:gdLst/>
          <a:ahLst/>
          <a:cxnLst/>
          <a:rect l="0" t="0" r="0" b="0"/>
          <a:pathLst>
            <a:path>
              <a:moveTo>
                <a:pt x="0" y="6594"/>
              </a:moveTo>
              <a:lnTo>
                <a:pt x="712131" y="6594"/>
              </a:lnTo>
            </a:path>
          </a:pathLst>
        </a:custGeom>
      </dgm:spPr>
      <dgm:t>
        <a:bodyPr/>
        <a:lstStyle/>
        <a:p>
          <a:endParaRPr lang="en-US"/>
        </a:p>
      </dgm:t>
    </dgm:pt>
    <dgm:pt modelId="{55614E8E-7D68-4791-82B7-FD152FE54268}" type="pres">
      <dgm:prSet presAssocID="{8350B580-CEC5-40B7-8EB5-A172D5915A6B}" presName="connTx" presStyleLbl="parChTrans1D2" presStyleIdx="1" presStyleCnt="7"/>
      <dgm:spPr/>
      <dgm:t>
        <a:bodyPr/>
        <a:lstStyle/>
        <a:p>
          <a:endParaRPr lang="en-US"/>
        </a:p>
      </dgm:t>
    </dgm:pt>
    <dgm:pt modelId="{9DCD972B-1513-465A-AD2B-AD5E9EEB7291}" type="pres">
      <dgm:prSet presAssocID="{8D95C031-B53C-42FF-A312-F15FA4C9B96F}" presName="node" presStyleLbl="node1" presStyleIdx="1" presStyleCnt="7" custScaleX="261471" custScaleY="102773" custRadScaleRad="233362" custRadScaleInc="63420">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7"/>
      <dgm:spPr>
        <a:custGeom>
          <a:avLst/>
          <a:gdLst/>
          <a:ahLst/>
          <a:cxnLst/>
          <a:rect l="0" t="0" r="0" b="0"/>
          <a:pathLst>
            <a:path>
              <a:moveTo>
                <a:pt x="0" y="6594"/>
              </a:moveTo>
              <a:lnTo>
                <a:pt x="768157" y="6594"/>
              </a:lnTo>
            </a:path>
          </a:pathLst>
        </a:custGeom>
      </dgm:spPr>
      <dgm:t>
        <a:bodyPr/>
        <a:lstStyle/>
        <a:p>
          <a:endParaRPr lang="en-US"/>
        </a:p>
      </dgm:t>
    </dgm:pt>
    <dgm:pt modelId="{326412CE-9911-4799-A459-B56F02EB4473}" type="pres">
      <dgm:prSet presAssocID="{7AF774ED-547E-4C04-8670-B0C1D08C5EE9}" presName="connTx" presStyleLbl="parChTrans1D2" presStyleIdx="2" presStyleCnt="7"/>
      <dgm:spPr/>
      <dgm:t>
        <a:bodyPr/>
        <a:lstStyle/>
        <a:p>
          <a:endParaRPr lang="en-US"/>
        </a:p>
      </dgm:t>
    </dgm:pt>
    <dgm:pt modelId="{CED9197C-8322-406B-917C-172FA36E7B76}" type="pres">
      <dgm:prSet presAssocID="{960C5593-E0FF-4AA5-AA0B-E8BDFFBC5E53}" presName="node" presStyleLbl="node1" presStyleIdx="2" presStyleCnt="7" custScaleX="274166" custScaleY="115823" custRadScaleRad="301871" custRadScaleInc="-51740">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7"/>
      <dgm:spPr>
        <a:custGeom>
          <a:avLst/>
          <a:gdLst/>
          <a:ahLst/>
          <a:cxnLst/>
          <a:rect l="0" t="0" r="0" b="0"/>
          <a:pathLst>
            <a:path>
              <a:moveTo>
                <a:pt x="0" y="6594"/>
              </a:moveTo>
              <a:lnTo>
                <a:pt x="399900" y="6594"/>
              </a:lnTo>
            </a:path>
          </a:pathLst>
        </a:custGeom>
      </dgm:spPr>
      <dgm:t>
        <a:bodyPr/>
        <a:lstStyle/>
        <a:p>
          <a:endParaRPr lang="en-US"/>
        </a:p>
      </dgm:t>
    </dgm:pt>
    <dgm:pt modelId="{62A1F741-432F-46BE-AE07-15F0B6D5EA89}" type="pres">
      <dgm:prSet presAssocID="{4693CA52-075F-4BD8-ABEA-5368BE377DDA}" presName="connTx" presStyleLbl="parChTrans1D2" presStyleIdx="3" presStyleCnt="7"/>
      <dgm:spPr/>
      <dgm:t>
        <a:bodyPr/>
        <a:lstStyle/>
        <a:p>
          <a:endParaRPr lang="en-US"/>
        </a:p>
      </dgm:t>
    </dgm:pt>
    <dgm:pt modelId="{035B4C9A-0916-4FCC-A1CF-85DB358A289A}" type="pres">
      <dgm:prSet presAssocID="{4631C2C5-1554-4289-90B0-F2D55D1595B6}" presName="node" presStyleLbl="node1" presStyleIdx="3" presStyleCnt="7" custScaleX="299189" custScaleY="116496" custRadScaleRad="184949" custRadScaleInc="-15426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7"/>
      <dgm:spPr>
        <a:custGeom>
          <a:avLst/>
          <a:gdLst/>
          <a:ahLst/>
          <a:cxnLst/>
          <a:rect l="0" t="0" r="0" b="0"/>
          <a:pathLst>
            <a:path>
              <a:moveTo>
                <a:pt x="0" y="6594"/>
              </a:moveTo>
              <a:lnTo>
                <a:pt x="360356" y="6594"/>
              </a:lnTo>
            </a:path>
          </a:pathLst>
        </a:custGeom>
      </dgm:spPr>
      <dgm:t>
        <a:bodyPr/>
        <a:lstStyle/>
        <a:p>
          <a:endParaRPr lang="en-US"/>
        </a:p>
      </dgm:t>
    </dgm:pt>
    <dgm:pt modelId="{EA4144E0-C5B2-4FC0-BDB2-550B61DB7DFD}" type="pres">
      <dgm:prSet presAssocID="{0FABC453-0A5C-4CAE-813B-F0494A34E025}" presName="connTx" presStyleLbl="parChTrans1D2" presStyleIdx="4" presStyleCnt="7"/>
      <dgm:spPr/>
      <dgm:t>
        <a:bodyPr/>
        <a:lstStyle/>
        <a:p>
          <a:endParaRPr lang="en-US"/>
        </a:p>
      </dgm:t>
    </dgm:pt>
    <dgm:pt modelId="{0FAF3FA1-8E6C-455E-B189-A468B3F4D8BC}" type="pres">
      <dgm:prSet presAssocID="{C06C39C9-71B8-489C-9C45-3DD37A424E39}" presName="node" presStyleLbl="node1" presStyleIdx="4" presStyleCnt="7" custScaleX="315241" custScaleY="128732" custRadScaleRad="189105" custRadScaleInc="160337">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7"/>
      <dgm:spPr>
        <a:custGeom>
          <a:avLst/>
          <a:gdLst/>
          <a:ahLst/>
          <a:cxnLst/>
          <a:rect l="0" t="0" r="0" b="0"/>
          <a:pathLst>
            <a:path>
              <a:moveTo>
                <a:pt x="0" y="6594"/>
              </a:moveTo>
              <a:lnTo>
                <a:pt x="984098" y="6594"/>
              </a:lnTo>
            </a:path>
          </a:pathLst>
        </a:custGeom>
      </dgm:spPr>
      <dgm:t>
        <a:bodyPr/>
        <a:lstStyle/>
        <a:p>
          <a:endParaRPr lang="en-US"/>
        </a:p>
      </dgm:t>
    </dgm:pt>
    <dgm:pt modelId="{7ABA132F-4D21-4791-9A9A-84D258152BDE}" type="pres">
      <dgm:prSet presAssocID="{E6BC16BB-F93A-4745-8B71-07703A9D0891}" presName="connTx" presStyleLbl="parChTrans1D2" presStyleIdx="5" presStyleCnt="7"/>
      <dgm:spPr/>
      <dgm:t>
        <a:bodyPr/>
        <a:lstStyle/>
        <a:p>
          <a:endParaRPr lang="en-US"/>
        </a:p>
      </dgm:t>
    </dgm:pt>
    <dgm:pt modelId="{24E3E7DC-0BA5-48AF-955A-AA52F4F430B1}" type="pres">
      <dgm:prSet presAssocID="{0BE60BA9-2025-462F-AA1B-F34616BD63F6}" presName="node" presStyleLbl="node1" presStyleIdx="5" presStyleCnt="7" custScaleX="288823" custScaleY="125070" custRadScaleRad="339811" custRadScaleInc="51476">
        <dgm:presLayoutVars>
          <dgm:bulletEnabled val="1"/>
        </dgm:presLayoutVars>
      </dgm:prSet>
      <dgm:spPr>
        <a:prstGeom prst="ellipse">
          <a:avLst/>
        </a:prstGeom>
      </dgm:spPr>
      <dgm:t>
        <a:bodyPr/>
        <a:lstStyle/>
        <a:p>
          <a:endParaRPr lang="en-US"/>
        </a:p>
      </dgm:t>
    </dgm:pt>
    <dgm:pt modelId="{E3CB5DB8-2282-45FB-9E5F-A0F7C1267DC9}" type="pres">
      <dgm:prSet presAssocID="{E25ACED9-64BE-4FFA-8C93-F38031958FA9}" presName="Name9" presStyleLbl="parChTrans1D2" presStyleIdx="6" presStyleCnt="7"/>
      <dgm:spPr>
        <a:custGeom>
          <a:avLst/>
          <a:gdLst/>
          <a:ahLst/>
          <a:cxnLst/>
          <a:rect l="0" t="0" r="0" b="0"/>
          <a:pathLst>
            <a:path>
              <a:moveTo>
                <a:pt x="0" y="6594"/>
              </a:moveTo>
              <a:lnTo>
                <a:pt x="603152" y="6594"/>
              </a:lnTo>
            </a:path>
          </a:pathLst>
        </a:custGeom>
      </dgm:spPr>
      <dgm:t>
        <a:bodyPr/>
        <a:lstStyle/>
        <a:p>
          <a:endParaRPr lang="en-US"/>
        </a:p>
      </dgm:t>
    </dgm:pt>
    <dgm:pt modelId="{737E721F-8678-45AE-8B6B-48BBD5CBAE25}" type="pres">
      <dgm:prSet presAssocID="{E25ACED9-64BE-4FFA-8C93-F38031958FA9}" presName="connTx" presStyleLbl="parChTrans1D2" presStyleIdx="6" presStyleCnt="7"/>
      <dgm:spPr/>
      <dgm:t>
        <a:bodyPr/>
        <a:lstStyle/>
        <a:p>
          <a:endParaRPr lang="en-US"/>
        </a:p>
      </dgm:t>
    </dgm:pt>
    <dgm:pt modelId="{2EA04359-081B-43A3-861D-095126BB9402}" type="pres">
      <dgm:prSet presAssocID="{D034F6AC-E459-483A-BC18-22A33AE5BDAE}" presName="node" presStyleLbl="node1" presStyleIdx="6" presStyleCnt="7" custScaleX="294597" custScaleY="108744" custRadScaleRad="218890" custRadScaleInc="-58397">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68B2E4F5-646D-4A28-A7A2-483B48C324FB}" type="presOf" srcId="{E2FC291C-D685-4C64-9B85-7318D8496566}" destId="{AB25BD6D-C05F-49D2-AE4A-144CA3C0FC88}" srcOrd="1" destOrd="0" presId="urn:microsoft.com/office/officeart/2005/8/layout/radial1"/>
    <dgm:cxn modelId="{ED45EC2B-F58A-420F-B313-F3B161E65658}" type="presOf" srcId="{8350B580-CEC5-40B7-8EB5-A172D5915A6B}" destId="{7A96B68C-E15D-4E1B-A46C-7E5DE405A90C}" srcOrd="0" destOrd="0" presId="urn:microsoft.com/office/officeart/2005/8/layout/radial1"/>
    <dgm:cxn modelId="{30AB52D4-A332-4D75-8A02-54A1B6EF1D72}" type="presOf" srcId="{8D95C031-B53C-42FF-A312-F15FA4C9B96F}" destId="{9DCD972B-1513-465A-AD2B-AD5E9EEB7291}" srcOrd="0" destOrd="0" presId="urn:microsoft.com/office/officeart/2005/8/layout/radial1"/>
    <dgm:cxn modelId="{E148C65F-083F-433F-A1D8-8FCAF1BF9700}" type="presOf" srcId="{0BE60BA9-2025-462F-AA1B-F34616BD63F6}" destId="{24E3E7DC-0BA5-48AF-955A-AA52F4F430B1}" srcOrd="0" destOrd="0" presId="urn:microsoft.com/office/officeart/2005/8/layout/radial1"/>
    <dgm:cxn modelId="{84F6914E-6136-482B-B0D0-E915B73F72EB}" type="presOf" srcId="{4693CA52-075F-4BD8-ABEA-5368BE377DDA}" destId="{4AC11394-3179-4EC5-A97F-D1A1B521CE2F}" srcOrd="0" destOrd="0" presId="urn:microsoft.com/office/officeart/2005/8/layout/radial1"/>
    <dgm:cxn modelId="{DB613666-54CF-4D7E-982B-E399CC961051}" srcId="{DE541715-C648-404D-8124-F14F463E9202}" destId="{8D95C031-B53C-42FF-A312-F15FA4C9B96F}" srcOrd="1" destOrd="0" parTransId="{8350B580-CEC5-40B7-8EB5-A172D5915A6B}" sibTransId="{F52C44D8-90AA-45A0-B521-998C42893448}"/>
    <dgm:cxn modelId="{FA4FEC30-A55C-4498-9C20-EF4C5869FE61}" type="presOf" srcId="{0FABC453-0A5C-4CAE-813B-F0494A34E025}" destId="{EA4144E0-C5B2-4FC0-BDB2-550B61DB7DFD}" srcOrd="1" destOrd="0" presId="urn:microsoft.com/office/officeart/2005/8/layout/radial1"/>
    <dgm:cxn modelId="{A1C8553A-C9ED-44D4-BF8D-B9844332441C}" srcId="{DE541715-C648-404D-8124-F14F463E9202}" destId="{D034F6AC-E459-483A-BC18-22A33AE5BDAE}" srcOrd="6" destOrd="0" parTransId="{E25ACED9-64BE-4FFA-8C93-F38031958FA9}" sibTransId="{9E283739-CFFF-4188-B6AB-05FB0B17A987}"/>
    <dgm:cxn modelId="{B95A1880-F7E5-49EF-BEC6-0F9CAE92B3EA}" type="presOf" srcId="{E25ACED9-64BE-4FFA-8C93-F38031958FA9}" destId="{737E721F-8678-45AE-8B6B-48BBD5CBAE25}"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5334A35-A38F-4E75-AAF7-261A9DC46782}" type="presOf" srcId="{4631C2C5-1554-4289-90B0-F2D55D1595B6}" destId="{035B4C9A-0916-4FCC-A1CF-85DB358A289A}" srcOrd="0" destOrd="0" presId="urn:microsoft.com/office/officeart/2005/8/layout/radial1"/>
    <dgm:cxn modelId="{7AAD534C-2296-494E-8B34-CDBBD0EEB566}" type="presOf" srcId="{D034F6AC-E459-483A-BC18-22A33AE5BDAE}" destId="{2EA04359-081B-43A3-861D-095126BB9402}" srcOrd="0" destOrd="0" presId="urn:microsoft.com/office/officeart/2005/8/layout/radial1"/>
    <dgm:cxn modelId="{7634753E-AAF1-4199-BAA0-7B57FBA526E4}" type="presOf" srcId="{E6BC16BB-F93A-4745-8B71-07703A9D0891}" destId="{7ABA132F-4D21-4791-9A9A-84D258152BDE}" srcOrd="1"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CA0BE4D0-669B-453B-A577-09518714E9DF}" type="presOf" srcId="{7AF774ED-547E-4C04-8670-B0C1D08C5EE9}" destId="{326412CE-9911-4799-A459-B56F02EB4473}" srcOrd="1" destOrd="0" presId="urn:microsoft.com/office/officeart/2005/8/layout/radial1"/>
    <dgm:cxn modelId="{180EF119-48AF-446C-AD1F-A980E8A71BD5}" type="presOf" srcId="{C06C39C9-71B8-489C-9C45-3DD37A424E39}" destId="{0FAF3FA1-8E6C-455E-B189-A468B3F4D8BC}" srcOrd="0" destOrd="0" presId="urn:microsoft.com/office/officeart/2005/8/layout/radial1"/>
    <dgm:cxn modelId="{8B3B8897-C590-40A8-AC40-8DC250326860}" type="presOf" srcId="{7AF774ED-547E-4C04-8670-B0C1D08C5EE9}" destId="{5337AE63-3722-42CC-AF72-36670EB7C5E1}" srcOrd="0" destOrd="0" presId="urn:microsoft.com/office/officeart/2005/8/layout/radial1"/>
    <dgm:cxn modelId="{4CFB00CA-FFD0-4A91-8AF4-DE4BF24FF032}" type="presOf" srcId="{E6BC16BB-F93A-4745-8B71-07703A9D0891}" destId="{4C755D63-E57A-4826-AD35-228CF0B8702F}"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517276E6-4F2F-440F-A4A4-582A10EA0A6C}" type="presOf" srcId="{34E6C8D5-8D4F-4714-8A12-8F4599A8E760}" destId="{08F189A1-AB47-41D1-8058-7A6DA66B3F52}" srcOrd="0" destOrd="0" presId="urn:microsoft.com/office/officeart/2005/8/layout/radial1"/>
    <dgm:cxn modelId="{9450D0F7-6653-4D12-97C0-E90688216835}" type="presOf" srcId="{0FABC453-0A5C-4CAE-813B-F0494A34E025}" destId="{ADF94B70-0D7F-4A27-8DF9-17BCD27F4A7A}" srcOrd="0" destOrd="0" presId="urn:microsoft.com/office/officeart/2005/8/layout/radial1"/>
    <dgm:cxn modelId="{9DD7DB36-DE5B-45C1-B735-E87F8EA66753}" type="presOf" srcId="{E25ACED9-64BE-4FFA-8C93-F38031958FA9}" destId="{E3CB5DB8-2282-45FB-9E5F-A0F7C1267DC9}"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3597F8D4-E0D8-45F4-BB48-7FD22AAE79C7}" srcId="{DE541715-C648-404D-8124-F14F463E9202}" destId="{70EC699C-58C9-413E-92A6-88F3FF9B1DC9}" srcOrd="0" destOrd="0" parTransId="{E2FC291C-D685-4C64-9B85-7318D8496566}" sibTransId="{18BDC942-54AA-48C8-9849-2287B2AEC32C}"/>
    <dgm:cxn modelId="{28C8F3FD-791A-4566-A6B4-985503DEF02F}" type="presOf" srcId="{960C5593-E0FF-4AA5-AA0B-E8BDFFBC5E53}" destId="{CED9197C-8322-406B-917C-172FA36E7B76}" srcOrd="0" destOrd="0" presId="urn:microsoft.com/office/officeart/2005/8/layout/radial1"/>
    <dgm:cxn modelId="{91B13D48-5E9B-4727-84DE-0ED46F3409ED}" type="presOf" srcId="{DE541715-C648-404D-8124-F14F463E9202}" destId="{062AF917-2F47-4639-8A23-58AD52EC0F32}" srcOrd="0" destOrd="0" presId="urn:microsoft.com/office/officeart/2005/8/layout/radial1"/>
    <dgm:cxn modelId="{769A90C8-735A-4526-B777-3769FFC4C300}" type="presOf" srcId="{4693CA52-075F-4BD8-ABEA-5368BE377DDA}" destId="{62A1F741-432F-46BE-AE07-15F0B6D5EA89}" srcOrd="1" destOrd="0" presId="urn:microsoft.com/office/officeart/2005/8/layout/radial1"/>
    <dgm:cxn modelId="{82AAE6A0-6031-42EA-998B-884DDD1489A7}" type="presOf" srcId="{E2FC291C-D685-4C64-9B85-7318D8496566}" destId="{743B4520-8441-42A0-AFCB-45C212516FFF}" srcOrd="0" destOrd="0" presId="urn:microsoft.com/office/officeart/2005/8/layout/radial1"/>
    <dgm:cxn modelId="{6EABFFF4-CB46-4692-8C68-F1CD3FA91F12}" type="presOf" srcId="{8350B580-CEC5-40B7-8EB5-A172D5915A6B}" destId="{55614E8E-7D68-4791-82B7-FD152FE54268}" srcOrd="1" destOrd="0" presId="urn:microsoft.com/office/officeart/2005/8/layout/radial1"/>
    <dgm:cxn modelId="{5B7AF73E-EA26-4993-857F-DEE1AD85D6C3}" type="presOf" srcId="{70EC699C-58C9-413E-92A6-88F3FF9B1DC9}" destId="{825B4589-2D50-4097-AF2B-6D3BD9DDE0B2}"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CF391D9C-FE60-4BDE-9649-79A7FEBA00C0}" type="presParOf" srcId="{08F189A1-AB47-41D1-8058-7A6DA66B3F52}" destId="{062AF917-2F47-4639-8A23-58AD52EC0F32}" srcOrd="0" destOrd="0" presId="urn:microsoft.com/office/officeart/2005/8/layout/radial1"/>
    <dgm:cxn modelId="{1E38BA0A-3600-4230-BA2E-63C7A2FE3874}" type="presParOf" srcId="{08F189A1-AB47-41D1-8058-7A6DA66B3F52}" destId="{743B4520-8441-42A0-AFCB-45C212516FFF}" srcOrd="1" destOrd="0" presId="urn:microsoft.com/office/officeart/2005/8/layout/radial1"/>
    <dgm:cxn modelId="{FAFD6547-667A-46D5-9865-6D533D8AEFB1}" type="presParOf" srcId="{743B4520-8441-42A0-AFCB-45C212516FFF}" destId="{AB25BD6D-C05F-49D2-AE4A-144CA3C0FC88}" srcOrd="0" destOrd="0" presId="urn:microsoft.com/office/officeart/2005/8/layout/radial1"/>
    <dgm:cxn modelId="{D386E04C-EA59-46CF-8258-0707BAD87EAE}" type="presParOf" srcId="{08F189A1-AB47-41D1-8058-7A6DA66B3F52}" destId="{825B4589-2D50-4097-AF2B-6D3BD9DDE0B2}" srcOrd="2" destOrd="0" presId="urn:microsoft.com/office/officeart/2005/8/layout/radial1"/>
    <dgm:cxn modelId="{90FADA62-4195-4515-8DA5-F346570860ED}" type="presParOf" srcId="{08F189A1-AB47-41D1-8058-7A6DA66B3F52}" destId="{7A96B68C-E15D-4E1B-A46C-7E5DE405A90C}" srcOrd="3" destOrd="0" presId="urn:microsoft.com/office/officeart/2005/8/layout/radial1"/>
    <dgm:cxn modelId="{1A033B94-7CD3-42AA-AC9C-B74671ECBD25}" type="presParOf" srcId="{7A96B68C-E15D-4E1B-A46C-7E5DE405A90C}" destId="{55614E8E-7D68-4791-82B7-FD152FE54268}" srcOrd="0" destOrd="0" presId="urn:microsoft.com/office/officeart/2005/8/layout/radial1"/>
    <dgm:cxn modelId="{5F562673-4427-4AA9-BC0E-4452A348DB08}" type="presParOf" srcId="{08F189A1-AB47-41D1-8058-7A6DA66B3F52}" destId="{9DCD972B-1513-465A-AD2B-AD5E9EEB7291}" srcOrd="4" destOrd="0" presId="urn:microsoft.com/office/officeart/2005/8/layout/radial1"/>
    <dgm:cxn modelId="{3D4C826A-8730-4E03-A81D-2A838F1CF54C}" type="presParOf" srcId="{08F189A1-AB47-41D1-8058-7A6DA66B3F52}" destId="{5337AE63-3722-42CC-AF72-36670EB7C5E1}" srcOrd="5" destOrd="0" presId="urn:microsoft.com/office/officeart/2005/8/layout/radial1"/>
    <dgm:cxn modelId="{D1A7A98E-24F6-45FD-BB36-623A0B0FE0C7}" type="presParOf" srcId="{5337AE63-3722-42CC-AF72-36670EB7C5E1}" destId="{326412CE-9911-4799-A459-B56F02EB4473}" srcOrd="0" destOrd="0" presId="urn:microsoft.com/office/officeart/2005/8/layout/radial1"/>
    <dgm:cxn modelId="{ABADA091-3761-4CD9-A01D-7FD69D8262C3}" type="presParOf" srcId="{08F189A1-AB47-41D1-8058-7A6DA66B3F52}" destId="{CED9197C-8322-406B-917C-172FA36E7B76}" srcOrd="6" destOrd="0" presId="urn:microsoft.com/office/officeart/2005/8/layout/radial1"/>
    <dgm:cxn modelId="{FF851C83-42F0-4AA8-A703-53CA936EED35}" type="presParOf" srcId="{08F189A1-AB47-41D1-8058-7A6DA66B3F52}" destId="{4AC11394-3179-4EC5-A97F-D1A1B521CE2F}" srcOrd="7" destOrd="0" presId="urn:microsoft.com/office/officeart/2005/8/layout/radial1"/>
    <dgm:cxn modelId="{73E8FCD3-40B5-47A8-A602-11A69CACB157}" type="presParOf" srcId="{4AC11394-3179-4EC5-A97F-D1A1B521CE2F}" destId="{62A1F741-432F-46BE-AE07-15F0B6D5EA89}" srcOrd="0" destOrd="0" presId="urn:microsoft.com/office/officeart/2005/8/layout/radial1"/>
    <dgm:cxn modelId="{5099F538-72A5-4717-9822-DB92FABE36F9}" type="presParOf" srcId="{08F189A1-AB47-41D1-8058-7A6DA66B3F52}" destId="{035B4C9A-0916-4FCC-A1CF-85DB358A289A}" srcOrd="8" destOrd="0" presId="urn:microsoft.com/office/officeart/2005/8/layout/radial1"/>
    <dgm:cxn modelId="{A438888C-E136-4BE6-B6DF-50B19D7327EA}" type="presParOf" srcId="{08F189A1-AB47-41D1-8058-7A6DA66B3F52}" destId="{ADF94B70-0D7F-4A27-8DF9-17BCD27F4A7A}" srcOrd="9" destOrd="0" presId="urn:microsoft.com/office/officeart/2005/8/layout/radial1"/>
    <dgm:cxn modelId="{29BA3DBE-D4A6-4D5D-BCDB-A0638341A4F3}" type="presParOf" srcId="{ADF94B70-0D7F-4A27-8DF9-17BCD27F4A7A}" destId="{EA4144E0-C5B2-4FC0-BDB2-550B61DB7DFD}" srcOrd="0" destOrd="0" presId="urn:microsoft.com/office/officeart/2005/8/layout/radial1"/>
    <dgm:cxn modelId="{63BE6845-1AE4-424E-8634-5DE9C0AF7230}" type="presParOf" srcId="{08F189A1-AB47-41D1-8058-7A6DA66B3F52}" destId="{0FAF3FA1-8E6C-455E-B189-A468B3F4D8BC}" srcOrd="10" destOrd="0" presId="urn:microsoft.com/office/officeart/2005/8/layout/radial1"/>
    <dgm:cxn modelId="{7EE3753E-7775-4B5E-9D7C-E7D4BE33866D}" type="presParOf" srcId="{08F189A1-AB47-41D1-8058-7A6DA66B3F52}" destId="{4C755D63-E57A-4826-AD35-228CF0B8702F}" srcOrd="11" destOrd="0" presId="urn:microsoft.com/office/officeart/2005/8/layout/radial1"/>
    <dgm:cxn modelId="{5609524B-DABF-4BCE-9DF8-D285C9B9B670}" type="presParOf" srcId="{4C755D63-E57A-4826-AD35-228CF0B8702F}" destId="{7ABA132F-4D21-4791-9A9A-84D258152BDE}" srcOrd="0" destOrd="0" presId="urn:microsoft.com/office/officeart/2005/8/layout/radial1"/>
    <dgm:cxn modelId="{E7D9A601-3DCE-43C3-8A91-B59FC8F288A1}" type="presParOf" srcId="{08F189A1-AB47-41D1-8058-7A6DA66B3F52}" destId="{24E3E7DC-0BA5-48AF-955A-AA52F4F430B1}" srcOrd="12" destOrd="0" presId="urn:microsoft.com/office/officeart/2005/8/layout/radial1"/>
    <dgm:cxn modelId="{3A60D809-3E03-4D18-8EF3-E8AE0500DFCA}" type="presParOf" srcId="{08F189A1-AB47-41D1-8058-7A6DA66B3F52}" destId="{E3CB5DB8-2282-45FB-9E5F-A0F7C1267DC9}" srcOrd="13" destOrd="0" presId="urn:microsoft.com/office/officeart/2005/8/layout/radial1"/>
    <dgm:cxn modelId="{1DE3AC85-F3B9-4F50-BB8F-C603EA42968E}" type="presParOf" srcId="{E3CB5DB8-2282-45FB-9E5F-A0F7C1267DC9}" destId="{737E721F-8678-45AE-8B6B-48BBD5CBAE25}" srcOrd="0" destOrd="0" presId="urn:microsoft.com/office/officeart/2005/8/layout/radial1"/>
    <dgm:cxn modelId="{7BA9D3F0-8405-48C9-A306-EFE86B41A1A5}" type="presParOf" srcId="{08F189A1-AB47-41D1-8058-7A6DA66B3F52}" destId="{2EA04359-081B-43A3-861D-095126BB9402}" srcOrd="14" destOrd="0" presId="urn:microsoft.com/office/officeart/2005/8/layout/radial1"/>
  </dgm:cxnLst>
  <dgm:bg/>
  <dgm:whole/>
  <dgm:extLst>
    <a:ext uri="http://schemas.microsoft.com/office/drawing/2008/diagram">
      <dsp:dataModelExt xmlns:dsp="http://schemas.microsoft.com/office/drawing/2008/diagram" relId="rId137"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a:t>
          </a: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E76ABA4C-C849-4444-9C6D-61681C9D06CD}" type="presOf" srcId="{F6DE2413-45CD-453B-A258-F22A53BBB241}" destId="{DEF09AAB-E09E-4486-8914-E37D47E60824}" srcOrd="0" destOrd="0" presId="urn:microsoft.com/office/officeart/2005/8/layout/radial1"/>
    <dgm:cxn modelId="{AC4C9C5F-7EB5-471C-8EC0-7C38224304F2}" type="presOf" srcId="{D6278D4F-93AB-42D0-B837-2B99BC1EE808}" destId="{C620A703-6BE9-4C0F-B737-266F7434DAB4}" srcOrd="1" destOrd="0" presId="urn:microsoft.com/office/officeart/2005/8/layout/radial1"/>
    <dgm:cxn modelId="{C00EBD62-B13C-45D8-A215-2747C593AFAE}" type="presOf" srcId="{66F0DCEC-2B26-4038-AF1F-D0A98A0F7930}" destId="{7FE108B5-F558-4942-A9EC-465F3C2E5813}" srcOrd="1" destOrd="0" presId="urn:microsoft.com/office/officeart/2005/8/layout/radial1"/>
    <dgm:cxn modelId="{CE332109-B35B-4E1B-A9B4-71364C783CB6}" type="presOf" srcId="{D6278D4F-93AB-42D0-B837-2B99BC1EE808}" destId="{AC7E3352-64BC-4978-9AB6-2DD833483239}" srcOrd="0" destOrd="0" presId="urn:microsoft.com/office/officeart/2005/8/layout/radial1"/>
    <dgm:cxn modelId="{2B9A8E11-9EA6-4344-B1A2-0A6DE566AC63}" type="presOf" srcId="{576E161B-59E2-4177-8320-584EBC426979}" destId="{F74F2681-A109-4B75-8C08-B2B26769CF03}" srcOrd="0" destOrd="0" presId="urn:microsoft.com/office/officeart/2005/8/layout/radial1"/>
    <dgm:cxn modelId="{221607F7-2558-4CCA-9E15-6CCDFD04872D}" type="presOf" srcId="{21293A80-0F61-406E-BFCA-C5725BC3581F}" destId="{638FE4E5-2063-40D0-A44F-91C88716CF8C}"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31599FC0-2CD4-4CFD-AF75-B7F4F1123136}" type="presOf" srcId="{93D773F4-8F00-40EC-A451-C5A5ADE485BC}" destId="{6A5F15CA-77E2-4C48-8498-A7C7D3C4428C}" srcOrd="0" destOrd="0" presId="urn:microsoft.com/office/officeart/2005/8/layout/radial1"/>
    <dgm:cxn modelId="{602A20CA-B1A3-4569-B35A-1713EF04D9EE}" type="presOf" srcId="{3E4183EF-B989-4620-A02C-D54686D6628F}" destId="{4FC73BDC-CE2C-45F4-85CD-F387963DA006}" srcOrd="0" destOrd="0" presId="urn:microsoft.com/office/officeart/2005/8/layout/radial1"/>
    <dgm:cxn modelId="{1793B792-6BD2-4570-8C39-4835A1F8C64E}" type="presOf" srcId="{93D773F4-8F00-40EC-A451-C5A5ADE485BC}" destId="{F87499B4-AA7B-416D-9B28-377D046017EC}" srcOrd="1" destOrd="0" presId="urn:microsoft.com/office/officeart/2005/8/layout/radial1"/>
    <dgm:cxn modelId="{FACDF588-E15D-4D4E-AAEE-14C4C6C4949A}" type="presOf" srcId="{F6DE2413-45CD-453B-A258-F22A53BBB241}" destId="{B0514361-30D3-4311-BC21-0743B7F01673}" srcOrd="1" destOrd="0" presId="urn:microsoft.com/office/officeart/2005/8/layout/radial1"/>
    <dgm:cxn modelId="{F5B6E197-225D-4EA1-997A-05099766103A}" type="presOf" srcId="{2EF75B39-F486-43BE-8B27-294595126005}" destId="{6394B413-6D12-4C4F-9A8D-E0508CAE8617}" srcOrd="0" destOrd="0" presId="urn:microsoft.com/office/officeart/2005/8/layout/radial1"/>
    <dgm:cxn modelId="{58868746-DBB7-4BAA-BDEB-A5EB477B0124}" type="presOf" srcId="{66F0DCEC-2B26-4038-AF1F-D0A98A0F7930}" destId="{650854B0-9FE7-4FFD-96B2-18F6452E0859}" srcOrd="0" destOrd="0" presId="urn:microsoft.com/office/officeart/2005/8/layout/radial1"/>
    <dgm:cxn modelId="{7FF5BCAE-1F72-477D-BF68-09E1CF533A8B}" type="presOf" srcId="{CEEBDBB9-7602-49B1-BBEB-80C6D1238598}" destId="{05C48364-E63B-4056-87CF-0BE50D74190B}" srcOrd="0"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AF10AAF1-A8E3-41E1-8298-68F44722B079}" type="presOf" srcId="{52A69187-F965-4704-9C1A-29B2281F912F}" destId="{E01163DA-75CF-4C32-B81E-41BBCCC937B3}" srcOrd="1" destOrd="0" presId="urn:microsoft.com/office/officeart/2005/8/layout/radial1"/>
    <dgm:cxn modelId="{22207747-407D-4401-A9DE-F24316AB4F71}" type="presOf" srcId="{60F584FC-F7FF-4FD7-86E3-8773293C0460}" destId="{3C7CADF7-0742-432E-9EEF-EA9C347A7661}"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BA0B21AC-350F-4DDA-A443-58447D95EEF1}" srcId="{60F584FC-F7FF-4FD7-86E3-8773293C0460}" destId="{576E161B-59E2-4177-8320-584EBC426979}" srcOrd="3" destOrd="0" parTransId="{52A69187-F965-4704-9C1A-29B2281F912F}" sibTransId="{E9F92651-5262-450E-9258-F1F8976476A8}"/>
    <dgm:cxn modelId="{BF7CC52E-CE18-4DBB-8D2A-BD009802FA2E}" type="presOf" srcId="{52A69187-F965-4704-9C1A-29B2281F912F}" destId="{EAF47FDD-7D57-4FF6-9F6B-6E604D2CC0DE}" srcOrd="0" destOrd="0" presId="urn:microsoft.com/office/officeart/2005/8/layout/radial1"/>
    <dgm:cxn modelId="{6FC404C3-51D6-454B-B452-5686E079E5D5}" type="presOf" srcId="{4761FE57-664D-44AD-8EF1-E6096D64297F}" destId="{2ED32773-10C9-4671-A0BF-4C0DAB40AE25}" srcOrd="0" destOrd="0" presId="urn:microsoft.com/office/officeart/2005/8/layout/radial1"/>
    <dgm:cxn modelId="{557D312B-FDDC-4F17-8656-44B9DA646212}" type="presParOf" srcId="{4FC73BDC-CE2C-45F4-85CD-F387963DA006}" destId="{3C7CADF7-0742-432E-9EEF-EA9C347A7661}" srcOrd="0" destOrd="0" presId="urn:microsoft.com/office/officeart/2005/8/layout/radial1"/>
    <dgm:cxn modelId="{888F6B32-AFF2-4108-BFCF-E370B0E2786A}" type="presParOf" srcId="{4FC73BDC-CE2C-45F4-85CD-F387963DA006}" destId="{650854B0-9FE7-4FFD-96B2-18F6452E0859}" srcOrd="1" destOrd="0" presId="urn:microsoft.com/office/officeart/2005/8/layout/radial1"/>
    <dgm:cxn modelId="{3D493F84-9B65-45F1-BF12-4EF74F6553DE}" type="presParOf" srcId="{650854B0-9FE7-4FFD-96B2-18F6452E0859}" destId="{7FE108B5-F558-4942-A9EC-465F3C2E5813}" srcOrd="0" destOrd="0" presId="urn:microsoft.com/office/officeart/2005/8/layout/radial1"/>
    <dgm:cxn modelId="{E88C387E-3CB3-4EF8-A1C2-A9E9ED1EB63F}" type="presParOf" srcId="{4FC73BDC-CE2C-45F4-85CD-F387963DA006}" destId="{6394B413-6D12-4C4F-9A8D-E0508CAE8617}" srcOrd="2" destOrd="0" presId="urn:microsoft.com/office/officeart/2005/8/layout/radial1"/>
    <dgm:cxn modelId="{5120B297-8794-42A1-9FFB-D95C3CCD4B99}" type="presParOf" srcId="{4FC73BDC-CE2C-45F4-85CD-F387963DA006}" destId="{DEF09AAB-E09E-4486-8914-E37D47E60824}" srcOrd="3" destOrd="0" presId="urn:microsoft.com/office/officeart/2005/8/layout/radial1"/>
    <dgm:cxn modelId="{E28C9DC7-BC5B-44D9-8945-38E53442672D}" type="presParOf" srcId="{DEF09AAB-E09E-4486-8914-E37D47E60824}" destId="{B0514361-30D3-4311-BC21-0743B7F01673}" srcOrd="0" destOrd="0" presId="urn:microsoft.com/office/officeart/2005/8/layout/radial1"/>
    <dgm:cxn modelId="{2C07B5E6-06F1-4B82-9268-4F02D6990336}" type="presParOf" srcId="{4FC73BDC-CE2C-45F4-85CD-F387963DA006}" destId="{2ED32773-10C9-4671-A0BF-4C0DAB40AE25}" srcOrd="4" destOrd="0" presId="urn:microsoft.com/office/officeart/2005/8/layout/radial1"/>
    <dgm:cxn modelId="{4F6DE997-FF11-4DEC-B54E-4DED17435273}" type="presParOf" srcId="{4FC73BDC-CE2C-45F4-85CD-F387963DA006}" destId="{6A5F15CA-77E2-4C48-8498-A7C7D3C4428C}" srcOrd="5" destOrd="0" presId="urn:microsoft.com/office/officeart/2005/8/layout/radial1"/>
    <dgm:cxn modelId="{B4384BBD-4AD7-4CFD-99D7-B77F6F68A43F}" type="presParOf" srcId="{6A5F15CA-77E2-4C48-8498-A7C7D3C4428C}" destId="{F87499B4-AA7B-416D-9B28-377D046017EC}" srcOrd="0" destOrd="0" presId="urn:microsoft.com/office/officeart/2005/8/layout/radial1"/>
    <dgm:cxn modelId="{E0370D22-C9A9-4559-A14C-0920432F2410}" type="presParOf" srcId="{4FC73BDC-CE2C-45F4-85CD-F387963DA006}" destId="{638FE4E5-2063-40D0-A44F-91C88716CF8C}" srcOrd="6" destOrd="0" presId="urn:microsoft.com/office/officeart/2005/8/layout/radial1"/>
    <dgm:cxn modelId="{D29410F8-DD15-4CC0-9839-5BA6D183AD99}" type="presParOf" srcId="{4FC73BDC-CE2C-45F4-85CD-F387963DA006}" destId="{EAF47FDD-7D57-4FF6-9F6B-6E604D2CC0DE}" srcOrd="7" destOrd="0" presId="urn:microsoft.com/office/officeart/2005/8/layout/radial1"/>
    <dgm:cxn modelId="{4EB19656-28BE-4DD9-A298-E542E458B482}" type="presParOf" srcId="{EAF47FDD-7D57-4FF6-9F6B-6E604D2CC0DE}" destId="{E01163DA-75CF-4C32-B81E-41BBCCC937B3}" srcOrd="0" destOrd="0" presId="urn:microsoft.com/office/officeart/2005/8/layout/radial1"/>
    <dgm:cxn modelId="{CD160319-3B23-4C9A-9FC1-FF8E8150E7DC}" type="presParOf" srcId="{4FC73BDC-CE2C-45F4-85CD-F387963DA006}" destId="{F74F2681-A109-4B75-8C08-B2B26769CF03}" srcOrd="8" destOrd="0" presId="urn:microsoft.com/office/officeart/2005/8/layout/radial1"/>
    <dgm:cxn modelId="{CA3373AD-AD7C-4557-B11D-CA200E76B09A}" type="presParOf" srcId="{4FC73BDC-CE2C-45F4-85CD-F387963DA006}" destId="{AC7E3352-64BC-4978-9AB6-2DD833483239}" srcOrd="9" destOrd="0" presId="urn:microsoft.com/office/officeart/2005/8/layout/radial1"/>
    <dgm:cxn modelId="{19EAB909-259A-4D42-9114-89BD1479CCC7}" type="presParOf" srcId="{AC7E3352-64BC-4978-9AB6-2DD833483239}" destId="{C620A703-6BE9-4C0F-B737-266F7434DAB4}" srcOrd="0" destOrd="0" presId="urn:microsoft.com/office/officeart/2005/8/layout/radial1"/>
    <dgm:cxn modelId="{BABD9273-E295-4167-A79E-42D274FBA1C2}"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 </a:t>
          </a: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734CEBBB-E986-4982-A256-14549ABD2E55}" type="presOf" srcId="{52A69187-F965-4704-9C1A-29B2281F912F}" destId="{EAF47FDD-7D57-4FF6-9F6B-6E604D2CC0DE}"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66813AA9-4C7F-44B9-A6AE-F1CB35F7F4EC}" type="presOf" srcId="{93D773F4-8F00-40EC-A451-C5A5ADE485BC}" destId="{6A5F15CA-77E2-4C48-8498-A7C7D3C4428C}" srcOrd="0" destOrd="0" presId="urn:microsoft.com/office/officeart/2005/8/layout/radial1"/>
    <dgm:cxn modelId="{68CDEB99-AED9-4986-BD77-2FB69EE9D4DF}" type="presOf" srcId="{5BE92476-635C-4AE2-AD14-BF50BB0972EC}" destId="{48B32C5A-7076-4480-B5CB-D9EFDA8D8FDB}" srcOrd="1" destOrd="0" presId="urn:microsoft.com/office/officeart/2005/8/layout/radial1"/>
    <dgm:cxn modelId="{FF348CEC-3D57-4A5B-AC61-0E5275CD5B50}" type="presOf" srcId="{52A69187-F965-4704-9C1A-29B2281F912F}" destId="{E01163DA-75CF-4C32-B81E-41BBCCC937B3}" srcOrd="1" destOrd="0" presId="urn:microsoft.com/office/officeart/2005/8/layout/radial1"/>
    <dgm:cxn modelId="{14A4B539-D330-4F20-93D0-4446CFC23339}" type="presOf" srcId="{1F889DAC-CE52-4F0F-B94D-85598619AB82}" destId="{72463A3F-A956-4917-8722-9FD79FB3E09A}"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6C170040-F833-4286-9EBC-7654A097AB16}" type="presOf" srcId="{584F0456-7C88-4E15-A6D5-3DF2BDDC45F2}" destId="{423B6D89-2000-40C7-8429-BD38C7402395}" srcOrd="0" destOrd="0" presId="urn:microsoft.com/office/officeart/2005/8/layout/radial1"/>
    <dgm:cxn modelId="{98C0A674-39C9-4E82-8377-5F9974D25C47}" type="presOf" srcId="{60F584FC-F7FF-4FD7-86E3-8773293C0460}" destId="{3C7CADF7-0742-432E-9EEF-EA9C347A7661}" srcOrd="0" destOrd="0" presId="urn:microsoft.com/office/officeart/2005/8/layout/radial1"/>
    <dgm:cxn modelId="{6F44A646-E89F-4303-BCF9-30C6C746E370}" type="presOf" srcId="{5BE92476-635C-4AE2-AD14-BF50BB0972EC}" destId="{00112A8F-12E8-45AC-B551-DFB66BE45059}" srcOrd="0" destOrd="0" presId="urn:microsoft.com/office/officeart/2005/8/layout/radial1"/>
    <dgm:cxn modelId="{FF6C073A-9397-40EF-B753-7B03F592B149}" type="presOf" srcId="{576E161B-59E2-4177-8320-584EBC426979}" destId="{F74F2681-A109-4B75-8C08-B2B26769CF03}" srcOrd="0" destOrd="0" presId="urn:microsoft.com/office/officeart/2005/8/layout/radial1"/>
    <dgm:cxn modelId="{C0F68DDA-4598-4486-B096-FCC8BC734430}" type="presOf" srcId="{21293A80-0F61-406E-BFCA-C5725BC3581F}" destId="{638FE4E5-2063-40D0-A44F-91C88716CF8C}" srcOrd="0" destOrd="0" presId="urn:microsoft.com/office/officeart/2005/8/layout/radial1"/>
    <dgm:cxn modelId="{9977542B-5704-4188-A305-17E9AF9A05E2}" type="presOf" srcId="{3E4183EF-B989-4620-A02C-D54686D6628F}" destId="{4FC73BDC-CE2C-45F4-85CD-F387963DA006}" srcOrd="0" destOrd="0" presId="urn:microsoft.com/office/officeart/2005/8/layout/radial1"/>
    <dgm:cxn modelId="{C98B907B-7A75-4AB8-B115-DB85BA50CA00}" type="presOf" srcId="{66F0DCEC-2B26-4038-AF1F-D0A98A0F7930}" destId="{7FE108B5-F558-4942-A9EC-465F3C2E5813}"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0C847C2-99F4-44FF-9F67-0D28C9620C4A}" type="presOf" srcId="{93D773F4-8F00-40EC-A451-C5A5ADE485BC}" destId="{F87499B4-AA7B-416D-9B28-377D046017EC}" srcOrd="1" destOrd="0" presId="urn:microsoft.com/office/officeart/2005/8/layout/radial1"/>
    <dgm:cxn modelId="{56598144-8892-462C-9A71-002F8A4CA045}" type="presOf" srcId="{66F0DCEC-2B26-4038-AF1F-D0A98A0F7930}" destId="{650854B0-9FE7-4FFD-96B2-18F6452E0859}"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CF092F4B-4FC9-45A9-94E7-35FC02B316EA}" type="presOf" srcId="{2EF75B39-F486-43BE-8B27-294595126005}" destId="{6394B413-6D12-4C4F-9A8D-E0508CAE8617}" srcOrd="0" destOrd="0" presId="urn:microsoft.com/office/officeart/2005/8/layout/radial1"/>
    <dgm:cxn modelId="{71907B0B-D868-4D75-B1A3-4D664F137F1C}" type="presOf" srcId="{1F889DAC-CE52-4F0F-B94D-85598619AB82}" destId="{E5E0F749-58A7-4B5D-B40F-552D5369ABEE}" srcOrd="1" destOrd="0" presId="urn:microsoft.com/office/officeart/2005/8/layout/radial1"/>
    <dgm:cxn modelId="{743C5551-A861-45E2-846E-317BF1D5F568}" type="presOf" srcId="{CEEBDBB9-7602-49B1-BBEB-80C6D1238598}" destId="{05C48364-E63B-4056-87CF-0BE50D74190B}" srcOrd="0" destOrd="0" presId="urn:microsoft.com/office/officeart/2005/8/layout/radial1"/>
    <dgm:cxn modelId="{11B58494-2709-4756-827F-9E16710F937F}" type="presOf" srcId="{94B19768-91E8-4E7A-A857-C8521D65AF24}" destId="{A030EF9D-9337-4706-B87A-64BDE162520A}" srcOrd="0" destOrd="0" presId="urn:microsoft.com/office/officeart/2005/8/layout/radial1"/>
    <dgm:cxn modelId="{45602B51-6F07-4CA9-8474-79C7F90D1E5C}" type="presOf" srcId="{D6278D4F-93AB-42D0-B837-2B99BC1EE808}" destId="{C620A703-6BE9-4C0F-B737-266F7434DAB4}" srcOrd="1" destOrd="0" presId="urn:microsoft.com/office/officeart/2005/8/layout/radial1"/>
    <dgm:cxn modelId="{AD6C57B3-D585-459C-9C2B-52A3092CFB9D}" type="presOf" srcId="{D6278D4F-93AB-42D0-B837-2B99BC1EE808}" destId="{AC7E3352-64BC-4978-9AB6-2DD833483239}" srcOrd="0" destOrd="0" presId="urn:microsoft.com/office/officeart/2005/8/layout/radial1"/>
    <dgm:cxn modelId="{E7C61DE6-D431-43F0-B3B2-4E3BCC562A77}" type="presParOf" srcId="{4FC73BDC-CE2C-45F4-85CD-F387963DA006}" destId="{3C7CADF7-0742-432E-9EEF-EA9C347A7661}" srcOrd="0" destOrd="0" presId="urn:microsoft.com/office/officeart/2005/8/layout/radial1"/>
    <dgm:cxn modelId="{13537286-FD9B-4B32-B51C-8F8B3E123A5E}" type="presParOf" srcId="{4FC73BDC-CE2C-45F4-85CD-F387963DA006}" destId="{72463A3F-A956-4917-8722-9FD79FB3E09A}" srcOrd="1" destOrd="0" presId="urn:microsoft.com/office/officeart/2005/8/layout/radial1"/>
    <dgm:cxn modelId="{D4C86DF1-0987-401C-AB54-037C1A0BDE27}" type="presParOf" srcId="{72463A3F-A956-4917-8722-9FD79FB3E09A}" destId="{E5E0F749-58A7-4B5D-B40F-552D5369ABEE}" srcOrd="0" destOrd="0" presId="urn:microsoft.com/office/officeart/2005/8/layout/radial1"/>
    <dgm:cxn modelId="{8F8C3EFD-FFE0-4644-8570-5B15A6A85837}" type="presParOf" srcId="{4FC73BDC-CE2C-45F4-85CD-F387963DA006}" destId="{A030EF9D-9337-4706-B87A-64BDE162520A}" srcOrd="2" destOrd="0" presId="urn:microsoft.com/office/officeart/2005/8/layout/radial1"/>
    <dgm:cxn modelId="{01BBE4DF-0F7E-42A4-B6C3-48B73DA10A9D}" type="presParOf" srcId="{4FC73BDC-CE2C-45F4-85CD-F387963DA006}" destId="{00112A8F-12E8-45AC-B551-DFB66BE45059}" srcOrd="3" destOrd="0" presId="urn:microsoft.com/office/officeart/2005/8/layout/radial1"/>
    <dgm:cxn modelId="{D39D83B7-8A3F-4500-A2F4-9F3CE84CE3F0}" type="presParOf" srcId="{00112A8F-12E8-45AC-B551-DFB66BE45059}" destId="{48B32C5A-7076-4480-B5CB-D9EFDA8D8FDB}" srcOrd="0" destOrd="0" presId="urn:microsoft.com/office/officeart/2005/8/layout/radial1"/>
    <dgm:cxn modelId="{8A3DA231-A20A-4113-B255-A60FED3BB70A}" type="presParOf" srcId="{4FC73BDC-CE2C-45F4-85CD-F387963DA006}" destId="{423B6D89-2000-40C7-8429-BD38C7402395}" srcOrd="4" destOrd="0" presId="urn:microsoft.com/office/officeart/2005/8/layout/radial1"/>
    <dgm:cxn modelId="{5022F883-DCE9-4CCB-8D00-AE702996E4EF}" type="presParOf" srcId="{4FC73BDC-CE2C-45F4-85CD-F387963DA006}" destId="{650854B0-9FE7-4FFD-96B2-18F6452E0859}" srcOrd="5" destOrd="0" presId="urn:microsoft.com/office/officeart/2005/8/layout/radial1"/>
    <dgm:cxn modelId="{14988945-19C3-4981-A7A0-2420160AFAD2}" type="presParOf" srcId="{650854B0-9FE7-4FFD-96B2-18F6452E0859}" destId="{7FE108B5-F558-4942-A9EC-465F3C2E5813}" srcOrd="0" destOrd="0" presId="urn:microsoft.com/office/officeart/2005/8/layout/radial1"/>
    <dgm:cxn modelId="{F5F89EE1-7E8D-4A34-857D-4B45B02526E4}" type="presParOf" srcId="{4FC73BDC-CE2C-45F4-85CD-F387963DA006}" destId="{6394B413-6D12-4C4F-9A8D-E0508CAE8617}" srcOrd="6" destOrd="0" presId="urn:microsoft.com/office/officeart/2005/8/layout/radial1"/>
    <dgm:cxn modelId="{4E82D958-A2E9-459B-B9D2-BB02D44F7600}" type="presParOf" srcId="{4FC73BDC-CE2C-45F4-85CD-F387963DA006}" destId="{6A5F15CA-77E2-4C48-8498-A7C7D3C4428C}" srcOrd="7" destOrd="0" presId="urn:microsoft.com/office/officeart/2005/8/layout/radial1"/>
    <dgm:cxn modelId="{D0EF54B1-54D7-4D7E-872B-2DF30F24D042}" type="presParOf" srcId="{6A5F15CA-77E2-4C48-8498-A7C7D3C4428C}" destId="{F87499B4-AA7B-416D-9B28-377D046017EC}" srcOrd="0" destOrd="0" presId="urn:microsoft.com/office/officeart/2005/8/layout/radial1"/>
    <dgm:cxn modelId="{E2B453B4-BA14-4982-A7B1-B03E7DA4918C}" type="presParOf" srcId="{4FC73BDC-CE2C-45F4-85CD-F387963DA006}" destId="{638FE4E5-2063-40D0-A44F-91C88716CF8C}" srcOrd="8" destOrd="0" presId="urn:microsoft.com/office/officeart/2005/8/layout/radial1"/>
    <dgm:cxn modelId="{B3CB491D-C821-40BD-AE1C-392259642B1C}" type="presParOf" srcId="{4FC73BDC-CE2C-45F4-85CD-F387963DA006}" destId="{EAF47FDD-7D57-4FF6-9F6B-6E604D2CC0DE}" srcOrd="9" destOrd="0" presId="urn:microsoft.com/office/officeart/2005/8/layout/radial1"/>
    <dgm:cxn modelId="{C2E914EE-E40B-4F2D-94AB-F4508D753FA6}" type="presParOf" srcId="{EAF47FDD-7D57-4FF6-9F6B-6E604D2CC0DE}" destId="{E01163DA-75CF-4C32-B81E-41BBCCC937B3}" srcOrd="0" destOrd="0" presId="urn:microsoft.com/office/officeart/2005/8/layout/radial1"/>
    <dgm:cxn modelId="{FD3D9345-7F37-472D-B9FB-FB4A0F9C8D25}" type="presParOf" srcId="{4FC73BDC-CE2C-45F4-85CD-F387963DA006}" destId="{F74F2681-A109-4B75-8C08-B2B26769CF03}" srcOrd="10" destOrd="0" presId="urn:microsoft.com/office/officeart/2005/8/layout/radial1"/>
    <dgm:cxn modelId="{786478E9-B4FA-4A5A-962A-F0106AC060CB}" type="presParOf" srcId="{4FC73BDC-CE2C-45F4-85CD-F387963DA006}" destId="{AC7E3352-64BC-4978-9AB6-2DD833483239}" srcOrd="11" destOrd="0" presId="urn:microsoft.com/office/officeart/2005/8/layout/radial1"/>
    <dgm:cxn modelId="{12352302-79CD-4C29-BC04-9229E8540D83}" type="presParOf" srcId="{AC7E3352-64BC-4978-9AB6-2DD833483239}" destId="{C620A703-6BE9-4C0F-B737-266F7434DAB4}" srcOrd="0" destOrd="0" presId="urn:microsoft.com/office/officeart/2005/8/layout/radial1"/>
    <dgm:cxn modelId="{6B2DC48B-55D2-4250-BF66-3090901F7312}"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59945" y="971107"/>
          <a:ext cx="1212033" cy="35110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4108932" y="408027"/>
          <a:ext cx="1327351" cy="501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 </a:t>
          </a:r>
        </a:p>
      </dgm:t>
    </dgm:pt>
    <dgm:pt modelId="{1F889DAC-CE52-4F0F-B94D-85598619AB82}" type="parTrans" cxnId="{E719C6E7-4776-4FC2-9ECD-F0D273135B37}">
      <dgm:prSet/>
      <dgm:spPr>
        <a:xfrm rot="20738388">
          <a:off x="3305490" y="908443"/>
          <a:ext cx="932436"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701139" y="968467"/>
          <a:ext cx="986790" cy="419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5BE92476-635C-4AE2-AD14-BF50BB0972EC}" type="parTrans" cxnId="{44EB880B-7660-4CF0-97E5-4E577ACA821D}">
      <dgm:prSet/>
      <dgm:spPr>
        <a:xfrm rot="46295">
          <a:off x="3471269" y="1156765"/>
          <a:ext cx="1230173"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190812" y="1446489"/>
          <a:ext cx="1339039" cy="4236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863322">
          <a:off x="3303118" y="1387642"/>
          <a:ext cx="1053705"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177150" y="1653819"/>
          <a:ext cx="1066366" cy="4284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F6DE2413-45CD-453B-A258-F22A53BBB241}" type="parTrans" cxnId="{A5666C79-BF01-4153-AB0A-BB16CAE1F135}">
      <dgm:prSet/>
      <dgm:spPr>
        <a:xfrm rot="2430467">
          <a:off x="2993917" y="1487217"/>
          <a:ext cx="556173"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1806599" y="1701049"/>
          <a:ext cx="1320114" cy="4068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52A69187-F965-4704-9C1A-29B2281F912F}" type="parTrans" cxnId="{BA0B21AC-350F-4DDA-A443-58447D95EEF1}">
      <dgm:prSet/>
      <dgm:spPr>
        <a:xfrm rot="7067139">
          <a:off x="2456762" y="1505610"/>
          <a:ext cx="433450"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456976" y="1559451"/>
          <a:ext cx="1372669" cy="410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9616227">
          <a:off x="1554411" y="1438749"/>
          <a:ext cx="958896"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03345" y="1059403"/>
          <a:ext cx="1182628" cy="4609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dgm:t>
    </dgm:pt>
    <dgm:pt modelId="{19A5BFAE-AE0D-4BC3-821E-ACDBC402E1F3}" type="parTrans" cxnId="{7A10D267-5114-47D3-9B72-BCDF70FFAB8C}">
      <dgm:prSet/>
      <dgm:spPr>
        <a:xfrm rot="10573551">
          <a:off x="1276600" y="1212205"/>
          <a:ext cx="999554"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49719" y="131830"/>
          <a:ext cx="1109264" cy="4548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dgm:t>
    </dgm:pt>
    <dgm:pt modelId="{2C8D74EC-0F5E-4E72-B00E-305D37408E09}" type="parTrans" cxnId="{12DD7879-5DAB-453E-8626-CC034CCD481D}">
      <dgm:prSet/>
      <dgm:spPr>
        <a:xfrm rot="12993863">
          <a:off x="2002530" y="764387"/>
          <a:ext cx="713136"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143557" y="481627"/>
          <a:ext cx="1334198" cy="5165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&amp; Resources Mgmt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471665">
          <a:off x="1395337" y="946215"/>
          <a:ext cx="979549"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3110F8A9-A32E-44E7-AAE5-A9281BC11D7B}">
      <dgm:prSet phldrT="[Text]" custT="1"/>
      <dgm:spPr>
        <a:xfrm>
          <a:off x="3351129" y="121781"/>
          <a:ext cx="915035" cy="4455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EB3B77C7-59D8-43B0-9BA2-3E78FCCABCCC}" type="parTrans" cxnId="{DE06B915-0368-4A58-89A2-BA3A28BA167F}">
      <dgm:prSet/>
      <dgm:spPr>
        <a:xfrm rot="19176424">
          <a:off x="2979884" y="752874"/>
          <a:ext cx="682897"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223407A-018E-42E6-9FD5-98A2D63554C9}" type="sibTrans" cxnId="{DE06B915-0368-4A58-89A2-BA3A28BA167F}">
      <dgm:prSet/>
      <dgm:spPr/>
      <dgm:t>
        <a:bodyPr/>
        <a:lstStyle/>
        <a:p>
          <a:endParaRPr lang="en-US"/>
        </a:p>
      </dgm:t>
    </dgm:pt>
    <dgm:pt modelId="{9A4BDCAE-D9CA-400C-8B2D-68AB68A08E2A}">
      <dgm:prSet phldrT="[Text]" custT="1"/>
      <dgm:spPr>
        <a:xfrm>
          <a:off x="2423687" y="70806"/>
          <a:ext cx="898320" cy="4039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D8ADEECF-D7D2-4E14-BB97-4FB081DAC71A}" type="sibTrans" cxnId="{A0D7B160-B2D6-4FF0-B898-61A69264BA8C}">
      <dgm:prSet/>
      <dgm:spPr/>
      <dgm:t>
        <a:bodyPr/>
        <a:lstStyle/>
        <a:p>
          <a:endParaRPr lang="en-US"/>
        </a:p>
      </dgm:t>
    </dgm:pt>
    <dgm:pt modelId="{E9A3E352-4E95-497B-A994-2D750C2A9509}" type="parTrans" cxnId="{A0D7B160-B2D6-4FF0-B898-61A69264BA8C}">
      <dgm:prSet/>
      <dgm:spPr>
        <a:xfrm rot="16227085">
          <a:off x="2621098" y="716581"/>
          <a:ext cx="496403"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98958" custScaleY="86604" custLinFactNeighborX="-877" custLinFactNeighborY="230"/>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1"/>
      <dgm:spPr>
        <a:custGeom>
          <a:avLst/>
          <a:gdLst/>
          <a:ahLst/>
          <a:cxnLst/>
          <a:rect l="0" t="0" r="0" b="0"/>
          <a:pathLst>
            <a:path>
              <a:moveTo>
                <a:pt x="0" y="6333"/>
              </a:moveTo>
              <a:lnTo>
                <a:pt x="534915" y="6333"/>
              </a:lnTo>
            </a:path>
          </a:pathLst>
        </a:custGeom>
      </dgm:spPr>
      <dgm:t>
        <a:bodyPr/>
        <a:lstStyle/>
        <a:p>
          <a:endParaRPr lang="en-US"/>
        </a:p>
      </dgm:t>
    </dgm:pt>
    <dgm:pt modelId="{0C3245EA-B4A2-4A29-A94D-6F5271E8D13D}" type="pres">
      <dgm:prSet presAssocID="{E9A3E352-4E95-497B-A994-2D750C2A9509}" presName="connTx" presStyleLbl="parChTrans1D2" presStyleIdx="0" presStyleCnt="11"/>
      <dgm:spPr/>
      <dgm:t>
        <a:bodyPr/>
        <a:lstStyle/>
        <a:p>
          <a:endParaRPr lang="en-US"/>
        </a:p>
      </dgm:t>
    </dgm:pt>
    <dgm:pt modelId="{3EA08C86-6A87-4381-A9A9-F10D993E2D53}" type="pres">
      <dgm:prSet presAssocID="{9A4BDCAE-D9CA-400C-8B2D-68AB68A08E2A}" presName="node" presStyleLbl="node1" presStyleIdx="0" presStyleCnt="11" custScaleX="221578" custScaleY="99629" custRadScaleRad="92854" custRadScaleInc="-3842">
        <dgm:presLayoutVars>
          <dgm:bulletEnabled val="1"/>
        </dgm:presLayoutVars>
      </dgm:prSet>
      <dgm:spPr>
        <a:prstGeom prst="ellipse">
          <a:avLst/>
        </a:prstGeom>
      </dgm:spPr>
      <dgm:t>
        <a:bodyPr/>
        <a:lstStyle/>
        <a:p>
          <a:endParaRPr lang="en-US"/>
        </a:p>
      </dgm:t>
    </dgm:pt>
    <dgm:pt modelId="{3DC5E90A-495A-4818-A1D5-03E6AF30AA1D}" type="pres">
      <dgm:prSet presAssocID="{EB3B77C7-59D8-43B0-9BA2-3E78FCCABCCC}" presName="Name9" presStyleLbl="parChTrans1D2" presStyleIdx="1" presStyleCnt="11"/>
      <dgm:spPr>
        <a:custGeom>
          <a:avLst/>
          <a:gdLst/>
          <a:ahLst/>
          <a:cxnLst/>
          <a:rect l="0" t="0" r="0" b="0"/>
          <a:pathLst>
            <a:path>
              <a:moveTo>
                <a:pt x="0" y="6333"/>
              </a:moveTo>
              <a:lnTo>
                <a:pt x="753376" y="6333"/>
              </a:lnTo>
            </a:path>
          </a:pathLst>
        </a:custGeom>
      </dgm:spPr>
      <dgm:t>
        <a:bodyPr/>
        <a:lstStyle/>
        <a:p>
          <a:endParaRPr lang="en-US"/>
        </a:p>
      </dgm:t>
    </dgm:pt>
    <dgm:pt modelId="{3AE7EF91-FC65-4BEB-9007-70FE25DE1AD2}" type="pres">
      <dgm:prSet presAssocID="{EB3B77C7-59D8-43B0-9BA2-3E78FCCABCCC}" presName="connTx" presStyleLbl="parChTrans1D2" presStyleIdx="1" presStyleCnt="11"/>
      <dgm:spPr/>
      <dgm:t>
        <a:bodyPr/>
        <a:lstStyle/>
        <a:p>
          <a:endParaRPr lang="en-US"/>
        </a:p>
      </dgm:t>
    </dgm:pt>
    <dgm:pt modelId="{43DCCA43-33C0-4CEE-BAB5-C639F5D70563}" type="pres">
      <dgm:prSet presAssocID="{3110F8A9-A32E-44E7-AAE5-A9281BC11D7B}" presName="node" presStyleLbl="node1" presStyleIdx="1" presStyleCnt="11" custScaleX="225701" custScaleY="109908" custRadScaleRad="130525" custRadScaleInc="101045">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2" presStyleCnt="11"/>
      <dgm:spPr>
        <a:custGeom>
          <a:avLst/>
          <a:gdLst/>
          <a:ahLst/>
          <a:cxnLst/>
          <a:rect l="0" t="0" r="0" b="0"/>
          <a:pathLst>
            <a:path>
              <a:moveTo>
                <a:pt x="0" y="6333"/>
              </a:moveTo>
              <a:lnTo>
                <a:pt x="1024358" y="6333"/>
              </a:lnTo>
            </a:path>
          </a:pathLst>
        </a:custGeom>
      </dgm:spPr>
      <dgm:t>
        <a:bodyPr/>
        <a:lstStyle/>
        <a:p>
          <a:endParaRPr lang="en-US"/>
        </a:p>
      </dgm:t>
    </dgm:pt>
    <dgm:pt modelId="{E5E0F749-58A7-4B5D-B40F-552D5369ABEE}" type="pres">
      <dgm:prSet presAssocID="{1F889DAC-CE52-4F0F-B94D-85598619AB82}" presName="connTx" presStyleLbl="parChTrans1D2" presStyleIdx="2" presStyleCnt="11"/>
      <dgm:spPr/>
      <dgm:t>
        <a:bodyPr/>
        <a:lstStyle/>
        <a:p>
          <a:endParaRPr lang="en-US"/>
        </a:p>
      </dgm:t>
    </dgm:pt>
    <dgm:pt modelId="{A030EF9D-9337-4706-B87A-64BDE162520A}" type="pres">
      <dgm:prSet presAssocID="{94B19768-91E8-4E7A-A857-C8521D65AF24}" presName="node" presStyleLbl="node1" presStyleIdx="2" presStyleCnt="11" custScaleX="327402" custScaleY="123577" custRadScaleRad="208330" custRadScaleInc="6226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3" presStyleCnt="11"/>
      <dgm:spPr>
        <a:custGeom>
          <a:avLst/>
          <a:gdLst/>
          <a:ahLst/>
          <a:cxnLst/>
          <a:rect l="0" t="0" r="0" b="0"/>
          <a:pathLst>
            <a:path>
              <a:moveTo>
                <a:pt x="0" y="6333"/>
              </a:moveTo>
              <a:lnTo>
                <a:pt x="1274989" y="6333"/>
              </a:lnTo>
            </a:path>
          </a:pathLst>
        </a:custGeom>
      </dgm:spPr>
      <dgm:t>
        <a:bodyPr/>
        <a:lstStyle/>
        <a:p>
          <a:endParaRPr lang="en-US"/>
        </a:p>
      </dgm:t>
    </dgm:pt>
    <dgm:pt modelId="{48B32C5A-7076-4480-B5CB-D9EFDA8D8FDB}" type="pres">
      <dgm:prSet presAssocID="{5BE92476-635C-4AE2-AD14-BF50BB0972EC}" presName="connTx" presStyleLbl="parChTrans1D2" presStyleIdx="3" presStyleCnt="11"/>
      <dgm:spPr/>
      <dgm:t>
        <a:bodyPr/>
        <a:lstStyle/>
        <a:p>
          <a:endParaRPr lang="en-US"/>
        </a:p>
      </dgm:t>
    </dgm:pt>
    <dgm:pt modelId="{423B6D89-2000-40C7-8429-BD38C7402395}" type="pres">
      <dgm:prSet presAssocID="{584F0456-7C88-4E15-A6D5-3DF2BDDC45F2}" presName="node" presStyleLbl="node1" presStyleIdx="3" presStyleCnt="11" custScaleX="243400" custScaleY="103377" custRadScaleRad="246903" custRadScaleInc="-44599">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4" presStyleCnt="11"/>
      <dgm:spPr>
        <a:custGeom>
          <a:avLst/>
          <a:gdLst/>
          <a:ahLst/>
          <a:cxnLst/>
          <a:rect l="0" t="0" r="0" b="0"/>
          <a:pathLst>
            <a:path>
              <a:moveTo>
                <a:pt x="0" y="6333"/>
              </a:moveTo>
              <a:lnTo>
                <a:pt x="1148356" y="6333"/>
              </a:lnTo>
            </a:path>
          </a:pathLst>
        </a:custGeom>
      </dgm:spPr>
      <dgm:t>
        <a:bodyPr/>
        <a:lstStyle/>
        <a:p>
          <a:endParaRPr lang="en-US"/>
        </a:p>
      </dgm:t>
    </dgm:pt>
    <dgm:pt modelId="{7FE108B5-F558-4942-A9EC-465F3C2E5813}" type="pres">
      <dgm:prSet presAssocID="{66F0DCEC-2B26-4038-AF1F-D0A98A0F7930}" presName="connTx" presStyleLbl="parChTrans1D2" presStyleIdx="4" presStyleCnt="11"/>
      <dgm:spPr/>
      <dgm:t>
        <a:bodyPr/>
        <a:lstStyle/>
        <a:p>
          <a:endParaRPr lang="en-US"/>
        </a:p>
      </dgm:t>
    </dgm:pt>
    <dgm:pt modelId="{6394B413-6D12-4C4F-9A8D-E0508CAE8617}" type="pres">
      <dgm:prSet presAssocID="{2EF75B39-F486-43BE-8B27-294595126005}" presName="node" presStyleLbl="node1" presStyleIdx="4" presStyleCnt="11" custScaleX="330285" custScaleY="104495" custRadScaleRad="218257" custRadScaleInc="-160655">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5" presStyleCnt="11"/>
      <dgm:spPr>
        <a:custGeom>
          <a:avLst/>
          <a:gdLst/>
          <a:ahLst/>
          <a:cxnLst/>
          <a:rect l="0" t="0" r="0" b="0"/>
          <a:pathLst>
            <a:path>
              <a:moveTo>
                <a:pt x="0" y="6333"/>
              </a:moveTo>
              <a:lnTo>
                <a:pt x="598583" y="6333"/>
              </a:lnTo>
            </a:path>
          </a:pathLst>
        </a:custGeom>
      </dgm:spPr>
      <dgm:t>
        <a:bodyPr/>
        <a:lstStyle/>
        <a:p>
          <a:endParaRPr lang="en-US"/>
        </a:p>
      </dgm:t>
    </dgm:pt>
    <dgm:pt modelId="{B0514361-30D3-4311-BC21-0743B7F01673}" type="pres">
      <dgm:prSet presAssocID="{F6DE2413-45CD-453B-A258-F22A53BBB241}" presName="connTx" presStyleLbl="parChTrans1D2" presStyleIdx="5" presStyleCnt="11"/>
      <dgm:spPr/>
      <dgm:t>
        <a:bodyPr/>
        <a:lstStyle/>
        <a:p>
          <a:endParaRPr lang="en-US"/>
        </a:p>
      </dgm:t>
    </dgm:pt>
    <dgm:pt modelId="{2ED32773-10C9-4671-A0BF-4C0DAB40AE25}" type="pres">
      <dgm:prSet presAssocID="{4761FE57-664D-44AD-8EF1-E6096D64297F}" presName="node" presStyleLbl="node1" presStyleIdx="5" presStyleCnt="11" custScaleX="263028" custScaleY="105670" custRadScaleRad="117551" custRadScaleInc="-198017">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6" presStyleCnt="11"/>
      <dgm:spPr>
        <a:custGeom>
          <a:avLst/>
          <a:gdLst/>
          <a:ahLst/>
          <a:cxnLst/>
          <a:rect l="0" t="0" r="0" b="0"/>
          <a:pathLst>
            <a:path>
              <a:moveTo>
                <a:pt x="0" y="6333"/>
              </a:moveTo>
              <a:lnTo>
                <a:pt x="468721" y="6333"/>
              </a:lnTo>
            </a:path>
          </a:pathLst>
        </a:custGeom>
      </dgm:spPr>
      <dgm:t>
        <a:bodyPr/>
        <a:lstStyle/>
        <a:p>
          <a:endParaRPr lang="en-US"/>
        </a:p>
      </dgm:t>
    </dgm:pt>
    <dgm:pt modelId="{E01163DA-75CF-4C32-B81E-41BBCCC937B3}" type="pres">
      <dgm:prSet presAssocID="{52A69187-F965-4704-9C1A-29B2281F912F}" presName="connTx" presStyleLbl="parChTrans1D2" presStyleIdx="6" presStyleCnt="11"/>
      <dgm:spPr/>
      <dgm:t>
        <a:bodyPr/>
        <a:lstStyle/>
        <a:p>
          <a:endParaRPr lang="en-US"/>
        </a:p>
      </dgm:t>
    </dgm:pt>
    <dgm:pt modelId="{F74F2681-A109-4B75-8C08-B2B26769CF03}" type="pres">
      <dgm:prSet presAssocID="{576E161B-59E2-4177-8320-584EBC426979}" presName="node" presStyleLbl="node1" presStyleIdx="6" presStyleCnt="11" custScaleX="325617" custScaleY="100352" custRadScaleRad="92693" custRadScaleInc="74853">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7" presStyleCnt="11"/>
      <dgm:spPr>
        <a:custGeom>
          <a:avLst/>
          <a:gdLst/>
          <a:ahLst/>
          <a:cxnLst/>
          <a:rect l="0" t="0" r="0" b="0"/>
          <a:pathLst>
            <a:path>
              <a:moveTo>
                <a:pt x="0" y="6333"/>
              </a:moveTo>
              <a:lnTo>
                <a:pt x="1001679" y="6333"/>
              </a:lnTo>
            </a:path>
          </a:pathLst>
        </a:custGeom>
      </dgm:spPr>
      <dgm:t>
        <a:bodyPr/>
        <a:lstStyle/>
        <a:p>
          <a:endParaRPr lang="en-US"/>
        </a:p>
      </dgm:t>
    </dgm:pt>
    <dgm:pt modelId="{C620A703-6BE9-4C0F-B737-266F7434DAB4}" type="pres">
      <dgm:prSet presAssocID="{D6278D4F-93AB-42D0-B837-2B99BC1EE808}" presName="connTx" presStyleLbl="parChTrans1D2" presStyleIdx="7" presStyleCnt="11"/>
      <dgm:spPr/>
      <dgm:t>
        <a:bodyPr/>
        <a:lstStyle/>
        <a:p>
          <a:endParaRPr lang="en-US"/>
        </a:p>
      </dgm:t>
    </dgm:pt>
    <dgm:pt modelId="{05C48364-E63B-4056-87CF-0BE50D74190B}" type="pres">
      <dgm:prSet presAssocID="{CEEBDBB9-7602-49B1-BBEB-80C6D1238598}" presName="node" presStyleLbl="node1" presStyleIdx="7" presStyleCnt="11" custScaleX="338580" custScaleY="101136" custRadScaleRad="197209" custRadScaleInc="12971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8" presStyleCnt="11"/>
      <dgm:spPr>
        <a:custGeom>
          <a:avLst/>
          <a:gdLst/>
          <a:ahLst/>
          <a:cxnLst/>
          <a:rect l="0" t="0" r="0" b="0"/>
          <a:pathLst>
            <a:path>
              <a:moveTo>
                <a:pt x="0" y="6333"/>
              </a:moveTo>
              <a:lnTo>
                <a:pt x="1057724" y="6333"/>
              </a:lnTo>
            </a:path>
          </a:pathLst>
        </a:custGeom>
      </dgm:spPr>
      <dgm:t>
        <a:bodyPr/>
        <a:lstStyle/>
        <a:p>
          <a:endParaRPr lang="en-US"/>
        </a:p>
      </dgm:t>
    </dgm:pt>
    <dgm:pt modelId="{2261EECA-A4AA-4C81-9B4D-3893A28ED758}" type="pres">
      <dgm:prSet presAssocID="{19A5BFAE-AE0D-4BC3-821E-ACDBC402E1F3}" presName="connTx" presStyleLbl="parChTrans1D2" presStyleIdx="8" presStyleCnt="11"/>
      <dgm:spPr/>
      <dgm:t>
        <a:bodyPr/>
        <a:lstStyle/>
        <a:p>
          <a:endParaRPr lang="en-US"/>
        </a:p>
      </dgm:t>
    </dgm:pt>
    <dgm:pt modelId="{CFBB929F-8BEB-442D-8D00-28EE1C02C39C}" type="pres">
      <dgm:prSet presAssocID="{61905482-A221-41E9-B64F-E0DDCF7406CB}" presName="node" presStyleLbl="node1" presStyleIdx="8" presStyleCnt="11" custScaleX="291705" custScaleY="113706" custRadScaleRad="234120" custRadScaleInc="26422">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9" presStyleCnt="11"/>
      <dgm:spPr>
        <a:custGeom>
          <a:avLst/>
          <a:gdLst/>
          <a:ahLst/>
          <a:cxnLst/>
          <a:rect l="0" t="0" r="0" b="0"/>
          <a:pathLst>
            <a:path>
              <a:moveTo>
                <a:pt x="0" y="6333"/>
              </a:moveTo>
              <a:lnTo>
                <a:pt x="1060003" y="6333"/>
              </a:lnTo>
            </a:path>
          </a:pathLst>
        </a:custGeom>
      </dgm:spPr>
      <dgm:t>
        <a:bodyPr/>
        <a:lstStyle/>
        <a:p>
          <a:endParaRPr lang="en-US"/>
        </a:p>
      </dgm:t>
    </dgm:pt>
    <dgm:pt modelId="{0DC7814B-4209-4BC4-A177-2102084D3CE1}" type="pres">
      <dgm:prSet presAssocID="{B96F5D54-1A60-4750-86C5-C7C55223704E}" presName="connTx" presStyleLbl="parChTrans1D2" presStyleIdx="9" presStyleCnt="11"/>
      <dgm:spPr/>
      <dgm:t>
        <a:bodyPr/>
        <a:lstStyle/>
        <a:p>
          <a:endParaRPr lang="en-US"/>
        </a:p>
      </dgm:t>
    </dgm:pt>
    <dgm:pt modelId="{77FEFA40-E907-476F-8675-3DC698720930}" type="pres">
      <dgm:prSet presAssocID="{8EC353A6-4F6A-4502-96F3-6C0A4C1DAA96}" presName="node" presStyleLbl="node1" presStyleIdx="9" presStyleCnt="11" custScaleX="329091" custScaleY="127415" custRadScaleRad="225339" custRadScaleInc="-82820">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10" presStyleCnt="11"/>
      <dgm:spPr>
        <a:custGeom>
          <a:avLst/>
          <a:gdLst/>
          <a:ahLst/>
          <a:cxnLst/>
          <a:rect l="0" t="0" r="0" b="0"/>
          <a:pathLst>
            <a:path>
              <a:moveTo>
                <a:pt x="0" y="6333"/>
              </a:moveTo>
              <a:lnTo>
                <a:pt x="759383" y="6333"/>
              </a:lnTo>
            </a:path>
          </a:pathLst>
        </a:custGeom>
      </dgm:spPr>
      <dgm:t>
        <a:bodyPr/>
        <a:lstStyle/>
        <a:p>
          <a:endParaRPr lang="en-US"/>
        </a:p>
      </dgm:t>
    </dgm:pt>
    <dgm:pt modelId="{4E2AD2D6-918F-4857-8567-9FCA82A4E2B0}" type="pres">
      <dgm:prSet presAssocID="{2C8D74EC-0F5E-4E72-B00E-305D37408E09}" presName="connTx" presStyleLbl="parChTrans1D2" presStyleIdx="10" presStyleCnt="11"/>
      <dgm:spPr/>
      <dgm:t>
        <a:bodyPr/>
        <a:lstStyle/>
        <a:p>
          <a:endParaRPr lang="en-US"/>
        </a:p>
      </dgm:t>
    </dgm:pt>
    <dgm:pt modelId="{C8187693-0532-46C7-A6F3-C4A32348C87B}" type="pres">
      <dgm:prSet presAssocID="{39DF5EDE-47C5-44AA-84A0-610EE4D8EEAF}" presName="node" presStyleLbl="node1" presStyleIdx="10" presStyleCnt="11" custScaleX="273609" custScaleY="112197" custRadScaleRad="142268" custRadScaleInc="-130032">
        <dgm:presLayoutVars>
          <dgm:bulletEnabled val="1"/>
        </dgm:presLayoutVars>
      </dgm:prSet>
      <dgm:spPr>
        <a:prstGeom prst="ellipse">
          <a:avLst/>
        </a:prstGeom>
      </dgm:spPr>
      <dgm:t>
        <a:bodyPr/>
        <a:lstStyle/>
        <a:p>
          <a:endParaRPr lang="en-US"/>
        </a:p>
      </dgm:t>
    </dgm:pt>
  </dgm:ptLst>
  <dgm:cxnLst>
    <dgm:cxn modelId="{40939190-2B27-4EFB-8A09-5D472F9B1910}" type="presOf" srcId="{8EC353A6-4F6A-4502-96F3-6C0A4C1DAA96}" destId="{77FEFA40-E907-476F-8675-3DC698720930}" srcOrd="0" destOrd="0" presId="urn:microsoft.com/office/officeart/2005/8/layout/radial1"/>
    <dgm:cxn modelId="{DE06B915-0368-4A58-89A2-BA3A28BA167F}" srcId="{60F584FC-F7FF-4FD7-86E3-8773293C0460}" destId="{3110F8A9-A32E-44E7-AAE5-A9281BC11D7B}" srcOrd="1" destOrd="0" parTransId="{EB3B77C7-59D8-43B0-9BA2-3E78FCCABCCC}" sibTransId="{7223407A-018E-42E6-9FD5-98A2D63554C9}"/>
    <dgm:cxn modelId="{E719C6E7-4776-4FC2-9ECD-F0D273135B37}" srcId="{60F584FC-F7FF-4FD7-86E3-8773293C0460}" destId="{94B19768-91E8-4E7A-A857-C8521D65AF24}" srcOrd="2" destOrd="0" parTransId="{1F889DAC-CE52-4F0F-B94D-85598619AB82}" sibTransId="{174FD7F3-8467-46EB-ACD9-4B0EA7D3C4BA}"/>
    <dgm:cxn modelId="{665CD47C-1E25-4268-9158-84DEA83B444E}" type="presOf" srcId="{B96F5D54-1A60-4750-86C5-C7C55223704E}" destId="{C494819C-C98E-47AA-9AF0-D23BA2FEB24F}" srcOrd="0" destOrd="0" presId="urn:microsoft.com/office/officeart/2005/8/layout/radial1"/>
    <dgm:cxn modelId="{D4905AA6-7A6C-491D-AA2A-5C9ED75E6821}" type="presOf" srcId="{9A4BDCAE-D9CA-400C-8B2D-68AB68A08E2A}" destId="{3EA08C86-6A87-4381-A9A9-F10D993E2D53}" srcOrd="0" destOrd="0" presId="urn:microsoft.com/office/officeart/2005/8/layout/radial1"/>
    <dgm:cxn modelId="{4B9E2207-3946-4744-AFF6-F6BD639C946A}" type="presOf" srcId="{576E161B-59E2-4177-8320-584EBC426979}" destId="{F74F2681-A109-4B75-8C08-B2B26769CF03}" srcOrd="0" destOrd="0" presId="urn:microsoft.com/office/officeart/2005/8/layout/radial1"/>
    <dgm:cxn modelId="{87EC57B4-A2C0-45DE-807F-779E1344847C}" type="presOf" srcId="{B96F5D54-1A60-4750-86C5-C7C55223704E}" destId="{0DC7814B-4209-4BC4-A177-2102084D3CE1}" srcOrd="1" destOrd="0" presId="urn:microsoft.com/office/officeart/2005/8/layout/radial1"/>
    <dgm:cxn modelId="{12DD7879-5DAB-453E-8626-CC034CCD481D}" srcId="{60F584FC-F7FF-4FD7-86E3-8773293C0460}" destId="{39DF5EDE-47C5-44AA-84A0-610EE4D8EEAF}" srcOrd="10" destOrd="0" parTransId="{2C8D74EC-0F5E-4E72-B00E-305D37408E09}" sibTransId="{7B460AF1-5C69-4760-9FBE-539FD0921E3A}"/>
    <dgm:cxn modelId="{7E9C1D03-193C-41AE-90AA-A0D3E540B1ED}" type="presOf" srcId="{3E4183EF-B989-4620-A02C-D54686D6628F}" destId="{4FC73BDC-CE2C-45F4-85CD-F387963DA006}" srcOrd="0" destOrd="0" presId="urn:microsoft.com/office/officeart/2005/8/layout/radial1"/>
    <dgm:cxn modelId="{2AD790C5-4D54-41D3-8586-3F632FBBCDF2}" type="presOf" srcId="{EB3B77C7-59D8-43B0-9BA2-3E78FCCABCCC}" destId="{3DC5E90A-495A-4818-A1D5-03E6AF30AA1D}" srcOrd="0" destOrd="0" presId="urn:microsoft.com/office/officeart/2005/8/layout/radial1"/>
    <dgm:cxn modelId="{7BF0ADDE-CED9-4393-BAA3-5338FBCDD764}" type="presOf" srcId="{4761FE57-664D-44AD-8EF1-E6096D64297F}" destId="{2ED32773-10C9-4671-A0BF-4C0DAB40AE25}" srcOrd="0" destOrd="0" presId="urn:microsoft.com/office/officeart/2005/8/layout/radial1"/>
    <dgm:cxn modelId="{EDAF6A78-3CEA-408E-890B-F6007533A202}" type="presOf" srcId="{52A69187-F965-4704-9C1A-29B2281F912F}" destId="{E01163DA-75CF-4C32-B81E-41BBCCC937B3}" srcOrd="1" destOrd="0" presId="urn:microsoft.com/office/officeart/2005/8/layout/radial1"/>
    <dgm:cxn modelId="{6C6F1118-6F77-4ABE-A77E-B7178ACB7238}" type="presOf" srcId="{CEEBDBB9-7602-49B1-BBEB-80C6D1238598}" destId="{05C48364-E63B-4056-87CF-0BE50D74190B}" srcOrd="0" destOrd="0" presId="urn:microsoft.com/office/officeart/2005/8/layout/radial1"/>
    <dgm:cxn modelId="{26CFBA07-33A7-4B14-84C1-4384F281FBAC}" type="presOf" srcId="{5BE92476-635C-4AE2-AD14-BF50BB0972EC}" destId="{00112A8F-12E8-45AC-B551-DFB66BE45059}" srcOrd="0" destOrd="0" presId="urn:microsoft.com/office/officeart/2005/8/layout/radial1"/>
    <dgm:cxn modelId="{A8B523A4-CBE7-4CE4-841D-C47E4D31C9DF}" type="presOf" srcId="{2EF75B39-F486-43BE-8B27-294595126005}" destId="{6394B413-6D12-4C4F-9A8D-E0508CAE8617}" srcOrd="0" destOrd="0" presId="urn:microsoft.com/office/officeart/2005/8/layout/radial1"/>
    <dgm:cxn modelId="{7A10D267-5114-47D3-9B72-BCDF70FFAB8C}" srcId="{60F584FC-F7FF-4FD7-86E3-8773293C0460}" destId="{61905482-A221-41E9-B64F-E0DDCF7406CB}" srcOrd="8" destOrd="0" parTransId="{19A5BFAE-AE0D-4BC3-821E-ACDBC402E1F3}" sibTransId="{41B3C576-1467-4E2A-8F61-40CA47AE2A73}"/>
    <dgm:cxn modelId="{984CAC95-711B-4F6B-ACDA-D34D653F7DB9}" type="presOf" srcId="{3110F8A9-A32E-44E7-AAE5-A9281BC11D7B}" destId="{43DCCA43-33C0-4CEE-BAB5-C639F5D70563}" srcOrd="0" destOrd="0" presId="urn:microsoft.com/office/officeart/2005/8/layout/radial1"/>
    <dgm:cxn modelId="{081218CB-8B06-49B9-9857-C43FE1DD0D4B}" type="presOf" srcId="{E9A3E352-4E95-497B-A994-2D750C2A9509}" destId="{E887F142-3B93-49E1-A09D-1DCD207D21D1}" srcOrd="0" destOrd="0" presId="urn:microsoft.com/office/officeart/2005/8/layout/radial1"/>
    <dgm:cxn modelId="{6989F7B3-BDE8-48FA-B92E-5D60EDC2980C}" type="presOf" srcId="{D6278D4F-93AB-42D0-B837-2B99BC1EE808}" destId="{C620A703-6BE9-4C0F-B737-266F7434DAB4}" srcOrd="1" destOrd="0" presId="urn:microsoft.com/office/officeart/2005/8/layout/radial1"/>
    <dgm:cxn modelId="{BA0B21AC-350F-4DDA-A443-58447D95EEF1}" srcId="{60F584FC-F7FF-4FD7-86E3-8773293C0460}" destId="{576E161B-59E2-4177-8320-584EBC426979}" srcOrd="6" destOrd="0" parTransId="{52A69187-F965-4704-9C1A-29B2281F912F}" sibTransId="{E9F92651-5262-450E-9258-F1F8976476A8}"/>
    <dgm:cxn modelId="{2069FFE3-DF38-402F-8A4B-1773A9D38A31}" type="presOf" srcId="{61905482-A221-41E9-B64F-E0DDCF7406CB}" destId="{CFBB929F-8BEB-442D-8D00-28EE1C02C39C}" srcOrd="0" destOrd="0" presId="urn:microsoft.com/office/officeart/2005/8/layout/radial1"/>
    <dgm:cxn modelId="{646A10A1-8008-42A2-846C-90C3AA0B958B}" type="presOf" srcId="{D6278D4F-93AB-42D0-B837-2B99BC1EE808}" destId="{AC7E3352-64BC-4978-9AB6-2DD833483239}" srcOrd="0" destOrd="0" presId="urn:microsoft.com/office/officeart/2005/8/layout/radial1"/>
    <dgm:cxn modelId="{D95C8F90-209B-4FBE-AEA9-A302C7AF08F2}" type="presOf" srcId="{1F889DAC-CE52-4F0F-B94D-85598619AB82}" destId="{72463A3F-A956-4917-8722-9FD79FB3E09A}" srcOrd="0" destOrd="0" presId="urn:microsoft.com/office/officeart/2005/8/layout/radial1"/>
    <dgm:cxn modelId="{CADA0106-E271-412E-8AAA-E46CFFDDB3BE}" type="presOf" srcId="{66F0DCEC-2B26-4038-AF1F-D0A98A0F7930}" destId="{7FE108B5-F558-4942-A9EC-465F3C2E5813}" srcOrd="1" destOrd="0" presId="urn:microsoft.com/office/officeart/2005/8/layout/radial1"/>
    <dgm:cxn modelId="{3FA6727B-0D00-4BDC-BDB8-B885E1CA9417}" type="presOf" srcId="{19A5BFAE-AE0D-4BC3-821E-ACDBC402E1F3}" destId="{2261EECA-A4AA-4C81-9B4D-3893A28ED758}" srcOrd="1" destOrd="0" presId="urn:microsoft.com/office/officeart/2005/8/layout/radial1"/>
    <dgm:cxn modelId="{E9FA7BCE-A78B-475C-ABF0-2BD32B1DB985}" type="presOf" srcId="{E9A3E352-4E95-497B-A994-2D750C2A9509}" destId="{0C3245EA-B4A2-4A29-A94D-6F5271E8D13D}" srcOrd="1" destOrd="0" presId="urn:microsoft.com/office/officeart/2005/8/layout/radial1"/>
    <dgm:cxn modelId="{4ED9B492-B579-41D8-AA15-D6F966E50135}" type="presOf" srcId="{2C8D74EC-0F5E-4E72-B00E-305D37408E09}" destId="{EF98737B-1136-4CD3-A0AC-E4FF8E58DD83}" srcOrd="0" destOrd="0" presId="urn:microsoft.com/office/officeart/2005/8/layout/radial1"/>
    <dgm:cxn modelId="{4F8B60C5-BAA3-4DE8-A211-602B6B00ACB3}" type="presOf" srcId="{F6DE2413-45CD-453B-A258-F22A53BBB241}" destId="{DEF09AAB-E09E-4486-8914-E37D47E60824}"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59AB9D19-BC6E-465E-ADB6-4F6226F2404B}" type="presOf" srcId="{584F0456-7C88-4E15-A6D5-3DF2BDDC45F2}" destId="{423B6D89-2000-40C7-8429-BD38C7402395}" srcOrd="0" destOrd="0" presId="urn:microsoft.com/office/officeart/2005/8/layout/radial1"/>
    <dgm:cxn modelId="{94912CD5-2124-45E3-A36D-DAC845EA8E2C}" type="presOf" srcId="{5BE92476-635C-4AE2-AD14-BF50BB0972EC}" destId="{48B32C5A-7076-4480-B5CB-D9EFDA8D8FDB}" srcOrd="1" destOrd="0" presId="urn:microsoft.com/office/officeart/2005/8/layout/radial1"/>
    <dgm:cxn modelId="{0E7335E7-8B36-4446-B2DA-7A41CDD354B1}" type="presOf" srcId="{60F584FC-F7FF-4FD7-86E3-8773293C0460}" destId="{3C7CADF7-0742-432E-9EEF-EA9C347A7661}" srcOrd="0" destOrd="0" presId="urn:microsoft.com/office/officeart/2005/8/layout/radial1"/>
    <dgm:cxn modelId="{44EB880B-7660-4CF0-97E5-4E577ACA821D}" srcId="{60F584FC-F7FF-4FD7-86E3-8773293C0460}" destId="{584F0456-7C88-4E15-A6D5-3DF2BDDC45F2}" srcOrd="3"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5DAFA89F-4C50-49EC-868E-81320326A617}" srcId="{60F584FC-F7FF-4FD7-86E3-8773293C0460}" destId="{8EC353A6-4F6A-4502-96F3-6C0A4C1DAA96}" srcOrd="9" destOrd="0" parTransId="{B96F5D54-1A60-4750-86C5-C7C55223704E}" sibTransId="{1F43BDEE-CFCB-4DD6-B860-72E17A3E4431}"/>
    <dgm:cxn modelId="{6A60FA25-90C1-4DB8-A25D-1465FF324D57}" type="presOf" srcId="{2C8D74EC-0F5E-4E72-B00E-305D37408E09}" destId="{4E2AD2D6-918F-4857-8567-9FCA82A4E2B0}" srcOrd="1" destOrd="0" presId="urn:microsoft.com/office/officeart/2005/8/layout/radial1"/>
    <dgm:cxn modelId="{D0987D88-807B-4994-94E2-80A6C1D9AE52}" srcId="{60F584FC-F7FF-4FD7-86E3-8773293C0460}" destId="{2EF75B39-F486-43BE-8B27-294595126005}" srcOrd="4" destOrd="0" parTransId="{66F0DCEC-2B26-4038-AF1F-D0A98A0F7930}" sibTransId="{A29EC13D-3B1F-4904-8025-5B38BEEF3183}"/>
    <dgm:cxn modelId="{D4C1BC69-C745-405B-9248-C6E8862DD509}" srcId="{60F584FC-F7FF-4FD7-86E3-8773293C0460}" destId="{CEEBDBB9-7602-49B1-BBEB-80C6D1238598}" srcOrd="7" destOrd="0" parTransId="{D6278D4F-93AB-42D0-B837-2B99BC1EE808}" sibTransId="{3F7B98CE-94D6-4D7D-8314-AFA01590058A}"/>
    <dgm:cxn modelId="{FFF1DAF2-DECD-4CAD-9C81-978AC1A21EBE}" type="presOf" srcId="{66F0DCEC-2B26-4038-AF1F-D0A98A0F7930}" destId="{650854B0-9FE7-4FFD-96B2-18F6452E0859}" srcOrd="0" destOrd="0" presId="urn:microsoft.com/office/officeart/2005/8/layout/radial1"/>
    <dgm:cxn modelId="{E9ADAB59-2B08-4B23-9BF8-C5069148994F}" type="presOf" srcId="{1F889DAC-CE52-4F0F-B94D-85598619AB82}" destId="{E5E0F749-58A7-4B5D-B40F-552D5369ABEE}" srcOrd="1" destOrd="0" presId="urn:microsoft.com/office/officeart/2005/8/layout/radial1"/>
    <dgm:cxn modelId="{1A46576B-5B9A-4DE5-8BE1-086637C270F7}" type="presOf" srcId="{F6DE2413-45CD-453B-A258-F22A53BBB241}" destId="{B0514361-30D3-4311-BC21-0743B7F01673}" srcOrd="1" destOrd="0" presId="urn:microsoft.com/office/officeart/2005/8/layout/radial1"/>
    <dgm:cxn modelId="{E34DA6D0-853B-4A1B-AA64-9478FD35E955}" type="presOf" srcId="{EB3B77C7-59D8-43B0-9BA2-3E78FCCABCCC}" destId="{3AE7EF91-FC65-4BEB-9007-70FE25DE1AD2}" srcOrd="1" destOrd="0" presId="urn:microsoft.com/office/officeart/2005/8/layout/radial1"/>
    <dgm:cxn modelId="{2D7BA55A-D2F2-448B-960C-9BE827A0CCD8}" type="presOf" srcId="{39DF5EDE-47C5-44AA-84A0-610EE4D8EEAF}" destId="{C8187693-0532-46C7-A6F3-C4A32348C87B}" srcOrd="0" destOrd="0" presId="urn:microsoft.com/office/officeart/2005/8/layout/radial1"/>
    <dgm:cxn modelId="{1386F0BE-ADEC-41B7-83BF-1BD5D8B9BC3D}" type="presOf" srcId="{52A69187-F965-4704-9C1A-29B2281F912F}" destId="{EAF47FDD-7D57-4FF6-9F6B-6E604D2CC0DE}" srcOrd="0" destOrd="0" presId="urn:microsoft.com/office/officeart/2005/8/layout/radial1"/>
    <dgm:cxn modelId="{215AD99A-8018-4D8C-B6EE-C650415489B2}" type="presOf" srcId="{19A5BFAE-AE0D-4BC3-821E-ACDBC402E1F3}" destId="{06FD983D-3F71-4BCE-AD7F-6DD1041A2F23}" srcOrd="0" destOrd="0" presId="urn:microsoft.com/office/officeart/2005/8/layout/radial1"/>
    <dgm:cxn modelId="{A5666C79-BF01-4153-AB0A-BB16CAE1F135}" srcId="{60F584FC-F7FF-4FD7-86E3-8773293C0460}" destId="{4761FE57-664D-44AD-8EF1-E6096D64297F}" srcOrd="5" destOrd="0" parTransId="{F6DE2413-45CD-453B-A258-F22A53BBB241}" sibTransId="{288511AC-ECAB-47A8-A0B0-D7AAFEE02A39}"/>
    <dgm:cxn modelId="{0D9E2B69-29BA-42CB-A67B-39C31FEFFF65}" type="presOf" srcId="{94B19768-91E8-4E7A-A857-C8521D65AF24}" destId="{A030EF9D-9337-4706-B87A-64BDE162520A}" srcOrd="0" destOrd="0" presId="urn:microsoft.com/office/officeart/2005/8/layout/radial1"/>
    <dgm:cxn modelId="{C3983E82-E948-468F-A9A0-8D4C9F695A54}" type="presParOf" srcId="{4FC73BDC-CE2C-45F4-85CD-F387963DA006}" destId="{3C7CADF7-0742-432E-9EEF-EA9C347A7661}" srcOrd="0" destOrd="0" presId="urn:microsoft.com/office/officeart/2005/8/layout/radial1"/>
    <dgm:cxn modelId="{471F3D93-FBB8-4275-824F-D550B9E76A48}" type="presParOf" srcId="{4FC73BDC-CE2C-45F4-85CD-F387963DA006}" destId="{E887F142-3B93-49E1-A09D-1DCD207D21D1}" srcOrd="1" destOrd="0" presId="urn:microsoft.com/office/officeart/2005/8/layout/radial1"/>
    <dgm:cxn modelId="{99F63968-5CA5-4A1D-BF36-90748302540D}" type="presParOf" srcId="{E887F142-3B93-49E1-A09D-1DCD207D21D1}" destId="{0C3245EA-B4A2-4A29-A94D-6F5271E8D13D}" srcOrd="0" destOrd="0" presId="urn:microsoft.com/office/officeart/2005/8/layout/radial1"/>
    <dgm:cxn modelId="{CCF439BC-8E03-4583-8F67-A402A952F7F0}" type="presParOf" srcId="{4FC73BDC-CE2C-45F4-85CD-F387963DA006}" destId="{3EA08C86-6A87-4381-A9A9-F10D993E2D53}" srcOrd="2" destOrd="0" presId="urn:microsoft.com/office/officeart/2005/8/layout/radial1"/>
    <dgm:cxn modelId="{BBCD52C6-6C56-400E-A478-5850D7D57809}" type="presParOf" srcId="{4FC73BDC-CE2C-45F4-85CD-F387963DA006}" destId="{3DC5E90A-495A-4818-A1D5-03E6AF30AA1D}" srcOrd="3" destOrd="0" presId="urn:microsoft.com/office/officeart/2005/8/layout/radial1"/>
    <dgm:cxn modelId="{2E84EE88-6190-40B4-862F-021976EF039C}" type="presParOf" srcId="{3DC5E90A-495A-4818-A1D5-03E6AF30AA1D}" destId="{3AE7EF91-FC65-4BEB-9007-70FE25DE1AD2}" srcOrd="0" destOrd="0" presId="urn:microsoft.com/office/officeart/2005/8/layout/radial1"/>
    <dgm:cxn modelId="{69E8ED49-2D2E-458E-A147-FEB81B95C784}" type="presParOf" srcId="{4FC73BDC-CE2C-45F4-85CD-F387963DA006}" destId="{43DCCA43-33C0-4CEE-BAB5-C639F5D70563}" srcOrd="4" destOrd="0" presId="urn:microsoft.com/office/officeart/2005/8/layout/radial1"/>
    <dgm:cxn modelId="{7366B08C-B79A-42D4-9564-1406998011D2}" type="presParOf" srcId="{4FC73BDC-CE2C-45F4-85CD-F387963DA006}" destId="{72463A3F-A956-4917-8722-9FD79FB3E09A}" srcOrd="5" destOrd="0" presId="urn:microsoft.com/office/officeart/2005/8/layout/radial1"/>
    <dgm:cxn modelId="{48C60BF4-FA68-4DF6-B9C0-358C884B13E0}" type="presParOf" srcId="{72463A3F-A956-4917-8722-9FD79FB3E09A}" destId="{E5E0F749-58A7-4B5D-B40F-552D5369ABEE}" srcOrd="0" destOrd="0" presId="urn:microsoft.com/office/officeart/2005/8/layout/radial1"/>
    <dgm:cxn modelId="{6C8E003D-CF7B-4999-B96D-0A176E941179}" type="presParOf" srcId="{4FC73BDC-CE2C-45F4-85CD-F387963DA006}" destId="{A030EF9D-9337-4706-B87A-64BDE162520A}" srcOrd="6" destOrd="0" presId="urn:microsoft.com/office/officeart/2005/8/layout/radial1"/>
    <dgm:cxn modelId="{3E00262D-A88A-44A6-904B-934D3E22D501}" type="presParOf" srcId="{4FC73BDC-CE2C-45F4-85CD-F387963DA006}" destId="{00112A8F-12E8-45AC-B551-DFB66BE45059}" srcOrd="7" destOrd="0" presId="urn:microsoft.com/office/officeart/2005/8/layout/radial1"/>
    <dgm:cxn modelId="{61CCE0EE-D588-4F7B-90EE-6054A3A718FC}" type="presParOf" srcId="{00112A8F-12E8-45AC-B551-DFB66BE45059}" destId="{48B32C5A-7076-4480-B5CB-D9EFDA8D8FDB}" srcOrd="0" destOrd="0" presId="urn:microsoft.com/office/officeart/2005/8/layout/radial1"/>
    <dgm:cxn modelId="{33BCF6A3-ED72-48E5-AD15-F12B3BE54EF0}" type="presParOf" srcId="{4FC73BDC-CE2C-45F4-85CD-F387963DA006}" destId="{423B6D89-2000-40C7-8429-BD38C7402395}" srcOrd="8" destOrd="0" presId="urn:microsoft.com/office/officeart/2005/8/layout/radial1"/>
    <dgm:cxn modelId="{7FBE8D2E-3FDD-4312-9CC0-DF9A3BFCAC63}" type="presParOf" srcId="{4FC73BDC-CE2C-45F4-85CD-F387963DA006}" destId="{650854B0-9FE7-4FFD-96B2-18F6452E0859}" srcOrd="9" destOrd="0" presId="urn:microsoft.com/office/officeart/2005/8/layout/radial1"/>
    <dgm:cxn modelId="{E399BEE6-D9FF-47FF-A8A1-ECD5BF36C183}" type="presParOf" srcId="{650854B0-9FE7-4FFD-96B2-18F6452E0859}" destId="{7FE108B5-F558-4942-A9EC-465F3C2E5813}" srcOrd="0" destOrd="0" presId="urn:microsoft.com/office/officeart/2005/8/layout/radial1"/>
    <dgm:cxn modelId="{3191D8CB-6C93-43E1-9DA3-3910629BF630}" type="presParOf" srcId="{4FC73BDC-CE2C-45F4-85CD-F387963DA006}" destId="{6394B413-6D12-4C4F-9A8D-E0508CAE8617}" srcOrd="10" destOrd="0" presId="urn:microsoft.com/office/officeart/2005/8/layout/radial1"/>
    <dgm:cxn modelId="{51B4FCA5-E90C-4D68-8816-8E904933627A}" type="presParOf" srcId="{4FC73BDC-CE2C-45F4-85CD-F387963DA006}" destId="{DEF09AAB-E09E-4486-8914-E37D47E60824}" srcOrd="11" destOrd="0" presId="urn:microsoft.com/office/officeart/2005/8/layout/radial1"/>
    <dgm:cxn modelId="{0123F04D-F43A-4BDD-8346-B9BCFF6EB6DA}" type="presParOf" srcId="{DEF09AAB-E09E-4486-8914-E37D47E60824}" destId="{B0514361-30D3-4311-BC21-0743B7F01673}" srcOrd="0" destOrd="0" presId="urn:microsoft.com/office/officeart/2005/8/layout/radial1"/>
    <dgm:cxn modelId="{7D4C309B-2D87-4021-ACC4-98B579358FD0}" type="presParOf" srcId="{4FC73BDC-CE2C-45F4-85CD-F387963DA006}" destId="{2ED32773-10C9-4671-A0BF-4C0DAB40AE25}" srcOrd="12" destOrd="0" presId="urn:microsoft.com/office/officeart/2005/8/layout/radial1"/>
    <dgm:cxn modelId="{957B6200-CB20-430E-9792-53DA1564155A}" type="presParOf" srcId="{4FC73BDC-CE2C-45F4-85CD-F387963DA006}" destId="{EAF47FDD-7D57-4FF6-9F6B-6E604D2CC0DE}" srcOrd="13" destOrd="0" presId="urn:microsoft.com/office/officeart/2005/8/layout/radial1"/>
    <dgm:cxn modelId="{ED22C237-D9A9-430F-9D26-ABD392578EF3}" type="presParOf" srcId="{EAF47FDD-7D57-4FF6-9F6B-6E604D2CC0DE}" destId="{E01163DA-75CF-4C32-B81E-41BBCCC937B3}" srcOrd="0" destOrd="0" presId="urn:microsoft.com/office/officeart/2005/8/layout/radial1"/>
    <dgm:cxn modelId="{FF7858FE-6D56-40F8-B4C5-714C797298C9}" type="presParOf" srcId="{4FC73BDC-CE2C-45F4-85CD-F387963DA006}" destId="{F74F2681-A109-4B75-8C08-B2B26769CF03}" srcOrd="14" destOrd="0" presId="urn:microsoft.com/office/officeart/2005/8/layout/radial1"/>
    <dgm:cxn modelId="{9D5F539F-238B-44D7-AE3A-142B6F214B3F}" type="presParOf" srcId="{4FC73BDC-CE2C-45F4-85CD-F387963DA006}" destId="{AC7E3352-64BC-4978-9AB6-2DD833483239}" srcOrd="15" destOrd="0" presId="urn:microsoft.com/office/officeart/2005/8/layout/radial1"/>
    <dgm:cxn modelId="{78651886-2CBB-41A3-BE44-7AB8F85902EC}" type="presParOf" srcId="{AC7E3352-64BC-4978-9AB6-2DD833483239}" destId="{C620A703-6BE9-4C0F-B737-266F7434DAB4}" srcOrd="0" destOrd="0" presId="urn:microsoft.com/office/officeart/2005/8/layout/radial1"/>
    <dgm:cxn modelId="{7EA9533A-73AF-4869-81C2-DC5492056C8F}" type="presParOf" srcId="{4FC73BDC-CE2C-45F4-85CD-F387963DA006}" destId="{05C48364-E63B-4056-87CF-0BE50D74190B}" srcOrd="16" destOrd="0" presId="urn:microsoft.com/office/officeart/2005/8/layout/radial1"/>
    <dgm:cxn modelId="{ACD40E60-8612-4F23-9732-A193AC20179B}" type="presParOf" srcId="{4FC73BDC-CE2C-45F4-85CD-F387963DA006}" destId="{06FD983D-3F71-4BCE-AD7F-6DD1041A2F23}" srcOrd="17" destOrd="0" presId="urn:microsoft.com/office/officeart/2005/8/layout/radial1"/>
    <dgm:cxn modelId="{9DB93436-0353-46F9-AB5B-338EBDCB03D0}" type="presParOf" srcId="{06FD983D-3F71-4BCE-AD7F-6DD1041A2F23}" destId="{2261EECA-A4AA-4C81-9B4D-3893A28ED758}" srcOrd="0" destOrd="0" presId="urn:microsoft.com/office/officeart/2005/8/layout/radial1"/>
    <dgm:cxn modelId="{28F2B78C-F849-4668-BB63-0B058881F0DF}" type="presParOf" srcId="{4FC73BDC-CE2C-45F4-85CD-F387963DA006}" destId="{CFBB929F-8BEB-442D-8D00-28EE1C02C39C}" srcOrd="18" destOrd="0" presId="urn:microsoft.com/office/officeart/2005/8/layout/radial1"/>
    <dgm:cxn modelId="{A295C846-B423-4472-992C-DE87533F35B7}" type="presParOf" srcId="{4FC73BDC-CE2C-45F4-85CD-F387963DA006}" destId="{C494819C-C98E-47AA-9AF0-D23BA2FEB24F}" srcOrd="19" destOrd="0" presId="urn:microsoft.com/office/officeart/2005/8/layout/radial1"/>
    <dgm:cxn modelId="{A4B283F5-2DD1-4EE1-B81F-3385E4DA9D1B}" type="presParOf" srcId="{C494819C-C98E-47AA-9AF0-D23BA2FEB24F}" destId="{0DC7814B-4209-4BC4-A177-2102084D3CE1}" srcOrd="0" destOrd="0" presId="urn:microsoft.com/office/officeart/2005/8/layout/radial1"/>
    <dgm:cxn modelId="{E58E9224-737B-42CF-99CB-F0B39B70357B}" type="presParOf" srcId="{4FC73BDC-CE2C-45F4-85CD-F387963DA006}" destId="{77FEFA40-E907-476F-8675-3DC698720930}" srcOrd="20" destOrd="0" presId="urn:microsoft.com/office/officeart/2005/8/layout/radial1"/>
    <dgm:cxn modelId="{F28BAD54-521F-4192-94F1-9D41F7D16A10}" type="presParOf" srcId="{4FC73BDC-CE2C-45F4-85CD-F387963DA006}" destId="{EF98737B-1136-4CD3-A0AC-E4FF8E58DD83}" srcOrd="21" destOrd="0" presId="urn:microsoft.com/office/officeart/2005/8/layout/radial1"/>
    <dgm:cxn modelId="{D0172CB0-EAEE-417D-932B-5361ABFC2694}" type="presParOf" srcId="{EF98737B-1136-4CD3-A0AC-E4FF8E58DD83}" destId="{4E2AD2D6-918F-4857-8567-9FCA82A4E2B0}" srcOrd="0" destOrd="0" presId="urn:microsoft.com/office/officeart/2005/8/layout/radial1"/>
    <dgm:cxn modelId="{A0024898-2D20-43A1-961C-F2C585A2D4CC}" type="presParOf" srcId="{4FC73BDC-CE2C-45F4-85CD-F387963DA006}" destId="{C8187693-0532-46C7-A6F3-C4A32348C87B}" srcOrd="22" destOrd="0" presId="urn:microsoft.com/office/officeart/2005/8/layout/radial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15756">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44886F6F-F035-4AAC-A191-8E0FAE3156B5}" type="presOf" srcId="{0FABC453-0A5C-4CAE-813B-F0494A34E025}" destId="{EA4144E0-C5B2-4FC0-BDB2-550B61DB7DFD}" srcOrd="1" destOrd="0" presId="urn:microsoft.com/office/officeart/2005/8/layout/radial1"/>
    <dgm:cxn modelId="{D6BA23A6-23DB-4643-8097-1FA147FE29A2}" type="presOf" srcId="{F87686C8-F658-4DC2-BC5F-AB0B4E40ED1C}" destId="{2BDBEDDB-6DE8-44DC-8FC2-1ED793273BD1}" srcOrd="0" destOrd="0" presId="urn:microsoft.com/office/officeart/2005/8/layout/radial1"/>
    <dgm:cxn modelId="{8F0BDF3F-FFAB-4846-9C61-223F389FF2E1}" type="presOf" srcId="{880B408D-A44E-4E41-A0D3-775A9D2AA162}" destId="{8C16842D-5717-4E53-9353-18DF877708C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AFEA8542-2500-4D00-B2F1-3B6B93AA3E37}" srcId="{DE541715-C648-404D-8124-F14F463E9202}" destId="{11C12EEB-5340-467D-991C-E6C3B5DBDAEA}" srcOrd="7" destOrd="0" parTransId="{24258538-4C68-461F-9E82-62C8DF009C0A}" sibTransId="{79B0886E-99F7-4F88-AD18-3A305D812CB8}"/>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ACE6A6BA-C690-465E-914B-BA59C012D729}" type="presOf" srcId="{45A6C23B-D452-4078-BA3A-466D0894B9EB}" destId="{64248C57-3CE0-4657-BC67-6279BA0257B1}" srcOrd="0" destOrd="0" presId="urn:microsoft.com/office/officeart/2005/8/layout/radial1"/>
    <dgm:cxn modelId="{32B1B98F-7BA5-4280-835F-18B10CDB9863}" type="presOf" srcId="{8D28B5B3-293B-4D04-9ABB-EE16A5C97D16}" destId="{F32845D8-3F89-45CE-82D0-5F6D6B81E25D}" srcOrd="0" destOrd="0" presId="urn:microsoft.com/office/officeart/2005/8/layout/radial1"/>
    <dgm:cxn modelId="{0266A1D0-CEC9-45F3-8B31-A21772E8AA19}" srcId="{DE541715-C648-404D-8124-F14F463E9202}" destId="{5C260341-F1C3-4458-A657-957289015FC3}" srcOrd="4" destOrd="0" parTransId="{45A6C23B-D452-4078-BA3A-466D0894B9EB}" sibTransId="{89B7C331-6FB9-4771-84B2-9F75AB1415C9}"/>
    <dgm:cxn modelId="{BB37ED7F-EF08-418C-B9FE-E8F5CBB95F89}" type="presOf" srcId="{5C260341-F1C3-4458-A657-957289015FC3}" destId="{976BA53C-17D4-4F7C-9078-1272C469C9E5}" srcOrd="0" destOrd="0" presId="urn:microsoft.com/office/officeart/2005/8/layout/radial1"/>
    <dgm:cxn modelId="{853D10B2-2A26-4AC9-B01A-8F6F7EEA4A8E}" type="presOf" srcId="{7AF774ED-547E-4C04-8670-B0C1D08C5EE9}" destId="{5337AE63-3722-42CC-AF72-36670EB7C5E1}" srcOrd="0"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C24E6499-695B-438C-A80F-43BC312EF117}" type="presOf" srcId="{4693CA52-075F-4BD8-ABEA-5368BE377DDA}" destId="{4AC11394-3179-4EC5-A97F-D1A1B521CE2F}" srcOrd="0" destOrd="0" presId="urn:microsoft.com/office/officeart/2005/8/layout/radial1"/>
    <dgm:cxn modelId="{FAA39817-EF8C-450A-B2D1-27709A701FEC}" type="presOf" srcId="{24258538-4C68-461F-9E82-62C8DF009C0A}" destId="{7DF391B8-9498-4F55-ACE3-A6D0DB9A80F6}" srcOrd="0" destOrd="0" presId="urn:microsoft.com/office/officeart/2005/8/layout/radial1"/>
    <dgm:cxn modelId="{18C6037B-60DB-44D4-B1CD-C9BA099D75DF}" type="presOf" srcId="{24258538-4C68-461F-9E82-62C8DF009C0A}" destId="{9D0B803B-5ADE-4578-AB67-EBE1C99F7C08}" srcOrd="1" destOrd="0" presId="urn:microsoft.com/office/officeart/2005/8/layout/radial1"/>
    <dgm:cxn modelId="{E2EDD77C-E338-47F6-8C5F-F16EA1394D53}" type="presOf" srcId="{8D28B5B3-293B-4D04-9ABB-EE16A5C97D16}" destId="{22743AED-C443-4F2B-8D4D-266AC58BB10F}" srcOrd="1" destOrd="0" presId="urn:microsoft.com/office/officeart/2005/8/layout/radial1"/>
    <dgm:cxn modelId="{EE152ACB-2476-4FB6-ACEF-8F8FD8855F97}" type="presOf" srcId="{4693CA52-075F-4BD8-ABEA-5368BE377DDA}" destId="{62A1F741-432F-46BE-AE07-15F0B6D5EA89}" srcOrd="1" destOrd="0" presId="urn:microsoft.com/office/officeart/2005/8/layout/radial1"/>
    <dgm:cxn modelId="{1577FA04-9FF7-4F79-8211-715E45FDB8A8}" type="presOf" srcId="{42DDAC3B-802E-470C-B26C-35741B306D27}" destId="{F5AD7B03-58D4-4480-B85C-FFEEB047B4AA}" srcOrd="1" destOrd="0" presId="urn:microsoft.com/office/officeart/2005/8/layout/radial1"/>
    <dgm:cxn modelId="{FCD034F9-A9E3-4A52-B40D-D417FC93AF7D}" type="presOf" srcId="{DE541715-C648-404D-8124-F14F463E9202}" destId="{062AF917-2F47-4639-8A23-58AD52EC0F32}" srcOrd="0" destOrd="0" presId="urn:microsoft.com/office/officeart/2005/8/layout/radial1"/>
    <dgm:cxn modelId="{D436FAC7-3894-4176-877F-5D4E8CC2E3CE}" type="presOf" srcId="{C06C39C9-71B8-489C-9C45-3DD37A424E39}" destId="{0FAF3FA1-8E6C-455E-B189-A468B3F4D8BC}" srcOrd="0" destOrd="0" presId="urn:microsoft.com/office/officeart/2005/8/layout/radial1"/>
    <dgm:cxn modelId="{0DE38FCE-4A3F-4704-A183-4D2285483E30}" type="presOf" srcId="{34E6C8D5-8D4F-4714-8A12-8F4599A8E760}" destId="{08F189A1-AB47-41D1-8058-7A6DA66B3F52}" srcOrd="0" destOrd="0" presId="urn:microsoft.com/office/officeart/2005/8/layout/radial1"/>
    <dgm:cxn modelId="{A6BBD0E7-4427-40C3-83C4-10A14C9D1E1B}" type="presOf" srcId="{960C5593-E0FF-4AA5-AA0B-E8BDFFBC5E53}" destId="{CED9197C-8322-406B-917C-172FA36E7B76}" srcOrd="0" destOrd="0" presId="urn:microsoft.com/office/officeart/2005/8/layout/radial1"/>
    <dgm:cxn modelId="{62AB69CB-9555-4ADD-8496-CAEAAA33E427}" type="presOf" srcId="{11C12EEB-5340-467D-991C-E6C3B5DBDAEA}" destId="{E3F75BBA-60EC-4D9A-B0CC-E18ADA53928C}" srcOrd="0" destOrd="0" presId="urn:microsoft.com/office/officeart/2005/8/layout/radial1"/>
    <dgm:cxn modelId="{07D2CD90-1F10-4636-9F2F-FA3929BEC3B9}"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3E3050E-58BD-45C4-BC3E-BFB4B44D5C12}" type="presOf" srcId="{4631C2C5-1554-4289-90B0-F2D55D1595B6}" destId="{035B4C9A-0916-4FCC-A1CF-85DB358A289A}" srcOrd="0" destOrd="0" presId="urn:microsoft.com/office/officeart/2005/8/layout/radial1"/>
    <dgm:cxn modelId="{175C3B6B-3B43-489B-86DF-13640FE66600}" type="presOf" srcId="{7E91AD2C-2762-4D69-BFD6-4095380ECAB8}" destId="{56946440-4960-4194-9471-9ABCF62950BA}" srcOrd="0" destOrd="0" presId="urn:microsoft.com/office/officeart/2005/8/layout/radial1"/>
    <dgm:cxn modelId="{E8D5AE8F-93E5-4660-A790-73139A441780}" type="presOf" srcId="{E848F776-8237-42C9-A1C0-B5B0EB7FE51B}" destId="{DB73B42A-BE4F-46BC-B512-015EB15734E7}"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C59FE52A-F6F0-4F56-9BFE-82B42B535EE8}" type="presOf" srcId="{45A6C23B-D452-4078-BA3A-466D0894B9EB}" destId="{C7C9B7EB-2DEF-4B99-8D38-AC2E9641BEB5}" srcOrd="1" destOrd="0" presId="urn:microsoft.com/office/officeart/2005/8/layout/radial1"/>
    <dgm:cxn modelId="{002A3F8F-734E-4AC5-ADEC-A2B41F7033B8}" type="presOf" srcId="{7AF774ED-547E-4C04-8670-B0C1D08C5EE9}" destId="{326412CE-9911-4799-A459-B56F02EB4473}" srcOrd="1" destOrd="0" presId="urn:microsoft.com/office/officeart/2005/8/layout/radial1"/>
    <dgm:cxn modelId="{7BE6A53B-7438-4619-8AA9-B1CB6F605BFD}" type="presOf" srcId="{42DDAC3B-802E-470C-B26C-35741B306D27}" destId="{73944B9B-8143-474E-A2B5-719E57EA1FE0}" srcOrd="0" destOrd="0" presId="urn:microsoft.com/office/officeart/2005/8/layout/radial1"/>
    <dgm:cxn modelId="{B36481AA-1FEB-4065-8EB0-DE466ADC972E}" type="presOf" srcId="{E848F776-8237-42C9-A1C0-B5B0EB7FE51B}" destId="{498B4397-C22F-4D1E-9B41-E3ABFC4C6934}"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4CF18E5A-B8CB-441C-A70B-B86CB072589E}" type="presParOf" srcId="{08F189A1-AB47-41D1-8058-7A6DA66B3F52}" destId="{062AF917-2F47-4639-8A23-58AD52EC0F32}" srcOrd="0" destOrd="0" presId="urn:microsoft.com/office/officeart/2005/8/layout/radial1"/>
    <dgm:cxn modelId="{152BAE1D-AF5B-4628-A475-ABCA6724FE63}" type="presParOf" srcId="{08F189A1-AB47-41D1-8058-7A6DA66B3F52}" destId="{DB73B42A-BE4F-46BC-B512-015EB15734E7}" srcOrd="1" destOrd="0" presId="urn:microsoft.com/office/officeart/2005/8/layout/radial1"/>
    <dgm:cxn modelId="{52F8FD7C-3797-44B9-AE65-8A085602478D}" type="presParOf" srcId="{DB73B42A-BE4F-46BC-B512-015EB15734E7}" destId="{498B4397-C22F-4D1E-9B41-E3ABFC4C6934}" srcOrd="0" destOrd="0" presId="urn:microsoft.com/office/officeart/2005/8/layout/radial1"/>
    <dgm:cxn modelId="{6D572E2A-C0C1-4E73-BB8A-B7B91E25FC21}" type="presParOf" srcId="{08F189A1-AB47-41D1-8058-7A6DA66B3F52}" destId="{8C16842D-5717-4E53-9353-18DF877708CF}" srcOrd="2" destOrd="0" presId="urn:microsoft.com/office/officeart/2005/8/layout/radial1"/>
    <dgm:cxn modelId="{FA59E6A4-4DC0-4986-AC87-E374C8B0339A}" type="presParOf" srcId="{08F189A1-AB47-41D1-8058-7A6DA66B3F52}" destId="{F32845D8-3F89-45CE-82D0-5F6D6B81E25D}" srcOrd="3" destOrd="0" presId="urn:microsoft.com/office/officeart/2005/8/layout/radial1"/>
    <dgm:cxn modelId="{40777151-A7E0-42C8-90CD-5E3F8D689699}" type="presParOf" srcId="{F32845D8-3F89-45CE-82D0-5F6D6B81E25D}" destId="{22743AED-C443-4F2B-8D4D-266AC58BB10F}" srcOrd="0" destOrd="0" presId="urn:microsoft.com/office/officeart/2005/8/layout/radial1"/>
    <dgm:cxn modelId="{6C500CA2-C9C7-4C5F-BEE5-115BB5E22A8C}" type="presParOf" srcId="{08F189A1-AB47-41D1-8058-7A6DA66B3F52}" destId="{56946440-4960-4194-9471-9ABCF62950BA}" srcOrd="4" destOrd="0" presId="urn:microsoft.com/office/officeart/2005/8/layout/radial1"/>
    <dgm:cxn modelId="{8E199A13-D393-4EAD-8860-BAD2FEABEF90}" type="presParOf" srcId="{08F189A1-AB47-41D1-8058-7A6DA66B3F52}" destId="{5337AE63-3722-42CC-AF72-36670EB7C5E1}" srcOrd="5" destOrd="0" presId="urn:microsoft.com/office/officeart/2005/8/layout/radial1"/>
    <dgm:cxn modelId="{7815D74D-2B29-43F2-B53A-A27B14E94852}" type="presParOf" srcId="{5337AE63-3722-42CC-AF72-36670EB7C5E1}" destId="{326412CE-9911-4799-A459-B56F02EB4473}" srcOrd="0" destOrd="0" presId="urn:microsoft.com/office/officeart/2005/8/layout/radial1"/>
    <dgm:cxn modelId="{D758F38B-2E52-4FA8-80D6-0DBC89630C15}" type="presParOf" srcId="{08F189A1-AB47-41D1-8058-7A6DA66B3F52}" destId="{CED9197C-8322-406B-917C-172FA36E7B76}" srcOrd="6" destOrd="0" presId="urn:microsoft.com/office/officeart/2005/8/layout/radial1"/>
    <dgm:cxn modelId="{AEED0D0C-600B-4A80-AE00-8BD74D4BBB67}" type="presParOf" srcId="{08F189A1-AB47-41D1-8058-7A6DA66B3F52}" destId="{4AC11394-3179-4EC5-A97F-D1A1B521CE2F}" srcOrd="7" destOrd="0" presId="urn:microsoft.com/office/officeart/2005/8/layout/radial1"/>
    <dgm:cxn modelId="{63050698-D032-40D0-A256-5559F1DD8416}" type="presParOf" srcId="{4AC11394-3179-4EC5-A97F-D1A1B521CE2F}" destId="{62A1F741-432F-46BE-AE07-15F0B6D5EA89}" srcOrd="0" destOrd="0" presId="urn:microsoft.com/office/officeart/2005/8/layout/radial1"/>
    <dgm:cxn modelId="{77CB746A-3E46-450C-BC68-2510CA69C7CA}" type="presParOf" srcId="{08F189A1-AB47-41D1-8058-7A6DA66B3F52}" destId="{035B4C9A-0916-4FCC-A1CF-85DB358A289A}" srcOrd="8" destOrd="0" presId="urn:microsoft.com/office/officeart/2005/8/layout/radial1"/>
    <dgm:cxn modelId="{D891273C-7473-4E41-977D-A80208A93DED}" type="presParOf" srcId="{08F189A1-AB47-41D1-8058-7A6DA66B3F52}" destId="{64248C57-3CE0-4657-BC67-6279BA0257B1}" srcOrd="9" destOrd="0" presId="urn:microsoft.com/office/officeart/2005/8/layout/radial1"/>
    <dgm:cxn modelId="{21585868-02FF-496D-BF04-B9E128E06027}" type="presParOf" srcId="{64248C57-3CE0-4657-BC67-6279BA0257B1}" destId="{C7C9B7EB-2DEF-4B99-8D38-AC2E9641BEB5}" srcOrd="0" destOrd="0" presId="urn:microsoft.com/office/officeart/2005/8/layout/radial1"/>
    <dgm:cxn modelId="{361D5453-29F7-4089-AAB4-33F47E34992F}" type="presParOf" srcId="{08F189A1-AB47-41D1-8058-7A6DA66B3F52}" destId="{976BA53C-17D4-4F7C-9078-1272C469C9E5}" srcOrd="10" destOrd="0" presId="urn:microsoft.com/office/officeart/2005/8/layout/radial1"/>
    <dgm:cxn modelId="{DFC9ECA0-8A5D-4FCF-AC9E-869B7E2EF83A}" type="presParOf" srcId="{08F189A1-AB47-41D1-8058-7A6DA66B3F52}" destId="{73944B9B-8143-474E-A2B5-719E57EA1FE0}" srcOrd="11" destOrd="0" presId="urn:microsoft.com/office/officeart/2005/8/layout/radial1"/>
    <dgm:cxn modelId="{8F06F511-F71C-4018-A72B-78C603D5B588}" type="presParOf" srcId="{73944B9B-8143-474E-A2B5-719E57EA1FE0}" destId="{F5AD7B03-58D4-4480-B85C-FFEEB047B4AA}" srcOrd="0" destOrd="0" presId="urn:microsoft.com/office/officeart/2005/8/layout/radial1"/>
    <dgm:cxn modelId="{9F215CEF-17F6-484D-B559-39328ECF8D62}" type="presParOf" srcId="{08F189A1-AB47-41D1-8058-7A6DA66B3F52}" destId="{2BDBEDDB-6DE8-44DC-8FC2-1ED793273BD1}" srcOrd="12" destOrd="0" presId="urn:microsoft.com/office/officeart/2005/8/layout/radial1"/>
    <dgm:cxn modelId="{680F7C53-33EC-4427-B67F-BAE912C49BE0}" type="presParOf" srcId="{08F189A1-AB47-41D1-8058-7A6DA66B3F52}" destId="{ADF94B70-0D7F-4A27-8DF9-17BCD27F4A7A}" srcOrd="13" destOrd="0" presId="urn:microsoft.com/office/officeart/2005/8/layout/radial1"/>
    <dgm:cxn modelId="{9E1B60DD-3C13-44E1-9E40-D28C9BBB1DD3}" type="presParOf" srcId="{ADF94B70-0D7F-4A27-8DF9-17BCD27F4A7A}" destId="{EA4144E0-C5B2-4FC0-BDB2-550B61DB7DFD}" srcOrd="0" destOrd="0" presId="urn:microsoft.com/office/officeart/2005/8/layout/radial1"/>
    <dgm:cxn modelId="{BA29DFB5-9332-4A27-BB03-8A5935F57FBA}" type="presParOf" srcId="{08F189A1-AB47-41D1-8058-7A6DA66B3F52}" destId="{0FAF3FA1-8E6C-455E-B189-A468B3F4D8BC}" srcOrd="14" destOrd="0" presId="urn:microsoft.com/office/officeart/2005/8/layout/radial1"/>
    <dgm:cxn modelId="{A280C793-C392-4EB7-8D70-D7E684FDC56A}" type="presParOf" srcId="{08F189A1-AB47-41D1-8058-7A6DA66B3F52}" destId="{7DF391B8-9498-4F55-ACE3-A6D0DB9A80F6}" srcOrd="15" destOrd="0" presId="urn:microsoft.com/office/officeart/2005/8/layout/radial1"/>
    <dgm:cxn modelId="{F9E4B6B3-E8D9-4E49-B22B-C7CF9BD2A85A}" type="presParOf" srcId="{7DF391B8-9498-4F55-ACE3-A6D0DB9A80F6}" destId="{9D0B803B-5ADE-4578-AB67-EBE1C99F7C08}" srcOrd="0" destOrd="0" presId="urn:microsoft.com/office/officeart/2005/8/layout/radial1"/>
    <dgm:cxn modelId="{C22DD69A-438D-4F1D-95CD-E37C0B26B13E}"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30FF59C-7E84-4E3B-ACD9-3DC8D026E19C}" type="presOf" srcId="{34E6C8D5-8D4F-4714-8A12-8F4599A8E760}" destId="{08F189A1-AB47-41D1-8058-7A6DA66B3F52}" srcOrd="0" destOrd="0" presId="urn:microsoft.com/office/officeart/2005/8/layout/radial1"/>
    <dgm:cxn modelId="{725BE9FF-087C-4213-8E5C-DF4276FB23AF}" type="presOf" srcId="{0FABC453-0A5C-4CAE-813B-F0494A34E025}" destId="{EA4144E0-C5B2-4FC0-BDB2-550B61DB7DFD}" srcOrd="1" destOrd="0" presId="urn:microsoft.com/office/officeart/2005/8/layout/radial1"/>
    <dgm:cxn modelId="{23FB0EB5-9C90-48FD-8577-B5E9597CAABD}" type="presOf" srcId="{C06C39C9-71B8-489C-9C45-3DD37A424E39}" destId="{0FAF3FA1-8E6C-455E-B189-A468B3F4D8BC}" srcOrd="0" destOrd="0" presId="urn:microsoft.com/office/officeart/2005/8/layout/radial1"/>
    <dgm:cxn modelId="{DDC61281-9CBA-42AC-8D1F-2F52CE9BFC8D}" type="presOf" srcId="{4693CA52-075F-4BD8-ABEA-5368BE377DDA}" destId="{4AC11394-3179-4EC5-A97F-D1A1B521CE2F}" srcOrd="0" destOrd="0" presId="urn:microsoft.com/office/officeart/2005/8/layout/radial1"/>
    <dgm:cxn modelId="{6EA58C30-6C96-4292-B4FE-71CE6E72B3D0}"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D4929D7E-2532-4C6E-BF70-6267F9DE7809}" type="presOf" srcId="{DE541715-C648-404D-8124-F14F463E9202}" destId="{062AF917-2F47-4639-8A23-58AD52EC0F32}" srcOrd="0" destOrd="0" presId="urn:microsoft.com/office/officeart/2005/8/layout/radial1"/>
    <dgm:cxn modelId="{EBA4420F-365F-4595-B04B-E05A379697A3}" type="presOf" srcId="{4693CA52-075F-4BD8-ABEA-5368BE377DDA}" destId="{62A1F741-432F-46BE-AE07-15F0B6D5EA89}" srcOrd="1" destOrd="0" presId="urn:microsoft.com/office/officeart/2005/8/layout/radial1"/>
    <dgm:cxn modelId="{73BFD061-FD4E-4E39-9715-A550158CCE39}" type="presOf" srcId="{4631C2C5-1554-4289-90B0-F2D55D1595B6}" destId="{035B4C9A-0916-4FCC-A1CF-85DB358A289A}" srcOrd="0" destOrd="0" presId="urn:microsoft.com/office/officeart/2005/8/layout/radial1"/>
    <dgm:cxn modelId="{377D8414-CF95-4726-85D8-6C46E6AF43F7}" type="presParOf" srcId="{08F189A1-AB47-41D1-8058-7A6DA66B3F52}" destId="{062AF917-2F47-4639-8A23-58AD52EC0F32}" srcOrd="0" destOrd="0" presId="urn:microsoft.com/office/officeart/2005/8/layout/radial1"/>
    <dgm:cxn modelId="{3A9CECB8-9335-4560-8F28-3A561565B2BE}" type="presParOf" srcId="{08F189A1-AB47-41D1-8058-7A6DA66B3F52}" destId="{4AC11394-3179-4EC5-A97F-D1A1B521CE2F}" srcOrd="1" destOrd="0" presId="urn:microsoft.com/office/officeart/2005/8/layout/radial1"/>
    <dgm:cxn modelId="{57080A5E-06D6-4E03-9A60-7AC9803F5C33}" type="presParOf" srcId="{4AC11394-3179-4EC5-A97F-D1A1B521CE2F}" destId="{62A1F741-432F-46BE-AE07-15F0B6D5EA89}" srcOrd="0" destOrd="0" presId="urn:microsoft.com/office/officeart/2005/8/layout/radial1"/>
    <dgm:cxn modelId="{5C2628E5-FE0E-4F46-98F0-8FBB6D335064}" type="presParOf" srcId="{08F189A1-AB47-41D1-8058-7A6DA66B3F52}" destId="{035B4C9A-0916-4FCC-A1CF-85DB358A289A}" srcOrd="2" destOrd="0" presId="urn:microsoft.com/office/officeart/2005/8/layout/radial1"/>
    <dgm:cxn modelId="{2CE62DBC-23C9-41C5-8E2E-AD08EDF0BFE1}" type="presParOf" srcId="{08F189A1-AB47-41D1-8058-7A6DA66B3F52}" destId="{ADF94B70-0D7F-4A27-8DF9-17BCD27F4A7A}" srcOrd="3" destOrd="0" presId="urn:microsoft.com/office/officeart/2005/8/layout/radial1"/>
    <dgm:cxn modelId="{16B7D6F0-6CCC-415D-B56D-ED70951D6FE0}" type="presParOf" srcId="{ADF94B70-0D7F-4A27-8DF9-17BCD27F4A7A}" destId="{EA4144E0-C5B2-4FC0-BDB2-550B61DB7DFD}" srcOrd="0" destOrd="0" presId="urn:microsoft.com/office/officeart/2005/8/layout/radial1"/>
    <dgm:cxn modelId="{8C2FB3FA-A862-4C22-9538-157D09DAAD3F}"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PL</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2E470C18-8374-42F8-ABB3-C72229DBA11C}" type="presOf" srcId="{60F584FC-F7FF-4FD7-86E3-8773293C0460}" destId="{3C7CADF7-0742-432E-9EEF-EA9C347A7661}" srcOrd="0" destOrd="0" presId="urn:microsoft.com/office/officeart/2005/8/layout/radial1"/>
    <dgm:cxn modelId="{EED24806-9797-407B-A699-F280FFA1DB1E}" type="presOf" srcId="{2EF75B39-F486-43BE-8B27-294595126005}" destId="{6394B413-6D12-4C4F-9A8D-E0508CAE8617}" srcOrd="0" destOrd="0" presId="urn:microsoft.com/office/officeart/2005/8/layout/radial1"/>
    <dgm:cxn modelId="{D32BE933-567C-4947-B81D-E0D6491E4039}" type="presOf" srcId="{F6DE2413-45CD-453B-A258-F22A53BBB241}" destId="{DEF09AAB-E09E-4486-8914-E37D47E60824}"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4D478C67-2EFE-44A1-A161-BBC3838DF810}" type="presOf" srcId="{61905482-A221-41E9-B64F-E0DDCF7406CB}" destId="{CFBB929F-8BEB-442D-8D00-28EE1C02C39C}" srcOrd="0" destOrd="0" presId="urn:microsoft.com/office/officeart/2005/8/layout/radial1"/>
    <dgm:cxn modelId="{A294A3DC-1750-4B0B-B759-533D5ABA3E9B}" type="presOf" srcId="{E9A3E352-4E95-497B-A994-2D750C2A9509}" destId="{E887F142-3B93-49E1-A09D-1DCD207D21D1}" srcOrd="0" destOrd="0" presId="urn:microsoft.com/office/officeart/2005/8/layout/radial1"/>
    <dgm:cxn modelId="{B4F54128-D2A9-4208-AF23-A672D3E7F820}" type="presOf" srcId="{E9A3E352-4E95-497B-A994-2D750C2A9509}" destId="{0C3245EA-B4A2-4A29-A94D-6F5271E8D13D}"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CDD89F74-5851-4773-99B4-C66DF0C114BD}" type="presOf" srcId="{5BE92476-635C-4AE2-AD14-BF50BB0972EC}" destId="{00112A8F-12E8-45AC-B551-DFB66BE45059}" srcOrd="0" destOrd="0" presId="urn:microsoft.com/office/officeart/2005/8/layout/radial1"/>
    <dgm:cxn modelId="{B80B9368-D6DF-43C4-B219-ED42C663F8A4}" type="presOf" srcId="{3E4183EF-B989-4620-A02C-D54686D6628F}" destId="{4FC73BDC-CE2C-45F4-85CD-F387963DA006}" srcOrd="0" destOrd="0" presId="urn:microsoft.com/office/officeart/2005/8/layout/radial1"/>
    <dgm:cxn modelId="{BE9A23D9-D3FC-4A1D-98C2-9051B2EB8467}" type="presOf" srcId="{19A5BFAE-AE0D-4BC3-821E-ACDBC402E1F3}" destId="{06FD983D-3F71-4BCE-AD7F-6DD1041A2F23}"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A5666C79-BF01-4153-AB0A-BB16CAE1F135}" srcId="{60F584FC-F7FF-4FD7-86E3-8773293C0460}" destId="{4761FE57-664D-44AD-8EF1-E6096D64297F}" srcOrd="3" destOrd="0" parTransId="{F6DE2413-45CD-453B-A258-F22A53BBB241}" sibTransId="{288511AC-ECAB-47A8-A0B0-D7AAFEE02A39}"/>
    <dgm:cxn modelId="{6B4E9DF0-F8F8-488D-BDAE-6B8E210B72A2}" type="presOf" srcId="{9A4BDCAE-D9CA-400C-8B2D-68AB68A08E2A}" destId="{3EA08C86-6A87-4381-A9A9-F10D993E2D53}" srcOrd="0" destOrd="0" presId="urn:microsoft.com/office/officeart/2005/8/layout/radial1"/>
    <dgm:cxn modelId="{E27E7512-A9DF-4D7B-8EE2-094E383584C5}" type="presOf" srcId="{5BE92476-635C-4AE2-AD14-BF50BB0972EC}" destId="{48B32C5A-7076-4480-B5CB-D9EFDA8D8FDB}" srcOrd="1" destOrd="0" presId="urn:microsoft.com/office/officeart/2005/8/layout/radial1"/>
    <dgm:cxn modelId="{8200B15A-960F-402E-BD06-0337BF43016D}" type="presOf" srcId="{19A5BFAE-AE0D-4BC3-821E-ACDBC402E1F3}" destId="{2261EECA-A4AA-4C81-9B4D-3893A28ED758}" srcOrd="1" destOrd="0" presId="urn:microsoft.com/office/officeart/2005/8/layout/radial1"/>
    <dgm:cxn modelId="{E607A643-323B-435E-8609-2A165B4BC763}" type="presOf" srcId="{4761FE57-664D-44AD-8EF1-E6096D64297F}" destId="{2ED32773-10C9-4671-A0BF-4C0DAB40AE25}" srcOrd="0" destOrd="0" presId="urn:microsoft.com/office/officeart/2005/8/layout/radial1"/>
    <dgm:cxn modelId="{6CD3AF66-B79F-4DD1-8F32-57755DCD4870}" type="presOf" srcId="{66F0DCEC-2B26-4038-AF1F-D0A98A0F7930}" destId="{7FE108B5-F558-4942-A9EC-465F3C2E5813}"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7C24AEB-74D2-43AD-8A5F-595EB53317DB}" type="presOf" srcId="{F6DE2413-45CD-453B-A258-F22A53BBB241}" destId="{B0514361-30D3-4311-BC21-0743B7F01673}" srcOrd="1" destOrd="0" presId="urn:microsoft.com/office/officeart/2005/8/layout/radial1"/>
    <dgm:cxn modelId="{E9CE572F-EF91-4E36-8DC1-D523402583CC}" type="presOf" srcId="{66F0DCEC-2B26-4038-AF1F-D0A98A0F7930}" destId="{650854B0-9FE7-4FFD-96B2-18F6452E0859}" srcOrd="0" destOrd="0" presId="urn:microsoft.com/office/officeart/2005/8/layout/radial1"/>
    <dgm:cxn modelId="{0201C05E-A9EB-4042-9278-E7FAAE06275B}" type="presOf" srcId="{584F0456-7C88-4E15-A6D5-3DF2BDDC45F2}" destId="{423B6D89-2000-40C7-8429-BD38C7402395}" srcOrd="0" destOrd="0" presId="urn:microsoft.com/office/officeart/2005/8/layout/radial1"/>
    <dgm:cxn modelId="{B48A30CF-19B9-4268-A6F7-74D4D8BC86D8}" type="presParOf" srcId="{4FC73BDC-CE2C-45F4-85CD-F387963DA006}" destId="{3C7CADF7-0742-432E-9EEF-EA9C347A7661}" srcOrd="0" destOrd="0" presId="urn:microsoft.com/office/officeart/2005/8/layout/radial1"/>
    <dgm:cxn modelId="{1427ABB0-F5E6-433E-A49C-D6B15B853BDA}" type="presParOf" srcId="{4FC73BDC-CE2C-45F4-85CD-F387963DA006}" destId="{E887F142-3B93-49E1-A09D-1DCD207D21D1}" srcOrd="1" destOrd="0" presId="urn:microsoft.com/office/officeart/2005/8/layout/radial1"/>
    <dgm:cxn modelId="{A3BBDED8-3099-4BE0-8757-AAEA61764777}" type="presParOf" srcId="{E887F142-3B93-49E1-A09D-1DCD207D21D1}" destId="{0C3245EA-B4A2-4A29-A94D-6F5271E8D13D}" srcOrd="0" destOrd="0" presId="urn:microsoft.com/office/officeart/2005/8/layout/radial1"/>
    <dgm:cxn modelId="{AFCB3EAB-B696-40DA-96F4-18A52C233991}" type="presParOf" srcId="{4FC73BDC-CE2C-45F4-85CD-F387963DA006}" destId="{3EA08C86-6A87-4381-A9A9-F10D993E2D53}" srcOrd="2" destOrd="0" presId="urn:microsoft.com/office/officeart/2005/8/layout/radial1"/>
    <dgm:cxn modelId="{2E1C4C7E-059F-4FA7-9FE9-F38535DF38D5}" type="presParOf" srcId="{4FC73BDC-CE2C-45F4-85CD-F387963DA006}" destId="{00112A8F-12E8-45AC-B551-DFB66BE45059}" srcOrd="3" destOrd="0" presId="urn:microsoft.com/office/officeart/2005/8/layout/radial1"/>
    <dgm:cxn modelId="{92FEF455-8AC5-4FDE-89C4-28A708433886}" type="presParOf" srcId="{00112A8F-12E8-45AC-B551-DFB66BE45059}" destId="{48B32C5A-7076-4480-B5CB-D9EFDA8D8FDB}" srcOrd="0" destOrd="0" presId="urn:microsoft.com/office/officeart/2005/8/layout/radial1"/>
    <dgm:cxn modelId="{78CD0277-77FB-4079-8348-5E08430DB7B5}" type="presParOf" srcId="{4FC73BDC-CE2C-45F4-85CD-F387963DA006}" destId="{423B6D89-2000-40C7-8429-BD38C7402395}" srcOrd="4" destOrd="0" presId="urn:microsoft.com/office/officeart/2005/8/layout/radial1"/>
    <dgm:cxn modelId="{0A4D219E-436E-48E1-987A-963A20245D70}" type="presParOf" srcId="{4FC73BDC-CE2C-45F4-85CD-F387963DA006}" destId="{650854B0-9FE7-4FFD-96B2-18F6452E0859}" srcOrd="5" destOrd="0" presId="urn:microsoft.com/office/officeart/2005/8/layout/radial1"/>
    <dgm:cxn modelId="{D42FAAC9-CF25-4C48-9A87-AA88EF942AAA}" type="presParOf" srcId="{650854B0-9FE7-4FFD-96B2-18F6452E0859}" destId="{7FE108B5-F558-4942-A9EC-465F3C2E5813}" srcOrd="0" destOrd="0" presId="urn:microsoft.com/office/officeart/2005/8/layout/radial1"/>
    <dgm:cxn modelId="{7B528A74-ABD6-4B97-BB1C-87F946653159}" type="presParOf" srcId="{4FC73BDC-CE2C-45F4-85CD-F387963DA006}" destId="{6394B413-6D12-4C4F-9A8D-E0508CAE8617}" srcOrd="6" destOrd="0" presId="urn:microsoft.com/office/officeart/2005/8/layout/radial1"/>
    <dgm:cxn modelId="{F0261034-811C-42A6-B489-E0A87463FE2E}" type="presParOf" srcId="{4FC73BDC-CE2C-45F4-85CD-F387963DA006}" destId="{DEF09AAB-E09E-4486-8914-E37D47E60824}" srcOrd="7" destOrd="0" presId="urn:microsoft.com/office/officeart/2005/8/layout/radial1"/>
    <dgm:cxn modelId="{42FEF18D-7843-496B-8F13-0F73D32106D2}" type="presParOf" srcId="{DEF09AAB-E09E-4486-8914-E37D47E60824}" destId="{B0514361-30D3-4311-BC21-0743B7F01673}" srcOrd="0" destOrd="0" presId="urn:microsoft.com/office/officeart/2005/8/layout/radial1"/>
    <dgm:cxn modelId="{6E527AA7-17C6-410F-B498-A28286271569}" type="presParOf" srcId="{4FC73BDC-CE2C-45F4-85CD-F387963DA006}" destId="{2ED32773-10C9-4671-A0BF-4C0DAB40AE25}" srcOrd="8" destOrd="0" presId="urn:microsoft.com/office/officeart/2005/8/layout/radial1"/>
    <dgm:cxn modelId="{8028B19B-18A0-4056-8264-B5CC35F7308A}" type="presParOf" srcId="{4FC73BDC-CE2C-45F4-85CD-F387963DA006}" destId="{06FD983D-3F71-4BCE-AD7F-6DD1041A2F23}" srcOrd="9" destOrd="0" presId="urn:microsoft.com/office/officeart/2005/8/layout/radial1"/>
    <dgm:cxn modelId="{8B5C0BC0-0101-4331-87AC-40CA30A985E0}" type="presParOf" srcId="{06FD983D-3F71-4BCE-AD7F-6DD1041A2F23}" destId="{2261EECA-A4AA-4C81-9B4D-3893A28ED758}" srcOrd="0" destOrd="0" presId="urn:microsoft.com/office/officeart/2005/8/layout/radial1"/>
    <dgm:cxn modelId="{6469BDF0-1017-48AB-80B6-420DB74E2F88}"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System</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GC</a:t>
          </a: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A2A50F90-A189-4853-8612-807C019FFF1B}" type="presOf" srcId="{14602118-D739-48CC-85E0-791974AFA995}" destId="{DB594876-4070-4577-942D-67F5CD4D6A19}" srcOrd="0" destOrd="0" presId="urn:microsoft.com/office/officeart/2005/8/layout/radial1"/>
    <dgm:cxn modelId="{C2B58DD1-E748-44C9-807D-EA93A748DD7D}" type="presOf" srcId="{2F72DDEE-62D3-48A5-836A-4C87596541F0}" destId="{280B3AB5-4999-4B99-8BE9-E09C9DF5D482}" srcOrd="1" destOrd="0" presId="urn:microsoft.com/office/officeart/2005/8/layout/radial1"/>
    <dgm:cxn modelId="{4A28B57A-D46C-4591-96F4-1B2F03C71725}" type="presOf" srcId="{D22DE764-173E-47DF-9480-722F8D8EA62C}" destId="{5CF8296B-0142-429D-A71A-20799D2EB74B}" srcOrd="0" destOrd="0" presId="urn:microsoft.com/office/officeart/2005/8/layout/radial1"/>
    <dgm:cxn modelId="{077717FA-A8F4-4186-87AE-08C0688F6F97}" type="presOf" srcId="{D981426F-5B7B-4AA5-957A-6E8C9E1A2487}" destId="{9D8B49BD-1DF7-4888-9A7E-2CFD4320CC2B}" srcOrd="0" destOrd="0" presId="urn:microsoft.com/office/officeart/2005/8/layout/radial1"/>
    <dgm:cxn modelId="{1E3E3480-E35C-4B79-BBB1-DD3A530ED38D}" type="presOf" srcId="{A7516A72-1FC0-46ED-AAC4-AF0F7063F737}" destId="{493DA7EC-5D69-41B7-92E4-ED7ED9F48883}" srcOrd="0" destOrd="0" presId="urn:microsoft.com/office/officeart/2005/8/layout/radial1"/>
    <dgm:cxn modelId="{CAFBDECC-0446-4E57-8549-D97331843E1A}" type="presOf" srcId="{3F89048A-3F9F-4897-8631-4599F4976029}" destId="{32B4D7AF-BD29-4AC4-BA11-37F2AE9561F4}" srcOrd="1" destOrd="0" presId="urn:microsoft.com/office/officeart/2005/8/layout/radial1"/>
    <dgm:cxn modelId="{E70D26C9-4D74-4C0A-9DD0-1AE3C22461FF}" type="presOf" srcId="{B4A5C031-92B2-438E-80BC-EAA05F5C7CF7}" destId="{A140118B-14B1-45A7-9CF9-17E4D006F84D}" srcOrd="1" destOrd="0" presId="urn:microsoft.com/office/officeart/2005/8/layout/radial1"/>
    <dgm:cxn modelId="{A477C323-2D50-4612-8686-B628A238CD4A}" type="presOf" srcId="{98585C11-761C-43C4-979D-FB1B8BABF102}" destId="{B930024E-8665-4782-9C41-36517A71FCD4}" srcOrd="1" destOrd="0" presId="urn:microsoft.com/office/officeart/2005/8/layout/radial1"/>
    <dgm:cxn modelId="{767D79FF-6ECC-4255-8378-86F931A2CA3B}" type="presOf" srcId="{DEF73824-C893-4963-9504-7E97D2FF5253}" destId="{3EA6B60F-F2E8-4D48-9EC1-CAAE09243949}" srcOrd="1" destOrd="0" presId="urn:microsoft.com/office/officeart/2005/8/layout/radial1"/>
    <dgm:cxn modelId="{B52FAA7D-1EE7-4C85-A35D-C72902AFFB60}" type="presOf" srcId="{9E510621-404D-46D6-8EB3-39712C8626D4}" destId="{0D3BFC0A-5ED4-4CCF-A336-A529B3363890}" srcOrd="1" destOrd="0" presId="urn:microsoft.com/office/officeart/2005/8/layout/radial1"/>
    <dgm:cxn modelId="{B1B377B5-D449-48C0-AA32-99269B05F167}" type="presOf" srcId="{9E510621-404D-46D6-8EB3-39712C8626D4}" destId="{DC281168-2DBC-4CFB-B21D-C54E9628B383}" srcOrd="0" destOrd="0" presId="urn:microsoft.com/office/officeart/2005/8/layout/radial1"/>
    <dgm:cxn modelId="{5BA545A2-9D98-41B5-B79B-4A8A122377EC}" type="presOf" srcId="{DB9FEC62-86A7-454A-89B3-F32F1907C71A}" destId="{34515D96-C834-4D67-AF5C-3B293601CBC3}" srcOrd="0" destOrd="0" presId="urn:microsoft.com/office/officeart/2005/8/layout/radial1"/>
    <dgm:cxn modelId="{75C5934D-8C83-431A-8AAA-2AA0A27DCB87}" type="presOf" srcId="{2628F477-2289-4CEE-9618-96DDAFCD4291}" destId="{49C45DFA-0A15-4DAA-80DC-CAE4ABCC6B43}"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D3C7FE10-2514-42A0-A37C-292F89702934}" type="presOf" srcId="{DEF73824-C893-4963-9504-7E97D2FF5253}" destId="{FCC14444-D5E7-4E9C-B980-A27CD799E442}"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2B941E00-F538-497D-AAF6-72FFD1329EE5}" type="presOf" srcId="{7C1FA040-4399-40F0-866F-845B7914F68D}" destId="{69F18085-0AC3-4BAE-9B16-F8478FFBD61E}" srcOrd="0" destOrd="0" presId="urn:microsoft.com/office/officeart/2005/8/layout/radial1"/>
    <dgm:cxn modelId="{897DCA6E-B00D-4633-A932-42F24F9AF848}" type="presOf" srcId="{B4A5C031-92B2-438E-80BC-EAA05F5C7CF7}" destId="{EFB9CB5A-411C-454B-96B1-9ED988829CBE}" srcOrd="0" destOrd="0" presId="urn:microsoft.com/office/officeart/2005/8/layout/radial1"/>
    <dgm:cxn modelId="{C148BF09-1E39-4575-BE1A-74A6888A4772}" type="presOf" srcId="{98585C11-761C-43C4-979D-FB1B8BABF102}" destId="{E49C447F-3477-4311-B10B-FFFA7DE7209F}" srcOrd="0" destOrd="0" presId="urn:microsoft.com/office/officeart/2005/8/layout/radial1"/>
    <dgm:cxn modelId="{595A02FA-8720-409F-91D0-39D70A27030E}" type="presOf" srcId="{D94B5549-C2D2-4629-ACDF-33C6E334FA3A}" destId="{905DF954-A0B6-4A5F-9CE2-F1C3ADBDD0C1}" srcOrd="1" destOrd="0" presId="urn:microsoft.com/office/officeart/2005/8/layout/radial1"/>
    <dgm:cxn modelId="{98DF536C-2A79-4207-9707-CD61F2E29C3A}" type="presOf" srcId="{BA28F4A6-AD16-499D-88C1-DBE004B28175}" destId="{E6ACA703-0949-41B3-BE6B-C702E5C7275F}" srcOrd="0" destOrd="0" presId="urn:microsoft.com/office/officeart/2005/8/layout/radial1"/>
    <dgm:cxn modelId="{70FF09D1-7C4C-4360-A8B7-3CA651D3DEA9}" type="presOf" srcId="{2F72DDEE-62D3-48A5-836A-4C87596541F0}" destId="{7B59CB2C-C82F-41EE-B3CF-ADD4878ADBA6}" srcOrd="0" destOrd="0" presId="urn:microsoft.com/office/officeart/2005/8/layout/radial1"/>
    <dgm:cxn modelId="{79DCD86C-78E2-4CC9-BB68-182320209A98}" type="presOf" srcId="{3F89048A-3F9F-4897-8631-4599F4976029}" destId="{4DF1B0BE-A63A-4BEA-9EE5-4168481CC99E}" srcOrd="0" destOrd="0" presId="urn:microsoft.com/office/officeart/2005/8/layout/radial1"/>
    <dgm:cxn modelId="{0BA4E6D3-DA27-4607-A021-DF467D133906}" type="presOf" srcId="{6DAE892F-3F2D-42A5-BB1C-58D0E6BD9A47}" destId="{7E7DDE23-6C04-407D-AAB6-669511EA704E}" srcOrd="0" destOrd="0" presId="urn:microsoft.com/office/officeart/2005/8/layout/radial1"/>
    <dgm:cxn modelId="{8DB18D10-DAAC-4952-8A7A-4679B6CA87CF}" type="presOf" srcId="{0B9D3332-6506-49A3-B313-03598D7AB1F1}" destId="{5EA7C01D-B441-4CF8-BC42-1137E519F776}" srcOrd="1" destOrd="0" presId="urn:microsoft.com/office/officeart/2005/8/layout/radial1"/>
    <dgm:cxn modelId="{1734D512-F410-42CE-839C-E18EBD3F2A96}" type="presOf" srcId="{D22DE764-173E-47DF-9480-722F8D8EA62C}" destId="{48797E66-4F8B-4B79-BCA7-6F88E85CF835}" srcOrd="1" destOrd="0" presId="urn:microsoft.com/office/officeart/2005/8/layout/radial1"/>
    <dgm:cxn modelId="{BFD1FD76-1B41-4016-93FD-BDB5EBA24857}" type="presOf" srcId="{BA28F4A6-AD16-499D-88C1-DBE004B28175}" destId="{B06AADB2-5D51-41DC-8677-C0CC2357518B}"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627E99D2-C2A4-48C6-A269-23E4C1D7F035}" type="presOf" srcId="{68A5766F-115C-487E-B7CB-4ADE150678D1}" destId="{AFD0CC05-9AD4-4A51-8739-4FB4CA1E4ACE}"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A89BBFEF-774A-4B69-BEE4-FE5816117B81}" type="presOf" srcId="{D460D018-736B-4CE5-A14B-061F8EFE829B}" destId="{5AF8D9AC-0C15-4D1B-BCD3-7FFCFF0A581D}"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C7DD68AE-99B2-4937-A127-D654A2E99784}" srcId="{A7516A72-1FC0-46ED-AAC4-AF0F7063F737}" destId="{DB0D84B1-C440-4746-9EEF-F1ED71D64DD2}" srcOrd="4" destOrd="0" parTransId="{9E510621-404D-46D6-8EB3-39712C8626D4}" sibTransId="{99C4878C-8523-40E3-93C5-8DC55D31DB77}"/>
    <dgm:cxn modelId="{AC6A76E3-A286-449E-834B-55DC7C782179}" type="presOf" srcId="{F0FE4372-65E6-4D92-B9B0-D2B79F26FB27}" destId="{ECD2D13D-466C-468B-BD6C-1B646D8E5B8E}"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7593ACB4-0F9F-44A9-BBEC-14CB2F869623}" type="presOf" srcId="{D94B5549-C2D2-4629-ACDF-33C6E334FA3A}" destId="{3F0F15B6-4D5A-493B-B03E-AE8141DC3DCE}" srcOrd="0" destOrd="0" presId="urn:microsoft.com/office/officeart/2005/8/layout/radial1"/>
    <dgm:cxn modelId="{E8BF5C2D-4126-4803-8CB1-6FCE8CDC9ADE}" type="presOf" srcId="{898446A3-EA8C-4C13-8A65-DF8A110D0838}" destId="{D9366F31-B7D7-4B43-830C-AD5E2193A794}" srcOrd="0" destOrd="0" presId="urn:microsoft.com/office/officeart/2005/8/layout/radial1"/>
    <dgm:cxn modelId="{F8675F30-D536-4E77-A30E-B9D988856DAB}" type="presOf" srcId="{30FB17EC-C15B-4BC5-A5F8-93316C76A7D4}" destId="{0BAA02DA-E841-4BF5-8708-178825E9BEE2}" srcOrd="0" destOrd="0" presId="urn:microsoft.com/office/officeart/2005/8/layout/radial1"/>
    <dgm:cxn modelId="{FEB232F2-A8D4-444A-833E-252ED4BEF571}" type="presOf" srcId="{DB9FEC62-86A7-454A-89B3-F32F1907C71A}" destId="{A8CF68B1-7D91-429E-8C8D-53007288E1DC}"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1EEBC355-4713-42DA-827A-F6A3E5C218F5}" type="presOf" srcId="{44FBC2E2-D754-42C1-BEE4-690296442511}" destId="{402B25BB-F397-46B5-AAB7-C38C2276BF82}" srcOrd="0" destOrd="0" presId="urn:microsoft.com/office/officeart/2005/8/layout/radial1"/>
    <dgm:cxn modelId="{BB48938F-BAF9-44A1-880B-4F4AC1150B27}" type="presOf" srcId="{DB0D84B1-C440-4746-9EEF-F1ED71D64DD2}" destId="{66DADE40-99AE-41BE-B997-129EED231064}" srcOrd="0" destOrd="0" presId="urn:microsoft.com/office/officeart/2005/8/layout/radial1"/>
    <dgm:cxn modelId="{A7635B98-7E08-49D8-A7F8-1241E2D94C60}" type="presOf" srcId="{0B9D3332-6506-49A3-B313-03598D7AB1F1}" destId="{EA581F84-B016-4CDB-99D6-9E3DD9F505FC}"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78E9175F-CFED-4016-B0FE-75C55A80169A}" type="presParOf" srcId="{9D8B49BD-1DF7-4888-9A7E-2CFD4320CC2B}" destId="{493DA7EC-5D69-41B7-92E4-ED7ED9F48883}" srcOrd="0" destOrd="0" presId="urn:microsoft.com/office/officeart/2005/8/layout/radial1"/>
    <dgm:cxn modelId="{0CB0C005-DFB5-4D2F-8BB4-2C09649CD9B3}" type="presParOf" srcId="{9D8B49BD-1DF7-4888-9A7E-2CFD4320CC2B}" destId="{E6ACA703-0949-41B3-BE6B-C702E5C7275F}" srcOrd="1" destOrd="0" presId="urn:microsoft.com/office/officeart/2005/8/layout/radial1"/>
    <dgm:cxn modelId="{9E64FC97-9725-4B1C-8AA9-96CD9AAB6E6F}" type="presParOf" srcId="{E6ACA703-0949-41B3-BE6B-C702E5C7275F}" destId="{B06AADB2-5D51-41DC-8677-C0CC2357518B}" srcOrd="0" destOrd="0" presId="urn:microsoft.com/office/officeart/2005/8/layout/radial1"/>
    <dgm:cxn modelId="{E731905B-3BFB-46F6-AA84-5E6CC0BE6418}" type="presParOf" srcId="{9D8B49BD-1DF7-4888-9A7E-2CFD4320CC2B}" destId="{AFD0CC05-9AD4-4A51-8739-4FB4CA1E4ACE}" srcOrd="2" destOrd="0" presId="urn:microsoft.com/office/officeart/2005/8/layout/radial1"/>
    <dgm:cxn modelId="{8CB47875-5E3F-4FE1-9C3E-B83EF50BCEC3}" type="presParOf" srcId="{9D8B49BD-1DF7-4888-9A7E-2CFD4320CC2B}" destId="{34515D96-C834-4D67-AF5C-3B293601CBC3}" srcOrd="3" destOrd="0" presId="urn:microsoft.com/office/officeart/2005/8/layout/radial1"/>
    <dgm:cxn modelId="{6C01419F-99AC-4998-9498-C227CA658A3A}" type="presParOf" srcId="{34515D96-C834-4D67-AF5C-3B293601CBC3}" destId="{A8CF68B1-7D91-429E-8C8D-53007288E1DC}" srcOrd="0" destOrd="0" presId="urn:microsoft.com/office/officeart/2005/8/layout/radial1"/>
    <dgm:cxn modelId="{21348089-9B8D-4130-AEFE-400E06BF4C2C}" type="presParOf" srcId="{9D8B49BD-1DF7-4888-9A7E-2CFD4320CC2B}" destId="{D9366F31-B7D7-4B43-830C-AD5E2193A794}" srcOrd="4" destOrd="0" presId="urn:microsoft.com/office/officeart/2005/8/layout/radial1"/>
    <dgm:cxn modelId="{6093CEEE-38B9-4F34-9B30-3378C0D9CE54}" type="presParOf" srcId="{9D8B49BD-1DF7-4888-9A7E-2CFD4320CC2B}" destId="{3F0F15B6-4D5A-493B-B03E-AE8141DC3DCE}" srcOrd="5" destOrd="0" presId="urn:microsoft.com/office/officeart/2005/8/layout/radial1"/>
    <dgm:cxn modelId="{920B2E06-6D21-416C-85AE-7A8F5A45955A}" type="presParOf" srcId="{3F0F15B6-4D5A-493B-B03E-AE8141DC3DCE}" destId="{905DF954-A0B6-4A5F-9CE2-F1C3ADBDD0C1}" srcOrd="0" destOrd="0" presId="urn:microsoft.com/office/officeart/2005/8/layout/radial1"/>
    <dgm:cxn modelId="{D31F4331-EC30-4A83-A86B-D1DE5E97E00E}" type="presParOf" srcId="{9D8B49BD-1DF7-4888-9A7E-2CFD4320CC2B}" destId="{ECD2D13D-466C-468B-BD6C-1B646D8E5B8E}" srcOrd="6" destOrd="0" presId="urn:microsoft.com/office/officeart/2005/8/layout/radial1"/>
    <dgm:cxn modelId="{0443FBE1-4DA6-4310-82CE-64C7FC2CBD43}" type="presParOf" srcId="{9D8B49BD-1DF7-4888-9A7E-2CFD4320CC2B}" destId="{5CF8296B-0142-429D-A71A-20799D2EB74B}" srcOrd="7" destOrd="0" presId="urn:microsoft.com/office/officeart/2005/8/layout/radial1"/>
    <dgm:cxn modelId="{8A0A93A8-DB6D-4362-8D8A-37AE69F6BFD5}" type="presParOf" srcId="{5CF8296B-0142-429D-A71A-20799D2EB74B}" destId="{48797E66-4F8B-4B79-BCA7-6F88E85CF835}" srcOrd="0" destOrd="0" presId="urn:microsoft.com/office/officeart/2005/8/layout/radial1"/>
    <dgm:cxn modelId="{62109925-CE40-4EB9-8D64-70C0AB2B03F3}" type="presParOf" srcId="{9D8B49BD-1DF7-4888-9A7E-2CFD4320CC2B}" destId="{7E7DDE23-6C04-407D-AAB6-669511EA704E}" srcOrd="8" destOrd="0" presId="urn:microsoft.com/office/officeart/2005/8/layout/radial1"/>
    <dgm:cxn modelId="{6C4FC54B-4AB9-493F-958E-ABB58BF54E43}" type="presParOf" srcId="{9D8B49BD-1DF7-4888-9A7E-2CFD4320CC2B}" destId="{DC281168-2DBC-4CFB-B21D-C54E9628B383}" srcOrd="9" destOrd="0" presId="urn:microsoft.com/office/officeart/2005/8/layout/radial1"/>
    <dgm:cxn modelId="{92150378-A4AF-44AC-9666-13CB14FB0673}" type="presParOf" srcId="{DC281168-2DBC-4CFB-B21D-C54E9628B383}" destId="{0D3BFC0A-5ED4-4CCF-A336-A529B3363890}" srcOrd="0" destOrd="0" presId="urn:microsoft.com/office/officeart/2005/8/layout/radial1"/>
    <dgm:cxn modelId="{7D3CF2B9-12EE-4286-92E9-072601A60611}" type="presParOf" srcId="{9D8B49BD-1DF7-4888-9A7E-2CFD4320CC2B}" destId="{66DADE40-99AE-41BE-B997-129EED231064}" srcOrd="10" destOrd="0" presId="urn:microsoft.com/office/officeart/2005/8/layout/radial1"/>
    <dgm:cxn modelId="{3118B1B6-090C-4C00-B175-A9A0DBBB264C}" type="presParOf" srcId="{9D8B49BD-1DF7-4888-9A7E-2CFD4320CC2B}" destId="{4DF1B0BE-A63A-4BEA-9EE5-4168481CC99E}" srcOrd="11" destOrd="0" presId="urn:microsoft.com/office/officeart/2005/8/layout/radial1"/>
    <dgm:cxn modelId="{444C8781-0089-4482-A876-900645064FDB}" type="presParOf" srcId="{4DF1B0BE-A63A-4BEA-9EE5-4168481CC99E}" destId="{32B4D7AF-BD29-4AC4-BA11-37F2AE9561F4}" srcOrd="0" destOrd="0" presId="urn:microsoft.com/office/officeart/2005/8/layout/radial1"/>
    <dgm:cxn modelId="{C1BF2340-EC4D-4C0F-B0E2-379D9549DA32}" type="presParOf" srcId="{9D8B49BD-1DF7-4888-9A7E-2CFD4320CC2B}" destId="{DB594876-4070-4577-942D-67F5CD4D6A19}" srcOrd="12" destOrd="0" presId="urn:microsoft.com/office/officeart/2005/8/layout/radial1"/>
    <dgm:cxn modelId="{0EEC4D63-CA0D-4167-8A88-C97D3162E92E}" type="presParOf" srcId="{9D8B49BD-1DF7-4888-9A7E-2CFD4320CC2B}" destId="{E49C447F-3477-4311-B10B-FFFA7DE7209F}" srcOrd="13" destOrd="0" presId="urn:microsoft.com/office/officeart/2005/8/layout/radial1"/>
    <dgm:cxn modelId="{90836477-0144-45CE-B67C-B731811014A0}" type="presParOf" srcId="{E49C447F-3477-4311-B10B-FFFA7DE7209F}" destId="{B930024E-8665-4782-9C41-36517A71FCD4}" srcOrd="0" destOrd="0" presId="urn:microsoft.com/office/officeart/2005/8/layout/radial1"/>
    <dgm:cxn modelId="{5B9F58CB-4BDF-409C-9F46-44C9917F1433}" type="presParOf" srcId="{9D8B49BD-1DF7-4888-9A7E-2CFD4320CC2B}" destId="{69F18085-0AC3-4BAE-9B16-F8478FFBD61E}" srcOrd="14" destOrd="0" presId="urn:microsoft.com/office/officeart/2005/8/layout/radial1"/>
    <dgm:cxn modelId="{EF2554F7-8B2D-4B52-9A2A-493FF0C2E282}" type="presParOf" srcId="{9D8B49BD-1DF7-4888-9A7E-2CFD4320CC2B}" destId="{FCC14444-D5E7-4E9C-B980-A27CD799E442}" srcOrd="15" destOrd="0" presId="urn:microsoft.com/office/officeart/2005/8/layout/radial1"/>
    <dgm:cxn modelId="{1851860B-7550-4E93-A9C1-DC09E41DD453}" type="presParOf" srcId="{FCC14444-D5E7-4E9C-B980-A27CD799E442}" destId="{3EA6B60F-F2E8-4D48-9EC1-CAAE09243949}" srcOrd="0" destOrd="0" presId="urn:microsoft.com/office/officeart/2005/8/layout/radial1"/>
    <dgm:cxn modelId="{FF6BB669-B901-482C-AFA0-061691FB0250}" type="presParOf" srcId="{9D8B49BD-1DF7-4888-9A7E-2CFD4320CC2B}" destId="{49C45DFA-0A15-4DAA-80DC-CAE4ABCC6B43}" srcOrd="16" destOrd="0" presId="urn:microsoft.com/office/officeart/2005/8/layout/radial1"/>
    <dgm:cxn modelId="{15B1208D-9955-40DB-8AC4-464E7FDB031F}" type="presParOf" srcId="{9D8B49BD-1DF7-4888-9A7E-2CFD4320CC2B}" destId="{7B59CB2C-C82F-41EE-B3CF-ADD4878ADBA6}" srcOrd="17" destOrd="0" presId="urn:microsoft.com/office/officeart/2005/8/layout/radial1"/>
    <dgm:cxn modelId="{24F63F07-5A29-4F03-AB9B-0D410DC1A0EC}" type="presParOf" srcId="{7B59CB2C-C82F-41EE-B3CF-ADD4878ADBA6}" destId="{280B3AB5-4999-4B99-8BE9-E09C9DF5D482}" srcOrd="0" destOrd="0" presId="urn:microsoft.com/office/officeart/2005/8/layout/radial1"/>
    <dgm:cxn modelId="{53D7F51D-2AE8-411D-B7BB-BE2925D2261F}" type="presParOf" srcId="{9D8B49BD-1DF7-4888-9A7E-2CFD4320CC2B}" destId="{402B25BB-F397-46B5-AAB7-C38C2276BF82}" srcOrd="18" destOrd="0" presId="urn:microsoft.com/office/officeart/2005/8/layout/radial1"/>
    <dgm:cxn modelId="{D743C6B4-9F70-48CD-97D2-DB1C7DB96979}" type="presParOf" srcId="{9D8B49BD-1DF7-4888-9A7E-2CFD4320CC2B}" destId="{EFB9CB5A-411C-454B-96B1-9ED988829CBE}" srcOrd="19" destOrd="0" presId="urn:microsoft.com/office/officeart/2005/8/layout/radial1"/>
    <dgm:cxn modelId="{49B755A0-914B-4F02-8B1B-24BA236A3565}" type="presParOf" srcId="{EFB9CB5A-411C-454B-96B1-9ED988829CBE}" destId="{A140118B-14B1-45A7-9CF9-17E4D006F84D}" srcOrd="0" destOrd="0" presId="urn:microsoft.com/office/officeart/2005/8/layout/radial1"/>
    <dgm:cxn modelId="{E9766ACB-6B3E-4E93-A12A-D335F3A44002}" type="presParOf" srcId="{9D8B49BD-1DF7-4888-9A7E-2CFD4320CC2B}" destId="{5AF8D9AC-0C15-4D1B-BCD3-7FFCFF0A581D}" srcOrd="20" destOrd="0" presId="urn:microsoft.com/office/officeart/2005/8/layout/radial1"/>
    <dgm:cxn modelId="{7DEECB52-E276-4784-8423-AE5D621CFAEF}" type="presParOf" srcId="{9D8B49BD-1DF7-4888-9A7E-2CFD4320CC2B}" destId="{EA581F84-B016-4CDB-99D6-9E3DD9F505FC}" srcOrd="21" destOrd="0" presId="urn:microsoft.com/office/officeart/2005/8/layout/radial1"/>
    <dgm:cxn modelId="{8ADE627C-C98D-4A33-902F-63F6AB9E1939}" type="presParOf" srcId="{EA581F84-B016-4CDB-99D6-9E3DD9F505FC}" destId="{5EA7C01D-B441-4CF8-BC42-1137E519F776}" srcOrd="0" destOrd="0" presId="urn:microsoft.com/office/officeart/2005/8/layout/radial1"/>
    <dgm:cxn modelId="{E4E3C6B0-2691-44FC-B091-9AE1530CB20E}"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1616" y="601336"/>
          <a:ext cx="1104041" cy="34540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646320" y="557003"/>
          <a:ext cx="1044074" cy="4266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21594334">
          <a:off x="3465649" y="766762"/>
          <a:ext cx="1180676"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47451" y="98352"/>
          <a:ext cx="1335769" cy="4082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484300">
          <a:off x="3273667" y="545155"/>
          <a:ext cx="608493"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480609" y="-15980"/>
          <a:ext cx="876388" cy="4106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0375">
          <a:off x="2812720" y="492589"/>
          <a:ext cx="206711"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690023" y="932609"/>
          <a:ext cx="1194842" cy="5180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014511">
          <a:off x="3298508" y="963276"/>
          <a:ext cx="510793"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2241020" y="1093532"/>
          <a:ext cx="1336238" cy="4840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5427536">
          <a:off x="2838269" y="1014743"/>
          <a:ext cx="146793"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 y="507225"/>
          <a:ext cx="1175913" cy="5191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810718">
          <a:off x="1175899" y="765075"/>
          <a:ext cx="1185747"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000810" y="64211"/>
          <a:ext cx="1190731" cy="4665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1993118">
          <a:off x="2017209" y="544187"/>
          <a:ext cx="551749"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6CB633D8-E17A-4DE4-A2CF-9D4454C0DFA7}">
      <dgm:prSet phldrT="[Text]" custT="1"/>
      <dgm:spPr>
        <a:xfrm>
          <a:off x="920148" y="954757"/>
          <a:ext cx="1169855" cy="5041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a:p>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9C50F4B-2CBA-4FCE-9BB6-CCE0C01C661E}" type="parTrans" cxnId="{6C865254-BB0C-46C7-BB45-F9AA32C0CDC7}">
      <dgm:prSet/>
      <dgm:spPr>
        <a:xfrm rot="9775202">
          <a:off x="1968924" y="972377"/>
          <a:ext cx="563287"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35D8BBE-2377-4E15-9110-72BF718B05E7}" type="sibTrans" cxnId="{6C865254-BB0C-46C7-BB45-F9AA32C0CDC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19633" custLinFactNeighborY="22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5395"/>
              </a:moveTo>
              <a:lnTo>
                <a:pt x="225111" y="5395"/>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253725" custScaleY="118878" custRadScaleRad="95080" custRadScaleInc="2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a:custGeom>
          <a:avLst/>
          <a:gdLst/>
          <a:ahLst/>
          <a:cxnLst/>
          <a:rect l="0" t="0" r="0" b="0"/>
          <a:pathLst>
            <a:path>
              <a:moveTo>
                <a:pt x="0" y="5395"/>
              </a:moveTo>
              <a:lnTo>
                <a:pt x="653366" y="5395"/>
              </a:lnTo>
            </a:path>
          </a:pathLst>
        </a:custGeom>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386721" custScaleY="118179" custRadScaleRad="250314" custRadScaleInc="12163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5395"/>
              </a:moveTo>
              <a:lnTo>
                <a:pt x="1258892" y="5395"/>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302272" custScaleY="123518" custRadScaleRad="383748" custRadScaleInc="2524">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5395"/>
              </a:moveTo>
              <a:lnTo>
                <a:pt x="667894" y="5395"/>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345921" custScaleY="149995" custRadScaleRad="245698" custRadScaleInc="-120452">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5395"/>
              </a:moveTo>
              <a:lnTo>
                <a:pt x="172578" y="5395"/>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386857" custScaleY="140138" custRadScaleRad="115204" custRadScaleInc="1692">
        <dgm:presLayoutVars>
          <dgm:bulletEnabled val="1"/>
        </dgm:presLayoutVars>
      </dgm:prSet>
      <dgm:spPr>
        <a:prstGeom prst="ellipse">
          <a:avLst/>
        </a:prstGeom>
      </dgm:spPr>
      <dgm:t>
        <a:bodyPr/>
        <a:lstStyle/>
        <a:p>
          <a:endParaRPr lang="en-US"/>
        </a:p>
      </dgm:t>
    </dgm:pt>
    <dgm:pt modelId="{B6AECE84-7D2E-4CE5-85C8-4C69518D07D3}" type="pres">
      <dgm:prSet presAssocID="{59C50F4B-2CBA-4FCE-9BB6-CCE0C01C661E}" presName="Name9" presStyleLbl="parChTrans1D2" presStyleIdx="5" presStyleCnt="8"/>
      <dgm:spPr>
        <a:custGeom>
          <a:avLst/>
          <a:gdLst/>
          <a:ahLst/>
          <a:cxnLst/>
          <a:rect l="0" t="0" r="0" b="0"/>
          <a:pathLst>
            <a:path>
              <a:moveTo>
                <a:pt x="0" y="5395"/>
              </a:moveTo>
              <a:lnTo>
                <a:pt x="603884" y="5395"/>
              </a:lnTo>
            </a:path>
          </a:pathLst>
        </a:custGeom>
      </dgm:spPr>
      <dgm:t>
        <a:bodyPr/>
        <a:lstStyle/>
        <a:p>
          <a:endParaRPr lang="en-US"/>
        </a:p>
      </dgm:t>
    </dgm:pt>
    <dgm:pt modelId="{50CE434F-BB05-46ED-AE97-2E3FB93A7239}" type="pres">
      <dgm:prSet presAssocID="{59C50F4B-2CBA-4FCE-9BB6-CCE0C01C661E}" presName="connTx" presStyleLbl="parChTrans1D2" presStyleIdx="5" presStyleCnt="8"/>
      <dgm:spPr/>
      <dgm:t>
        <a:bodyPr/>
        <a:lstStyle/>
        <a:p>
          <a:endParaRPr lang="en-US"/>
        </a:p>
      </dgm:t>
    </dgm:pt>
    <dgm:pt modelId="{1E378005-6F69-4397-8C2A-FC05D53E797D}" type="pres">
      <dgm:prSet presAssocID="{6CB633D8-E17A-4DE4-A2CF-9D4454C0DFA7}" presName="node" presStyleLbl="node1" presStyleIdx="5" presStyleCnt="8" custScaleX="338687" custScaleY="145957" custRadScaleRad="252121" custRadScaleInc="11980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5395"/>
              </a:moveTo>
              <a:lnTo>
                <a:pt x="1264119" y="5395"/>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340441" custScaleY="150294" custRadScaleRad="395818" custRadScaleInc="-2060">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a:custGeom>
          <a:avLst/>
          <a:gdLst/>
          <a:ahLst/>
          <a:cxnLst/>
          <a:rect l="0" t="0" r="0" b="0"/>
          <a:pathLst>
            <a:path>
              <a:moveTo>
                <a:pt x="0" y="5395"/>
              </a:moveTo>
              <a:lnTo>
                <a:pt x="597469" y="5395"/>
              </a:lnTo>
            </a:path>
          </a:pathLst>
        </a:custGeom>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344731" custScaleY="135085" custRadScaleRad="236962" custRadScaleInc="-116104">
        <dgm:presLayoutVars>
          <dgm:bulletEnabled val="1"/>
        </dgm:presLayoutVars>
      </dgm:prSet>
      <dgm:spPr>
        <a:prstGeom prst="ellipse">
          <a:avLst/>
        </a:prstGeom>
      </dgm:spPr>
      <dgm:t>
        <a:bodyPr/>
        <a:lstStyle/>
        <a:p>
          <a:endParaRPr lang="en-US"/>
        </a:p>
      </dgm:t>
    </dgm:pt>
  </dgm:ptLst>
  <dgm:cxnLst>
    <dgm:cxn modelId="{21D100DE-12D9-412A-A32C-B52822BBAE19}" type="presOf" srcId="{BB888D51-F36E-4A1A-AD65-530BDC7DD332}" destId="{0AC78349-4F42-425B-8A1A-4393D65C2051}" srcOrd="1" destOrd="0" presId="urn:microsoft.com/office/officeart/2005/8/layout/radial1"/>
    <dgm:cxn modelId="{23F12468-D135-438D-AC86-66D99706468D}" type="presOf" srcId="{4631C2C5-1554-4289-90B0-F2D55D1595B6}" destId="{035B4C9A-0916-4FCC-A1CF-85DB358A289A}" srcOrd="0" destOrd="0" presId="urn:microsoft.com/office/officeart/2005/8/layout/radial1"/>
    <dgm:cxn modelId="{6D91285C-F7A2-4AFE-A91E-A275E9FC19CE}" type="presOf" srcId="{7AF774ED-547E-4C04-8670-B0C1D08C5EE9}" destId="{5337AE63-3722-42CC-AF72-36670EB7C5E1}" srcOrd="0" destOrd="0" presId="urn:microsoft.com/office/officeart/2005/8/layout/radial1"/>
    <dgm:cxn modelId="{6E1082AF-BD9C-4F2C-BC18-E8867AE3316D}" type="presOf" srcId="{59C50F4B-2CBA-4FCE-9BB6-CCE0C01C661E}" destId="{B6AECE84-7D2E-4CE5-85C8-4C69518D07D3}" srcOrd="0" destOrd="0" presId="urn:microsoft.com/office/officeart/2005/8/layout/radial1"/>
    <dgm:cxn modelId="{E0AB0FDC-F5E4-4186-901A-8D22F66FEA38}" type="presOf" srcId="{4693CA52-075F-4BD8-ABEA-5368BE377DDA}" destId="{62A1F741-432F-46BE-AE07-15F0B6D5EA89}"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36FE8F30-2699-454D-96F7-5A73652F340C}" type="presOf" srcId="{1ED1F83B-CD97-4E51-9FD1-4E2191C87DD9}" destId="{97004BB0-64D3-4A92-A1C1-813788F5650F}" srcOrd="0" destOrd="0" presId="urn:microsoft.com/office/officeart/2005/8/layout/radial1"/>
    <dgm:cxn modelId="{6CE1933D-E702-4CA1-AA0E-AFCB0451D05F}" type="presOf" srcId="{59C50F4B-2CBA-4FCE-9BB6-CCE0C01C661E}" destId="{50CE434F-BB05-46ED-AE97-2E3FB93A7239}"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7F04ADC-E7EC-4764-8502-A46473DB6982}" type="presOf" srcId="{960C5593-E0FF-4AA5-AA0B-E8BDFFBC5E53}" destId="{CED9197C-8322-406B-917C-172FA36E7B76}" srcOrd="0" destOrd="0" presId="urn:microsoft.com/office/officeart/2005/8/layout/radial1"/>
    <dgm:cxn modelId="{7A2F3881-9A85-4A8C-9C4B-5CC9408F5855}" srcId="{DE541715-C648-404D-8124-F14F463E9202}" destId="{47774346-E18D-4F76-8BAA-0550FDAF03CE}" srcOrd="7" destOrd="0" parTransId="{D748ED0F-9025-4150-81AF-C1AEFFEE2246}" sibTransId="{1B5C7858-3354-40C7-A720-7E7DAAC6B51B}"/>
    <dgm:cxn modelId="{18EC46B3-AD3E-4033-8A00-111DB71BD19A}" type="presOf" srcId="{DE541715-C648-404D-8124-F14F463E9202}" destId="{062AF917-2F47-4639-8A23-58AD52EC0F32}" srcOrd="0" destOrd="0" presId="urn:microsoft.com/office/officeart/2005/8/layout/radial1"/>
    <dgm:cxn modelId="{BD587306-6ED3-4776-8AE0-E66C37DFEA5A}" type="presOf" srcId="{BB888D51-F36E-4A1A-AD65-530BDC7DD332}" destId="{447FEE0B-EFE1-4BAD-80EF-66C3DD36014A}" srcOrd="0" destOrd="0" presId="urn:microsoft.com/office/officeart/2005/8/layout/radial1"/>
    <dgm:cxn modelId="{CF8E5F6A-9524-4AAC-BC02-6868917074D3}" type="presOf" srcId="{A94E6E4E-9ABC-4D91-9437-4DC447452660}" destId="{755CFD49-3313-42A9-A1A9-D99CF689F3D7}" srcOrd="0" destOrd="0" presId="urn:microsoft.com/office/officeart/2005/8/layout/radial1"/>
    <dgm:cxn modelId="{372DAFC2-25A7-4DAF-83E5-B4823398C020}" type="presOf" srcId="{4693CA52-075F-4BD8-ABEA-5368BE377DDA}" destId="{4AC11394-3179-4EC5-A97F-D1A1B521CE2F}"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CD477517-A82D-4A04-BFA7-D4C99505805F}" type="presOf" srcId="{E936BDD9-A5D4-4D21-8A3B-A9B992679F1F}" destId="{D74286FF-AAFA-441A-87F1-98384D680093}" srcOrd="0" destOrd="0" presId="urn:microsoft.com/office/officeart/2005/8/layout/radial1"/>
    <dgm:cxn modelId="{03547C23-C264-4E8B-AE11-B612F97D7343}" type="presOf" srcId="{E936BDD9-A5D4-4D21-8A3B-A9B992679F1F}" destId="{4733965B-CB9A-4F14-BD3E-CB16D7A3032B}" srcOrd="1" destOrd="0" presId="urn:microsoft.com/office/officeart/2005/8/layout/radial1"/>
    <dgm:cxn modelId="{6244737B-C9B3-4ECD-BB29-8A05A475F262}" type="presOf" srcId="{0FABC453-0A5C-4CAE-813B-F0494A34E025}" destId="{EA4144E0-C5B2-4FC0-BDB2-550B61DB7DFD}" srcOrd="1" destOrd="0" presId="urn:microsoft.com/office/officeart/2005/8/layout/radial1"/>
    <dgm:cxn modelId="{7F82DB1F-80C9-484F-975A-D66DFDE8778C}" type="presOf" srcId="{AE014B54-4FFC-4271-A6FD-00D3C5F85913}" destId="{E64AB50F-BCCF-45E7-A4E4-85ABC4F0C76B}"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7E89E051-CD5C-4130-A5D7-C99408C8CCA0}" srcId="{DE541715-C648-404D-8124-F14F463E9202}" destId="{A94E6E4E-9ABC-4D91-9437-4DC447452660}" srcOrd="6" destOrd="0" parTransId="{E936BDD9-A5D4-4D21-8A3B-A9B992679F1F}" sibTransId="{8B40EA14-C029-4AFD-8980-3E0592BA1C58}"/>
    <dgm:cxn modelId="{7A762E00-81A3-4FFE-B51D-4D50B680116D}" type="presOf" srcId="{7AF774ED-547E-4C04-8670-B0C1D08C5EE9}" destId="{326412CE-9911-4799-A459-B56F02EB4473}" srcOrd="1"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6B67BA61-AE1E-48EB-B53A-B838A38423B0}" type="presOf" srcId="{47774346-E18D-4F76-8BAA-0550FDAF03CE}" destId="{16FD236C-1C35-46D3-A6E9-C486F23997B9}"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8CF6717-5EB6-460C-B77E-1710576CB32A}" type="presOf" srcId="{6CB633D8-E17A-4DE4-A2CF-9D4454C0DFA7}" destId="{1E378005-6F69-4397-8C2A-FC05D53E797D}" srcOrd="0" destOrd="0" presId="urn:microsoft.com/office/officeart/2005/8/layout/radial1"/>
    <dgm:cxn modelId="{9862BEAD-A2F9-4E00-87C0-1C484AA6E00C}" type="presOf" srcId="{0FABC453-0A5C-4CAE-813B-F0494A34E025}" destId="{ADF94B70-0D7F-4A27-8DF9-17BCD27F4A7A}"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B1E8CDDA-E861-400C-97FE-580D4237BA68}" type="presOf" srcId="{7088B3AC-9EBC-4ABD-B45F-EC2EC96E416C}" destId="{3F1A2A14-E080-4448-96C3-A8E6002E7EE2}" srcOrd="0" destOrd="0" presId="urn:microsoft.com/office/officeart/2005/8/layout/radial1"/>
    <dgm:cxn modelId="{09B9E19D-CA84-4C6A-B80D-ACAFAEDB4E95}" type="presOf" srcId="{D748ED0F-9025-4150-81AF-C1AEFFEE2246}" destId="{A608A501-C2D4-466C-80D2-8354150DE79D}" srcOrd="1" destOrd="0" presId="urn:microsoft.com/office/officeart/2005/8/layout/radial1"/>
    <dgm:cxn modelId="{443E103E-0B06-44AB-8EAA-A47B13B07704}" type="presOf" srcId="{C06C39C9-71B8-489C-9C45-3DD37A424E39}" destId="{0FAF3FA1-8E6C-455E-B189-A468B3F4D8BC}" srcOrd="0" destOrd="0" presId="urn:microsoft.com/office/officeart/2005/8/layout/radial1"/>
    <dgm:cxn modelId="{87A72B6D-2705-48BE-AC9F-AD515C2CB95D}" type="presOf" srcId="{AE014B54-4FFC-4271-A6FD-00D3C5F85913}" destId="{073D7962-B31D-49BD-AB47-082CE21EAD80}" srcOrd="1" destOrd="0" presId="urn:microsoft.com/office/officeart/2005/8/layout/radial1"/>
    <dgm:cxn modelId="{FA6E5FDA-218C-427F-9E88-43790957438F}" type="presOf" srcId="{D748ED0F-9025-4150-81AF-C1AEFFEE2246}" destId="{6674A0B6-35AA-4763-B890-1E2177289BCF}" srcOrd="0" destOrd="0" presId="urn:microsoft.com/office/officeart/2005/8/layout/radial1"/>
    <dgm:cxn modelId="{6C865254-BB0C-46C7-BB45-F9AA32C0CDC7}" srcId="{DE541715-C648-404D-8124-F14F463E9202}" destId="{6CB633D8-E17A-4DE4-A2CF-9D4454C0DFA7}" srcOrd="5" destOrd="0" parTransId="{59C50F4B-2CBA-4FCE-9BB6-CCE0C01C661E}" sibTransId="{235D8BBE-2377-4E15-9110-72BF718B05E7}"/>
    <dgm:cxn modelId="{44DF0316-6920-4211-B847-646F837C1945}" type="presOf" srcId="{34E6C8D5-8D4F-4714-8A12-8F4599A8E760}" destId="{08F189A1-AB47-41D1-8058-7A6DA66B3F52}" srcOrd="0" destOrd="0" presId="urn:microsoft.com/office/officeart/2005/8/layout/radial1"/>
    <dgm:cxn modelId="{86E9BBB2-D414-4596-876F-1069C673A688}" type="presParOf" srcId="{08F189A1-AB47-41D1-8058-7A6DA66B3F52}" destId="{062AF917-2F47-4639-8A23-58AD52EC0F32}" srcOrd="0" destOrd="0" presId="urn:microsoft.com/office/officeart/2005/8/layout/radial1"/>
    <dgm:cxn modelId="{06E9BBB4-96AF-4529-A0A9-BA5BE94894AA}" type="presParOf" srcId="{08F189A1-AB47-41D1-8058-7A6DA66B3F52}" destId="{5337AE63-3722-42CC-AF72-36670EB7C5E1}" srcOrd="1" destOrd="0" presId="urn:microsoft.com/office/officeart/2005/8/layout/radial1"/>
    <dgm:cxn modelId="{76A2859C-85D1-4C5B-98E3-9362476250E6}" type="presParOf" srcId="{5337AE63-3722-42CC-AF72-36670EB7C5E1}" destId="{326412CE-9911-4799-A459-B56F02EB4473}" srcOrd="0" destOrd="0" presId="urn:microsoft.com/office/officeart/2005/8/layout/radial1"/>
    <dgm:cxn modelId="{5F99909E-FF15-492D-A432-800FF107729A}" type="presParOf" srcId="{08F189A1-AB47-41D1-8058-7A6DA66B3F52}" destId="{CED9197C-8322-406B-917C-172FA36E7B76}" srcOrd="2" destOrd="0" presId="urn:microsoft.com/office/officeart/2005/8/layout/radial1"/>
    <dgm:cxn modelId="{F5ACCA76-FADE-4E6B-BAC6-F6C8C5A26FC9}" type="presParOf" srcId="{08F189A1-AB47-41D1-8058-7A6DA66B3F52}" destId="{4AC11394-3179-4EC5-A97F-D1A1B521CE2F}" srcOrd="3" destOrd="0" presId="urn:microsoft.com/office/officeart/2005/8/layout/radial1"/>
    <dgm:cxn modelId="{984E63FD-C260-4874-A5C0-E50B95C51B56}" type="presParOf" srcId="{4AC11394-3179-4EC5-A97F-D1A1B521CE2F}" destId="{62A1F741-432F-46BE-AE07-15F0B6D5EA89}" srcOrd="0" destOrd="0" presId="urn:microsoft.com/office/officeart/2005/8/layout/radial1"/>
    <dgm:cxn modelId="{0C848E59-0372-4999-B25A-E6AF2268850F}" type="presParOf" srcId="{08F189A1-AB47-41D1-8058-7A6DA66B3F52}" destId="{035B4C9A-0916-4FCC-A1CF-85DB358A289A}" srcOrd="4" destOrd="0" presId="urn:microsoft.com/office/officeart/2005/8/layout/radial1"/>
    <dgm:cxn modelId="{9CB6D8E4-97C6-4E47-BC2D-49C3A966C31C}" type="presParOf" srcId="{08F189A1-AB47-41D1-8058-7A6DA66B3F52}" destId="{ADF94B70-0D7F-4A27-8DF9-17BCD27F4A7A}" srcOrd="5" destOrd="0" presId="urn:microsoft.com/office/officeart/2005/8/layout/radial1"/>
    <dgm:cxn modelId="{E14CBC45-6E96-4016-A16D-1189F8E77FB6}" type="presParOf" srcId="{ADF94B70-0D7F-4A27-8DF9-17BCD27F4A7A}" destId="{EA4144E0-C5B2-4FC0-BDB2-550B61DB7DFD}" srcOrd="0" destOrd="0" presId="urn:microsoft.com/office/officeart/2005/8/layout/radial1"/>
    <dgm:cxn modelId="{B76A07A0-282A-47D7-A59E-2F73A02665FB}" type="presParOf" srcId="{08F189A1-AB47-41D1-8058-7A6DA66B3F52}" destId="{0FAF3FA1-8E6C-455E-B189-A468B3F4D8BC}" srcOrd="6" destOrd="0" presId="urn:microsoft.com/office/officeart/2005/8/layout/radial1"/>
    <dgm:cxn modelId="{6F0E9737-050B-4402-A336-3B34C3FF6366}" type="presParOf" srcId="{08F189A1-AB47-41D1-8058-7A6DA66B3F52}" destId="{447FEE0B-EFE1-4BAD-80EF-66C3DD36014A}" srcOrd="7" destOrd="0" presId="urn:microsoft.com/office/officeart/2005/8/layout/radial1"/>
    <dgm:cxn modelId="{C8D1E130-92F9-46A4-B59F-1A320B6619AB}" type="presParOf" srcId="{447FEE0B-EFE1-4BAD-80EF-66C3DD36014A}" destId="{0AC78349-4F42-425B-8A1A-4393D65C2051}" srcOrd="0" destOrd="0" presId="urn:microsoft.com/office/officeart/2005/8/layout/radial1"/>
    <dgm:cxn modelId="{4A2AFBD8-E9C7-49F3-AF04-05380AB15F4B}" type="presParOf" srcId="{08F189A1-AB47-41D1-8058-7A6DA66B3F52}" destId="{3F1A2A14-E080-4448-96C3-A8E6002E7EE2}" srcOrd="8" destOrd="0" presId="urn:microsoft.com/office/officeart/2005/8/layout/radial1"/>
    <dgm:cxn modelId="{D2DF5F45-59A0-4D5F-8903-9AE2BBA63A06}" type="presParOf" srcId="{08F189A1-AB47-41D1-8058-7A6DA66B3F52}" destId="{E64AB50F-BCCF-45E7-A4E4-85ABC4F0C76B}" srcOrd="9" destOrd="0" presId="urn:microsoft.com/office/officeart/2005/8/layout/radial1"/>
    <dgm:cxn modelId="{E6ADAB4D-598F-4262-9D8C-AE61159C4A8E}" type="presParOf" srcId="{E64AB50F-BCCF-45E7-A4E4-85ABC4F0C76B}" destId="{073D7962-B31D-49BD-AB47-082CE21EAD80}" srcOrd="0" destOrd="0" presId="urn:microsoft.com/office/officeart/2005/8/layout/radial1"/>
    <dgm:cxn modelId="{B39752FE-7734-4230-8139-CB4196D15F1E}" type="presParOf" srcId="{08F189A1-AB47-41D1-8058-7A6DA66B3F52}" destId="{97004BB0-64D3-4A92-A1C1-813788F5650F}" srcOrd="10" destOrd="0" presId="urn:microsoft.com/office/officeart/2005/8/layout/radial1"/>
    <dgm:cxn modelId="{1429F8BE-F41C-41A7-955A-A288D56C4AB5}" type="presParOf" srcId="{08F189A1-AB47-41D1-8058-7A6DA66B3F52}" destId="{B6AECE84-7D2E-4CE5-85C8-4C69518D07D3}" srcOrd="11" destOrd="0" presId="urn:microsoft.com/office/officeart/2005/8/layout/radial1"/>
    <dgm:cxn modelId="{2364055D-F839-43D4-A609-3610310BC8AB}" type="presParOf" srcId="{B6AECE84-7D2E-4CE5-85C8-4C69518D07D3}" destId="{50CE434F-BB05-46ED-AE97-2E3FB93A7239}" srcOrd="0" destOrd="0" presId="urn:microsoft.com/office/officeart/2005/8/layout/radial1"/>
    <dgm:cxn modelId="{29F54977-0C0C-4987-8330-E98904A59384}" type="presParOf" srcId="{08F189A1-AB47-41D1-8058-7A6DA66B3F52}" destId="{1E378005-6F69-4397-8C2A-FC05D53E797D}" srcOrd="12" destOrd="0" presId="urn:microsoft.com/office/officeart/2005/8/layout/radial1"/>
    <dgm:cxn modelId="{C85C9EB4-891C-4B87-AEBE-E1DDCB97AFB0}" type="presParOf" srcId="{08F189A1-AB47-41D1-8058-7A6DA66B3F52}" destId="{D74286FF-AAFA-441A-87F1-98384D680093}" srcOrd="13" destOrd="0" presId="urn:microsoft.com/office/officeart/2005/8/layout/radial1"/>
    <dgm:cxn modelId="{328F9E18-95BB-4FAE-BA20-BFAEE8D1AAF4}" type="presParOf" srcId="{D74286FF-AAFA-441A-87F1-98384D680093}" destId="{4733965B-CB9A-4F14-BD3E-CB16D7A3032B}" srcOrd="0" destOrd="0" presId="urn:microsoft.com/office/officeart/2005/8/layout/radial1"/>
    <dgm:cxn modelId="{1E69669C-90B6-4440-BFE6-DE4D029328D8}" type="presParOf" srcId="{08F189A1-AB47-41D1-8058-7A6DA66B3F52}" destId="{755CFD49-3313-42A9-A1A9-D99CF689F3D7}" srcOrd="14" destOrd="0" presId="urn:microsoft.com/office/officeart/2005/8/layout/radial1"/>
    <dgm:cxn modelId="{0A079DF3-BDAE-4596-AB74-392208B10BF6}" type="presParOf" srcId="{08F189A1-AB47-41D1-8058-7A6DA66B3F52}" destId="{6674A0B6-35AA-4763-B890-1E2177289BCF}" srcOrd="15" destOrd="0" presId="urn:microsoft.com/office/officeart/2005/8/layout/radial1"/>
    <dgm:cxn modelId="{AF62A04C-0A92-4807-B789-7638048D9E84}" type="presParOf" srcId="{6674A0B6-35AA-4763-B890-1E2177289BCF}" destId="{A608A501-C2D4-466C-80D2-8354150DE79D}" srcOrd="0" destOrd="0" presId="urn:microsoft.com/office/officeart/2005/8/layout/radial1"/>
    <dgm:cxn modelId="{F5ADFDCD-9961-4125-9E6F-4CF94FEAD859}"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FF862692-6FE1-4C1B-8C29-4A220C00E54C}" srcId="{DE541715-C648-404D-8124-F14F463E9202}" destId="{115F3686-56C2-4580-9E8B-FA213D3DA5F6}" srcOrd="3" destOrd="0" parTransId="{0740ED97-4265-4052-8B1C-8A14B3879E4E}" sibTransId="{E9E35A43-605C-4C5A-B200-2A3B564FFAF5}"/>
    <dgm:cxn modelId="{062A7ED9-AAEC-42AA-87C0-E2F2E71174B4}" type="presOf" srcId="{7DB15392-F5F7-49E2-8294-51A0B1B620AB}" destId="{E48FCD09-4C54-4A10-9BB3-1920483E872B}" srcOrd="1" destOrd="0" presId="urn:microsoft.com/office/officeart/2005/8/layout/radial1"/>
    <dgm:cxn modelId="{0C5D916B-F0A1-4B5D-92EA-0B998784DE6E}" type="presOf" srcId="{31D2845E-7763-4EAF-A91C-F687BE68CFA9}" destId="{0D67A745-92A7-4C43-8F28-25B89678FC62}" srcOrd="1" destOrd="0" presId="urn:microsoft.com/office/officeart/2005/8/layout/radial1"/>
    <dgm:cxn modelId="{C620AD5B-0874-4758-9C2D-04EFA3F2C69D}" type="presOf" srcId="{7A68E894-33D2-492F-8570-E4DDFD311B12}" destId="{DA6728FC-5C85-4235-8ABB-D0CDA49DEB12}" srcOrd="1" destOrd="0" presId="urn:microsoft.com/office/officeart/2005/8/layout/radial1"/>
    <dgm:cxn modelId="{DCA7258D-F4DA-4A2A-80EA-5CDAE3139118}" type="presOf" srcId="{D9BD11F2-6636-4646-B3CF-323669445FAB}" destId="{5F2F4C57-6D86-42F3-B46C-09D84EF99051}" srcOrd="1" destOrd="0" presId="urn:microsoft.com/office/officeart/2005/8/layout/radial1"/>
    <dgm:cxn modelId="{2408D4D7-4104-4E30-9781-5B7FFA3CF92F}" type="presOf" srcId="{7A68E894-33D2-492F-8570-E4DDFD311B12}" destId="{9D7A60DE-15BF-4701-8167-A6BE55521FB0}" srcOrd="0" destOrd="0" presId="urn:microsoft.com/office/officeart/2005/8/layout/radial1"/>
    <dgm:cxn modelId="{E5582B63-BEAC-467F-ADAD-1ABA9677292A}"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FE974F28-473D-4CD4-A6D6-B707FE5061BF}" type="presOf" srcId="{115F3686-56C2-4580-9E8B-FA213D3DA5F6}" destId="{3DB28723-07CF-4EFC-8E24-18E41E76D4AF}" srcOrd="0"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107A73F9-6602-4BC6-A9C9-6386B24F5CFC}" type="presOf" srcId="{CB6E0A53-B07E-4B2B-89E7-D1FB86B27272}" destId="{04068EB3-8728-47DB-8B53-1F3F6EA0E656}" srcOrd="1" destOrd="0" presId="urn:microsoft.com/office/officeart/2005/8/layout/radial1"/>
    <dgm:cxn modelId="{762E42DC-3D2B-4F49-9DD4-03C01C22B626}" type="presOf" srcId="{45870664-60BD-4390-952C-AB2EEF07F4DD}" destId="{8441BECF-C9FE-4C31-BFA4-B45EB6B3D1F0}" srcOrd="0" destOrd="0" presId="urn:microsoft.com/office/officeart/2005/8/layout/radial1"/>
    <dgm:cxn modelId="{822FCA41-416C-4710-9E30-94DA6C839A6E}" type="presOf" srcId="{3BD68AEB-F6E8-461F-8590-A67172B04D7C}" destId="{77E0AE60-7058-4D43-911F-C57FA8C6CA9F}"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B929453E-838E-4855-A25E-F8A7669F3AB3}" type="presOf" srcId="{CDE3C2D2-2338-40D3-9864-33A39CCB5CF4}" destId="{05994623-F04A-4AAC-82E3-2D63726DAA8A}" srcOrd="0" destOrd="0" presId="urn:microsoft.com/office/officeart/2005/8/layout/radial1"/>
    <dgm:cxn modelId="{43BD8867-C0C7-4979-99F4-CDB9FE58D01E}" type="presOf" srcId="{31D2845E-7763-4EAF-A91C-F687BE68CFA9}" destId="{27678B34-738D-4B59-81F4-6EB54DA6F256}" srcOrd="0" destOrd="0" presId="urn:microsoft.com/office/officeart/2005/8/layout/radial1"/>
    <dgm:cxn modelId="{F8A15388-F6C2-4041-8F7F-DEB4F123BC02}" type="presOf" srcId="{00297025-FE49-44ED-8151-9AC4B35C0885}" destId="{BEAB3A6A-1AD1-41B3-BDFE-B268898D2300}"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91F1AEB7-DD3B-452D-BF98-0CB86E9E5D5A}" type="presOf" srcId="{CB6E0A53-B07E-4B2B-89E7-D1FB86B27272}" destId="{27C08CD6-CB73-4E0E-BA37-473C15E9C926}" srcOrd="0" destOrd="0" presId="urn:microsoft.com/office/officeart/2005/8/layout/radial1"/>
    <dgm:cxn modelId="{02346692-2B6D-4928-8FBD-D8F0F91B3A0D}" type="presOf" srcId="{C45608E5-C683-4F82-AC41-6429A24EED40}" destId="{53F278CD-DAFE-4670-A5E7-7708D74F671E}" srcOrd="0" destOrd="0" presId="urn:microsoft.com/office/officeart/2005/8/layout/radial1"/>
    <dgm:cxn modelId="{318812D4-FA3F-4A4F-B599-F76554C8F5E9}" type="presOf" srcId="{D9BD11F2-6636-4646-B3CF-323669445FAB}" destId="{C58C2EC9-2FE7-4521-9408-887873CF9CD6}" srcOrd="0"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D66FA0EB-381E-4583-881C-9CECE4BF2EF8}" type="presOf" srcId="{B343370C-8FB3-481F-B4DA-6C9C41B047BC}" destId="{0FDECDAE-6064-4D03-98A4-386BBAAFB761}" srcOrd="0" destOrd="0" presId="urn:microsoft.com/office/officeart/2005/8/layout/radial1"/>
    <dgm:cxn modelId="{E3CA3E9E-3C0A-4151-ADA4-09ABAE79B306}" type="presOf" srcId="{00297025-FE49-44ED-8151-9AC4B35C0885}" destId="{EED79A7F-2696-484A-8083-D28DF0387AD5}" srcOrd="0" destOrd="0" presId="urn:microsoft.com/office/officeart/2005/8/layout/radial1"/>
    <dgm:cxn modelId="{58894133-609C-4ACE-91C3-FAED54D28ABB}" type="presOf" srcId="{4E654411-73AD-4DF6-AD3B-E400E531439B}" destId="{2BEED572-A282-4C32-95EB-3B1996D142B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28D5B7A-2F26-41AE-AB53-D3AAFD70AF62}" type="presOf" srcId="{DE541715-C648-404D-8124-F14F463E9202}" destId="{062AF917-2F47-4639-8A23-58AD52EC0F32}" srcOrd="0" destOrd="0" presId="urn:microsoft.com/office/officeart/2005/8/layout/radial1"/>
    <dgm:cxn modelId="{9FD88F9E-8722-46C0-A9CF-BDEB71BE6238}" type="presOf" srcId="{0740ED97-4265-4052-8B1C-8A14B3879E4E}" destId="{BA4F9CC8-82E2-4BE5-8120-3D5D089F9CF4}" srcOrd="1" destOrd="0" presId="urn:microsoft.com/office/officeart/2005/8/layout/radial1"/>
    <dgm:cxn modelId="{3811A0F9-5086-4DFC-B808-3DA90338E0B0}" type="presOf" srcId="{0740ED97-4265-4052-8B1C-8A14B3879E4E}" destId="{B654B038-4242-46EF-A10B-FF9B1A085532}" srcOrd="0" destOrd="0" presId="urn:microsoft.com/office/officeart/2005/8/layout/radial1"/>
    <dgm:cxn modelId="{871A5D55-6900-4743-B3F9-F730DE131749}" type="presOf" srcId="{7DB15392-F5F7-49E2-8294-51A0B1B620AB}" destId="{AD2F0D4B-AECA-4B10-81AC-261AA8BE8E98}" srcOrd="0" destOrd="0" presId="urn:microsoft.com/office/officeart/2005/8/layout/radial1"/>
    <dgm:cxn modelId="{8308705F-97C0-41B1-AAD2-079D57B17D7F}" type="presParOf" srcId="{08F189A1-AB47-41D1-8058-7A6DA66B3F52}" destId="{062AF917-2F47-4639-8A23-58AD52EC0F32}" srcOrd="0" destOrd="0" presId="urn:microsoft.com/office/officeart/2005/8/layout/radial1"/>
    <dgm:cxn modelId="{5D4F15B7-334F-442B-8321-B27070062ED2}" type="presParOf" srcId="{08F189A1-AB47-41D1-8058-7A6DA66B3F52}" destId="{27C08CD6-CB73-4E0E-BA37-473C15E9C926}" srcOrd="1" destOrd="0" presId="urn:microsoft.com/office/officeart/2005/8/layout/radial1"/>
    <dgm:cxn modelId="{55A1E650-55FE-43BF-A3C4-0516916D1B37}" type="presParOf" srcId="{27C08CD6-CB73-4E0E-BA37-473C15E9C926}" destId="{04068EB3-8728-47DB-8B53-1F3F6EA0E656}" srcOrd="0" destOrd="0" presId="urn:microsoft.com/office/officeart/2005/8/layout/radial1"/>
    <dgm:cxn modelId="{5866092C-BF98-41FA-BB9F-C08502AD8B23}" type="presParOf" srcId="{08F189A1-AB47-41D1-8058-7A6DA66B3F52}" destId="{8441BECF-C9FE-4C31-BFA4-B45EB6B3D1F0}" srcOrd="2" destOrd="0" presId="urn:microsoft.com/office/officeart/2005/8/layout/radial1"/>
    <dgm:cxn modelId="{CC61281D-8B3E-4CB6-BFA2-557A3544D538}" type="presParOf" srcId="{08F189A1-AB47-41D1-8058-7A6DA66B3F52}" destId="{27678B34-738D-4B59-81F4-6EB54DA6F256}" srcOrd="3" destOrd="0" presId="urn:microsoft.com/office/officeart/2005/8/layout/radial1"/>
    <dgm:cxn modelId="{3228ECB6-C4B0-481F-B2FE-5B3523A2973F}" type="presParOf" srcId="{27678B34-738D-4B59-81F4-6EB54DA6F256}" destId="{0D67A745-92A7-4C43-8F28-25B89678FC62}" srcOrd="0" destOrd="0" presId="urn:microsoft.com/office/officeart/2005/8/layout/radial1"/>
    <dgm:cxn modelId="{0A6DF8AD-9663-4A69-90C9-F5581DC83CEE}" type="presParOf" srcId="{08F189A1-AB47-41D1-8058-7A6DA66B3F52}" destId="{77E0AE60-7058-4D43-911F-C57FA8C6CA9F}" srcOrd="4" destOrd="0" presId="urn:microsoft.com/office/officeart/2005/8/layout/radial1"/>
    <dgm:cxn modelId="{51EE58DD-225C-4B37-98EE-32E129F48095}" type="presParOf" srcId="{08F189A1-AB47-41D1-8058-7A6DA66B3F52}" destId="{EED79A7F-2696-484A-8083-D28DF0387AD5}" srcOrd="5" destOrd="0" presId="urn:microsoft.com/office/officeart/2005/8/layout/radial1"/>
    <dgm:cxn modelId="{F85B4162-7A07-40BC-A6C3-165FA3B8626F}" type="presParOf" srcId="{EED79A7F-2696-484A-8083-D28DF0387AD5}" destId="{BEAB3A6A-1AD1-41B3-BDFE-B268898D2300}" srcOrd="0" destOrd="0" presId="urn:microsoft.com/office/officeart/2005/8/layout/radial1"/>
    <dgm:cxn modelId="{D986F56B-211B-4EB5-A1E3-48DDDE5CD711}" type="presParOf" srcId="{08F189A1-AB47-41D1-8058-7A6DA66B3F52}" destId="{05994623-F04A-4AAC-82E3-2D63726DAA8A}" srcOrd="6" destOrd="0" presId="urn:microsoft.com/office/officeart/2005/8/layout/radial1"/>
    <dgm:cxn modelId="{09910739-29C1-4808-A086-A0717AF347C4}" type="presParOf" srcId="{08F189A1-AB47-41D1-8058-7A6DA66B3F52}" destId="{B654B038-4242-46EF-A10B-FF9B1A085532}" srcOrd="7" destOrd="0" presId="urn:microsoft.com/office/officeart/2005/8/layout/radial1"/>
    <dgm:cxn modelId="{92D802B9-51C5-4F23-B5E7-A26BC049F327}" type="presParOf" srcId="{B654B038-4242-46EF-A10B-FF9B1A085532}" destId="{BA4F9CC8-82E2-4BE5-8120-3D5D089F9CF4}" srcOrd="0" destOrd="0" presId="urn:microsoft.com/office/officeart/2005/8/layout/radial1"/>
    <dgm:cxn modelId="{BAFB62EB-943B-469E-BB95-8504118BA826}" type="presParOf" srcId="{08F189A1-AB47-41D1-8058-7A6DA66B3F52}" destId="{3DB28723-07CF-4EFC-8E24-18E41E76D4AF}" srcOrd="8" destOrd="0" presId="urn:microsoft.com/office/officeart/2005/8/layout/radial1"/>
    <dgm:cxn modelId="{0D22D7B5-F794-4CDD-B6F4-A4ED156B8178}" type="presParOf" srcId="{08F189A1-AB47-41D1-8058-7A6DA66B3F52}" destId="{AD2F0D4B-AECA-4B10-81AC-261AA8BE8E98}" srcOrd="9" destOrd="0" presId="urn:microsoft.com/office/officeart/2005/8/layout/radial1"/>
    <dgm:cxn modelId="{1925C91B-F980-44B8-85BF-0C4DEF4EC662}" type="presParOf" srcId="{AD2F0D4B-AECA-4B10-81AC-261AA8BE8E98}" destId="{E48FCD09-4C54-4A10-9BB3-1920483E872B}" srcOrd="0" destOrd="0" presId="urn:microsoft.com/office/officeart/2005/8/layout/radial1"/>
    <dgm:cxn modelId="{57FBCBB7-424B-4E52-B62A-AF75C32B65A7}" type="presParOf" srcId="{08F189A1-AB47-41D1-8058-7A6DA66B3F52}" destId="{2BEED572-A282-4C32-95EB-3B1996D142B1}" srcOrd="10" destOrd="0" presId="urn:microsoft.com/office/officeart/2005/8/layout/radial1"/>
    <dgm:cxn modelId="{F387DEA1-C543-48BB-B8CF-6ED00B368653}" type="presParOf" srcId="{08F189A1-AB47-41D1-8058-7A6DA66B3F52}" destId="{C58C2EC9-2FE7-4521-9408-887873CF9CD6}" srcOrd="11" destOrd="0" presId="urn:microsoft.com/office/officeart/2005/8/layout/radial1"/>
    <dgm:cxn modelId="{FB780EB5-F1B7-4D21-B3B1-D7852A53435A}" type="presParOf" srcId="{C58C2EC9-2FE7-4521-9408-887873CF9CD6}" destId="{5F2F4C57-6D86-42F3-B46C-09D84EF99051}" srcOrd="0" destOrd="0" presId="urn:microsoft.com/office/officeart/2005/8/layout/radial1"/>
    <dgm:cxn modelId="{1884D81F-CCEC-444A-ADCF-68C3CE1EC855}" type="presParOf" srcId="{08F189A1-AB47-41D1-8058-7A6DA66B3F52}" destId="{53F278CD-DAFE-4670-A5E7-7708D74F671E}" srcOrd="12" destOrd="0" presId="urn:microsoft.com/office/officeart/2005/8/layout/radial1"/>
    <dgm:cxn modelId="{D117CDED-38D6-4AC3-821F-22373BD1DA94}" type="presParOf" srcId="{08F189A1-AB47-41D1-8058-7A6DA66B3F52}" destId="{9D7A60DE-15BF-4701-8167-A6BE55521FB0}" srcOrd="13" destOrd="0" presId="urn:microsoft.com/office/officeart/2005/8/layout/radial1"/>
    <dgm:cxn modelId="{75E1BF1A-8302-4B44-BD10-5CF105A61E0E}" type="presParOf" srcId="{9D7A60DE-15BF-4701-8167-A6BE55521FB0}" destId="{DA6728FC-5C85-4235-8ABB-D0CDA49DEB12}" srcOrd="0" destOrd="0" presId="urn:microsoft.com/office/officeart/2005/8/layout/radial1"/>
    <dgm:cxn modelId="{B3BA877B-1E80-422A-985B-B810B4BD42A9}"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 </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FF862692-6FE1-4C1B-8C29-4A220C00E54C}" srcId="{DE541715-C648-404D-8124-F14F463E9202}" destId="{115F3686-56C2-4580-9E8B-FA213D3DA5F6}" srcOrd="5" destOrd="0" parTransId="{0740ED97-4265-4052-8B1C-8A14B3879E4E}" sibTransId="{E9E35A43-605C-4C5A-B200-2A3B564FFAF5}"/>
    <dgm:cxn modelId="{BD766831-7EE2-4DEA-B87E-718619859B32}" type="presOf" srcId="{CB6E0A53-B07E-4B2B-89E7-D1FB86B27272}" destId="{04068EB3-8728-47DB-8B53-1F3F6EA0E656}" srcOrd="1" destOrd="0" presId="urn:microsoft.com/office/officeart/2005/8/layout/radial1"/>
    <dgm:cxn modelId="{BF95E313-A265-4E2F-80F7-733A93934C77}" type="presOf" srcId="{45870664-60BD-4390-952C-AB2EEF07F4DD}" destId="{8441BECF-C9FE-4C31-BFA4-B45EB6B3D1F0}" srcOrd="0" destOrd="0" presId="urn:microsoft.com/office/officeart/2005/8/layout/radial1"/>
    <dgm:cxn modelId="{47165198-D4BD-46BA-A542-F4140F739E7D}" type="presOf" srcId="{3617534A-E595-427C-AC8F-9064DFBAF0A6}" destId="{5A264607-8295-4AD5-8D4E-5E0F0A25C928}" srcOrd="0" destOrd="0" presId="urn:microsoft.com/office/officeart/2005/8/layout/radial1"/>
    <dgm:cxn modelId="{C92ED547-B995-42B0-811F-76FF54E673FD}" type="presOf" srcId="{0312DC60-63F3-4695-A4B2-2143D87CBA69}" destId="{1AB73DFF-B172-4EE5-8B1D-E235635E7315}" srcOrd="0" destOrd="0" presId="urn:microsoft.com/office/officeart/2005/8/layout/radial1"/>
    <dgm:cxn modelId="{68669603-ACE5-4118-A2A9-F646CA1C536E}" type="presOf" srcId="{3BD68AEB-F6E8-461F-8590-A67172B04D7C}" destId="{77E0AE60-7058-4D43-911F-C57FA8C6CA9F}" srcOrd="0" destOrd="0" presId="urn:microsoft.com/office/officeart/2005/8/layout/radial1"/>
    <dgm:cxn modelId="{5CA5D7C9-FCD8-4E7E-8F7B-D6EEA23ABC95}" type="presOf" srcId="{7DB15392-F5F7-49E2-8294-51A0B1B620AB}" destId="{E48FCD09-4C54-4A10-9BB3-1920483E872B}" srcOrd="1" destOrd="0" presId="urn:microsoft.com/office/officeart/2005/8/layout/radial1"/>
    <dgm:cxn modelId="{3FF5A068-742E-4D2E-B8EB-C1BFE31FFCB2}" type="presOf" srcId="{92995B63-ADD2-4A50-AE0E-6CB45D8C6E35}" destId="{64B847BA-C336-4F4D-BCB1-E9F8B02329EB}" srcOrd="0" destOrd="0" presId="urn:microsoft.com/office/officeart/2005/8/layout/radial1"/>
    <dgm:cxn modelId="{CA15AF15-8A3E-4135-9783-52E1CC80D8B3}" type="presOf" srcId="{CDE3C2D2-2338-40D3-9864-33A39CCB5CF4}" destId="{05994623-F04A-4AAC-82E3-2D63726DAA8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F5872782-7B42-4C18-A712-6D6B1CCE9B36}" type="presOf" srcId="{00297025-FE49-44ED-8151-9AC4B35C0885}" destId="{EED79A7F-2696-484A-8083-D28DF0387AD5}" srcOrd="0" destOrd="0" presId="urn:microsoft.com/office/officeart/2005/8/layout/radial1"/>
    <dgm:cxn modelId="{60C424C7-CC54-4027-B080-4425E7B5050C}" srcId="{DE541715-C648-404D-8124-F14F463E9202}" destId="{CDE3C2D2-2338-40D3-9864-33A39CCB5CF4}" srcOrd="4" destOrd="0" parTransId="{00297025-FE49-44ED-8151-9AC4B35C0885}" sibTransId="{59703DE8-812C-459A-A996-B99B877A6FDC}"/>
    <dgm:cxn modelId="{DED8A1AD-D8F2-432A-A25D-5E5D3C23E375}" type="presOf" srcId="{D048942C-F61A-4F2B-B900-E08A5C266B6D}" destId="{7452C467-723D-40C3-B847-788D2E8C3669}" srcOrd="1" destOrd="0" presId="urn:microsoft.com/office/officeart/2005/8/layout/radial1"/>
    <dgm:cxn modelId="{4B3CF179-FDE3-4E57-BF47-F06754B09764}" type="presOf" srcId="{31D2845E-7763-4EAF-A91C-F687BE68CFA9}" destId="{0D67A745-92A7-4C43-8F28-25B89678FC62}" srcOrd="1"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4499AB43-A3AB-4C43-A2DF-404283294581}" type="presOf" srcId="{DE541715-C648-404D-8124-F14F463E9202}" destId="{062AF917-2F47-4639-8A23-58AD52EC0F32}" srcOrd="0" destOrd="0" presId="urn:microsoft.com/office/officeart/2005/8/layout/radial1"/>
    <dgm:cxn modelId="{B756B770-9D20-4C38-82C3-933A57DE2F9B}" type="presOf" srcId="{00297025-FE49-44ED-8151-9AC4B35C0885}" destId="{BEAB3A6A-1AD1-41B3-BDFE-B268898D2300}" srcOrd="1"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20718819-5FF9-445C-B2D2-2B25A44357C4}" type="presOf" srcId="{115F3686-56C2-4580-9E8B-FA213D3DA5F6}" destId="{3DB28723-07CF-4EFC-8E24-18E41E76D4AF}" srcOrd="0" destOrd="0" presId="urn:microsoft.com/office/officeart/2005/8/layout/radial1"/>
    <dgm:cxn modelId="{69D0C9A8-435C-4D2C-BD10-96589C42E7CE}" type="presOf" srcId="{92995B63-ADD2-4A50-AE0E-6CB45D8C6E35}" destId="{826F95A3-91FC-4B4C-BC2D-78EBAEA00899}" srcOrd="1"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43CCF283-2854-4845-9A3E-FF0CA4335CE8}" type="presOf" srcId="{0740ED97-4265-4052-8B1C-8A14B3879E4E}" destId="{BA4F9CC8-82E2-4BE5-8120-3D5D089F9CF4}" srcOrd="1"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90A1A51D-43DF-44F8-8AE6-C2D0F0FD61B4}" type="presOf" srcId="{31D2845E-7763-4EAF-A91C-F687BE68CFA9}" destId="{27678B34-738D-4B59-81F4-6EB54DA6F25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33C43D1-246B-4CAF-91D6-728CEA1EAB75}" type="presOf" srcId="{CB6E0A53-B07E-4B2B-89E7-D1FB86B27272}" destId="{27C08CD6-CB73-4E0E-BA37-473C15E9C926}" srcOrd="0" destOrd="0" presId="urn:microsoft.com/office/officeart/2005/8/layout/radial1"/>
    <dgm:cxn modelId="{4F1895DB-DCB8-4160-AE81-A87E40D36801}" type="presOf" srcId="{0740ED97-4265-4052-8B1C-8A14B3879E4E}" destId="{B654B038-4242-46EF-A10B-FF9B1A085532}" srcOrd="0" destOrd="0" presId="urn:microsoft.com/office/officeart/2005/8/layout/radial1"/>
    <dgm:cxn modelId="{8700C86B-E9B9-43B8-9C29-A463E802C48D}" type="presOf" srcId="{4E654411-73AD-4DF6-AD3B-E400E531439B}" destId="{2BEED572-A282-4C32-95EB-3B1996D142B1}" srcOrd="0" destOrd="0" presId="urn:microsoft.com/office/officeart/2005/8/layout/radial1"/>
    <dgm:cxn modelId="{12F044CD-63D5-4C75-8F26-A4873EF3BC6E}" type="presOf" srcId="{34E6C8D5-8D4F-4714-8A12-8F4599A8E760}" destId="{08F189A1-AB47-41D1-8058-7A6DA66B3F52}" srcOrd="0" destOrd="0" presId="urn:microsoft.com/office/officeart/2005/8/layout/radial1"/>
    <dgm:cxn modelId="{49BF2849-7C1B-4162-9914-4E39674726B9}" type="presOf" srcId="{7DB15392-F5F7-49E2-8294-51A0B1B620AB}" destId="{AD2F0D4B-AECA-4B10-81AC-261AA8BE8E98}" srcOrd="0" destOrd="0" presId="urn:microsoft.com/office/officeart/2005/8/layout/radial1"/>
    <dgm:cxn modelId="{61B228D3-1343-48E3-8150-DD2647841545}" type="presOf" srcId="{D048942C-F61A-4F2B-B900-E08A5C266B6D}" destId="{DDE83488-D0AF-4A61-9C32-0D1EF5D54320}" srcOrd="0" destOrd="0" presId="urn:microsoft.com/office/officeart/2005/8/layout/radial1"/>
    <dgm:cxn modelId="{526EA8C9-0CD6-4F2A-BDB0-6729DFE3D5DC}" type="presParOf" srcId="{08F189A1-AB47-41D1-8058-7A6DA66B3F52}" destId="{062AF917-2F47-4639-8A23-58AD52EC0F32}" srcOrd="0" destOrd="0" presId="urn:microsoft.com/office/officeart/2005/8/layout/radial1"/>
    <dgm:cxn modelId="{5B53BCFE-B69D-4DC9-A6BF-42B2B7564B26}" type="presParOf" srcId="{08F189A1-AB47-41D1-8058-7A6DA66B3F52}" destId="{DDE83488-D0AF-4A61-9C32-0D1EF5D54320}" srcOrd="1" destOrd="0" presId="urn:microsoft.com/office/officeart/2005/8/layout/radial1"/>
    <dgm:cxn modelId="{B5E2712B-6779-489D-9B15-50B4EF347C81}" type="presParOf" srcId="{DDE83488-D0AF-4A61-9C32-0D1EF5D54320}" destId="{7452C467-723D-40C3-B847-788D2E8C3669}" srcOrd="0" destOrd="0" presId="urn:microsoft.com/office/officeart/2005/8/layout/radial1"/>
    <dgm:cxn modelId="{A957A39C-9140-4BFA-804F-004C36530BBC}" type="presParOf" srcId="{08F189A1-AB47-41D1-8058-7A6DA66B3F52}" destId="{5A264607-8295-4AD5-8D4E-5E0F0A25C928}" srcOrd="2" destOrd="0" presId="urn:microsoft.com/office/officeart/2005/8/layout/radial1"/>
    <dgm:cxn modelId="{36752CC4-9DF2-4407-8DBE-FFC2DF7CD2A1}" type="presParOf" srcId="{08F189A1-AB47-41D1-8058-7A6DA66B3F52}" destId="{64B847BA-C336-4F4D-BCB1-E9F8B02329EB}" srcOrd="3" destOrd="0" presId="urn:microsoft.com/office/officeart/2005/8/layout/radial1"/>
    <dgm:cxn modelId="{ECA663B8-BE2D-4CC8-91CE-1EEB11B5CC5A}" type="presParOf" srcId="{64B847BA-C336-4F4D-BCB1-E9F8B02329EB}" destId="{826F95A3-91FC-4B4C-BC2D-78EBAEA00899}" srcOrd="0" destOrd="0" presId="urn:microsoft.com/office/officeart/2005/8/layout/radial1"/>
    <dgm:cxn modelId="{E27A6E5A-4E30-4F9F-8DBA-BF85A796315D}" type="presParOf" srcId="{08F189A1-AB47-41D1-8058-7A6DA66B3F52}" destId="{1AB73DFF-B172-4EE5-8B1D-E235635E7315}" srcOrd="4" destOrd="0" presId="urn:microsoft.com/office/officeart/2005/8/layout/radial1"/>
    <dgm:cxn modelId="{A0DB5536-B570-4BD6-A78E-D406A64B3E6A}" type="presParOf" srcId="{08F189A1-AB47-41D1-8058-7A6DA66B3F52}" destId="{27C08CD6-CB73-4E0E-BA37-473C15E9C926}" srcOrd="5" destOrd="0" presId="urn:microsoft.com/office/officeart/2005/8/layout/radial1"/>
    <dgm:cxn modelId="{9A942389-0D42-4806-B4BF-931BD037B91F}" type="presParOf" srcId="{27C08CD6-CB73-4E0E-BA37-473C15E9C926}" destId="{04068EB3-8728-47DB-8B53-1F3F6EA0E656}" srcOrd="0" destOrd="0" presId="urn:microsoft.com/office/officeart/2005/8/layout/radial1"/>
    <dgm:cxn modelId="{802E2925-0A25-4C49-AB79-9B950AEF2467}" type="presParOf" srcId="{08F189A1-AB47-41D1-8058-7A6DA66B3F52}" destId="{8441BECF-C9FE-4C31-BFA4-B45EB6B3D1F0}" srcOrd="6" destOrd="0" presId="urn:microsoft.com/office/officeart/2005/8/layout/radial1"/>
    <dgm:cxn modelId="{313D80C1-87AF-4D37-8105-CE8A813B597D}" type="presParOf" srcId="{08F189A1-AB47-41D1-8058-7A6DA66B3F52}" destId="{27678B34-738D-4B59-81F4-6EB54DA6F256}" srcOrd="7" destOrd="0" presId="urn:microsoft.com/office/officeart/2005/8/layout/radial1"/>
    <dgm:cxn modelId="{EABEE4EA-355F-422B-AEC2-77B23ECB8CD9}" type="presParOf" srcId="{27678B34-738D-4B59-81F4-6EB54DA6F256}" destId="{0D67A745-92A7-4C43-8F28-25B89678FC62}" srcOrd="0" destOrd="0" presId="urn:microsoft.com/office/officeart/2005/8/layout/radial1"/>
    <dgm:cxn modelId="{7206DECD-F409-40D4-91D7-7E65E17F8ADE}" type="presParOf" srcId="{08F189A1-AB47-41D1-8058-7A6DA66B3F52}" destId="{77E0AE60-7058-4D43-911F-C57FA8C6CA9F}" srcOrd="8" destOrd="0" presId="urn:microsoft.com/office/officeart/2005/8/layout/radial1"/>
    <dgm:cxn modelId="{76F911AD-3E21-4981-8861-38D9D91A2D20}" type="presParOf" srcId="{08F189A1-AB47-41D1-8058-7A6DA66B3F52}" destId="{EED79A7F-2696-484A-8083-D28DF0387AD5}" srcOrd="9" destOrd="0" presId="urn:microsoft.com/office/officeart/2005/8/layout/radial1"/>
    <dgm:cxn modelId="{F2A2E045-0200-4342-8ED1-A2F648CB49F0}" type="presParOf" srcId="{EED79A7F-2696-484A-8083-D28DF0387AD5}" destId="{BEAB3A6A-1AD1-41B3-BDFE-B268898D2300}" srcOrd="0" destOrd="0" presId="urn:microsoft.com/office/officeart/2005/8/layout/radial1"/>
    <dgm:cxn modelId="{90EE06A0-D29E-478C-BDFE-1A9B0D7BAD70}" type="presParOf" srcId="{08F189A1-AB47-41D1-8058-7A6DA66B3F52}" destId="{05994623-F04A-4AAC-82E3-2D63726DAA8A}" srcOrd="10" destOrd="0" presId="urn:microsoft.com/office/officeart/2005/8/layout/radial1"/>
    <dgm:cxn modelId="{BE61C4F5-8F02-4476-9C81-5C4EC7A98B96}" type="presParOf" srcId="{08F189A1-AB47-41D1-8058-7A6DA66B3F52}" destId="{B654B038-4242-46EF-A10B-FF9B1A085532}" srcOrd="11" destOrd="0" presId="urn:microsoft.com/office/officeart/2005/8/layout/radial1"/>
    <dgm:cxn modelId="{78221B9E-33BA-491E-878F-D528AF695782}" type="presParOf" srcId="{B654B038-4242-46EF-A10B-FF9B1A085532}" destId="{BA4F9CC8-82E2-4BE5-8120-3D5D089F9CF4}" srcOrd="0" destOrd="0" presId="urn:microsoft.com/office/officeart/2005/8/layout/radial1"/>
    <dgm:cxn modelId="{465BB5FA-5049-4CB3-8552-3A6CC4B38E07}" type="presParOf" srcId="{08F189A1-AB47-41D1-8058-7A6DA66B3F52}" destId="{3DB28723-07CF-4EFC-8E24-18E41E76D4AF}" srcOrd="12" destOrd="0" presId="urn:microsoft.com/office/officeart/2005/8/layout/radial1"/>
    <dgm:cxn modelId="{F3B48A57-BF7B-4B57-B7F4-B67011232D97}" type="presParOf" srcId="{08F189A1-AB47-41D1-8058-7A6DA66B3F52}" destId="{AD2F0D4B-AECA-4B10-81AC-261AA8BE8E98}" srcOrd="13" destOrd="0" presId="urn:microsoft.com/office/officeart/2005/8/layout/radial1"/>
    <dgm:cxn modelId="{19AD4003-D869-459A-AFC2-A5CACF93EEAB}" type="presParOf" srcId="{AD2F0D4B-AECA-4B10-81AC-261AA8BE8E98}" destId="{E48FCD09-4C54-4A10-9BB3-1920483E872B}" srcOrd="0" destOrd="0" presId="urn:microsoft.com/office/officeart/2005/8/layout/radial1"/>
    <dgm:cxn modelId="{2A1C9C1C-BCC7-45A9-971B-7ED7A4086374}"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4796" y="566732"/>
          <a:ext cx="1253541" cy="3804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316325" y="1065644"/>
          <a:ext cx="1395769" cy="4126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5449100">
          <a:off x="2958751" y="1000241"/>
          <a:ext cx="118504"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498453" y="541371"/>
          <a:ext cx="1001062" cy="40954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81225">
          <a:off x="3648229" y="745040"/>
          <a:ext cx="850274"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49638" y="35443"/>
          <a:ext cx="1348292" cy="4153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4841">
          <a:off x="2964648" y="502584"/>
          <a:ext cx="115978"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C9E753-F212-4257-9A94-5537ADFE5943}">
      <dgm:prSet phldrT="[Text]" custT="1"/>
      <dgm:spPr>
        <a:xfrm>
          <a:off x="410526" y="550618"/>
          <a:ext cx="1143408" cy="406725"/>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Libson System</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9B6D57-E004-4603-A3A8-3A2B6A815956}" type="parTrans" cxnId="{46C2FB3A-BC61-4C22-A3CC-12E30BF0C032}">
      <dgm:prSet/>
      <dgm:spPr>
        <a:xfrm rot="10804994">
          <a:off x="1553929" y="749263"/>
          <a:ext cx="840874"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399FCC-9C49-4F86-8EA2-A1E913A65726}" type="sibTrans" cxnId="{46C2FB3A-BC61-4C22-A3CC-12E30BF0C03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8203" custScaleY="93533" custLinFactNeighborX="1339" custLinFactNeighborY="16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158"/>
              </a:moveTo>
              <a:lnTo>
                <a:pt x="115978" y="615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331499" custScaleY="102111" custRadScaleRad="93857" custRadScaleInc="4202">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158"/>
              </a:moveTo>
              <a:lnTo>
                <a:pt x="850274" y="615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277118" custScaleY="112680" custRadScaleRad="376138" custRadScaleInc="115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4"/>
      <dgm:spPr>
        <a:custGeom>
          <a:avLst/>
          <a:gdLst/>
          <a:ahLst/>
          <a:cxnLst/>
          <a:rect l="0" t="0" r="0" b="0"/>
          <a:pathLst>
            <a:path>
              <a:moveTo>
                <a:pt x="0" y="6158"/>
              </a:moveTo>
              <a:lnTo>
                <a:pt x="118504" y="6158"/>
              </a:lnTo>
            </a:path>
          </a:pathLst>
        </a:custGeom>
      </dgm:spPr>
      <dgm:t>
        <a:bodyPr/>
        <a:lstStyle/>
        <a:p>
          <a:endParaRPr lang="en-US"/>
        </a:p>
      </dgm:t>
    </dgm:pt>
    <dgm:pt modelId="{EA4144E0-C5B2-4FC0-BDB2-550B61DB7DFD}" type="pres">
      <dgm:prSet presAssocID="{0FABC453-0A5C-4CAE-813B-F0494A34E025}" presName="connTx" presStyleLbl="parChTrans1D2" presStyleIdx="2" presStyleCnt="4"/>
      <dgm:spPr/>
      <dgm:t>
        <a:bodyPr/>
        <a:lstStyle/>
        <a:p>
          <a:endParaRPr lang="en-US"/>
        </a:p>
      </dgm:t>
    </dgm:pt>
    <dgm:pt modelId="{0FAF3FA1-8E6C-455E-B189-A468B3F4D8BC}" type="pres">
      <dgm:prSet presAssocID="{C06C39C9-71B8-489C-9C45-3DD37A424E39}" presName="node" presStyleLbl="node1" presStyleIdx="2" presStyleCnt="4" custScaleX="343172" custScaleY="101453" custRadScaleRad="105187" custRadScaleInc="-1560">
        <dgm:presLayoutVars>
          <dgm:bulletEnabled val="1"/>
        </dgm:presLayoutVars>
      </dgm:prSet>
      <dgm:spPr>
        <a:prstGeom prst="ellipse">
          <a:avLst/>
        </a:prstGeom>
      </dgm:spPr>
      <dgm:t>
        <a:bodyPr/>
        <a:lstStyle/>
        <a:p>
          <a:endParaRPr lang="en-US"/>
        </a:p>
      </dgm:t>
    </dgm:pt>
    <dgm:pt modelId="{9A56F0B1-9466-40E9-8BFA-10DF1330E460}" type="pres">
      <dgm:prSet presAssocID="{0F9B6D57-E004-4603-A3A8-3A2B6A815956}" presName="Name9" presStyleLbl="parChTrans1D2" presStyleIdx="3" presStyleCnt="4"/>
      <dgm:spPr>
        <a:custGeom>
          <a:avLst/>
          <a:gdLst/>
          <a:ahLst/>
          <a:cxnLst/>
          <a:rect l="0" t="0" r="0" b="0"/>
          <a:pathLst>
            <a:path>
              <a:moveTo>
                <a:pt x="0" y="6158"/>
              </a:moveTo>
              <a:lnTo>
                <a:pt x="840874" y="6158"/>
              </a:lnTo>
            </a:path>
          </a:pathLst>
        </a:custGeom>
      </dgm:spPr>
      <dgm:t>
        <a:bodyPr/>
        <a:lstStyle/>
        <a:p>
          <a:endParaRPr lang="en-US"/>
        </a:p>
      </dgm:t>
    </dgm:pt>
    <dgm:pt modelId="{5B61520A-D966-494F-A7BF-91A6C71C68DF}" type="pres">
      <dgm:prSet presAssocID="{0F9B6D57-E004-4603-A3A8-3A2B6A815956}" presName="connTx" presStyleLbl="parChTrans1D2" presStyleIdx="3" presStyleCnt="4"/>
      <dgm:spPr/>
      <dgm:t>
        <a:bodyPr/>
        <a:lstStyle/>
        <a:p>
          <a:endParaRPr lang="en-US"/>
        </a:p>
      </dgm:t>
    </dgm:pt>
    <dgm:pt modelId="{1826B69E-77B8-4580-ABF8-4926B99AA206}" type="pres">
      <dgm:prSet presAssocID="{11C9E753-F212-4257-9A94-5537ADFE5943}" presName="node" presStyleLbl="node1" presStyleIdx="3" presStyleCnt="4" custScaleX="294545" custScaleY="112561" custRadScaleRad="381365" custRadScaleInc="-126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ECE52740-8B65-4682-9B7A-C2196D7CAC60}"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9240F0F0-F430-4BCA-B016-E9B6EBA76E40}" type="presOf" srcId="{4693CA52-075F-4BD8-ABEA-5368BE377DDA}" destId="{62A1F741-432F-46BE-AE07-15F0B6D5EA89}" srcOrd="1" destOrd="0" presId="urn:microsoft.com/office/officeart/2005/8/layout/radial1"/>
    <dgm:cxn modelId="{515169A6-D8E4-4477-A5A9-9C2E811FE1C0}" type="presOf" srcId="{7AF774ED-547E-4C04-8670-B0C1D08C5EE9}" destId="{5337AE63-3722-42CC-AF72-36670EB7C5E1}" srcOrd="0" destOrd="0" presId="urn:microsoft.com/office/officeart/2005/8/layout/radial1"/>
    <dgm:cxn modelId="{0029F42A-49CE-4D22-9C50-842DABAEEE5E}" type="presOf" srcId="{0F9B6D57-E004-4603-A3A8-3A2B6A815956}" destId="{9A56F0B1-9466-40E9-8BFA-10DF1330E460}" srcOrd="0" destOrd="0" presId="urn:microsoft.com/office/officeart/2005/8/layout/radial1"/>
    <dgm:cxn modelId="{9D5734B0-AB20-4C13-9CF3-FDC966521ED9}" type="presOf" srcId="{960C5593-E0FF-4AA5-AA0B-E8BDFFBC5E53}" destId="{CED9197C-8322-406B-917C-172FA36E7B76}"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341D3B63-316F-4F90-99AF-720707D29F63}" type="presOf" srcId="{0FABC453-0A5C-4CAE-813B-F0494A34E025}" destId="{ADF94B70-0D7F-4A27-8DF9-17BCD27F4A7A}" srcOrd="0" destOrd="0" presId="urn:microsoft.com/office/officeart/2005/8/layout/radial1"/>
    <dgm:cxn modelId="{3A2FDE65-C0B2-47D1-8751-748147B02F42}" type="presOf" srcId="{DE541715-C648-404D-8124-F14F463E9202}" destId="{062AF917-2F47-4639-8A23-58AD52EC0F32}" srcOrd="0" destOrd="0" presId="urn:microsoft.com/office/officeart/2005/8/layout/radial1"/>
    <dgm:cxn modelId="{282A7646-0F3C-4238-B878-E7D24A6CF1A7}" type="presOf" srcId="{0FABC453-0A5C-4CAE-813B-F0494A34E025}" destId="{EA4144E0-C5B2-4FC0-BDB2-550B61DB7DFD}"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BD4B5F0A-D841-4C88-A277-811BAC95C3A9}" type="presOf" srcId="{0F9B6D57-E004-4603-A3A8-3A2B6A815956}" destId="{5B61520A-D966-494F-A7BF-91A6C71C68DF}" srcOrd="1" destOrd="0" presId="urn:microsoft.com/office/officeart/2005/8/layout/radial1"/>
    <dgm:cxn modelId="{46C2FB3A-BC61-4C22-A3CC-12E30BF0C032}" srcId="{DE541715-C648-404D-8124-F14F463E9202}" destId="{11C9E753-F212-4257-9A94-5537ADFE5943}" srcOrd="3" destOrd="0" parTransId="{0F9B6D57-E004-4603-A3A8-3A2B6A815956}" sibTransId="{C0399FCC-9C49-4F86-8EA2-A1E913A65726}"/>
    <dgm:cxn modelId="{3D19E033-749E-4E67-A3C0-D972786310DF}" type="presOf" srcId="{7AF774ED-547E-4C04-8670-B0C1D08C5EE9}" destId="{326412CE-9911-4799-A459-B56F02EB4473}" srcOrd="1" destOrd="0" presId="urn:microsoft.com/office/officeart/2005/8/layout/radial1"/>
    <dgm:cxn modelId="{F76EE45D-B729-445A-8496-48743B9BD52F}" type="presOf" srcId="{4693CA52-075F-4BD8-ABEA-5368BE377DDA}" destId="{4AC11394-3179-4EC5-A97F-D1A1B521CE2F}" srcOrd="0" destOrd="0" presId="urn:microsoft.com/office/officeart/2005/8/layout/radial1"/>
    <dgm:cxn modelId="{530E002B-40CC-4ACD-BFA9-923CBFA7D44D}" type="presOf" srcId="{4631C2C5-1554-4289-90B0-F2D55D1595B6}" destId="{035B4C9A-0916-4FCC-A1CF-85DB358A289A}" srcOrd="0" destOrd="0" presId="urn:microsoft.com/office/officeart/2005/8/layout/radial1"/>
    <dgm:cxn modelId="{F2B8EEFC-A22D-4FCA-BAC1-987F0630B8DA}" type="presOf" srcId="{34E6C8D5-8D4F-4714-8A12-8F4599A8E760}" destId="{08F189A1-AB47-41D1-8058-7A6DA66B3F52}" srcOrd="0" destOrd="0" presId="urn:microsoft.com/office/officeart/2005/8/layout/radial1"/>
    <dgm:cxn modelId="{8F6D4214-9D35-4EDD-B75D-39B3D32E2FEF}" type="presOf" srcId="{11C9E753-F212-4257-9A94-5537ADFE5943}" destId="{1826B69E-77B8-4580-ABF8-4926B99AA206}" srcOrd="0" destOrd="0" presId="urn:microsoft.com/office/officeart/2005/8/layout/radial1"/>
    <dgm:cxn modelId="{3E6267AE-26E9-4362-8492-F32F6396C872}" type="presParOf" srcId="{08F189A1-AB47-41D1-8058-7A6DA66B3F52}" destId="{062AF917-2F47-4639-8A23-58AD52EC0F32}" srcOrd="0" destOrd="0" presId="urn:microsoft.com/office/officeart/2005/8/layout/radial1"/>
    <dgm:cxn modelId="{7E33BB91-FE26-4561-8C8B-71C5F75B143D}" type="presParOf" srcId="{08F189A1-AB47-41D1-8058-7A6DA66B3F52}" destId="{5337AE63-3722-42CC-AF72-36670EB7C5E1}" srcOrd="1" destOrd="0" presId="urn:microsoft.com/office/officeart/2005/8/layout/radial1"/>
    <dgm:cxn modelId="{3DECA5A1-3912-4869-8FD3-332362069D35}" type="presParOf" srcId="{5337AE63-3722-42CC-AF72-36670EB7C5E1}" destId="{326412CE-9911-4799-A459-B56F02EB4473}" srcOrd="0" destOrd="0" presId="urn:microsoft.com/office/officeart/2005/8/layout/radial1"/>
    <dgm:cxn modelId="{55D8B82D-F9C8-4F2B-A443-82F029A1F062}" type="presParOf" srcId="{08F189A1-AB47-41D1-8058-7A6DA66B3F52}" destId="{CED9197C-8322-406B-917C-172FA36E7B76}" srcOrd="2" destOrd="0" presId="urn:microsoft.com/office/officeart/2005/8/layout/radial1"/>
    <dgm:cxn modelId="{B88751F1-9C2F-4418-8A6F-0872B6845EA9}" type="presParOf" srcId="{08F189A1-AB47-41D1-8058-7A6DA66B3F52}" destId="{4AC11394-3179-4EC5-A97F-D1A1B521CE2F}" srcOrd="3" destOrd="0" presId="urn:microsoft.com/office/officeart/2005/8/layout/radial1"/>
    <dgm:cxn modelId="{E37BFD7C-CD0B-49D8-B70E-CC2E5BD9AA3F}" type="presParOf" srcId="{4AC11394-3179-4EC5-A97F-D1A1B521CE2F}" destId="{62A1F741-432F-46BE-AE07-15F0B6D5EA89}" srcOrd="0" destOrd="0" presId="urn:microsoft.com/office/officeart/2005/8/layout/radial1"/>
    <dgm:cxn modelId="{FAA7D8B9-483E-49B6-B090-4265A4083774}" type="presParOf" srcId="{08F189A1-AB47-41D1-8058-7A6DA66B3F52}" destId="{035B4C9A-0916-4FCC-A1CF-85DB358A289A}" srcOrd="4" destOrd="0" presId="urn:microsoft.com/office/officeart/2005/8/layout/radial1"/>
    <dgm:cxn modelId="{B7C1EF20-282C-4211-B5EB-5942616209BB}" type="presParOf" srcId="{08F189A1-AB47-41D1-8058-7A6DA66B3F52}" destId="{ADF94B70-0D7F-4A27-8DF9-17BCD27F4A7A}" srcOrd="5" destOrd="0" presId="urn:microsoft.com/office/officeart/2005/8/layout/radial1"/>
    <dgm:cxn modelId="{A9A7126D-6B30-48C8-89BD-940752C07E0E}" type="presParOf" srcId="{ADF94B70-0D7F-4A27-8DF9-17BCD27F4A7A}" destId="{EA4144E0-C5B2-4FC0-BDB2-550B61DB7DFD}" srcOrd="0" destOrd="0" presId="urn:microsoft.com/office/officeart/2005/8/layout/radial1"/>
    <dgm:cxn modelId="{C27D3A67-8A4E-431F-88F6-8B50EC593AD5}" type="presParOf" srcId="{08F189A1-AB47-41D1-8058-7A6DA66B3F52}" destId="{0FAF3FA1-8E6C-455E-B189-A468B3F4D8BC}" srcOrd="6" destOrd="0" presId="urn:microsoft.com/office/officeart/2005/8/layout/radial1"/>
    <dgm:cxn modelId="{FC41CFF1-DF96-413B-B27D-414A46C80D3A}" type="presParOf" srcId="{08F189A1-AB47-41D1-8058-7A6DA66B3F52}" destId="{9A56F0B1-9466-40E9-8BFA-10DF1330E460}" srcOrd="7" destOrd="0" presId="urn:microsoft.com/office/officeart/2005/8/layout/radial1"/>
    <dgm:cxn modelId="{FA6AEE0C-1F46-4095-8878-0BD63C06374A}" type="presParOf" srcId="{9A56F0B1-9466-40E9-8BFA-10DF1330E460}" destId="{5B61520A-D966-494F-A7BF-91A6C71C68DF}" srcOrd="0" destOrd="0" presId="urn:microsoft.com/office/officeart/2005/8/layout/radial1"/>
    <dgm:cxn modelId="{0C3DE55E-179C-448E-A688-9C0EDF8019EC}" type="presParOf" srcId="{08F189A1-AB47-41D1-8058-7A6DA66B3F52}" destId="{1826B69E-77B8-4580-ABF8-4926B99AA206}" srcOrd="8" destOrd="0" presId="urn:microsoft.com/office/officeart/2005/8/layout/radial1"/>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A99494F1-A175-4813-9A32-8BD52D0A3052}"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ABB250C-90D6-4B79-913F-8F4E75E302D8}" type="presOf" srcId="{34E6C8D5-8D4F-4714-8A12-8F4599A8E760}" destId="{08F189A1-AB47-41D1-8058-7A6DA66B3F52}" srcOrd="0" destOrd="0" presId="urn:microsoft.com/office/officeart/2005/8/layout/radial1"/>
    <dgm:cxn modelId="{1C9165CB-6AEB-44EE-98B7-A7D09AF20700}" type="presOf" srcId="{DE541715-C648-404D-8124-F14F463E9202}" destId="{062AF917-2F47-4639-8A23-58AD52EC0F32}" srcOrd="0" destOrd="0" presId="urn:microsoft.com/office/officeart/2005/8/layout/radial1"/>
    <dgm:cxn modelId="{7831DC65-5285-47E7-A088-A1AFE05544B4}" type="presOf" srcId="{C06C39C9-71B8-489C-9C45-3DD37A424E39}" destId="{0FAF3FA1-8E6C-455E-B189-A468B3F4D8BC}" srcOrd="0" destOrd="0" presId="urn:microsoft.com/office/officeart/2005/8/layout/radial1"/>
    <dgm:cxn modelId="{99131A38-6A62-47FD-99C3-D8E881106C1B}" type="presOf" srcId="{4631C2C5-1554-4289-90B0-F2D55D1595B6}" destId="{035B4C9A-0916-4FCC-A1CF-85DB358A289A}"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66A4E586-042C-46AD-BB9A-4F8AE27FA882}" type="presOf" srcId="{45A6C23B-D452-4078-BA3A-466D0894B9EB}" destId="{C7C9B7EB-2DEF-4B99-8D38-AC2E9641BEB5}" srcOrd="1" destOrd="0" presId="urn:microsoft.com/office/officeart/2005/8/layout/radial1"/>
    <dgm:cxn modelId="{13F76B63-4755-4CDE-A4B5-FC26DFDF8EBA}" type="presOf" srcId="{0FABC453-0A5C-4CAE-813B-F0494A34E025}" destId="{EA4144E0-C5B2-4FC0-BDB2-550B61DB7DFD}" srcOrd="1" destOrd="0" presId="urn:microsoft.com/office/officeart/2005/8/layout/radial1"/>
    <dgm:cxn modelId="{C7C2506A-25A7-4E84-AFAE-83FB6F1F75A6}" type="presOf" srcId="{5C260341-F1C3-4458-A657-957289015FC3}" destId="{976BA53C-17D4-4F7C-9078-1272C469C9E5}" srcOrd="0" destOrd="0" presId="urn:microsoft.com/office/officeart/2005/8/layout/radial1"/>
    <dgm:cxn modelId="{2F6C2565-6AD9-488D-92FF-3AA910E96DDF}" type="presOf" srcId="{4693CA52-075F-4BD8-ABEA-5368BE377DDA}" destId="{62A1F741-432F-46BE-AE07-15F0B6D5EA89}" srcOrd="1" destOrd="0" presId="urn:microsoft.com/office/officeart/2005/8/layout/radial1"/>
    <dgm:cxn modelId="{6D99FD77-58A9-450D-B4D9-D43E5910429B}" type="presOf" srcId="{45A6C23B-D452-4078-BA3A-466D0894B9EB}" destId="{64248C57-3CE0-4657-BC67-6279BA0257B1}" srcOrd="0" destOrd="0" presId="urn:microsoft.com/office/officeart/2005/8/layout/radial1"/>
    <dgm:cxn modelId="{6A84DCF3-FFA6-4927-9677-9ADC2EACDD57}" type="presOf" srcId="{4693CA52-075F-4BD8-ABEA-5368BE377DDA}" destId="{4AC11394-3179-4EC5-A97F-D1A1B521CE2F}" srcOrd="0" destOrd="0" presId="urn:microsoft.com/office/officeart/2005/8/layout/radial1"/>
    <dgm:cxn modelId="{78145FD1-24E2-4EAD-AC83-5D22E815C584}" type="presParOf" srcId="{08F189A1-AB47-41D1-8058-7A6DA66B3F52}" destId="{062AF917-2F47-4639-8A23-58AD52EC0F32}" srcOrd="0" destOrd="0" presId="urn:microsoft.com/office/officeart/2005/8/layout/radial1"/>
    <dgm:cxn modelId="{16DE89EF-6177-4408-9021-1F544C67DA3D}" type="presParOf" srcId="{08F189A1-AB47-41D1-8058-7A6DA66B3F52}" destId="{4AC11394-3179-4EC5-A97F-D1A1B521CE2F}" srcOrd="1" destOrd="0" presId="urn:microsoft.com/office/officeart/2005/8/layout/radial1"/>
    <dgm:cxn modelId="{657884BA-15B8-4BE8-9525-0C602A2B8D07}" type="presParOf" srcId="{4AC11394-3179-4EC5-A97F-D1A1B521CE2F}" destId="{62A1F741-432F-46BE-AE07-15F0B6D5EA89}" srcOrd="0" destOrd="0" presId="urn:microsoft.com/office/officeart/2005/8/layout/radial1"/>
    <dgm:cxn modelId="{DE4A8D9C-6581-4302-AF0F-93BC1398294C}" type="presParOf" srcId="{08F189A1-AB47-41D1-8058-7A6DA66B3F52}" destId="{035B4C9A-0916-4FCC-A1CF-85DB358A289A}" srcOrd="2" destOrd="0" presId="urn:microsoft.com/office/officeart/2005/8/layout/radial1"/>
    <dgm:cxn modelId="{BD8FA146-387E-4AFC-B604-FAB3AB99BB30}" type="presParOf" srcId="{08F189A1-AB47-41D1-8058-7A6DA66B3F52}" destId="{64248C57-3CE0-4657-BC67-6279BA0257B1}" srcOrd="3" destOrd="0" presId="urn:microsoft.com/office/officeart/2005/8/layout/radial1"/>
    <dgm:cxn modelId="{98574113-F3B7-46EB-A74F-CD76DFFD624E}" type="presParOf" srcId="{64248C57-3CE0-4657-BC67-6279BA0257B1}" destId="{C7C9B7EB-2DEF-4B99-8D38-AC2E9641BEB5}" srcOrd="0" destOrd="0" presId="urn:microsoft.com/office/officeart/2005/8/layout/radial1"/>
    <dgm:cxn modelId="{69365B69-85EC-4DBC-8EBE-ADF93991CC6D}" type="presParOf" srcId="{08F189A1-AB47-41D1-8058-7A6DA66B3F52}" destId="{976BA53C-17D4-4F7C-9078-1272C469C9E5}" srcOrd="4" destOrd="0" presId="urn:microsoft.com/office/officeart/2005/8/layout/radial1"/>
    <dgm:cxn modelId="{9781A65D-71ED-4B67-9B88-0CB00BD1FE38}" type="presParOf" srcId="{08F189A1-AB47-41D1-8058-7A6DA66B3F52}" destId="{ADF94B70-0D7F-4A27-8DF9-17BCD27F4A7A}" srcOrd="5" destOrd="0" presId="urn:microsoft.com/office/officeart/2005/8/layout/radial1"/>
    <dgm:cxn modelId="{1A9D85C6-4B25-4AE2-8335-F95396FA98B5}" type="presParOf" srcId="{ADF94B70-0D7F-4A27-8DF9-17BCD27F4A7A}" destId="{EA4144E0-C5B2-4FC0-BDB2-550B61DB7DFD}" srcOrd="0" destOrd="0" presId="urn:microsoft.com/office/officeart/2005/8/layout/radial1"/>
    <dgm:cxn modelId="{EEB771E9-600A-4388-BB02-4345931CE6D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21365" y="549354"/>
          <a:ext cx="1215104" cy="36875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631C2C5-1554-4289-90B0-F2D55D1595B6}">
      <dgm:prSet phldrT="[Text]" custT="1"/>
      <dgm:spPr>
        <a:xfrm>
          <a:off x="4360519" y="524771"/>
          <a:ext cx="970367" cy="39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81225">
          <a:off x="3536366" y="722006"/>
          <a:ext cx="824202"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277593" y="34356"/>
          <a:ext cx="1306950" cy="4025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4841">
          <a:off x="2873745" y="486985"/>
          <a:ext cx="112422"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C9E753-F212-4257-9A94-5537ADFE5943}">
      <dgm:prSet phldrT="[Text]" custT="1"/>
      <dgm:spPr>
        <a:xfrm>
          <a:off x="397939" y="533734"/>
          <a:ext cx="1108348" cy="3942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F9B6D57-E004-4603-A3A8-3A2B6A815956}" type="parTrans" cxnId="{46C2FB3A-BC61-4C22-A3CC-12E30BF0C032}">
      <dgm:prSet/>
      <dgm:spPr>
        <a:xfrm rot="10804994">
          <a:off x="1506282" y="726100"/>
          <a:ext cx="815090" cy="1231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399FCC-9C49-4F86-8EA2-A1E913A65726}" type="sibTrans" cxnId="{46C2FB3A-BC61-4C22-A3CC-12E30BF0C03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80435" custScaleY="93533" custLinFactNeighborX="1339" custLinFactNeighborY="16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6158"/>
              </a:moveTo>
              <a:lnTo>
                <a:pt x="115978" y="6158"/>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331499" custScaleY="102111" custRadScaleRad="93857" custRadScaleInc="4202">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6158"/>
              </a:moveTo>
              <a:lnTo>
                <a:pt x="850274" y="6158"/>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347715" custScaleY="109735" custRadScaleRad="335645" custRadScaleInc="-49160">
        <dgm:presLayoutVars>
          <dgm:bulletEnabled val="1"/>
        </dgm:presLayoutVars>
      </dgm:prSet>
      <dgm:spPr>
        <a:prstGeom prst="ellipse">
          <a:avLst/>
        </a:prstGeom>
      </dgm:spPr>
      <dgm:t>
        <a:bodyPr/>
        <a:lstStyle/>
        <a:p>
          <a:endParaRPr lang="en-US"/>
        </a:p>
      </dgm:t>
    </dgm:pt>
    <dgm:pt modelId="{9A56F0B1-9466-40E9-8BFA-10DF1330E460}" type="pres">
      <dgm:prSet presAssocID="{0F9B6D57-E004-4603-A3A8-3A2B6A815956}" presName="Name9" presStyleLbl="parChTrans1D2" presStyleIdx="2" presStyleCnt="3"/>
      <dgm:spPr>
        <a:custGeom>
          <a:avLst/>
          <a:gdLst/>
          <a:ahLst/>
          <a:cxnLst/>
          <a:rect l="0" t="0" r="0" b="0"/>
          <a:pathLst>
            <a:path>
              <a:moveTo>
                <a:pt x="0" y="6158"/>
              </a:moveTo>
              <a:lnTo>
                <a:pt x="840874" y="6158"/>
              </a:lnTo>
            </a:path>
          </a:pathLst>
        </a:custGeom>
      </dgm:spPr>
      <dgm:t>
        <a:bodyPr/>
        <a:lstStyle/>
        <a:p>
          <a:endParaRPr lang="en-US"/>
        </a:p>
      </dgm:t>
    </dgm:pt>
    <dgm:pt modelId="{5B61520A-D966-494F-A7BF-91A6C71C68DF}" type="pres">
      <dgm:prSet presAssocID="{0F9B6D57-E004-4603-A3A8-3A2B6A815956}" presName="connTx" presStyleLbl="parChTrans1D2" presStyleIdx="2" presStyleCnt="3"/>
      <dgm:spPr/>
      <dgm:t>
        <a:bodyPr/>
        <a:lstStyle/>
        <a:p>
          <a:endParaRPr lang="en-US"/>
        </a:p>
      </dgm:t>
    </dgm:pt>
    <dgm:pt modelId="{1826B69E-77B8-4580-ABF8-4926B99AA206}" type="pres">
      <dgm:prSet presAssocID="{11C9E753-F212-4257-9A94-5537ADFE5943}" presName="node" presStyleLbl="node1" presStyleIdx="2" presStyleCnt="3" custScaleX="309367" custScaleY="101911" custRadScaleRad="325106" custRadScaleInc="477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9D7E0DB0-8F4F-43B5-9EE5-F7A3FDFDBA93}" type="presOf" srcId="{0F9B6D57-E004-4603-A3A8-3A2B6A815956}" destId="{5B61520A-D966-494F-A7BF-91A6C71C68DF}" srcOrd="1" destOrd="0" presId="urn:microsoft.com/office/officeart/2005/8/layout/radial1"/>
    <dgm:cxn modelId="{1AD8DCAF-5D77-4B70-9070-7E19E82E6D59}" type="presOf" srcId="{7AF774ED-547E-4C04-8670-B0C1D08C5EE9}" destId="{326412CE-9911-4799-A459-B56F02EB4473}" srcOrd="1" destOrd="0" presId="urn:microsoft.com/office/officeart/2005/8/layout/radial1"/>
    <dgm:cxn modelId="{0A422E29-8F7E-41B4-AE7C-CDE16AA540D3}"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239C053-3C6B-483D-9E3D-DCCE60EB4A63}" type="presOf" srcId="{4693CA52-075F-4BD8-ABEA-5368BE377DDA}" destId="{62A1F741-432F-46BE-AE07-15F0B6D5EA89}" srcOrd="1" destOrd="0" presId="urn:microsoft.com/office/officeart/2005/8/layout/radial1"/>
    <dgm:cxn modelId="{D5962670-9C10-4752-857E-D400831286ED}" type="presOf" srcId="{DE541715-C648-404D-8124-F14F463E9202}" destId="{062AF917-2F47-4639-8A23-58AD52EC0F32}" srcOrd="0" destOrd="0" presId="urn:microsoft.com/office/officeart/2005/8/layout/radial1"/>
    <dgm:cxn modelId="{2B4F266F-7192-4D46-8995-5043CC68B930}" type="presOf" srcId="{960C5593-E0FF-4AA5-AA0B-E8BDFFBC5E53}" destId="{CED9197C-8322-406B-917C-172FA36E7B76}"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B5139481-AE50-4DB1-B512-4E4EB6DE2A67}" type="presOf" srcId="{0F9B6D57-E004-4603-A3A8-3A2B6A815956}" destId="{9A56F0B1-9466-40E9-8BFA-10DF1330E460}" srcOrd="0" destOrd="0" presId="urn:microsoft.com/office/officeart/2005/8/layout/radial1"/>
    <dgm:cxn modelId="{35BEE838-065A-46B0-8372-CDA426DA2F72}" type="presOf" srcId="{7AF774ED-547E-4C04-8670-B0C1D08C5EE9}" destId="{5337AE63-3722-42CC-AF72-36670EB7C5E1}" srcOrd="0" destOrd="0" presId="urn:microsoft.com/office/officeart/2005/8/layout/radial1"/>
    <dgm:cxn modelId="{94F93F24-B40C-4540-BF3B-7A00C1CB832F}" type="presOf" srcId="{11C9E753-F212-4257-9A94-5537ADFE5943}" destId="{1826B69E-77B8-4580-ABF8-4926B99AA206}"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46C2FB3A-BC61-4C22-A3CC-12E30BF0C032}" srcId="{DE541715-C648-404D-8124-F14F463E9202}" destId="{11C9E753-F212-4257-9A94-5537ADFE5943}" srcOrd="2" destOrd="0" parTransId="{0F9B6D57-E004-4603-A3A8-3A2B6A815956}" sibTransId="{C0399FCC-9C49-4F86-8EA2-A1E913A65726}"/>
    <dgm:cxn modelId="{C70F1A6D-DC35-4DC2-941C-6F1D80ACCB6E}" type="presOf" srcId="{4631C2C5-1554-4289-90B0-F2D55D1595B6}" destId="{035B4C9A-0916-4FCC-A1CF-85DB358A289A}" srcOrd="0" destOrd="0" presId="urn:microsoft.com/office/officeart/2005/8/layout/radial1"/>
    <dgm:cxn modelId="{AF1D9E04-761E-4F18-AC6D-E6A1947AE304}" type="presOf" srcId="{34E6C8D5-8D4F-4714-8A12-8F4599A8E760}" destId="{08F189A1-AB47-41D1-8058-7A6DA66B3F52}" srcOrd="0" destOrd="0" presId="urn:microsoft.com/office/officeart/2005/8/layout/radial1"/>
    <dgm:cxn modelId="{05DC35BF-05D3-4A23-92C9-EF61FA68AA96}" type="presParOf" srcId="{08F189A1-AB47-41D1-8058-7A6DA66B3F52}" destId="{062AF917-2F47-4639-8A23-58AD52EC0F32}" srcOrd="0" destOrd="0" presId="urn:microsoft.com/office/officeart/2005/8/layout/radial1"/>
    <dgm:cxn modelId="{85E59628-70C8-488A-A882-56F3FA6017A6}" type="presParOf" srcId="{08F189A1-AB47-41D1-8058-7A6DA66B3F52}" destId="{5337AE63-3722-42CC-AF72-36670EB7C5E1}" srcOrd="1" destOrd="0" presId="urn:microsoft.com/office/officeart/2005/8/layout/radial1"/>
    <dgm:cxn modelId="{ABB8E8EB-321B-420A-A445-BC1182CC9F69}" type="presParOf" srcId="{5337AE63-3722-42CC-AF72-36670EB7C5E1}" destId="{326412CE-9911-4799-A459-B56F02EB4473}" srcOrd="0" destOrd="0" presId="urn:microsoft.com/office/officeart/2005/8/layout/radial1"/>
    <dgm:cxn modelId="{B13FCA9A-45D3-4595-B4E0-47EC6B9B4F96}" type="presParOf" srcId="{08F189A1-AB47-41D1-8058-7A6DA66B3F52}" destId="{CED9197C-8322-406B-917C-172FA36E7B76}" srcOrd="2" destOrd="0" presId="urn:microsoft.com/office/officeart/2005/8/layout/radial1"/>
    <dgm:cxn modelId="{DAF2FBAB-1B40-4D76-95E8-08836D495C4F}" type="presParOf" srcId="{08F189A1-AB47-41D1-8058-7A6DA66B3F52}" destId="{4AC11394-3179-4EC5-A97F-D1A1B521CE2F}" srcOrd="3" destOrd="0" presId="urn:microsoft.com/office/officeart/2005/8/layout/radial1"/>
    <dgm:cxn modelId="{A41E333F-ACAB-4701-833E-B29F65952015}" type="presParOf" srcId="{4AC11394-3179-4EC5-A97F-D1A1B521CE2F}" destId="{62A1F741-432F-46BE-AE07-15F0B6D5EA89}" srcOrd="0" destOrd="0" presId="urn:microsoft.com/office/officeart/2005/8/layout/radial1"/>
    <dgm:cxn modelId="{41B60BC9-FEC9-4D45-BD79-A0047C2D92DE}" type="presParOf" srcId="{08F189A1-AB47-41D1-8058-7A6DA66B3F52}" destId="{035B4C9A-0916-4FCC-A1CF-85DB358A289A}" srcOrd="4" destOrd="0" presId="urn:microsoft.com/office/officeart/2005/8/layout/radial1"/>
    <dgm:cxn modelId="{FCF46951-122F-4E01-B11D-39857AB98CB8}" type="presParOf" srcId="{08F189A1-AB47-41D1-8058-7A6DA66B3F52}" destId="{9A56F0B1-9466-40E9-8BFA-10DF1330E460}" srcOrd="5" destOrd="0" presId="urn:microsoft.com/office/officeart/2005/8/layout/radial1"/>
    <dgm:cxn modelId="{C845EE0A-C0A5-4D75-9327-D7ED1AE238DA}" type="presParOf" srcId="{9A56F0B1-9466-40E9-8BFA-10DF1330E460}" destId="{5B61520A-D966-494F-A7BF-91A6C71C68DF}" srcOrd="0" destOrd="0" presId="urn:microsoft.com/office/officeart/2005/8/layout/radial1"/>
    <dgm:cxn modelId="{51B67208-C39E-4F33-BBEC-CB4602DDF940}" type="presParOf" srcId="{08F189A1-AB47-41D1-8058-7A6DA66B3F52}" destId="{1826B69E-77B8-4580-ABF8-4926B99AA206}" srcOrd="6" destOrd="0" presId="urn:microsoft.com/office/officeart/2005/8/layout/radial1"/>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200">
              <a:latin typeface="Arial" panose="020B0604020202020204" pitchFamily="34" charset="0"/>
              <a:cs typeface="Arial" panose="020B0604020202020204" pitchFamily="34" charset="0"/>
            </a:rPr>
            <a:t>Program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20 </a:t>
          </a:r>
        </a:p>
        <a:p>
          <a:r>
            <a:rPr lang="en-US" sz="900">
              <a:latin typeface="Arial" panose="020B0604020202020204" pitchFamily="34" charset="0"/>
              <a:cs typeface="Arial" panose="020B0604020202020204" pitchFamily="34" charset="0"/>
            </a:rPr>
            <a:t>External Relations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18 </a:t>
          </a:r>
        </a:p>
        <a:p>
          <a:r>
            <a:rPr lang="en-US" sz="900">
              <a:latin typeface="Arial" panose="020B0604020202020204" pitchFamily="34" charset="0"/>
              <a:cs typeface="Arial" panose="020B0604020202020204" pitchFamily="34" charset="0"/>
            </a:rPr>
            <a:t>IP &amp; GC</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17 </a:t>
          </a:r>
        </a:p>
        <a:p>
          <a:r>
            <a:rPr lang="en-US" sz="900">
              <a:latin typeface="Arial" panose="020B0604020202020204" pitchFamily="34" charset="0"/>
              <a:cs typeface="Arial" panose="020B0604020202020204" pitchFamily="34" charset="0"/>
            </a:rPr>
            <a:t>Building Respect for IP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10 </a:t>
          </a:r>
        </a:p>
        <a:p>
          <a:r>
            <a:rPr lang="en-US" sz="900">
              <a:latin typeface="Arial" panose="020B0604020202020204" pitchFamily="34" charset="0"/>
              <a:cs typeface="Arial" panose="020B0604020202020204" pitchFamily="34" charset="0"/>
            </a:rPr>
            <a:t>TDC</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9</a:t>
          </a:r>
        </a:p>
        <a:p>
          <a:r>
            <a:rPr lang="en-US" sz="900">
              <a:latin typeface="Arial" panose="020B0604020202020204" pitchFamily="34" charset="0"/>
              <a:cs typeface="Arial" panose="020B0604020202020204" pitchFamily="34" charset="0"/>
            </a:rPr>
            <a:t> Regional Bureaus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6</a:t>
          </a:r>
        </a:p>
        <a:p>
          <a:r>
            <a:rPr lang="en-US" sz="900">
              <a:latin typeface="Arial" panose="020B0604020202020204" pitchFamily="34" charset="0"/>
              <a:cs typeface="Arial" panose="020B0604020202020204" pitchFamily="34" charset="0"/>
            </a:rPr>
            <a:t>Madrid System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3 </a:t>
          </a:r>
        </a:p>
        <a:p>
          <a:r>
            <a:rPr lang="en-US" sz="900">
              <a:latin typeface="Arial" panose="020B0604020202020204" pitchFamily="34" charset="0"/>
              <a:cs typeface="Arial" panose="020B0604020202020204" pitchFamily="34" charset="0"/>
            </a:rPr>
            <a:t>CRR</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2 </a:t>
          </a:r>
        </a:p>
        <a:p>
          <a:r>
            <a:rPr lang="en-US" sz="900">
              <a:latin typeface="Arial" panose="020B0604020202020204" pitchFamily="34" charset="0"/>
              <a:cs typeface="Arial" panose="020B0604020202020204" pitchFamily="34" charset="0"/>
            </a:rPr>
            <a:t>TM, ID &amp; GI </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31 </a:t>
          </a:r>
        </a:p>
        <a:p>
          <a:r>
            <a:rPr lang="en-US" sz="1000">
              <a:latin typeface="Arial" panose="020B0604020202020204" pitchFamily="34" charset="0"/>
              <a:cs typeface="Arial" panose="020B0604020202020204" pitchFamily="34" charset="0"/>
            </a:rPr>
            <a:t>Hague System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0976" custRadScaleInc="2383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33162" custRadScaleInc="7077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dgm:t>
        <a:bodyPr/>
        <a:lstStyle/>
        <a:p>
          <a:endParaRPr lang="en-US"/>
        </a:p>
      </dgm:t>
    </dgm:pt>
  </dgm:ptLst>
  <dgm:cxnLst>
    <dgm:cxn modelId="{F1535F88-782C-4788-BDFB-67A6AC73B7A6}" type="presOf" srcId="{BA28F4A6-AD16-499D-88C1-DBE004B28175}" destId="{E6ACA703-0949-41B3-BE6B-C702E5C7275F}" srcOrd="0"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2F9D8B5C-160F-4043-992D-FD2A10275602}" type="presOf" srcId="{2F72DDEE-62D3-48A5-836A-4C87596541F0}" destId="{7B59CB2C-C82F-41EE-B3CF-ADD4878ADBA6}" srcOrd="0" destOrd="0" presId="urn:microsoft.com/office/officeart/2005/8/layout/radial1"/>
    <dgm:cxn modelId="{C58E9752-797E-42A1-9220-C045D6C759E2}" type="presOf" srcId="{3F89048A-3F9F-4897-8631-4599F4976029}" destId="{4DF1B0BE-A63A-4BEA-9EE5-4168481CC99E}" srcOrd="0" destOrd="0" presId="urn:microsoft.com/office/officeart/2005/8/layout/radial1"/>
    <dgm:cxn modelId="{98551B47-37B1-47BB-AE53-DA7AC0FA03E4}" type="presOf" srcId="{D22DE764-173E-47DF-9480-722F8D8EA62C}" destId="{48797E66-4F8B-4B79-BCA7-6F88E85CF835}" srcOrd="1" destOrd="0" presId="urn:microsoft.com/office/officeart/2005/8/layout/radial1"/>
    <dgm:cxn modelId="{7A9E4ADE-5C58-4EF7-8D21-A4899F52CF16}" type="presOf" srcId="{3F89048A-3F9F-4897-8631-4599F4976029}" destId="{32B4D7AF-BD29-4AC4-BA11-37F2AE9561F4}" srcOrd="1" destOrd="0" presId="urn:microsoft.com/office/officeart/2005/8/layout/radial1"/>
    <dgm:cxn modelId="{7B615431-4ADA-4810-8EB7-AB952B32FE50}" type="presOf" srcId="{BA28F4A6-AD16-499D-88C1-DBE004B28175}" destId="{B06AADB2-5D51-41DC-8677-C0CC2357518B}" srcOrd="1" destOrd="0" presId="urn:microsoft.com/office/officeart/2005/8/layout/radial1"/>
    <dgm:cxn modelId="{028E1B54-DFC4-4C71-BBD4-5C668D748116}" type="presOf" srcId="{3869496C-0E19-4CE4-AC4D-8E2619BF9D68}" destId="{26661F75-1D9F-48E2-8FB0-82462D91AB89}" srcOrd="0" destOrd="0" presId="urn:microsoft.com/office/officeart/2005/8/layout/radial1"/>
    <dgm:cxn modelId="{6BE3CFB2-37E3-4BA5-9C54-9D0EA49D1EB2}" type="presOf" srcId="{AD80D2A2-2CDC-439E-8A80-49FDDE50F566}" destId="{653D05C2-436A-4268-A4B1-DA090CACDDFB}" srcOrd="1" destOrd="0" presId="urn:microsoft.com/office/officeart/2005/8/layout/radial1"/>
    <dgm:cxn modelId="{FFD436EA-AEB1-444A-A0B1-B37230FC9D10}" type="presOf" srcId="{44FBC2E2-D754-42C1-BEE4-690296442511}" destId="{402B25BB-F397-46B5-AAB7-C38C2276BF82}" srcOrd="0" destOrd="0" presId="urn:microsoft.com/office/officeart/2005/8/layout/radial1"/>
    <dgm:cxn modelId="{3E6C0E56-E670-4C37-A400-AC504DD34902}" type="presOf" srcId="{7C1FA040-4399-40F0-866F-845B7914F68D}" destId="{69F18085-0AC3-4BAE-9B16-F8478FFBD61E}" srcOrd="0" destOrd="0" presId="urn:microsoft.com/office/officeart/2005/8/layout/radial1"/>
    <dgm:cxn modelId="{95ABF0B8-3255-4F4D-B1F8-8B409C1D7EC3}" type="presOf" srcId="{A7516A72-1FC0-46ED-AAC4-AF0F7063F737}" destId="{493DA7EC-5D69-41B7-92E4-ED7ED9F48883}"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61589C9C-2ABA-4F79-9733-E70E92C00DE3}" type="presOf" srcId="{D460D018-736B-4CE5-A14B-061F8EFE829B}" destId="{5AF8D9AC-0C15-4D1B-BCD3-7FFCFF0A581D}" srcOrd="0" destOrd="0" presId="urn:microsoft.com/office/officeart/2005/8/layout/radial1"/>
    <dgm:cxn modelId="{34F9B48C-D5D7-4C08-ADB7-8A963ECE0283}" type="presOf" srcId="{14602118-D739-48CC-85E0-791974AFA995}" destId="{DB594876-4070-4577-942D-67F5CD4D6A19}" srcOrd="0" destOrd="0" presId="urn:microsoft.com/office/officeart/2005/8/layout/radial1"/>
    <dgm:cxn modelId="{0A4B440B-B4D6-42FB-B3BD-90D61180579C}" type="presOf" srcId="{98585C11-761C-43C4-979D-FB1B8BABF102}" destId="{E49C447F-3477-4311-B10B-FFFA7DE7209F}" srcOrd="0" destOrd="0" presId="urn:microsoft.com/office/officeart/2005/8/layout/radial1"/>
    <dgm:cxn modelId="{9028E205-7BDA-4EB6-AE07-A7AEBFE3BCB0}" type="presOf" srcId="{DB0D84B1-C440-4746-9EEF-F1ED71D64DD2}" destId="{66DADE40-99AE-41BE-B997-129EED231064}"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6429227C-662D-4AFB-99E3-788DDAEC5919}" type="presOf" srcId="{9E510621-404D-46D6-8EB3-39712C8626D4}" destId="{0D3BFC0A-5ED4-4CCF-A336-A529B3363890}" srcOrd="1" destOrd="0" presId="urn:microsoft.com/office/officeart/2005/8/layout/radial1"/>
    <dgm:cxn modelId="{58DC060B-5C2C-4774-A3D3-FE3683CA8123}" type="presOf" srcId="{98585C11-761C-43C4-979D-FB1B8BABF102}" destId="{B930024E-8665-4782-9C41-36517A71FCD4}" srcOrd="1" destOrd="0" presId="urn:microsoft.com/office/officeart/2005/8/layout/radial1"/>
    <dgm:cxn modelId="{017AB341-3182-4472-98E4-2442868CDE59}" type="presOf" srcId="{B4A5C031-92B2-438E-80BC-EAA05F5C7CF7}" destId="{A140118B-14B1-45A7-9CF9-17E4D006F84D}"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ABE906B9-96B7-4767-8641-393D9FF09214}" type="presOf" srcId="{DEF73824-C893-4963-9504-7E97D2FF5253}" destId="{FCC14444-D5E7-4E9C-B980-A27CD799E442}" srcOrd="0" destOrd="0" presId="urn:microsoft.com/office/officeart/2005/8/layout/radial1"/>
    <dgm:cxn modelId="{7B2C2D01-EA47-4A00-8ED0-20BBEF64C45B}" type="presOf" srcId="{D981426F-5B7B-4AA5-957A-6E8C9E1A2487}" destId="{9D8B49BD-1DF7-4888-9A7E-2CFD4320CC2B}" srcOrd="0" destOrd="0" presId="urn:microsoft.com/office/officeart/2005/8/layout/radial1"/>
    <dgm:cxn modelId="{05EBE09E-2130-41C9-A83A-4BBF10579432}" type="presOf" srcId="{9E510621-404D-46D6-8EB3-39712C8626D4}" destId="{DC281168-2DBC-4CFB-B21D-C54E9628B383}"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E5DD3C3F-F401-46C8-9D1F-CEE8478EFA81}" srcId="{A7516A72-1FC0-46ED-AAC4-AF0F7063F737}" destId="{2628F477-2289-4CEE-9618-96DDAFCD4291}" srcOrd="6" destOrd="0" parTransId="{DEF73824-C893-4963-9504-7E97D2FF5253}" sibTransId="{6D6ABE48-6FEB-4EAA-849C-585AC08FCF5B}"/>
    <dgm:cxn modelId="{4D4C8994-3584-43CF-BE03-7490E485E430}" type="presOf" srcId="{DB9FEC62-86A7-454A-89B3-F32F1907C71A}" destId="{A8CF68B1-7D91-429E-8C8D-53007288E1DC}" srcOrd="1" destOrd="0" presId="urn:microsoft.com/office/officeart/2005/8/layout/radial1"/>
    <dgm:cxn modelId="{8A57EC0E-1BB1-4857-B52E-F604CF89CE37}" type="presOf" srcId="{2628F477-2289-4CEE-9618-96DDAFCD4291}" destId="{49C45DFA-0A15-4DAA-80DC-CAE4ABCC6B43}" srcOrd="0" destOrd="0" presId="urn:microsoft.com/office/officeart/2005/8/layout/radial1"/>
    <dgm:cxn modelId="{F8BA948F-1F5E-47C8-9C5B-3670FCC62669}" type="presOf" srcId="{898446A3-EA8C-4C13-8A65-DF8A110D0838}" destId="{D9366F31-B7D7-4B43-830C-AD5E2193A794}" srcOrd="0" destOrd="0" presId="urn:microsoft.com/office/officeart/2005/8/layout/radial1"/>
    <dgm:cxn modelId="{68597347-1F74-4B8F-AD57-CE4E14AE0AB0}" type="presOf" srcId="{2F72DDEE-62D3-48A5-836A-4C87596541F0}" destId="{280B3AB5-4999-4B99-8BE9-E09C9DF5D482}" srcOrd="1" destOrd="0" presId="urn:microsoft.com/office/officeart/2005/8/layout/radial1"/>
    <dgm:cxn modelId="{1A24ED44-390B-42F7-93AC-6334ABF8B6FD}" type="presOf" srcId="{D22DE764-173E-47DF-9480-722F8D8EA62C}" destId="{5CF8296B-0142-429D-A71A-20799D2EB74B}" srcOrd="0" destOrd="0" presId="urn:microsoft.com/office/officeart/2005/8/layout/radial1"/>
    <dgm:cxn modelId="{F9162081-92C5-45E3-81E0-8687BEE67D2A}" type="presOf" srcId="{DB9FEC62-86A7-454A-89B3-F32F1907C71A}" destId="{34515D96-C834-4D67-AF5C-3B293601CBC3}" srcOrd="0" destOrd="0" presId="urn:microsoft.com/office/officeart/2005/8/layout/radial1"/>
    <dgm:cxn modelId="{D6FC7AA2-9C00-484C-939F-337F7DC2B864}" type="presOf" srcId="{AD80D2A2-2CDC-439E-8A80-49FDDE50F566}" destId="{5DC5D51E-945B-4CCC-B580-737CA66D42E3}" srcOrd="0" destOrd="0" presId="urn:microsoft.com/office/officeart/2005/8/layout/radial1"/>
    <dgm:cxn modelId="{84EE2315-0918-4963-B3F9-E65B13216AAC}" type="presOf" srcId="{B4A5C031-92B2-438E-80BC-EAA05F5C7CF7}" destId="{EFB9CB5A-411C-454B-96B1-9ED988829CBE}" srcOrd="0"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8F5B3EA7-E45E-4A04-86D9-B4587ABF4746}" type="presOf" srcId="{6DAE892F-3F2D-42A5-BB1C-58D0E6BD9A47}" destId="{7E7DDE23-6C04-407D-AAB6-669511EA704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02E26EE3-9B35-4CA5-883B-DC6FBAD2E678}" type="presOf" srcId="{DEF73824-C893-4963-9504-7E97D2FF5253}" destId="{3EA6B60F-F2E8-4D48-9EC1-CAAE09243949}" srcOrd="1" destOrd="0" presId="urn:microsoft.com/office/officeart/2005/8/layout/radial1"/>
    <dgm:cxn modelId="{F4CECBC7-6958-4CA6-ACE4-AB81C3FB65FE}" type="presOf" srcId="{68A5766F-115C-487E-B7CB-4ADE150678D1}" destId="{AFD0CC05-9AD4-4A51-8739-4FB4CA1E4ACE}" srcOrd="0" destOrd="0" presId="urn:microsoft.com/office/officeart/2005/8/layout/radial1"/>
    <dgm:cxn modelId="{2202C7FA-4C01-42AC-B4B2-A0052B062BA4}" type="presParOf" srcId="{9D8B49BD-1DF7-4888-9A7E-2CFD4320CC2B}" destId="{493DA7EC-5D69-41B7-92E4-ED7ED9F48883}" srcOrd="0" destOrd="0" presId="urn:microsoft.com/office/officeart/2005/8/layout/radial1"/>
    <dgm:cxn modelId="{499A34B8-1125-4E71-9CDF-CEB6D19EF532}" type="presParOf" srcId="{9D8B49BD-1DF7-4888-9A7E-2CFD4320CC2B}" destId="{E6ACA703-0949-41B3-BE6B-C702E5C7275F}" srcOrd="1" destOrd="0" presId="urn:microsoft.com/office/officeart/2005/8/layout/radial1"/>
    <dgm:cxn modelId="{35E89E28-79A7-4B29-9898-1F6C3E127C33}" type="presParOf" srcId="{E6ACA703-0949-41B3-BE6B-C702E5C7275F}" destId="{B06AADB2-5D51-41DC-8677-C0CC2357518B}" srcOrd="0" destOrd="0" presId="urn:microsoft.com/office/officeart/2005/8/layout/radial1"/>
    <dgm:cxn modelId="{CE9D26C4-A03C-413D-B611-C987B57A036F}" type="presParOf" srcId="{9D8B49BD-1DF7-4888-9A7E-2CFD4320CC2B}" destId="{AFD0CC05-9AD4-4A51-8739-4FB4CA1E4ACE}" srcOrd="2" destOrd="0" presId="urn:microsoft.com/office/officeart/2005/8/layout/radial1"/>
    <dgm:cxn modelId="{7AF7F373-1FCE-4769-8397-CEE22B6D3C72}" type="presParOf" srcId="{9D8B49BD-1DF7-4888-9A7E-2CFD4320CC2B}" destId="{34515D96-C834-4D67-AF5C-3B293601CBC3}" srcOrd="3" destOrd="0" presId="urn:microsoft.com/office/officeart/2005/8/layout/radial1"/>
    <dgm:cxn modelId="{EB10FADE-53F5-420B-8875-9181458FCC94}" type="presParOf" srcId="{34515D96-C834-4D67-AF5C-3B293601CBC3}" destId="{A8CF68B1-7D91-429E-8C8D-53007288E1DC}" srcOrd="0" destOrd="0" presId="urn:microsoft.com/office/officeart/2005/8/layout/radial1"/>
    <dgm:cxn modelId="{E69FBDDF-45B9-428F-80F7-77B340BF4564}" type="presParOf" srcId="{9D8B49BD-1DF7-4888-9A7E-2CFD4320CC2B}" destId="{D9366F31-B7D7-4B43-830C-AD5E2193A794}" srcOrd="4" destOrd="0" presId="urn:microsoft.com/office/officeart/2005/8/layout/radial1"/>
    <dgm:cxn modelId="{03C5E5A7-1989-4472-9222-72B74DD5D58E}" type="presParOf" srcId="{9D8B49BD-1DF7-4888-9A7E-2CFD4320CC2B}" destId="{5CF8296B-0142-429D-A71A-20799D2EB74B}" srcOrd="5" destOrd="0" presId="urn:microsoft.com/office/officeart/2005/8/layout/radial1"/>
    <dgm:cxn modelId="{F2DF2693-F933-4222-AFA3-332ACC2F18BC}" type="presParOf" srcId="{5CF8296B-0142-429D-A71A-20799D2EB74B}" destId="{48797E66-4F8B-4B79-BCA7-6F88E85CF835}" srcOrd="0" destOrd="0" presId="urn:microsoft.com/office/officeart/2005/8/layout/radial1"/>
    <dgm:cxn modelId="{6957D61B-1C72-4A38-A1B6-4200D81E86B9}" type="presParOf" srcId="{9D8B49BD-1DF7-4888-9A7E-2CFD4320CC2B}" destId="{7E7DDE23-6C04-407D-AAB6-669511EA704E}" srcOrd="6" destOrd="0" presId="urn:microsoft.com/office/officeart/2005/8/layout/radial1"/>
    <dgm:cxn modelId="{4EABD1DC-68A3-4922-9CD7-F5C755DF94B3}" type="presParOf" srcId="{9D8B49BD-1DF7-4888-9A7E-2CFD4320CC2B}" destId="{DC281168-2DBC-4CFB-B21D-C54E9628B383}" srcOrd="7" destOrd="0" presId="urn:microsoft.com/office/officeart/2005/8/layout/radial1"/>
    <dgm:cxn modelId="{F3412D48-E1A7-495D-8C0A-38993C6F1552}" type="presParOf" srcId="{DC281168-2DBC-4CFB-B21D-C54E9628B383}" destId="{0D3BFC0A-5ED4-4CCF-A336-A529B3363890}" srcOrd="0" destOrd="0" presId="urn:microsoft.com/office/officeart/2005/8/layout/radial1"/>
    <dgm:cxn modelId="{6C5CF6B3-81EA-4744-9CB1-E78EE0F54180}" type="presParOf" srcId="{9D8B49BD-1DF7-4888-9A7E-2CFD4320CC2B}" destId="{66DADE40-99AE-41BE-B997-129EED231064}" srcOrd="8" destOrd="0" presId="urn:microsoft.com/office/officeart/2005/8/layout/radial1"/>
    <dgm:cxn modelId="{8C54B32A-5F0C-48DF-8624-D930FF5CAE18}" type="presParOf" srcId="{9D8B49BD-1DF7-4888-9A7E-2CFD4320CC2B}" destId="{4DF1B0BE-A63A-4BEA-9EE5-4168481CC99E}" srcOrd="9" destOrd="0" presId="urn:microsoft.com/office/officeart/2005/8/layout/radial1"/>
    <dgm:cxn modelId="{69B98185-6232-46D3-A155-FD2616158879}" type="presParOf" srcId="{4DF1B0BE-A63A-4BEA-9EE5-4168481CC99E}" destId="{32B4D7AF-BD29-4AC4-BA11-37F2AE9561F4}" srcOrd="0" destOrd="0" presId="urn:microsoft.com/office/officeart/2005/8/layout/radial1"/>
    <dgm:cxn modelId="{73427138-764B-455A-B03B-EF07E33FCAE5}" type="presParOf" srcId="{9D8B49BD-1DF7-4888-9A7E-2CFD4320CC2B}" destId="{DB594876-4070-4577-942D-67F5CD4D6A19}" srcOrd="10" destOrd="0" presId="urn:microsoft.com/office/officeart/2005/8/layout/radial1"/>
    <dgm:cxn modelId="{E4618BAD-EA2F-4B43-B7B9-51F602B691B6}" type="presParOf" srcId="{9D8B49BD-1DF7-4888-9A7E-2CFD4320CC2B}" destId="{E49C447F-3477-4311-B10B-FFFA7DE7209F}" srcOrd="11" destOrd="0" presId="urn:microsoft.com/office/officeart/2005/8/layout/radial1"/>
    <dgm:cxn modelId="{5A55AA27-7AB8-4413-8984-5C2AA09BDA93}" type="presParOf" srcId="{E49C447F-3477-4311-B10B-FFFA7DE7209F}" destId="{B930024E-8665-4782-9C41-36517A71FCD4}" srcOrd="0" destOrd="0" presId="urn:microsoft.com/office/officeart/2005/8/layout/radial1"/>
    <dgm:cxn modelId="{2F49C5F9-E727-4736-8D6B-4BD0B0F05716}" type="presParOf" srcId="{9D8B49BD-1DF7-4888-9A7E-2CFD4320CC2B}" destId="{69F18085-0AC3-4BAE-9B16-F8478FFBD61E}" srcOrd="12" destOrd="0" presId="urn:microsoft.com/office/officeart/2005/8/layout/radial1"/>
    <dgm:cxn modelId="{14D3E405-8F25-4D35-888E-B087B56D85BC}" type="presParOf" srcId="{9D8B49BD-1DF7-4888-9A7E-2CFD4320CC2B}" destId="{FCC14444-D5E7-4E9C-B980-A27CD799E442}" srcOrd="13" destOrd="0" presId="urn:microsoft.com/office/officeart/2005/8/layout/radial1"/>
    <dgm:cxn modelId="{06748914-21DC-4793-823A-490EB8EBD738}" type="presParOf" srcId="{FCC14444-D5E7-4E9C-B980-A27CD799E442}" destId="{3EA6B60F-F2E8-4D48-9EC1-CAAE09243949}" srcOrd="0" destOrd="0" presId="urn:microsoft.com/office/officeart/2005/8/layout/radial1"/>
    <dgm:cxn modelId="{3DF34842-5274-45C7-85CC-1E63B80A3D42}" type="presParOf" srcId="{9D8B49BD-1DF7-4888-9A7E-2CFD4320CC2B}" destId="{49C45DFA-0A15-4DAA-80DC-CAE4ABCC6B43}" srcOrd="14" destOrd="0" presId="urn:microsoft.com/office/officeart/2005/8/layout/radial1"/>
    <dgm:cxn modelId="{D64E27CA-AF45-4D7D-9FEC-505DA393041C}" type="presParOf" srcId="{9D8B49BD-1DF7-4888-9A7E-2CFD4320CC2B}" destId="{7B59CB2C-C82F-41EE-B3CF-ADD4878ADBA6}" srcOrd="15" destOrd="0" presId="urn:microsoft.com/office/officeart/2005/8/layout/radial1"/>
    <dgm:cxn modelId="{A2DC85B8-FD08-4250-8013-AA7C17614691}" type="presParOf" srcId="{7B59CB2C-C82F-41EE-B3CF-ADD4878ADBA6}" destId="{280B3AB5-4999-4B99-8BE9-E09C9DF5D482}" srcOrd="0" destOrd="0" presId="urn:microsoft.com/office/officeart/2005/8/layout/radial1"/>
    <dgm:cxn modelId="{8C7B975A-307E-45B4-842E-831BD315ACF5}" type="presParOf" srcId="{9D8B49BD-1DF7-4888-9A7E-2CFD4320CC2B}" destId="{402B25BB-F397-46B5-AAB7-C38C2276BF82}" srcOrd="16" destOrd="0" presId="urn:microsoft.com/office/officeart/2005/8/layout/radial1"/>
    <dgm:cxn modelId="{02B24144-D3D2-4433-9B27-056CEA17FA29}" type="presParOf" srcId="{9D8B49BD-1DF7-4888-9A7E-2CFD4320CC2B}" destId="{EFB9CB5A-411C-454B-96B1-9ED988829CBE}" srcOrd="17" destOrd="0" presId="urn:microsoft.com/office/officeart/2005/8/layout/radial1"/>
    <dgm:cxn modelId="{130167D5-055D-4F4B-888C-A27C7B48E351}" type="presParOf" srcId="{EFB9CB5A-411C-454B-96B1-9ED988829CBE}" destId="{A140118B-14B1-45A7-9CF9-17E4D006F84D}" srcOrd="0" destOrd="0" presId="urn:microsoft.com/office/officeart/2005/8/layout/radial1"/>
    <dgm:cxn modelId="{1C6429E6-2A92-42A6-9FD9-85178B4C1D7D}" type="presParOf" srcId="{9D8B49BD-1DF7-4888-9A7E-2CFD4320CC2B}" destId="{5AF8D9AC-0C15-4D1B-BCD3-7FFCFF0A581D}" srcOrd="18" destOrd="0" presId="urn:microsoft.com/office/officeart/2005/8/layout/radial1"/>
    <dgm:cxn modelId="{7529BAFB-BF90-4553-8C44-EDE78DE5EBF6}" type="presParOf" srcId="{9D8B49BD-1DF7-4888-9A7E-2CFD4320CC2B}" destId="{5DC5D51E-945B-4CCC-B580-737CA66D42E3}" srcOrd="19" destOrd="0" presId="urn:microsoft.com/office/officeart/2005/8/layout/radial1"/>
    <dgm:cxn modelId="{704942E1-678A-49B7-A0F3-4734676EEAAD}" type="presParOf" srcId="{5DC5D51E-945B-4CCC-B580-737CA66D42E3}" destId="{653D05C2-436A-4268-A4B1-DA090CACDDFB}" srcOrd="0" destOrd="0" presId="urn:microsoft.com/office/officeart/2005/8/layout/radial1"/>
    <dgm:cxn modelId="{46297A9E-E69D-4F7B-94F3-427087521661}"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964" y="646470"/>
        <a:ext cx="0" cy="0"/>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68284" y="795675"/>
        <a:ext cx="0" cy="0"/>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9042" y="1020199"/>
        <a:ext cx="0" cy="0"/>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629577" y="855621"/>
        <a:ext cx="802234" cy="379107"/>
      </dsp:txXfrm>
    </dsp:sp>
    <dsp:sp modelId="{7F30A5E4-3531-49F3-AC3C-8F1D2236451A}">
      <dsp:nvSpPr>
        <dsp:cNvPr id="0" name=""/>
        <dsp:cNvSpPr/>
      </dsp:nvSpPr>
      <dsp:spPr>
        <a:xfrm rot="1548004">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7437" y="1276577"/>
        <a:ext cx="0" cy="0"/>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57877" y="1427533"/>
        <a:ext cx="0" cy="0"/>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56096" y="1264030"/>
        <a:ext cx="0" cy="0"/>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1877" y="1072231"/>
        <a:ext cx="0" cy="0"/>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Global Challenges </a:t>
          </a: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21565" y="823673"/>
        <a:ext cx="0" cy="0"/>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41834" y="1150842"/>
          <a:ext cx="1133517" cy="36018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dsp:txBody>
      <dsp:txXfrm>
        <a:off x="2607834" y="1203589"/>
        <a:ext cx="801517" cy="254688"/>
      </dsp:txXfrm>
    </dsp:sp>
    <dsp:sp modelId="{E6ACA703-0949-41B3-BE6B-C702E5C7275F}">
      <dsp:nvSpPr>
        <dsp:cNvPr id="0" name=""/>
        <dsp:cNvSpPr/>
      </dsp:nvSpPr>
      <dsp:spPr>
        <a:xfrm rot="16175284">
          <a:off x="2620307" y="760236"/>
          <a:ext cx="768458" cy="12775"/>
        </a:xfrm>
        <a:custGeom>
          <a:avLst/>
          <a:gdLst/>
          <a:ahLst/>
          <a:cxnLst/>
          <a:rect l="0" t="0" r="0" b="0"/>
          <a:pathLst>
            <a:path>
              <a:moveTo>
                <a:pt x="0" y="6387"/>
              </a:moveTo>
              <a:lnTo>
                <a:pt x="76837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5324" y="747412"/>
        <a:ext cx="38422" cy="38422"/>
      </dsp:txXfrm>
    </dsp:sp>
    <dsp:sp modelId="{AFD0CC05-9AD4-4A51-8739-4FB4CA1E4ACE}">
      <dsp:nvSpPr>
        <dsp:cNvPr id="0" name=""/>
        <dsp:cNvSpPr/>
      </dsp:nvSpPr>
      <dsp:spPr>
        <a:xfrm>
          <a:off x="2550099" y="-15506"/>
          <a:ext cx="900487" cy="3979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681972" y="42767"/>
        <a:ext cx="636741" cy="281365"/>
      </dsp:txXfrm>
    </dsp:sp>
    <dsp:sp modelId="{34515D96-C834-4D67-AF5C-3B293601CBC3}">
      <dsp:nvSpPr>
        <dsp:cNvPr id="0" name=""/>
        <dsp:cNvSpPr/>
      </dsp:nvSpPr>
      <dsp:spPr>
        <a:xfrm rot="18664098">
          <a:off x="3001474" y="802953"/>
          <a:ext cx="923251" cy="12775"/>
        </a:xfrm>
        <a:custGeom>
          <a:avLst/>
          <a:gdLst/>
          <a:ahLst/>
          <a:cxnLst/>
          <a:rect l="0" t="0" r="0" b="0"/>
          <a:pathLst>
            <a:path>
              <a:moveTo>
                <a:pt x="0" y="6387"/>
              </a:moveTo>
              <a:lnTo>
                <a:pt x="92195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0018" y="786259"/>
        <a:ext cx="46162" cy="46162"/>
      </dsp:txXfrm>
    </dsp:sp>
    <dsp:sp modelId="{D9366F31-B7D7-4B43-830C-AD5E2193A794}">
      <dsp:nvSpPr>
        <dsp:cNvPr id="0" name=""/>
        <dsp:cNvSpPr/>
      </dsp:nvSpPr>
      <dsp:spPr>
        <a:xfrm>
          <a:off x="3489517" y="0"/>
          <a:ext cx="937272" cy="4824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626777" y="70651"/>
        <a:ext cx="662752" cy="341130"/>
      </dsp:txXfrm>
    </dsp:sp>
    <dsp:sp modelId="{3F0F15B6-4D5A-493B-B03E-AE8141DC3DCE}">
      <dsp:nvSpPr>
        <dsp:cNvPr id="0" name=""/>
        <dsp:cNvSpPr/>
      </dsp:nvSpPr>
      <dsp:spPr>
        <a:xfrm rot="19962579">
          <a:off x="3226827" y="845857"/>
          <a:ext cx="1419184" cy="12775"/>
        </a:xfrm>
        <a:custGeom>
          <a:avLst/>
          <a:gdLst/>
          <a:ahLst/>
          <a:cxnLst/>
          <a:rect l="0" t="0" r="0" b="0"/>
          <a:pathLst>
            <a:path>
              <a:moveTo>
                <a:pt x="0" y="6387"/>
              </a:moveTo>
              <a:lnTo>
                <a:pt x="141903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0940" y="816765"/>
        <a:ext cx="70959" cy="70959"/>
      </dsp:txXfrm>
    </dsp:sp>
    <dsp:sp modelId="{ECD2D13D-466C-468B-BD6C-1B646D8E5B8E}">
      <dsp:nvSpPr>
        <dsp:cNvPr id="0" name=""/>
        <dsp:cNvSpPr/>
      </dsp:nvSpPr>
      <dsp:spPr>
        <a:xfrm>
          <a:off x="4416704" y="154134"/>
          <a:ext cx="915618" cy="4282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550793" y="216849"/>
        <a:ext cx="647440" cy="302816"/>
      </dsp:txXfrm>
    </dsp:sp>
    <dsp:sp modelId="{5CF8296B-0142-429D-A71A-20799D2EB74B}">
      <dsp:nvSpPr>
        <dsp:cNvPr id="0" name=""/>
        <dsp:cNvSpPr/>
      </dsp:nvSpPr>
      <dsp:spPr>
        <a:xfrm rot="20836922">
          <a:off x="3454724" y="1077248"/>
          <a:ext cx="1299228" cy="12775"/>
        </a:xfrm>
        <a:custGeom>
          <a:avLst/>
          <a:gdLst/>
          <a:ahLst/>
          <a:cxnLst/>
          <a:rect l="0" t="0" r="0" b="0"/>
          <a:pathLst>
            <a:path>
              <a:moveTo>
                <a:pt x="0" y="6387"/>
              </a:moveTo>
              <a:lnTo>
                <a:pt x="1299059"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71858" y="1051155"/>
        <a:ext cx="64961" cy="64961"/>
      </dsp:txXfrm>
    </dsp:sp>
    <dsp:sp modelId="{7E7DDE23-6C04-407D-AAB6-669511EA704E}">
      <dsp:nvSpPr>
        <dsp:cNvPr id="0" name=""/>
        <dsp:cNvSpPr/>
      </dsp:nvSpPr>
      <dsp:spPr>
        <a:xfrm>
          <a:off x="4649286" y="598035"/>
          <a:ext cx="1216220" cy="4507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827397" y="664044"/>
        <a:ext cx="859998" cy="318717"/>
      </dsp:txXfrm>
    </dsp:sp>
    <dsp:sp modelId="{DC281168-2DBC-4CFB-B21D-C54E9628B383}">
      <dsp:nvSpPr>
        <dsp:cNvPr id="0" name=""/>
        <dsp:cNvSpPr/>
      </dsp:nvSpPr>
      <dsp:spPr>
        <a:xfrm rot="78616">
          <a:off x="3573721" y="1352214"/>
          <a:ext cx="1289083" cy="12775"/>
        </a:xfrm>
        <a:custGeom>
          <a:avLst/>
          <a:gdLst/>
          <a:ahLst/>
          <a:cxnLst/>
          <a:rect l="0" t="0" r="0" b="0"/>
          <a:pathLst>
            <a:path>
              <a:moveTo>
                <a:pt x="0" y="6387"/>
              </a:moveTo>
              <a:lnTo>
                <a:pt x="131201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86035" y="1326374"/>
        <a:ext cx="64454" cy="64454"/>
      </dsp:txXfrm>
    </dsp:sp>
    <dsp:sp modelId="{66DADE40-99AE-41BE-B997-129EED231064}">
      <dsp:nvSpPr>
        <dsp:cNvPr id="0" name=""/>
        <dsp:cNvSpPr/>
      </dsp:nvSpPr>
      <dsp:spPr>
        <a:xfrm>
          <a:off x="4861967" y="1186240"/>
          <a:ext cx="928493" cy="3954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997942" y="1244146"/>
        <a:ext cx="656543" cy="279594"/>
      </dsp:txXfrm>
    </dsp:sp>
    <dsp:sp modelId="{4DF1B0BE-A63A-4BEA-9EE5-4168481CC99E}">
      <dsp:nvSpPr>
        <dsp:cNvPr id="0" name=""/>
        <dsp:cNvSpPr/>
      </dsp:nvSpPr>
      <dsp:spPr>
        <a:xfrm rot="960427">
          <a:off x="3406149" y="1609665"/>
          <a:ext cx="1192617" cy="12775"/>
        </a:xfrm>
        <a:custGeom>
          <a:avLst/>
          <a:gdLst/>
          <a:ahLst/>
          <a:cxnLst/>
          <a:rect l="0" t="0" r="0" b="0"/>
          <a:pathLst>
            <a:path>
              <a:moveTo>
                <a:pt x="0" y="6387"/>
              </a:moveTo>
              <a:lnTo>
                <a:pt x="119246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72642" y="1586238"/>
        <a:ext cx="59630" cy="59630"/>
      </dsp:txXfrm>
    </dsp:sp>
    <dsp:sp modelId="{DB594876-4070-4577-942D-67F5CD4D6A19}">
      <dsp:nvSpPr>
        <dsp:cNvPr id="0" name=""/>
        <dsp:cNvSpPr/>
      </dsp:nvSpPr>
      <dsp:spPr>
        <a:xfrm>
          <a:off x="4448169" y="1686861"/>
          <a:ext cx="1253034" cy="4735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System </a:t>
          </a:r>
        </a:p>
      </dsp:txBody>
      <dsp:txXfrm>
        <a:off x="4631672" y="1756216"/>
        <a:ext cx="886028" cy="334876"/>
      </dsp:txXfrm>
    </dsp:sp>
    <dsp:sp modelId="{E49C447F-3477-4311-B10B-FFFA7DE7209F}">
      <dsp:nvSpPr>
        <dsp:cNvPr id="0" name=""/>
        <dsp:cNvSpPr/>
      </dsp:nvSpPr>
      <dsp:spPr>
        <a:xfrm rot="2375020">
          <a:off x="3113147" y="1767105"/>
          <a:ext cx="861437" cy="12775"/>
        </a:xfrm>
        <a:custGeom>
          <a:avLst/>
          <a:gdLst/>
          <a:ahLst/>
          <a:cxnLst/>
          <a:rect l="0" t="0" r="0" b="0"/>
          <a:pathLst>
            <a:path>
              <a:moveTo>
                <a:pt x="0" y="6387"/>
              </a:moveTo>
              <a:lnTo>
                <a:pt x="873734"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2330" y="1751957"/>
        <a:ext cx="43071" cy="43071"/>
      </dsp:txXfrm>
    </dsp:sp>
    <dsp:sp modelId="{69F18085-0AC3-4BAE-9B16-F8478FFBD61E}">
      <dsp:nvSpPr>
        <dsp:cNvPr id="0" name=""/>
        <dsp:cNvSpPr/>
      </dsp:nvSpPr>
      <dsp:spPr>
        <a:xfrm>
          <a:off x="3532266" y="2023944"/>
          <a:ext cx="1214440" cy="484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3710117" y="2094825"/>
        <a:ext cx="858738" cy="342243"/>
      </dsp:txXfrm>
    </dsp:sp>
    <dsp:sp modelId="{FCC14444-D5E7-4E9C-B980-A27CD799E442}">
      <dsp:nvSpPr>
        <dsp:cNvPr id="0" name=""/>
        <dsp:cNvSpPr/>
      </dsp:nvSpPr>
      <dsp:spPr>
        <a:xfrm rot="5477262">
          <a:off x="2717282" y="1785510"/>
          <a:ext cx="561898" cy="12775"/>
        </a:xfrm>
        <a:custGeom>
          <a:avLst/>
          <a:gdLst/>
          <a:ahLst/>
          <a:cxnLst/>
          <a:rect l="0" t="0" r="0" b="0"/>
          <a:pathLst>
            <a:path>
              <a:moveTo>
                <a:pt x="0" y="6387"/>
              </a:moveTo>
              <a:lnTo>
                <a:pt x="56182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4184" y="1777851"/>
        <a:ext cx="28094" cy="28094"/>
      </dsp:txXfrm>
    </dsp:sp>
    <dsp:sp modelId="{49C45DFA-0A15-4DAA-80DC-CAE4ABCC6B43}">
      <dsp:nvSpPr>
        <dsp:cNvPr id="0" name=""/>
        <dsp:cNvSpPr/>
      </dsp:nvSpPr>
      <dsp:spPr>
        <a:xfrm>
          <a:off x="2447134" y="2072758"/>
          <a:ext cx="1077113" cy="554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2604874" y="2153906"/>
        <a:ext cx="761633" cy="391816"/>
      </dsp:txXfrm>
    </dsp:sp>
    <dsp:sp modelId="{7B59CB2C-C82F-41EE-B3CF-ADD4878ADBA6}">
      <dsp:nvSpPr>
        <dsp:cNvPr id="0" name=""/>
        <dsp:cNvSpPr/>
      </dsp:nvSpPr>
      <dsp:spPr>
        <a:xfrm rot="8447303">
          <a:off x="1997313" y="1779315"/>
          <a:ext cx="907817" cy="12775"/>
        </a:xfrm>
        <a:custGeom>
          <a:avLst/>
          <a:gdLst/>
          <a:ahLst/>
          <a:cxnLst/>
          <a:rect l="0" t="0" r="0" b="0"/>
          <a:pathLst>
            <a:path>
              <a:moveTo>
                <a:pt x="0" y="6387"/>
              </a:moveTo>
              <a:lnTo>
                <a:pt x="90770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28526" y="1763007"/>
        <a:ext cx="45390" cy="45390"/>
      </dsp:txXfrm>
    </dsp:sp>
    <dsp:sp modelId="{402B25BB-F397-46B5-AAB7-C38C2276BF82}">
      <dsp:nvSpPr>
        <dsp:cNvPr id="0" name=""/>
        <dsp:cNvSpPr/>
      </dsp:nvSpPr>
      <dsp:spPr>
        <a:xfrm>
          <a:off x="1222730" y="2032861"/>
          <a:ext cx="1159697" cy="5641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1392564" y="2115480"/>
        <a:ext cx="820029" cy="398922"/>
      </dsp:txXfrm>
    </dsp:sp>
    <dsp:sp modelId="{EFB9CB5A-411C-454B-96B1-9ED988829CBE}">
      <dsp:nvSpPr>
        <dsp:cNvPr id="0" name=""/>
        <dsp:cNvSpPr/>
      </dsp:nvSpPr>
      <dsp:spPr>
        <a:xfrm rot="9979233">
          <a:off x="1636864" y="1544622"/>
          <a:ext cx="935057" cy="12775"/>
        </a:xfrm>
        <a:custGeom>
          <a:avLst/>
          <a:gdLst/>
          <a:ahLst/>
          <a:cxnLst/>
          <a:rect l="0" t="0" r="0" b="0"/>
          <a:pathLst>
            <a:path>
              <a:moveTo>
                <a:pt x="0" y="6387"/>
              </a:moveTo>
              <a:lnTo>
                <a:pt x="93490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81016" y="1527634"/>
        <a:ext cx="46752" cy="46752"/>
      </dsp:txXfrm>
    </dsp:sp>
    <dsp:sp modelId="{5AF8D9AC-0C15-4D1B-BCD3-7FFCFF0A581D}">
      <dsp:nvSpPr>
        <dsp:cNvPr id="0" name=""/>
        <dsp:cNvSpPr/>
      </dsp:nvSpPr>
      <dsp:spPr>
        <a:xfrm>
          <a:off x="289379" y="1550502"/>
          <a:ext cx="1495796" cy="5204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sp:txBody>
      <dsp:txXfrm>
        <a:off x="508433" y="1626724"/>
        <a:ext cx="1057688" cy="368030"/>
      </dsp:txXfrm>
    </dsp:sp>
    <dsp:sp modelId="{701CC827-3AE5-4421-983B-6398C783C82F}">
      <dsp:nvSpPr>
        <dsp:cNvPr id="0" name=""/>
        <dsp:cNvSpPr/>
      </dsp:nvSpPr>
      <dsp:spPr>
        <a:xfrm rot="10895414">
          <a:off x="1524893" y="1296116"/>
          <a:ext cx="919269" cy="12775"/>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61545" y="1279522"/>
        <a:ext cx="45963" cy="45963"/>
      </dsp:txXfrm>
    </dsp:sp>
    <dsp:sp modelId="{A86195D8-E78B-4F8B-B1C4-EFBBA8999B88}">
      <dsp:nvSpPr>
        <dsp:cNvPr id="0" name=""/>
        <dsp:cNvSpPr/>
      </dsp:nvSpPr>
      <dsp:spPr>
        <a:xfrm>
          <a:off x="179289" y="1025413"/>
          <a:ext cx="1347725" cy="4913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376659" y="1097371"/>
        <a:ext cx="952985" cy="347446"/>
      </dsp:txXfrm>
    </dsp:sp>
    <dsp:sp modelId="{48D8EFE9-A375-4136-B36E-91EB3A5F0349}">
      <dsp:nvSpPr>
        <dsp:cNvPr id="0" name=""/>
        <dsp:cNvSpPr/>
      </dsp:nvSpPr>
      <dsp:spPr>
        <a:xfrm rot="11889421">
          <a:off x="1508745" y="1018566"/>
          <a:ext cx="1133691" cy="12775"/>
        </a:xfrm>
        <a:custGeom>
          <a:avLst/>
          <a:gdLst/>
          <a:ahLst/>
          <a:cxnLst/>
          <a:rect l="0" t="0" r="0" b="0"/>
          <a:pathLst>
            <a:path>
              <a:moveTo>
                <a:pt x="0" y="6387"/>
              </a:moveTo>
              <a:lnTo>
                <a:pt x="1133536"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47249" y="996611"/>
        <a:ext cx="56684" cy="56684"/>
      </dsp:txXfrm>
    </dsp:sp>
    <dsp:sp modelId="{2CC81EFE-1B09-4239-A772-C0141AEBEE08}">
      <dsp:nvSpPr>
        <dsp:cNvPr id="0" name=""/>
        <dsp:cNvSpPr/>
      </dsp:nvSpPr>
      <dsp:spPr>
        <a:xfrm>
          <a:off x="281296" y="401731"/>
          <a:ext cx="1431718" cy="5390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 30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a:t>
          </a:r>
        </a:p>
      </dsp:txBody>
      <dsp:txXfrm>
        <a:off x="490966" y="480679"/>
        <a:ext cx="1012378" cy="381198"/>
      </dsp:txXfrm>
    </dsp:sp>
    <dsp:sp modelId="{78727A99-0CB1-4013-8BE2-594D8BE4FB83}">
      <dsp:nvSpPr>
        <dsp:cNvPr id="0" name=""/>
        <dsp:cNvSpPr/>
      </dsp:nvSpPr>
      <dsp:spPr>
        <a:xfrm rot="13513101">
          <a:off x="2034263" y="818018"/>
          <a:ext cx="943295" cy="12775"/>
        </a:xfrm>
        <a:custGeom>
          <a:avLst/>
          <a:gdLst/>
          <a:ahLst/>
          <a:cxnLst/>
          <a:rect l="0" t="0" r="0" b="0"/>
          <a:pathLst>
            <a:path>
              <a:moveTo>
                <a:pt x="0" y="6387"/>
              </a:moveTo>
              <a:lnTo>
                <a:pt x="943188"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82329" y="800823"/>
        <a:ext cx="47164" cy="47164"/>
      </dsp:txXfrm>
    </dsp:sp>
    <dsp:sp modelId="{098A803A-AAEA-485A-AF14-F5A0A7B3607E}">
      <dsp:nvSpPr>
        <dsp:cNvPr id="0" name=""/>
        <dsp:cNvSpPr/>
      </dsp:nvSpPr>
      <dsp:spPr>
        <a:xfrm>
          <a:off x="1423290" y="86279"/>
          <a:ext cx="1113395" cy="4163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 </a:t>
          </a:r>
        </a:p>
      </dsp:txBody>
      <dsp:txXfrm>
        <a:off x="1586343" y="147253"/>
        <a:ext cx="787289" cy="29441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2755" y="1160090"/>
          <a:ext cx="1294117" cy="37447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dsp:txBody>
      <dsp:txXfrm>
        <a:off x="2502274" y="1214930"/>
        <a:ext cx="915079" cy="264790"/>
      </dsp:txXfrm>
    </dsp:sp>
    <dsp:sp modelId="{E6ACA703-0949-41B3-BE6B-C702E5C7275F}">
      <dsp:nvSpPr>
        <dsp:cNvPr id="0" name=""/>
        <dsp:cNvSpPr/>
      </dsp:nvSpPr>
      <dsp:spPr>
        <a:xfrm rot="16175284">
          <a:off x="2585925" y="783828"/>
          <a:ext cx="739768" cy="12775"/>
        </a:xfrm>
        <a:custGeom>
          <a:avLst/>
          <a:gdLst/>
          <a:ahLst/>
          <a:cxnLst/>
          <a:rect l="0" t="0" r="0" b="0"/>
          <a:pathLst>
            <a:path>
              <a:moveTo>
                <a:pt x="0" y="6387"/>
              </a:moveTo>
              <a:lnTo>
                <a:pt x="71700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37315" y="771722"/>
        <a:ext cx="36988" cy="36988"/>
      </dsp:txXfrm>
    </dsp:sp>
    <dsp:sp modelId="{AFD0CC05-9AD4-4A51-8739-4FB4CA1E4ACE}">
      <dsp:nvSpPr>
        <dsp:cNvPr id="0" name=""/>
        <dsp:cNvSpPr/>
      </dsp:nvSpPr>
      <dsp:spPr>
        <a:xfrm>
          <a:off x="2506766" y="-20659"/>
          <a:ext cx="889595" cy="4410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637044" y="43924"/>
        <a:ext cx="629039" cy="311837"/>
      </dsp:txXfrm>
    </dsp:sp>
    <dsp:sp modelId="{34515D96-C834-4D67-AF5C-3B293601CBC3}">
      <dsp:nvSpPr>
        <dsp:cNvPr id="0" name=""/>
        <dsp:cNvSpPr/>
      </dsp:nvSpPr>
      <dsp:spPr>
        <a:xfrm rot="18787539">
          <a:off x="2987550" y="833756"/>
          <a:ext cx="894603" cy="12775"/>
        </a:xfrm>
        <a:custGeom>
          <a:avLst/>
          <a:gdLst/>
          <a:ahLst/>
          <a:cxnLst/>
          <a:rect l="0" t="0" r="0" b="0"/>
          <a:pathLst>
            <a:path>
              <a:moveTo>
                <a:pt x="0" y="6387"/>
              </a:moveTo>
              <a:lnTo>
                <a:pt x="86707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2487" y="817778"/>
        <a:ext cx="44730" cy="44730"/>
      </dsp:txXfrm>
    </dsp:sp>
    <dsp:sp modelId="{D9366F31-B7D7-4B43-830C-AD5E2193A794}">
      <dsp:nvSpPr>
        <dsp:cNvPr id="0" name=""/>
        <dsp:cNvSpPr/>
      </dsp:nvSpPr>
      <dsp:spPr>
        <a:xfrm>
          <a:off x="3414968" y="59635"/>
          <a:ext cx="1059513" cy="4722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570130" y="128797"/>
        <a:ext cx="749189" cy="333946"/>
      </dsp:txXfrm>
    </dsp:sp>
    <dsp:sp modelId="{3F0F15B6-4D5A-493B-B03E-AE8141DC3DCE}">
      <dsp:nvSpPr>
        <dsp:cNvPr id="0" name=""/>
        <dsp:cNvSpPr/>
      </dsp:nvSpPr>
      <dsp:spPr>
        <a:xfrm rot="20185657">
          <a:off x="3262775" y="922911"/>
          <a:ext cx="1310245" cy="12775"/>
        </a:xfrm>
        <a:custGeom>
          <a:avLst/>
          <a:gdLst/>
          <a:ahLst/>
          <a:cxnLst/>
          <a:rect l="0" t="0" r="0" b="0"/>
          <a:pathLst>
            <a:path>
              <a:moveTo>
                <a:pt x="0" y="6387"/>
              </a:moveTo>
              <a:lnTo>
                <a:pt x="1269922"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5142" y="896542"/>
        <a:ext cx="65512" cy="65512"/>
      </dsp:txXfrm>
    </dsp:sp>
    <dsp:sp modelId="{ECD2D13D-466C-468B-BD6C-1B646D8E5B8E}">
      <dsp:nvSpPr>
        <dsp:cNvPr id="0" name=""/>
        <dsp:cNvSpPr/>
      </dsp:nvSpPr>
      <dsp:spPr>
        <a:xfrm>
          <a:off x="4412465" y="283392"/>
          <a:ext cx="901170" cy="4670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544438" y="351789"/>
        <a:ext cx="637224" cy="330249"/>
      </dsp:txXfrm>
    </dsp:sp>
    <dsp:sp modelId="{5CF8296B-0142-429D-A71A-20799D2EB74B}">
      <dsp:nvSpPr>
        <dsp:cNvPr id="0" name=""/>
        <dsp:cNvSpPr/>
      </dsp:nvSpPr>
      <dsp:spPr>
        <a:xfrm rot="21060897">
          <a:off x="3520078" y="1155022"/>
          <a:ext cx="1231088" cy="12775"/>
        </a:xfrm>
        <a:custGeom>
          <a:avLst/>
          <a:gdLst/>
          <a:ahLst/>
          <a:cxnLst/>
          <a:rect l="0" t="0" r="0" b="0"/>
          <a:pathLst>
            <a:path>
              <a:moveTo>
                <a:pt x="0" y="6387"/>
              </a:moveTo>
              <a:lnTo>
                <a:pt x="1188977"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04845" y="1130633"/>
        <a:ext cx="61554" cy="61554"/>
      </dsp:txXfrm>
    </dsp:sp>
    <dsp:sp modelId="{7E7DDE23-6C04-407D-AAB6-669511EA704E}">
      <dsp:nvSpPr>
        <dsp:cNvPr id="0" name=""/>
        <dsp:cNvSpPr/>
      </dsp:nvSpPr>
      <dsp:spPr>
        <a:xfrm>
          <a:off x="4680512" y="771255"/>
          <a:ext cx="1256742" cy="4092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864558" y="831193"/>
        <a:ext cx="888650" cy="289408"/>
      </dsp:txXfrm>
    </dsp:sp>
    <dsp:sp modelId="{DC281168-2DBC-4CFB-B21D-C54E9628B383}">
      <dsp:nvSpPr>
        <dsp:cNvPr id="0" name=""/>
        <dsp:cNvSpPr/>
      </dsp:nvSpPr>
      <dsp:spPr>
        <a:xfrm rot="242144">
          <a:off x="3586813" y="1431945"/>
          <a:ext cx="1325817" cy="12775"/>
        </a:xfrm>
        <a:custGeom>
          <a:avLst/>
          <a:gdLst/>
          <a:ahLst/>
          <a:cxnLst/>
          <a:rect l="0" t="0" r="0" b="0"/>
          <a:pathLst>
            <a:path>
              <a:moveTo>
                <a:pt x="0" y="6387"/>
              </a:moveTo>
              <a:lnTo>
                <a:pt x="128499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16576" y="1405187"/>
        <a:ext cx="66290" cy="66290"/>
      </dsp:txXfrm>
    </dsp:sp>
    <dsp:sp modelId="{66DADE40-99AE-41BE-B997-129EED231064}">
      <dsp:nvSpPr>
        <dsp:cNvPr id="0" name=""/>
        <dsp:cNvSpPr/>
      </dsp:nvSpPr>
      <dsp:spPr>
        <a:xfrm>
          <a:off x="4906926" y="1276399"/>
          <a:ext cx="914838" cy="4811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5040901" y="1346862"/>
        <a:ext cx="646888" cy="340224"/>
      </dsp:txXfrm>
    </dsp:sp>
    <dsp:sp modelId="{4DF1B0BE-A63A-4BEA-9EE5-4168481CC99E}">
      <dsp:nvSpPr>
        <dsp:cNvPr id="0" name=""/>
        <dsp:cNvSpPr/>
      </dsp:nvSpPr>
      <dsp:spPr>
        <a:xfrm rot="1090700">
          <a:off x="3354748" y="1686857"/>
          <a:ext cx="1317055" cy="12775"/>
        </a:xfrm>
        <a:custGeom>
          <a:avLst/>
          <a:gdLst/>
          <a:ahLst/>
          <a:cxnLst/>
          <a:rect l="0" t="0" r="0" b="0"/>
          <a:pathLst>
            <a:path>
              <a:moveTo>
                <a:pt x="0" y="6387"/>
              </a:moveTo>
              <a:lnTo>
                <a:pt x="127651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80349" y="1660318"/>
        <a:ext cx="65852" cy="65852"/>
      </dsp:txXfrm>
    </dsp:sp>
    <dsp:sp modelId="{DB594876-4070-4577-942D-67F5CD4D6A19}">
      <dsp:nvSpPr>
        <dsp:cNvPr id="0" name=""/>
        <dsp:cNvSpPr/>
      </dsp:nvSpPr>
      <dsp:spPr>
        <a:xfrm>
          <a:off x="4504260" y="1805122"/>
          <a:ext cx="1223294" cy="5003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System </a:t>
          </a:r>
        </a:p>
      </dsp:txBody>
      <dsp:txXfrm>
        <a:off x="4683407" y="1878400"/>
        <a:ext cx="865000" cy="353817"/>
      </dsp:txXfrm>
    </dsp:sp>
    <dsp:sp modelId="{E49C447F-3477-4311-B10B-FFFA7DE7209F}">
      <dsp:nvSpPr>
        <dsp:cNvPr id="0" name=""/>
        <dsp:cNvSpPr/>
      </dsp:nvSpPr>
      <dsp:spPr>
        <a:xfrm rot="2506447">
          <a:off x="3029873" y="1858003"/>
          <a:ext cx="1017546" cy="12775"/>
        </a:xfrm>
        <a:custGeom>
          <a:avLst/>
          <a:gdLst/>
          <a:ahLst/>
          <a:cxnLst/>
          <a:rect l="0" t="0" r="0" b="0"/>
          <a:pathLst>
            <a:path>
              <a:moveTo>
                <a:pt x="0" y="6387"/>
              </a:moveTo>
              <a:lnTo>
                <a:pt x="986229"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13208" y="1838952"/>
        <a:ext cx="50877" cy="50877"/>
      </dsp:txXfrm>
    </dsp:sp>
    <dsp:sp modelId="{69F18085-0AC3-4BAE-9B16-F8478FFBD61E}">
      <dsp:nvSpPr>
        <dsp:cNvPr id="0" name=""/>
        <dsp:cNvSpPr/>
      </dsp:nvSpPr>
      <dsp:spPr>
        <a:xfrm>
          <a:off x="3588335" y="2175612"/>
          <a:ext cx="1189665" cy="5290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3762557" y="2253089"/>
        <a:ext cx="841221" cy="374092"/>
      </dsp:txXfrm>
    </dsp:sp>
    <dsp:sp modelId="{FCC14444-D5E7-4E9C-B980-A27CD799E442}">
      <dsp:nvSpPr>
        <dsp:cNvPr id="0" name=""/>
        <dsp:cNvSpPr/>
      </dsp:nvSpPr>
      <dsp:spPr>
        <a:xfrm rot="5468414">
          <a:off x="2624232" y="1853486"/>
          <a:ext cx="650761" cy="12775"/>
        </a:xfrm>
        <a:custGeom>
          <a:avLst/>
          <a:gdLst/>
          <a:ahLst/>
          <a:cxnLst/>
          <a:rect l="0" t="0" r="0" b="0"/>
          <a:pathLst>
            <a:path>
              <a:moveTo>
                <a:pt x="0" y="6387"/>
              </a:moveTo>
              <a:lnTo>
                <a:pt x="688263"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33344" y="1843604"/>
        <a:ext cx="32538" cy="32538"/>
      </dsp:txXfrm>
    </dsp:sp>
    <dsp:sp modelId="{49C45DFA-0A15-4DAA-80DC-CAE4ABCC6B43}">
      <dsp:nvSpPr>
        <dsp:cNvPr id="0" name=""/>
        <dsp:cNvSpPr/>
      </dsp:nvSpPr>
      <dsp:spPr>
        <a:xfrm>
          <a:off x="2339383" y="2185179"/>
          <a:ext cx="1196929" cy="5316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2514669" y="2263035"/>
        <a:ext cx="846357" cy="375924"/>
      </dsp:txXfrm>
    </dsp:sp>
    <dsp:sp modelId="{7B59CB2C-C82F-41EE-B3CF-ADD4878ADBA6}">
      <dsp:nvSpPr>
        <dsp:cNvPr id="0" name=""/>
        <dsp:cNvSpPr/>
      </dsp:nvSpPr>
      <dsp:spPr>
        <a:xfrm rot="8468230">
          <a:off x="1811133" y="1845234"/>
          <a:ext cx="1045738" cy="12775"/>
        </a:xfrm>
        <a:custGeom>
          <a:avLst/>
          <a:gdLst/>
          <a:ahLst/>
          <a:cxnLst/>
          <a:rect l="0" t="0" r="0" b="0"/>
          <a:pathLst>
            <a:path>
              <a:moveTo>
                <a:pt x="0" y="6387"/>
              </a:moveTo>
              <a:lnTo>
                <a:pt x="1037581"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07859" y="1825478"/>
        <a:ext cx="52286" cy="52286"/>
      </dsp:txXfrm>
    </dsp:sp>
    <dsp:sp modelId="{402B25BB-F397-46B5-AAB7-C38C2276BF82}">
      <dsp:nvSpPr>
        <dsp:cNvPr id="0" name=""/>
        <dsp:cNvSpPr/>
      </dsp:nvSpPr>
      <dsp:spPr>
        <a:xfrm>
          <a:off x="979122" y="2155657"/>
          <a:ext cx="1329147" cy="504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1173771" y="2229534"/>
        <a:ext cx="939849" cy="356711"/>
      </dsp:txXfrm>
    </dsp:sp>
    <dsp:sp modelId="{EFB9CB5A-411C-454B-96B1-9ED988829CBE}">
      <dsp:nvSpPr>
        <dsp:cNvPr id="0" name=""/>
        <dsp:cNvSpPr/>
      </dsp:nvSpPr>
      <dsp:spPr>
        <a:xfrm rot="9844973">
          <a:off x="1231854" y="1649510"/>
          <a:ext cx="1291867" cy="12775"/>
        </a:xfrm>
        <a:custGeom>
          <a:avLst/>
          <a:gdLst/>
          <a:ahLst/>
          <a:cxnLst/>
          <a:rect l="0" t="0" r="0" b="0"/>
          <a:pathLst>
            <a:path>
              <a:moveTo>
                <a:pt x="0" y="6387"/>
              </a:moveTo>
              <a:lnTo>
                <a:pt x="123626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45491" y="1623601"/>
        <a:ext cx="64593" cy="64593"/>
      </dsp:txXfrm>
    </dsp:sp>
    <dsp:sp modelId="{5AF8D9AC-0C15-4D1B-BCD3-7FFCFF0A581D}">
      <dsp:nvSpPr>
        <dsp:cNvPr id="0" name=""/>
        <dsp:cNvSpPr/>
      </dsp:nvSpPr>
      <dsp:spPr>
        <a:xfrm>
          <a:off x="34233" y="1713510"/>
          <a:ext cx="1341203" cy="5537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sp:txBody>
      <dsp:txXfrm>
        <a:off x="230648" y="1794610"/>
        <a:ext cx="948373" cy="391583"/>
      </dsp:txXfrm>
    </dsp:sp>
    <dsp:sp modelId="{701CC827-3AE5-4421-983B-6398C783C82F}">
      <dsp:nvSpPr>
        <dsp:cNvPr id="0" name=""/>
        <dsp:cNvSpPr/>
      </dsp:nvSpPr>
      <dsp:spPr>
        <a:xfrm rot="10808009">
          <a:off x="1288478" y="1338237"/>
          <a:ext cx="1024299" cy="12775"/>
        </a:xfrm>
        <a:custGeom>
          <a:avLst/>
          <a:gdLst/>
          <a:ahLst/>
          <a:cxnLst/>
          <a:rect l="0" t="0" r="0" b="0"/>
          <a:pathLst>
            <a:path>
              <a:moveTo>
                <a:pt x="0" y="6387"/>
              </a:moveTo>
              <a:lnTo>
                <a:pt x="99273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5020" y="1319017"/>
        <a:ext cx="51214" cy="51214"/>
      </dsp:txXfrm>
    </dsp:sp>
    <dsp:sp modelId="{A86195D8-E78B-4F8B-B1C4-EFBBA8999B88}">
      <dsp:nvSpPr>
        <dsp:cNvPr id="0" name=""/>
        <dsp:cNvSpPr/>
      </dsp:nvSpPr>
      <dsp:spPr>
        <a:xfrm>
          <a:off x="90836" y="1051174"/>
          <a:ext cx="1197650" cy="5817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sp:txBody>
      <dsp:txXfrm>
        <a:off x="266228" y="1136366"/>
        <a:ext cx="846866" cy="411341"/>
      </dsp:txXfrm>
    </dsp:sp>
    <dsp:sp modelId="{155F429B-0A10-4501-ADF1-CAD1F85BB50E}">
      <dsp:nvSpPr>
        <dsp:cNvPr id="0" name=""/>
        <dsp:cNvSpPr/>
      </dsp:nvSpPr>
      <dsp:spPr>
        <a:xfrm rot="11849868">
          <a:off x="1635175" y="1066479"/>
          <a:ext cx="908104" cy="12775"/>
        </a:xfrm>
        <a:custGeom>
          <a:avLst/>
          <a:gdLst/>
          <a:ahLst/>
          <a:cxnLst/>
          <a:rect l="0" t="0" r="0" b="0"/>
          <a:pathLst>
            <a:path>
              <a:moveTo>
                <a:pt x="0" y="6387"/>
              </a:moveTo>
              <a:lnTo>
                <a:pt x="880120"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6525" y="1050164"/>
        <a:ext cx="45405" cy="45405"/>
      </dsp:txXfrm>
    </dsp:sp>
    <dsp:sp modelId="{04A81C5D-1DF3-47DF-8447-322057132F11}">
      <dsp:nvSpPr>
        <dsp:cNvPr id="0" name=""/>
        <dsp:cNvSpPr/>
      </dsp:nvSpPr>
      <dsp:spPr>
        <a:xfrm>
          <a:off x="355935" y="484843"/>
          <a:ext cx="1475392" cy="5483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a:t>
          </a:r>
        </a:p>
      </dsp:txBody>
      <dsp:txXfrm>
        <a:off x="572001" y="565141"/>
        <a:ext cx="1043260" cy="387715"/>
      </dsp:txXfrm>
    </dsp:sp>
    <dsp:sp modelId="{47348295-6BDB-4E05-AD3B-51EF984A2613}">
      <dsp:nvSpPr>
        <dsp:cNvPr id="0" name=""/>
        <dsp:cNvSpPr/>
      </dsp:nvSpPr>
      <dsp:spPr>
        <a:xfrm rot="13439138">
          <a:off x="1937115" y="823587"/>
          <a:ext cx="973396" cy="12775"/>
        </a:xfrm>
        <a:custGeom>
          <a:avLst/>
          <a:gdLst/>
          <a:ahLst/>
          <a:cxnLst/>
          <a:rect l="0" t="0" r="0" b="0"/>
          <a:pathLst>
            <a:path>
              <a:moveTo>
                <a:pt x="0" y="6387"/>
              </a:moveTo>
              <a:lnTo>
                <a:pt x="943441" y="6387"/>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99479" y="805640"/>
        <a:ext cx="48669" cy="48669"/>
      </dsp:txXfrm>
    </dsp:sp>
    <dsp:sp modelId="{F5E6D7AA-E65C-4867-B1BB-ADD5FB046412}">
      <dsp:nvSpPr>
        <dsp:cNvPr id="0" name=""/>
        <dsp:cNvSpPr/>
      </dsp:nvSpPr>
      <dsp:spPr>
        <a:xfrm>
          <a:off x="1255710" y="79356"/>
          <a:ext cx="1221408" cy="4252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 </a:t>
          </a:r>
        </a:p>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34581" y="141629"/>
        <a:ext cx="863666" cy="30068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9918" y="553612"/>
          <a:ext cx="1164549" cy="39529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dsp:txBody>
      <dsp:txXfrm>
        <a:off x="2620462" y="611501"/>
        <a:ext cx="823461" cy="279515"/>
      </dsp:txXfrm>
    </dsp:sp>
    <dsp:sp modelId="{4344ACFB-6B44-4AAF-B1DB-49AB3ED02AF7}">
      <dsp:nvSpPr>
        <dsp:cNvPr id="0" name=""/>
        <dsp:cNvSpPr/>
      </dsp:nvSpPr>
      <dsp:spPr>
        <a:xfrm rot="16267201">
          <a:off x="2953289" y="462843"/>
          <a:ext cx="168835" cy="12744"/>
        </a:xfrm>
        <a:custGeom>
          <a:avLst/>
          <a:gdLst/>
          <a:ahLst/>
          <a:cxnLst/>
          <a:rect l="0" t="0" r="0" b="0"/>
          <a:pathLst>
            <a:path>
              <a:moveTo>
                <a:pt x="0" y="6372"/>
              </a:moveTo>
              <a:lnTo>
                <a:pt x="16883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3486" y="464994"/>
        <a:ext cx="8441" cy="8441"/>
      </dsp:txXfrm>
    </dsp:sp>
    <dsp:sp modelId="{19ACA16F-4F02-4741-A973-0858AA9E727D}">
      <dsp:nvSpPr>
        <dsp:cNvPr id="0" name=""/>
        <dsp:cNvSpPr/>
      </dsp:nvSpPr>
      <dsp:spPr>
        <a:xfrm>
          <a:off x="2504062" y="11999"/>
          <a:ext cx="1077879" cy="3728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 </a:t>
          </a:r>
        </a:p>
      </dsp:txBody>
      <dsp:txXfrm>
        <a:off x="2661914" y="66597"/>
        <a:ext cx="762175" cy="263621"/>
      </dsp:txXfrm>
    </dsp:sp>
    <dsp:sp modelId="{5337AE63-3722-42CC-AF72-36670EB7C5E1}">
      <dsp:nvSpPr>
        <dsp:cNvPr id="0" name=""/>
        <dsp:cNvSpPr/>
      </dsp:nvSpPr>
      <dsp:spPr>
        <a:xfrm rot="21596424">
          <a:off x="3614465" y="743781"/>
          <a:ext cx="962047" cy="12744"/>
        </a:xfrm>
        <a:custGeom>
          <a:avLst/>
          <a:gdLst/>
          <a:ahLst/>
          <a:cxnLst/>
          <a:rect l="0" t="0" r="0" b="0"/>
          <a:pathLst>
            <a:path>
              <a:moveTo>
                <a:pt x="0" y="6372"/>
              </a:moveTo>
              <a:lnTo>
                <a:pt x="962047"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1438" y="726102"/>
        <a:ext cx="48102" cy="48102"/>
      </dsp:txXfrm>
    </dsp:sp>
    <dsp:sp modelId="{CED9197C-8322-406B-917C-172FA36E7B76}">
      <dsp:nvSpPr>
        <dsp:cNvPr id="0" name=""/>
        <dsp:cNvSpPr/>
      </dsp:nvSpPr>
      <dsp:spPr>
        <a:xfrm>
          <a:off x="4576509" y="527313"/>
          <a:ext cx="1367090" cy="4432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776715" y="592226"/>
        <a:ext cx="966678" cy="313431"/>
      </dsp:txXfrm>
    </dsp:sp>
    <dsp:sp modelId="{4AC11394-3179-4EC5-A97F-D1A1B521CE2F}">
      <dsp:nvSpPr>
        <dsp:cNvPr id="0" name=""/>
        <dsp:cNvSpPr/>
      </dsp:nvSpPr>
      <dsp:spPr>
        <a:xfrm rot="5406477">
          <a:off x="2962132" y="1012091"/>
          <a:ext cx="139115" cy="12744"/>
        </a:xfrm>
        <a:custGeom>
          <a:avLst/>
          <a:gdLst/>
          <a:ahLst/>
          <a:cxnLst/>
          <a:rect l="0" t="0" r="0" b="0"/>
          <a:pathLst>
            <a:path>
              <a:moveTo>
                <a:pt x="0" y="6372"/>
              </a:moveTo>
              <a:lnTo>
                <a:pt x="13911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28212" y="1014986"/>
        <a:ext cx="6955" cy="6955"/>
      </dsp:txXfrm>
    </dsp:sp>
    <dsp:sp modelId="{035B4C9A-0916-4FCC-A1CF-85DB358A289A}">
      <dsp:nvSpPr>
        <dsp:cNvPr id="0" name=""/>
        <dsp:cNvSpPr/>
      </dsp:nvSpPr>
      <dsp:spPr>
        <a:xfrm>
          <a:off x="2413417" y="1088021"/>
          <a:ext cx="1235557" cy="3853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2594360" y="1144455"/>
        <a:ext cx="873671" cy="272490"/>
      </dsp:txXfrm>
    </dsp:sp>
    <dsp:sp modelId="{ADF94B70-0D7F-4A27-8DF9-17BCD27F4A7A}">
      <dsp:nvSpPr>
        <dsp:cNvPr id="0" name=""/>
        <dsp:cNvSpPr/>
      </dsp:nvSpPr>
      <dsp:spPr>
        <a:xfrm rot="10793938">
          <a:off x="1410356" y="746831"/>
          <a:ext cx="1039571" cy="12744"/>
        </a:xfrm>
        <a:custGeom>
          <a:avLst/>
          <a:gdLst/>
          <a:ahLst/>
          <a:cxnLst/>
          <a:rect l="0" t="0" r="0" b="0"/>
          <a:pathLst>
            <a:path>
              <a:moveTo>
                <a:pt x="0" y="6372"/>
              </a:moveTo>
              <a:lnTo>
                <a:pt x="1039571"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4152" y="727213"/>
        <a:ext cx="51978" cy="51978"/>
      </dsp:txXfrm>
    </dsp:sp>
    <dsp:sp modelId="{0FAF3FA1-8E6C-455E-B189-A468B3F4D8BC}">
      <dsp:nvSpPr>
        <dsp:cNvPr id="0" name=""/>
        <dsp:cNvSpPr/>
      </dsp:nvSpPr>
      <dsp:spPr>
        <a:xfrm>
          <a:off x="1" y="535927"/>
          <a:ext cx="1410366" cy="4388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544" y="600198"/>
        <a:ext cx="997280" cy="31033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16424"/>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dsp:txBody>
      <dsp:txXfrm>
        <a:off x="2255506" y="674933"/>
        <a:ext cx="960918" cy="282506"/>
      </dsp:txXfrm>
    </dsp:sp>
    <dsp:sp modelId="{5337AE63-3722-42CC-AF72-36670EB7C5E1}">
      <dsp:nvSpPr>
        <dsp:cNvPr id="0" name=""/>
        <dsp:cNvSpPr/>
      </dsp:nvSpPr>
      <dsp:spPr>
        <a:xfrm rot="16216882">
          <a:off x="2654356" y="526429"/>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29277"/>
        <a:ext cx="8299" cy="8299"/>
      </dsp:txXfrm>
    </dsp:sp>
    <dsp:sp modelId="{CED9197C-8322-406B-917C-172FA36E7B76}">
      <dsp:nvSpPr>
        <dsp:cNvPr id="0" name=""/>
        <dsp:cNvSpPr/>
      </dsp:nvSpPr>
      <dsp:spPr>
        <a:xfrm>
          <a:off x="2142157" y="-868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6935" y="58554"/>
        <a:ext cx="843906" cy="324642"/>
      </dsp:txXfrm>
    </dsp:sp>
    <dsp:sp modelId="{4AC11394-3179-4EC5-A97F-D1A1B521CE2F}">
      <dsp:nvSpPr>
        <dsp:cNvPr id="0" name=""/>
        <dsp:cNvSpPr/>
      </dsp:nvSpPr>
      <dsp:spPr>
        <a:xfrm rot="21563328">
          <a:off x="3414962" y="796714"/>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79198"/>
        <a:ext cx="49029" cy="49029"/>
      </dsp:txXfrm>
    </dsp:sp>
    <dsp:sp modelId="{035B4C9A-0916-4FCC-A1CF-85DB358A289A}">
      <dsp:nvSpPr>
        <dsp:cNvPr id="0" name=""/>
        <dsp:cNvSpPr/>
      </dsp:nvSpPr>
      <dsp:spPr>
        <a:xfrm>
          <a:off x="4395315" y="496619"/>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sp:txBody>
      <dsp:txXfrm>
        <a:off x="4595181" y="582901"/>
        <a:ext cx="965037" cy="416608"/>
      </dsp:txXfrm>
    </dsp:sp>
    <dsp:sp modelId="{1281FAF2-438A-4E06-A630-42C5CD6DB1D1}">
      <dsp:nvSpPr>
        <dsp:cNvPr id="0" name=""/>
        <dsp:cNvSpPr/>
      </dsp:nvSpPr>
      <dsp:spPr>
        <a:xfrm rot="5377226">
          <a:off x="2674016" y="1072643"/>
          <a:ext cx="127389"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526" y="1076457"/>
        <a:ext cx="6369" cy="6369"/>
      </dsp:txXfrm>
    </dsp:sp>
    <dsp:sp modelId="{9D8804DD-C1C3-4668-9E8F-40BB54189D15}">
      <dsp:nvSpPr>
        <dsp:cNvPr id="0" name=""/>
        <dsp:cNvSpPr/>
      </dsp:nvSpPr>
      <dsp:spPr>
        <a:xfrm>
          <a:off x="2023398" y="1143334"/>
          <a:ext cx="1432653" cy="4807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sp:txBody>
      <dsp:txXfrm>
        <a:off x="2233205" y="1213739"/>
        <a:ext cx="1013039" cy="339944"/>
      </dsp:txXfrm>
    </dsp:sp>
    <dsp:sp modelId="{D0E3F8D6-DE9C-4394-8B02-9C131280903E}">
      <dsp:nvSpPr>
        <dsp:cNvPr id="0" name=""/>
        <dsp:cNvSpPr/>
      </dsp:nvSpPr>
      <dsp:spPr>
        <a:xfrm rot="10771247">
          <a:off x="1196456" y="818467"/>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03957"/>
        <a:ext cx="43016" cy="43016"/>
      </dsp:txXfrm>
    </dsp:sp>
    <dsp:sp modelId="{F1CADBCB-761B-4EBD-8811-73EECDD73DC5}">
      <dsp:nvSpPr>
        <dsp:cNvPr id="0" name=""/>
        <dsp:cNvSpPr/>
      </dsp:nvSpPr>
      <dsp:spPr>
        <a:xfrm>
          <a:off x="0" y="559874"/>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175234" y="640183"/>
        <a:ext cx="846102" cy="38776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80777" y="665133"/>
          <a:ext cx="1213961" cy="34931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dsp:txBody>
      <dsp:txXfrm>
        <a:off x="2558557" y="716289"/>
        <a:ext cx="858401" cy="247006"/>
      </dsp:txXfrm>
    </dsp:sp>
    <dsp:sp modelId="{743B4520-8441-42A0-AFCB-45C212516FFF}">
      <dsp:nvSpPr>
        <dsp:cNvPr id="0" name=""/>
        <dsp:cNvSpPr/>
      </dsp:nvSpPr>
      <dsp:spPr>
        <a:xfrm rot="16200000">
          <a:off x="2864004" y="534784"/>
          <a:ext cx="247508" cy="13189"/>
        </a:xfrm>
        <a:custGeom>
          <a:avLst/>
          <a:gdLst/>
          <a:ahLst/>
          <a:cxnLst/>
          <a:rect l="0" t="0" r="0" b="0"/>
          <a:pathLst>
            <a:path>
              <a:moveTo>
                <a:pt x="0" y="6594"/>
              </a:moveTo>
              <a:lnTo>
                <a:pt x="247560"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1570" y="535191"/>
        <a:ext cx="12375" cy="12375"/>
      </dsp:txXfrm>
    </dsp:sp>
    <dsp:sp modelId="{825B4589-2D50-4097-AF2B-6D3BD9DDE0B2}">
      <dsp:nvSpPr>
        <dsp:cNvPr id="0" name=""/>
        <dsp:cNvSpPr/>
      </dsp:nvSpPr>
      <dsp:spPr>
        <a:xfrm>
          <a:off x="2488168" y="-26218"/>
          <a:ext cx="999180" cy="4438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34495" y="38781"/>
        <a:ext cx="706526" cy="313845"/>
      </dsp:txXfrm>
    </dsp:sp>
    <dsp:sp modelId="{7A96B68C-E15D-4E1B-A46C-7E5DE405A90C}">
      <dsp:nvSpPr>
        <dsp:cNvPr id="0" name=""/>
        <dsp:cNvSpPr/>
      </dsp:nvSpPr>
      <dsp:spPr>
        <a:xfrm rot="20283379">
          <a:off x="3314748" y="558030"/>
          <a:ext cx="712007" cy="13189"/>
        </a:xfrm>
        <a:custGeom>
          <a:avLst/>
          <a:gdLst/>
          <a:ahLst/>
          <a:cxnLst/>
          <a:rect l="0" t="0" r="0" b="0"/>
          <a:pathLst>
            <a:path>
              <a:moveTo>
                <a:pt x="0" y="6594"/>
              </a:moveTo>
              <a:lnTo>
                <a:pt x="712131"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52951" y="546825"/>
        <a:ext cx="35600" cy="35600"/>
      </dsp:txXfrm>
    </dsp:sp>
    <dsp:sp modelId="{9DCD972B-1513-465A-AD2B-AD5E9EEB7291}">
      <dsp:nvSpPr>
        <dsp:cNvPr id="0" name=""/>
        <dsp:cNvSpPr/>
      </dsp:nvSpPr>
      <dsp:spPr>
        <a:xfrm>
          <a:off x="3829194" y="47598"/>
          <a:ext cx="1138760" cy="4475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sp:txBody>
      <dsp:txXfrm>
        <a:off x="3995962" y="113147"/>
        <a:ext cx="805224" cy="316499"/>
      </dsp:txXfrm>
    </dsp:sp>
    <dsp:sp modelId="{5337AE63-3722-42CC-AF72-36670EB7C5E1}">
      <dsp:nvSpPr>
        <dsp:cNvPr id="0" name=""/>
        <dsp:cNvSpPr/>
      </dsp:nvSpPr>
      <dsp:spPr>
        <a:xfrm rot="21589143">
          <a:off x="3594700" y="830067"/>
          <a:ext cx="767996" cy="13189"/>
        </a:xfrm>
        <a:custGeom>
          <a:avLst/>
          <a:gdLst/>
          <a:ahLst/>
          <a:cxnLst/>
          <a:rect l="0" t="0" r="0" b="0"/>
          <a:pathLst>
            <a:path>
              <a:moveTo>
                <a:pt x="0" y="6594"/>
              </a:moveTo>
              <a:lnTo>
                <a:pt x="768157"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59499" y="817462"/>
        <a:ext cx="38399" cy="38399"/>
      </dsp:txXfrm>
    </dsp:sp>
    <dsp:sp modelId="{CED9197C-8322-406B-917C-172FA36E7B76}">
      <dsp:nvSpPr>
        <dsp:cNvPr id="0" name=""/>
        <dsp:cNvSpPr/>
      </dsp:nvSpPr>
      <dsp:spPr>
        <a:xfrm>
          <a:off x="4362678" y="581347"/>
          <a:ext cx="1194049" cy="5044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sp:txBody>
      <dsp:txXfrm>
        <a:off x="4537542" y="655220"/>
        <a:ext cx="844321" cy="356687"/>
      </dsp:txXfrm>
    </dsp:sp>
    <dsp:sp modelId="{4AC11394-3179-4EC5-A97F-D1A1B521CE2F}">
      <dsp:nvSpPr>
        <dsp:cNvPr id="0" name=""/>
        <dsp:cNvSpPr/>
      </dsp:nvSpPr>
      <dsp:spPr>
        <a:xfrm rot="1500735">
          <a:off x="3287635" y="1066377"/>
          <a:ext cx="399802" cy="13189"/>
        </a:xfrm>
        <a:custGeom>
          <a:avLst/>
          <a:gdLst/>
          <a:ahLst/>
          <a:cxnLst/>
          <a:rect l="0" t="0" r="0" b="0"/>
          <a:pathLst>
            <a:path>
              <a:moveTo>
                <a:pt x="0" y="6594"/>
              </a:moveTo>
              <a:lnTo>
                <a:pt x="399900"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77541" y="1062977"/>
        <a:ext cx="19990" cy="19990"/>
      </dsp:txXfrm>
    </dsp:sp>
    <dsp:sp modelId="{035B4C9A-0916-4FCC-A1CF-85DB358A289A}">
      <dsp:nvSpPr>
        <dsp:cNvPr id="0" name=""/>
        <dsp:cNvSpPr/>
      </dsp:nvSpPr>
      <dsp:spPr>
        <a:xfrm>
          <a:off x="3434623" y="1098578"/>
          <a:ext cx="1303029" cy="5073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25447" y="1172880"/>
        <a:ext cx="921381" cy="358760"/>
      </dsp:txXfrm>
    </dsp:sp>
    <dsp:sp modelId="{ADF94B70-0D7F-4A27-8DF9-17BCD27F4A7A}">
      <dsp:nvSpPr>
        <dsp:cNvPr id="0" name=""/>
        <dsp:cNvSpPr/>
      </dsp:nvSpPr>
      <dsp:spPr>
        <a:xfrm rot="9393212">
          <a:off x="2306801" y="1050407"/>
          <a:ext cx="360255" cy="13189"/>
        </a:xfrm>
        <a:custGeom>
          <a:avLst/>
          <a:gdLst/>
          <a:ahLst/>
          <a:cxnLst/>
          <a:rect l="0" t="0" r="0" b="0"/>
          <a:pathLst>
            <a:path>
              <a:moveTo>
                <a:pt x="0" y="6594"/>
              </a:moveTo>
              <a:lnTo>
                <a:pt x="360356"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77923" y="1047996"/>
        <a:ext cx="18012" cy="18012"/>
      </dsp:txXfrm>
    </dsp:sp>
    <dsp:sp modelId="{0FAF3FA1-8E6C-455E-B189-A468B3F4D8BC}">
      <dsp:nvSpPr>
        <dsp:cNvPr id="0" name=""/>
        <dsp:cNvSpPr/>
      </dsp:nvSpPr>
      <dsp:spPr>
        <a:xfrm>
          <a:off x="1164618" y="1052441"/>
          <a:ext cx="1372939" cy="5606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Business  Solutions for IP</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65680" y="1134547"/>
        <a:ext cx="970815" cy="396442"/>
      </dsp:txXfrm>
    </dsp:sp>
    <dsp:sp modelId="{4C755D63-E57A-4826-AD35-228CF0B8702F}">
      <dsp:nvSpPr>
        <dsp:cNvPr id="0" name=""/>
        <dsp:cNvSpPr/>
      </dsp:nvSpPr>
      <dsp:spPr>
        <a:xfrm rot="10808569">
          <a:off x="1396885" y="830458"/>
          <a:ext cx="983916" cy="13189"/>
        </a:xfrm>
        <a:custGeom>
          <a:avLst/>
          <a:gdLst/>
          <a:ahLst/>
          <a:cxnLst/>
          <a:rect l="0" t="0" r="0" b="0"/>
          <a:pathLst>
            <a:path>
              <a:moveTo>
                <a:pt x="0" y="6594"/>
              </a:moveTo>
              <a:lnTo>
                <a:pt x="984098"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4245" y="812455"/>
        <a:ext cx="49195" cy="49195"/>
      </dsp:txXfrm>
    </dsp:sp>
    <dsp:sp modelId="{24E3E7DC-0BA5-48AF-955A-AA52F4F430B1}">
      <dsp:nvSpPr>
        <dsp:cNvPr id="0" name=""/>
        <dsp:cNvSpPr/>
      </dsp:nvSpPr>
      <dsp:spPr>
        <a:xfrm>
          <a:off x="139013" y="561906"/>
          <a:ext cx="1257883" cy="5447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3226" y="641676"/>
        <a:ext cx="889457" cy="385165"/>
      </dsp:txXfrm>
    </dsp:sp>
    <dsp:sp modelId="{E3CB5DB8-2282-45FB-9E5F-A0F7C1267DC9}">
      <dsp:nvSpPr>
        <dsp:cNvPr id="0" name=""/>
        <dsp:cNvSpPr/>
      </dsp:nvSpPr>
      <dsp:spPr>
        <a:xfrm rot="12193039">
          <a:off x="2071003" y="569286"/>
          <a:ext cx="603035" cy="13189"/>
        </a:xfrm>
        <a:custGeom>
          <a:avLst/>
          <a:gdLst/>
          <a:ahLst/>
          <a:cxnLst/>
          <a:rect l="0" t="0" r="0" b="0"/>
          <a:pathLst>
            <a:path>
              <a:moveTo>
                <a:pt x="0" y="6594"/>
              </a:moveTo>
              <a:lnTo>
                <a:pt x="603152" y="65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7445" y="560804"/>
        <a:ext cx="30151" cy="30151"/>
      </dsp:txXfrm>
    </dsp:sp>
    <dsp:sp modelId="{2EA04359-081B-43A3-861D-095126BB9402}">
      <dsp:nvSpPr>
        <dsp:cNvPr id="0" name=""/>
        <dsp:cNvSpPr/>
      </dsp:nvSpPr>
      <dsp:spPr>
        <a:xfrm>
          <a:off x="1035466" y="40722"/>
          <a:ext cx="1283030" cy="4736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 </a:t>
          </a:r>
        </a:p>
      </dsp:txBody>
      <dsp:txXfrm>
        <a:off x="1223361" y="110079"/>
        <a:ext cx="907240" cy="33488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6957" y="927791"/>
          <a:ext cx="1163496"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dsp:txBody>
      <dsp:txXfrm>
        <a:off x="2607347" y="998985"/>
        <a:ext cx="822716" cy="343756"/>
      </dsp:txXfrm>
    </dsp:sp>
    <dsp:sp modelId="{650854B0-9FE7-4FFD-96B2-18F6452E0859}">
      <dsp:nvSpPr>
        <dsp:cNvPr id="0" name=""/>
        <dsp:cNvSpPr/>
      </dsp:nvSpPr>
      <dsp:spPr>
        <a:xfrm rot="16222721">
          <a:off x="2829174" y="726885"/>
          <a:ext cx="384817"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1963" y="725766"/>
        <a:ext cx="19240" cy="19240"/>
      </dsp:txXfrm>
    </dsp:sp>
    <dsp:sp modelId="{6394B413-6D12-4C4F-9A8D-E0508CAE8617}">
      <dsp:nvSpPr>
        <dsp:cNvPr id="0" name=""/>
        <dsp:cNvSpPr/>
      </dsp:nvSpPr>
      <dsp:spPr>
        <a:xfrm>
          <a:off x="2461162" y="9959"/>
          <a:ext cx="1126909" cy="533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626194" y="88019"/>
        <a:ext cx="796845" cy="376904"/>
      </dsp:txXfrm>
    </dsp:sp>
    <dsp:sp modelId="{DEF09AAB-E09E-4486-8914-E37D47E60824}">
      <dsp:nvSpPr>
        <dsp:cNvPr id="0" name=""/>
        <dsp:cNvSpPr/>
      </dsp:nvSpPr>
      <dsp:spPr>
        <a:xfrm rot="20327628">
          <a:off x="3425618" y="893424"/>
          <a:ext cx="572447"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7530" y="887616"/>
        <a:ext cx="28622" cy="28622"/>
      </dsp:txXfrm>
    </dsp:sp>
    <dsp:sp modelId="{2ED32773-10C9-4671-A0BF-4C0DAB40AE25}">
      <dsp:nvSpPr>
        <dsp:cNvPr id="0" name=""/>
        <dsp:cNvSpPr/>
      </dsp:nvSpPr>
      <dsp:spPr>
        <a:xfrm>
          <a:off x="3842529" y="396834"/>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002917" y="467690"/>
        <a:ext cx="774419" cy="342124"/>
      </dsp:txXfrm>
    </dsp:sp>
    <dsp:sp modelId="{6A5F15CA-77E2-4C48-8498-A7C7D3C4428C}">
      <dsp:nvSpPr>
        <dsp:cNvPr id="0" name=""/>
        <dsp:cNvSpPr/>
      </dsp:nvSpPr>
      <dsp:spPr>
        <a:xfrm rot="21592425">
          <a:off x="3600444" y="1159869"/>
          <a:ext cx="1098211"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22094" y="1140916"/>
        <a:ext cx="54910" cy="54910"/>
      </dsp:txXfrm>
    </dsp:sp>
    <dsp:sp modelId="{638FE4E5-2063-40D0-A44F-91C88716CF8C}">
      <dsp:nvSpPr>
        <dsp:cNvPr id="0" name=""/>
        <dsp:cNvSpPr/>
      </dsp:nvSpPr>
      <dsp:spPr>
        <a:xfrm>
          <a:off x="4698645" y="910828"/>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4880897" y="985505"/>
        <a:ext cx="879988" cy="360570"/>
      </dsp:txXfrm>
    </dsp:sp>
    <dsp:sp modelId="{EAF47FDD-7D57-4FF6-9F6B-6E604D2CC0DE}">
      <dsp:nvSpPr>
        <dsp:cNvPr id="0" name=""/>
        <dsp:cNvSpPr/>
      </dsp:nvSpPr>
      <dsp:spPr>
        <a:xfrm rot="10786818">
          <a:off x="1244871" y="1166877"/>
          <a:ext cx="11921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1126" y="1145576"/>
        <a:ext cx="59605" cy="59605"/>
      </dsp:txXfrm>
    </dsp:sp>
    <dsp:sp modelId="{F74F2681-A109-4B75-8C08-B2B26769CF03}">
      <dsp:nvSpPr>
        <dsp:cNvPr id="0" name=""/>
        <dsp:cNvSpPr/>
      </dsp:nvSpPr>
      <dsp:spPr>
        <a:xfrm>
          <a:off x="87258" y="886603"/>
          <a:ext cx="1157634" cy="5865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sp:txBody>
      <dsp:txXfrm>
        <a:off x="256790" y="972503"/>
        <a:ext cx="818570" cy="414762"/>
      </dsp:txXfrm>
    </dsp:sp>
    <dsp:sp modelId="{AC7E3352-64BC-4978-9AB6-2DD833483239}">
      <dsp:nvSpPr>
        <dsp:cNvPr id="0" name=""/>
        <dsp:cNvSpPr/>
      </dsp:nvSpPr>
      <dsp:spPr>
        <a:xfrm rot="12167746">
          <a:off x="2042714" y="875912"/>
          <a:ext cx="588830"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2408" y="869693"/>
        <a:ext cx="29441" cy="29441"/>
      </dsp:txXfrm>
    </dsp:sp>
    <dsp:sp modelId="{05C48364-E63B-4056-87CF-0BE50D74190B}">
      <dsp:nvSpPr>
        <dsp:cNvPr id="0" name=""/>
        <dsp:cNvSpPr/>
      </dsp:nvSpPr>
      <dsp:spPr>
        <a:xfrm>
          <a:off x="971490" y="327756"/>
          <a:ext cx="1299827" cy="5117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a:t>
          </a:r>
        </a:p>
      </dsp:txBody>
      <dsp:txXfrm>
        <a:off x="1161845" y="402695"/>
        <a:ext cx="919117" cy="36183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691" y="677686"/>
          <a:ext cx="1188147"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dsp:txBody>
      <dsp:txXfrm>
        <a:off x="2458691" y="742959"/>
        <a:ext cx="840147" cy="315167"/>
      </dsp:txXfrm>
    </dsp:sp>
    <dsp:sp modelId="{72463A3F-A956-4917-8722-9FD79FB3E09A}">
      <dsp:nvSpPr>
        <dsp:cNvPr id="0" name=""/>
        <dsp:cNvSpPr/>
      </dsp:nvSpPr>
      <dsp:spPr>
        <a:xfrm rot="16214742">
          <a:off x="2823804"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7154" y="618721"/>
        <a:ext cx="5615" cy="5615"/>
      </dsp:txXfrm>
    </dsp:sp>
    <dsp:sp modelId="{A030EF9D-9337-4706-B87A-64BDE162520A}">
      <dsp:nvSpPr>
        <dsp:cNvPr id="0" name=""/>
        <dsp:cNvSpPr/>
      </dsp:nvSpPr>
      <dsp:spPr>
        <a:xfrm>
          <a:off x="2381249"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 </a:t>
          </a:r>
        </a:p>
      </dsp:txBody>
      <dsp:txXfrm>
        <a:off x="2527704" y="137903"/>
        <a:ext cx="707144" cy="354126"/>
      </dsp:txXfrm>
    </dsp:sp>
    <dsp:sp modelId="{00112A8F-12E8-45AC-B551-DFB66BE45059}">
      <dsp:nvSpPr>
        <dsp:cNvPr id="0" name=""/>
        <dsp:cNvSpPr/>
      </dsp:nvSpPr>
      <dsp:spPr>
        <a:xfrm rot="20469744">
          <a:off x="3309481" y="689910"/>
          <a:ext cx="328125"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5340" y="689425"/>
        <a:ext cx="16406" cy="16406"/>
      </dsp:txXfrm>
    </dsp:sp>
    <dsp:sp modelId="{423B6D89-2000-40C7-8429-BD38C7402395}">
      <dsp:nvSpPr>
        <dsp:cNvPr id="0" name=""/>
        <dsp:cNvSpPr/>
      </dsp:nvSpPr>
      <dsp:spPr>
        <a:xfrm>
          <a:off x="3495898" y="282579"/>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3657415" y="346807"/>
        <a:ext cx="779870" cy="310120"/>
      </dsp:txXfrm>
    </dsp:sp>
    <dsp:sp modelId="{650854B0-9FE7-4FFD-96B2-18F6452E0859}">
      <dsp:nvSpPr>
        <dsp:cNvPr id="0" name=""/>
        <dsp:cNvSpPr/>
      </dsp:nvSpPr>
      <dsp:spPr>
        <a:xfrm rot="592092">
          <a:off x="3413816" y="1031708"/>
          <a:ext cx="526655"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3978" y="1026259"/>
        <a:ext cx="26332" cy="26332"/>
      </dsp:txXfrm>
    </dsp:sp>
    <dsp:sp modelId="{6394B413-6D12-4C4F-9A8D-E0508CAE8617}">
      <dsp:nvSpPr>
        <dsp:cNvPr id="0" name=""/>
        <dsp:cNvSpPr/>
      </dsp:nvSpPr>
      <dsp:spPr>
        <a:xfrm>
          <a:off x="3885666" y="936590"/>
          <a:ext cx="1229025" cy="492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sp:txBody>
      <dsp:txXfrm>
        <a:off x="4065653" y="1008644"/>
        <a:ext cx="869051" cy="347906"/>
      </dsp:txXfrm>
    </dsp:sp>
    <dsp:sp modelId="{6A5F15CA-77E2-4C48-8498-A7C7D3C4428C}">
      <dsp:nvSpPr>
        <dsp:cNvPr id="0" name=""/>
        <dsp:cNvSpPr/>
      </dsp:nvSpPr>
      <dsp:spPr>
        <a:xfrm rot="5325552">
          <a:off x="2820690" y="1179954"/>
          <a:ext cx="128589"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1769" y="1184457"/>
        <a:ext cx="6429" cy="6429"/>
      </dsp:txXfrm>
    </dsp:sp>
    <dsp:sp modelId="{638FE4E5-2063-40D0-A44F-91C88716CF8C}">
      <dsp:nvSpPr>
        <dsp:cNvPr id="0" name=""/>
        <dsp:cNvSpPr/>
      </dsp:nvSpPr>
      <dsp:spPr>
        <a:xfrm>
          <a:off x="2218902" y="1251943"/>
          <a:ext cx="1345511"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415948" y="1323359"/>
        <a:ext cx="951419" cy="344826"/>
      </dsp:txXfrm>
    </dsp:sp>
    <dsp:sp modelId="{EAF47FDD-7D57-4FF6-9F6B-6E604D2CC0DE}">
      <dsp:nvSpPr>
        <dsp:cNvPr id="0" name=""/>
        <dsp:cNvSpPr/>
      </dsp:nvSpPr>
      <dsp:spPr>
        <a:xfrm rot="10117332">
          <a:off x="1803920" y="1053094"/>
          <a:ext cx="556807"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404" y="1046892"/>
        <a:ext cx="27840" cy="27840"/>
      </dsp:txXfrm>
    </dsp:sp>
    <dsp:sp modelId="{F74F2681-A109-4B75-8C08-B2B26769CF03}">
      <dsp:nvSpPr>
        <dsp:cNvPr id="0" name=""/>
        <dsp:cNvSpPr/>
      </dsp:nvSpPr>
      <dsp:spPr>
        <a:xfrm>
          <a:off x="711784" y="957288"/>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879526" y="1034633"/>
        <a:ext cx="809933" cy="373456"/>
      </dsp:txXfrm>
    </dsp:sp>
    <dsp:sp modelId="{AC7E3352-64BC-4978-9AB6-2DD833483239}">
      <dsp:nvSpPr>
        <dsp:cNvPr id="0" name=""/>
        <dsp:cNvSpPr/>
      </dsp:nvSpPr>
      <dsp:spPr>
        <a:xfrm rot="12033108">
          <a:off x="2129745" y="675672"/>
          <a:ext cx="339632"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1070" y="674899"/>
        <a:ext cx="16981" cy="16981"/>
      </dsp:txXfrm>
    </dsp:sp>
    <dsp:sp modelId="{05C48364-E63B-4056-87CF-0BE50D74190B}">
      <dsp:nvSpPr>
        <dsp:cNvPr id="0" name=""/>
        <dsp:cNvSpPr/>
      </dsp:nvSpPr>
      <dsp:spPr>
        <a:xfrm>
          <a:off x="1084369" y="216327"/>
          <a:ext cx="1225188" cy="4822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sp:txBody>
      <dsp:txXfrm>
        <a:off x="1263794" y="286955"/>
        <a:ext cx="866338" cy="34102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59449" y="970729"/>
          <a:ext cx="1211766" cy="3510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dsp:txBody>
      <dsp:txXfrm>
        <a:off x="2436908" y="1022136"/>
        <a:ext cx="856848" cy="248218"/>
      </dsp:txXfrm>
    </dsp:sp>
    <dsp:sp modelId="{E887F142-3B93-49E1-A09D-1DCD207D21D1}">
      <dsp:nvSpPr>
        <dsp:cNvPr id="0" name=""/>
        <dsp:cNvSpPr/>
      </dsp:nvSpPr>
      <dsp:spPr>
        <a:xfrm rot="16227085">
          <a:off x="2620585" y="716319"/>
          <a:ext cx="496169"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168" y="734958"/>
        <a:ext cx="0" cy="0"/>
      </dsp:txXfrm>
    </dsp:sp>
    <dsp:sp modelId="{3EA08C86-6A87-4381-A9A9-F10D993E2D53}">
      <dsp:nvSpPr>
        <dsp:cNvPr id="0" name=""/>
        <dsp:cNvSpPr/>
      </dsp:nvSpPr>
      <dsp:spPr>
        <a:xfrm>
          <a:off x="2423154" y="70750"/>
          <a:ext cx="898122" cy="403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2554681" y="129889"/>
        <a:ext cx="635068" cy="285548"/>
      </dsp:txXfrm>
    </dsp:sp>
    <dsp:sp modelId="{3DC5E90A-495A-4818-A1D5-03E6AF30AA1D}">
      <dsp:nvSpPr>
        <dsp:cNvPr id="0" name=""/>
        <dsp:cNvSpPr/>
      </dsp:nvSpPr>
      <dsp:spPr>
        <a:xfrm rot="19176424">
          <a:off x="2979250" y="752600"/>
          <a:ext cx="682570"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96482" y="756995"/>
        <a:ext cx="0" cy="0"/>
      </dsp:txXfrm>
    </dsp:sp>
    <dsp:sp modelId="{43DCCA43-33C0-4CEE-BAB5-C639F5D70563}">
      <dsp:nvSpPr>
        <dsp:cNvPr id="0" name=""/>
        <dsp:cNvSpPr/>
      </dsp:nvSpPr>
      <dsp:spPr>
        <a:xfrm>
          <a:off x="3350258" y="121704"/>
          <a:ext cx="914834" cy="4454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3484232" y="186945"/>
        <a:ext cx="646886" cy="315008"/>
      </dsp:txXfrm>
    </dsp:sp>
    <dsp:sp modelId="{72463A3F-A956-4917-8722-9FD79FB3E09A}">
      <dsp:nvSpPr>
        <dsp:cNvPr id="0" name=""/>
        <dsp:cNvSpPr/>
      </dsp:nvSpPr>
      <dsp:spPr>
        <a:xfrm rot="20738388">
          <a:off x="3304768" y="908112"/>
          <a:ext cx="931950"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42394" y="897653"/>
        <a:ext cx="0" cy="0"/>
      </dsp:txXfrm>
    </dsp:sp>
    <dsp:sp modelId="{A030EF9D-9337-4706-B87A-64BDE162520A}">
      <dsp:nvSpPr>
        <dsp:cNvPr id="0" name=""/>
        <dsp:cNvSpPr/>
      </dsp:nvSpPr>
      <dsp:spPr>
        <a:xfrm>
          <a:off x="4107757" y="407842"/>
          <a:ext cx="1327058" cy="5008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 </a:t>
          </a:r>
        </a:p>
      </dsp:txBody>
      <dsp:txXfrm>
        <a:off x="4302100" y="481196"/>
        <a:ext cx="938372" cy="354186"/>
      </dsp:txXfrm>
    </dsp:sp>
    <dsp:sp modelId="{00112A8F-12E8-45AC-B551-DFB66BE45059}">
      <dsp:nvSpPr>
        <dsp:cNvPr id="0" name=""/>
        <dsp:cNvSpPr/>
      </dsp:nvSpPr>
      <dsp:spPr>
        <a:xfrm rot="46295">
          <a:off x="3470506" y="1156342"/>
          <a:ext cx="1229570"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4969" y="1131525"/>
        <a:ext cx="0" cy="0"/>
      </dsp:txXfrm>
    </dsp:sp>
    <dsp:sp modelId="{423B6D89-2000-40C7-8429-BD38C7402395}">
      <dsp:nvSpPr>
        <dsp:cNvPr id="0" name=""/>
        <dsp:cNvSpPr/>
      </dsp:nvSpPr>
      <dsp:spPr>
        <a:xfrm>
          <a:off x="4699773" y="968085"/>
          <a:ext cx="986573" cy="419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4844253" y="1029449"/>
        <a:ext cx="697613" cy="296290"/>
      </dsp:txXfrm>
    </dsp:sp>
    <dsp:sp modelId="{650854B0-9FE7-4FFD-96B2-18F6452E0859}">
      <dsp:nvSpPr>
        <dsp:cNvPr id="0" name=""/>
        <dsp:cNvSpPr/>
      </dsp:nvSpPr>
      <dsp:spPr>
        <a:xfrm rot="863322">
          <a:off x="3302397" y="1387134"/>
          <a:ext cx="1053179"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10026" y="1361421"/>
        <a:ext cx="0" cy="0"/>
      </dsp:txXfrm>
    </dsp:sp>
    <dsp:sp modelId="{6394B413-6D12-4C4F-9A8D-E0508CAE8617}">
      <dsp:nvSpPr>
        <dsp:cNvPr id="0" name=""/>
        <dsp:cNvSpPr/>
      </dsp:nvSpPr>
      <dsp:spPr>
        <a:xfrm>
          <a:off x="4189606" y="1445933"/>
          <a:ext cx="1338744" cy="42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85661" y="1507960"/>
        <a:ext cx="946634" cy="299495"/>
      </dsp:txXfrm>
    </dsp:sp>
    <dsp:sp modelId="{DEF09AAB-E09E-4486-8914-E37D47E60824}">
      <dsp:nvSpPr>
        <dsp:cNvPr id="0" name=""/>
        <dsp:cNvSpPr/>
      </dsp:nvSpPr>
      <dsp:spPr>
        <a:xfrm rot="2430467">
          <a:off x="2993278" y="1486672"/>
          <a:ext cx="555892"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69685" y="1473412"/>
        <a:ext cx="0" cy="0"/>
      </dsp:txXfrm>
    </dsp:sp>
    <dsp:sp modelId="{2ED32773-10C9-4671-A0BF-4C0DAB40AE25}">
      <dsp:nvSpPr>
        <dsp:cNvPr id="0" name=""/>
        <dsp:cNvSpPr/>
      </dsp:nvSpPr>
      <dsp:spPr>
        <a:xfrm>
          <a:off x="3176332" y="1653187"/>
          <a:ext cx="1066131" cy="4283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332463" y="1715912"/>
        <a:ext cx="753869" cy="302862"/>
      </dsp:txXfrm>
    </dsp:sp>
    <dsp:sp modelId="{EAF47FDD-7D57-4FF6-9F6B-6E604D2CC0DE}">
      <dsp:nvSpPr>
        <dsp:cNvPr id="0" name=""/>
        <dsp:cNvSpPr/>
      </dsp:nvSpPr>
      <dsp:spPr>
        <a:xfrm rot="7067139">
          <a:off x="2456312" y="1505058"/>
          <a:ext cx="433233"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687559" y="1506859"/>
        <a:ext cx="0" cy="0"/>
      </dsp:txXfrm>
    </dsp:sp>
    <dsp:sp modelId="{F74F2681-A109-4B75-8C08-B2B26769CF03}">
      <dsp:nvSpPr>
        <dsp:cNvPr id="0" name=""/>
        <dsp:cNvSpPr/>
      </dsp:nvSpPr>
      <dsp:spPr>
        <a:xfrm>
          <a:off x="1806260" y="1700402"/>
          <a:ext cx="1319823" cy="406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1999544" y="1759970"/>
        <a:ext cx="933255" cy="287620"/>
      </dsp:txXfrm>
    </dsp:sp>
    <dsp:sp modelId="{AC7E3352-64BC-4978-9AB6-2DD833483239}">
      <dsp:nvSpPr>
        <dsp:cNvPr id="0" name=""/>
        <dsp:cNvSpPr/>
      </dsp:nvSpPr>
      <dsp:spPr>
        <a:xfrm rot="9616227">
          <a:off x="1554324" y="1438222"/>
          <a:ext cx="958424"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4179" y="1459021"/>
        <a:ext cx="0" cy="0"/>
      </dsp:txXfrm>
    </dsp:sp>
    <dsp:sp modelId="{05C48364-E63B-4056-87CF-0BE50D74190B}">
      <dsp:nvSpPr>
        <dsp:cNvPr id="0" name=""/>
        <dsp:cNvSpPr/>
      </dsp:nvSpPr>
      <dsp:spPr>
        <a:xfrm>
          <a:off x="457123" y="1558855"/>
          <a:ext cx="1372366" cy="4099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58101" y="1618888"/>
        <a:ext cx="970410" cy="289868"/>
      </dsp:txXfrm>
    </dsp:sp>
    <dsp:sp modelId="{06FD983D-3F71-4BCE-AD7F-6DD1041A2F23}">
      <dsp:nvSpPr>
        <dsp:cNvPr id="0" name=""/>
        <dsp:cNvSpPr/>
      </dsp:nvSpPr>
      <dsp:spPr>
        <a:xfrm rot="10573551">
          <a:off x="1276631" y="1211762"/>
          <a:ext cx="999024"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2709" y="1241373"/>
        <a:ext cx="0" cy="0"/>
      </dsp:txXfrm>
    </dsp:sp>
    <dsp:sp modelId="{CFBB929F-8BEB-442D-8D00-28EE1C02C39C}">
      <dsp:nvSpPr>
        <dsp:cNvPr id="0" name=""/>
        <dsp:cNvSpPr/>
      </dsp:nvSpPr>
      <dsp:spPr>
        <a:xfrm>
          <a:off x="103634" y="1058984"/>
          <a:ext cx="1182368" cy="4608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dsp:txBody>
      <dsp:txXfrm>
        <a:off x="276788" y="1126479"/>
        <a:ext cx="836060" cy="325894"/>
      </dsp:txXfrm>
    </dsp:sp>
    <dsp:sp modelId="{C494819C-C98E-47AA-9AF0-D23BA2FEB24F}">
      <dsp:nvSpPr>
        <dsp:cNvPr id="0" name=""/>
        <dsp:cNvSpPr/>
      </dsp:nvSpPr>
      <dsp:spPr>
        <a:xfrm rot="11471665">
          <a:off x="1395328" y="945870"/>
          <a:ext cx="979034"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04103" y="980964"/>
        <a:ext cx="0" cy="0"/>
      </dsp:txXfrm>
    </dsp:sp>
    <dsp:sp modelId="{77FEFA40-E907-476F-8675-3DC698720930}">
      <dsp:nvSpPr>
        <dsp:cNvPr id="0" name=""/>
        <dsp:cNvSpPr/>
      </dsp:nvSpPr>
      <dsp:spPr>
        <a:xfrm>
          <a:off x="143821" y="481414"/>
          <a:ext cx="1333904" cy="516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&amp; Resources Mgmt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39167" y="557046"/>
        <a:ext cx="943212" cy="365187"/>
      </dsp:txXfrm>
    </dsp:sp>
    <dsp:sp modelId="{EF98737B-1136-4CD3-A0AC-E4FF8E58DD83}">
      <dsp:nvSpPr>
        <dsp:cNvPr id="0" name=""/>
        <dsp:cNvSpPr/>
      </dsp:nvSpPr>
      <dsp:spPr>
        <a:xfrm rot="12993863">
          <a:off x="2002260" y="764109"/>
          <a:ext cx="712790"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2352" y="795370"/>
        <a:ext cx="0" cy="0"/>
      </dsp:txXfrm>
    </dsp:sp>
    <dsp:sp modelId="{C8187693-0532-46C7-A6F3-C4A32348C87B}">
      <dsp:nvSpPr>
        <dsp:cNvPr id="0" name=""/>
        <dsp:cNvSpPr/>
      </dsp:nvSpPr>
      <dsp:spPr>
        <a:xfrm>
          <a:off x="1249597" y="131749"/>
          <a:ext cx="1109019" cy="4547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dsp:txBody>
      <dsp:txXfrm>
        <a:off x="1412009" y="198348"/>
        <a:ext cx="784195" cy="32157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9885" y="702327"/>
          <a:ext cx="1196229" cy="4043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a:t>
          </a:r>
        </a:p>
      </dsp:txBody>
      <dsp:txXfrm>
        <a:off x="2525069" y="761543"/>
        <a:ext cx="845861" cy="285918"/>
      </dsp:txXfrm>
    </dsp:sp>
    <dsp:sp modelId="{DB73B42A-BE4F-46BC-B512-015EB15734E7}">
      <dsp:nvSpPr>
        <dsp:cNvPr id="0" name=""/>
        <dsp:cNvSpPr/>
      </dsp:nvSpPr>
      <dsp:spPr>
        <a:xfrm rot="16200000">
          <a:off x="2819502" y="567703"/>
          <a:ext cx="256996"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575" y="567404"/>
        <a:ext cx="12849" cy="12849"/>
      </dsp:txXfrm>
    </dsp:sp>
    <dsp:sp modelId="{8C16842D-5717-4E53-9353-18DF877708CF}">
      <dsp:nvSpPr>
        <dsp:cNvPr id="0" name=""/>
        <dsp:cNvSpPr/>
      </dsp:nvSpPr>
      <dsp:spPr>
        <a:xfrm>
          <a:off x="2426605" y="-22728"/>
          <a:ext cx="1042790" cy="4680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 </a:t>
          </a:r>
        </a:p>
      </dsp:txBody>
      <dsp:txXfrm>
        <a:off x="2579318" y="45818"/>
        <a:ext cx="737364" cy="330967"/>
      </dsp:txXfrm>
    </dsp:sp>
    <dsp:sp modelId="{F32845D8-3F89-45CE-82D0-5F6D6B81E25D}">
      <dsp:nvSpPr>
        <dsp:cNvPr id="0" name=""/>
        <dsp:cNvSpPr/>
      </dsp:nvSpPr>
      <dsp:spPr>
        <a:xfrm rot="20606743">
          <a:off x="3388405" y="704731"/>
          <a:ext cx="422122"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8913" y="700304"/>
        <a:ext cx="21106" cy="21106"/>
      </dsp:txXfrm>
    </dsp:sp>
    <dsp:sp modelId="{56946440-4960-4194-9471-9ABCF62950BA}">
      <dsp:nvSpPr>
        <dsp:cNvPr id="0" name=""/>
        <dsp:cNvSpPr/>
      </dsp:nvSpPr>
      <dsp:spPr>
        <a:xfrm>
          <a:off x="3688766" y="283079"/>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sp:txBody>
      <dsp:txXfrm>
        <a:off x="3857079" y="350568"/>
        <a:ext cx="812686" cy="325863"/>
      </dsp:txXfrm>
    </dsp:sp>
    <dsp:sp modelId="{5337AE63-3722-42CC-AF72-36670EB7C5E1}">
      <dsp:nvSpPr>
        <dsp:cNvPr id="0" name=""/>
        <dsp:cNvSpPr/>
      </dsp:nvSpPr>
      <dsp:spPr>
        <a:xfrm rot="1080">
          <a:off x="3546115" y="898731"/>
          <a:ext cx="1068037"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3432" y="878156"/>
        <a:ext cx="53401" cy="53401"/>
      </dsp:txXfrm>
    </dsp:sp>
    <dsp:sp modelId="{CED9197C-8322-406B-917C-172FA36E7B76}">
      <dsp:nvSpPr>
        <dsp:cNvPr id="0" name=""/>
        <dsp:cNvSpPr/>
      </dsp:nvSpPr>
      <dsp:spPr>
        <a:xfrm>
          <a:off x="4614152" y="626583"/>
          <a:ext cx="1326272" cy="557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808380" y="708198"/>
        <a:ext cx="937816" cy="394069"/>
      </dsp:txXfrm>
    </dsp:sp>
    <dsp:sp modelId="{4AC11394-3179-4EC5-A97F-D1A1B521CE2F}">
      <dsp:nvSpPr>
        <dsp:cNvPr id="0" name=""/>
        <dsp:cNvSpPr/>
      </dsp:nvSpPr>
      <dsp:spPr>
        <a:xfrm rot="1039915">
          <a:off x="3378558" y="1093922"/>
          <a:ext cx="392077"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4795" y="1090246"/>
        <a:ext cx="19603" cy="19603"/>
      </dsp:txXfrm>
    </dsp:sp>
    <dsp:sp modelId="{035B4C9A-0916-4FCC-A1CF-85DB358A289A}">
      <dsp:nvSpPr>
        <dsp:cNvPr id="0" name=""/>
        <dsp:cNvSpPr/>
      </dsp:nvSpPr>
      <dsp:spPr>
        <a:xfrm>
          <a:off x="3664957" y="1041135"/>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831951" y="1118764"/>
        <a:ext cx="806319" cy="374828"/>
      </dsp:txXfrm>
    </dsp:sp>
    <dsp:sp modelId="{64248C57-3CE0-4657-BC67-6279BA0257B1}">
      <dsp:nvSpPr>
        <dsp:cNvPr id="0" name=""/>
        <dsp:cNvSpPr/>
      </dsp:nvSpPr>
      <dsp:spPr>
        <a:xfrm rot="5388050">
          <a:off x="2879361" y="1170134"/>
          <a:ext cx="13916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5" y="1172781"/>
        <a:ext cx="6958" cy="6958"/>
      </dsp:txXfrm>
    </dsp:sp>
    <dsp:sp modelId="{976BA53C-17D4-4F7C-9078-1272C469C9E5}">
      <dsp:nvSpPr>
        <dsp:cNvPr id="0" name=""/>
        <dsp:cNvSpPr/>
      </dsp:nvSpPr>
      <dsp:spPr>
        <a:xfrm>
          <a:off x="2354231" y="1245844"/>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2528723" y="1313069"/>
        <a:ext cx="842522" cy="324592"/>
      </dsp:txXfrm>
    </dsp:sp>
    <dsp:sp modelId="{73944B9B-8143-474E-A2B5-719E57EA1FE0}">
      <dsp:nvSpPr>
        <dsp:cNvPr id="0" name=""/>
        <dsp:cNvSpPr/>
      </dsp:nvSpPr>
      <dsp:spPr>
        <a:xfrm rot="9635897">
          <a:off x="2160366" y="1108084"/>
          <a:ext cx="384386"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2949" y="1104600"/>
        <a:ext cx="19219" cy="19219"/>
      </dsp:txXfrm>
    </dsp:sp>
    <dsp:sp modelId="{2BDBEDDB-6DE8-44DC-8FC2-1ED793273BD1}">
      <dsp:nvSpPr>
        <dsp:cNvPr id="0" name=""/>
        <dsp:cNvSpPr/>
      </dsp:nvSpPr>
      <dsp:spPr>
        <a:xfrm>
          <a:off x="1074287" y="1076011"/>
          <a:ext cx="1231674" cy="5430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sp:txBody>
      <dsp:txXfrm>
        <a:off x="1254661" y="1155532"/>
        <a:ext cx="870926" cy="383959"/>
      </dsp:txXfrm>
    </dsp:sp>
    <dsp:sp modelId="{ADF94B70-0D7F-4A27-8DF9-17BCD27F4A7A}">
      <dsp:nvSpPr>
        <dsp:cNvPr id="0" name=""/>
        <dsp:cNvSpPr/>
      </dsp:nvSpPr>
      <dsp:spPr>
        <a:xfrm rot="10802850">
          <a:off x="1259515" y="897428"/>
          <a:ext cx="1090371"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7442" y="876295"/>
        <a:ext cx="54518" cy="54518"/>
      </dsp:txXfrm>
    </dsp:sp>
    <dsp:sp modelId="{0FAF3FA1-8E6C-455E-B189-A468B3F4D8BC}">
      <dsp:nvSpPr>
        <dsp:cNvPr id="0" name=""/>
        <dsp:cNvSpPr/>
      </dsp:nvSpPr>
      <dsp:spPr>
        <a:xfrm>
          <a:off x="22092" y="624924"/>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309" y="706250"/>
        <a:ext cx="874990" cy="392678"/>
      </dsp:txXfrm>
    </dsp:sp>
    <dsp:sp modelId="{7DF391B8-9498-4F55-ACE3-A6D0DB9A80F6}">
      <dsp:nvSpPr>
        <dsp:cNvPr id="0" name=""/>
        <dsp:cNvSpPr/>
      </dsp:nvSpPr>
      <dsp:spPr>
        <a:xfrm rot="12018079">
          <a:off x="2200474" y="687520"/>
          <a:ext cx="355100"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9147" y="684769"/>
        <a:ext cx="17755" cy="17755"/>
      </dsp:txXfrm>
    </dsp:sp>
    <dsp:sp modelId="{E3F75BBA-60EC-4D9A-B0CC-E18ADA53928C}">
      <dsp:nvSpPr>
        <dsp:cNvPr id="0" name=""/>
        <dsp:cNvSpPr/>
      </dsp:nvSpPr>
      <dsp:spPr>
        <a:xfrm>
          <a:off x="1065332" y="225870"/>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1265070" y="294536"/>
        <a:ext cx="964417" cy="3315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38314"/>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dsp:txBody>
      <dsp:txXfrm>
        <a:off x="2492644" y="598213"/>
        <a:ext cx="767810" cy="289221"/>
      </dsp:txXfrm>
    </dsp:sp>
    <dsp:sp modelId="{4AC11394-3179-4EC5-A97F-D1A1B521CE2F}">
      <dsp:nvSpPr>
        <dsp:cNvPr id="0" name=""/>
        <dsp:cNvSpPr/>
      </dsp:nvSpPr>
      <dsp:spPr>
        <a:xfrm rot="1134">
          <a:off x="3419473" y="736731"/>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23903"/>
        <a:ext cx="38453" cy="38453"/>
      </dsp:txXfrm>
    </dsp:sp>
    <dsp:sp modelId="{035B4C9A-0916-4FCC-A1CF-85DB358A289A}">
      <dsp:nvSpPr>
        <dsp:cNvPr id="0" name=""/>
        <dsp:cNvSpPr/>
      </dsp:nvSpPr>
      <dsp:spPr>
        <a:xfrm>
          <a:off x="4188545" y="516645"/>
          <a:ext cx="1459781"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402325" y="583088"/>
        <a:ext cx="1032221" cy="320818"/>
      </dsp:txXfrm>
    </dsp:sp>
    <dsp:sp modelId="{ADF94B70-0D7F-4A27-8DF9-17BCD27F4A7A}">
      <dsp:nvSpPr>
        <dsp:cNvPr id="0" name=""/>
        <dsp:cNvSpPr/>
      </dsp:nvSpPr>
      <dsp:spPr>
        <a:xfrm rot="10801296">
          <a:off x="1728239" y="736106"/>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27370"/>
        <a:ext cx="30269" cy="30269"/>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5070" y="767657"/>
          <a:ext cx="1193709"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dsp:txBody>
      <dsp:txXfrm>
        <a:off x="2569885" y="827307"/>
        <a:ext cx="844079" cy="288019"/>
      </dsp:txXfrm>
    </dsp:sp>
    <dsp:sp modelId="{E887F142-3B93-49E1-A09D-1DCD207D21D1}">
      <dsp:nvSpPr>
        <dsp:cNvPr id="0" name=""/>
        <dsp:cNvSpPr/>
      </dsp:nvSpPr>
      <dsp:spPr>
        <a:xfrm rot="16175855">
          <a:off x="2892323" y="663851"/>
          <a:ext cx="1949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4935" y="665299"/>
        <a:ext cx="9748" cy="9748"/>
      </dsp:txXfrm>
    </dsp:sp>
    <dsp:sp modelId="{3EA08C86-6A87-4381-A9A9-F10D993E2D53}">
      <dsp:nvSpPr>
        <dsp:cNvPr id="0" name=""/>
        <dsp:cNvSpPr/>
      </dsp:nvSpPr>
      <dsp:spPr>
        <a:xfrm>
          <a:off x="2486472" y="76355"/>
          <a:ext cx="1001819" cy="496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PL</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185" y="149042"/>
        <a:ext cx="708393" cy="350961"/>
      </dsp:txXfrm>
    </dsp:sp>
    <dsp:sp modelId="{00112A8F-12E8-45AC-B551-DFB66BE45059}">
      <dsp:nvSpPr>
        <dsp:cNvPr id="0" name=""/>
        <dsp:cNvSpPr/>
      </dsp:nvSpPr>
      <dsp:spPr>
        <a:xfrm rot="20325438">
          <a:off x="3365309" y="703405"/>
          <a:ext cx="599092"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9878" y="694750"/>
        <a:ext cx="29954" cy="29954"/>
      </dsp:txXfrm>
    </dsp:sp>
    <dsp:sp modelId="{423B6D89-2000-40C7-8429-BD38C7402395}">
      <dsp:nvSpPr>
        <dsp:cNvPr id="0" name=""/>
        <dsp:cNvSpPr/>
      </dsp:nvSpPr>
      <dsp:spPr>
        <a:xfrm>
          <a:off x="3746088" y="170872"/>
          <a:ext cx="1318511" cy="502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3939179" y="244389"/>
        <a:ext cx="932329" cy="354971"/>
      </dsp:txXfrm>
    </dsp:sp>
    <dsp:sp modelId="{650854B0-9FE7-4FFD-96B2-18F6452E0859}">
      <dsp:nvSpPr>
        <dsp:cNvPr id="0" name=""/>
        <dsp:cNvSpPr/>
      </dsp:nvSpPr>
      <dsp:spPr>
        <a:xfrm rot="1232">
          <a:off x="3588779" y="965423"/>
          <a:ext cx="1197788"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7728" y="941801"/>
        <a:ext cx="59889" cy="59889"/>
      </dsp:txXfrm>
    </dsp:sp>
    <dsp:sp modelId="{6394B413-6D12-4C4F-9A8D-E0508CAE8617}">
      <dsp:nvSpPr>
        <dsp:cNvPr id="0" name=""/>
        <dsp:cNvSpPr/>
      </dsp:nvSpPr>
      <dsp:spPr>
        <a:xfrm>
          <a:off x="4786567" y="736167"/>
          <a:ext cx="1049066"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940199" y="805284"/>
        <a:ext cx="741802" cy="333726"/>
      </dsp:txXfrm>
    </dsp:sp>
    <dsp:sp modelId="{DEF09AAB-E09E-4486-8914-E37D47E60824}">
      <dsp:nvSpPr>
        <dsp:cNvPr id="0" name=""/>
        <dsp:cNvSpPr/>
      </dsp:nvSpPr>
      <dsp:spPr>
        <a:xfrm rot="10804604">
          <a:off x="1450895" y="963563"/>
          <a:ext cx="944180"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80" y="946281"/>
        <a:ext cx="47209" cy="47209"/>
      </dsp:txXfrm>
    </dsp:sp>
    <dsp:sp modelId="{2ED32773-10C9-4671-A0BF-4C0DAB40AE25}">
      <dsp:nvSpPr>
        <dsp:cNvPr id="0" name=""/>
        <dsp:cNvSpPr/>
      </dsp:nvSpPr>
      <dsp:spPr>
        <a:xfrm>
          <a:off x="214543" y="722101"/>
          <a:ext cx="1236355" cy="4926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395603" y="794248"/>
        <a:ext cx="874235" cy="348355"/>
      </dsp:txXfrm>
    </dsp:sp>
    <dsp:sp modelId="{06FD983D-3F71-4BCE-AD7F-6DD1041A2F23}">
      <dsp:nvSpPr>
        <dsp:cNvPr id="0" name=""/>
        <dsp:cNvSpPr/>
      </dsp:nvSpPr>
      <dsp:spPr>
        <a:xfrm rot="12160169">
          <a:off x="2134247" y="711044"/>
          <a:ext cx="499359"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1443" y="704882"/>
        <a:ext cx="24967" cy="24967"/>
      </dsp:txXfrm>
    </dsp:sp>
    <dsp:sp modelId="{CFBB929F-8BEB-442D-8D00-28EE1C02C39C}">
      <dsp:nvSpPr>
        <dsp:cNvPr id="0" name=""/>
        <dsp:cNvSpPr/>
      </dsp:nvSpPr>
      <dsp:spPr>
        <a:xfrm>
          <a:off x="1013178" y="170869"/>
          <a:ext cx="1363691" cy="517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1212886" y="246656"/>
        <a:ext cx="964275" cy="36593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577059" y="64200"/>
        <a:ext cx="639622" cy="307359"/>
      </dsp:txXfrm>
    </dsp:sp>
    <dsp:sp modelId="{34515D96-C834-4D67-AF5C-3B293601CBC3}">
      <dsp:nvSpPr>
        <dsp:cNvPr id="0" name=""/>
        <dsp:cNvSpPr/>
      </dsp:nvSpPr>
      <dsp:spPr>
        <a:xfrm rot="18912243">
          <a:off x="2956002" y="823381"/>
          <a:ext cx="835010" cy="14693"/>
        </a:xfrm>
        <a:custGeom>
          <a:avLst/>
          <a:gdLst/>
          <a:ahLst/>
          <a:cxnLst/>
          <a:rect l="0" t="0" r="0" b="0"/>
          <a:pathLst>
            <a:path>
              <a:moveTo>
                <a:pt x="0" y="7346"/>
              </a:moveTo>
              <a:lnTo>
                <a:pt x="835010"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52632" y="809852"/>
        <a:ext cx="41750" cy="41750"/>
      </dsp:txXfrm>
    </dsp:sp>
    <dsp:sp modelId="{D9366F31-B7D7-4B43-830C-AD5E2193A794}">
      <dsp:nvSpPr>
        <dsp:cNvPr id="0" name=""/>
        <dsp:cNvSpPr/>
      </dsp:nvSpPr>
      <dsp:spPr>
        <a:xfrm>
          <a:off x="3405252" y="90951"/>
          <a:ext cx="953120"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544833" y="159804"/>
        <a:ext cx="673958" cy="332452"/>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System</a:t>
          </a: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  </a:t>
          </a: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GC</a:t>
          </a: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61096" y="600989"/>
          <a:ext cx="1103797" cy="3453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dsp:txBody>
      <dsp:txXfrm>
        <a:off x="2522743" y="651562"/>
        <a:ext cx="780503" cy="244186"/>
      </dsp:txXfrm>
    </dsp:sp>
    <dsp:sp modelId="{5337AE63-3722-42CC-AF72-36670EB7C5E1}">
      <dsp:nvSpPr>
        <dsp:cNvPr id="0" name=""/>
        <dsp:cNvSpPr/>
      </dsp:nvSpPr>
      <dsp:spPr>
        <a:xfrm rot="16230375">
          <a:off x="2812178" y="492344"/>
          <a:ext cx="206508"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10225" y="502856"/>
        <a:ext cx="0" cy="0"/>
      </dsp:txXfrm>
    </dsp:sp>
    <dsp:sp modelId="{CED9197C-8322-406B-917C-172FA36E7B76}">
      <dsp:nvSpPr>
        <dsp:cNvPr id="0" name=""/>
        <dsp:cNvSpPr/>
      </dsp:nvSpPr>
      <dsp:spPr>
        <a:xfrm>
          <a:off x="2480061" y="-16033"/>
          <a:ext cx="876195" cy="410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2608377" y="44087"/>
        <a:ext cx="619563" cy="290284"/>
      </dsp:txXfrm>
    </dsp:sp>
    <dsp:sp modelId="{4AC11394-3179-4EC5-A97F-D1A1B521CE2F}">
      <dsp:nvSpPr>
        <dsp:cNvPr id="0" name=""/>
        <dsp:cNvSpPr/>
      </dsp:nvSpPr>
      <dsp:spPr>
        <a:xfrm rot="20484300">
          <a:off x="3272956" y="544884"/>
          <a:ext cx="607960"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57685" y="540720"/>
        <a:ext cx="0" cy="0"/>
      </dsp:txXfrm>
    </dsp:sp>
    <dsp:sp modelId="{035B4C9A-0916-4FCC-A1CF-85DB358A289A}">
      <dsp:nvSpPr>
        <dsp:cNvPr id="0" name=""/>
        <dsp:cNvSpPr/>
      </dsp:nvSpPr>
      <dsp:spPr>
        <a:xfrm>
          <a:off x="3646269" y="98244"/>
          <a:ext cx="1335474" cy="408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3841845" y="158010"/>
        <a:ext cx="944322" cy="288578"/>
      </dsp:txXfrm>
    </dsp:sp>
    <dsp:sp modelId="{ADF94B70-0D7F-4A27-8DF9-17BCD27F4A7A}">
      <dsp:nvSpPr>
        <dsp:cNvPr id="0" name=""/>
        <dsp:cNvSpPr/>
      </dsp:nvSpPr>
      <dsp:spPr>
        <a:xfrm rot="21594334">
          <a:off x="3464885" y="766378"/>
          <a:ext cx="1179808"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5245" y="742328"/>
        <a:ext cx="0" cy="0"/>
      </dsp:txXfrm>
    </dsp:sp>
    <dsp:sp modelId="{0FAF3FA1-8E6C-455E-B189-A468B3F4D8BC}">
      <dsp:nvSpPr>
        <dsp:cNvPr id="0" name=""/>
        <dsp:cNvSpPr/>
      </dsp:nvSpPr>
      <dsp:spPr>
        <a:xfrm>
          <a:off x="4644688" y="556667"/>
          <a:ext cx="1043844" cy="4265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7555" y="619134"/>
        <a:ext cx="738110" cy="301614"/>
      </dsp:txXfrm>
    </dsp:sp>
    <dsp:sp modelId="{447FEE0B-EFE1-4BAD-80EF-66C3DD36014A}">
      <dsp:nvSpPr>
        <dsp:cNvPr id="0" name=""/>
        <dsp:cNvSpPr/>
      </dsp:nvSpPr>
      <dsp:spPr>
        <a:xfrm rot="1014511">
          <a:off x="3297789" y="962793"/>
          <a:ext cx="510293"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44440" y="952272"/>
        <a:ext cx="0" cy="0"/>
      </dsp:txXfrm>
    </dsp:sp>
    <dsp:sp modelId="{3F1A2A14-E080-4448-96C3-A8E6002E7EE2}">
      <dsp:nvSpPr>
        <dsp:cNvPr id="0" name=""/>
        <dsp:cNvSpPr/>
      </dsp:nvSpPr>
      <dsp:spPr>
        <a:xfrm>
          <a:off x="3688839" y="932078"/>
          <a:ext cx="1194578" cy="517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3781" y="1007935"/>
        <a:ext cx="844694" cy="366268"/>
      </dsp:txXfrm>
    </dsp:sp>
    <dsp:sp modelId="{E64AB50F-BCCF-45E7-A4E4-85ABC4F0C76B}">
      <dsp:nvSpPr>
        <dsp:cNvPr id="0" name=""/>
        <dsp:cNvSpPr/>
      </dsp:nvSpPr>
      <dsp:spPr>
        <a:xfrm rot="5427536">
          <a:off x="2837719" y="1014229"/>
          <a:ext cx="146609"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14718" y="1015988"/>
        <a:ext cx="0" cy="0"/>
      </dsp:txXfrm>
    </dsp:sp>
    <dsp:sp modelId="{97004BB0-64D3-4A92-A1C1-813788F5650F}">
      <dsp:nvSpPr>
        <dsp:cNvPr id="0" name=""/>
        <dsp:cNvSpPr/>
      </dsp:nvSpPr>
      <dsp:spPr>
        <a:xfrm>
          <a:off x="2240527" y="1092926"/>
          <a:ext cx="1335944" cy="4839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36171" y="1163798"/>
        <a:ext cx="944656" cy="342198"/>
      </dsp:txXfrm>
    </dsp:sp>
    <dsp:sp modelId="{B6AECE84-7D2E-4CE5-85C8-4C69518D07D3}">
      <dsp:nvSpPr>
        <dsp:cNvPr id="0" name=""/>
        <dsp:cNvSpPr/>
      </dsp:nvSpPr>
      <dsp:spPr>
        <a:xfrm rot="9775202">
          <a:off x="1968878" y="971890"/>
          <a:ext cx="562766"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67842" y="986601"/>
        <a:ext cx="0" cy="0"/>
      </dsp:txXfrm>
    </dsp:sp>
    <dsp:sp modelId="{1E378005-6F69-4397-8C2A-FC05D53E797D}">
      <dsp:nvSpPr>
        <dsp:cNvPr id="0" name=""/>
        <dsp:cNvSpPr/>
      </dsp:nvSpPr>
      <dsp:spPr>
        <a:xfrm>
          <a:off x="920325" y="954216"/>
          <a:ext cx="1169597" cy="50403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a:p>
          <a:pPr lvl="0" algn="ctr" defTabSz="444500">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91609" y="1028031"/>
        <a:ext cx="827029" cy="356407"/>
      </dsp:txXfrm>
    </dsp:sp>
    <dsp:sp modelId="{D74286FF-AAFA-441A-87F1-98384D680093}">
      <dsp:nvSpPr>
        <dsp:cNvPr id="0" name=""/>
        <dsp:cNvSpPr/>
      </dsp:nvSpPr>
      <dsp:spPr>
        <a:xfrm rot="10810718">
          <a:off x="1176267" y="764693"/>
          <a:ext cx="1184858"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98225" y="799801"/>
        <a:ext cx="0" cy="0"/>
      </dsp:txXfrm>
    </dsp:sp>
    <dsp:sp modelId="{755CFD49-3313-42A9-A1A9-D99CF689F3D7}">
      <dsp:nvSpPr>
        <dsp:cNvPr id="0" name=""/>
        <dsp:cNvSpPr/>
      </dsp:nvSpPr>
      <dsp:spPr>
        <a:xfrm>
          <a:off x="630" y="506901"/>
          <a:ext cx="1175654" cy="519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2801" y="582909"/>
        <a:ext cx="831312" cy="366998"/>
      </dsp:txXfrm>
    </dsp:sp>
    <dsp:sp modelId="{6674A0B6-35AA-4763-B890-1E2177289BCF}">
      <dsp:nvSpPr>
        <dsp:cNvPr id="0" name=""/>
        <dsp:cNvSpPr/>
      </dsp:nvSpPr>
      <dsp:spPr>
        <a:xfrm rot="11993118">
          <a:off x="2017131" y="543917"/>
          <a:ext cx="551250"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01027" y="566959"/>
        <a:ext cx="0" cy="0"/>
      </dsp:txXfrm>
    </dsp:sp>
    <dsp:sp modelId="{16FD236C-1C35-46D3-A6E9-C486F23997B9}">
      <dsp:nvSpPr>
        <dsp:cNvPr id="0" name=""/>
        <dsp:cNvSpPr/>
      </dsp:nvSpPr>
      <dsp:spPr>
        <a:xfrm>
          <a:off x="1000944" y="64111"/>
          <a:ext cx="1190469" cy="4664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75284" y="132427"/>
        <a:ext cx="841789" cy="3298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53615" y="789398"/>
          <a:ext cx="109219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a:t>
          </a:r>
        </a:p>
      </dsp:txBody>
      <dsp:txXfrm>
        <a:off x="2713563" y="865610"/>
        <a:ext cx="772296" cy="367987"/>
      </dsp:txXfrm>
    </dsp:sp>
    <dsp:sp modelId="{27C08CD6-CB73-4E0E-BA37-473C15E9C926}">
      <dsp:nvSpPr>
        <dsp:cNvPr id="0" name=""/>
        <dsp:cNvSpPr/>
      </dsp:nvSpPr>
      <dsp:spPr>
        <a:xfrm rot="16200000">
          <a:off x="2969460" y="651496"/>
          <a:ext cx="260500"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93198" y="652635"/>
        <a:ext cx="13025" cy="13025"/>
      </dsp:txXfrm>
    </dsp:sp>
    <dsp:sp modelId="{8441BECF-C9FE-4C31-BFA4-B45EB6B3D1F0}">
      <dsp:nvSpPr>
        <dsp:cNvPr id="0" name=""/>
        <dsp:cNvSpPr/>
      </dsp:nvSpPr>
      <dsp:spPr>
        <a:xfrm>
          <a:off x="2705921" y="8486"/>
          <a:ext cx="78757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821259" y="84698"/>
        <a:ext cx="556903" cy="367987"/>
      </dsp:txXfrm>
    </dsp:sp>
    <dsp:sp modelId="{27678B34-738D-4B59-81F4-6EB54DA6F256}">
      <dsp:nvSpPr>
        <dsp:cNvPr id="0" name=""/>
        <dsp:cNvSpPr/>
      </dsp:nvSpPr>
      <dsp:spPr>
        <a:xfrm rot="19885361">
          <a:off x="3441452" y="776179"/>
          <a:ext cx="292358" cy="15304"/>
        </a:xfrm>
        <a:custGeom>
          <a:avLst/>
          <a:gdLst/>
          <a:ahLst/>
          <a:cxnLst/>
          <a:rect l="0" t="0" r="0" b="0"/>
          <a:pathLst>
            <a:path>
              <a:moveTo>
                <a:pt x="0" y="7652"/>
              </a:moveTo>
              <a:lnTo>
                <a:pt x="292358"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0322" y="776522"/>
        <a:ext cx="14617" cy="14617"/>
      </dsp:txXfrm>
    </dsp:sp>
    <dsp:sp modelId="{77E0AE60-7058-4D43-911F-C57FA8C6CA9F}">
      <dsp:nvSpPr>
        <dsp:cNvPr id="0" name=""/>
        <dsp:cNvSpPr/>
      </dsp:nvSpPr>
      <dsp:spPr>
        <a:xfrm>
          <a:off x="3589544" y="273933"/>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sp:txBody>
      <dsp:txXfrm>
        <a:off x="3723247" y="350145"/>
        <a:ext cx="645572" cy="367987"/>
      </dsp:txXfrm>
    </dsp:sp>
    <dsp:sp modelId="{EED79A7F-2696-484A-8083-D28DF0387AD5}">
      <dsp:nvSpPr>
        <dsp:cNvPr id="0" name=""/>
        <dsp:cNvSpPr/>
      </dsp:nvSpPr>
      <dsp:spPr>
        <a:xfrm rot="21587580">
          <a:off x="3645788" y="1038068"/>
          <a:ext cx="1057941" cy="15304"/>
        </a:xfrm>
        <a:custGeom>
          <a:avLst/>
          <a:gdLst/>
          <a:ahLst/>
          <a:cxnLst/>
          <a:rect l="0" t="0" r="0" b="0"/>
          <a:pathLst>
            <a:path>
              <a:moveTo>
                <a:pt x="0" y="7652"/>
              </a:moveTo>
              <a:lnTo>
                <a:pt x="105794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8310" y="1019271"/>
        <a:ext cx="52897" cy="52897"/>
      </dsp:txXfrm>
    </dsp:sp>
    <dsp:sp modelId="{05994623-F04A-4AAC-82E3-2D63726DAA8A}">
      <dsp:nvSpPr>
        <dsp:cNvPr id="0" name=""/>
        <dsp:cNvSpPr/>
      </dsp:nvSpPr>
      <dsp:spPr>
        <a:xfrm>
          <a:off x="4703720" y="782159"/>
          <a:ext cx="79968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20832" y="858371"/>
        <a:ext cx="565465" cy="367987"/>
      </dsp:txXfrm>
    </dsp:sp>
    <dsp:sp modelId="{B654B038-4242-46EF-A10B-FF9B1A085532}">
      <dsp:nvSpPr>
        <dsp:cNvPr id="0" name=""/>
        <dsp:cNvSpPr/>
      </dsp:nvSpPr>
      <dsp:spPr>
        <a:xfrm rot="1837435">
          <a:off x="3420709" y="1322886"/>
          <a:ext cx="307166"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613" y="1322859"/>
        <a:ext cx="15358" cy="15358"/>
      </dsp:txXfrm>
    </dsp:sp>
    <dsp:sp modelId="{3DB28723-07CF-4EFC-8E24-18E41E76D4AF}">
      <dsp:nvSpPr>
        <dsp:cNvPr id="0" name=""/>
        <dsp:cNvSpPr/>
      </dsp:nvSpPr>
      <dsp:spPr>
        <a:xfrm>
          <a:off x="3530085" y="1345514"/>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188" y="1421726"/>
        <a:ext cx="719936" cy="367987"/>
      </dsp:txXfrm>
    </dsp:sp>
    <dsp:sp modelId="{AD2F0D4B-AECA-4B10-81AC-261AA8BE8E98}">
      <dsp:nvSpPr>
        <dsp:cNvPr id="0" name=""/>
        <dsp:cNvSpPr/>
      </dsp:nvSpPr>
      <dsp:spPr>
        <a:xfrm rot="9033691">
          <a:off x="2484163" y="1309929"/>
          <a:ext cx="281421" cy="15304"/>
        </a:xfrm>
        <a:custGeom>
          <a:avLst/>
          <a:gdLst/>
          <a:ahLst/>
          <a:cxnLst/>
          <a:rect l="0" t="0" r="0" b="0"/>
          <a:pathLst>
            <a:path>
              <a:moveTo>
                <a:pt x="0" y="7652"/>
              </a:moveTo>
              <a:lnTo>
                <a:pt x="28142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17838" y="1310545"/>
        <a:ext cx="14071" cy="14071"/>
      </dsp:txXfrm>
    </dsp:sp>
    <dsp:sp modelId="{2BEED572-A282-4C32-95EB-3B1996D142B1}">
      <dsp:nvSpPr>
        <dsp:cNvPr id="0" name=""/>
        <dsp:cNvSpPr/>
      </dsp:nvSpPr>
      <dsp:spPr>
        <a:xfrm>
          <a:off x="1665235" y="1317574"/>
          <a:ext cx="997170"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sp:txBody>
      <dsp:txXfrm>
        <a:off x="1811267" y="1393786"/>
        <a:ext cx="705106" cy="367987"/>
      </dsp:txXfrm>
    </dsp:sp>
    <dsp:sp modelId="{C58C2EC9-2FE7-4521-9408-887873CF9CD6}">
      <dsp:nvSpPr>
        <dsp:cNvPr id="0" name=""/>
        <dsp:cNvSpPr/>
      </dsp:nvSpPr>
      <dsp:spPr>
        <a:xfrm rot="10801435">
          <a:off x="1562149" y="1041517"/>
          <a:ext cx="991466" cy="15304"/>
        </a:xfrm>
        <a:custGeom>
          <a:avLst/>
          <a:gdLst/>
          <a:ahLst/>
          <a:cxnLst/>
          <a:rect l="0" t="0" r="0" b="0"/>
          <a:pathLst>
            <a:path>
              <a:moveTo>
                <a:pt x="0" y="7652"/>
              </a:moveTo>
              <a:lnTo>
                <a:pt x="991466"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95" y="1024382"/>
        <a:ext cx="49573" cy="49573"/>
      </dsp:txXfrm>
    </dsp:sp>
    <dsp:sp modelId="{53F278CD-DAFE-4670-A5E7-7708D74F671E}">
      <dsp:nvSpPr>
        <dsp:cNvPr id="0" name=""/>
        <dsp:cNvSpPr/>
      </dsp:nvSpPr>
      <dsp:spPr>
        <a:xfrm>
          <a:off x="605144" y="788557"/>
          <a:ext cx="957004"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745294" y="864769"/>
        <a:ext cx="676704" cy="367987"/>
      </dsp:txXfrm>
    </dsp:sp>
    <dsp:sp modelId="{9D7A60DE-15BF-4701-8167-A6BE55521FB0}">
      <dsp:nvSpPr>
        <dsp:cNvPr id="0" name=""/>
        <dsp:cNvSpPr/>
      </dsp:nvSpPr>
      <dsp:spPr>
        <a:xfrm rot="12498855">
          <a:off x="2474623" y="780620"/>
          <a:ext cx="280062" cy="15304"/>
        </a:xfrm>
        <a:custGeom>
          <a:avLst/>
          <a:gdLst/>
          <a:ahLst/>
          <a:cxnLst/>
          <a:rect l="0" t="0" r="0" b="0"/>
          <a:pathLst>
            <a:path>
              <a:moveTo>
                <a:pt x="0" y="7652"/>
              </a:moveTo>
              <a:lnTo>
                <a:pt x="28006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07652" y="781270"/>
        <a:ext cx="14003" cy="14003"/>
      </dsp:txXfrm>
    </dsp:sp>
    <dsp:sp modelId="{0FDECDAE-6064-4D03-98A4-386BBAAFB761}">
      <dsp:nvSpPr>
        <dsp:cNvPr id="0" name=""/>
        <dsp:cNvSpPr/>
      </dsp:nvSpPr>
      <dsp:spPr>
        <a:xfrm>
          <a:off x="1684878" y="280224"/>
          <a:ext cx="939513"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1822466" y="356436"/>
        <a:ext cx="664337" cy="3679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7719" y="794790"/>
          <a:ext cx="1074090" cy="4130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dsp:txBody>
      <dsp:txXfrm>
        <a:off x="2595016" y="855284"/>
        <a:ext cx="759496" cy="292090"/>
      </dsp:txXfrm>
    </dsp:sp>
    <dsp:sp modelId="{DDE83488-D0AF-4A61-9C32-0D1EF5D54320}">
      <dsp:nvSpPr>
        <dsp:cNvPr id="0" name=""/>
        <dsp:cNvSpPr/>
      </dsp:nvSpPr>
      <dsp:spPr>
        <a:xfrm rot="16200000">
          <a:off x="2812113" y="624498"/>
          <a:ext cx="325302" cy="15282"/>
        </a:xfrm>
        <a:custGeom>
          <a:avLst/>
          <a:gdLst/>
          <a:ahLst/>
          <a:cxnLst/>
          <a:rect l="0" t="0" r="0" b="0"/>
          <a:pathLst>
            <a:path>
              <a:moveTo>
                <a:pt x="0" y="7641"/>
              </a:moveTo>
              <a:lnTo>
                <a:pt x="325302"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6632" y="624007"/>
        <a:ext cx="16265" cy="16265"/>
      </dsp:txXfrm>
    </dsp:sp>
    <dsp:sp modelId="{5A264607-8295-4AD5-8D4E-5E0F0A25C928}">
      <dsp:nvSpPr>
        <dsp:cNvPr id="0" name=""/>
        <dsp:cNvSpPr/>
      </dsp:nvSpPr>
      <dsp:spPr>
        <a:xfrm>
          <a:off x="2500194" y="19223"/>
          <a:ext cx="949139" cy="4502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 </a:t>
          </a:r>
        </a:p>
      </dsp:txBody>
      <dsp:txXfrm>
        <a:off x="2639192" y="85163"/>
        <a:ext cx="671143" cy="318384"/>
      </dsp:txXfrm>
    </dsp:sp>
    <dsp:sp modelId="{64B847BA-C336-4F4D-BCB1-E9F8B02329EB}">
      <dsp:nvSpPr>
        <dsp:cNvPr id="0" name=""/>
        <dsp:cNvSpPr/>
      </dsp:nvSpPr>
      <dsp:spPr>
        <a:xfrm rot="20188286">
          <a:off x="3307463" y="729259"/>
          <a:ext cx="549235" cy="15282"/>
        </a:xfrm>
        <a:custGeom>
          <a:avLst/>
          <a:gdLst/>
          <a:ahLst/>
          <a:cxnLst/>
          <a:rect l="0" t="0" r="0" b="0"/>
          <a:pathLst>
            <a:path>
              <a:moveTo>
                <a:pt x="0" y="7641"/>
              </a:moveTo>
              <a:lnTo>
                <a:pt x="5492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8350" y="723170"/>
        <a:ext cx="27461" cy="27461"/>
      </dsp:txXfrm>
    </dsp:sp>
    <dsp:sp modelId="{1AB73DFF-B172-4EE5-8B1D-E235635E7315}">
      <dsp:nvSpPr>
        <dsp:cNvPr id="0" name=""/>
        <dsp:cNvSpPr/>
      </dsp:nvSpPr>
      <dsp:spPr>
        <a:xfrm>
          <a:off x="3723752" y="214090"/>
          <a:ext cx="959161"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p>
      </dsp:txBody>
      <dsp:txXfrm>
        <a:off x="3864218" y="287991"/>
        <a:ext cx="678229" cy="356826"/>
      </dsp:txXfrm>
    </dsp:sp>
    <dsp:sp modelId="{27C08CD6-CB73-4E0E-BA37-473C15E9C926}">
      <dsp:nvSpPr>
        <dsp:cNvPr id="0" name=""/>
        <dsp:cNvSpPr/>
      </dsp:nvSpPr>
      <dsp:spPr>
        <a:xfrm rot="21594430">
          <a:off x="3511804" y="992102"/>
          <a:ext cx="884384" cy="15282"/>
        </a:xfrm>
        <a:custGeom>
          <a:avLst/>
          <a:gdLst/>
          <a:ahLst/>
          <a:cxnLst/>
          <a:rect l="0" t="0" r="0" b="0"/>
          <a:pathLst>
            <a:path>
              <a:moveTo>
                <a:pt x="0" y="7641"/>
              </a:moveTo>
              <a:lnTo>
                <a:pt x="88438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87" y="977633"/>
        <a:ext cx="44219" cy="44219"/>
      </dsp:txXfrm>
    </dsp:sp>
    <dsp:sp modelId="{8441BECF-C9FE-4C31-BFA4-B45EB6B3D1F0}">
      <dsp:nvSpPr>
        <dsp:cNvPr id="0" name=""/>
        <dsp:cNvSpPr/>
      </dsp:nvSpPr>
      <dsp:spPr>
        <a:xfrm>
          <a:off x="4396180" y="784530"/>
          <a:ext cx="1335644" cy="4268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591781" y="847038"/>
        <a:ext cx="944442" cy="301813"/>
      </dsp:txXfrm>
    </dsp:sp>
    <dsp:sp modelId="{27678B34-738D-4B59-81F4-6EB54DA6F256}">
      <dsp:nvSpPr>
        <dsp:cNvPr id="0" name=""/>
        <dsp:cNvSpPr/>
      </dsp:nvSpPr>
      <dsp:spPr>
        <a:xfrm rot="1207147">
          <a:off x="3351902" y="1202260"/>
          <a:ext cx="384444" cy="15282"/>
        </a:xfrm>
        <a:custGeom>
          <a:avLst/>
          <a:gdLst/>
          <a:ahLst/>
          <a:cxnLst/>
          <a:rect l="0" t="0" r="0" b="0"/>
          <a:pathLst>
            <a:path>
              <a:moveTo>
                <a:pt x="0" y="7641"/>
              </a:moveTo>
              <a:lnTo>
                <a:pt x="38444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4513" y="1200290"/>
        <a:ext cx="19222" cy="19222"/>
      </dsp:txXfrm>
    </dsp:sp>
    <dsp:sp modelId="{77E0AE60-7058-4D43-911F-C57FA8C6CA9F}">
      <dsp:nvSpPr>
        <dsp:cNvPr id="0" name=""/>
        <dsp:cNvSpPr/>
      </dsp:nvSpPr>
      <dsp:spPr>
        <a:xfrm>
          <a:off x="3619357" y="1175836"/>
          <a:ext cx="1041088"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771821" y="1249737"/>
        <a:ext cx="736160" cy="356826"/>
      </dsp:txXfrm>
    </dsp:sp>
    <dsp:sp modelId="{EED79A7F-2696-484A-8083-D28DF0387AD5}">
      <dsp:nvSpPr>
        <dsp:cNvPr id="0" name=""/>
        <dsp:cNvSpPr/>
      </dsp:nvSpPr>
      <dsp:spPr>
        <a:xfrm rot="9553788">
          <a:off x="2249828" y="1201492"/>
          <a:ext cx="354059" cy="15282"/>
        </a:xfrm>
        <a:custGeom>
          <a:avLst/>
          <a:gdLst/>
          <a:ahLst/>
          <a:cxnLst/>
          <a:rect l="0" t="0" r="0" b="0"/>
          <a:pathLst>
            <a:path>
              <a:moveTo>
                <a:pt x="0" y="7641"/>
              </a:moveTo>
              <a:lnTo>
                <a:pt x="354059"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18006" y="1200282"/>
        <a:ext cx="17702" cy="17702"/>
      </dsp:txXfrm>
    </dsp:sp>
    <dsp:sp modelId="{05994623-F04A-4AAC-82E3-2D63726DAA8A}">
      <dsp:nvSpPr>
        <dsp:cNvPr id="0" name=""/>
        <dsp:cNvSpPr/>
      </dsp:nvSpPr>
      <dsp:spPr>
        <a:xfrm>
          <a:off x="1210798" y="1186517"/>
          <a:ext cx="1203361" cy="5112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pPr lvl="0" algn="ctr" defTabSz="466725">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sp:txBody>
      <dsp:txXfrm>
        <a:off x="1387026" y="1261390"/>
        <a:ext cx="850905" cy="361517"/>
      </dsp:txXfrm>
    </dsp:sp>
    <dsp:sp modelId="{B654B038-4242-46EF-A10B-FF9B1A085532}">
      <dsp:nvSpPr>
        <dsp:cNvPr id="0" name=""/>
        <dsp:cNvSpPr/>
      </dsp:nvSpPr>
      <dsp:spPr>
        <a:xfrm rot="10810106">
          <a:off x="1448901" y="990656"/>
          <a:ext cx="988835" cy="15282"/>
        </a:xfrm>
        <a:custGeom>
          <a:avLst/>
          <a:gdLst/>
          <a:ahLst/>
          <a:cxnLst/>
          <a:rect l="0" t="0" r="0" b="0"/>
          <a:pathLst>
            <a:path>
              <a:moveTo>
                <a:pt x="0" y="7641"/>
              </a:moveTo>
              <a:lnTo>
                <a:pt x="9888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18598" y="973577"/>
        <a:ext cx="49441" cy="49441"/>
      </dsp:txXfrm>
    </dsp:sp>
    <dsp:sp modelId="{3DB28723-07CF-4EFC-8E24-18E41E76D4AF}">
      <dsp:nvSpPr>
        <dsp:cNvPr id="0" name=""/>
        <dsp:cNvSpPr/>
      </dsp:nvSpPr>
      <dsp:spPr>
        <a:xfrm>
          <a:off x="101422" y="752488"/>
          <a:ext cx="1347503" cy="4847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sp:txBody>
      <dsp:txXfrm>
        <a:off x="298759" y="823478"/>
        <a:ext cx="952829" cy="342770"/>
      </dsp:txXfrm>
    </dsp:sp>
    <dsp:sp modelId="{AD2F0D4B-AECA-4B10-81AC-261AA8BE8E98}">
      <dsp:nvSpPr>
        <dsp:cNvPr id="0" name=""/>
        <dsp:cNvSpPr/>
      </dsp:nvSpPr>
      <dsp:spPr>
        <a:xfrm rot="12191858">
          <a:off x="2167420" y="747885"/>
          <a:ext cx="467554" cy="15282"/>
        </a:xfrm>
        <a:custGeom>
          <a:avLst/>
          <a:gdLst/>
          <a:ahLst/>
          <a:cxnLst/>
          <a:rect l="0" t="0" r="0" b="0"/>
          <a:pathLst>
            <a:path>
              <a:moveTo>
                <a:pt x="0" y="7641"/>
              </a:moveTo>
              <a:lnTo>
                <a:pt x="46755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89508" y="743838"/>
        <a:ext cx="23377" cy="23377"/>
      </dsp:txXfrm>
    </dsp:sp>
    <dsp:sp modelId="{2BEED572-A282-4C32-95EB-3B1996D142B1}">
      <dsp:nvSpPr>
        <dsp:cNvPr id="0" name=""/>
        <dsp:cNvSpPr/>
      </dsp:nvSpPr>
      <dsp:spPr>
        <a:xfrm>
          <a:off x="1240971" y="208196"/>
          <a:ext cx="1066248" cy="5571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sp:txBody>
      <dsp:txXfrm>
        <a:off x="1397119" y="289792"/>
        <a:ext cx="753952" cy="3939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71164" y="566567"/>
          <a:ext cx="1265647" cy="38409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dsp:txBody>
      <dsp:txXfrm>
        <a:off x="2556514" y="622817"/>
        <a:ext cx="894947" cy="271597"/>
      </dsp:txXfrm>
    </dsp:sp>
    <dsp:sp modelId="{5337AE63-3722-42CC-AF72-36670EB7C5E1}">
      <dsp:nvSpPr>
        <dsp:cNvPr id="0" name=""/>
        <dsp:cNvSpPr/>
      </dsp:nvSpPr>
      <dsp:spPr>
        <a:xfrm rot="16214841">
          <a:off x="2946877" y="502158"/>
          <a:ext cx="116382" cy="12436"/>
        </a:xfrm>
        <a:custGeom>
          <a:avLst/>
          <a:gdLst/>
          <a:ahLst/>
          <a:cxnLst/>
          <a:rect l="0" t="0" r="0" b="0"/>
          <a:pathLst>
            <a:path>
              <a:moveTo>
                <a:pt x="0" y="6158"/>
              </a:moveTo>
              <a:lnTo>
                <a:pt x="115978"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2159" y="505467"/>
        <a:ext cx="5819" cy="5819"/>
      </dsp:txXfrm>
    </dsp:sp>
    <dsp:sp modelId="{CED9197C-8322-406B-917C-172FA36E7B76}">
      <dsp:nvSpPr>
        <dsp:cNvPr id="0" name=""/>
        <dsp:cNvSpPr/>
      </dsp:nvSpPr>
      <dsp:spPr>
        <a:xfrm>
          <a:off x="2325568" y="30863"/>
          <a:ext cx="1361313" cy="4193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524928" y="92271"/>
        <a:ext cx="962593" cy="296506"/>
      </dsp:txXfrm>
    </dsp:sp>
    <dsp:sp modelId="{4AC11394-3179-4EC5-A97F-D1A1B521CE2F}">
      <dsp:nvSpPr>
        <dsp:cNvPr id="0" name=""/>
        <dsp:cNvSpPr/>
      </dsp:nvSpPr>
      <dsp:spPr>
        <a:xfrm rot="1729">
          <a:off x="3636811" y="752915"/>
          <a:ext cx="791940" cy="12436"/>
        </a:xfrm>
        <a:custGeom>
          <a:avLst/>
          <a:gdLst/>
          <a:ahLst/>
          <a:cxnLst/>
          <a:rect l="0" t="0" r="0" b="0"/>
          <a:pathLst>
            <a:path>
              <a:moveTo>
                <a:pt x="0" y="6158"/>
              </a:moveTo>
              <a:lnTo>
                <a:pt x="8502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12983" y="739335"/>
        <a:ext cx="39597" cy="39597"/>
      </dsp:txXfrm>
    </dsp:sp>
    <dsp:sp modelId="{035B4C9A-0916-4FCC-A1CF-85DB358A289A}">
      <dsp:nvSpPr>
        <dsp:cNvPr id="0" name=""/>
        <dsp:cNvSpPr/>
      </dsp:nvSpPr>
      <dsp:spPr>
        <a:xfrm>
          <a:off x="4428751" y="528256"/>
          <a:ext cx="1137996" cy="4627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595407" y="596020"/>
        <a:ext cx="804684" cy="327196"/>
      </dsp:txXfrm>
    </dsp:sp>
    <dsp:sp modelId="{ADF94B70-0D7F-4A27-8DF9-17BCD27F4A7A}">
      <dsp:nvSpPr>
        <dsp:cNvPr id="0" name=""/>
        <dsp:cNvSpPr/>
      </dsp:nvSpPr>
      <dsp:spPr>
        <a:xfrm rot="5449353">
          <a:off x="2942264" y="1002570"/>
          <a:ext cx="116264" cy="12436"/>
        </a:xfrm>
        <a:custGeom>
          <a:avLst/>
          <a:gdLst/>
          <a:ahLst/>
          <a:cxnLst/>
          <a:rect l="0" t="0" r="0" b="0"/>
          <a:pathLst>
            <a:path>
              <a:moveTo>
                <a:pt x="0" y="6158"/>
              </a:moveTo>
              <a:lnTo>
                <a:pt x="11850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97490" y="1005882"/>
        <a:ext cx="5813" cy="5813"/>
      </dsp:txXfrm>
    </dsp:sp>
    <dsp:sp modelId="{0FAF3FA1-8E6C-455E-B189-A468B3F4D8BC}">
      <dsp:nvSpPr>
        <dsp:cNvPr id="0" name=""/>
        <dsp:cNvSpPr/>
      </dsp:nvSpPr>
      <dsp:spPr>
        <a:xfrm>
          <a:off x="2291946" y="1066913"/>
          <a:ext cx="1409249" cy="4166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4450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8326" y="1127926"/>
        <a:ext cx="996489" cy="294594"/>
      </dsp:txXfrm>
    </dsp:sp>
    <dsp:sp modelId="{9A56F0B1-9466-40E9-8BFA-10DF1330E460}">
      <dsp:nvSpPr>
        <dsp:cNvPr id="0" name=""/>
        <dsp:cNvSpPr/>
      </dsp:nvSpPr>
      <dsp:spPr>
        <a:xfrm rot="10795050">
          <a:off x="1558519" y="753893"/>
          <a:ext cx="812652" cy="12436"/>
        </a:xfrm>
        <a:custGeom>
          <a:avLst/>
          <a:gdLst/>
          <a:ahLst/>
          <a:cxnLst/>
          <a:rect l="0" t="0" r="0" b="0"/>
          <a:pathLst>
            <a:path>
              <a:moveTo>
                <a:pt x="0" y="6158"/>
              </a:moveTo>
              <a:lnTo>
                <a:pt x="8408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44529" y="739795"/>
        <a:ext cx="40632" cy="40632"/>
      </dsp:txXfrm>
    </dsp:sp>
    <dsp:sp modelId="{1826B69E-77B8-4580-ABF8-4926B99AA206}">
      <dsp:nvSpPr>
        <dsp:cNvPr id="0" name=""/>
        <dsp:cNvSpPr/>
      </dsp:nvSpPr>
      <dsp:spPr>
        <a:xfrm>
          <a:off x="348963" y="530449"/>
          <a:ext cx="1209560" cy="4622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Libson System</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26099" y="598142"/>
        <a:ext cx="855288" cy="3268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95263" y="681479"/>
          <a:ext cx="1892395" cy="46526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32</a:t>
          </a:r>
        </a:p>
      </dsp:txBody>
      <dsp:txXfrm>
        <a:off x="2272398" y="749615"/>
        <a:ext cx="1338125" cy="328988"/>
      </dsp:txXfrm>
    </dsp:sp>
    <dsp:sp modelId="{5337AE63-3722-42CC-AF72-36670EB7C5E1}">
      <dsp:nvSpPr>
        <dsp:cNvPr id="0" name=""/>
        <dsp:cNvSpPr/>
      </dsp:nvSpPr>
      <dsp:spPr>
        <a:xfrm rot="16251408">
          <a:off x="2875073" y="603030"/>
          <a:ext cx="141854" cy="15064"/>
        </a:xfrm>
        <a:custGeom>
          <a:avLst/>
          <a:gdLst/>
          <a:ahLst/>
          <a:cxnLst/>
          <a:rect l="0" t="0" r="0" b="0"/>
          <a:pathLst>
            <a:path>
              <a:moveTo>
                <a:pt x="0" y="6158"/>
              </a:moveTo>
              <a:lnTo>
                <a:pt x="115978"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2454" y="607015"/>
        <a:ext cx="7092" cy="7092"/>
      </dsp:txXfrm>
    </dsp:sp>
    <dsp:sp modelId="{CED9197C-8322-406B-917C-172FA36E7B76}">
      <dsp:nvSpPr>
        <dsp:cNvPr id="0" name=""/>
        <dsp:cNvSpPr/>
      </dsp:nvSpPr>
      <dsp:spPr>
        <a:xfrm>
          <a:off x="2126372" y="31715"/>
          <a:ext cx="1648973" cy="5079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System</a:t>
          </a:r>
        </a:p>
      </dsp:txBody>
      <dsp:txXfrm>
        <a:off x="2367859" y="106100"/>
        <a:ext cx="1165999" cy="359160"/>
      </dsp:txXfrm>
    </dsp:sp>
    <dsp:sp modelId="{4AC11394-3179-4EC5-A97F-D1A1B521CE2F}">
      <dsp:nvSpPr>
        <dsp:cNvPr id="0" name=""/>
        <dsp:cNvSpPr/>
      </dsp:nvSpPr>
      <dsp:spPr>
        <a:xfrm rot="21597045">
          <a:off x="3887652" y="905624"/>
          <a:ext cx="326313" cy="15064"/>
        </a:xfrm>
        <a:custGeom>
          <a:avLst/>
          <a:gdLst/>
          <a:ahLst/>
          <a:cxnLst/>
          <a:rect l="0" t="0" r="0" b="0"/>
          <a:pathLst>
            <a:path>
              <a:moveTo>
                <a:pt x="0" y="6158"/>
              </a:moveTo>
              <a:lnTo>
                <a:pt x="8502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42651" y="904998"/>
        <a:ext cx="16315" cy="16315"/>
      </dsp:txXfrm>
    </dsp:sp>
    <dsp:sp modelId="{035B4C9A-0916-4FCC-A1CF-85DB358A289A}">
      <dsp:nvSpPr>
        <dsp:cNvPr id="0" name=""/>
        <dsp:cNvSpPr/>
      </dsp:nvSpPr>
      <dsp:spPr>
        <a:xfrm>
          <a:off x="4213963" y="639346"/>
          <a:ext cx="1729636" cy="5458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67262" y="719284"/>
        <a:ext cx="1223038" cy="385978"/>
      </dsp:txXfrm>
    </dsp:sp>
    <dsp:sp modelId="{9A56F0B1-9466-40E9-8BFA-10DF1330E460}">
      <dsp:nvSpPr>
        <dsp:cNvPr id="0" name=""/>
        <dsp:cNvSpPr/>
      </dsp:nvSpPr>
      <dsp:spPr>
        <a:xfrm rot="10754669">
          <a:off x="1587285" y="921736"/>
          <a:ext cx="409353" cy="15064"/>
        </a:xfrm>
        <a:custGeom>
          <a:avLst/>
          <a:gdLst/>
          <a:ahLst/>
          <a:cxnLst/>
          <a:rect l="0" t="0" r="0" b="0"/>
          <a:pathLst>
            <a:path>
              <a:moveTo>
                <a:pt x="0" y="6158"/>
              </a:moveTo>
              <a:lnTo>
                <a:pt x="840874" y="61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1728" y="919034"/>
        <a:ext cx="20467" cy="20467"/>
      </dsp:txXfrm>
    </dsp:sp>
    <dsp:sp modelId="{1826B69E-77B8-4580-ABF8-4926B99AA206}">
      <dsp:nvSpPr>
        <dsp:cNvPr id="0" name=""/>
        <dsp:cNvSpPr/>
      </dsp:nvSpPr>
      <dsp:spPr>
        <a:xfrm>
          <a:off x="49036" y="688638"/>
          <a:ext cx="1538882" cy="5069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4400" y="762877"/>
        <a:ext cx="1088154" cy="35845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9136" y="926402"/>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Program 7 </a:t>
          </a:r>
        </a:p>
      </dsp:txBody>
      <dsp:txXfrm>
        <a:off x="2608886" y="1002428"/>
        <a:ext cx="819626" cy="367088"/>
      </dsp:txXfrm>
    </dsp:sp>
    <dsp:sp modelId="{E6ACA703-0949-41B3-BE6B-C702E5C7275F}">
      <dsp:nvSpPr>
        <dsp:cNvPr id="0" name=""/>
        <dsp:cNvSpPr/>
      </dsp:nvSpPr>
      <dsp:spPr>
        <a:xfrm rot="16166983">
          <a:off x="2801815" y="706218"/>
          <a:ext cx="424704" cy="15688"/>
        </a:xfrm>
        <a:custGeom>
          <a:avLst/>
          <a:gdLst/>
          <a:ahLst/>
          <a:cxnLst/>
          <a:rect l="0" t="0" r="0" b="0"/>
          <a:pathLst>
            <a:path>
              <a:moveTo>
                <a:pt x="0" y="7844"/>
              </a:moveTo>
              <a:lnTo>
                <a:pt x="424704"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3549" y="703445"/>
        <a:ext cx="21235" cy="21235"/>
      </dsp:txXfrm>
    </dsp:sp>
    <dsp:sp modelId="{AFD0CC05-9AD4-4A51-8739-4FB4CA1E4ACE}">
      <dsp:nvSpPr>
        <dsp:cNvPr id="0" name=""/>
        <dsp:cNvSpPr/>
      </dsp:nvSpPr>
      <dsp:spPr>
        <a:xfrm>
          <a:off x="2504252" y="0"/>
          <a:ext cx="1010932" cy="50172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2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TM, ID &amp; GI </a:t>
          </a:r>
        </a:p>
      </dsp:txBody>
      <dsp:txXfrm>
        <a:off x="2652300" y="73476"/>
        <a:ext cx="714836" cy="354771"/>
      </dsp:txXfrm>
    </dsp:sp>
    <dsp:sp modelId="{34515D96-C834-4D67-AF5C-3B293601CBC3}">
      <dsp:nvSpPr>
        <dsp:cNvPr id="0" name=""/>
        <dsp:cNvSpPr/>
      </dsp:nvSpPr>
      <dsp:spPr>
        <a:xfrm rot="19295039">
          <a:off x="3241698" y="774149"/>
          <a:ext cx="572806" cy="15688"/>
        </a:xfrm>
        <a:custGeom>
          <a:avLst/>
          <a:gdLst/>
          <a:ahLst/>
          <a:cxnLst/>
          <a:rect l="0" t="0" r="0" b="0"/>
          <a:pathLst>
            <a:path>
              <a:moveTo>
                <a:pt x="0" y="7844"/>
              </a:moveTo>
              <a:lnTo>
                <a:pt x="57280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3781" y="767673"/>
        <a:ext cx="28640" cy="28640"/>
      </dsp:txXfrm>
    </dsp:sp>
    <dsp:sp modelId="{D9366F31-B7D7-4B43-830C-AD5E2193A794}">
      <dsp:nvSpPr>
        <dsp:cNvPr id="0" name=""/>
        <dsp:cNvSpPr/>
      </dsp:nvSpPr>
      <dsp:spPr>
        <a:xfrm>
          <a:off x="3553604" y="131913"/>
          <a:ext cx="933829"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3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CRR</a:t>
          </a:r>
        </a:p>
      </dsp:txBody>
      <dsp:txXfrm>
        <a:off x="3690360" y="207939"/>
        <a:ext cx="660317" cy="367088"/>
      </dsp:txXfrm>
    </dsp:sp>
    <dsp:sp modelId="{5CF8296B-0142-429D-A71A-20799D2EB74B}">
      <dsp:nvSpPr>
        <dsp:cNvPr id="0" name=""/>
        <dsp:cNvSpPr/>
      </dsp:nvSpPr>
      <dsp:spPr>
        <a:xfrm rot="20743370">
          <a:off x="3508059" y="933754"/>
          <a:ext cx="941915" cy="15688"/>
        </a:xfrm>
        <a:custGeom>
          <a:avLst/>
          <a:gdLst/>
          <a:ahLst/>
          <a:cxnLst/>
          <a:rect l="0" t="0" r="0" b="0"/>
          <a:pathLst>
            <a:path>
              <a:moveTo>
                <a:pt x="0" y="7844"/>
              </a:moveTo>
              <a:lnTo>
                <a:pt x="9419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5469" y="918050"/>
        <a:ext cx="47095" cy="47095"/>
      </dsp:txXfrm>
    </dsp:sp>
    <dsp:sp modelId="{7E7DDE23-6C04-407D-AAB6-669511EA704E}">
      <dsp:nvSpPr>
        <dsp:cNvPr id="0" name=""/>
        <dsp:cNvSpPr/>
      </dsp:nvSpPr>
      <dsp:spPr>
        <a:xfrm>
          <a:off x="4364480" y="440012"/>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530136" y="516038"/>
        <a:ext cx="799858" cy="367088"/>
      </dsp:txXfrm>
    </dsp:sp>
    <dsp:sp modelId="{DC281168-2DBC-4CFB-B21D-C54E9628B383}">
      <dsp:nvSpPr>
        <dsp:cNvPr id="0" name=""/>
        <dsp:cNvSpPr/>
      </dsp:nvSpPr>
      <dsp:spPr>
        <a:xfrm rot="321060">
          <a:off x="3584396" y="1265370"/>
          <a:ext cx="731469" cy="15688"/>
        </a:xfrm>
        <a:custGeom>
          <a:avLst/>
          <a:gdLst/>
          <a:ahLst/>
          <a:cxnLst/>
          <a:rect l="0" t="0" r="0" b="0"/>
          <a:pathLst>
            <a:path>
              <a:moveTo>
                <a:pt x="0" y="7844"/>
              </a:moveTo>
              <a:lnTo>
                <a:pt x="7314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44" y="1254928"/>
        <a:ext cx="36573" cy="36573"/>
      </dsp:txXfrm>
    </dsp:sp>
    <dsp:sp modelId="{66DADE40-99AE-41BE-B997-129EED231064}">
      <dsp:nvSpPr>
        <dsp:cNvPr id="0" name=""/>
        <dsp:cNvSpPr/>
      </dsp:nvSpPr>
      <dsp:spPr>
        <a:xfrm>
          <a:off x="4298295" y="1079033"/>
          <a:ext cx="1366772"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6</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Madrid System </a:t>
          </a:r>
        </a:p>
      </dsp:txBody>
      <dsp:txXfrm>
        <a:off x="4498454" y="1164207"/>
        <a:ext cx="966454" cy="411255"/>
      </dsp:txXfrm>
    </dsp:sp>
    <dsp:sp modelId="{4DF1B0BE-A63A-4BEA-9EE5-4168481CC99E}">
      <dsp:nvSpPr>
        <dsp:cNvPr id="0" name=""/>
        <dsp:cNvSpPr/>
      </dsp:nvSpPr>
      <dsp:spPr>
        <a:xfrm rot="1721265">
          <a:off x="3346711" y="1531776"/>
          <a:ext cx="636536" cy="15688"/>
        </a:xfrm>
        <a:custGeom>
          <a:avLst/>
          <a:gdLst/>
          <a:ahLst/>
          <a:cxnLst/>
          <a:rect l="0" t="0" r="0" b="0"/>
          <a:pathLst>
            <a:path>
              <a:moveTo>
                <a:pt x="0" y="7844"/>
              </a:moveTo>
              <a:lnTo>
                <a:pt x="63653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9066" y="1523707"/>
        <a:ext cx="31826" cy="31826"/>
      </dsp:txXfrm>
    </dsp:sp>
    <dsp:sp modelId="{DB594876-4070-4577-942D-67F5CD4D6A19}">
      <dsp:nvSpPr>
        <dsp:cNvPr id="0" name=""/>
        <dsp:cNvSpPr/>
      </dsp:nvSpPr>
      <dsp:spPr>
        <a:xfrm>
          <a:off x="3728133" y="1634356"/>
          <a:ext cx="1168652"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Regional Bureaus </a:t>
          </a:r>
        </a:p>
      </dsp:txBody>
      <dsp:txXfrm>
        <a:off x="3899278" y="1710382"/>
        <a:ext cx="826362" cy="367088"/>
      </dsp:txXfrm>
    </dsp:sp>
    <dsp:sp modelId="{E49C447F-3477-4311-B10B-FFFA7DE7209F}">
      <dsp:nvSpPr>
        <dsp:cNvPr id="0" name=""/>
        <dsp:cNvSpPr/>
      </dsp:nvSpPr>
      <dsp:spPr>
        <a:xfrm rot="5064234">
          <a:off x="2869988" y="1629463"/>
          <a:ext cx="385867" cy="15688"/>
        </a:xfrm>
        <a:custGeom>
          <a:avLst/>
          <a:gdLst/>
          <a:ahLst/>
          <a:cxnLst/>
          <a:rect l="0" t="0" r="0" b="0"/>
          <a:pathLst>
            <a:path>
              <a:moveTo>
                <a:pt x="0" y="7844"/>
              </a:moveTo>
              <a:lnTo>
                <a:pt x="38586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3276" y="1627660"/>
        <a:ext cx="19293" cy="19293"/>
      </dsp:txXfrm>
    </dsp:sp>
    <dsp:sp modelId="{69F18085-0AC3-4BAE-9B16-F8478FFBD61E}">
      <dsp:nvSpPr>
        <dsp:cNvPr id="0" name=""/>
        <dsp:cNvSpPr/>
      </dsp:nvSpPr>
      <dsp:spPr>
        <a:xfrm>
          <a:off x="2513141" y="1829084"/>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TDC</a:t>
          </a:r>
        </a:p>
      </dsp:txBody>
      <dsp:txXfrm>
        <a:off x="2687121" y="1905110"/>
        <a:ext cx="840051" cy="367088"/>
      </dsp:txXfrm>
    </dsp:sp>
    <dsp:sp modelId="{FCC14444-D5E7-4E9C-B980-A27CD799E442}">
      <dsp:nvSpPr>
        <dsp:cNvPr id="0" name=""/>
        <dsp:cNvSpPr/>
      </dsp:nvSpPr>
      <dsp:spPr>
        <a:xfrm rot="8823751">
          <a:off x="2167404" y="1545876"/>
          <a:ext cx="567317" cy="15688"/>
        </a:xfrm>
        <a:custGeom>
          <a:avLst/>
          <a:gdLst/>
          <a:ahLst/>
          <a:cxnLst/>
          <a:rect l="0" t="0" r="0" b="0"/>
          <a:pathLst>
            <a:path>
              <a:moveTo>
                <a:pt x="0" y="7844"/>
              </a:moveTo>
              <a:lnTo>
                <a:pt x="56731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36880" y="1539537"/>
        <a:ext cx="28365" cy="28365"/>
      </dsp:txXfrm>
    </dsp:sp>
    <dsp:sp modelId="{49C45DFA-0A15-4DAA-80DC-CAE4ABCC6B43}">
      <dsp:nvSpPr>
        <dsp:cNvPr id="0" name=""/>
        <dsp:cNvSpPr/>
      </dsp:nvSpPr>
      <dsp:spPr>
        <a:xfrm>
          <a:off x="1242032" y="1655369"/>
          <a:ext cx="1228987"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17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Building Respect for IP </a:t>
          </a:r>
        </a:p>
      </dsp:txBody>
      <dsp:txXfrm>
        <a:off x="1422013" y="1738412"/>
        <a:ext cx="869025" cy="400965"/>
      </dsp:txXfrm>
    </dsp:sp>
    <dsp:sp modelId="{7B59CB2C-C82F-41EE-B3CF-ADD4878ADBA6}">
      <dsp:nvSpPr>
        <dsp:cNvPr id="0" name=""/>
        <dsp:cNvSpPr/>
      </dsp:nvSpPr>
      <dsp:spPr>
        <a:xfrm rot="10226795">
          <a:off x="1483324" y="1352401"/>
          <a:ext cx="999786" cy="15688"/>
        </a:xfrm>
        <a:custGeom>
          <a:avLst/>
          <a:gdLst/>
          <a:ahLst/>
          <a:cxnLst/>
          <a:rect l="0" t="0" r="0" b="0"/>
          <a:pathLst>
            <a:path>
              <a:moveTo>
                <a:pt x="0" y="7844"/>
              </a:moveTo>
              <a:lnTo>
                <a:pt x="99978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8222" y="1335251"/>
        <a:ext cx="49989" cy="49989"/>
      </dsp:txXfrm>
    </dsp:sp>
    <dsp:sp modelId="{402B25BB-F397-46B5-AAB7-C38C2276BF82}">
      <dsp:nvSpPr>
        <dsp:cNvPr id="0" name=""/>
        <dsp:cNvSpPr/>
      </dsp:nvSpPr>
      <dsp:spPr>
        <a:xfrm>
          <a:off x="397333" y="1258481"/>
          <a:ext cx="112363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18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IP &amp; GC</a:t>
          </a:r>
        </a:p>
      </dsp:txBody>
      <dsp:txXfrm>
        <a:off x="561885" y="1338768"/>
        <a:ext cx="794528" cy="387659"/>
      </dsp:txXfrm>
    </dsp:sp>
    <dsp:sp modelId="{EFB9CB5A-411C-454B-96B1-9ED988829CBE}">
      <dsp:nvSpPr>
        <dsp:cNvPr id="0" name=""/>
        <dsp:cNvSpPr/>
      </dsp:nvSpPr>
      <dsp:spPr>
        <a:xfrm rot="11307274">
          <a:off x="1634784" y="1034733"/>
          <a:ext cx="838410" cy="15688"/>
        </a:xfrm>
        <a:custGeom>
          <a:avLst/>
          <a:gdLst/>
          <a:ahLst/>
          <a:cxnLst/>
          <a:rect l="0" t="0" r="0" b="0"/>
          <a:pathLst>
            <a:path>
              <a:moveTo>
                <a:pt x="0" y="7844"/>
              </a:moveTo>
              <a:lnTo>
                <a:pt x="8384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29" y="1021617"/>
        <a:ext cx="41920" cy="41920"/>
      </dsp:txXfrm>
    </dsp:sp>
    <dsp:sp modelId="{5AF8D9AC-0C15-4D1B-BCD3-7FFCFF0A581D}">
      <dsp:nvSpPr>
        <dsp:cNvPr id="0" name=""/>
        <dsp:cNvSpPr/>
      </dsp:nvSpPr>
      <dsp:spPr>
        <a:xfrm>
          <a:off x="498352" y="592927"/>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20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External Relations  </a:t>
          </a:r>
        </a:p>
      </dsp:txBody>
      <dsp:txXfrm>
        <a:off x="668675" y="682218"/>
        <a:ext cx="822394" cy="431132"/>
      </dsp:txXfrm>
    </dsp:sp>
    <dsp:sp modelId="{5DC5D51E-945B-4CCC-B580-737CA66D42E3}">
      <dsp:nvSpPr>
        <dsp:cNvPr id="0" name=""/>
        <dsp:cNvSpPr/>
      </dsp:nvSpPr>
      <dsp:spPr>
        <a:xfrm rot="12869105">
          <a:off x="2227180" y="813278"/>
          <a:ext cx="520727" cy="15688"/>
        </a:xfrm>
        <a:custGeom>
          <a:avLst/>
          <a:gdLst/>
          <a:ahLst/>
          <a:cxnLst/>
          <a:rect l="0" t="0" r="0" b="0"/>
          <a:pathLst>
            <a:path>
              <a:moveTo>
                <a:pt x="0" y="7844"/>
              </a:moveTo>
              <a:lnTo>
                <a:pt x="52072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74526" y="808104"/>
        <a:ext cx="26036" cy="26036"/>
      </dsp:txXfrm>
    </dsp:sp>
    <dsp:sp modelId="{26661F75-1D9F-48E2-8FB0-82462D91AB89}">
      <dsp:nvSpPr>
        <dsp:cNvPr id="0" name=""/>
        <dsp:cNvSpPr/>
      </dsp:nvSpPr>
      <dsp:spPr>
        <a:xfrm>
          <a:off x="1360342" y="120426"/>
          <a:ext cx="1120523" cy="62253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31 </a:t>
          </a:r>
        </a:p>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Hague System  </a:t>
          </a:r>
        </a:p>
      </dsp:txBody>
      <dsp:txXfrm>
        <a:off x="1524439" y="211594"/>
        <a:ext cx="792329" cy="4401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31FBD-B3DE-4303-B128-75036B113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257</Pages>
  <Words>70518</Words>
  <Characters>401959</Characters>
  <Application>Microsoft Office Word</Application>
  <DocSecurity>2</DocSecurity>
  <Lines>3349</Lines>
  <Paragraphs>943</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471534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MIYAMOTO Tomoko</dc:creator>
  <cp:lastModifiedBy>NETTER Iza</cp:lastModifiedBy>
  <cp:revision>16</cp:revision>
  <cp:lastPrinted>2015-10-02T11:39:00Z</cp:lastPrinted>
  <dcterms:created xsi:type="dcterms:W3CDTF">2015-09-30T14:34:00Z</dcterms:created>
  <dcterms:modified xsi:type="dcterms:W3CDTF">2015-10-02T11:40:00Z</dcterms:modified>
</cp:coreProperties>
</file>