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371022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C3C35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A/52/</w:t>
            </w:r>
            <w:bookmarkStart w:id="0" w:name="Code"/>
            <w:bookmarkEnd w:id="0"/>
            <w:r w:rsidR="00371022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371022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71022">
              <w:rPr>
                <w:rFonts w:ascii="Arial Black" w:hAnsi="Arial Black"/>
                <w:caps/>
                <w:sz w:val="15"/>
              </w:rPr>
              <w:t>4 DE NOVIEMBRE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C3C35" w:rsidRPr="00707F93" w:rsidRDefault="00DC3C35" w:rsidP="00DC3C35">
      <w:pPr>
        <w:pStyle w:val="Meetingtitle"/>
        <w:ind w:left="0"/>
        <w:outlineLvl w:val="0"/>
        <w:rPr>
          <w:lang w:val="es-ES"/>
        </w:rPr>
      </w:pPr>
      <w:r w:rsidRPr="00707F93">
        <w:rPr>
          <w:lang w:val="es-ES"/>
        </w:rPr>
        <w:t>Asambleas de los Estados miembros de la OMPI</w:t>
      </w:r>
    </w:p>
    <w:p w:rsidR="003845C1" w:rsidRDefault="003845C1" w:rsidP="003845C1"/>
    <w:p w:rsidR="003845C1" w:rsidRDefault="003845C1" w:rsidP="003845C1"/>
    <w:p w:rsidR="00DC3C35" w:rsidRDefault="00DC3C35" w:rsidP="00B67CDC">
      <w:pPr>
        <w:rPr>
          <w:b/>
          <w:sz w:val="24"/>
          <w:szCs w:val="24"/>
        </w:rPr>
      </w:pPr>
      <w:r w:rsidRPr="00DC3C35">
        <w:rPr>
          <w:b/>
          <w:sz w:val="24"/>
          <w:szCs w:val="24"/>
        </w:rPr>
        <w:t>Quincuagésima segunda serie de reuniones</w:t>
      </w:r>
    </w:p>
    <w:p w:rsidR="00DC3C35" w:rsidRPr="00707F93" w:rsidRDefault="00246989" w:rsidP="00DC3C35">
      <w:pPr>
        <w:pStyle w:val="Meetingplacedate"/>
        <w:ind w:left="0"/>
        <w:outlineLvl w:val="0"/>
        <w:rPr>
          <w:lang w:val="es-ES"/>
        </w:rPr>
      </w:pPr>
      <w:r>
        <w:rPr>
          <w:lang w:val="es-ES"/>
        </w:rPr>
        <w:t>Ginebra, 10 a 12</w:t>
      </w:r>
      <w:r w:rsidR="00DC3C35">
        <w:rPr>
          <w:lang w:val="es-ES"/>
        </w:rPr>
        <w:t xml:space="preserve"> de diciembre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371022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PROPUESTA DEL GRUPO DE PAÍSES DE AMÉRICA LATINA Y EL CARIBE (GRULAC) EN RELACIÓN CON EL PROGRAMA 20 DE LA PROPUESTA DE PRESUPUESTO POR PROGRAMAS PARA EL BIENIO 2014/15</w:t>
      </w:r>
    </w:p>
    <w:p w:rsidR="008B2CC1" w:rsidRPr="008B2CC1" w:rsidRDefault="008B2CC1" w:rsidP="008B2CC1"/>
    <w:p w:rsidR="008B2CC1" w:rsidRPr="008B2CC1" w:rsidRDefault="007D5355" w:rsidP="008B2CC1">
      <w:pPr>
        <w:rPr>
          <w:i/>
        </w:rPr>
      </w:pPr>
      <w:bookmarkStart w:id="4" w:name="Prepared"/>
      <w:bookmarkStart w:id="5" w:name="_GoBack"/>
      <w:bookmarkEnd w:id="4"/>
      <w:r>
        <w:rPr>
          <w:i/>
        </w:rPr>
        <w:t>preparada</w:t>
      </w:r>
      <w:r w:rsidR="00371022">
        <w:rPr>
          <w:i/>
        </w:rPr>
        <w:t xml:space="preserve"> por la Secretaría</w:t>
      </w:r>
    </w:p>
    <w:bookmarkEnd w:id="5"/>
    <w:p w:rsidR="008B2CC1" w:rsidRDefault="008B2CC1" w:rsidP="003845C1"/>
    <w:p w:rsidR="000F5E56" w:rsidRDefault="000F5E56"/>
    <w:p w:rsidR="00F84474" w:rsidRDefault="00F84474"/>
    <w:p w:rsidR="00F84474" w:rsidRDefault="00F84474" w:rsidP="00E27DDA"/>
    <w:p w:rsidR="00152CEA" w:rsidRDefault="00FB2E7E" w:rsidP="00E27DDA">
      <w:pPr>
        <w:pStyle w:val="ONUMFS"/>
        <w:numPr>
          <w:ilvl w:val="0"/>
          <w:numId w:val="0"/>
        </w:numPr>
      </w:pPr>
      <w:r>
        <w:tab/>
        <w:t>En una comunicación fechada el 1 de noviembre de 2013, la Secretaría recibió una petición de la Misión Permanente de Trinidad y Tabago en nombre del Grupo de Países de América Latina y el Caribe (GRULAC) en relación con el párrafo 20.21</w:t>
      </w:r>
      <w:r w:rsidR="00B37298">
        <w:t xml:space="preserve"> del</w:t>
      </w:r>
      <w:r w:rsidR="00472731">
        <w:t xml:space="preserve"> programa 20</w:t>
      </w:r>
      <w:r w:rsidR="00B37298" w:rsidRPr="00B37298">
        <w:t xml:space="preserve"> </w:t>
      </w:r>
      <w:r w:rsidR="00B50D8E">
        <w:t>de la “Propuesta de presupuesto por programas para el bienio 2014/15” (documento A/51/7 Rev., fechado el 20 de septiembre de 2013).</w:t>
      </w:r>
    </w:p>
    <w:p w:rsidR="00B50D8E" w:rsidRDefault="00B50D8E" w:rsidP="00E27DDA">
      <w:pPr>
        <w:pStyle w:val="ONUMFS"/>
        <w:numPr>
          <w:ilvl w:val="0"/>
          <w:numId w:val="0"/>
        </w:numPr>
      </w:pPr>
      <w:r>
        <w:tab/>
      </w:r>
      <w:r w:rsidR="00F42883">
        <w:t>En el Anexo del presente documento figura la comunicación de la Misión Permanente de Trinidad y Tabago.</w:t>
      </w:r>
    </w:p>
    <w:p w:rsidR="00F42883" w:rsidRDefault="00F42883" w:rsidP="00E27DDA">
      <w:pPr>
        <w:pStyle w:val="ONUMFS"/>
        <w:numPr>
          <w:ilvl w:val="0"/>
          <w:numId w:val="0"/>
        </w:numPr>
      </w:pPr>
    </w:p>
    <w:p w:rsidR="00F42883" w:rsidRDefault="00F42883" w:rsidP="00E27DDA">
      <w:pPr>
        <w:pStyle w:val="ONUMFS"/>
        <w:numPr>
          <w:ilvl w:val="0"/>
          <w:numId w:val="0"/>
        </w:numPr>
      </w:pPr>
    </w:p>
    <w:p w:rsidR="00F42883" w:rsidRPr="00B37298" w:rsidRDefault="00F42883" w:rsidP="00E27DDA">
      <w:pPr>
        <w:pStyle w:val="Endofdocument-Annex"/>
        <w:rPr>
          <w:lang w:val="es-ES"/>
        </w:rPr>
      </w:pPr>
      <w:r w:rsidRPr="00B37298">
        <w:rPr>
          <w:lang w:val="es-ES"/>
        </w:rPr>
        <w:t>[Sigue el Anexo]</w:t>
      </w:r>
    </w:p>
    <w:p w:rsidR="00DB6129" w:rsidRPr="00B37298" w:rsidRDefault="00DB6129" w:rsidP="00E27DDA">
      <w:pPr>
        <w:pStyle w:val="Endofdocument-Annex"/>
        <w:rPr>
          <w:lang w:val="es-ES"/>
        </w:rPr>
      </w:pPr>
    </w:p>
    <w:p w:rsidR="00C6128A" w:rsidRDefault="00C6128A" w:rsidP="00E27DDA">
      <w:pPr>
        <w:sectPr w:rsidR="00C6128A" w:rsidSect="00371022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5434B" w:rsidRPr="0024156E" w:rsidRDefault="0025434B" w:rsidP="00E27DDA">
      <w:pPr>
        <w:rPr>
          <w:szCs w:val="22"/>
        </w:rPr>
      </w:pPr>
      <w:r w:rsidRPr="0024156E">
        <w:rPr>
          <w:szCs w:val="22"/>
        </w:rPr>
        <w:lastRenderedPageBreak/>
        <w:t>[Traducción por la Oficina</w:t>
      </w:r>
      <w:r>
        <w:rPr>
          <w:szCs w:val="22"/>
        </w:rPr>
        <w:t xml:space="preserve"> Internacional</w:t>
      </w:r>
      <w:r w:rsidRPr="0024156E">
        <w:rPr>
          <w:szCs w:val="22"/>
        </w:rPr>
        <w:t xml:space="preserve"> de una carta con fecha </w:t>
      </w:r>
      <w:r>
        <w:rPr>
          <w:szCs w:val="22"/>
        </w:rPr>
        <w:t>1 de noviembre de 2013</w:t>
      </w:r>
      <w:r w:rsidRPr="0024156E">
        <w:rPr>
          <w:szCs w:val="22"/>
        </w:rPr>
        <w:t>]</w:t>
      </w:r>
    </w:p>
    <w:p w:rsidR="0025434B" w:rsidRPr="0024156E" w:rsidRDefault="0025434B" w:rsidP="00E27DDA">
      <w:pPr>
        <w:rPr>
          <w:szCs w:val="22"/>
        </w:rPr>
      </w:pPr>
    </w:p>
    <w:p w:rsidR="0025434B" w:rsidRPr="0024156E" w:rsidRDefault="0025434B" w:rsidP="00E27DDA">
      <w:pPr>
        <w:rPr>
          <w:szCs w:val="22"/>
        </w:rPr>
      </w:pPr>
    </w:p>
    <w:p w:rsidR="0025434B" w:rsidRPr="0024156E" w:rsidRDefault="0025434B" w:rsidP="00E27DDA">
      <w:pPr>
        <w:tabs>
          <w:tab w:val="left" w:pos="1701"/>
        </w:tabs>
        <w:ind w:left="1701" w:hanging="1701"/>
        <w:rPr>
          <w:szCs w:val="22"/>
        </w:rPr>
      </w:pPr>
      <w:r w:rsidRPr="0024156E">
        <w:rPr>
          <w:szCs w:val="22"/>
        </w:rPr>
        <w:t>Enviada por:</w:t>
      </w:r>
      <w:r w:rsidRPr="0024156E">
        <w:rPr>
          <w:szCs w:val="22"/>
        </w:rPr>
        <w:tab/>
      </w:r>
      <w:r w:rsidR="00917FAF">
        <w:rPr>
          <w:szCs w:val="22"/>
        </w:rPr>
        <w:t>Misión Permanente de la República de Trinidad y Tabago ante la Oficina de las Naciones Unidas en Ginebra</w:t>
      </w:r>
    </w:p>
    <w:p w:rsidR="0025434B" w:rsidRPr="0024156E" w:rsidRDefault="0025434B" w:rsidP="00E27DDA">
      <w:pPr>
        <w:rPr>
          <w:szCs w:val="22"/>
        </w:rPr>
      </w:pPr>
    </w:p>
    <w:p w:rsidR="0025434B" w:rsidRPr="0024156E" w:rsidRDefault="0025434B" w:rsidP="00E27DDA">
      <w:pPr>
        <w:tabs>
          <w:tab w:val="left" w:pos="1701"/>
          <w:tab w:val="left" w:pos="1985"/>
        </w:tabs>
        <w:rPr>
          <w:szCs w:val="22"/>
        </w:rPr>
      </w:pPr>
      <w:r w:rsidRPr="0024156E">
        <w:rPr>
          <w:szCs w:val="22"/>
        </w:rPr>
        <w:t>Destinatario:</w:t>
      </w:r>
      <w:r w:rsidRPr="0024156E">
        <w:rPr>
          <w:szCs w:val="22"/>
        </w:rPr>
        <w:tab/>
      </w:r>
      <w:r w:rsidR="00917FAF">
        <w:rPr>
          <w:szCs w:val="22"/>
        </w:rPr>
        <w:t>Secretaría de la OMPI</w:t>
      </w:r>
    </w:p>
    <w:p w:rsidR="0025434B" w:rsidRPr="0024156E" w:rsidRDefault="0025434B" w:rsidP="00E27DDA">
      <w:pPr>
        <w:rPr>
          <w:szCs w:val="22"/>
        </w:rPr>
      </w:pPr>
    </w:p>
    <w:p w:rsidR="0025434B" w:rsidRPr="0024156E" w:rsidRDefault="0025434B" w:rsidP="00E27DDA">
      <w:pPr>
        <w:rPr>
          <w:szCs w:val="22"/>
        </w:rPr>
      </w:pPr>
    </w:p>
    <w:p w:rsidR="0025434B" w:rsidRDefault="00917FAF" w:rsidP="00E27DDA">
      <w:pPr>
        <w:rPr>
          <w:b/>
          <w:szCs w:val="22"/>
        </w:rPr>
      </w:pPr>
      <w:r>
        <w:rPr>
          <w:b/>
          <w:szCs w:val="22"/>
        </w:rPr>
        <w:t>Nota Nº 144/2013</w:t>
      </w:r>
    </w:p>
    <w:p w:rsidR="00917FAF" w:rsidRDefault="00917FAF" w:rsidP="00E27DDA">
      <w:pPr>
        <w:rPr>
          <w:b/>
          <w:szCs w:val="22"/>
        </w:rPr>
      </w:pPr>
    </w:p>
    <w:p w:rsidR="00917FAF" w:rsidRDefault="00917FAF" w:rsidP="00E27DDA">
      <w:pPr>
        <w:rPr>
          <w:szCs w:val="22"/>
        </w:rPr>
      </w:pPr>
      <w:r>
        <w:rPr>
          <w:szCs w:val="22"/>
        </w:rPr>
        <w:t xml:space="preserve">La Misión Permanente de la República de Trinidad y Tabago ante la Oficina de las Naciones Unidas en Ginebra y los organismos especializados </w:t>
      </w:r>
      <w:r w:rsidR="00CD03B6">
        <w:rPr>
          <w:szCs w:val="22"/>
        </w:rPr>
        <w:t xml:space="preserve">en Europa </w:t>
      </w:r>
      <w:r w:rsidR="005B67B4" w:rsidRPr="005B67B4">
        <w:rPr>
          <w:szCs w:val="22"/>
        </w:rPr>
        <w:t>presenta sus atentos saludos</w:t>
      </w:r>
      <w:r w:rsidR="00717B7D">
        <w:rPr>
          <w:szCs w:val="22"/>
        </w:rPr>
        <w:t>,</w:t>
      </w:r>
      <w:r w:rsidR="005B67B4" w:rsidRPr="005B67B4">
        <w:rPr>
          <w:szCs w:val="22"/>
        </w:rPr>
        <w:t xml:space="preserve"> </w:t>
      </w:r>
      <w:r w:rsidR="00CD03B6">
        <w:rPr>
          <w:szCs w:val="22"/>
        </w:rPr>
        <w:t>en nombre del Grupo de Países de América Latina y el Caribe (GRULAC)</w:t>
      </w:r>
      <w:r w:rsidR="00717B7D">
        <w:rPr>
          <w:szCs w:val="22"/>
        </w:rPr>
        <w:t>,</w:t>
      </w:r>
      <w:r w:rsidR="00CD03B6">
        <w:rPr>
          <w:szCs w:val="22"/>
        </w:rPr>
        <w:t xml:space="preserve"> a</w:t>
      </w:r>
      <w:r w:rsidR="00472731">
        <w:rPr>
          <w:szCs w:val="22"/>
        </w:rPr>
        <w:t xml:space="preserve"> la</w:t>
      </w:r>
      <w:r w:rsidR="00CD03B6">
        <w:rPr>
          <w:szCs w:val="22"/>
        </w:rPr>
        <w:t xml:space="preserve"> </w:t>
      </w:r>
      <w:r w:rsidR="00CD03B6">
        <w:rPr>
          <w:b/>
          <w:szCs w:val="22"/>
        </w:rPr>
        <w:t>E</w:t>
      </w:r>
      <w:r w:rsidR="00472731">
        <w:rPr>
          <w:b/>
          <w:szCs w:val="22"/>
        </w:rPr>
        <w:t>xcma</w:t>
      </w:r>
      <w:r w:rsidR="00CD03B6">
        <w:rPr>
          <w:b/>
          <w:szCs w:val="22"/>
        </w:rPr>
        <w:t>. Sra. Päivi Kairamo</w:t>
      </w:r>
      <w:r w:rsidR="00CD03B6">
        <w:rPr>
          <w:szCs w:val="22"/>
        </w:rPr>
        <w:t>, Presidenta de la Asamblea General de la OMPI, y tiene el honor de hacer referencia a la nota verbal (Ref</w:t>
      </w:r>
      <w:r w:rsidR="00A83EB6">
        <w:rPr>
          <w:szCs w:val="22"/>
        </w:rPr>
        <w:t>.</w:t>
      </w:r>
      <w:r w:rsidR="00CD03B6">
        <w:rPr>
          <w:szCs w:val="22"/>
        </w:rPr>
        <w:t>:  GEN7W0007</w:t>
      </w:r>
      <w:r w:rsidR="00CD03B6">
        <w:rPr>
          <w:szCs w:val="22"/>
        </w:rPr>
        <w:noBreakHyphen/>
        <w:t xml:space="preserve">111) fechada el 1 de octubre de 2013 de la Misión Permanente de Finlandia ante las Naciones Unidas y otras </w:t>
      </w:r>
      <w:r w:rsidR="00A83EB6">
        <w:rPr>
          <w:szCs w:val="22"/>
        </w:rPr>
        <w:t>organizaciones internacionales en Ginebra en la que se acusa recibo de nuestra nota verbal (Ref. Nº 116/2013) fechada el 26 de septiembre de 2013.</w:t>
      </w:r>
    </w:p>
    <w:p w:rsidR="00A83EB6" w:rsidRDefault="00A83EB6" w:rsidP="00E27DDA">
      <w:pPr>
        <w:rPr>
          <w:szCs w:val="22"/>
        </w:rPr>
      </w:pPr>
    </w:p>
    <w:p w:rsidR="00A83EB6" w:rsidRDefault="00953BF6" w:rsidP="00E27DDA">
      <w:pPr>
        <w:rPr>
          <w:szCs w:val="22"/>
        </w:rPr>
      </w:pPr>
      <w:r>
        <w:rPr>
          <w:szCs w:val="22"/>
        </w:rPr>
        <w:t xml:space="preserve">A ese respecto, el GRULAC desea expresar que </w:t>
      </w:r>
      <w:r w:rsidR="00434561">
        <w:rPr>
          <w:szCs w:val="22"/>
        </w:rPr>
        <w:t xml:space="preserve">todavía no han quedado reflejadas en el documento del proyecto de presupuesto por programas (A/51/7 Rev.) las modificaciones solicitadas a su debido tiempo y siguiendo los procedimientos establecidos.  </w:t>
      </w:r>
      <w:r w:rsidR="005B67B4">
        <w:rPr>
          <w:szCs w:val="22"/>
        </w:rPr>
        <w:t xml:space="preserve">Tomando </w:t>
      </w:r>
      <w:r w:rsidR="00434561">
        <w:rPr>
          <w:szCs w:val="22"/>
        </w:rPr>
        <w:t xml:space="preserve">en consideración que ya se han iniciado las consultas </w:t>
      </w:r>
      <w:r w:rsidR="00AF3517">
        <w:rPr>
          <w:szCs w:val="22"/>
        </w:rPr>
        <w:t xml:space="preserve">informales sobre las </w:t>
      </w:r>
      <w:r w:rsidR="005B67B4">
        <w:rPr>
          <w:szCs w:val="22"/>
        </w:rPr>
        <w:t xml:space="preserve">oficinas </w:t>
      </w:r>
      <w:r w:rsidR="00AF3517">
        <w:rPr>
          <w:szCs w:val="22"/>
        </w:rPr>
        <w:t xml:space="preserve">en el exterior, deseamos </w:t>
      </w:r>
      <w:r w:rsidR="005B67B4">
        <w:rPr>
          <w:szCs w:val="22"/>
        </w:rPr>
        <w:t xml:space="preserve">pedir </w:t>
      </w:r>
      <w:r w:rsidR="00AF3517">
        <w:rPr>
          <w:szCs w:val="22"/>
        </w:rPr>
        <w:t xml:space="preserve">nuevamente que la Secretaría de la OMPI distribuya a todos los Estados miembros las modificaciones solicitadas por el GRULAC en el párrafo 20.21 del programa 20 del proyecto de presupuesto por </w:t>
      </w:r>
      <w:r w:rsidR="00E50517">
        <w:rPr>
          <w:szCs w:val="22"/>
        </w:rPr>
        <w:t>programas 2014/</w:t>
      </w:r>
      <w:r w:rsidR="00AF3517">
        <w:rPr>
          <w:szCs w:val="22"/>
        </w:rPr>
        <w:t>15 con el fin de que sean incorporadas en dicho presupuesto por programas antes del inicio de la</w:t>
      </w:r>
      <w:r w:rsidR="000941F6">
        <w:rPr>
          <w:szCs w:val="22"/>
        </w:rPr>
        <w:t xml:space="preserve"> serie extraordinaria</w:t>
      </w:r>
      <w:r w:rsidR="00AF3517">
        <w:rPr>
          <w:szCs w:val="22"/>
        </w:rPr>
        <w:t xml:space="preserve"> de reuniones de las Asambleas de la OMPI el 10 de diciembre de 2013.</w:t>
      </w:r>
    </w:p>
    <w:p w:rsidR="00AF3517" w:rsidRDefault="00AF3517" w:rsidP="00E27DDA">
      <w:pPr>
        <w:rPr>
          <w:szCs w:val="22"/>
        </w:rPr>
      </w:pPr>
    </w:p>
    <w:p w:rsidR="00AF3517" w:rsidRDefault="00864EA6" w:rsidP="00E27DDA">
      <w:pPr>
        <w:rPr>
          <w:szCs w:val="22"/>
        </w:rPr>
      </w:pPr>
      <w:r>
        <w:rPr>
          <w:szCs w:val="22"/>
        </w:rPr>
        <w:t xml:space="preserve">Para </w:t>
      </w:r>
      <w:r w:rsidR="00881272">
        <w:rPr>
          <w:szCs w:val="22"/>
        </w:rPr>
        <w:t>facilitar su consulta, el GRULAC adjunta dicha modificación que ya había distribuido la Secretaría a los Estados miembros durante la vigésima primera sesión del PBC en septiembre de 2013.</w:t>
      </w:r>
    </w:p>
    <w:p w:rsidR="00881272" w:rsidRDefault="00881272" w:rsidP="00E27DDA">
      <w:pPr>
        <w:rPr>
          <w:szCs w:val="22"/>
        </w:rPr>
      </w:pPr>
    </w:p>
    <w:p w:rsidR="00881272" w:rsidRDefault="00881272" w:rsidP="00E27DDA">
      <w:pPr>
        <w:rPr>
          <w:szCs w:val="22"/>
        </w:rPr>
      </w:pPr>
      <w:r>
        <w:rPr>
          <w:szCs w:val="22"/>
        </w:rPr>
        <w:t>El GRULAC desea dejar constancia de que sigue empeñado en el diálogo constructivo con el fin de alcanzar una solución de compromiso para la aprobación del p</w:t>
      </w:r>
      <w:r w:rsidR="006559C7">
        <w:rPr>
          <w:szCs w:val="22"/>
        </w:rPr>
        <w:t>resupuesto por programas 2014/</w:t>
      </w:r>
      <w:r>
        <w:rPr>
          <w:szCs w:val="22"/>
        </w:rPr>
        <w:t xml:space="preserve">15 y reafirma su legítimo interés en contar con una nueva </w:t>
      </w:r>
      <w:r w:rsidR="00223555">
        <w:rPr>
          <w:szCs w:val="22"/>
        </w:rPr>
        <w:t xml:space="preserve">oficina </w:t>
      </w:r>
      <w:r>
        <w:rPr>
          <w:szCs w:val="22"/>
        </w:rPr>
        <w:t>en el exterior en la región.</w:t>
      </w:r>
    </w:p>
    <w:p w:rsidR="00881272" w:rsidRDefault="00881272" w:rsidP="00E27DDA">
      <w:pPr>
        <w:rPr>
          <w:szCs w:val="22"/>
        </w:rPr>
      </w:pPr>
    </w:p>
    <w:p w:rsidR="00881272" w:rsidRPr="005D05D9" w:rsidRDefault="00881272" w:rsidP="00E27DDA">
      <w:pPr>
        <w:rPr>
          <w:szCs w:val="22"/>
        </w:rPr>
      </w:pPr>
      <w:r>
        <w:rPr>
          <w:szCs w:val="22"/>
        </w:rPr>
        <w:t>La Misión Permanente de la República de Trinidad y Tabago ante la Oficina de las Naciones Unidas en Ginebra</w:t>
      </w:r>
      <w:r w:rsidR="005D05D9">
        <w:rPr>
          <w:szCs w:val="22"/>
        </w:rPr>
        <w:t xml:space="preserve"> y los organismos especializados en Europa</w:t>
      </w:r>
      <w:r w:rsidR="00223555">
        <w:rPr>
          <w:szCs w:val="22"/>
        </w:rPr>
        <w:t>,</w:t>
      </w:r>
      <w:r w:rsidR="005D05D9">
        <w:rPr>
          <w:szCs w:val="22"/>
        </w:rPr>
        <w:t xml:space="preserve"> en nombre del Grupo de Países de América Latina y el Caribe</w:t>
      </w:r>
      <w:r w:rsidR="00223555">
        <w:rPr>
          <w:szCs w:val="22"/>
        </w:rPr>
        <w:t>,</w:t>
      </w:r>
      <w:r w:rsidR="005D05D9">
        <w:rPr>
          <w:szCs w:val="22"/>
        </w:rPr>
        <w:t xml:space="preserve"> desea aprovechar esta oportunidad para volver a transmitir a</w:t>
      </w:r>
      <w:r w:rsidR="00B600BE">
        <w:rPr>
          <w:szCs w:val="22"/>
        </w:rPr>
        <w:t xml:space="preserve"> la</w:t>
      </w:r>
      <w:r w:rsidR="005D05D9">
        <w:rPr>
          <w:szCs w:val="22"/>
        </w:rPr>
        <w:t xml:space="preserve"> </w:t>
      </w:r>
      <w:r w:rsidR="005D05D9" w:rsidRPr="005D05D9">
        <w:rPr>
          <w:b/>
          <w:szCs w:val="22"/>
        </w:rPr>
        <w:t>E</w:t>
      </w:r>
      <w:r w:rsidR="00B600BE">
        <w:rPr>
          <w:b/>
          <w:szCs w:val="22"/>
        </w:rPr>
        <w:t>xcma</w:t>
      </w:r>
      <w:r w:rsidR="005D05D9" w:rsidRPr="005D05D9">
        <w:rPr>
          <w:b/>
          <w:szCs w:val="22"/>
        </w:rPr>
        <w:t>. Sra. Päivi Kairamo</w:t>
      </w:r>
      <w:r w:rsidR="005D05D9">
        <w:rPr>
          <w:szCs w:val="22"/>
        </w:rPr>
        <w:t>, Presidenta de la Asamblea General de la OMPI, el testimonio de su más alta consideración.</w:t>
      </w:r>
    </w:p>
    <w:p w:rsidR="0025434B" w:rsidRPr="0024156E" w:rsidRDefault="0025434B" w:rsidP="00E27DDA">
      <w:pPr>
        <w:rPr>
          <w:szCs w:val="22"/>
        </w:rPr>
      </w:pPr>
    </w:p>
    <w:p w:rsidR="0025434B" w:rsidRDefault="0025434B" w:rsidP="00E27DDA">
      <w:pPr>
        <w:rPr>
          <w:szCs w:val="22"/>
        </w:rPr>
      </w:pPr>
    </w:p>
    <w:p w:rsidR="00D17C7C" w:rsidRPr="0024156E" w:rsidRDefault="00D17C7C" w:rsidP="00E27DDA">
      <w:pPr>
        <w:rPr>
          <w:szCs w:val="22"/>
        </w:rPr>
      </w:pPr>
    </w:p>
    <w:p w:rsidR="0025434B" w:rsidRPr="0024156E" w:rsidRDefault="0025434B" w:rsidP="00E27DDA">
      <w:pPr>
        <w:rPr>
          <w:szCs w:val="22"/>
        </w:rPr>
      </w:pPr>
      <w:r w:rsidRPr="0024156E">
        <w:rPr>
          <w:szCs w:val="22"/>
        </w:rPr>
        <w:t>(Firmada)</w:t>
      </w:r>
    </w:p>
    <w:p w:rsidR="0025434B" w:rsidRPr="0024156E" w:rsidRDefault="0025434B" w:rsidP="00E27DDA">
      <w:pPr>
        <w:pStyle w:val="Footer"/>
        <w:rPr>
          <w:szCs w:val="22"/>
        </w:rPr>
      </w:pPr>
    </w:p>
    <w:p w:rsidR="0025434B" w:rsidRPr="0024156E" w:rsidRDefault="0025434B" w:rsidP="00E27DDA">
      <w:pPr>
        <w:rPr>
          <w:szCs w:val="22"/>
        </w:rPr>
      </w:pPr>
    </w:p>
    <w:p w:rsidR="0025434B" w:rsidRDefault="0025434B" w:rsidP="00E27DDA">
      <w:pPr>
        <w:tabs>
          <w:tab w:val="left" w:pos="1701"/>
        </w:tabs>
        <w:ind w:left="1701" w:hanging="1701"/>
        <w:rPr>
          <w:szCs w:val="22"/>
          <w:lang w:val="es-ES_tradnl"/>
        </w:rPr>
      </w:pPr>
      <w:r w:rsidRPr="0024156E">
        <w:rPr>
          <w:szCs w:val="22"/>
          <w:lang w:val="es-ES_tradnl"/>
        </w:rPr>
        <w:t>Con copia:</w:t>
      </w:r>
      <w:r w:rsidR="002B687C">
        <w:rPr>
          <w:szCs w:val="22"/>
          <w:lang w:val="es-ES_tradnl"/>
        </w:rPr>
        <w:tab/>
        <w:t>E</w:t>
      </w:r>
      <w:r w:rsidR="00B600BE">
        <w:rPr>
          <w:szCs w:val="22"/>
          <w:lang w:val="es-ES_tradnl"/>
        </w:rPr>
        <w:t>xcmo</w:t>
      </w:r>
      <w:r w:rsidR="002B687C">
        <w:rPr>
          <w:szCs w:val="22"/>
          <w:lang w:val="es-ES_tradnl"/>
        </w:rPr>
        <w:t xml:space="preserve">. </w:t>
      </w:r>
      <w:r w:rsidR="00B600BE">
        <w:rPr>
          <w:szCs w:val="22"/>
          <w:lang w:val="es-ES_tradnl"/>
        </w:rPr>
        <w:t>S</w:t>
      </w:r>
      <w:r w:rsidR="002B687C">
        <w:rPr>
          <w:szCs w:val="22"/>
          <w:lang w:val="es-ES_tradnl"/>
        </w:rPr>
        <w:t>r. Francis Gurry, Director General de la Organización Mundial de la Propiedad Intelectual</w:t>
      </w:r>
    </w:p>
    <w:p w:rsidR="002B687C" w:rsidRDefault="00B600BE" w:rsidP="00D17C7C">
      <w:pPr>
        <w:tabs>
          <w:tab w:val="left" w:pos="1701"/>
        </w:tabs>
        <w:ind w:left="1701" w:hanging="1701"/>
        <w:rPr>
          <w:szCs w:val="22"/>
        </w:rPr>
      </w:pPr>
      <w:r>
        <w:rPr>
          <w:szCs w:val="22"/>
          <w:lang w:val="es-ES_tradnl"/>
        </w:rPr>
        <w:tab/>
      </w:r>
      <w:r w:rsidR="002B687C">
        <w:rPr>
          <w:szCs w:val="22"/>
          <w:lang w:val="es-ES_tradnl"/>
        </w:rPr>
        <w:t>E</w:t>
      </w:r>
      <w:r>
        <w:rPr>
          <w:szCs w:val="22"/>
          <w:lang w:val="es-ES_tradnl"/>
        </w:rPr>
        <w:t>xcmo</w:t>
      </w:r>
      <w:r w:rsidR="002B687C">
        <w:rPr>
          <w:szCs w:val="22"/>
          <w:lang w:val="es-ES_tradnl"/>
        </w:rPr>
        <w:t>. Sr. Kwok Fook Seng, Embajador Extraordinario y Plenipotenciario de Singapur para la Organización Mundial del Comercio y la Organización Mundial de la Propiedad Intelectual</w:t>
      </w:r>
      <w:r w:rsidR="002B687C">
        <w:rPr>
          <w:szCs w:val="22"/>
        </w:rPr>
        <w:br w:type="page"/>
      </w:r>
    </w:p>
    <w:p w:rsidR="00892752" w:rsidRDefault="00892752" w:rsidP="00E27DDA">
      <w:pPr>
        <w:jc w:val="center"/>
        <w:rPr>
          <w:b/>
          <w:szCs w:val="22"/>
        </w:rPr>
      </w:pPr>
    </w:p>
    <w:p w:rsidR="00892752" w:rsidRDefault="00892752" w:rsidP="00E27DDA">
      <w:pPr>
        <w:jc w:val="center"/>
        <w:rPr>
          <w:b/>
          <w:szCs w:val="22"/>
        </w:rPr>
      </w:pPr>
    </w:p>
    <w:p w:rsidR="00892752" w:rsidRDefault="00892752" w:rsidP="00E27DDA">
      <w:pPr>
        <w:jc w:val="center"/>
        <w:rPr>
          <w:b/>
          <w:szCs w:val="22"/>
        </w:rPr>
      </w:pPr>
    </w:p>
    <w:p w:rsidR="0025434B" w:rsidRDefault="002B687C" w:rsidP="00E27DDA">
      <w:pPr>
        <w:jc w:val="center"/>
        <w:rPr>
          <w:b/>
          <w:szCs w:val="22"/>
        </w:rPr>
      </w:pPr>
      <w:r>
        <w:rPr>
          <w:b/>
          <w:szCs w:val="22"/>
        </w:rPr>
        <w:t>PROPUESTA DE GRULAC AL PÁRRAFO 20.21 DEL PROGRAMA 20 DEL PROYECTO DE PROGRAMA Y PRESUPUESTO PARA EL BIENIO 2014</w:t>
      </w:r>
      <w:r>
        <w:rPr>
          <w:b/>
          <w:szCs w:val="22"/>
        </w:rPr>
        <w:noBreakHyphen/>
        <w:t>2015</w:t>
      </w:r>
    </w:p>
    <w:p w:rsidR="002B687C" w:rsidRDefault="002B687C" w:rsidP="00E27DDA">
      <w:pPr>
        <w:jc w:val="center"/>
        <w:rPr>
          <w:b/>
          <w:szCs w:val="22"/>
        </w:rPr>
      </w:pPr>
    </w:p>
    <w:p w:rsidR="002B687C" w:rsidRPr="002B687C" w:rsidRDefault="002B687C" w:rsidP="00E27DDA">
      <w:pPr>
        <w:rPr>
          <w:szCs w:val="22"/>
        </w:rPr>
      </w:pPr>
      <w:r>
        <w:rPr>
          <w:szCs w:val="22"/>
        </w:rPr>
        <w:t xml:space="preserve">20.21  Para el próximo bienio se ha planificado la apertura de oficinas en China, la Federación de Rusia, los Estados Unidos de América, dos en África </w:t>
      </w:r>
      <w:r w:rsidRPr="002B687C">
        <w:rPr>
          <w:b/>
          <w:szCs w:val="22"/>
        </w:rPr>
        <w:t>y una en América Latina y el Caribe</w:t>
      </w:r>
      <w:r>
        <w:rPr>
          <w:szCs w:val="22"/>
        </w:rPr>
        <w:t>.</w:t>
      </w:r>
    </w:p>
    <w:p w:rsidR="0025434B" w:rsidRPr="0024156E" w:rsidRDefault="0025434B" w:rsidP="00E27DDA">
      <w:pPr>
        <w:rPr>
          <w:szCs w:val="22"/>
        </w:rPr>
      </w:pPr>
    </w:p>
    <w:p w:rsidR="0025434B" w:rsidRPr="00B37298" w:rsidRDefault="002B687C" w:rsidP="00E27DDA">
      <w:pPr>
        <w:rPr>
          <w:szCs w:val="22"/>
          <w:lang w:val="en-US"/>
        </w:rPr>
      </w:pPr>
      <w:r w:rsidRPr="00B37298">
        <w:rPr>
          <w:szCs w:val="22"/>
          <w:lang w:val="en-US"/>
        </w:rPr>
        <w:t>_______________________________________</w:t>
      </w:r>
    </w:p>
    <w:p w:rsidR="00DB6129" w:rsidRPr="00B37298" w:rsidRDefault="00DB6129" w:rsidP="00E27DDA">
      <w:pPr>
        <w:rPr>
          <w:lang w:val="en-US"/>
        </w:rPr>
      </w:pPr>
    </w:p>
    <w:p w:rsidR="002B687C" w:rsidRPr="002B687C" w:rsidRDefault="002B687C" w:rsidP="00E27DDA">
      <w:pPr>
        <w:jc w:val="center"/>
        <w:rPr>
          <w:b/>
          <w:lang w:val="en-US"/>
        </w:rPr>
      </w:pPr>
      <w:r w:rsidRPr="002B687C">
        <w:rPr>
          <w:b/>
          <w:lang w:val="en-US"/>
        </w:rPr>
        <w:t>PROPOSAL OF GRULAC FOR PROGRAM 20, PARAGRAPH 20.21 OF DRAFT PROPOSED PROGRAM AND BUDGET FOR THE 2014</w:t>
      </w:r>
      <w:r w:rsidRPr="002B687C">
        <w:rPr>
          <w:b/>
          <w:lang w:val="en-US"/>
        </w:rPr>
        <w:noBreakHyphen/>
        <w:t>2015 BIENNIUM</w:t>
      </w:r>
    </w:p>
    <w:p w:rsidR="002B687C" w:rsidRDefault="002B687C" w:rsidP="00E27DDA">
      <w:pPr>
        <w:jc w:val="center"/>
        <w:rPr>
          <w:b/>
          <w:lang w:val="en-US"/>
        </w:rPr>
      </w:pPr>
    </w:p>
    <w:p w:rsidR="002B687C" w:rsidRDefault="002B687C" w:rsidP="00E27DDA">
      <w:pPr>
        <w:rPr>
          <w:b/>
          <w:lang w:val="en-US"/>
        </w:rPr>
      </w:pPr>
      <w:r>
        <w:rPr>
          <w:lang w:val="en-US"/>
        </w:rPr>
        <w:t xml:space="preserve">20.21  During the next biennium, new external offices in the following locations/regions are planned in China, Russian Federation, United States of America, two in Africa </w:t>
      </w:r>
      <w:r>
        <w:rPr>
          <w:b/>
          <w:lang w:val="en-US"/>
        </w:rPr>
        <w:t>and one in Latin America and the Caribbean</w:t>
      </w:r>
    </w:p>
    <w:p w:rsidR="002B687C" w:rsidRPr="002B687C" w:rsidRDefault="002B687C" w:rsidP="00E27DDA">
      <w:pPr>
        <w:rPr>
          <w:lang w:val="en-US"/>
        </w:rPr>
      </w:pPr>
    </w:p>
    <w:p w:rsidR="002B687C" w:rsidRPr="002B687C" w:rsidRDefault="002B687C" w:rsidP="00E27DDA">
      <w:pPr>
        <w:rPr>
          <w:lang w:val="en-US"/>
        </w:rPr>
      </w:pPr>
    </w:p>
    <w:p w:rsidR="002B687C" w:rsidRPr="002B687C" w:rsidRDefault="002B687C" w:rsidP="00E27DDA">
      <w:pPr>
        <w:rPr>
          <w:lang w:val="en-US"/>
        </w:rPr>
      </w:pPr>
    </w:p>
    <w:p w:rsidR="002B687C" w:rsidRPr="002B687C" w:rsidRDefault="002B687C" w:rsidP="00E27DDA">
      <w:pPr>
        <w:rPr>
          <w:lang w:val="en-US"/>
        </w:rPr>
      </w:pPr>
    </w:p>
    <w:p w:rsidR="002B687C" w:rsidRPr="00892752" w:rsidRDefault="002B687C" w:rsidP="00E27DDA">
      <w:pPr>
        <w:pStyle w:val="Endofdocument-Annex"/>
        <w:rPr>
          <w:lang w:val="es-ES"/>
        </w:rPr>
      </w:pPr>
      <w:r w:rsidRPr="00892752">
        <w:rPr>
          <w:lang w:val="es-ES"/>
        </w:rPr>
        <w:t>[Fin del Anexo y del documento]</w:t>
      </w:r>
    </w:p>
    <w:sectPr w:rsidR="002B687C" w:rsidRPr="00892752" w:rsidSect="002B687C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36" w:rsidRDefault="00152136">
      <w:r>
        <w:separator/>
      </w:r>
    </w:p>
  </w:endnote>
  <w:endnote w:type="continuationSeparator" w:id="0">
    <w:p w:rsidR="00152136" w:rsidRPr="009D30E6" w:rsidRDefault="0015213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52136" w:rsidRPr="007E663E" w:rsidRDefault="0015213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52136" w:rsidRPr="007E663E" w:rsidRDefault="0015213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36" w:rsidRDefault="00152136">
      <w:r>
        <w:separator/>
      </w:r>
    </w:p>
  </w:footnote>
  <w:footnote w:type="continuationSeparator" w:id="0">
    <w:p w:rsidR="00152136" w:rsidRPr="009D30E6" w:rsidRDefault="0015213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52136" w:rsidRPr="007E663E" w:rsidRDefault="0015213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52136" w:rsidRPr="007E663E" w:rsidRDefault="0015213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36" w:rsidRDefault="00152136" w:rsidP="00477D6B">
    <w:pPr>
      <w:jc w:val="right"/>
    </w:pPr>
    <w:bookmarkStart w:id="6" w:name="Code2"/>
    <w:bookmarkEnd w:id="6"/>
    <w:r>
      <w:t>A/52/2</w:t>
    </w:r>
  </w:p>
  <w:p w:rsidR="00152136" w:rsidRDefault="00152136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52136" w:rsidRDefault="00152136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36" w:rsidRDefault="00152136" w:rsidP="00477D6B">
    <w:pPr>
      <w:jc w:val="right"/>
    </w:pPr>
    <w:r>
      <w:t>A/52/2</w:t>
    </w:r>
  </w:p>
  <w:p w:rsidR="00152136" w:rsidRDefault="00152136" w:rsidP="00477D6B">
    <w:pPr>
      <w:jc w:val="right"/>
    </w:pPr>
    <w:r>
      <w:t xml:space="preserve">Anexo, página </w:t>
    </w:r>
    <w:r>
      <w:fldChar w:fldCharType="begin"/>
    </w:r>
    <w:r>
      <w:instrText xml:space="preserve"> PAGE  \* MERGEFORMAT </w:instrText>
    </w:r>
    <w:r>
      <w:fldChar w:fldCharType="separate"/>
    </w:r>
    <w:r w:rsidR="006C7D45">
      <w:rPr>
        <w:noProof/>
      </w:rPr>
      <w:t>2</w:t>
    </w:r>
    <w:r>
      <w:fldChar w:fldCharType="end"/>
    </w:r>
  </w:p>
  <w:p w:rsidR="00152136" w:rsidRDefault="00152136" w:rsidP="00477D6B">
    <w:pPr>
      <w:jc w:val="right"/>
    </w:pPr>
  </w:p>
  <w:p w:rsidR="00152136" w:rsidRDefault="0015213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36" w:rsidRDefault="00152136" w:rsidP="00C6128A">
    <w:pPr>
      <w:pStyle w:val="Header"/>
      <w:jc w:val="right"/>
    </w:pPr>
    <w:r>
      <w:t>A/52/2</w:t>
    </w:r>
  </w:p>
  <w:p w:rsidR="00152136" w:rsidRDefault="00152136" w:rsidP="00C6128A">
    <w:pPr>
      <w:pStyle w:val="Header"/>
      <w:jc w:val="right"/>
    </w:pPr>
    <w:r>
      <w:t>ANEXO</w:t>
    </w:r>
  </w:p>
  <w:p w:rsidR="00152136" w:rsidRDefault="00152136" w:rsidP="00C6128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22"/>
    <w:rsid w:val="00010686"/>
    <w:rsid w:val="0004437C"/>
    <w:rsid w:val="00052915"/>
    <w:rsid w:val="000941F6"/>
    <w:rsid w:val="000E3BB3"/>
    <w:rsid w:val="000F5E56"/>
    <w:rsid w:val="001362EE"/>
    <w:rsid w:val="00152136"/>
    <w:rsid w:val="00152CEA"/>
    <w:rsid w:val="001832A6"/>
    <w:rsid w:val="001A6503"/>
    <w:rsid w:val="00223555"/>
    <w:rsid w:val="00246989"/>
    <w:rsid w:val="0025434B"/>
    <w:rsid w:val="002634C4"/>
    <w:rsid w:val="002737B5"/>
    <w:rsid w:val="002B687C"/>
    <w:rsid w:val="002E0F47"/>
    <w:rsid w:val="002F4E68"/>
    <w:rsid w:val="003113DB"/>
    <w:rsid w:val="00354647"/>
    <w:rsid w:val="00371022"/>
    <w:rsid w:val="00377273"/>
    <w:rsid w:val="003845C1"/>
    <w:rsid w:val="00387287"/>
    <w:rsid w:val="003E0636"/>
    <w:rsid w:val="003E0D47"/>
    <w:rsid w:val="003E48F1"/>
    <w:rsid w:val="003F347A"/>
    <w:rsid w:val="00423E3E"/>
    <w:rsid w:val="00427AF4"/>
    <w:rsid w:val="00434561"/>
    <w:rsid w:val="0045231F"/>
    <w:rsid w:val="004647DA"/>
    <w:rsid w:val="00472731"/>
    <w:rsid w:val="00477808"/>
    <w:rsid w:val="00477D6B"/>
    <w:rsid w:val="00495758"/>
    <w:rsid w:val="004A6C37"/>
    <w:rsid w:val="004D5D66"/>
    <w:rsid w:val="004E297D"/>
    <w:rsid w:val="0050239A"/>
    <w:rsid w:val="005332F0"/>
    <w:rsid w:val="0055013B"/>
    <w:rsid w:val="00571B99"/>
    <w:rsid w:val="00595BB5"/>
    <w:rsid w:val="005B67B4"/>
    <w:rsid w:val="005D05D9"/>
    <w:rsid w:val="00605827"/>
    <w:rsid w:val="006559C7"/>
    <w:rsid w:val="00675021"/>
    <w:rsid w:val="006A06C6"/>
    <w:rsid w:val="006C7D45"/>
    <w:rsid w:val="00717B7D"/>
    <w:rsid w:val="007224C8"/>
    <w:rsid w:val="00731A2F"/>
    <w:rsid w:val="00780CFF"/>
    <w:rsid w:val="00783B18"/>
    <w:rsid w:val="00794BE2"/>
    <w:rsid w:val="007B71FE"/>
    <w:rsid w:val="007D5355"/>
    <w:rsid w:val="007D7618"/>
    <w:rsid w:val="007D781E"/>
    <w:rsid w:val="007E663E"/>
    <w:rsid w:val="00815082"/>
    <w:rsid w:val="00864EA6"/>
    <w:rsid w:val="00881272"/>
    <w:rsid w:val="0088395E"/>
    <w:rsid w:val="00892752"/>
    <w:rsid w:val="00894AC6"/>
    <w:rsid w:val="008B2CC1"/>
    <w:rsid w:val="008E6BD6"/>
    <w:rsid w:val="0090731E"/>
    <w:rsid w:val="00917FAF"/>
    <w:rsid w:val="00953BF6"/>
    <w:rsid w:val="00966A22"/>
    <w:rsid w:val="00972F03"/>
    <w:rsid w:val="00977C0F"/>
    <w:rsid w:val="009A0C8B"/>
    <w:rsid w:val="009B6241"/>
    <w:rsid w:val="009C5452"/>
    <w:rsid w:val="00A16FC0"/>
    <w:rsid w:val="00A32C9E"/>
    <w:rsid w:val="00A83EB6"/>
    <w:rsid w:val="00AB613D"/>
    <w:rsid w:val="00AE7F20"/>
    <w:rsid w:val="00AF3517"/>
    <w:rsid w:val="00B37298"/>
    <w:rsid w:val="00B50D8E"/>
    <w:rsid w:val="00B600BE"/>
    <w:rsid w:val="00B65A0A"/>
    <w:rsid w:val="00B67CDC"/>
    <w:rsid w:val="00B72D36"/>
    <w:rsid w:val="00B93901"/>
    <w:rsid w:val="00BC4164"/>
    <w:rsid w:val="00BD2DCC"/>
    <w:rsid w:val="00BD6144"/>
    <w:rsid w:val="00C6128A"/>
    <w:rsid w:val="00C90559"/>
    <w:rsid w:val="00CA2251"/>
    <w:rsid w:val="00CD03B6"/>
    <w:rsid w:val="00D17C7C"/>
    <w:rsid w:val="00D56C7C"/>
    <w:rsid w:val="00D71B4D"/>
    <w:rsid w:val="00D90289"/>
    <w:rsid w:val="00D93D55"/>
    <w:rsid w:val="00DB6129"/>
    <w:rsid w:val="00DC3C35"/>
    <w:rsid w:val="00DC4C60"/>
    <w:rsid w:val="00E0079A"/>
    <w:rsid w:val="00E27DDA"/>
    <w:rsid w:val="00E444DA"/>
    <w:rsid w:val="00E45C84"/>
    <w:rsid w:val="00E504E5"/>
    <w:rsid w:val="00E50517"/>
    <w:rsid w:val="00EB7A3E"/>
    <w:rsid w:val="00EC401A"/>
    <w:rsid w:val="00EF530A"/>
    <w:rsid w:val="00EF6622"/>
    <w:rsid w:val="00F42883"/>
    <w:rsid w:val="00F55408"/>
    <w:rsid w:val="00F66152"/>
    <w:rsid w:val="00F80845"/>
    <w:rsid w:val="00F84474"/>
    <w:rsid w:val="00FA0F0D"/>
    <w:rsid w:val="00FB2E7E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DC3C35"/>
    <w:pPr>
      <w:spacing w:line="336" w:lineRule="exact"/>
      <w:ind w:left="1021"/>
    </w:pPr>
    <w:rPr>
      <w:rFonts w:eastAsia="Times New Roman" w:cs="Times New Roman"/>
      <w:b/>
      <w:sz w:val="28"/>
      <w:lang w:val="es-ES_tradnl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Meetingplacedate">
    <w:name w:val="Meeting place &amp; date"/>
    <w:basedOn w:val="Normal"/>
    <w:next w:val="Normal"/>
    <w:rsid w:val="00DC3C35"/>
    <w:pPr>
      <w:spacing w:line="336" w:lineRule="exact"/>
      <w:ind w:left="1021"/>
    </w:pPr>
    <w:rPr>
      <w:rFonts w:eastAsia="Times New Roman" w:cs="Times New Roman"/>
      <w:b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7D5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355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DC3C35"/>
    <w:pPr>
      <w:spacing w:line="336" w:lineRule="exact"/>
      <w:ind w:left="1021"/>
    </w:pPr>
    <w:rPr>
      <w:rFonts w:eastAsia="Times New Roman" w:cs="Times New Roman"/>
      <w:b/>
      <w:sz w:val="28"/>
      <w:lang w:val="es-ES_tradnl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Meetingplacedate">
    <w:name w:val="Meeting place &amp; date"/>
    <w:basedOn w:val="Normal"/>
    <w:next w:val="Normal"/>
    <w:rsid w:val="00DC3C35"/>
    <w:pPr>
      <w:spacing w:line="336" w:lineRule="exact"/>
      <w:ind w:left="1021"/>
    </w:pPr>
    <w:rPr>
      <w:rFonts w:eastAsia="Times New Roman" w:cs="Times New Roman"/>
      <w:b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7D5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355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2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52 (S)</Template>
  <TotalTime>5</TotalTime>
  <Pages>3</Pages>
  <Words>722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del Grupo de Países de América Latina y el Caribe (GRULAC) en relación con el programa 20 de la propuesta de presupuesto por programas para el bienio 2014/15</vt:lpstr>
    </vt:vector>
  </TitlesOfParts>
  <Company>WIPO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del Grupo de Países de América Latina y el Caribe (GRULAC) en relación con el programa 20 de la propuesta de presupuesto por programas para el bienio 2014/15</dc:title>
  <dc:subject>A/52/2</dc:subject>
  <dc:creator>CEVALLOS DUQUE Nilo</dc:creator>
  <dc:description>JC/nc_x000d_
08/11/2013</dc:description>
  <cp:lastModifiedBy>SANCHEZ Maria Margarita</cp:lastModifiedBy>
  <cp:revision>4</cp:revision>
  <cp:lastPrinted>2013-11-08T15:39:00Z</cp:lastPrinted>
  <dcterms:created xsi:type="dcterms:W3CDTF">2013-11-08T15:37:00Z</dcterms:created>
  <dcterms:modified xsi:type="dcterms:W3CDTF">2013-11-08T15:42:00Z</dcterms:modified>
</cp:coreProperties>
</file>