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77CAF" w:rsidRDefault="008B14EA" w:rsidP="008B14EA">
      <w:pPr>
        <w:spacing w:after="120"/>
        <w:jc w:val="right"/>
        <w:rPr>
          <w:lang w:val="es-ES_tradnl"/>
        </w:rPr>
      </w:pPr>
      <w:bookmarkStart w:id="0" w:name="_GoBack"/>
      <w:bookmarkEnd w:id="0"/>
      <w:r w:rsidRPr="00477CAF">
        <w:rPr>
          <w:noProof/>
          <w:lang w:val="en-US" w:eastAsia="en-US"/>
        </w:rPr>
        <w:drawing>
          <wp:inline distT="0" distB="0" distL="0" distR="0" wp14:anchorId="110EBBE1" wp14:editId="7D4A68D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77CAF">
        <w:rPr>
          <w:rFonts w:ascii="Arial Black" w:hAnsi="Arial Black"/>
          <w:caps/>
          <w:noProof/>
          <w:sz w:val="15"/>
          <w:szCs w:val="15"/>
          <w:lang w:val="en-US" w:eastAsia="en-US"/>
        </w:rPr>
        <mc:AlternateContent>
          <mc:Choice Requires="wps">
            <w:drawing>
              <wp:inline distT="0" distB="0" distL="0" distR="0" wp14:anchorId="2AA4486F" wp14:editId="7B7BA5C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C43A1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477CAF" w:rsidRDefault="005F23AC" w:rsidP="008B14EA">
      <w:pPr>
        <w:jc w:val="right"/>
        <w:rPr>
          <w:rFonts w:ascii="Arial Black" w:hAnsi="Arial Black"/>
          <w:caps/>
          <w:sz w:val="15"/>
          <w:lang w:val="es-ES_tradnl"/>
        </w:rPr>
      </w:pPr>
      <w:r w:rsidRPr="00477CAF">
        <w:rPr>
          <w:rFonts w:ascii="Arial Black" w:hAnsi="Arial Black"/>
          <w:caps/>
          <w:sz w:val="15"/>
          <w:lang w:val="es-ES_tradnl"/>
        </w:rPr>
        <w:t>A/62/</w:t>
      </w:r>
      <w:bookmarkStart w:id="1" w:name="Code"/>
      <w:bookmarkEnd w:id="1"/>
      <w:r w:rsidR="007A1A58" w:rsidRPr="00477CAF">
        <w:rPr>
          <w:rFonts w:ascii="Arial Black" w:hAnsi="Arial Black"/>
          <w:caps/>
          <w:sz w:val="15"/>
          <w:lang w:val="es-ES_tradnl"/>
        </w:rPr>
        <w:t>12</w:t>
      </w:r>
    </w:p>
    <w:p w:rsidR="008B2CC1" w:rsidRPr="00477CAF" w:rsidRDefault="008B14EA" w:rsidP="008B14EA">
      <w:pPr>
        <w:jc w:val="right"/>
        <w:rPr>
          <w:rFonts w:ascii="Arial Black" w:hAnsi="Arial Black"/>
          <w:caps/>
          <w:sz w:val="15"/>
          <w:lang w:val="es-ES_tradnl"/>
        </w:rPr>
      </w:pPr>
      <w:r w:rsidRPr="00477CAF">
        <w:rPr>
          <w:rFonts w:ascii="Arial Black" w:hAnsi="Arial Black"/>
          <w:caps/>
          <w:sz w:val="15"/>
          <w:lang w:val="es-ES_tradnl"/>
        </w:rPr>
        <w:t xml:space="preserve">ORIGINAL: </w:t>
      </w:r>
      <w:bookmarkStart w:id="2" w:name="Original"/>
      <w:r w:rsidR="007A1A58" w:rsidRPr="00477CAF">
        <w:rPr>
          <w:rFonts w:ascii="Arial Black" w:hAnsi="Arial Black"/>
          <w:caps/>
          <w:sz w:val="15"/>
          <w:lang w:val="es-ES_tradnl"/>
        </w:rPr>
        <w:t>INGLÉS</w:t>
      </w:r>
    </w:p>
    <w:bookmarkEnd w:id="2"/>
    <w:p w:rsidR="008B2CC1" w:rsidRPr="00477CAF" w:rsidRDefault="008B14EA" w:rsidP="008B14EA">
      <w:pPr>
        <w:spacing w:after="1200"/>
        <w:jc w:val="right"/>
        <w:rPr>
          <w:rFonts w:ascii="Arial Black" w:hAnsi="Arial Black"/>
          <w:caps/>
          <w:sz w:val="15"/>
          <w:lang w:val="es-ES_tradnl"/>
        </w:rPr>
      </w:pPr>
      <w:r w:rsidRPr="00477CAF">
        <w:rPr>
          <w:rFonts w:ascii="Arial Black" w:hAnsi="Arial Black"/>
          <w:caps/>
          <w:sz w:val="15"/>
          <w:lang w:val="es-ES_tradnl"/>
        </w:rPr>
        <w:t xml:space="preserve">FECHA: </w:t>
      </w:r>
      <w:bookmarkStart w:id="3" w:name="Date"/>
      <w:r w:rsidR="007A1A58" w:rsidRPr="00477CAF">
        <w:rPr>
          <w:rFonts w:ascii="Arial Black" w:hAnsi="Arial Black"/>
          <w:caps/>
          <w:sz w:val="15"/>
          <w:lang w:val="es-ES_tradnl"/>
        </w:rPr>
        <w:t>8 DE OCTUBRE DE 2021</w:t>
      </w:r>
    </w:p>
    <w:bookmarkEnd w:id="3"/>
    <w:p w:rsidR="001C4DD3" w:rsidRPr="00477CAF" w:rsidRDefault="005F23AC" w:rsidP="008B14EA">
      <w:pPr>
        <w:spacing w:after="720"/>
        <w:rPr>
          <w:b/>
          <w:sz w:val="28"/>
          <w:szCs w:val="28"/>
          <w:lang w:val="es-ES_tradnl"/>
        </w:rPr>
      </w:pPr>
      <w:r w:rsidRPr="00477CAF">
        <w:rPr>
          <w:b/>
          <w:sz w:val="28"/>
          <w:szCs w:val="28"/>
          <w:lang w:val="es-ES_tradnl"/>
        </w:rPr>
        <w:t>Asambleas de los Estados miembros de la OMPI</w:t>
      </w:r>
    </w:p>
    <w:p w:rsidR="008B2CC1" w:rsidRPr="00477CAF" w:rsidRDefault="005F23AC" w:rsidP="008B14EA">
      <w:pPr>
        <w:spacing w:after="720"/>
        <w:rPr>
          <w:b/>
          <w:sz w:val="24"/>
          <w:szCs w:val="24"/>
          <w:lang w:val="es-ES_tradnl"/>
        </w:rPr>
      </w:pPr>
      <w:r w:rsidRPr="00477CAF">
        <w:rPr>
          <w:b/>
          <w:sz w:val="24"/>
          <w:lang w:val="es-ES_tradnl"/>
        </w:rPr>
        <w:t>Sexagésima segunda serie de reuniones</w:t>
      </w:r>
      <w:r w:rsidR="008B14EA" w:rsidRPr="00477CAF">
        <w:rPr>
          <w:b/>
          <w:sz w:val="24"/>
          <w:szCs w:val="24"/>
          <w:lang w:val="es-ES_tradnl"/>
        </w:rPr>
        <w:br/>
      </w:r>
      <w:r w:rsidRPr="00477CAF">
        <w:rPr>
          <w:b/>
          <w:sz w:val="24"/>
          <w:lang w:val="es-ES_tradnl"/>
        </w:rPr>
        <w:t>Ginebra, 4 a 8 de octubre de 2021</w:t>
      </w:r>
    </w:p>
    <w:p w:rsidR="008B2CC1" w:rsidRPr="00477CAF" w:rsidRDefault="007A1A58" w:rsidP="008B14EA">
      <w:pPr>
        <w:spacing w:after="360"/>
        <w:rPr>
          <w:caps/>
          <w:sz w:val="24"/>
          <w:lang w:val="es-ES_tradnl"/>
        </w:rPr>
      </w:pPr>
      <w:bookmarkStart w:id="4" w:name="TitleOfDoc"/>
      <w:r w:rsidRPr="00477CAF">
        <w:rPr>
          <w:caps/>
          <w:sz w:val="24"/>
          <w:szCs w:val="24"/>
          <w:lang w:val="es-ES_tradnl"/>
        </w:rPr>
        <w:t>informe resumido</w:t>
      </w:r>
    </w:p>
    <w:p w:rsidR="008B2CC1" w:rsidRPr="00477CAF" w:rsidRDefault="007A1A58" w:rsidP="008B14EA">
      <w:pPr>
        <w:spacing w:after="960"/>
        <w:rPr>
          <w:i/>
          <w:lang w:val="es-ES_tradnl"/>
        </w:rPr>
      </w:pPr>
      <w:bookmarkStart w:id="5" w:name="Prepared"/>
      <w:bookmarkEnd w:id="4"/>
      <w:r w:rsidRPr="00477CAF">
        <w:rPr>
          <w:i/>
          <w:szCs w:val="22"/>
          <w:lang w:val="es-ES_tradnl"/>
        </w:rPr>
        <w:t>preparado por la Secretaría</w:t>
      </w:r>
    </w:p>
    <w:bookmarkEnd w:id="5"/>
    <w:p w:rsidR="007A1A58" w:rsidRPr="00477CAF" w:rsidRDefault="007A1A58" w:rsidP="002408A5">
      <w:pPr>
        <w:pStyle w:val="Heading1"/>
        <w:rPr>
          <w:lang w:val="es-ES_tradnl"/>
        </w:rPr>
      </w:pPr>
      <w:r w:rsidRPr="00477CAF">
        <w:rPr>
          <w:szCs w:val="22"/>
          <w:lang w:val="es-ES_tradnl"/>
        </w:rPr>
        <w:t>INTRODUCCIÓN</w:t>
      </w:r>
    </w:p>
    <w:p w:rsidR="007A1A58" w:rsidRPr="00477CAF" w:rsidRDefault="007A1A58" w:rsidP="002408A5">
      <w:pPr>
        <w:pStyle w:val="ONUMFS"/>
        <w:tabs>
          <w:tab w:val="left" w:pos="567"/>
          <w:tab w:val="num" w:pos="7655"/>
        </w:tabs>
        <w:spacing w:before="240"/>
        <w:rPr>
          <w:lang w:val="es-ES_tradnl"/>
        </w:rPr>
      </w:pPr>
      <w:r w:rsidRPr="00477CAF">
        <w:rPr>
          <w:lang w:val="es-ES_tradnl"/>
        </w:rPr>
        <w:t>En el presente informe resumido se da cuenta de las decisiones de las siguientes 22 Asambleas y demás órganos de los Estados miembros de la OMPI (las “Asambleas”):</w:t>
      </w:r>
    </w:p>
    <w:p w:rsidR="007A1A58" w:rsidRPr="00477CAF" w:rsidRDefault="007A1A58" w:rsidP="007A1A58">
      <w:pPr>
        <w:ind w:left="1134" w:hanging="564"/>
        <w:rPr>
          <w:lang w:val="es-ES_tradnl"/>
        </w:rPr>
      </w:pPr>
      <w:r w:rsidRPr="00477CAF">
        <w:rPr>
          <w:lang w:val="es-ES_tradnl"/>
        </w:rPr>
        <w:t>1)</w:t>
      </w:r>
      <w:r w:rsidRPr="00477CAF">
        <w:rPr>
          <w:lang w:val="es-ES_tradnl"/>
        </w:rPr>
        <w:tab/>
      </w:r>
      <w:r w:rsidRPr="00477CAF">
        <w:rPr>
          <w:szCs w:val="22"/>
          <w:lang w:val="es-ES_tradnl"/>
        </w:rPr>
        <w:t>Asamblea General de la OMPI</w:t>
      </w:r>
      <w:r w:rsidRPr="00477CAF">
        <w:rPr>
          <w:lang w:val="es-ES_tradnl"/>
        </w:rPr>
        <w:t>, quincuagésimo cuarto período de sesiones (25.º ordinario)</w:t>
      </w:r>
    </w:p>
    <w:p w:rsidR="007A1A58" w:rsidRPr="00477CAF" w:rsidRDefault="007A1A58" w:rsidP="007A1A58">
      <w:pPr>
        <w:ind w:left="1134" w:hanging="564"/>
        <w:rPr>
          <w:lang w:val="es-ES_tradnl"/>
        </w:rPr>
      </w:pPr>
      <w:r w:rsidRPr="00477CAF">
        <w:rPr>
          <w:lang w:val="es-ES_tradnl"/>
        </w:rPr>
        <w:t>2)</w:t>
      </w:r>
      <w:r w:rsidRPr="00477CAF">
        <w:rPr>
          <w:lang w:val="es-ES_tradnl"/>
        </w:rPr>
        <w:tab/>
        <w:t>Conferencia de la OMPI, cuadragésimo segundo período de sesiones (25.º ordinario)</w:t>
      </w:r>
    </w:p>
    <w:p w:rsidR="007A1A58" w:rsidRPr="00477CAF" w:rsidRDefault="007A1A58" w:rsidP="007A1A58">
      <w:pPr>
        <w:ind w:left="1134" w:hanging="564"/>
        <w:rPr>
          <w:lang w:val="es-ES_tradnl"/>
        </w:rPr>
      </w:pPr>
      <w:r w:rsidRPr="00477CAF">
        <w:rPr>
          <w:lang w:val="es-ES_tradnl"/>
        </w:rPr>
        <w:t>3)</w:t>
      </w:r>
      <w:r w:rsidRPr="00477CAF">
        <w:rPr>
          <w:lang w:val="es-ES_tradnl"/>
        </w:rPr>
        <w:tab/>
        <w:t>Comité de Coordinación de la OMPI, octogésima sesión (52.ª ordinaria)</w:t>
      </w:r>
    </w:p>
    <w:p w:rsidR="007A1A58" w:rsidRPr="00477CAF" w:rsidRDefault="007A1A58" w:rsidP="007A1A58">
      <w:pPr>
        <w:ind w:left="1134" w:hanging="564"/>
        <w:rPr>
          <w:lang w:val="es-ES_tradnl"/>
        </w:rPr>
      </w:pPr>
      <w:r w:rsidRPr="00477CAF">
        <w:rPr>
          <w:lang w:val="es-ES_tradnl"/>
        </w:rPr>
        <w:t>4)</w:t>
      </w:r>
      <w:r w:rsidRPr="00477CAF">
        <w:rPr>
          <w:lang w:val="es-ES_tradnl"/>
        </w:rPr>
        <w:tab/>
        <w:t>Asamblea de la Unión de París, quincuagésimo séptimo período de sesiones (25.º ordinario)</w:t>
      </w:r>
    </w:p>
    <w:p w:rsidR="007A1A58" w:rsidRPr="00477CAF" w:rsidRDefault="007A1A58" w:rsidP="007A1A58">
      <w:pPr>
        <w:ind w:left="1134" w:hanging="564"/>
        <w:rPr>
          <w:lang w:val="es-ES_tradnl"/>
        </w:rPr>
      </w:pPr>
      <w:r w:rsidRPr="00477CAF">
        <w:rPr>
          <w:lang w:val="es-ES_tradnl"/>
        </w:rPr>
        <w:t>5)</w:t>
      </w:r>
      <w:r w:rsidRPr="00477CAF">
        <w:rPr>
          <w:lang w:val="es-ES_tradnl"/>
        </w:rPr>
        <w:tab/>
        <w:t>Comité Ejecutivo de la Unión de París, sexagésimo primer período de sesiones (57.º ordinario)</w:t>
      </w:r>
    </w:p>
    <w:p w:rsidR="007A1A58" w:rsidRPr="00477CAF" w:rsidRDefault="007A1A58" w:rsidP="007A1A58">
      <w:pPr>
        <w:ind w:left="1134" w:hanging="564"/>
        <w:rPr>
          <w:lang w:val="es-ES_tradnl"/>
        </w:rPr>
      </w:pPr>
      <w:r w:rsidRPr="00477CAF">
        <w:rPr>
          <w:lang w:val="es-ES_tradnl"/>
        </w:rPr>
        <w:t>6)</w:t>
      </w:r>
      <w:r w:rsidRPr="00477CAF">
        <w:rPr>
          <w:lang w:val="es-ES_tradnl"/>
        </w:rPr>
        <w:tab/>
        <w:t>Asamblea de la Unión de Berna, quincuagésimo primer período de sesiones (25º ordinario)</w:t>
      </w:r>
    </w:p>
    <w:p w:rsidR="007A1A58" w:rsidRPr="00477CAF" w:rsidRDefault="007A1A58" w:rsidP="007A1A58">
      <w:pPr>
        <w:ind w:left="1134" w:hanging="564"/>
        <w:rPr>
          <w:lang w:val="es-ES_tradnl"/>
        </w:rPr>
      </w:pPr>
      <w:r w:rsidRPr="00477CAF">
        <w:rPr>
          <w:lang w:val="es-ES_tradnl"/>
        </w:rPr>
        <w:t>7)</w:t>
      </w:r>
      <w:r w:rsidRPr="00477CAF">
        <w:rPr>
          <w:lang w:val="es-ES_tradnl"/>
        </w:rPr>
        <w:tab/>
        <w:t>Comité Ejecutivo de la Unión de Berna, sexagésimo séptimo período de sesiones (52.º ordinario)</w:t>
      </w:r>
    </w:p>
    <w:p w:rsidR="007A1A58" w:rsidRPr="00477CAF" w:rsidRDefault="007A1A58" w:rsidP="007A1A58">
      <w:pPr>
        <w:ind w:left="1134" w:hanging="564"/>
        <w:rPr>
          <w:lang w:val="es-ES_tradnl"/>
        </w:rPr>
      </w:pPr>
      <w:r w:rsidRPr="00477CAF">
        <w:rPr>
          <w:lang w:val="es-ES_tradnl"/>
        </w:rPr>
        <w:t>8)</w:t>
      </w:r>
      <w:r w:rsidRPr="00477CAF">
        <w:rPr>
          <w:lang w:val="es-ES_tradnl"/>
        </w:rPr>
        <w:tab/>
        <w:t>Asamblea de la Unión de Madrid, quincuagésimo quinto período de sesiones (24.º ordinario)</w:t>
      </w:r>
    </w:p>
    <w:p w:rsidR="007A1A58" w:rsidRPr="00477CAF" w:rsidRDefault="007A1A58" w:rsidP="007A1A58">
      <w:pPr>
        <w:ind w:left="1134" w:hanging="564"/>
        <w:rPr>
          <w:lang w:val="es-ES_tradnl"/>
        </w:rPr>
      </w:pPr>
      <w:r w:rsidRPr="00477CAF">
        <w:rPr>
          <w:lang w:val="es-ES_tradnl"/>
        </w:rPr>
        <w:t>9)</w:t>
      </w:r>
      <w:r w:rsidRPr="00477CAF">
        <w:rPr>
          <w:lang w:val="es-ES_tradnl"/>
        </w:rPr>
        <w:tab/>
        <w:t>Asamblea de la Unión de La Haya, cuadragésimo primer período de sesiones (23.º ordinario)</w:t>
      </w:r>
    </w:p>
    <w:p w:rsidR="007A1A58" w:rsidRPr="00477CAF" w:rsidRDefault="007A1A58" w:rsidP="007A1A58">
      <w:pPr>
        <w:ind w:left="1134" w:hanging="564"/>
        <w:rPr>
          <w:lang w:val="es-ES_tradnl"/>
        </w:rPr>
      </w:pPr>
      <w:r w:rsidRPr="00477CAF">
        <w:rPr>
          <w:lang w:val="es-ES_tradnl"/>
        </w:rPr>
        <w:t>10)</w:t>
      </w:r>
      <w:r w:rsidRPr="00477CAF">
        <w:rPr>
          <w:lang w:val="es-ES_tradnl"/>
        </w:rPr>
        <w:tab/>
        <w:t>Asamblea de la Unión de Niza, cuadragésimo primer período de sesiones (25.º ordinario)</w:t>
      </w:r>
    </w:p>
    <w:p w:rsidR="007A1A58" w:rsidRPr="00477CAF" w:rsidRDefault="007A1A58" w:rsidP="007A1A58">
      <w:pPr>
        <w:ind w:left="1134" w:hanging="564"/>
        <w:rPr>
          <w:lang w:val="es-ES_tradnl"/>
        </w:rPr>
      </w:pPr>
      <w:r w:rsidRPr="00477CAF">
        <w:rPr>
          <w:lang w:val="es-ES_tradnl"/>
        </w:rPr>
        <w:lastRenderedPageBreak/>
        <w:t>11)</w:t>
      </w:r>
      <w:r w:rsidRPr="00477CAF">
        <w:rPr>
          <w:lang w:val="es-ES_tradnl"/>
        </w:rPr>
        <w:tab/>
        <w:t>Asamblea de la Unión de Lisboa, trigésimo octavo período de sesiones (24.º ordinario)</w:t>
      </w:r>
    </w:p>
    <w:p w:rsidR="007A1A58" w:rsidRPr="00477CAF" w:rsidRDefault="007A1A58" w:rsidP="007A1A58">
      <w:pPr>
        <w:ind w:left="1134" w:hanging="564"/>
        <w:rPr>
          <w:lang w:val="es-ES_tradnl"/>
        </w:rPr>
      </w:pPr>
      <w:r w:rsidRPr="00477CAF">
        <w:rPr>
          <w:lang w:val="es-ES_tradnl"/>
        </w:rPr>
        <w:t>12)</w:t>
      </w:r>
      <w:r w:rsidRPr="00477CAF">
        <w:rPr>
          <w:lang w:val="es-ES_tradnl"/>
        </w:rPr>
        <w:tab/>
        <w:t>Asamblea de la Unión de Locarno, cuadragésimo primer período de sesiones (24.º ordinario)</w:t>
      </w:r>
    </w:p>
    <w:p w:rsidR="007A1A58" w:rsidRPr="00477CAF" w:rsidRDefault="007A1A58" w:rsidP="007A1A58">
      <w:pPr>
        <w:ind w:left="1134" w:hanging="564"/>
        <w:rPr>
          <w:lang w:val="es-ES_tradnl"/>
        </w:rPr>
      </w:pPr>
      <w:r w:rsidRPr="00477CAF">
        <w:rPr>
          <w:lang w:val="es-ES_tradnl"/>
        </w:rPr>
        <w:t>13)</w:t>
      </w:r>
      <w:r w:rsidRPr="00477CAF">
        <w:rPr>
          <w:lang w:val="es-ES_tradnl"/>
        </w:rPr>
        <w:tab/>
        <w:t>Asamblea de la Unión CIP [Clasificación Internacional de Patentes], cuadragésimo segundo período de sesiones (23.º ordinario)</w:t>
      </w:r>
    </w:p>
    <w:p w:rsidR="007A1A58" w:rsidRPr="00477CAF" w:rsidRDefault="007A1A58" w:rsidP="007A1A58">
      <w:pPr>
        <w:ind w:left="1134" w:hanging="564"/>
        <w:rPr>
          <w:lang w:val="es-ES_tradnl"/>
        </w:rPr>
      </w:pPr>
      <w:r w:rsidRPr="00477CAF">
        <w:rPr>
          <w:lang w:val="es-ES_tradnl"/>
        </w:rPr>
        <w:t>14)</w:t>
      </w:r>
      <w:r w:rsidRPr="00477CAF">
        <w:rPr>
          <w:lang w:val="es-ES_tradnl"/>
        </w:rPr>
        <w:tab/>
        <w:t>Asamblea de la Unión del PCT [Tratado de Cooperación en materia de Patentes], quincuagésimo tercer período de sesiones (23.º ordinario)</w:t>
      </w:r>
    </w:p>
    <w:p w:rsidR="007A1A58" w:rsidRPr="00477CAF" w:rsidRDefault="007A1A58" w:rsidP="007A1A58">
      <w:pPr>
        <w:ind w:left="1134" w:hanging="564"/>
        <w:rPr>
          <w:lang w:val="es-ES_tradnl"/>
        </w:rPr>
      </w:pPr>
      <w:r w:rsidRPr="00477CAF">
        <w:rPr>
          <w:lang w:val="es-ES_tradnl"/>
        </w:rPr>
        <w:t>15)</w:t>
      </w:r>
      <w:r w:rsidRPr="00477CAF">
        <w:rPr>
          <w:lang w:val="es-ES_tradnl"/>
        </w:rPr>
        <w:tab/>
        <w:t>Asamblea de la Unión de Budapest, trigésimo octavo período de sesiones (21.º ordinario)</w:t>
      </w:r>
    </w:p>
    <w:p w:rsidR="007A1A58" w:rsidRPr="00477CAF" w:rsidRDefault="007A1A58" w:rsidP="007A1A58">
      <w:pPr>
        <w:ind w:left="1134" w:hanging="564"/>
        <w:rPr>
          <w:lang w:val="es-ES_tradnl"/>
        </w:rPr>
      </w:pPr>
      <w:r w:rsidRPr="00477CAF">
        <w:rPr>
          <w:lang w:val="es-ES_tradnl"/>
        </w:rPr>
        <w:t>16)</w:t>
      </w:r>
      <w:r w:rsidRPr="00477CAF">
        <w:rPr>
          <w:lang w:val="es-ES_tradnl"/>
        </w:rPr>
        <w:tab/>
        <w:t>Asamblea de la Unión de Viena, trigésimo cuarto período de sesiones (21.º ordinario)</w:t>
      </w:r>
    </w:p>
    <w:p w:rsidR="007A1A58" w:rsidRPr="00477CAF" w:rsidRDefault="007A1A58" w:rsidP="007A1A58">
      <w:pPr>
        <w:ind w:left="1134" w:hanging="564"/>
        <w:rPr>
          <w:lang w:val="es-ES_tradnl"/>
        </w:rPr>
      </w:pPr>
      <w:r w:rsidRPr="00477CAF">
        <w:rPr>
          <w:lang w:val="es-ES_tradnl"/>
        </w:rPr>
        <w:t>17)</w:t>
      </w:r>
      <w:r w:rsidRPr="00477CAF">
        <w:rPr>
          <w:lang w:val="es-ES_tradnl"/>
        </w:rPr>
        <w:tab/>
        <w:t>Asamblea del WCT [Tratado de la OMPI sobre Derecho de Autor], vigésimo primer período de sesiones (10.º ordinario)</w:t>
      </w:r>
    </w:p>
    <w:p w:rsidR="007A1A58" w:rsidRPr="00477CAF" w:rsidRDefault="007A1A58" w:rsidP="007A1A58">
      <w:pPr>
        <w:ind w:left="1134" w:hanging="564"/>
        <w:rPr>
          <w:lang w:val="es-ES_tradnl"/>
        </w:rPr>
      </w:pPr>
      <w:r w:rsidRPr="00477CAF">
        <w:rPr>
          <w:lang w:val="es-ES_tradnl"/>
        </w:rPr>
        <w:t>18)</w:t>
      </w:r>
      <w:r w:rsidRPr="00477CAF">
        <w:rPr>
          <w:lang w:val="es-ES_tradnl"/>
        </w:rPr>
        <w:tab/>
        <w:t>Asamblea del WPPT [Tratado de la OMPI sobre Interpretación o Ejecución y Fonogramas], vigésimo primer período de sesiones (10.º ordinario)</w:t>
      </w:r>
    </w:p>
    <w:p w:rsidR="007A1A58" w:rsidRPr="00477CAF" w:rsidRDefault="007A1A58" w:rsidP="007A1A58">
      <w:pPr>
        <w:ind w:left="1134" w:hanging="564"/>
        <w:rPr>
          <w:lang w:val="es-ES_tradnl"/>
        </w:rPr>
      </w:pPr>
      <w:r w:rsidRPr="00477CAF">
        <w:rPr>
          <w:lang w:val="es-ES_tradnl"/>
        </w:rPr>
        <w:t>19)</w:t>
      </w:r>
      <w:r w:rsidRPr="00477CAF">
        <w:rPr>
          <w:lang w:val="es-ES_tradnl"/>
        </w:rPr>
        <w:tab/>
        <w:t>Asamblea del PLT [Tratado sobre el Derecho de Patentes], vigésimo período de sesiones (9.º ordinario)</w:t>
      </w:r>
    </w:p>
    <w:p w:rsidR="007A1A58" w:rsidRPr="00477CAF" w:rsidRDefault="007A1A58" w:rsidP="007A1A58">
      <w:pPr>
        <w:ind w:left="1134" w:hanging="564"/>
        <w:rPr>
          <w:lang w:val="es-ES_tradnl"/>
        </w:rPr>
      </w:pPr>
      <w:r w:rsidRPr="00477CAF">
        <w:rPr>
          <w:lang w:val="es-ES_tradnl"/>
        </w:rPr>
        <w:t>20)</w:t>
      </w:r>
      <w:r w:rsidRPr="00477CAF">
        <w:rPr>
          <w:lang w:val="es-ES_tradnl"/>
        </w:rPr>
        <w:tab/>
        <w:t>Asamblea del Tratado de Singapur sobre el Derecho de Marcas, decimocuarto período de sesiones (7.º ordinario).</w:t>
      </w:r>
    </w:p>
    <w:p w:rsidR="007A1A58" w:rsidRPr="00477CAF" w:rsidRDefault="007A1A58" w:rsidP="007A1A58">
      <w:pPr>
        <w:ind w:left="1134" w:hanging="564"/>
        <w:rPr>
          <w:lang w:val="es-ES_tradnl"/>
        </w:rPr>
      </w:pPr>
      <w:r w:rsidRPr="00477CAF">
        <w:rPr>
          <w:lang w:val="es-ES_tradnl"/>
        </w:rPr>
        <w:t>21)</w:t>
      </w:r>
      <w:r w:rsidRPr="00477CAF">
        <w:rPr>
          <w:lang w:val="es-ES_tradnl"/>
        </w:rPr>
        <w:tab/>
        <w:t>Asamblea del Tratado de Marrakech para facilitar el acceso a las obras publicadas a las personas ciegas, con discapacidad visual o con otras dificultades para acceder al texto impreso, sexto período de sesiones (6.º ordinario).</w:t>
      </w:r>
    </w:p>
    <w:p w:rsidR="007A1A58" w:rsidRPr="00477CAF" w:rsidRDefault="007A1A58" w:rsidP="007A1A58">
      <w:pPr>
        <w:spacing w:after="240"/>
        <w:ind w:left="1134" w:hanging="561"/>
        <w:rPr>
          <w:lang w:val="es-ES_tradnl"/>
        </w:rPr>
      </w:pPr>
      <w:r w:rsidRPr="00477CAF">
        <w:rPr>
          <w:lang w:val="es-ES_tradnl"/>
        </w:rPr>
        <w:t>22)</w:t>
      </w:r>
      <w:r w:rsidRPr="00477CAF">
        <w:rPr>
          <w:lang w:val="es-ES_tradnl"/>
        </w:rPr>
        <w:tab/>
        <w:t>Asamblea del Tratado de Beijing sobre Interpretaciones y Ejecuciones Audiovisuales, segundo período de sesiones (2.º ordinario).</w:t>
      </w:r>
    </w:p>
    <w:p w:rsidR="007A1A58" w:rsidRPr="00477CAF" w:rsidRDefault="007A1A58" w:rsidP="007A1A58">
      <w:pPr>
        <w:pStyle w:val="ONUMFS"/>
        <w:tabs>
          <w:tab w:val="left" w:pos="567"/>
          <w:tab w:val="num" w:pos="7655"/>
        </w:tabs>
        <w:spacing w:after="240"/>
        <w:rPr>
          <w:lang w:val="es-ES_tradnl"/>
        </w:rPr>
      </w:pPr>
      <w:r w:rsidRPr="00477CAF">
        <w:rPr>
          <w:lang w:val="es-ES_tradnl"/>
        </w:rPr>
        <w:t>En el documento A/62/INF/1 Rev. figura la lista de los miembros de cada una de las Asambleas así como de los observadores acreditados ante ellas, compilada al 8 de octubre de 2021.</w:t>
      </w:r>
    </w:p>
    <w:p w:rsidR="007A1A58" w:rsidRPr="00477CAF" w:rsidRDefault="007A1A58" w:rsidP="007A1A58">
      <w:pPr>
        <w:pStyle w:val="ONUMFS"/>
        <w:tabs>
          <w:tab w:val="left" w:pos="567"/>
          <w:tab w:val="num" w:pos="7655"/>
        </w:tabs>
        <w:spacing w:after="360"/>
        <w:rPr>
          <w:lang w:val="es-ES_tradnl"/>
        </w:rPr>
      </w:pPr>
      <w:r w:rsidRPr="00477CAF">
        <w:rPr>
          <w:lang w:val="es-ES_tradnl"/>
        </w:rPr>
        <w:t>Las reuniones en las que se abordaron los siguientes puntos del orden del día (documento A/62/1) estuvieron presididas por las siguientes personas:</w:t>
      </w:r>
    </w:p>
    <w:tbl>
      <w:tblPr>
        <w:tblW w:w="8788" w:type="dxa"/>
        <w:tblInd w:w="426" w:type="dxa"/>
        <w:tblLayout w:type="fixed"/>
        <w:tblLook w:val="0000" w:firstRow="0" w:lastRow="0" w:firstColumn="0" w:lastColumn="0" w:noHBand="0" w:noVBand="0"/>
      </w:tblPr>
      <w:tblGrid>
        <w:gridCol w:w="3968"/>
        <w:gridCol w:w="4820"/>
      </w:tblGrid>
      <w:tr w:rsidR="007A1A58" w:rsidRPr="00477CAF" w:rsidTr="004F5F96">
        <w:trPr>
          <w:trHeight w:val="1056"/>
        </w:trPr>
        <w:tc>
          <w:tcPr>
            <w:tcW w:w="3968" w:type="dxa"/>
          </w:tcPr>
          <w:p w:rsidR="007A1A58" w:rsidRPr="00477CAF" w:rsidRDefault="007A1A58" w:rsidP="004F5F96">
            <w:pPr>
              <w:rPr>
                <w:szCs w:val="22"/>
                <w:lang w:val="es-ES_tradnl"/>
              </w:rPr>
            </w:pPr>
            <w:r w:rsidRPr="00477CAF">
              <w:rPr>
                <w:szCs w:val="22"/>
                <w:lang w:val="es-ES_tradnl"/>
              </w:rPr>
              <w:t>Puntos 1, 2, 3, 4, 5, 6, 9, 10, 11, 12, 13, 14, 15, 16, 17, 18, 19, 20, 25, 26, 32 y 33</w:t>
            </w:r>
          </w:p>
        </w:tc>
        <w:tc>
          <w:tcPr>
            <w:tcW w:w="4820" w:type="dxa"/>
          </w:tcPr>
          <w:p w:rsidR="007A1A58" w:rsidRPr="00477CAF" w:rsidRDefault="007A1A58" w:rsidP="004F5F96">
            <w:pPr>
              <w:spacing w:after="220"/>
              <w:rPr>
                <w:szCs w:val="22"/>
                <w:lang w:val="es-ES_tradnl"/>
              </w:rPr>
            </w:pPr>
            <w:r w:rsidRPr="00477CAF">
              <w:rPr>
                <w:lang w:val="es-ES_tradnl"/>
              </w:rPr>
              <w:t xml:space="preserve">Sr. Omar Zniber, embajador (Marruecos), presidente de la Asamblea General de la OMPI </w:t>
            </w:r>
          </w:p>
        </w:tc>
      </w:tr>
      <w:tr w:rsidR="007A1A58" w:rsidRPr="00477CAF" w:rsidTr="004F5F96">
        <w:trPr>
          <w:trHeight w:val="747"/>
        </w:trPr>
        <w:tc>
          <w:tcPr>
            <w:tcW w:w="3968" w:type="dxa"/>
          </w:tcPr>
          <w:p w:rsidR="007A1A58" w:rsidRPr="00477CAF" w:rsidRDefault="007A1A58" w:rsidP="004F5F96">
            <w:pPr>
              <w:spacing w:after="220"/>
              <w:rPr>
                <w:szCs w:val="22"/>
                <w:lang w:val="es-ES_tradnl"/>
              </w:rPr>
            </w:pPr>
            <w:r w:rsidRPr="00477CAF">
              <w:rPr>
                <w:szCs w:val="22"/>
                <w:lang w:val="es-ES_tradnl"/>
              </w:rPr>
              <w:t>Puntos 7, 30 y 31</w:t>
            </w:r>
          </w:p>
        </w:tc>
        <w:tc>
          <w:tcPr>
            <w:tcW w:w="4820" w:type="dxa"/>
          </w:tcPr>
          <w:p w:rsidR="007A1A58" w:rsidRPr="00477CAF" w:rsidRDefault="007A1A58" w:rsidP="004F5F96">
            <w:pPr>
              <w:spacing w:after="220"/>
              <w:rPr>
                <w:lang w:val="es-ES_tradnl"/>
              </w:rPr>
            </w:pPr>
            <w:r w:rsidRPr="00477CAF">
              <w:rPr>
                <w:szCs w:val="22"/>
                <w:lang w:val="es-ES_tradnl"/>
              </w:rPr>
              <w:t>Sra. Kadra Ahmed Hassan, embajadora (Djibouti), presidenta del Comité de Coordinación de la OMPI</w:t>
            </w:r>
          </w:p>
        </w:tc>
      </w:tr>
      <w:tr w:rsidR="007A1A58" w:rsidRPr="00477CAF" w:rsidTr="004F5F96">
        <w:trPr>
          <w:trHeight w:val="599"/>
        </w:trPr>
        <w:tc>
          <w:tcPr>
            <w:tcW w:w="3968" w:type="dxa"/>
          </w:tcPr>
          <w:p w:rsidR="007A1A58" w:rsidRPr="00477CAF" w:rsidRDefault="00EE2110" w:rsidP="004F5F96">
            <w:pPr>
              <w:spacing w:after="220"/>
              <w:rPr>
                <w:szCs w:val="22"/>
                <w:lang w:val="es-ES_tradnl"/>
              </w:rPr>
            </w:pPr>
            <w:r w:rsidRPr="00477CAF">
              <w:rPr>
                <w:szCs w:val="22"/>
                <w:lang w:val="es-ES_tradnl"/>
              </w:rPr>
              <w:t>Punto 8</w:t>
            </w:r>
          </w:p>
        </w:tc>
        <w:tc>
          <w:tcPr>
            <w:tcW w:w="4820" w:type="dxa"/>
          </w:tcPr>
          <w:p w:rsidR="007A1A58" w:rsidRPr="00477CAF" w:rsidRDefault="007A1A58" w:rsidP="004F5F96">
            <w:pPr>
              <w:spacing w:after="220"/>
              <w:rPr>
                <w:szCs w:val="22"/>
                <w:lang w:val="es-ES_tradnl"/>
              </w:rPr>
            </w:pPr>
            <w:r w:rsidRPr="00477CAF">
              <w:rPr>
                <w:szCs w:val="22"/>
                <w:lang w:val="es-ES_tradnl"/>
              </w:rPr>
              <w:t xml:space="preserve">Sr. Shayea A. Alshayea (Arabia Saudita), presidente de la Conferencia de la </w:t>
            </w:r>
            <w:r w:rsidR="00EE2110" w:rsidRPr="00477CAF">
              <w:rPr>
                <w:szCs w:val="22"/>
                <w:lang w:val="es-ES_tradnl"/>
              </w:rPr>
              <w:t>OMPI y, en su ausencia, Sra. Mercy K. Kainobwisho (Uganda), vicepresidenta</w:t>
            </w:r>
          </w:p>
        </w:tc>
      </w:tr>
      <w:tr w:rsidR="007A1A58" w:rsidRPr="00477CAF" w:rsidTr="004F5F96">
        <w:tc>
          <w:tcPr>
            <w:tcW w:w="3968" w:type="dxa"/>
          </w:tcPr>
          <w:p w:rsidR="007A1A58" w:rsidRPr="00477CAF" w:rsidRDefault="007A1A58" w:rsidP="004F5F96">
            <w:pPr>
              <w:spacing w:after="220"/>
              <w:rPr>
                <w:szCs w:val="22"/>
                <w:lang w:val="es-ES_tradnl"/>
              </w:rPr>
            </w:pPr>
            <w:r w:rsidRPr="00477CAF">
              <w:rPr>
                <w:szCs w:val="22"/>
                <w:lang w:val="es-ES_tradnl"/>
              </w:rPr>
              <w:t>Punto 21</w:t>
            </w:r>
          </w:p>
        </w:tc>
        <w:tc>
          <w:tcPr>
            <w:tcW w:w="4820" w:type="dxa"/>
          </w:tcPr>
          <w:p w:rsidR="007A1A58" w:rsidRPr="00477CAF" w:rsidRDefault="007A1A58" w:rsidP="004F5F96">
            <w:pPr>
              <w:spacing w:after="220"/>
              <w:rPr>
                <w:szCs w:val="22"/>
                <w:lang w:val="es-ES_tradnl"/>
              </w:rPr>
            </w:pPr>
            <w:r w:rsidRPr="00477CAF">
              <w:rPr>
                <w:szCs w:val="22"/>
                <w:lang w:val="es-ES_tradnl"/>
              </w:rPr>
              <w:t>Sra. María Loreto Bresky (Chile), presidenta de la Asamblea de la Unión del PCT</w:t>
            </w:r>
          </w:p>
        </w:tc>
      </w:tr>
      <w:tr w:rsidR="007A1A58" w:rsidRPr="00477CAF" w:rsidTr="004F5F96">
        <w:tc>
          <w:tcPr>
            <w:tcW w:w="3968" w:type="dxa"/>
          </w:tcPr>
          <w:p w:rsidR="007A1A58" w:rsidRPr="00477CAF" w:rsidRDefault="007A1A58" w:rsidP="00477CAF">
            <w:pPr>
              <w:keepNext/>
              <w:keepLines/>
              <w:spacing w:after="480"/>
              <w:rPr>
                <w:szCs w:val="22"/>
                <w:lang w:val="es-ES_tradnl"/>
              </w:rPr>
            </w:pPr>
            <w:r w:rsidRPr="00477CAF">
              <w:rPr>
                <w:szCs w:val="22"/>
                <w:lang w:val="es-ES_tradnl"/>
              </w:rPr>
              <w:lastRenderedPageBreak/>
              <w:t>Punto 22</w:t>
            </w:r>
          </w:p>
          <w:p w:rsidR="007A1A58" w:rsidRPr="00477CAF" w:rsidRDefault="007A1A58" w:rsidP="00477CAF">
            <w:pPr>
              <w:keepNext/>
              <w:keepLines/>
              <w:spacing w:after="220"/>
              <w:rPr>
                <w:szCs w:val="22"/>
                <w:lang w:val="es-ES_tradnl"/>
              </w:rPr>
            </w:pPr>
            <w:r w:rsidRPr="00477CAF">
              <w:rPr>
                <w:szCs w:val="22"/>
                <w:lang w:val="es-ES_tradnl"/>
              </w:rPr>
              <w:t>Punto 23</w:t>
            </w:r>
          </w:p>
        </w:tc>
        <w:tc>
          <w:tcPr>
            <w:tcW w:w="4820" w:type="dxa"/>
          </w:tcPr>
          <w:p w:rsidR="007A1A58" w:rsidRPr="00477CAF" w:rsidRDefault="007A1A58" w:rsidP="00477CAF">
            <w:pPr>
              <w:keepNext/>
              <w:keepLines/>
              <w:spacing w:after="240"/>
              <w:rPr>
                <w:szCs w:val="22"/>
                <w:lang w:val="es-ES_tradnl"/>
              </w:rPr>
            </w:pPr>
            <w:r w:rsidRPr="00477CAF">
              <w:rPr>
                <w:szCs w:val="22"/>
                <w:lang w:val="es-ES_tradnl"/>
              </w:rPr>
              <w:t>Sr. Philippe Cadre (Francia), presidente de la Asamblea de la Unión de Madrid</w:t>
            </w:r>
          </w:p>
          <w:p w:rsidR="007A1A58" w:rsidRPr="00477CAF" w:rsidRDefault="007A1A58" w:rsidP="00477CAF">
            <w:pPr>
              <w:keepNext/>
              <w:keepLines/>
              <w:spacing w:after="220"/>
              <w:rPr>
                <w:szCs w:val="22"/>
                <w:lang w:val="es-ES_tradnl"/>
              </w:rPr>
            </w:pPr>
            <w:r w:rsidRPr="00477CAF">
              <w:rPr>
                <w:szCs w:val="22"/>
                <w:lang w:val="es-ES_tradnl"/>
              </w:rPr>
              <w:t>Sr. David R. Gerk (Estados Unidos de América), presidente de la Asamblea de la Unión de La Haya</w:t>
            </w:r>
          </w:p>
        </w:tc>
      </w:tr>
      <w:tr w:rsidR="007A1A58" w:rsidRPr="00477CAF" w:rsidTr="004F5F96">
        <w:tc>
          <w:tcPr>
            <w:tcW w:w="3968" w:type="dxa"/>
          </w:tcPr>
          <w:p w:rsidR="007A1A58" w:rsidRPr="00477CAF" w:rsidRDefault="007A1A58" w:rsidP="004F5F96">
            <w:pPr>
              <w:spacing w:after="220"/>
              <w:rPr>
                <w:szCs w:val="22"/>
                <w:lang w:val="es-ES_tradnl"/>
              </w:rPr>
            </w:pPr>
            <w:r w:rsidRPr="00477CAF">
              <w:rPr>
                <w:szCs w:val="22"/>
                <w:lang w:val="es-ES_tradnl"/>
              </w:rPr>
              <w:t>Punto 24</w:t>
            </w:r>
          </w:p>
        </w:tc>
        <w:tc>
          <w:tcPr>
            <w:tcW w:w="4820" w:type="dxa"/>
          </w:tcPr>
          <w:p w:rsidR="007A1A58" w:rsidRPr="00477CAF" w:rsidRDefault="007A1A58" w:rsidP="004F5F96">
            <w:pPr>
              <w:spacing w:after="220"/>
              <w:rPr>
                <w:szCs w:val="22"/>
                <w:lang w:val="es-ES_tradnl"/>
              </w:rPr>
            </w:pPr>
            <w:r w:rsidRPr="00477CAF">
              <w:rPr>
                <w:szCs w:val="22"/>
                <w:lang w:val="es-ES_tradnl"/>
              </w:rPr>
              <w:t>Sr. Pascal Faure (Francia), presidente de la Asamblea de la Unión de Lisboa</w:t>
            </w:r>
          </w:p>
        </w:tc>
      </w:tr>
      <w:tr w:rsidR="007A1A58" w:rsidRPr="00477CAF" w:rsidTr="004F5F96">
        <w:tc>
          <w:tcPr>
            <w:tcW w:w="3968" w:type="dxa"/>
          </w:tcPr>
          <w:p w:rsidR="007A1A58" w:rsidRPr="00477CAF" w:rsidRDefault="007A1A58" w:rsidP="004F5F96">
            <w:pPr>
              <w:spacing w:after="220"/>
              <w:rPr>
                <w:szCs w:val="22"/>
                <w:lang w:val="es-ES_tradnl"/>
              </w:rPr>
            </w:pPr>
            <w:r w:rsidRPr="00477CAF">
              <w:rPr>
                <w:szCs w:val="22"/>
                <w:lang w:val="es-ES_tradnl"/>
              </w:rPr>
              <w:t>Punto 27</w:t>
            </w:r>
          </w:p>
        </w:tc>
        <w:tc>
          <w:tcPr>
            <w:tcW w:w="4820" w:type="dxa"/>
          </w:tcPr>
          <w:p w:rsidR="007A1A58" w:rsidRPr="00477CAF" w:rsidRDefault="007A1A58" w:rsidP="004F5F96">
            <w:pPr>
              <w:spacing w:after="220"/>
              <w:rPr>
                <w:szCs w:val="22"/>
                <w:lang w:val="es-ES_tradnl"/>
              </w:rPr>
            </w:pPr>
            <w:r w:rsidRPr="00477CAF">
              <w:rPr>
                <w:szCs w:val="22"/>
                <w:lang w:val="es-ES_tradnl"/>
              </w:rPr>
              <w:t>Sra. Lucía Estrada (Uruguay), presidenta de la Asamblea del Tratado de Singapur</w:t>
            </w:r>
          </w:p>
        </w:tc>
      </w:tr>
      <w:tr w:rsidR="007A1A58" w:rsidRPr="00477CAF" w:rsidTr="004F5F96">
        <w:tc>
          <w:tcPr>
            <w:tcW w:w="3968" w:type="dxa"/>
          </w:tcPr>
          <w:p w:rsidR="007A1A58" w:rsidRPr="00477CAF" w:rsidRDefault="007A1A58" w:rsidP="004F5F96">
            <w:pPr>
              <w:spacing w:after="480"/>
              <w:rPr>
                <w:szCs w:val="22"/>
                <w:lang w:val="es-ES_tradnl"/>
              </w:rPr>
            </w:pPr>
            <w:r w:rsidRPr="00477CAF">
              <w:rPr>
                <w:szCs w:val="22"/>
                <w:lang w:val="es-ES_tradnl"/>
              </w:rPr>
              <w:t>Punto 28</w:t>
            </w:r>
          </w:p>
          <w:p w:rsidR="007A1A58" w:rsidRPr="00477CAF" w:rsidRDefault="007A1A58" w:rsidP="004F5F96">
            <w:pPr>
              <w:spacing w:after="220"/>
              <w:rPr>
                <w:szCs w:val="22"/>
                <w:lang w:val="es-ES_tradnl"/>
              </w:rPr>
            </w:pPr>
            <w:r w:rsidRPr="00477CAF">
              <w:rPr>
                <w:szCs w:val="22"/>
                <w:lang w:val="es-ES_tradnl"/>
              </w:rPr>
              <w:t>Punto 29</w:t>
            </w:r>
          </w:p>
        </w:tc>
        <w:tc>
          <w:tcPr>
            <w:tcW w:w="4820" w:type="dxa"/>
          </w:tcPr>
          <w:p w:rsidR="007A1A58" w:rsidRPr="00477CAF" w:rsidRDefault="007A1A58" w:rsidP="004F5F96">
            <w:pPr>
              <w:spacing w:after="220"/>
              <w:rPr>
                <w:lang w:val="es-ES_tradnl"/>
              </w:rPr>
            </w:pPr>
            <w:r w:rsidRPr="00477CAF">
              <w:rPr>
                <w:szCs w:val="22"/>
                <w:lang w:val="es-ES_tradnl"/>
              </w:rPr>
              <w:t xml:space="preserve">Sr. Ali Alshangeeti (Arabia Saudita), presidente </w:t>
            </w:r>
            <w:r w:rsidRPr="00477CAF">
              <w:rPr>
                <w:lang w:val="es-ES_tradnl"/>
              </w:rPr>
              <w:t>de la Asamblea del Tratado de Marrakech</w:t>
            </w:r>
          </w:p>
          <w:p w:rsidR="007A1A58" w:rsidRPr="00477CAF" w:rsidRDefault="007A1A58" w:rsidP="004F5F96">
            <w:pPr>
              <w:spacing w:after="220"/>
              <w:rPr>
                <w:lang w:val="es-ES_tradnl"/>
              </w:rPr>
            </w:pPr>
            <w:r w:rsidRPr="00477CAF">
              <w:rPr>
                <w:szCs w:val="22"/>
                <w:lang w:val="es-ES_tradnl"/>
              </w:rPr>
              <w:t xml:space="preserve">Sra. María Gabriela Campoverde (Ecuador), presidenta </w:t>
            </w:r>
            <w:r w:rsidRPr="00477CAF">
              <w:rPr>
                <w:lang w:val="es-ES_tradnl"/>
              </w:rPr>
              <w:t>de la Asamblea del Tratado de Beijing</w:t>
            </w:r>
          </w:p>
        </w:tc>
      </w:tr>
    </w:tbl>
    <w:p w:rsidR="007A1A58" w:rsidRPr="00477CAF" w:rsidRDefault="007A1A58" w:rsidP="00A92ECE">
      <w:pPr>
        <w:pStyle w:val="Heading2"/>
        <w:keepNext w:val="0"/>
        <w:rPr>
          <w:lang w:val="es-ES_tradnl"/>
        </w:rPr>
      </w:pPr>
      <w:r w:rsidRPr="00477CAF">
        <w:rPr>
          <w:lang w:val="es-ES_tradnl"/>
        </w:rPr>
        <w:t>PUNTO 1 DEL ORDEN DEL DÍA CONSOLIDADO</w:t>
      </w:r>
    </w:p>
    <w:p w:rsidR="007A1A58" w:rsidRPr="00477CAF" w:rsidRDefault="007A1A58" w:rsidP="00A92ECE">
      <w:pPr>
        <w:pStyle w:val="Heading2"/>
        <w:keepNext w:val="0"/>
        <w:rPr>
          <w:lang w:val="es-ES_tradnl"/>
        </w:rPr>
      </w:pPr>
      <w:r w:rsidRPr="00477CAF">
        <w:rPr>
          <w:lang w:val="es-ES_tradnl"/>
        </w:rPr>
        <w:t>APERTURA DE LA SERIE DE REUNIONES</w:t>
      </w:r>
    </w:p>
    <w:p w:rsidR="007A1A58" w:rsidRPr="00477CAF" w:rsidRDefault="007A1A58" w:rsidP="007A1A58">
      <w:pPr>
        <w:pStyle w:val="ONUMFS"/>
        <w:tabs>
          <w:tab w:val="left" w:pos="567"/>
          <w:tab w:val="num" w:pos="7655"/>
        </w:tabs>
        <w:spacing w:after="240"/>
        <w:rPr>
          <w:lang w:val="es-ES_tradnl"/>
        </w:rPr>
      </w:pPr>
      <w:r w:rsidRPr="00477CAF">
        <w:rPr>
          <w:lang w:val="es-ES_tradnl"/>
        </w:rPr>
        <w:t>La sexagésima segunda serie de reuniones de las Asambleas de la OMPI fue convocada por el director general de la OMPI, Sr. Daren Tang.</w:t>
      </w:r>
    </w:p>
    <w:p w:rsidR="007A1A58" w:rsidRPr="00477CAF" w:rsidRDefault="007A1A58" w:rsidP="007A1A58">
      <w:pPr>
        <w:pStyle w:val="ONUMFS"/>
        <w:tabs>
          <w:tab w:val="left" w:pos="567"/>
          <w:tab w:val="num" w:pos="7655"/>
        </w:tabs>
        <w:spacing w:after="480"/>
        <w:rPr>
          <w:lang w:val="es-ES_tradnl"/>
        </w:rPr>
      </w:pPr>
      <w:r w:rsidRPr="00477CAF">
        <w:rPr>
          <w:lang w:val="es-ES_tradnl"/>
        </w:rPr>
        <w:t>La serie de reuniones fue inaugurada en el marco de una sesión conjunta de las 22 Asambleas y demás órganos por el Sr. Oman Zniber, embajador (Marruecos), presidente de la Asamblea General de la OMPI.</w:t>
      </w:r>
    </w:p>
    <w:p w:rsidR="007A1A58" w:rsidRPr="00477CAF" w:rsidRDefault="007A1A58" w:rsidP="00A92ECE">
      <w:pPr>
        <w:pStyle w:val="Heading2"/>
        <w:keepNext w:val="0"/>
        <w:rPr>
          <w:lang w:val="es-ES_tradnl"/>
        </w:rPr>
      </w:pPr>
      <w:r w:rsidRPr="00477CAF">
        <w:rPr>
          <w:lang w:val="es-ES_tradnl"/>
        </w:rPr>
        <w:t>PUNTO 2 DEL ORDEN DEL DÍA CONSOLIDADO</w:t>
      </w:r>
    </w:p>
    <w:p w:rsidR="007A1A58" w:rsidRPr="00477CAF" w:rsidRDefault="007A1A58" w:rsidP="00A92ECE">
      <w:pPr>
        <w:pStyle w:val="Heading2"/>
        <w:keepNext w:val="0"/>
        <w:rPr>
          <w:lang w:val="es-ES_tradnl"/>
        </w:rPr>
      </w:pPr>
      <w:r w:rsidRPr="00477CAF">
        <w:rPr>
          <w:lang w:val="es-ES_tradnl"/>
        </w:rPr>
        <w:t>APROBACIÓN DEL ORDEN DEL DÍA</w:t>
      </w:r>
    </w:p>
    <w:p w:rsidR="007A1A58" w:rsidRPr="00477CAF" w:rsidRDefault="007A1A58" w:rsidP="007A1A58">
      <w:pPr>
        <w:pStyle w:val="ONUMFS"/>
        <w:tabs>
          <w:tab w:val="left" w:pos="567"/>
          <w:tab w:val="num" w:pos="7655"/>
        </w:tabs>
        <w:spacing w:after="240"/>
        <w:rPr>
          <w:lang w:val="es-ES_tradnl"/>
        </w:rPr>
      </w:pPr>
      <w:r w:rsidRPr="00477CAF">
        <w:rPr>
          <w:lang w:val="es-ES_tradnl"/>
        </w:rPr>
        <w:t>Los debates se basaron en el documento A/62/1 Prov.2.</w:t>
      </w:r>
    </w:p>
    <w:p w:rsidR="007A1A58" w:rsidRPr="00477CAF" w:rsidRDefault="007A1A58" w:rsidP="007A1A58">
      <w:pPr>
        <w:pStyle w:val="ONUMFS"/>
        <w:tabs>
          <w:tab w:val="clear" w:pos="567"/>
          <w:tab w:val="num" w:pos="1134"/>
          <w:tab w:val="num" w:pos="7655"/>
        </w:tabs>
        <w:spacing w:after="480"/>
        <w:ind w:left="567"/>
        <w:rPr>
          <w:lang w:val="es-ES_tradnl"/>
        </w:rPr>
      </w:pPr>
      <w:r w:rsidRPr="00477CAF">
        <w:rPr>
          <w:lang w:val="es-ES_tradnl"/>
        </w:rPr>
        <w:t>Las Asambleas de la OMPI, en lo que a cada una concierne, aprobaron el orden del día en la forma propuesta en el documento A/62/1 Prov. 2 (al que en el presente documento se le denominará “el orden del día consolidado”).</w:t>
      </w:r>
    </w:p>
    <w:p w:rsidR="007A1A58" w:rsidRPr="00477CAF" w:rsidRDefault="007A1A58" w:rsidP="00A92ECE">
      <w:pPr>
        <w:pStyle w:val="Heading2"/>
        <w:keepNext w:val="0"/>
        <w:rPr>
          <w:lang w:val="es-ES_tradnl"/>
        </w:rPr>
      </w:pPr>
      <w:r w:rsidRPr="00477CAF">
        <w:rPr>
          <w:lang w:val="es-ES_tradnl"/>
        </w:rPr>
        <w:t>PUNTO 3 DEL ORDEN DEL DÍA CONSOLIDADO</w:t>
      </w:r>
    </w:p>
    <w:p w:rsidR="007A1A58" w:rsidRPr="00477CAF" w:rsidRDefault="007A1A58" w:rsidP="00A92ECE">
      <w:pPr>
        <w:pStyle w:val="Heading2"/>
        <w:keepNext w:val="0"/>
        <w:rPr>
          <w:lang w:val="es-ES_tradnl"/>
        </w:rPr>
      </w:pPr>
      <w:r w:rsidRPr="00477CAF">
        <w:rPr>
          <w:lang w:val="es-ES_tradnl"/>
        </w:rPr>
        <w:t>ELECCIÓN DE LAS MESAS</w:t>
      </w:r>
    </w:p>
    <w:p w:rsidR="007A1A58" w:rsidRPr="00477CAF" w:rsidRDefault="007A1A58" w:rsidP="007A1A58">
      <w:pPr>
        <w:pStyle w:val="ONUMFS"/>
        <w:tabs>
          <w:tab w:val="clear" w:pos="567"/>
          <w:tab w:val="num" w:pos="1134"/>
          <w:tab w:val="num" w:pos="7655"/>
        </w:tabs>
        <w:spacing w:after="480"/>
        <w:ind w:left="567"/>
        <w:rPr>
          <w:lang w:val="es-ES_tradnl"/>
        </w:rPr>
      </w:pPr>
      <w:r w:rsidRPr="00477CAF">
        <w:rPr>
          <w:lang w:val="es-ES_tradnl"/>
        </w:rPr>
        <w:t>Las Asambleas de la OMPI, en lo que a cada una concierne, eligieron a los integrantes de sus respectivas mesas según constan en el documento A/62/INF/2.</w:t>
      </w:r>
    </w:p>
    <w:p w:rsidR="007A1A58" w:rsidRPr="00477CAF" w:rsidRDefault="007A1A58" w:rsidP="00477CAF">
      <w:pPr>
        <w:pStyle w:val="Heading2"/>
        <w:keepLines/>
        <w:rPr>
          <w:lang w:val="es-ES_tradnl"/>
        </w:rPr>
      </w:pPr>
      <w:r w:rsidRPr="00477CAF">
        <w:rPr>
          <w:lang w:val="es-ES_tradnl"/>
        </w:rPr>
        <w:lastRenderedPageBreak/>
        <w:t>PUNTO 4 DEL ORDEN DEL DÍA CONSOLIDADO</w:t>
      </w:r>
    </w:p>
    <w:p w:rsidR="007A1A58" w:rsidRPr="00477CAF" w:rsidRDefault="007A1A58" w:rsidP="00477CAF">
      <w:pPr>
        <w:pStyle w:val="Heading2"/>
        <w:keepLines/>
        <w:rPr>
          <w:lang w:val="es-ES_tradnl"/>
        </w:rPr>
      </w:pPr>
      <w:r w:rsidRPr="00477CAF">
        <w:rPr>
          <w:lang w:val="es-ES_tradnl"/>
        </w:rPr>
        <w:t>INFORME DEL DIRECTOR GENERAL A LAS ASAMBLEAS DE LA OMPI</w:t>
      </w:r>
    </w:p>
    <w:p w:rsidR="007A1A58" w:rsidRPr="00477CAF" w:rsidRDefault="007A1A58" w:rsidP="007A1A58">
      <w:pPr>
        <w:pStyle w:val="ONUMFS"/>
        <w:tabs>
          <w:tab w:val="left" w:pos="567"/>
          <w:tab w:val="num" w:pos="7655"/>
        </w:tabs>
        <w:spacing w:after="480"/>
        <w:rPr>
          <w:lang w:val="es-ES_tradnl"/>
        </w:rPr>
      </w:pPr>
      <w:r w:rsidRPr="00477CAF">
        <w:rPr>
          <w:lang w:val="es-ES_tradnl"/>
        </w:rPr>
        <w:t xml:space="preserve">El director general presentó su informe anual (el </w:t>
      </w:r>
      <w:hyperlink r:id="rId8" w:history="1">
        <w:r w:rsidRPr="00477CAF">
          <w:rPr>
            <w:rStyle w:val="Hyperlink"/>
            <w:lang w:val="es-ES_tradnl"/>
          </w:rPr>
          <w:t>discurso</w:t>
        </w:r>
      </w:hyperlink>
      <w:r w:rsidRPr="00477CAF">
        <w:rPr>
          <w:lang w:val="es-ES_tradnl"/>
        </w:rPr>
        <w:t xml:space="preserve"> y el </w:t>
      </w:r>
      <w:hyperlink r:id="rId9" w:history="1">
        <w:r w:rsidRPr="00477CAF">
          <w:rPr>
            <w:rStyle w:val="Hyperlink"/>
            <w:lang w:val="es-ES_tradnl"/>
          </w:rPr>
          <w:t>informe</w:t>
        </w:r>
      </w:hyperlink>
      <w:r w:rsidRPr="00477CAF">
        <w:rPr>
          <w:lang w:val="es-ES_tradnl"/>
        </w:rPr>
        <w:t xml:space="preserve"> están disponibles en el sitio web de la OMPI).</w:t>
      </w:r>
    </w:p>
    <w:p w:rsidR="007A1A58" w:rsidRPr="00477CAF" w:rsidRDefault="007A1A58" w:rsidP="00A92ECE">
      <w:pPr>
        <w:pStyle w:val="Heading2"/>
        <w:rPr>
          <w:lang w:val="es-ES_tradnl"/>
        </w:rPr>
      </w:pPr>
      <w:r w:rsidRPr="00477CAF">
        <w:rPr>
          <w:lang w:val="es-ES_tradnl"/>
        </w:rPr>
        <w:t>PUNTO 5 DEL ORDEN DEL DÍA CONSOLIDADO</w:t>
      </w:r>
    </w:p>
    <w:p w:rsidR="007A1A58" w:rsidRPr="00477CAF" w:rsidRDefault="007A1A58" w:rsidP="00A92ECE">
      <w:pPr>
        <w:pStyle w:val="Heading2"/>
        <w:rPr>
          <w:lang w:val="es-ES_tradnl"/>
        </w:rPr>
      </w:pPr>
      <w:r w:rsidRPr="00477CAF">
        <w:rPr>
          <w:lang w:val="es-ES_tradnl"/>
        </w:rPr>
        <w:t>DECLARACIONES GENERALES</w:t>
      </w:r>
    </w:p>
    <w:p w:rsidR="007A1A58" w:rsidRPr="00477CAF" w:rsidRDefault="007A1A58" w:rsidP="00A92ECE">
      <w:pPr>
        <w:pStyle w:val="ONUMFS"/>
        <w:keepNext/>
        <w:tabs>
          <w:tab w:val="left" w:pos="567"/>
          <w:tab w:val="num" w:pos="7655"/>
        </w:tabs>
        <w:spacing w:after="240"/>
        <w:rPr>
          <w:szCs w:val="22"/>
          <w:lang w:val="es-ES_tradnl"/>
        </w:rPr>
      </w:pPr>
      <w:r w:rsidRPr="00477CAF">
        <w:rPr>
          <w:lang w:val="es-ES_tradnl"/>
        </w:rPr>
        <w:t>Las delegaciones y los representantes de los Estados, organizaciones intergubernamentales y organizaciones no gubernamentales formularon declaraciones orales o escritas en relación con este punto del orden del día</w:t>
      </w:r>
      <w:r w:rsidRPr="00477CAF">
        <w:rPr>
          <w:szCs w:val="22"/>
          <w:lang w:val="es-ES_tradnl"/>
        </w:rPr>
        <w:t>.</w:t>
      </w:r>
    </w:p>
    <w:p w:rsidR="007A1A58" w:rsidRPr="00477CAF" w:rsidRDefault="007A1A58" w:rsidP="007A1A58">
      <w:pPr>
        <w:pStyle w:val="ONUMFS"/>
        <w:tabs>
          <w:tab w:val="left" w:pos="567"/>
          <w:tab w:val="num" w:pos="7655"/>
        </w:tabs>
        <w:spacing w:after="480"/>
        <w:rPr>
          <w:lang w:val="es-ES_tradnl"/>
        </w:rPr>
      </w:pPr>
      <w:r w:rsidRPr="00477CAF">
        <w:rPr>
          <w:lang w:val="es-ES_tradnl"/>
        </w:rPr>
        <w:t xml:space="preserve">Las </w:t>
      </w:r>
      <w:hyperlink r:id="rId10" w:history="1">
        <w:r w:rsidRPr="00477CAF">
          <w:rPr>
            <w:rStyle w:val="Hyperlink"/>
            <w:szCs w:val="22"/>
            <w:lang w:val="es-ES_tradnl"/>
          </w:rPr>
          <w:t>declaraciones</w:t>
        </w:r>
      </w:hyperlink>
      <w:r w:rsidRPr="00477CAF">
        <w:rPr>
          <w:lang w:val="es-ES_tradnl"/>
        </w:rPr>
        <w:t xml:space="preserve"> </w:t>
      </w:r>
      <w:r w:rsidRPr="00477CAF">
        <w:rPr>
          <w:szCs w:val="22"/>
          <w:lang w:val="es-ES_tradnl"/>
        </w:rPr>
        <w:t>sobre este y otros puntos del orden del día se incluirán en los informes completos de las Asambleas, que se publicarán conforme a la decisión tomada en el marco del punto 32 del orden del día</w:t>
      </w:r>
      <w:r w:rsidRPr="00477CAF">
        <w:rPr>
          <w:lang w:val="es-ES_tradnl"/>
        </w:rPr>
        <w:t xml:space="preserve">. </w:t>
      </w:r>
      <w:r w:rsidRPr="00477CAF">
        <w:rPr>
          <w:szCs w:val="22"/>
          <w:lang w:val="es-ES_tradnl"/>
        </w:rPr>
        <w:t>En espera de dichos informes, las declaraciones que las delegaciones presenten a la Secretaría por escrito acerca del presente punto y de los demás puntos del orden del día serán publicadas en el sitio web de la OMPI con la indicación “cotéjese con la exposición del orador (o la oradora)” (check against delivery).</w:t>
      </w:r>
      <w:r w:rsidRPr="00477CAF">
        <w:rPr>
          <w:lang w:val="es-ES_tradnl"/>
        </w:rPr>
        <w:t xml:space="preserve">” En el sitio web de la OMPI </w:t>
      </w:r>
      <w:r w:rsidRPr="00FE4159">
        <w:rPr>
          <w:szCs w:val="22"/>
          <w:lang w:val="es-ES_tradnl"/>
        </w:rPr>
        <w:t>se difunden</w:t>
      </w:r>
      <w:r w:rsidRPr="00477CAF">
        <w:rPr>
          <w:lang w:val="es-ES_tradnl"/>
        </w:rPr>
        <w:t xml:space="preserve"> todas las reuniones</w:t>
      </w:r>
      <w:r w:rsidRPr="00477CAF">
        <w:rPr>
          <w:szCs w:val="22"/>
          <w:lang w:val="es-ES_tradnl"/>
        </w:rPr>
        <w:t>.</w:t>
      </w:r>
    </w:p>
    <w:p w:rsidR="007A1A58" w:rsidRPr="00477CAF" w:rsidRDefault="007A1A58" w:rsidP="00A92ECE">
      <w:pPr>
        <w:pStyle w:val="Heading2"/>
        <w:keepNext w:val="0"/>
        <w:spacing w:before="0"/>
        <w:rPr>
          <w:szCs w:val="22"/>
          <w:lang w:val="es-ES_tradnl"/>
        </w:rPr>
      </w:pPr>
      <w:r w:rsidRPr="00477CAF">
        <w:rPr>
          <w:szCs w:val="22"/>
          <w:lang w:val="es-ES_tradnl"/>
        </w:rPr>
        <w:t xml:space="preserve">PUNTO 6 DEL ORDEN DEL DÍA </w:t>
      </w:r>
    </w:p>
    <w:p w:rsidR="007A1A58" w:rsidRPr="00477CAF" w:rsidRDefault="007A1A58" w:rsidP="001F7A7F">
      <w:pPr>
        <w:pStyle w:val="Heading2"/>
        <w:keepNext w:val="0"/>
        <w:spacing w:before="0"/>
        <w:rPr>
          <w:szCs w:val="22"/>
          <w:lang w:val="es-ES_tradnl"/>
        </w:rPr>
      </w:pPr>
      <w:r w:rsidRPr="00477CAF">
        <w:rPr>
          <w:szCs w:val="22"/>
          <w:lang w:val="es-ES_tradnl"/>
        </w:rPr>
        <w:t>ADMISIÓN DE OBSERVADORES</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los documentos A/62/3 Rev. y A/62/4 Rev.</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Las Asambleas de la OMPI, en lo que a cada una concierne, decidieron conceder la condición de observador a las siguientes organizaciones:</w:t>
      </w:r>
    </w:p>
    <w:p w:rsidR="007A1A58" w:rsidRPr="00477CAF" w:rsidRDefault="007A1A58" w:rsidP="00477CAF">
      <w:pPr>
        <w:pStyle w:val="ONUMFS"/>
        <w:numPr>
          <w:ilvl w:val="1"/>
          <w:numId w:val="6"/>
        </w:numPr>
        <w:spacing w:after="60"/>
        <w:ind w:left="1134"/>
        <w:rPr>
          <w:lang w:val="es-ES_tradnl"/>
        </w:rPr>
      </w:pPr>
      <w:r w:rsidRPr="00477CAF">
        <w:rPr>
          <w:lang w:val="es-ES_tradnl"/>
        </w:rPr>
        <w:t>Organizaciones internacionales no gubernamentales:</w:t>
      </w:r>
    </w:p>
    <w:p w:rsidR="007A1A58" w:rsidRPr="00477CAF" w:rsidRDefault="007A1A58" w:rsidP="00477CAF">
      <w:pPr>
        <w:pStyle w:val="ListParagraph"/>
        <w:numPr>
          <w:ilvl w:val="0"/>
          <w:numId w:val="7"/>
        </w:numPr>
        <w:ind w:left="2268" w:hanging="567"/>
        <w:contextualSpacing/>
        <w:rPr>
          <w:rFonts w:ascii="Arial" w:hAnsi="Arial" w:cs="Arial"/>
          <w:lang w:val="es-ES_tradnl"/>
        </w:rPr>
      </w:pPr>
      <w:r w:rsidRPr="00477CAF">
        <w:rPr>
          <w:rFonts w:ascii="Arial" w:hAnsi="Arial" w:cs="Arial"/>
          <w:lang w:val="es-ES_tradnl"/>
        </w:rPr>
        <w:t>Cumulus, Asociación Internacional de Universidades y Facultades de Arte, Diseño y Medios de Comunicación (CUMULUS);</w:t>
      </w:r>
    </w:p>
    <w:p w:rsidR="007A1A58" w:rsidRPr="00477CAF" w:rsidRDefault="007A1A58" w:rsidP="00477CAF">
      <w:pPr>
        <w:pStyle w:val="ListParagraph"/>
        <w:numPr>
          <w:ilvl w:val="0"/>
          <w:numId w:val="7"/>
        </w:numPr>
        <w:ind w:left="2268" w:hanging="567"/>
        <w:contextualSpacing/>
        <w:rPr>
          <w:rFonts w:ascii="Arial" w:hAnsi="Arial" w:cs="Arial"/>
          <w:lang w:val="es-ES_tradnl"/>
        </w:rPr>
      </w:pPr>
      <w:r w:rsidRPr="00477CAF">
        <w:rPr>
          <w:rFonts w:ascii="Arial" w:hAnsi="Arial" w:cs="Arial"/>
          <w:lang w:val="es-ES_tradnl"/>
        </w:rPr>
        <w:t>Federación de Sociedades de Autores Audiovisuales Latinoamericanos (FESAAL);</w:t>
      </w:r>
    </w:p>
    <w:p w:rsidR="007A1A58" w:rsidRPr="00477CAF" w:rsidRDefault="007A1A58" w:rsidP="00477CAF">
      <w:pPr>
        <w:pStyle w:val="ListParagraph"/>
        <w:numPr>
          <w:ilvl w:val="0"/>
          <w:numId w:val="7"/>
        </w:numPr>
        <w:ind w:left="2268" w:hanging="567"/>
        <w:contextualSpacing/>
        <w:rPr>
          <w:rFonts w:ascii="Arial" w:hAnsi="Arial" w:cs="Arial"/>
          <w:lang w:val="es-ES_tradnl"/>
        </w:rPr>
      </w:pPr>
      <w:r w:rsidRPr="00477CAF">
        <w:rPr>
          <w:rFonts w:ascii="Arial" w:hAnsi="Arial" w:cs="Arial"/>
          <w:lang w:val="es-ES_tradnl"/>
        </w:rPr>
        <w:t>Unión de Fabricantes para la Protección Internacional de la Propiedad Intelectual (UNIFAB); y</w:t>
      </w:r>
    </w:p>
    <w:p w:rsidR="007A1A58" w:rsidRPr="00477CAF" w:rsidRDefault="007A1A58" w:rsidP="00477CAF">
      <w:pPr>
        <w:pStyle w:val="ListParagraph"/>
        <w:numPr>
          <w:ilvl w:val="0"/>
          <w:numId w:val="7"/>
        </w:numPr>
        <w:spacing w:after="240"/>
        <w:ind w:left="2268" w:hanging="567"/>
        <w:contextualSpacing/>
        <w:rPr>
          <w:rFonts w:ascii="Arial" w:hAnsi="Arial" w:cs="Arial"/>
          <w:lang w:val="es-ES_tradnl"/>
        </w:rPr>
      </w:pPr>
      <w:r w:rsidRPr="00477CAF">
        <w:rPr>
          <w:rFonts w:ascii="Arial" w:hAnsi="Arial" w:cs="Arial"/>
          <w:lang w:val="es-ES_tradnl"/>
        </w:rPr>
        <w:t>Federación Mundial de la Industria de Artículos Deportivos (WFSGI).</w:t>
      </w:r>
    </w:p>
    <w:p w:rsidR="007A1A58" w:rsidRPr="00477CAF" w:rsidRDefault="007A1A58" w:rsidP="00477CAF">
      <w:pPr>
        <w:pStyle w:val="ONUMFS"/>
        <w:numPr>
          <w:ilvl w:val="1"/>
          <w:numId w:val="6"/>
        </w:numPr>
        <w:spacing w:after="60"/>
        <w:ind w:left="1134"/>
        <w:rPr>
          <w:lang w:val="es-ES_tradnl"/>
        </w:rPr>
      </w:pPr>
      <w:r w:rsidRPr="00477CAF">
        <w:rPr>
          <w:lang w:val="es-ES_tradnl"/>
        </w:rPr>
        <w:t>Organizaciones internacionales no gubernamentales:</w:t>
      </w:r>
    </w:p>
    <w:p w:rsidR="007A1A58" w:rsidRPr="00477CAF" w:rsidRDefault="007A1A58" w:rsidP="007A1A58">
      <w:pPr>
        <w:pStyle w:val="ListParagraph"/>
        <w:numPr>
          <w:ilvl w:val="0"/>
          <w:numId w:val="8"/>
        </w:numPr>
        <w:ind w:left="1620" w:firstLine="81"/>
        <w:contextualSpacing/>
        <w:rPr>
          <w:rFonts w:ascii="Arial" w:hAnsi="Arial" w:cs="Arial"/>
          <w:lang w:val="es-ES_tradnl"/>
        </w:rPr>
      </w:pPr>
      <w:r w:rsidRPr="00477CAF">
        <w:rPr>
          <w:rFonts w:ascii="Arial" w:hAnsi="Arial" w:cs="Arial"/>
          <w:lang w:val="es-ES_tradnl"/>
        </w:rPr>
        <w:t>Asociación Brasileña de la Propiedad Intelectual (ABPI);</w:t>
      </w:r>
    </w:p>
    <w:p w:rsidR="007A1A58" w:rsidRPr="00477CAF" w:rsidRDefault="007A1A58" w:rsidP="007A1A58">
      <w:pPr>
        <w:pStyle w:val="ListParagraph"/>
        <w:numPr>
          <w:ilvl w:val="0"/>
          <w:numId w:val="8"/>
        </w:numPr>
        <w:ind w:left="1620" w:firstLine="81"/>
        <w:contextualSpacing/>
        <w:rPr>
          <w:rFonts w:ascii="Arial" w:hAnsi="Arial" w:cs="Arial"/>
          <w:lang w:val="es-ES_tradnl"/>
        </w:rPr>
      </w:pPr>
      <w:r w:rsidRPr="00477CAF">
        <w:rPr>
          <w:rFonts w:ascii="Arial" w:hAnsi="Arial" w:cs="Arial"/>
          <w:lang w:val="es-ES_tradnl"/>
        </w:rPr>
        <w:t>Museo de Ciencias Naturales de Denver (DMNS);</w:t>
      </w:r>
    </w:p>
    <w:p w:rsidR="007A1A58" w:rsidRPr="00477CAF" w:rsidRDefault="007A1A58" w:rsidP="007A1A58">
      <w:pPr>
        <w:pStyle w:val="ListParagraph"/>
        <w:numPr>
          <w:ilvl w:val="0"/>
          <w:numId w:val="8"/>
        </w:numPr>
        <w:ind w:left="1620" w:firstLine="81"/>
        <w:contextualSpacing/>
        <w:rPr>
          <w:rFonts w:ascii="Arial" w:hAnsi="Arial" w:cs="Arial"/>
          <w:lang w:val="es-ES_tradnl"/>
        </w:rPr>
      </w:pPr>
      <w:r w:rsidRPr="00477CAF">
        <w:rPr>
          <w:rFonts w:ascii="Arial" w:hAnsi="Arial" w:cs="Arial"/>
          <w:lang w:val="es-ES_tradnl"/>
        </w:rPr>
        <w:t>Asociación Surcoreana de la Propiedad Intelectual (KINPA);</w:t>
      </w:r>
    </w:p>
    <w:p w:rsidR="007A1A58" w:rsidRPr="00477CAF" w:rsidRDefault="007A1A58" w:rsidP="007A1A58">
      <w:pPr>
        <w:pStyle w:val="ListParagraph"/>
        <w:numPr>
          <w:ilvl w:val="0"/>
          <w:numId w:val="8"/>
        </w:numPr>
        <w:ind w:left="1620" w:firstLine="81"/>
        <w:contextualSpacing/>
        <w:rPr>
          <w:rFonts w:ascii="Arial" w:hAnsi="Arial" w:cs="Arial"/>
          <w:lang w:val="es-ES_tradnl"/>
        </w:rPr>
      </w:pPr>
      <w:r w:rsidRPr="00477CAF">
        <w:rPr>
          <w:rFonts w:ascii="Arial" w:hAnsi="Arial" w:cs="Arial"/>
          <w:lang w:val="es-ES_tradnl"/>
        </w:rPr>
        <w:t>Agencia Surcoreana de Estrategias de Propiedad Intelectual (KISTA);</w:t>
      </w:r>
    </w:p>
    <w:p w:rsidR="007A1A58" w:rsidRPr="009A1F6D" w:rsidRDefault="007A1A58" w:rsidP="007A1A58">
      <w:pPr>
        <w:pStyle w:val="ListParagraph"/>
        <w:numPr>
          <w:ilvl w:val="0"/>
          <w:numId w:val="8"/>
        </w:numPr>
        <w:ind w:left="1620" w:firstLine="81"/>
        <w:contextualSpacing/>
        <w:rPr>
          <w:rFonts w:ascii="Arial" w:hAnsi="Arial" w:cs="Arial"/>
          <w:lang w:val="fr-CH"/>
        </w:rPr>
      </w:pPr>
      <w:r w:rsidRPr="009A1F6D">
        <w:rPr>
          <w:rFonts w:ascii="Arial" w:hAnsi="Arial" w:cs="Arial"/>
          <w:i/>
          <w:iCs/>
          <w:lang w:val="fr-CH"/>
        </w:rPr>
        <w:t>Ordre Suprême des Ancêtres</w:t>
      </w:r>
      <w:r w:rsidRPr="009A1F6D">
        <w:rPr>
          <w:rFonts w:ascii="Arial" w:hAnsi="Arial" w:cs="Arial"/>
          <w:lang w:val="fr-CH"/>
        </w:rPr>
        <w:t xml:space="preserve"> (OSA); y</w:t>
      </w:r>
    </w:p>
    <w:p w:rsidR="007A1A58" w:rsidRPr="00477CAF" w:rsidRDefault="007A1A58" w:rsidP="007A1A58">
      <w:pPr>
        <w:pStyle w:val="ListParagraph"/>
        <w:numPr>
          <w:ilvl w:val="0"/>
          <w:numId w:val="8"/>
        </w:numPr>
        <w:spacing w:after="240"/>
        <w:ind w:left="1622" w:firstLine="79"/>
        <w:contextualSpacing/>
        <w:rPr>
          <w:rFonts w:ascii="Arial" w:hAnsi="Arial" w:cs="Arial"/>
          <w:lang w:val="es-ES_tradnl"/>
        </w:rPr>
      </w:pPr>
      <w:r w:rsidRPr="00477CAF">
        <w:rPr>
          <w:rFonts w:ascii="Arial" w:hAnsi="Arial" w:cs="Arial"/>
          <w:lang w:val="es-ES_tradnl"/>
        </w:rPr>
        <w:t>Sociedad de Autores de Artes Gráficas y Plásticas (ADAGP).</w:t>
      </w:r>
    </w:p>
    <w:p w:rsidR="007A1A58" w:rsidRPr="00477CAF" w:rsidRDefault="007A1A58" w:rsidP="007A1A58">
      <w:pPr>
        <w:pStyle w:val="ONUMFS"/>
        <w:tabs>
          <w:tab w:val="clear" w:pos="567"/>
          <w:tab w:val="num" w:pos="1134"/>
          <w:tab w:val="num" w:pos="7655"/>
        </w:tabs>
        <w:spacing w:after="480"/>
        <w:ind w:left="567"/>
        <w:rPr>
          <w:lang w:val="es-ES_tradnl"/>
        </w:rPr>
      </w:pPr>
      <w:r w:rsidRPr="00477CAF">
        <w:rPr>
          <w:lang w:val="es-ES_tradnl"/>
        </w:rPr>
        <w:t>Las Asambleas de la OMPI, en lo que a cada una concierne, tomaron nota del documento titulado “Actualización de la lista de organizaciones no gubernamentales admitidas en calidad de observadoras ante la OMPI” (documento A/62/4 Rev</w:t>
      </w:r>
      <w:r w:rsidR="002776C0" w:rsidRPr="00477CAF">
        <w:rPr>
          <w:lang w:val="es-ES_tradnl"/>
        </w:rPr>
        <w:t>.</w:t>
      </w:r>
      <w:r w:rsidRPr="00477CAF">
        <w:rPr>
          <w:lang w:val="es-ES_tradnl"/>
        </w:rPr>
        <w:t>).</w:t>
      </w:r>
    </w:p>
    <w:p w:rsidR="007A1A58" w:rsidRPr="00477CAF" w:rsidRDefault="007A1A58" w:rsidP="00A92ECE">
      <w:pPr>
        <w:pStyle w:val="Heading2"/>
        <w:keepNext w:val="0"/>
        <w:spacing w:before="0"/>
        <w:rPr>
          <w:szCs w:val="22"/>
          <w:lang w:val="es-ES_tradnl"/>
        </w:rPr>
      </w:pPr>
      <w:r w:rsidRPr="00477CAF">
        <w:rPr>
          <w:szCs w:val="22"/>
          <w:lang w:val="es-ES_tradnl"/>
        </w:rPr>
        <w:lastRenderedPageBreak/>
        <w:t xml:space="preserve">PUNTO 7 </w:t>
      </w:r>
      <w:r w:rsidR="00E72039" w:rsidRPr="00477CAF">
        <w:rPr>
          <w:szCs w:val="22"/>
          <w:lang w:val="es-ES_tradnl"/>
        </w:rPr>
        <w:t>DEL ORDEN DEL DÍA CONSOLIDADO</w:t>
      </w:r>
    </w:p>
    <w:p w:rsidR="007A1A58" w:rsidRPr="00477CAF" w:rsidRDefault="007A1A58" w:rsidP="001F7A7F">
      <w:pPr>
        <w:pStyle w:val="Heading2"/>
        <w:keepNext w:val="0"/>
        <w:spacing w:before="0"/>
        <w:rPr>
          <w:szCs w:val="22"/>
          <w:lang w:val="es-ES_tradnl"/>
        </w:rPr>
      </w:pPr>
      <w:r w:rsidRPr="00477CAF">
        <w:rPr>
          <w:szCs w:val="22"/>
          <w:lang w:val="es-ES_tradnl"/>
        </w:rPr>
        <w:t>APROBACIÓN DE ACUERDOS</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WO/CC/80/1.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szCs w:val="22"/>
          <w:lang w:val="es-ES_tradnl"/>
        </w:rPr>
        <w:t>El Comité de Coordinación de la OMPI aprobó el memorando de entendimiento entre la OMPI y la Oficina Europea de Patentes (OEP); y el memorando de entendimiento entre la OMPI y la Agencia Internacional de Energías Renovables (IRENA), que figuran en los Anexos I y II, respectivamente, del documento WO/CC/80/1.</w:t>
      </w:r>
    </w:p>
    <w:p w:rsidR="007A1A58" w:rsidRPr="00477CAF" w:rsidRDefault="007A1A58" w:rsidP="00A92ECE">
      <w:pPr>
        <w:pStyle w:val="Heading2"/>
        <w:keepNext w:val="0"/>
        <w:spacing w:before="0"/>
        <w:rPr>
          <w:szCs w:val="22"/>
          <w:lang w:val="es-ES_tradnl"/>
        </w:rPr>
      </w:pPr>
      <w:r w:rsidRPr="00477CAF">
        <w:rPr>
          <w:szCs w:val="22"/>
          <w:lang w:val="es-ES_tradnl"/>
        </w:rPr>
        <w:t>PUNTO 8 DEL ORDEN DEL DÍA CONSOLIDADO</w:t>
      </w:r>
    </w:p>
    <w:p w:rsidR="007A1A58" w:rsidRPr="00477CAF" w:rsidRDefault="007A1A58" w:rsidP="007A1A58">
      <w:pPr>
        <w:spacing w:after="240"/>
        <w:rPr>
          <w:lang w:val="es-ES_tradnl"/>
        </w:rPr>
      </w:pPr>
      <w:r w:rsidRPr="00477CAF">
        <w:rPr>
          <w:lang w:val="es-ES_tradnl"/>
        </w:rPr>
        <w:t>COMPOSICIÓN DEL COMITÉ DE COORDINACIÓN DE LA OMPI Y DE LOS COMITÉS EJECUTIVOS DE LAS UNIONES DE PARÍS Y DE BERNA</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los documentos A/62/5, A/62/10 y A/62/11.</w:t>
      </w:r>
    </w:p>
    <w:p w:rsidR="001D318D" w:rsidRPr="00477CAF" w:rsidRDefault="001D318D" w:rsidP="001D318D">
      <w:pPr>
        <w:pStyle w:val="ONUMFS"/>
        <w:tabs>
          <w:tab w:val="clear" w:pos="567"/>
        </w:tabs>
        <w:spacing w:after="240"/>
        <w:ind w:left="567"/>
        <w:rPr>
          <w:lang w:val="es-ES_tradnl"/>
        </w:rPr>
      </w:pPr>
      <w:r w:rsidRPr="00477CAF">
        <w:rPr>
          <w:lang w:val="es-ES_tradnl"/>
        </w:rPr>
        <w:t xml:space="preserve">Tras </w:t>
      </w:r>
      <w:r w:rsidRPr="00477CAF">
        <w:rPr>
          <w:szCs w:val="22"/>
          <w:lang w:val="es-ES_tradnl"/>
        </w:rPr>
        <w:t>las</w:t>
      </w:r>
      <w:r w:rsidRPr="00477CAF">
        <w:rPr>
          <w:lang w:val="es-ES_tradnl"/>
        </w:rPr>
        <w:t xml:space="preserve"> consultas oficiosas mantenidas por los Estados miembros:</w:t>
      </w:r>
    </w:p>
    <w:p w:rsidR="001D318D" w:rsidRPr="00477CAF" w:rsidRDefault="001D318D" w:rsidP="004F5F96">
      <w:pPr>
        <w:pStyle w:val="ListParagraph"/>
        <w:numPr>
          <w:ilvl w:val="0"/>
          <w:numId w:val="13"/>
        </w:numPr>
        <w:spacing w:after="240"/>
        <w:ind w:left="1134" w:firstLine="0"/>
        <w:rPr>
          <w:rFonts w:ascii="Arial" w:hAnsi="Arial" w:cs="Arial"/>
          <w:lang w:val="es-ES_tradnl"/>
        </w:rPr>
      </w:pPr>
      <w:r w:rsidRPr="00477CAF">
        <w:rPr>
          <w:rFonts w:ascii="Arial" w:hAnsi="Arial" w:cs="Arial"/>
          <w:lang w:val="es-ES_tradnl"/>
        </w:rPr>
        <w:t xml:space="preserve">La Asamblea de la Unión de París elige por unanimidad a los siguientes Estados miembros </w:t>
      </w:r>
      <w:r w:rsidRPr="00477CAF">
        <w:rPr>
          <w:rFonts w:ascii="Arial" w:hAnsi="Arial" w:cs="Arial"/>
          <w:i/>
          <w:iCs/>
          <w:lang w:val="es-ES_tradnl"/>
        </w:rPr>
        <w:t>ordinarios</w:t>
      </w:r>
      <w:r w:rsidRPr="00477CAF">
        <w:rPr>
          <w:rFonts w:ascii="Arial" w:hAnsi="Arial" w:cs="Arial"/>
          <w:lang w:val="es-ES_tradnl"/>
        </w:rPr>
        <w:t xml:space="preserve"> del </w:t>
      </w:r>
      <w:r w:rsidRPr="00477CAF">
        <w:rPr>
          <w:rFonts w:ascii="Arial" w:hAnsi="Arial" w:cs="Arial"/>
          <w:i/>
          <w:iCs/>
          <w:lang w:val="es-ES_tradnl"/>
        </w:rPr>
        <w:t>Comité Ejecutivo de la Unión de París</w:t>
      </w:r>
      <w:r w:rsidRPr="00477CAF">
        <w:rPr>
          <w:rFonts w:ascii="Arial" w:hAnsi="Arial" w:cs="Arial"/>
          <w:lang w:val="es-ES_tradnl"/>
        </w:rPr>
        <w:t>: Alemania</w:t>
      </w:r>
      <w:r w:rsidRPr="00477CAF">
        <w:rPr>
          <w:lang w:val="es-ES_tradnl"/>
        </w:rPr>
        <w:t>,</w:t>
      </w:r>
      <w:r w:rsidRPr="00477CAF">
        <w:rPr>
          <w:rFonts w:ascii="Arial" w:hAnsi="Arial" w:cs="Arial"/>
          <w:lang w:val="es-ES_tradnl"/>
        </w:rPr>
        <w:t xml:space="preserve"> Argelia</w:t>
      </w:r>
      <w:r w:rsidRPr="00477CAF">
        <w:rPr>
          <w:lang w:val="es-ES_tradnl"/>
        </w:rPr>
        <w:t>,</w:t>
      </w:r>
      <w:r w:rsidRPr="00477CAF">
        <w:rPr>
          <w:rFonts w:ascii="Arial" w:hAnsi="Arial" w:cs="Arial"/>
          <w:lang w:val="es-ES_tradnl"/>
        </w:rPr>
        <w:t xml:space="preserve"> Armenia</w:t>
      </w:r>
      <w:r w:rsidRPr="00477CAF">
        <w:rPr>
          <w:lang w:val="es-ES_tradnl"/>
        </w:rPr>
        <w:t>,</w:t>
      </w:r>
      <w:r w:rsidRPr="00477CAF">
        <w:rPr>
          <w:rFonts w:ascii="Arial" w:hAnsi="Arial" w:cs="Arial"/>
          <w:lang w:val="es-ES_tradnl"/>
        </w:rPr>
        <w:t xml:space="preserve"> Australia</w:t>
      </w:r>
      <w:r w:rsidRPr="00477CAF">
        <w:rPr>
          <w:lang w:val="es-ES_tradnl"/>
        </w:rPr>
        <w:t>,</w:t>
      </w:r>
      <w:r w:rsidRPr="00477CAF">
        <w:rPr>
          <w:rFonts w:ascii="Arial" w:hAnsi="Arial" w:cs="Arial"/>
          <w:lang w:val="es-ES_tradnl"/>
        </w:rPr>
        <w:t xml:space="preserve"> </w:t>
      </w:r>
      <w:r w:rsidR="004F5F96" w:rsidRPr="00477CAF">
        <w:rPr>
          <w:rFonts w:ascii="Arial" w:hAnsi="Arial" w:cs="Arial"/>
          <w:lang w:val="es-ES_tradnl"/>
        </w:rPr>
        <w:t xml:space="preserve">Alemania, Argelia, Armenia, Australia, Austria, Azerbaiyán, Bangladesh, Bélgica, Camboya, Canadá, China, Croacia, Dinamarca, Ecuador, Egipto, El Salvador (2022-2023), España, Francia, Gambia, Guatemala, India, Indonesia, Jamaica, Lesotho, Luxemburgo, Malawi, Namibia, Noruega, Nueva Zelandia, Países Bajos, Panamá, Paraguay (2021-2022) Portugal, Polonia, Reino Unido, República Popular Democrática de Corea, Serbia, Sudáfrica, Trinidad y Tabago, Turquía, Uganda, Viet Nam </w:t>
      </w:r>
      <w:r w:rsidRPr="00477CAF">
        <w:rPr>
          <w:rFonts w:ascii="Arial" w:hAnsi="Arial" w:cs="Arial"/>
          <w:lang w:val="es-ES_tradnl"/>
        </w:rPr>
        <w:t>(4</w:t>
      </w:r>
      <w:r w:rsidR="004F5F96" w:rsidRPr="00477CAF">
        <w:rPr>
          <w:rFonts w:ascii="Arial" w:hAnsi="Arial" w:cs="Arial"/>
          <w:lang w:val="es-ES_tradnl"/>
        </w:rPr>
        <w:t>1</w:t>
      </w:r>
      <w:r w:rsidRPr="00477CAF">
        <w:rPr>
          <w:rFonts w:ascii="Arial" w:hAnsi="Arial" w:cs="Arial"/>
          <w:lang w:val="es-ES_tradnl"/>
        </w:rPr>
        <w:t>)</w:t>
      </w:r>
    </w:p>
    <w:p w:rsidR="001D318D" w:rsidRPr="00477CAF" w:rsidRDefault="009A1F6D" w:rsidP="001D318D">
      <w:pPr>
        <w:pStyle w:val="ListParagraph"/>
        <w:numPr>
          <w:ilvl w:val="0"/>
          <w:numId w:val="13"/>
        </w:numPr>
        <w:spacing w:after="240"/>
        <w:ind w:left="1134" w:firstLine="0"/>
        <w:rPr>
          <w:rFonts w:ascii="Arial" w:hAnsi="Arial" w:cs="Arial"/>
          <w:lang w:val="es-ES_tradnl"/>
        </w:rPr>
      </w:pPr>
      <w:r w:rsidRPr="00477CAF">
        <w:rPr>
          <w:rFonts w:ascii="Arial" w:hAnsi="Arial" w:cs="Arial"/>
          <w:lang w:val="es-ES_tradnl"/>
        </w:rPr>
        <w:t xml:space="preserve">La Asamblea de la Unión de </w:t>
      </w:r>
      <w:r>
        <w:rPr>
          <w:rFonts w:ascii="Arial" w:hAnsi="Arial" w:cs="Arial"/>
          <w:lang w:val="es-ES_tradnl"/>
        </w:rPr>
        <w:t>Berna</w:t>
      </w:r>
      <w:r w:rsidRPr="00477CAF">
        <w:rPr>
          <w:rFonts w:ascii="Arial" w:hAnsi="Arial" w:cs="Arial"/>
          <w:lang w:val="es-ES_tradnl"/>
        </w:rPr>
        <w:t xml:space="preserve"> elige por unanimidad a los siguientes Estados miembros </w:t>
      </w:r>
      <w:r w:rsidRPr="00477CAF">
        <w:rPr>
          <w:rFonts w:ascii="Arial" w:hAnsi="Arial" w:cs="Arial"/>
          <w:i/>
          <w:iCs/>
          <w:lang w:val="es-ES_tradnl"/>
        </w:rPr>
        <w:t>ordinarios</w:t>
      </w:r>
      <w:r w:rsidRPr="00477CAF">
        <w:rPr>
          <w:rFonts w:ascii="Arial" w:hAnsi="Arial" w:cs="Arial"/>
          <w:lang w:val="es-ES_tradnl"/>
        </w:rPr>
        <w:t xml:space="preserve"> del </w:t>
      </w:r>
      <w:r w:rsidRPr="00477CAF">
        <w:rPr>
          <w:rFonts w:ascii="Arial" w:hAnsi="Arial" w:cs="Arial"/>
          <w:i/>
          <w:iCs/>
          <w:lang w:val="es-ES_tradnl"/>
        </w:rPr>
        <w:t xml:space="preserve">Comité Ejecutivo de la Unión de </w:t>
      </w:r>
      <w:r>
        <w:rPr>
          <w:rFonts w:ascii="Arial" w:hAnsi="Arial" w:cs="Arial"/>
          <w:i/>
          <w:iCs/>
          <w:lang w:val="es-ES_tradnl"/>
        </w:rPr>
        <w:t>Berna:</w:t>
      </w:r>
      <w:r w:rsidRPr="00477CAF">
        <w:rPr>
          <w:rFonts w:ascii="Arial" w:hAnsi="Arial" w:cs="Arial"/>
          <w:lang w:val="es-ES_tradnl"/>
        </w:rPr>
        <w:t xml:space="preserve"> </w:t>
      </w:r>
      <w:r w:rsidR="004F5F96" w:rsidRPr="00477CAF">
        <w:rPr>
          <w:rFonts w:ascii="Arial" w:hAnsi="Arial" w:cs="Arial"/>
          <w:lang w:val="es-ES_tradnl"/>
        </w:rPr>
        <w:t xml:space="preserve">Arabia Saudita, Argentina, Belarús, Bolivia (Estado Plurinacional de), Brasil, Chile, Colombia, Costa Rica, Côte d’Ivoire, Cuba, Djibouti, Emiratos Árabes Unidos, Estados Unidos de América, Federación de Rusia, Finlandia, Ghana, Hungría, Irán (República Islámica del), Irlanda, Islandia, Italia, Japón, Kenya, Liberia, Malasia, Marruecos, México, Mongolia, Nigeria, Pakistán, Qatar, República Checa, República de Corea, Rumania, Singapur, Sudán, Suecia, Túnez, Venezuela (República Bolivariana de), Zimbabwe </w:t>
      </w:r>
      <w:r w:rsidR="001D318D" w:rsidRPr="00477CAF">
        <w:rPr>
          <w:rFonts w:ascii="Arial" w:hAnsi="Arial" w:cs="Arial"/>
          <w:lang w:val="es-ES_tradnl"/>
        </w:rPr>
        <w:t>(</w:t>
      </w:r>
      <w:r w:rsidR="004F5F96" w:rsidRPr="00477CAF">
        <w:rPr>
          <w:rFonts w:ascii="Arial" w:hAnsi="Arial" w:cs="Arial"/>
          <w:lang w:val="es-ES_tradnl"/>
        </w:rPr>
        <w:t>40</w:t>
      </w:r>
      <w:r w:rsidR="001D318D" w:rsidRPr="00477CAF">
        <w:rPr>
          <w:rFonts w:ascii="Arial" w:hAnsi="Arial" w:cs="Arial"/>
          <w:lang w:val="es-ES_tradnl"/>
        </w:rPr>
        <w:t xml:space="preserve">) </w:t>
      </w:r>
    </w:p>
    <w:p w:rsidR="001D318D" w:rsidRPr="00477CAF" w:rsidRDefault="001D318D" w:rsidP="001D318D">
      <w:pPr>
        <w:pStyle w:val="ListParagraph"/>
        <w:numPr>
          <w:ilvl w:val="0"/>
          <w:numId w:val="13"/>
        </w:numPr>
        <w:spacing w:after="240"/>
        <w:ind w:left="1134" w:firstLine="0"/>
        <w:rPr>
          <w:rFonts w:ascii="Arial" w:hAnsi="Arial" w:cs="Arial"/>
          <w:lang w:val="es-ES_tradnl"/>
        </w:rPr>
      </w:pPr>
      <w:r w:rsidRPr="00477CAF">
        <w:rPr>
          <w:rFonts w:ascii="Arial" w:hAnsi="Arial" w:cs="Arial"/>
          <w:lang w:val="es-ES_tradnl"/>
        </w:rPr>
        <w:t xml:space="preserve">La Conferencia de la OMPI designa por unanimidad al siguiente Estado como miembro </w:t>
      </w:r>
      <w:r w:rsidRPr="00477CAF">
        <w:rPr>
          <w:rFonts w:ascii="Arial" w:hAnsi="Arial" w:cs="Arial"/>
          <w:i/>
          <w:lang w:val="es-ES_tradnl"/>
        </w:rPr>
        <w:t>ad hoc</w:t>
      </w:r>
      <w:r w:rsidRPr="00477CAF">
        <w:rPr>
          <w:rFonts w:ascii="Arial" w:hAnsi="Arial" w:cs="Arial"/>
          <w:lang w:val="es-ES_tradnl"/>
        </w:rPr>
        <w:t xml:space="preserve"> del Comité de Coordinación de la OMPI: Eritrea (1);</w:t>
      </w:r>
    </w:p>
    <w:p w:rsidR="001D318D" w:rsidRPr="00477CAF" w:rsidRDefault="001D318D" w:rsidP="001D318D">
      <w:pPr>
        <w:numPr>
          <w:ilvl w:val="0"/>
          <w:numId w:val="13"/>
        </w:numPr>
        <w:spacing w:after="240"/>
        <w:ind w:left="1134" w:firstLine="0"/>
        <w:rPr>
          <w:szCs w:val="22"/>
          <w:lang w:val="es-ES_tradnl"/>
        </w:rPr>
      </w:pPr>
      <w:r w:rsidRPr="00477CAF">
        <w:rPr>
          <w:szCs w:val="22"/>
          <w:lang w:val="es-ES_tradnl"/>
        </w:rPr>
        <w:t xml:space="preserve">La Conferencia de la OMPI y las Asambleas de las Uniones de París y Berna observan que Suiza seguirá siendo miembro ordinario </w:t>
      </w:r>
      <w:r w:rsidRPr="00477CAF">
        <w:rPr>
          <w:i/>
          <w:szCs w:val="22"/>
          <w:lang w:val="es-ES_tradnl"/>
        </w:rPr>
        <w:t>ex officio</w:t>
      </w:r>
      <w:r w:rsidRPr="00477CAF">
        <w:rPr>
          <w:szCs w:val="22"/>
          <w:lang w:val="es-ES_tradnl"/>
        </w:rPr>
        <w:t xml:space="preserve"> del </w:t>
      </w:r>
      <w:r w:rsidRPr="00477CAF">
        <w:rPr>
          <w:i/>
          <w:szCs w:val="22"/>
          <w:lang w:val="es-ES_tradnl"/>
        </w:rPr>
        <w:t>Comité Ejecutivo de la Unión de París</w:t>
      </w:r>
      <w:r w:rsidRPr="00477CAF">
        <w:rPr>
          <w:szCs w:val="22"/>
          <w:lang w:val="es-ES_tradnl"/>
        </w:rPr>
        <w:t xml:space="preserve"> y del </w:t>
      </w:r>
      <w:r w:rsidRPr="00477CAF">
        <w:rPr>
          <w:i/>
          <w:szCs w:val="22"/>
          <w:lang w:val="es-ES_tradnl"/>
        </w:rPr>
        <w:t>Comité Ejecutivo de la Unión de Berna</w:t>
      </w:r>
      <w:r w:rsidRPr="00477CAF">
        <w:rPr>
          <w:szCs w:val="22"/>
          <w:lang w:val="es-ES_tradnl"/>
        </w:rPr>
        <w:t xml:space="preserve">. </w:t>
      </w:r>
    </w:p>
    <w:p w:rsidR="001D318D" w:rsidRPr="00477CAF" w:rsidRDefault="001D318D" w:rsidP="001D318D">
      <w:pPr>
        <w:tabs>
          <w:tab w:val="left" w:pos="2552"/>
        </w:tabs>
        <w:spacing w:after="240"/>
        <w:rPr>
          <w:noProof/>
          <w:szCs w:val="22"/>
          <w:lang w:val="es-ES_tradnl"/>
        </w:rPr>
      </w:pPr>
      <w:r w:rsidRPr="00477CAF">
        <w:rPr>
          <w:noProof/>
          <w:szCs w:val="22"/>
          <w:lang w:val="es-ES_tradnl"/>
        </w:rPr>
        <w:t xml:space="preserve">Como consecuencia de ello, entre octubre de 2021 y octubre de 2023, el Comité de Coordinación de la OMPI estará compuesto de los siguientes Estados: </w:t>
      </w:r>
    </w:p>
    <w:p w:rsidR="001D318D" w:rsidRPr="00477CAF" w:rsidRDefault="004F5F96" w:rsidP="00D47AB4">
      <w:pPr>
        <w:spacing w:after="240"/>
        <w:rPr>
          <w:lang w:val="es-ES_tradnl"/>
        </w:rPr>
      </w:pPr>
      <w:r w:rsidRPr="00477CAF">
        <w:rPr>
          <w:lang w:val="es-ES_tradnl"/>
        </w:rPr>
        <w:t>Alemania,</w:t>
      </w:r>
      <w:r w:rsidRPr="00477CAF">
        <w:rPr>
          <w:szCs w:val="22"/>
          <w:lang w:val="es-ES_tradnl"/>
        </w:rPr>
        <w:t xml:space="preserve"> </w:t>
      </w:r>
      <w:r w:rsidRPr="00477CAF">
        <w:rPr>
          <w:lang w:val="es-ES_tradnl"/>
        </w:rPr>
        <w:t>Arabia Saudita, Argelia,</w:t>
      </w:r>
      <w:r w:rsidRPr="00477CAF">
        <w:rPr>
          <w:szCs w:val="22"/>
          <w:lang w:val="es-ES_tradnl"/>
        </w:rPr>
        <w:t xml:space="preserve"> Argentina</w:t>
      </w:r>
      <w:r w:rsidRPr="00477CAF">
        <w:rPr>
          <w:lang w:val="es-ES_tradnl"/>
        </w:rPr>
        <w:t>,</w:t>
      </w:r>
      <w:r w:rsidRPr="00477CAF">
        <w:rPr>
          <w:szCs w:val="22"/>
          <w:lang w:val="es-ES_tradnl"/>
        </w:rPr>
        <w:t xml:space="preserve"> Armenia</w:t>
      </w:r>
      <w:r w:rsidRPr="00477CAF">
        <w:rPr>
          <w:lang w:val="es-ES_tradnl"/>
        </w:rPr>
        <w:t>,</w:t>
      </w:r>
      <w:r w:rsidRPr="00477CAF">
        <w:rPr>
          <w:szCs w:val="22"/>
          <w:lang w:val="es-ES_tradnl"/>
        </w:rPr>
        <w:t xml:space="preserve"> Australia</w:t>
      </w:r>
      <w:r w:rsidRPr="00477CAF">
        <w:rPr>
          <w:lang w:val="es-ES_tradnl"/>
        </w:rPr>
        <w:t>,</w:t>
      </w:r>
      <w:r w:rsidRPr="00477CAF">
        <w:rPr>
          <w:szCs w:val="22"/>
          <w:lang w:val="es-ES_tradnl"/>
        </w:rPr>
        <w:t xml:space="preserve"> Austria</w:t>
      </w:r>
      <w:r w:rsidRPr="00477CAF">
        <w:rPr>
          <w:lang w:val="es-ES_tradnl"/>
        </w:rPr>
        <w:t>,</w:t>
      </w:r>
      <w:r w:rsidRPr="00477CAF">
        <w:rPr>
          <w:szCs w:val="22"/>
          <w:lang w:val="es-ES_tradnl"/>
        </w:rPr>
        <w:t xml:space="preserve"> </w:t>
      </w:r>
      <w:r w:rsidRPr="00477CAF">
        <w:rPr>
          <w:lang w:val="es-ES_tradnl"/>
        </w:rPr>
        <w:t>Azerbaiyán,</w:t>
      </w:r>
      <w:r w:rsidRPr="00477CAF">
        <w:rPr>
          <w:szCs w:val="22"/>
          <w:lang w:val="es-ES_tradnl"/>
        </w:rPr>
        <w:t xml:space="preserve"> Bangladesh</w:t>
      </w:r>
      <w:r w:rsidRPr="00477CAF">
        <w:rPr>
          <w:lang w:val="es-ES_tradnl"/>
        </w:rPr>
        <w:t>,</w:t>
      </w:r>
      <w:r w:rsidRPr="00477CAF">
        <w:rPr>
          <w:szCs w:val="22"/>
          <w:lang w:val="es-ES_tradnl"/>
        </w:rPr>
        <w:t xml:space="preserve"> </w:t>
      </w:r>
      <w:r w:rsidRPr="00477CAF">
        <w:rPr>
          <w:lang w:val="es-ES_tradnl"/>
        </w:rPr>
        <w:t>Belarús,</w:t>
      </w:r>
      <w:r w:rsidRPr="00477CAF">
        <w:rPr>
          <w:szCs w:val="22"/>
          <w:lang w:val="es-ES_tradnl"/>
        </w:rPr>
        <w:t xml:space="preserve"> </w:t>
      </w:r>
      <w:r w:rsidRPr="00477CAF">
        <w:rPr>
          <w:lang w:val="es-ES_tradnl"/>
        </w:rPr>
        <w:t>Bélgica,</w:t>
      </w:r>
      <w:r w:rsidRPr="00477CAF">
        <w:rPr>
          <w:szCs w:val="22"/>
          <w:lang w:val="es-ES_tradnl"/>
        </w:rPr>
        <w:t xml:space="preserve"> Bolivia (</w:t>
      </w:r>
      <w:r w:rsidRPr="00477CAF">
        <w:rPr>
          <w:lang w:val="es-ES_tradnl"/>
        </w:rPr>
        <w:t>Estado Plurinacional de</w:t>
      </w:r>
      <w:r w:rsidRPr="00477CAF">
        <w:rPr>
          <w:szCs w:val="22"/>
          <w:lang w:val="es-ES_tradnl"/>
        </w:rPr>
        <w:t xml:space="preserve"> )</w:t>
      </w:r>
      <w:r w:rsidRPr="00477CAF">
        <w:rPr>
          <w:lang w:val="es-ES_tradnl"/>
        </w:rPr>
        <w:t>,</w:t>
      </w:r>
      <w:r w:rsidRPr="00477CAF">
        <w:rPr>
          <w:szCs w:val="22"/>
          <w:lang w:val="es-ES_tradnl"/>
        </w:rPr>
        <w:t xml:space="preserve"> </w:t>
      </w:r>
      <w:r w:rsidRPr="00477CAF">
        <w:rPr>
          <w:lang w:val="es-ES_tradnl"/>
        </w:rPr>
        <w:t>Brasil,</w:t>
      </w:r>
      <w:r w:rsidRPr="00477CAF">
        <w:rPr>
          <w:szCs w:val="22"/>
          <w:lang w:val="es-ES_tradnl"/>
        </w:rPr>
        <w:t xml:space="preserve"> </w:t>
      </w:r>
      <w:r w:rsidRPr="00477CAF">
        <w:rPr>
          <w:lang w:val="es-ES_tradnl"/>
        </w:rPr>
        <w:t>Camboya,</w:t>
      </w:r>
      <w:r w:rsidRPr="00477CAF">
        <w:rPr>
          <w:szCs w:val="22"/>
          <w:lang w:val="es-ES_tradnl"/>
        </w:rPr>
        <w:t xml:space="preserve"> </w:t>
      </w:r>
      <w:r w:rsidRPr="00477CAF">
        <w:rPr>
          <w:lang w:val="es-ES_tradnl"/>
        </w:rPr>
        <w:t>Canadá,</w:t>
      </w:r>
      <w:r w:rsidRPr="00477CAF">
        <w:rPr>
          <w:szCs w:val="22"/>
          <w:lang w:val="es-ES_tradnl"/>
        </w:rPr>
        <w:t xml:space="preserve"> Chile</w:t>
      </w:r>
      <w:r w:rsidRPr="00477CAF">
        <w:rPr>
          <w:lang w:val="es-ES_tradnl"/>
        </w:rPr>
        <w:t>,</w:t>
      </w:r>
      <w:r w:rsidRPr="00477CAF">
        <w:rPr>
          <w:szCs w:val="22"/>
          <w:lang w:val="es-ES_tradnl"/>
        </w:rPr>
        <w:t xml:space="preserve"> China</w:t>
      </w:r>
      <w:r w:rsidRPr="00477CAF">
        <w:rPr>
          <w:lang w:val="es-ES_tradnl"/>
        </w:rPr>
        <w:t>,</w:t>
      </w:r>
      <w:r w:rsidRPr="00477CAF">
        <w:rPr>
          <w:szCs w:val="22"/>
          <w:lang w:val="es-ES_tradnl"/>
        </w:rPr>
        <w:t xml:space="preserve"> Colombia</w:t>
      </w:r>
      <w:r w:rsidRPr="00477CAF">
        <w:rPr>
          <w:lang w:val="es-ES_tradnl"/>
        </w:rPr>
        <w:t>,</w:t>
      </w:r>
      <w:r w:rsidRPr="00477CAF">
        <w:rPr>
          <w:szCs w:val="22"/>
          <w:lang w:val="es-ES_tradnl"/>
        </w:rPr>
        <w:t xml:space="preserve"> Costa</w:t>
      </w:r>
      <w:r w:rsidRPr="00477CAF">
        <w:rPr>
          <w:lang w:val="es-ES_tradnl"/>
        </w:rPr>
        <w:t xml:space="preserve"> </w:t>
      </w:r>
      <w:r w:rsidRPr="00477CAF">
        <w:rPr>
          <w:szCs w:val="22"/>
          <w:lang w:val="es-ES_tradnl"/>
        </w:rPr>
        <w:t>Rica</w:t>
      </w:r>
      <w:r w:rsidRPr="00477CAF">
        <w:rPr>
          <w:lang w:val="es-ES_tradnl"/>
        </w:rPr>
        <w:t>,</w:t>
      </w:r>
      <w:r w:rsidRPr="00477CAF">
        <w:rPr>
          <w:szCs w:val="22"/>
          <w:lang w:val="es-ES_tradnl"/>
        </w:rPr>
        <w:t xml:space="preserve"> Côte d’Ivoire</w:t>
      </w:r>
      <w:r w:rsidRPr="00477CAF">
        <w:rPr>
          <w:lang w:val="es-ES_tradnl"/>
        </w:rPr>
        <w:t>,</w:t>
      </w:r>
      <w:r w:rsidRPr="00477CAF">
        <w:rPr>
          <w:szCs w:val="22"/>
          <w:lang w:val="es-ES_tradnl"/>
        </w:rPr>
        <w:t xml:space="preserve"> </w:t>
      </w:r>
      <w:r w:rsidRPr="00477CAF">
        <w:rPr>
          <w:lang w:val="es-ES_tradnl"/>
        </w:rPr>
        <w:t>Croacia,</w:t>
      </w:r>
      <w:r w:rsidRPr="00477CAF">
        <w:rPr>
          <w:szCs w:val="22"/>
          <w:lang w:val="es-ES_tradnl"/>
        </w:rPr>
        <w:t xml:space="preserve"> Cuba</w:t>
      </w:r>
      <w:r w:rsidRPr="00477CAF">
        <w:rPr>
          <w:lang w:val="es-ES_tradnl"/>
        </w:rPr>
        <w:t>,</w:t>
      </w:r>
      <w:r w:rsidRPr="00477CAF">
        <w:rPr>
          <w:szCs w:val="22"/>
          <w:lang w:val="es-ES_tradnl"/>
        </w:rPr>
        <w:t xml:space="preserve"> </w:t>
      </w:r>
      <w:r w:rsidRPr="00477CAF">
        <w:rPr>
          <w:lang w:val="es-ES_tradnl"/>
        </w:rPr>
        <w:t>Dinamarca,</w:t>
      </w:r>
      <w:r w:rsidRPr="00477CAF">
        <w:rPr>
          <w:szCs w:val="22"/>
          <w:lang w:val="es-ES_tradnl"/>
        </w:rPr>
        <w:t xml:space="preserve"> Djibouti</w:t>
      </w:r>
      <w:r w:rsidRPr="00477CAF">
        <w:rPr>
          <w:lang w:val="es-ES_tradnl"/>
        </w:rPr>
        <w:t>,</w:t>
      </w:r>
      <w:r w:rsidRPr="00477CAF">
        <w:rPr>
          <w:szCs w:val="22"/>
          <w:lang w:val="es-ES_tradnl"/>
        </w:rPr>
        <w:t xml:space="preserve"> Ecuador</w:t>
      </w:r>
      <w:r w:rsidRPr="00477CAF">
        <w:rPr>
          <w:lang w:val="es-ES_tradnl"/>
        </w:rPr>
        <w:t>,</w:t>
      </w:r>
      <w:r w:rsidRPr="00477CAF">
        <w:rPr>
          <w:szCs w:val="22"/>
          <w:lang w:val="es-ES_tradnl"/>
        </w:rPr>
        <w:t xml:space="preserve"> </w:t>
      </w:r>
      <w:r w:rsidRPr="00477CAF">
        <w:rPr>
          <w:lang w:val="es-ES_tradnl"/>
        </w:rPr>
        <w:t>Egipto,</w:t>
      </w:r>
      <w:r w:rsidRPr="00477CAF">
        <w:rPr>
          <w:szCs w:val="22"/>
          <w:lang w:val="es-ES_tradnl"/>
        </w:rPr>
        <w:t xml:space="preserve"> El Salvador (2022-2023)</w:t>
      </w:r>
      <w:r w:rsidRPr="00477CAF">
        <w:rPr>
          <w:lang w:val="es-ES_tradnl"/>
        </w:rPr>
        <w:t>,</w:t>
      </w:r>
      <w:r w:rsidRPr="00477CAF">
        <w:rPr>
          <w:szCs w:val="22"/>
          <w:lang w:val="es-ES_tradnl"/>
        </w:rPr>
        <w:t xml:space="preserve"> Eritrea (</w:t>
      </w:r>
      <w:r w:rsidRPr="00477CAF">
        <w:rPr>
          <w:i/>
          <w:szCs w:val="22"/>
          <w:lang w:val="es-ES_tradnl"/>
        </w:rPr>
        <w:t>ad hoc</w:t>
      </w:r>
      <w:r w:rsidRPr="00477CAF">
        <w:rPr>
          <w:szCs w:val="22"/>
          <w:lang w:val="es-ES_tradnl"/>
        </w:rPr>
        <w:t>)</w:t>
      </w:r>
      <w:r w:rsidRPr="00477CAF">
        <w:rPr>
          <w:lang w:val="es-ES_tradnl"/>
        </w:rPr>
        <w:t>,</w:t>
      </w:r>
      <w:r w:rsidRPr="00477CAF">
        <w:rPr>
          <w:szCs w:val="22"/>
          <w:lang w:val="es-ES_tradnl"/>
        </w:rPr>
        <w:t xml:space="preserve"> </w:t>
      </w:r>
      <w:r w:rsidRPr="00477CAF">
        <w:rPr>
          <w:lang w:val="es-ES_tradnl"/>
        </w:rPr>
        <w:t>España,</w:t>
      </w:r>
      <w:r w:rsidRPr="00477CAF">
        <w:rPr>
          <w:szCs w:val="22"/>
          <w:lang w:val="es-ES_tradnl"/>
        </w:rPr>
        <w:t xml:space="preserve"> </w:t>
      </w:r>
      <w:r w:rsidRPr="00477CAF">
        <w:rPr>
          <w:lang w:val="es-ES_tradnl"/>
        </w:rPr>
        <w:t xml:space="preserve">Estados Unidos de </w:t>
      </w:r>
      <w:r w:rsidRPr="00477CAF">
        <w:rPr>
          <w:lang w:val="es-ES_tradnl"/>
        </w:rPr>
        <w:lastRenderedPageBreak/>
        <w:t>América,</w:t>
      </w:r>
      <w:r w:rsidRPr="00477CAF">
        <w:rPr>
          <w:szCs w:val="22"/>
          <w:lang w:val="es-ES_tradnl"/>
        </w:rPr>
        <w:t xml:space="preserve"> </w:t>
      </w:r>
      <w:r w:rsidRPr="00477CAF">
        <w:rPr>
          <w:lang w:val="es-ES_tradnl"/>
        </w:rPr>
        <w:t>Federación de Rusia,</w:t>
      </w:r>
      <w:r w:rsidRPr="00477CAF">
        <w:rPr>
          <w:szCs w:val="22"/>
          <w:lang w:val="es-ES_tradnl"/>
        </w:rPr>
        <w:t xml:space="preserve"> </w:t>
      </w:r>
      <w:r w:rsidRPr="00477CAF">
        <w:rPr>
          <w:lang w:val="es-ES_tradnl"/>
        </w:rPr>
        <w:t>Finlandia,</w:t>
      </w:r>
      <w:r w:rsidRPr="00477CAF">
        <w:rPr>
          <w:szCs w:val="22"/>
          <w:lang w:val="es-ES_tradnl"/>
        </w:rPr>
        <w:t xml:space="preserve"> </w:t>
      </w:r>
      <w:r w:rsidRPr="00477CAF">
        <w:rPr>
          <w:lang w:val="es-ES_tradnl"/>
        </w:rPr>
        <w:t>Francia,</w:t>
      </w:r>
      <w:r w:rsidRPr="00477CAF">
        <w:rPr>
          <w:szCs w:val="22"/>
          <w:lang w:val="es-ES_tradnl"/>
        </w:rPr>
        <w:t xml:space="preserve"> Gambia</w:t>
      </w:r>
      <w:r w:rsidRPr="00477CAF">
        <w:rPr>
          <w:lang w:val="es-ES_tradnl"/>
        </w:rPr>
        <w:t>,</w:t>
      </w:r>
      <w:r w:rsidRPr="00477CAF">
        <w:rPr>
          <w:szCs w:val="22"/>
          <w:lang w:val="es-ES_tradnl"/>
        </w:rPr>
        <w:t xml:space="preserve"> Ghana</w:t>
      </w:r>
      <w:r w:rsidRPr="00477CAF">
        <w:rPr>
          <w:lang w:val="es-ES_tradnl"/>
        </w:rPr>
        <w:t>,</w:t>
      </w:r>
      <w:r w:rsidRPr="00477CAF">
        <w:rPr>
          <w:szCs w:val="22"/>
          <w:lang w:val="es-ES_tradnl"/>
        </w:rPr>
        <w:t xml:space="preserve"> Guatemala</w:t>
      </w:r>
      <w:r w:rsidRPr="00477CAF">
        <w:rPr>
          <w:lang w:val="es-ES_tradnl"/>
        </w:rPr>
        <w:t>,</w:t>
      </w:r>
      <w:r w:rsidRPr="00477CAF">
        <w:rPr>
          <w:szCs w:val="22"/>
          <w:lang w:val="es-ES_tradnl"/>
        </w:rPr>
        <w:t xml:space="preserve"> </w:t>
      </w:r>
      <w:r w:rsidRPr="00477CAF">
        <w:rPr>
          <w:lang w:val="es-ES_tradnl"/>
        </w:rPr>
        <w:t>Hungría,</w:t>
      </w:r>
      <w:r w:rsidRPr="00477CAF">
        <w:rPr>
          <w:szCs w:val="22"/>
          <w:lang w:val="es-ES_tradnl"/>
        </w:rPr>
        <w:t xml:space="preserve"> India</w:t>
      </w:r>
      <w:r w:rsidRPr="00477CAF">
        <w:rPr>
          <w:lang w:val="es-ES_tradnl"/>
        </w:rPr>
        <w:t>,</w:t>
      </w:r>
      <w:r w:rsidRPr="00477CAF">
        <w:rPr>
          <w:szCs w:val="22"/>
          <w:lang w:val="es-ES_tradnl"/>
        </w:rPr>
        <w:t xml:space="preserve"> Indonesia</w:t>
      </w:r>
      <w:r w:rsidRPr="00477CAF">
        <w:rPr>
          <w:lang w:val="es-ES_tradnl"/>
        </w:rPr>
        <w:t>,</w:t>
      </w:r>
      <w:r w:rsidRPr="00477CAF">
        <w:rPr>
          <w:szCs w:val="22"/>
          <w:lang w:val="es-ES_tradnl"/>
        </w:rPr>
        <w:t xml:space="preserve"> </w:t>
      </w:r>
      <w:r w:rsidRPr="00477CAF">
        <w:rPr>
          <w:lang w:val="es-ES_tradnl"/>
        </w:rPr>
        <w:t xml:space="preserve">Irán </w:t>
      </w:r>
      <w:r w:rsidRPr="00477CAF">
        <w:rPr>
          <w:szCs w:val="22"/>
          <w:lang w:val="es-ES_tradnl"/>
        </w:rPr>
        <w:t>(</w:t>
      </w:r>
      <w:r w:rsidRPr="00477CAF">
        <w:rPr>
          <w:lang w:val="es-ES_tradnl"/>
        </w:rPr>
        <w:t>República Islámica del</w:t>
      </w:r>
      <w:r w:rsidRPr="00477CAF">
        <w:rPr>
          <w:szCs w:val="22"/>
          <w:lang w:val="es-ES_tradnl"/>
        </w:rPr>
        <w:t>)</w:t>
      </w:r>
      <w:r w:rsidRPr="00477CAF">
        <w:rPr>
          <w:lang w:val="es-ES_tradnl"/>
        </w:rPr>
        <w:t>,</w:t>
      </w:r>
      <w:r w:rsidRPr="00477CAF">
        <w:rPr>
          <w:szCs w:val="22"/>
          <w:lang w:val="es-ES_tradnl"/>
        </w:rPr>
        <w:t xml:space="preserve"> </w:t>
      </w:r>
      <w:r w:rsidRPr="00477CAF">
        <w:rPr>
          <w:lang w:val="es-ES_tradnl"/>
        </w:rPr>
        <w:t>Irlanda,</w:t>
      </w:r>
      <w:r w:rsidRPr="00477CAF">
        <w:rPr>
          <w:szCs w:val="22"/>
          <w:lang w:val="es-ES_tradnl"/>
        </w:rPr>
        <w:t xml:space="preserve"> </w:t>
      </w:r>
      <w:r w:rsidRPr="00477CAF">
        <w:rPr>
          <w:lang w:val="es-ES_tradnl"/>
        </w:rPr>
        <w:t>Islandia,</w:t>
      </w:r>
      <w:r w:rsidRPr="00477CAF">
        <w:rPr>
          <w:szCs w:val="22"/>
          <w:lang w:val="es-ES_tradnl"/>
        </w:rPr>
        <w:t xml:space="preserve"> </w:t>
      </w:r>
      <w:r w:rsidRPr="00477CAF">
        <w:rPr>
          <w:lang w:val="es-ES_tradnl"/>
        </w:rPr>
        <w:t>Italia,</w:t>
      </w:r>
      <w:r w:rsidRPr="00477CAF">
        <w:rPr>
          <w:szCs w:val="22"/>
          <w:lang w:val="es-ES_tradnl"/>
        </w:rPr>
        <w:t xml:space="preserve"> Jamaica</w:t>
      </w:r>
      <w:r w:rsidRPr="00477CAF">
        <w:rPr>
          <w:lang w:val="es-ES_tradnl"/>
        </w:rPr>
        <w:t>,</w:t>
      </w:r>
      <w:r w:rsidRPr="00477CAF">
        <w:rPr>
          <w:szCs w:val="22"/>
          <w:lang w:val="es-ES_tradnl"/>
        </w:rPr>
        <w:t xml:space="preserve"> </w:t>
      </w:r>
      <w:r w:rsidRPr="00477CAF">
        <w:rPr>
          <w:lang w:val="es-ES_tradnl"/>
        </w:rPr>
        <w:t>Japón,</w:t>
      </w:r>
      <w:r w:rsidRPr="00477CAF">
        <w:rPr>
          <w:szCs w:val="22"/>
          <w:lang w:val="es-ES_tradnl"/>
        </w:rPr>
        <w:t xml:space="preserve"> Kenya</w:t>
      </w:r>
      <w:r w:rsidRPr="00477CAF">
        <w:rPr>
          <w:lang w:val="es-ES_tradnl"/>
        </w:rPr>
        <w:t>,</w:t>
      </w:r>
      <w:r w:rsidRPr="00477CAF">
        <w:rPr>
          <w:szCs w:val="22"/>
          <w:lang w:val="es-ES_tradnl"/>
        </w:rPr>
        <w:t xml:space="preserve"> Lesotho</w:t>
      </w:r>
      <w:r w:rsidRPr="00477CAF">
        <w:rPr>
          <w:lang w:val="es-ES_tradnl"/>
        </w:rPr>
        <w:t>,</w:t>
      </w:r>
      <w:r w:rsidRPr="00477CAF">
        <w:rPr>
          <w:szCs w:val="22"/>
          <w:lang w:val="es-ES_tradnl"/>
        </w:rPr>
        <w:t xml:space="preserve"> Liberia</w:t>
      </w:r>
      <w:r w:rsidRPr="00477CAF">
        <w:rPr>
          <w:lang w:val="es-ES_tradnl"/>
        </w:rPr>
        <w:t>,</w:t>
      </w:r>
      <w:r w:rsidRPr="00477CAF">
        <w:rPr>
          <w:szCs w:val="22"/>
          <w:lang w:val="es-ES_tradnl"/>
        </w:rPr>
        <w:t xml:space="preserve"> </w:t>
      </w:r>
      <w:r w:rsidRPr="00477CAF">
        <w:rPr>
          <w:lang w:val="es-ES_tradnl"/>
        </w:rPr>
        <w:t>Luxemburgo,</w:t>
      </w:r>
      <w:r w:rsidRPr="00477CAF">
        <w:rPr>
          <w:szCs w:val="22"/>
          <w:lang w:val="es-ES_tradnl"/>
        </w:rPr>
        <w:t xml:space="preserve"> </w:t>
      </w:r>
      <w:r w:rsidRPr="00477CAF">
        <w:rPr>
          <w:lang w:val="es-ES_tradnl"/>
        </w:rPr>
        <w:t>Malasia,</w:t>
      </w:r>
      <w:r w:rsidRPr="00477CAF">
        <w:rPr>
          <w:szCs w:val="22"/>
          <w:lang w:val="es-ES_tradnl"/>
        </w:rPr>
        <w:t xml:space="preserve"> Malawi</w:t>
      </w:r>
      <w:r w:rsidRPr="00477CAF">
        <w:rPr>
          <w:lang w:val="es-ES_tradnl"/>
        </w:rPr>
        <w:t>,</w:t>
      </w:r>
      <w:r w:rsidRPr="00477CAF">
        <w:rPr>
          <w:szCs w:val="22"/>
          <w:lang w:val="es-ES_tradnl"/>
        </w:rPr>
        <w:t xml:space="preserve"> </w:t>
      </w:r>
      <w:r w:rsidRPr="00477CAF">
        <w:rPr>
          <w:lang w:val="es-ES_tradnl"/>
        </w:rPr>
        <w:t>Marruecos,</w:t>
      </w:r>
      <w:r w:rsidRPr="00477CAF">
        <w:rPr>
          <w:szCs w:val="22"/>
          <w:lang w:val="es-ES_tradnl"/>
        </w:rPr>
        <w:t xml:space="preserve"> </w:t>
      </w:r>
      <w:r w:rsidRPr="00477CAF">
        <w:rPr>
          <w:lang w:val="es-ES_tradnl"/>
        </w:rPr>
        <w:t>México,</w:t>
      </w:r>
      <w:r w:rsidRPr="00477CAF">
        <w:rPr>
          <w:szCs w:val="22"/>
          <w:lang w:val="es-ES_tradnl"/>
        </w:rPr>
        <w:t xml:space="preserve"> Mongolia</w:t>
      </w:r>
      <w:r w:rsidRPr="00477CAF">
        <w:rPr>
          <w:lang w:val="es-ES_tradnl"/>
        </w:rPr>
        <w:t>,</w:t>
      </w:r>
      <w:r w:rsidRPr="00477CAF">
        <w:rPr>
          <w:szCs w:val="22"/>
          <w:lang w:val="es-ES_tradnl"/>
        </w:rPr>
        <w:t xml:space="preserve"> Namibia</w:t>
      </w:r>
      <w:r w:rsidRPr="00477CAF">
        <w:rPr>
          <w:lang w:val="es-ES_tradnl"/>
        </w:rPr>
        <w:t>,</w:t>
      </w:r>
      <w:r w:rsidRPr="00477CAF">
        <w:rPr>
          <w:szCs w:val="22"/>
          <w:lang w:val="es-ES_tradnl"/>
        </w:rPr>
        <w:t xml:space="preserve"> </w:t>
      </w:r>
      <w:r w:rsidRPr="00477CAF">
        <w:rPr>
          <w:lang w:val="es-ES_tradnl"/>
        </w:rPr>
        <w:t>Nigeria,</w:t>
      </w:r>
      <w:r w:rsidRPr="00477CAF">
        <w:rPr>
          <w:szCs w:val="22"/>
          <w:lang w:val="es-ES_tradnl"/>
        </w:rPr>
        <w:t xml:space="preserve"> </w:t>
      </w:r>
      <w:r w:rsidRPr="00477CAF">
        <w:rPr>
          <w:lang w:val="es-ES_tradnl"/>
        </w:rPr>
        <w:t>Noruega,</w:t>
      </w:r>
      <w:r w:rsidRPr="00477CAF">
        <w:rPr>
          <w:szCs w:val="22"/>
          <w:lang w:val="es-ES_tradnl"/>
        </w:rPr>
        <w:t xml:space="preserve"> </w:t>
      </w:r>
      <w:r w:rsidRPr="00477CAF">
        <w:rPr>
          <w:lang w:val="es-ES_tradnl"/>
        </w:rPr>
        <w:t>Nueva Zelandia,</w:t>
      </w:r>
      <w:r w:rsidRPr="00477CAF">
        <w:rPr>
          <w:szCs w:val="22"/>
          <w:lang w:val="es-ES_tradnl"/>
        </w:rPr>
        <w:t xml:space="preserve"> </w:t>
      </w:r>
      <w:r w:rsidRPr="00477CAF">
        <w:rPr>
          <w:lang w:val="es-ES_tradnl"/>
        </w:rPr>
        <w:t>Países Bajos,</w:t>
      </w:r>
      <w:r w:rsidRPr="00477CAF">
        <w:rPr>
          <w:szCs w:val="22"/>
          <w:lang w:val="es-ES_tradnl"/>
        </w:rPr>
        <w:t xml:space="preserve"> </w:t>
      </w:r>
      <w:r w:rsidRPr="00477CAF">
        <w:rPr>
          <w:lang w:val="es-ES_tradnl"/>
        </w:rPr>
        <w:t>Pakistán,</w:t>
      </w:r>
      <w:r w:rsidRPr="00477CAF">
        <w:rPr>
          <w:szCs w:val="22"/>
          <w:lang w:val="es-ES_tradnl"/>
        </w:rPr>
        <w:t xml:space="preserve"> </w:t>
      </w:r>
      <w:r w:rsidRPr="00477CAF">
        <w:rPr>
          <w:lang w:val="es-ES_tradnl"/>
        </w:rPr>
        <w:t>Panamá,</w:t>
      </w:r>
      <w:r w:rsidRPr="00477CAF">
        <w:rPr>
          <w:szCs w:val="22"/>
          <w:lang w:val="es-ES_tradnl"/>
        </w:rPr>
        <w:t xml:space="preserve"> Paraguay (2021-2022)</w:t>
      </w:r>
      <w:r w:rsidRPr="00477CAF">
        <w:rPr>
          <w:lang w:val="es-ES_tradnl"/>
        </w:rPr>
        <w:t>,</w:t>
      </w:r>
      <w:r w:rsidRPr="00477CAF">
        <w:rPr>
          <w:szCs w:val="22"/>
          <w:lang w:val="es-ES_tradnl"/>
        </w:rPr>
        <w:t xml:space="preserve"> </w:t>
      </w:r>
      <w:r w:rsidRPr="00477CAF">
        <w:rPr>
          <w:lang w:val="es-ES_tradnl"/>
        </w:rPr>
        <w:t>Polonia,</w:t>
      </w:r>
      <w:r w:rsidRPr="00477CAF">
        <w:rPr>
          <w:szCs w:val="22"/>
          <w:lang w:val="es-ES_tradnl"/>
        </w:rPr>
        <w:t xml:space="preserve"> Portugal</w:t>
      </w:r>
      <w:r w:rsidRPr="00477CAF">
        <w:rPr>
          <w:lang w:val="es-ES_tradnl"/>
        </w:rPr>
        <w:t>,</w:t>
      </w:r>
      <w:r w:rsidRPr="00477CAF">
        <w:rPr>
          <w:szCs w:val="22"/>
          <w:lang w:val="es-ES_tradnl"/>
        </w:rPr>
        <w:t xml:space="preserve"> Qatar</w:t>
      </w:r>
      <w:r w:rsidRPr="00477CAF">
        <w:rPr>
          <w:lang w:val="es-ES_tradnl"/>
        </w:rPr>
        <w:t>,</w:t>
      </w:r>
      <w:r w:rsidRPr="00477CAF">
        <w:rPr>
          <w:szCs w:val="22"/>
          <w:lang w:val="es-ES_tradnl"/>
        </w:rPr>
        <w:t xml:space="preserve"> </w:t>
      </w:r>
      <w:r w:rsidRPr="00477CAF">
        <w:rPr>
          <w:lang w:val="es-ES_tradnl"/>
        </w:rPr>
        <w:t>Reino Unido,</w:t>
      </w:r>
      <w:r w:rsidRPr="00477CAF">
        <w:rPr>
          <w:szCs w:val="22"/>
          <w:lang w:val="es-ES_tradnl"/>
        </w:rPr>
        <w:t xml:space="preserve"> </w:t>
      </w:r>
      <w:r w:rsidRPr="00477CAF">
        <w:rPr>
          <w:lang w:val="es-ES_tradnl"/>
        </w:rPr>
        <w:t>República Checa,</w:t>
      </w:r>
      <w:r w:rsidRPr="00477CAF">
        <w:rPr>
          <w:szCs w:val="22"/>
          <w:lang w:val="es-ES_tradnl"/>
        </w:rPr>
        <w:t xml:space="preserve"> </w:t>
      </w:r>
      <w:r w:rsidRPr="00477CAF">
        <w:rPr>
          <w:lang w:val="es-ES_tradnl"/>
        </w:rPr>
        <w:t>República de Corea,</w:t>
      </w:r>
      <w:r w:rsidRPr="00477CAF">
        <w:rPr>
          <w:szCs w:val="22"/>
          <w:lang w:val="es-ES_tradnl"/>
        </w:rPr>
        <w:t xml:space="preserve"> </w:t>
      </w:r>
      <w:r w:rsidRPr="00477CAF">
        <w:rPr>
          <w:lang w:val="es-ES_tradnl"/>
        </w:rPr>
        <w:t>República Popular Democrática de Corea,</w:t>
      </w:r>
      <w:r w:rsidRPr="00477CAF">
        <w:rPr>
          <w:szCs w:val="22"/>
          <w:lang w:val="es-ES_tradnl"/>
        </w:rPr>
        <w:t xml:space="preserve"> </w:t>
      </w:r>
      <w:r w:rsidRPr="00477CAF">
        <w:rPr>
          <w:lang w:val="es-ES_tradnl"/>
        </w:rPr>
        <w:t>Rumania,</w:t>
      </w:r>
      <w:r w:rsidRPr="00477CAF">
        <w:rPr>
          <w:szCs w:val="22"/>
          <w:lang w:val="es-ES_tradnl"/>
        </w:rPr>
        <w:t xml:space="preserve"> Serbia</w:t>
      </w:r>
      <w:r w:rsidRPr="00477CAF">
        <w:rPr>
          <w:lang w:val="es-ES_tradnl"/>
        </w:rPr>
        <w:t>,</w:t>
      </w:r>
      <w:r w:rsidRPr="00477CAF">
        <w:rPr>
          <w:szCs w:val="22"/>
          <w:lang w:val="es-ES_tradnl"/>
        </w:rPr>
        <w:t xml:space="preserve"> </w:t>
      </w:r>
      <w:r w:rsidRPr="00477CAF">
        <w:rPr>
          <w:lang w:val="es-ES_tradnl"/>
        </w:rPr>
        <w:t>Singapur,</w:t>
      </w:r>
      <w:r w:rsidRPr="00477CAF">
        <w:rPr>
          <w:szCs w:val="22"/>
          <w:lang w:val="es-ES_tradnl"/>
        </w:rPr>
        <w:t xml:space="preserve"> </w:t>
      </w:r>
      <w:r w:rsidRPr="00477CAF">
        <w:rPr>
          <w:lang w:val="es-ES_tradnl"/>
        </w:rPr>
        <w:t>Sudáfrica,</w:t>
      </w:r>
      <w:r w:rsidRPr="00477CAF">
        <w:rPr>
          <w:szCs w:val="22"/>
          <w:lang w:val="es-ES_tradnl"/>
        </w:rPr>
        <w:t xml:space="preserve"> </w:t>
      </w:r>
      <w:r w:rsidRPr="00477CAF">
        <w:rPr>
          <w:lang w:val="es-ES_tradnl"/>
        </w:rPr>
        <w:t>Sudán,</w:t>
      </w:r>
      <w:r w:rsidRPr="00477CAF">
        <w:rPr>
          <w:szCs w:val="22"/>
          <w:lang w:val="es-ES_tradnl"/>
        </w:rPr>
        <w:t xml:space="preserve"> </w:t>
      </w:r>
      <w:r w:rsidRPr="00477CAF">
        <w:rPr>
          <w:lang w:val="es-ES_tradnl"/>
        </w:rPr>
        <w:t>Suecia,</w:t>
      </w:r>
      <w:r w:rsidRPr="00477CAF">
        <w:rPr>
          <w:szCs w:val="22"/>
          <w:lang w:val="es-ES_tradnl"/>
        </w:rPr>
        <w:t xml:space="preserve"> </w:t>
      </w:r>
      <w:r w:rsidRPr="00477CAF">
        <w:rPr>
          <w:lang w:val="es-ES_tradnl"/>
        </w:rPr>
        <w:t>Suiza</w:t>
      </w:r>
      <w:r w:rsidRPr="00477CAF">
        <w:rPr>
          <w:szCs w:val="22"/>
          <w:lang w:val="es-ES_tradnl"/>
        </w:rPr>
        <w:t xml:space="preserve"> (</w:t>
      </w:r>
      <w:r w:rsidRPr="00477CAF">
        <w:rPr>
          <w:i/>
          <w:szCs w:val="22"/>
          <w:lang w:val="es-ES_tradnl"/>
        </w:rPr>
        <w:t>ex officio</w:t>
      </w:r>
      <w:r w:rsidRPr="00477CAF">
        <w:rPr>
          <w:szCs w:val="22"/>
          <w:lang w:val="es-ES_tradnl"/>
        </w:rPr>
        <w:t>)</w:t>
      </w:r>
      <w:r w:rsidRPr="00477CAF">
        <w:rPr>
          <w:lang w:val="es-ES_tradnl"/>
        </w:rPr>
        <w:t>,</w:t>
      </w:r>
      <w:r w:rsidRPr="00477CAF">
        <w:rPr>
          <w:szCs w:val="22"/>
          <w:lang w:val="es-ES_tradnl"/>
        </w:rPr>
        <w:t xml:space="preserve"> </w:t>
      </w:r>
      <w:r w:rsidRPr="00477CAF">
        <w:rPr>
          <w:lang w:val="es-ES_tradnl"/>
        </w:rPr>
        <w:t>Trinidad y Tabago,</w:t>
      </w:r>
      <w:r w:rsidRPr="00477CAF">
        <w:rPr>
          <w:szCs w:val="22"/>
          <w:lang w:val="es-ES_tradnl"/>
        </w:rPr>
        <w:t xml:space="preserve"> </w:t>
      </w:r>
      <w:r w:rsidRPr="00477CAF">
        <w:rPr>
          <w:lang w:val="es-ES_tradnl"/>
        </w:rPr>
        <w:t>Túnez,</w:t>
      </w:r>
      <w:r w:rsidRPr="00477CAF">
        <w:rPr>
          <w:szCs w:val="22"/>
          <w:lang w:val="es-ES_tradnl"/>
        </w:rPr>
        <w:t xml:space="preserve"> </w:t>
      </w:r>
      <w:r w:rsidRPr="00477CAF">
        <w:rPr>
          <w:lang w:val="es-ES_tradnl"/>
        </w:rPr>
        <w:t>Turquía,</w:t>
      </w:r>
      <w:r w:rsidRPr="00477CAF">
        <w:rPr>
          <w:szCs w:val="22"/>
          <w:lang w:val="es-ES_tradnl"/>
        </w:rPr>
        <w:t xml:space="preserve"> Uganda; </w:t>
      </w:r>
      <w:r w:rsidRPr="00477CAF">
        <w:rPr>
          <w:lang w:val="es-ES_tradnl"/>
        </w:rPr>
        <w:t>Emiratos Árabes Unidos,</w:t>
      </w:r>
      <w:r w:rsidRPr="00477CAF">
        <w:rPr>
          <w:szCs w:val="22"/>
          <w:lang w:val="es-ES_tradnl"/>
        </w:rPr>
        <w:t xml:space="preserve"> Venezuela (</w:t>
      </w:r>
      <w:r w:rsidRPr="00477CAF">
        <w:rPr>
          <w:lang w:val="es-ES_tradnl"/>
        </w:rPr>
        <w:t>República Bolivariana de</w:t>
      </w:r>
      <w:r w:rsidRPr="00477CAF">
        <w:rPr>
          <w:szCs w:val="22"/>
          <w:lang w:val="es-ES_tradnl"/>
        </w:rPr>
        <w:t>)</w:t>
      </w:r>
      <w:r w:rsidRPr="00477CAF">
        <w:rPr>
          <w:lang w:val="es-ES_tradnl"/>
        </w:rPr>
        <w:t>,</w:t>
      </w:r>
      <w:r w:rsidRPr="00477CAF">
        <w:rPr>
          <w:szCs w:val="22"/>
          <w:lang w:val="es-ES_tradnl"/>
        </w:rPr>
        <w:t xml:space="preserve"> Viet Nam</w:t>
      </w:r>
      <w:r w:rsidRPr="00477CAF">
        <w:rPr>
          <w:lang w:val="es-ES_tradnl"/>
        </w:rPr>
        <w:t>,</w:t>
      </w:r>
      <w:r w:rsidRPr="00477CAF">
        <w:rPr>
          <w:szCs w:val="22"/>
          <w:lang w:val="es-ES_tradnl"/>
        </w:rPr>
        <w:t xml:space="preserve"> Zimbabwe </w:t>
      </w:r>
      <w:r w:rsidR="001D318D" w:rsidRPr="00477CAF">
        <w:rPr>
          <w:szCs w:val="22"/>
          <w:lang w:val="es-ES_tradnl"/>
        </w:rPr>
        <w:t>(</w:t>
      </w:r>
      <w:r w:rsidRPr="00477CAF">
        <w:rPr>
          <w:szCs w:val="22"/>
          <w:lang w:val="es-ES_tradnl"/>
        </w:rPr>
        <w:t>83</w:t>
      </w:r>
      <w:r w:rsidR="001D318D" w:rsidRPr="00477CAF">
        <w:rPr>
          <w:szCs w:val="22"/>
          <w:lang w:val="es-ES_tradnl"/>
        </w:rPr>
        <w:t>).</w:t>
      </w:r>
    </w:p>
    <w:p w:rsidR="007A1A58" w:rsidRPr="00477CAF" w:rsidRDefault="001D318D" w:rsidP="001D318D">
      <w:pPr>
        <w:pStyle w:val="ONUMFS"/>
        <w:tabs>
          <w:tab w:val="clear" w:pos="567"/>
          <w:tab w:val="num" w:pos="1134"/>
          <w:tab w:val="num" w:pos="7655"/>
        </w:tabs>
        <w:spacing w:after="480"/>
        <w:ind w:left="567"/>
        <w:rPr>
          <w:szCs w:val="22"/>
          <w:lang w:val="es-ES_tradnl"/>
        </w:rPr>
      </w:pPr>
      <w:r w:rsidRPr="00477CAF">
        <w:rPr>
          <w:szCs w:val="22"/>
          <w:lang w:val="es-ES_tradnl"/>
        </w:rPr>
        <w:t>Las Asambleas de la OMPI, en lo que a cada una concierne, decidieron que, en las Asambleas de la OMPI de 2023, el presidente de la Asamblea General de la OMPI celebrará consultas con los Estados miembros sobre la asignación de las plazas vacantes para elegir la composición del Comité de Coordinación de la OMPI y de los Comités Ejecutivos de las Uniones de París y Berna, en las mismas Asambleas de la OMPI.</w:t>
      </w:r>
    </w:p>
    <w:p w:rsidR="007A1A58" w:rsidRPr="00477CAF" w:rsidRDefault="007A1A58" w:rsidP="00A92ECE">
      <w:pPr>
        <w:pStyle w:val="Heading2"/>
        <w:keepNext w:val="0"/>
        <w:spacing w:before="0"/>
        <w:rPr>
          <w:szCs w:val="22"/>
          <w:lang w:val="es-ES_tradnl"/>
        </w:rPr>
      </w:pPr>
      <w:r w:rsidRPr="00477CAF">
        <w:rPr>
          <w:szCs w:val="22"/>
          <w:lang w:val="es-ES_tradnl"/>
        </w:rPr>
        <w:t>PUNTO 9 DEL ORDEN DEL DÍA CONSOLIDADO</w:t>
      </w:r>
    </w:p>
    <w:p w:rsidR="007A1A58" w:rsidRPr="00477CAF" w:rsidRDefault="007A1A58" w:rsidP="00E72039">
      <w:pPr>
        <w:pStyle w:val="Heading2"/>
        <w:keepNext w:val="0"/>
        <w:spacing w:before="0"/>
        <w:rPr>
          <w:szCs w:val="22"/>
          <w:lang w:val="es-ES_tradnl"/>
        </w:rPr>
      </w:pPr>
      <w:r w:rsidRPr="00477CAF">
        <w:rPr>
          <w:szCs w:val="22"/>
          <w:lang w:val="es-ES_tradnl"/>
        </w:rPr>
        <w:t>ComposiCIÓN DEL COMITÉ DEL PROGRAMA Y PRESUPUESTO</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WO/GA/54/1.</w:t>
      </w:r>
    </w:p>
    <w:p w:rsidR="004F5F96" w:rsidRPr="00477CAF" w:rsidRDefault="004F5F96" w:rsidP="004F5F96">
      <w:pPr>
        <w:pStyle w:val="ONUMFS"/>
        <w:rPr>
          <w:lang w:val="es-ES_tradnl"/>
        </w:rPr>
      </w:pPr>
      <w:r w:rsidRPr="00477CAF">
        <w:rPr>
          <w:lang w:val="es-ES_tradnl"/>
        </w:rPr>
        <w:t>Tras las consultas oficiosas mantenidas entre los Estados miembros, la Asamblea General eligió por unanimidad a los siguientes Estados como miembros del Comité del Programa y Presupuesto para el período comprendido entre octubre de 2021 y octubre de 2023:</w:t>
      </w:r>
      <w:r w:rsidRPr="00477CAF">
        <w:rPr>
          <w:highlight w:val="yellow"/>
          <w:lang w:val="es-ES_tradnl"/>
        </w:rPr>
        <w:t xml:space="preserve"> </w:t>
      </w:r>
    </w:p>
    <w:p w:rsidR="004F5F96" w:rsidRPr="00477CAF" w:rsidRDefault="004F5F96" w:rsidP="004F5F96">
      <w:pPr>
        <w:pStyle w:val="ONUMFS"/>
        <w:numPr>
          <w:ilvl w:val="0"/>
          <w:numId w:val="0"/>
        </w:numPr>
        <w:ind w:left="567"/>
        <w:rPr>
          <w:lang w:val="es-ES_tradnl"/>
        </w:rPr>
      </w:pPr>
      <w:r w:rsidRPr="00477CAF">
        <w:rPr>
          <w:lang w:val="es-ES_tradnl"/>
        </w:rPr>
        <w:t>Alemania,</w:t>
      </w:r>
      <w:r w:rsidRPr="00477CAF">
        <w:rPr>
          <w:szCs w:val="22"/>
          <w:lang w:val="es-ES_tradnl"/>
        </w:rPr>
        <w:t xml:space="preserve"> </w:t>
      </w:r>
      <w:r w:rsidRPr="00477CAF">
        <w:rPr>
          <w:lang w:val="es-ES_tradnl"/>
        </w:rPr>
        <w:t>Arabia Saudita, Argelia,</w:t>
      </w:r>
      <w:r w:rsidRPr="00477CAF">
        <w:rPr>
          <w:szCs w:val="22"/>
          <w:lang w:val="es-ES_tradnl"/>
        </w:rPr>
        <w:t xml:space="preserve"> Argentina</w:t>
      </w:r>
      <w:r w:rsidRPr="00477CAF">
        <w:rPr>
          <w:lang w:val="es-ES_tradnl"/>
        </w:rPr>
        <w:t>,</w:t>
      </w:r>
      <w:r w:rsidRPr="00477CAF">
        <w:rPr>
          <w:szCs w:val="22"/>
          <w:lang w:val="es-ES_tradnl"/>
        </w:rPr>
        <w:t xml:space="preserve"> Armenia</w:t>
      </w:r>
      <w:r w:rsidRPr="00477CAF">
        <w:rPr>
          <w:lang w:val="es-ES_tradnl"/>
        </w:rPr>
        <w:t xml:space="preserve"> </w:t>
      </w:r>
      <w:r w:rsidRPr="00477CAF">
        <w:rPr>
          <w:szCs w:val="22"/>
          <w:lang w:val="es-ES_tradnl"/>
        </w:rPr>
        <w:t>(2021-2022)</w:t>
      </w:r>
      <w:r w:rsidRPr="00477CAF">
        <w:rPr>
          <w:lang w:val="es-ES_tradnl"/>
        </w:rPr>
        <w:t>,</w:t>
      </w:r>
      <w:r w:rsidRPr="00477CAF">
        <w:rPr>
          <w:szCs w:val="22"/>
          <w:lang w:val="es-ES_tradnl"/>
        </w:rPr>
        <w:t xml:space="preserve"> </w:t>
      </w:r>
      <w:r w:rsidRPr="00477CAF">
        <w:rPr>
          <w:lang w:val="es-ES_tradnl"/>
        </w:rPr>
        <w:t>Azerbaiyán (2021</w:t>
      </w:r>
      <w:r w:rsidRPr="00477CAF">
        <w:rPr>
          <w:lang w:val="es-ES_tradnl"/>
        </w:rPr>
        <w:noBreakHyphen/>
      </w:r>
      <w:r w:rsidRPr="00477CAF">
        <w:rPr>
          <w:szCs w:val="22"/>
          <w:lang w:val="es-ES_tradnl"/>
        </w:rPr>
        <w:t>2022)</w:t>
      </w:r>
      <w:r w:rsidRPr="00477CAF">
        <w:rPr>
          <w:lang w:val="es-ES_tradnl"/>
        </w:rPr>
        <w:t>,</w:t>
      </w:r>
      <w:r w:rsidRPr="00477CAF">
        <w:rPr>
          <w:szCs w:val="22"/>
          <w:lang w:val="es-ES_tradnl"/>
        </w:rPr>
        <w:t xml:space="preserve"> Bangladesh</w:t>
      </w:r>
      <w:r w:rsidRPr="00477CAF">
        <w:rPr>
          <w:lang w:val="es-ES_tradnl"/>
        </w:rPr>
        <w:t xml:space="preserve"> </w:t>
      </w:r>
      <w:r w:rsidRPr="00477CAF">
        <w:rPr>
          <w:szCs w:val="22"/>
          <w:lang w:val="es-ES_tradnl"/>
        </w:rPr>
        <w:t>(2021</w:t>
      </w:r>
      <w:r w:rsidRPr="00477CAF">
        <w:rPr>
          <w:szCs w:val="22"/>
          <w:lang w:val="es-ES_tradnl"/>
        </w:rPr>
        <w:noBreakHyphen/>
        <w:t>2022)</w:t>
      </w:r>
      <w:r w:rsidRPr="00477CAF">
        <w:rPr>
          <w:lang w:val="es-ES_tradnl"/>
        </w:rPr>
        <w:t>,</w:t>
      </w:r>
      <w:r w:rsidRPr="00477CAF">
        <w:rPr>
          <w:szCs w:val="22"/>
          <w:lang w:val="es-ES_tradnl"/>
        </w:rPr>
        <w:t xml:space="preserve"> </w:t>
      </w:r>
      <w:r w:rsidRPr="00477CAF">
        <w:rPr>
          <w:lang w:val="es-ES_tradnl"/>
        </w:rPr>
        <w:t xml:space="preserve">Belarús </w:t>
      </w:r>
      <w:r w:rsidRPr="00477CAF">
        <w:rPr>
          <w:szCs w:val="22"/>
          <w:lang w:val="es-ES_tradnl"/>
        </w:rPr>
        <w:t>(2022-2023)</w:t>
      </w:r>
      <w:r w:rsidRPr="00477CAF">
        <w:rPr>
          <w:lang w:val="es-ES_tradnl"/>
        </w:rPr>
        <w:t>,</w:t>
      </w:r>
      <w:r w:rsidRPr="00477CAF">
        <w:rPr>
          <w:szCs w:val="22"/>
          <w:lang w:val="es-ES_tradnl"/>
        </w:rPr>
        <w:t xml:space="preserve"> </w:t>
      </w:r>
      <w:r w:rsidRPr="00477CAF">
        <w:rPr>
          <w:lang w:val="es-ES_tradnl"/>
        </w:rPr>
        <w:t>Brasil,</w:t>
      </w:r>
      <w:r w:rsidRPr="00477CAF">
        <w:rPr>
          <w:szCs w:val="22"/>
          <w:lang w:val="es-ES_tradnl"/>
        </w:rPr>
        <w:t xml:space="preserve"> </w:t>
      </w:r>
      <w:r w:rsidRPr="00477CAF">
        <w:rPr>
          <w:lang w:val="es-ES_tradnl"/>
        </w:rPr>
        <w:t>Canadá,</w:t>
      </w:r>
      <w:r w:rsidRPr="00477CAF">
        <w:rPr>
          <w:szCs w:val="22"/>
          <w:lang w:val="es-ES_tradnl"/>
        </w:rPr>
        <w:t xml:space="preserve"> Chile</w:t>
      </w:r>
      <w:r w:rsidRPr="00477CAF">
        <w:rPr>
          <w:lang w:val="es-ES_tradnl"/>
        </w:rPr>
        <w:t>,</w:t>
      </w:r>
      <w:r w:rsidRPr="00477CAF">
        <w:rPr>
          <w:szCs w:val="22"/>
          <w:lang w:val="es-ES_tradnl"/>
        </w:rPr>
        <w:t xml:space="preserve"> China</w:t>
      </w:r>
      <w:r w:rsidRPr="00477CAF">
        <w:rPr>
          <w:lang w:val="es-ES_tradnl"/>
        </w:rPr>
        <w:t>,</w:t>
      </w:r>
      <w:r w:rsidRPr="00477CAF">
        <w:rPr>
          <w:szCs w:val="22"/>
          <w:lang w:val="es-ES_tradnl"/>
        </w:rPr>
        <w:t xml:space="preserve"> Colo</w:t>
      </w:r>
      <w:r w:rsidRPr="00477CAF">
        <w:rPr>
          <w:lang w:val="es-ES_tradnl"/>
        </w:rPr>
        <w:t xml:space="preserve">mbia, Egipto, El </w:t>
      </w:r>
      <w:r w:rsidRPr="00477CAF">
        <w:rPr>
          <w:szCs w:val="22"/>
          <w:lang w:val="es-ES_tradnl"/>
        </w:rPr>
        <w:t>Salvador</w:t>
      </w:r>
      <w:r w:rsidRPr="00477CAF">
        <w:rPr>
          <w:lang w:val="es-ES_tradnl"/>
        </w:rPr>
        <w:t>,</w:t>
      </w:r>
      <w:r w:rsidRPr="00477CAF">
        <w:rPr>
          <w:szCs w:val="22"/>
          <w:lang w:val="es-ES_tradnl"/>
        </w:rPr>
        <w:t xml:space="preserve"> </w:t>
      </w:r>
      <w:r w:rsidRPr="00477CAF">
        <w:rPr>
          <w:lang w:val="es-ES_tradnl"/>
        </w:rPr>
        <w:t xml:space="preserve">Emiratos Árabes Unidos </w:t>
      </w:r>
      <w:r w:rsidRPr="00477CAF">
        <w:rPr>
          <w:szCs w:val="22"/>
          <w:lang w:val="es-ES_tradnl"/>
        </w:rPr>
        <w:t>(2022-2023)</w:t>
      </w:r>
      <w:r w:rsidRPr="00477CAF">
        <w:rPr>
          <w:lang w:val="es-ES_tradnl"/>
        </w:rPr>
        <w:t>,</w:t>
      </w:r>
      <w:r w:rsidRPr="00477CAF">
        <w:rPr>
          <w:szCs w:val="22"/>
          <w:lang w:val="es-ES_tradnl"/>
        </w:rPr>
        <w:t xml:space="preserve"> </w:t>
      </w:r>
      <w:r w:rsidRPr="00477CAF">
        <w:rPr>
          <w:lang w:val="es-ES_tradnl"/>
        </w:rPr>
        <w:t>Eslovaquia,</w:t>
      </w:r>
      <w:r w:rsidRPr="00477CAF">
        <w:rPr>
          <w:szCs w:val="22"/>
          <w:lang w:val="es-ES_tradnl"/>
        </w:rPr>
        <w:t xml:space="preserve"> </w:t>
      </w:r>
      <w:r w:rsidRPr="00477CAF">
        <w:rPr>
          <w:lang w:val="es-ES_tradnl"/>
        </w:rPr>
        <w:t>España,</w:t>
      </w:r>
      <w:r w:rsidRPr="00477CAF">
        <w:rPr>
          <w:szCs w:val="22"/>
          <w:lang w:val="es-ES_tradnl"/>
        </w:rPr>
        <w:t xml:space="preserve"> </w:t>
      </w:r>
      <w:r w:rsidRPr="00477CAF">
        <w:rPr>
          <w:lang w:val="es-ES_tradnl"/>
        </w:rPr>
        <w:t>Estados Unidos de América,</w:t>
      </w:r>
      <w:r w:rsidRPr="00477CAF">
        <w:rPr>
          <w:szCs w:val="22"/>
          <w:lang w:val="es-ES_tradnl"/>
        </w:rPr>
        <w:t xml:space="preserve"> Estonia</w:t>
      </w:r>
      <w:r w:rsidRPr="00477CAF">
        <w:rPr>
          <w:lang w:val="es-ES_tradnl"/>
        </w:rPr>
        <w:t>,</w:t>
      </w:r>
      <w:r w:rsidRPr="00477CAF">
        <w:rPr>
          <w:szCs w:val="22"/>
          <w:lang w:val="es-ES_tradnl"/>
        </w:rPr>
        <w:t xml:space="preserve"> </w:t>
      </w:r>
      <w:r w:rsidRPr="00477CAF">
        <w:rPr>
          <w:lang w:val="es-ES_tradnl"/>
        </w:rPr>
        <w:t>Federación de Rusia,</w:t>
      </w:r>
      <w:r w:rsidRPr="00477CAF">
        <w:rPr>
          <w:szCs w:val="22"/>
          <w:lang w:val="es-ES_tradnl"/>
        </w:rPr>
        <w:t xml:space="preserve"> </w:t>
      </w:r>
      <w:r w:rsidRPr="00477CAF">
        <w:rPr>
          <w:lang w:val="es-ES_tradnl"/>
        </w:rPr>
        <w:t>Francia,</w:t>
      </w:r>
      <w:r w:rsidRPr="00477CAF">
        <w:rPr>
          <w:szCs w:val="22"/>
          <w:lang w:val="es-ES_tradnl"/>
        </w:rPr>
        <w:t xml:space="preserve"> Ghana</w:t>
      </w:r>
      <w:r w:rsidRPr="00477CAF">
        <w:rPr>
          <w:lang w:val="es-ES_tradnl"/>
        </w:rPr>
        <w:t>,</w:t>
      </w:r>
      <w:r w:rsidRPr="00477CAF">
        <w:rPr>
          <w:szCs w:val="22"/>
          <w:lang w:val="es-ES_tradnl"/>
        </w:rPr>
        <w:t xml:space="preserve"> </w:t>
      </w:r>
      <w:r w:rsidRPr="00477CAF">
        <w:rPr>
          <w:lang w:val="es-ES_tradnl"/>
        </w:rPr>
        <w:t>Grecia,</w:t>
      </w:r>
      <w:r w:rsidRPr="00477CAF">
        <w:rPr>
          <w:szCs w:val="22"/>
          <w:lang w:val="es-ES_tradnl"/>
        </w:rPr>
        <w:t xml:space="preserve"> Guatemala</w:t>
      </w:r>
      <w:r w:rsidRPr="00477CAF">
        <w:rPr>
          <w:lang w:val="es-ES_tradnl"/>
        </w:rPr>
        <w:t>,</w:t>
      </w:r>
      <w:r w:rsidRPr="00477CAF">
        <w:rPr>
          <w:szCs w:val="22"/>
          <w:lang w:val="es-ES_tradnl"/>
        </w:rPr>
        <w:t xml:space="preserve"> </w:t>
      </w:r>
      <w:r w:rsidRPr="00477CAF">
        <w:rPr>
          <w:lang w:val="es-ES_tradnl"/>
        </w:rPr>
        <w:t>Hungría,</w:t>
      </w:r>
      <w:r w:rsidRPr="00477CAF">
        <w:rPr>
          <w:szCs w:val="22"/>
          <w:lang w:val="es-ES_tradnl"/>
        </w:rPr>
        <w:t xml:space="preserve"> India</w:t>
      </w:r>
      <w:r w:rsidRPr="00477CAF">
        <w:rPr>
          <w:lang w:val="es-ES_tradnl"/>
        </w:rPr>
        <w:t>,</w:t>
      </w:r>
      <w:r w:rsidRPr="00477CAF">
        <w:rPr>
          <w:szCs w:val="22"/>
          <w:lang w:val="es-ES_tradnl"/>
        </w:rPr>
        <w:t xml:space="preserve"> Indonesia</w:t>
      </w:r>
      <w:r w:rsidRPr="00477CAF">
        <w:rPr>
          <w:lang w:val="es-ES_tradnl"/>
        </w:rPr>
        <w:t xml:space="preserve"> </w:t>
      </w:r>
      <w:r w:rsidRPr="00477CAF">
        <w:rPr>
          <w:szCs w:val="22"/>
          <w:lang w:val="es-ES_tradnl"/>
        </w:rPr>
        <w:t>(2022-2023)</w:t>
      </w:r>
      <w:r w:rsidRPr="00477CAF">
        <w:rPr>
          <w:lang w:val="es-ES_tradnl"/>
        </w:rPr>
        <w:t>,</w:t>
      </w:r>
      <w:r w:rsidRPr="00477CAF">
        <w:rPr>
          <w:szCs w:val="22"/>
          <w:lang w:val="es-ES_tradnl"/>
        </w:rPr>
        <w:t xml:space="preserve"> </w:t>
      </w:r>
      <w:r w:rsidRPr="00477CAF">
        <w:rPr>
          <w:lang w:val="es-ES_tradnl"/>
        </w:rPr>
        <w:t>Irán</w:t>
      </w:r>
      <w:r w:rsidRPr="00477CAF">
        <w:rPr>
          <w:szCs w:val="22"/>
          <w:lang w:val="es-ES_tradnl"/>
        </w:rPr>
        <w:t xml:space="preserve"> (</w:t>
      </w:r>
      <w:r w:rsidRPr="00477CAF">
        <w:rPr>
          <w:lang w:val="es-ES_tradnl"/>
        </w:rPr>
        <w:t>República Islámica del</w:t>
      </w:r>
      <w:r w:rsidRPr="00477CAF">
        <w:rPr>
          <w:szCs w:val="22"/>
          <w:lang w:val="es-ES_tradnl"/>
        </w:rPr>
        <w:t>)</w:t>
      </w:r>
      <w:r w:rsidRPr="00477CAF">
        <w:rPr>
          <w:lang w:val="es-ES_tradnl"/>
        </w:rPr>
        <w:t xml:space="preserve"> </w:t>
      </w:r>
      <w:r w:rsidRPr="00477CAF">
        <w:rPr>
          <w:szCs w:val="22"/>
          <w:lang w:val="es-ES_tradnl"/>
        </w:rPr>
        <w:t>(2021</w:t>
      </w:r>
      <w:r w:rsidRPr="00477CAF">
        <w:rPr>
          <w:szCs w:val="22"/>
          <w:lang w:val="es-ES_tradnl"/>
        </w:rPr>
        <w:noBreakHyphen/>
        <w:t>2022)</w:t>
      </w:r>
      <w:r w:rsidRPr="00477CAF">
        <w:rPr>
          <w:lang w:val="es-ES_tradnl"/>
        </w:rPr>
        <w:t>,</w:t>
      </w:r>
      <w:r w:rsidRPr="00477CAF">
        <w:rPr>
          <w:szCs w:val="22"/>
          <w:lang w:val="es-ES_tradnl"/>
        </w:rPr>
        <w:t xml:space="preserve"> Iraq</w:t>
      </w:r>
      <w:r w:rsidRPr="00477CAF">
        <w:rPr>
          <w:lang w:val="es-ES_tradnl"/>
        </w:rPr>
        <w:t xml:space="preserve"> </w:t>
      </w:r>
      <w:r w:rsidRPr="00477CAF">
        <w:rPr>
          <w:szCs w:val="22"/>
          <w:lang w:val="es-ES_tradnl"/>
        </w:rPr>
        <w:t>(2022-2023)</w:t>
      </w:r>
      <w:r w:rsidRPr="00477CAF">
        <w:rPr>
          <w:lang w:val="es-ES_tradnl"/>
        </w:rPr>
        <w:t>,</w:t>
      </w:r>
      <w:r w:rsidRPr="00477CAF">
        <w:rPr>
          <w:szCs w:val="22"/>
          <w:lang w:val="es-ES_tradnl"/>
        </w:rPr>
        <w:t xml:space="preserve"> </w:t>
      </w:r>
      <w:r w:rsidRPr="00477CAF">
        <w:rPr>
          <w:lang w:val="es-ES_tradnl"/>
        </w:rPr>
        <w:t>Italia,</w:t>
      </w:r>
      <w:r w:rsidRPr="00477CAF">
        <w:rPr>
          <w:szCs w:val="22"/>
          <w:lang w:val="es-ES_tradnl"/>
        </w:rPr>
        <w:t xml:space="preserve"> Jamaica</w:t>
      </w:r>
      <w:r w:rsidRPr="00477CAF">
        <w:rPr>
          <w:lang w:val="es-ES_tradnl"/>
        </w:rPr>
        <w:t>,</w:t>
      </w:r>
      <w:r w:rsidRPr="00477CAF">
        <w:rPr>
          <w:szCs w:val="22"/>
          <w:lang w:val="es-ES_tradnl"/>
        </w:rPr>
        <w:t xml:space="preserve"> </w:t>
      </w:r>
      <w:r w:rsidRPr="00477CAF">
        <w:rPr>
          <w:lang w:val="es-ES_tradnl"/>
        </w:rPr>
        <w:t>Japón,</w:t>
      </w:r>
      <w:r w:rsidRPr="00477CAF">
        <w:rPr>
          <w:szCs w:val="22"/>
          <w:lang w:val="es-ES_tradnl"/>
        </w:rPr>
        <w:t xml:space="preserve"> </w:t>
      </w:r>
      <w:r w:rsidRPr="00477CAF">
        <w:rPr>
          <w:lang w:val="es-ES_tradnl"/>
        </w:rPr>
        <w:t>Kazajstán</w:t>
      </w:r>
      <w:r w:rsidR="009860AA" w:rsidRPr="00477CAF">
        <w:rPr>
          <w:lang w:val="es-ES_tradnl"/>
        </w:rPr>
        <w:t xml:space="preserve"> </w:t>
      </w:r>
      <w:r w:rsidRPr="00477CAF">
        <w:rPr>
          <w:szCs w:val="22"/>
          <w:lang w:val="es-ES_tradnl"/>
        </w:rPr>
        <w:t>(2021</w:t>
      </w:r>
      <w:r w:rsidRPr="00477CAF">
        <w:rPr>
          <w:szCs w:val="22"/>
          <w:lang w:val="es-ES_tradnl"/>
        </w:rPr>
        <w:noBreakHyphen/>
        <w:t>2022)</w:t>
      </w:r>
      <w:r w:rsidRPr="00477CAF">
        <w:rPr>
          <w:lang w:val="es-ES_tradnl"/>
        </w:rPr>
        <w:t>,</w:t>
      </w:r>
      <w:r w:rsidRPr="00477CAF">
        <w:rPr>
          <w:szCs w:val="22"/>
          <w:lang w:val="es-ES_tradnl"/>
        </w:rPr>
        <w:t xml:space="preserve"> Kenya</w:t>
      </w:r>
      <w:r w:rsidRPr="00477CAF">
        <w:rPr>
          <w:lang w:val="es-ES_tradnl"/>
        </w:rPr>
        <w:t>,</w:t>
      </w:r>
      <w:r w:rsidRPr="00477CAF">
        <w:rPr>
          <w:szCs w:val="22"/>
          <w:lang w:val="es-ES_tradnl"/>
        </w:rPr>
        <w:t xml:space="preserve"> </w:t>
      </w:r>
      <w:r w:rsidRPr="00477CAF">
        <w:rPr>
          <w:lang w:val="es-ES_tradnl"/>
        </w:rPr>
        <w:t xml:space="preserve">Kirguistán </w:t>
      </w:r>
      <w:r w:rsidRPr="00477CAF">
        <w:rPr>
          <w:szCs w:val="22"/>
          <w:lang w:val="es-ES_tradnl"/>
        </w:rPr>
        <w:t>(2022</w:t>
      </w:r>
      <w:r w:rsidRPr="00477CAF">
        <w:rPr>
          <w:szCs w:val="22"/>
          <w:lang w:val="es-ES_tradnl"/>
        </w:rPr>
        <w:noBreakHyphen/>
        <w:t>2023)</w:t>
      </w:r>
      <w:r w:rsidRPr="00477CAF">
        <w:rPr>
          <w:lang w:val="es-ES_tradnl"/>
        </w:rPr>
        <w:t>,</w:t>
      </w:r>
      <w:r w:rsidRPr="00477CAF">
        <w:rPr>
          <w:szCs w:val="22"/>
          <w:lang w:val="es-ES_tradnl"/>
        </w:rPr>
        <w:t xml:space="preserve"> </w:t>
      </w:r>
      <w:r w:rsidRPr="00477CAF">
        <w:rPr>
          <w:lang w:val="es-ES_tradnl"/>
        </w:rPr>
        <w:t xml:space="preserve">Malasia </w:t>
      </w:r>
      <w:r w:rsidRPr="00477CAF">
        <w:rPr>
          <w:szCs w:val="22"/>
          <w:lang w:val="es-ES_tradnl"/>
        </w:rPr>
        <w:t>(2021</w:t>
      </w:r>
      <w:r w:rsidRPr="00477CAF">
        <w:rPr>
          <w:lang w:val="es-ES_tradnl"/>
        </w:rPr>
        <w:noBreakHyphen/>
      </w:r>
      <w:r w:rsidRPr="00477CAF">
        <w:rPr>
          <w:szCs w:val="22"/>
          <w:lang w:val="es-ES_tradnl"/>
        </w:rPr>
        <w:t>2022)</w:t>
      </w:r>
      <w:r w:rsidRPr="00477CAF">
        <w:rPr>
          <w:lang w:val="es-ES_tradnl"/>
        </w:rPr>
        <w:t>,</w:t>
      </w:r>
      <w:r w:rsidRPr="00477CAF">
        <w:rPr>
          <w:szCs w:val="22"/>
          <w:lang w:val="es-ES_tradnl"/>
        </w:rPr>
        <w:t xml:space="preserve"> </w:t>
      </w:r>
      <w:r w:rsidRPr="00477CAF">
        <w:rPr>
          <w:lang w:val="es-ES_tradnl"/>
        </w:rPr>
        <w:t>Marruecos,</w:t>
      </w:r>
      <w:r w:rsidRPr="00477CAF">
        <w:rPr>
          <w:szCs w:val="22"/>
          <w:lang w:val="es-ES_tradnl"/>
        </w:rPr>
        <w:t xml:space="preserve"> </w:t>
      </w:r>
      <w:r w:rsidRPr="00477CAF">
        <w:rPr>
          <w:lang w:val="es-ES_tradnl"/>
        </w:rPr>
        <w:t>México,</w:t>
      </w:r>
      <w:r w:rsidRPr="00477CAF">
        <w:rPr>
          <w:szCs w:val="22"/>
          <w:lang w:val="es-ES_tradnl"/>
        </w:rPr>
        <w:t xml:space="preserve"> Mongolia</w:t>
      </w:r>
      <w:r w:rsidRPr="00477CAF">
        <w:rPr>
          <w:lang w:val="es-ES_tradnl"/>
        </w:rPr>
        <w:t xml:space="preserve"> (2022</w:t>
      </w:r>
      <w:r w:rsidRPr="00477CAF">
        <w:rPr>
          <w:lang w:val="es-ES_tradnl"/>
        </w:rPr>
        <w:noBreakHyphen/>
      </w:r>
      <w:r w:rsidRPr="00477CAF">
        <w:rPr>
          <w:szCs w:val="22"/>
          <w:lang w:val="es-ES_tradnl"/>
        </w:rPr>
        <w:t>2023)</w:t>
      </w:r>
      <w:r w:rsidRPr="00477CAF">
        <w:rPr>
          <w:lang w:val="es-ES_tradnl"/>
        </w:rPr>
        <w:t>,</w:t>
      </w:r>
      <w:r w:rsidRPr="00477CAF">
        <w:rPr>
          <w:szCs w:val="22"/>
          <w:lang w:val="es-ES_tradnl"/>
        </w:rPr>
        <w:t xml:space="preserve"> Namibia</w:t>
      </w:r>
      <w:r w:rsidRPr="00477CAF">
        <w:rPr>
          <w:lang w:val="es-ES_tradnl"/>
        </w:rPr>
        <w:t>,</w:t>
      </w:r>
      <w:r w:rsidRPr="00477CAF">
        <w:rPr>
          <w:szCs w:val="22"/>
          <w:lang w:val="es-ES_tradnl"/>
        </w:rPr>
        <w:t xml:space="preserve"> </w:t>
      </w:r>
      <w:r w:rsidRPr="00477CAF">
        <w:rPr>
          <w:lang w:val="es-ES_tradnl"/>
        </w:rPr>
        <w:t>Nigeria,</w:t>
      </w:r>
      <w:r w:rsidRPr="00477CAF">
        <w:rPr>
          <w:szCs w:val="22"/>
          <w:lang w:val="es-ES_tradnl"/>
        </w:rPr>
        <w:t xml:space="preserve"> </w:t>
      </w:r>
      <w:r w:rsidRPr="00477CAF">
        <w:rPr>
          <w:lang w:val="es-ES_tradnl"/>
        </w:rPr>
        <w:t xml:space="preserve">Omán </w:t>
      </w:r>
      <w:r w:rsidRPr="00477CAF">
        <w:rPr>
          <w:szCs w:val="22"/>
          <w:lang w:val="es-ES_tradnl"/>
        </w:rPr>
        <w:t>(2022</w:t>
      </w:r>
      <w:r w:rsidRPr="00477CAF">
        <w:rPr>
          <w:szCs w:val="22"/>
          <w:lang w:val="es-ES_tradnl"/>
        </w:rPr>
        <w:noBreakHyphen/>
        <w:t>2023)</w:t>
      </w:r>
      <w:r w:rsidRPr="00477CAF">
        <w:rPr>
          <w:lang w:val="es-ES_tradnl"/>
        </w:rPr>
        <w:t>,</w:t>
      </w:r>
      <w:r w:rsidRPr="00477CAF">
        <w:rPr>
          <w:szCs w:val="22"/>
          <w:lang w:val="es-ES_tradnl"/>
        </w:rPr>
        <w:t xml:space="preserve"> </w:t>
      </w:r>
      <w:r w:rsidRPr="00477CAF">
        <w:rPr>
          <w:lang w:val="es-ES_tradnl"/>
        </w:rPr>
        <w:t xml:space="preserve">Pakistán </w:t>
      </w:r>
      <w:r w:rsidRPr="00477CAF">
        <w:rPr>
          <w:szCs w:val="22"/>
          <w:lang w:val="es-ES_tradnl"/>
        </w:rPr>
        <w:t>(2021</w:t>
      </w:r>
      <w:r w:rsidRPr="00477CAF">
        <w:rPr>
          <w:szCs w:val="22"/>
          <w:lang w:val="es-ES_tradnl"/>
        </w:rPr>
        <w:noBreakHyphen/>
        <w:t>2022)</w:t>
      </w:r>
      <w:r w:rsidRPr="00477CAF">
        <w:rPr>
          <w:lang w:val="es-ES_tradnl"/>
        </w:rPr>
        <w:t>,</w:t>
      </w:r>
      <w:r w:rsidRPr="00477CAF">
        <w:rPr>
          <w:szCs w:val="22"/>
          <w:lang w:val="es-ES_tradnl"/>
        </w:rPr>
        <w:t xml:space="preserve"> </w:t>
      </w:r>
      <w:r w:rsidRPr="00477CAF">
        <w:rPr>
          <w:lang w:val="es-ES_tradnl"/>
        </w:rPr>
        <w:t>Panamá,</w:t>
      </w:r>
      <w:r w:rsidRPr="00477CAF">
        <w:rPr>
          <w:szCs w:val="22"/>
          <w:lang w:val="es-ES_tradnl"/>
        </w:rPr>
        <w:t xml:space="preserve"> </w:t>
      </w:r>
      <w:r w:rsidRPr="00477CAF">
        <w:rPr>
          <w:lang w:val="es-ES_tradnl"/>
        </w:rPr>
        <w:t>Polonia,</w:t>
      </w:r>
      <w:r w:rsidRPr="00477CAF">
        <w:rPr>
          <w:szCs w:val="22"/>
          <w:lang w:val="es-ES_tradnl"/>
        </w:rPr>
        <w:t xml:space="preserve"> Qatar</w:t>
      </w:r>
      <w:r w:rsidRPr="00477CAF">
        <w:rPr>
          <w:lang w:val="es-ES_tradnl"/>
        </w:rPr>
        <w:t xml:space="preserve"> (2021-2022),</w:t>
      </w:r>
      <w:r w:rsidRPr="00477CAF">
        <w:rPr>
          <w:szCs w:val="22"/>
          <w:lang w:val="es-ES_tradnl"/>
        </w:rPr>
        <w:t xml:space="preserve"> </w:t>
      </w:r>
      <w:r w:rsidRPr="00477CAF">
        <w:rPr>
          <w:lang w:val="es-ES_tradnl"/>
        </w:rPr>
        <w:t>Reino Unido,</w:t>
      </w:r>
      <w:r w:rsidRPr="00477CAF">
        <w:rPr>
          <w:szCs w:val="22"/>
          <w:lang w:val="es-ES_tradnl"/>
        </w:rPr>
        <w:t xml:space="preserve"> </w:t>
      </w:r>
      <w:r w:rsidRPr="00477CAF">
        <w:rPr>
          <w:lang w:val="es-ES_tradnl"/>
        </w:rPr>
        <w:t xml:space="preserve">República Árabe Siria </w:t>
      </w:r>
      <w:r w:rsidRPr="00477CAF">
        <w:rPr>
          <w:szCs w:val="22"/>
          <w:lang w:val="es-ES_tradnl"/>
        </w:rPr>
        <w:t>(2022-2023)</w:t>
      </w:r>
      <w:r w:rsidRPr="00477CAF">
        <w:rPr>
          <w:lang w:val="es-ES_tradnl"/>
        </w:rPr>
        <w:t xml:space="preserve">, República Checa, República de Corea </w:t>
      </w:r>
      <w:r w:rsidRPr="00477CAF">
        <w:rPr>
          <w:szCs w:val="22"/>
          <w:lang w:val="es-ES_tradnl"/>
        </w:rPr>
        <w:t>(2021-2022)</w:t>
      </w:r>
      <w:r w:rsidRPr="00477CAF">
        <w:rPr>
          <w:lang w:val="es-ES_tradnl"/>
        </w:rPr>
        <w:t>,</w:t>
      </w:r>
      <w:r w:rsidRPr="00477CAF">
        <w:rPr>
          <w:szCs w:val="22"/>
          <w:lang w:val="es-ES_tradnl"/>
        </w:rPr>
        <w:t xml:space="preserve"> </w:t>
      </w:r>
      <w:r w:rsidRPr="00477CAF">
        <w:rPr>
          <w:lang w:val="es-ES_tradnl"/>
        </w:rPr>
        <w:t>Rumania,</w:t>
      </w:r>
      <w:r w:rsidRPr="00477CAF">
        <w:rPr>
          <w:szCs w:val="22"/>
          <w:lang w:val="es-ES_tradnl"/>
        </w:rPr>
        <w:t xml:space="preserve"> Serbia</w:t>
      </w:r>
      <w:r w:rsidRPr="00477CAF">
        <w:rPr>
          <w:lang w:val="es-ES_tradnl"/>
        </w:rPr>
        <w:t>,</w:t>
      </w:r>
      <w:r w:rsidRPr="00477CAF">
        <w:rPr>
          <w:szCs w:val="22"/>
          <w:lang w:val="es-ES_tradnl"/>
        </w:rPr>
        <w:t xml:space="preserve"> </w:t>
      </w:r>
      <w:r w:rsidRPr="00477CAF">
        <w:rPr>
          <w:lang w:val="es-ES_tradnl"/>
        </w:rPr>
        <w:t>Singapur </w:t>
      </w:r>
      <w:r w:rsidRPr="00477CAF">
        <w:rPr>
          <w:szCs w:val="22"/>
          <w:lang w:val="es-ES_tradnl"/>
        </w:rPr>
        <w:t>(2022</w:t>
      </w:r>
      <w:r w:rsidRPr="00477CAF">
        <w:rPr>
          <w:lang w:val="es-ES_tradnl"/>
        </w:rPr>
        <w:noBreakHyphen/>
      </w:r>
      <w:r w:rsidRPr="00477CAF">
        <w:rPr>
          <w:szCs w:val="22"/>
          <w:lang w:val="es-ES_tradnl"/>
        </w:rPr>
        <w:t>2023)</w:t>
      </w:r>
      <w:r w:rsidRPr="00477CAF">
        <w:rPr>
          <w:lang w:val="es-ES_tradnl"/>
        </w:rPr>
        <w:t>,</w:t>
      </w:r>
      <w:r w:rsidRPr="00477CAF">
        <w:rPr>
          <w:szCs w:val="22"/>
          <w:lang w:val="es-ES_tradnl"/>
        </w:rPr>
        <w:t xml:space="preserve"> </w:t>
      </w:r>
      <w:r w:rsidRPr="00477CAF">
        <w:rPr>
          <w:lang w:val="es-ES_tradnl"/>
        </w:rPr>
        <w:t>Sudáfrica,</w:t>
      </w:r>
      <w:r w:rsidRPr="00477CAF">
        <w:rPr>
          <w:szCs w:val="22"/>
          <w:lang w:val="es-ES_tradnl"/>
        </w:rPr>
        <w:t xml:space="preserve"> </w:t>
      </w:r>
      <w:r w:rsidRPr="00477CAF">
        <w:rPr>
          <w:lang w:val="es-ES_tradnl"/>
        </w:rPr>
        <w:t>Suecia,</w:t>
      </w:r>
      <w:r w:rsidRPr="00477CAF">
        <w:rPr>
          <w:szCs w:val="22"/>
          <w:lang w:val="es-ES_tradnl"/>
        </w:rPr>
        <w:t xml:space="preserve"> </w:t>
      </w:r>
      <w:r w:rsidRPr="00477CAF">
        <w:rPr>
          <w:lang w:val="es-ES_tradnl"/>
        </w:rPr>
        <w:t xml:space="preserve">Suiza </w:t>
      </w:r>
      <w:r w:rsidRPr="00477CAF">
        <w:rPr>
          <w:szCs w:val="22"/>
          <w:lang w:val="es-ES_tradnl"/>
        </w:rPr>
        <w:t>(</w:t>
      </w:r>
      <w:r w:rsidRPr="00477CAF">
        <w:rPr>
          <w:i/>
          <w:szCs w:val="22"/>
          <w:lang w:val="es-ES_tradnl"/>
        </w:rPr>
        <w:t>ex officio</w:t>
      </w:r>
      <w:r w:rsidRPr="00477CAF">
        <w:rPr>
          <w:szCs w:val="22"/>
          <w:lang w:val="es-ES_tradnl"/>
        </w:rPr>
        <w:t>)</w:t>
      </w:r>
      <w:r w:rsidRPr="00477CAF">
        <w:rPr>
          <w:lang w:val="es-ES_tradnl"/>
        </w:rPr>
        <w:t>,</w:t>
      </w:r>
      <w:r w:rsidRPr="00477CAF">
        <w:rPr>
          <w:szCs w:val="22"/>
          <w:lang w:val="es-ES_tradnl"/>
        </w:rPr>
        <w:t xml:space="preserve"> </w:t>
      </w:r>
      <w:r w:rsidRPr="00477CAF">
        <w:rPr>
          <w:lang w:val="es-ES_tradnl"/>
        </w:rPr>
        <w:t xml:space="preserve">Tayikistán </w:t>
      </w:r>
      <w:r w:rsidRPr="00477CAF">
        <w:rPr>
          <w:szCs w:val="22"/>
          <w:lang w:val="es-ES_tradnl"/>
        </w:rPr>
        <w:t>(2022-2023)</w:t>
      </w:r>
      <w:r w:rsidRPr="00477CAF">
        <w:rPr>
          <w:lang w:val="es-ES_tradnl"/>
        </w:rPr>
        <w:t>,</w:t>
      </w:r>
      <w:r w:rsidRPr="00477CAF">
        <w:rPr>
          <w:szCs w:val="22"/>
          <w:lang w:val="es-ES_tradnl"/>
        </w:rPr>
        <w:t xml:space="preserve"> </w:t>
      </w:r>
      <w:r w:rsidRPr="00477CAF">
        <w:rPr>
          <w:lang w:val="es-ES_tradnl"/>
        </w:rPr>
        <w:t xml:space="preserve">Túnez, Turkmenistán </w:t>
      </w:r>
      <w:r w:rsidRPr="00477CAF">
        <w:rPr>
          <w:szCs w:val="22"/>
          <w:lang w:val="es-ES_tradnl"/>
        </w:rPr>
        <w:t>(2022-2023)</w:t>
      </w:r>
      <w:r w:rsidRPr="00477CAF">
        <w:rPr>
          <w:lang w:val="es-ES_tradnl"/>
        </w:rPr>
        <w:t>, Turquía,</w:t>
      </w:r>
      <w:r w:rsidRPr="00477CAF">
        <w:rPr>
          <w:szCs w:val="22"/>
          <w:lang w:val="es-ES_tradnl"/>
        </w:rPr>
        <w:t xml:space="preserve"> Uganda</w:t>
      </w:r>
      <w:r w:rsidRPr="00477CAF">
        <w:rPr>
          <w:lang w:val="es-ES_tradnl"/>
        </w:rPr>
        <w:t>,</w:t>
      </w:r>
      <w:r w:rsidRPr="00477CAF">
        <w:rPr>
          <w:szCs w:val="22"/>
          <w:lang w:val="es-ES_tradnl"/>
        </w:rPr>
        <w:t xml:space="preserve"> </w:t>
      </w:r>
      <w:r w:rsidR="0037454A">
        <w:rPr>
          <w:lang w:val="es-ES_tradnl"/>
        </w:rPr>
        <w:t>Uzbekistán (2021-2022), Viet </w:t>
      </w:r>
      <w:r w:rsidRPr="00477CAF">
        <w:rPr>
          <w:lang w:val="es-ES_tradnl"/>
        </w:rPr>
        <w:t>Nam </w:t>
      </w:r>
      <w:r w:rsidRPr="00477CAF">
        <w:rPr>
          <w:szCs w:val="22"/>
          <w:lang w:val="es-ES_tradnl"/>
        </w:rPr>
        <w:t>(2021</w:t>
      </w:r>
      <w:r w:rsidRPr="00477CAF">
        <w:rPr>
          <w:szCs w:val="22"/>
          <w:lang w:val="es-ES_tradnl"/>
        </w:rPr>
        <w:noBreakHyphen/>
        <w:t>2022)</w:t>
      </w:r>
      <w:r w:rsidRPr="00477CAF">
        <w:rPr>
          <w:lang w:val="es-ES_tradnl"/>
        </w:rPr>
        <w:t xml:space="preserve"> (53).</w:t>
      </w:r>
    </w:p>
    <w:p w:rsidR="007A1A58" w:rsidRPr="00477CAF" w:rsidRDefault="009860AA" w:rsidP="009860AA">
      <w:pPr>
        <w:pStyle w:val="ONUMFS"/>
        <w:tabs>
          <w:tab w:val="clear" w:pos="567"/>
        </w:tabs>
        <w:spacing w:after="480"/>
        <w:ind w:left="1134"/>
        <w:rPr>
          <w:szCs w:val="22"/>
          <w:lang w:val="es-ES_tradnl"/>
        </w:rPr>
      </w:pPr>
      <w:r w:rsidRPr="00477CAF">
        <w:rPr>
          <w:lang w:val="es-ES_tradnl"/>
        </w:rPr>
        <w:t>La Asamblea General de la OMPI decidió considerar la composición del Comité del Programa y Presupuesto; en ese contexto, el presidente de la Asamblea General de la OMPI emprenderá consultas sobre un comité que sea integrador, transparente y eficaz, teniendo en cuenta, entre otras consideraciones, la representación geográfica, con miras a que la Asamblea General de la OMPI adopte una decisión en su período de sesiones en 2023.</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10 DEL ORDEN DEL DÍA CONSOLIDADO</w:t>
      </w:r>
    </w:p>
    <w:p w:rsidR="007A1A58" w:rsidRPr="00477CAF" w:rsidRDefault="007A1A58" w:rsidP="00477CAF">
      <w:pPr>
        <w:pStyle w:val="Heading2"/>
        <w:keepLines/>
        <w:spacing w:before="0"/>
        <w:rPr>
          <w:bCs w:val="0"/>
          <w:iCs w:val="0"/>
          <w:caps w:val="0"/>
          <w:szCs w:val="22"/>
          <w:lang w:val="es-ES_tradnl"/>
        </w:rPr>
      </w:pPr>
      <w:r w:rsidRPr="00477CAF">
        <w:rPr>
          <w:bCs w:val="0"/>
          <w:iCs w:val="0"/>
          <w:caps w:val="0"/>
          <w:szCs w:val="22"/>
          <w:lang w:val="es-ES_tradnl"/>
        </w:rPr>
        <w:t>INFORMES DE AUDITORÍA Y SUPERVISIÓN</w:t>
      </w:r>
    </w:p>
    <w:p w:rsidR="007A1A58" w:rsidRPr="00477CAF" w:rsidRDefault="007A1A58" w:rsidP="00477CAF">
      <w:pPr>
        <w:pStyle w:val="ONUMFS"/>
        <w:keepNext/>
        <w:keepLines/>
        <w:tabs>
          <w:tab w:val="left" w:pos="567"/>
          <w:tab w:val="num" w:pos="7655"/>
        </w:tabs>
        <w:spacing w:after="240"/>
        <w:rPr>
          <w:szCs w:val="22"/>
          <w:lang w:val="es-ES_tradnl"/>
        </w:rPr>
      </w:pPr>
      <w:r w:rsidRPr="00477CAF">
        <w:rPr>
          <w:szCs w:val="22"/>
          <w:lang w:val="es-ES_tradnl"/>
        </w:rPr>
        <w:t>Los debates se basaron en los documentos WO/GA/54/2, A/62/6, WO/GA/54/3 y A/62/7.</w:t>
      </w:r>
    </w:p>
    <w:p w:rsidR="007A1A58" w:rsidRPr="00477CAF" w:rsidRDefault="007A1A58" w:rsidP="00477CAF">
      <w:pPr>
        <w:pStyle w:val="ONUME"/>
        <w:keepNext/>
        <w:keepLines/>
        <w:numPr>
          <w:ilvl w:val="0"/>
          <w:numId w:val="0"/>
        </w:numPr>
        <w:spacing w:after="240"/>
        <w:ind w:left="540"/>
        <w:rPr>
          <w:szCs w:val="22"/>
          <w:u w:val="single"/>
          <w:lang w:val="es-ES_tradnl"/>
        </w:rPr>
      </w:pPr>
      <w:r w:rsidRPr="00477CAF">
        <w:rPr>
          <w:szCs w:val="22"/>
          <w:lang w:val="es-ES_tradnl"/>
        </w:rPr>
        <w:t>i)</w:t>
      </w:r>
      <w:r w:rsidRPr="00477CAF">
        <w:rPr>
          <w:szCs w:val="22"/>
          <w:lang w:val="es-ES_tradnl"/>
        </w:rPr>
        <w:tab/>
      </w:r>
      <w:r w:rsidRPr="00477CAF">
        <w:rPr>
          <w:szCs w:val="22"/>
          <w:u w:val="single"/>
          <w:lang w:val="es-ES_tradnl"/>
        </w:rPr>
        <w:t>Informe de la Comisión Consultiva Independiente de Supervisión (CCIS)</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szCs w:val="22"/>
          <w:lang w:val="es-ES_tradnl"/>
        </w:rPr>
        <w:t>Las Asambleas no adoptaron una decisión.</w:t>
      </w:r>
    </w:p>
    <w:p w:rsidR="007A1A58" w:rsidRPr="00477CAF" w:rsidRDefault="007A1A58" w:rsidP="007A1A58">
      <w:pPr>
        <w:pStyle w:val="ONUME"/>
        <w:numPr>
          <w:ilvl w:val="0"/>
          <w:numId w:val="0"/>
        </w:numPr>
        <w:spacing w:after="240"/>
        <w:ind w:left="540"/>
        <w:rPr>
          <w:szCs w:val="22"/>
          <w:u w:val="single"/>
          <w:lang w:val="es-ES_tradnl"/>
        </w:rPr>
      </w:pPr>
      <w:r w:rsidRPr="00477CAF">
        <w:rPr>
          <w:szCs w:val="22"/>
          <w:lang w:val="es-ES_tradnl"/>
        </w:rPr>
        <w:t>ii)</w:t>
      </w:r>
      <w:r w:rsidRPr="00477CAF">
        <w:rPr>
          <w:szCs w:val="22"/>
          <w:lang w:val="es-ES_tradnl"/>
        </w:rPr>
        <w:tab/>
      </w:r>
      <w:r w:rsidRPr="00477CAF">
        <w:rPr>
          <w:szCs w:val="22"/>
          <w:u w:val="single"/>
          <w:lang w:val="es-ES_tradnl"/>
        </w:rPr>
        <w:t>Informe del auditor externo</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Las Asambleas de la OMPI, en lo que a cada una concierne, tomaron nota del “Informe del auditor externo” (documento A/62/6).</w:t>
      </w:r>
    </w:p>
    <w:p w:rsidR="007A1A58" w:rsidRPr="00477CAF" w:rsidRDefault="007A1A58" w:rsidP="007A1A58">
      <w:pPr>
        <w:pStyle w:val="ONUME"/>
        <w:numPr>
          <w:ilvl w:val="0"/>
          <w:numId w:val="0"/>
        </w:numPr>
        <w:spacing w:after="240"/>
        <w:ind w:left="540"/>
        <w:rPr>
          <w:szCs w:val="22"/>
          <w:u w:val="single"/>
          <w:lang w:val="es-ES_tradnl"/>
        </w:rPr>
      </w:pPr>
      <w:r w:rsidRPr="00477CAF">
        <w:rPr>
          <w:szCs w:val="22"/>
          <w:lang w:val="es-ES_tradnl"/>
        </w:rPr>
        <w:t>iii)</w:t>
      </w:r>
      <w:r w:rsidRPr="00477CAF">
        <w:rPr>
          <w:szCs w:val="22"/>
          <w:lang w:val="es-ES_tradnl"/>
        </w:rPr>
        <w:tab/>
      </w:r>
      <w:r w:rsidRPr="00477CAF">
        <w:rPr>
          <w:szCs w:val="22"/>
          <w:u w:val="single"/>
          <w:lang w:val="es-ES_tradnl"/>
        </w:rPr>
        <w:t>Informe del director de la División de Supervisión Interna (IOD)</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“Informe anual del director de la División de Supervisión Interna (DSI)” (documento WO/GA/54/3).</w:t>
      </w:r>
    </w:p>
    <w:p w:rsidR="007A1A58" w:rsidRPr="00477CAF" w:rsidRDefault="007A1A58" w:rsidP="00A92ECE">
      <w:pPr>
        <w:pStyle w:val="Heading2"/>
        <w:spacing w:before="0"/>
        <w:rPr>
          <w:szCs w:val="22"/>
          <w:lang w:val="es-ES_tradnl"/>
        </w:rPr>
      </w:pPr>
      <w:r w:rsidRPr="00477CAF">
        <w:rPr>
          <w:szCs w:val="22"/>
          <w:lang w:val="es-ES_tradnl"/>
        </w:rPr>
        <w:t>PUNTO 11 DEL ORDEN DEL DÍA CONSOLIDADO</w:t>
      </w:r>
    </w:p>
    <w:p w:rsidR="007A1A58" w:rsidRPr="00477CAF" w:rsidRDefault="007A1A58" w:rsidP="007A1A58">
      <w:pPr>
        <w:pStyle w:val="Heading2"/>
        <w:spacing w:before="0"/>
        <w:rPr>
          <w:szCs w:val="22"/>
          <w:lang w:val="es-ES_tradnl"/>
        </w:rPr>
      </w:pPr>
      <w:r w:rsidRPr="00477CAF">
        <w:rPr>
          <w:szCs w:val="22"/>
          <w:lang w:val="es-ES_tradnl"/>
        </w:rPr>
        <w:t>INFORME DEL COMITÉ DEL PROGRAMA Y PRESUPUESTO (PBC)</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A/62/7.</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Las Asambleas de la OMPI, en lo que a cada una concierne,</w:t>
      </w:r>
    </w:p>
    <w:p w:rsidR="007A1A58" w:rsidRPr="00477CAF" w:rsidRDefault="007A1A58" w:rsidP="007A1A58">
      <w:pPr>
        <w:pStyle w:val="ONUME"/>
        <w:numPr>
          <w:ilvl w:val="2"/>
          <w:numId w:val="6"/>
        </w:numPr>
        <w:rPr>
          <w:szCs w:val="22"/>
          <w:lang w:val="es-ES_tradnl"/>
        </w:rPr>
      </w:pPr>
      <w:r w:rsidRPr="00477CAF">
        <w:rPr>
          <w:szCs w:val="22"/>
          <w:lang w:val="es-ES_tradnl"/>
        </w:rPr>
        <w:t xml:space="preserve">tomaron nota de la “Lista de decisiones adoptadas por el Comité del Programa y Presupuesto” (documento A/62/7); y </w:t>
      </w:r>
    </w:p>
    <w:p w:rsidR="007A1A58" w:rsidRPr="00477CAF" w:rsidRDefault="007A1A58" w:rsidP="00A92ECE">
      <w:pPr>
        <w:pStyle w:val="ONUME"/>
        <w:numPr>
          <w:ilvl w:val="2"/>
          <w:numId w:val="6"/>
        </w:numPr>
        <w:spacing w:after="480"/>
        <w:rPr>
          <w:szCs w:val="22"/>
          <w:lang w:val="es-ES_tradnl"/>
        </w:rPr>
      </w:pPr>
      <w:r w:rsidRPr="00477CAF">
        <w:rPr>
          <w:lang w:val="es-ES_tradnl"/>
        </w:rPr>
        <w:t>aprobaron las recomendaciones del Comité del Programa y Presupuesto contenidas en dicho documento.</w:t>
      </w:r>
    </w:p>
    <w:p w:rsidR="007A1A58" w:rsidRPr="00477CAF" w:rsidRDefault="007A1A58" w:rsidP="00A92ECE">
      <w:pPr>
        <w:pStyle w:val="Heading2"/>
        <w:keepNext w:val="0"/>
        <w:spacing w:before="0"/>
        <w:rPr>
          <w:szCs w:val="22"/>
          <w:lang w:val="es-ES_tradnl"/>
        </w:rPr>
      </w:pPr>
      <w:r w:rsidRPr="00477CAF">
        <w:rPr>
          <w:szCs w:val="22"/>
          <w:lang w:val="es-ES_tradnl"/>
        </w:rPr>
        <w:t>PUNTO 12 DEL ORDEN DEL DÍA CONSOLIDADO</w:t>
      </w:r>
    </w:p>
    <w:p w:rsidR="007A1A58" w:rsidRPr="00477CAF" w:rsidRDefault="007A1A58" w:rsidP="00A92ECE">
      <w:pPr>
        <w:pStyle w:val="Heading2"/>
        <w:keepNext w:val="0"/>
        <w:spacing w:before="0"/>
        <w:rPr>
          <w:szCs w:val="22"/>
          <w:lang w:val="es-ES_tradnl"/>
        </w:rPr>
      </w:pPr>
      <w:r w:rsidRPr="00477CAF">
        <w:rPr>
          <w:szCs w:val="22"/>
          <w:lang w:val="es-ES_tradnl"/>
        </w:rPr>
        <w:t>ACTAS DE LAS REUNIONES DE LA OMPI</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A/62/9.</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Las Asambleas de la OMPI, en lo que a cada una concierne, tomaron una decisión sobre la sustitución de las actas literales de las reuniones de la OMPI por transcripciones y traducciones automatizadas mediante conversión de voz a texto, salvo en el caso de las reuniones de la OMPI que tengan lugar en el marco de las Asambleas, las reuniones de los órganos rectores de la OMPI, el Comité del Programa y Presupuesto (PBC) y las conferencias diplomáticas, a partir de octubre de 2021.</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13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informe del comité permanente de derecho de autor y derechos conexos (SCCR)</w:t>
      </w:r>
    </w:p>
    <w:p w:rsidR="007A1A58" w:rsidRPr="00477CAF" w:rsidRDefault="007A1A58" w:rsidP="00477CAF">
      <w:pPr>
        <w:pStyle w:val="ONUMFS"/>
        <w:keepNext/>
        <w:keepLines/>
        <w:tabs>
          <w:tab w:val="left" w:pos="567"/>
          <w:tab w:val="num" w:pos="7655"/>
        </w:tabs>
        <w:spacing w:after="240"/>
        <w:rPr>
          <w:szCs w:val="22"/>
          <w:lang w:val="es-ES_tradnl"/>
        </w:rPr>
      </w:pPr>
      <w:r w:rsidRPr="00477CAF">
        <w:rPr>
          <w:szCs w:val="22"/>
          <w:lang w:val="es-ES_tradnl"/>
        </w:rPr>
        <w:t>Los debates se basaron en el documento WO/GA/54/4.</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 Asamblea General de la OMPI:</w:t>
      </w:r>
    </w:p>
    <w:p w:rsidR="007A1A58" w:rsidRPr="00477CAF" w:rsidRDefault="007A1A58" w:rsidP="007A1A58">
      <w:pPr>
        <w:pStyle w:val="ONUMFS"/>
        <w:numPr>
          <w:ilvl w:val="2"/>
          <w:numId w:val="6"/>
        </w:numPr>
        <w:rPr>
          <w:lang w:val="es-ES_tradnl"/>
        </w:rPr>
      </w:pPr>
      <w:r w:rsidRPr="00477CAF">
        <w:rPr>
          <w:lang w:val="es-ES_tradnl"/>
        </w:rPr>
        <w:t>tomó nota del “Informe del Comité Permanente de Derecho de Autor y Derechos Conexos” (documento WO/GA/54/4); y</w:t>
      </w:r>
    </w:p>
    <w:p w:rsidR="007A1A58" w:rsidRPr="00477CAF" w:rsidRDefault="007A1A58" w:rsidP="007A1A58">
      <w:pPr>
        <w:pStyle w:val="ONUMFS"/>
        <w:numPr>
          <w:ilvl w:val="2"/>
          <w:numId w:val="6"/>
        </w:numPr>
        <w:spacing w:after="480"/>
        <w:rPr>
          <w:lang w:val="es-ES_tradnl"/>
        </w:rPr>
      </w:pPr>
      <w:r w:rsidRPr="00477CAF">
        <w:rPr>
          <w:lang w:val="es-ES_tradnl"/>
        </w:rPr>
        <w:t>ordenó al SCCR que continúe con su labor relativa a las cuestiones de las que se informa en el documento WO/GA/54/4.</w:t>
      </w:r>
    </w:p>
    <w:p w:rsidR="007A1A58" w:rsidRPr="00477CAF" w:rsidRDefault="007A1A58" w:rsidP="00A92ECE">
      <w:pPr>
        <w:pStyle w:val="ONUMFS"/>
        <w:keepNext/>
        <w:numPr>
          <w:ilvl w:val="0"/>
          <w:numId w:val="0"/>
        </w:numPr>
        <w:tabs>
          <w:tab w:val="left" w:pos="567"/>
        </w:tabs>
        <w:spacing w:after="240"/>
        <w:outlineLvl w:val="1"/>
        <w:rPr>
          <w:szCs w:val="22"/>
          <w:lang w:val="es-ES_tradnl"/>
        </w:rPr>
      </w:pPr>
      <w:r w:rsidRPr="00477CAF">
        <w:rPr>
          <w:szCs w:val="22"/>
          <w:lang w:val="es-ES_tradnl"/>
        </w:rPr>
        <w:t>PUNTO 14 DEL ORDEN DEL DÍA CONSOLIDADO</w:t>
      </w:r>
    </w:p>
    <w:p w:rsidR="007A1A58" w:rsidRPr="00477CAF" w:rsidRDefault="007A1A58" w:rsidP="00A92ECE">
      <w:pPr>
        <w:pStyle w:val="ONUMFS"/>
        <w:keepNext/>
        <w:numPr>
          <w:ilvl w:val="0"/>
          <w:numId w:val="0"/>
        </w:numPr>
        <w:tabs>
          <w:tab w:val="left" w:pos="567"/>
        </w:tabs>
        <w:spacing w:after="240"/>
        <w:outlineLvl w:val="1"/>
        <w:rPr>
          <w:szCs w:val="22"/>
          <w:lang w:val="es-ES_tradnl"/>
        </w:rPr>
      </w:pPr>
      <w:r w:rsidRPr="00477CAF">
        <w:rPr>
          <w:szCs w:val="22"/>
          <w:lang w:val="es-ES_tradnl"/>
        </w:rPr>
        <w:t>INFORME DEL COMITÉ PERMANENTE SOBRE EL DERECHO DE PATENTES (SCP)</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WO/GA/54/5.</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“Informe del Comité Permanente sobre el Derecho de Patentes (SCP)” (documento WO/GA/54/5).</w:t>
      </w:r>
    </w:p>
    <w:p w:rsidR="007A1A58" w:rsidRPr="00477CAF" w:rsidRDefault="007A1A58" w:rsidP="00A92ECE">
      <w:pPr>
        <w:pStyle w:val="Heading2"/>
        <w:keepNext w:val="0"/>
        <w:spacing w:before="0"/>
        <w:rPr>
          <w:szCs w:val="22"/>
          <w:lang w:val="es-ES_tradnl"/>
        </w:rPr>
      </w:pPr>
      <w:r w:rsidRPr="00477CAF">
        <w:rPr>
          <w:szCs w:val="22"/>
          <w:lang w:val="es-ES_tradnl"/>
        </w:rPr>
        <w:t>PUNTO 15 DEL ORDEN DEL DÍA CONSOLIDADO</w:t>
      </w:r>
    </w:p>
    <w:p w:rsidR="007A1A58" w:rsidRPr="00477CAF" w:rsidRDefault="007A1A58" w:rsidP="002A6123">
      <w:pPr>
        <w:pStyle w:val="Heading2"/>
        <w:keepNext w:val="0"/>
        <w:spacing w:before="0"/>
        <w:rPr>
          <w:szCs w:val="22"/>
          <w:lang w:val="es-ES_tradnl"/>
        </w:rPr>
      </w:pPr>
      <w:r w:rsidRPr="00477CAF">
        <w:rPr>
          <w:szCs w:val="22"/>
          <w:lang w:val="es-ES_tradnl"/>
        </w:rPr>
        <w:t>INFORME DEL COMITÉ PERMANENTE SOBRE EL DERECHO DE MARCAS, DISEÑOS INDUSTRIALES E INDICACIONES GEOGRÁFRICAS (SCT)</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WO/GA/54/7.</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“Informe del Comité Permanente sobre el Derecho de Marcas, Diseños Industriales e Indicaciones Geográficas (SCT)” (documento WO/GA/54/7).</w:t>
      </w:r>
    </w:p>
    <w:p w:rsidR="007A1A58" w:rsidRPr="00477CAF" w:rsidRDefault="007A1A58" w:rsidP="00A92ECE">
      <w:pPr>
        <w:pStyle w:val="Heading2"/>
        <w:keepNext w:val="0"/>
        <w:spacing w:before="0"/>
        <w:rPr>
          <w:szCs w:val="22"/>
          <w:lang w:val="es-ES_tradnl"/>
        </w:rPr>
      </w:pPr>
      <w:r w:rsidRPr="00477CAF">
        <w:rPr>
          <w:szCs w:val="22"/>
          <w:lang w:val="es-ES_tradnl"/>
        </w:rPr>
        <w:t>PUNTO 16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ASUNTOS RELATIVOS A LA CONVOCACIÓN DE UNA CONFERENCIA DIPLOMÁTICA PARA LA ADOPCIÓN DE UN TRATADO SOBRE EL DERECHO DE LOS DISEÑOS (DLT)</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WO/GA/54/8.</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decidió que, en su siguiente período de sesiones, continuará considerando la convocación de una conferencia diplomática relativa al Tratado sobre el Derecho de los Diseños, que tendrá lugar no antes de 2023.</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17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informe del comité de desarrollo y propiedad intelectual (CDIP) y reseña sobre la aplicación de las recomendaciones de la agenda para el desarrollo</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WO/GA/54/9.</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“Informe del Comité de Desarrollo y Propiedad Intelectual (CDIP) y reseña sobre la aplicación de las recomendaciones de la Agenda para el Desarrollo” (documento WO/GA/54/9).</w:t>
      </w:r>
    </w:p>
    <w:p w:rsidR="007A1A58" w:rsidRPr="00477CAF" w:rsidRDefault="007A1A58" w:rsidP="00477CAF">
      <w:pPr>
        <w:pStyle w:val="Heading2"/>
        <w:keepLines/>
        <w:spacing w:before="0"/>
        <w:rPr>
          <w:szCs w:val="22"/>
          <w:lang w:val="es-ES_tradnl"/>
        </w:rPr>
      </w:pPr>
      <w:r w:rsidRPr="00477CAF">
        <w:rPr>
          <w:szCs w:val="22"/>
          <w:lang w:val="es-ES_tradnl"/>
        </w:rPr>
        <w:t>PUNTO 18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INFORME DEL COMITÉ INTERGUBERNAMENTAL DE LA OMPI SOBRE PROPIEDAD INTELECTUAL Y RECURSOS GENÉTICOS, CONOCIMIENTOS TRADICIONALES Y FOLCLORE (CIG)</w:t>
      </w:r>
    </w:p>
    <w:p w:rsidR="007A1A58" w:rsidRPr="00477CAF" w:rsidRDefault="007A1A58" w:rsidP="00477CAF">
      <w:pPr>
        <w:pStyle w:val="ONUMFS"/>
        <w:keepNext/>
        <w:keepLines/>
        <w:tabs>
          <w:tab w:val="left" w:pos="567"/>
          <w:tab w:val="num" w:pos="7655"/>
        </w:tabs>
        <w:spacing w:after="240"/>
        <w:rPr>
          <w:szCs w:val="22"/>
          <w:lang w:val="es-ES_tradnl"/>
        </w:rPr>
      </w:pPr>
      <w:r w:rsidRPr="00477CAF">
        <w:rPr>
          <w:szCs w:val="22"/>
          <w:lang w:val="es-ES_tradnl"/>
        </w:rPr>
        <w:t>Los debates se basaron en el documento WO/GA/54/10.</w:t>
      </w:r>
    </w:p>
    <w:p w:rsidR="007A1A58" w:rsidRPr="00477CAF" w:rsidRDefault="007A1A58" w:rsidP="00477CAF">
      <w:pPr>
        <w:pStyle w:val="ONUMFS"/>
        <w:keepNext/>
        <w:keepLines/>
        <w:rPr>
          <w:lang w:val="es-ES_tradnl"/>
        </w:rPr>
      </w:pPr>
      <w:r w:rsidRPr="00477CAF">
        <w:rPr>
          <w:lang w:val="es-ES_tradnl"/>
        </w:rPr>
        <w:t>La Asamblea General de la OMPI:</w:t>
      </w:r>
    </w:p>
    <w:p w:rsidR="007A1A58" w:rsidRPr="00477CAF" w:rsidRDefault="007A1A58" w:rsidP="007A1A58">
      <w:pPr>
        <w:spacing w:after="240"/>
        <w:ind w:left="1168"/>
        <w:rPr>
          <w:lang w:val="es-ES_tradnl"/>
        </w:rPr>
      </w:pPr>
      <w:r w:rsidRPr="00477CAF">
        <w:rPr>
          <w:lang w:val="es-ES_tradnl"/>
        </w:rPr>
        <w:t>i)</w:t>
      </w:r>
      <w:r w:rsidRPr="00477CAF">
        <w:rPr>
          <w:lang w:val="es-ES_tradnl"/>
        </w:rPr>
        <w:tab/>
        <w:t>tomó nota de la información contenida en el documento WO/GA/54/10;</w:t>
      </w:r>
    </w:p>
    <w:p w:rsidR="007A1A58" w:rsidRPr="00477CAF" w:rsidRDefault="007A1A58" w:rsidP="007A1A58">
      <w:pPr>
        <w:spacing w:after="240"/>
        <w:ind w:left="1168"/>
        <w:rPr>
          <w:lang w:val="es-ES_tradnl"/>
        </w:rPr>
      </w:pPr>
      <w:r w:rsidRPr="00477CAF">
        <w:rPr>
          <w:lang w:val="es-ES_tradnl"/>
        </w:rPr>
        <w:t>ii)</w:t>
      </w:r>
      <w:r w:rsidRPr="00477CAF">
        <w:rPr>
          <w:lang w:val="es-ES_tradnl"/>
        </w:rPr>
        <w:tab/>
        <w:t>acordó renovar el mandato del CIG para el bienio 2022/23 según consta a continuación:</w:t>
      </w:r>
    </w:p>
    <w:p w:rsidR="007A1A58" w:rsidRPr="00477CAF" w:rsidRDefault="007A1A58" w:rsidP="007A1A58">
      <w:pPr>
        <w:spacing w:after="161"/>
        <w:ind w:left="1710"/>
        <w:rPr>
          <w:szCs w:val="22"/>
          <w:lang w:val="es-ES_tradnl"/>
        </w:rPr>
      </w:pPr>
      <w:r w:rsidRPr="00477CAF">
        <w:rPr>
          <w:szCs w:val="22"/>
          <w:lang w:val="es-ES_tradnl"/>
        </w:rPr>
        <w:t>“Teniendo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w:t>
      </w:r>
    </w:p>
    <w:p w:rsidR="007A1A58" w:rsidRPr="00477CAF" w:rsidRDefault="007A1A58" w:rsidP="007A1A58">
      <w:pPr>
        <w:numPr>
          <w:ilvl w:val="0"/>
          <w:numId w:val="9"/>
        </w:numPr>
        <w:spacing w:before="240" w:after="240"/>
        <w:ind w:left="2250"/>
        <w:rPr>
          <w:szCs w:val="22"/>
          <w:lang w:val="es-ES_tradnl"/>
        </w:rPr>
      </w:pPr>
      <w:r w:rsidRPr="00477CAF">
        <w:rPr>
          <w:szCs w:val="22"/>
          <w:lang w:val="es-ES_tradnl"/>
        </w:rPr>
        <w:t>En el próximo ejercicio presupuestario de 2022/2023,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w:t>
      </w:r>
    </w:p>
    <w:p w:rsidR="007A1A58" w:rsidRPr="00477CAF" w:rsidRDefault="007A1A58" w:rsidP="007A1A58">
      <w:pPr>
        <w:numPr>
          <w:ilvl w:val="0"/>
          <w:numId w:val="9"/>
        </w:numPr>
        <w:spacing w:before="240" w:after="240"/>
        <w:ind w:left="2250"/>
        <w:rPr>
          <w:szCs w:val="22"/>
          <w:lang w:val="es-ES_tradnl"/>
        </w:rPr>
      </w:pPr>
      <w:r w:rsidRPr="00477CAF">
        <w:rPr>
          <w:szCs w:val="22"/>
          <w:lang w:val="es-ES_tradnl"/>
        </w:rPr>
        <w:t>En el bienio 2022/2023, las actividades del Comité tendrán como punto de partida la labor que ya ha efectuado, incluidas las negociaciones basadas en textos, centrándose primordialmente en reducir los actuales desequilibrios y en lograr una postura común sobre las cuestiones esenciales.</w:t>
      </w:r>
      <w:r w:rsidRPr="00477CAF">
        <w:rPr>
          <w:szCs w:val="22"/>
          <w:vertAlign w:val="superscript"/>
          <w:lang w:val="es-ES_tradnl"/>
        </w:rPr>
        <w:footnoteReference w:id="2"/>
      </w:r>
    </w:p>
    <w:p w:rsidR="007A1A58" w:rsidRPr="00477CAF" w:rsidRDefault="007A1A58" w:rsidP="007A1A58">
      <w:pPr>
        <w:numPr>
          <w:ilvl w:val="0"/>
          <w:numId w:val="9"/>
        </w:numPr>
        <w:spacing w:before="240" w:after="240"/>
        <w:ind w:left="2250"/>
        <w:rPr>
          <w:szCs w:val="22"/>
          <w:lang w:val="es-ES_tradnl"/>
        </w:rPr>
      </w:pPr>
      <w:r w:rsidRPr="00477CAF">
        <w:rPr>
          <w:szCs w:val="22"/>
          <w:lang w:val="es-ES_tradnl"/>
        </w:rPr>
        <w:lastRenderedPageBreak/>
        <w:t>Como consta en el cuadro que fi</w:t>
      </w:r>
      <w:r w:rsidR="00477CAF" w:rsidRPr="00477CAF">
        <w:rPr>
          <w:szCs w:val="22"/>
          <w:lang w:val="es-ES_tradnl"/>
        </w:rPr>
        <w:t>gura más adelante, en el bienio </w:t>
      </w:r>
      <w:r w:rsidRPr="00477CAF">
        <w:rPr>
          <w:szCs w:val="22"/>
          <w:lang w:val="es-ES_tradnl"/>
        </w:rPr>
        <w:t xml:space="preserve">2022/2023, el Comité se atendrá a un programa de trabajo basado en métodos de trabajo abiertos e incluyentes, con inclusión del enfoque empírico que se establece en el apartado d). En dicho programa de trabajo se preverán 6 sesiones del Comité en 2022/2023, incluidas sesiones temáticas, generales y de evaluación. El Comité podrá establecer uno o varios grupos </w:t>
      </w:r>
      <w:r w:rsidRPr="00477CAF">
        <w:rPr>
          <w:i/>
          <w:iCs/>
          <w:szCs w:val="22"/>
          <w:lang w:val="es-ES_tradnl"/>
        </w:rPr>
        <w:t>ad hoc</w:t>
      </w:r>
      <w:r w:rsidRPr="00477CAF">
        <w:rPr>
          <w:szCs w:val="22"/>
          <w:lang w:val="es-ES_tradnl"/>
        </w:rPr>
        <w:t xml:space="preserve"> de especialistas a fin de abordar una cuestión jurídica, normativa o técnica específica.</w:t>
      </w:r>
      <w:r w:rsidRPr="00477CAF">
        <w:rPr>
          <w:szCs w:val="22"/>
          <w:vertAlign w:val="superscript"/>
          <w:lang w:val="es-ES_tradnl"/>
        </w:rPr>
        <w:footnoteReference w:id="3"/>
      </w:r>
      <w:r w:rsidRPr="00477CAF">
        <w:rPr>
          <w:szCs w:val="22"/>
          <w:lang w:val="es-ES_tradnl"/>
        </w:rPr>
        <w:t xml:space="preserve"> Los resultados de la labor de esos grupos serán sometidos a examen del Comité.</w:t>
      </w:r>
    </w:p>
    <w:p w:rsidR="007A1A58" w:rsidRPr="00477CAF" w:rsidRDefault="007A1A58" w:rsidP="007A1A58">
      <w:pPr>
        <w:numPr>
          <w:ilvl w:val="0"/>
          <w:numId w:val="9"/>
        </w:numPr>
        <w:spacing w:before="240" w:after="240"/>
        <w:ind w:left="2250"/>
        <w:rPr>
          <w:szCs w:val="22"/>
          <w:lang w:val="es-ES_tradnl"/>
        </w:rPr>
      </w:pPr>
      <w:r w:rsidRPr="00477CAF">
        <w:rPr>
          <w:szCs w:val="22"/>
          <w:lang w:val="es-ES_tradnl"/>
        </w:rPr>
        <w:t xml:space="preserve">El Comité hará uso de todos los documentos de trabajo de la OMPI, incluidos los documentos WIPO/GRTKF/IC/40/6, WIPO/GRTKF/IC/40/18, WIPO/GRTKF/IC/40/19 y el texto del presidente sobre un </w:t>
      </w:r>
      <w:r w:rsidRPr="00477CAF">
        <w:rPr>
          <w:i/>
          <w:iCs/>
          <w:szCs w:val="22"/>
          <w:lang w:val="es-ES_tradnl"/>
        </w:rPr>
        <w:t>Proyecto de Instrumento jurídico internacional relativo a la propiedad intelectual, los recursos genéticos y los conocimientos tradicionales asociados a los recursos genéticos</w:t>
      </w:r>
      <w:r w:rsidRPr="00477CAF">
        <w:rPr>
          <w:szCs w:val="22"/>
          <w:lang w:val="es-ES_tradnl"/>
        </w:rPr>
        <w:t>,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especialistas establecidos por el Comité y las actividades conexas realizadas en el marco del Programa 4. Se pide a la Secretaría que continúe actualizando los estudios y otro material relativo a herramientas y actividades en relación con bases de datos y regímenes vigentes de divulgación de los RR.GG. y los CC.TT. asociados, con miras a determinar las carencias y seguir reuniendo y compilando información sobre los regímenes sui géneris nacionales y regionales de protección de la propiedad intelectual de los CC.TT. y las ECT, y facilitando dicha información por Internet. Ahora bien, los estudios y actividades adicionales no deberán retrasar los avances ni establecer condiciones previas con respecto a las negociaciones.</w:t>
      </w:r>
    </w:p>
    <w:p w:rsidR="007A1A58" w:rsidRPr="00477CAF" w:rsidRDefault="007A1A58" w:rsidP="007A1A58">
      <w:pPr>
        <w:numPr>
          <w:ilvl w:val="0"/>
          <w:numId w:val="9"/>
        </w:numPr>
        <w:spacing w:before="240" w:after="240"/>
        <w:ind w:left="2250"/>
        <w:rPr>
          <w:szCs w:val="22"/>
          <w:lang w:val="es-ES_tradnl"/>
        </w:rPr>
      </w:pPr>
      <w:r w:rsidRPr="00477CAF">
        <w:rPr>
          <w:szCs w:val="22"/>
          <w:lang w:val="es-ES_tradnl"/>
        </w:rPr>
        <w:t>En 2022, el Comité deberá presentar a la Asamblea General de la OMPI un informe fáctico junto con los textos más recientes que haya sobre la labor emprendida hasta esa fecha, con recomendaciones, y en 2023, se le pide que presente a la Asamblea General de la OMPI los resultados de su labor conforme al objetivo reflejado en el apartado a). En 2023 la Asamblea General de la OMPI ponderará los avances efectuados y, sobre la base de la madurez de los textos, incluidos los niveles de acuerdo sobre los objetivos, el alcance y la naturaleza del instrumento o instrumentos, decidirá si se convoca una conferencia diplomática y/o se prosiguen las negociaciones.</w:t>
      </w:r>
    </w:p>
    <w:p w:rsidR="007A1A58" w:rsidRPr="00477CAF" w:rsidRDefault="007A1A58" w:rsidP="00477CAF">
      <w:pPr>
        <w:numPr>
          <w:ilvl w:val="0"/>
          <w:numId w:val="9"/>
        </w:numPr>
        <w:spacing w:before="240" w:after="480"/>
        <w:ind w:left="2251"/>
        <w:rPr>
          <w:szCs w:val="22"/>
          <w:lang w:val="es-ES_tradnl"/>
        </w:rPr>
      </w:pPr>
      <w:r w:rsidRPr="00477CAF">
        <w:rPr>
          <w:szCs w:val="22"/>
          <w:lang w:val="es-ES_tradnl"/>
        </w:rPr>
        <w:t xml:space="preserve">La Asamblea General pide a la Secretaría que siga prestando asistencia al Comité proporcionando a los Estados miembros los conocimientos especializados necesarios y financiando, del modo más </w:t>
      </w:r>
      <w:r w:rsidRPr="00477CAF">
        <w:rPr>
          <w:szCs w:val="22"/>
          <w:lang w:val="es-ES_tradnl"/>
        </w:rPr>
        <w:lastRenderedPageBreak/>
        <w:t>eficaz posible, la participación de especialistas de países en desarrollo y países menos adelantados, según la práctica habitual del CIG.</w:t>
      </w:r>
    </w:p>
    <w:p w:rsidR="007A1A58" w:rsidRPr="00477CAF" w:rsidRDefault="007A1A58" w:rsidP="007A1A58">
      <w:pPr>
        <w:keepNext/>
        <w:tabs>
          <w:tab w:val="right" w:pos="9355"/>
        </w:tabs>
        <w:spacing w:before="240" w:after="240"/>
        <w:ind w:left="567"/>
        <w:outlineLvl w:val="0"/>
        <w:rPr>
          <w:b/>
          <w:bCs/>
          <w:caps/>
          <w:kern w:val="32"/>
          <w:szCs w:val="32"/>
          <w:lang w:val="es-ES_tradnl"/>
        </w:rPr>
      </w:pPr>
      <w:r w:rsidRPr="00477CAF">
        <w:rPr>
          <w:b/>
          <w:bCs/>
          <w:caps/>
          <w:kern w:val="32"/>
          <w:szCs w:val="32"/>
          <w:lang w:val="es-ES_tradnl"/>
        </w:rPr>
        <w:t>PROGRAMA DE TRABAJO: 6 SESIONES</w:t>
      </w:r>
    </w:p>
    <w:tbl>
      <w:tblPr>
        <w:tblW w:w="8820" w:type="dxa"/>
        <w:tblInd w:w="535" w:type="dxa"/>
        <w:tblCellMar>
          <w:top w:w="8" w:type="dxa"/>
          <w:right w:w="82" w:type="dxa"/>
        </w:tblCellMar>
        <w:tblLook w:val="04A0" w:firstRow="1" w:lastRow="0" w:firstColumn="1" w:lastColumn="0" w:noHBand="0" w:noVBand="1"/>
        <w:tblCaption w:val="IGC Work Program 6 sessions for 2022-2023"/>
      </w:tblPr>
      <w:tblGrid>
        <w:gridCol w:w="2281"/>
        <w:gridCol w:w="6539"/>
      </w:tblGrid>
      <w:tr w:rsidR="007A1A58" w:rsidRPr="00477CAF" w:rsidTr="004F5F96">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b/>
                <w:szCs w:val="22"/>
                <w:lang w:val="es-ES_tradnl"/>
              </w:rPr>
              <w:t>Fechas indicativas</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b/>
                <w:szCs w:val="22"/>
                <w:lang w:val="es-ES_tradnl"/>
              </w:rPr>
              <w:t>Actividades</w:t>
            </w:r>
          </w:p>
        </w:tc>
      </w:tr>
      <w:tr w:rsidR="007A1A58" w:rsidRPr="00477CAF" w:rsidTr="004F5F96">
        <w:trPr>
          <w:trHeight w:val="116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jc w:val="both"/>
              <w:rPr>
                <w:szCs w:val="22"/>
                <w:lang w:val="es-ES_tradnl"/>
              </w:rPr>
            </w:pPr>
            <w:r w:rsidRPr="00477CAF">
              <w:rPr>
                <w:szCs w:val="22"/>
                <w:lang w:val="es-ES_tradnl"/>
              </w:rPr>
              <w:t>Febrero/marzo de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(42.ª sesión del CIG)</w:t>
            </w:r>
          </w:p>
          <w:p w:rsidR="007A1A58" w:rsidRPr="00477CAF" w:rsidRDefault="007A1A58" w:rsidP="004F5F96">
            <w:pPr>
              <w:spacing w:line="259" w:lineRule="auto"/>
              <w:rPr>
                <w:szCs w:val="22"/>
                <w:lang w:val="es-ES_tradnl"/>
              </w:rPr>
            </w:pPr>
            <w:r w:rsidRPr="00477CAF">
              <w:rPr>
                <w:szCs w:val="22"/>
                <w:lang w:val="es-ES_tradnl"/>
              </w:rPr>
              <w:t>Emprender negociaciones sobre los RR.GG. centrándose en el examen de las cuestiones no resueltas y la consideración de distintas opciones relativas a un proyecto de instrumento jurídico.</w:t>
            </w:r>
          </w:p>
          <w:p w:rsidR="007A1A58" w:rsidRPr="00477CAF" w:rsidRDefault="007A1A58" w:rsidP="004F5F96">
            <w:pPr>
              <w:spacing w:line="259" w:lineRule="auto"/>
              <w:rPr>
                <w:szCs w:val="22"/>
                <w:lang w:val="es-ES_tradnl"/>
              </w:rPr>
            </w:pPr>
            <w:r w:rsidRPr="00477CAF">
              <w:rPr>
                <w:szCs w:val="22"/>
                <w:lang w:val="es-ES_tradnl"/>
              </w:rPr>
              <w:t>Duración: 5 días.</w:t>
            </w:r>
          </w:p>
        </w:tc>
      </w:tr>
      <w:tr w:rsidR="007A1A58" w:rsidRPr="00477CAF" w:rsidTr="004F5F96">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Mayo/junio de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(43.ª sesión del CIG)</w:t>
            </w:r>
          </w:p>
          <w:p w:rsidR="007A1A58" w:rsidRPr="00477CAF" w:rsidRDefault="007A1A58" w:rsidP="004F5F96">
            <w:pPr>
              <w:spacing w:line="259" w:lineRule="auto"/>
              <w:ind w:right="926"/>
              <w:rPr>
                <w:szCs w:val="22"/>
                <w:lang w:val="es-ES_tradnl"/>
              </w:rPr>
            </w:pPr>
            <w:r w:rsidRPr="00477CAF">
              <w:rPr>
                <w:szCs w:val="22"/>
                <w:lang w:val="es-ES_tradnl"/>
              </w:rPr>
              <w:t>Emprender negociaciones sobre los RR.GG. centrándose en el examen de las cuestiones no resueltas y la consideración de distintas opciones relativas a un proyecto de instrumento jurídico.</w:t>
            </w:r>
          </w:p>
          <w:p w:rsidR="007A1A58" w:rsidRPr="00477CAF" w:rsidRDefault="007A1A58" w:rsidP="004F5F96">
            <w:pPr>
              <w:spacing w:line="259" w:lineRule="auto"/>
              <w:rPr>
                <w:szCs w:val="22"/>
                <w:lang w:val="es-ES_tradnl"/>
              </w:rPr>
            </w:pPr>
            <w:r w:rsidRPr="00477CAF">
              <w:rPr>
                <w:szCs w:val="22"/>
                <w:lang w:val="es-ES_tradnl"/>
              </w:rPr>
              <w:t xml:space="preserve">Duración: 5 días, más, si así se decide, una reunión de un día de duración de un grupo de especialistas </w:t>
            </w:r>
            <w:r w:rsidRPr="00477CAF">
              <w:rPr>
                <w:i/>
                <w:szCs w:val="22"/>
                <w:lang w:val="es-ES_tradnl"/>
              </w:rPr>
              <w:t>ad hoc</w:t>
            </w:r>
            <w:r w:rsidRPr="00477CAF">
              <w:rPr>
                <w:szCs w:val="22"/>
                <w:lang w:val="es-ES_tradnl"/>
              </w:rPr>
              <w:t>.</w:t>
            </w:r>
          </w:p>
        </w:tc>
      </w:tr>
      <w:tr w:rsidR="007A1A58" w:rsidRPr="00477CAF" w:rsidTr="004F5F96">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Septiembre de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after="2" w:line="259" w:lineRule="auto"/>
              <w:rPr>
                <w:szCs w:val="22"/>
                <w:lang w:val="es-ES_tradnl"/>
              </w:rPr>
            </w:pPr>
            <w:r w:rsidRPr="00477CAF">
              <w:rPr>
                <w:szCs w:val="22"/>
                <w:lang w:val="es-ES_tradnl"/>
              </w:rPr>
              <w:t>(44.ª sesión del CIG)</w:t>
            </w:r>
          </w:p>
          <w:p w:rsidR="007A1A58" w:rsidRPr="00477CAF" w:rsidRDefault="007A1A58" w:rsidP="004F5F96">
            <w:pPr>
              <w:spacing w:line="259" w:lineRule="auto"/>
              <w:rPr>
                <w:szCs w:val="22"/>
                <w:lang w:val="es-ES_tradnl"/>
              </w:rPr>
            </w:pPr>
            <w:r w:rsidRPr="00477CAF">
              <w:rPr>
                <w:szCs w:val="22"/>
                <w:lang w:val="es-ES_tradnl"/>
              </w:rPr>
              <w:t>Emprender negociaciones sobre los CC.TT. y/o las ECT centrándose en el examen de las cuestiones no resueltas y transversales, y la consideración de distintas opciones relativas a proyecto(s) de instrumento(s) jurídico(s).</w:t>
            </w:r>
          </w:p>
          <w:p w:rsidR="007A1A58" w:rsidRPr="00477CAF" w:rsidRDefault="007A1A58" w:rsidP="004F5F96">
            <w:pPr>
              <w:spacing w:line="259" w:lineRule="auto"/>
              <w:ind w:right="42"/>
              <w:rPr>
                <w:szCs w:val="22"/>
                <w:lang w:val="es-ES_tradnl"/>
              </w:rPr>
            </w:pPr>
            <w:r w:rsidRPr="00477CAF">
              <w:rPr>
                <w:szCs w:val="22"/>
                <w:lang w:val="es-ES_tradnl"/>
              </w:rPr>
              <w:t>Recomendaciones posibles conforme al apartado e).</w:t>
            </w:r>
          </w:p>
          <w:p w:rsidR="007A1A58" w:rsidRPr="00477CAF" w:rsidRDefault="007A1A58" w:rsidP="004F5F96">
            <w:pPr>
              <w:spacing w:line="259" w:lineRule="auto"/>
              <w:ind w:right="42"/>
              <w:rPr>
                <w:szCs w:val="22"/>
                <w:lang w:val="es-ES_tradnl"/>
              </w:rPr>
            </w:pPr>
            <w:r w:rsidRPr="00477CAF">
              <w:rPr>
                <w:szCs w:val="22"/>
                <w:lang w:val="es-ES_tradnl"/>
              </w:rPr>
              <w:t>Duración: 5 días.</w:t>
            </w:r>
          </w:p>
        </w:tc>
      </w:tr>
      <w:tr w:rsidR="007A1A58" w:rsidRPr="00477CAF" w:rsidTr="004F5F96">
        <w:trPr>
          <w:trHeight w:val="61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Octubre de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Asamblea General de la OMPI</w:t>
            </w:r>
          </w:p>
          <w:p w:rsidR="007A1A58" w:rsidRPr="00477CAF" w:rsidRDefault="007A1A58" w:rsidP="004F5F96">
            <w:pPr>
              <w:spacing w:line="259" w:lineRule="auto"/>
              <w:rPr>
                <w:szCs w:val="22"/>
                <w:lang w:val="es-ES_tradnl"/>
              </w:rPr>
            </w:pPr>
            <w:r w:rsidRPr="00477CAF">
              <w:rPr>
                <w:szCs w:val="22"/>
                <w:lang w:val="es-ES_tradnl"/>
              </w:rPr>
              <w:t>Informe fáctico y examen de las recomendaciones.</w:t>
            </w:r>
          </w:p>
        </w:tc>
      </w:tr>
      <w:tr w:rsidR="007A1A58" w:rsidRPr="00477CAF" w:rsidTr="004F5F96">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Noviembre/diciembre de 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(45.ª sesión del CIG)</w:t>
            </w:r>
          </w:p>
          <w:p w:rsidR="007A1A58" w:rsidRPr="00477CAF" w:rsidRDefault="007A1A58" w:rsidP="004F5F96">
            <w:pPr>
              <w:spacing w:line="259" w:lineRule="auto"/>
              <w:rPr>
                <w:szCs w:val="22"/>
                <w:lang w:val="es-ES_tradnl"/>
              </w:rPr>
            </w:pPr>
            <w:r w:rsidRPr="00477CAF">
              <w:rPr>
                <w:szCs w:val="22"/>
                <w:lang w:val="es-ES_tradnl"/>
              </w:rPr>
              <w:t>Emprender negociaciones sobre los CC.TT. y/o las ECT centrándose en el examen de las cuestiones no resueltas y transversales, y la consideración de distintas opciones relativas a proyecto(s) de instrumento(s) jurídico(s).</w:t>
            </w:r>
          </w:p>
          <w:p w:rsidR="007A1A58" w:rsidRPr="00477CAF" w:rsidRDefault="007A1A58" w:rsidP="004F5F96">
            <w:pPr>
              <w:spacing w:line="259" w:lineRule="auto"/>
              <w:rPr>
                <w:szCs w:val="22"/>
                <w:lang w:val="es-ES_tradnl"/>
              </w:rPr>
            </w:pPr>
            <w:r w:rsidRPr="00477CAF">
              <w:rPr>
                <w:szCs w:val="22"/>
                <w:lang w:val="es-ES_tradnl"/>
              </w:rPr>
              <w:t xml:space="preserve">Duración: 5 días, más, si así se decide, una reunión de un día de duración de un grupo de especialistas </w:t>
            </w:r>
            <w:r w:rsidRPr="00477CAF">
              <w:rPr>
                <w:i/>
                <w:szCs w:val="22"/>
                <w:lang w:val="es-ES_tradnl"/>
              </w:rPr>
              <w:t>ad hoc</w:t>
            </w:r>
            <w:r w:rsidRPr="00477CAF">
              <w:rPr>
                <w:szCs w:val="22"/>
                <w:lang w:val="es-ES_tradnl"/>
              </w:rPr>
              <w:t>.</w:t>
            </w:r>
          </w:p>
        </w:tc>
      </w:tr>
      <w:tr w:rsidR="007A1A58" w:rsidRPr="00477CAF" w:rsidTr="004F5F96">
        <w:trPr>
          <w:trHeight w:val="175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Marzo/abril de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(46.ª sesión del CIG)</w:t>
            </w:r>
          </w:p>
          <w:p w:rsidR="007A1A58" w:rsidRPr="00477CAF" w:rsidRDefault="007A1A58" w:rsidP="004F5F96">
            <w:pPr>
              <w:spacing w:line="259" w:lineRule="auto"/>
              <w:rPr>
                <w:szCs w:val="22"/>
                <w:lang w:val="es-ES_tradnl"/>
              </w:rPr>
            </w:pPr>
            <w:r w:rsidRPr="00477CAF">
              <w:rPr>
                <w:szCs w:val="22"/>
                <w:lang w:val="es-ES_tradnl"/>
              </w:rPr>
              <w:t>Emprender negociaciones sobre los CC.TT. y/o las ECT centrándose en el examen de las cuestiones no resueltas y transversales, y la consideración de distintas opciones relativas a proyecto(s) de instrumento(s) jurídico(s).</w:t>
            </w:r>
          </w:p>
          <w:p w:rsidR="007A1A58" w:rsidRPr="00477CAF" w:rsidRDefault="007A1A58" w:rsidP="004F5F96">
            <w:pPr>
              <w:spacing w:line="259" w:lineRule="auto"/>
              <w:ind w:right="214"/>
              <w:rPr>
                <w:szCs w:val="22"/>
                <w:lang w:val="es-ES_tradnl"/>
              </w:rPr>
            </w:pPr>
            <w:r w:rsidRPr="00477CAF">
              <w:rPr>
                <w:szCs w:val="22"/>
                <w:lang w:val="es-ES_tradnl"/>
              </w:rPr>
              <w:t xml:space="preserve">Duración: 5 días, más, si así se decide, una reunión de un día de duración de un grupo de especialistas </w:t>
            </w:r>
            <w:r w:rsidRPr="00477CAF">
              <w:rPr>
                <w:i/>
                <w:szCs w:val="22"/>
                <w:lang w:val="es-ES_tradnl"/>
              </w:rPr>
              <w:t>ad hoc</w:t>
            </w:r>
            <w:r w:rsidRPr="00477CAF">
              <w:rPr>
                <w:szCs w:val="22"/>
                <w:lang w:val="es-ES_tradnl"/>
              </w:rPr>
              <w:t>.</w:t>
            </w:r>
          </w:p>
        </w:tc>
      </w:tr>
      <w:tr w:rsidR="007A1A58" w:rsidRPr="00477CAF" w:rsidTr="004F5F96">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77CAF">
            <w:pPr>
              <w:keepNext/>
              <w:keepLines/>
              <w:spacing w:line="259" w:lineRule="auto"/>
              <w:rPr>
                <w:szCs w:val="22"/>
                <w:lang w:val="es-ES_tradnl"/>
              </w:rPr>
            </w:pPr>
            <w:r w:rsidRPr="00477CAF">
              <w:rPr>
                <w:szCs w:val="22"/>
                <w:lang w:val="es-ES_tradnl"/>
              </w:rPr>
              <w:lastRenderedPageBreak/>
              <w:t>Junio/julio de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77CAF">
            <w:pPr>
              <w:keepNext/>
              <w:keepLines/>
              <w:spacing w:line="259" w:lineRule="auto"/>
              <w:rPr>
                <w:szCs w:val="22"/>
                <w:lang w:val="es-ES_tradnl"/>
              </w:rPr>
            </w:pPr>
            <w:r w:rsidRPr="00477CAF">
              <w:rPr>
                <w:szCs w:val="22"/>
                <w:lang w:val="es-ES_tradnl"/>
              </w:rPr>
              <w:t>(47.ª sesión del CIG)</w:t>
            </w:r>
          </w:p>
          <w:p w:rsidR="007A1A58" w:rsidRPr="00477CAF" w:rsidRDefault="007A1A58" w:rsidP="00477CAF">
            <w:pPr>
              <w:keepNext/>
              <w:keepLines/>
              <w:spacing w:line="259" w:lineRule="auto"/>
              <w:rPr>
                <w:szCs w:val="22"/>
                <w:lang w:val="es-ES_tradnl"/>
              </w:rPr>
            </w:pPr>
            <w:r w:rsidRPr="00477CAF">
              <w:rPr>
                <w:szCs w:val="22"/>
                <w:lang w:val="es-ES_tradnl"/>
              </w:rPr>
              <w:t>Emprender negociaciones sobre los CC.TT. y/o las ECT centrándose en el examen de las cuestiones no resueltas y transversales, y la consideración de distintas opciones relativas a proyecto(s) de instrumento(s) jurídico(s).</w:t>
            </w:r>
          </w:p>
          <w:p w:rsidR="007A1A58" w:rsidRPr="00477CAF" w:rsidRDefault="007A1A58" w:rsidP="00477CAF">
            <w:pPr>
              <w:keepNext/>
              <w:keepLines/>
              <w:spacing w:line="259" w:lineRule="auto"/>
              <w:rPr>
                <w:szCs w:val="22"/>
                <w:lang w:val="es-ES_tradnl"/>
              </w:rPr>
            </w:pPr>
            <w:r w:rsidRPr="00477CAF">
              <w:rPr>
                <w:szCs w:val="22"/>
                <w:lang w:val="es-ES_tradnl"/>
              </w:rPr>
              <w:t>Sesión de evaluación sobre RR.GG./CC.TT./ECT y formulación de una recomendación.</w:t>
            </w:r>
          </w:p>
          <w:p w:rsidR="007A1A58" w:rsidRPr="00477CAF" w:rsidRDefault="007A1A58" w:rsidP="00477CAF">
            <w:pPr>
              <w:keepNext/>
              <w:keepLines/>
              <w:spacing w:line="259" w:lineRule="auto"/>
              <w:rPr>
                <w:szCs w:val="22"/>
                <w:lang w:val="es-ES_tradnl"/>
              </w:rPr>
            </w:pPr>
            <w:r w:rsidRPr="00477CAF">
              <w:rPr>
                <w:szCs w:val="22"/>
                <w:lang w:val="es-ES_tradnl"/>
              </w:rPr>
              <w:t>Duración: 5 días.</w:t>
            </w:r>
          </w:p>
        </w:tc>
      </w:tr>
      <w:tr w:rsidR="007A1A58" w:rsidRPr="00477CAF" w:rsidTr="004F5F96">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Octubre de 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7A1A58" w:rsidRPr="00477CAF" w:rsidRDefault="007A1A58" w:rsidP="004F5F96">
            <w:pPr>
              <w:spacing w:line="259" w:lineRule="auto"/>
              <w:rPr>
                <w:szCs w:val="22"/>
                <w:lang w:val="es-ES_tradnl"/>
              </w:rPr>
            </w:pPr>
            <w:r w:rsidRPr="00477CAF">
              <w:rPr>
                <w:szCs w:val="22"/>
                <w:lang w:val="es-ES_tradnl"/>
              </w:rPr>
              <w:t>La Asamblea General de la OMPI ponderará los avances efectuados, examinará el texto o textos y adoptará la decisión o decisiones pertinentes.”</w:t>
            </w:r>
          </w:p>
        </w:tc>
      </w:tr>
    </w:tbl>
    <w:p w:rsidR="007A1A58" w:rsidRPr="00477CAF" w:rsidRDefault="007A1A58" w:rsidP="00477CAF">
      <w:pPr>
        <w:spacing w:before="240" w:after="240"/>
        <w:rPr>
          <w:lang w:val="es-ES_tradnl"/>
        </w:rPr>
      </w:pPr>
      <w:r w:rsidRPr="00477CAF">
        <w:rPr>
          <w:lang w:val="es-ES_tradnl"/>
        </w:rPr>
        <w:t>y</w:t>
      </w:r>
    </w:p>
    <w:p w:rsidR="007A1A58" w:rsidRPr="00477CAF" w:rsidRDefault="007A1A58" w:rsidP="007A1A58">
      <w:pPr>
        <w:spacing w:after="480"/>
        <w:ind w:left="1168"/>
        <w:rPr>
          <w:szCs w:val="22"/>
          <w:lang w:val="es-ES_tradnl"/>
        </w:rPr>
      </w:pPr>
      <w:r w:rsidRPr="00477CAF">
        <w:rPr>
          <w:lang w:val="es-ES_tradnl"/>
        </w:rPr>
        <w:t>iii)</w:t>
      </w:r>
      <w:r w:rsidRPr="00477CAF">
        <w:rPr>
          <w:lang w:val="es-ES_tradnl"/>
        </w:rPr>
        <w:tab/>
        <w:t>reconoció la importancia de la participación de los pueblos indígenas y las comunidades locales en la labor del Comité, tomó nota de que el Fondo de la OMPI de Contribuciones Voluntarias para Comunidades Indígenas y Locales está bajo mínimos, alentó a los Estados miembros a ponderar la posibilidad de realizar aportaciones a dicho Fondo e invitó a los Estados miembros a examinar otros posibles acuerdos de financiación.”</w:t>
      </w:r>
    </w:p>
    <w:p w:rsidR="007A1A58" w:rsidRPr="00477CAF" w:rsidRDefault="007A1A58" w:rsidP="00A92ECE">
      <w:pPr>
        <w:pStyle w:val="Heading2"/>
        <w:keepNext w:val="0"/>
        <w:spacing w:before="0"/>
        <w:rPr>
          <w:szCs w:val="22"/>
          <w:lang w:val="es-ES_tradnl"/>
        </w:rPr>
      </w:pPr>
      <w:r w:rsidRPr="00477CAF">
        <w:rPr>
          <w:szCs w:val="22"/>
          <w:lang w:val="es-ES_tradnl"/>
        </w:rPr>
        <w:t>PUNTO 19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INFORME DEL COMITÉ DE NORMAS TÉCNICAS DE LA ompi (CWS) Y CUESTIONES CONEXAS</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los documentos WO/GA/54/11 y WO/GA/54/14.</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 Asamblea General de la OMPI tomó nota del “Informe del Comité de Normas Técnicas de la OMPI (CWS)” (documento WO/GA/54/11).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documento "WO/GA/54/14 Asuntos relativos a la fecha de aplicación de la Norma ST.26 de la OMPI" y aprobó la nueva fecha de transición generalizada a la Norma ST.26 de la OMPI, a saber, el 1 de julio de 2022, a escala nacional, regional e internacional.</w:t>
      </w:r>
    </w:p>
    <w:p w:rsidR="007A1A58" w:rsidRPr="00477CAF" w:rsidRDefault="007A1A58" w:rsidP="00A92ECE">
      <w:pPr>
        <w:pStyle w:val="Heading2"/>
        <w:keepNext w:val="0"/>
        <w:spacing w:before="0"/>
        <w:rPr>
          <w:szCs w:val="22"/>
          <w:lang w:val="es-ES_tradnl"/>
        </w:rPr>
      </w:pPr>
      <w:r w:rsidRPr="00477CAF">
        <w:rPr>
          <w:szCs w:val="22"/>
          <w:lang w:val="es-ES_tradnl"/>
        </w:rPr>
        <w:t>PUNTO 20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INFORME DEL COMITÉ ASESOR SOBRE OBSERVANCIA (ACE)</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WO/GA/54/12.</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General de la OMPI tomó nota del “Informe del Comité Asesor sobre Observancia (ACE)” (documento WO/GA/54/12).</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21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sistema del PCT</w:t>
      </w:r>
    </w:p>
    <w:p w:rsidR="007A1A58" w:rsidRPr="00477CAF" w:rsidRDefault="007A1A58" w:rsidP="00477CAF">
      <w:pPr>
        <w:pStyle w:val="ONUMFS"/>
        <w:keepNext/>
        <w:keepLines/>
        <w:tabs>
          <w:tab w:val="left" w:pos="567"/>
          <w:tab w:val="num" w:pos="7655"/>
        </w:tabs>
        <w:spacing w:after="240"/>
        <w:rPr>
          <w:szCs w:val="22"/>
          <w:lang w:val="es-ES_tradnl"/>
        </w:rPr>
      </w:pPr>
      <w:r w:rsidRPr="00477CAF">
        <w:rPr>
          <w:szCs w:val="22"/>
          <w:lang w:val="es-ES_tradnl"/>
        </w:rPr>
        <w:t>Los debates se basaron en los documentos PCT/A/53/1, PCT/A/53/2 y PCT/A/53/3.</w:t>
      </w:r>
    </w:p>
    <w:p w:rsidR="007A1A58" w:rsidRPr="00477CAF" w:rsidRDefault="007A1A58" w:rsidP="007A1A58">
      <w:pPr>
        <w:spacing w:after="220"/>
        <w:ind w:left="540"/>
        <w:rPr>
          <w:u w:val="single"/>
          <w:lang w:val="es-ES_tradnl"/>
        </w:rPr>
      </w:pPr>
      <w:r w:rsidRPr="00477CAF">
        <w:rPr>
          <w:u w:val="single"/>
          <w:lang w:val="es-ES_tradnl"/>
        </w:rPr>
        <w:t>Designación de la Oficina Eurasiática de Patentes en calidad de Administración encargada de la búsqueda internacional y del examen preliminar internacional en virtud del PCT</w:t>
      </w:r>
    </w:p>
    <w:p w:rsidR="007A1A58" w:rsidRPr="00477CAF" w:rsidRDefault="007A1A58" w:rsidP="007A1A58">
      <w:pPr>
        <w:pStyle w:val="ONUMFS"/>
        <w:tabs>
          <w:tab w:val="clear" w:pos="567"/>
          <w:tab w:val="num" w:pos="1134"/>
          <w:tab w:val="num" w:pos="7655"/>
        </w:tabs>
        <w:spacing w:after="240"/>
        <w:ind w:left="567"/>
        <w:rPr>
          <w:lang w:val="es-ES_tradnl"/>
        </w:rPr>
      </w:pPr>
      <w:r w:rsidRPr="00477CAF">
        <w:rPr>
          <w:lang w:val="es-ES_tradnl"/>
        </w:rPr>
        <w:t>La Asamblea de la Unión del PCT, de conformidad con los artículos 16.3) y 32.3) del PCT:</w:t>
      </w:r>
    </w:p>
    <w:p w:rsidR="007A1A58" w:rsidRPr="00477CAF" w:rsidRDefault="007A1A58" w:rsidP="007A1A58">
      <w:pPr>
        <w:spacing w:after="220"/>
        <w:ind w:left="1166"/>
        <w:rPr>
          <w:lang w:val="es-ES_tradnl"/>
        </w:rPr>
      </w:pPr>
      <w:r w:rsidRPr="00477CAF">
        <w:rPr>
          <w:lang w:val="es-ES_tradnl"/>
        </w:rPr>
        <w:t>i)</w:t>
      </w:r>
      <w:r w:rsidRPr="00477CAF">
        <w:rPr>
          <w:lang w:val="es-ES_tradnl"/>
        </w:rPr>
        <w:tab/>
        <w:t>aprobó el texto del proyecto de Acuerdo entre la Organización Eurasiática de Patentes y la Oficina Internacional, que consta en el Anexo del documento PCT/A/53/1; y</w:t>
      </w:r>
    </w:p>
    <w:p w:rsidR="007A1A58" w:rsidRPr="00477CAF" w:rsidRDefault="007A1A58" w:rsidP="007A1A58">
      <w:pPr>
        <w:spacing w:after="220"/>
        <w:ind w:left="1166"/>
        <w:rPr>
          <w:lang w:val="es-ES_tradnl"/>
        </w:rPr>
      </w:pPr>
      <w:r w:rsidRPr="00477CAF">
        <w:rPr>
          <w:lang w:val="es-ES_tradnl"/>
        </w:rPr>
        <w:t>ii)</w:t>
      </w:r>
      <w:r w:rsidRPr="00477CAF">
        <w:rPr>
          <w:lang w:val="es-ES_tradnl"/>
        </w:rPr>
        <w:tab/>
        <w:t>designó a la Oficina Eurasiática de Patentes en calidad de Administración encargada de la búsqueda internacional y de Administración encargada del examen preliminar internacional con efecto a partir de la entrada en vigor del Acuerdo y hasta el 31 de diciembre de 2027.”</w:t>
      </w:r>
    </w:p>
    <w:p w:rsidR="007A1A58" w:rsidRPr="00477CAF" w:rsidRDefault="007A1A58" w:rsidP="007A1A58">
      <w:pPr>
        <w:spacing w:after="220"/>
        <w:ind w:left="547"/>
        <w:rPr>
          <w:u w:val="single"/>
          <w:lang w:val="es-ES_tradnl"/>
        </w:rPr>
      </w:pPr>
      <w:r w:rsidRPr="00477CAF">
        <w:rPr>
          <w:u w:val="single"/>
          <w:lang w:val="es-ES_tradnl"/>
        </w:rPr>
        <w:t>Examen del sistema de búsqueda internacional suplementaria</w:t>
      </w:r>
    </w:p>
    <w:p w:rsidR="007A1A58" w:rsidRPr="00477CAF" w:rsidRDefault="007A1A58" w:rsidP="007A1A58">
      <w:pPr>
        <w:pStyle w:val="ONUMFS"/>
        <w:tabs>
          <w:tab w:val="clear" w:pos="567"/>
          <w:tab w:val="num" w:pos="1134"/>
          <w:tab w:val="num" w:pos="7655"/>
        </w:tabs>
        <w:spacing w:after="240"/>
        <w:ind w:left="567"/>
        <w:rPr>
          <w:lang w:val="es-ES_tradnl"/>
        </w:rPr>
      </w:pPr>
      <w:r w:rsidRPr="00477CAF">
        <w:rPr>
          <w:lang w:val="es-ES_tradnl"/>
        </w:rPr>
        <w:t>La Asamblea de la Unión del PCT:</w:t>
      </w:r>
    </w:p>
    <w:p w:rsidR="007A1A58" w:rsidRPr="00477CAF" w:rsidRDefault="007A1A58" w:rsidP="007A1A58">
      <w:pPr>
        <w:spacing w:after="220"/>
        <w:ind w:left="1166"/>
        <w:rPr>
          <w:lang w:val="es-ES_tradnl"/>
        </w:rPr>
      </w:pPr>
      <w:r w:rsidRPr="00477CAF">
        <w:rPr>
          <w:lang w:val="es-ES_tradnl"/>
        </w:rPr>
        <w:t>i) tomó nota del examen del sistema de búsqueda internacional suplementaria (documento PCT/A/53/2); y</w:t>
      </w:r>
    </w:p>
    <w:p w:rsidR="007A1A58" w:rsidRPr="00477CAF" w:rsidRDefault="007A1A58" w:rsidP="007A1A58">
      <w:pPr>
        <w:spacing w:after="220"/>
        <w:ind w:left="1166"/>
        <w:rPr>
          <w:lang w:val="es-ES_tradnl"/>
        </w:rPr>
      </w:pPr>
      <w:r w:rsidRPr="00477CAF">
        <w:rPr>
          <w:lang w:val="es-ES_tradnl"/>
        </w:rPr>
        <w:t>ii) aprobó la propuesta de decisión que figura en el apartado 7 de dicho documento.</w:t>
      </w:r>
    </w:p>
    <w:p w:rsidR="007A1A58" w:rsidRPr="00477CAF" w:rsidRDefault="007A1A58" w:rsidP="007A1A58">
      <w:pPr>
        <w:spacing w:after="220"/>
        <w:ind w:left="547"/>
        <w:rPr>
          <w:u w:val="single"/>
          <w:lang w:val="es-ES_tradnl"/>
        </w:rPr>
      </w:pPr>
      <w:r w:rsidRPr="00477CAF">
        <w:rPr>
          <w:u w:val="single"/>
          <w:lang w:val="es-ES_tradnl"/>
        </w:rPr>
        <w:t>Propuestas de modificación del Reglamento del PCT</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 la Unión del PCT aprobó las propuestas de modificación del Reglamento del PCT que constan en los Anexos I y II del documento PCT/A/53/3, así como la entrada en vigor y las disposiciones transitorias expuestas en el párrafo 5 del mismo documento, tomando nota de que la fecha decidida por la Asamblea General de la OMPI relativa a la entrada en vigor de las modificaciones del Anexo I del documento es el 1 de julio de 2022.</w:t>
      </w:r>
    </w:p>
    <w:p w:rsidR="007A1A58" w:rsidRPr="00477CAF" w:rsidRDefault="007A1A58" w:rsidP="00A92ECE">
      <w:pPr>
        <w:pStyle w:val="Heading2"/>
        <w:keepNext w:val="0"/>
        <w:spacing w:before="0"/>
        <w:rPr>
          <w:szCs w:val="22"/>
          <w:lang w:val="es-ES_tradnl"/>
        </w:rPr>
      </w:pPr>
      <w:r w:rsidRPr="00477CAF">
        <w:rPr>
          <w:szCs w:val="22"/>
          <w:lang w:val="es-ES_tradnl"/>
        </w:rPr>
        <w:t>PUNTO 22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sistema de Madrid</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MM/A/55/1.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 la Unión de Madrid aprobó las modificaciones de las Reglas 3, 5, 5</w:t>
      </w:r>
      <w:r w:rsidRPr="00477CAF">
        <w:rPr>
          <w:i/>
          <w:lang w:val="es-ES_tradnl"/>
        </w:rPr>
        <w:t>bis</w:t>
      </w:r>
      <w:r w:rsidRPr="00477CAF">
        <w:rPr>
          <w:lang w:val="es-ES_tradnl"/>
        </w:rPr>
        <w:t>, 9, 15, 17, 21, 22, 24, 32, 39 y 40 del Reglamento del Protocolo concerniente al Arreglo de Madrid relativo al Registro Internacional de Marcas, así como las modificaciones de la Tabla de tasas, según constan en los Anexos del documento MM/A/55/1.</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23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sistema de la haya</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H/A/41/1.</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szCs w:val="22"/>
          <w:lang w:val="es-ES_tradnl"/>
        </w:rPr>
        <w:t>La Asamblea de la Unión de la Haya aprobó las modificaciones:</w:t>
      </w:r>
    </w:p>
    <w:p w:rsidR="007A1A58" w:rsidRPr="00477CAF" w:rsidRDefault="007A1A58" w:rsidP="007A1A58">
      <w:pPr>
        <w:spacing w:after="220"/>
        <w:ind w:left="1166"/>
        <w:rPr>
          <w:lang w:val="es-ES_tradnl"/>
        </w:rPr>
      </w:pPr>
      <w:r w:rsidRPr="00477CAF">
        <w:rPr>
          <w:lang w:val="es-ES_tradnl"/>
        </w:rPr>
        <w:t xml:space="preserve">i) de las Reglas 5, 17, 21 y 37 del Reglamento Común, según se exponen en los Anexos I y III del documento H/A/41/1, con fecha de entrada en vigor el 1 de enero de 2022; y </w:t>
      </w:r>
    </w:p>
    <w:p w:rsidR="007A1A58" w:rsidRPr="00477CAF" w:rsidRDefault="007A1A58" w:rsidP="007A1A58">
      <w:pPr>
        <w:spacing w:after="480"/>
        <w:ind w:left="1168"/>
        <w:rPr>
          <w:lang w:val="es-ES_tradnl"/>
        </w:rPr>
      </w:pPr>
      <w:r w:rsidRPr="00477CAF">
        <w:rPr>
          <w:lang w:val="es-ES_tradnl"/>
        </w:rPr>
        <w:t>ii) de las Reglas 15 y 22bis del Reglamento Común y la Tabla de tasas, según se exponen en los Anexos II y IV del documento H/A/41/1, con fecha de entrada en vigor que será decidida por la Oficina Internacional.</w:t>
      </w:r>
    </w:p>
    <w:p w:rsidR="007A1A58" w:rsidRPr="00477CAF" w:rsidRDefault="007A1A58" w:rsidP="00A92ECE">
      <w:pPr>
        <w:pStyle w:val="Heading2"/>
        <w:keepNext w:val="0"/>
        <w:spacing w:before="0"/>
        <w:rPr>
          <w:szCs w:val="22"/>
          <w:lang w:val="es-ES_tradnl"/>
        </w:rPr>
      </w:pPr>
      <w:r w:rsidRPr="00477CAF">
        <w:rPr>
          <w:szCs w:val="22"/>
          <w:lang w:val="es-ES_tradnl"/>
        </w:rPr>
        <w:t>PUNTO 24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sistema de lisboa</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los documentos LI/A/38/1 and LI/A/38/2.</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 Asamblea de la Unión de Lisboa tomó nota del documento “Desarrollo del Sistema de Lisboa” (documento LI/A/38/1).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 la Unión de Lisboa aprobó las modificaciones del Reglamento Común del Arreglo de Lisboa y del Acta de Ginebra del Arreglo de Lisboa, que figuran en el Anexo del documento LI/A/38/2.</w:t>
      </w:r>
    </w:p>
    <w:p w:rsidR="007A1A58" w:rsidRPr="00477CAF" w:rsidRDefault="007A1A58" w:rsidP="00477CAF">
      <w:pPr>
        <w:pStyle w:val="Heading2"/>
        <w:keepLines/>
        <w:spacing w:before="0"/>
        <w:rPr>
          <w:szCs w:val="22"/>
          <w:lang w:val="es-ES_tradnl"/>
        </w:rPr>
      </w:pPr>
      <w:r w:rsidRPr="00477CAF">
        <w:rPr>
          <w:szCs w:val="22"/>
          <w:lang w:val="es-ES_tradnl"/>
        </w:rPr>
        <w:t>PUNTO 25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CENTRO DE ARBITRAJE Y MEDIACIÓN DE LA OMPI, Y NOMBRES DE DOMINIO</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WO/GA/54/13.</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szCs w:val="22"/>
          <w:lang w:val="es-ES_tradnl"/>
        </w:rPr>
        <w:t>La Asamblea General de la OMPI tomó nota del documento “Centro de Arbitraje y Mediación de la OMPI, y nombres de dominio” (documento WO/GA/54/13).</w:t>
      </w:r>
    </w:p>
    <w:p w:rsidR="007A1A58" w:rsidRPr="00477CAF" w:rsidRDefault="007A1A58" w:rsidP="00A92ECE">
      <w:pPr>
        <w:pStyle w:val="ONUMFS"/>
        <w:numPr>
          <w:ilvl w:val="0"/>
          <w:numId w:val="0"/>
        </w:numPr>
        <w:spacing w:after="240"/>
        <w:outlineLvl w:val="1"/>
        <w:rPr>
          <w:szCs w:val="22"/>
          <w:lang w:val="es-ES_tradnl"/>
        </w:rPr>
      </w:pPr>
      <w:r w:rsidRPr="00477CAF">
        <w:rPr>
          <w:szCs w:val="22"/>
          <w:lang w:val="es-ES_tradnl"/>
        </w:rPr>
        <w:t>PUNTO 26 DEL ORDEN DEL DÍA CONSOLIDADO</w:t>
      </w:r>
    </w:p>
    <w:p w:rsidR="007A1A58" w:rsidRPr="00477CAF" w:rsidRDefault="007A1A58" w:rsidP="008E1B5F">
      <w:pPr>
        <w:pStyle w:val="ONUMFS"/>
        <w:numPr>
          <w:ilvl w:val="0"/>
          <w:numId w:val="0"/>
        </w:numPr>
        <w:spacing w:after="240"/>
        <w:rPr>
          <w:szCs w:val="22"/>
          <w:lang w:val="es-ES_tradnl"/>
        </w:rPr>
      </w:pPr>
      <w:r w:rsidRPr="00477CAF">
        <w:rPr>
          <w:szCs w:val="22"/>
          <w:lang w:val="es-ES_tradnl"/>
        </w:rPr>
        <w:t>TRATADO SOBRE EL DERECHO DE PATENTES (PLT)</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WO/GA/54/6.</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szCs w:val="22"/>
          <w:lang w:val="es-ES_tradnl"/>
        </w:rPr>
        <w:t>La Asamblea General de la OMPI tomó nota de la información sobre “Asistencia técnica y cooperación en relación con el Tratado sobre el Derecho de Patentes (PLT)” (documento WO/GA/54/6).</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27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TRATADO DE SINGAPUR SOBRE EL DERECHO DE MARCAS (STLT)</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STLT/A/14/1.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del Tratado de Singapur tomó nota de la información sobre “Asistencia técnica y cooperación en relación con el Tratado de Singapur sobre el Derecho de Marcas (STLT)” (documento STLT/A/14/1).</w:t>
      </w:r>
    </w:p>
    <w:p w:rsidR="007A1A58" w:rsidRPr="00477CAF" w:rsidRDefault="007A1A58" w:rsidP="00A92ECE">
      <w:pPr>
        <w:pStyle w:val="Heading2"/>
        <w:spacing w:before="0"/>
        <w:rPr>
          <w:szCs w:val="22"/>
          <w:lang w:val="es-ES_tradnl"/>
        </w:rPr>
      </w:pPr>
      <w:r w:rsidRPr="00477CAF">
        <w:rPr>
          <w:szCs w:val="22"/>
          <w:lang w:val="es-ES_tradnl"/>
        </w:rPr>
        <w:t>PUNTO 28 DEL ORDEN DEL DÍA CONSOLIDADO</w:t>
      </w:r>
    </w:p>
    <w:p w:rsidR="007A1A58" w:rsidRPr="00477CAF" w:rsidRDefault="007A1A58" w:rsidP="00A92ECE">
      <w:pPr>
        <w:pStyle w:val="Heading2"/>
        <w:spacing w:before="0"/>
        <w:rPr>
          <w:szCs w:val="22"/>
          <w:lang w:val="es-ES_tradnl"/>
        </w:rPr>
      </w:pPr>
      <w:r w:rsidRPr="00477CAF">
        <w:rPr>
          <w:szCs w:val="22"/>
          <w:lang w:val="es-ES_tradnl"/>
        </w:rPr>
        <w:t>tratado de marrakech para facilitar el acceso a las obras publicadas a las personas ciegas, con discapacidad visual o con otras dificultades para acceder al texto impreso (tratado de marrakech)</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MVT/A/6/1 Rev. Se hizo referencia al documento </w:t>
      </w:r>
      <w:r w:rsidRPr="00477CAF">
        <w:rPr>
          <w:bCs/>
          <w:szCs w:val="22"/>
          <w:lang w:val="es-ES_tradnl"/>
        </w:rPr>
        <w:t>MVT/A/6/INF/1.</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del Tratado de Marrakech tomó nota de la “Situación del Tratado de Marrakech” (documento MVT/A/6/1 Rev.).</w:t>
      </w:r>
    </w:p>
    <w:p w:rsidR="007A1A58" w:rsidRPr="00477CAF" w:rsidRDefault="007A1A58" w:rsidP="00A92ECE">
      <w:pPr>
        <w:pStyle w:val="Heading2"/>
        <w:keepNext w:val="0"/>
        <w:spacing w:before="0"/>
        <w:rPr>
          <w:szCs w:val="22"/>
          <w:lang w:val="es-ES_tradnl"/>
        </w:rPr>
      </w:pPr>
      <w:r w:rsidRPr="00477CAF">
        <w:rPr>
          <w:szCs w:val="22"/>
          <w:lang w:val="es-ES_tradnl"/>
        </w:rPr>
        <w:t>PUNTO 29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TRATADO DE BEIJING SOBRE INTERPRETACIONES Y EJECUCIONES AUDIOVISUALES (TRATADO DE BEIJING)</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BTAP/A/2/1 Rev.</w:t>
      </w:r>
    </w:p>
    <w:p w:rsidR="007A1A58" w:rsidRPr="00477CAF" w:rsidRDefault="007A1A58" w:rsidP="007A1A58">
      <w:pPr>
        <w:pStyle w:val="ONUMFS"/>
        <w:tabs>
          <w:tab w:val="clear" w:pos="567"/>
          <w:tab w:val="num" w:pos="1134"/>
          <w:tab w:val="num" w:pos="7655"/>
        </w:tabs>
        <w:spacing w:after="480"/>
        <w:ind w:left="567"/>
        <w:rPr>
          <w:szCs w:val="22"/>
          <w:lang w:val="es-ES_tradnl"/>
        </w:rPr>
      </w:pPr>
      <w:r w:rsidRPr="00477CAF">
        <w:rPr>
          <w:lang w:val="es-ES_tradnl"/>
        </w:rPr>
        <w:t>La Asamblea del Tratado de Beijing tomó nota de la “Situación del Tratado de Beijing” (documento BTAP/A/2/1 Rev.).</w:t>
      </w:r>
    </w:p>
    <w:p w:rsidR="007A1A58" w:rsidRPr="00477CAF" w:rsidRDefault="007A1A58" w:rsidP="00A92ECE">
      <w:pPr>
        <w:pStyle w:val="Heading2"/>
        <w:keepNext w:val="0"/>
        <w:spacing w:before="0"/>
        <w:rPr>
          <w:szCs w:val="22"/>
          <w:lang w:val="es-ES_tradnl"/>
        </w:rPr>
      </w:pPr>
      <w:r w:rsidRPr="00477CAF">
        <w:rPr>
          <w:szCs w:val="22"/>
          <w:lang w:val="es-ES_tradnl"/>
        </w:rPr>
        <w:t>PUNTO 30 DEL ORDEN DEL DÍA CONSOLIDADO</w:t>
      </w:r>
    </w:p>
    <w:p w:rsidR="007A1A58" w:rsidRPr="00477CAF" w:rsidRDefault="007A1A58" w:rsidP="008E1B5F">
      <w:pPr>
        <w:pStyle w:val="Heading2"/>
        <w:keepNext w:val="0"/>
        <w:spacing w:before="0"/>
        <w:rPr>
          <w:szCs w:val="22"/>
          <w:lang w:val="es-ES_tradnl"/>
        </w:rPr>
      </w:pPr>
      <w:r w:rsidRPr="00477CAF">
        <w:rPr>
          <w:szCs w:val="22"/>
          <w:lang w:val="es-ES_tradnl"/>
        </w:rPr>
        <w:t>INFORME SOBRE ASUNTOS RELATIVOS AL PERSONAL</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los documentos WO/CC/80/INF/1, WO/CC/80/2, WO/CC/80/4, y WO/CC/80/INF/2.</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El Comité de Coordinación de la OMPI eligió:</w:t>
      </w:r>
    </w:p>
    <w:p w:rsidR="007A1A58" w:rsidRPr="00477CAF" w:rsidRDefault="007A1A58" w:rsidP="007A1A58">
      <w:pPr>
        <w:spacing w:after="220"/>
        <w:ind w:left="1166"/>
        <w:rPr>
          <w:lang w:val="es-ES_tradnl"/>
        </w:rPr>
      </w:pPr>
      <w:r w:rsidRPr="00477CAF">
        <w:rPr>
          <w:lang w:val="es-ES_tradnl"/>
        </w:rPr>
        <w:t>i) al Sr. Vladimir Yossifov como miembro titular del Comité de Pensiones del Personal de la OMPI para el período que se extiende hasta el final de la sesión ordinaria del Comité de Coordinación de la OMPI en 2022.</w:t>
      </w:r>
    </w:p>
    <w:p w:rsidR="007A1A58" w:rsidRPr="00477CAF" w:rsidRDefault="007A1A58" w:rsidP="007A1A58">
      <w:pPr>
        <w:spacing w:after="480"/>
        <w:ind w:left="1168"/>
        <w:rPr>
          <w:lang w:val="es-ES_tradnl"/>
        </w:rPr>
      </w:pPr>
      <w:r w:rsidRPr="00477CAF">
        <w:rPr>
          <w:lang w:val="es-ES_tradnl"/>
        </w:rPr>
        <w:t>ii)  al Sr. Jean-Luc Perrin como miembro suplente del Comité de Pensiones del Personal de la OMPI para el período que se extiende hasta el final de la sesión ordinaria del Comité de Coordinación de la OMPI en 2023.</w:t>
      </w:r>
    </w:p>
    <w:p w:rsidR="007A1A58" w:rsidRPr="00477CAF" w:rsidRDefault="007A1A58" w:rsidP="00477CAF">
      <w:pPr>
        <w:pStyle w:val="Heading2"/>
        <w:keepLines/>
        <w:spacing w:before="0"/>
        <w:rPr>
          <w:szCs w:val="22"/>
          <w:lang w:val="es-ES_tradnl"/>
        </w:rPr>
      </w:pPr>
      <w:r w:rsidRPr="00477CAF">
        <w:rPr>
          <w:szCs w:val="22"/>
          <w:lang w:val="es-ES_tradnl"/>
        </w:rPr>
        <w:lastRenderedPageBreak/>
        <w:t>PUNTO 31 DEL ORDEN DEL DÍA CONSOLIDADO</w:t>
      </w:r>
    </w:p>
    <w:p w:rsidR="007A1A58" w:rsidRPr="00477CAF" w:rsidRDefault="007A1A58" w:rsidP="00477CAF">
      <w:pPr>
        <w:pStyle w:val="Heading2"/>
        <w:keepLines/>
        <w:spacing w:before="0"/>
        <w:rPr>
          <w:szCs w:val="22"/>
          <w:lang w:val="es-ES_tradnl"/>
        </w:rPr>
      </w:pPr>
      <w:r w:rsidRPr="00477CAF">
        <w:rPr>
          <w:szCs w:val="22"/>
          <w:lang w:val="es-ES_tradnl"/>
        </w:rPr>
        <w:t>ENMIENDAS AL ESTATUTO Y REGLAMENTO DEL PERSONAL</w:t>
      </w:r>
    </w:p>
    <w:p w:rsidR="007A1A58" w:rsidRPr="00477CAF" w:rsidRDefault="007A1A58" w:rsidP="007A1A58">
      <w:pPr>
        <w:pStyle w:val="ONUMFS"/>
        <w:tabs>
          <w:tab w:val="left" w:pos="567"/>
          <w:tab w:val="num" w:pos="7655"/>
        </w:tabs>
        <w:spacing w:after="240"/>
        <w:rPr>
          <w:szCs w:val="22"/>
          <w:lang w:val="es-ES_tradnl"/>
        </w:rPr>
      </w:pPr>
      <w:r w:rsidRPr="00477CAF">
        <w:rPr>
          <w:szCs w:val="22"/>
          <w:lang w:val="es-ES_tradnl"/>
        </w:rPr>
        <w:t>Los debates se basaron en el documento WO/CC/80/3.</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El Comité de Coordinación de la OMPI:</w:t>
      </w:r>
    </w:p>
    <w:p w:rsidR="007A1A58" w:rsidRPr="00477CAF" w:rsidRDefault="007A1A58" w:rsidP="007A1A58">
      <w:pPr>
        <w:spacing w:after="220"/>
        <w:ind w:left="1166"/>
        <w:rPr>
          <w:lang w:val="es-ES_tradnl"/>
        </w:rPr>
      </w:pPr>
      <w:r w:rsidRPr="00477CAF">
        <w:rPr>
          <w:lang w:val="es-ES_tradnl"/>
        </w:rPr>
        <w:t>i) aprobó las enmiendas al Estatuto del Personal que figuran en el Anexo I del documento WO/CC/80/3; y</w:t>
      </w:r>
    </w:p>
    <w:p w:rsidR="007A1A58" w:rsidRPr="00477CAF" w:rsidRDefault="007A1A58" w:rsidP="007A1A58">
      <w:pPr>
        <w:spacing w:after="480"/>
        <w:ind w:left="1168"/>
        <w:rPr>
          <w:lang w:val="es-ES_tradnl"/>
        </w:rPr>
      </w:pPr>
      <w:r w:rsidRPr="00477CAF">
        <w:rPr>
          <w:lang w:val="es-ES_tradnl"/>
        </w:rPr>
        <w:t>ii) tomó nota de las enmiendas al Reglamento del Personal que figuran en los Anexos II y III del documento WO/CC/80/3.</w:t>
      </w:r>
    </w:p>
    <w:p w:rsidR="007A1A58" w:rsidRPr="00477CAF" w:rsidRDefault="007A1A58" w:rsidP="00A92ECE">
      <w:pPr>
        <w:pStyle w:val="Heading2"/>
        <w:keepNext w:val="0"/>
        <w:spacing w:before="0"/>
        <w:rPr>
          <w:szCs w:val="22"/>
          <w:lang w:val="es-ES_tradnl"/>
        </w:rPr>
      </w:pPr>
      <w:r w:rsidRPr="00477CAF">
        <w:rPr>
          <w:szCs w:val="22"/>
          <w:lang w:val="es-ES_tradnl"/>
        </w:rPr>
        <w:t>PUNTO 32 DEL ORDEN DEL DÍA CONSOLIDADO</w:t>
      </w:r>
    </w:p>
    <w:p w:rsidR="007A1A58" w:rsidRPr="00477CAF" w:rsidRDefault="007A1A58" w:rsidP="00A92ECE">
      <w:pPr>
        <w:pStyle w:val="Heading2"/>
        <w:keepNext w:val="0"/>
        <w:spacing w:before="0"/>
        <w:rPr>
          <w:szCs w:val="22"/>
          <w:lang w:val="es-ES_tradnl"/>
        </w:rPr>
      </w:pPr>
      <w:r w:rsidRPr="00477CAF">
        <w:rPr>
          <w:szCs w:val="22"/>
          <w:lang w:val="es-ES_tradnl"/>
        </w:rPr>
        <w:t>APROBACIÓN DEL INFORME</w:t>
      </w:r>
    </w:p>
    <w:p w:rsidR="007A1A58" w:rsidRPr="00477CAF" w:rsidRDefault="007A1A58" w:rsidP="007A1A58">
      <w:pPr>
        <w:pStyle w:val="ONUMFS"/>
        <w:tabs>
          <w:tab w:val="left" w:pos="567"/>
          <w:tab w:val="num" w:pos="7655"/>
        </w:tabs>
        <w:spacing w:after="240"/>
        <w:rPr>
          <w:lang w:val="es-ES_tradnl"/>
        </w:rPr>
      </w:pPr>
      <w:r w:rsidRPr="00477CAF">
        <w:rPr>
          <w:lang w:val="es-ES_tradnl"/>
        </w:rPr>
        <w:t>Los debates se basaron en el documento A/62/12.</w:t>
      </w:r>
    </w:p>
    <w:p w:rsidR="007A1A58" w:rsidRPr="00477CAF" w:rsidRDefault="007A1A58" w:rsidP="007A1A58">
      <w:pPr>
        <w:pStyle w:val="ONUMFS"/>
        <w:tabs>
          <w:tab w:val="clear" w:pos="567"/>
          <w:tab w:val="num" w:pos="1134"/>
          <w:tab w:val="num" w:pos="7655"/>
        </w:tabs>
        <w:spacing w:after="240"/>
        <w:ind w:left="567"/>
        <w:rPr>
          <w:szCs w:val="22"/>
          <w:lang w:val="es-ES_tradnl"/>
        </w:rPr>
      </w:pPr>
      <w:r w:rsidRPr="00477CAF">
        <w:rPr>
          <w:lang w:val="es-ES_tradnl"/>
        </w:rPr>
        <w:t>Las Asambleas de la OMPI, en lo que a cada una concierne</w:t>
      </w:r>
      <w:r w:rsidRPr="00477CAF">
        <w:rPr>
          <w:szCs w:val="22"/>
          <w:lang w:val="es-ES_tradnl"/>
        </w:rPr>
        <w:t>,</w:t>
      </w:r>
    </w:p>
    <w:p w:rsidR="007A1A58" w:rsidRPr="00477CAF" w:rsidRDefault="007A1A58" w:rsidP="007A1A58">
      <w:pPr>
        <w:pStyle w:val="BodyText"/>
        <w:numPr>
          <w:ilvl w:val="2"/>
          <w:numId w:val="5"/>
        </w:numPr>
        <w:spacing w:after="240"/>
        <w:rPr>
          <w:szCs w:val="22"/>
          <w:lang w:val="es-ES_tradnl"/>
        </w:rPr>
      </w:pPr>
      <w:r w:rsidRPr="00477CAF">
        <w:rPr>
          <w:szCs w:val="22"/>
          <w:lang w:val="es-ES_tradnl"/>
        </w:rPr>
        <w:t xml:space="preserve">aprobaron </w:t>
      </w:r>
      <w:r w:rsidRPr="00477CAF">
        <w:rPr>
          <w:lang w:val="es-ES_tradnl"/>
        </w:rPr>
        <w:t xml:space="preserve">el presente informe resumido </w:t>
      </w:r>
      <w:r w:rsidRPr="00477CAF">
        <w:rPr>
          <w:szCs w:val="22"/>
          <w:lang w:val="es-ES_tradnl"/>
        </w:rPr>
        <w:t>(documento A/62/12); y</w:t>
      </w:r>
    </w:p>
    <w:p w:rsidR="007A1A58" w:rsidRPr="00477CAF" w:rsidRDefault="007A1A58" w:rsidP="007A1A58">
      <w:pPr>
        <w:pStyle w:val="BodyText"/>
        <w:numPr>
          <w:ilvl w:val="2"/>
          <w:numId w:val="5"/>
        </w:numPr>
        <w:spacing w:after="480"/>
        <w:ind w:left="1140"/>
        <w:rPr>
          <w:szCs w:val="22"/>
          <w:lang w:val="es-ES_tradnl"/>
        </w:rPr>
      </w:pPr>
      <w:r w:rsidRPr="00477CAF">
        <w:rPr>
          <w:lang w:val="es-ES_tradnl"/>
        </w:rPr>
        <w:t>pidieron a la Secretaría que finalice los informes completos, los publique en el sitio web de la OMPI y los comunique a los Estados miembros antes del 5 de noviembre de</w:t>
      </w:r>
      <w:r w:rsidRPr="00477CAF">
        <w:rPr>
          <w:szCs w:val="22"/>
          <w:lang w:val="es-ES_tradnl"/>
        </w:rPr>
        <w:t xml:space="preserve"> 2021. </w:t>
      </w:r>
      <w:r w:rsidRPr="00477CAF">
        <w:rPr>
          <w:lang w:val="es-ES_tradnl"/>
        </w:rPr>
        <w:t>Toda observación deberá ser sometida a la Secretaría a más tardar el 3 de diciembre de</w:t>
      </w:r>
      <w:r w:rsidRPr="00477CAF">
        <w:rPr>
          <w:szCs w:val="22"/>
          <w:lang w:val="es-ES_tradnl"/>
        </w:rPr>
        <w:t xml:space="preserve"> 2021, </w:t>
      </w:r>
      <w:r w:rsidRPr="00477CAF">
        <w:rPr>
          <w:lang w:val="es-ES_tradnl"/>
        </w:rPr>
        <w:t>tras lo cual se estimará que los informes definitivos habrán sido aprobados antes del 17 de diciembre de</w:t>
      </w:r>
      <w:r w:rsidRPr="00477CAF">
        <w:rPr>
          <w:szCs w:val="22"/>
          <w:lang w:val="es-ES_tradnl"/>
        </w:rPr>
        <w:t xml:space="preserve"> 2021.</w:t>
      </w:r>
    </w:p>
    <w:p w:rsidR="007A1A58" w:rsidRPr="00477CAF" w:rsidRDefault="007A1A58" w:rsidP="00477CAF">
      <w:pPr>
        <w:pStyle w:val="Heading2"/>
        <w:keepNext w:val="0"/>
        <w:spacing w:before="0"/>
        <w:rPr>
          <w:szCs w:val="22"/>
          <w:lang w:val="es-ES_tradnl"/>
        </w:rPr>
      </w:pPr>
      <w:r w:rsidRPr="00477CAF">
        <w:rPr>
          <w:szCs w:val="22"/>
          <w:lang w:val="es-ES_tradnl"/>
        </w:rPr>
        <w:t>PUNTO 33 DEL ORDEN DEL DÍA CONSOLIDADO</w:t>
      </w:r>
    </w:p>
    <w:p w:rsidR="007A1A58" w:rsidRPr="00477CAF" w:rsidRDefault="007A1A58" w:rsidP="00477CAF">
      <w:pPr>
        <w:pStyle w:val="Heading2"/>
        <w:keepNext w:val="0"/>
        <w:spacing w:before="0"/>
        <w:rPr>
          <w:szCs w:val="22"/>
          <w:lang w:val="es-ES_tradnl"/>
        </w:rPr>
      </w:pPr>
      <w:r w:rsidRPr="00477CAF">
        <w:rPr>
          <w:szCs w:val="22"/>
          <w:lang w:val="es-ES_tradnl"/>
        </w:rPr>
        <w:t>ClAUSURA DE LA SERIE DE REUNIONES</w:t>
      </w:r>
    </w:p>
    <w:p w:rsidR="007A1A58" w:rsidRPr="00477CAF" w:rsidRDefault="007A1A58" w:rsidP="00477CAF">
      <w:pPr>
        <w:pStyle w:val="ONUMFS"/>
        <w:tabs>
          <w:tab w:val="clear" w:pos="567"/>
          <w:tab w:val="num" w:pos="1134"/>
          <w:tab w:val="num" w:pos="7655"/>
        </w:tabs>
        <w:spacing w:after="480"/>
        <w:ind w:left="567"/>
        <w:rPr>
          <w:szCs w:val="22"/>
          <w:lang w:val="es-ES_tradnl"/>
        </w:rPr>
      </w:pPr>
      <w:r w:rsidRPr="00477CAF">
        <w:rPr>
          <w:lang w:val="es-ES_tradnl"/>
        </w:rPr>
        <w:t>La sexagésima segunda serie de reuniones de las Asambleas de la OMPI fue clausurada por el presidente de la Asamblea General de la OMPI</w:t>
      </w:r>
      <w:r w:rsidRPr="00477CAF">
        <w:rPr>
          <w:szCs w:val="22"/>
          <w:lang w:val="es-ES_tradnl"/>
        </w:rPr>
        <w:t>.</w:t>
      </w:r>
    </w:p>
    <w:p w:rsidR="00152CEA" w:rsidRPr="00477CAF" w:rsidRDefault="007A1A58" w:rsidP="008E1B5F">
      <w:pPr>
        <w:pStyle w:val="Endofdocument-Annex"/>
        <w:spacing w:before="720"/>
        <w:rPr>
          <w:lang w:val="es-ES_tradnl"/>
        </w:rPr>
      </w:pPr>
      <w:r w:rsidRPr="00477CAF">
        <w:rPr>
          <w:lang w:val="es-ES_tradnl"/>
        </w:rPr>
        <w:t>[Fin del documento]</w:t>
      </w:r>
    </w:p>
    <w:sectPr w:rsidR="00152CEA" w:rsidRPr="00477CAF" w:rsidSect="007A1A58">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DF" w:rsidRDefault="001B72DF">
      <w:r>
        <w:separator/>
      </w:r>
    </w:p>
  </w:endnote>
  <w:endnote w:type="continuationSeparator" w:id="0">
    <w:p w:rsidR="001B72DF" w:rsidRPr="009D30E6" w:rsidRDefault="001B72DF" w:rsidP="007E663E">
      <w:pPr>
        <w:rPr>
          <w:sz w:val="17"/>
          <w:szCs w:val="17"/>
        </w:rPr>
      </w:pPr>
      <w:r w:rsidRPr="009D30E6">
        <w:rPr>
          <w:sz w:val="17"/>
          <w:szCs w:val="17"/>
        </w:rPr>
        <w:separator/>
      </w:r>
    </w:p>
    <w:p w:rsidR="001B72DF" w:rsidRPr="007E663E" w:rsidRDefault="001B72DF" w:rsidP="007E663E">
      <w:pPr>
        <w:spacing w:after="60"/>
        <w:rPr>
          <w:sz w:val="17"/>
          <w:szCs w:val="17"/>
        </w:rPr>
      </w:pPr>
      <w:r>
        <w:rPr>
          <w:sz w:val="17"/>
        </w:rPr>
        <w:t>[Continuación de la nota de la página anterior]</w:t>
      </w:r>
    </w:p>
  </w:endnote>
  <w:endnote w:type="continuationNotice" w:id="1">
    <w:p w:rsidR="001B72DF" w:rsidRPr="007E663E" w:rsidRDefault="001B72D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DF" w:rsidRDefault="001B72DF">
      <w:r>
        <w:separator/>
      </w:r>
    </w:p>
  </w:footnote>
  <w:footnote w:type="continuationSeparator" w:id="0">
    <w:p w:rsidR="001B72DF" w:rsidRPr="009D30E6" w:rsidRDefault="001B72DF" w:rsidP="007E663E">
      <w:pPr>
        <w:rPr>
          <w:sz w:val="17"/>
          <w:szCs w:val="17"/>
        </w:rPr>
      </w:pPr>
      <w:r w:rsidRPr="009D30E6">
        <w:rPr>
          <w:sz w:val="17"/>
          <w:szCs w:val="17"/>
        </w:rPr>
        <w:separator/>
      </w:r>
    </w:p>
    <w:p w:rsidR="001B72DF" w:rsidRPr="007E663E" w:rsidRDefault="001B72DF" w:rsidP="007E663E">
      <w:pPr>
        <w:spacing w:after="60"/>
        <w:rPr>
          <w:sz w:val="17"/>
          <w:szCs w:val="17"/>
        </w:rPr>
      </w:pPr>
      <w:r>
        <w:rPr>
          <w:sz w:val="17"/>
        </w:rPr>
        <w:t>[Continuación de la nota de la página anterior]</w:t>
      </w:r>
    </w:p>
  </w:footnote>
  <w:footnote w:type="continuationNotice" w:id="1">
    <w:p w:rsidR="001B72DF" w:rsidRPr="007E663E" w:rsidRDefault="001B72DF" w:rsidP="007E663E">
      <w:pPr>
        <w:spacing w:before="60"/>
        <w:jc w:val="right"/>
        <w:rPr>
          <w:sz w:val="17"/>
          <w:szCs w:val="17"/>
        </w:rPr>
      </w:pPr>
      <w:r w:rsidRPr="007E663E">
        <w:rPr>
          <w:sz w:val="17"/>
          <w:szCs w:val="17"/>
        </w:rPr>
        <w:t>[Sigue la nota en la página siguiente]</w:t>
      </w:r>
    </w:p>
  </w:footnote>
  <w:footnote w:id="2">
    <w:p w:rsidR="004F5F96" w:rsidRPr="008B1FC8" w:rsidRDefault="004F5F96" w:rsidP="007A1A58">
      <w:pPr>
        <w:pStyle w:val="FootnoteText"/>
        <w:rPr>
          <w:szCs w:val="18"/>
          <w:lang w:val="es-DO"/>
        </w:rPr>
      </w:pPr>
      <w:r w:rsidRPr="008B1FC8">
        <w:rPr>
          <w:rStyle w:val="FootnoteReference"/>
          <w:szCs w:val="18"/>
        </w:rPr>
        <w:footnoteRef/>
      </w:r>
      <w:r w:rsidRPr="008B1FC8">
        <w:rPr>
          <w:szCs w:val="18"/>
          <w:lang w:val="es-DO"/>
        </w:rPr>
        <w:t xml:space="preserve"> </w:t>
      </w:r>
      <w:r w:rsidRPr="008B1FC8">
        <w:rPr>
          <w:szCs w:val="18"/>
          <w:lang w:val="es-ES_tradnl"/>
        </w:rPr>
        <w:t>Entre las cuestiones esenciales figuran, entre otras, las definiciones, los beneficiarios, la materia objeto de protección, el alcance de la protección y qué CC.TT./ECT son objeto de protección en el plano internacional, incluido el examen de las excepciones y limitaciones y la relación con el dominio público.</w:t>
      </w:r>
    </w:p>
  </w:footnote>
  <w:footnote w:id="3">
    <w:p w:rsidR="004F5F96" w:rsidRPr="006F1302" w:rsidRDefault="004F5F96" w:rsidP="007A1A58">
      <w:pPr>
        <w:pStyle w:val="footnotedescription"/>
        <w:rPr>
          <w:sz w:val="18"/>
          <w:szCs w:val="18"/>
          <w:lang w:val="es-DO"/>
        </w:rPr>
      </w:pPr>
      <w:r w:rsidRPr="004C17EE">
        <w:rPr>
          <w:rStyle w:val="footnotemark"/>
          <w:sz w:val="18"/>
          <w:szCs w:val="18"/>
        </w:rPr>
        <w:footnoteRef/>
      </w:r>
      <w:r w:rsidRPr="006F1302">
        <w:rPr>
          <w:sz w:val="18"/>
          <w:szCs w:val="18"/>
          <w:lang w:val="es-DO"/>
        </w:rPr>
        <w:t xml:space="preserve"> El grupo o grupos de especialistas gozarán de una representación geográfica equilibrada, y se servirán de una metodología de trabajo eficaz. El grupo o grupos de especialistas sesionará durante las semanas en las que sesione el CIG.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96" w:rsidRDefault="004F5F96" w:rsidP="00477D6B">
    <w:pPr>
      <w:jc w:val="right"/>
    </w:pPr>
    <w:bookmarkStart w:id="6" w:name="Code2"/>
    <w:bookmarkEnd w:id="6"/>
    <w:r>
      <w:t>A/62/12</w:t>
    </w:r>
  </w:p>
  <w:p w:rsidR="004F5F96" w:rsidRDefault="004F5F96" w:rsidP="00477D6B">
    <w:pPr>
      <w:jc w:val="right"/>
    </w:pPr>
    <w:r>
      <w:t xml:space="preserve">página </w:t>
    </w:r>
    <w:r>
      <w:fldChar w:fldCharType="begin"/>
    </w:r>
    <w:r>
      <w:instrText xml:space="preserve"> PAGE  \* MERGEFORMAT </w:instrText>
    </w:r>
    <w:r>
      <w:fldChar w:fldCharType="separate"/>
    </w:r>
    <w:r w:rsidR="0098408A">
      <w:rPr>
        <w:noProof/>
      </w:rPr>
      <w:t>16</w:t>
    </w:r>
    <w:r>
      <w:fldChar w:fldCharType="end"/>
    </w:r>
  </w:p>
  <w:p w:rsidR="004F5F96" w:rsidRDefault="004F5F96" w:rsidP="00477D6B">
    <w:pPr>
      <w:jc w:val="right"/>
    </w:pPr>
  </w:p>
  <w:p w:rsidR="004F5F96" w:rsidRDefault="004F5F9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B3212"/>
    <w:multiLevelType w:val="hybridMultilevel"/>
    <w:tmpl w:val="100CDAB4"/>
    <w:lvl w:ilvl="0" w:tplc="39BA08BE">
      <w:start w:val="1"/>
      <w:numFmt w:val="lowerRoman"/>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13FA1114"/>
    <w:multiLevelType w:val="hybridMultilevel"/>
    <w:tmpl w:val="8C0AE90C"/>
    <w:lvl w:ilvl="0" w:tplc="49768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4591243"/>
    <w:multiLevelType w:val="hybridMultilevel"/>
    <w:tmpl w:val="8C0AE90C"/>
    <w:lvl w:ilvl="0" w:tplc="49768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C321042"/>
    <w:multiLevelType w:val="hybridMultilevel"/>
    <w:tmpl w:val="D7D0D646"/>
    <w:lvl w:ilvl="0" w:tplc="04090017">
      <w:start w:val="1"/>
      <w:numFmt w:val="lowerLetter"/>
      <w:lvlText w:val="%1)"/>
      <w:lvlJc w:val="left"/>
      <w:pPr>
        <w:ind w:left="2556"/>
      </w:pPr>
      <w:rPr>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182B19"/>
    <w:multiLevelType w:val="hybridMultilevel"/>
    <w:tmpl w:val="2436716A"/>
    <w:lvl w:ilvl="0" w:tplc="918420E0">
      <w:start w:val="1"/>
      <w:numFmt w:val="decimal"/>
      <w:lvlText w:val="%1."/>
      <w:lvlJc w:val="left"/>
      <w:pPr>
        <w:ind w:left="930" w:hanging="57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11"/>
  </w:num>
  <w:num w:numId="10">
    <w:abstractNumId w:val="13"/>
  </w:num>
  <w:num w:numId="11">
    <w:abstractNumId w:val="9"/>
  </w:num>
  <w:num w:numId="12">
    <w:abstractNumId w:val="12"/>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58"/>
    <w:rsid w:val="000E3BB3"/>
    <w:rsid w:val="000F5E56"/>
    <w:rsid w:val="001362EE"/>
    <w:rsid w:val="00152CEA"/>
    <w:rsid w:val="001832A6"/>
    <w:rsid w:val="001B72DF"/>
    <w:rsid w:val="001C4DD3"/>
    <w:rsid w:val="001D318D"/>
    <w:rsid w:val="001F7A7F"/>
    <w:rsid w:val="002408A5"/>
    <w:rsid w:val="002634C4"/>
    <w:rsid w:val="002776C0"/>
    <w:rsid w:val="002A6123"/>
    <w:rsid w:val="002B6C9C"/>
    <w:rsid w:val="002F4E68"/>
    <w:rsid w:val="00307787"/>
    <w:rsid w:val="00325E3F"/>
    <w:rsid w:val="00354647"/>
    <w:rsid w:val="0037454A"/>
    <w:rsid w:val="00377273"/>
    <w:rsid w:val="00384244"/>
    <w:rsid w:val="003845C1"/>
    <w:rsid w:val="00387287"/>
    <w:rsid w:val="003D41D4"/>
    <w:rsid w:val="00423E3E"/>
    <w:rsid w:val="00427AF4"/>
    <w:rsid w:val="0045231F"/>
    <w:rsid w:val="004647DA"/>
    <w:rsid w:val="00477CAF"/>
    <w:rsid w:val="00477D6B"/>
    <w:rsid w:val="004A6C37"/>
    <w:rsid w:val="004F5F96"/>
    <w:rsid w:val="004F7418"/>
    <w:rsid w:val="0055013B"/>
    <w:rsid w:val="0056224D"/>
    <w:rsid w:val="00571B99"/>
    <w:rsid w:val="005D64EC"/>
    <w:rsid w:val="005F23AC"/>
    <w:rsid w:val="00605827"/>
    <w:rsid w:val="00675021"/>
    <w:rsid w:val="006A06C6"/>
    <w:rsid w:val="007A1A58"/>
    <w:rsid w:val="007E63AC"/>
    <w:rsid w:val="007E663E"/>
    <w:rsid w:val="00815082"/>
    <w:rsid w:val="00843582"/>
    <w:rsid w:val="008B14EA"/>
    <w:rsid w:val="008B2CC1"/>
    <w:rsid w:val="008E1B5F"/>
    <w:rsid w:val="0090731E"/>
    <w:rsid w:val="00966A22"/>
    <w:rsid w:val="00972F03"/>
    <w:rsid w:val="0098408A"/>
    <w:rsid w:val="009860AA"/>
    <w:rsid w:val="009A0C8B"/>
    <w:rsid w:val="009A1F6D"/>
    <w:rsid w:val="009B6241"/>
    <w:rsid w:val="00A16FC0"/>
    <w:rsid w:val="00A32C9E"/>
    <w:rsid w:val="00A7453D"/>
    <w:rsid w:val="00A92ECE"/>
    <w:rsid w:val="00AB613D"/>
    <w:rsid w:val="00B65A0A"/>
    <w:rsid w:val="00B72D36"/>
    <w:rsid w:val="00BC4164"/>
    <w:rsid w:val="00BD2DCC"/>
    <w:rsid w:val="00BE1A8C"/>
    <w:rsid w:val="00C06472"/>
    <w:rsid w:val="00C90559"/>
    <w:rsid w:val="00D36B79"/>
    <w:rsid w:val="00D40CF0"/>
    <w:rsid w:val="00D47AB4"/>
    <w:rsid w:val="00D56C7C"/>
    <w:rsid w:val="00D71B4D"/>
    <w:rsid w:val="00D90289"/>
    <w:rsid w:val="00D93D55"/>
    <w:rsid w:val="00E45C84"/>
    <w:rsid w:val="00E504E5"/>
    <w:rsid w:val="00E72039"/>
    <w:rsid w:val="00E73ABF"/>
    <w:rsid w:val="00EB7A3E"/>
    <w:rsid w:val="00EC401A"/>
    <w:rsid w:val="00EE2110"/>
    <w:rsid w:val="00EF530A"/>
    <w:rsid w:val="00EF6622"/>
    <w:rsid w:val="00F55408"/>
    <w:rsid w:val="00F66152"/>
    <w:rsid w:val="00F80845"/>
    <w:rsid w:val="00F84474"/>
    <w:rsid w:val="00FE415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4F08FE-0F15-43DB-B857-AC7744A6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92ECE"/>
    <w:pPr>
      <w:keepNext/>
      <w:spacing w:before="240" w:after="24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A92EC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A1A58"/>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7A1A58"/>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7A1A58"/>
    <w:rPr>
      <w:rFonts w:ascii="Arial" w:eastAsia="SimSun" w:hAnsi="Arial" w:cs="Arial"/>
      <w:sz w:val="18"/>
      <w:lang w:val="es-ES" w:eastAsia="zh-CN"/>
    </w:rPr>
  </w:style>
  <w:style w:type="character" w:customStyle="1" w:styleId="FootnoteTextChar">
    <w:name w:val="Footnote Text Char"/>
    <w:basedOn w:val="DefaultParagraphFont"/>
    <w:link w:val="FootnoteText"/>
    <w:semiHidden/>
    <w:rsid w:val="007A1A58"/>
    <w:rPr>
      <w:rFonts w:ascii="Arial" w:eastAsia="SimSun" w:hAnsi="Arial" w:cs="Arial"/>
      <w:sz w:val="18"/>
      <w:lang w:val="es-ES" w:eastAsia="zh-CN"/>
    </w:rPr>
  </w:style>
  <w:style w:type="character" w:styleId="Hyperlink">
    <w:name w:val="Hyperlink"/>
    <w:basedOn w:val="DefaultParagraphFont"/>
    <w:unhideWhenUsed/>
    <w:rsid w:val="007A1A58"/>
    <w:rPr>
      <w:color w:val="0000FF" w:themeColor="hyperlink"/>
      <w:u w:val="single"/>
    </w:rPr>
  </w:style>
  <w:style w:type="character" w:styleId="CommentReference">
    <w:name w:val="annotation reference"/>
    <w:basedOn w:val="DefaultParagraphFont"/>
    <w:semiHidden/>
    <w:unhideWhenUsed/>
    <w:rsid w:val="007A1A58"/>
    <w:rPr>
      <w:sz w:val="16"/>
      <w:szCs w:val="16"/>
    </w:rPr>
  </w:style>
  <w:style w:type="paragraph" w:styleId="ListParagraph">
    <w:name w:val="List Paragraph"/>
    <w:basedOn w:val="Normal"/>
    <w:uiPriority w:val="34"/>
    <w:qFormat/>
    <w:rsid w:val="007A1A58"/>
    <w:pPr>
      <w:ind w:left="720"/>
    </w:pPr>
    <w:rPr>
      <w:rFonts w:ascii="Calibri" w:eastAsiaTheme="minorHAnsi" w:hAnsi="Calibri" w:cs="Calibri"/>
      <w:szCs w:val="22"/>
      <w:lang w:val="es-DO" w:eastAsia="es-DO" w:bidi="th-TH"/>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7A1A58"/>
    <w:rPr>
      <w:vertAlign w:val="superscript"/>
    </w:rPr>
  </w:style>
  <w:style w:type="paragraph" w:customStyle="1" w:styleId="footnotedescription">
    <w:name w:val="footnote description"/>
    <w:next w:val="Normal"/>
    <w:link w:val="footnotedescriptionChar"/>
    <w:hidden/>
    <w:rsid w:val="007A1A5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7A1A58"/>
    <w:rPr>
      <w:rFonts w:ascii="Arial" w:eastAsia="Arial" w:hAnsi="Arial" w:cs="Arial"/>
      <w:color w:val="000000"/>
      <w:szCs w:val="22"/>
      <w:lang w:val="en-AU" w:eastAsia="en-AU"/>
    </w:rPr>
  </w:style>
  <w:style w:type="character" w:customStyle="1" w:styleId="footnotemark">
    <w:name w:val="footnote mark"/>
    <w:hidden/>
    <w:rsid w:val="007A1A58"/>
    <w:rPr>
      <w:rFonts w:ascii="Arial" w:eastAsia="Arial" w:hAnsi="Arial" w:cs="Arial"/>
      <w:color w:val="000000"/>
      <w:sz w:val="20"/>
      <w:vertAlign w:val="superscript"/>
    </w:rPr>
  </w:style>
  <w:style w:type="character" w:customStyle="1" w:styleId="Heading1Char">
    <w:name w:val="Heading 1 Char"/>
    <w:basedOn w:val="DefaultParagraphFont"/>
    <w:link w:val="Heading1"/>
    <w:uiPriority w:val="9"/>
    <w:rsid w:val="002408A5"/>
    <w:rPr>
      <w:rFonts w:ascii="Arial" w:eastAsia="SimSun" w:hAnsi="Arial" w:cs="Arial"/>
      <w:b/>
      <w:bCs/>
      <w:caps/>
      <w:kern w:val="32"/>
      <w:sz w:val="22"/>
      <w:szCs w:val="32"/>
      <w:lang w:val="es-ES" w:eastAsia="zh-CN"/>
    </w:rPr>
  </w:style>
  <w:style w:type="paragraph" w:styleId="BalloonText">
    <w:name w:val="Balloon Text"/>
    <w:basedOn w:val="Normal"/>
    <w:link w:val="BalloonTextChar"/>
    <w:semiHidden/>
    <w:unhideWhenUsed/>
    <w:rsid w:val="00EE2110"/>
    <w:rPr>
      <w:rFonts w:ascii="Segoe UI" w:hAnsi="Segoe UI" w:cs="Segoe UI"/>
      <w:sz w:val="18"/>
      <w:szCs w:val="18"/>
    </w:rPr>
  </w:style>
  <w:style w:type="character" w:customStyle="1" w:styleId="BalloonTextChar">
    <w:name w:val="Balloon Text Char"/>
    <w:basedOn w:val="DefaultParagraphFont"/>
    <w:link w:val="BalloonText"/>
    <w:semiHidden/>
    <w:rsid w:val="00EE2110"/>
    <w:rPr>
      <w:rFonts w:ascii="Segoe UI" w:eastAsia="SimSun" w:hAnsi="Segoe UI" w:cs="Segoe UI"/>
      <w:sz w:val="18"/>
      <w:szCs w:val="18"/>
      <w:lang w:val="es-ES" w:eastAsia="zh-CN"/>
    </w:rPr>
  </w:style>
  <w:style w:type="character" w:styleId="FollowedHyperlink">
    <w:name w:val="FollowedHyperlink"/>
    <w:basedOn w:val="DefaultParagraphFont"/>
    <w:semiHidden/>
    <w:unhideWhenUsed/>
    <w:rsid w:val="00FE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dg_tang/speeches/a_62_dg_spee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po.int/meetings/es/statements.jsp?meeting_id=62448" TargetMode="External"/><Relationship Id="rId4" Type="http://schemas.openxmlformats.org/officeDocument/2006/relationships/webSettings" Target="webSettings.xml"/><Relationship Id="rId9" Type="http://schemas.openxmlformats.org/officeDocument/2006/relationships/hyperlink" Target="https://www.wipo.int/dg-report/2021/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_6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(S)</Template>
  <TotalTime>49</TotalTime>
  <Pages>16</Pages>
  <Words>5122</Words>
  <Characters>27375</Characters>
  <Application>Microsoft Office Word</Application>
  <DocSecurity>0</DocSecurity>
  <Lines>578</Lines>
  <Paragraphs>278</Paragraphs>
  <ScaleCrop>false</ScaleCrop>
  <HeadingPairs>
    <vt:vector size="2" baseType="variant">
      <vt:variant>
        <vt:lpstr>Title</vt:lpstr>
      </vt:variant>
      <vt:variant>
        <vt:i4>1</vt:i4>
      </vt:variant>
    </vt:vector>
  </HeadingPairs>
  <TitlesOfParts>
    <vt:vector size="1" baseType="lpstr">
      <vt:lpstr>A/62/12</vt:lpstr>
    </vt:vector>
  </TitlesOfParts>
  <Company>WIPO</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A/62/12</dc:title>
  <dc:subject>Informe resumido</dc:subject>
  <dc:creator>WIPO</dc:creator>
  <cp:keywords>PUBLIC</cp:keywords>
  <cp:lastModifiedBy>HÄFLIGER Patience</cp:lastModifiedBy>
  <cp:revision>19</cp:revision>
  <dcterms:created xsi:type="dcterms:W3CDTF">2021-10-08T06:23:00Z</dcterms:created>
  <dcterms:modified xsi:type="dcterms:W3CDTF">2021-10-08T13:01:00Z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