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3168B" w:rsidTr="00A7453D">
        <w:tc>
          <w:tcPr>
            <w:tcW w:w="4513" w:type="dxa"/>
            <w:tcBorders>
              <w:bottom w:val="single" w:sz="4" w:space="0" w:color="auto"/>
            </w:tcBorders>
            <w:tcMar>
              <w:bottom w:w="170" w:type="dxa"/>
            </w:tcMar>
          </w:tcPr>
          <w:p w:rsidR="00E504E5" w:rsidRPr="0053168B" w:rsidRDefault="00E504E5" w:rsidP="00B8782F">
            <w:pPr>
              <w:widowControl w:val="0"/>
            </w:pPr>
          </w:p>
        </w:tc>
        <w:tc>
          <w:tcPr>
            <w:tcW w:w="4337" w:type="dxa"/>
            <w:tcBorders>
              <w:bottom w:val="single" w:sz="4" w:space="0" w:color="auto"/>
            </w:tcBorders>
            <w:tcMar>
              <w:left w:w="0" w:type="dxa"/>
              <w:right w:w="0" w:type="dxa"/>
            </w:tcMar>
          </w:tcPr>
          <w:p w:rsidR="00E504E5" w:rsidRPr="0053168B" w:rsidRDefault="00F24B66" w:rsidP="00B8782F">
            <w:pPr>
              <w:widowControl w:val="0"/>
            </w:pPr>
            <w:r>
              <w:rPr>
                <w:noProof/>
                <w:lang w:val="en-US" w:eastAsia="en-US"/>
              </w:rPr>
              <w:drawing>
                <wp:inline distT="0" distB="0" distL="0" distR="0" wp14:anchorId="54DA3F21" wp14:editId="53B4C335">
                  <wp:extent cx="1857375" cy="1323975"/>
                  <wp:effectExtent l="0" t="0" r="9525" b="9525"/>
                  <wp:docPr id="2"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3168B" w:rsidRDefault="00E504E5" w:rsidP="00B8782F">
            <w:pPr>
              <w:widowControl w:val="0"/>
              <w:jc w:val="right"/>
            </w:pPr>
            <w:r w:rsidRPr="0053168B">
              <w:rPr>
                <w:b/>
                <w:sz w:val="40"/>
                <w:szCs w:val="40"/>
              </w:rPr>
              <w:t>S</w:t>
            </w:r>
          </w:p>
        </w:tc>
      </w:tr>
      <w:tr w:rsidR="008B2CC1" w:rsidRPr="0053168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3168B" w:rsidRDefault="00F259DA" w:rsidP="002D6A60">
            <w:pPr>
              <w:widowControl w:val="0"/>
              <w:jc w:val="right"/>
              <w:rPr>
                <w:rFonts w:ascii="Arial Black" w:hAnsi="Arial Black"/>
                <w:caps/>
                <w:sz w:val="15"/>
              </w:rPr>
            </w:pPr>
            <w:r w:rsidRPr="0053168B">
              <w:rPr>
                <w:rFonts w:ascii="Arial Black" w:hAnsi="Arial Black"/>
                <w:caps/>
                <w:sz w:val="15"/>
              </w:rPr>
              <w:t>MM/A/46/</w:t>
            </w:r>
            <w:bookmarkStart w:id="0" w:name="Code"/>
            <w:bookmarkEnd w:id="0"/>
            <w:r w:rsidR="00DF2130" w:rsidRPr="0053168B">
              <w:rPr>
                <w:rFonts w:ascii="Arial Black" w:hAnsi="Arial Black"/>
                <w:caps/>
                <w:sz w:val="15"/>
              </w:rPr>
              <w:t>2</w:t>
            </w:r>
            <w:r w:rsidR="008B2CC1" w:rsidRPr="0053168B">
              <w:rPr>
                <w:rFonts w:ascii="Arial Black" w:hAnsi="Arial Black"/>
                <w:caps/>
                <w:sz w:val="15"/>
              </w:rPr>
              <w:t xml:space="preserve"> </w:t>
            </w:r>
            <w:r w:rsidR="002D6A60">
              <w:rPr>
                <w:rFonts w:ascii="Arial Black" w:hAnsi="Arial Black"/>
                <w:caps/>
                <w:sz w:val="15"/>
              </w:rPr>
              <w:t>Rev.</w:t>
            </w:r>
          </w:p>
        </w:tc>
      </w:tr>
      <w:tr w:rsidR="008B2CC1" w:rsidRPr="0053168B" w:rsidTr="00AB613D">
        <w:trPr>
          <w:trHeight w:hRule="exact" w:val="170"/>
        </w:trPr>
        <w:tc>
          <w:tcPr>
            <w:tcW w:w="9356" w:type="dxa"/>
            <w:gridSpan w:val="3"/>
            <w:noWrap/>
            <w:tcMar>
              <w:left w:w="0" w:type="dxa"/>
              <w:right w:w="0" w:type="dxa"/>
            </w:tcMar>
            <w:vAlign w:val="bottom"/>
          </w:tcPr>
          <w:p w:rsidR="008B2CC1" w:rsidRPr="0053168B" w:rsidRDefault="002D6A60" w:rsidP="00B8782F">
            <w:pPr>
              <w:widowControl w:val="0"/>
              <w:jc w:val="right"/>
              <w:rPr>
                <w:rFonts w:ascii="Arial Black" w:hAnsi="Arial Black"/>
                <w:caps/>
                <w:sz w:val="15"/>
              </w:rPr>
            </w:pPr>
            <w:r>
              <w:rPr>
                <w:rFonts w:ascii="Arial Black" w:hAnsi="Arial Black"/>
                <w:caps/>
                <w:sz w:val="15"/>
              </w:rPr>
              <w:t xml:space="preserve"> </w:t>
            </w:r>
            <w:r w:rsidR="008B2CC1" w:rsidRPr="0053168B">
              <w:rPr>
                <w:rFonts w:ascii="Arial Black" w:hAnsi="Arial Black"/>
                <w:caps/>
                <w:sz w:val="15"/>
              </w:rPr>
              <w:t>ORIGINAL:</w:t>
            </w:r>
            <w:r w:rsidR="00F84474" w:rsidRPr="0053168B">
              <w:rPr>
                <w:rFonts w:ascii="Arial Black" w:hAnsi="Arial Black"/>
                <w:caps/>
                <w:sz w:val="15"/>
              </w:rPr>
              <w:t xml:space="preserve"> </w:t>
            </w:r>
            <w:r w:rsidR="008B2CC1" w:rsidRPr="0053168B">
              <w:rPr>
                <w:rFonts w:ascii="Arial Black" w:hAnsi="Arial Black"/>
                <w:caps/>
                <w:sz w:val="15"/>
              </w:rPr>
              <w:t xml:space="preserve"> </w:t>
            </w:r>
            <w:bookmarkStart w:id="1" w:name="Original"/>
            <w:bookmarkEnd w:id="1"/>
            <w:r w:rsidR="00DF2130" w:rsidRPr="0053168B">
              <w:rPr>
                <w:rFonts w:ascii="Arial Black" w:hAnsi="Arial Black"/>
                <w:caps/>
                <w:sz w:val="15"/>
              </w:rPr>
              <w:t>Inglés</w:t>
            </w:r>
          </w:p>
        </w:tc>
      </w:tr>
      <w:tr w:rsidR="008B2CC1" w:rsidRPr="0053168B" w:rsidTr="00AB613D">
        <w:trPr>
          <w:trHeight w:hRule="exact" w:val="198"/>
        </w:trPr>
        <w:tc>
          <w:tcPr>
            <w:tcW w:w="9356" w:type="dxa"/>
            <w:gridSpan w:val="3"/>
            <w:tcMar>
              <w:left w:w="0" w:type="dxa"/>
              <w:right w:w="0" w:type="dxa"/>
            </w:tcMar>
            <w:vAlign w:val="bottom"/>
          </w:tcPr>
          <w:p w:rsidR="008B2CC1" w:rsidRPr="0053168B" w:rsidRDefault="00675021" w:rsidP="002D6A60">
            <w:pPr>
              <w:widowControl w:val="0"/>
              <w:jc w:val="right"/>
              <w:rPr>
                <w:rFonts w:ascii="Arial Black" w:hAnsi="Arial Black"/>
                <w:caps/>
                <w:sz w:val="15"/>
              </w:rPr>
            </w:pPr>
            <w:r w:rsidRPr="0053168B">
              <w:rPr>
                <w:rFonts w:ascii="Arial Black" w:hAnsi="Arial Black"/>
                <w:caps/>
                <w:sz w:val="15"/>
              </w:rPr>
              <w:t>fecha</w:t>
            </w:r>
            <w:r w:rsidR="008B2CC1" w:rsidRPr="0053168B">
              <w:rPr>
                <w:rFonts w:ascii="Arial Black" w:hAnsi="Arial Black"/>
                <w:caps/>
                <w:sz w:val="15"/>
              </w:rPr>
              <w:t>:</w:t>
            </w:r>
            <w:r w:rsidR="00F84474" w:rsidRPr="0053168B">
              <w:rPr>
                <w:rFonts w:ascii="Arial Black" w:hAnsi="Arial Black"/>
                <w:caps/>
                <w:sz w:val="15"/>
              </w:rPr>
              <w:t xml:space="preserve"> </w:t>
            </w:r>
            <w:r w:rsidR="008B2CC1" w:rsidRPr="0053168B">
              <w:rPr>
                <w:rFonts w:ascii="Arial Black" w:hAnsi="Arial Black"/>
                <w:caps/>
                <w:sz w:val="15"/>
              </w:rPr>
              <w:t xml:space="preserve"> </w:t>
            </w:r>
            <w:bookmarkStart w:id="2" w:name="Date"/>
            <w:bookmarkEnd w:id="2"/>
            <w:r w:rsidR="002D6A60">
              <w:rPr>
                <w:rFonts w:ascii="Arial Black" w:hAnsi="Arial Black"/>
                <w:caps/>
                <w:sz w:val="15"/>
              </w:rPr>
              <w:t>30 de septiembre</w:t>
            </w:r>
            <w:r w:rsidR="00AC4FF7" w:rsidRPr="0053168B">
              <w:rPr>
                <w:rFonts w:ascii="Arial Black" w:hAnsi="Arial Black"/>
                <w:caps/>
                <w:sz w:val="15"/>
              </w:rPr>
              <w:t xml:space="preserve"> de 2013</w:t>
            </w:r>
          </w:p>
        </w:tc>
      </w:tr>
    </w:tbl>
    <w:p w:rsidR="009B538A" w:rsidRPr="0053168B" w:rsidRDefault="009B538A" w:rsidP="00B8782F">
      <w:pPr>
        <w:widowControl w:val="0"/>
      </w:pPr>
    </w:p>
    <w:p w:rsidR="009B538A" w:rsidRPr="0053168B" w:rsidRDefault="009B538A" w:rsidP="00B8782F">
      <w:pPr>
        <w:widowControl w:val="0"/>
      </w:pPr>
    </w:p>
    <w:p w:rsidR="009B538A" w:rsidRPr="0053168B" w:rsidRDefault="009B538A" w:rsidP="00B8782F">
      <w:pPr>
        <w:widowControl w:val="0"/>
      </w:pPr>
    </w:p>
    <w:p w:rsidR="009B538A" w:rsidRPr="0053168B" w:rsidRDefault="009B538A" w:rsidP="00B8782F">
      <w:pPr>
        <w:widowControl w:val="0"/>
      </w:pPr>
    </w:p>
    <w:p w:rsidR="009B538A" w:rsidRPr="0053168B" w:rsidRDefault="009B538A" w:rsidP="00B8782F">
      <w:pPr>
        <w:widowControl w:val="0"/>
      </w:pPr>
    </w:p>
    <w:p w:rsidR="009B538A" w:rsidRPr="0053168B" w:rsidRDefault="00F259DA" w:rsidP="00B8782F">
      <w:pPr>
        <w:widowControl w:val="0"/>
        <w:rPr>
          <w:b/>
          <w:sz w:val="28"/>
          <w:szCs w:val="28"/>
        </w:rPr>
      </w:pPr>
      <w:r w:rsidRPr="0053168B">
        <w:rPr>
          <w:b/>
          <w:sz w:val="28"/>
          <w:szCs w:val="28"/>
        </w:rPr>
        <w:t>Unión Particular para el Registro Internacional de Marcas</w:t>
      </w:r>
    </w:p>
    <w:p w:rsidR="009B538A" w:rsidRPr="0053168B" w:rsidRDefault="00F259DA" w:rsidP="00B8782F">
      <w:pPr>
        <w:widowControl w:val="0"/>
        <w:rPr>
          <w:b/>
          <w:sz w:val="28"/>
          <w:szCs w:val="28"/>
        </w:rPr>
      </w:pPr>
      <w:r w:rsidRPr="0053168B">
        <w:rPr>
          <w:b/>
          <w:sz w:val="28"/>
          <w:szCs w:val="28"/>
        </w:rPr>
        <w:t>(Unión de Madrid)</w:t>
      </w:r>
    </w:p>
    <w:p w:rsidR="009B538A" w:rsidRPr="0053168B" w:rsidRDefault="009B538A" w:rsidP="00B8782F">
      <w:pPr>
        <w:widowControl w:val="0"/>
      </w:pPr>
    </w:p>
    <w:p w:rsidR="009B538A" w:rsidRPr="0053168B" w:rsidRDefault="009B538A" w:rsidP="00B8782F">
      <w:pPr>
        <w:widowControl w:val="0"/>
      </w:pPr>
    </w:p>
    <w:p w:rsidR="009B538A" w:rsidRPr="0053168B" w:rsidRDefault="001C4DD3" w:rsidP="00B8782F">
      <w:pPr>
        <w:widowControl w:val="0"/>
        <w:rPr>
          <w:b/>
          <w:sz w:val="28"/>
          <w:szCs w:val="28"/>
        </w:rPr>
      </w:pPr>
      <w:r w:rsidRPr="0053168B">
        <w:rPr>
          <w:b/>
          <w:sz w:val="28"/>
          <w:szCs w:val="28"/>
        </w:rPr>
        <w:t>Asamblea</w:t>
      </w:r>
    </w:p>
    <w:p w:rsidR="009B538A" w:rsidRPr="0053168B" w:rsidRDefault="009B538A" w:rsidP="00B8782F">
      <w:pPr>
        <w:widowControl w:val="0"/>
      </w:pPr>
    </w:p>
    <w:p w:rsidR="009B538A" w:rsidRPr="0053168B" w:rsidRDefault="009B538A" w:rsidP="00B8782F">
      <w:pPr>
        <w:widowControl w:val="0"/>
      </w:pPr>
    </w:p>
    <w:p w:rsidR="009B538A" w:rsidRPr="0053168B" w:rsidRDefault="00F259DA" w:rsidP="00B8782F">
      <w:pPr>
        <w:widowControl w:val="0"/>
        <w:rPr>
          <w:b/>
          <w:sz w:val="24"/>
          <w:szCs w:val="24"/>
        </w:rPr>
      </w:pPr>
      <w:r w:rsidRPr="0053168B">
        <w:rPr>
          <w:b/>
          <w:sz w:val="24"/>
          <w:szCs w:val="24"/>
        </w:rPr>
        <w:t>Cuadragésimo sexto período de sesiones (20° ordinario)</w:t>
      </w:r>
    </w:p>
    <w:p w:rsidR="009B538A" w:rsidRPr="0053168B" w:rsidRDefault="00F259DA" w:rsidP="00B8782F">
      <w:pPr>
        <w:widowControl w:val="0"/>
        <w:rPr>
          <w:b/>
          <w:sz w:val="24"/>
          <w:szCs w:val="24"/>
        </w:rPr>
      </w:pPr>
      <w:r w:rsidRPr="0053168B">
        <w:rPr>
          <w:b/>
          <w:sz w:val="24"/>
          <w:szCs w:val="24"/>
        </w:rPr>
        <w:t>Ginebra, 23 de septiembre a 2 de octubre de 2013</w:t>
      </w:r>
    </w:p>
    <w:p w:rsidR="009B538A" w:rsidRPr="0053168B" w:rsidRDefault="009B538A" w:rsidP="00B8782F">
      <w:pPr>
        <w:widowControl w:val="0"/>
      </w:pPr>
    </w:p>
    <w:p w:rsidR="009B538A" w:rsidRPr="0053168B" w:rsidRDefault="009B538A" w:rsidP="00B8782F">
      <w:pPr>
        <w:widowControl w:val="0"/>
      </w:pPr>
    </w:p>
    <w:p w:rsidR="009B538A" w:rsidRPr="0053168B" w:rsidRDefault="009B538A" w:rsidP="00B8782F">
      <w:pPr>
        <w:widowControl w:val="0"/>
      </w:pPr>
    </w:p>
    <w:p w:rsidR="009B538A" w:rsidRPr="0053168B" w:rsidRDefault="00DF2130" w:rsidP="00B8782F">
      <w:pPr>
        <w:widowControl w:val="0"/>
      </w:pPr>
      <w:bookmarkStart w:id="3" w:name="TitleOfDoc"/>
      <w:bookmarkEnd w:id="3"/>
      <w:r w:rsidRPr="00342B87">
        <w:rPr>
          <w:caps/>
          <w:szCs w:val="22"/>
        </w:rPr>
        <w:t>Informe sobre la marcha</w:t>
      </w:r>
      <w:r w:rsidRPr="0053168B">
        <w:rPr>
          <w:caps/>
          <w:sz w:val="24"/>
        </w:rPr>
        <w:t xml:space="preserve"> </w:t>
      </w:r>
      <w:r w:rsidR="008A5DC8" w:rsidRPr="0053168B">
        <w:t>DE LAS ACTIVIDADES RELATIVAS A LA BASE DE DATOS SOBRE PRODUCTOS Y SERVICIOS DEL SISTEMA DE MADRID</w:t>
      </w:r>
    </w:p>
    <w:p w:rsidR="008A5DC8" w:rsidRPr="0053168B" w:rsidRDefault="008A5DC8" w:rsidP="00B8782F">
      <w:pPr>
        <w:widowControl w:val="0"/>
      </w:pPr>
    </w:p>
    <w:p w:rsidR="009B538A" w:rsidRPr="0053168B" w:rsidRDefault="00DF2130" w:rsidP="00B8782F">
      <w:pPr>
        <w:widowControl w:val="0"/>
        <w:rPr>
          <w:i/>
        </w:rPr>
      </w:pPr>
      <w:bookmarkStart w:id="4" w:name="Prepared"/>
      <w:bookmarkEnd w:id="4"/>
      <w:r w:rsidRPr="0053168B">
        <w:rPr>
          <w:i/>
        </w:rPr>
        <w:t xml:space="preserve">preparado por la </w:t>
      </w:r>
      <w:r w:rsidR="008A5DC8" w:rsidRPr="0053168B">
        <w:rPr>
          <w:i/>
        </w:rPr>
        <w:t>Oficina Internacional</w:t>
      </w:r>
    </w:p>
    <w:p w:rsidR="009B538A" w:rsidRPr="0053168B" w:rsidRDefault="009B538A" w:rsidP="00B8782F">
      <w:pPr>
        <w:widowControl w:val="0"/>
      </w:pPr>
    </w:p>
    <w:p w:rsidR="009B538A" w:rsidRPr="0053168B" w:rsidRDefault="009B538A" w:rsidP="00B8782F">
      <w:pPr>
        <w:widowControl w:val="0"/>
      </w:pPr>
    </w:p>
    <w:p w:rsidR="009B538A" w:rsidRPr="0053168B" w:rsidRDefault="009B538A" w:rsidP="00B8782F">
      <w:pPr>
        <w:widowControl w:val="0"/>
      </w:pPr>
    </w:p>
    <w:p w:rsidR="009B538A" w:rsidRPr="0053168B" w:rsidRDefault="009B538A" w:rsidP="00B8782F">
      <w:pPr>
        <w:widowControl w:val="0"/>
      </w:pPr>
    </w:p>
    <w:p w:rsidR="009B538A" w:rsidRPr="0053168B" w:rsidRDefault="009B538A" w:rsidP="00B8782F">
      <w:pPr>
        <w:pStyle w:val="Heading1"/>
        <w:keepNext w:val="0"/>
        <w:widowControl w:val="0"/>
      </w:pPr>
      <w:r w:rsidRPr="0053168B">
        <w:rPr>
          <w:caps w:val="0"/>
        </w:rPr>
        <w:t>INTRODUCCIÓN</w:t>
      </w:r>
    </w:p>
    <w:p w:rsidR="009B538A" w:rsidRPr="0053168B" w:rsidRDefault="009B538A" w:rsidP="00B8782F">
      <w:pPr>
        <w:widowControl w:val="0"/>
      </w:pPr>
    </w:p>
    <w:p w:rsidR="009B538A" w:rsidRPr="0053168B" w:rsidRDefault="00EB2542" w:rsidP="001A4A19">
      <w:pPr>
        <w:pStyle w:val="ONUMFS"/>
        <w:widowControl w:val="0"/>
        <w:numPr>
          <w:ilvl w:val="0"/>
          <w:numId w:val="4"/>
        </w:numPr>
        <w:tabs>
          <w:tab w:val="clear" w:pos="570"/>
          <w:tab w:val="num" w:pos="0"/>
        </w:tabs>
        <w:ind w:left="0" w:firstLine="0"/>
      </w:pPr>
      <w:r w:rsidRPr="0053168B">
        <w:t xml:space="preserve">El presente documento tiene por fin presentar un informe sobre la marcha de las actividades relativas a la creación de la Base de datos de indicaciones válidas de productos y servicios a </w:t>
      </w:r>
      <w:r w:rsidR="00EA6D61">
        <w:t>los fines</w:t>
      </w:r>
      <w:r w:rsidRPr="0053168B">
        <w:t xml:space="preserve"> de los procedimientos del sistema de Madrid (denominada en adelante “Base de datos sobre productos y servicios del sistema de Madrid” o “Base de datos </w:t>
      </w:r>
      <w:r w:rsidR="00CA4642" w:rsidRPr="0053168B">
        <w:t>MGS” por sus siglas en inglés</w:t>
      </w:r>
      <w:r w:rsidRPr="0053168B">
        <w:t>).</w:t>
      </w:r>
      <w:r w:rsidR="004A2917" w:rsidRPr="0053168B">
        <w:t xml:space="preserve"> </w:t>
      </w:r>
    </w:p>
    <w:p w:rsidR="00BF754A" w:rsidRPr="0053168B" w:rsidRDefault="00BF754A" w:rsidP="001A4A19">
      <w:pPr>
        <w:pStyle w:val="ONUMFS"/>
        <w:widowControl w:val="0"/>
        <w:numPr>
          <w:ilvl w:val="0"/>
          <w:numId w:val="4"/>
        </w:numPr>
        <w:tabs>
          <w:tab w:val="clear" w:pos="570"/>
          <w:tab w:val="num" w:pos="0"/>
        </w:tabs>
        <w:ind w:left="0" w:firstLine="0"/>
      </w:pPr>
      <w:r w:rsidRPr="0053168B">
        <w:t>En septiembre de 2009, la Asamblea de la Unión de Madrid aprobó un proyecto de dos años encaminado a crear la Base de datos MGS, tal como se describe en el documento MM/A/42/3, y se asignó un importe de 1,2 millones de francos suizos del Fondo de Reserva de la Unión de Madrid a los fines de su ejecución durante el bienio 2010</w:t>
      </w:r>
      <w:r w:rsidRPr="0053168B">
        <w:noBreakHyphen/>
        <w:t xml:space="preserve">2011 (véase el párrafo 28 del documento MM/A/42/4).  Cabe recordar que ya se </w:t>
      </w:r>
      <w:r w:rsidR="000F15C5">
        <w:t>han presentado</w:t>
      </w:r>
      <w:r w:rsidRPr="0053168B">
        <w:t xml:space="preserve"> a la Asamblea de la Unión de Madrid cuatro informes sobre la marcha de las </w:t>
      </w:r>
      <w:r w:rsidR="00CA4642" w:rsidRPr="0053168B">
        <w:t xml:space="preserve">actividades </w:t>
      </w:r>
      <w:r w:rsidRPr="0053168B">
        <w:t>(véanse los documentos M</w:t>
      </w:r>
      <w:r w:rsidR="00B656E4" w:rsidRPr="0053168B">
        <w:t>M/A/42/2,  MM/A/43/2, MM/A/44/2 y</w:t>
      </w:r>
      <w:r w:rsidRPr="0053168B">
        <w:t xml:space="preserve"> MM/A/45/</w:t>
      </w:r>
      <w:r w:rsidR="00141874" w:rsidRPr="0053168B">
        <w:t>2)</w:t>
      </w:r>
      <w:r w:rsidRPr="0053168B">
        <w:t xml:space="preserve">. </w:t>
      </w:r>
    </w:p>
    <w:p w:rsidR="00AC4FF7" w:rsidRDefault="0062066B" w:rsidP="001A4A19">
      <w:pPr>
        <w:pStyle w:val="ONUMFS"/>
        <w:widowControl w:val="0"/>
        <w:numPr>
          <w:ilvl w:val="0"/>
          <w:numId w:val="4"/>
        </w:numPr>
        <w:tabs>
          <w:tab w:val="clear" w:pos="570"/>
          <w:tab w:val="num" w:pos="0"/>
        </w:tabs>
        <w:ind w:left="0" w:firstLine="0"/>
      </w:pPr>
      <w:r>
        <w:t xml:space="preserve">El 1 de enero de 2012 finalizó la transición de la fase de proyecto de la Base de datos MGS, que pasó a entrar </w:t>
      </w:r>
      <w:r w:rsidR="00BF754A" w:rsidRPr="0053168B">
        <w:t>en funcionamiento, lo cual supuso que el apoyo para el funcionamiento se financiase con cargo al presupuesto ordinario.</w:t>
      </w:r>
    </w:p>
    <w:p w:rsidR="00F0012C" w:rsidRPr="0053168B" w:rsidRDefault="00F0012C" w:rsidP="00F0012C">
      <w:r>
        <w:br w:type="page"/>
      </w:r>
    </w:p>
    <w:p w:rsidR="008A5DC8" w:rsidRDefault="008A5DC8" w:rsidP="001A4A19">
      <w:pPr>
        <w:widowControl w:val="0"/>
        <w:numPr>
          <w:ilvl w:val="0"/>
          <w:numId w:val="4"/>
        </w:numPr>
        <w:tabs>
          <w:tab w:val="num" w:pos="440"/>
        </w:tabs>
        <w:ind w:left="0" w:firstLine="0"/>
      </w:pPr>
      <w:r w:rsidRPr="0053168B">
        <w:t xml:space="preserve">En el presente documento se </w:t>
      </w:r>
      <w:r w:rsidR="002531CC" w:rsidRPr="0053168B">
        <w:t>reseñan</w:t>
      </w:r>
      <w:r w:rsidRPr="0053168B">
        <w:t xml:space="preserve"> los progresos realizados en lo tocante a la Base de datos MGS desde que se presentara el último informe (véase</w:t>
      </w:r>
      <w:r w:rsidR="002531CC" w:rsidRPr="0053168B">
        <w:t xml:space="preserve"> el</w:t>
      </w:r>
      <w:r w:rsidRPr="0053168B">
        <w:t xml:space="preserve"> documento MM/A/45/2), y se da cuenta asimismo de la fase de aplicación en la que se en</w:t>
      </w:r>
      <w:r w:rsidR="009D1C05">
        <w:t>contraba hasta el 30 de mayo de </w:t>
      </w:r>
      <w:r w:rsidRPr="0053168B">
        <w:t>2013.</w:t>
      </w:r>
    </w:p>
    <w:p w:rsidR="00B8782F" w:rsidRPr="0053168B" w:rsidRDefault="00B8782F" w:rsidP="00B8782F">
      <w:pPr>
        <w:widowControl w:val="0"/>
      </w:pPr>
    </w:p>
    <w:p w:rsidR="009B538A" w:rsidRPr="0053168B" w:rsidRDefault="008A5DC8" w:rsidP="00B8782F">
      <w:pPr>
        <w:pStyle w:val="Heading1"/>
        <w:keepNext w:val="0"/>
        <w:widowControl w:val="0"/>
      </w:pPr>
      <w:r w:rsidRPr="0053168B">
        <w:t>Resultados obtenidos</w:t>
      </w:r>
    </w:p>
    <w:p w:rsidR="009B538A" w:rsidRPr="0053168B" w:rsidRDefault="009B538A" w:rsidP="00B8782F">
      <w:pPr>
        <w:widowControl w:val="0"/>
      </w:pPr>
    </w:p>
    <w:p w:rsidR="00D31014" w:rsidRPr="0053168B" w:rsidRDefault="00D41A0A" w:rsidP="001A4A19">
      <w:pPr>
        <w:pStyle w:val="ONUMFS"/>
        <w:widowControl w:val="0"/>
        <w:numPr>
          <w:ilvl w:val="0"/>
          <w:numId w:val="4"/>
        </w:numPr>
        <w:tabs>
          <w:tab w:val="clear" w:pos="570"/>
          <w:tab w:val="num" w:pos="0"/>
        </w:tabs>
        <w:ind w:left="0" w:firstLine="0"/>
      </w:pPr>
      <w:r w:rsidRPr="0053168B">
        <w:t xml:space="preserve">Cabe recordar que el 1 de enero de 2012 tuvo lugar el lanzamiento </w:t>
      </w:r>
      <w:r w:rsidR="00F54A15" w:rsidRPr="0053168B">
        <w:t xml:space="preserve">del </w:t>
      </w:r>
      <w:r w:rsidR="00121643">
        <w:t>G</w:t>
      </w:r>
      <w:r w:rsidR="00F54A15" w:rsidRPr="0053168B">
        <w:t xml:space="preserve">estor de </w:t>
      </w:r>
      <w:r w:rsidR="00121643">
        <w:t>P</w:t>
      </w:r>
      <w:r w:rsidR="00F54A15" w:rsidRPr="0053168B">
        <w:t xml:space="preserve">roductos y </w:t>
      </w:r>
      <w:r w:rsidR="00121643">
        <w:t>S</w:t>
      </w:r>
      <w:r w:rsidR="00F54A15" w:rsidRPr="0053168B">
        <w:t xml:space="preserve">ervicios </w:t>
      </w:r>
      <w:r w:rsidR="002531CC" w:rsidRPr="0053168B">
        <w:t xml:space="preserve">del </w:t>
      </w:r>
      <w:r w:rsidR="0062066B">
        <w:t>s</w:t>
      </w:r>
      <w:r w:rsidR="002531CC" w:rsidRPr="0053168B">
        <w:t xml:space="preserve">istema de Madrid </w:t>
      </w:r>
      <w:r w:rsidR="00F54A15" w:rsidRPr="0053168B">
        <w:t>(en adelante denominado “</w:t>
      </w:r>
      <w:r w:rsidR="00AC4FF7" w:rsidRPr="0053168B">
        <w:t>MGS</w:t>
      </w:r>
      <w:r w:rsidR="00F54A15" w:rsidRPr="0053168B">
        <w:t>”</w:t>
      </w:r>
      <w:r w:rsidR="00AC4FF7" w:rsidRPr="0053168B">
        <w:t xml:space="preserve"> por sus siglas</w:t>
      </w:r>
      <w:r w:rsidR="00D31014" w:rsidRPr="0053168B">
        <w:t xml:space="preserve"> en inglé</w:t>
      </w:r>
      <w:r w:rsidR="00582A27" w:rsidRPr="0053168B">
        <w:t xml:space="preserve">s) en diez idiomas. </w:t>
      </w:r>
      <w:r w:rsidR="006A7B4F">
        <w:t xml:space="preserve"> </w:t>
      </w:r>
      <w:r w:rsidR="003E5CE3" w:rsidRPr="0053168B">
        <w:t>S</w:t>
      </w:r>
      <w:r w:rsidR="00F54A15" w:rsidRPr="0053168B">
        <w:t>iete</w:t>
      </w:r>
      <w:r w:rsidR="003E5CE3" w:rsidRPr="0053168B">
        <w:t xml:space="preserve"> de ellos</w:t>
      </w:r>
      <w:r w:rsidR="00F54A15" w:rsidRPr="0053168B">
        <w:t xml:space="preserve"> </w:t>
      </w:r>
      <w:r w:rsidR="00582A27" w:rsidRPr="0053168B">
        <w:t>eran</w:t>
      </w:r>
      <w:r w:rsidR="003E5CE3" w:rsidRPr="0053168B">
        <w:t xml:space="preserve"> idiomas</w:t>
      </w:r>
      <w:r w:rsidR="006757EF" w:rsidRPr="0053168B">
        <w:t xml:space="preserve"> </w:t>
      </w:r>
      <w:r w:rsidR="00AC4FF7" w:rsidRPr="0053168B">
        <w:t>distintos de los</w:t>
      </w:r>
      <w:r w:rsidR="003E5CE3" w:rsidRPr="0053168B">
        <w:t xml:space="preserve"> utilizados para la</w:t>
      </w:r>
      <w:r w:rsidR="00D31014" w:rsidRPr="0053168B">
        <w:t xml:space="preserve"> presentación de solicitudes del sistema de Madrid</w:t>
      </w:r>
      <w:r w:rsidR="00582A27" w:rsidRPr="0053168B">
        <w:t xml:space="preserve"> </w:t>
      </w:r>
      <w:r w:rsidR="003E5CE3" w:rsidRPr="0053168B">
        <w:t>para los cuales</w:t>
      </w:r>
      <w:r w:rsidR="00AC4FF7" w:rsidRPr="0053168B">
        <w:t xml:space="preserve"> </w:t>
      </w:r>
      <w:r w:rsidR="003E5CE3" w:rsidRPr="0053168B">
        <w:t>se</w:t>
      </w:r>
      <w:r w:rsidR="00582A27" w:rsidRPr="0053168B">
        <w:t xml:space="preserve"> </w:t>
      </w:r>
      <w:r w:rsidR="003E5CE3" w:rsidRPr="0053168B">
        <w:t>contaba con la traducción del primer lote de conceptos, conocido como “lote de 2011”, compuesto por 11</w:t>
      </w:r>
      <w:r w:rsidR="00992574">
        <w:t>.</w:t>
      </w:r>
      <w:r w:rsidR="003E5CE3" w:rsidRPr="0053168B">
        <w:t>299 conceptos incluidos por la Oficina Internacional de la Organización Mundial de la Propiedad Intelectual (OMPI)</w:t>
      </w:r>
      <w:r w:rsidR="006757EF" w:rsidRPr="0053168B">
        <w:t xml:space="preserve">. </w:t>
      </w:r>
      <w:r w:rsidR="006A7B4F">
        <w:t xml:space="preserve"> </w:t>
      </w:r>
      <w:r w:rsidR="006757EF" w:rsidRPr="0053168B">
        <w:t>A principios de mayo de 2012, las Oficinas nacionales part</w:t>
      </w:r>
      <w:r w:rsidR="00AC4FF7" w:rsidRPr="0053168B">
        <w:t>icipantes recibieron un segundo</w:t>
      </w:r>
      <w:r w:rsidR="006757EF" w:rsidRPr="0053168B">
        <w:t xml:space="preserve"> </w:t>
      </w:r>
      <w:r w:rsidR="00AC4FF7" w:rsidRPr="0053168B">
        <w:t>lote</w:t>
      </w:r>
      <w:r w:rsidR="006757EF" w:rsidRPr="0053168B">
        <w:t xml:space="preserve"> </w:t>
      </w:r>
      <w:r w:rsidR="00AC4FF7" w:rsidRPr="0053168B">
        <w:t>de conceptos por traducir (el</w:t>
      </w:r>
      <w:r w:rsidR="00DF0927" w:rsidRPr="0053168B">
        <w:t xml:space="preserve"> “</w:t>
      </w:r>
      <w:r w:rsidR="00AC4FF7" w:rsidRPr="0053168B">
        <w:t>lote</w:t>
      </w:r>
      <w:r w:rsidR="00582A27" w:rsidRPr="0053168B">
        <w:t xml:space="preserve"> de 2012”, compuesto</w:t>
      </w:r>
      <w:r w:rsidR="00992574">
        <w:t xml:space="preserve"> por 6.</w:t>
      </w:r>
      <w:r w:rsidR="00DF0927" w:rsidRPr="0053168B">
        <w:t>123 conceptos).</w:t>
      </w:r>
      <w:r w:rsidR="006757EF" w:rsidRPr="0053168B">
        <w:t xml:space="preserve"> </w:t>
      </w:r>
    </w:p>
    <w:p w:rsidR="009B538A" w:rsidRPr="0053168B" w:rsidRDefault="007E516C" w:rsidP="001A4A19">
      <w:pPr>
        <w:pStyle w:val="ONUMFS"/>
        <w:widowControl w:val="0"/>
        <w:numPr>
          <w:ilvl w:val="0"/>
          <w:numId w:val="4"/>
        </w:numPr>
        <w:tabs>
          <w:tab w:val="clear" w:pos="570"/>
          <w:tab w:val="num" w:pos="0"/>
        </w:tabs>
        <w:ind w:left="0" w:firstLine="0"/>
      </w:pPr>
      <w:r w:rsidRPr="0053168B">
        <w:t>Asimismo, c</w:t>
      </w:r>
      <w:r w:rsidR="00DF0927" w:rsidRPr="0053168B">
        <w:t>abe r</w:t>
      </w:r>
      <w:r w:rsidRPr="0053168B">
        <w:t>ecordar</w:t>
      </w:r>
      <w:r w:rsidR="00DF0927" w:rsidRPr="0053168B">
        <w:t xml:space="preserve"> que</w:t>
      </w:r>
      <w:r w:rsidR="00B553EB" w:rsidRPr="0053168B">
        <w:t xml:space="preserve"> </w:t>
      </w:r>
      <w:r w:rsidR="008259DD">
        <w:t>para la traducción de</w:t>
      </w:r>
      <w:r w:rsidRPr="0053168B">
        <w:t xml:space="preserve"> los conceptos </w:t>
      </w:r>
      <w:r w:rsidR="00B553EB" w:rsidRPr="0053168B">
        <w:t>incluidos en el</w:t>
      </w:r>
      <w:r w:rsidRPr="0053168B">
        <w:t xml:space="preserve"> “</w:t>
      </w:r>
      <w:r w:rsidR="00AC4FF7" w:rsidRPr="0053168B">
        <w:t>MGS</w:t>
      </w:r>
      <w:r w:rsidRPr="0053168B">
        <w:t xml:space="preserve">” </w:t>
      </w:r>
      <w:r w:rsidR="00B553EB" w:rsidRPr="0053168B">
        <w:t>a</w:t>
      </w:r>
      <w:r w:rsidRPr="0053168B">
        <w:t xml:space="preserve"> aquellos idiomas </w:t>
      </w:r>
      <w:r w:rsidR="00AC4FF7" w:rsidRPr="0053168B">
        <w:t>distintos de los</w:t>
      </w:r>
      <w:r w:rsidRPr="0053168B">
        <w:t xml:space="preserve"> idiomas de presentación de so</w:t>
      </w:r>
      <w:r w:rsidR="00B553EB" w:rsidRPr="0053168B">
        <w:t>licitudes del sistema de Madrid</w:t>
      </w:r>
      <w:r w:rsidRPr="0053168B">
        <w:t xml:space="preserve"> </w:t>
      </w:r>
      <w:r w:rsidR="008259DD">
        <w:t>se contó con la colaboración de</w:t>
      </w:r>
      <w:r w:rsidRPr="0053168B">
        <w:t xml:space="preserve"> las siguientes Oficinas nacionales: </w:t>
      </w:r>
    </w:p>
    <w:p w:rsidR="009B538A" w:rsidRPr="0053168B" w:rsidRDefault="004A2917" w:rsidP="00B8782F">
      <w:pPr>
        <w:pStyle w:val="ONUMFS"/>
        <w:widowControl w:val="0"/>
        <w:numPr>
          <w:ilvl w:val="0"/>
          <w:numId w:val="0"/>
        </w:numPr>
        <w:ind w:left="1134" w:hanging="567"/>
      </w:pPr>
      <w:r w:rsidRPr="0053168B">
        <w:t>–</w:t>
      </w:r>
      <w:r w:rsidRPr="0053168B">
        <w:tab/>
      </w:r>
      <w:r w:rsidR="00925119" w:rsidRPr="0053168B">
        <w:t xml:space="preserve">Árabe:  Junta Directiva para la Protección de la Propiedad Comercial e Industrial (DCIP) de la República Árabe Siria; </w:t>
      </w:r>
    </w:p>
    <w:p w:rsidR="009B538A" w:rsidRPr="0053168B" w:rsidRDefault="00925119" w:rsidP="001A4A19">
      <w:pPr>
        <w:pStyle w:val="ONUMFS"/>
        <w:widowControl w:val="0"/>
        <w:numPr>
          <w:ilvl w:val="0"/>
          <w:numId w:val="5"/>
        </w:numPr>
        <w:ind w:left="1134" w:hanging="567"/>
      </w:pPr>
      <w:r w:rsidRPr="0053168B">
        <w:t xml:space="preserve">Chino:  Administración </w:t>
      </w:r>
      <w:r w:rsidR="00251A96" w:rsidRPr="0053168B">
        <w:t xml:space="preserve">Estatal de Industria y </w:t>
      </w:r>
      <w:r w:rsidRPr="0053168B">
        <w:t>Come</w:t>
      </w:r>
      <w:r w:rsidR="00E33179" w:rsidRPr="0053168B">
        <w:t xml:space="preserve">rcio de la República Popular de </w:t>
      </w:r>
      <w:r w:rsidRPr="0053168B">
        <w:t xml:space="preserve">China (SAIC);  </w:t>
      </w:r>
    </w:p>
    <w:p w:rsidR="009B538A" w:rsidRPr="0053168B" w:rsidRDefault="00925119" w:rsidP="001A4A19">
      <w:pPr>
        <w:pStyle w:val="ONUMFS"/>
        <w:widowControl w:val="0"/>
        <w:numPr>
          <w:ilvl w:val="0"/>
          <w:numId w:val="5"/>
        </w:numPr>
        <w:ind w:left="1134" w:hanging="567"/>
      </w:pPr>
      <w:r w:rsidRPr="0053168B">
        <w:t xml:space="preserve">Neerlandés: </w:t>
      </w:r>
      <w:r w:rsidR="006A7B4F">
        <w:t xml:space="preserve"> </w:t>
      </w:r>
      <w:r w:rsidRPr="0053168B">
        <w:t>Oficina de la Propiedad Intelectual de Benelux</w:t>
      </w:r>
      <w:r w:rsidR="001554C2" w:rsidRPr="0053168B">
        <w:t>, (BOIP)</w:t>
      </w:r>
      <w:r w:rsidR="00E33179" w:rsidRPr="0053168B">
        <w:t>;</w:t>
      </w:r>
    </w:p>
    <w:p w:rsidR="009B538A" w:rsidRPr="0053168B" w:rsidRDefault="001554C2" w:rsidP="001A4A19">
      <w:pPr>
        <w:pStyle w:val="ONUMFS"/>
        <w:widowControl w:val="0"/>
        <w:numPr>
          <w:ilvl w:val="0"/>
          <w:numId w:val="5"/>
        </w:numPr>
        <w:ind w:left="1134" w:hanging="567"/>
      </w:pPr>
      <w:r w:rsidRPr="0053168B">
        <w:t xml:space="preserve">Alemán:  </w:t>
      </w:r>
      <w:r w:rsidR="00251A96" w:rsidRPr="0053168B">
        <w:t>Oficina Austríaca de Patentes, Oficina A</w:t>
      </w:r>
      <w:r w:rsidRPr="0053168B">
        <w:t>lemana de Patentes y de Marcas (DPMA)</w:t>
      </w:r>
      <w:r w:rsidR="00121F2F" w:rsidRPr="0053168B">
        <w:t>;</w:t>
      </w:r>
      <w:r w:rsidRPr="0053168B">
        <w:t xml:space="preserve"> </w:t>
      </w:r>
      <w:r w:rsidR="008259DD">
        <w:t>y</w:t>
      </w:r>
      <w:r w:rsidR="00121F2F" w:rsidRPr="0053168B">
        <w:t xml:space="preserve"> el Instituto Federal </w:t>
      </w:r>
      <w:r w:rsidR="00251A96" w:rsidRPr="0053168B">
        <w:t>S</w:t>
      </w:r>
      <w:r w:rsidR="00121F2F" w:rsidRPr="0053168B">
        <w:t xml:space="preserve">uizo de la Propiedad Intelectual (IPI); </w:t>
      </w:r>
    </w:p>
    <w:p w:rsidR="009B538A" w:rsidRPr="0053168B" w:rsidRDefault="009B3C8F" w:rsidP="001A4A19">
      <w:pPr>
        <w:pStyle w:val="ONUMFS"/>
        <w:widowControl w:val="0"/>
        <w:numPr>
          <w:ilvl w:val="0"/>
          <w:numId w:val="5"/>
        </w:numPr>
        <w:ind w:left="1134" w:hanging="567"/>
      </w:pPr>
      <w:r w:rsidRPr="0053168B">
        <w:t>Hebreo:  Oficina de Patentes de Israel;</w:t>
      </w:r>
    </w:p>
    <w:p w:rsidR="009B538A" w:rsidRPr="0053168B" w:rsidRDefault="009B3C8F" w:rsidP="001A4A19">
      <w:pPr>
        <w:pStyle w:val="ONUMFS"/>
        <w:widowControl w:val="0"/>
        <w:numPr>
          <w:ilvl w:val="0"/>
          <w:numId w:val="5"/>
        </w:numPr>
        <w:ind w:left="1134" w:hanging="567"/>
      </w:pPr>
      <w:r w:rsidRPr="0053168B">
        <w:t xml:space="preserve">Italiano:  Oficina </w:t>
      </w:r>
      <w:r w:rsidR="00251A96" w:rsidRPr="0053168B">
        <w:t xml:space="preserve">Italiana </w:t>
      </w:r>
      <w:r w:rsidRPr="0053168B">
        <w:t xml:space="preserve">de Patentes y de Marcas (UIBM); </w:t>
      </w:r>
    </w:p>
    <w:p w:rsidR="009B538A" w:rsidRPr="0053168B" w:rsidRDefault="009B3C8F" w:rsidP="001A4A19">
      <w:pPr>
        <w:pStyle w:val="ONUMFS"/>
        <w:widowControl w:val="0"/>
        <w:numPr>
          <w:ilvl w:val="0"/>
          <w:numId w:val="5"/>
        </w:numPr>
        <w:ind w:left="1134" w:hanging="567"/>
      </w:pPr>
      <w:r w:rsidRPr="0053168B">
        <w:t xml:space="preserve">Japonés :  Oficina </w:t>
      </w:r>
      <w:r w:rsidR="00251A96" w:rsidRPr="0053168B">
        <w:t>J</w:t>
      </w:r>
      <w:r w:rsidRPr="0053168B">
        <w:t xml:space="preserve">aponesa de Patentes (JPO); </w:t>
      </w:r>
    </w:p>
    <w:p w:rsidR="009B538A" w:rsidRPr="00916FC7" w:rsidRDefault="009B3C8F" w:rsidP="001A4A19">
      <w:pPr>
        <w:pStyle w:val="ONUMFS"/>
        <w:widowControl w:val="0"/>
        <w:numPr>
          <w:ilvl w:val="0"/>
          <w:numId w:val="5"/>
        </w:numPr>
        <w:ind w:left="1134" w:hanging="567"/>
      </w:pPr>
      <w:r w:rsidRPr="0053168B">
        <w:t>Noruego:</w:t>
      </w:r>
      <w:r w:rsidRPr="00916FC7">
        <w:t xml:space="preserve">  Patentstyret (Oficina noruega de Propiedad Intelectual) (NIPO);</w:t>
      </w:r>
      <w:r w:rsidRPr="0053168B">
        <w:t xml:space="preserve"> </w:t>
      </w:r>
    </w:p>
    <w:p w:rsidR="009B538A" w:rsidRPr="00916FC7" w:rsidRDefault="009B3C8F" w:rsidP="001A4A19">
      <w:pPr>
        <w:pStyle w:val="ONUMFS"/>
        <w:widowControl w:val="0"/>
        <w:numPr>
          <w:ilvl w:val="0"/>
          <w:numId w:val="5"/>
        </w:numPr>
        <w:ind w:left="1134" w:hanging="567"/>
      </w:pPr>
      <w:r w:rsidRPr="00916FC7">
        <w:t xml:space="preserve">Portugués:  Instituto Nacional de Propiedad Industrial de Portugal (INPI); </w:t>
      </w:r>
    </w:p>
    <w:p w:rsidR="009B538A" w:rsidRPr="00916FC7" w:rsidRDefault="009B3C8F" w:rsidP="001A4A19">
      <w:pPr>
        <w:pStyle w:val="ONUMFS"/>
        <w:widowControl w:val="0"/>
        <w:numPr>
          <w:ilvl w:val="0"/>
          <w:numId w:val="5"/>
        </w:numPr>
        <w:ind w:left="1134" w:hanging="567"/>
      </w:pPr>
      <w:r w:rsidRPr="00916FC7">
        <w:t>Ruso:  Servicio Federal de Propiedad Intelectual (ROSPATENT); y</w:t>
      </w:r>
      <w:r w:rsidR="00663B8E" w:rsidRPr="00916FC7">
        <w:t xml:space="preserve"> </w:t>
      </w:r>
    </w:p>
    <w:p w:rsidR="009B538A" w:rsidRPr="0053168B" w:rsidRDefault="009B3C8F" w:rsidP="001A4A19">
      <w:pPr>
        <w:pStyle w:val="ONUMFS"/>
        <w:widowControl w:val="0"/>
        <w:numPr>
          <w:ilvl w:val="0"/>
          <w:numId w:val="5"/>
        </w:numPr>
        <w:ind w:left="1134" w:hanging="567"/>
      </w:pPr>
      <w:r w:rsidRPr="00916FC7">
        <w:t xml:space="preserve">Turco:  Instituto </w:t>
      </w:r>
      <w:r w:rsidR="00251A96" w:rsidRPr="00916FC7">
        <w:t>T</w:t>
      </w:r>
      <w:r w:rsidRPr="00916FC7">
        <w:t xml:space="preserve">urco de Patentes (TPI). </w:t>
      </w:r>
    </w:p>
    <w:p w:rsidR="009B538A" w:rsidRPr="0053168B" w:rsidRDefault="00B553EB" w:rsidP="001A4A19">
      <w:pPr>
        <w:pStyle w:val="ONUMFS"/>
        <w:widowControl w:val="0"/>
        <w:numPr>
          <w:ilvl w:val="0"/>
          <w:numId w:val="4"/>
        </w:numPr>
        <w:tabs>
          <w:tab w:val="clear" w:pos="570"/>
          <w:tab w:val="num" w:pos="0"/>
        </w:tabs>
        <w:ind w:left="0" w:firstLine="0"/>
      </w:pPr>
      <w:r w:rsidRPr="0053168B">
        <w:t xml:space="preserve">El 1 de enero de 2013 se </w:t>
      </w:r>
      <w:r w:rsidR="008069DC" w:rsidRPr="0053168B">
        <w:t>actualizó</w:t>
      </w:r>
      <w:r w:rsidRPr="0053168B">
        <w:t xml:space="preserve"> la Base de datos MGS</w:t>
      </w:r>
      <w:r w:rsidR="00E14FFC" w:rsidRPr="0053168B">
        <w:t>,</w:t>
      </w:r>
      <w:r w:rsidRPr="0053168B">
        <w:t xml:space="preserve"> en el sitio web de la OMPI, </w:t>
      </w:r>
      <w:r w:rsidR="00875480">
        <w:t xml:space="preserve">y </w:t>
      </w:r>
      <w:r w:rsidR="00E14FFC" w:rsidRPr="0053168B">
        <w:t xml:space="preserve">de </w:t>
      </w:r>
      <w:r w:rsidR="00875480">
        <w:t xml:space="preserve">ese </w:t>
      </w:r>
      <w:r w:rsidR="00E14FFC" w:rsidRPr="0053168B">
        <w:t>modo que</w:t>
      </w:r>
      <w:r w:rsidR="008069DC" w:rsidRPr="0053168B">
        <w:t xml:space="preserve">dó </w:t>
      </w:r>
      <w:r w:rsidR="005454C9" w:rsidRPr="0053168B">
        <w:t xml:space="preserve">en </w:t>
      </w:r>
      <w:r w:rsidR="00C66753">
        <w:t>conformidad</w:t>
      </w:r>
      <w:r w:rsidR="00E14FFC" w:rsidRPr="0053168B">
        <w:t xml:space="preserve"> con la décima edición de la Clasificación de Niza. </w:t>
      </w:r>
      <w:r w:rsidR="006A7B4F">
        <w:t xml:space="preserve"> </w:t>
      </w:r>
      <w:r w:rsidR="008259DD">
        <w:t>Se encuentran en curso de actualización l</w:t>
      </w:r>
      <w:r w:rsidR="00E14FFC" w:rsidRPr="0053168B">
        <w:t>a</w:t>
      </w:r>
      <w:r w:rsidR="008259DD">
        <w:t>s</w:t>
      </w:r>
      <w:r w:rsidR="00E14FFC" w:rsidRPr="0053168B">
        <w:t xml:space="preserve"> versiones en todos los idiomas disponibles en línea. </w:t>
      </w:r>
    </w:p>
    <w:p w:rsidR="00663B8E" w:rsidRPr="0053168B" w:rsidRDefault="00AC4FF7" w:rsidP="001A4A19">
      <w:pPr>
        <w:pStyle w:val="ONUMFS"/>
        <w:widowControl w:val="0"/>
        <w:numPr>
          <w:ilvl w:val="0"/>
          <w:numId w:val="4"/>
        </w:numPr>
        <w:tabs>
          <w:tab w:val="clear" w:pos="570"/>
          <w:tab w:val="num" w:pos="0"/>
        </w:tabs>
        <w:ind w:left="0" w:firstLine="0"/>
      </w:pPr>
      <w:r w:rsidRPr="0053168B">
        <w:t>En cuanto al</w:t>
      </w:r>
      <w:r w:rsidR="008069DC" w:rsidRPr="0053168B">
        <w:t xml:space="preserve"> “</w:t>
      </w:r>
      <w:r w:rsidRPr="0053168B">
        <w:t>lote</w:t>
      </w:r>
      <w:r w:rsidR="00875480">
        <w:t xml:space="preserve"> de</w:t>
      </w:r>
      <w:r w:rsidR="008069DC" w:rsidRPr="0053168B">
        <w:t xml:space="preserve"> 2013”, que se enviará a principios del mes de junio</w:t>
      </w:r>
      <w:r w:rsidR="005454C9" w:rsidRPr="0053168B">
        <w:t xml:space="preserve"> del 2013</w:t>
      </w:r>
      <w:r w:rsidR="008069DC" w:rsidRPr="0053168B">
        <w:t xml:space="preserve">, los nuevos conceptos que tendrán que traducir las Oficinas participantes estarán disponibles únicamente en inglés, a falta de sus equivalentes en francés y español, que la Oficina Internacional de la OMPI pondrá a disposición ulteriormente. </w:t>
      </w:r>
    </w:p>
    <w:p w:rsidR="003A5696" w:rsidRDefault="003A5696" w:rsidP="00B8782F">
      <w:pPr>
        <w:widowControl w:val="0"/>
      </w:pPr>
      <w:r>
        <w:br w:type="page"/>
      </w:r>
    </w:p>
    <w:p w:rsidR="00663B8E" w:rsidRPr="0053168B" w:rsidRDefault="00A643DB" w:rsidP="001A4A19">
      <w:pPr>
        <w:pStyle w:val="ONUMFS"/>
        <w:widowControl w:val="0"/>
        <w:numPr>
          <w:ilvl w:val="0"/>
          <w:numId w:val="4"/>
        </w:numPr>
        <w:tabs>
          <w:tab w:val="clear" w:pos="570"/>
          <w:tab w:val="num" w:pos="0"/>
        </w:tabs>
        <w:ind w:left="0" w:firstLine="0"/>
      </w:pPr>
      <w:r w:rsidRPr="0053168B">
        <w:t>E</w:t>
      </w:r>
      <w:r w:rsidR="002060D0">
        <w:t>n e</w:t>
      </w:r>
      <w:r w:rsidRPr="0053168B">
        <w:t xml:space="preserve">l cuadro </w:t>
      </w:r>
      <w:r w:rsidR="00C66753">
        <w:t xml:space="preserve">que figura </w:t>
      </w:r>
      <w:r w:rsidRPr="0053168B">
        <w:t xml:space="preserve">a continuación </w:t>
      </w:r>
      <w:r w:rsidR="002060D0">
        <w:t xml:space="preserve">se </w:t>
      </w:r>
      <w:r w:rsidRPr="0053168B">
        <w:t>da cuenta de forma sintética</w:t>
      </w:r>
      <w:r w:rsidR="0016161B" w:rsidRPr="0053168B">
        <w:t xml:space="preserve"> del contenido de la Base de datos MGS para cada uno de los idiomas, por volumen de traducciones recibidas </w:t>
      </w:r>
      <w:r w:rsidR="00E91736" w:rsidRPr="0053168B">
        <w:t>a tiempo para ser publicadas el 1 de enero de 2013.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393"/>
        <w:gridCol w:w="2393"/>
        <w:gridCol w:w="2280"/>
      </w:tblGrid>
      <w:tr w:rsidR="004A2917" w:rsidRPr="0053168B" w:rsidTr="001554C2">
        <w:trPr>
          <w:trHeight w:val="1112"/>
        </w:trPr>
        <w:tc>
          <w:tcPr>
            <w:tcW w:w="2284" w:type="dxa"/>
          </w:tcPr>
          <w:p w:rsidR="004A2917" w:rsidRPr="0053168B" w:rsidRDefault="0016161B" w:rsidP="00B8782F">
            <w:pPr>
              <w:widowControl w:val="0"/>
              <w:jc w:val="center"/>
            </w:pPr>
            <w:r w:rsidRPr="0053168B">
              <w:t xml:space="preserve">Lanzamiento público el 1 de enero de 2013 </w:t>
            </w:r>
          </w:p>
        </w:tc>
        <w:tc>
          <w:tcPr>
            <w:tcW w:w="2393" w:type="dxa"/>
            <w:tcBorders>
              <w:right w:val="single" w:sz="12" w:space="0" w:color="auto"/>
            </w:tcBorders>
          </w:tcPr>
          <w:p w:rsidR="009B538A" w:rsidRPr="0053168B" w:rsidRDefault="004A2917" w:rsidP="00B8782F">
            <w:pPr>
              <w:widowControl w:val="0"/>
              <w:jc w:val="center"/>
            </w:pPr>
            <w:r w:rsidRPr="0053168B">
              <w:t>10</w:t>
            </w:r>
            <w:r w:rsidR="007210F9">
              <w:t>ª ed. Cl</w:t>
            </w:r>
            <w:r w:rsidR="00D8538C">
              <w:t>.</w:t>
            </w:r>
            <w:r w:rsidR="00276C70">
              <w:t xml:space="preserve"> de</w:t>
            </w:r>
            <w:r w:rsidR="00D8538C">
              <w:t xml:space="preserve"> N</w:t>
            </w:r>
          </w:p>
          <w:p w:rsidR="004A2917" w:rsidRPr="0053168B" w:rsidRDefault="009E3AD5" w:rsidP="00B8782F">
            <w:pPr>
              <w:widowControl w:val="0"/>
              <w:jc w:val="center"/>
            </w:pPr>
            <w:r w:rsidRPr="0053168B">
              <w:t xml:space="preserve">Versión </w:t>
            </w:r>
            <w:r w:rsidR="00C66753">
              <w:t xml:space="preserve">de </w:t>
            </w:r>
            <w:r w:rsidRPr="0053168B">
              <w:t>2013</w:t>
            </w:r>
          </w:p>
        </w:tc>
        <w:tc>
          <w:tcPr>
            <w:tcW w:w="2393" w:type="dxa"/>
            <w:tcBorders>
              <w:left w:val="single" w:sz="12" w:space="0" w:color="auto"/>
            </w:tcBorders>
          </w:tcPr>
          <w:p w:rsidR="009B538A" w:rsidRPr="0053168B" w:rsidRDefault="004A2917" w:rsidP="00B8782F">
            <w:pPr>
              <w:widowControl w:val="0"/>
              <w:jc w:val="center"/>
            </w:pPr>
            <w:r w:rsidRPr="0053168B">
              <w:t>MGS</w:t>
            </w:r>
          </w:p>
          <w:p w:rsidR="009B538A" w:rsidRPr="0053168B" w:rsidRDefault="00844213" w:rsidP="00B8782F">
            <w:pPr>
              <w:widowControl w:val="0"/>
              <w:jc w:val="center"/>
            </w:pPr>
            <w:r w:rsidRPr="0053168B">
              <w:t>Lote</w:t>
            </w:r>
            <w:r w:rsidR="00C66753">
              <w:t xml:space="preserve"> de</w:t>
            </w:r>
            <w:r w:rsidRPr="0053168B">
              <w:t xml:space="preserve"> </w:t>
            </w:r>
            <w:r w:rsidR="004A2917" w:rsidRPr="0053168B">
              <w:t>2011</w:t>
            </w:r>
          </w:p>
          <w:p w:rsidR="004A2917" w:rsidRPr="0053168B" w:rsidRDefault="00C66753" w:rsidP="00B8782F">
            <w:pPr>
              <w:widowControl w:val="0"/>
              <w:jc w:val="center"/>
            </w:pPr>
            <w:r>
              <w:t>(11.</w:t>
            </w:r>
            <w:r w:rsidR="004A2917" w:rsidRPr="0053168B">
              <w:t>299 concept</w:t>
            </w:r>
            <w:r w:rsidR="009E3AD5" w:rsidRPr="0053168B">
              <w:t>o</w:t>
            </w:r>
            <w:r w:rsidR="004A2917" w:rsidRPr="0053168B">
              <w:t>s)</w:t>
            </w:r>
          </w:p>
        </w:tc>
        <w:tc>
          <w:tcPr>
            <w:tcW w:w="2280" w:type="dxa"/>
          </w:tcPr>
          <w:p w:rsidR="009B538A" w:rsidRPr="0053168B" w:rsidRDefault="004A2917" w:rsidP="00B8782F">
            <w:pPr>
              <w:widowControl w:val="0"/>
              <w:jc w:val="center"/>
            </w:pPr>
            <w:r w:rsidRPr="0053168B">
              <w:t>MGS</w:t>
            </w:r>
          </w:p>
          <w:p w:rsidR="009B538A" w:rsidRPr="0053168B" w:rsidRDefault="00844213" w:rsidP="00B8782F">
            <w:pPr>
              <w:widowControl w:val="0"/>
              <w:jc w:val="center"/>
            </w:pPr>
            <w:r w:rsidRPr="0053168B">
              <w:t xml:space="preserve">Lote </w:t>
            </w:r>
            <w:r w:rsidR="00C66753">
              <w:t xml:space="preserve">de </w:t>
            </w:r>
            <w:r w:rsidR="004A2917" w:rsidRPr="0053168B">
              <w:t>2012</w:t>
            </w:r>
          </w:p>
          <w:p w:rsidR="004A2917" w:rsidRPr="0053168B" w:rsidRDefault="004A2917" w:rsidP="00B8782F">
            <w:pPr>
              <w:widowControl w:val="0"/>
              <w:jc w:val="center"/>
            </w:pPr>
            <w:r w:rsidRPr="0053168B">
              <w:t>(6</w:t>
            </w:r>
            <w:r w:rsidR="00C66753">
              <w:t>.</w:t>
            </w:r>
            <w:r w:rsidRPr="0053168B">
              <w:t>123 concept</w:t>
            </w:r>
            <w:r w:rsidR="00844213" w:rsidRPr="0053168B">
              <w:t>o</w:t>
            </w:r>
            <w:r w:rsidRPr="0053168B">
              <w:t>s)</w:t>
            </w:r>
          </w:p>
        </w:tc>
      </w:tr>
      <w:tr w:rsidR="004A2917" w:rsidRPr="0053168B" w:rsidTr="006C26D2">
        <w:tc>
          <w:tcPr>
            <w:tcW w:w="2284" w:type="dxa"/>
          </w:tcPr>
          <w:p w:rsidR="004A2917" w:rsidRPr="0053168B" w:rsidRDefault="009E3AD5" w:rsidP="00B8782F">
            <w:pPr>
              <w:widowControl w:val="0"/>
            </w:pPr>
            <w:r w:rsidRPr="0053168B">
              <w:t>Inglés</w:t>
            </w:r>
          </w:p>
        </w:tc>
        <w:tc>
          <w:tcPr>
            <w:tcW w:w="2393" w:type="dxa"/>
            <w:tcBorders>
              <w:right w:val="single" w:sz="12" w:space="0" w:color="auto"/>
            </w:tcBorders>
            <w:shd w:val="clear" w:color="auto" w:fill="C0C0C0"/>
          </w:tcPr>
          <w:p w:rsidR="004A2917" w:rsidRPr="0053168B" w:rsidRDefault="008D008C" w:rsidP="00B8782F">
            <w:pPr>
              <w:widowControl w:val="0"/>
              <w:jc w:val="center"/>
            </w:pPr>
            <w:r>
              <w:t>Sí</w:t>
            </w:r>
          </w:p>
        </w:tc>
        <w:tc>
          <w:tcPr>
            <w:tcW w:w="2393" w:type="dxa"/>
            <w:tcBorders>
              <w:left w:val="single" w:sz="12" w:space="0" w:color="auto"/>
            </w:tcBorders>
            <w:shd w:val="clear" w:color="auto" w:fill="C0C0C0"/>
          </w:tcPr>
          <w:p w:rsidR="004A2917" w:rsidRPr="0053168B" w:rsidRDefault="008D008C" w:rsidP="00B8782F">
            <w:pPr>
              <w:widowControl w:val="0"/>
              <w:jc w:val="center"/>
            </w:pPr>
            <w:r>
              <w:t>Sí</w:t>
            </w:r>
          </w:p>
        </w:tc>
        <w:tc>
          <w:tcPr>
            <w:tcW w:w="2280" w:type="dxa"/>
            <w:shd w:val="clear" w:color="auto" w:fill="C0C0C0"/>
          </w:tcPr>
          <w:p w:rsidR="004A2917" w:rsidRPr="0053168B" w:rsidRDefault="008D008C" w:rsidP="00B8782F">
            <w:pPr>
              <w:widowControl w:val="0"/>
              <w:jc w:val="center"/>
            </w:pPr>
            <w:r>
              <w:t>Sí</w:t>
            </w:r>
          </w:p>
        </w:tc>
      </w:tr>
      <w:tr w:rsidR="004A2917" w:rsidRPr="0053168B" w:rsidTr="006C26D2">
        <w:tc>
          <w:tcPr>
            <w:tcW w:w="2284" w:type="dxa"/>
            <w:tcBorders>
              <w:bottom w:val="single" w:sz="8" w:space="0" w:color="auto"/>
            </w:tcBorders>
          </w:tcPr>
          <w:p w:rsidR="004A2917" w:rsidRPr="0053168B" w:rsidRDefault="009E3AD5" w:rsidP="00B8782F">
            <w:pPr>
              <w:widowControl w:val="0"/>
            </w:pPr>
            <w:r w:rsidRPr="0053168B">
              <w:t>Francés</w:t>
            </w:r>
          </w:p>
        </w:tc>
        <w:tc>
          <w:tcPr>
            <w:tcW w:w="2393" w:type="dxa"/>
            <w:tcBorders>
              <w:bottom w:val="single" w:sz="8" w:space="0" w:color="auto"/>
              <w:right w:val="single" w:sz="12" w:space="0" w:color="auto"/>
            </w:tcBorders>
            <w:shd w:val="clear" w:color="auto" w:fill="C0C0C0"/>
          </w:tcPr>
          <w:p w:rsidR="004A2917" w:rsidRPr="0053168B" w:rsidRDefault="008D008C" w:rsidP="00B8782F">
            <w:pPr>
              <w:widowControl w:val="0"/>
              <w:jc w:val="center"/>
            </w:pPr>
            <w:r>
              <w:t>Sí</w:t>
            </w:r>
          </w:p>
        </w:tc>
        <w:tc>
          <w:tcPr>
            <w:tcW w:w="2393" w:type="dxa"/>
            <w:tcBorders>
              <w:left w:val="single" w:sz="12" w:space="0" w:color="auto"/>
              <w:bottom w:val="single" w:sz="8" w:space="0" w:color="auto"/>
            </w:tcBorders>
            <w:shd w:val="clear" w:color="auto" w:fill="C0C0C0"/>
          </w:tcPr>
          <w:p w:rsidR="004A2917" w:rsidRPr="0053168B" w:rsidRDefault="008D008C" w:rsidP="00B8782F">
            <w:pPr>
              <w:widowControl w:val="0"/>
              <w:jc w:val="center"/>
            </w:pPr>
            <w:r>
              <w:t>Sí</w:t>
            </w:r>
          </w:p>
        </w:tc>
        <w:tc>
          <w:tcPr>
            <w:tcW w:w="2280" w:type="dxa"/>
            <w:tcBorders>
              <w:bottom w:val="single" w:sz="8" w:space="0" w:color="auto"/>
            </w:tcBorders>
            <w:shd w:val="clear" w:color="auto" w:fill="C0C0C0"/>
          </w:tcPr>
          <w:p w:rsidR="004A2917" w:rsidRPr="0053168B" w:rsidRDefault="008D008C" w:rsidP="00B8782F">
            <w:pPr>
              <w:widowControl w:val="0"/>
              <w:jc w:val="center"/>
            </w:pPr>
            <w:r>
              <w:t>Sí</w:t>
            </w:r>
          </w:p>
        </w:tc>
      </w:tr>
      <w:tr w:rsidR="004A2917" w:rsidRPr="0053168B" w:rsidTr="006C26D2">
        <w:tc>
          <w:tcPr>
            <w:tcW w:w="2284" w:type="dxa"/>
            <w:tcBorders>
              <w:top w:val="single" w:sz="8" w:space="0" w:color="auto"/>
              <w:left w:val="single" w:sz="8" w:space="0" w:color="auto"/>
              <w:bottom w:val="single" w:sz="12" w:space="0" w:color="auto"/>
              <w:right w:val="single" w:sz="8" w:space="0" w:color="auto"/>
            </w:tcBorders>
          </w:tcPr>
          <w:p w:rsidR="004A2917" w:rsidRPr="0053168B" w:rsidRDefault="009E3AD5" w:rsidP="00B8782F">
            <w:pPr>
              <w:widowControl w:val="0"/>
            </w:pPr>
            <w:r w:rsidRPr="0053168B">
              <w:t>Español</w:t>
            </w:r>
          </w:p>
        </w:tc>
        <w:tc>
          <w:tcPr>
            <w:tcW w:w="2393" w:type="dxa"/>
            <w:tcBorders>
              <w:top w:val="single" w:sz="8" w:space="0" w:color="auto"/>
              <w:left w:val="single" w:sz="8" w:space="0" w:color="auto"/>
              <w:bottom w:val="single" w:sz="12" w:space="0" w:color="auto"/>
              <w:right w:val="single" w:sz="12" w:space="0" w:color="auto"/>
            </w:tcBorders>
            <w:shd w:val="clear" w:color="auto" w:fill="C0C0C0"/>
          </w:tcPr>
          <w:p w:rsidR="004A2917" w:rsidRPr="0053168B" w:rsidRDefault="008D008C" w:rsidP="00B8782F">
            <w:pPr>
              <w:widowControl w:val="0"/>
              <w:jc w:val="center"/>
            </w:pPr>
            <w:r>
              <w:t>Sí</w:t>
            </w:r>
          </w:p>
        </w:tc>
        <w:tc>
          <w:tcPr>
            <w:tcW w:w="2393" w:type="dxa"/>
            <w:tcBorders>
              <w:top w:val="single" w:sz="8" w:space="0" w:color="auto"/>
              <w:left w:val="single" w:sz="12" w:space="0" w:color="auto"/>
              <w:bottom w:val="single" w:sz="12" w:space="0" w:color="auto"/>
              <w:right w:val="single" w:sz="8" w:space="0" w:color="auto"/>
            </w:tcBorders>
            <w:shd w:val="clear" w:color="auto" w:fill="C0C0C0"/>
          </w:tcPr>
          <w:p w:rsidR="004A2917" w:rsidRPr="0053168B" w:rsidRDefault="008D008C" w:rsidP="00B8782F">
            <w:pPr>
              <w:widowControl w:val="0"/>
              <w:jc w:val="center"/>
            </w:pPr>
            <w:r>
              <w:t>Sí</w:t>
            </w:r>
          </w:p>
        </w:tc>
        <w:tc>
          <w:tcPr>
            <w:tcW w:w="2280" w:type="dxa"/>
            <w:tcBorders>
              <w:top w:val="single" w:sz="8" w:space="0" w:color="auto"/>
              <w:left w:val="single" w:sz="8" w:space="0" w:color="auto"/>
              <w:bottom w:val="single" w:sz="12" w:space="0" w:color="auto"/>
              <w:right w:val="single" w:sz="8" w:space="0" w:color="auto"/>
            </w:tcBorders>
            <w:shd w:val="clear" w:color="auto" w:fill="C0C0C0"/>
          </w:tcPr>
          <w:p w:rsidR="004A2917" w:rsidRPr="0053168B" w:rsidRDefault="008D008C" w:rsidP="00B8782F">
            <w:pPr>
              <w:widowControl w:val="0"/>
              <w:jc w:val="center"/>
            </w:pPr>
            <w:r>
              <w:t>Sí</w:t>
            </w:r>
          </w:p>
        </w:tc>
      </w:tr>
      <w:tr w:rsidR="004A2917" w:rsidRPr="0053168B" w:rsidTr="006C26D2">
        <w:tc>
          <w:tcPr>
            <w:tcW w:w="2284" w:type="dxa"/>
            <w:tcBorders>
              <w:top w:val="single" w:sz="12" w:space="0" w:color="auto"/>
            </w:tcBorders>
          </w:tcPr>
          <w:p w:rsidR="004A2917" w:rsidRPr="0053168B" w:rsidRDefault="009E3AD5" w:rsidP="00B8782F">
            <w:pPr>
              <w:widowControl w:val="0"/>
            </w:pPr>
            <w:r w:rsidRPr="0053168B">
              <w:t>Árabe</w:t>
            </w:r>
          </w:p>
        </w:tc>
        <w:tc>
          <w:tcPr>
            <w:tcW w:w="2393" w:type="dxa"/>
            <w:tcBorders>
              <w:top w:val="single" w:sz="12" w:space="0" w:color="auto"/>
              <w:right w:val="single" w:sz="12" w:space="0" w:color="auto"/>
            </w:tcBorders>
          </w:tcPr>
          <w:p w:rsidR="004A2917" w:rsidRPr="0053168B" w:rsidRDefault="00276C70" w:rsidP="00B8782F">
            <w:pPr>
              <w:widowControl w:val="0"/>
              <w:jc w:val="center"/>
            </w:pPr>
            <w:r w:rsidRPr="00276C70">
              <w:t>10ª ed. Cl. de N-2012</w:t>
            </w:r>
          </w:p>
        </w:tc>
        <w:tc>
          <w:tcPr>
            <w:tcW w:w="2393" w:type="dxa"/>
            <w:tcBorders>
              <w:top w:val="single" w:sz="12" w:space="0" w:color="auto"/>
              <w:left w:val="single" w:sz="12" w:space="0" w:color="auto"/>
            </w:tcBorders>
            <w:shd w:val="clear" w:color="auto" w:fill="C0C0C0"/>
          </w:tcPr>
          <w:p w:rsidR="004A2917" w:rsidRPr="0053168B" w:rsidRDefault="008D008C" w:rsidP="00B8782F">
            <w:pPr>
              <w:widowControl w:val="0"/>
              <w:jc w:val="center"/>
            </w:pPr>
            <w:r>
              <w:t>Sí</w:t>
            </w:r>
          </w:p>
        </w:tc>
        <w:tc>
          <w:tcPr>
            <w:tcW w:w="2280" w:type="dxa"/>
            <w:tcBorders>
              <w:top w:val="single" w:sz="12" w:space="0" w:color="auto"/>
            </w:tcBorders>
          </w:tcPr>
          <w:p w:rsidR="004A2917" w:rsidRPr="0053168B" w:rsidRDefault="004A2917" w:rsidP="00B8782F">
            <w:pPr>
              <w:widowControl w:val="0"/>
              <w:jc w:val="center"/>
            </w:pPr>
          </w:p>
        </w:tc>
      </w:tr>
      <w:tr w:rsidR="004A2917" w:rsidRPr="0053168B" w:rsidTr="006C26D2">
        <w:tc>
          <w:tcPr>
            <w:tcW w:w="2284" w:type="dxa"/>
          </w:tcPr>
          <w:p w:rsidR="004A2917" w:rsidRPr="0053168B" w:rsidRDefault="009E3AD5" w:rsidP="00B8782F">
            <w:pPr>
              <w:widowControl w:val="0"/>
            </w:pPr>
            <w:r w:rsidRPr="0053168B">
              <w:t>Neerlandés</w:t>
            </w:r>
          </w:p>
        </w:tc>
        <w:tc>
          <w:tcPr>
            <w:tcW w:w="2393" w:type="dxa"/>
            <w:tcBorders>
              <w:right w:val="single" w:sz="12" w:space="0" w:color="auto"/>
            </w:tcBorders>
            <w:shd w:val="clear" w:color="auto" w:fill="C0C0C0"/>
          </w:tcPr>
          <w:p w:rsidR="004A2917" w:rsidRPr="0053168B" w:rsidRDefault="008D008C" w:rsidP="00B8782F">
            <w:pPr>
              <w:widowControl w:val="0"/>
              <w:jc w:val="center"/>
            </w:pPr>
            <w:r>
              <w:t>Sí</w:t>
            </w:r>
          </w:p>
        </w:tc>
        <w:tc>
          <w:tcPr>
            <w:tcW w:w="2393" w:type="dxa"/>
            <w:tcBorders>
              <w:left w:val="single" w:sz="12" w:space="0" w:color="auto"/>
            </w:tcBorders>
            <w:shd w:val="clear" w:color="auto" w:fill="C0C0C0"/>
          </w:tcPr>
          <w:p w:rsidR="004A2917" w:rsidRPr="0053168B" w:rsidRDefault="008D008C" w:rsidP="00B8782F">
            <w:pPr>
              <w:widowControl w:val="0"/>
              <w:jc w:val="center"/>
            </w:pPr>
            <w:r>
              <w:t>Sí</w:t>
            </w:r>
          </w:p>
        </w:tc>
        <w:tc>
          <w:tcPr>
            <w:tcW w:w="2280" w:type="dxa"/>
            <w:shd w:val="clear" w:color="auto" w:fill="C0C0C0"/>
          </w:tcPr>
          <w:p w:rsidR="004A2917" w:rsidRPr="0053168B" w:rsidRDefault="008D008C" w:rsidP="00B8782F">
            <w:pPr>
              <w:widowControl w:val="0"/>
              <w:jc w:val="center"/>
            </w:pPr>
            <w:r>
              <w:t>Sí</w:t>
            </w:r>
          </w:p>
        </w:tc>
      </w:tr>
      <w:tr w:rsidR="004A2917" w:rsidRPr="0053168B" w:rsidTr="006C26D2">
        <w:tc>
          <w:tcPr>
            <w:tcW w:w="2284" w:type="dxa"/>
          </w:tcPr>
          <w:p w:rsidR="004A2917" w:rsidRPr="0053168B" w:rsidRDefault="009E3AD5" w:rsidP="00B8782F">
            <w:pPr>
              <w:widowControl w:val="0"/>
            </w:pPr>
            <w:r w:rsidRPr="0053168B">
              <w:t>Alemán</w:t>
            </w:r>
          </w:p>
        </w:tc>
        <w:tc>
          <w:tcPr>
            <w:tcW w:w="2393" w:type="dxa"/>
            <w:tcBorders>
              <w:right w:val="single" w:sz="12" w:space="0" w:color="auto"/>
            </w:tcBorders>
            <w:shd w:val="clear" w:color="auto" w:fill="C0C0C0"/>
          </w:tcPr>
          <w:p w:rsidR="004A2917" w:rsidRPr="0053168B" w:rsidRDefault="008D008C" w:rsidP="00B8782F">
            <w:pPr>
              <w:widowControl w:val="0"/>
              <w:jc w:val="center"/>
            </w:pPr>
            <w:r>
              <w:t>Sí</w:t>
            </w:r>
          </w:p>
        </w:tc>
        <w:tc>
          <w:tcPr>
            <w:tcW w:w="2393" w:type="dxa"/>
            <w:tcBorders>
              <w:left w:val="single" w:sz="12" w:space="0" w:color="auto"/>
            </w:tcBorders>
            <w:shd w:val="clear" w:color="auto" w:fill="C0C0C0"/>
          </w:tcPr>
          <w:p w:rsidR="004A2917" w:rsidRPr="0053168B" w:rsidRDefault="008D008C" w:rsidP="00B8782F">
            <w:pPr>
              <w:widowControl w:val="0"/>
              <w:jc w:val="center"/>
            </w:pPr>
            <w:r>
              <w:t>Sí</w:t>
            </w:r>
          </w:p>
        </w:tc>
        <w:tc>
          <w:tcPr>
            <w:tcW w:w="2280" w:type="dxa"/>
          </w:tcPr>
          <w:p w:rsidR="004A2917" w:rsidRPr="0053168B" w:rsidRDefault="004A2917" w:rsidP="00B8782F">
            <w:pPr>
              <w:widowControl w:val="0"/>
              <w:jc w:val="center"/>
            </w:pPr>
          </w:p>
        </w:tc>
      </w:tr>
      <w:tr w:rsidR="004A2917" w:rsidRPr="0053168B" w:rsidTr="006C26D2">
        <w:tc>
          <w:tcPr>
            <w:tcW w:w="2284" w:type="dxa"/>
          </w:tcPr>
          <w:p w:rsidR="004A2917" w:rsidRPr="0053168B" w:rsidRDefault="009E3AD5" w:rsidP="00B8782F">
            <w:pPr>
              <w:widowControl w:val="0"/>
            </w:pPr>
            <w:r w:rsidRPr="0053168B">
              <w:t>Hebreo</w:t>
            </w:r>
          </w:p>
        </w:tc>
        <w:tc>
          <w:tcPr>
            <w:tcW w:w="2393" w:type="dxa"/>
            <w:tcBorders>
              <w:right w:val="single" w:sz="12" w:space="0" w:color="auto"/>
            </w:tcBorders>
            <w:shd w:val="clear" w:color="auto" w:fill="C0C0C0"/>
          </w:tcPr>
          <w:p w:rsidR="004A2917" w:rsidRPr="0053168B" w:rsidRDefault="008D008C" w:rsidP="00B8782F">
            <w:pPr>
              <w:widowControl w:val="0"/>
              <w:jc w:val="center"/>
            </w:pPr>
            <w:r>
              <w:t>Sí</w:t>
            </w:r>
          </w:p>
        </w:tc>
        <w:tc>
          <w:tcPr>
            <w:tcW w:w="2393" w:type="dxa"/>
            <w:tcBorders>
              <w:left w:val="single" w:sz="12" w:space="0" w:color="auto"/>
            </w:tcBorders>
            <w:shd w:val="clear" w:color="auto" w:fill="C0C0C0"/>
          </w:tcPr>
          <w:p w:rsidR="004A2917" w:rsidRPr="0053168B" w:rsidRDefault="008D008C" w:rsidP="00B8782F">
            <w:pPr>
              <w:widowControl w:val="0"/>
              <w:jc w:val="center"/>
            </w:pPr>
            <w:r>
              <w:t>Sí</w:t>
            </w:r>
          </w:p>
        </w:tc>
        <w:tc>
          <w:tcPr>
            <w:tcW w:w="2280" w:type="dxa"/>
            <w:shd w:val="clear" w:color="auto" w:fill="C0C0C0"/>
          </w:tcPr>
          <w:p w:rsidR="004A2917" w:rsidRPr="0053168B" w:rsidRDefault="008D008C" w:rsidP="00B8782F">
            <w:pPr>
              <w:widowControl w:val="0"/>
              <w:jc w:val="center"/>
            </w:pPr>
            <w:r>
              <w:t>Sí</w:t>
            </w:r>
          </w:p>
        </w:tc>
      </w:tr>
      <w:tr w:rsidR="004A2917" w:rsidRPr="0053168B" w:rsidTr="006C26D2">
        <w:tc>
          <w:tcPr>
            <w:tcW w:w="2284" w:type="dxa"/>
          </w:tcPr>
          <w:p w:rsidR="004A2917" w:rsidRPr="0053168B" w:rsidRDefault="004A2917" w:rsidP="00B8782F">
            <w:pPr>
              <w:widowControl w:val="0"/>
            </w:pPr>
            <w:r w:rsidRPr="0053168B">
              <w:t>Italian</w:t>
            </w:r>
            <w:r w:rsidR="009E3AD5" w:rsidRPr="0053168B">
              <w:t>o</w:t>
            </w:r>
          </w:p>
        </w:tc>
        <w:tc>
          <w:tcPr>
            <w:tcW w:w="2393" w:type="dxa"/>
            <w:tcBorders>
              <w:right w:val="single" w:sz="12" w:space="0" w:color="auto"/>
            </w:tcBorders>
            <w:shd w:val="clear" w:color="auto" w:fill="C0C0C0"/>
          </w:tcPr>
          <w:p w:rsidR="004A2917" w:rsidRPr="0053168B" w:rsidRDefault="008D008C" w:rsidP="00B8782F">
            <w:pPr>
              <w:widowControl w:val="0"/>
              <w:jc w:val="center"/>
            </w:pPr>
            <w:r>
              <w:t>Sí</w:t>
            </w:r>
          </w:p>
        </w:tc>
        <w:tc>
          <w:tcPr>
            <w:tcW w:w="2393" w:type="dxa"/>
            <w:tcBorders>
              <w:left w:val="single" w:sz="12" w:space="0" w:color="auto"/>
            </w:tcBorders>
            <w:shd w:val="clear" w:color="auto" w:fill="C0C0C0"/>
          </w:tcPr>
          <w:p w:rsidR="004A2917" w:rsidRPr="0053168B" w:rsidRDefault="008D008C" w:rsidP="00B8782F">
            <w:pPr>
              <w:widowControl w:val="0"/>
              <w:jc w:val="center"/>
            </w:pPr>
            <w:r>
              <w:t>Sí</w:t>
            </w:r>
          </w:p>
        </w:tc>
        <w:tc>
          <w:tcPr>
            <w:tcW w:w="2280" w:type="dxa"/>
          </w:tcPr>
          <w:p w:rsidR="004A2917" w:rsidRPr="0053168B" w:rsidRDefault="004A2917" w:rsidP="00B8782F">
            <w:pPr>
              <w:widowControl w:val="0"/>
              <w:jc w:val="center"/>
            </w:pPr>
          </w:p>
        </w:tc>
      </w:tr>
      <w:tr w:rsidR="004A2917" w:rsidRPr="0053168B" w:rsidTr="006C26D2">
        <w:tc>
          <w:tcPr>
            <w:tcW w:w="2284" w:type="dxa"/>
          </w:tcPr>
          <w:p w:rsidR="004A2917" w:rsidRPr="0053168B" w:rsidRDefault="009E3AD5" w:rsidP="00B8782F">
            <w:pPr>
              <w:widowControl w:val="0"/>
            </w:pPr>
            <w:r w:rsidRPr="0053168B">
              <w:t>Portugués</w:t>
            </w:r>
          </w:p>
        </w:tc>
        <w:tc>
          <w:tcPr>
            <w:tcW w:w="2393" w:type="dxa"/>
            <w:tcBorders>
              <w:right w:val="single" w:sz="12" w:space="0" w:color="auto"/>
            </w:tcBorders>
            <w:shd w:val="clear" w:color="auto" w:fill="C0C0C0"/>
          </w:tcPr>
          <w:p w:rsidR="004A2917" w:rsidRPr="0053168B" w:rsidRDefault="008D008C" w:rsidP="00B8782F">
            <w:pPr>
              <w:widowControl w:val="0"/>
              <w:jc w:val="center"/>
            </w:pPr>
            <w:r>
              <w:t>Sí</w:t>
            </w:r>
          </w:p>
        </w:tc>
        <w:tc>
          <w:tcPr>
            <w:tcW w:w="2393" w:type="dxa"/>
            <w:tcBorders>
              <w:left w:val="single" w:sz="12" w:space="0" w:color="auto"/>
            </w:tcBorders>
            <w:shd w:val="clear" w:color="auto" w:fill="C0C0C0"/>
          </w:tcPr>
          <w:p w:rsidR="004A2917" w:rsidRPr="0053168B" w:rsidRDefault="008D008C" w:rsidP="00B8782F">
            <w:pPr>
              <w:widowControl w:val="0"/>
              <w:jc w:val="center"/>
            </w:pPr>
            <w:r>
              <w:t>Sí</w:t>
            </w:r>
          </w:p>
        </w:tc>
        <w:tc>
          <w:tcPr>
            <w:tcW w:w="2280" w:type="dxa"/>
            <w:shd w:val="clear" w:color="auto" w:fill="FFFFFF"/>
          </w:tcPr>
          <w:p w:rsidR="004A2917" w:rsidRPr="0053168B" w:rsidRDefault="004A2917" w:rsidP="00B8782F">
            <w:pPr>
              <w:widowControl w:val="0"/>
              <w:jc w:val="center"/>
            </w:pPr>
          </w:p>
        </w:tc>
      </w:tr>
      <w:tr w:rsidR="004A2917" w:rsidRPr="0053168B" w:rsidTr="006C26D2">
        <w:tc>
          <w:tcPr>
            <w:tcW w:w="2284" w:type="dxa"/>
          </w:tcPr>
          <w:p w:rsidR="004A2917" w:rsidRPr="0053168B" w:rsidRDefault="009E3AD5" w:rsidP="00B8782F">
            <w:pPr>
              <w:widowControl w:val="0"/>
            </w:pPr>
            <w:r w:rsidRPr="0053168B">
              <w:t>Ruso</w:t>
            </w:r>
          </w:p>
        </w:tc>
        <w:tc>
          <w:tcPr>
            <w:tcW w:w="2393" w:type="dxa"/>
            <w:tcBorders>
              <w:right w:val="single" w:sz="12" w:space="0" w:color="auto"/>
            </w:tcBorders>
            <w:shd w:val="clear" w:color="auto" w:fill="C0C0C0"/>
          </w:tcPr>
          <w:p w:rsidR="004A2917" w:rsidRPr="0053168B" w:rsidRDefault="008D008C" w:rsidP="00B8782F">
            <w:pPr>
              <w:widowControl w:val="0"/>
              <w:jc w:val="center"/>
            </w:pPr>
            <w:r>
              <w:t>Sí</w:t>
            </w:r>
          </w:p>
        </w:tc>
        <w:tc>
          <w:tcPr>
            <w:tcW w:w="2393" w:type="dxa"/>
            <w:tcBorders>
              <w:left w:val="single" w:sz="12" w:space="0" w:color="auto"/>
            </w:tcBorders>
            <w:shd w:val="clear" w:color="auto" w:fill="C0C0C0"/>
          </w:tcPr>
          <w:p w:rsidR="004A2917" w:rsidRPr="0053168B" w:rsidRDefault="008D008C" w:rsidP="00B8782F">
            <w:pPr>
              <w:widowControl w:val="0"/>
              <w:jc w:val="center"/>
            </w:pPr>
            <w:r>
              <w:t>Sí</w:t>
            </w:r>
          </w:p>
        </w:tc>
        <w:tc>
          <w:tcPr>
            <w:tcW w:w="2280" w:type="dxa"/>
            <w:shd w:val="clear" w:color="auto" w:fill="C0C0C0"/>
          </w:tcPr>
          <w:p w:rsidR="004A2917" w:rsidRPr="0053168B" w:rsidRDefault="008D008C" w:rsidP="00B8782F">
            <w:pPr>
              <w:widowControl w:val="0"/>
              <w:jc w:val="center"/>
            </w:pPr>
            <w:r>
              <w:t>Sí</w:t>
            </w:r>
          </w:p>
        </w:tc>
      </w:tr>
    </w:tbl>
    <w:p w:rsidR="009B538A" w:rsidRPr="0053168B" w:rsidRDefault="009B538A" w:rsidP="00B8782F">
      <w:pPr>
        <w:widowControl w:val="0"/>
      </w:pPr>
    </w:p>
    <w:p w:rsidR="004A2917" w:rsidRPr="0053168B" w:rsidRDefault="00251A96" w:rsidP="001A4A19">
      <w:pPr>
        <w:pStyle w:val="ONUMFS"/>
        <w:widowControl w:val="0"/>
        <w:numPr>
          <w:ilvl w:val="0"/>
          <w:numId w:val="4"/>
        </w:numPr>
        <w:tabs>
          <w:tab w:val="clear" w:pos="570"/>
          <w:tab w:val="num" w:pos="0"/>
        </w:tabs>
        <w:ind w:left="0" w:firstLine="0"/>
      </w:pPr>
      <w:r w:rsidRPr="0053168B">
        <w:t xml:space="preserve">El 1 de mayo de 2013 </w:t>
      </w:r>
      <w:r w:rsidR="008259DD">
        <w:t>se lanzó</w:t>
      </w:r>
      <w:r w:rsidR="00752BA4" w:rsidRPr="0053168B">
        <w:t xml:space="preserve"> una nueva versión del </w:t>
      </w:r>
      <w:r w:rsidRPr="0053168B">
        <w:t>MGS, que suma</w:t>
      </w:r>
      <w:r w:rsidR="005454C9" w:rsidRPr="0053168B">
        <w:t xml:space="preserve"> interfaces en cinco nuevo</w:t>
      </w:r>
      <w:r w:rsidRPr="0053168B">
        <w:t>s idioma</w:t>
      </w:r>
      <w:r w:rsidR="005454C9" w:rsidRPr="0053168B">
        <w:t>s</w:t>
      </w:r>
      <w:r w:rsidRPr="0053168B">
        <w:t>, a saber,</w:t>
      </w:r>
      <w:r w:rsidR="008259DD">
        <w:t xml:space="preserve"> </w:t>
      </w:r>
      <w:r w:rsidR="000354D3">
        <w:t>c</w:t>
      </w:r>
      <w:r w:rsidRPr="0053168B">
        <w:t>hino</w:t>
      </w:r>
      <w:r w:rsidR="006A7B4F">
        <w:t xml:space="preserve"> (simplificado y tradicional), </w:t>
      </w:r>
      <w:r w:rsidR="000354D3">
        <w:t>j</w:t>
      </w:r>
      <w:r w:rsidR="006A7B4F">
        <w:t xml:space="preserve">aponés, </w:t>
      </w:r>
      <w:r w:rsidR="000354D3">
        <w:t>n</w:t>
      </w:r>
      <w:r w:rsidRPr="0053168B">
        <w:t xml:space="preserve">oruego y </w:t>
      </w:r>
      <w:r w:rsidR="000354D3">
        <w:t>t</w:t>
      </w:r>
      <w:r w:rsidRPr="0053168B">
        <w:t>urco.</w:t>
      </w:r>
      <w:r w:rsidR="00A643DB" w:rsidRPr="0053168B">
        <w:t xml:space="preserve"> </w:t>
      </w:r>
      <w:r w:rsidRPr="0053168B">
        <w:t xml:space="preserve"> </w:t>
      </w:r>
      <w:r w:rsidR="00A643DB" w:rsidRPr="0053168B">
        <w:t>E</w:t>
      </w:r>
      <w:r w:rsidR="00DD02EC">
        <w:t>n e</w:t>
      </w:r>
      <w:r w:rsidR="00A643DB" w:rsidRPr="0053168B">
        <w:t xml:space="preserve">l cuadro </w:t>
      </w:r>
      <w:r w:rsidR="00DD02EC">
        <w:t xml:space="preserve">que figura </w:t>
      </w:r>
      <w:r w:rsidR="00A643DB" w:rsidRPr="0053168B">
        <w:t xml:space="preserve">a continuación </w:t>
      </w:r>
      <w:r w:rsidR="00DD02EC">
        <w:t xml:space="preserve">se </w:t>
      </w:r>
      <w:r w:rsidR="00A643DB" w:rsidRPr="0053168B">
        <w:t xml:space="preserve">da cuenta de forma sintética del contenido de la Base de datos MGS para cada uno de los idiomas, por volumen de traducciones recibidas a tiempo para ser publicadas el 1 de enero de 2013.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512"/>
        <w:gridCol w:w="2444"/>
        <w:gridCol w:w="2254"/>
        <w:gridCol w:w="2254"/>
      </w:tblGrid>
      <w:tr w:rsidR="004A2917" w:rsidRPr="0053168B" w:rsidTr="00916FC7">
        <w:tc>
          <w:tcPr>
            <w:tcW w:w="2511" w:type="dxa"/>
            <w:gridSpan w:val="2"/>
            <w:tcBorders>
              <w:right w:val="single" w:sz="8" w:space="0" w:color="auto"/>
            </w:tcBorders>
          </w:tcPr>
          <w:p w:rsidR="004A2917" w:rsidRPr="0053168B" w:rsidRDefault="00E91736" w:rsidP="00B8782F">
            <w:pPr>
              <w:widowControl w:val="0"/>
              <w:jc w:val="center"/>
            </w:pPr>
            <w:r w:rsidRPr="0053168B">
              <w:t>Lanzamiento público el 1 de enero de 2013</w:t>
            </w:r>
          </w:p>
        </w:tc>
        <w:tc>
          <w:tcPr>
            <w:tcW w:w="2444" w:type="dxa"/>
            <w:tcBorders>
              <w:top w:val="single" w:sz="8" w:space="0" w:color="auto"/>
              <w:left w:val="single" w:sz="8" w:space="0" w:color="auto"/>
              <w:bottom w:val="single" w:sz="8" w:space="0" w:color="auto"/>
              <w:right w:val="single" w:sz="12" w:space="0" w:color="auto"/>
            </w:tcBorders>
          </w:tcPr>
          <w:p w:rsidR="00D8538C" w:rsidRPr="0053168B" w:rsidRDefault="00D8538C" w:rsidP="00B8782F">
            <w:pPr>
              <w:widowControl w:val="0"/>
              <w:jc w:val="center"/>
            </w:pPr>
            <w:r w:rsidRPr="0053168B">
              <w:t>10</w:t>
            </w:r>
            <w:r>
              <w:t>ª ed. C</w:t>
            </w:r>
            <w:r w:rsidR="007210F9">
              <w:t>l</w:t>
            </w:r>
            <w:r>
              <w:t>.</w:t>
            </w:r>
            <w:r w:rsidR="00276C70">
              <w:t xml:space="preserve"> de</w:t>
            </w:r>
            <w:r>
              <w:t xml:space="preserve"> N</w:t>
            </w:r>
          </w:p>
          <w:p w:rsidR="004A2917" w:rsidRPr="0053168B" w:rsidRDefault="00E91736" w:rsidP="00B8782F">
            <w:pPr>
              <w:widowControl w:val="0"/>
              <w:jc w:val="center"/>
            </w:pPr>
            <w:r w:rsidRPr="0053168B">
              <w:t xml:space="preserve">Versión </w:t>
            </w:r>
            <w:r w:rsidR="00D8538C">
              <w:t xml:space="preserve">de </w:t>
            </w:r>
            <w:r w:rsidRPr="0053168B">
              <w:t>2013</w:t>
            </w:r>
          </w:p>
        </w:tc>
        <w:tc>
          <w:tcPr>
            <w:tcW w:w="2254" w:type="dxa"/>
            <w:tcBorders>
              <w:left w:val="single" w:sz="12" w:space="0" w:color="auto"/>
            </w:tcBorders>
          </w:tcPr>
          <w:p w:rsidR="009B538A" w:rsidRPr="0053168B" w:rsidRDefault="004A2917" w:rsidP="00B8782F">
            <w:pPr>
              <w:widowControl w:val="0"/>
              <w:jc w:val="center"/>
            </w:pPr>
            <w:r w:rsidRPr="0053168B">
              <w:t>MGS</w:t>
            </w:r>
          </w:p>
          <w:p w:rsidR="00E91736" w:rsidRPr="0053168B" w:rsidRDefault="00E91736" w:rsidP="00B8782F">
            <w:pPr>
              <w:widowControl w:val="0"/>
              <w:jc w:val="center"/>
            </w:pPr>
            <w:r w:rsidRPr="0053168B">
              <w:t>Lote</w:t>
            </w:r>
            <w:r w:rsidR="00D8538C">
              <w:t xml:space="preserve"> de</w:t>
            </w:r>
            <w:r w:rsidRPr="0053168B">
              <w:t xml:space="preserve"> 2011</w:t>
            </w:r>
          </w:p>
          <w:p w:rsidR="004A2917" w:rsidRPr="0053168B" w:rsidRDefault="00E91736" w:rsidP="00B8782F">
            <w:pPr>
              <w:widowControl w:val="0"/>
              <w:jc w:val="center"/>
            </w:pPr>
            <w:r w:rsidRPr="0053168B">
              <w:t xml:space="preserve"> </w:t>
            </w:r>
            <w:r w:rsidR="004A2917" w:rsidRPr="0053168B">
              <w:t>(11</w:t>
            </w:r>
            <w:r w:rsidR="00D8538C">
              <w:t>.</w:t>
            </w:r>
            <w:r w:rsidR="004A2917" w:rsidRPr="0053168B">
              <w:t>299 concept</w:t>
            </w:r>
            <w:r w:rsidR="00CE43DE" w:rsidRPr="0053168B">
              <w:t>o</w:t>
            </w:r>
            <w:r w:rsidR="004A2917" w:rsidRPr="0053168B">
              <w:t>s)</w:t>
            </w:r>
          </w:p>
        </w:tc>
        <w:tc>
          <w:tcPr>
            <w:tcW w:w="2254" w:type="dxa"/>
          </w:tcPr>
          <w:p w:rsidR="009B538A" w:rsidRPr="0053168B" w:rsidRDefault="004A2917" w:rsidP="00B8782F">
            <w:pPr>
              <w:widowControl w:val="0"/>
              <w:jc w:val="center"/>
            </w:pPr>
            <w:r w:rsidRPr="0053168B">
              <w:t>MGS</w:t>
            </w:r>
          </w:p>
          <w:p w:rsidR="00E91736" w:rsidRPr="0053168B" w:rsidRDefault="00E91736" w:rsidP="00B8782F">
            <w:pPr>
              <w:widowControl w:val="0"/>
              <w:jc w:val="center"/>
            </w:pPr>
            <w:r w:rsidRPr="0053168B">
              <w:t>Lote</w:t>
            </w:r>
            <w:r w:rsidR="00D8538C">
              <w:t xml:space="preserve"> de</w:t>
            </w:r>
            <w:r w:rsidRPr="0053168B">
              <w:t xml:space="preserve"> 2012 </w:t>
            </w:r>
          </w:p>
          <w:p w:rsidR="004A2917" w:rsidRPr="0053168B" w:rsidRDefault="004A2917" w:rsidP="00B8782F">
            <w:pPr>
              <w:widowControl w:val="0"/>
              <w:jc w:val="center"/>
            </w:pPr>
            <w:r w:rsidRPr="0053168B">
              <w:t>(6</w:t>
            </w:r>
            <w:r w:rsidR="00D8538C">
              <w:t>.</w:t>
            </w:r>
            <w:r w:rsidRPr="0053168B">
              <w:t>123 concept</w:t>
            </w:r>
            <w:r w:rsidR="00E91736" w:rsidRPr="0053168B">
              <w:t>o</w:t>
            </w:r>
            <w:r w:rsidRPr="0053168B">
              <w:t>s)</w:t>
            </w:r>
          </w:p>
        </w:tc>
      </w:tr>
      <w:tr w:rsidR="00EE6D2F" w:rsidRPr="0053168B" w:rsidTr="00916FC7">
        <w:tc>
          <w:tcPr>
            <w:tcW w:w="999" w:type="dxa"/>
          </w:tcPr>
          <w:p w:rsidR="00EE6D2F" w:rsidRPr="0053168B" w:rsidRDefault="00EE6D2F" w:rsidP="00B8782F">
            <w:pPr>
              <w:widowControl w:val="0"/>
            </w:pPr>
          </w:p>
        </w:tc>
        <w:tc>
          <w:tcPr>
            <w:tcW w:w="1512" w:type="dxa"/>
            <w:tcBorders>
              <w:right w:val="single" w:sz="8" w:space="0" w:color="auto"/>
            </w:tcBorders>
          </w:tcPr>
          <w:p w:rsidR="00EE6D2F" w:rsidRPr="0053168B" w:rsidRDefault="00EE6D2F" w:rsidP="00B8782F">
            <w:pPr>
              <w:widowControl w:val="0"/>
            </w:pPr>
            <w:r w:rsidRPr="0053168B">
              <w:t>Inglés</w:t>
            </w:r>
          </w:p>
        </w:tc>
        <w:tc>
          <w:tcPr>
            <w:tcW w:w="2444" w:type="dxa"/>
            <w:tcBorders>
              <w:top w:val="single" w:sz="8" w:space="0" w:color="auto"/>
              <w:left w:val="single" w:sz="8" w:space="0" w:color="auto"/>
              <w:bottom w:val="single" w:sz="8" w:space="0" w:color="auto"/>
              <w:right w:val="single" w:sz="12" w:space="0" w:color="auto"/>
            </w:tcBorders>
            <w:shd w:val="clear" w:color="auto" w:fill="C0C0C0"/>
          </w:tcPr>
          <w:p w:rsidR="00EE6D2F" w:rsidRPr="0053168B" w:rsidRDefault="008D008C" w:rsidP="00B8782F">
            <w:pPr>
              <w:widowControl w:val="0"/>
              <w:jc w:val="center"/>
            </w:pPr>
            <w:r>
              <w:t>Sí</w:t>
            </w:r>
          </w:p>
        </w:tc>
        <w:tc>
          <w:tcPr>
            <w:tcW w:w="2254" w:type="dxa"/>
            <w:tcBorders>
              <w:left w:val="single" w:sz="12" w:space="0" w:color="auto"/>
            </w:tcBorders>
            <w:shd w:val="clear" w:color="auto" w:fill="C0C0C0"/>
          </w:tcPr>
          <w:p w:rsidR="00EE6D2F" w:rsidRPr="0053168B" w:rsidRDefault="008D008C" w:rsidP="00B8782F">
            <w:pPr>
              <w:widowControl w:val="0"/>
              <w:jc w:val="center"/>
            </w:pPr>
            <w:r>
              <w:t>Sí</w:t>
            </w:r>
          </w:p>
        </w:tc>
        <w:tc>
          <w:tcPr>
            <w:tcW w:w="2254" w:type="dxa"/>
            <w:shd w:val="clear" w:color="auto" w:fill="C0C0C0"/>
          </w:tcPr>
          <w:p w:rsidR="00EE6D2F" w:rsidRPr="0053168B" w:rsidRDefault="008D008C" w:rsidP="00B8782F">
            <w:pPr>
              <w:widowControl w:val="0"/>
              <w:jc w:val="center"/>
            </w:pPr>
            <w:r>
              <w:t>Sí</w:t>
            </w:r>
          </w:p>
        </w:tc>
      </w:tr>
      <w:tr w:rsidR="00EE6D2F" w:rsidRPr="0053168B" w:rsidTr="00916FC7">
        <w:tc>
          <w:tcPr>
            <w:tcW w:w="999" w:type="dxa"/>
          </w:tcPr>
          <w:p w:rsidR="00EE6D2F" w:rsidRPr="0053168B" w:rsidRDefault="00EE6D2F" w:rsidP="00B8782F">
            <w:pPr>
              <w:widowControl w:val="0"/>
            </w:pPr>
          </w:p>
        </w:tc>
        <w:tc>
          <w:tcPr>
            <w:tcW w:w="1512" w:type="dxa"/>
            <w:tcBorders>
              <w:top w:val="single" w:sz="8" w:space="0" w:color="auto"/>
              <w:right w:val="single" w:sz="8" w:space="0" w:color="auto"/>
            </w:tcBorders>
          </w:tcPr>
          <w:p w:rsidR="00EE6D2F" w:rsidRPr="0053168B" w:rsidRDefault="00EE6D2F" w:rsidP="00B8782F">
            <w:pPr>
              <w:widowControl w:val="0"/>
            </w:pPr>
            <w:r w:rsidRPr="0053168B">
              <w:t>Francés</w:t>
            </w:r>
          </w:p>
        </w:tc>
        <w:tc>
          <w:tcPr>
            <w:tcW w:w="2444" w:type="dxa"/>
            <w:tcBorders>
              <w:top w:val="single" w:sz="8" w:space="0" w:color="auto"/>
              <w:left w:val="single" w:sz="8" w:space="0" w:color="auto"/>
              <w:bottom w:val="single" w:sz="8" w:space="0" w:color="auto"/>
              <w:right w:val="single" w:sz="12" w:space="0" w:color="auto"/>
            </w:tcBorders>
            <w:shd w:val="clear" w:color="auto" w:fill="C0C0C0"/>
          </w:tcPr>
          <w:p w:rsidR="00EE6D2F" w:rsidRPr="0053168B" w:rsidRDefault="008D008C" w:rsidP="00B8782F">
            <w:pPr>
              <w:widowControl w:val="0"/>
              <w:jc w:val="center"/>
            </w:pPr>
            <w:r>
              <w:t>Sí</w:t>
            </w:r>
          </w:p>
        </w:tc>
        <w:tc>
          <w:tcPr>
            <w:tcW w:w="2254" w:type="dxa"/>
            <w:tcBorders>
              <w:left w:val="single" w:sz="12" w:space="0" w:color="auto"/>
            </w:tcBorders>
            <w:shd w:val="clear" w:color="auto" w:fill="C0C0C0"/>
          </w:tcPr>
          <w:p w:rsidR="00EE6D2F" w:rsidRPr="0053168B" w:rsidRDefault="008D008C" w:rsidP="00B8782F">
            <w:pPr>
              <w:widowControl w:val="0"/>
              <w:jc w:val="center"/>
            </w:pPr>
            <w:r>
              <w:t>Sí</w:t>
            </w:r>
          </w:p>
        </w:tc>
        <w:tc>
          <w:tcPr>
            <w:tcW w:w="2254" w:type="dxa"/>
            <w:shd w:val="clear" w:color="auto" w:fill="C0C0C0"/>
          </w:tcPr>
          <w:p w:rsidR="00EE6D2F" w:rsidRPr="0053168B" w:rsidRDefault="008D008C" w:rsidP="00B8782F">
            <w:pPr>
              <w:widowControl w:val="0"/>
              <w:jc w:val="center"/>
            </w:pPr>
            <w:r>
              <w:t>Sí</w:t>
            </w:r>
          </w:p>
        </w:tc>
      </w:tr>
      <w:tr w:rsidR="00EE6D2F" w:rsidRPr="0053168B" w:rsidTr="00916FC7">
        <w:tc>
          <w:tcPr>
            <w:tcW w:w="999" w:type="dxa"/>
            <w:tcBorders>
              <w:bottom w:val="single" w:sz="12" w:space="0" w:color="auto"/>
            </w:tcBorders>
          </w:tcPr>
          <w:p w:rsidR="00EE6D2F" w:rsidRPr="0053168B" w:rsidRDefault="00EE6D2F" w:rsidP="00B8782F">
            <w:pPr>
              <w:widowControl w:val="0"/>
            </w:pPr>
          </w:p>
        </w:tc>
        <w:tc>
          <w:tcPr>
            <w:tcW w:w="1512" w:type="dxa"/>
            <w:tcBorders>
              <w:bottom w:val="single" w:sz="12" w:space="0" w:color="auto"/>
              <w:right w:val="single" w:sz="8" w:space="0" w:color="auto"/>
            </w:tcBorders>
          </w:tcPr>
          <w:p w:rsidR="00EE6D2F" w:rsidRPr="0053168B" w:rsidRDefault="00EE6D2F" w:rsidP="00B8782F">
            <w:pPr>
              <w:widowControl w:val="0"/>
            </w:pPr>
            <w:r w:rsidRPr="0053168B">
              <w:t>Español</w:t>
            </w:r>
          </w:p>
        </w:tc>
        <w:tc>
          <w:tcPr>
            <w:tcW w:w="2444" w:type="dxa"/>
            <w:tcBorders>
              <w:top w:val="single" w:sz="8" w:space="0" w:color="auto"/>
              <w:left w:val="single" w:sz="8" w:space="0" w:color="auto"/>
              <w:bottom w:val="single" w:sz="12" w:space="0" w:color="auto"/>
              <w:right w:val="single" w:sz="12" w:space="0" w:color="auto"/>
            </w:tcBorders>
            <w:shd w:val="clear" w:color="auto" w:fill="C0C0C0"/>
          </w:tcPr>
          <w:p w:rsidR="00EE6D2F" w:rsidRPr="0053168B" w:rsidRDefault="008D008C" w:rsidP="00B8782F">
            <w:pPr>
              <w:widowControl w:val="0"/>
              <w:jc w:val="center"/>
            </w:pPr>
            <w:r>
              <w:t>Sí</w:t>
            </w:r>
          </w:p>
        </w:tc>
        <w:tc>
          <w:tcPr>
            <w:tcW w:w="2254" w:type="dxa"/>
            <w:tcBorders>
              <w:left w:val="single" w:sz="12" w:space="0" w:color="auto"/>
              <w:bottom w:val="single" w:sz="12" w:space="0" w:color="auto"/>
            </w:tcBorders>
            <w:shd w:val="clear" w:color="auto" w:fill="C0C0C0"/>
          </w:tcPr>
          <w:p w:rsidR="00EE6D2F" w:rsidRPr="0053168B" w:rsidRDefault="008D008C" w:rsidP="00B8782F">
            <w:pPr>
              <w:widowControl w:val="0"/>
              <w:jc w:val="center"/>
            </w:pPr>
            <w:r>
              <w:t>Sí</w:t>
            </w:r>
          </w:p>
        </w:tc>
        <w:tc>
          <w:tcPr>
            <w:tcW w:w="2254" w:type="dxa"/>
            <w:tcBorders>
              <w:bottom w:val="single" w:sz="12" w:space="0" w:color="auto"/>
            </w:tcBorders>
            <w:shd w:val="clear" w:color="auto" w:fill="C0C0C0"/>
          </w:tcPr>
          <w:p w:rsidR="00EE6D2F" w:rsidRPr="0053168B" w:rsidRDefault="008D008C" w:rsidP="00B8782F">
            <w:pPr>
              <w:widowControl w:val="0"/>
              <w:jc w:val="center"/>
            </w:pPr>
            <w:r>
              <w:t>Sí</w:t>
            </w:r>
          </w:p>
        </w:tc>
      </w:tr>
      <w:tr w:rsidR="00EE6D2F" w:rsidRPr="0053168B" w:rsidTr="00916FC7">
        <w:tc>
          <w:tcPr>
            <w:tcW w:w="999" w:type="dxa"/>
            <w:tcBorders>
              <w:top w:val="single" w:sz="12" w:space="0" w:color="auto"/>
            </w:tcBorders>
          </w:tcPr>
          <w:p w:rsidR="00EE6D2F" w:rsidRPr="0053168B" w:rsidRDefault="00EE6D2F" w:rsidP="00B8782F">
            <w:pPr>
              <w:widowControl w:val="0"/>
            </w:pPr>
          </w:p>
        </w:tc>
        <w:tc>
          <w:tcPr>
            <w:tcW w:w="1512" w:type="dxa"/>
            <w:tcBorders>
              <w:top w:val="single" w:sz="12" w:space="0" w:color="auto"/>
              <w:right w:val="single" w:sz="8" w:space="0" w:color="auto"/>
            </w:tcBorders>
          </w:tcPr>
          <w:p w:rsidR="00EE6D2F" w:rsidRPr="0053168B" w:rsidRDefault="00EE6D2F" w:rsidP="00B8782F">
            <w:pPr>
              <w:widowControl w:val="0"/>
            </w:pPr>
            <w:r w:rsidRPr="0053168B">
              <w:t>Árabe</w:t>
            </w:r>
          </w:p>
        </w:tc>
        <w:tc>
          <w:tcPr>
            <w:tcW w:w="2444" w:type="dxa"/>
            <w:tcBorders>
              <w:top w:val="single" w:sz="12" w:space="0" w:color="auto"/>
              <w:left w:val="single" w:sz="8" w:space="0" w:color="auto"/>
              <w:bottom w:val="single" w:sz="8" w:space="0" w:color="auto"/>
              <w:right w:val="single" w:sz="12" w:space="0" w:color="auto"/>
            </w:tcBorders>
          </w:tcPr>
          <w:p w:rsidR="00EE6D2F" w:rsidRPr="0053168B" w:rsidRDefault="001F46E2" w:rsidP="00B8782F">
            <w:pPr>
              <w:widowControl w:val="0"/>
              <w:jc w:val="center"/>
            </w:pPr>
            <w:r w:rsidRPr="001F46E2">
              <w:t>10ª ed</w:t>
            </w:r>
            <w:r w:rsidR="00276C70">
              <w:t>.</w:t>
            </w:r>
            <w:r w:rsidR="00276C70" w:rsidRPr="001F46E2">
              <w:t xml:space="preserve"> Cl. </w:t>
            </w:r>
            <w:r w:rsidR="00276C70">
              <w:t>de N-</w:t>
            </w:r>
            <w:r w:rsidRPr="001F46E2">
              <w:t>2012</w:t>
            </w:r>
          </w:p>
        </w:tc>
        <w:tc>
          <w:tcPr>
            <w:tcW w:w="2254" w:type="dxa"/>
            <w:tcBorders>
              <w:top w:val="single" w:sz="12" w:space="0" w:color="auto"/>
              <w:left w:val="single" w:sz="12" w:space="0" w:color="auto"/>
            </w:tcBorders>
            <w:shd w:val="clear" w:color="auto" w:fill="C0C0C0"/>
          </w:tcPr>
          <w:p w:rsidR="00EE6D2F" w:rsidRPr="0053168B" w:rsidRDefault="008D008C" w:rsidP="00B8782F">
            <w:pPr>
              <w:widowControl w:val="0"/>
              <w:jc w:val="center"/>
            </w:pPr>
            <w:r>
              <w:t>Sí</w:t>
            </w:r>
          </w:p>
        </w:tc>
        <w:tc>
          <w:tcPr>
            <w:tcW w:w="2254" w:type="dxa"/>
            <w:tcBorders>
              <w:top w:val="single" w:sz="12" w:space="0" w:color="auto"/>
            </w:tcBorders>
          </w:tcPr>
          <w:p w:rsidR="00EE6D2F" w:rsidRPr="0053168B" w:rsidRDefault="00EE6D2F" w:rsidP="00B8782F">
            <w:pPr>
              <w:widowControl w:val="0"/>
              <w:jc w:val="center"/>
            </w:pPr>
          </w:p>
        </w:tc>
      </w:tr>
      <w:tr w:rsidR="004A2917" w:rsidRPr="0053168B" w:rsidTr="00916FC7">
        <w:tc>
          <w:tcPr>
            <w:tcW w:w="999" w:type="dxa"/>
          </w:tcPr>
          <w:p w:rsidR="004A2917" w:rsidRPr="0053168B" w:rsidRDefault="00CE43DE" w:rsidP="00B8782F">
            <w:pPr>
              <w:widowControl w:val="0"/>
            </w:pPr>
            <w:r w:rsidRPr="0053168B">
              <w:t>NUEVO</w:t>
            </w:r>
          </w:p>
        </w:tc>
        <w:tc>
          <w:tcPr>
            <w:tcW w:w="1512" w:type="dxa"/>
            <w:tcBorders>
              <w:right w:val="single" w:sz="8" w:space="0" w:color="auto"/>
            </w:tcBorders>
          </w:tcPr>
          <w:p w:rsidR="004A2917" w:rsidRPr="0053168B" w:rsidRDefault="00EE6D2F" w:rsidP="00B8782F">
            <w:pPr>
              <w:widowControl w:val="0"/>
            </w:pPr>
            <w:r w:rsidRPr="0053168B">
              <w:t>Chino (simplificado</w:t>
            </w:r>
            <w:r w:rsidR="004A2917" w:rsidRPr="0053168B">
              <w:t>)</w:t>
            </w:r>
          </w:p>
        </w:tc>
        <w:tc>
          <w:tcPr>
            <w:tcW w:w="2444" w:type="dxa"/>
            <w:tcBorders>
              <w:top w:val="single" w:sz="8" w:space="0" w:color="auto"/>
              <w:left w:val="single" w:sz="8" w:space="0" w:color="auto"/>
              <w:bottom w:val="single" w:sz="8" w:space="0" w:color="auto"/>
              <w:right w:val="single" w:sz="12" w:space="0" w:color="auto"/>
            </w:tcBorders>
            <w:shd w:val="clear" w:color="auto" w:fill="C0C0C0"/>
          </w:tcPr>
          <w:p w:rsidR="004A2917" w:rsidRPr="0053168B" w:rsidRDefault="008D008C" w:rsidP="00B8782F">
            <w:pPr>
              <w:widowControl w:val="0"/>
              <w:jc w:val="center"/>
            </w:pPr>
            <w:r>
              <w:t>Sí</w:t>
            </w:r>
          </w:p>
        </w:tc>
        <w:tc>
          <w:tcPr>
            <w:tcW w:w="2254" w:type="dxa"/>
            <w:tcBorders>
              <w:left w:val="single" w:sz="12" w:space="0" w:color="auto"/>
            </w:tcBorders>
            <w:shd w:val="clear" w:color="auto" w:fill="C0C0C0"/>
          </w:tcPr>
          <w:p w:rsidR="004A2917" w:rsidRPr="0053168B" w:rsidRDefault="008D008C" w:rsidP="00B8782F">
            <w:pPr>
              <w:widowControl w:val="0"/>
              <w:jc w:val="center"/>
            </w:pPr>
            <w:r>
              <w:t>Sí</w:t>
            </w:r>
          </w:p>
        </w:tc>
        <w:tc>
          <w:tcPr>
            <w:tcW w:w="2254" w:type="dxa"/>
          </w:tcPr>
          <w:p w:rsidR="004A2917" w:rsidRPr="0053168B" w:rsidRDefault="004A2917" w:rsidP="00B8782F">
            <w:pPr>
              <w:widowControl w:val="0"/>
              <w:jc w:val="center"/>
            </w:pPr>
          </w:p>
        </w:tc>
      </w:tr>
      <w:tr w:rsidR="004A2917" w:rsidRPr="0053168B" w:rsidTr="00916FC7">
        <w:tc>
          <w:tcPr>
            <w:tcW w:w="999" w:type="dxa"/>
          </w:tcPr>
          <w:p w:rsidR="004A2917" w:rsidRPr="0053168B" w:rsidRDefault="00CE43DE" w:rsidP="00B8782F">
            <w:pPr>
              <w:widowControl w:val="0"/>
            </w:pPr>
            <w:r w:rsidRPr="0053168B">
              <w:t>NUEVO</w:t>
            </w:r>
          </w:p>
        </w:tc>
        <w:tc>
          <w:tcPr>
            <w:tcW w:w="1512" w:type="dxa"/>
            <w:tcBorders>
              <w:right w:val="single" w:sz="8" w:space="0" w:color="auto"/>
            </w:tcBorders>
          </w:tcPr>
          <w:p w:rsidR="009B538A" w:rsidRPr="0053168B" w:rsidRDefault="00EE6D2F" w:rsidP="00B8782F">
            <w:pPr>
              <w:widowControl w:val="0"/>
            </w:pPr>
            <w:r w:rsidRPr="0053168B">
              <w:t>Chino</w:t>
            </w:r>
          </w:p>
          <w:p w:rsidR="004A2917" w:rsidRPr="0053168B" w:rsidRDefault="00EE6D2F" w:rsidP="00B8782F">
            <w:pPr>
              <w:widowControl w:val="0"/>
            </w:pPr>
            <w:r w:rsidRPr="0053168B">
              <w:t>(tradic</w:t>
            </w:r>
            <w:r w:rsidR="004A2917" w:rsidRPr="0053168B">
              <w:t>ional)</w:t>
            </w:r>
          </w:p>
        </w:tc>
        <w:tc>
          <w:tcPr>
            <w:tcW w:w="2444" w:type="dxa"/>
            <w:tcBorders>
              <w:top w:val="single" w:sz="8" w:space="0" w:color="auto"/>
              <w:left w:val="single" w:sz="8" w:space="0" w:color="auto"/>
              <w:bottom w:val="single" w:sz="8" w:space="0" w:color="auto"/>
              <w:right w:val="single" w:sz="12" w:space="0" w:color="auto"/>
            </w:tcBorders>
            <w:shd w:val="clear" w:color="auto" w:fill="C0C0C0"/>
          </w:tcPr>
          <w:p w:rsidR="004A2917" w:rsidRPr="0053168B" w:rsidRDefault="008D008C" w:rsidP="00B8782F">
            <w:pPr>
              <w:widowControl w:val="0"/>
              <w:jc w:val="center"/>
            </w:pPr>
            <w:r>
              <w:t>Sí</w:t>
            </w:r>
          </w:p>
        </w:tc>
        <w:tc>
          <w:tcPr>
            <w:tcW w:w="2254" w:type="dxa"/>
            <w:tcBorders>
              <w:left w:val="single" w:sz="12" w:space="0" w:color="auto"/>
            </w:tcBorders>
            <w:shd w:val="clear" w:color="auto" w:fill="C0C0C0"/>
          </w:tcPr>
          <w:p w:rsidR="004A2917" w:rsidRPr="0053168B" w:rsidRDefault="008D008C" w:rsidP="00B8782F">
            <w:pPr>
              <w:widowControl w:val="0"/>
              <w:jc w:val="center"/>
            </w:pPr>
            <w:r>
              <w:t>Sí</w:t>
            </w:r>
          </w:p>
        </w:tc>
        <w:tc>
          <w:tcPr>
            <w:tcW w:w="2254" w:type="dxa"/>
          </w:tcPr>
          <w:p w:rsidR="004A2917" w:rsidRPr="0053168B" w:rsidRDefault="004A2917" w:rsidP="00B8782F">
            <w:pPr>
              <w:widowControl w:val="0"/>
              <w:jc w:val="center"/>
            </w:pPr>
          </w:p>
        </w:tc>
      </w:tr>
      <w:tr w:rsidR="00EE6D2F" w:rsidRPr="0053168B" w:rsidTr="00916FC7">
        <w:tc>
          <w:tcPr>
            <w:tcW w:w="999" w:type="dxa"/>
          </w:tcPr>
          <w:p w:rsidR="00EE6D2F" w:rsidRPr="0053168B" w:rsidRDefault="00EE6D2F" w:rsidP="00B8782F">
            <w:pPr>
              <w:widowControl w:val="0"/>
            </w:pPr>
          </w:p>
        </w:tc>
        <w:tc>
          <w:tcPr>
            <w:tcW w:w="1512" w:type="dxa"/>
            <w:tcBorders>
              <w:right w:val="single" w:sz="8" w:space="0" w:color="auto"/>
            </w:tcBorders>
          </w:tcPr>
          <w:p w:rsidR="00EE6D2F" w:rsidRPr="0053168B" w:rsidRDefault="00EE6D2F" w:rsidP="00B8782F">
            <w:pPr>
              <w:widowControl w:val="0"/>
            </w:pPr>
            <w:r w:rsidRPr="0053168B">
              <w:t>Neerlandés</w:t>
            </w:r>
          </w:p>
        </w:tc>
        <w:tc>
          <w:tcPr>
            <w:tcW w:w="2444" w:type="dxa"/>
            <w:tcBorders>
              <w:top w:val="single" w:sz="8" w:space="0" w:color="auto"/>
              <w:left w:val="single" w:sz="8" w:space="0" w:color="auto"/>
              <w:bottom w:val="single" w:sz="8" w:space="0" w:color="auto"/>
              <w:right w:val="single" w:sz="12" w:space="0" w:color="auto"/>
            </w:tcBorders>
            <w:shd w:val="clear" w:color="auto" w:fill="C0C0C0"/>
          </w:tcPr>
          <w:p w:rsidR="00EE6D2F" w:rsidRPr="0053168B" w:rsidRDefault="008D008C" w:rsidP="00B8782F">
            <w:pPr>
              <w:widowControl w:val="0"/>
              <w:jc w:val="center"/>
            </w:pPr>
            <w:r>
              <w:t>Sí</w:t>
            </w:r>
          </w:p>
        </w:tc>
        <w:tc>
          <w:tcPr>
            <w:tcW w:w="2254" w:type="dxa"/>
            <w:tcBorders>
              <w:left w:val="single" w:sz="12" w:space="0" w:color="auto"/>
            </w:tcBorders>
            <w:shd w:val="clear" w:color="auto" w:fill="C0C0C0"/>
          </w:tcPr>
          <w:p w:rsidR="00EE6D2F" w:rsidRPr="0053168B" w:rsidRDefault="008D008C" w:rsidP="00B8782F">
            <w:pPr>
              <w:widowControl w:val="0"/>
              <w:jc w:val="center"/>
            </w:pPr>
            <w:r>
              <w:t>Sí</w:t>
            </w:r>
          </w:p>
        </w:tc>
        <w:tc>
          <w:tcPr>
            <w:tcW w:w="2254" w:type="dxa"/>
            <w:shd w:val="clear" w:color="auto" w:fill="C0C0C0"/>
          </w:tcPr>
          <w:p w:rsidR="00EE6D2F" w:rsidRPr="0053168B" w:rsidRDefault="008D008C" w:rsidP="00B8782F">
            <w:pPr>
              <w:widowControl w:val="0"/>
              <w:jc w:val="center"/>
            </w:pPr>
            <w:r>
              <w:t>Sí</w:t>
            </w:r>
          </w:p>
        </w:tc>
      </w:tr>
      <w:tr w:rsidR="00EE6D2F" w:rsidRPr="0053168B" w:rsidTr="00916FC7">
        <w:tc>
          <w:tcPr>
            <w:tcW w:w="999" w:type="dxa"/>
          </w:tcPr>
          <w:p w:rsidR="00EE6D2F" w:rsidRPr="0053168B" w:rsidRDefault="00EE6D2F" w:rsidP="00B8782F">
            <w:pPr>
              <w:widowControl w:val="0"/>
            </w:pPr>
          </w:p>
        </w:tc>
        <w:tc>
          <w:tcPr>
            <w:tcW w:w="1512" w:type="dxa"/>
            <w:tcBorders>
              <w:right w:val="single" w:sz="8" w:space="0" w:color="auto"/>
            </w:tcBorders>
          </w:tcPr>
          <w:p w:rsidR="00EE6D2F" w:rsidRPr="0053168B" w:rsidRDefault="00EE6D2F" w:rsidP="00B8782F">
            <w:pPr>
              <w:widowControl w:val="0"/>
            </w:pPr>
            <w:r w:rsidRPr="0053168B">
              <w:t>Alemán</w:t>
            </w:r>
          </w:p>
        </w:tc>
        <w:tc>
          <w:tcPr>
            <w:tcW w:w="2444" w:type="dxa"/>
            <w:tcBorders>
              <w:top w:val="single" w:sz="8" w:space="0" w:color="auto"/>
              <w:left w:val="single" w:sz="8" w:space="0" w:color="auto"/>
              <w:bottom w:val="single" w:sz="8" w:space="0" w:color="auto"/>
              <w:right w:val="single" w:sz="12" w:space="0" w:color="auto"/>
            </w:tcBorders>
            <w:shd w:val="clear" w:color="auto" w:fill="C0C0C0"/>
          </w:tcPr>
          <w:p w:rsidR="00EE6D2F" w:rsidRPr="0053168B" w:rsidRDefault="008D008C" w:rsidP="00B8782F">
            <w:pPr>
              <w:widowControl w:val="0"/>
              <w:jc w:val="center"/>
            </w:pPr>
            <w:r>
              <w:t>Sí</w:t>
            </w:r>
          </w:p>
        </w:tc>
        <w:tc>
          <w:tcPr>
            <w:tcW w:w="2254" w:type="dxa"/>
            <w:tcBorders>
              <w:left w:val="single" w:sz="12" w:space="0" w:color="auto"/>
            </w:tcBorders>
            <w:shd w:val="clear" w:color="auto" w:fill="C0C0C0"/>
          </w:tcPr>
          <w:p w:rsidR="00EE6D2F" w:rsidRPr="0053168B" w:rsidRDefault="008D008C" w:rsidP="00B8782F">
            <w:pPr>
              <w:widowControl w:val="0"/>
              <w:jc w:val="center"/>
            </w:pPr>
            <w:r>
              <w:t>Sí</w:t>
            </w:r>
          </w:p>
        </w:tc>
        <w:tc>
          <w:tcPr>
            <w:tcW w:w="2254" w:type="dxa"/>
          </w:tcPr>
          <w:p w:rsidR="00EE6D2F" w:rsidRPr="0053168B" w:rsidRDefault="00EE6D2F" w:rsidP="00B8782F">
            <w:pPr>
              <w:widowControl w:val="0"/>
              <w:jc w:val="center"/>
            </w:pPr>
          </w:p>
        </w:tc>
      </w:tr>
      <w:tr w:rsidR="00EE6D2F" w:rsidRPr="0053168B" w:rsidTr="00916FC7">
        <w:tc>
          <w:tcPr>
            <w:tcW w:w="999" w:type="dxa"/>
          </w:tcPr>
          <w:p w:rsidR="00EE6D2F" w:rsidRPr="0053168B" w:rsidRDefault="00EE6D2F" w:rsidP="00B8782F">
            <w:pPr>
              <w:widowControl w:val="0"/>
            </w:pPr>
          </w:p>
        </w:tc>
        <w:tc>
          <w:tcPr>
            <w:tcW w:w="1512" w:type="dxa"/>
            <w:tcBorders>
              <w:right w:val="single" w:sz="8" w:space="0" w:color="auto"/>
            </w:tcBorders>
          </w:tcPr>
          <w:p w:rsidR="00EE6D2F" w:rsidRPr="0053168B" w:rsidRDefault="00EE6D2F" w:rsidP="00B8782F">
            <w:pPr>
              <w:widowControl w:val="0"/>
            </w:pPr>
            <w:r w:rsidRPr="0053168B">
              <w:t>Hebreo</w:t>
            </w:r>
          </w:p>
        </w:tc>
        <w:tc>
          <w:tcPr>
            <w:tcW w:w="2444" w:type="dxa"/>
            <w:tcBorders>
              <w:top w:val="single" w:sz="8" w:space="0" w:color="auto"/>
              <w:left w:val="single" w:sz="8" w:space="0" w:color="auto"/>
              <w:bottom w:val="single" w:sz="8" w:space="0" w:color="auto"/>
              <w:right w:val="single" w:sz="12" w:space="0" w:color="auto"/>
            </w:tcBorders>
            <w:shd w:val="clear" w:color="auto" w:fill="C0C0C0"/>
          </w:tcPr>
          <w:p w:rsidR="00EE6D2F" w:rsidRPr="0053168B" w:rsidRDefault="008D008C" w:rsidP="00B8782F">
            <w:pPr>
              <w:widowControl w:val="0"/>
              <w:jc w:val="center"/>
            </w:pPr>
            <w:r>
              <w:t>Sí</w:t>
            </w:r>
          </w:p>
        </w:tc>
        <w:tc>
          <w:tcPr>
            <w:tcW w:w="2254" w:type="dxa"/>
            <w:tcBorders>
              <w:left w:val="single" w:sz="12" w:space="0" w:color="auto"/>
            </w:tcBorders>
            <w:shd w:val="clear" w:color="auto" w:fill="C0C0C0"/>
          </w:tcPr>
          <w:p w:rsidR="00EE6D2F" w:rsidRPr="0053168B" w:rsidRDefault="008D008C" w:rsidP="00B8782F">
            <w:pPr>
              <w:widowControl w:val="0"/>
              <w:jc w:val="center"/>
            </w:pPr>
            <w:r>
              <w:t>Sí</w:t>
            </w:r>
          </w:p>
        </w:tc>
        <w:tc>
          <w:tcPr>
            <w:tcW w:w="2254" w:type="dxa"/>
            <w:shd w:val="clear" w:color="auto" w:fill="C0C0C0"/>
          </w:tcPr>
          <w:p w:rsidR="00EE6D2F" w:rsidRPr="0053168B" w:rsidRDefault="008D008C" w:rsidP="00B8782F">
            <w:pPr>
              <w:widowControl w:val="0"/>
              <w:jc w:val="center"/>
            </w:pPr>
            <w:r>
              <w:t>Sí</w:t>
            </w:r>
          </w:p>
        </w:tc>
      </w:tr>
      <w:tr w:rsidR="00EE6D2F" w:rsidRPr="0053168B" w:rsidTr="00916FC7">
        <w:tc>
          <w:tcPr>
            <w:tcW w:w="999" w:type="dxa"/>
          </w:tcPr>
          <w:p w:rsidR="00EE6D2F" w:rsidRPr="0053168B" w:rsidRDefault="00EE6D2F" w:rsidP="00B8782F">
            <w:pPr>
              <w:widowControl w:val="0"/>
            </w:pPr>
          </w:p>
        </w:tc>
        <w:tc>
          <w:tcPr>
            <w:tcW w:w="1512" w:type="dxa"/>
            <w:tcBorders>
              <w:right w:val="single" w:sz="8" w:space="0" w:color="auto"/>
            </w:tcBorders>
          </w:tcPr>
          <w:p w:rsidR="00EE6D2F" w:rsidRPr="0053168B" w:rsidRDefault="00EE6D2F" w:rsidP="00B8782F">
            <w:pPr>
              <w:widowControl w:val="0"/>
            </w:pPr>
            <w:r w:rsidRPr="0053168B">
              <w:t>Italiano</w:t>
            </w:r>
          </w:p>
        </w:tc>
        <w:tc>
          <w:tcPr>
            <w:tcW w:w="2444" w:type="dxa"/>
            <w:tcBorders>
              <w:top w:val="single" w:sz="8" w:space="0" w:color="auto"/>
              <w:left w:val="single" w:sz="8" w:space="0" w:color="auto"/>
              <w:bottom w:val="single" w:sz="8" w:space="0" w:color="auto"/>
              <w:right w:val="single" w:sz="12" w:space="0" w:color="auto"/>
            </w:tcBorders>
            <w:shd w:val="clear" w:color="auto" w:fill="C0C0C0"/>
          </w:tcPr>
          <w:p w:rsidR="00EE6D2F" w:rsidRPr="0053168B" w:rsidRDefault="008D008C" w:rsidP="00B8782F">
            <w:pPr>
              <w:widowControl w:val="0"/>
              <w:jc w:val="center"/>
            </w:pPr>
            <w:r>
              <w:t>Sí</w:t>
            </w:r>
          </w:p>
        </w:tc>
        <w:tc>
          <w:tcPr>
            <w:tcW w:w="2254" w:type="dxa"/>
            <w:tcBorders>
              <w:left w:val="single" w:sz="12" w:space="0" w:color="auto"/>
            </w:tcBorders>
            <w:shd w:val="clear" w:color="auto" w:fill="C0C0C0"/>
          </w:tcPr>
          <w:p w:rsidR="00EE6D2F" w:rsidRPr="0053168B" w:rsidRDefault="008D008C" w:rsidP="00B8782F">
            <w:pPr>
              <w:widowControl w:val="0"/>
              <w:jc w:val="center"/>
            </w:pPr>
            <w:r>
              <w:t>Sí</w:t>
            </w:r>
          </w:p>
        </w:tc>
        <w:tc>
          <w:tcPr>
            <w:tcW w:w="2254" w:type="dxa"/>
            <w:shd w:val="clear" w:color="auto" w:fill="C0C0C0"/>
          </w:tcPr>
          <w:p w:rsidR="00EE6D2F" w:rsidRPr="0053168B" w:rsidRDefault="00EE6D2F" w:rsidP="00B8782F">
            <w:pPr>
              <w:widowControl w:val="0"/>
              <w:jc w:val="center"/>
            </w:pPr>
            <w:r w:rsidRPr="0053168B">
              <w:t>77%</w:t>
            </w:r>
          </w:p>
        </w:tc>
      </w:tr>
      <w:tr w:rsidR="00EE6D2F" w:rsidRPr="0053168B" w:rsidTr="00916FC7">
        <w:tc>
          <w:tcPr>
            <w:tcW w:w="999" w:type="dxa"/>
          </w:tcPr>
          <w:p w:rsidR="00EE6D2F" w:rsidRPr="0053168B" w:rsidRDefault="00EE6D2F" w:rsidP="00B8782F">
            <w:pPr>
              <w:widowControl w:val="0"/>
            </w:pPr>
            <w:r w:rsidRPr="0053168B">
              <w:t>NUEVO</w:t>
            </w:r>
          </w:p>
        </w:tc>
        <w:tc>
          <w:tcPr>
            <w:tcW w:w="1512" w:type="dxa"/>
            <w:tcBorders>
              <w:right w:val="single" w:sz="8" w:space="0" w:color="auto"/>
            </w:tcBorders>
          </w:tcPr>
          <w:p w:rsidR="00EE6D2F" w:rsidRPr="0053168B" w:rsidRDefault="00EE6D2F" w:rsidP="00B8782F">
            <w:pPr>
              <w:widowControl w:val="0"/>
            </w:pPr>
            <w:r w:rsidRPr="0053168B">
              <w:t>Japonés</w:t>
            </w:r>
          </w:p>
        </w:tc>
        <w:tc>
          <w:tcPr>
            <w:tcW w:w="2444" w:type="dxa"/>
            <w:tcBorders>
              <w:top w:val="single" w:sz="8" w:space="0" w:color="auto"/>
              <w:left w:val="single" w:sz="8" w:space="0" w:color="auto"/>
              <w:bottom w:val="single" w:sz="8" w:space="0" w:color="auto"/>
              <w:right w:val="single" w:sz="12" w:space="0" w:color="auto"/>
            </w:tcBorders>
            <w:shd w:val="clear" w:color="auto" w:fill="C0C0C0"/>
          </w:tcPr>
          <w:p w:rsidR="00EE6D2F" w:rsidRPr="0053168B" w:rsidRDefault="008D008C" w:rsidP="00B8782F">
            <w:pPr>
              <w:widowControl w:val="0"/>
              <w:jc w:val="center"/>
            </w:pPr>
            <w:r>
              <w:t>Sí</w:t>
            </w:r>
          </w:p>
        </w:tc>
        <w:tc>
          <w:tcPr>
            <w:tcW w:w="2254" w:type="dxa"/>
            <w:tcBorders>
              <w:left w:val="single" w:sz="12" w:space="0" w:color="auto"/>
            </w:tcBorders>
            <w:shd w:val="clear" w:color="auto" w:fill="C0C0C0"/>
          </w:tcPr>
          <w:p w:rsidR="00EE6D2F" w:rsidRPr="0053168B" w:rsidRDefault="008D008C" w:rsidP="00B8782F">
            <w:pPr>
              <w:widowControl w:val="0"/>
              <w:jc w:val="center"/>
            </w:pPr>
            <w:r>
              <w:t>Sí</w:t>
            </w:r>
          </w:p>
        </w:tc>
        <w:tc>
          <w:tcPr>
            <w:tcW w:w="2254" w:type="dxa"/>
          </w:tcPr>
          <w:p w:rsidR="00EE6D2F" w:rsidRPr="0053168B" w:rsidRDefault="00EE6D2F" w:rsidP="00B8782F">
            <w:pPr>
              <w:widowControl w:val="0"/>
              <w:jc w:val="center"/>
            </w:pPr>
          </w:p>
        </w:tc>
      </w:tr>
      <w:tr w:rsidR="00EE6D2F" w:rsidRPr="0053168B" w:rsidTr="00916FC7">
        <w:tc>
          <w:tcPr>
            <w:tcW w:w="999" w:type="dxa"/>
          </w:tcPr>
          <w:p w:rsidR="00EE6D2F" w:rsidRPr="0053168B" w:rsidRDefault="00EE6D2F" w:rsidP="00B8782F">
            <w:pPr>
              <w:widowControl w:val="0"/>
            </w:pPr>
            <w:r w:rsidRPr="0053168B">
              <w:t>NUEVO</w:t>
            </w:r>
          </w:p>
        </w:tc>
        <w:tc>
          <w:tcPr>
            <w:tcW w:w="1512" w:type="dxa"/>
            <w:tcBorders>
              <w:right w:val="single" w:sz="8" w:space="0" w:color="auto"/>
            </w:tcBorders>
          </w:tcPr>
          <w:p w:rsidR="00EE6D2F" w:rsidRPr="0053168B" w:rsidRDefault="00EE6D2F" w:rsidP="00B8782F">
            <w:pPr>
              <w:widowControl w:val="0"/>
            </w:pPr>
            <w:r w:rsidRPr="0053168B">
              <w:t>Noruego</w:t>
            </w:r>
          </w:p>
        </w:tc>
        <w:tc>
          <w:tcPr>
            <w:tcW w:w="2444" w:type="dxa"/>
            <w:tcBorders>
              <w:top w:val="single" w:sz="8" w:space="0" w:color="auto"/>
              <w:left w:val="single" w:sz="8" w:space="0" w:color="auto"/>
              <w:bottom w:val="single" w:sz="8" w:space="0" w:color="auto"/>
              <w:right w:val="single" w:sz="12" w:space="0" w:color="auto"/>
            </w:tcBorders>
            <w:shd w:val="clear" w:color="auto" w:fill="C0C0C0"/>
          </w:tcPr>
          <w:p w:rsidR="00EE6D2F" w:rsidRPr="0053168B" w:rsidRDefault="008D008C" w:rsidP="00B8782F">
            <w:pPr>
              <w:widowControl w:val="0"/>
              <w:jc w:val="center"/>
            </w:pPr>
            <w:r>
              <w:t>Sí</w:t>
            </w:r>
          </w:p>
        </w:tc>
        <w:tc>
          <w:tcPr>
            <w:tcW w:w="2254" w:type="dxa"/>
            <w:tcBorders>
              <w:left w:val="single" w:sz="12" w:space="0" w:color="auto"/>
            </w:tcBorders>
            <w:shd w:val="clear" w:color="auto" w:fill="C0C0C0"/>
          </w:tcPr>
          <w:p w:rsidR="00EE6D2F" w:rsidRPr="0053168B" w:rsidRDefault="008D008C" w:rsidP="00B8782F">
            <w:pPr>
              <w:widowControl w:val="0"/>
              <w:jc w:val="center"/>
            </w:pPr>
            <w:r>
              <w:t>Sí</w:t>
            </w:r>
          </w:p>
        </w:tc>
        <w:tc>
          <w:tcPr>
            <w:tcW w:w="2254" w:type="dxa"/>
            <w:shd w:val="clear" w:color="auto" w:fill="C0C0C0"/>
          </w:tcPr>
          <w:p w:rsidR="00EE6D2F" w:rsidRPr="0053168B" w:rsidRDefault="008D008C" w:rsidP="00B8782F">
            <w:pPr>
              <w:widowControl w:val="0"/>
              <w:jc w:val="center"/>
            </w:pPr>
            <w:r>
              <w:t>Sí</w:t>
            </w:r>
          </w:p>
        </w:tc>
      </w:tr>
      <w:tr w:rsidR="00EE6D2F" w:rsidRPr="0053168B" w:rsidTr="00916FC7">
        <w:tc>
          <w:tcPr>
            <w:tcW w:w="999" w:type="dxa"/>
          </w:tcPr>
          <w:p w:rsidR="00EE6D2F" w:rsidRPr="0053168B" w:rsidRDefault="00EE6D2F" w:rsidP="00B8782F">
            <w:pPr>
              <w:widowControl w:val="0"/>
            </w:pPr>
          </w:p>
        </w:tc>
        <w:tc>
          <w:tcPr>
            <w:tcW w:w="1512" w:type="dxa"/>
            <w:tcBorders>
              <w:right w:val="single" w:sz="8" w:space="0" w:color="auto"/>
            </w:tcBorders>
          </w:tcPr>
          <w:p w:rsidR="00EE6D2F" w:rsidRPr="0053168B" w:rsidRDefault="00EE6D2F" w:rsidP="00B8782F">
            <w:pPr>
              <w:widowControl w:val="0"/>
            </w:pPr>
            <w:r w:rsidRPr="0053168B">
              <w:t>Portugués</w:t>
            </w:r>
          </w:p>
        </w:tc>
        <w:tc>
          <w:tcPr>
            <w:tcW w:w="2444" w:type="dxa"/>
            <w:tcBorders>
              <w:top w:val="single" w:sz="8" w:space="0" w:color="auto"/>
              <w:left w:val="single" w:sz="8" w:space="0" w:color="auto"/>
              <w:bottom w:val="single" w:sz="8" w:space="0" w:color="auto"/>
              <w:right w:val="single" w:sz="12" w:space="0" w:color="auto"/>
            </w:tcBorders>
            <w:shd w:val="clear" w:color="auto" w:fill="C0C0C0"/>
          </w:tcPr>
          <w:p w:rsidR="00EE6D2F" w:rsidRPr="0053168B" w:rsidRDefault="008D008C" w:rsidP="00B8782F">
            <w:pPr>
              <w:widowControl w:val="0"/>
              <w:jc w:val="center"/>
            </w:pPr>
            <w:r>
              <w:t>Sí</w:t>
            </w:r>
          </w:p>
        </w:tc>
        <w:tc>
          <w:tcPr>
            <w:tcW w:w="2254" w:type="dxa"/>
            <w:tcBorders>
              <w:left w:val="single" w:sz="12" w:space="0" w:color="auto"/>
            </w:tcBorders>
            <w:shd w:val="clear" w:color="auto" w:fill="C0C0C0"/>
          </w:tcPr>
          <w:p w:rsidR="00EE6D2F" w:rsidRPr="0053168B" w:rsidRDefault="008D008C" w:rsidP="00B8782F">
            <w:pPr>
              <w:widowControl w:val="0"/>
              <w:jc w:val="center"/>
            </w:pPr>
            <w:r>
              <w:t>Sí</w:t>
            </w:r>
          </w:p>
        </w:tc>
        <w:tc>
          <w:tcPr>
            <w:tcW w:w="2254" w:type="dxa"/>
          </w:tcPr>
          <w:p w:rsidR="00EE6D2F" w:rsidRPr="0053168B" w:rsidRDefault="00EE6D2F" w:rsidP="00B8782F">
            <w:pPr>
              <w:widowControl w:val="0"/>
              <w:jc w:val="center"/>
            </w:pPr>
          </w:p>
        </w:tc>
      </w:tr>
      <w:tr w:rsidR="00EE6D2F" w:rsidRPr="0053168B" w:rsidTr="00916FC7">
        <w:tc>
          <w:tcPr>
            <w:tcW w:w="999" w:type="dxa"/>
          </w:tcPr>
          <w:p w:rsidR="00EE6D2F" w:rsidRPr="0053168B" w:rsidRDefault="00EE6D2F" w:rsidP="00B8782F">
            <w:pPr>
              <w:widowControl w:val="0"/>
            </w:pPr>
          </w:p>
        </w:tc>
        <w:tc>
          <w:tcPr>
            <w:tcW w:w="1512" w:type="dxa"/>
            <w:tcBorders>
              <w:right w:val="single" w:sz="8" w:space="0" w:color="auto"/>
            </w:tcBorders>
          </w:tcPr>
          <w:p w:rsidR="00EE6D2F" w:rsidRPr="0053168B" w:rsidRDefault="00EE6D2F" w:rsidP="00B8782F">
            <w:pPr>
              <w:widowControl w:val="0"/>
            </w:pPr>
            <w:r w:rsidRPr="0053168B">
              <w:t>Ruso</w:t>
            </w:r>
          </w:p>
        </w:tc>
        <w:tc>
          <w:tcPr>
            <w:tcW w:w="2444" w:type="dxa"/>
            <w:tcBorders>
              <w:top w:val="single" w:sz="8" w:space="0" w:color="auto"/>
              <w:left w:val="single" w:sz="8" w:space="0" w:color="auto"/>
              <w:bottom w:val="single" w:sz="8" w:space="0" w:color="auto"/>
              <w:right w:val="single" w:sz="12" w:space="0" w:color="auto"/>
            </w:tcBorders>
            <w:shd w:val="clear" w:color="auto" w:fill="C0C0C0"/>
          </w:tcPr>
          <w:p w:rsidR="00EE6D2F" w:rsidRPr="0053168B" w:rsidRDefault="008D008C" w:rsidP="00B8782F">
            <w:pPr>
              <w:widowControl w:val="0"/>
              <w:jc w:val="center"/>
            </w:pPr>
            <w:r>
              <w:t>Sí</w:t>
            </w:r>
          </w:p>
        </w:tc>
        <w:tc>
          <w:tcPr>
            <w:tcW w:w="2254" w:type="dxa"/>
            <w:tcBorders>
              <w:left w:val="single" w:sz="12" w:space="0" w:color="auto"/>
            </w:tcBorders>
            <w:shd w:val="clear" w:color="auto" w:fill="C0C0C0"/>
          </w:tcPr>
          <w:p w:rsidR="00EE6D2F" w:rsidRPr="0053168B" w:rsidRDefault="008D008C" w:rsidP="00B8782F">
            <w:pPr>
              <w:widowControl w:val="0"/>
              <w:jc w:val="center"/>
            </w:pPr>
            <w:r>
              <w:t>Sí</w:t>
            </w:r>
          </w:p>
        </w:tc>
        <w:tc>
          <w:tcPr>
            <w:tcW w:w="2254" w:type="dxa"/>
            <w:shd w:val="clear" w:color="auto" w:fill="C0C0C0"/>
          </w:tcPr>
          <w:p w:rsidR="00EE6D2F" w:rsidRPr="0053168B" w:rsidRDefault="008D008C" w:rsidP="00B8782F">
            <w:pPr>
              <w:widowControl w:val="0"/>
              <w:jc w:val="center"/>
            </w:pPr>
            <w:r>
              <w:t>Sí</w:t>
            </w:r>
          </w:p>
        </w:tc>
      </w:tr>
      <w:tr w:rsidR="00EE6D2F" w:rsidRPr="0053168B" w:rsidTr="00916FC7">
        <w:tc>
          <w:tcPr>
            <w:tcW w:w="999" w:type="dxa"/>
          </w:tcPr>
          <w:p w:rsidR="00EE6D2F" w:rsidRPr="0053168B" w:rsidRDefault="00EE6D2F" w:rsidP="00B8782F">
            <w:pPr>
              <w:widowControl w:val="0"/>
            </w:pPr>
            <w:r w:rsidRPr="0053168B">
              <w:t>NUEVO</w:t>
            </w:r>
          </w:p>
        </w:tc>
        <w:tc>
          <w:tcPr>
            <w:tcW w:w="1512" w:type="dxa"/>
            <w:tcBorders>
              <w:right w:val="single" w:sz="8" w:space="0" w:color="auto"/>
            </w:tcBorders>
          </w:tcPr>
          <w:p w:rsidR="00EE6D2F" w:rsidRPr="0053168B" w:rsidRDefault="00EE6D2F" w:rsidP="00B8782F">
            <w:pPr>
              <w:widowControl w:val="0"/>
            </w:pPr>
            <w:r w:rsidRPr="0053168B">
              <w:t>Turco</w:t>
            </w:r>
          </w:p>
        </w:tc>
        <w:tc>
          <w:tcPr>
            <w:tcW w:w="2444" w:type="dxa"/>
            <w:tcBorders>
              <w:top w:val="single" w:sz="8" w:space="0" w:color="auto"/>
              <w:left w:val="single" w:sz="8" w:space="0" w:color="auto"/>
              <w:bottom w:val="single" w:sz="8" w:space="0" w:color="auto"/>
              <w:right w:val="single" w:sz="12" w:space="0" w:color="auto"/>
            </w:tcBorders>
            <w:shd w:val="clear" w:color="auto" w:fill="C0C0C0"/>
          </w:tcPr>
          <w:p w:rsidR="00EE6D2F" w:rsidRPr="0053168B" w:rsidRDefault="008D008C" w:rsidP="00B8782F">
            <w:pPr>
              <w:widowControl w:val="0"/>
              <w:jc w:val="center"/>
            </w:pPr>
            <w:r>
              <w:t>Sí</w:t>
            </w:r>
          </w:p>
        </w:tc>
        <w:tc>
          <w:tcPr>
            <w:tcW w:w="2254" w:type="dxa"/>
            <w:tcBorders>
              <w:left w:val="single" w:sz="12" w:space="0" w:color="auto"/>
            </w:tcBorders>
          </w:tcPr>
          <w:p w:rsidR="00EE6D2F" w:rsidRPr="0053168B" w:rsidRDefault="00EE6D2F" w:rsidP="00B8782F">
            <w:pPr>
              <w:widowControl w:val="0"/>
              <w:jc w:val="center"/>
            </w:pPr>
          </w:p>
        </w:tc>
        <w:tc>
          <w:tcPr>
            <w:tcW w:w="2254" w:type="dxa"/>
          </w:tcPr>
          <w:p w:rsidR="00EE6D2F" w:rsidRPr="0053168B" w:rsidRDefault="00EE6D2F" w:rsidP="00B8782F">
            <w:pPr>
              <w:widowControl w:val="0"/>
              <w:jc w:val="center"/>
            </w:pPr>
          </w:p>
        </w:tc>
      </w:tr>
    </w:tbl>
    <w:p w:rsidR="003A5696" w:rsidRDefault="003A5696" w:rsidP="00B8782F">
      <w:pPr>
        <w:widowControl w:val="0"/>
      </w:pPr>
    </w:p>
    <w:p w:rsidR="003A5696" w:rsidRDefault="003A5696" w:rsidP="00B8782F">
      <w:pPr>
        <w:widowControl w:val="0"/>
      </w:pPr>
      <w:r>
        <w:br w:type="page"/>
      </w:r>
    </w:p>
    <w:p w:rsidR="005454C9" w:rsidRPr="0053168B" w:rsidRDefault="00465915" w:rsidP="001A4A19">
      <w:pPr>
        <w:pStyle w:val="ONUMFS"/>
        <w:widowControl w:val="0"/>
        <w:numPr>
          <w:ilvl w:val="0"/>
          <w:numId w:val="4"/>
        </w:numPr>
        <w:tabs>
          <w:tab w:val="clear" w:pos="570"/>
          <w:tab w:val="num" w:pos="0"/>
        </w:tabs>
        <w:ind w:left="0" w:firstLine="0"/>
      </w:pPr>
      <w:r w:rsidRPr="0053168B">
        <w:t xml:space="preserve">Además de </w:t>
      </w:r>
      <w:r w:rsidR="006D4CF8" w:rsidRPr="0053168B">
        <w:t>ofrecer</w:t>
      </w:r>
      <w:r w:rsidR="00890BF6" w:rsidRPr="0053168B">
        <w:t xml:space="preserve"> nuevos idiomas, la versión del </w:t>
      </w:r>
      <w:r w:rsidRPr="0053168B">
        <w:t>MGS</w:t>
      </w:r>
      <w:r w:rsidR="008E08ED" w:rsidRPr="0053168B">
        <w:t xml:space="preserve"> lanzada el 1 de mayo en el sitio web de la OMPI </w:t>
      </w:r>
      <w:r w:rsidR="006D4CF8" w:rsidRPr="0053168B">
        <w:t>incluye</w:t>
      </w:r>
      <w:r w:rsidRPr="0053168B">
        <w:t xml:space="preserve"> </w:t>
      </w:r>
      <w:r w:rsidR="008E08ED" w:rsidRPr="0053168B">
        <w:t>dos</w:t>
      </w:r>
      <w:r w:rsidR="005454C9" w:rsidRPr="0053168B">
        <w:t xml:space="preserve"> importantes</w:t>
      </w:r>
      <w:r w:rsidR="008E08ED" w:rsidRPr="0053168B">
        <w:t xml:space="preserve"> nuevas funciones</w:t>
      </w:r>
      <w:r w:rsidR="005454C9" w:rsidRPr="0053168B">
        <w:t>:</w:t>
      </w:r>
    </w:p>
    <w:p w:rsidR="009B538A" w:rsidRPr="0053168B" w:rsidRDefault="008E08ED" w:rsidP="001A4A19">
      <w:pPr>
        <w:pStyle w:val="ONUMFS"/>
        <w:widowControl w:val="0"/>
        <w:numPr>
          <w:ilvl w:val="0"/>
          <w:numId w:val="5"/>
        </w:numPr>
        <w:ind w:left="1134" w:hanging="567"/>
        <w:rPr>
          <w:bCs/>
          <w:szCs w:val="22"/>
        </w:rPr>
      </w:pPr>
      <w:r w:rsidRPr="0053168B">
        <w:t xml:space="preserve">una </w:t>
      </w:r>
      <w:r w:rsidRPr="003A5696">
        <w:rPr>
          <w:szCs w:val="22"/>
        </w:rPr>
        <w:t>función</w:t>
      </w:r>
      <w:r w:rsidRPr="0053168B">
        <w:t xml:space="preserve"> de traducción ampliada mediante la cual se puede traducir desde y a cualquiera de los 15 idiomas disponibles</w:t>
      </w:r>
      <w:r w:rsidR="004A2917" w:rsidRPr="0053168B">
        <w:rPr>
          <w:szCs w:val="22"/>
        </w:rPr>
        <w:t>;</w:t>
      </w:r>
    </w:p>
    <w:p w:rsidR="009B538A" w:rsidRPr="0053168B" w:rsidRDefault="006D4CF8" w:rsidP="001A4A19">
      <w:pPr>
        <w:pStyle w:val="ONUMFS"/>
        <w:widowControl w:val="0"/>
        <w:numPr>
          <w:ilvl w:val="0"/>
          <w:numId w:val="5"/>
        </w:numPr>
        <w:ind w:left="1134" w:hanging="567"/>
        <w:rPr>
          <w:szCs w:val="22"/>
        </w:rPr>
      </w:pPr>
      <w:r w:rsidRPr="0053168B">
        <w:rPr>
          <w:szCs w:val="22"/>
        </w:rPr>
        <w:t>una función denominada “</w:t>
      </w:r>
      <w:r w:rsidR="008E08ED" w:rsidRPr="0053168B">
        <w:t>verificar aceptación de la</w:t>
      </w:r>
      <w:r w:rsidR="00F6233A">
        <w:t xml:space="preserve"> Parte Contratante designada (PCd)</w:t>
      </w:r>
      <w:r w:rsidR="00663B8E" w:rsidRPr="0053168B">
        <w:t>”</w:t>
      </w:r>
      <w:r w:rsidR="004A2917" w:rsidRPr="0053168B">
        <w:rPr>
          <w:szCs w:val="22"/>
        </w:rPr>
        <w:t xml:space="preserve">. </w:t>
      </w:r>
    </w:p>
    <w:p w:rsidR="009B538A" w:rsidRPr="0053168B" w:rsidRDefault="00436407" w:rsidP="001A4A19">
      <w:pPr>
        <w:pStyle w:val="ONUMFS"/>
        <w:widowControl w:val="0"/>
        <w:numPr>
          <w:ilvl w:val="0"/>
          <w:numId w:val="4"/>
        </w:numPr>
        <w:tabs>
          <w:tab w:val="clear" w:pos="570"/>
          <w:tab w:val="num" w:pos="0"/>
        </w:tabs>
        <w:ind w:left="0" w:firstLine="0"/>
        <w:rPr>
          <w:szCs w:val="22"/>
        </w:rPr>
      </w:pPr>
      <w:r w:rsidRPr="0053168B">
        <w:t>La nueva func</w:t>
      </w:r>
      <w:r w:rsidR="00640A7A">
        <w:t>ión “verificar aceptación de la Parte Contratante designada (PCd)</w:t>
      </w:r>
      <w:r w:rsidR="003068A8" w:rsidRPr="0053168B">
        <w:t xml:space="preserve">” es fruto de la colaboración entre la Oficina Internacional de la OMPI y las Oficinas nacionales de Propiedad Intelectual (P.I.) del sistema de Madrid. </w:t>
      </w:r>
      <w:r w:rsidRPr="0053168B">
        <w:t xml:space="preserve"> </w:t>
      </w:r>
      <w:r w:rsidR="003068A8" w:rsidRPr="0053168B">
        <w:t xml:space="preserve">Para cada término </w:t>
      </w:r>
      <w:r w:rsidR="0085311F">
        <w:t>aceptado</w:t>
      </w:r>
      <w:r w:rsidR="003068A8" w:rsidRPr="0053168B">
        <w:t xml:space="preserve"> por la Oficina Internacional de la OMPI, la función permite consultar info</w:t>
      </w:r>
      <w:r w:rsidR="0085311F">
        <w:t>rmación relativa a su aceptación</w:t>
      </w:r>
      <w:r w:rsidR="003068A8" w:rsidRPr="0053168B">
        <w:t xml:space="preserve"> por cualquiera de las 16 Oficinas participantes que </w:t>
      </w:r>
      <w:r w:rsidR="005454C9" w:rsidRPr="0053168B">
        <w:t>proporcionaron</w:t>
      </w:r>
      <w:r w:rsidR="003068A8" w:rsidRPr="0053168B">
        <w:t xml:space="preserve"> dicha información a la Oficina Internacional de la OMPI</w:t>
      </w:r>
      <w:r w:rsidR="00890BF6" w:rsidRPr="0053168B">
        <w:t xml:space="preserve"> en relación con al menos una parte del contenido de la Base de datos MGS</w:t>
      </w:r>
      <w:r w:rsidR="003068A8" w:rsidRPr="0053168B">
        <w:t>.</w:t>
      </w:r>
      <w:r w:rsidR="006A7B4F">
        <w:t xml:space="preserve"> </w:t>
      </w:r>
      <w:r w:rsidR="00084FDC" w:rsidRPr="0053168B">
        <w:t xml:space="preserve"> Hasta tanto</w:t>
      </w:r>
      <w:r w:rsidR="003068A8" w:rsidRPr="0053168B">
        <w:t xml:space="preserve"> </w:t>
      </w:r>
      <w:r w:rsidR="00084FDC" w:rsidRPr="0053168B">
        <w:t xml:space="preserve">la Oficina nacional participante no haya confirmado la </w:t>
      </w:r>
      <w:r w:rsidR="0085311F">
        <w:t>aceptación</w:t>
      </w:r>
      <w:r w:rsidR="00084FDC" w:rsidRPr="0053168B">
        <w:t xml:space="preserve"> de un término, éste aparecerá como “desconocido”</w:t>
      </w:r>
      <w:r w:rsidR="005454C9" w:rsidRPr="0053168B">
        <w:t>.</w:t>
      </w:r>
      <w:r w:rsidR="00084FDC" w:rsidRPr="0053168B">
        <w:t xml:space="preserve"> </w:t>
      </w:r>
    </w:p>
    <w:p w:rsidR="009B538A" w:rsidRPr="0053168B" w:rsidRDefault="004F2287" w:rsidP="001A4A19">
      <w:pPr>
        <w:pStyle w:val="ONUMFS"/>
        <w:widowControl w:val="0"/>
        <w:numPr>
          <w:ilvl w:val="0"/>
          <w:numId w:val="4"/>
        </w:numPr>
        <w:tabs>
          <w:tab w:val="clear" w:pos="570"/>
          <w:tab w:val="num" w:pos="0"/>
        </w:tabs>
        <w:ind w:left="0" w:firstLine="0"/>
        <w:rPr>
          <w:szCs w:val="22"/>
        </w:rPr>
      </w:pPr>
      <w:r w:rsidRPr="0053168B">
        <w:t>La función “verifi</w:t>
      </w:r>
      <w:r w:rsidR="00640A7A">
        <w:t>car aceptación de la Parte Contratante designada (PCd)</w:t>
      </w:r>
      <w:r w:rsidRPr="0053168B">
        <w:t xml:space="preserve">” es un componente </w:t>
      </w:r>
      <w:r w:rsidR="00B57E75" w:rsidRPr="0053168B">
        <w:t xml:space="preserve">diseñado especialmente para </w:t>
      </w:r>
      <w:r w:rsidRPr="0053168B">
        <w:t xml:space="preserve">el </w:t>
      </w:r>
      <w:r w:rsidR="00890BF6" w:rsidRPr="0053168B">
        <w:t>MGS</w:t>
      </w:r>
      <w:r w:rsidR="00890BF6" w:rsidRPr="0053168B">
        <w:rPr>
          <w:i/>
        </w:rPr>
        <w:t xml:space="preserve"> </w:t>
      </w:r>
      <w:r w:rsidRPr="0053168B">
        <w:t xml:space="preserve">en el sentido de que </w:t>
      </w:r>
      <w:r w:rsidR="00E64E08" w:rsidRPr="0053168B">
        <w:t>permite consultar</w:t>
      </w:r>
      <w:r w:rsidRPr="0053168B">
        <w:t xml:space="preserve"> no solo </w:t>
      </w:r>
      <w:r w:rsidR="00E64E08" w:rsidRPr="0053168B">
        <w:t>los términos de la Base de datos MGS aceptados por</w:t>
      </w:r>
      <w:r w:rsidRPr="0053168B">
        <w:t xml:space="preserve"> una</w:t>
      </w:r>
      <w:r w:rsidR="00E64E08" w:rsidRPr="0053168B">
        <w:t xml:space="preserve"> </w:t>
      </w:r>
      <w:r w:rsidRPr="0053168B">
        <w:t>Parte Contratante</w:t>
      </w:r>
      <w:r w:rsidR="00F22F33" w:rsidRPr="00F22F33">
        <w:t xml:space="preserve"> </w:t>
      </w:r>
      <w:r w:rsidR="00F22F33" w:rsidRPr="0053168B">
        <w:t>determinada</w:t>
      </w:r>
      <w:r w:rsidR="00E64E08" w:rsidRPr="0053168B">
        <w:t>, sin</w:t>
      </w:r>
      <w:r w:rsidRPr="0053168B">
        <w:t xml:space="preserve">o </w:t>
      </w:r>
      <w:r w:rsidR="00E64E08" w:rsidRPr="0053168B">
        <w:t>también aquellos acepta</w:t>
      </w:r>
      <w:r w:rsidRPr="0053168B">
        <w:t xml:space="preserve">dos por la Oficina Internacional de la OMPI </w:t>
      </w:r>
      <w:r w:rsidR="00E64E08" w:rsidRPr="0053168B">
        <w:t>pero rechazados por tal o cual Parte Contratante y</w:t>
      </w:r>
      <w:r w:rsidRPr="0053168B">
        <w:t xml:space="preserve"> </w:t>
      </w:r>
      <w:r w:rsidR="00E64E08" w:rsidRPr="0053168B">
        <w:t xml:space="preserve">cuyo </w:t>
      </w:r>
      <w:r w:rsidR="00256849">
        <w:t>uso</w:t>
      </w:r>
      <w:r w:rsidR="00E64E08" w:rsidRPr="0053168B">
        <w:t xml:space="preserve"> podría dar lugar a </w:t>
      </w:r>
      <w:r w:rsidRPr="0053168B">
        <w:t xml:space="preserve">una denegación </w:t>
      </w:r>
      <w:r w:rsidR="00E64E08" w:rsidRPr="0053168B">
        <w:t>provisional</w:t>
      </w:r>
      <w:r w:rsidRPr="0053168B">
        <w:t xml:space="preserve">. </w:t>
      </w:r>
    </w:p>
    <w:p w:rsidR="00F23CB9" w:rsidRPr="0053168B" w:rsidRDefault="00D26B95" w:rsidP="001A4A19">
      <w:pPr>
        <w:pStyle w:val="ONUMFS"/>
        <w:widowControl w:val="0"/>
        <w:numPr>
          <w:ilvl w:val="0"/>
          <w:numId w:val="4"/>
        </w:numPr>
        <w:tabs>
          <w:tab w:val="clear" w:pos="570"/>
          <w:tab w:val="num" w:pos="0"/>
        </w:tabs>
        <w:ind w:left="0" w:firstLine="0"/>
        <w:rPr>
          <w:szCs w:val="22"/>
        </w:rPr>
      </w:pPr>
      <w:r w:rsidRPr="0053168B">
        <w:t xml:space="preserve">La información relativa a la validación de cada término por cada Parte Contratante designada, consultable </w:t>
      </w:r>
      <w:r w:rsidR="00F23CB9" w:rsidRPr="0053168B">
        <w:t>mediante</w:t>
      </w:r>
      <w:r w:rsidRPr="0053168B">
        <w:t xml:space="preserve"> la función “verificar aceptación de la Parte</w:t>
      </w:r>
      <w:r w:rsidR="00640A7A">
        <w:t xml:space="preserve"> Contratante </w:t>
      </w:r>
      <w:r w:rsidRPr="0053168B">
        <w:t>desig</w:t>
      </w:r>
      <w:r w:rsidR="00640A7A">
        <w:t>nada (PCd)</w:t>
      </w:r>
      <w:r w:rsidR="00456D7A" w:rsidRPr="0053168B">
        <w:t xml:space="preserve">”, </w:t>
      </w:r>
      <w:r w:rsidR="00F23CB9" w:rsidRPr="0053168B">
        <w:t xml:space="preserve">se </w:t>
      </w:r>
      <w:r w:rsidR="00256849">
        <w:t>representa</w:t>
      </w:r>
      <w:r w:rsidR="00F23CB9" w:rsidRPr="0053168B">
        <w:t xml:space="preserve"> </w:t>
      </w:r>
      <w:r w:rsidR="00256849">
        <w:t>mediante recuadros de distintos colores</w:t>
      </w:r>
      <w:r w:rsidRPr="0053168B">
        <w:t xml:space="preserve"> que contiene</w:t>
      </w:r>
      <w:r w:rsidR="00F23CB9" w:rsidRPr="0053168B">
        <w:t>n</w:t>
      </w:r>
      <w:r w:rsidR="00E64E08" w:rsidRPr="0053168B">
        <w:t xml:space="preserve"> el </w:t>
      </w:r>
      <w:r w:rsidR="00456D7A" w:rsidRPr="0053168B">
        <w:t>nombre</w:t>
      </w:r>
      <w:r w:rsidRPr="0053168B">
        <w:t xml:space="preserve"> </w:t>
      </w:r>
      <w:r w:rsidR="00256849">
        <w:t xml:space="preserve">de </w:t>
      </w:r>
      <w:r w:rsidRPr="0053168B">
        <w:t xml:space="preserve">la Parte Contratante </w:t>
      </w:r>
      <w:r w:rsidR="00640A7A">
        <w:t>en formato abreviado</w:t>
      </w:r>
      <w:r w:rsidR="00E64E08" w:rsidRPr="0053168B">
        <w:t xml:space="preserve"> de dos letras</w:t>
      </w:r>
      <w:r w:rsidR="00256849">
        <w:t>, a saber</w:t>
      </w:r>
      <w:r w:rsidR="00663B8E" w:rsidRPr="0053168B">
        <w:t>:</w:t>
      </w:r>
    </w:p>
    <w:p w:rsidR="00F23CB9" w:rsidRPr="0053168B" w:rsidRDefault="00F23CB9" w:rsidP="001A4A19">
      <w:pPr>
        <w:pStyle w:val="ONUMFS"/>
        <w:widowControl w:val="0"/>
        <w:numPr>
          <w:ilvl w:val="0"/>
          <w:numId w:val="5"/>
        </w:numPr>
        <w:ind w:left="1134" w:hanging="567"/>
      </w:pPr>
      <w:r w:rsidRPr="0053168B">
        <w:t>verde:</w:t>
      </w:r>
      <w:r w:rsidRPr="0053168B">
        <w:tab/>
      </w:r>
      <w:r w:rsidRPr="00916FC7">
        <w:rPr>
          <w:szCs w:val="22"/>
        </w:rPr>
        <w:t>Aceptado</w:t>
      </w:r>
      <w:r w:rsidRPr="0053168B">
        <w:t xml:space="preserve"> por la Parte Contratante designada</w:t>
      </w:r>
    </w:p>
    <w:p w:rsidR="00F23CB9" w:rsidRPr="0053168B" w:rsidRDefault="00916FC7" w:rsidP="001A4A19">
      <w:pPr>
        <w:pStyle w:val="ONUMFS"/>
        <w:widowControl w:val="0"/>
        <w:numPr>
          <w:ilvl w:val="0"/>
          <w:numId w:val="5"/>
        </w:numPr>
        <w:tabs>
          <w:tab w:val="left" w:pos="2268"/>
        </w:tabs>
        <w:ind w:left="1134" w:hanging="567"/>
      </w:pPr>
      <w:r>
        <w:t>rojo:</w:t>
      </w:r>
      <w:r>
        <w:tab/>
      </w:r>
      <w:r w:rsidR="00F23CB9" w:rsidRPr="00916FC7">
        <w:rPr>
          <w:szCs w:val="22"/>
        </w:rPr>
        <w:t>Rechazado</w:t>
      </w:r>
      <w:r w:rsidR="00F23CB9" w:rsidRPr="0053168B">
        <w:t xml:space="preserve"> por la Parte Contratante designada</w:t>
      </w:r>
    </w:p>
    <w:p w:rsidR="00F23CB9" w:rsidRPr="0053168B" w:rsidRDefault="00F23CB9" w:rsidP="00B8782F">
      <w:pPr>
        <w:pStyle w:val="ONUMFS"/>
        <w:widowControl w:val="0"/>
        <w:numPr>
          <w:ilvl w:val="0"/>
          <w:numId w:val="0"/>
        </w:numPr>
        <w:tabs>
          <w:tab w:val="left" w:pos="1100"/>
          <w:tab w:val="left" w:pos="2310"/>
        </w:tabs>
        <w:ind w:left="2310" w:hanging="1743"/>
      </w:pPr>
      <w:r w:rsidRPr="0053168B">
        <w:t>–</w:t>
      </w:r>
      <w:r w:rsidRPr="0053168B">
        <w:tab/>
        <w:t>incoloro:</w:t>
      </w:r>
      <w:r w:rsidRPr="0053168B">
        <w:tab/>
        <w:t>Desconocido (la Parte Contratante designada todavía no ha remitido información relativa a la validación).</w:t>
      </w:r>
    </w:p>
    <w:p w:rsidR="00ED17DC" w:rsidRPr="0053168B" w:rsidRDefault="00AE045A" w:rsidP="001A4A19">
      <w:pPr>
        <w:pStyle w:val="ONUMFS"/>
        <w:widowControl w:val="0"/>
        <w:numPr>
          <w:ilvl w:val="0"/>
          <w:numId w:val="4"/>
        </w:numPr>
        <w:tabs>
          <w:tab w:val="clear" w:pos="570"/>
          <w:tab w:val="num" w:pos="0"/>
        </w:tabs>
        <w:ind w:left="0" w:firstLine="0"/>
        <w:rPr>
          <w:szCs w:val="22"/>
        </w:rPr>
      </w:pPr>
      <w:r w:rsidRPr="0053168B">
        <w:rPr>
          <w:szCs w:val="22"/>
        </w:rPr>
        <w:t xml:space="preserve">En el Anexo I figura una captura de </w:t>
      </w:r>
      <w:r w:rsidR="0085311F">
        <w:rPr>
          <w:szCs w:val="22"/>
        </w:rPr>
        <w:t>pantalla</w:t>
      </w:r>
      <w:r w:rsidRPr="0053168B">
        <w:rPr>
          <w:szCs w:val="22"/>
        </w:rPr>
        <w:t xml:space="preserve"> de los resultados</w:t>
      </w:r>
      <w:r w:rsidR="005D5D9B" w:rsidRPr="0053168B">
        <w:rPr>
          <w:szCs w:val="22"/>
        </w:rPr>
        <w:t xml:space="preserve"> </w:t>
      </w:r>
      <w:r w:rsidR="00786CBE" w:rsidRPr="0053168B">
        <w:rPr>
          <w:szCs w:val="22"/>
        </w:rPr>
        <w:t>que se obtienen</w:t>
      </w:r>
      <w:r w:rsidRPr="0053168B">
        <w:rPr>
          <w:szCs w:val="22"/>
        </w:rPr>
        <w:t xml:space="preserve"> al aplicar</w:t>
      </w:r>
      <w:r w:rsidR="005D5D9B" w:rsidRPr="0053168B">
        <w:rPr>
          <w:szCs w:val="22"/>
        </w:rPr>
        <w:t xml:space="preserve"> la nueva func</w:t>
      </w:r>
      <w:r w:rsidR="001C692C">
        <w:rPr>
          <w:szCs w:val="22"/>
        </w:rPr>
        <w:t>ión “verificar aceptación de la</w:t>
      </w:r>
      <w:r w:rsidR="005D5D9B" w:rsidRPr="0053168B">
        <w:rPr>
          <w:szCs w:val="22"/>
        </w:rPr>
        <w:t xml:space="preserve"> </w:t>
      </w:r>
      <w:r w:rsidR="001C692C">
        <w:rPr>
          <w:szCs w:val="22"/>
        </w:rPr>
        <w:t>Parte Contratante</w:t>
      </w:r>
      <w:r w:rsidRPr="0053168B">
        <w:rPr>
          <w:szCs w:val="22"/>
        </w:rPr>
        <w:t xml:space="preserve"> designada</w:t>
      </w:r>
      <w:r w:rsidR="001C692C">
        <w:rPr>
          <w:szCs w:val="22"/>
        </w:rPr>
        <w:t xml:space="preserve"> (PCd)</w:t>
      </w:r>
      <w:r w:rsidRPr="0053168B">
        <w:rPr>
          <w:szCs w:val="22"/>
        </w:rPr>
        <w:t xml:space="preserve">” a una serie de términos, todos </w:t>
      </w:r>
      <w:r w:rsidR="001C692C">
        <w:rPr>
          <w:szCs w:val="22"/>
        </w:rPr>
        <w:t>rodeados de</w:t>
      </w:r>
      <w:r w:rsidRPr="0053168B">
        <w:rPr>
          <w:szCs w:val="22"/>
        </w:rPr>
        <w:t xml:space="preserve"> verde, pu</w:t>
      </w:r>
      <w:r w:rsidR="00ED17DC" w:rsidRPr="0053168B">
        <w:rPr>
          <w:szCs w:val="22"/>
        </w:rPr>
        <w:t xml:space="preserve">esto que fueron seleccionados </w:t>
      </w:r>
      <w:r w:rsidR="00786CBE" w:rsidRPr="0053168B">
        <w:rPr>
          <w:szCs w:val="22"/>
        </w:rPr>
        <w:t>en</w:t>
      </w:r>
      <w:r w:rsidRPr="0053168B">
        <w:rPr>
          <w:szCs w:val="22"/>
        </w:rPr>
        <w:t xml:space="preserve"> la Base de datos MGS y</w:t>
      </w:r>
      <w:r w:rsidR="00ED17DC" w:rsidRPr="0053168B">
        <w:rPr>
          <w:szCs w:val="22"/>
        </w:rPr>
        <w:t xml:space="preserve"> por lo tanto, </w:t>
      </w:r>
      <w:r w:rsidR="00786CBE" w:rsidRPr="0053168B">
        <w:rPr>
          <w:szCs w:val="22"/>
        </w:rPr>
        <w:t>aceptados</w:t>
      </w:r>
      <w:r w:rsidR="00ED17DC" w:rsidRPr="0053168B">
        <w:rPr>
          <w:szCs w:val="22"/>
        </w:rPr>
        <w:t xml:space="preserve"> por la Oficina Internacional de la OMPI</w:t>
      </w:r>
      <w:r w:rsidR="0085311F">
        <w:rPr>
          <w:szCs w:val="22"/>
        </w:rPr>
        <w:t>.</w:t>
      </w:r>
    </w:p>
    <w:p w:rsidR="00663B8E" w:rsidRPr="0053168B" w:rsidRDefault="00B37C87" w:rsidP="001A4A19">
      <w:pPr>
        <w:pStyle w:val="ONUMFS"/>
        <w:widowControl w:val="0"/>
        <w:numPr>
          <w:ilvl w:val="0"/>
          <w:numId w:val="4"/>
        </w:numPr>
        <w:tabs>
          <w:tab w:val="clear" w:pos="570"/>
          <w:tab w:val="num" w:pos="0"/>
        </w:tabs>
        <w:ind w:left="0" w:firstLine="0"/>
      </w:pPr>
      <w:r w:rsidRPr="0053168B">
        <w:rPr>
          <w:szCs w:val="22"/>
        </w:rPr>
        <w:t xml:space="preserve">En el Anexo II se da cuenta del volumen de información relativa a la aceptación con respecto a las 16 Partes Contratantes que han </w:t>
      </w:r>
      <w:r w:rsidR="00786CBE" w:rsidRPr="0053168B">
        <w:rPr>
          <w:szCs w:val="22"/>
        </w:rPr>
        <w:t>proporcionado</w:t>
      </w:r>
      <w:r w:rsidRPr="0053168B">
        <w:rPr>
          <w:szCs w:val="22"/>
        </w:rPr>
        <w:t xml:space="preserve"> dicha información. </w:t>
      </w:r>
    </w:p>
    <w:p w:rsidR="009B538A" w:rsidRPr="0053168B" w:rsidRDefault="00697425" w:rsidP="001A4A19">
      <w:pPr>
        <w:pStyle w:val="ONUMFS"/>
        <w:widowControl w:val="0"/>
        <w:numPr>
          <w:ilvl w:val="0"/>
          <w:numId w:val="4"/>
        </w:numPr>
        <w:tabs>
          <w:tab w:val="clear" w:pos="570"/>
          <w:tab w:val="num" w:pos="0"/>
        </w:tabs>
        <w:ind w:left="0" w:firstLine="0"/>
      </w:pPr>
      <w:r w:rsidRPr="0053168B">
        <w:rPr>
          <w:szCs w:val="22"/>
        </w:rPr>
        <w:t xml:space="preserve">Cabe señalar que </w:t>
      </w:r>
      <w:r w:rsidR="00B37C87" w:rsidRPr="0053168B">
        <w:rPr>
          <w:szCs w:val="22"/>
        </w:rPr>
        <w:t>la información relativa a la aceptación enviada por cada una de las 16 Partes Contratantes y que aparece al aplicar la func</w:t>
      </w:r>
      <w:r w:rsidR="002D4115">
        <w:rPr>
          <w:szCs w:val="22"/>
        </w:rPr>
        <w:t>ión “verificar aceptación de la Parte Contratante designada (PCd)</w:t>
      </w:r>
      <w:r w:rsidR="00B37C87" w:rsidRPr="0053168B">
        <w:rPr>
          <w:szCs w:val="22"/>
        </w:rPr>
        <w:t xml:space="preserve">” </w:t>
      </w:r>
      <w:r w:rsidRPr="0053168B">
        <w:rPr>
          <w:szCs w:val="22"/>
        </w:rPr>
        <w:t>se extrajo de</w:t>
      </w:r>
      <w:r w:rsidR="00B37C87" w:rsidRPr="0053168B">
        <w:rPr>
          <w:szCs w:val="22"/>
        </w:rPr>
        <w:t xml:space="preserve"> diferentes fuentes: </w:t>
      </w:r>
    </w:p>
    <w:p w:rsidR="00CD6489" w:rsidRDefault="004A2917" w:rsidP="00B8782F">
      <w:pPr>
        <w:pStyle w:val="ONUMFS"/>
        <w:widowControl w:val="0"/>
        <w:numPr>
          <w:ilvl w:val="0"/>
          <w:numId w:val="0"/>
        </w:numPr>
        <w:tabs>
          <w:tab w:val="left" w:pos="1100"/>
        </w:tabs>
        <w:ind w:left="1134" w:hanging="567"/>
      </w:pPr>
      <w:r w:rsidRPr="0053168B">
        <w:t>–</w:t>
      </w:r>
      <w:r w:rsidRPr="0053168B">
        <w:tab/>
      </w:r>
      <w:r w:rsidR="00FE3004" w:rsidRPr="0053168B">
        <w:t>información relativa a la validación enviada</w:t>
      </w:r>
      <w:r w:rsidR="002E759B">
        <w:t xml:space="preserve"> directamente por las Oficinas n</w:t>
      </w:r>
      <w:r w:rsidR="00FE3004" w:rsidRPr="0053168B">
        <w:t xml:space="preserve">acionales que </w:t>
      </w:r>
      <w:r w:rsidR="00FE3004" w:rsidRPr="003A5696">
        <w:rPr>
          <w:szCs w:val="22"/>
        </w:rPr>
        <w:t>tradujeron</w:t>
      </w:r>
      <w:r w:rsidR="00FE3004" w:rsidRPr="0053168B">
        <w:t xml:space="preserve"> la base de datos y verificaron la aceptación o rechazo de cada uno de los conceptos en inglés comprendidos en los lotes cuya traducción les fue encomendada; </w:t>
      </w:r>
    </w:p>
    <w:p w:rsidR="00B8782F" w:rsidRDefault="00B8782F">
      <w:r>
        <w:br w:type="page"/>
      </w:r>
    </w:p>
    <w:p w:rsidR="009B538A" w:rsidRPr="0053168B" w:rsidRDefault="00FE3004" w:rsidP="001A4A19">
      <w:pPr>
        <w:pStyle w:val="ONUMFS"/>
        <w:widowControl w:val="0"/>
        <w:numPr>
          <w:ilvl w:val="0"/>
          <w:numId w:val="5"/>
        </w:numPr>
        <w:ind w:left="1134" w:hanging="567"/>
      </w:pPr>
      <w:r w:rsidRPr="0053168B">
        <w:t>el contenido de la lista de productos y servicios</w:t>
      </w:r>
      <w:r w:rsidR="002D4115">
        <w:t xml:space="preserve"> de las Oficinas de la Cooperación Trilateral</w:t>
      </w:r>
      <w:r w:rsidR="0085311F">
        <w:t>,</w:t>
      </w:r>
      <w:r w:rsidRPr="0053168B">
        <w:t xml:space="preserve"> creada y </w:t>
      </w:r>
      <w:r w:rsidR="0085311F">
        <w:t>actualizada</w:t>
      </w:r>
      <w:r w:rsidRPr="0053168B">
        <w:t xml:space="preserve"> por tres oficinas: </w:t>
      </w:r>
      <w:r w:rsidR="004A2917" w:rsidRPr="0053168B">
        <w:t xml:space="preserve"> </w:t>
      </w:r>
      <w:r w:rsidR="00697425" w:rsidRPr="0053168B">
        <w:t>la Oficina Japonesa de Patentes</w:t>
      </w:r>
      <w:r w:rsidR="0085311F">
        <w:t xml:space="preserve"> (JPO)</w:t>
      </w:r>
      <w:r w:rsidR="00697425" w:rsidRPr="0053168B">
        <w:t xml:space="preserve">, la Oficina </w:t>
      </w:r>
      <w:r w:rsidR="002D4115" w:rsidRPr="002D4115">
        <w:t>de Armonización del Mercado Interior</w:t>
      </w:r>
      <w:r w:rsidR="0085311F">
        <w:t xml:space="preserve"> (Marcas</w:t>
      </w:r>
      <w:r w:rsidR="0018565E">
        <w:t>, dibujos y modelos</w:t>
      </w:r>
      <w:r w:rsidR="0085311F">
        <w:t xml:space="preserve">) </w:t>
      </w:r>
      <w:r w:rsidR="002E759B">
        <w:t xml:space="preserve">(OAMI) </w:t>
      </w:r>
      <w:r w:rsidR="0085311F">
        <w:t>y</w:t>
      </w:r>
      <w:r w:rsidR="00786CBE" w:rsidRPr="0053168B">
        <w:t xml:space="preserve"> la </w:t>
      </w:r>
      <w:r w:rsidR="00697425" w:rsidRPr="0053168B">
        <w:t>Oficina de Patentes y Marcas de los Estados Unidos (USPTO), a las que se sumó la Oficina Coreana de Propiedad Intelect</w:t>
      </w:r>
      <w:r w:rsidR="002E759B">
        <w:t>ual (KIPO), en el transcurso de</w:t>
      </w:r>
      <w:r w:rsidR="00697425" w:rsidRPr="0053168B">
        <w:t xml:space="preserve"> 2012;</w:t>
      </w:r>
      <w:r w:rsidR="004A2917" w:rsidRPr="0053168B">
        <w:t xml:space="preserve"> </w:t>
      </w:r>
    </w:p>
    <w:p w:rsidR="009B538A" w:rsidRPr="0053168B" w:rsidRDefault="00FE3004" w:rsidP="001A4A19">
      <w:pPr>
        <w:pStyle w:val="ONUMFS"/>
        <w:widowControl w:val="0"/>
        <w:numPr>
          <w:ilvl w:val="0"/>
          <w:numId w:val="5"/>
        </w:numPr>
        <w:ind w:left="1134" w:hanging="567"/>
      </w:pPr>
      <w:r w:rsidRPr="0053168B">
        <w:t>el contenido del</w:t>
      </w:r>
      <w:r w:rsidR="00697425" w:rsidRPr="0053168B">
        <w:t xml:space="preserve"> </w:t>
      </w:r>
      <w:r w:rsidR="00697425" w:rsidRPr="0053168B">
        <w:rPr>
          <w:i/>
          <w:iCs/>
        </w:rPr>
        <w:t>Acceptable Identification of Goods and Services Manual</w:t>
      </w:r>
      <w:r w:rsidRPr="0053168B">
        <w:t xml:space="preserve"> </w:t>
      </w:r>
      <w:r w:rsidR="00697425" w:rsidRPr="0053168B">
        <w:t>(</w:t>
      </w:r>
      <w:r w:rsidRPr="0053168B">
        <w:t>Manual</w:t>
      </w:r>
      <w:r w:rsidR="00697425" w:rsidRPr="0053168B">
        <w:t xml:space="preserve"> de identificación válida de productos y servicios de la USPTO). </w:t>
      </w:r>
    </w:p>
    <w:p w:rsidR="00B8782F" w:rsidRDefault="00B8782F" w:rsidP="00B8782F">
      <w:pPr>
        <w:pStyle w:val="Heading1"/>
        <w:keepNext w:val="0"/>
        <w:widowControl w:val="0"/>
      </w:pPr>
    </w:p>
    <w:p w:rsidR="00750366" w:rsidRPr="0053168B" w:rsidRDefault="00750366" w:rsidP="00B8782F">
      <w:pPr>
        <w:pStyle w:val="Heading1"/>
        <w:keepNext w:val="0"/>
        <w:widowControl w:val="0"/>
      </w:pPr>
      <w:r w:rsidRPr="0053168B">
        <w:t xml:space="preserve">esferas de cooperación con las oficinas </w:t>
      </w:r>
    </w:p>
    <w:p w:rsidR="009B538A" w:rsidRPr="0053168B" w:rsidRDefault="00856BF5" w:rsidP="00B8782F">
      <w:pPr>
        <w:pStyle w:val="Heading2"/>
        <w:keepNext w:val="0"/>
        <w:widowControl w:val="0"/>
      </w:pPr>
      <w:r w:rsidRPr="0053168B">
        <w:t>TRADUCCIÓ</w:t>
      </w:r>
      <w:r w:rsidR="00750366" w:rsidRPr="0053168B">
        <w:t>N DE LA BASE DE DATOS MGS</w:t>
      </w:r>
      <w:r w:rsidRPr="0053168B">
        <w:t xml:space="preserve"> </w:t>
      </w:r>
    </w:p>
    <w:p w:rsidR="009B538A" w:rsidRPr="0053168B" w:rsidRDefault="009B538A" w:rsidP="00B8782F">
      <w:pPr>
        <w:widowControl w:val="0"/>
        <w:tabs>
          <w:tab w:val="num" w:pos="0"/>
        </w:tabs>
      </w:pPr>
    </w:p>
    <w:p w:rsidR="009B538A" w:rsidRPr="0053168B" w:rsidRDefault="00750366" w:rsidP="001A4A19">
      <w:pPr>
        <w:pStyle w:val="ONUMFS"/>
        <w:widowControl w:val="0"/>
        <w:numPr>
          <w:ilvl w:val="0"/>
          <w:numId w:val="4"/>
        </w:numPr>
        <w:tabs>
          <w:tab w:val="clear" w:pos="570"/>
          <w:tab w:val="num" w:pos="0"/>
        </w:tabs>
        <w:ind w:left="0" w:firstLine="0"/>
      </w:pPr>
      <w:r w:rsidRPr="0053168B">
        <w:t>Además de la cooperación en curso con las Oficin</w:t>
      </w:r>
      <w:r w:rsidR="00985488" w:rsidRPr="0053168B">
        <w:t xml:space="preserve">as que han </w:t>
      </w:r>
      <w:r w:rsidR="0085311F">
        <w:t xml:space="preserve">proporcionado una interfaz </w:t>
      </w:r>
      <w:r w:rsidRPr="0053168B">
        <w:t>del MGS</w:t>
      </w:r>
      <w:r w:rsidR="007E6C35">
        <w:t xml:space="preserve"> en sus idiomas nacionales</w:t>
      </w:r>
      <w:r w:rsidRPr="0053168B">
        <w:t xml:space="preserve">, se está </w:t>
      </w:r>
      <w:r w:rsidR="00786CBE" w:rsidRPr="0053168B">
        <w:t>trabajando</w:t>
      </w:r>
      <w:r w:rsidRPr="0053168B">
        <w:t xml:space="preserve"> con las Oficinas de las Partes Contratantes del sistema de Madrid que mani</w:t>
      </w:r>
      <w:r w:rsidR="00AC65EB" w:rsidRPr="0053168B">
        <w:t>festaron</w:t>
      </w:r>
      <w:r w:rsidRPr="0053168B">
        <w:t xml:space="preserve"> interés </w:t>
      </w:r>
      <w:r w:rsidR="00786CBE" w:rsidRPr="0053168B">
        <w:t xml:space="preserve">ya sea </w:t>
      </w:r>
      <w:r w:rsidR="00AC65EB" w:rsidRPr="0053168B">
        <w:t>en traducir</w:t>
      </w:r>
      <w:r w:rsidRPr="0053168B">
        <w:t xml:space="preserve"> la Base de </w:t>
      </w:r>
      <w:r w:rsidR="006A0C33">
        <w:t>d</w:t>
      </w:r>
      <w:r w:rsidRPr="0053168B">
        <w:t xml:space="preserve">atos </w:t>
      </w:r>
      <w:r w:rsidR="0007187F" w:rsidRPr="0053168B">
        <w:t>de productos y servicios</w:t>
      </w:r>
      <w:r w:rsidRPr="0053168B">
        <w:t xml:space="preserve"> con el fin de que esté di</w:t>
      </w:r>
      <w:r w:rsidR="00786CBE" w:rsidRPr="0053168B">
        <w:t xml:space="preserve">sponible en </w:t>
      </w:r>
      <w:r w:rsidR="00110FB6">
        <w:t>su propio</w:t>
      </w:r>
      <w:r w:rsidR="00786CBE" w:rsidRPr="0053168B">
        <w:t xml:space="preserve"> idioma o </w:t>
      </w:r>
      <w:r w:rsidR="00985488" w:rsidRPr="0053168B">
        <w:t>en</w:t>
      </w:r>
      <w:r w:rsidRPr="0053168B">
        <w:t xml:space="preserve"> proseguir sus esfuerzos </w:t>
      </w:r>
      <w:r w:rsidR="00786CBE" w:rsidRPr="0053168B">
        <w:t>para</w:t>
      </w:r>
      <w:r w:rsidRPr="0053168B">
        <w:t xml:space="preserve"> que los usuarios cuenten con una base más completa en</w:t>
      </w:r>
      <w:r w:rsidR="00110FB6">
        <w:t xml:space="preserve"> su propio</w:t>
      </w:r>
      <w:r w:rsidRPr="0053168B">
        <w:t xml:space="preserve"> idioma. </w:t>
      </w:r>
    </w:p>
    <w:p w:rsidR="00B8782F" w:rsidRPr="00270F99" w:rsidRDefault="00AC65EB" w:rsidP="001A4A19">
      <w:pPr>
        <w:pStyle w:val="ONUMFS"/>
        <w:widowControl w:val="0"/>
        <w:numPr>
          <w:ilvl w:val="0"/>
          <w:numId w:val="4"/>
        </w:numPr>
        <w:tabs>
          <w:tab w:val="clear" w:pos="570"/>
          <w:tab w:val="num" w:pos="0"/>
        </w:tabs>
        <w:ind w:left="0" w:firstLine="0"/>
      </w:pPr>
      <w:r w:rsidRPr="00270F99">
        <w:t>Cabe señalar que cuando se invita a las Oficinas a traducir la Base de datos MGS o a revisar las traducciones</w:t>
      </w:r>
      <w:r w:rsidR="00786CBE" w:rsidRPr="00270F99">
        <w:t xml:space="preserve"> objeto de</w:t>
      </w:r>
      <w:r w:rsidRPr="00270F99">
        <w:t xml:space="preserve"> </w:t>
      </w:r>
      <w:r w:rsidR="00786CBE" w:rsidRPr="00270F99">
        <w:t>subcontratación</w:t>
      </w:r>
      <w:r w:rsidRPr="00270F99">
        <w:t>, también s</w:t>
      </w:r>
      <w:r w:rsidR="002E1282" w:rsidRPr="00270F99">
        <w:t xml:space="preserve">e </w:t>
      </w:r>
      <w:r w:rsidR="00C21FB7" w:rsidRPr="00270F99">
        <w:t>les pide,</w:t>
      </w:r>
      <w:r w:rsidR="002E1282" w:rsidRPr="00270F99">
        <w:t xml:space="preserve"> </w:t>
      </w:r>
      <w:r w:rsidR="00C21FB7" w:rsidRPr="00270F99">
        <w:t xml:space="preserve">en su calidad de Parte Contratante designada, </w:t>
      </w:r>
      <w:r w:rsidR="002E1282" w:rsidRPr="00270F99">
        <w:t>que verifiquen la</w:t>
      </w:r>
      <w:r w:rsidRPr="00270F99">
        <w:t xml:space="preserve"> aceptación de los productos y servicios </w:t>
      </w:r>
      <w:r w:rsidR="002E1282" w:rsidRPr="00270F99">
        <w:t>contenidos en la Base de datos MGS</w:t>
      </w:r>
      <w:r w:rsidRPr="00270F99">
        <w:t xml:space="preserve"> </w:t>
      </w:r>
      <w:r w:rsidR="00C21FB7" w:rsidRPr="00270F99">
        <w:t xml:space="preserve">y </w:t>
      </w:r>
      <w:r w:rsidR="00786CBE" w:rsidRPr="00270F99">
        <w:t xml:space="preserve">remitan </w:t>
      </w:r>
      <w:r w:rsidR="002E1282" w:rsidRPr="00270F99">
        <w:t>a la O</w:t>
      </w:r>
      <w:r w:rsidR="00270F99" w:rsidRPr="00270F99">
        <w:t>ficina Internacional de la OMPI</w:t>
      </w:r>
      <w:r w:rsidR="002E1282" w:rsidRPr="00270F99">
        <w:t xml:space="preserve"> la información relativa a la aceptación</w:t>
      </w:r>
      <w:r w:rsidR="007E6C35">
        <w:t>,</w:t>
      </w:r>
      <w:r w:rsidR="002E1282" w:rsidRPr="00270F99">
        <w:t xml:space="preserve"> para </w:t>
      </w:r>
      <w:r w:rsidR="00270F99" w:rsidRPr="00270F99">
        <w:t>su inclusión</w:t>
      </w:r>
      <w:r w:rsidR="002E1282" w:rsidRPr="00270F99">
        <w:t xml:space="preserve"> en el </w:t>
      </w:r>
      <w:r w:rsidR="0007187F" w:rsidRPr="00270F99">
        <w:t>MGS.</w:t>
      </w:r>
    </w:p>
    <w:p w:rsidR="009B538A" w:rsidRPr="00270F99" w:rsidRDefault="003A5696" w:rsidP="00B8782F">
      <w:pPr>
        <w:pStyle w:val="Heading2"/>
        <w:keepNext w:val="0"/>
        <w:widowControl w:val="0"/>
      </w:pPr>
      <w:r w:rsidRPr="00270F99">
        <w:t>VERIFICACIÓN</w:t>
      </w:r>
      <w:r w:rsidR="002E1282" w:rsidRPr="00270F99">
        <w:t xml:space="preserve"> DE LA ACEPTACIÓN POR LAS OFICINAS QUE NO NECESITAN TRADUCIR LA BASE DE DATOS </w:t>
      </w:r>
      <w:r w:rsidR="007402DF" w:rsidRPr="00270F99">
        <w:t>MGS</w:t>
      </w:r>
      <w:r w:rsidR="002E1282" w:rsidRPr="00270F99">
        <w:t xml:space="preserve"> A SU </w:t>
      </w:r>
      <w:r w:rsidR="007402DF" w:rsidRPr="00270F99">
        <w:t>IDIOMA</w:t>
      </w:r>
      <w:r w:rsidR="002E1282" w:rsidRPr="00270F99">
        <w:t xml:space="preserve"> NACIONAL </w:t>
      </w:r>
    </w:p>
    <w:p w:rsidR="00856BF5" w:rsidRPr="00270F99" w:rsidRDefault="00856BF5" w:rsidP="00B8782F">
      <w:pPr>
        <w:widowControl w:val="0"/>
        <w:tabs>
          <w:tab w:val="num" w:pos="0"/>
        </w:tabs>
      </w:pPr>
    </w:p>
    <w:p w:rsidR="00663B8E" w:rsidRPr="00270F99" w:rsidRDefault="00E606B8" w:rsidP="001A4A19">
      <w:pPr>
        <w:pStyle w:val="ONUMFS"/>
        <w:widowControl w:val="0"/>
        <w:numPr>
          <w:ilvl w:val="0"/>
          <w:numId w:val="4"/>
        </w:numPr>
        <w:tabs>
          <w:tab w:val="clear" w:pos="570"/>
          <w:tab w:val="num" w:pos="0"/>
        </w:tabs>
        <w:ind w:left="0" w:firstLine="0"/>
      </w:pPr>
      <w:r w:rsidRPr="00270F99">
        <w:t xml:space="preserve">En cuanto al número de </w:t>
      </w:r>
      <w:r w:rsidR="00C07E79" w:rsidRPr="00270F99">
        <w:t>denegaciones</w:t>
      </w:r>
      <w:r w:rsidRPr="00270F99">
        <w:t xml:space="preserve"> pr</w:t>
      </w:r>
      <w:r w:rsidR="00C07E79" w:rsidRPr="00270F99">
        <w:t xml:space="preserve">ovisionales </w:t>
      </w:r>
      <w:r w:rsidR="00727CE3" w:rsidRPr="00270F99">
        <w:t>que emiten las Partes Contratantes designadas con mayor frecuencia</w:t>
      </w:r>
      <w:r w:rsidR="00727CE3">
        <w:t xml:space="preserve"> como consecuencia de</w:t>
      </w:r>
      <w:r w:rsidR="00C07E79" w:rsidRPr="00270F99">
        <w:t xml:space="preserve"> descripciones de productos y servicios, es preciso que </w:t>
      </w:r>
      <w:r w:rsidR="006A7B4F">
        <w:t>ciertas</w:t>
      </w:r>
      <w:r w:rsidR="00C07E79" w:rsidRPr="00270F99">
        <w:t xml:space="preserve"> Oficinas colaboren con la Oficina Internacional de la OMPI en la verificación de la aceptación </w:t>
      </w:r>
      <w:r w:rsidR="000B6420" w:rsidRPr="00270F99">
        <w:t xml:space="preserve">de los términos empleados en la Base de datos MGS para describir productos y servicios. </w:t>
      </w:r>
      <w:r w:rsidR="006A7B4F">
        <w:t xml:space="preserve"> </w:t>
      </w:r>
      <w:r w:rsidR="000B6420" w:rsidRPr="00270F99">
        <w:t>De este modo, aquellos solicitantes que recurran al MGS para elaborar una lista de productos y servicios sabrán de antemano si determinados términos pueden dar lugar a una denegación provisional.</w:t>
      </w:r>
      <w:r w:rsidR="00C07E79" w:rsidRPr="00270F99">
        <w:t xml:space="preserve"> </w:t>
      </w:r>
      <w:r w:rsidR="000B6420" w:rsidRPr="00270F99">
        <w:t xml:space="preserve"> </w:t>
      </w:r>
    </w:p>
    <w:p w:rsidR="00663B8E" w:rsidRPr="0053168B" w:rsidRDefault="000B6420" w:rsidP="001A4A19">
      <w:pPr>
        <w:pStyle w:val="ONUMFS"/>
        <w:widowControl w:val="0"/>
        <w:numPr>
          <w:ilvl w:val="0"/>
          <w:numId w:val="4"/>
        </w:numPr>
        <w:tabs>
          <w:tab w:val="clear" w:pos="570"/>
          <w:tab w:val="num" w:pos="0"/>
        </w:tabs>
        <w:ind w:left="0" w:firstLine="0"/>
      </w:pPr>
      <w:r w:rsidRPr="0053168B">
        <w:t xml:space="preserve">En el Anexo IV </w:t>
      </w:r>
      <w:r w:rsidR="00C4183F" w:rsidRPr="0053168B">
        <w:t>figura</w:t>
      </w:r>
      <w:r w:rsidRPr="0053168B">
        <w:t xml:space="preserve"> una lista de las Partes Contratantes designadas, clasificadas con arreglo al número de denegaciones provisionales emitidas en 2012.  Aunque las denegaciones provisionales no siempre encuentran su origen en la descripción de los productos y servicios propiamente dicha,</w:t>
      </w:r>
      <w:r w:rsidR="00C4183F" w:rsidRPr="0053168B">
        <w:t xml:space="preserve"> se puede decir que</w:t>
      </w:r>
      <w:r w:rsidRPr="0053168B">
        <w:t xml:space="preserve"> la lista </w:t>
      </w:r>
      <w:r w:rsidR="00C4183F" w:rsidRPr="0053168B">
        <w:t xml:space="preserve">da una pauta de las Oficinas que podrían verificar la aceptación de los términos contenidos en la Base de datos MGS con miras a reducir el número de denegaciones provisionales notificadas, lo cual a su vez redundaría en beneficio de los usuarios del sistema de Madrid. </w:t>
      </w:r>
    </w:p>
    <w:p w:rsidR="009B538A" w:rsidRPr="0053168B" w:rsidRDefault="00BB5861" w:rsidP="001A4A19">
      <w:pPr>
        <w:pStyle w:val="ONUMFS"/>
        <w:widowControl w:val="0"/>
        <w:numPr>
          <w:ilvl w:val="0"/>
          <w:numId w:val="4"/>
        </w:numPr>
        <w:tabs>
          <w:tab w:val="clear" w:pos="570"/>
          <w:tab w:val="num" w:pos="0"/>
        </w:tabs>
        <w:ind w:left="0" w:firstLine="0"/>
        <w:rPr>
          <w:bCs/>
        </w:rPr>
      </w:pPr>
      <w:r w:rsidRPr="0053168B">
        <w:t xml:space="preserve">Con el fin de que los solicitantes </w:t>
      </w:r>
      <w:r w:rsidR="00441661" w:rsidRPr="0053168B">
        <w:t xml:space="preserve">de </w:t>
      </w:r>
      <w:r w:rsidR="006A0C33">
        <w:t xml:space="preserve">registros de </w:t>
      </w:r>
      <w:r w:rsidRPr="0053168B">
        <w:t xml:space="preserve">marca </w:t>
      </w:r>
      <w:r w:rsidR="00617671" w:rsidRPr="0053168B">
        <w:t>en virtud del</w:t>
      </w:r>
      <w:r w:rsidRPr="0053168B">
        <w:t xml:space="preserve"> sistema de Madrid disponga</w:t>
      </w:r>
      <w:r w:rsidR="00617671" w:rsidRPr="0053168B">
        <w:t>n</w:t>
      </w:r>
      <w:r w:rsidRPr="0053168B">
        <w:t xml:space="preserve"> de la mayor cantidad de información posible </w:t>
      </w:r>
      <w:r w:rsidR="007402DF" w:rsidRPr="0053168B">
        <w:t>sobre</w:t>
      </w:r>
      <w:r w:rsidR="00727CE3">
        <w:t xml:space="preserve"> </w:t>
      </w:r>
      <w:r w:rsidR="00617671" w:rsidRPr="0053168B">
        <w:t xml:space="preserve">la aceptación o el </w:t>
      </w:r>
      <w:r w:rsidRPr="0053168B">
        <w:t xml:space="preserve">rechazo de un término, resultaría útil que las Oficinas nacionales que ocupan los 20 primeros puestos de la clasificación antes mencionada procedieran a validar o rechazar, en cooperación con la Oficina Internacional de la OMPI, los términos contenidos en la Base de datos MGS. </w:t>
      </w:r>
    </w:p>
    <w:p w:rsidR="00B8782F" w:rsidRDefault="00B8782F">
      <w:pPr>
        <w:rPr>
          <w:bCs/>
          <w:iCs/>
          <w:caps/>
          <w:szCs w:val="28"/>
        </w:rPr>
      </w:pPr>
      <w:r>
        <w:br w:type="page"/>
      </w:r>
    </w:p>
    <w:p w:rsidR="009B538A" w:rsidRPr="0053168B" w:rsidRDefault="00EC06AB" w:rsidP="00B8782F">
      <w:pPr>
        <w:pStyle w:val="Heading2"/>
        <w:keepNext w:val="0"/>
        <w:widowControl w:val="0"/>
      </w:pPr>
      <w:r w:rsidRPr="0053168B">
        <w:t xml:space="preserve">INCLUSIÓN DE LISTAS NACIONALES DE PRODUCTOS Y SERVICIOS </w:t>
      </w:r>
    </w:p>
    <w:p w:rsidR="00856BF5" w:rsidRPr="0053168B" w:rsidRDefault="00856BF5" w:rsidP="00B8782F">
      <w:pPr>
        <w:widowControl w:val="0"/>
        <w:tabs>
          <w:tab w:val="num" w:pos="0"/>
        </w:tabs>
      </w:pPr>
    </w:p>
    <w:p w:rsidR="009B538A" w:rsidRDefault="00663B8E" w:rsidP="001A4A19">
      <w:pPr>
        <w:pStyle w:val="ONUMFS"/>
        <w:widowControl w:val="0"/>
        <w:numPr>
          <w:ilvl w:val="0"/>
          <w:numId w:val="4"/>
        </w:numPr>
        <w:tabs>
          <w:tab w:val="clear" w:pos="570"/>
          <w:tab w:val="num" w:pos="0"/>
        </w:tabs>
        <w:ind w:left="0" w:firstLine="0"/>
      </w:pPr>
      <w:r w:rsidRPr="0053168B">
        <w:t>Con el objeto de</w:t>
      </w:r>
      <w:r w:rsidR="00EC06AB" w:rsidRPr="0053168B">
        <w:t xml:space="preserve"> que el </w:t>
      </w:r>
      <w:r w:rsidR="0007187F" w:rsidRPr="0053168B">
        <w:t>MGS</w:t>
      </w:r>
      <w:r w:rsidR="00EC06AB" w:rsidRPr="0053168B">
        <w:t xml:space="preserve"> sea lo más </w:t>
      </w:r>
      <w:r w:rsidR="007402DF" w:rsidRPr="0053168B">
        <w:t>atractivo</w:t>
      </w:r>
      <w:r w:rsidR="00EC06AB" w:rsidRPr="0053168B">
        <w:t xml:space="preserve"> y pertinente posible</w:t>
      </w:r>
      <w:r w:rsidR="007402DF" w:rsidRPr="0053168B">
        <w:t xml:space="preserve"> tanto</w:t>
      </w:r>
      <w:r w:rsidR="00EC06AB" w:rsidRPr="0053168B">
        <w:t xml:space="preserve"> para los solicitantes de</w:t>
      </w:r>
      <w:r w:rsidR="00BE01D6">
        <w:t xml:space="preserve"> registros de</w:t>
      </w:r>
      <w:r w:rsidR="00D938DA" w:rsidRPr="0053168B">
        <w:t xml:space="preserve"> </w:t>
      </w:r>
      <w:r w:rsidR="00BE01D6">
        <w:t>marca</w:t>
      </w:r>
      <w:r w:rsidR="00441661" w:rsidRPr="0053168B">
        <w:t xml:space="preserve"> </w:t>
      </w:r>
      <w:r w:rsidR="00EC06AB" w:rsidRPr="0053168B">
        <w:t>nacional</w:t>
      </w:r>
      <w:r w:rsidR="007402DF" w:rsidRPr="0053168B">
        <w:t>es como para los</w:t>
      </w:r>
      <w:r w:rsidR="00441661" w:rsidRPr="0053168B">
        <w:t xml:space="preserve"> </w:t>
      </w:r>
      <w:r w:rsidR="00EC06AB" w:rsidRPr="0053168B">
        <w:t xml:space="preserve">que </w:t>
      </w:r>
      <w:r w:rsidR="00D938DA" w:rsidRPr="0053168B">
        <w:t>presentan solicitudes</w:t>
      </w:r>
      <w:r w:rsidR="00EC06AB" w:rsidRPr="0053168B">
        <w:t xml:space="preserve"> </w:t>
      </w:r>
      <w:r w:rsidR="007402DF" w:rsidRPr="0053168B">
        <w:t>en virtud del sistema de Madrid</w:t>
      </w:r>
      <w:r w:rsidR="00EC06AB" w:rsidRPr="0053168B">
        <w:t>,</w:t>
      </w:r>
      <w:r w:rsidR="00D938DA" w:rsidRPr="0053168B">
        <w:t xml:space="preserve"> toda</w:t>
      </w:r>
      <w:r w:rsidR="00EC06AB" w:rsidRPr="0053168B">
        <w:t xml:space="preserve"> </w:t>
      </w:r>
      <w:r w:rsidR="00D938DA" w:rsidRPr="0053168B">
        <w:t xml:space="preserve">lista nacional de productos y servicios puesta a disposición de la Oficina Internacional de la OMPI será objeto de un examen minucioso con miras a su inclusión en la Base de datos </w:t>
      </w:r>
      <w:r w:rsidR="0007187F" w:rsidRPr="0053168B">
        <w:t>MGS</w:t>
      </w:r>
      <w:r w:rsidR="00D938DA" w:rsidRPr="0053168B">
        <w:t xml:space="preserve">. </w:t>
      </w:r>
      <w:r w:rsidR="006A7B4F">
        <w:t xml:space="preserve"> </w:t>
      </w:r>
      <w:r w:rsidR="00D938DA" w:rsidRPr="0053168B">
        <w:t xml:space="preserve">A tal efecto, y para facilitar la validación por la Oficina Internacional de la OMPI, se invita a las Oficinas nacionales </w:t>
      </w:r>
      <w:r w:rsidR="007402DF" w:rsidRPr="0053168B">
        <w:t xml:space="preserve">a que </w:t>
      </w:r>
      <w:r w:rsidR="00D35EF9" w:rsidRPr="0053168B">
        <w:t xml:space="preserve">proporcionen </w:t>
      </w:r>
      <w:r w:rsidR="00D938DA" w:rsidRPr="0053168B">
        <w:t>una versión de su lista nacional</w:t>
      </w:r>
      <w:r w:rsidR="00D35EF9" w:rsidRPr="0053168B">
        <w:t xml:space="preserve"> traducida al</w:t>
      </w:r>
      <w:r w:rsidR="00D938DA" w:rsidRPr="0053168B">
        <w:t xml:space="preserve"> inglés. </w:t>
      </w:r>
    </w:p>
    <w:p w:rsidR="007E6C35" w:rsidRPr="0053168B" w:rsidRDefault="007E6C35" w:rsidP="00B8782F">
      <w:pPr>
        <w:widowControl w:val="0"/>
      </w:pPr>
    </w:p>
    <w:p w:rsidR="009B538A" w:rsidRPr="0053168B" w:rsidRDefault="00F16E30" w:rsidP="001A4A19">
      <w:pPr>
        <w:pStyle w:val="ONUMFS"/>
        <w:widowControl w:val="0"/>
        <w:numPr>
          <w:ilvl w:val="0"/>
          <w:numId w:val="4"/>
        </w:numPr>
        <w:tabs>
          <w:tab w:val="clear" w:pos="570"/>
          <w:tab w:val="num" w:pos="0"/>
        </w:tabs>
        <w:ind w:left="0" w:firstLine="0"/>
      </w:pPr>
      <w:r w:rsidRPr="0053168B">
        <w:t>Algunas Oficinas ya han compartido sus listas nacionales de productos y servicios con la Oficina Internacional de la OMPI a fin de que sean incl</w:t>
      </w:r>
      <w:r w:rsidR="00727CE3">
        <w:t>uidas en la Base de datos MG</w:t>
      </w:r>
      <w:r w:rsidRPr="0053168B">
        <w:t>S</w:t>
      </w:r>
      <w:r w:rsidR="00663B8E" w:rsidRPr="0053168B">
        <w:t xml:space="preserve">. </w:t>
      </w:r>
      <w:r w:rsidR="006A7B4F">
        <w:t xml:space="preserve"> </w:t>
      </w:r>
      <w:r w:rsidR="00663B8E" w:rsidRPr="0053168B">
        <w:t xml:space="preserve">Se trata, </w:t>
      </w:r>
      <w:r w:rsidR="002464B9">
        <w:t>entre otro</w:t>
      </w:r>
      <w:r w:rsidR="00663B8E" w:rsidRPr="0053168B">
        <w:t>s, de las Ofi</w:t>
      </w:r>
      <w:r w:rsidR="00BE01D6">
        <w:t>cinas de la República Popular</w:t>
      </w:r>
      <w:r w:rsidR="00663B8E" w:rsidRPr="0053168B">
        <w:t xml:space="preserve"> China, Alemania,</w:t>
      </w:r>
      <w:r w:rsidRPr="0053168B">
        <w:t xml:space="preserve"> </w:t>
      </w:r>
      <w:r w:rsidR="00663B8E" w:rsidRPr="0053168B">
        <w:t xml:space="preserve">Japón, Suiza y del Instituto Turco de Patentes. </w:t>
      </w:r>
    </w:p>
    <w:p w:rsidR="00663B8E" w:rsidRPr="0053168B" w:rsidRDefault="00663B8E" w:rsidP="00B8782F">
      <w:pPr>
        <w:widowControl w:val="0"/>
        <w:tabs>
          <w:tab w:val="num" w:pos="0"/>
        </w:tabs>
      </w:pPr>
    </w:p>
    <w:p w:rsidR="009B538A" w:rsidRPr="0053168B" w:rsidRDefault="00663B8E" w:rsidP="001A4A19">
      <w:pPr>
        <w:pStyle w:val="ONUMFS"/>
        <w:widowControl w:val="0"/>
        <w:numPr>
          <w:ilvl w:val="0"/>
          <w:numId w:val="4"/>
        </w:numPr>
        <w:tabs>
          <w:tab w:val="clear" w:pos="570"/>
          <w:tab w:val="num" w:pos="0"/>
        </w:tabs>
        <w:ind w:left="0" w:firstLine="0"/>
      </w:pPr>
      <w:r w:rsidRPr="0053168B">
        <w:t>Además, la Oficina Internacional de la OMPI estudiará la posibilidad de incluir términos de varios países asiáticos</w:t>
      </w:r>
      <w:r w:rsidR="00542FFA" w:rsidRPr="0053168B">
        <w:t>, al tiempo que seguirá incluyendo nuevos términos extraídos de la lista</w:t>
      </w:r>
      <w:r w:rsidR="005B668A">
        <w:t xml:space="preserve"> de las Oficinas de la Cooperación</w:t>
      </w:r>
      <w:r w:rsidR="00542FFA" w:rsidRPr="0053168B">
        <w:t xml:space="preserve"> Trilateral y del Manual de identificación válida de productos y servicios de la USPTO</w:t>
      </w:r>
      <w:r w:rsidR="004A2917" w:rsidRPr="0053168B">
        <w:t>.</w:t>
      </w:r>
    </w:p>
    <w:p w:rsidR="00B8782F" w:rsidRDefault="00B8782F" w:rsidP="00B8782F">
      <w:pPr>
        <w:pStyle w:val="Heading1"/>
        <w:keepNext w:val="0"/>
        <w:widowControl w:val="0"/>
      </w:pPr>
    </w:p>
    <w:p w:rsidR="009B538A" w:rsidRPr="0053168B" w:rsidRDefault="00695EF9" w:rsidP="00B8782F">
      <w:pPr>
        <w:pStyle w:val="Heading1"/>
        <w:keepNext w:val="0"/>
        <w:widowControl w:val="0"/>
      </w:pPr>
      <w:r w:rsidRPr="0053168B">
        <w:t>PRESUPUESTO</w:t>
      </w:r>
    </w:p>
    <w:p w:rsidR="009B538A" w:rsidRPr="0053168B" w:rsidRDefault="009B538A" w:rsidP="00B8782F">
      <w:pPr>
        <w:widowControl w:val="0"/>
        <w:tabs>
          <w:tab w:val="num" w:pos="0"/>
        </w:tabs>
      </w:pPr>
    </w:p>
    <w:p w:rsidR="00612080" w:rsidRDefault="006A7B4F" w:rsidP="001A4A19">
      <w:pPr>
        <w:pStyle w:val="ONUMFS"/>
        <w:widowControl w:val="0"/>
        <w:numPr>
          <w:ilvl w:val="0"/>
          <w:numId w:val="4"/>
        </w:numPr>
        <w:tabs>
          <w:tab w:val="clear" w:pos="570"/>
          <w:tab w:val="num" w:pos="0"/>
        </w:tabs>
        <w:ind w:left="0" w:firstLine="0"/>
      </w:pPr>
      <w:r>
        <w:t xml:space="preserve">En </w:t>
      </w:r>
      <w:r w:rsidR="00184481" w:rsidRPr="0053168B">
        <w:t xml:space="preserve">2012, la Asamblea de la Unión de Madrid aprobó el uso de los fondos restantes del proyecto a </w:t>
      </w:r>
      <w:r w:rsidR="005B668A">
        <w:t>fines de</w:t>
      </w:r>
      <w:r w:rsidR="00184481" w:rsidRPr="0053168B">
        <w:t xml:space="preserve"> 2012 con el objeto de </w:t>
      </w:r>
      <w:r w:rsidR="00B656E4" w:rsidRPr="0053168B">
        <w:t>brindar apoyo financiero a algunas Oficinas para finalizar la traducción de la Base de datos MGS (</w:t>
      </w:r>
      <w:r w:rsidR="007658E5" w:rsidRPr="0053168B">
        <w:t xml:space="preserve">véanse </w:t>
      </w:r>
      <w:r w:rsidR="005B668A">
        <w:t xml:space="preserve">los </w:t>
      </w:r>
      <w:r w:rsidR="007658E5" w:rsidRPr="0053168B">
        <w:t>párrafos 17 y 64 del documento MM/A/45/2).</w:t>
      </w:r>
    </w:p>
    <w:p w:rsidR="006A7B4F" w:rsidRPr="0053168B" w:rsidRDefault="006A7B4F" w:rsidP="00B8782F">
      <w:pPr>
        <w:widowControl w:val="0"/>
      </w:pPr>
    </w:p>
    <w:p w:rsidR="00612080" w:rsidRPr="0053168B" w:rsidRDefault="00612080" w:rsidP="001A4A19">
      <w:pPr>
        <w:pStyle w:val="ONUMFS"/>
        <w:widowControl w:val="0"/>
        <w:numPr>
          <w:ilvl w:val="0"/>
          <w:numId w:val="4"/>
        </w:numPr>
        <w:tabs>
          <w:tab w:val="clear" w:pos="570"/>
          <w:tab w:val="num" w:pos="0"/>
        </w:tabs>
        <w:ind w:left="0" w:firstLine="0"/>
      </w:pPr>
      <w:r w:rsidRPr="0053168B">
        <w:t xml:space="preserve">En el </w:t>
      </w:r>
      <w:r w:rsidR="002464B9">
        <w:t>cuadro del Anexo III figuran</w:t>
      </w:r>
      <w:r w:rsidRPr="0053168B">
        <w:t xml:space="preserve"> los fondos inicialmente disponibles para la traducción de la Base de datos MGS y los pagos efectivos realizados al 30 de mayo de 2013, </w:t>
      </w:r>
      <w:r w:rsidR="007402DF" w:rsidRPr="0053168B">
        <w:t>correspondientes al trabajo de traducción realizado por aquellas</w:t>
      </w:r>
      <w:r w:rsidR="00A12A62" w:rsidRPr="0053168B">
        <w:t xml:space="preserve"> Oficinas </w:t>
      </w:r>
      <w:r w:rsidR="007402DF" w:rsidRPr="0053168B">
        <w:t>que fueron seleccionadas para recibir ayuda</w:t>
      </w:r>
      <w:r w:rsidR="00A12A62" w:rsidRPr="0053168B">
        <w:t xml:space="preserve"> financiera en un principio.</w:t>
      </w:r>
      <w:r w:rsidR="00BF02AD" w:rsidRPr="0053168B">
        <w:t xml:space="preserve"> </w:t>
      </w:r>
      <w:r w:rsidR="006A7B4F">
        <w:t xml:space="preserve"> </w:t>
      </w:r>
      <w:r w:rsidR="00BF02AD" w:rsidRPr="0053168B">
        <w:t>En concreto, en la columna “Saldo” de dicho cuadro se da cuenta de los fondos disponibles, por Oficina participante, para seguir adelante con la traducción de la Base MGS.</w:t>
      </w:r>
    </w:p>
    <w:p w:rsidR="00B8782F" w:rsidRPr="002D6A60" w:rsidRDefault="00B8782F" w:rsidP="00B8782F">
      <w:pPr>
        <w:pStyle w:val="Heading1"/>
        <w:keepNext w:val="0"/>
        <w:widowControl w:val="0"/>
        <w:rPr>
          <w:b w:val="0"/>
        </w:rPr>
      </w:pPr>
    </w:p>
    <w:p w:rsidR="009B538A" w:rsidRPr="0053168B" w:rsidRDefault="00A12A62" w:rsidP="00B8782F">
      <w:pPr>
        <w:pStyle w:val="Heading1"/>
        <w:keepNext w:val="0"/>
        <w:widowControl w:val="0"/>
      </w:pPr>
      <w:r w:rsidRPr="0053168B">
        <w:t>OTRAS VENTAJAS DE LA BASE DE DATOS MGS</w:t>
      </w:r>
    </w:p>
    <w:p w:rsidR="009B538A" w:rsidRPr="0053168B" w:rsidRDefault="009B538A" w:rsidP="00B8782F">
      <w:pPr>
        <w:widowControl w:val="0"/>
      </w:pPr>
    </w:p>
    <w:p w:rsidR="00A12A62" w:rsidRPr="0053168B" w:rsidRDefault="00A12A62" w:rsidP="001A4A19">
      <w:pPr>
        <w:pStyle w:val="ONUMFS"/>
        <w:widowControl w:val="0"/>
        <w:numPr>
          <w:ilvl w:val="0"/>
          <w:numId w:val="4"/>
        </w:numPr>
        <w:tabs>
          <w:tab w:val="clear" w:pos="570"/>
          <w:tab w:val="num" w:pos="0"/>
        </w:tabs>
        <w:ind w:left="0" w:firstLine="0"/>
      </w:pPr>
      <w:r w:rsidRPr="0053168B">
        <w:t xml:space="preserve">Como se señala en anteriores informes, </w:t>
      </w:r>
      <w:r w:rsidR="00B23DC5" w:rsidRPr="0053168B">
        <w:t>si se sigue puliendo</w:t>
      </w:r>
      <w:r w:rsidRPr="0053168B">
        <w:t xml:space="preserve"> la Base de datos MGS</w:t>
      </w:r>
      <w:r w:rsidR="00B23DC5" w:rsidRPr="0053168B">
        <w:t>,</w:t>
      </w:r>
      <w:r w:rsidRPr="0053168B">
        <w:t xml:space="preserve"> la Clasificación de Niza </w:t>
      </w:r>
      <w:r w:rsidR="00B23DC5" w:rsidRPr="0053168B">
        <w:t>podría cobrar</w:t>
      </w:r>
      <w:r w:rsidRPr="0053168B">
        <w:t xml:space="preserve"> mayor </w:t>
      </w:r>
      <w:r w:rsidR="00B23DC5" w:rsidRPr="0053168B">
        <w:t>relevancia en dos sentidos:</w:t>
      </w:r>
    </w:p>
    <w:p w:rsidR="009B538A" w:rsidRPr="0053168B" w:rsidRDefault="009B538A" w:rsidP="00B8782F">
      <w:pPr>
        <w:widowControl w:val="0"/>
      </w:pPr>
    </w:p>
    <w:p w:rsidR="00B23DC5" w:rsidRPr="0053168B" w:rsidRDefault="004A2917" w:rsidP="00B8782F">
      <w:pPr>
        <w:pStyle w:val="ONUMFS"/>
        <w:widowControl w:val="0"/>
        <w:numPr>
          <w:ilvl w:val="0"/>
          <w:numId w:val="0"/>
        </w:numPr>
        <w:ind w:left="1134" w:hanging="567"/>
      </w:pPr>
      <w:r w:rsidRPr="0053168B">
        <w:t>–</w:t>
      </w:r>
      <w:r w:rsidRPr="0053168B">
        <w:tab/>
      </w:r>
      <w:r w:rsidR="00B23DC5" w:rsidRPr="0053168B">
        <w:t xml:space="preserve">Crear una lista de las indicaciones de Niza rechazadas por varias Oficinas permitiría </w:t>
      </w:r>
      <w:r w:rsidR="00120B12" w:rsidRPr="0053168B">
        <w:t xml:space="preserve">por un lado aislar </w:t>
      </w:r>
      <w:r w:rsidR="00B23DC5" w:rsidRPr="0053168B">
        <w:t>los términos demasiado genéricos que pueden dar lugar a denegaciones provisionales</w:t>
      </w:r>
      <w:r w:rsidR="00120B12" w:rsidRPr="0053168B">
        <w:t xml:space="preserve"> y por otro estudiar la posibilidad de suprimirlos;</w:t>
      </w:r>
    </w:p>
    <w:p w:rsidR="00F0012C" w:rsidRDefault="004A2917" w:rsidP="00B8782F">
      <w:pPr>
        <w:pStyle w:val="ONUMFS"/>
        <w:widowControl w:val="0"/>
        <w:numPr>
          <w:ilvl w:val="0"/>
          <w:numId w:val="0"/>
        </w:numPr>
        <w:ind w:left="1134" w:hanging="567"/>
      </w:pPr>
      <w:r w:rsidRPr="0053168B">
        <w:t>–</w:t>
      </w:r>
      <w:r w:rsidRPr="0053168B">
        <w:tab/>
      </w:r>
      <w:r w:rsidR="00120B12" w:rsidRPr="0053168B">
        <w:t xml:space="preserve">Definir qué términos de la Base de datos MGS se emplean con mayor frecuencia permitiría crear una lista de términos </w:t>
      </w:r>
      <w:r w:rsidR="00F74E40" w:rsidRPr="0053168B">
        <w:t>que merecen ser incluidos</w:t>
      </w:r>
      <w:r w:rsidR="00120B12" w:rsidRPr="0053168B">
        <w:t xml:space="preserve"> en la lista alfabética. </w:t>
      </w:r>
    </w:p>
    <w:p w:rsidR="00F0012C" w:rsidRDefault="00F0012C">
      <w:r>
        <w:br w:type="page"/>
      </w:r>
    </w:p>
    <w:p w:rsidR="009B538A" w:rsidRPr="0053168B" w:rsidRDefault="00CA4642" w:rsidP="001A4A19">
      <w:pPr>
        <w:pStyle w:val="ONUMFS"/>
        <w:widowControl w:val="0"/>
        <w:numPr>
          <w:ilvl w:val="0"/>
          <w:numId w:val="4"/>
        </w:numPr>
        <w:tabs>
          <w:tab w:val="clear" w:pos="570"/>
          <w:tab w:val="num" w:pos="0"/>
        </w:tabs>
        <w:ind w:left="0" w:firstLine="0"/>
      </w:pPr>
      <w:r w:rsidRPr="0053168B">
        <w:t xml:space="preserve">Gracias a la incorporación de nuevos idiomas en el MGS, varias Oficinas cuentan ahora con el apoyo de la Oficina Internacional de la OMPI para la traducción de la lista alfabética de la Clasificación de Niza </w:t>
      </w:r>
      <w:r w:rsidR="005B668A">
        <w:t>a</w:t>
      </w:r>
      <w:r w:rsidRPr="0053168B">
        <w:t xml:space="preserve"> sus respectivos idiomas nacionales antes de su publicación </w:t>
      </w:r>
      <w:r w:rsidR="005B668A">
        <w:t xml:space="preserve">en sus </w:t>
      </w:r>
      <w:r w:rsidR="00BE01D6">
        <w:t xml:space="preserve">dichos </w:t>
      </w:r>
      <w:r w:rsidR="005B668A">
        <w:t>idiomas</w:t>
      </w:r>
      <w:r w:rsidRPr="0053168B">
        <w:t>.</w:t>
      </w:r>
    </w:p>
    <w:p w:rsidR="00B8782F" w:rsidRDefault="00B8782F" w:rsidP="00B8782F">
      <w:pPr>
        <w:pStyle w:val="Heading1"/>
        <w:keepNext w:val="0"/>
        <w:widowControl w:val="0"/>
      </w:pPr>
    </w:p>
    <w:p w:rsidR="009B538A" w:rsidRPr="0053168B" w:rsidRDefault="00F74E40" w:rsidP="00B8782F">
      <w:pPr>
        <w:pStyle w:val="Heading1"/>
        <w:keepNext w:val="0"/>
        <w:widowControl w:val="0"/>
      </w:pPr>
      <w:r w:rsidRPr="0053168B">
        <w:t xml:space="preserve">INDICADORES DE USO DEL MGS Y </w:t>
      </w:r>
      <w:r w:rsidR="002464B9">
        <w:t>SEGUIMIENTO</w:t>
      </w:r>
      <w:r w:rsidRPr="0053168B">
        <w:t xml:space="preserve"> DE LAS VENTAJAS </w:t>
      </w:r>
    </w:p>
    <w:p w:rsidR="00F74E40" w:rsidRPr="0053168B" w:rsidRDefault="00F74E40" w:rsidP="00B8782F">
      <w:pPr>
        <w:widowControl w:val="0"/>
      </w:pPr>
    </w:p>
    <w:p w:rsidR="009B538A" w:rsidRPr="0053168B" w:rsidRDefault="006E62DE" w:rsidP="001A4A19">
      <w:pPr>
        <w:pStyle w:val="ONUMFS"/>
        <w:widowControl w:val="0"/>
        <w:numPr>
          <w:ilvl w:val="0"/>
          <w:numId w:val="4"/>
        </w:numPr>
        <w:tabs>
          <w:tab w:val="clear" w:pos="570"/>
          <w:tab w:val="num" w:pos="0"/>
        </w:tabs>
        <w:ind w:left="0" w:firstLine="0"/>
      </w:pPr>
      <w:r w:rsidRPr="0053168B">
        <w:t xml:space="preserve">Pese a que no se realizó una actualización </w:t>
      </w:r>
      <w:r w:rsidR="00BF5264" w:rsidRPr="0053168B">
        <w:t>importante</w:t>
      </w:r>
      <w:r w:rsidRPr="0053168B">
        <w:t xml:space="preserve"> de las funciones disponibles, el número de visitas al MGS, que se había mantenido en 1</w:t>
      </w:r>
      <w:r w:rsidR="00AA376C">
        <w:t>.</w:t>
      </w:r>
      <w:r w:rsidRPr="0053168B">
        <w:t xml:space="preserve">000 por semana en 2011, </w:t>
      </w:r>
      <w:r w:rsidR="00BF5264" w:rsidRPr="0053168B">
        <w:t>registró un aumento constante, ubicándose en 2</w:t>
      </w:r>
      <w:r w:rsidR="00AA376C">
        <w:t>.</w:t>
      </w:r>
      <w:r w:rsidR="00BF5264" w:rsidRPr="0053168B">
        <w:t>000 visitas por semana</w:t>
      </w:r>
      <w:r w:rsidRPr="0053168B">
        <w:t xml:space="preserve"> en 2012 y 3</w:t>
      </w:r>
      <w:r w:rsidR="00AA376C">
        <w:t>.</w:t>
      </w:r>
      <w:r w:rsidRPr="0053168B">
        <w:t>000 durante el pr</w:t>
      </w:r>
      <w:r w:rsidR="00BF5264" w:rsidRPr="0053168B">
        <w:t xml:space="preserve">imer trimestre de 2013. </w:t>
      </w:r>
      <w:r w:rsidR="006A7B4F">
        <w:t xml:space="preserve"> </w:t>
      </w:r>
      <w:r w:rsidR="00BF5264" w:rsidRPr="0053168B">
        <w:t xml:space="preserve">Se </w:t>
      </w:r>
      <w:r w:rsidR="00006AB3" w:rsidRPr="0053168B">
        <w:t>seguirá de cerca</w:t>
      </w:r>
      <w:r w:rsidR="00BF5264" w:rsidRPr="0053168B">
        <w:t xml:space="preserve"> la e</w:t>
      </w:r>
      <w:r w:rsidR="00006AB3" w:rsidRPr="0053168B">
        <w:t xml:space="preserve">volución de este indicador </w:t>
      </w:r>
      <w:r w:rsidR="00B05F18">
        <w:t>sobre e</w:t>
      </w:r>
      <w:r w:rsidR="00006AB3" w:rsidRPr="0053168B">
        <w:t>l</w:t>
      </w:r>
      <w:r w:rsidR="00BF5264" w:rsidRPr="0053168B">
        <w:t xml:space="preserve"> acceso al MGS para medir las repercusiones de la publicación de la nueva versión en mayo de 2013</w:t>
      </w:r>
      <w:r w:rsidR="004A2917" w:rsidRPr="0053168B">
        <w:t xml:space="preserve">.  </w:t>
      </w:r>
      <w:r w:rsidR="00BF5264" w:rsidRPr="0053168B">
        <w:t>Se está estudiando la posibilidad de aplicar otros indicadores como</w:t>
      </w:r>
      <w:r w:rsidR="004A2917" w:rsidRPr="0053168B">
        <w:t xml:space="preserve">:  </w:t>
      </w:r>
    </w:p>
    <w:p w:rsidR="009B538A" w:rsidRPr="0053168B" w:rsidRDefault="004A2917" w:rsidP="00B8782F">
      <w:pPr>
        <w:pStyle w:val="ONUMFS"/>
        <w:widowControl w:val="0"/>
        <w:numPr>
          <w:ilvl w:val="0"/>
          <w:numId w:val="0"/>
        </w:numPr>
        <w:ind w:left="1134" w:hanging="567"/>
      </w:pPr>
      <w:r w:rsidRPr="0053168B">
        <w:t>–</w:t>
      </w:r>
      <w:r w:rsidRPr="0053168B">
        <w:tab/>
      </w:r>
      <w:r w:rsidR="00BF5264" w:rsidRPr="0053168B">
        <w:t xml:space="preserve">el número de Oficinas nacionales que promocionan, en sus sitios web, el uso del MGS para la presentación de solicitudes nacionales o internacionales; </w:t>
      </w:r>
    </w:p>
    <w:p w:rsidR="009B538A" w:rsidRPr="0053168B" w:rsidRDefault="004A2917" w:rsidP="00B8782F">
      <w:pPr>
        <w:pStyle w:val="ONUMFS"/>
        <w:widowControl w:val="0"/>
        <w:numPr>
          <w:ilvl w:val="0"/>
          <w:numId w:val="0"/>
        </w:numPr>
        <w:ind w:left="1134" w:hanging="567"/>
      </w:pPr>
      <w:r w:rsidRPr="0053168B">
        <w:t>–</w:t>
      </w:r>
      <w:r w:rsidRPr="0053168B">
        <w:tab/>
      </w:r>
      <w:r w:rsidR="00BF5264" w:rsidRPr="0053168B">
        <w:t xml:space="preserve">el porcentaje de traducciones a cada uno de los idiomas nacionales. </w:t>
      </w:r>
    </w:p>
    <w:p w:rsidR="009B538A" w:rsidRPr="0053168B" w:rsidRDefault="00346093" w:rsidP="001A4A19">
      <w:pPr>
        <w:pStyle w:val="ONUMFS"/>
        <w:widowControl w:val="0"/>
        <w:numPr>
          <w:ilvl w:val="0"/>
          <w:numId w:val="4"/>
        </w:numPr>
        <w:tabs>
          <w:tab w:val="clear" w:pos="570"/>
          <w:tab w:val="num" w:pos="0"/>
        </w:tabs>
        <w:ind w:left="0" w:firstLine="0"/>
      </w:pPr>
      <w:r w:rsidRPr="0053168B">
        <w:t>Antes de fines de 2013, se llevará a cab</w:t>
      </w:r>
      <w:r w:rsidR="00300190">
        <w:t xml:space="preserve">o una encuesta de satisfacción </w:t>
      </w:r>
      <w:r w:rsidRPr="0053168B">
        <w:t>e</w:t>
      </w:r>
      <w:r w:rsidR="00300190">
        <w:t>ntre</w:t>
      </w:r>
      <w:r w:rsidRPr="0053168B">
        <w:t xml:space="preserve"> los usuarios, que posteriormente se efectuará de manera periódica, para evaluar el grado de satisfacción general de los usuarios y </w:t>
      </w:r>
      <w:r w:rsidR="00B05F18">
        <w:t>recabar comentarios</w:t>
      </w:r>
      <w:r w:rsidRPr="0053168B">
        <w:t xml:space="preserve"> sobre </w:t>
      </w:r>
      <w:r w:rsidR="00B05F18">
        <w:t xml:space="preserve">las novedades que puedan tener lugar </w:t>
      </w:r>
      <w:r w:rsidR="00D27EDA">
        <w:t xml:space="preserve">posteriormente </w:t>
      </w:r>
      <w:r w:rsidR="00B05F18">
        <w:t>en el MGS</w:t>
      </w:r>
      <w:r w:rsidRPr="0053168B">
        <w:t xml:space="preserve">. </w:t>
      </w:r>
    </w:p>
    <w:p w:rsidR="00B8782F" w:rsidRDefault="00B8782F" w:rsidP="00B8782F">
      <w:pPr>
        <w:pStyle w:val="Heading1"/>
        <w:keepNext w:val="0"/>
        <w:widowControl w:val="0"/>
      </w:pPr>
    </w:p>
    <w:p w:rsidR="009B538A" w:rsidRPr="0053168B" w:rsidRDefault="00A75C6D" w:rsidP="00B8782F">
      <w:pPr>
        <w:pStyle w:val="Heading1"/>
        <w:keepNext w:val="0"/>
        <w:widowControl w:val="0"/>
      </w:pPr>
      <w:r w:rsidRPr="0053168B">
        <w:t>EVOLUCIÓN FUTURA</w:t>
      </w:r>
    </w:p>
    <w:p w:rsidR="009B538A" w:rsidRPr="0053168B" w:rsidRDefault="009B538A" w:rsidP="00B8782F">
      <w:pPr>
        <w:widowControl w:val="0"/>
      </w:pPr>
    </w:p>
    <w:p w:rsidR="009B538A" w:rsidRPr="0053168B" w:rsidRDefault="00A75C6D" w:rsidP="001A4A19">
      <w:pPr>
        <w:pStyle w:val="ONUMFS"/>
        <w:widowControl w:val="0"/>
        <w:numPr>
          <w:ilvl w:val="0"/>
          <w:numId w:val="4"/>
        </w:numPr>
        <w:tabs>
          <w:tab w:val="clear" w:pos="570"/>
          <w:tab w:val="num" w:pos="0"/>
        </w:tabs>
        <w:ind w:left="0" w:firstLine="0"/>
      </w:pPr>
      <w:r w:rsidRPr="0053168B">
        <w:t xml:space="preserve">Con el fin de atender las necesidades del conjunto de los usuarios del MGS, a saber, los solicitantes de </w:t>
      </w:r>
      <w:r w:rsidR="00D27EDA">
        <w:t>registros de marca</w:t>
      </w:r>
      <w:r w:rsidRPr="0053168B">
        <w:t xml:space="preserve">, los agentes de marcas, las Oficinas nacionales y la Oficina Internacional de la OMPI, es preciso operar las siguientes mejoras en el sistema, </w:t>
      </w:r>
      <w:r w:rsidR="002464B9">
        <w:t>que se financiarán</w:t>
      </w:r>
      <w:r w:rsidR="00DD05BC" w:rsidRPr="0053168B">
        <w:t xml:space="preserve"> </w:t>
      </w:r>
      <w:r w:rsidR="0007187F" w:rsidRPr="0053168B">
        <w:t>con cargo al</w:t>
      </w:r>
      <w:r w:rsidR="00DD05BC" w:rsidRPr="0053168B">
        <w:t xml:space="preserve"> presupuesto ordinario:</w:t>
      </w:r>
      <w:r w:rsidRPr="0053168B">
        <w:t xml:space="preserve"> </w:t>
      </w:r>
    </w:p>
    <w:p w:rsidR="009B538A" w:rsidRPr="0053168B" w:rsidRDefault="004A2917" w:rsidP="00B8782F">
      <w:pPr>
        <w:pStyle w:val="ONUMFS"/>
        <w:widowControl w:val="0"/>
        <w:numPr>
          <w:ilvl w:val="0"/>
          <w:numId w:val="0"/>
        </w:numPr>
        <w:ind w:left="1134" w:hanging="567"/>
      </w:pPr>
      <w:r w:rsidRPr="0053168B">
        <w:t>–</w:t>
      </w:r>
      <w:r w:rsidRPr="0053168B">
        <w:tab/>
      </w:r>
      <w:r w:rsidR="008223C8">
        <w:t>Ampliación</w:t>
      </w:r>
      <w:r w:rsidR="00441661" w:rsidRPr="0053168B">
        <w:t xml:space="preserve"> </w:t>
      </w:r>
      <w:r w:rsidR="00787E28">
        <w:t xml:space="preserve">de la </w:t>
      </w:r>
      <w:r w:rsidR="00441661" w:rsidRPr="0053168B">
        <w:t>función “exportar” a fi</w:t>
      </w:r>
      <w:r w:rsidR="00006AB3" w:rsidRPr="0053168B">
        <w:t>n de permitir la incorporación</w:t>
      </w:r>
      <w:r w:rsidR="005827DA">
        <w:t xml:space="preserve"> de la lista</w:t>
      </w:r>
      <w:r w:rsidR="00441661" w:rsidRPr="0053168B">
        <w:t xml:space="preserve"> de productos y servicios</w:t>
      </w:r>
      <w:r w:rsidR="0007187F" w:rsidRPr="0053168B">
        <w:t xml:space="preserve"> creada en el MGS</w:t>
      </w:r>
      <w:r w:rsidR="00441661" w:rsidRPr="0053168B">
        <w:t xml:space="preserve"> al formulario </w:t>
      </w:r>
      <w:r w:rsidR="00787E28">
        <w:t>de solicitud</w:t>
      </w:r>
      <w:r w:rsidR="00441661" w:rsidRPr="0053168B">
        <w:t xml:space="preserve"> </w:t>
      </w:r>
      <w:r w:rsidR="005827DA">
        <w:t>internacional</w:t>
      </w:r>
      <w:r w:rsidR="00787E28">
        <w:t xml:space="preserve"> MM</w:t>
      </w:r>
      <w:r w:rsidR="00441661" w:rsidRPr="0053168B">
        <w:t xml:space="preserve">;  </w:t>
      </w:r>
    </w:p>
    <w:p w:rsidR="009B538A" w:rsidRPr="002E027D" w:rsidRDefault="004A2917" w:rsidP="00B8782F">
      <w:pPr>
        <w:pStyle w:val="ONUMFS"/>
        <w:widowControl w:val="0"/>
        <w:numPr>
          <w:ilvl w:val="0"/>
          <w:numId w:val="0"/>
        </w:numPr>
        <w:ind w:left="1134" w:hanging="567"/>
      </w:pPr>
      <w:r w:rsidRPr="0053168B">
        <w:t>–</w:t>
      </w:r>
      <w:r w:rsidRPr="0053168B">
        <w:tab/>
      </w:r>
      <w:r w:rsidR="008223C8">
        <w:t>V</w:t>
      </w:r>
      <w:r w:rsidR="0057554F" w:rsidRPr="0053168B">
        <w:t xml:space="preserve">isualización de estadísticas </w:t>
      </w:r>
      <w:r w:rsidR="0003517F" w:rsidRPr="002E027D">
        <w:t>en tiempo real</w:t>
      </w:r>
      <w:r w:rsidR="0003517F" w:rsidRPr="0053168B">
        <w:t xml:space="preserve"> </w:t>
      </w:r>
      <w:r w:rsidR="0057554F" w:rsidRPr="0053168B">
        <w:t xml:space="preserve">sobre el contenido del MGS en todos los idiomas </w:t>
      </w:r>
      <w:r w:rsidR="0057554F" w:rsidRPr="002E027D">
        <w:t xml:space="preserve">disponibles; </w:t>
      </w:r>
    </w:p>
    <w:p w:rsidR="0057554F" w:rsidRPr="002E027D" w:rsidRDefault="008223C8" w:rsidP="001A4A19">
      <w:pPr>
        <w:pStyle w:val="ONUMFS"/>
        <w:widowControl w:val="0"/>
        <w:numPr>
          <w:ilvl w:val="0"/>
          <w:numId w:val="5"/>
        </w:numPr>
        <w:ind w:left="1134" w:hanging="567"/>
      </w:pPr>
      <w:r w:rsidRPr="002E027D">
        <w:t>V</w:t>
      </w:r>
      <w:r w:rsidR="0057554F" w:rsidRPr="002E027D">
        <w:t xml:space="preserve">isualización de comentarios </w:t>
      </w:r>
      <w:r w:rsidR="002E027D" w:rsidRPr="002E027D">
        <w:t>sobre</w:t>
      </w:r>
      <w:r w:rsidRPr="002E027D">
        <w:t xml:space="preserve"> </w:t>
      </w:r>
      <w:r w:rsidR="0057554F" w:rsidRPr="002E027D">
        <w:t>términos</w:t>
      </w:r>
      <w:r w:rsidR="005827DA" w:rsidRPr="002E027D">
        <w:t xml:space="preserve"> rechazados</w:t>
      </w:r>
      <w:r w:rsidR="00EF62CB">
        <w:t xml:space="preserve"> por determinada</w:t>
      </w:r>
      <w:r w:rsidR="0057554F" w:rsidRPr="002E027D">
        <w:t xml:space="preserve"> Oficina de u</w:t>
      </w:r>
      <w:r w:rsidR="009C6A1F" w:rsidRPr="002E027D">
        <w:t>na Parte Contratante designada</w:t>
      </w:r>
      <w:r w:rsidR="0057554F" w:rsidRPr="002E027D">
        <w:t xml:space="preserve">, </w:t>
      </w:r>
      <w:r w:rsidR="009C6A1F" w:rsidRPr="002E027D">
        <w:t xml:space="preserve">para </w:t>
      </w:r>
      <w:r w:rsidRPr="002E027D">
        <w:t>guiar a los solicitantes</w:t>
      </w:r>
      <w:r w:rsidR="0057554F" w:rsidRPr="002E027D">
        <w:t xml:space="preserve"> </w:t>
      </w:r>
      <w:r w:rsidR="002E027D" w:rsidRPr="002E027D">
        <w:t xml:space="preserve">con información </w:t>
      </w:r>
      <w:r w:rsidR="008B5B19">
        <w:t>facilitada por</w:t>
      </w:r>
      <w:r w:rsidR="002E027D" w:rsidRPr="002E027D">
        <w:t xml:space="preserve"> dicha Oficina, y de ser posible, </w:t>
      </w:r>
      <w:r w:rsidR="00622315">
        <w:t>visualización</w:t>
      </w:r>
      <w:r w:rsidR="002E027D" w:rsidRPr="002E027D">
        <w:t xml:space="preserve"> de </w:t>
      </w:r>
      <w:r w:rsidR="00622315">
        <w:t xml:space="preserve">alternativas que sean </w:t>
      </w:r>
      <w:r w:rsidR="0057554F" w:rsidRPr="002E027D">
        <w:t xml:space="preserve">términos aceptados; </w:t>
      </w:r>
    </w:p>
    <w:p w:rsidR="0057554F" w:rsidRPr="0053168B" w:rsidRDefault="004A2917" w:rsidP="00B8782F">
      <w:pPr>
        <w:pStyle w:val="ONUMFS"/>
        <w:widowControl w:val="0"/>
        <w:numPr>
          <w:ilvl w:val="0"/>
          <w:numId w:val="0"/>
        </w:numPr>
        <w:ind w:left="1134" w:hanging="567"/>
      </w:pPr>
      <w:r w:rsidRPr="0053168B">
        <w:t>–</w:t>
      </w:r>
      <w:r w:rsidRPr="0053168B">
        <w:tab/>
      </w:r>
      <w:r w:rsidR="008223C8">
        <w:t>Creación de</w:t>
      </w:r>
      <w:r w:rsidR="0057554F" w:rsidRPr="0053168B">
        <w:t xml:space="preserve"> una función que </w:t>
      </w:r>
      <w:r w:rsidR="009C6A1F">
        <w:t>permita</w:t>
      </w:r>
      <w:r w:rsidR="0057554F" w:rsidRPr="0053168B">
        <w:t xml:space="preserve"> la actualización automática de la información relativa a la aceptación</w:t>
      </w:r>
      <w:r w:rsidR="009C6A1F">
        <w:t xml:space="preserve"> de</w:t>
      </w:r>
      <w:r w:rsidR="0057554F" w:rsidRPr="0053168B">
        <w:t xml:space="preserve"> las Oficinas que participan en la compilación de listas armonizadas, por ejemplo, la lista </w:t>
      </w:r>
      <w:r w:rsidR="00EF62CB">
        <w:t xml:space="preserve">de las Oficinas de la Cooperación </w:t>
      </w:r>
      <w:r w:rsidR="0057554F" w:rsidRPr="0053168B">
        <w:t>Trilateral;</w:t>
      </w:r>
    </w:p>
    <w:p w:rsidR="009B538A" w:rsidRPr="0053168B" w:rsidRDefault="004A2917" w:rsidP="00B8782F">
      <w:pPr>
        <w:pStyle w:val="ONUMFS"/>
        <w:widowControl w:val="0"/>
        <w:numPr>
          <w:ilvl w:val="0"/>
          <w:numId w:val="0"/>
        </w:numPr>
        <w:ind w:left="1134" w:hanging="567"/>
      </w:pPr>
      <w:r w:rsidRPr="0053168B">
        <w:t>–</w:t>
      </w:r>
      <w:r w:rsidRPr="0053168B">
        <w:tab/>
      </w:r>
      <w:r w:rsidR="008223C8">
        <w:t>Creación de</w:t>
      </w:r>
      <w:r w:rsidR="0057554F" w:rsidRPr="0053168B">
        <w:t xml:space="preserve"> una función que </w:t>
      </w:r>
      <w:r w:rsidR="002124F7" w:rsidRPr="0053168B">
        <w:t>permita a las Oficinas participantes actualizar</w:t>
      </w:r>
      <w:r w:rsidR="00006AB3" w:rsidRPr="0053168B">
        <w:t xml:space="preserve"> directamente</w:t>
      </w:r>
      <w:r w:rsidR="0057554F" w:rsidRPr="0053168B">
        <w:t xml:space="preserve"> la información relativa a la aceptación</w:t>
      </w:r>
      <w:r w:rsidRPr="0053168B">
        <w:t>;</w:t>
      </w:r>
    </w:p>
    <w:p w:rsidR="00F0012C" w:rsidRDefault="004A2917" w:rsidP="00B8782F">
      <w:pPr>
        <w:pStyle w:val="ONUMFS"/>
        <w:widowControl w:val="0"/>
        <w:numPr>
          <w:ilvl w:val="0"/>
          <w:numId w:val="0"/>
        </w:numPr>
        <w:ind w:left="1134" w:hanging="567"/>
      </w:pPr>
      <w:r w:rsidRPr="0053168B">
        <w:t>–</w:t>
      </w:r>
      <w:r w:rsidRPr="0053168B">
        <w:tab/>
      </w:r>
      <w:r w:rsidR="008223C8">
        <w:t>Creación de</w:t>
      </w:r>
      <w:r w:rsidR="002124F7" w:rsidRPr="0053168B">
        <w:t xml:space="preserve"> un flujo de actualización de la Base de datos</w:t>
      </w:r>
      <w:r w:rsidR="00006AB3" w:rsidRPr="0053168B">
        <w:t>, gestionado por</w:t>
      </w:r>
      <w:r w:rsidR="002124F7" w:rsidRPr="0053168B">
        <w:t xml:space="preserve"> la Oficina Internacional de la OMPI, con el fin de aumentar el volumen y la pertinencia de los datos; </w:t>
      </w:r>
    </w:p>
    <w:p w:rsidR="00F0012C" w:rsidRDefault="00F0012C">
      <w:r>
        <w:br w:type="page"/>
      </w:r>
    </w:p>
    <w:p w:rsidR="009B538A" w:rsidRPr="0053168B" w:rsidRDefault="004A2917" w:rsidP="00B8782F">
      <w:pPr>
        <w:pStyle w:val="ONUMFS"/>
        <w:widowControl w:val="0"/>
        <w:numPr>
          <w:ilvl w:val="0"/>
          <w:numId w:val="0"/>
        </w:numPr>
        <w:ind w:left="1134" w:hanging="567"/>
      </w:pPr>
      <w:r w:rsidRPr="0053168B">
        <w:t>–</w:t>
      </w:r>
      <w:r w:rsidRPr="0053168B">
        <w:tab/>
      </w:r>
      <w:r w:rsidR="008223C8">
        <w:t>Desarrollo de</w:t>
      </w:r>
      <w:r w:rsidR="002124F7" w:rsidRPr="0053168B">
        <w:t xml:space="preserve"> una aplicación para el servicio interno </w:t>
      </w:r>
      <w:r w:rsidR="009C6A1F">
        <w:t>con el fin de</w:t>
      </w:r>
      <w:r w:rsidR="00A951E1" w:rsidRPr="0053168B">
        <w:t xml:space="preserve"> que el</w:t>
      </w:r>
      <w:r w:rsidR="00DC64E4" w:rsidRPr="0053168B">
        <w:t xml:space="preserve"> personal de la Oficina Internacional de la OMPI que no sea especialista en Tecnologías de la Información </w:t>
      </w:r>
      <w:r w:rsidR="00A951E1" w:rsidRPr="0053168B">
        <w:t xml:space="preserve">pueda </w:t>
      </w:r>
      <w:r w:rsidR="00DC64E4" w:rsidRPr="0053168B">
        <w:t>gestionar la Base.</w:t>
      </w:r>
    </w:p>
    <w:p w:rsidR="009B538A" w:rsidRPr="00B8782F" w:rsidRDefault="00DC64E4" w:rsidP="001A4A19">
      <w:pPr>
        <w:pStyle w:val="ONUMFS"/>
        <w:widowControl w:val="0"/>
        <w:numPr>
          <w:ilvl w:val="0"/>
          <w:numId w:val="4"/>
        </w:numPr>
        <w:tabs>
          <w:tab w:val="clear" w:pos="570"/>
          <w:tab w:val="num" w:pos="0"/>
        </w:tabs>
        <w:ind w:left="5533" w:firstLine="0"/>
        <w:rPr>
          <w:i/>
        </w:rPr>
      </w:pPr>
      <w:r w:rsidRPr="00B8782F">
        <w:rPr>
          <w:i/>
        </w:rPr>
        <w:t>Se invita a la Asamblea a:</w:t>
      </w:r>
    </w:p>
    <w:p w:rsidR="000F403A" w:rsidRPr="0053168B" w:rsidRDefault="00DC64E4" w:rsidP="001A4A19">
      <w:pPr>
        <w:pStyle w:val="ONUMFS"/>
        <w:widowControl w:val="0"/>
        <w:numPr>
          <w:ilvl w:val="2"/>
          <w:numId w:val="3"/>
        </w:numPr>
        <w:tabs>
          <w:tab w:val="left" w:pos="6820"/>
        </w:tabs>
        <w:ind w:left="6237"/>
        <w:rPr>
          <w:i/>
        </w:rPr>
      </w:pPr>
      <w:r w:rsidRPr="0053168B">
        <w:rPr>
          <w:i/>
        </w:rPr>
        <w:t xml:space="preserve">tomar nota de los avances realizados en la </w:t>
      </w:r>
      <w:r w:rsidR="000F403A" w:rsidRPr="0053168B">
        <w:rPr>
          <w:i/>
        </w:rPr>
        <w:t>puesta en funcionamiento</w:t>
      </w:r>
      <w:r w:rsidRPr="0053168B">
        <w:rPr>
          <w:i/>
        </w:rPr>
        <w:t xml:space="preserve"> de la Base de datos </w:t>
      </w:r>
      <w:r w:rsidR="0007187F" w:rsidRPr="0053168B">
        <w:rPr>
          <w:i/>
        </w:rPr>
        <w:t>MGS</w:t>
      </w:r>
      <w:r w:rsidRPr="0053168B">
        <w:rPr>
          <w:i/>
        </w:rPr>
        <w:t xml:space="preserve"> según lo descrito en el presente documento, al 30 de mayo de 2013;</w:t>
      </w:r>
    </w:p>
    <w:p w:rsidR="000F403A" w:rsidRPr="0053168B" w:rsidRDefault="005D291A" w:rsidP="001A4A19">
      <w:pPr>
        <w:pStyle w:val="ONUMFS"/>
        <w:widowControl w:val="0"/>
        <w:numPr>
          <w:ilvl w:val="2"/>
          <w:numId w:val="3"/>
        </w:numPr>
        <w:tabs>
          <w:tab w:val="left" w:pos="6820"/>
        </w:tabs>
        <w:ind w:left="6237"/>
        <w:rPr>
          <w:i/>
        </w:rPr>
      </w:pPr>
      <w:r w:rsidRPr="0053168B">
        <w:rPr>
          <w:i/>
        </w:rPr>
        <w:t xml:space="preserve">tomar nota de que se </w:t>
      </w:r>
      <w:r w:rsidR="000F403A" w:rsidRPr="0053168B">
        <w:rPr>
          <w:i/>
        </w:rPr>
        <w:t>de</w:t>
      </w:r>
      <w:r w:rsidRPr="0053168B">
        <w:rPr>
          <w:i/>
        </w:rPr>
        <w:t>stinarán</w:t>
      </w:r>
      <w:r w:rsidR="000F403A" w:rsidRPr="0053168B">
        <w:rPr>
          <w:i/>
        </w:rPr>
        <w:t xml:space="preserve"> los fondos restantes </w:t>
      </w:r>
      <w:r w:rsidR="00A40674">
        <w:rPr>
          <w:i/>
        </w:rPr>
        <w:t xml:space="preserve">del proyecto </w:t>
      </w:r>
      <w:r w:rsidR="002D6A60">
        <w:rPr>
          <w:i/>
        </w:rPr>
        <w:t>(véase el párrafo 26</w:t>
      </w:r>
      <w:r w:rsidR="000F403A" w:rsidRPr="0053168B">
        <w:rPr>
          <w:i/>
        </w:rPr>
        <w:t xml:space="preserve"> </w:t>
      </w:r>
      <w:r w:rsidRPr="0053168B">
        <w:rPr>
          <w:i/>
        </w:rPr>
        <w:t>del presente documento) a</w:t>
      </w:r>
      <w:r w:rsidR="000F403A" w:rsidRPr="0053168B">
        <w:rPr>
          <w:i/>
        </w:rPr>
        <w:t xml:space="preserve"> brindar apoyo financiero a </w:t>
      </w:r>
      <w:r w:rsidR="00464802" w:rsidRPr="0053168B">
        <w:rPr>
          <w:i/>
        </w:rPr>
        <w:t>ciertas</w:t>
      </w:r>
      <w:r w:rsidR="000F403A" w:rsidRPr="0053168B">
        <w:rPr>
          <w:i/>
        </w:rPr>
        <w:t xml:space="preserve"> Oficinas</w:t>
      </w:r>
      <w:r w:rsidR="00464802" w:rsidRPr="0053168B">
        <w:rPr>
          <w:i/>
        </w:rPr>
        <w:t xml:space="preserve"> interesadas</w:t>
      </w:r>
      <w:r w:rsidR="000F403A" w:rsidRPr="0053168B">
        <w:rPr>
          <w:i/>
        </w:rPr>
        <w:t xml:space="preserve"> </w:t>
      </w:r>
      <w:r w:rsidR="00464802" w:rsidRPr="0053168B">
        <w:rPr>
          <w:i/>
        </w:rPr>
        <w:t xml:space="preserve">y participantes </w:t>
      </w:r>
      <w:r w:rsidR="000F403A" w:rsidRPr="0053168B">
        <w:rPr>
          <w:i/>
        </w:rPr>
        <w:t xml:space="preserve">para finalizar la traducción de la Base de datos </w:t>
      </w:r>
      <w:r w:rsidR="0007187F" w:rsidRPr="0053168B">
        <w:rPr>
          <w:i/>
        </w:rPr>
        <w:t>MGS</w:t>
      </w:r>
      <w:r w:rsidR="000F403A" w:rsidRPr="0053168B">
        <w:rPr>
          <w:i/>
        </w:rPr>
        <w:t xml:space="preserve">, con el fin de que esté disponible en </w:t>
      </w:r>
      <w:r w:rsidRPr="0053168B">
        <w:rPr>
          <w:i/>
        </w:rPr>
        <w:t xml:space="preserve">sus </w:t>
      </w:r>
      <w:r w:rsidR="000F403A" w:rsidRPr="0053168B">
        <w:rPr>
          <w:i/>
        </w:rPr>
        <w:t>idiomas</w:t>
      </w:r>
      <w:r w:rsidRPr="0053168B">
        <w:rPr>
          <w:i/>
        </w:rPr>
        <w:t xml:space="preserve"> nacionales;</w:t>
      </w:r>
    </w:p>
    <w:p w:rsidR="009B538A" w:rsidRPr="0053168B" w:rsidRDefault="000F403A" w:rsidP="001A4A19">
      <w:pPr>
        <w:pStyle w:val="ONUMFS"/>
        <w:widowControl w:val="0"/>
        <w:numPr>
          <w:ilvl w:val="2"/>
          <w:numId w:val="3"/>
        </w:numPr>
        <w:tabs>
          <w:tab w:val="left" w:pos="6820"/>
        </w:tabs>
        <w:ind w:left="6237"/>
        <w:rPr>
          <w:i/>
        </w:rPr>
      </w:pPr>
      <w:r w:rsidRPr="0053168B">
        <w:rPr>
          <w:i/>
        </w:rPr>
        <w:t xml:space="preserve">pedir a la Oficina Internacional de la OMPI que presente un informe a la Asamblea en 2014 sobre la labor de puesta en funcionamiento de la Base de datos </w:t>
      </w:r>
      <w:r w:rsidR="0007187F" w:rsidRPr="0053168B">
        <w:rPr>
          <w:i/>
        </w:rPr>
        <w:t>MGS</w:t>
      </w:r>
      <w:r w:rsidRPr="0053168B">
        <w:rPr>
          <w:i/>
        </w:rPr>
        <w:t>.</w:t>
      </w:r>
    </w:p>
    <w:p w:rsidR="009B538A" w:rsidRPr="003234F1" w:rsidRDefault="009B538A" w:rsidP="00B8782F">
      <w:pPr>
        <w:widowControl w:val="0"/>
        <w:rPr>
          <w:lang w:val="es-ES_tradnl"/>
        </w:rPr>
      </w:pPr>
    </w:p>
    <w:p w:rsidR="004A2917" w:rsidRPr="003A5696" w:rsidRDefault="004A2917" w:rsidP="00B8782F">
      <w:pPr>
        <w:pStyle w:val="Endofdocument-Annex"/>
        <w:widowControl w:val="0"/>
        <w:rPr>
          <w:lang w:val="es-ES"/>
        </w:rPr>
      </w:pPr>
      <w:r w:rsidRPr="003A5696">
        <w:rPr>
          <w:lang w:val="es-ES"/>
        </w:rPr>
        <w:t>[</w:t>
      </w:r>
      <w:r w:rsidR="005D291A" w:rsidRPr="003A5696">
        <w:rPr>
          <w:lang w:val="es-ES"/>
        </w:rPr>
        <w:t>Siguen los Anexos</w:t>
      </w:r>
      <w:r w:rsidRPr="003A5696">
        <w:rPr>
          <w:lang w:val="es-ES"/>
        </w:rPr>
        <w:t>]</w:t>
      </w:r>
    </w:p>
    <w:p w:rsidR="009D1C05" w:rsidRDefault="009D1C05" w:rsidP="00B8782F">
      <w:pPr>
        <w:widowControl w:val="0"/>
        <w:ind w:left="5533"/>
      </w:pPr>
    </w:p>
    <w:p w:rsidR="009D1C05" w:rsidRDefault="009D1C05" w:rsidP="00B8782F">
      <w:pPr>
        <w:widowControl w:val="0"/>
        <w:ind w:left="5533"/>
      </w:pPr>
    </w:p>
    <w:p w:rsidR="009D1C05" w:rsidRDefault="009D1C05" w:rsidP="00B8782F">
      <w:pPr>
        <w:widowControl w:val="0"/>
        <w:ind w:left="5533"/>
      </w:pPr>
    </w:p>
    <w:p w:rsidR="009D1C05" w:rsidRDefault="009D1C05" w:rsidP="00B8782F">
      <w:pPr>
        <w:widowControl w:val="0"/>
        <w:sectPr w:rsidR="009D1C05" w:rsidSect="006C26D2">
          <w:headerReference w:type="default" r:id="rId10"/>
          <w:endnotePr>
            <w:numFmt w:val="decimal"/>
          </w:endnotePr>
          <w:type w:val="continuous"/>
          <w:pgSz w:w="11907" w:h="16840" w:code="9"/>
          <w:pgMar w:top="567" w:right="1134" w:bottom="1077" w:left="1418" w:header="510" w:footer="1021" w:gutter="0"/>
          <w:cols w:space="720"/>
          <w:titlePg/>
          <w:docGrid w:linePitch="299"/>
        </w:sectPr>
      </w:pPr>
    </w:p>
    <w:p w:rsidR="009B538A" w:rsidRPr="00436407" w:rsidRDefault="009B538A" w:rsidP="00B8782F">
      <w:pPr>
        <w:widowControl w:val="0"/>
      </w:pPr>
    </w:p>
    <w:p w:rsidR="009B538A" w:rsidRPr="00436407" w:rsidRDefault="009B538A" w:rsidP="00B8782F">
      <w:pPr>
        <w:widowControl w:val="0"/>
      </w:pPr>
    </w:p>
    <w:p w:rsidR="009B538A" w:rsidRPr="00436407" w:rsidRDefault="009B538A" w:rsidP="00B8782F">
      <w:pPr>
        <w:widowControl w:val="0"/>
      </w:pPr>
    </w:p>
    <w:p w:rsidR="009B538A" w:rsidRPr="00436407" w:rsidRDefault="009B538A" w:rsidP="00B8782F">
      <w:pPr>
        <w:widowControl w:val="0"/>
      </w:pPr>
    </w:p>
    <w:p w:rsidR="009B538A" w:rsidRPr="00436407" w:rsidRDefault="00F24B66" w:rsidP="00B8782F">
      <w:pPr>
        <w:widowControl w:val="0"/>
      </w:pPr>
      <w:r>
        <w:rPr>
          <w:noProof/>
          <w:lang w:val="en-US" w:eastAsia="en-US"/>
        </w:rPr>
        <w:drawing>
          <wp:anchor distT="0" distB="0" distL="114300" distR="114300" simplePos="0" relativeHeight="251657728" behindDoc="0" locked="0" layoutInCell="0" allowOverlap="1" wp14:anchorId="58B1A982" wp14:editId="32C0D797">
            <wp:simplePos x="0" y="0"/>
            <wp:positionH relativeFrom="character">
              <wp:posOffset>1133475</wp:posOffset>
            </wp:positionH>
            <wp:positionV relativeFrom="line">
              <wp:posOffset>58420</wp:posOffset>
            </wp:positionV>
            <wp:extent cx="3193415" cy="6563995"/>
            <wp:effectExtent l="0" t="0" r="698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3415" cy="6563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38A" w:rsidRPr="00436407" w:rsidRDefault="009B538A" w:rsidP="00B8782F">
      <w:pPr>
        <w:widowControl w:val="0"/>
      </w:pPr>
    </w:p>
    <w:p w:rsidR="009B538A" w:rsidRPr="00436407" w:rsidRDefault="009B538A" w:rsidP="00B8782F">
      <w:pPr>
        <w:widowControl w:val="0"/>
      </w:pPr>
    </w:p>
    <w:p w:rsidR="009B538A" w:rsidRDefault="009B538A"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pPr>
    </w:p>
    <w:p w:rsidR="009D1C05" w:rsidRPr="00436407" w:rsidRDefault="009D1C05" w:rsidP="00B8782F">
      <w:pPr>
        <w:widowControl w:val="0"/>
      </w:pPr>
    </w:p>
    <w:p w:rsidR="009B538A" w:rsidRPr="00436407" w:rsidRDefault="005D291A" w:rsidP="00B8782F">
      <w:pPr>
        <w:widowControl w:val="0"/>
        <w:ind w:left="5533"/>
        <w:rPr>
          <w:i/>
        </w:rPr>
      </w:pPr>
      <w:r>
        <w:t>[Sigue el Anexo II</w:t>
      </w:r>
      <w:r w:rsidR="004A2917" w:rsidRPr="00436407">
        <w:t>]</w:t>
      </w:r>
    </w:p>
    <w:p w:rsidR="009B538A" w:rsidRDefault="009B538A" w:rsidP="00B8782F">
      <w:pPr>
        <w:widowControl w:val="0"/>
      </w:pPr>
    </w:p>
    <w:p w:rsidR="009D1C05" w:rsidRDefault="009D1C05" w:rsidP="00B8782F">
      <w:pPr>
        <w:widowControl w:val="0"/>
      </w:pPr>
    </w:p>
    <w:p w:rsidR="009D1C05" w:rsidRDefault="009D1C05" w:rsidP="00B8782F">
      <w:pPr>
        <w:widowControl w:val="0"/>
      </w:pPr>
    </w:p>
    <w:p w:rsidR="009D1C05" w:rsidRDefault="009D1C05" w:rsidP="00B8782F">
      <w:pPr>
        <w:widowControl w:val="0"/>
        <w:sectPr w:rsidR="009D1C05" w:rsidSect="009D1C05">
          <w:headerReference w:type="first" r:id="rId12"/>
          <w:endnotePr>
            <w:numFmt w:val="decimal"/>
          </w:endnotePr>
          <w:pgSz w:w="11907" w:h="16840" w:code="9"/>
          <w:pgMar w:top="567" w:right="1134" w:bottom="1077" w:left="1418" w:header="510" w:footer="1021" w:gutter="0"/>
          <w:cols w:space="720"/>
          <w:titlePg/>
          <w:docGrid w:linePitch="299"/>
        </w:sectPr>
      </w:pPr>
    </w:p>
    <w:p w:rsidR="009D1C05" w:rsidRPr="00436407" w:rsidRDefault="009D1C05" w:rsidP="002378E8">
      <w:pPr>
        <w:widowControl w:val="0"/>
        <w:ind w:left="709"/>
      </w:pPr>
    </w:p>
    <w:p w:rsidR="009D1C05" w:rsidRDefault="00760F3E" w:rsidP="00760F3E">
      <w:pPr>
        <w:widowControl w:val="0"/>
        <w:ind w:left="709"/>
      </w:pPr>
      <w:r>
        <w:rPr>
          <w:noProof/>
          <w:lang w:val="en-US" w:eastAsia="en-US"/>
        </w:rPr>
        <w:drawing>
          <wp:inline distT="0" distB="0" distL="0" distR="0" wp14:anchorId="57E93ACF" wp14:editId="2981F755">
            <wp:extent cx="7737367" cy="4773881"/>
            <wp:effectExtent l="0" t="4128"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756773" cy="4785854"/>
                    </a:xfrm>
                    <a:prstGeom prst="rect">
                      <a:avLst/>
                    </a:prstGeom>
                    <a:noFill/>
                  </pic:spPr>
                </pic:pic>
              </a:graphicData>
            </a:graphic>
          </wp:inline>
        </w:drawing>
      </w:r>
    </w:p>
    <w:p w:rsidR="00760F3E" w:rsidRDefault="00760F3E" w:rsidP="00760F3E">
      <w:pPr>
        <w:widowControl w:val="0"/>
        <w:ind w:left="709"/>
      </w:pPr>
    </w:p>
    <w:p w:rsidR="009D1C05" w:rsidRDefault="009D1C05" w:rsidP="002378E8">
      <w:pPr>
        <w:widowControl w:val="0"/>
        <w:ind w:left="709"/>
      </w:pPr>
    </w:p>
    <w:p w:rsidR="009B538A" w:rsidRDefault="004A2917" w:rsidP="00B8782F">
      <w:pPr>
        <w:widowControl w:val="0"/>
        <w:ind w:left="5533"/>
      </w:pPr>
      <w:r w:rsidRPr="00436407">
        <w:t>[</w:t>
      </w:r>
      <w:r w:rsidR="005D291A">
        <w:t>Sigue el Anexo III</w:t>
      </w:r>
      <w:r w:rsidRPr="00436407">
        <w:t>]</w:t>
      </w:r>
    </w:p>
    <w:p w:rsidR="009D1C05" w:rsidRDefault="009D1C05" w:rsidP="00B8782F">
      <w:pPr>
        <w:widowControl w:val="0"/>
        <w:ind w:left="5533"/>
      </w:pPr>
    </w:p>
    <w:p w:rsidR="009D1C05" w:rsidRPr="00436407" w:rsidRDefault="009D1C05" w:rsidP="00B8782F">
      <w:pPr>
        <w:widowControl w:val="0"/>
        <w:ind w:left="5533"/>
        <w:rPr>
          <w:i/>
        </w:rPr>
      </w:pPr>
    </w:p>
    <w:p w:rsidR="004A2917" w:rsidRPr="00436407" w:rsidRDefault="004A2917" w:rsidP="00B8782F">
      <w:pPr>
        <w:widowControl w:val="0"/>
        <w:sectPr w:rsidR="004A2917" w:rsidRPr="00436407" w:rsidSect="009D1C05">
          <w:headerReference w:type="default" r:id="rId14"/>
          <w:headerReference w:type="first" r:id="rId15"/>
          <w:endnotePr>
            <w:numFmt w:val="decimal"/>
          </w:endnotePr>
          <w:pgSz w:w="11907" w:h="16840" w:code="9"/>
          <w:pgMar w:top="567" w:right="1134" w:bottom="1077" w:left="1418" w:header="510" w:footer="1021" w:gutter="0"/>
          <w:cols w:space="720"/>
          <w:titlePg/>
          <w:docGrid w:linePitch="299"/>
        </w:sectPr>
      </w:pPr>
    </w:p>
    <w:p w:rsidR="00760F3E" w:rsidRDefault="00760F3E" w:rsidP="00760F3E">
      <w:pPr>
        <w:widowControl w:val="0"/>
        <w:ind w:left="567"/>
      </w:pPr>
    </w:p>
    <w:p w:rsidR="00760F3E" w:rsidRDefault="00760F3E" w:rsidP="00760F3E">
      <w:pPr>
        <w:widowControl w:val="0"/>
        <w:ind w:left="567"/>
      </w:pPr>
    </w:p>
    <w:p w:rsidR="00760F3E" w:rsidRDefault="00760F3E" w:rsidP="00760F3E">
      <w:pPr>
        <w:widowControl w:val="0"/>
        <w:ind w:left="567"/>
      </w:pPr>
      <w:r>
        <w:rPr>
          <w:noProof/>
          <w:lang w:val="en-US" w:eastAsia="en-US"/>
        </w:rPr>
        <w:drawing>
          <wp:inline distT="0" distB="0" distL="0" distR="0" wp14:anchorId="5E91918C" wp14:editId="118983F3">
            <wp:extent cx="7040904" cy="4619696"/>
            <wp:effectExtent l="0" t="8573"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7054442" cy="4628579"/>
                    </a:xfrm>
                    <a:prstGeom prst="rect">
                      <a:avLst/>
                    </a:prstGeom>
                    <a:noFill/>
                  </pic:spPr>
                </pic:pic>
              </a:graphicData>
            </a:graphic>
          </wp:inline>
        </w:drawing>
      </w:r>
    </w:p>
    <w:p w:rsidR="00760F3E" w:rsidRDefault="00760F3E" w:rsidP="00B8782F">
      <w:pPr>
        <w:widowControl w:val="0"/>
        <w:ind w:left="5533"/>
      </w:pPr>
    </w:p>
    <w:p w:rsidR="00760F3E" w:rsidRDefault="00760F3E" w:rsidP="00B8782F">
      <w:pPr>
        <w:widowControl w:val="0"/>
        <w:ind w:left="5533"/>
      </w:pPr>
    </w:p>
    <w:p w:rsidR="009B538A" w:rsidRDefault="004A2917" w:rsidP="00B8782F">
      <w:pPr>
        <w:widowControl w:val="0"/>
        <w:ind w:left="5533"/>
      </w:pPr>
      <w:r w:rsidRPr="00436407">
        <w:t>[</w:t>
      </w:r>
      <w:r w:rsidR="005D291A">
        <w:t>Sigue el Anexo IV</w:t>
      </w:r>
      <w:r w:rsidRPr="00436407">
        <w:t>]</w:t>
      </w:r>
    </w:p>
    <w:p w:rsidR="009D1C05" w:rsidRDefault="009D1C05" w:rsidP="00B8782F">
      <w:pPr>
        <w:widowControl w:val="0"/>
        <w:ind w:left="5533"/>
      </w:pPr>
    </w:p>
    <w:p w:rsidR="009D1C05" w:rsidRPr="00436407" w:rsidRDefault="009D1C05" w:rsidP="00B8782F">
      <w:pPr>
        <w:widowControl w:val="0"/>
        <w:ind w:left="5533"/>
      </w:pPr>
    </w:p>
    <w:p w:rsidR="004A2917" w:rsidRDefault="004A2917" w:rsidP="00B8782F">
      <w:pPr>
        <w:widowControl w:val="0"/>
      </w:pPr>
    </w:p>
    <w:p w:rsidR="003A5696" w:rsidRDefault="003A5696" w:rsidP="00B8782F">
      <w:pPr>
        <w:widowControl w:val="0"/>
      </w:pPr>
    </w:p>
    <w:p w:rsidR="003A5696" w:rsidRPr="00436407" w:rsidRDefault="003A5696" w:rsidP="00B8782F">
      <w:pPr>
        <w:widowControl w:val="0"/>
        <w:sectPr w:rsidR="003A5696" w:rsidRPr="00436407" w:rsidSect="006C26D2">
          <w:headerReference w:type="first" r:id="rId17"/>
          <w:endnotePr>
            <w:numFmt w:val="decimal"/>
          </w:endnotePr>
          <w:pgSz w:w="11907" w:h="16840" w:code="9"/>
          <w:pgMar w:top="567" w:right="1134" w:bottom="1077" w:left="1418" w:header="510" w:footer="1021" w:gutter="0"/>
          <w:cols w:space="720"/>
          <w:titlePg/>
          <w:docGrid w:linePitch="299"/>
        </w:sectPr>
      </w:pPr>
    </w:p>
    <w:p w:rsidR="00FA03A4" w:rsidRDefault="00F0012C" w:rsidP="00B8782F">
      <w:pPr>
        <w:widowControl w:val="0"/>
      </w:pPr>
      <w:r w:rsidRPr="00F0012C">
        <w:rPr>
          <w:noProof/>
          <w:lang w:val="en-US" w:eastAsia="en-US"/>
        </w:rPr>
        <w:drawing>
          <wp:inline distT="0" distB="0" distL="0" distR="0">
            <wp:extent cx="5140094" cy="82177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4201" cy="8224289"/>
                    </a:xfrm>
                    <a:prstGeom prst="rect">
                      <a:avLst/>
                    </a:prstGeom>
                    <a:noFill/>
                    <a:ln>
                      <a:noFill/>
                    </a:ln>
                  </pic:spPr>
                </pic:pic>
              </a:graphicData>
            </a:graphic>
          </wp:inline>
        </w:drawing>
      </w:r>
    </w:p>
    <w:p w:rsidR="001A4A19" w:rsidRDefault="001A4A19" w:rsidP="00B8782F">
      <w:pPr>
        <w:widowControl w:val="0"/>
        <w:rPr>
          <w:sz w:val="18"/>
          <w:szCs w:val="18"/>
        </w:rPr>
      </w:pPr>
    </w:p>
    <w:p w:rsidR="00FA03A4" w:rsidRPr="001A4A19" w:rsidRDefault="00FA03A4" w:rsidP="00B8782F">
      <w:pPr>
        <w:widowControl w:val="0"/>
        <w:rPr>
          <w:sz w:val="18"/>
          <w:szCs w:val="18"/>
        </w:rPr>
      </w:pPr>
      <w:r w:rsidRPr="001A4A19">
        <w:rPr>
          <w:sz w:val="18"/>
          <w:szCs w:val="18"/>
        </w:rPr>
        <w:t>Nota:  las estadísticas relativas a denegaciones provisionales no permiten conocer qué parte de ellas corresponde a descripciones de productos y servicios antes que a otros motivos, por ejemplo, la superposición de la protección con marcas existentes.</w:t>
      </w:r>
    </w:p>
    <w:p w:rsidR="009B538A" w:rsidRPr="00436407" w:rsidRDefault="009B538A" w:rsidP="00B8782F">
      <w:pPr>
        <w:widowControl w:val="0"/>
      </w:pPr>
    </w:p>
    <w:p w:rsidR="00152CEA" w:rsidRPr="005D291A" w:rsidRDefault="004A2917" w:rsidP="00B8782F">
      <w:pPr>
        <w:widowControl w:val="0"/>
        <w:ind w:left="5533"/>
        <w:rPr>
          <w:lang w:val="es-ES_tradnl"/>
        </w:rPr>
      </w:pPr>
      <w:r w:rsidRPr="00436407">
        <w:t>[</w:t>
      </w:r>
      <w:r w:rsidR="002D3BCE">
        <w:t xml:space="preserve">Fin del Anexo </w:t>
      </w:r>
      <w:r w:rsidR="00FA03A4">
        <w:t>I</w:t>
      </w:r>
      <w:r w:rsidR="005D291A">
        <w:t>V y del documento</w:t>
      </w:r>
      <w:r w:rsidR="00F42A69">
        <w:t>]</w:t>
      </w:r>
    </w:p>
    <w:sectPr w:rsidR="00152CEA" w:rsidRPr="005D291A" w:rsidSect="00DF2130">
      <w:headerReference w:type="default" r:id="rId19"/>
      <w:headerReference w:type="first" r:id="rId2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44" w:rsidRDefault="00755A44">
      <w:r>
        <w:separator/>
      </w:r>
    </w:p>
  </w:endnote>
  <w:endnote w:type="continuationSeparator" w:id="0">
    <w:p w:rsidR="00755A44" w:rsidRPr="009D30E6" w:rsidRDefault="00755A44" w:rsidP="007E663E">
      <w:pPr>
        <w:rPr>
          <w:sz w:val="17"/>
          <w:szCs w:val="17"/>
        </w:rPr>
      </w:pPr>
      <w:r w:rsidRPr="009D30E6">
        <w:rPr>
          <w:sz w:val="17"/>
          <w:szCs w:val="17"/>
        </w:rPr>
        <w:separator/>
      </w:r>
    </w:p>
    <w:p w:rsidR="00755A44" w:rsidRPr="007E663E" w:rsidRDefault="00755A44" w:rsidP="007E663E">
      <w:pPr>
        <w:spacing w:after="60"/>
        <w:rPr>
          <w:sz w:val="17"/>
          <w:szCs w:val="17"/>
        </w:rPr>
      </w:pPr>
      <w:r>
        <w:rPr>
          <w:sz w:val="17"/>
        </w:rPr>
        <w:t>[Continuación de la nota de la página anterior]</w:t>
      </w:r>
    </w:p>
  </w:endnote>
  <w:endnote w:type="continuationNotice" w:id="1">
    <w:p w:rsidR="00755A44" w:rsidRPr="007E663E" w:rsidRDefault="00755A4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44" w:rsidRDefault="00755A44">
      <w:r>
        <w:separator/>
      </w:r>
    </w:p>
  </w:footnote>
  <w:footnote w:type="continuationSeparator" w:id="0">
    <w:p w:rsidR="00755A44" w:rsidRPr="009D30E6" w:rsidRDefault="00755A44" w:rsidP="007E663E">
      <w:pPr>
        <w:rPr>
          <w:sz w:val="17"/>
          <w:szCs w:val="17"/>
        </w:rPr>
      </w:pPr>
      <w:r w:rsidRPr="009D30E6">
        <w:rPr>
          <w:sz w:val="17"/>
          <w:szCs w:val="17"/>
        </w:rPr>
        <w:separator/>
      </w:r>
    </w:p>
    <w:p w:rsidR="00755A44" w:rsidRPr="007E663E" w:rsidRDefault="00755A44" w:rsidP="007E663E">
      <w:pPr>
        <w:spacing w:after="60"/>
        <w:rPr>
          <w:sz w:val="17"/>
          <w:szCs w:val="17"/>
        </w:rPr>
      </w:pPr>
      <w:r>
        <w:rPr>
          <w:sz w:val="17"/>
        </w:rPr>
        <w:t>[Continuación de la nota de la página anterior]</w:t>
      </w:r>
    </w:p>
  </w:footnote>
  <w:footnote w:type="continuationNotice" w:id="1">
    <w:p w:rsidR="00755A44" w:rsidRPr="007E663E" w:rsidRDefault="00755A4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A5" w:rsidRDefault="008928A5" w:rsidP="009D1C05">
    <w:pPr>
      <w:pStyle w:val="Header"/>
      <w:jc w:val="right"/>
    </w:pPr>
    <w:r>
      <w:t>MM/A/46/2</w:t>
    </w:r>
    <w:r w:rsidR="002D6A60">
      <w:t xml:space="preserve"> Rev.</w:t>
    </w:r>
  </w:p>
  <w:p w:rsidR="008928A5" w:rsidRDefault="008928A5" w:rsidP="009D1C05">
    <w:pPr>
      <w:pStyle w:val="Header"/>
      <w:jc w:val="right"/>
      <w:rPr>
        <w:noProof/>
      </w:rPr>
    </w:pPr>
    <w:proofErr w:type="gramStart"/>
    <w:r>
      <w:t>página</w:t>
    </w:r>
    <w:proofErr w:type="gramEnd"/>
    <w:r>
      <w:t xml:space="preserve"> </w:t>
    </w:r>
    <w:r>
      <w:fldChar w:fldCharType="begin"/>
    </w:r>
    <w:r>
      <w:instrText xml:space="preserve"> PAGE   \* MERGEFORMAT </w:instrText>
    </w:r>
    <w:r>
      <w:fldChar w:fldCharType="separate"/>
    </w:r>
    <w:r w:rsidR="0090572F">
      <w:rPr>
        <w:noProof/>
      </w:rPr>
      <w:t>2</w:t>
    </w:r>
    <w:r>
      <w:rPr>
        <w:noProof/>
      </w:rPr>
      <w:fldChar w:fldCharType="end"/>
    </w:r>
  </w:p>
  <w:p w:rsidR="008928A5" w:rsidRDefault="008928A5" w:rsidP="009D1C0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A5" w:rsidRDefault="008928A5" w:rsidP="009D1C05">
    <w:pPr>
      <w:pStyle w:val="Header"/>
      <w:jc w:val="right"/>
    </w:pPr>
    <w:r>
      <w:t>MM/A/46/2</w:t>
    </w:r>
    <w:r w:rsidR="002D6A60">
      <w:t xml:space="preserve"> Rev.</w:t>
    </w:r>
  </w:p>
  <w:p w:rsidR="008928A5" w:rsidRDefault="008928A5" w:rsidP="009D1C05">
    <w:pPr>
      <w:pStyle w:val="Header"/>
      <w:jc w:val="right"/>
    </w:pPr>
    <w:r>
      <w:t>ANEXO I</w:t>
    </w:r>
  </w:p>
  <w:p w:rsidR="008928A5" w:rsidRDefault="00892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A5" w:rsidRDefault="008928A5" w:rsidP="009D1C05">
    <w:pPr>
      <w:pStyle w:val="Header"/>
      <w:jc w:val="right"/>
    </w:pPr>
    <w:r>
      <w:t>MM/A/46/2</w:t>
    </w:r>
  </w:p>
  <w:p w:rsidR="008928A5" w:rsidRDefault="008928A5" w:rsidP="009D1C05">
    <w:pPr>
      <w:pStyle w:val="Header"/>
      <w:jc w:val="right"/>
      <w:rPr>
        <w:noProof/>
      </w:rPr>
    </w:pPr>
    <w:r>
      <w:t xml:space="preserve">página </w:t>
    </w:r>
    <w:r>
      <w:fldChar w:fldCharType="begin"/>
    </w:r>
    <w:r>
      <w:instrText xml:space="preserve"> PAGE   \* MERGEFORMAT </w:instrText>
    </w:r>
    <w:r>
      <w:fldChar w:fldCharType="separate"/>
    </w:r>
    <w:r>
      <w:rPr>
        <w:noProof/>
      </w:rPr>
      <w:t>11</w:t>
    </w:r>
    <w:r>
      <w:rPr>
        <w:noProof/>
      </w:rPr>
      <w:fldChar w:fldCharType="end"/>
    </w:r>
  </w:p>
  <w:p w:rsidR="008928A5" w:rsidRDefault="008928A5" w:rsidP="009D1C0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A5" w:rsidRDefault="008928A5" w:rsidP="009D1C05">
    <w:pPr>
      <w:pStyle w:val="Header"/>
      <w:jc w:val="right"/>
    </w:pPr>
    <w:r>
      <w:t>MM/A/46/2</w:t>
    </w:r>
    <w:r w:rsidR="002D6A60">
      <w:t xml:space="preserve"> Rev.</w:t>
    </w:r>
  </w:p>
  <w:p w:rsidR="008928A5" w:rsidRDefault="008928A5" w:rsidP="009D1C05">
    <w:pPr>
      <w:pStyle w:val="Header"/>
      <w:jc w:val="right"/>
    </w:pPr>
    <w:r>
      <w:t>ANEXO II</w:t>
    </w:r>
  </w:p>
  <w:p w:rsidR="008928A5" w:rsidRDefault="008928A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A5" w:rsidRDefault="008928A5" w:rsidP="006C26D2">
    <w:pPr>
      <w:pStyle w:val="Header"/>
      <w:jc w:val="right"/>
    </w:pPr>
    <w:r>
      <w:t>MM/A/46/2</w:t>
    </w:r>
    <w:r w:rsidR="002D6A60">
      <w:t xml:space="preserve"> Rev.</w:t>
    </w:r>
  </w:p>
  <w:p w:rsidR="008928A5" w:rsidRDefault="008928A5" w:rsidP="006C26D2">
    <w:pPr>
      <w:pStyle w:val="Header"/>
      <w:jc w:val="right"/>
    </w:pPr>
    <w:r>
      <w:t>ANEXO III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A5" w:rsidRDefault="008928A5" w:rsidP="00477D6B">
    <w:pPr>
      <w:jc w:val="right"/>
    </w:pPr>
    <w:bookmarkStart w:id="5" w:name="Code2"/>
    <w:bookmarkEnd w:id="5"/>
    <w:r>
      <w:t>MM/A/46/2</w:t>
    </w:r>
  </w:p>
  <w:p w:rsidR="008928A5" w:rsidRDefault="008928A5" w:rsidP="00477D6B">
    <w:pPr>
      <w:jc w:val="right"/>
    </w:pPr>
    <w:r>
      <w:t xml:space="preserve">página </w:t>
    </w:r>
    <w:r>
      <w:fldChar w:fldCharType="begin"/>
    </w:r>
    <w:r>
      <w:instrText xml:space="preserve"> PAGE  \* MERGEFORMAT </w:instrText>
    </w:r>
    <w:r>
      <w:fldChar w:fldCharType="separate"/>
    </w:r>
    <w:r>
      <w:rPr>
        <w:noProof/>
      </w:rPr>
      <w:t>11</w:t>
    </w:r>
    <w:r>
      <w:fldChar w:fldCharType="end"/>
    </w:r>
  </w:p>
  <w:p w:rsidR="008928A5" w:rsidRDefault="008928A5"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A5" w:rsidRDefault="008928A5" w:rsidP="006C26D2">
    <w:pPr>
      <w:pStyle w:val="Header"/>
      <w:jc w:val="right"/>
    </w:pPr>
    <w:r>
      <w:t>MM/A/46/2</w:t>
    </w:r>
    <w:r w:rsidR="002D6A60">
      <w:t xml:space="preserve"> Rev.</w:t>
    </w:r>
  </w:p>
  <w:p w:rsidR="008928A5" w:rsidRDefault="008928A5" w:rsidP="006C26D2">
    <w:pPr>
      <w:pStyle w:val="Header"/>
      <w:jc w:val="right"/>
    </w:pPr>
    <w:r>
      <w:t>ANEXO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2FB773B"/>
    <w:multiLevelType w:val="hybridMultilevel"/>
    <w:tmpl w:val="16A073FC"/>
    <w:lvl w:ilvl="0" w:tplc="F5E85068">
      <w:numFmt w:val="bullet"/>
      <w:lvlText w:val="–"/>
      <w:lvlJc w:val="left"/>
      <w:pPr>
        <w:ind w:left="927" w:hanging="360"/>
      </w:pPr>
      <w:rPr>
        <w:rFonts w:ascii="Arial" w:eastAsia="SimSu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nsid w:val="49231224"/>
    <w:multiLevelType w:val="hybridMultilevel"/>
    <w:tmpl w:val="37C04CA8"/>
    <w:lvl w:ilvl="0" w:tplc="26CA9CF6">
      <w:start w:val="1"/>
      <w:numFmt w:val="decimal"/>
      <w:lvlText w:val="%1."/>
      <w:lvlJc w:val="left"/>
      <w:pPr>
        <w:tabs>
          <w:tab w:val="num" w:pos="570"/>
        </w:tabs>
        <w:ind w:left="570" w:hanging="57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Budget2012_v8|Budget and Finance\Meetings|Budget and Finance\Other|Budget and Finance\Publications|Pretrad_v10|BaseJavi3"/>
    <w:docVar w:name="TextBaseURL" w:val="empty"/>
    <w:docVar w:name="UILng" w:val="en"/>
  </w:docVars>
  <w:rsids>
    <w:rsidRoot w:val="00DF2130"/>
    <w:rsid w:val="00006AB3"/>
    <w:rsid w:val="000120BB"/>
    <w:rsid w:val="0003517F"/>
    <w:rsid w:val="000354D3"/>
    <w:rsid w:val="0007187F"/>
    <w:rsid w:val="0007316A"/>
    <w:rsid w:val="00073514"/>
    <w:rsid w:val="00083E3F"/>
    <w:rsid w:val="00084FDC"/>
    <w:rsid w:val="000A7317"/>
    <w:rsid w:val="000B6420"/>
    <w:rsid w:val="000E3BB3"/>
    <w:rsid w:val="000F15C5"/>
    <w:rsid w:val="000F403A"/>
    <w:rsid w:val="000F5E56"/>
    <w:rsid w:val="00110FB6"/>
    <w:rsid w:val="00120B12"/>
    <w:rsid w:val="00121643"/>
    <w:rsid w:val="00121F2F"/>
    <w:rsid w:val="001362EE"/>
    <w:rsid w:val="00141874"/>
    <w:rsid w:val="00152CEA"/>
    <w:rsid w:val="001554C2"/>
    <w:rsid w:val="0016161B"/>
    <w:rsid w:val="001832A6"/>
    <w:rsid w:val="00184481"/>
    <w:rsid w:val="0018565E"/>
    <w:rsid w:val="001A4A19"/>
    <w:rsid w:val="001C4DD3"/>
    <w:rsid w:val="001C692C"/>
    <w:rsid w:val="001D0EDE"/>
    <w:rsid w:val="001F46E2"/>
    <w:rsid w:val="002060D0"/>
    <w:rsid w:val="002124F7"/>
    <w:rsid w:val="002378E8"/>
    <w:rsid w:val="002464B9"/>
    <w:rsid w:val="00251A96"/>
    <w:rsid w:val="002531CC"/>
    <w:rsid w:val="00256849"/>
    <w:rsid w:val="002634C4"/>
    <w:rsid w:val="00270F99"/>
    <w:rsid w:val="00276C70"/>
    <w:rsid w:val="002C6C6C"/>
    <w:rsid w:val="002D3BCE"/>
    <w:rsid w:val="002D4115"/>
    <w:rsid w:val="002D6A60"/>
    <w:rsid w:val="002E027D"/>
    <w:rsid w:val="002E1282"/>
    <w:rsid w:val="002E759B"/>
    <w:rsid w:val="002F4E68"/>
    <w:rsid w:val="00300190"/>
    <w:rsid w:val="003068A8"/>
    <w:rsid w:val="003200A9"/>
    <w:rsid w:val="003234F1"/>
    <w:rsid w:val="00342B87"/>
    <w:rsid w:val="00346093"/>
    <w:rsid w:val="00354647"/>
    <w:rsid w:val="00377273"/>
    <w:rsid w:val="003845C1"/>
    <w:rsid w:val="00387287"/>
    <w:rsid w:val="003A5696"/>
    <w:rsid w:val="003A5B7D"/>
    <w:rsid w:val="003D41D4"/>
    <w:rsid w:val="003E5CE3"/>
    <w:rsid w:val="00423E3E"/>
    <w:rsid w:val="00427AF4"/>
    <w:rsid w:val="00436407"/>
    <w:rsid w:val="00441661"/>
    <w:rsid w:val="0045231F"/>
    <w:rsid w:val="00456D7A"/>
    <w:rsid w:val="004647DA"/>
    <w:rsid w:val="00464802"/>
    <w:rsid w:val="00465915"/>
    <w:rsid w:val="00477D6B"/>
    <w:rsid w:val="004A2917"/>
    <w:rsid w:val="004A6C37"/>
    <w:rsid w:val="004C40A3"/>
    <w:rsid w:val="004F2287"/>
    <w:rsid w:val="0053168B"/>
    <w:rsid w:val="00542FFA"/>
    <w:rsid w:val="005454C9"/>
    <w:rsid w:val="0055013B"/>
    <w:rsid w:val="0056224D"/>
    <w:rsid w:val="00571B99"/>
    <w:rsid w:val="0057554F"/>
    <w:rsid w:val="005827DA"/>
    <w:rsid w:val="00582A27"/>
    <w:rsid w:val="005B4583"/>
    <w:rsid w:val="005B668A"/>
    <w:rsid w:val="005D291A"/>
    <w:rsid w:val="005D5D9B"/>
    <w:rsid w:val="00605827"/>
    <w:rsid w:val="00612080"/>
    <w:rsid w:val="00617671"/>
    <w:rsid w:val="0062066B"/>
    <w:rsid w:val="00622315"/>
    <w:rsid w:val="00640A7A"/>
    <w:rsid w:val="00663B8E"/>
    <w:rsid w:val="00675021"/>
    <w:rsid w:val="006757EF"/>
    <w:rsid w:val="00695EF9"/>
    <w:rsid w:val="00697425"/>
    <w:rsid w:val="006A06C6"/>
    <w:rsid w:val="006A0C33"/>
    <w:rsid w:val="006A0F3D"/>
    <w:rsid w:val="006A7B4F"/>
    <w:rsid w:val="006C1AC3"/>
    <w:rsid w:val="006C26D2"/>
    <w:rsid w:val="006C6309"/>
    <w:rsid w:val="006D4CF8"/>
    <w:rsid w:val="006E62DE"/>
    <w:rsid w:val="006F15C4"/>
    <w:rsid w:val="007210F9"/>
    <w:rsid w:val="007249BD"/>
    <w:rsid w:val="00727CE3"/>
    <w:rsid w:val="007402DF"/>
    <w:rsid w:val="00750366"/>
    <w:rsid w:val="00752BA4"/>
    <w:rsid w:val="00755A44"/>
    <w:rsid w:val="00760F3E"/>
    <w:rsid w:val="00761733"/>
    <w:rsid w:val="007658E5"/>
    <w:rsid w:val="00786CBE"/>
    <w:rsid w:val="00787E28"/>
    <w:rsid w:val="00787F53"/>
    <w:rsid w:val="007D2B33"/>
    <w:rsid w:val="007E516C"/>
    <w:rsid w:val="007E663E"/>
    <w:rsid w:val="007E6C35"/>
    <w:rsid w:val="008015D3"/>
    <w:rsid w:val="008069DC"/>
    <w:rsid w:val="00815082"/>
    <w:rsid w:val="008223C8"/>
    <w:rsid w:val="008259DD"/>
    <w:rsid w:val="00844213"/>
    <w:rsid w:val="0085311F"/>
    <w:rsid w:val="00856BF5"/>
    <w:rsid w:val="00875480"/>
    <w:rsid w:val="00890BF6"/>
    <w:rsid w:val="008928A5"/>
    <w:rsid w:val="008A5DC8"/>
    <w:rsid w:val="008B1F92"/>
    <w:rsid w:val="008B2CC1"/>
    <w:rsid w:val="008B5563"/>
    <w:rsid w:val="008B5B19"/>
    <w:rsid w:val="008B6866"/>
    <w:rsid w:val="008D008C"/>
    <w:rsid w:val="008E08ED"/>
    <w:rsid w:val="0090572F"/>
    <w:rsid w:val="0090731E"/>
    <w:rsid w:val="00916FC7"/>
    <w:rsid w:val="00925119"/>
    <w:rsid w:val="00966A22"/>
    <w:rsid w:val="00972F03"/>
    <w:rsid w:val="00985488"/>
    <w:rsid w:val="00992574"/>
    <w:rsid w:val="009A0C8B"/>
    <w:rsid w:val="009B3C8F"/>
    <w:rsid w:val="009B538A"/>
    <w:rsid w:val="009B6241"/>
    <w:rsid w:val="009C6A1F"/>
    <w:rsid w:val="009D1C05"/>
    <w:rsid w:val="009E3675"/>
    <w:rsid w:val="009E3AD5"/>
    <w:rsid w:val="00A12A62"/>
    <w:rsid w:val="00A16FC0"/>
    <w:rsid w:val="00A32832"/>
    <w:rsid w:val="00A32C9E"/>
    <w:rsid w:val="00A40674"/>
    <w:rsid w:val="00A643DB"/>
    <w:rsid w:val="00A7453D"/>
    <w:rsid w:val="00A75C6D"/>
    <w:rsid w:val="00A951E1"/>
    <w:rsid w:val="00A96606"/>
    <w:rsid w:val="00AA376C"/>
    <w:rsid w:val="00AB613D"/>
    <w:rsid w:val="00AC4FF7"/>
    <w:rsid w:val="00AC65EB"/>
    <w:rsid w:val="00AE045A"/>
    <w:rsid w:val="00B05F18"/>
    <w:rsid w:val="00B131CD"/>
    <w:rsid w:val="00B23DC5"/>
    <w:rsid w:val="00B37C87"/>
    <w:rsid w:val="00B553EB"/>
    <w:rsid w:val="00B57E75"/>
    <w:rsid w:val="00B656E4"/>
    <w:rsid w:val="00B65A0A"/>
    <w:rsid w:val="00B72D36"/>
    <w:rsid w:val="00B76D41"/>
    <w:rsid w:val="00B8782F"/>
    <w:rsid w:val="00BB5861"/>
    <w:rsid w:val="00BC4164"/>
    <w:rsid w:val="00BD2DCC"/>
    <w:rsid w:val="00BE01D6"/>
    <w:rsid w:val="00BE1A8C"/>
    <w:rsid w:val="00BE5EE1"/>
    <w:rsid w:val="00BF02AD"/>
    <w:rsid w:val="00BF5264"/>
    <w:rsid w:val="00BF754A"/>
    <w:rsid w:val="00C07E79"/>
    <w:rsid w:val="00C15607"/>
    <w:rsid w:val="00C20BF7"/>
    <w:rsid w:val="00C21FB7"/>
    <w:rsid w:val="00C4183F"/>
    <w:rsid w:val="00C66753"/>
    <w:rsid w:val="00C85A07"/>
    <w:rsid w:val="00C90559"/>
    <w:rsid w:val="00CA4642"/>
    <w:rsid w:val="00CD5EAB"/>
    <w:rsid w:val="00CD6489"/>
    <w:rsid w:val="00CE43DE"/>
    <w:rsid w:val="00D26B95"/>
    <w:rsid w:val="00D27EDA"/>
    <w:rsid w:val="00D31014"/>
    <w:rsid w:val="00D35EF9"/>
    <w:rsid w:val="00D40CF0"/>
    <w:rsid w:val="00D41A0A"/>
    <w:rsid w:val="00D56C7C"/>
    <w:rsid w:val="00D71B4D"/>
    <w:rsid w:val="00D8538C"/>
    <w:rsid w:val="00D90289"/>
    <w:rsid w:val="00D938DA"/>
    <w:rsid w:val="00D93D55"/>
    <w:rsid w:val="00DC64E4"/>
    <w:rsid w:val="00DD02EC"/>
    <w:rsid w:val="00DD05BC"/>
    <w:rsid w:val="00DF0927"/>
    <w:rsid w:val="00DF2130"/>
    <w:rsid w:val="00DF54AC"/>
    <w:rsid w:val="00E06688"/>
    <w:rsid w:val="00E14FFC"/>
    <w:rsid w:val="00E33179"/>
    <w:rsid w:val="00E45C84"/>
    <w:rsid w:val="00E504E5"/>
    <w:rsid w:val="00E606B8"/>
    <w:rsid w:val="00E64E08"/>
    <w:rsid w:val="00E65169"/>
    <w:rsid w:val="00E91736"/>
    <w:rsid w:val="00EA3DA0"/>
    <w:rsid w:val="00EA6D61"/>
    <w:rsid w:val="00EB2542"/>
    <w:rsid w:val="00EB7A3E"/>
    <w:rsid w:val="00EC06AB"/>
    <w:rsid w:val="00EC401A"/>
    <w:rsid w:val="00ED17DC"/>
    <w:rsid w:val="00EE6D2F"/>
    <w:rsid w:val="00EF4203"/>
    <w:rsid w:val="00EF530A"/>
    <w:rsid w:val="00EF62CB"/>
    <w:rsid w:val="00EF6622"/>
    <w:rsid w:val="00F0012C"/>
    <w:rsid w:val="00F01592"/>
    <w:rsid w:val="00F16E30"/>
    <w:rsid w:val="00F22F33"/>
    <w:rsid w:val="00F23CB9"/>
    <w:rsid w:val="00F24B66"/>
    <w:rsid w:val="00F259DA"/>
    <w:rsid w:val="00F42A69"/>
    <w:rsid w:val="00F54A15"/>
    <w:rsid w:val="00F55408"/>
    <w:rsid w:val="00F6233A"/>
    <w:rsid w:val="00F66152"/>
    <w:rsid w:val="00F74E40"/>
    <w:rsid w:val="00F80845"/>
    <w:rsid w:val="00F84474"/>
    <w:rsid w:val="00FA03A4"/>
    <w:rsid w:val="00FE3004"/>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38C"/>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link w:val="Heading1"/>
    <w:locked/>
    <w:rsid w:val="004A2917"/>
    <w:rPr>
      <w:rFonts w:ascii="Arial" w:eastAsia="SimSun" w:hAnsi="Arial" w:cs="Arial"/>
      <w:b/>
      <w:bCs/>
      <w:caps/>
      <w:kern w:val="32"/>
      <w:sz w:val="22"/>
      <w:szCs w:val="32"/>
      <w:lang w:val="es-ES" w:eastAsia="zh-CN"/>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link w:val="Heading2"/>
    <w:locked/>
    <w:rsid w:val="004A2917"/>
    <w:rPr>
      <w:rFonts w:ascii="Arial" w:eastAsia="SimSun" w:hAnsi="Arial" w:cs="Arial"/>
      <w:bCs/>
      <w:iCs/>
      <w:caps/>
      <w:sz w:val="22"/>
      <w:szCs w:val="28"/>
      <w:lang w:val="es-ES" w:eastAsia="zh-CN"/>
    </w:rPr>
  </w:style>
  <w:style w:type="character" w:customStyle="1" w:styleId="FooterChar">
    <w:name w:val="Footer Char"/>
    <w:link w:val="Footer"/>
    <w:semiHidden/>
    <w:locked/>
    <w:rsid w:val="004A2917"/>
    <w:rPr>
      <w:rFonts w:ascii="Arial" w:eastAsia="SimSun" w:hAnsi="Arial" w:cs="Arial"/>
      <w:sz w:val="22"/>
      <w:lang w:val="es-ES" w:eastAsia="zh-CN"/>
    </w:rPr>
  </w:style>
  <w:style w:type="character" w:customStyle="1" w:styleId="HeaderChar">
    <w:name w:val="Header Char"/>
    <w:link w:val="Header"/>
    <w:semiHidden/>
    <w:locked/>
    <w:rsid w:val="004A2917"/>
    <w:rPr>
      <w:rFonts w:ascii="Arial" w:eastAsia="SimSun" w:hAnsi="Arial" w:cs="Arial"/>
      <w:sz w:val="22"/>
      <w:lang w:val="es-ES" w:eastAsia="zh-CN"/>
    </w:rPr>
  </w:style>
  <w:style w:type="character" w:styleId="PageNumber">
    <w:name w:val="page number"/>
    <w:rsid w:val="004A2917"/>
    <w:rPr>
      <w:rFonts w:cs="Times New Roman"/>
    </w:rPr>
  </w:style>
  <w:style w:type="character" w:customStyle="1" w:styleId="ONUMFSChar">
    <w:name w:val="ONUM FS Char"/>
    <w:link w:val="ONUMFS"/>
    <w:rsid w:val="00EB2542"/>
    <w:rPr>
      <w:rFonts w:ascii="Arial" w:eastAsia="SimSun" w:hAnsi="Arial" w:cs="Arial"/>
      <w:sz w:val="22"/>
      <w:lang w:eastAsia="zh-CN"/>
    </w:rPr>
  </w:style>
  <w:style w:type="character" w:styleId="CommentReference">
    <w:name w:val="annotation reference"/>
    <w:rsid w:val="00F54A15"/>
    <w:rPr>
      <w:sz w:val="16"/>
      <w:szCs w:val="16"/>
    </w:rPr>
  </w:style>
  <w:style w:type="paragraph" w:styleId="CommentSubject">
    <w:name w:val="annotation subject"/>
    <w:basedOn w:val="CommentText"/>
    <w:next w:val="CommentText"/>
    <w:link w:val="CommentSubjectChar"/>
    <w:rsid w:val="00F54A15"/>
    <w:rPr>
      <w:b/>
      <w:bCs/>
      <w:sz w:val="20"/>
    </w:rPr>
  </w:style>
  <w:style w:type="character" w:customStyle="1" w:styleId="CommentTextChar">
    <w:name w:val="Comment Text Char"/>
    <w:link w:val="CommentText"/>
    <w:semiHidden/>
    <w:rsid w:val="00F54A15"/>
    <w:rPr>
      <w:rFonts w:ascii="Arial" w:eastAsia="SimSun" w:hAnsi="Arial" w:cs="Arial"/>
      <w:sz w:val="18"/>
      <w:lang w:val="es-ES" w:eastAsia="zh-CN"/>
    </w:rPr>
  </w:style>
  <w:style w:type="character" w:customStyle="1" w:styleId="CommentSubjectChar">
    <w:name w:val="Comment Subject Char"/>
    <w:link w:val="CommentSubject"/>
    <w:rsid w:val="00F54A15"/>
    <w:rPr>
      <w:rFonts w:ascii="Arial" w:eastAsia="SimSun" w:hAnsi="Arial" w:cs="Arial"/>
      <w:b/>
      <w:bCs/>
      <w:sz w:val="18"/>
      <w:lang w:val="es-ES" w:eastAsia="zh-CN"/>
    </w:rPr>
  </w:style>
  <w:style w:type="paragraph" w:styleId="BalloonText">
    <w:name w:val="Balloon Text"/>
    <w:basedOn w:val="Normal"/>
    <w:link w:val="BalloonTextChar"/>
    <w:rsid w:val="00F54A15"/>
    <w:rPr>
      <w:rFonts w:ascii="Tahoma" w:hAnsi="Tahoma" w:cs="Tahoma"/>
      <w:sz w:val="16"/>
      <w:szCs w:val="16"/>
    </w:rPr>
  </w:style>
  <w:style w:type="character" w:customStyle="1" w:styleId="BalloonTextChar">
    <w:name w:val="Balloon Text Char"/>
    <w:link w:val="BalloonText"/>
    <w:rsid w:val="00F54A15"/>
    <w:rPr>
      <w:rFonts w:ascii="Tahoma" w:eastAsia="SimSun" w:hAnsi="Tahoma" w:cs="Tahoma"/>
      <w:sz w:val="16"/>
      <w:szCs w:val="16"/>
      <w:lang w:val="es-ES" w:eastAsia="zh-CN"/>
    </w:rPr>
  </w:style>
  <w:style w:type="paragraph" w:styleId="ListParagraph">
    <w:name w:val="List Paragraph"/>
    <w:basedOn w:val="Normal"/>
    <w:uiPriority w:val="34"/>
    <w:qFormat/>
    <w:rsid w:val="00F23CB9"/>
    <w:pPr>
      <w:ind w:left="720"/>
    </w:pPr>
  </w:style>
  <w:style w:type="paragraph" w:styleId="Revision">
    <w:name w:val="Revision"/>
    <w:hidden/>
    <w:uiPriority w:val="99"/>
    <w:semiHidden/>
    <w:rsid w:val="00AC4FF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38C"/>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link w:val="Heading1"/>
    <w:locked/>
    <w:rsid w:val="004A2917"/>
    <w:rPr>
      <w:rFonts w:ascii="Arial" w:eastAsia="SimSun" w:hAnsi="Arial" w:cs="Arial"/>
      <w:b/>
      <w:bCs/>
      <w:caps/>
      <w:kern w:val="32"/>
      <w:sz w:val="22"/>
      <w:szCs w:val="32"/>
      <w:lang w:val="es-ES" w:eastAsia="zh-CN"/>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link w:val="Heading2"/>
    <w:locked/>
    <w:rsid w:val="004A2917"/>
    <w:rPr>
      <w:rFonts w:ascii="Arial" w:eastAsia="SimSun" w:hAnsi="Arial" w:cs="Arial"/>
      <w:bCs/>
      <w:iCs/>
      <w:caps/>
      <w:sz w:val="22"/>
      <w:szCs w:val="28"/>
      <w:lang w:val="es-ES" w:eastAsia="zh-CN"/>
    </w:rPr>
  </w:style>
  <w:style w:type="character" w:customStyle="1" w:styleId="FooterChar">
    <w:name w:val="Footer Char"/>
    <w:link w:val="Footer"/>
    <w:semiHidden/>
    <w:locked/>
    <w:rsid w:val="004A2917"/>
    <w:rPr>
      <w:rFonts w:ascii="Arial" w:eastAsia="SimSun" w:hAnsi="Arial" w:cs="Arial"/>
      <w:sz w:val="22"/>
      <w:lang w:val="es-ES" w:eastAsia="zh-CN"/>
    </w:rPr>
  </w:style>
  <w:style w:type="character" w:customStyle="1" w:styleId="HeaderChar">
    <w:name w:val="Header Char"/>
    <w:link w:val="Header"/>
    <w:semiHidden/>
    <w:locked/>
    <w:rsid w:val="004A2917"/>
    <w:rPr>
      <w:rFonts w:ascii="Arial" w:eastAsia="SimSun" w:hAnsi="Arial" w:cs="Arial"/>
      <w:sz w:val="22"/>
      <w:lang w:val="es-ES" w:eastAsia="zh-CN"/>
    </w:rPr>
  </w:style>
  <w:style w:type="character" w:styleId="PageNumber">
    <w:name w:val="page number"/>
    <w:rsid w:val="004A2917"/>
    <w:rPr>
      <w:rFonts w:cs="Times New Roman"/>
    </w:rPr>
  </w:style>
  <w:style w:type="character" w:customStyle="1" w:styleId="ONUMFSChar">
    <w:name w:val="ONUM FS Char"/>
    <w:link w:val="ONUMFS"/>
    <w:rsid w:val="00EB2542"/>
    <w:rPr>
      <w:rFonts w:ascii="Arial" w:eastAsia="SimSun" w:hAnsi="Arial" w:cs="Arial"/>
      <w:sz w:val="22"/>
      <w:lang w:eastAsia="zh-CN"/>
    </w:rPr>
  </w:style>
  <w:style w:type="character" w:styleId="CommentReference">
    <w:name w:val="annotation reference"/>
    <w:rsid w:val="00F54A15"/>
    <w:rPr>
      <w:sz w:val="16"/>
      <w:szCs w:val="16"/>
    </w:rPr>
  </w:style>
  <w:style w:type="paragraph" w:styleId="CommentSubject">
    <w:name w:val="annotation subject"/>
    <w:basedOn w:val="CommentText"/>
    <w:next w:val="CommentText"/>
    <w:link w:val="CommentSubjectChar"/>
    <w:rsid w:val="00F54A15"/>
    <w:rPr>
      <w:b/>
      <w:bCs/>
      <w:sz w:val="20"/>
    </w:rPr>
  </w:style>
  <w:style w:type="character" w:customStyle="1" w:styleId="CommentTextChar">
    <w:name w:val="Comment Text Char"/>
    <w:link w:val="CommentText"/>
    <w:semiHidden/>
    <w:rsid w:val="00F54A15"/>
    <w:rPr>
      <w:rFonts w:ascii="Arial" w:eastAsia="SimSun" w:hAnsi="Arial" w:cs="Arial"/>
      <w:sz w:val="18"/>
      <w:lang w:val="es-ES" w:eastAsia="zh-CN"/>
    </w:rPr>
  </w:style>
  <w:style w:type="character" w:customStyle="1" w:styleId="CommentSubjectChar">
    <w:name w:val="Comment Subject Char"/>
    <w:link w:val="CommentSubject"/>
    <w:rsid w:val="00F54A15"/>
    <w:rPr>
      <w:rFonts w:ascii="Arial" w:eastAsia="SimSun" w:hAnsi="Arial" w:cs="Arial"/>
      <w:b/>
      <w:bCs/>
      <w:sz w:val="18"/>
      <w:lang w:val="es-ES" w:eastAsia="zh-CN"/>
    </w:rPr>
  </w:style>
  <w:style w:type="paragraph" w:styleId="BalloonText">
    <w:name w:val="Balloon Text"/>
    <w:basedOn w:val="Normal"/>
    <w:link w:val="BalloonTextChar"/>
    <w:rsid w:val="00F54A15"/>
    <w:rPr>
      <w:rFonts w:ascii="Tahoma" w:hAnsi="Tahoma" w:cs="Tahoma"/>
      <w:sz w:val="16"/>
      <w:szCs w:val="16"/>
    </w:rPr>
  </w:style>
  <w:style w:type="character" w:customStyle="1" w:styleId="BalloonTextChar">
    <w:name w:val="Balloon Text Char"/>
    <w:link w:val="BalloonText"/>
    <w:rsid w:val="00F54A15"/>
    <w:rPr>
      <w:rFonts w:ascii="Tahoma" w:eastAsia="SimSun" w:hAnsi="Tahoma" w:cs="Tahoma"/>
      <w:sz w:val="16"/>
      <w:szCs w:val="16"/>
      <w:lang w:val="es-ES" w:eastAsia="zh-CN"/>
    </w:rPr>
  </w:style>
  <w:style w:type="paragraph" w:styleId="ListParagraph">
    <w:name w:val="List Paragraph"/>
    <w:basedOn w:val="Normal"/>
    <w:uiPriority w:val="34"/>
    <w:qFormat/>
    <w:rsid w:val="00F23CB9"/>
    <w:pPr>
      <w:ind w:left="720"/>
    </w:pPr>
  </w:style>
  <w:style w:type="paragraph" w:styleId="Revision">
    <w:name w:val="Revision"/>
    <w:hidden/>
    <w:uiPriority w:val="99"/>
    <w:semiHidden/>
    <w:rsid w:val="00AC4FF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46%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F7FFC-1798-4B61-9F82-06401ADE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46 (S).dot</Template>
  <TotalTime>99</TotalTime>
  <Pages>1</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MM/A/46/</vt:lpstr>
    </vt:vector>
  </TitlesOfParts>
  <Company>WIPO</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MM/A/46/</dc:title>
  <dc:creator>HALLER Mario</dc:creator>
  <cp:lastModifiedBy>HALLER Mario</cp:lastModifiedBy>
  <cp:revision>15</cp:revision>
  <cp:lastPrinted>2013-06-27T14:01:00Z</cp:lastPrinted>
  <dcterms:created xsi:type="dcterms:W3CDTF">2013-06-20T12:51:00Z</dcterms:created>
  <dcterms:modified xsi:type="dcterms:W3CDTF">2013-09-30T16:15:00Z</dcterms:modified>
</cp:coreProperties>
</file>