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02F" w:rsidRPr="00B34920" w:rsidRDefault="003A6C70" w:rsidP="003A6C70">
      <w:pPr>
        <w:rPr>
          <w:b/>
          <w:sz w:val="26"/>
          <w:lang w:val="fr-FR"/>
        </w:rPr>
      </w:pPr>
      <w:r w:rsidRPr="00B34920">
        <w:rPr>
          <w:noProof/>
          <w:sz w:val="32"/>
          <w:szCs w:val="28"/>
          <w:lang w:val="en-US" w:eastAsia="en-US"/>
        </w:rPr>
        <w:drawing>
          <wp:anchor distT="0" distB="0" distL="114300" distR="114300" simplePos="0" relativeHeight="251658240" behindDoc="0" locked="0" layoutInCell="1" allowOverlap="1" wp14:anchorId="26ED6701" wp14:editId="7C9558EB">
            <wp:simplePos x="1925320" y="804545"/>
            <wp:positionH relativeFrom="margin">
              <wp:align>right</wp:align>
            </wp:positionH>
            <wp:positionV relativeFrom="margin">
              <wp:align>top</wp:align>
            </wp:positionV>
            <wp:extent cx="1435735" cy="1712595"/>
            <wp:effectExtent l="0" t="0" r="0" b="1905"/>
            <wp:wrapSquare wrapText="bothSides"/>
            <wp:docPr id="1" name="Picture 1" descr="1DX03588 cropped &amp; res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DX03588 cropped &amp; resiz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735" cy="171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818AF" w:rsidRPr="00B34920">
        <w:rPr>
          <w:b/>
          <w:sz w:val="26"/>
          <w:lang w:val="fr-FR"/>
        </w:rPr>
        <w:t>Curriculum vitae de M. Francis Gurry</w:t>
      </w:r>
    </w:p>
    <w:p w:rsidR="00A0502F" w:rsidRPr="00B34920" w:rsidRDefault="00A0502F">
      <w:pPr>
        <w:pStyle w:val="Footer"/>
        <w:rPr>
          <w:lang w:val="fr-FR"/>
        </w:rPr>
      </w:pPr>
    </w:p>
    <w:p w:rsidR="003A6C70" w:rsidRPr="00B34920" w:rsidRDefault="003A6C70" w:rsidP="003A6C70">
      <w:pPr>
        <w:pBdr>
          <w:bottom w:val="single" w:sz="4" w:space="1" w:color="auto"/>
        </w:pBdr>
        <w:rPr>
          <w:lang w:val="fr-FR"/>
        </w:rPr>
      </w:pPr>
    </w:p>
    <w:p w:rsidR="003A6C70" w:rsidRPr="00B34920" w:rsidRDefault="003A6C70">
      <w:pPr>
        <w:pStyle w:val="Footer"/>
        <w:rPr>
          <w:lang w:val="fr-FR"/>
        </w:rPr>
      </w:pPr>
    </w:p>
    <w:p w:rsidR="004818AF" w:rsidRPr="00B34920" w:rsidRDefault="004818AF" w:rsidP="004818AF">
      <w:pPr>
        <w:pStyle w:val="Footer"/>
        <w:tabs>
          <w:tab w:val="left" w:pos="2835"/>
        </w:tabs>
        <w:rPr>
          <w:lang w:val="fr-FR"/>
        </w:rPr>
      </w:pPr>
      <w:r w:rsidRPr="00B34920">
        <w:rPr>
          <w:b/>
          <w:lang w:val="fr-FR"/>
        </w:rPr>
        <w:t>Date de naissance</w:t>
      </w:r>
      <w:r w:rsidRPr="00B34920">
        <w:rPr>
          <w:lang w:val="fr-FR"/>
        </w:rPr>
        <w:t> :</w:t>
      </w:r>
      <w:r w:rsidRPr="00B34920">
        <w:rPr>
          <w:lang w:val="fr-FR"/>
        </w:rPr>
        <w:tab/>
        <w:t>17 mai 1951</w:t>
      </w:r>
    </w:p>
    <w:p w:rsidR="004818AF" w:rsidRPr="00B34920" w:rsidRDefault="004818AF" w:rsidP="004818AF">
      <w:pPr>
        <w:pStyle w:val="Footer"/>
        <w:tabs>
          <w:tab w:val="left" w:pos="2835"/>
        </w:tabs>
        <w:rPr>
          <w:lang w:val="fr-FR"/>
        </w:rPr>
      </w:pPr>
      <w:r w:rsidRPr="00B34920">
        <w:rPr>
          <w:b/>
          <w:lang w:val="fr-FR"/>
        </w:rPr>
        <w:t>Nationalité</w:t>
      </w:r>
      <w:r w:rsidRPr="00B34920">
        <w:rPr>
          <w:lang w:val="fr-FR"/>
        </w:rPr>
        <w:t> :</w:t>
      </w:r>
      <w:r w:rsidRPr="00B34920">
        <w:rPr>
          <w:lang w:val="fr-FR"/>
        </w:rPr>
        <w:tab/>
        <w:t>australienne</w:t>
      </w:r>
    </w:p>
    <w:p w:rsidR="004818AF" w:rsidRPr="00B34920" w:rsidRDefault="004818AF" w:rsidP="004818AF">
      <w:pPr>
        <w:pStyle w:val="Footer"/>
        <w:tabs>
          <w:tab w:val="left" w:pos="2835"/>
        </w:tabs>
        <w:rPr>
          <w:lang w:val="fr-FR"/>
        </w:rPr>
      </w:pPr>
      <w:r w:rsidRPr="00B34920">
        <w:rPr>
          <w:b/>
          <w:lang w:val="fr-FR"/>
        </w:rPr>
        <w:t>État</w:t>
      </w:r>
      <w:r w:rsidRPr="00B34920">
        <w:rPr>
          <w:b/>
          <w:lang w:val="fr-FR"/>
        </w:rPr>
        <w:noBreakHyphen/>
        <w:t>civil</w:t>
      </w:r>
      <w:r w:rsidRPr="00B34920">
        <w:rPr>
          <w:lang w:val="fr-FR"/>
        </w:rPr>
        <w:t> :</w:t>
      </w:r>
      <w:r w:rsidRPr="00B34920">
        <w:rPr>
          <w:lang w:val="fr-FR"/>
        </w:rPr>
        <w:tab/>
        <w:t>marié, trois enfants</w:t>
      </w:r>
    </w:p>
    <w:p w:rsidR="004818AF" w:rsidRPr="00B34920" w:rsidRDefault="004818AF" w:rsidP="004818AF">
      <w:pPr>
        <w:pStyle w:val="Footer"/>
        <w:tabs>
          <w:tab w:val="left" w:pos="2835"/>
        </w:tabs>
        <w:rPr>
          <w:lang w:val="fr-FR"/>
        </w:rPr>
      </w:pPr>
    </w:p>
    <w:p w:rsidR="003A6C70" w:rsidRPr="00B34920" w:rsidRDefault="003A6C70" w:rsidP="004818AF">
      <w:pPr>
        <w:pStyle w:val="Footer"/>
        <w:tabs>
          <w:tab w:val="left" w:pos="2835"/>
        </w:tabs>
        <w:rPr>
          <w:lang w:val="fr-FR"/>
        </w:rPr>
      </w:pPr>
    </w:p>
    <w:p w:rsidR="004818AF" w:rsidRPr="00B34920" w:rsidRDefault="001B773F" w:rsidP="004818AF">
      <w:pPr>
        <w:pStyle w:val="Footer"/>
        <w:tabs>
          <w:tab w:val="left" w:pos="2835"/>
        </w:tabs>
        <w:rPr>
          <w:b/>
          <w:caps/>
          <w:szCs w:val="24"/>
          <w:lang w:val="fr-FR"/>
        </w:rPr>
      </w:pPr>
      <w:r w:rsidRPr="00B34920">
        <w:rPr>
          <w:b/>
          <w:caps/>
          <w:szCs w:val="24"/>
          <w:lang w:val="fr-FR"/>
        </w:rPr>
        <w:t>Titres universitaires</w:t>
      </w:r>
    </w:p>
    <w:p w:rsidR="001B773F" w:rsidRPr="00B34920" w:rsidRDefault="001B773F" w:rsidP="004818AF">
      <w:pPr>
        <w:pStyle w:val="Footer"/>
        <w:tabs>
          <w:tab w:val="left" w:pos="2835"/>
        </w:tabs>
        <w:rPr>
          <w:b/>
          <w:caps/>
          <w:szCs w:val="24"/>
          <w:lang w:val="fr-FR"/>
        </w:rPr>
      </w:pPr>
    </w:p>
    <w:p w:rsidR="001B773F" w:rsidRPr="00B34920" w:rsidRDefault="001B773F" w:rsidP="001B773F">
      <w:pPr>
        <w:pStyle w:val="Footer"/>
        <w:numPr>
          <w:ilvl w:val="0"/>
          <w:numId w:val="1"/>
        </w:numPr>
        <w:tabs>
          <w:tab w:val="left" w:pos="2835"/>
        </w:tabs>
        <w:ind w:left="2835"/>
        <w:rPr>
          <w:b/>
          <w:szCs w:val="24"/>
          <w:lang w:val="fr-FR"/>
        </w:rPr>
      </w:pPr>
      <w:r w:rsidRPr="00B34920">
        <w:rPr>
          <w:b/>
          <w:szCs w:val="24"/>
          <w:lang w:val="fr-FR"/>
        </w:rPr>
        <w:t>D</w:t>
      </w:r>
      <w:r w:rsidR="005F2681" w:rsidRPr="00B34920">
        <w:rPr>
          <w:b/>
          <w:szCs w:val="24"/>
          <w:lang w:val="fr-FR"/>
        </w:rPr>
        <w:t>octorat</w:t>
      </w:r>
    </w:p>
    <w:p w:rsidR="001B773F" w:rsidRPr="00B34920" w:rsidRDefault="001B773F" w:rsidP="001B773F">
      <w:pPr>
        <w:pStyle w:val="Footer"/>
        <w:tabs>
          <w:tab w:val="left" w:pos="2835"/>
        </w:tabs>
        <w:ind w:left="2835"/>
        <w:rPr>
          <w:szCs w:val="24"/>
          <w:lang w:val="fr-FR"/>
        </w:rPr>
      </w:pPr>
      <w:r w:rsidRPr="00B34920">
        <w:rPr>
          <w:szCs w:val="24"/>
          <w:lang w:val="fr-FR"/>
        </w:rPr>
        <w:t>Université de Cambridge (Royaume-Uni)</w:t>
      </w:r>
    </w:p>
    <w:p w:rsidR="001B773F" w:rsidRPr="00B34920" w:rsidRDefault="001B773F" w:rsidP="001B773F">
      <w:pPr>
        <w:pStyle w:val="Footer"/>
        <w:tabs>
          <w:tab w:val="left" w:pos="2835"/>
        </w:tabs>
        <w:ind w:left="2835"/>
        <w:rPr>
          <w:szCs w:val="24"/>
          <w:lang w:val="fr-FR"/>
        </w:rPr>
      </w:pPr>
    </w:p>
    <w:p w:rsidR="001B773F" w:rsidRPr="00B34920" w:rsidRDefault="001B773F" w:rsidP="001B773F">
      <w:pPr>
        <w:pStyle w:val="Footer"/>
        <w:tabs>
          <w:tab w:val="left" w:pos="2835"/>
        </w:tabs>
        <w:ind w:left="2835"/>
        <w:rPr>
          <w:szCs w:val="24"/>
          <w:lang w:val="fr-FR"/>
        </w:rPr>
      </w:pPr>
      <w:r w:rsidRPr="00B34920">
        <w:rPr>
          <w:szCs w:val="24"/>
          <w:lang w:val="fr-FR"/>
        </w:rPr>
        <w:t>Pri</w:t>
      </w:r>
      <w:r w:rsidR="005F2681" w:rsidRPr="00B34920">
        <w:rPr>
          <w:szCs w:val="24"/>
          <w:lang w:val="fr-FR"/>
        </w:rPr>
        <w:t xml:space="preserve">x </w:t>
      </w:r>
      <w:proofErr w:type="spellStart"/>
      <w:r w:rsidR="005F2681" w:rsidRPr="00B34920">
        <w:rPr>
          <w:szCs w:val="24"/>
          <w:lang w:val="fr-FR"/>
        </w:rPr>
        <w:t>Yorke</w:t>
      </w:r>
      <w:proofErr w:type="spellEnd"/>
      <w:r w:rsidR="005F2681" w:rsidRPr="00B34920">
        <w:rPr>
          <w:szCs w:val="24"/>
          <w:lang w:val="fr-FR"/>
        </w:rPr>
        <w:t xml:space="preserve"> décerné par la f</w:t>
      </w:r>
      <w:r w:rsidRPr="00B34920">
        <w:rPr>
          <w:szCs w:val="24"/>
          <w:lang w:val="fr-FR"/>
        </w:rPr>
        <w:t>aculté de droit de l</w:t>
      </w:r>
      <w:r w:rsidR="007B2487" w:rsidRPr="00B34920">
        <w:rPr>
          <w:szCs w:val="24"/>
          <w:lang w:val="fr-FR"/>
        </w:rPr>
        <w:t>’</w:t>
      </w:r>
      <w:r w:rsidRPr="00B34920">
        <w:rPr>
          <w:szCs w:val="24"/>
          <w:lang w:val="fr-FR"/>
        </w:rPr>
        <w:t>Université de</w:t>
      </w:r>
      <w:r w:rsidR="00AA4EB3" w:rsidRPr="00B34920">
        <w:rPr>
          <w:szCs w:val="24"/>
          <w:lang w:val="fr-FR"/>
        </w:rPr>
        <w:t> </w:t>
      </w:r>
      <w:r w:rsidRPr="00B34920">
        <w:rPr>
          <w:szCs w:val="24"/>
          <w:lang w:val="fr-FR"/>
        </w:rPr>
        <w:t>Cambridge</w:t>
      </w:r>
    </w:p>
    <w:p w:rsidR="001B773F" w:rsidRPr="00B34920" w:rsidRDefault="001B773F" w:rsidP="001B773F">
      <w:pPr>
        <w:pStyle w:val="Footer"/>
        <w:tabs>
          <w:tab w:val="left" w:pos="2835"/>
        </w:tabs>
        <w:ind w:left="2835" w:hanging="2835"/>
        <w:rPr>
          <w:szCs w:val="24"/>
          <w:lang w:val="fr-FR"/>
        </w:rPr>
      </w:pPr>
    </w:p>
    <w:p w:rsidR="001B773F" w:rsidRPr="00B34920" w:rsidRDefault="001B773F" w:rsidP="001B773F">
      <w:pPr>
        <w:pStyle w:val="Footer"/>
        <w:numPr>
          <w:ilvl w:val="0"/>
          <w:numId w:val="2"/>
        </w:numPr>
        <w:tabs>
          <w:tab w:val="left" w:pos="2835"/>
        </w:tabs>
        <w:ind w:hanging="3195"/>
        <w:rPr>
          <w:b/>
          <w:szCs w:val="24"/>
          <w:lang w:val="fr-FR"/>
        </w:rPr>
      </w:pPr>
      <w:r w:rsidRPr="00B34920">
        <w:rPr>
          <w:b/>
          <w:szCs w:val="24"/>
          <w:lang w:val="fr-FR"/>
        </w:rPr>
        <w:t>Maîtrise de droit</w:t>
      </w:r>
    </w:p>
    <w:p w:rsidR="001B773F" w:rsidRPr="00B34920" w:rsidRDefault="00175B0F" w:rsidP="001B773F">
      <w:pPr>
        <w:pStyle w:val="Footer"/>
        <w:tabs>
          <w:tab w:val="left" w:pos="2835"/>
        </w:tabs>
        <w:ind w:left="2835"/>
        <w:rPr>
          <w:szCs w:val="24"/>
          <w:lang w:val="fr-FR"/>
        </w:rPr>
      </w:pPr>
      <w:r w:rsidRPr="00B34920">
        <w:rPr>
          <w:szCs w:val="24"/>
          <w:lang w:val="fr-FR"/>
        </w:rPr>
        <w:t>Université de Melbourne (Australie)</w:t>
      </w:r>
    </w:p>
    <w:p w:rsidR="00175B0F" w:rsidRPr="00B34920" w:rsidRDefault="00175B0F" w:rsidP="001B773F">
      <w:pPr>
        <w:pStyle w:val="Footer"/>
        <w:tabs>
          <w:tab w:val="left" w:pos="2835"/>
        </w:tabs>
        <w:ind w:left="2835"/>
        <w:rPr>
          <w:szCs w:val="24"/>
          <w:lang w:val="fr-FR"/>
        </w:rPr>
      </w:pPr>
    </w:p>
    <w:p w:rsidR="00175B0F" w:rsidRPr="00B34920" w:rsidRDefault="00175B0F" w:rsidP="00175B0F">
      <w:pPr>
        <w:pStyle w:val="Footer"/>
        <w:numPr>
          <w:ilvl w:val="0"/>
          <w:numId w:val="3"/>
        </w:numPr>
        <w:tabs>
          <w:tab w:val="left" w:pos="2835"/>
        </w:tabs>
        <w:ind w:left="2835"/>
        <w:rPr>
          <w:szCs w:val="24"/>
          <w:lang w:val="fr-FR"/>
        </w:rPr>
      </w:pPr>
      <w:r w:rsidRPr="00B34920">
        <w:rPr>
          <w:b/>
          <w:szCs w:val="24"/>
          <w:lang w:val="fr-FR"/>
        </w:rPr>
        <w:t>Admission au barreau</w:t>
      </w:r>
    </w:p>
    <w:p w:rsidR="00175B0F" w:rsidRPr="00B34920" w:rsidRDefault="00175B0F" w:rsidP="00175B0F">
      <w:pPr>
        <w:pStyle w:val="Footer"/>
        <w:tabs>
          <w:tab w:val="left" w:pos="2835"/>
        </w:tabs>
        <w:ind w:left="2835"/>
        <w:rPr>
          <w:szCs w:val="24"/>
          <w:lang w:val="fr-FR"/>
        </w:rPr>
      </w:pPr>
      <w:r w:rsidRPr="00B34920">
        <w:rPr>
          <w:szCs w:val="24"/>
          <w:lang w:val="fr-FR"/>
        </w:rPr>
        <w:t>Cour suprême de Victoria (Australie)</w:t>
      </w:r>
    </w:p>
    <w:p w:rsidR="00175B0F" w:rsidRPr="00B34920" w:rsidRDefault="00175B0F" w:rsidP="00175B0F">
      <w:pPr>
        <w:pStyle w:val="Footer"/>
        <w:tabs>
          <w:tab w:val="left" w:pos="2835"/>
        </w:tabs>
        <w:ind w:left="2835"/>
        <w:rPr>
          <w:szCs w:val="24"/>
          <w:lang w:val="fr-FR"/>
        </w:rPr>
      </w:pPr>
    </w:p>
    <w:p w:rsidR="00175B0F" w:rsidRPr="00B34920" w:rsidRDefault="00175B0F" w:rsidP="00175B0F">
      <w:pPr>
        <w:pStyle w:val="Footer"/>
        <w:numPr>
          <w:ilvl w:val="0"/>
          <w:numId w:val="4"/>
        </w:numPr>
        <w:tabs>
          <w:tab w:val="left" w:pos="2835"/>
        </w:tabs>
        <w:ind w:hanging="3195"/>
        <w:rPr>
          <w:szCs w:val="24"/>
          <w:lang w:val="fr-FR"/>
        </w:rPr>
      </w:pPr>
      <w:r w:rsidRPr="00B34920">
        <w:rPr>
          <w:b/>
          <w:szCs w:val="24"/>
          <w:lang w:val="fr-FR"/>
        </w:rPr>
        <w:t>Licence de droit</w:t>
      </w:r>
    </w:p>
    <w:p w:rsidR="00175B0F" w:rsidRPr="00B34920" w:rsidRDefault="00175B0F" w:rsidP="00175B0F">
      <w:pPr>
        <w:pStyle w:val="Footer"/>
        <w:tabs>
          <w:tab w:val="left" w:pos="2835"/>
        </w:tabs>
        <w:ind w:left="2835"/>
        <w:rPr>
          <w:szCs w:val="24"/>
          <w:lang w:val="fr-FR"/>
        </w:rPr>
      </w:pPr>
      <w:r w:rsidRPr="00B34920">
        <w:rPr>
          <w:szCs w:val="24"/>
          <w:lang w:val="fr-FR"/>
        </w:rPr>
        <w:t>Université de Melbourne (Australie)</w:t>
      </w:r>
    </w:p>
    <w:p w:rsidR="00175B0F" w:rsidRPr="00B34920" w:rsidRDefault="00175B0F" w:rsidP="00175B0F">
      <w:pPr>
        <w:pStyle w:val="Footer"/>
        <w:tabs>
          <w:tab w:val="left" w:pos="2835"/>
        </w:tabs>
        <w:ind w:left="2835"/>
        <w:rPr>
          <w:szCs w:val="24"/>
          <w:lang w:val="fr-FR"/>
        </w:rPr>
      </w:pPr>
    </w:p>
    <w:p w:rsidR="00A705FA" w:rsidRPr="00B34920" w:rsidRDefault="00A705FA" w:rsidP="00175B0F">
      <w:pPr>
        <w:pStyle w:val="Footer"/>
        <w:tabs>
          <w:tab w:val="left" w:pos="2835"/>
        </w:tabs>
        <w:ind w:left="2835"/>
        <w:rPr>
          <w:szCs w:val="24"/>
          <w:lang w:val="fr-FR"/>
        </w:rPr>
      </w:pPr>
    </w:p>
    <w:p w:rsidR="00175B0F" w:rsidRPr="00B34920" w:rsidRDefault="00175B0F" w:rsidP="00175B0F">
      <w:pPr>
        <w:pStyle w:val="Footer"/>
        <w:tabs>
          <w:tab w:val="left" w:pos="0"/>
        </w:tabs>
        <w:rPr>
          <w:caps/>
          <w:szCs w:val="24"/>
          <w:lang w:val="fr-FR"/>
        </w:rPr>
      </w:pPr>
      <w:r w:rsidRPr="00B34920">
        <w:rPr>
          <w:b/>
          <w:caps/>
          <w:szCs w:val="24"/>
          <w:lang w:val="fr-FR"/>
        </w:rPr>
        <w:t>Expérience professionnelle</w:t>
      </w:r>
    </w:p>
    <w:p w:rsidR="00175B0F" w:rsidRPr="00B34920" w:rsidRDefault="00175B0F" w:rsidP="00175B0F">
      <w:pPr>
        <w:pStyle w:val="Footer"/>
        <w:tabs>
          <w:tab w:val="left" w:pos="0"/>
        </w:tabs>
        <w:rPr>
          <w:caps/>
          <w:szCs w:val="24"/>
          <w:lang w:val="fr-FR"/>
        </w:rPr>
      </w:pPr>
    </w:p>
    <w:p w:rsidR="003A6C70" w:rsidRPr="00B34920" w:rsidRDefault="00AE7B73" w:rsidP="00175B0F">
      <w:pPr>
        <w:pStyle w:val="Footer"/>
        <w:tabs>
          <w:tab w:val="left" w:pos="2835"/>
        </w:tabs>
        <w:ind w:left="2835" w:hanging="2835"/>
        <w:rPr>
          <w:b/>
          <w:szCs w:val="24"/>
          <w:lang w:val="fr-FR"/>
        </w:rPr>
      </w:pPr>
      <w:proofErr w:type="gramStart"/>
      <w:r w:rsidRPr="00B34920">
        <w:rPr>
          <w:b/>
          <w:szCs w:val="24"/>
          <w:lang w:val="fr-FR"/>
        </w:rPr>
        <w:t>d</w:t>
      </w:r>
      <w:r w:rsidR="00175B0F" w:rsidRPr="00B34920">
        <w:rPr>
          <w:b/>
          <w:szCs w:val="24"/>
          <w:lang w:val="fr-FR"/>
        </w:rPr>
        <w:t>epuis</w:t>
      </w:r>
      <w:proofErr w:type="gramEnd"/>
      <w:r w:rsidR="00175B0F" w:rsidRPr="00B34920">
        <w:rPr>
          <w:b/>
          <w:szCs w:val="24"/>
          <w:lang w:val="fr-FR"/>
        </w:rPr>
        <w:t xml:space="preserve"> </w:t>
      </w:r>
      <w:r w:rsidR="003A6C70" w:rsidRPr="00B34920">
        <w:rPr>
          <w:b/>
          <w:szCs w:val="24"/>
          <w:lang w:val="fr-FR"/>
        </w:rPr>
        <w:t>2008</w:t>
      </w:r>
      <w:r w:rsidR="003A6C70" w:rsidRPr="00B34920">
        <w:rPr>
          <w:b/>
          <w:szCs w:val="24"/>
          <w:lang w:val="fr-FR"/>
        </w:rPr>
        <w:tab/>
        <w:t>Directeur général</w:t>
      </w:r>
    </w:p>
    <w:p w:rsidR="00175B0F" w:rsidRPr="00B34920" w:rsidRDefault="00175B0F" w:rsidP="003A6C70">
      <w:pPr>
        <w:pStyle w:val="Footer"/>
        <w:tabs>
          <w:tab w:val="left" w:pos="2835"/>
        </w:tabs>
        <w:ind w:left="2835"/>
        <w:rPr>
          <w:szCs w:val="24"/>
          <w:lang w:val="fr-FR"/>
        </w:rPr>
      </w:pPr>
      <w:r w:rsidRPr="00B34920">
        <w:rPr>
          <w:szCs w:val="24"/>
          <w:lang w:val="fr-FR"/>
        </w:rPr>
        <w:t>Organisation Mondiale de la Propriété Intellec</w:t>
      </w:r>
      <w:r w:rsidR="003A6C70" w:rsidRPr="00B34920">
        <w:rPr>
          <w:szCs w:val="24"/>
          <w:lang w:val="fr-FR"/>
        </w:rPr>
        <w:t>tuelle (OMPI), Genève (Suisse)</w:t>
      </w:r>
    </w:p>
    <w:p w:rsidR="003A6C70" w:rsidRPr="00B34920" w:rsidRDefault="003A6C70" w:rsidP="003A6C70">
      <w:pPr>
        <w:pStyle w:val="Footer"/>
        <w:tabs>
          <w:tab w:val="left" w:pos="2835"/>
        </w:tabs>
        <w:ind w:left="2835"/>
        <w:rPr>
          <w:szCs w:val="24"/>
          <w:lang w:val="fr-FR"/>
        </w:rPr>
      </w:pPr>
    </w:p>
    <w:p w:rsidR="003A6C70" w:rsidRPr="00B34920" w:rsidRDefault="003A6C70" w:rsidP="003A6C70">
      <w:pPr>
        <w:pStyle w:val="Footer"/>
        <w:tabs>
          <w:tab w:val="left" w:pos="2835"/>
        </w:tabs>
        <w:ind w:left="2835"/>
        <w:rPr>
          <w:szCs w:val="24"/>
          <w:lang w:val="fr-FR"/>
        </w:rPr>
      </w:pPr>
      <w:r w:rsidRPr="00B34920">
        <w:rPr>
          <w:szCs w:val="24"/>
          <w:lang w:val="fr-FR"/>
        </w:rPr>
        <w:t>Secrétaire général, Union internationale pour la protection des obtentions végétales (UPOV)</w:t>
      </w:r>
    </w:p>
    <w:p w:rsidR="00175B0F" w:rsidRPr="00B34920" w:rsidRDefault="00175B0F" w:rsidP="00175B0F">
      <w:pPr>
        <w:pStyle w:val="Footer"/>
        <w:tabs>
          <w:tab w:val="left" w:pos="2835"/>
        </w:tabs>
        <w:ind w:left="2835" w:hanging="2835"/>
        <w:rPr>
          <w:szCs w:val="24"/>
          <w:lang w:val="fr-FR"/>
        </w:rPr>
      </w:pPr>
    </w:p>
    <w:p w:rsidR="00175B0F" w:rsidRPr="00B34920" w:rsidRDefault="003A6C70" w:rsidP="003A6C70">
      <w:pPr>
        <w:pStyle w:val="Footer"/>
        <w:tabs>
          <w:tab w:val="left" w:pos="2835"/>
        </w:tabs>
        <w:ind w:left="2835" w:hanging="2835"/>
        <w:rPr>
          <w:szCs w:val="24"/>
          <w:lang w:val="fr-FR"/>
        </w:rPr>
      </w:pPr>
      <w:r w:rsidRPr="00B34920">
        <w:rPr>
          <w:b/>
          <w:szCs w:val="24"/>
          <w:lang w:val="fr-FR"/>
        </w:rPr>
        <w:t>2003 – 2008</w:t>
      </w:r>
      <w:r w:rsidRPr="00B34920">
        <w:rPr>
          <w:b/>
          <w:szCs w:val="24"/>
          <w:lang w:val="fr-FR"/>
        </w:rPr>
        <w:tab/>
        <w:t>V</w:t>
      </w:r>
      <w:r w:rsidR="00175B0F" w:rsidRPr="00B34920">
        <w:rPr>
          <w:b/>
          <w:szCs w:val="24"/>
          <w:lang w:val="fr-FR"/>
        </w:rPr>
        <w:t>ice</w:t>
      </w:r>
      <w:r w:rsidR="00175B0F" w:rsidRPr="00B34920">
        <w:rPr>
          <w:b/>
          <w:szCs w:val="24"/>
          <w:lang w:val="fr-FR"/>
        </w:rPr>
        <w:noBreakHyphen/>
        <w:t>directeur général</w:t>
      </w:r>
    </w:p>
    <w:p w:rsidR="003A6C70" w:rsidRPr="00B34920" w:rsidRDefault="003A6C70" w:rsidP="003A6C70">
      <w:pPr>
        <w:pStyle w:val="Footer"/>
        <w:tabs>
          <w:tab w:val="left" w:pos="2835"/>
        </w:tabs>
        <w:ind w:left="2835"/>
        <w:rPr>
          <w:szCs w:val="24"/>
          <w:lang w:val="fr-FR"/>
        </w:rPr>
      </w:pPr>
      <w:r w:rsidRPr="00B34920">
        <w:rPr>
          <w:szCs w:val="24"/>
          <w:lang w:val="fr-FR"/>
        </w:rPr>
        <w:t>Organisation Mondiale de la Propriété Intellectuelle (OMPI)</w:t>
      </w:r>
    </w:p>
    <w:p w:rsidR="003A6C70" w:rsidRPr="00B34920" w:rsidRDefault="003A6C70" w:rsidP="003A6C70">
      <w:pPr>
        <w:pStyle w:val="Footer"/>
        <w:tabs>
          <w:tab w:val="left" w:pos="2835"/>
        </w:tabs>
        <w:ind w:left="2835"/>
        <w:rPr>
          <w:szCs w:val="24"/>
          <w:lang w:val="fr-FR"/>
        </w:rPr>
      </w:pPr>
    </w:p>
    <w:p w:rsidR="00175B0F" w:rsidRPr="00B34920" w:rsidRDefault="00175B0F" w:rsidP="00175B0F">
      <w:pPr>
        <w:pStyle w:val="Footer"/>
        <w:tabs>
          <w:tab w:val="left" w:pos="2835"/>
        </w:tabs>
        <w:ind w:left="2835"/>
        <w:rPr>
          <w:szCs w:val="24"/>
          <w:lang w:val="fr-FR"/>
        </w:rPr>
      </w:pPr>
      <w:r w:rsidRPr="00B34920">
        <w:rPr>
          <w:szCs w:val="24"/>
          <w:lang w:val="fr-FR"/>
        </w:rPr>
        <w:t>chargé de</w:t>
      </w:r>
      <w:r w:rsidR="00DF19AE" w:rsidRPr="00B34920">
        <w:rPr>
          <w:szCs w:val="24"/>
          <w:lang w:val="fr-FR"/>
        </w:rPr>
        <w:t xml:space="preserve"> </w:t>
      </w:r>
      <w:r w:rsidRPr="00B34920">
        <w:rPr>
          <w:szCs w:val="24"/>
          <w:lang w:val="fr-FR"/>
        </w:rPr>
        <w:t>s</w:t>
      </w:r>
      <w:r w:rsidR="00DF19AE" w:rsidRPr="00B34920">
        <w:rPr>
          <w:szCs w:val="24"/>
          <w:lang w:val="fr-FR"/>
        </w:rPr>
        <w:t>uperviser les</w:t>
      </w:r>
      <w:r w:rsidRPr="00B34920">
        <w:rPr>
          <w:szCs w:val="24"/>
          <w:lang w:val="fr-FR"/>
        </w:rPr>
        <w:t xml:space="preserve"> domaines d</w:t>
      </w:r>
      <w:r w:rsidR="007B2487" w:rsidRPr="00B34920">
        <w:rPr>
          <w:szCs w:val="24"/>
          <w:lang w:val="fr-FR"/>
        </w:rPr>
        <w:t>’</w:t>
      </w:r>
      <w:r w:rsidRPr="00B34920">
        <w:rPr>
          <w:szCs w:val="24"/>
          <w:lang w:val="fr-FR"/>
        </w:rPr>
        <w:t>activité suivants : Traité de coopération en matière de brevets (PCT)</w:t>
      </w:r>
      <w:r w:rsidR="009C401E" w:rsidRPr="00B34920">
        <w:rPr>
          <w:szCs w:val="24"/>
          <w:lang w:val="fr-FR"/>
        </w:rPr>
        <w:t>;</w:t>
      </w:r>
      <w:r w:rsidRPr="00B34920">
        <w:rPr>
          <w:szCs w:val="24"/>
          <w:lang w:val="fr-FR"/>
        </w:rPr>
        <w:t xml:space="preserve">  droit et politiques en matière de brevets et classification internationale des brevets (CIB)</w:t>
      </w:r>
      <w:r w:rsidR="009C401E" w:rsidRPr="00B34920">
        <w:rPr>
          <w:szCs w:val="24"/>
          <w:lang w:val="fr-FR"/>
        </w:rPr>
        <w:t>;</w:t>
      </w:r>
      <w:r w:rsidRPr="00B34920">
        <w:rPr>
          <w:szCs w:val="24"/>
          <w:lang w:val="fr-FR"/>
        </w:rPr>
        <w:t xml:space="preserve">  normes de l</w:t>
      </w:r>
      <w:r w:rsidR="007B2487" w:rsidRPr="00B34920">
        <w:rPr>
          <w:szCs w:val="24"/>
          <w:lang w:val="fr-FR"/>
        </w:rPr>
        <w:t>’</w:t>
      </w:r>
      <w:r w:rsidRPr="00B34920">
        <w:rPr>
          <w:szCs w:val="24"/>
          <w:lang w:val="fr-FR"/>
        </w:rPr>
        <w:t>OMPI</w:t>
      </w:r>
      <w:r w:rsidR="009C401E" w:rsidRPr="00B34920">
        <w:rPr>
          <w:szCs w:val="24"/>
          <w:lang w:val="fr-FR"/>
        </w:rPr>
        <w:t>;</w:t>
      </w:r>
      <w:r w:rsidRPr="00B34920">
        <w:rPr>
          <w:szCs w:val="24"/>
          <w:lang w:val="fr-FR"/>
        </w:rPr>
        <w:t xml:space="preserve">  </w:t>
      </w:r>
      <w:r w:rsidR="00642671" w:rsidRPr="00B34920">
        <w:rPr>
          <w:szCs w:val="24"/>
          <w:lang w:val="fr-FR"/>
        </w:rPr>
        <w:t>statistiques de l</w:t>
      </w:r>
      <w:r w:rsidR="007B2487" w:rsidRPr="00B34920">
        <w:rPr>
          <w:szCs w:val="24"/>
          <w:lang w:val="fr-FR"/>
        </w:rPr>
        <w:t>’</w:t>
      </w:r>
      <w:r w:rsidR="00642671" w:rsidRPr="00B34920">
        <w:rPr>
          <w:szCs w:val="24"/>
          <w:lang w:val="fr-FR"/>
        </w:rPr>
        <w:t>OMPI</w:t>
      </w:r>
      <w:r w:rsidR="009C401E" w:rsidRPr="00B34920">
        <w:rPr>
          <w:szCs w:val="24"/>
          <w:lang w:val="fr-FR"/>
        </w:rPr>
        <w:t>;</w:t>
      </w:r>
      <w:r w:rsidR="00642671" w:rsidRPr="00B34920">
        <w:rPr>
          <w:szCs w:val="24"/>
          <w:lang w:val="fr-FR"/>
        </w:rPr>
        <w:t xml:space="preserve">  Centre d</w:t>
      </w:r>
      <w:r w:rsidR="007B2487" w:rsidRPr="00B34920">
        <w:rPr>
          <w:szCs w:val="24"/>
          <w:lang w:val="fr-FR"/>
        </w:rPr>
        <w:t>’</w:t>
      </w:r>
      <w:r w:rsidR="00642671" w:rsidRPr="00B34920">
        <w:rPr>
          <w:szCs w:val="24"/>
          <w:lang w:val="fr-FR"/>
        </w:rPr>
        <w:t>arbitrage et de médiation de l</w:t>
      </w:r>
      <w:r w:rsidR="007B2487" w:rsidRPr="00B34920">
        <w:rPr>
          <w:szCs w:val="24"/>
          <w:lang w:val="fr-FR"/>
        </w:rPr>
        <w:t>’</w:t>
      </w:r>
      <w:r w:rsidR="00642671" w:rsidRPr="00B34920">
        <w:rPr>
          <w:szCs w:val="24"/>
          <w:lang w:val="fr-FR"/>
        </w:rPr>
        <w:t>OMPI</w:t>
      </w:r>
      <w:r w:rsidR="009C401E" w:rsidRPr="00B34920">
        <w:rPr>
          <w:szCs w:val="24"/>
          <w:lang w:val="fr-FR"/>
        </w:rPr>
        <w:t>;</w:t>
      </w:r>
      <w:r w:rsidR="00642671" w:rsidRPr="00B34920">
        <w:rPr>
          <w:szCs w:val="24"/>
          <w:lang w:val="fr-FR"/>
        </w:rPr>
        <w:t xml:space="preserve">  savoirs traditionnels, expressions culturelles traditionnelles, ressources génétiques et sciences de la vie</w:t>
      </w:r>
    </w:p>
    <w:p w:rsidR="00642671" w:rsidRPr="00B34920" w:rsidRDefault="00642671" w:rsidP="00175B0F">
      <w:pPr>
        <w:pStyle w:val="Footer"/>
        <w:tabs>
          <w:tab w:val="left" w:pos="2835"/>
        </w:tabs>
        <w:ind w:left="2835"/>
        <w:rPr>
          <w:szCs w:val="24"/>
          <w:lang w:val="fr-FR"/>
        </w:rPr>
      </w:pPr>
    </w:p>
    <w:p w:rsidR="00642671" w:rsidRPr="00B34920" w:rsidRDefault="003A6C70" w:rsidP="003A6C70">
      <w:pPr>
        <w:pStyle w:val="Footer"/>
        <w:tabs>
          <w:tab w:val="left" w:pos="2835"/>
        </w:tabs>
        <w:ind w:left="2835" w:hanging="2835"/>
        <w:rPr>
          <w:b/>
          <w:szCs w:val="24"/>
          <w:lang w:val="fr-FR"/>
        </w:rPr>
      </w:pPr>
      <w:r w:rsidRPr="00B34920">
        <w:rPr>
          <w:b/>
          <w:szCs w:val="24"/>
          <w:lang w:val="fr-FR"/>
        </w:rPr>
        <w:t>1999 – 2003</w:t>
      </w:r>
      <w:r w:rsidRPr="00B34920">
        <w:rPr>
          <w:b/>
          <w:szCs w:val="24"/>
          <w:lang w:val="fr-FR"/>
        </w:rPr>
        <w:tab/>
        <w:t>Sous</w:t>
      </w:r>
      <w:r w:rsidR="00642671" w:rsidRPr="00B34920">
        <w:rPr>
          <w:b/>
          <w:szCs w:val="24"/>
          <w:lang w:val="fr-FR"/>
        </w:rPr>
        <w:noBreakHyphen/>
        <w:t>directeur général et conseiller juridique</w:t>
      </w:r>
    </w:p>
    <w:p w:rsidR="003A6C70" w:rsidRPr="00B34920" w:rsidRDefault="003A6C70" w:rsidP="003A6C70">
      <w:pPr>
        <w:pStyle w:val="Footer"/>
        <w:tabs>
          <w:tab w:val="left" w:pos="2835"/>
        </w:tabs>
        <w:ind w:left="2835"/>
        <w:rPr>
          <w:szCs w:val="24"/>
          <w:lang w:val="fr-FR"/>
        </w:rPr>
      </w:pPr>
      <w:r w:rsidRPr="00B34920">
        <w:rPr>
          <w:szCs w:val="24"/>
          <w:lang w:val="fr-FR"/>
        </w:rPr>
        <w:t>Organisation Mondiale de la Propriété Intellectuelle (OMPI)</w:t>
      </w:r>
    </w:p>
    <w:p w:rsidR="003A6C70" w:rsidRPr="00B34920" w:rsidRDefault="003A6C70" w:rsidP="003A6C70">
      <w:pPr>
        <w:pStyle w:val="Footer"/>
        <w:tabs>
          <w:tab w:val="left" w:pos="2835"/>
        </w:tabs>
        <w:ind w:left="2835"/>
        <w:rPr>
          <w:szCs w:val="24"/>
          <w:lang w:val="fr-FR"/>
        </w:rPr>
      </w:pPr>
    </w:p>
    <w:p w:rsidR="00642671" w:rsidRPr="002A4508" w:rsidRDefault="00642671" w:rsidP="00175B0F">
      <w:pPr>
        <w:pStyle w:val="Footer"/>
        <w:tabs>
          <w:tab w:val="left" w:pos="2835"/>
        </w:tabs>
        <w:ind w:left="2835"/>
        <w:rPr>
          <w:szCs w:val="24"/>
          <w:lang w:val="fr-FR"/>
        </w:rPr>
      </w:pPr>
      <w:r w:rsidRPr="002A4508">
        <w:rPr>
          <w:szCs w:val="24"/>
          <w:lang w:val="fr-FR"/>
        </w:rPr>
        <w:t>Bureau du conseiller juridique</w:t>
      </w:r>
      <w:r w:rsidR="009C401E" w:rsidRPr="002A4508">
        <w:rPr>
          <w:szCs w:val="24"/>
          <w:lang w:val="fr-FR"/>
        </w:rPr>
        <w:t>;</w:t>
      </w:r>
      <w:r w:rsidRPr="002A4508">
        <w:rPr>
          <w:szCs w:val="24"/>
          <w:lang w:val="fr-FR"/>
        </w:rPr>
        <w:t xml:space="preserve">  également chargé de</w:t>
      </w:r>
      <w:r w:rsidR="00DF19AE" w:rsidRPr="002A4508">
        <w:rPr>
          <w:szCs w:val="24"/>
          <w:lang w:val="fr-FR"/>
        </w:rPr>
        <w:t xml:space="preserve"> </w:t>
      </w:r>
      <w:r w:rsidRPr="002A4508">
        <w:rPr>
          <w:szCs w:val="24"/>
          <w:lang w:val="fr-FR"/>
        </w:rPr>
        <w:t>s</w:t>
      </w:r>
      <w:r w:rsidR="00DF19AE" w:rsidRPr="002A4508">
        <w:rPr>
          <w:szCs w:val="24"/>
          <w:lang w:val="fr-FR"/>
        </w:rPr>
        <w:t>uperviser les</w:t>
      </w:r>
      <w:r w:rsidRPr="002A4508">
        <w:rPr>
          <w:szCs w:val="24"/>
          <w:lang w:val="fr-FR"/>
        </w:rPr>
        <w:t xml:space="preserve"> domaines d</w:t>
      </w:r>
      <w:r w:rsidR="007B2487" w:rsidRPr="002A4508">
        <w:rPr>
          <w:szCs w:val="24"/>
          <w:lang w:val="fr-FR"/>
        </w:rPr>
        <w:t>’</w:t>
      </w:r>
      <w:r w:rsidRPr="002A4508">
        <w:rPr>
          <w:szCs w:val="24"/>
          <w:lang w:val="fr-FR"/>
        </w:rPr>
        <w:t>activité suivants : Centre d</w:t>
      </w:r>
      <w:r w:rsidR="007B2487" w:rsidRPr="002A4508">
        <w:rPr>
          <w:szCs w:val="24"/>
          <w:lang w:val="fr-FR"/>
        </w:rPr>
        <w:t>’</w:t>
      </w:r>
      <w:r w:rsidRPr="002A4508">
        <w:rPr>
          <w:szCs w:val="24"/>
          <w:lang w:val="fr-FR"/>
        </w:rPr>
        <w:t>arbitrage et de médiation de l</w:t>
      </w:r>
      <w:r w:rsidR="007B2487" w:rsidRPr="002A4508">
        <w:rPr>
          <w:szCs w:val="24"/>
          <w:lang w:val="fr-FR"/>
        </w:rPr>
        <w:t>’</w:t>
      </w:r>
      <w:r w:rsidRPr="002A4508">
        <w:rPr>
          <w:szCs w:val="24"/>
          <w:lang w:val="fr-FR"/>
        </w:rPr>
        <w:t>OMPI</w:t>
      </w:r>
      <w:r w:rsidR="009C401E" w:rsidRPr="002A4508">
        <w:rPr>
          <w:szCs w:val="24"/>
          <w:lang w:val="fr-FR"/>
        </w:rPr>
        <w:t>;</w:t>
      </w:r>
      <w:r w:rsidRPr="002A4508">
        <w:rPr>
          <w:szCs w:val="24"/>
          <w:lang w:val="fr-FR"/>
        </w:rPr>
        <w:t xml:space="preserve">  commerce électronique</w:t>
      </w:r>
      <w:r w:rsidR="009C401E" w:rsidRPr="002A4508">
        <w:rPr>
          <w:szCs w:val="24"/>
          <w:lang w:val="fr-FR"/>
        </w:rPr>
        <w:t>;</w:t>
      </w:r>
      <w:r w:rsidRPr="002A4508">
        <w:rPr>
          <w:szCs w:val="24"/>
          <w:lang w:val="fr-FR"/>
        </w:rPr>
        <w:t xml:space="preserve">  </w:t>
      </w:r>
      <w:r w:rsidR="00DF19AE" w:rsidRPr="002A4508">
        <w:rPr>
          <w:szCs w:val="24"/>
          <w:lang w:val="fr-FR"/>
        </w:rPr>
        <w:t>et à partir de</w:t>
      </w:r>
      <w:r w:rsidR="00AA4EB3" w:rsidRPr="002A4508">
        <w:rPr>
          <w:szCs w:val="24"/>
          <w:lang w:val="fr-FR"/>
        </w:rPr>
        <w:t> </w:t>
      </w:r>
      <w:r w:rsidR="00DF19AE" w:rsidRPr="002A4508">
        <w:rPr>
          <w:szCs w:val="24"/>
          <w:lang w:val="fr-FR"/>
        </w:rPr>
        <w:t>2002 : Traité de coopération en matière de brevets (PCT)</w:t>
      </w:r>
      <w:r w:rsidR="009C401E" w:rsidRPr="002A4508">
        <w:rPr>
          <w:szCs w:val="24"/>
          <w:lang w:val="fr-FR"/>
        </w:rPr>
        <w:t>;</w:t>
      </w:r>
      <w:r w:rsidR="00DF19AE" w:rsidRPr="002A4508">
        <w:rPr>
          <w:szCs w:val="24"/>
          <w:lang w:val="fr-FR"/>
        </w:rPr>
        <w:t xml:space="preserve">  droit et politiques en matière de brevets et classification internationale </w:t>
      </w:r>
      <w:r w:rsidR="00DF19AE" w:rsidRPr="002A4508">
        <w:rPr>
          <w:szCs w:val="24"/>
          <w:lang w:val="fr-FR"/>
        </w:rPr>
        <w:lastRenderedPageBreak/>
        <w:t>des brevets (CIB)</w:t>
      </w:r>
      <w:r w:rsidR="009C401E" w:rsidRPr="002A4508">
        <w:rPr>
          <w:szCs w:val="24"/>
          <w:lang w:val="fr-FR"/>
        </w:rPr>
        <w:t>;</w:t>
      </w:r>
      <w:r w:rsidR="00DF19AE" w:rsidRPr="002A4508">
        <w:rPr>
          <w:szCs w:val="24"/>
          <w:lang w:val="fr-FR"/>
        </w:rPr>
        <w:t xml:space="preserve">  savoirs traditionnels, expressions culturelles traditionnelles, ressources génétiques et sciences de la vie</w:t>
      </w:r>
    </w:p>
    <w:p w:rsidR="00695B5D" w:rsidRPr="00B34920" w:rsidRDefault="00695B5D" w:rsidP="00175B0F">
      <w:pPr>
        <w:pStyle w:val="Footer"/>
        <w:tabs>
          <w:tab w:val="left" w:pos="2835"/>
        </w:tabs>
        <w:ind w:left="2835"/>
        <w:rPr>
          <w:szCs w:val="24"/>
          <w:lang w:val="fr-FR"/>
        </w:rPr>
      </w:pPr>
    </w:p>
    <w:p w:rsidR="00DF19AE" w:rsidRPr="00B34920" w:rsidRDefault="003A6C70" w:rsidP="003A6C70">
      <w:pPr>
        <w:pStyle w:val="Footer"/>
        <w:tabs>
          <w:tab w:val="left" w:pos="2835"/>
        </w:tabs>
        <w:ind w:left="2835" w:hanging="2835"/>
        <w:rPr>
          <w:b/>
          <w:szCs w:val="24"/>
          <w:lang w:val="fr-FR"/>
        </w:rPr>
      </w:pPr>
      <w:r w:rsidRPr="00B34920">
        <w:rPr>
          <w:b/>
          <w:szCs w:val="24"/>
          <w:lang w:val="fr-FR"/>
        </w:rPr>
        <w:t>1997 – 1999</w:t>
      </w:r>
      <w:r w:rsidRPr="00B34920">
        <w:rPr>
          <w:b/>
          <w:szCs w:val="24"/>
          <w:lang w:val="fr-FR"/>
        </w:rPr>
        <w:tab/>
        <w:t xml:space="preserve">Conseiller </w:t>
      </w:r>
      <w:r w:rsidR="00DF19AE" w:rsidRPr="00B34920">
        <w:rPr>
          <w:b/>
          <w:szCs w:val="24"/>
          <w:lang w:val="fr-FR"/>
        </w:rPr>
        <w:t>juridique</w:t>
      </w:r>
    </w:p>
    <w:p w:rsidR="003A6C70" w:rsidRPr="00B34920" w:rsidRDefault="003A6C70" w:rsidP="003A6C70">
      <w:pPr>
        <w:pStyle w:val="Footer"/>
        <w:tabs>
          <w:tab w:val="left" w:pos="2835"/>
        </w:tabs>
        <w:ind w:left="2835"/>
        <w:rPr>
          <w:szCs w:val="24"/>
          <w:lang w:val="fr-FR"/>
        </w:rPr>
      </w:pPr>
      <w:r w:rsidRPr="00B34920">
        <w:rPr>
          <w:szCs w:val="24"/>
          <w:lang w:val="fr-FR"/>
        </w:rPr>
        <w:t>Organisation Mondiale de la Propriété Intellectuelle (OMPI)</w:t>
      </w:r>
    </w:p>
    <w:p w:rsidR="003A6C70" w:rsidRPr="00B34920" w:rsidRDefault="003A6C70" w:rsidP="003A6C70">
      <w:pPr>
        <w:pStyle w:val="Footer"/>
        <w:tabs>
          <w:tab w:val="left" w:pos="2835"/>
        </w:tabs>
        <w:ind w:left="2835"/>
        <w:rPr>
          <w:szCs w:val="24"/>
          <w:lang w:val="fr-FR"/>
        </w:rPr>
      </w:pPr>
    </w:p>
    <w:p w:rsidR="00DF19AE" w:rsidRPr="00B34920" w:rsidRDefault="00DF19AE" w:rsidP="00175B0F">
      <w:pPr>
        <w:pStyle w:val="Footer"/>
        <w:tabs>
          <w:tab w:val="left" w:pos="2835"/>
        </w:tabs>
        <w:ind w:left="2835"/>
        <w:rPr>
          <w:szCs w:val="24"/>
          <w:lang w:val="fr-FR"/>
        </w:rPr>
      </w:pPr>
      <w:r w:rsidRPr="00B34920">
        <w:rPr>
          <w:szCs w:val="24"/>
          <w:lang w:val="fr-FR"/>
        </w:rPr>
        <w:t>Bureau du conseiller juridique</w:t>
      </w:r>
      <w:r w:rsidR="009C401E" w:rsidRPr="00B34920">
        <w:rPr>
          <w:szCs w:val="24"/>
          <w:lang w:val="fr-FR"/>
        </w:rPr>
        <w:t>;</w:t>
      </w:r>
      <w:r w:rsidRPr="00B34920">
        <w:rPr>
          <w:szCs w:val="24"/>
          <w:lang w:val="fr-FR"/>
        </w:rPr>
        <w:t xml:space="preserve">  également chargé de superviser les domaines d</w:t>
      </w:r>
      <w:r w:rsidR="007B2487" w:rsidRPr="00B34920">
        <w:rPr>
          <w:szCs w:val="24"/>
          <w:lang w:val="fr-FR"/>
        </w:rPr>
        <w:t>’</w:t>
      </w:r>
      <w:r w:rsidRPr="00B34920">
        <w:rPr>
          <w:szCs w:val="24"/>
          <w:lang w:val="fr-FR"/>
        </w:rPr>
        <w:t>activité suivants : Centre d</w:t>
      </w:r>
      <w:r w:rsidR="007B2487" w:rsidRPr="00B34920">
        <w:rPr>
          <w:szCs w:val="24"/>
          <w:lang w:val="fr-FR"/>
        </w:rPr>
        <w:t>’</w:t>
      </w:r>
      <w:r w:rsidRPr="00B34920">
        <w:rPr>
          <w:szCs w:val="24"/>
          <w:lang w:val="fr-FR"/>
        </w:rPr>
        <w:t>arbitrage et de médiation de l</w:t>
      </w:r>
      <w:r w:rsidR="007B2487" w:rsidRPr="00B34920">
        <w:rPr>
          <w:szCs w:val="24"/>
          <w:lang w:val="fr-FR"/>
        </w:rPr>
        <w:t>’</w:t>
      </w:r>
      <w:r w:rsidRPr="00B34920">
        <w:rPr>
          <w:szCs w:val="24"/>
          <w:lang w:val="fr-FR"/>
        </w:rPr>
        <w:t>OMPI</w:t>
      </w:r>
      <w:r w:rsidR="009C401E" w:rsidRPr="00B34920">
        <w:rPr>
          <w:szCs w:val="24"/>
          <w:lang w:val="fr-FR"/>
        </w:rPr>
        <w:t>;</w:t>
      </w:r>
      <w:r w:rsidRPr="00B34920">
        <w:rPr>
          <w:szCs w:val="24"/>
          <w:lang w:val="fr-FR"/>
        </w:rPr>
        <w:t xml:space="preserve">  commerce électronique</w:t>
      </w:r>
    </w:p>
    <w:p w:rsidR="00DF19AE" w:rsidRPr="00B34920" w:rsidRDefault="00DF19AE" w:rsidP="00175B0F">
      <w:pPr>
        <w:pStyle w:val="Footer"/>
        <w:tabs>
          <w:tab w:val="left" w:pos="2835"/>
        </w:tabs>
        <w:ind w:left="2835"/>
        <w:rPr>
          <w:szCs w:val="24"/>
          <w:lang w:val="fr-FR"/>
        </w:rPr>
      </w:pPr>
    </w:p>
    <w:p w:rsidR="00DF19AE" w:rsidRPr="00B34920" w:rsidRDefault="003A6C70" w:rsidP="003A6C70">
      <w:pPr>
        <w:pStyle w:val="Footer"/>
        <w:tabs>
          <w:tab w:val="left" w:pos="2835"/>
        </w:tabs>
        <w:ind w:left="2835" w:hanging="2835"/>
        <w:rPr>
          <w:b/>
          <w:szCs w:val="24"/>
          <w:lang w:val="fr-FR"/>
        </w:rPr>
      </w:pPr>
      <w:r w:rsidRPr="00B34920">
        <w:rPr>
          <w:b/>
          <w:szCs w:val="24"/>
          <w:lang w:val="fr-FR"/>
        </w:rPr>
        <w:t>1993 – 1997</w:t>
      </w:r>
      <w:r w:rsidRPr="00B34920">
        <w:rPr>
          <w:b/>
          <w:szCs w:val="24"/>
          <w:lang w:val="fr-FR"/>
        </w:rPr>
        <w:tab/>
      </w:r>
      <w:r w:rsidR="005F2681" w:rsidRPr="00B34920">
        <w:rPr>
          <w:b/>
          <w:szCs w:val="24"/>
          <w:lang w:val="fr-FR"/>
        </w:rPr>
        <w:t>Cabinet d</w:t>
      </w:r>
      <w:r w:rsidR="007B2487" w:rsidRPr="00B34920">
        <w:rPr>
          <w:b/>
          <w:szCs w:val="24"/>
          <w:lang w:val="fr-FR"/>
        </w:rPr>
        <w:t>’</w:t>
      </w:r>
      <w:r w:rsidR="005F2681" w:rsidRPr="00B34920">
        <w:rPr>
          <w:b/>
          <w:szCs w:val="24"/>
          <w:lang w:val="fr-FR"/>
        </w:rPr>
        <w:t>un</w:t>
      </w:r>
      <w:r w:rsidRPr="00B34920">
        <w:rPr>
          <w:b/>
          <w:szCs w:val="24"/>
          <w:lang w:val="fr-FR"/>
        </w:rPr>
        <w:t xml:space="preserve"> vice</w:t>
      </w:r>
      <w:r w:rsidRPr="00B34920">
        <w:rPr>
          <w:b/>
          <w:szCs w:val="24"/>
          <w:lang w:val="fr-FR"/>
        </w:rPr>
        <w:noBreakHyphen/>
        <w:t>directeur général</w:t>
      </w:r>
    </w:p>
    <w:p w:rsidR="003A6C70" w:rsidRPr="00B34920" w:rsidRDefault="003A6C70" w:rsidP="003A6C70">
      <w:pPr>
        <w:pStyle w:val="Footer"/>
        <w:tabs>
          <w:tab w:val="left" w:pos="2835"/>
        </w:tabs>
        <w:ind w:left="2835"/>
        <w:rPr>
          <w:szCs w:val="24"/>
          <w:lang w:val="fr-FR"/>
        </w:rPr>
      </w:pPr>
      <w:r w:rsidRPr="00B34920">
        <w:rPr>
          <w:szCs w:val="24"/>
          <w:lang w:val="fr-FR"/>
        </w:rPr>
        <w:t>Organisation Mondiale de la Propriété Intellectuelle (OMPI)</w:t>
      </w:r>
    </w:p>
    <w:p w:rsidR="003A6C70" w:rsidRPr="00B34920" w:rsidRDefault="003A6C70" w:rsidP="003A6C70">
      <w:pPr>
        <w:pStyle w:val="Footer"/>
        <w:tabs>
          <w:tab w:val="left" w:pos="2835"/>
        </w:tabs>
        <w:ind w:left="2835"/>
        <w:rPr>
          <w:szCs w:val="24"/>
          <w:lang w:val="fr-FR"/>
        </w:rPr>
      </w:pPr>
    </w:p>
    <w:p w:rsidR="00DF19AE" w:rsidRPr="00B34920" w:rsidRDefault="00DF19AE" w:rsidP="00175B0F">
      <w:pPr>
        <w:pStyle w:val="Footer"/>
        <w:tabs>
          <w:tab w:val="left" w:pos="2835"/>
        </w:tabs>
        <w:ind w:left="2835"/>
        <w:rPr>
          <w:szCs w:val="24"/>
          <w:lang w:val="fr-FR"/>
        </w:rPr>
      </w:pPr>
      <w:proofErr w:type="gramStart"/>
      <w:r w:rsidRPr="00B34920">
        <w:rPr>
          <w:szCs w:val="24"/>
          <w:lang w:val="fr-FR"/>
        </w:rPr>
        <w:t>directeur</w:t>
      </w:r>
      <w:proofErr w:type="gramEnd"/>
      <w:r w:rsidRPr="00B34920">
        <w:rPr>
          <w:szCs w:val="24"/>
          <w:lang w:val="fr-FR"/>
        </w:rPr>
        <w:t xml:space="preserve"> du Centre d</w:t>
      </w:r>
      <w:r w:rsidR="007B2487" w:rsidRPr="00B34920">
        <w:rPr>
          <w:szCs w:val="24"/>
          <w:lang w:val="fr-FR"/>
        </w:rPr>
        <w:t>’</w:t>
      </w:r>
      <w:r w:rsidRPr="00B34920">
        <w:rPr>
          <w:szCs w:val="24"/>
          <w:lang w:val="fr-FR"/>
        </w:rPr>
        <w:t>arbitrage et de médiation</w:t>
      </w:r>
      <w:r w:rsidR="002A4508">
        <w:rPr>
          <w:szCs w:val="24"/>
          <w:lang w:val="fr-FR"/>
        </w:rPr>
        <w:t xml:space="preserve"> de l’OMPI</w:t>
      </w:r>
      <w:r w:rsidR="009C401E" w:rsidRPr="00B34920">
        <w:rPr>
          <w:szCs w:val="24"/>
          <w:lang w:val="fr-FR"/>
        </w:rPr>
        <w:t>;</w:t>
      </w:r>
      <w:r w:rsidRPr="00B34920">
        <w:rPr>
          <w:szCs w:val="24"/>
          <w:lang w:val="fr-FR"/>
        </w:rPr>
        <w:t xml:space="preserve">  conseiller juridique par intérim (1996 – 1997)</w:t>
      </w:r>
    </w:p>
    <w:p w:rsidR="00DF19AE" w:rsidRPr="00B34920" w:rsidRDefault="00DF19AE" w:rsidP="00175B0F">
      <w:pPr>
        <w:pStyle w:val="Footer"/>
        <w:tabs>
          <w:tab w:val="left" w:pos="2835"/>
        </w:tabs>
        <w:ind w:left="2835"/>
        <w:rPr>
          <w:szCs w:val="24"/>
          <w:lang w:val="fr-FR"/>
        </w:rPr>
      </w:pPr>
    </w:p>
    <w:p w:rsidR="00DF19AE" w:rsidRPr="00B34920" w:rsidRDefault="003A6C70" w:rsidP="003A6C70">
      <w:pPr>
        <w:pStyle w:val="Footer"/>
        <w:tabs>
          <w:tab w:val="left" w:pos="2835"/>
        </w:tabs>
        <w:ind w:left="2835" w:hanging="2835"/>
        <w:rPr>
          <w:b/>
          <w:szCs w:val="24"/>
          <w:lang w:val="fr-FR"/>
        </w:rPr>
      </w:pPr>
      <w:r w:rsidRPr="00B34920">
        <w:rPr>
          <w:b/>
          <w:szCs w:val="24"/>
          <w:lang w:val="fr-FR"/>
        </w:rPr>
        <w:t>1990 – 1993</w:t>
      </w:r>
      <w:r w:rsidRPr="00B34920">
        <w:rPr>
          <w:b/>
          <w:szCs w:val="24"/>
          <w:lang w:val="fr-FR"/>
        </w:rPr>
        <w:tab/>
      </w:r>
      <w:r w:rsidR="005F2681" w:rsidRPr="00B34920">
        <w:rPr>
          <w:b/>
          <w:szCs w:val="24"/>
          <w:lang w:val="fr-FR"/>
        </w:rPr>
        <w:t>Cabinet</w:t>
      </w:r>
      <w:r w:rsidR="00DF19AE" w:rsidRPr="00B34920">
        <w:rPr>
          <w:b/>
          <w:szCs w:val="24"/>
          <w:lang w:val="fr-FR"/>
        </w:rPr>
        <w:t xml:space="preserve"> du directeur général</w:t>
      </w:r>
    </w:p>
    <w:p w:rsidR="003A6C70" w:rsidRPr="00B34920" w:rsidRDefault="003A6C70" w:rsidP="003A6C70">
      <w:pPr>
        <w:pStyle w:val="Footer"/>
        <w:tabs>
          <w:tab w:val="left" w:pos="2835"/>
        </w:tabs>
        <w:ind w:left="2835"/>
        <w:rPr>
          <w:szCs w:val="24"/>
          <w:lang w:val="fr-FR"/>
        </w:rPr>
      </w:pPr>
      <w:r w:rsidRPr="00B34920">
        <w:rPr>
          <w:szCs w:val="24"/>
          <w:lang w:val="fr-FR"/>
        </w:rPr>
        <w:t>Organisation Mondiale de la Propriété Intellectuelle (OMPI)</w:t>
      </w:r>
    </w:p>
    <w:p w:rsidR="003A6C70" w:rsidRPr="00B34920" w:rsidRDefault="003A6C70" w:rsidP="003A6C70">
      <w:pPr>
        <w:pStyle w:val="Footer"/>
        <w:tabs>
          <w:tab w:val="left" w:pos="2835"/>
        </w:tabs>
        <w:ind w:left="2835"/>
        <w:rPr>
          <w:szCs w:val="24"/>
          <w:lang w:val="fr-FR"/>
        </w:rPr>
      </w:pPr>
    </w:p>
    <w:p w:rsidR="00DF19AE" w:rsidRPr="00B34920" w:rsidRDefault="00DF19AE" w:rsidP="00175B0F">
      <w:pPr>
        <w:pStyle w:val="Footer"/>
        <w:tabs>
          <w:tab w:val="left" w:pos="2835"/>
        </w:tabs>
        <w:ind w:left="2835"/>
        <w:rPr>
          <w:szCs w:val="24"/>
          <w:lang w:val="fr-FR"/>
        </w:rPr>
      </w:pPr>
      <w:proofErr w:type="gramStart"/>
      <w:r w:rsidRPr="00B34920">
        <w:rPr>
          <w:szCs w:val="24"/>
          <w:lang w:val="fr-FR"/>
        </w:rPr>
        <w:t>assistant</w:t>
      </w:r>
      <w:proofErr w:type="gramEnd"/>
      <w:r w:rsidRPr="00B34920">
        <w:rPr>
          <w:szCs w:val="24"/>
          <w:lang w:val="fr-FR"/>
        </w:rPr>
        <w:t xml:space="preserve"> spécial du directeur général (1991 – 1993) et directeur</w:t>
      </w:r>
      <w:r w:rsidRPr="00B34920">
        <w:rPr>
          <w:szCs w:val="24"/>
          <w:lang w:val="fr-FR"/>
        </w:rPr>
        <w:noBreakHyphen/>
        <w:t>conseiller</w:t>
      </w:r>
    </w:p>
    <w:p w:rsidR="00DF19AE" w:rsidRPr="00B34920" w:rsidRDefault="00DF19AE" w:rsidP="00175B0F">
      <w:pPr>
        <w:pStyle w:val="Footer"/>
        <w:tabs>
          <w:tab w:val="left" w:pos="2835"/>
        </w:tabs>
        <w:ind w:left="2835"/>
        <w:rPr>
          <w:szCs w:val="24"/>
          <w:lang w:val="fr-FR"/>
        </w:rPr>
      </w:pPr>
    </w:p>
    <w:p w:rsidR="00AE7B73" w:rsidRPr="00B34920" w:rsidRDefault="003A6C70" w:rsidP="003A6C70">
      <w:pPr>
        <w:pStyle w:val="Footer"/>
        <w:tabs>
          <w:tab w:val="left" w:pos="2835"/>
        </w:tabs>
        <w:ind w:left="2835" w:hanging="2835"/>
        <w:rPr>
          <w:b/>
          <w:szCs w:val="24"/>
          <w:lang w:val="fr-FR"/>
        </w:rPr>
      </w:pPr>
      <w:r w:rsidRPr="00B34920">
        <w:rPr>
          <w:b/>
          <w:szCs w:val="24"/>
          <w:lang w:val="fr-FR"/>
        </w:rPr>
        <w:t>19</w:t>
      </w:r>
      <w:r w:rsidR="00B34920">
        <w:rPr>
          <w:b/>
          <w:szCs w:val="24"/>
          <w:lang w:val="fr-FR"/>
        </w:rPr>
        <w:t>8</w:t>
      </w:r>
      <w:r w:rsidRPr="00B34920">
        <w:rPr>
          <w:b/>
          <w:szCs w:val="24"/>
          <w:lang w:val="fr-FR"/>
        </w:rPr>
        <w:t>8 – 1990</w:t>
      </w:r>
      <w:r w:rsidRPr="00B34920">
        <w:rPr>
          <w:b/>
          <w:szCs w:val="24"/>
          <w:lang w:val="fr-FR"/>
        </w:rPr>
        <w:tab/>
        <w:t xml:space="preserve">Chef </w:t>
      </w:r>
      <w:r w:rsidR="00DF19AE" w:rsidRPr="00B34920">
        <w:rPr>
          <w:b/>
          <w:szCs w:val="24"/>
          <w:lang w:val="fr-FR"/>
        </w:rPr>
        <w:t>de la Section du droit de la propriété industrielle</w:t>
      </w:r>
    </w:p>
    <w:p w:rsidR="003A6C70" w:rsidRPr="00B34920" w:rsidRDefault="003A6C70" w:rsidP="003A6C70">
      <w:pPr>
        <w:pStyle w:val="Footer"/>
        <w:tabs>
          <w:tab w:val="left" w:pos="2835"/>
        </w:tabs>
        <w:ind w:left="2835"/>
        <w:rPr>
          <w:szCs w:val="24"/>
          <w:lang w:val="fr-FR"/>
        </w:rPr>
      </w:pPr>
      <w:r w:rsidRPr="00B34920">
        <w:rPr>
          <w:szCs w:val="24"/>
          <w:lang w:val="fr-FR"/>
        </w:rPr>
        <w:t>Organisation Mondiale de la Propriété Intellectuelle (OMPI)</w:t>
      </w:r>
    </w:p>
    <w:p w:rsidR="003A6C70" w:rsidRPr="00B34920" w:rsidRDefault="003A6C70" w:rsidP="003A6C70">
      <w:pPr>
        <w:pStyle w:val="Footer"/>
        <w:tabs>
          <w:tab w:val="left" w:pos="2835"/>
        </w:tabs>
        <w:ind w:left="2835"/>
        <w:rPr>
          <w:szCs w:val="24"/>
          <w:lang w:val="fr-FR"/>
        </w:rPr>
      </w:pPr>
    </w:p>
    <w:p w:rsidR="00AE7B73" w:rsidRPr="00B34920" w:rsidRDefault="00AE7B73" w:rsidP="00AE7B73">
      <w:pPr>
        <w:pStyle w:val="Footer"/>
        <w:tabs>
          <w:tab w:val="left" w:pos="2835"/>
        </w:tabs>
        <w:ind w:left="2835"/>
        <w:rPr>
          <w:szCs w:val="24"/>
          <w:lang w:val="fr-FR"/>
        </w:rPr>
      </w:pPr>
      <w:r w:rsidRPr="00B34920">
        <w:rPr>
          <w:szCs w:val="24"/>
          <w:lang w:val="fr-FR"/>
        </w:rPr>
        <w:t>Division de la propriété industrielle</w:t>
      </w:r>
    </w:p>
    <w:p w:rsidR="00AE7B73" w:rsidRPr="00B34920" w:rsidRDefault="00AE7B73" w:rsidP="00AE7B73">
      <w:pPr>
        <w:pStyle w:val="Footer"/>
        <w:tabs>
          <w:tab w:val="left" w:pos="2835"/>
        </w:tabs>
        <w:ind w:left="2835"/>
        <w:rPr>
          <w:szCs w:val="24"/>
          <w:lang w:val="fr-FR"/>
        </w:rPr>
      </w:pPr>
    </w:p>
    <w:p w:rsidR="00AE7B73" w:rsidRPr="00B34920" w:rsidRDefault="003A6C70" w:rsidP="003A6C70">
      <w:pPr>
        <w:pStyle w:val="Footer"/>
        <w:tabs>
          <w:tab w:val="left" w:pos="2835"/>
        </w:tabs>
        <w:ind w:left="2835" w:hanging="2835"/>
        <w:rPr>
          <w:b/>
          <w:szCs w:val="24"/>
          <w:lang w:val="fr-FR"/>
        </w:rPr>
      </w:pPr>
      <w:r w:rsidRPr="00B34920">
        <w:rPr>
          <w:b/>
          <w:szCs w:val="24"/>
          <w:lang w:val="fr-FR"/>
        </w:rPr>
        <w:t>1985 – 1988</w:t>
      </w:r>
      <w:r w:rsidRPr="00B34920">
        <w:rPr>
          <w:b/>
          <w:szCs w:val="24"/>
          <w:lang w:val="fr-FR"/>
        </w:rPr>
        <w:tab/>
        <w:t xml:space="preserve">Consultant </w:t>
      </w:r>
      <w:r w:rsidR="00AE7B73" w:rsidRPr="00B34920">
        <w:rPr>
          <w:b/>
          <w:szCs w:val="24"/>
          <w:lang w:val="fr-FR"/>
        </w:rPr>
        <w:t>et administrateur principal de programme</w:t>
      </w:r>
    </w:p>
    <w:p w:rsidR="003A6C70" w:rsidRPr="00B34920" w:rsidRDefault="003A6C70" w:rsidP="003A6C70">
      <w:pPr>
        <w:pStyle w:val="Footer"/>
        <w:tabs>
          <w:tab w:val="left" w:pos="2835"/>
        </w:tabs>
        <w:ind w:left="2835" w:hanging="2835"/>
        <w:rPr>
          <w:b/>
          <w:szCs w:val="24"/>
          <w:lang w:val="fr-FR"/>
        </w:rPr>
      </w:pPr>
    </w:p>
    <w:p w:rsidR="003A6C70" w:rsidRPr="00B34920" w:rsidRDefault="003A6C70" w:rsidP="003A6C70">
      <w:pPr>
        <w:pStyle w:val="Footer"/>
        <w:tabs>
          <w:tab w:val="left" w:pos="2835"/>
        </w:tabs>
        <w:ind w:left="2835"/>
        <w:rPr>
          <w:szCs w:val="24"/>
          <w:lang w:val="fr-FR"/>
        </w:rPr>
      </w:pPr>
      <w:r w:rsidRPr="00B34920">
        <w:rPr>
          <w:szCs w:val="24"/>
          <w:lang w:val="fr-FR"/>
        </w:rPr>
        <w:t>Organisation Mondiale de la Propriété Intellectuelle (OMPI)</w:t>
      </w:r>
    </w:p>
    <w:p w:rsidR="003A6C70" w:rsidRPr="00B34920" w:rsidRDefault="003A6C70" w:rsidP="003A6C70">
      <w:pPr>
        <w:pStyle w:val="Footer"/>
        <w:tabs>
          <w:tab w:val="left" w:pos="2835"/>
        </w:tabs>
        <w:ind w:left="2835"/>
        <w:rPr>
          <w:szCs w:val="24"/>
          <w:lang w:val="fr-FR"/>
        </w:rPr>
      </w:pPr>
    </w:p>
    <w:p w:rsidR="00AE7B73" w:rsidRPr="00B34920" w:rsidRDefault="00AE7B73" w:rsidP="00AE7B73">
      <w:pPr>
        <w:pStyle w:val="Footer"/>
        <w:tabs>
          <w:tab w:val="left" w:pos="2835"/>
        </w:tabs>
        <w:ind w:left="2835"/>
        <w:rPr>
          <w:szCs w:val="24"/>
          <w:lang w:val="fr-FR"/>
        </w:rPr>
      </w:pPr>
      <w:r w:rsidRPr="00B34920">
        <w:rPr>
          <w:szCs w:val="24"/>
          <w:lang w:val="fr-FR"/>
        </w:rPr>
        <w:t xml:space="preserve">Bureau de la coopération pour le développement et des relations extérieures </w:t>
      </w:r>
      <w:r w:rsidR="005F2681" w:rsidRPr="00B34920">
        <w:rPr>
          <w:szCs w:val="24"/>
          <w:lang w:val="fr-FR"/>
        </w:rPr>
        <w:t>avec</w:t>
      </w:r>
      <w:r w:rsidRPr="00B34920">
        <w:rPr>
          <w:szCs w:val="24"/>
          <w:lang w:val="fr-FR"/>
        </w:rPr>
        <w:t xml:space="preserve"> l</w:t>
      </w:r>
      <w:r w:rsidR="007B2487" w:rsidRPr="00B34920">
        <w:rPr>
          <w:szCs w:val="24"/>
          <w:lang w:val="fr-FR"/>
        </w:rPr>
        <w:t>’</w:t>
      </w:r>
      <w:r w:rsidRPr="00B34920">
        <w:rPr>
          <w:szCs w:val="24"/>
          <w:lang w:val="fr-FR"/>
        </w:rPr>
        <w:t>Asie et le Pacifique</w:t>
      </w:r>
    </w:p>
    <w:p w:rsidR="00AE7B73" w:rsidRPr="00B34920" w:rsidRDefault="00AE7B73" w:rsidP="00AE7B73">
      <w:pPr>
        <w:pStyle w:val="Footer"/>
        <w:tabs>
          <w:tab w:val="left" w:pos="2835"/>
        </w:tabs>
        <w:ind w:left="2835"/>
        <w:rPr>
          <w:szCs w:val="24"/>
          <w:lang w:val="fr-FR"/>
        </w:rPr>
      </w:pPr>
    </w:p>
    <w:p w:rsidR="00AE7B73" w:rsidRPr="00B34920" w:rsidRDefault="003A6C70" w:rsidP="00AE7B73">
      <w:pPr>
        <w:pStyle w:val="Footer"/>
        <w:numPr>
          <w:ilvl w:val="0"/>
          <w:numId w:val="5"/>
        </w:numPr>
        <w:tabs>
          <w:tab w:val="left" w:pos="2835"/>
        </w:tabs>
        <w:ind w:left="2835"/>
        <w:rPr>
          <w:b/>
          <w:szCs w:val="24"/>
          <w:lang w:val="fr-FR"/>
        </w:rPr>
      </w:pPr>
      <w:r w:rsidRPr="00B34920">
        <w:rPr>
          <w:b/>
          <w:szCs w:val="24"/>
          <w:lang w:val="fr-FR"/>
        </w:rPr>
        <w:t>Avocat</w:t>
      </w:r>
    </w:p>
    <w:p w:rsidR="00AE7B73" w:rsidRPr="00B34920" w:rsidRDefault="00AE7B73" w:rsidP="00AE7B73">
      <w:pPr>
        <w:pStyle w:val="Footer"/>
        <w:tabs>
          <w:tab w:val="left" w:pos="2835"/>
        </w:tabs>
        <w:ind w:left="2835"/>
        <w:rPr>
          <w:szCs w:val="24"/>
          <w:lang w:val="fr-FR"/>
        </w:rPr>
      </w:pPr>
      <w:proofErr w:type="spellStart"/>
      <w:r w:rsidRPr="00B34920">
        <w:rPr>
          <w:szCs w:val="24"/>
          <w:lang w:val="fr-FR"/>
        </w:rPr>
        <w:t>Freehills</w:t>
      </w:r>
      <w:proofErr w:type="spellEnd"/>
      <w:r w:rsidRPr="00B34920">
        <w:rPr>
          <w:szCs w:val="24"/>
          <w:lang w:val="fr-FR"/>
        </w:rPr>
        <w:t>, Sydney</w:t>
      </w:r>
    </w:p>
    <w:p w:rsidR="00AE7B73" w:rsidRPr="00B34920" w:rsidRDefault="00AE7B73" w:rsidP="00AE7B73">
      <w:pPr>
        <w:pStyle w:val="Footer"/>
        <w:tabs>
          <w:tab w:val="left" w:pos="2835"/>
        </w:tabs>
        <w:ind w:left="2835"/>
        <w:rPr>
          <w:szCs w:val="24"/>
          <w:lang w:val="fr-FR"/>
        </w:rPr>
      </w:pPr>
    </w:p>
    <w:p w:rsidR="00AE7B73" w:rsidRPr="00B34920" w:rsidRDefault="003A6C70" w:rsidP="00AE7B73">
      <w:pPr>
        <w:pStyle w:val="Footer"/>
        <w:tabs>
          <w:tab w:val="left" w:pos="2835"/>
        </w:tabs>
        <w:ind w:left="2835" w:hanging="2835"/>
        <w:rPr>
          <w:b/>
          <w:szCs w:val="24"/>
          <w:lang w:val="fr-FR"/>
        </w:rPr>
      </w:pPr>
      <w:r w:rsidRPr="00B34920">
        <w:rPr>
          <w:b/>
          <w:szCs w:val="24"/>
          <w:lang w:val="fr-FR"/>
        </w:rPr>
        <w:t>1982 – 1983</w:t>
      </w:r>
      <w:r w:rsidR="00AE7B73" w:rsidRPr="00B34920">
        <w:rPr>
          <w:b/>
          <w:szCs w:val="24"/>
          <w:lang w:val="fr-FR"/>
        </w:rPr>
        <w:tab/>
      </w:r>
      <w:r w:rsidRPr="00B34920">
        <w:rPr>
          <w:b/>
          <w:szCs w:val="24"/>
          <w:lang w:val="fr-FR"/>
        </w:rPr>
        <w:t xml:space="preserve">Professeur </w:t>
      </w:r>
      <w:r w:rsidR="00AE7B73" w:rsidRPr="00B34920">
        <w:rPr>
          <w:b/>
          <w:szCs w:val="24"/>
          <w:lang w:val="fr-FR"/>
        </w:rPr>
        <w:t>invité de droit</w:t>
      </w:r>
    </w:p>
    <w:p w:rsidR="00AE7B73" w:rsidRPr="00B34920" w:rsidRDefault="00AE7B73" w:rsidP="00AE7B73">
      <w:pPr>
        <w:pStyle w:val="Footer"/>
        <w:tabs>
          <w:tab w:val="left" w:pos="2835"/>
        </w:tabs>
        <w:ind w:left="2835"/>
        <w:rPr>
          <w:szCs w:val="24"/>
          <w:lang w:val="fr-FR"/>
        </w:rPr>
      </w:pPr>
      <w:r w:rsidRPr="00B34920">
        <w:rPr>
          <w:szCs w:val="24"/>
          <w:lang w:val="fr-FR"/>
        </w:rPr>
        <w:t>Université de Dijon (France)</w:t>
      </w:r>
    </w:p>
    <w:p w:rsidR="00AE7B73" w:rsidRPr="00B34920" w:rsidRDefault="00AE7B73" w:rsidP="00AE7B73">
      <w:pPr>
        <w:pStyle w:val="Footer"/>
        <w:tabs>
          <w:tab w:val="left" w:pos="2835"/>
        </w:tabs>
        <w:ind w:left="2835"/>
        <w:rPr>
          <w:szCs w:val="24"/>
          <w:lang w:val="fr-FR"/>
        </w:rPr>
      </w:pPr>
    </w:p>
    <w:p w:rsidR="003A6C70" w:rsidRPr="00B34920" w:rsidRDefault="003A6C70" w:rsidP="003A6C70">
      <w:pPr>
        <w:pStyle w:val="Footer"/>
        <w:tabs>
          <w:tab w:val="left" w:pos="2835"/>
        </w:tabs>
        <w:ind w:left="2835" w:hanging="2835"/>
        <w:rPr>
          <w:szCs w:val="24"/>
          <w:lang w:val="fr-FR"/>
        </w:rPr>
      </w:pPr>
      <w:r w:rsidRPr="00B34920">
        <w:rPr>
          <w:b/>
          <w:szCs w:val="24"/>
          <w:lang w:val="fr-FR"/>
        </w:rPr>
        <w:t>1976 – 1979</w:t>
      </w:r>
      <w:r w:rsidRPr="00B34920">
        <w:rPr>
          <w:b/>
          <w:szCs w:val="24"/>
          <w:lang w:val="fr-FR"/>
        </w:rPr>
        <w:tab/>
        <w:t>Stage de recherche</w:t>
      </w:r>
    </w:p>
    <w:p w:rsidR="003A6C70" w:rsidRPr="00B34920" w:rsidRDefault="003A6C70" w:rsidP="003A6C70">
      <w:pPr>
        <w:pStyle w:val="Footer"/>
        <w:tabs>
          <w:tab w:val="left" w:pos="2835"/>
        </w:tabs>
        <w:ind w:left="2835"/>
        <w:rPr>
          <w:szCs w:val="24"/>
          <w:lang w:val="fr-FR"/>
        </w:rPr>
      </w:pPr>
      <w:r w:rsidRPr="00B34920">
        <w:rPr>
          <w:szCs w:val="24"/>
          <w:lang w:val="fr-FR"/>
        </w:rPr>
        <w:t>Faculté de droit de l’Université de Cambridge</w:t>
      </w:r>
    </w:p>
    <w:p w:rsidR="003A6C70" w:rsidRPr="00B34920" w:rsidRDefault="003A6C70" w:rsidP="003A6C70">
      <w:pPr>
        <w:pStyle w:val="Footer"/>
        <w:tabs>
          <w:tab w:val="left" w:pos="2835"/>
        </w:tabs>
        <w:ind w:left="2835"/>
        <w:rPr>
          <w:szCs w:val="24"/>
          <w:lang w:val="fr-FR"/>
        </w:rPr>
      </w:pPr>
      <w:r w:rsidRPr="00B34920">
        <w:rPr>
          <w:szCs w:val="24"/>
          <w:lang w:val="fr-FR"/>
        </w:rPr>
        <w:t>(</w:t>
      </w:r>
      <w:proofErr w:type="gramStart"/>
      <w:r w:rsidRPr="00B34920">
        <w:rPr>
          <w:szCs w:val="24"/>
          <w:lang w:val="fr-FR"/>
        </w:rPr>
        <w:t>bourse</w:t>
      </w:r>
      <w:proofErr w:type="gramEnd"/>
      <w:r w:rsidRPr="00B34920">
        <w:rPr>
          <w:szCs w:val="24"/>
          <w:lang w:val="fr-FR"/>
        </w:rPr>
        <w:t xml:space="preserve"> de stagiaire de recherche, </w:t>
      </w:r>
      <w:proofErr w:type="spellStart"/>
      <w:r w:rsidRPr="00B34920">
        <w:rPr>
          <w:szCs w:val="24"/>
          <w:lang w:val="fr-FR"/>
        </w:rPr>
        <w:t>Gonville</w:t>
      </w:r>
      <w:proofErr w:type="spellEnd"/>
      <w:r w:rsidRPr="00B34920">
        <w:rPr>
          <w:szCs w:val="24"/>
          <w:lang w:val="fr-FR"/>
        </w:rPr>
        <w:t xml:space="preserve"> and Caius </w:t>
      </w:r>
      <w:proofErr w:type="spellStart"/>
      <w:r w:rsidRPr="00B34920">
        <w:rPr>
          <w:szCs w:val="24"/>
          <w:lang w:val="fr-FR"/>
        </w:rPr>
        <w:t>College</w:t>
      </w:r>
      <w:proofErr w:type="spellEnd"/>
      <w:r w:rsidRPr="00B34920">
        <w:rPr>
          <w:szCs w:val="24"/>
          <w:lang w:val="fr-FR"/>
        </w:rPr>
        <w:t>, 1978 – 1979)</w:t>
      </w:r>
    </w:p>
    <w:p w:rsidR="003A6C70" w:rsidRPr="00B34920" w:rsidRDefault="003A6C70" w:rsidP="003A6C70">
      <w:pPr>
        <w:pStyle w:val="Footer"/>
        <w:tabs>
          <w:tab w:val="left" w:pos="2835"/>
        </w:tabs>
        <w:ind w:left="2835"/>
        <w:rPr>
          <w:szCs w:val="24"/>
          <w:lang w:val="fr-FR"/>
        </w:rPr>
      </w:pPr>
    </w:p>
    <w:p w:rsidR="00AE7B73" w:rsidRPr="00B34920" w:rsidRDefault="00AE7B73" w:rsidP="00AE7B73">
      <w:pPr>
        <w:pStyle w:val="Footer"/>
        <w:tabs>
          <w:tab w:val="left" w:pos="2835"/>
        </w:tabs>
        <w:ind w:left="2835" w:hanging="2835"/>
        <w:rPr>
          <w:b/>
          <w:szCs w:val="24"/>
          <w:lang w:val="fr-FR"/>
        </w:rPr>
      </w:pPr>
      <w:r w:rsidRPr="00B34920">
        <w:rPr>
          <w:b/>
          <w:szCs w:val="24"/>
          <w:lang w:val="fr-FR"/>
        </w:rPr>
        <w:t>1979 – 1984</w:t>
      </w:r>
      <w:r w:rsidRPr="00B34920">
        <w:rPr>
          <w:b/>
          <w:szCs w:val="24"/>
          <w:lang w:val="fr-FR"/>
        </w:rPr>
        <w:tab/>
      </w:r>
      <w:r w:rsidR="003A6C70" w:rsidRPr="00B34920">
        <w:rPr>
          <w:b/>
          <w:szCs w:val="24"/>
          <w:lang w:val="fr-FR"/>
        </w:rPr>
        <w:t xml:space="preserve">Maître </w:t>
      </w:r>
      <w:r w:rsidRPr="00B34920">
        <w:rPr>
          <w:b/>
          <w:szCs w:val="24"/>
          <w:lang w:val="fr-FR"/>
        </w:rPr>
        <w:t>de conférences en droit</w:t>
      </w:r>
    </w:p>
    <w:p w:rsidR="00AE7B73" w:rsidRPr="00B34920" w:rsidRDefault="00AE7B73" w:rsidP="00AE7B73">
      <w:pPr>
        <w:pStyle w:val="Footer"/>
        <w:tabs>
          <w:tab w:val="left" w:pos="2835"/>
        </w:tabs>
        <w:ind w:left="2835"/>
        <w:rPr>
          <w:szCs w:val="24"/>
          <w:lang w:val="fr-FR"/>
        </w:rPr>
      </w:pPr>
      <w:r w:rsidRPr="00B34920">
        <w:rPr>
          <w:szCs w:val="24"/>
          <w:lang w:val="fr-FR"/>
        </w:rPr>
        <w:t>Université de Melbourne</w:t>
      </w:r>
    </w:p>
    <w:p w:rsidR="00AE7B73" w:rsidRPr="00B34920" w:rsidRDefault="00AE7B73" w:rsidP="00AE7B73">
      <w:pPr>
        <w:pStyle w:val="Footer"/>
        <w:tabs>
          <w:tab w:val="left" w:pos="2835"/>
        </w:tabs>
        <w:ind w:left="2835"/>
        <w:rPr>
          <w:szCs w:val="24"/>
          <w:lang w:val="fr-FR"/>
        </w:rPr>
      </w:pPr>
    </w:p>
    <w:p w:rsidR="00AE7B73" w:rsidRPr="00B34920" w:rsidRDefault="00AE7B73" w:rsidP="00AE7B73">
      <w:pPr>
        <w:pStyle w:val="Footer"/>
        <w:tabs>
          <w:tab w:val="left" w:pos="2835"/>
        </w:tabs>
        <w:ind w:left="2835" w:hanging="2835"/>
        <w:rPr>
          <w:b/>
          <w:szCs w:val="24"/>
          <w:lang w:val="fr-FR"/>
        </w:rPr>
      </w:pPr>
      <w:r w:rsidRPr="00B34920">
        <w:rPr>
          <w:b/>
          <w:szCs w:val="24"/>
          <w:lang w:val="fr-FR"/>
        </w:rPr>
        <w:t>1974 – 1976</w:t>
      </w:r>
      <w:r w:rsidRPr="00B34920">
        <w:rPr>
          <w:b/>
          <w:szCs w:val="24"/>
          <w:lang w:val="fr-FR"/>
        </w:rPr>
        <w:tab/>
      </w:r>
      <w:r w:rsidR="003A6C70" w:rsidRPr="00B34920">
        <w:rPr>
          <w:szCs w:val="24"/>
          <w:lang w:val="fr-FR"/>
        </w:rPr>
        <w:t xml:space="preserve">Avoué </w:t>
      </w:r>
      <w:r w:rsidRPr="00B34920">
        <w:rPr>
          <w:szCs w:val="24"/>
          <w:lang w:val="fr-FR"/>
        </w:rPr>
        <w:t>stagiaire, puis</w:t>
      </w:r>
      <w:r w:rsidRPr="00B34920">
        <w:rPr>
          <w:b/>
          <w:szCs w:val="24"/>
          <w:lang w:val="fr-FR"/>
        </w:rPr>
        <w:t xml:space="preserve"> avocat</w:t>
      </w:r>
    </w:p>
    <w:p w:rsidR="00AE7B73" w:rsidRPr="00B34920" w:rsidRDefault="00AE7B73" w:rsidP="00AE7B73">
      <w:pPr>
        <w:pStyle w:val="Footer"/>
        <w:tabs>
          <w:tab w:val="left" w:pos="2835"/>
        </w:tabs>
        <w:ind w:left="2835"/>
        <w:rPr>
          <w:szCs w:val="24"/>
          <w:lang w:val="fr-FR"/>
        </w:rPr>
      </w:pPr>
      <w:r w:rsidRPr="00B34920">
        <w:rPr>
          <w:szCs w:val="24"/>
          <w:lang w:val="fr-FR"/>
        </w:rPr>
        <w:t>Arthur Robinson &amp; Co, Melbourne</w:t>
      </w:r>
    </w:p>
    <w:p w:rsidR="00AE7B73" w:rsidRPr="00B34920" w:rsidRDefault="00AE7B73" w:rsidP="00AE7B73">
      <w:pPr>
        <w:pStyle w:val="Footer"/>
        <w:tabs>
          <w:tab w:val="left" w:pos="2835"/>
        </w:tabs>
        <w:ind w:left="2835"/>
        <w:rPr>
          <w:szCs w:val="24"/>
          <w:lang w:val="fr-FR"/>
        </w:rPr>
      </w:pPr>
    </w:p>
    <w:p w:rsidR="00AE7B73" w:rsidRPr="00B34920" w:rsidRDefault="00AE7B73" w:rsidP="00AE7B73">
      <w:pPr>
        <w:pStyle w:val="Footer"/>
        <w:tabs>
          <w:tab w:val="left" w:pos="2835"/>
        </w:tabs>
        <w:ind w:left="2835"/>
        <w:rPr>
          <w:szCs w:val="24"/>
          <w:lang w:val="fr-FR"/>
        </w:rPr>
      </w:pPr>
    </w:p>
    <w:p w:rsidR="003A6C70" w:rsidRPr="00B34920" w:rsidRDefault="00B34920" w:rsidP="003A6C70">
      <w:pPr>
        <w:keepNext/>
        <w:tabs>
          <w:tab w:val="left" w:pos="1843"/>
        </w:tabs>
        <w:rPr>
          <w:b/>
          <w:szCs w:val="22"/>
          <w:lang w:val="fr-FR"/>
        </w:rPr>
      </w:pPr>
      <w:r>
        <w:rPr>
          <w:b/>
          <w:szCs w:val="22"/>
          <w:lang w:val="fr-FR"/>
        </w:rPr>
        <w:lastRenderedPageBreak/>
        <w:t>AUTRES FONCTIONS</w:t>
      </w:r>
    </w:p>
    <w:p w:rsidR="003A6C70" w:rsidRPr="00B34920" w:rsidRDefault="003A6C70" w:rsidP="003A6C70">
      <w:pPr>
        <w:keepNext/>
        <w:tabs>
          <w:tab w:val="left" w:pos="1843"/>
        </w:tabs>
        <w:rPr>
          <w:b/>
          <w:szCs w:val="22"/>
          <w:lang w:val="fr-FR"/>
        </w:rPr>
      </w:pPr>
    </w:p>
    <w:p w:rsidR="003A6C70" w:rsidRPr="00B34920" w:rsidRDefault="00B34920" w:rsidP="003A6C70">
      <w:pPr>
        <w:tabs>
          <w:tab w:val="left" w:pos="1797"/>
        </w:tabs>
        <w:ind w:left="1797" w:hanging="1797"/>
        <w:rPr>
          <w:b/>
          <w:szCs w:val="22"/>
          <w:lang w:val="fr-FR"/>
        </w:rPr>
      </w:pPr>
      <w:proofErr w:type="gramStart"/>
      <w:r>
        <w:rPr>
          <w:b/>
          <w:szCs w:val="22"/>
          <w:lang w:val="fr-FR"/>
        </w:rPr>
        <w:t>depuis</w:t>
      </w:r>
      <w:proofErr w:type="gramEnd"/>
      <w:r>
        <w:rPr>
          <w:b/>
          <w:szCs w:val="22"/>
          <w:lang w:val="fr-FR"/>
        </w:rPr>
        <w:t xml:space="preserve"> 2012</w:t>
      </w:r>
      <w:r w:rsidR="003A6C70" w:rsidRPr="00B34920">
        <w:rPr>
          <w:b/>
          <w:szCs w:val="22"/>
          <w:lang w:val="fr-FR"/>
        </w:rPr>
        <w:tab/>
      </w:r>
      <w:r w:rsidRPr="00B34920">
        <w:rPr>
          <w:b/>
          <w:szCs w:val="22"/>
          <w:lang w:val="fr-FR"/>
        </w:rPr>
        <w:t>Président du Comité de haut niveau des Nations Unies pour la gestion dans le cadre du Conseil des chefs de secrétariat pour la coordination (CCS)</w:t>
      </w:r>
    </w:p>
    <w:p w:rsidR="003A6C70" w:rsidRPr="00B34920" w:rsidRDefault="003A6C70" w:rsidP="003A6C70">
      <w:pPr>
        <w:pStyle w:val="Header"/>
        <w:tabs>
          <w:tab w:val="clear" w:pos="4536"/>
          <w:tab w:val="clear" w:pos="9072"/>
          <w:tab w:val="left" w:pos="1797"/>
        </w:tabs>
        <w:rPr>
          <w:b/>
          <w:szCs w:val="22"/>
          <w:lang w:val="fr-FR"/>
        </w:rPr>
      </w:pPr>
    </w:p>
    <w:p w:rsidR="003A6C70" w:rsidRPr="00B34920" w:rsidRDefault="00B34920" w:rsidP="003A6C70">
      <w:pPr>
        <w:tabs>
          <w:tab w:val="left" w:pos="1797"/>
        </w:tabs>
        <w:ind w:left="1797" w:hanging="1797"/>
        <w:rPr>
          <w:b/>
          <w:szCs w:val="22"/>
          <w:lang w:val="fr-FR"/>
        </w:rPr>
      </w:pPr>
      <w:r w:rsidRPr="00B34920">
        <w:rPr>
          <w:b/>
          <w:szCs w:val="22"/>
          <w:lang w:val="fr-FR"/>
        </w:rPr>
        <w:t>2013</w:t>
      </w:r>
      <w:r w:rsidRPr="00B34920">
        <w:rPr>
          <w:b/>
          <w:szCs w:val="22"/>
          <w:lang w:val="fr-FR"/>
        </w:rPr>
        <w:tab/>
        <w:t xml:space="preserve">Membre de la </w:t>
      </w:r>
      <w:r w:rsidR="003A6C70" w:rsidRPr="00B34920">
        <w:rPr>
          <w:b/>
          <w:szCs w:val="22"/>
          <w:lang w:val="fr-FR"/>
        </w:rPr>
        <w:t xml:space="preserve">Commission consultative </w:t>
      </w:r>
      <w:r w:rsidR="002A4508">
        <w:rPr>
          <w:b/>
          <w:szCs w:val="22"/>
          <w:lang w:val="fr-FR"/>
        </w:rPr>
        <w:t xml:space="preserve">sur </w:t>
      </w:r>
      <w:r w:rsidR="003A6C70" w:rsidRPr="00B34920">
        <w:rPr>
          <w:b/>
          <w:szCs w:val="22"/>
          <w:lang w:val="fr-FR"/>
        </w:rPr>
        <w:t>les relati</w:t>
      </w:r>
      <w:r w:rsidRPr="00B34920">
        <w:rPr>
          <w:b/>
          <w:szCs w:val="22"/>
          <w:lang w:val="fr-FR"/>
        </w:rPr>
        <w:t>ons de la Genève internationale</w:t>
      </w:r>
    </w:p>
    <w:p w:rsidR="003A6C70" w:rsidRPr="00B34920" w:rsidRDefault="003A6C70" w:rsidP="003A6C70">
      <w:pPr>
        <w:tabs>
          <w:tab w:val="left" w:pos="1797"/>
        </w:tabs>
        <w:rPr>
          <w:szCs w:val="22"/>
          <w:lang w:val="fr-FR"/>
        </w:rPr>
      </w:pPr>
    </w:p>
    <w:p w:rsidR="003A6C70" w:rsidRPr="00B34920" w:rsidRDefault="003A6C70" w:rsidP="003A6C70">
      <w:pPr>
        <w:tabs>
          <w:tab w:val="left" w:pos="1797"/>
        </w:tabs>
        <w:rPr>
          <w:szCs w:val="22"/>
          <w:lang w:val="fr-FR"/>
        </w:rPr>
      </w:pPr>
    </w:p>
    <w:p w:rsidR="003A6C70" w:rsidRPr="00B34920" w:rsidRDefault="00B34920" w:rsidP="003A6C70">
      <w:pPr>
        <w:tabs>
          <w:tab w:val="left" w:pos="1843"/>
        </w:tabs>
        <w:rPr>
          <w:b/>
          <w:szCs w:val="22"/>
          <w:lang w:val="fr-FR"/>
        </w:rPr>
      </w:pPr>
      <w:r>
        <w:rPr>
          <w:b/>
          <w:szCs w:val="22"/>
          <w:lang w:val="fr-FR"/>
        </w:rPr>
        <w:t xml:space="preserve">TITRES ET </w:t>
      </w:r>
      <w:r w:rsidR="003A6C70" w:rsidRPr="00B34920">
        <w:rPr>
          <w:b/>
          <w:szCs w:val="22"/>
          <w:lang w:val="fr-FR"/>
        </w:rPr>
        <w:t>DISTINCTIONS</w:t>
      </w:r>
    </w:p>
    <w:p w:rsidR="003A6C70" w:rsidRPr="00B34920" w:rsidRDefault="003A6C70" w:rsidP="003A6C70">
      <w:pPr>
        <w:pStyle w:val="Header"/>
        <w:tabs>
          <w:tab w:val="clear" w:pos="4536"/>
          <w:tab w:val="clear" w:pos="9072"/>
          <w:tab w:val="left" w:pos="1843"/>
        </w:tabs>
        <w:rPr>
          <w:szCs w:val="22"/>
          <w:lang w:val="fr-FR"/>
        </w:rPr>
      </w:pPr>
    </w:p>
    <w:p w:rsidR="003A6C70" w:rsidRPr="00B34920" w:rsidRDefault="003A6C70" w:rsidP="003A6C70">
      <w:pPr>
        <w:pStyle w:val="Header"/>
        <w:tabs>
          <w:tab w:val="clear" w:pos="4536"/>
          <w:tab w:val="clear" w:pos="9072"/>
          <w:tab w:val="left" w:pos="1797"/>
        </w:tabs>
        <w:rPr>
          <w:b/>
          <w:szCs w:val="22"/>
          <w:lang w:val="fr-FR"/>
        </w:rPr>
      </w:pPr>
      <w:r w:rsidRPr="00B34920">
        <w:rPr>
          <w:b/>
          <w:szCs w:val="22"/>
          <w:lang w:val="fr-FR"/>
        </w:rPr>
        <w:t>2013</w:t>
      </w:r>
      <w:r w:rsidRPr="00B34920">
        <w:rPr>
          <w:b/>
          <w:szCs w:val="22"/>
          <w:lang w:val="fr-FR"/>
        </w:rPr>
        <w:tab/>
      </w:r>
      <w:r w:rsidR="00B34920">
        <w:rPr>
          <w:b/>
          <w:szCs w:val="22"/>
          <w:lang w:val="fr-FR"/>
        </w:rPr>
        <w:t>Commandeur de l’</w:t>
      </w:r>
      <w:r w:rsidR="00B34920" w:rsidRPr="00B34920">
        <w:rPr>
          <w:b/>
          <w:szCs w:val="22"/>
          <w:lang w:val="fr-FR"/>
        </w:rPr>
        <w:t xml:space="preserve">Ordre </w:t>
      </w:r>
      <w:proofErr w:type="gramStart"/>
      <w:r w:rsidR="00B34920" w:rsidRPr="00B34920">
        <w:rPr>
          <w:b/>
          <w:szCs w:val="22"/>
          <w:lang w:val="fr-FR"/>
        </w:rPr>
        <w:t xml:space="preserve">du </w:t>
      </w:r>
      <w:proofErr w:type="spellStart"/>
      <w:r w:rsidR="00B34920" w:rsidRPr="00B34920">
        <w:rPr>
          <w:b/>
          <w:szCs w:val="22"/>
          <w:lang w:val="fr-FR"/>
        </w:rPr>
        <w:t>Ouissam</w:t>
      </w:r>
      <w:proofErr w:type="spellEnd"/>
      <w:proofErr w:type="gramEnd"/>
      <w:r w:rsidR="00B34920" w:rsidRPr="00B34920">
        <w:rPr>
          <w:b/>
          <w:szCs w:val="22"/>
          <w:lang w:val="fr-FR"/>
        </w:rPr>
        <w:t xml:space="preserve"> El Alaouite</w:t>
      </w:r>
    </w:p>
    <w:p w:rsidR="003A6C70" w:rsidRPr="00B34920" w:rsidRDefault="003A6C70" w:rsidP="003A6C70">
      <w:pPr>
        <w:pStyle w:val="Header"/>
        <w:tabs>
          <w:tab w:val="clear" w:pos="4536"/>
          <w:tab w:val="clear" w:pos="9072"/>
          <w:tab w:val="left" w:pos="1797"/>
        </w:tabs>
        <w:rPr>
          <w:szCs w:val="22"/>
          <w:lang w:val="fr-FR"/>
        </w:rPr>
      </w:pPr>
      <w:r w:rsidRPr="00B34920">
        <w:rPr>
          <w:b/>
          <w:szCs w:val="22"/>
          <w:lang w:val="fr-FR"/>
        </w:rPr>
        <w:tab/>
      </w:r>
      <w:r w:rsidR="00B34920">
        <w:rPr>
          <w:szCs w:val="22"/>
          <w:lang w:val="fr-FR"/>
        </w:rPr>
        <w:t>Royaume du Maroc</w:t>
      </w:r>
    </w:p>
    <w:p w:rsidR="003A6C70" w:rsidRPr="00B34920" w:rsidRDefault="003A6C70" w:rsidP="003A6C70">
      <w:pPr>
        <w:pStyle w:val="Header"/>
        <w:tabs>
          <w:tab w:val="clear" w:pos="4536"/>
          <w:tab w:val="clear" w:pos="9072"/>
          <w:tab w:val="left" w:pos="1797"/>
        </w:tabs>
        <w:rPr>
          <w:b/>
          <w:szCs w:val="22"/>
          <w:lang w:val="fr-FR"/>
        </w:rPr>
      </w:pPr>
    </w:p>
    <w:p w:rsidR="003A6C70" w:rsidRPr="00B34920" w:rsidRDefault="003A6C70" w:rsidP="003A6C70">
      <w:pPr>
        <w:pStyle w:val="Header"/>
        <w:tabs>
          <w:tab w:val="clear" w:pos="4536"/>
          <w:tab w:val="clear" w:pos="9072"/>
          <w:tab w:val="left" w:pos="1797"/>
        </w:tabs>
        <w:rPr>
          <w:b/>
          <w:szCs w:val="22"/>
          <w:lang w:val="fr-FR"/>
        </w:rPr>
      </w:pPr>
      <w:r w:rsidRPr="00B34920">
        <w:rPr>
          <w:b/>
          <w:szCs w:val="22"/>
          <w:lang w:val="fr-FR"/>
        </w:rPr>
        <w:t>2012</w:t>
      </w:r>
      <w:r w:rsidRPr="00B34920">
        <w:rPr>
          <w:b/>
          <w:szCs w:val="22"/>
          <w:lang w:val="fr-FR"/>
        </w:rPr>
        <w:tab/>
      </w:r>
      <w:r w:rsidR="00B34920">
        <w:rPr>
          <w:b/>
          <w:szCs w:val="22"/>
          <w:lang w:val="fr-FR"/>
        </w:rPr>
        <w:t>Membre</w:t>
      </w:r>
    </w:p>
    <w:p w:rsidR="003A6C70" w:rsidRPr="00B34920" w:rsidRDefault="003A6C70" w:rsidP="003A6C70">
      <w:pPr>
        <w:pStyle w:val="Header"/>
        <w:tabs>
          <w:tab w:val="clear" w:pos="4536"/>
          <w:tab w:val="clear" w:pos="9072"/>
          <w:tab w:val="left" w:pos="1797"/>
        </w:tabs>
        <w:rPr>
          <w:b/>
          <w:szCs w:val="22"/>
          <w:lang w:val="fr-FR"/>
        </w:rPr>
      </w:pPr>
      <w:r w:rsidRPr="00B34920">
        <w:rPr>
          <w:b/>
          <w:szCs w:val="22"/>
          <w:lang w:val="fr-FR"/>
        </w:rPr>
        <w:tab/>
      </w:r>
      <w:proofErr w:type="spellStart"/>
      <w:r w:rsidRPr="00B34920">
        <w:rPr>
          <w:szCs w:val="22"/>
          <w:lang w:val="fr-FR"/>
        </w:rPr>
        <w:t>Australian</w:t>
      </w:r>
      <w:proofErr w:type="spellEnd"/>
      <w:r w:rsidRPr="00B34920">
        <w:rPr>
          <w:szCs w:val="22"/>
          <w:lang w:val="fr-FR"/>
        </w:rPr>
        <w:t xml:space="preserve"> Institute of International </w:t>
      </w:r>
      <w:proofErr w:type="spellStart"/>
      <w:r w:rsidRPr="00B34920">
        <w:rPr>
          <w:szCs w:val="22"/>
          <w:lang w:val="fr-FR"/>
        </w:rPr>
        <w:t>Affairs</w:t>
      </w:r>
      <w:proofErr w:type="spellEnd"/>
    </w:p>
    <w:p w:rsidR="003A6C70" w:rsidRPr="00B34920" w:rsidRDefault="003A6C70" w:rsidP="003A6C70">
      <w:pPr>
        <w:pStyle w:val="Header"/>
        <w:tabs>
          <w:tab w:val="clear" w:pos="4536"/>
          <w:tab w:val="clear" w:pos="9072"/>
          <w:tab w:val="left" w:pos="1797"/>
        </w:tabs>
        <w:rPr>
          <w:b/>
          <w:szCs w:val="22"/>
          <w:lang w:val="fr-FR"/>
        </w:rPr>
      </w:pPr>
    </w:p>
    <w:p w:rsidR="003A6C70" w:rsidRPr="00B34920" w:rsidRDefault="003A6C70" w:rsidP="003A6C70">
      <w:pPr>
        <w:pStyle w:val="Header"/>
        <w:tabs>
          <w:tab w:val="clear" w:pos="4536"/>
          <w:tab w:val="clear" w:pos="9072"/>
          <w:tab w:val="left" w:pos="1797"/>
        </w:tabs>
        <w:ind w:left="1797" w:hanging="1797"/>
        <w:rPr>
          <w:b/>
          <w:szCs w:val="22"/>
          <w:lang w:val="fr-FR"/>
        </w:rPr>
      </w:pPr>
      <w:r w:rsidRPr="00B34920">
        <w:rPr>
          <w:b/>
          <w:szCs w:val="22"/>
          <w:lang w:val="fr-FR"/>
        </w:rPr>
        <w:t>2012</w:t>
      </w:r>
      <w:r w:rsidRPr="00B34920">
        <w:rPr>
          <w:b/>
          <w:szCs w:val="22"/>
          <w:lang w:val="fr-FR"/>
        </w:rPr>
        <w:tab/>
      </w:r>
      <w:r w:rsidR="00B34920" w:rsidRPr="00B34920">
        <w:rPr>
          <w:b/>
          <w:szCs w:val="22"/>
          <w:lang w:val="fr-FR"/>
        </w:rPr>
        <w:t xml:space="preserve">Doctorat </w:t>
      </w:r>
      <w:r w:rsidR="00B34920" w:rsidRPr="00B34920">
        <w:rPr>
          <w:b/>
          <w:i/>
          <w:szCs w:val="22"/>
          <w:lang w:val="fr-FR"/>
        </w:rPr>
        <w:t>honoris causa</w:t>
      </w:r>
    </w:p>
    <w:p w:rsidR="003A6C70" w:rsidRPr="00B34920" w:rsidRDefault="003A6C70" w:rsidP="003A6C70">
      <w:pPr>
        <w:pStyle w:val="Header"/>
        <w:tabs>
          <w:tab w:val="clear" w:pos="4536"/>
          <w:tab w:val="clear" w:pos="9072"/>
          <w:tab w:val="left" w:pos="1797"/>
        </w:tabs>
        <w:ind w:left="1797" w:hanging="1797"/>
        <w:rPr>
          <w:szCs w:val="22"/>
          <w:lang w:val="fr-FR"/>
        </w:rPr>
      </w:pPr>
      <w:r w:rsidRPr="00B34920">
        <w:rPr>
          <w:b/>
          <w:szCs w:val="22"/>
          <w:lang w:val="fr-FR"/>
        </w:rPr>
        <w:tab/>
      </w:r>
      <w:r w:rsidR="00F2490B" w:rsidRPr="00F2490B">
        <w:rPr>
          <w:szCs w:val="22"/>
          <w:lang w:val="fr-FR"/>
        </w:rPr>
        <w:t>Académie d’études économiques de la République de Mo</w:t>
      </w:r>
      <w:r w:rsidR="00F2490B">
        <w:rPr>
          <w:szCs w:val="22"/>
          <w:lang w:val="fr-FR"/>
        </w:rPr>
        <w:t>l</w:t>
      </w:r>
      <w:r w:rsidR="00F2490B" w:rsidRPr="00F2490B">
        <w:rPr>
          <w:szCs w:val="22"/>
          <w:lang w:val="fr-FR"/>
        </w:rPr>
        <w:t>dova (République de</w:t>
      </w:r>
      <w:r w:rsidR="00F2490B">
        <w:rPr>
          <w:szCs w:val="22"/>
          <w:lang w:val="fr-FR"/>
        </w:rPr>
        <w:t> </w:t>
      </w:r>
      <w:r w:rsidR="00F2490B" w:rsidRPr="00F2490B">
        <w:rPr>
          <w:szCs w:val="22"/>
          <w:lang w:val="fr-FR"/>
        </w:rPr>
        <w:t>Moldova)</w:t>
      </w:r>
    </w:p>
    <w:p w:rsidR="003A6C70" w:rsidRPr="00B34920" w:rsidRDefault="003A6C70" w:rsidP="003A6C70">
      <w:pPr>
        <w:pStyle w:val="Header"/>
        <w:tabs>
          <w:tab w:val="clear" w:pos="4536"/>
          <w:tab w:val="clear" w:pos="9072"/>
          <w:tab w:val="left" w:pos="1797"/>
        </w:tabs>
        <w:rPr>
          <w:b/>
          <w:szCs w:val="22"/>
          <w:lang w:val="fr-FR"/>
        </w:rPr>
      </w:pPr>
    </w:p>
    <w:p w:rsidR="00F2490B" w:rsidRDefault="003A6C70" w:rsidP="003A6C70">
      <w:pPr>
        <w:pStyle w:val="Header"/>
        <w:tabs>
          <w:tab w:val="clear" w:pos="4536"/>
          <w:tab w:val="clear" w:pos="9072"/>
          <w:tab w:val="left" w:pos="1797"/>
        </w:tabs>
        <w:ind w:left="1797" w:hanging="1797"/>
        <w:rPr>
          <w:b/>
          <w:szCs w:val="22"/>
          <w:lang w:val="fr-FR"/>
        </w:rPr>
      </w:pPr>
      <w:r w:rsidRPr="00B34920">
        <w:rPr>
          <w:b/>
          <w:szCs w:val="22"/>
          <w:lang w:val="fr-FR"/>
        </w:rPr>
        <w:t>2012</w:t>
      </w:r>
      <w:r w:rsidRPr="00B34920">
        <w:rPr>
          <w:b/>
          <w:szCs w:val="22"/>
          <w:lang w:val="fr-FR"/>
        </w:rPr>
        <w:tab/>
      </w:r>
      <w:r w:rsidR="00F2490B" w:rsidRPr="00F2490B">
        <w:rPr>
          <w:b/>
          <w:szCs w:val="22"/>
          <w:lang w:val="fr-FR"/>
        </w:rPr>
        <w:t>Membre honoraire du Conseil universitaire des arts</w:t>
      </w:r>
    </w:p>
    <w:p w:rsidR="003A6C70" w:rsidRPr="00B34920" w:rsidRDefault="00F2490B" w:rsidP="003A6C70">
      <w:pPr>
        <w:pStyle w:val="Header"/>
        <w:tabs>
          <w:tab w:val="clear" w:pos="4536"/>
          <w:tab w:val="clear" w:pos="9072"/>
          <w:tab w:val="left" w:pos="1797"/>
        </w:tabs>
        <w:ind w:left="1797" w:hanging="1797"/>
        <w:rPr>
          <w:szCs w:val="22"/>
          <w:lang w:val="fr-FR"/>
        </w:rPr>
      </w:pPr>
      <w:r>
        <w:rPr>
          <w:b/>
          <w:szCs w:val="22"/>
          <w:lang w:val="fr-FR"/>
        </w:rPr>
        <w:tab/>
      </w:r>
      <w:r w:rsidRPr="00F2490B">
        <w:rPr>
          <w:szCs w:val="22"/>
          <w:lang w:val="fr-FR"/>
        </w:rPr>
        <w:t>Université d’Alcalá (Espagne)</w:t>
      </w:r>
    </w:p>
    <w:p w:rsidR="003A6C70" w:rsidRPr="00B34920" w:rsidRDefault="003A6C70" w:rsidP="003A6C70">
      <w:pPr>
        <w:pStyle w:val="Header"/>
        <w:tabs>
          <w:tab w:val="clear" w:pos="4536"/>
          <w:tab w:val="clear" w:pos="9072"/>
          <w:tab w:val="left" w:pos="1797"/>
        </w:tabs>
        <w:rPr>
          <w:b/>
          <w:szCs w:val="22"/>
          <w:lang w:val="fr-FR"/>
        </w:rPr>
      </w:pPr>
    </w:p>
    <w:p w:rsidR="003A6C70" w:rsidRPr="00B34920" w:rsidRDefault="003A6C70" w:rsidP="003A6C70">
      <w:pPr>
        <w:pStyle w:val="Header"/>
        <w:tabs>
          <w:tab w:val="clear" w:pos="4536"/>
          <w:tab w:val="clear" w:pos="9072"/>
          <w:tab w:val="left" w:pos="1797"/>
        </w:tabs>
        <w:rPr>
          <w:b/>
          <w:szCs w:val="22"/>
          <w:lang w:val="fr-FR"/>
        </w:rPr>
      </w:pPr>
      <w:r w:rsidRPr="00B34920">
        <w:rPr>
          <w:b/>
          <w:szCs w:val="22"/>
          <w:lang w:val="fr-FR"/>
        </w:rPr>
        <w:t>2012</w:t>
      </w:r>
      <w:r w:rsidRPr="00B34920">
        <w:rPr>
          <w:b/>
          <w:szCs w:val="22"/>
          <w:lang w:val="fr-FR"/>
        </w:rPr>
        <w:tab/>
      </w:r>
      <w:r w:rsidR="00B34920" w:rsidRPr="00B34920">
        <w:rPr>
          <w:b/>
          <w:szCs w:val="22"/>
          <w:lang w:val="fr-FR"/>
        </w:rPr>
        <w:t xml:space="preserve">Doctorat </w:t>
      </w:r>
      <w:r w:rsidR="00B34920" w:rsidRPr="00B34920">
        <w:rPr>
          <w:b/>
          <w:i/>
          <w:szCs w:val="22"/>
          <w:lang w:val="fr-FR"/>
        </w:rPr>
        <w:t>honoris causa</w:t>
      </w:r>
    </w:p>
    <w:p w:rsidR="003A6C70" w:rsidRPr="00B34920" w:rsidRDefault="003A6C70" w:rsidP="003A6C70">
      <w:pPr>
        <w:pStyle w:val="Header"/>
        <w:tabs>
          <w:tab w:val="clear" w:pos="4536"/>
          <w:tab w:val="clear" w:pos="9072"/>
          <w:tab w:val="left" w:pos="1797"/>
        </w:tabs>
        <w:rPr>
          <w:szCs w:val="22"/>
          <w:lang w:val="fr-FR"/>
        </w:rPr>
      </w:pPr>
      <w:r w:rsidRPr="00B34920">
        <w:rPr>
          <w:b/>
          <w:szCs w:val="22"/>
          <w:lang w:val="fr-FR"/>
        </w:rPr>
        <w:tab/>
      </w:r>
      <w:r w:rsidR="00F2490B" w:rsidRPr="00F2490B">
        <w:rPr>
          <w:szCs w:val="22"/>
          <w:lang w:val="fr-FR"/>
        </w:rPr>
        <w:t>Université nationale eurasienne (Kazakhstan)</w:t>
      </w:r>
    </w:p>
    <w:p w:rsidR="003A6C70" w:rsidRPr="00B34920" w:rsidRDefault="003A6C70" w:rsidP="003A6C70">
      <w:pPr>
        <w:pStyle w:val="Header"/>
        <w:tabs>
          <w:tab w:val="clear" w:pos="4536"/>
          <w:tab w:val="clear" w:pos="9072"/>
          <w:tab w:val="left" w:pos="1797"/>
        </w:tabs>
        <w:rPr>
          <w:b/>
          <w:szCs w:val="22"/>
          <w:lang w:val="fr-FR"/>
        </w:rPr>
      </w:pPr>
    </w:p>
    <w:p w:rsidR="003A6C70" w:rsidRPr="00B34920" w:rsidRDefault="003A6C70" w:rsidP="003A6C70">
      <w:pPr>
        <w:pStyle w:val="Header"/>
        <w:tabs>
          <w:tab w:val="clear" w:pos="4536"/>
          <w:tab w:val="clear" w:pos="9072"/>
          <w:tab w:val="left" w:pos="1797"/>
        </w:tabs>
        <w:rPr>
          <w:b/>
          <w:szCs w:val="22"/>
          <w:lang w:val="fr-FR"/>
        </w:rPr>
      </w:pPr>
      <w:r w:rsidRPr="00B34920">
        <w:rPr>
          <w:b/>
          <w:szCs w:val="22"/>
          <w:lang w:val="fr-FR"/>
        </w:rPr>
        <w:t>2011</w:t>
      </w:r>
      <w:r w:rsidRPr="00B34920">
        <w:rPr>
          <w:b/>
          <w:szCs w:val="22"/>
          <w:lang w:val="fr-FR"/>
        </w:rPr>
        <w:tab/>
      </w:r>
      <w:r w:rsidR="00B34920" w:rsidRPr="00B34920">
        <w:rPr>
          <w:b/>
          <w:szCs w:val="22"/>
          <w:lang w:val="fr-FR"/>
        </w:rPr>
        <w:t xml:space="preserve">Doctorat </w:t>
      </w:r>
      <w:r w:rsidR="00B34920" w:rsidRPr="00B34920">
        <w:rPr>
          <w:b/>
          <w:i/>
          <w:szCs w:val="22"/>
          <w:lang w:val="fr-FR"/>
        </w:rPr>
        <w:t>honoris causa</w:t>
      </w:r>
    </w:p>
    <w:p w:rsidR="003A6C70" w:rsidRPr="00B34920" w:rsidRDefault="003A6C70" w:rsidP="003A6C70">
      <w:pPr>
        <w:pStyle w:val="Header"/>
        <w:tabs>
          <w:tab w:val="clear" w:pos="4536"/>
          <w:tab w:val="clear" w:pos="9072"/>
          <w:tab w:val="left" w:pos="1797"/>
        </w:tabs>
        <w:rPr>
          <w:szCs w:val="22"/>
          <w:lang w:val="fr-FR"/>
        </w:rPr>
      </w:pPr>
      <w:r w:rsidRPr="00B34920">
        <w:rPr>
          <w:b/>
          <w:szCs w:val="22"/>
          <w:lang w:val="fr-FR"/>
        </w:rPr>
        <w:tab/>
      </w:r>
      <w:r w:rsidR="00F2490B" w:rsidRPr="00F2490B">
        <w:rPr>
          <w:szCs w:val="22"/>
          <w:lang w:val="fr-FR"/>
        </w:rPr>
        <w:t>Université d’Akron (États-Unis d’Amérique)</w:t>
      </w:r>
    </w:p>
    <w:p w:rsidR="003A6C70" w:rsidRPr="00B34920" w:rsidRDefault="003A6C70" w:rsidP="003A6C70">
      <w:pPr>
        <w:pStyle w:val="Header"/>
        <w:tabs>
          <w:tab w:val="clear" w:pos="4536"/>
          <w:tab w:val="clear" w:pos="9072"/>
          <w:tab w:val="left" w:pos="1797"/>
        </w:tabs>
        <w:rPr>
          <w:b/>
          <w:szCs w:val="22"/>
          <w:lang w:val="fr-FR"/>
        </w:rPr>
      </w:pPr>
    </w:p>
    <w:p w:rsidR="003A6C70" w:rsidRPr="00B34920" w:rsidRDefault="003A6C70" w:rsidP="003A6C70">
      <w:pPr>
        <w:pStyle w:val="Header"/>
        <w:tabs>
          <w:tab w:val="clear" w:pos="4536"/>
          <w:tab w:val="clear" w:pos="9072"/>
          <w:tab w:val="left" w:pos="1797"/>
        </w:tabs>
        <w:rPr>
          <w:b/>
          <w:szCs w:val="22"/>
          <w:lang w:val="fr-FR"/>
        </w:rPr>
      </w:pPr>
      <w:r w:rsidRPr="00B34920">
        <w:rPr>
          <w:b/>
          <w:szCs w:val="22"/>
          <w:lang w:val="fr-FR"/>
        </w:rPr>
        <w:t>2010</w:t>
      </w:r>
      <w:r w:rsidRPr="00B34920">
        <w:rPr>
          <w:b/>
          <w:szCs w:val="22"/>
          <w:lang w:val="fr-FR"/>
        </w:rPr>
        <w:tab/>
      </w:r>
      <w:r w:rsidR="00B34920" w:rsidRPr="00B34920">
        <w:rPr>
          <w:b/>
          <w:szCs w:val="22"/>
          <w:lang w:val="fr-FR"/>
        </w:rPr>
        <w:t xml:space="preserve">Doctorat </w:t>
      </w:r>
      <w:r w:rsidR="00B34920" w:rsidRPr="00B34920">
        <w:rPr>
          <w:b/>
          <w:i/>
          <w:szCs w:val="22"/>
          <w:lang w:val="fr-FR"/>
        </w:rPr>
        <w:t>honoris causa</w:t>
      </w:r>
    </w:p>
    <w:p w:rsidR="003A6C70" w:rsidRPr="00B34920" w:rsidRDefault="003A6C70" w:rsidP="003A6C70">
      <w:pPr>
        <w:pStyle w:val="Header"/>
        <w:tabs>
          <w:tab w:val="clear" w:pos="4536"/>
          <w:tab w:val="clear" w:pos="9072"/>
          <w:tab w:val="left" w:pos="1797"/>
        </w:tabs>
        <w:rPr>
          <w:szCs w:val="22"/>
          <w:lang w:val="fr-FR"/>
        </w:rPr>
      </w:pPr>
      <w:r w:rsidRPr="00B34920">
        <w:rPr>
          <w:b/>
          <w:szCs w:val="22"/>
          <w:lang w:val="fr-FR"/>
        </w:rPr>
        <w:tab/>
      </w:r>
      <w:r w:rsidR="00F2490B" w:rsidRPr="00F2490B">
        <w:rPr>
          <w:szCs w:val="22"/>
          <w:lang w:val="fr-FR"/>
        </w:rPr>
        <w:t>Université de Haïfa (Israël)</w:t>
      </w:r>
    </w:p>
    <w:p w:rsidR="003A6C70" w:rsidRPr="00B34920" w:rsidRDefault="003A6C70" w:rsidP="003A6C70">
      <w:pPr>
        <w:pStyle w:val="Header"/>
        <w:tabs>
          <w:tab w:val="clear" w:pos="4536"/>
          <w:tab w:val="clear" w:pos="9072"/>
          <w:tab w:val="left" w:pos="1797"/>
        </w:tabs>
        <w:rPr>
          <w:b/>
          <w:szCs w:val="22"/>
          <w:lang w:val="fr-FR"/>
        </w:rPr>
      </w:pPr>
    </w:p>
    <w:p w:rsidR="003A6C70" w:rsidRPr="00B34920" w:rsidRDefault="003A6C70" w:rsidP="003A6C70">
      <w:pPr>
        <w:pStyle w:val="Header"/>
        <w:tabs>
          <w:tab w:val="clear" w:pos="4536"/>
          <w:tab w:val="clear" w:pos="9072"/>
          <w:tab w:val="left" w:pos="1797"/>
        </w:tabs>
        <w:rPr>
          <w:b/>
          <w:szCs w:val="22"/>
          <w:lang w:val="fr-FR"/>
        </w:rPr>
      </w:pPr>
      <w:r w:rsidRPr="00B34920">
        <w:rPr>
          <w:b/>
          <w:szCs w:val="22"/>
          <w:lang w:val="fr-FR"/>
        </w:rPr>
        <w:t>2010</w:t>
      </w:r>
      <w:r w:rsidRPr="00B34920">
        <w:rPr>
          <w:b/>
          <w:szCs w:val="22"/>
          <w:lang w:val="fr-FR"/>
        </w:rPr>
        <w:tab/>
      </w:r>
      <w:r w:rsidR="00B34920" w:rsidRPr="00B34920">
        <w:rPr>
          <w:b/>
          <w:szCs w:val="22"/>
          <w:lang w:val="fr-FR"/>
        </w:rPr>
        <w:t xml:space="preserve">Doctorat </w:t>
      </w:r>
      <w:r w:rsidR="00B34920" w:rsidRPr="00B34920">
        <w:rPr>
          <w:b/>
          <w:i/>
          <w:szCs w:val="22"/>
          <w:lang w:val="fr-FR"/>
        </w:rPr>
        <w:t>honoris causa</w:t>
      </w:r>
    </w:p>
    <w:p w:rsidR="003A6C70" w:rsidRPr="00B34920" w:rsidRDefault="003A6C70" w:rsidP="003A6C70">
      <w:pPr>
        <w:pStyle w:val="Header"/>
        <w:tabs>
          <w:tab w:val="clear" w:pos="4536"/>
          <w:tab w:val="clear" w:pos="9072"/>
          <w:tab w:val="left" w:pos="1797"/>
        </w:tabs>
        <w:rPr>
          <w:szCs w:val="22"/>
          <w:lang w:val="fr-FR"/>
        </w:rPr>
      </w:pPr>
      <w:r w:rsidRPr="00B34920">
        <w:rPr>
          <w:b/>
          <w:szCs w:val="22"/>
          <w:lang w:val="fr-FR"/>
        </w:rPr>
        <w:tab/>
      </w:r>
      <w:r w:rsidR="00F2490B" w:rsidRPr="00F2490B">
        <w:rPr>
          <w:szCs w:val="22"/>
          <w:lang w:val="fr-FR"/>
        </w:rPr>
        <w:t xml:space="preserve">Université de </w:t>
      </w:r>
      <w:proofErr w:type="spellStart"/>
      <w:r w:rsidR="00F2490B" w:rsidRPr="00F2490B">
        <w:rPr>
          <w:szCs w:val="22"/>
          <w:lang w:val="fr-FR"/>
        </w:rPr>
        <w:t>Renmin</w:t>
      </w:r>
      <w:proofErr w:type="spellEnd"/>
      <w:r w:rsidR="00F2490B" w:rsidRPr="00F2490B">
        <w:rPr>
          <w:szCs w:val="22"/>
          <w:lang w:val="fr-FR"/>
        </w:rPr>
        <w:t xml:space="preserve"> (Chine)</w:t>
      </w:r>
    </w:p>
    <w:p w:rsidR="003A6C70" w:rsidRPr="00B34920" w:rsidRDefault="003A6C70" w:rsidP="003A6C70">
      <w:pPr>
        <w:pStyle w:val="Header"/>
        <w:tabs>
          <w:tab w:val="clear" w:pos="4536"/>
          <w:tab w:val="clear" w:pos="9072"/>
          <w:tab w:val="left" w:pos="1797"/>
        </w:tabs>
        <w:rPr>
          <w:b/>
          <w:szCs w:val="22"/>
          <w:lang w:val="fr-FR"/>
        </w:rPr>
      </w:pPr>
    </w:p>
    <w:p w:rsidR="003A6C70" w:rsidRPr="00B34920" w:rsidRDefault="003A6C70" w:rsidP="003A6C70">
      <w:pPr>
        <w:pStyle w:val="Header"/>
        <w:tabs>
          <w:tab w:val="clear" w:pos="4536"/>
          <w:tab w:val="clear" w:pos="9072"/>
          <w:tab w:val="left" w:pos="1797"/>
        </w:tabs>
        <w:rPr>
          <w:b/>
          <w:szCs w:val="22"/>
          <w:lang w:val="fr-FR"/>
        </w:rPr>
      </w:pPr>
      <w:r w:rsidRPr="00B34920">
        <w:rPr>
          <w:b/>
          <w:szCs w:val="22"/>
          <w:lang w:val="fr-FR"/>
        </w:rPr>
        <w:t>2009</w:t>
      </w:r>
      <w:r w:rsidRPr="00B34920">
        <w:rPr>
          <w:b/>
          <w:szCs w:val="22"/>
          <w:lang w:val="fr-FR"/>
        </w:rPr>
        <w:tab/>
      </w:r>
      <w:r w:rsidR="00B34920" w:rsidRPr="00B34920">
        <w:rPr>
          <w:b/>
          <w:szCs w:val="22"/>
          <w:lang w:val="fr-FR"/>
        </w:rPr>
        <w:t xml:space="preserve">Doctorat </w:t>
      </w:r>
      <w:r w:rsidR="00B34920" w:rsidRPr="00B34920">
        <w:rPr>
          <w:b/>
          <w:i/>
          <w:szCs w:val="22"/>
          <w:lang w:val="fr-FR"/>
        </w:rPr>
        <w:t>honoris causa</w:t>
      </w:r>
    </w:p>
    <w:p w:rsidR="003A6C70" w:rsidRPr="00B34920" w:rsidRDefault="003A6C70" w:rsidP="003A6C70">
      <w:pPr>
        <w:pStyle w:val="Header"/>
        <w:tabs>
          <w:tab w:val="clear" w:pos="4536"/>
          <w:tab w:val="clear" w:pos="9072"/>
          <w:tab w:val="left" w:pos="1797"/>
        </w:tabs>
        <w:rPr>
          <w:szCs w:val="22"/>
          <w:lang w:val="fr-FR"/>
        </w:rPr>
      </w:pPr>
      <w:r w:rsidRPr="00B34920">
        <w:rPr>
          <w:b/>
          <w:szCs w:val="22"/>
          <w:lang w:val="fr-FR"/>
        </w:rPr>
        <w:tab/>
      </w:r>
      <w:r w:rsidR="00F2490B" w:rsidRPr="00F2490B">
        <w:rPr>
          <w:szCs w:val="22"/>
          <w:lang w:val="fr-FR"/>
        </w:rPr>
        <w:t>Université technique nationale d’Ukraine</w:t>
      </w:r>
    </w:p>
    <w:p w:rsidR="003A6C70" w:rsidRPr="00B34920" w:rsidRDefault="003A6C70" w:rsidP="003A6C70">
      <w:pPr>
        <w:pStyle w:val="Header"/>
        <w:tabs>
          <w:tab w:val="clear" w:pos="4536"/>
          <w:tab w:val="clear" w:pos="9072"/>
          <w:tab w:val="left" w:pos="1797"/>
        </w:tabs>
        <w:rPr>
          <w:b/>
          <w:szCs w:val="22"/>
          <w:lang w:val="fr-FR"/>
        </w:rPr>
      </w:pPr>
    </w:p>
    <w:p w:rsidR="003A6C70" w:rsidRPr="00B34920" w:rsidRDefault="003A6C70" w:rsidP="003A6C70">
      <w:pPr>
        <w:pStyle w:val="Header"/>
        <w:tabs>
          <w:tab w:val="clear" w:pos="4536"/>
          <w:tab w:val="clear" w:pos="9072"/>
          <w:tab w:val="left" w:pos="1797"/>
        </w:tabs>
        <w:rPr>
          <w:b/>
          <w:szCs w:val="22"/>
          <w:lang w:val="fr-FR"/>
        </w:rPr>
      </w:pPr>
      <w:r w:rsidRPr="00B34920">
        <w:rPr>
          <w:b/>
          <w:szCs w:val="22"/>
          <w:lang w:val="fr-FR"/>
        </w:rPr>
        <w:t>2009</w:t>
      </w:r>
      <w:r w:rsidRPr="00B34920">
        <w:rPr>
          <w:b/>
          <w:szCs w:val="22"/>
          <w:lang w:val="fr-FR"/>
        </w:rPr>
        <w:tab/>
      </w:r>
      <w:r w:rsidR="00F2490B">
        <w:rPr>
          <w:b/>
          <w:szCs w:val="22"/>
          <w:lang w:val="fr-FR"/>
        </w:rPr>
        <w:t>Professeur honoraire</w:t>
      </w:r>
    </w:p>
    <w:p w:rsidR="003A6C70" w:rsidRPr="00B34920" w:rsidRDefault="003A6C70" w:rsidP="003A6C70">
      <w:pPr>
        <w:pStyle w:val="Header"/>
        <w:tabs>
          <w:tab w:val="clear" w:pos="4536"/>
          <w:tab w:val="clear" w:pos="9072"/>
          <w:tab w:val="left" w:pos="1797"/>
        </w:tabs>
        <w:rPr>
          <w:szCs w:val="22"/>
          <w:lang w:val="fr-FR"/>
        </w:rPr>
      </w:pPr>
      <w:r w:rsidRPr="00B34920">
        <w:rPr>
          <w:b/>
          <w:szCs w:val="22"/>
          <w:lang w:val="fr-FR"/>
        </w:rPr>
        <w:tab/>
      </w:r>
      <w:r w:rsidR="00F2490B" w:rsidRPr="004A71E4">
        <w:t>Université de Beijing (Chine)</w:t>
      </w:r>
    </w:p>
    <w:p w:rsidR="003A6C70" w:rsidRPr="00B34920" w:rsidRDefault="003A6C70" w:rsidP="003A6C70">
      <w:pPr>
        <w:pStyle w:val="Header"/>
        <w:tabs>
          <w:tab w:val="clear" w:pos="4536"/>
          <w:tab w:val="clear" w:pos="9072"/>
          <w:tab w:val="left" w:pos="1797"/>
        </w:tabs>
        <w:rPr>
          <w:b/>
          <w:szCs w:val="22"/>
          <w:lang w:val="fr-FR"/>
        </w:rPr>
      </w:pPr>
    </w:p>
    <w:p w:rsidR="003A6C70" w:rsidRPr="00B34920" w:rsidRDefault="003A6C70" w:rsidP="003A6C70">
      <w:pPr>
        <w:pStyle w:val="Header"/>
        <w:tabs>
          <w:tab w:val="clear" w:pos="4536"/>
          <w:tab w:val="clear" w:pos="9072"/>
          <w:tab w:val="left" w:pos="1797"/>
        </w:tabs>
        <w:rPr>
          <w:b/>
          <w:szCs w:val="22"/>
          <w:lang w:val="fr-FR"/>
        </w:rPr>
      </w:pPr>
      <w:r w:rsidRPr="00B34920">
        <w:rPr>
          <w:b/>
          <w:szCs w:val="22"/>
          <w:lang w:val="fr-FR"/>
        </w:rPr>
        <w:t>2008</w:t>
      </w:r>
      <w:r w:rsidRPr="00B34920">
        <w:rPr>
          <w:b/>
          <w:szCs w:val="22"/>
          <w:lang w:val="fr-FR"/>
        </w:rPr>
        <w:tab/>
      </w:r>
      <w:r w:rsidR="00F2490B">
        <w:rPr>
          <w:b/>
          <w:szCs w:val="22"/>
          <w:lang w:val="fr-FR"/>
        </w:rPr>
        <w:t>Membre</w:t>
      </w:r>
    </w:p>
    <w:p w:rsidR="003A6C70" w:rsidRPr="00B34920" w:rsidRDefault="003A6C70" w:rsidP="003A6C70">
      <w:pPr>
        <w:pStyle w:val="Header"/>
        <w:tabs>
          <w:tab w:val="clear" w:pos="4536"/>
          <w:tab w:val="clear" w:pos="9072"/>
          <w:tab w:val="left" w:pos="1797"/>
        </w:tabs>
        <w:rPr>
          <w:szCs w:val="22"/>
          <w:lang w:val="fr-FR"/>
        </w:rPr>
      </w:pPr>
      <w:r w:rsidRPr="00B34920">
        <w:rPr>
          <w:b/>
          <w:szCs w:val="22"/>
          <w:lang w:val="fr-FR"/>
        </w:rPr>
        <w:tab/>
      </w:r>
      <w:r w:rsidR="00F2490B" w:rsidRPr="004A71E4">
        <w:t>Académie européenne des sciences et des arts</w:t>
      </w:r>
    </w:p>
    <w:p w:rsidR="003A6C70" w:rsidRPr="00B34920" w:rsidRDefault="003A6C70" w:rsidP="003A6C70">
      <w:pPr>
        <w:pStyle w:val="Header"/>
        <w:tabs>
          <w:tab w:val="clear" w:pos="4536"/>
          <w:tab w:val="clear" w:pos="9072"/>
          <w:tab w:val="left" w:pos="1797"/>
        </w:tabs>
        <w:rPr>
          <w:b/>
          <w:szCs w:val="22"/>
          <w:lang w:val="fr-FR"/>
        </w:rPr>
      </w:pPr>
    </w:p>
    <w:p w:rsidR="003A6C70" w:rsidRPr="00B34920" w:rsidRDefault="003A6C70" w:rsidP="003A6C70">
      <w:pPr>
        <w:pStyle w:val="Header"/>
        <w:tabs>
          <w:tab w:val="clear" w:pos="4536"/>
          <w:tab w:val="clear" w:pos="9072"/>
          <w:tab w:val="left" w:pos="1797"/>
        </w:tabs>
        <w:rPr>
          <w:b/>
          <w:szCs w:val="22"/>
          <w:lang w:val="fr-FR"/>
        </w:rPr>
      </w:pPr>
      <w:r w:rsidRPr="00B34920">
        <w:rPr>
          <w:b/>
          <w:szCs w:val="22"/>
          <w:lang w:val="fr-FR"/>
        </w:rPr>
        <w:t xml:space="preserve">2001 </w:t>
      </w:r>
      <w:r w:rsidRPr="00B34920">
        <w:rPr>
          <w:b/>
          <w:szCs w:val="22"/>
          <w:lang w:val="fr-FR"/>
        </w:rPr>
        <w:tab/>
      </w:r>
      <w:r w:rsidR="00F2490B">
        <w:rPr>
          <w:b/>
          <w:szCs w:val="22"/>
          <w:lang w:val="fr-FR"/>
        </w:rPr>
        <w:t>Professeur honoraire</w:t>
      </w:r>
    </w:p>
    <w:p w:rsidR="003A6C70" w:rsidRPr="00B34920" w:rsidRDefault="003A6C70" w:rsidP="003A6C70">
      <w:pPr>
        <w:pStyle w:val="Header"/>
        <w:tabs>
          <w:tab w:val="clear" w:pos="4536"/>
          <w:tab w:val="clear" w:pos="9072"/>
          <w:tab w:val="left" w:pos="1797"/>
        </w:tabs>
        <w:rPr>
          <w:szCs w:val="22"/>
          <w:lang w:val="fr-FR"/>
        </w:rPr>
      </w:pPr>
      <w:r w:rsidRPr="00B34920">
        <w:rPr>
          <w:szCs w:val="22"/>
          <w:lang w:val="fr-FR"/>
        </w:rPr>
        <w:tab/>
      </w:r>
      <w:r w:rsidR="00962181" w:rsidRPr="00B34920">
        <w:rPr>
          <w:szCs w:val="24"/>
          <w:lang w:val="fr-FR"/>
        </w:rPr>
        <w:t>Faculté de droit de l’Université de Melbourne (Australie)</w:t>
      </w:r>
    </w:p>
    <w:p w:rsidR="00A705FA" w:rsidRPr="00B34920" w:rsidRDefault="00A705FA" w:rsidP="00A705FA">
      <w:pPr>
        <w:pStyle w:val="Footer"/>
        <w:tabs>
          <w:tab w:val="left" w:pos="2835"/>
        </w:tabs>
        <w:ind w:left="2835" w:hanging="2835"/>
        <w:rPr>
          <w:szCs w:val="24"/>
          <w:lang w:val="fr-FR"/>
        </w:rPr>
      </w:pPr>
    </w:p>
    <w:p w:rsidR="00A705FA" w:rsidRPr="00B34920" w:rsidRDefault="00A705FA" w:rsidP="00A705FA">
      <w:pPr>
        <w:pStyle w:val="Footer"/>
        <w:tabs>
          <w:tab w:val="left" w:pos="2835"/>
        </w:tabs>
        <w:ind w:left="2835" w:hanging="2835"/>
        <w:rPr>
          <w:szCs w:val="24"/>
          <w:lang w:val="fr-FR"/>
        </w:rPr>
      </w:pPr>
    </w:p>
    <w:p w:rsidR="00BE754B" w:rsidRDefault="00BE754B">
      <w:pPr>
        <w:rPr>
          <w:b/>
          <w:szCs w:val="22"/>
          <w:lang w:val="fr-FR"/>
        </w:rPr>
      </w:pPr>
      <w:r>
        <w:rPr>
          <w:b/>
          <w:szCs w:val="22"/>
          <w:lang w:val="fr-FR"/>
        </w:rPr>
        <w:br w:type="page"/>
      </w:r>
    </w:p>
    <w:p w:rsidR="00962181" w:rsidRPr="00B34920" w:rsidRDefault="00F2490B" w:rsidP="00962181">
      <w:pPr>
        <w:tabs>
          <w:tab w:val="left" w:pos="1843"/>
        </w:tabs>
        <w:rPr>
          <w:b/>
          <w:szCs w:val="22"/>
          <w:lang w:val="fr-FR"/>
        </w:rPr>
      </w:pPr>
      <w:r w:rsidRPr="00F2490B">
        <w:rPr>
          <w:b/>
          <w:szCs w:val="22"/>
          <w:lang w:val="fr-FR"/>
        </w:rPr>
        <w:lastRenderedPageBreak/>
        <w:t>COMITÉS CONSULTATIFS</w:t>
      </w:r>
      <w:r>
        <w:rPr>
          <w:b/>
          <w:szCs w:val="22"/>
          <w:lang w:val="fr-FR"/>
        </w:rPr>
        <w:t xml:space="preserve"> ET</w:t>
      </w:r>
      <w:r w:rsidRPr="00F2490B">
        <w:rPr>
          <w:b/>
          <w:szCs w:val="22"/>
          <w:lang w:val="fr-FR"/>
        </w:rPr>
        <w:t xml:space="preserve"> COMITÉS DE RÉDACTION</w:t>
      </w:r>
    </w:p>
    <w:p w:rsidR="00962181" w:rsidRPr="00B34920" w:rsidRDefault="00962181" w:rsidP="00962181">
      <w:pPr>
        <w:tabs>
          <w:tab w:val="left" w:pos="1843"/>
        </w:tabs>
        <w:rPr>
          <w:b/>
          <w:szCs w:val="22"/>
          <w:lang w:val="fr-FR"/>
        </w:rPr>
      </w:pPr>
    </w:p>
    <w:p w:rsidR="00962181" w:rsidRPr="000C4EA4" w:rsidRDefault="00F2490B" w:rsidP="00962181">
      <w:pPr>
        <w:tabs>
          <w:tab w:val="left" w:pos="1843"/>
        </w:tabs>
        <w:rPr>
          <w:szCs w:val="22"/>
          <w:lang w:val="en-US"/>
        </w:rPr>
      </w:pPr>
      <w:r w:rsidRPr="000C4EA4">
        <w:rPr>
          <w:szCs w:val="22"/>
          <w:lang w:val="en-US"/>
        </w:rPr>
        <w:t>Parrainage d’une campagne, Campaign for the University of Melbourne</w:t>
      </w:r>
    </w:p>
    <w:p w:rsidR="00962181" w:rsidRPr="000C4EA4" w:rsidRDefault="00962181" w:rsidP="00962181">
      <w:pPr>
        <w:tabs>
          <w:tab w:val="left" w:pos="425"/>
          <w:tab w:val="left" w:pos="1843"/>
        </w:tabs>
        <w:rPr>
          <w:szCs w:val="22"/>
          <w:lang w:val="en-US"/>
        </w:rPr>
      </w:pPr>
    </w:p>
    <w:p w:rsidR="00962181" w:rsidRPr="00B34920" w:rsidRDefault="00F2490B" w:rsidP="00962181">
      <w:pPr>
        <w:tabs>
          <w:tab w:val="left" w:pos="426"/>
          <w:tab w:val="left" w:pos="1843"/>
        </w:tabs>
        <w:rPr>
          <w:szCs w:val="22"/>
          <w:lang w:val="fr-FR"/>
        </w:rPr>
      </w:pPr>
      <w:r w:rsidRPr="00F2490B">
        <w:rPr>
          <w:szCs w:val="22"/>
          <w:lang w:val="fr-FR"/>
        </w:rPr>
        <w:t xml:space="preserve">Président honoraire du </w:t>
      </w:r>
      <w:r w:rsidR="0067397B">
        <w:rPr>
          <w:szCs w:val="22"/>
          <w:lang w:val="fr-FR"/>
        </w:rPr>
        <w:t>Comité d’administration du</w:t>
      </w:r>
      <w:r w:rsidRPr="00F2490B">
        <w:rPr>
          <w:szCs w:val="22"/>
          <w:lang w:val="fr-FR"/>
        </w:rPr>
        <w:t xml:space="preserve"> Centre of China Innovation Index </w:t>
      </w:r>
      <w:proofErr w:type="spellStart"/>
      <w:r w:rsidRPr="00F2490B">
        <w:rPr>
          <w:szCs w:val="22"/>
          <w:lang w:val="fr-FR"/>
        </w:rPr>
        <w:t>Research</w:t>
      </w:r>
      <w:proofErr w:type="spellEnd"/>
      <w:r w:rsidRPr="00F2490B">
        <w:rPr>
          <w:szCs w:val="22"/>
          <w:lang w:val="fr-FR"/>
        </w:rPr>
        <w:t>, Université de Beijing</w:t>
      </w:r>
    </w:p>
    <w:p w:rsidR="00962181" w:rsidRDefault="00962181" w:rsidP="00962181">
      <w:pPr>
        <w:tabs>
          <w:tab w:val="left" w:pos="425"/>
          <w:tab w:val="left" w:pos="1843"/>
        </w:tabs>
        <w:rPr>
          <w:szCs w:val="22"/>
          <w:lang w:val="fr-FR"/>
        </w:rPr>
      </w:pPr>
    </w:p>
    <w:p w:rsidR="002A4508" w:rsidRDefault="002A4508" w:rsidP="00962181">
      <w:pPr>
        <w:tabs>
          <w:tab w:val="left" w:pos="425"/>
          <w:tab w:val="left" w:pos="1843"/>
        </w:tabs>
        <w:rPr>
          <w:szCs w:val="22"/>
          <w:lang w:val="fr-FR"/>
        </w:rPr>
      </w:pPr>
      <w:r>
        <w:rPr>
          <w:szCs w:val="22"/>
          <w:lang w:val="fr-FR"/>
        </w:rPr>
        <w:t xml:space="preserve">Comité consultatif, Geneva LL.M. </w:t>
      </w:r>
      <w:proofErr w:type="gramStart"/>
      <w:r>
        <w:rPr>
          <w:szCs w:val="22"/>
          <w:lang w:val="fr-FR"/>
        </w:rPr>
        <w:t>in</w:t>
      </w:r>
      <w:proofErr w:type="gramEnd"/>
      <w:r>
        <w:rPr>
          <w:szCs w:val="22"/>
          <w:lang w:val="fr-FR"/>
        </w:rPr>
        <w:t xml:space="preserve"> International Dispute </w:t>
      </w:r>
      <w:proofErr w:type="spellStart"/>
      <w:r>
        <w:rPr>
          <w:szCs w:val="22"/>
          <w:lang w:val="fr-FR"/>
        </w:rPr>
        <w:t>Settlement</w:t>
      </w:r>
      <w:proofErr w:type="spellEnd"/>
      <w:r>
        <w:rPr>
          <w:szCs w:val="22"/>
          <w:lang w:val="fr-FR"/>
        </w:rPr>
        <w:t xml:space="preserve"> (MIDS), Université de Genève et Institut de hautes études </w:t>
      </w:r>
      <w:r w:rsidRPr="002A4508">
        <w:rPr>
          <w:szCs w:val="22"/>
          <w:lang w:val="fr-FR"/>
        </w:rPr>
        <w:t>international</w:t>
      </w:r>
      <w:r>
        <w:rPr>
          <w:szCs w:val="22"/>
          <w:lang w:val="fr-FR"/>
        </w:rPr>
        <w:t>es et du développement</w:t>
      </w:r>
    </w:p>
    <w:p w:rsidR="002A4508" w:rsidRPr="00B34920" w:rsidRDefault="002A4508" w:rsidP="00962181">
      <w:pPr>
        <w:tabs>
          <w:tab w:val="left" w:pos="425"/>
          <w:tab w:val="left" w:pos="1843"/>
        </w:tabs>
        <w:rPr>
          <w:szCs w:val="22"/>
          <w:lang w:val="fr-FR"/>
        </w:rPr>
      </w:pPr>
    </w:p>
    <w:p w:rsidR="00962181" w:rsidRPr="00B34920" w:rsidRDefault="00BE754B" w:rsidP="00962181">
      <w:pPr>
        <w:tabs>
          <w:tab w:val="left" w:pos="1843"/>
        </w:tabs>
        <w:rPr>
          <w:szCs w:val="22"/>
          <w:lang w:val="fr-FR"/>
        </w:rPr>
      </w:pPr>
      <w:r w:rsidRPr="00BE754B">
        <w:rPr>
          <w:szCs w:val="22"/>
          <w:lang w:val="fr-FR"/>
        </w:rPr>
        <w:t xml:space="preserve">Conseil consultatif, </w:t>
      </w:r>
      <w:r w:rsidRPr="00BE754B">
        <w:rPr>
          <w:i/>
          <w:szCs w:val="22"/>
          <w:lang w:val="fr-FR"/>
        </w:rPr>
        <w:t>Melbourne Journal of International Law</w:t>
      </w:r>
    </w:p>
    <w:p w:rsidR="00046E86" w:rsidRPr="00B34920" w:rsidRDefault="00046E86" w:rsidP="00046E86">
      <w:pPr>
        <w:pStyle w:val="Footer"/>
        <w:keepNext/>
        <w:tabs>
          <w:tab w:val="left" w:pos="2835"/>
        </w:tabs>
        <w:ind w:left="2835" w:hanging="2835"/>
        <w:rPr>
          <w:caps/>
          <w:szCs w:val="24"/>
          <w:lang w:val="fr-FR"/>
        </w:rPr>
      </w:pPr>
    </w:p>
    <w:p w:rsidR="00046E86" w:rsidRPr="00B34920" w:rsidRDefault="00046E86" w:rsidP="00046E86">
      <w:pPr>
        <w:pStyle w:val="Footer"/>
        <w:tabs>
          <w:tab w:val="left" w:pos="0"/>
        </w:tabs>
        <w:rPr>
          <w:szCs w:val="24"/>
          <w:lang w:val="fr-FR"/>
        </w:rPr>
      </w:pPr>
      <w:r w:rsidRPr="00B34920">
        <w:rPr>
          <w:szCs w:val="24"/>
          <w:lang w:val="fr-FR"/>
        </w:rPr>
        <w:t xml:space="preserve">Centre for </w:t>
      </w:r>
      <w:proofErr w:type="spellStart"/>
      <w:r w:rsidRPr="00B34920">
        <w:rPr>
          <w:szCs w:val="24"/>
          <w:lang w:val="fr-FR"/>
        </w:rPr>
        <w:t>Intellectual</w:t>
      </w:r>
      <w:proofErr w:type="spellEnd"/>
      <w:r w:rsidRPr="00B34920">
        <w:rPr>
          <w:szCs w:val="24"/>
          <w:lang w:val="fr-FR"/>
        </w:rPr>
        <w:t xml:space="preserve"> </w:t>
      </w:r>
      <w:proofErr w:type="spellStart"/>
      <w:r w:rsidRPr="00B34920">
        <w:rPr>
          <w:szCs w:val="24"/>
          <w:lang w:val="fr-FR"/>
        </w:rPr>
        <w:t>Property</w:t>
      </w:r>
      <w:proofErr w:type="spellEnd"/>
      <w:r w:rsidRPr="00B34920">
        <w:rPr>
          <w:szCs w:val="24"/>
          <w:lang w:val="fr-FR"/>
        </w:rPr>
        <w:t xml:space="preserve"> and Information Law, Faculté de droit de l</w:t>
      </w:r>
      <w:r w:rsidR="007B2487" w:rsidRPr="00B34920">
        <w:rPr>
          <w:szCs w:val="24"/>
          <w:lang w:val="fr-FR"/>
        </w:rPr>
        <w:t>’</w:t>
      </w:r>
      <w:r w:rsidRPr="00B34920">
        <w:rPr>
          <w:szCs w:val="24"/>
          <w:lang w:val="fr-FR"/>
        </w:rPr>
        <w:t>Université de Cambridge</w:t>
      </w:r>
    </w:p>
    <w:p w:rsidR="00046E86" w:rsidRPr="00B34920" w:rsidRDefault="00046E86" w:rsidP="00046E86">
      <w:pPr>
        <w:pStyle w:val="Footer"/>
        <w:tabs>
          <w:tab w:val="left" w:pos="0"/>
        </w:tabs>
        <w:rPr>
          <w:szCs w:val="24"/>
          <w:lang w:val="fr-FR"/>
        </w:rPr>
      </w:pPr>
    </w:p>
    <w:p w:rsidR="00046E86" w:rsidRPr="00B34920" w:rsidRDefault="00046E86" w:rsidP="00AA4EB3">
      <w:pPr>
        <w:pStyle w:val="Footer"/>
        <w:keepNext/>
        <w:keepLines/>
        <w:tabs>
          <w:tab w:val="left" w:pos="0"/>
        </w:tabs>
        <w:rPr>
          <w:szCs w:val="24"/>
          <w:lang w:val="fr-FR"/>
        </w:rPr>
      </w:pPr>
      <w:proofErr w:type="spellStart"/>
      <w:r w:rsidRPr="00B34920">
        <w:rPr>
          <w:szCs w:val="24"/>
          <w:lang w:val="fr-FR"/>
        </w:rPr>
        <w:t>Intellectual</w:t>
      </w:r>
      <w:proofErr w:type="spellEnd"/>
      <w:r w:rsidRPr="00B34920">
        <w:rPr>
          <w:szCs w:val="24"/>
          <w:lang w:val="fr-FR"/>
        </w:rPr>
        <w:t xml:space="preserve"> </w:t>
      </w:r>
      <w:proofErr w:type="spellStart"/>
      <w:r w:rsidRPr="00B34920">
        <w:rPr>
          <w:szCs w:val="24"/>
          <w:lang w:val="fr-FR"/>
        </w:rPr>
        <w:t>Property</w:t>
      </w:r>
      <w:proofErr w:type="spellEnd"/>
      <w:r w:rsidRPr="00B34920">
        <w:rPr>
          <w:szCs w:val="24"/>
          <w:lang w:val="fr-FR"/>
        </w:rPr>
        <w:t xml:space="preserve"> </w:t>
      </w:r>
      <w:proofErr w:type="spellStart"/>
      <w:r w:rsidRPr="00B34920">
        <w:rPr>
          <w:szCs w:val="24"/>
          <w:lang w:val="fr-FR"/>
        </w:rPr>
        <w:t>Research</w:t>
      </w:r>
      <w:proofErr w:type="spellEnd"/>
      <w:r w:rsidRPr="00B34920">
        <w:rPr>
          <w:szCs w:val="24"/>
          <w:lang w:val="fr-FR"/>
        </w:rPr>
        <w:t xml:space="preserve"> Institute of </w:t>
      </w:r>
      <w:proofErr w:type="spellStart"/>
      <w:r w:rsidRPr="00B34920">
        <w:rPr>
          <w:szCs w:val="24"/>
          <w:lang w:val="fr-FR"/>
        </w:rPr>
        <w:t>Australia</w:t>
      </w:r>
      <w:proofErr w:type="spellEnd"/>
      <w:r w:rsidRPr="00B34920">
        <w:rPr>
          <w:szCs w:val="24"/>
          <w:lang w:val="fr-FR"/>
        </w:rPr>
        <w:t>, Faculté de droit de l</w:t>
      </w:r>
      <w:r w:rsidR="007B2487" w:rsidRPr="00B34920">
        <w:rPr>
          <w:szCs w:val="24"/>
          <w:lang w:val="fr-FR"/>
        </w:rPr>
        <w:t>’</w:t>
      </w:r>
      <w:r w:rsidRPr="00B34920">
        <w:rPr>
          <w:szCs w:val="24"/>
          <w:lang w:val="fr-FR"/>
        </w:rPr>
        <w:t>Université de Melbourne</w:t>
      </w:r>
      <w:r w:rsidR="00962181" w:rsidRPr="00B34920">
        <w:rPr>
          <w:szCs w:val="24"/>
          <w:lang w:val="fr-FR"/>
        </w:rPr>
        <w:t xml:space="preserve"> (Australie)</w:t>
      </w:r>
    </w:p>
    <w:p w:rsidR="00046E86" w:rsidRPr="00B34920" w:rsidRDefault="00046E86" w:rsidP="00046E86">
      <w:pPr>
        <w:pStyle w:val="Footer"/>
        <w:tabs>
          <w:tab w:val="left" w:pos="0"/>
        </w:tabs>
        <w:rPr>
          <w:szCs w:val="24"/>
          <w:lang w:val="fr-FR"/>
        </w:rPr>
      </w:pPr>
    </w:p>
    <w:p w:rsidR="00046E86" w:rsidRPr="000C4EA4" w:rsidRDefault="00046E86" w:rsidP="00046E86">
      <w:pPr>
        <w:pStyle w:val="Footer"/>
        <w:tabs>
          <w:tab w:val="left" w:pos="0"/>
        </w:tabs>
        <w:rPr>
          <w:i/>
          <w:szCs w:val="24"/>
          <w:lang w:val="en-US"/>
        </w:rPr>
      </w:pPr>
      <w:r w:rsidRPr="000C4EA4">
        <w:rPr>
          <w:i/>
          <w:szCs w:val="24"/>
          <w:lang w:val="en-US"/>
        </w:rPr>
        <w:t>Indian Journal of Intellectual Property</w:t>
      </w:r>
    </w:p>
    <w:p w:rsidR="00046E86" w:rsidRPr="000C4EA4" w:rsidRDefault="00046E86" w:rsidP="00046E86">
      <w:pPr>
        <w:pStyle w:val="Footer"/>
        <w:tabs>
          <w:tab w:val="left" w:pos="0"/>
        </w:tabs>
        <w:rPr>
          <w:szCs w:val="24"/>
          <w:lang w:val="en-US"/>
        </w:rPr>
      </w:pPr>
    </w:p>
    <w:p w:rsidR="00046E86" w:rsidRPr="000C4EA4" w:rsidRDefault="00046E86" w:rsidP="00046E86">
      <w:pPr>
        <w:pStyle w:val="Footer"/>
        <w:tabs>
          <w:tab w:val="left" w:pos="0"/>
        </w:tabs>
        <w:rPr>
          <w:szCs w:val="24"/>
          <w:lang w:val="en-US"/>
        </w:rPr>
      </w:pPr>
      <w:r w:rsidRPr="000C4EA4">
        <w:rPr>
          <w:i/>
          <w:szCs w:val="24"/>
          <w:lang w:val="en-US"/>
        </w:rPr>
        <w:t>SCRIPT</w:t>
      </w:r>
      <w:r w:rsidRPr="000C4EA4">
        <w:rPr>
          <w:i/>
          <w:szCs w:val="24"/>
          <w:lang w:val="en-US"/>
        </w:rPr>
        <w:noBreakHyphen/>
        <w:t>ed – A Journal of Law, Technology &amp; Society</w:t>
      </w:r>
      <w:r w:rsidRPr="000C4EA4">
        <w:rPr>
          <w:szCs w:val="24"/>
          <w:lang w:val="en-US"/>
        </w:rPr>
        <w:t xml:space="preserve"> (</w:t>
      </w:r>
      <w:r w:rsidR="00962181" w:rsidRPr="000C4EA4">
        <w:rPr>
          <w:szCs w:val="24"/>
          <w:lang w:val="en-US"/>
        </w:rPr>
        <w:t>Université d’Édimbourg (Royaume-Uni)</w:t>
      </w:r>
      <w:r w:rsidRPr="000C4EA4">
        <w:rPr>
          <w:szCs w:val="24"/>
          <w:lang w:val="en-US"/>
        </w:rPr>
        <w:t>)</w:t>
      </w:r>
    </w:p>
    <w:p w:rsidR="00046E86" w:rsidRPr="000C4EA4" w:rsidRDefault="00046E86" w:rsidP="00046E86">
      <w:pPr>
        <w:pStyle w:val="Footer"/>
        <w:tabs>
          <w:tab w:val="left" w:pos="0"/>
        </w:tabs>
        <w:rPr>
          <w:szCs w:val="24"/>
          <w:lang w:val="en-US"/>
        </w:rPr>
      </w:pPr>
    </w:p>
    <w:p w:rsidR="00046E86" w:rsidRPr="000C4EA4" w:rsidRDefault="00046E86" w:rsidP="00046E86">
      <w:pPr>
        <w:pStyle w:val="Footer"/>
        <w:tabs>
          <w:tab w:val="left" w:pos="0"/>
        </w:tabs>
        <w:rPr>
          <w:szCs w:val="24"/>
          <w:lang w:val="en-US"/>
        </w:rPr>
      </w:pPr>
    </w:p>
    <w:p w:rsidR="00046E86" w:rsidRPr="00B34920" w:rsidRDefault="00046E86" w:rsidP="00046E86">
      <w:pPr>
        <w:pStyle w:val="Footer"/>
        <w:tabs>
          <w:tab w:val="left" w:pos="0"/>
        </w:tabs>
        <w:rPr>
          <w:caps/>
          <w:szCs w:val="24"/>
          <w:lang w:val="fr-FR"/>
        </w:rPr>
      </w:pPr>
      <w:r w:rsidRPr="00B34920">
        <w:rPr>
          <w:b/>
          <w:caps/>
          <w:szCs w:val="24"/>
          <w:lang w:val="fr-FR"/>
        </w:rPr>
        <w:t>langues</w:t>
      </w:r>
    </w:p>
    <w:p w:rsidR="00046E86" w:rsidRPr="00B34920" w:rsidRDefault="00046E86" w:rsidP="00046E86">
      <w:pPr>
        <w:pStyle w:val="Footer"/>
        <w:tabs>
          <w:tab w:val="left" w:pos="0"/>
        </w:tabs>
        <w:rPr>
          <w:caps/>
          <w:szCs w:val="24"/>
          <w:lang w:val="fr-FR"/>
        </w:rPr>
      </w:pPr>
    </w:p>
    <w:p w:rsidR="00046E86" w:rsidRPr="00B34920" w:rsidRDefault="00046E86" w:rsidP="00046E86">
      <w:pPr>
        <w:pStyle w:val="Footer"/>
        <w:tabs>
          <w:tab w:val="left" w:pos="0"/>
        </w:tabs>
        <w:rPr>
          <w:szCs w:val="24"/>
          <w:lang w:val="fr-FR"/>
        </w:rPr>
      </w:pPr>
      <w:proofErr w:type="gramStart"/>
      <w:r w:rsidRPr="00B34920">
        <w:rPr>
          <w:szCs w:val="24"/>
          <w:lang w:val="fr-FR"/>
        </w:rPr>
        <w:t>anglais</w:t>
      </w:r>
      <w:proofErr w:type="gramEnd"/>
      <w:r w:rsidRPr="00B34920">
        <w:rPr>
          <w:szCs w:val="24"/>
          <w:lang w:val="fr-FR"/>
        </w:rPr>
        <w:t xml:space="preserve"> (langue maternelle), français (parfaite maîtrise)</w:t>
      </w:r>
    </w:p>
    <w:p w:rsidR="00624B69" w:rsidRPr="00B34920" w:rsidRDefault="00624B69" w:rsidP="00046E86">
      <w:pPr>
        <w:pStyle w:val="Footer"/>
        <w:tabs>
          <w:tab w:val="left" w:pos="0"/>
        </w:tabs>
        <w:rPr>
          <w:szCs w:val="24"/>
          <w:lang w:val="fr-FR"/>
        </w:rPr>
      </w:pPr>
    </w:p>
    <w:p w:rsidR="00962181" w:rsidRPr="00B34920" w:rsidRDefault="00962181" w:rsidP="00046E86">
      <w:pPr>
        <w:pStyle w:val="Footer"/>
        <w:tabs>
          <w:tab w:val="left" w:pos="0"/>
        </w:tabs>
        <w:rPr>
          <w:szCs w:val="24"/>
          <w:lang w:val="fr-FR"/>
        </w:rPr>
      </w:pPr>
    </w:p>
    <w:p w:rsidR="00624B69" w:rsidRPr="000C4EA4" w:rsidRDefault="00624B69" w:rsidP="00046E86">
      <w:pPr>
        <w:pStyle w:val="Footer"/>
        <w:tabs>
          <w:tab w:val="left" w:pos="0"/>
        </w:tabs>
        <w:rPr>
          <w:caps/>
          <w:szCs w:val="24"/>
          <w:lang w:val="en-US"/>
        </w:rPr>
      </w:pPr>
      <w:r w:rsidRPr="000C4EA4">
        <w:rPr>
          <w:b/>
          <w:caps/>
          <w:szCs w:val="24"/>
          <w:lang w:val="en-US"/>
        </w:rPr>
        <w:t>publications</w:t>
      </w:r>
    </w:p>
    <w:p w:rsidR="00624B69" w:rsidRPr="000C4EA4" w:rsidRDefault="00624B69" w:rsidP="00046E86">
      <w:pPr>
        <w:pStyle w:val="Footer"/>
        <w:tabs>
          <w:tab w:val="left" w:pos="0"/>
        </w:tabs>
        <w:rPr>
          <w:caps/>
          <w:szCs w:val="24"/>
          <w:lang w:val="en-US"/>
        </w:rPr>
      </w:pPr>
    </w:p>
    <w:p w:rsidR="00624B69" w:rsidRPr="000C4EA4" w:rsidRDefault="007A68B7" w:rsidP="00046E86">
      <w:pPr>
        <w:pStyle w:val="Footer"/>
        <w:tabs>
          <w:tab w:val="left" w:pos="0"/>
        </w:tabs>
        <w:rPr>
          <w:b/>
          <w:szCs w:val="24"/>
          <w:lang w:val="en-US"/>
        </w:rPr>
      </w:pPr>
      <w:r w:rsidRPr="000C4EA4">
        <w:rPr>
          <w:b/>
          <w:szCs w:val="24"/>
          <w:lang w:val="en-US"/>
        </w:rPr>
        <w:t>Ouvrage</w:t>
      </w:r>
      <w:r w:rsidR="00624B69" w:rsidRPr="000C4EA4">
        <w:rPr>
          <w:b/>
          <w:szCs w:val="24"/>
          <w:lang w:val="en-US"/>
        </w:rPr>
        <w:t>s</w:t>
      </w:r>
    </w:p>
    <w:p w:rsidR="00624B69" w:rsidRPr="000C4EA4" w:rsidRDefault="00624B69" w:rsidP="00046E86">
      <w:pPr>
        <w:pStyle w:val="Footer"/>
        <w:tabs>
          <w:tab w:val="left" w:pos="0"/>
        </w:tabs>
        <w:rPr>
          <w:szCs w:val="24"/>
          <w:lang w:val="en-US"/>
        </w:rPr>
      </w:pPr>
    </w:p>
    <w:p w:rsidR="00962181" w:rsidRPr="000C4EA4" w:rsidRDefault="00962181" w:rsidP="00962181">
      <w:pPr>
        <w:tabs>
          <w:tab w:val="left" w:pos="1843"/>
        </w:tabs>
        <w:rPr>
          <w:i/>
          <w:lang w:val="en-US"/>
        </w:rPr>
      </w:pPr>
      <w:r w:rsidRPr="000C4EA4">
        <w:rPr>
          <w:i/>
          <w:lang w:val="en-US"/>
        </w:rPr>
        <w:t xml:space="preserve">Breach of Confidence (1984), </w:t>
      </w:r>
      <w:r w:rsidRPr="000C4EA4">
        <w:rPr>
          <w:lang w:val="en-US"/>
        </w:rPr>
        <w:t>Oxford University Press, Clarendon, pp. 1-487</w:t>
      </w:r>
    </w:p>
    <w:p w:rsidR="00962181" w:rsidRPr="000C4EA4" w:rsidRDefault="00962181" w:rsidP="00962181">
      <w:pPr>
        <w:tabs>
          <w:tab w:val="left" w:pos="1843"/>
        </w:tabs>
        <w:rPr>
          <w:lang w:val="en-US"/>
        </w:rPr>
      </w:pPr>
      <w:r w:rsidRPr="000C4EA4">
        <w:rPr>
          <w:lang w:val="en-US"/>
        </w:rPr>
        <w:t>(</w:t>
      </w:r>
      <w:proofErr w:type="spellStart"/>
      <w:proofErr w:type="gramStart"/>
      <w:r w:rsidR="0067397B" w:rsidRPr="000C4EA4">
        <w:rPr>
          <w:lang w:val="en-US"/>
        </w:rPr>
        <w:t>republié</w:t>
      </w:r>
      <w:proofErr w:type="spellEnd"/>
      <w:proofErr w:type="gramEnd"/>
      <w:r w:rsidR="0067397B" w:rsidRPr="000C4EA4">
        <w:rPr>
          <w:lang w:val="en-US"/>
        </w:rPr>
        <w:t xml:space="preserve"> sous le </w:t>
      </w:r>
      <w:proofErr w:type="spellStart"/>
      <w:r w:rsidR="0067397B" w:rsidRPr="000C4EA4">
        <w:rPr>
          <w:lang w:val="en-US"/>
        </w:rPr>
        <w:t>titre</w:t>
      </w:r>
      <w:proofErr w:type="spellEnd"/>
      <w:r w:rsidRPr="000C4EA4">
        <w:rPr>
          <w:i/>
          <w:lang w:val="en-US"/>
        </w:rPr>
        <w:t xml:space="preserve"> </w:t>
      </w:r>
      <w:proofErr w:type="spellStart"/>
      <w:r w:rsidRPr="000C4EA4">
        <w:rPr>
          <w:i/>
          <w:lang w:val="en-US"/>
        </w:rPr>
        <w:t>Gurry</w:t>
      </w:r>
      <w:proofErr w:type="spellEnd"/>
      <w:r w:rsidRPr="000C4EA4">
        <w:rPr>
          <w:i/>
          <w:lang w:val="en-US"/>
        </w:rPr>
        <w:t xml:space="preserve"> on Breach of Confidence.  The Protection of Confidential Information, </w:t>
      </w:r>
      <w:r w:rsidR="0067397B" w:rsidRPr="000C4EA4">
        <w:rPr>
          <w:lang w:val="en-US"/>
        </w:rPr>
        <w:t>deuxième édition de</w:t>
      </w:r>
      <w:r w:rsidRPr="000C4EA4">
        <w:rPr>
          <w:lang w:val="en-US"/>
        </w:rPr>
        <w:t xml:space="preserve"> Tanya Aplin, Lionel Bently, Phillip Johnson</w:t>
      </w:r>
      <w:r w:rsidR="0067397B" w:rsidRPr="000C4EA4">
        <w:rPr>
          <w:lang w:val="en-US"/>
        </w:rPr>
        <w:t xml:space="preserve"> et </w:t>
      </w:r>
      <w:r w:rsidRPr="000C4EA4">
        <w:rPr>
          <w:lang w:val="en-US"/>
        </w:rPr>
        <w:t>Simon Malynicz, Oxford University Press, Clarendon, 2012)</w:t>
      </w:r>
    </w:p>
    <w:p w:rsidR="00962181" w:rsidRPr="000C4EA4" w:rsidRDefault="00962181" w:rsidP="00962181">
      <w:pPr>
        <w:pStyle w:val="Footer"/>
        <w:tabs>
          <w:tab w:val="left" w:pos="0"/>
        </w:tabs>
        <w:rPr>
          <w:szCs w:val="24"/>
          <w:lang w:val="en-US"/>
        </w:rPr>
      </w:pPr>
    </w:p>
    <w:p w:rsidR="00624B69" w:rsidRPr="000C4EA4" w:rsidRDefault="00541116" w:rsidP="00624B69">
      <w:pPr>
        <w:pStyle w:val="Footer"/>
        <w:tabs>
          <w:tab w:val="left" w:pos="0"/>
        </w:tabs>
        <w:rPr>
          <w:szCs w:val="24"/>
          <w:lang w:val="en-US"/>
        </w:rPr>
      </w:pPr>
      <w:r w:rsidRPr="000C4EA4">
        <w:rPr>
          <w:i/>
          <w:szCs w:val="24"/>
          <w:lang w:val="en-US"/>
        </w:rPr>
        <w:t xml:space="preserve">International </w:t>
      </w:r>
      <w:r w:rsidR="00624B69" w:rsidRPr="000C4EA4">
        <w:rPr>
          <w:i/>
          <w:szCs w:val="24"/>
          <w:lang w:val="en-US"/>
        </w:rPr>
        <w:t xml:space="preserve">Intellectual Property in an Integrated World Economy </w:t>
      </w:r>
      <w:r w:rsidR="00624B69" w:rsidRPr="000C4EA4">
        <w:rPr>
          <w:szCs w:val="24"/>
          <w:lang w:val="en-US"/>
        </w:rPr>
        <w:t>(2007) (</w:t>
      </w:r>
      <w:r w:rsidR="005F2681" w:rsidRPr="000C4EA4">
        <w:rPr>
          <w:szCs w:val="24"/>
          <w:lang w:val="en-US"/>
        </w:rPr>
        <w:t xml:space="preserve">en collaboration avec </w:t>
      </w:r>
      <w:r w:rsidR="00624B69" w:rsidRPr="000C4EA4">
        <w:rPr>
          <w:szCs w:val="24"/>
          <w:lang w:val="en-US"/>
        </w:rPr>
        <w:t>Frederick Abbo</w:t>
      </w:r>
      <w:r w:rsidR="00962181" w:rsidRPr="000C4EA4">
        <w:rPr>
          <w:szCs w:val="24"/>
          <w:lang w:val="en-US"/>
        </w:rPr>
        <w:t>t</w:t>
      </w:r>
      <w:r w:rsidR="00624B69" w:rsidRPr="000C4EA4">
        <w:rPr>
          <w:szCs w:val="24"/>
          <w:lang w:val="en-US"/>
        </w:rPr>
        <w:t>t</w:t>
      </w:r>
      <w:r w:rsidR="005F2681" w:rsidRPr="000C4EA4">
        <w:rPr>
          <w:szCs w:val="24"/>
          <w:lang w:val="en-US"/>
        </w:rPr>
        <w:t xml:space="preserve"> et </w:t>
      </w:r>
      <w:r w:rsidR="00624B69" w:rsidRPr="000C4EA4">
        <w:rPr>
          <w:szCs w:val="24"/>
          <w:lang w:val="en-US"/>
        </w:rPr>
        <w:t>Thomas Cottier), Aspen publishers, pp ix-xxix, 1</w:t>
      </w:r>
      <w:r w:rsidR="00962181" w:rsidRPr="000C4EA4">
        <w:rPr>
          <w:szCs w:val="24"/>
          <w:lang w:val="en-US"/>
        </w:rPr>
        <w:noBreakHyphen/>
      </w:r>
      <w:r w:rsidR="00624B69" w:rsidRPr="000C4EA4">
        <w:rPr>
          <w:szCs w:val="24"/>
          <w:lang w:val="en-US"/>
        </w:rPr>
        <w:t>683</w:t>
      </w:r>
    </w:p>
    <w:p w:rsidR="00624B69" w:rsidRPr="000C4EA4" w:rsidRDefault="00624B69" w:rsidP="00624B69">
      <w:pPr>
        <w:pStyle w:val="Footer"/>
        <w:tabs>
          <w:tab w:val="left" w:pos="0"/>
        </w:tabs>
        <w:rPr>
          <w:szCs w:val="24"/>
          <w:lang w:val="en-US"/>
        </w:rPr>
      </w:pPr>
    </w:p>
    <w:p w:rsidR="00624B69" w:rsidRPr="000C4EA4" w:rsidRDefault="00624B69" w:rsidP="00624B69">
      <w:pPr>
        <w:pStyle w:val="Footer"/>
        <w:tabs>
          <w:tab w:val="left" w:pos="0"/>
        </w:tabs>
        <w:rPr>
          <w:szCs w:val="24"/>
          <w:lang w:val="en-US"/>
        </w:rPr>
      </w:pPr>
      <w:r w:rsidRPr="000C4EA4">
        <w:rPr>
          <w:i/>
          <w:szCs w:val="24"/>
          <w:lang w:val="en-US"/>
        </w:rPr>
        <w:t>International Intellectual Property System: Commentary and Materials</w:t>
      </w:r>
      <w:r w:rsidRPr="000C4EA4">
        <w:rPr>
          <w:szCs w:val="24"/>
          <w:lang w:val="en-US"/>
        </w:rPr>
        <w:t xml:space="preserve"> (1999) (</w:t>
      </w:r>
      <w:r w:rsidR="005F2681" w:rsidRPr="000C4EA4">
        <w:rPr>
          <w:szCs w:val="24"/>
          <w:lang w:val="en-US"/>
        </w:rPr>
        <w:t xml:space="preserve">en collaboration avec </w:t>
      </w:r>
      <w:r w:rsidRPr="000C4EA4">
        <w:rPr>
          <w:szCs w:val="24"/>
          <w:lang w:val="en-US"/>
        </w:rPr>
        <w:t xml:space="preserve">Frederick Abbott </w:t>
      </w:r>
      <w:r w:rsidR="005F2681" w:rsidRPr="000C4EA4">
        <w:rPr>
          <w:szCs w:val="24"/>
          <w:lang w:val="en-US"/>
        </w:rPr>
        <w:t>et</w:t>
      </w:r>
      <w:r w:rsidRPr="000C4EA4">
        <w:rPr>
          <w:szCs w:val="24"/>
          <w:lang w:val="en-US"/>
        </w:rPr>
        <w:t xml:space="preserve"> Thomas Cottie</w:t>
      </w:r>
      <w:r w:rsidR="00962181" w:rsidRPr="000C4EA4">
        <w:rPr>
          <w:szCs w:val="24"/>
          <w:lang w:val="en-US"/>
        </w:rPr>
        <w:t>r</w:t>
      </w:r>
      <w:r w:rsidRPr="000C4EA4">
        <w:rPr>
          <w:szCs w:val="24"/>
          <w:lang w:val="en-US"/>
        </w:rPr>
        <w:t>), Kl</w:t>
      </w:r>
      <w:r w:rsidR="00962181" w:rsidRPr="000C4EA4">
        <w:rPr>
          <w:szCs w:val="24"/>
          <w:lang w:val="en-US"/>
        </w:rPr>
        <w:t>uwer, pp i-xxxi, 1-</w:t>
      </w:r>
      <w:r w:rsidRPr="000C4EA4">
        <w:rPr>
          <w:szCs w:val="24"/>
          <w:lang w:val="en-US"/>
        </w:rPr>
        <w:t>2026</w:t>
      </w:r>
    </w:p>
    <w:p w:rsidR="00624B69" w:rsidRPr="000C4EA4" w:rsidRDefault="00624B69" w:rsidP="00624B69">
      <w:pPr>
        <w:pStyle w:val="Footer"/>
        <w:tabs>
          <w:tab w:val="left" w:pos="0"/>
        </w:tabs>
        <w:rPr>
          <w:szCs w:val="24"/>
          <w:lang w:val="en-US"/>
        </w:rPr>
      </w:pPr>
    </w:p>
    <w:p w:rsidR="007A68B7" w:rsidRPr="000C4EA4" w:rsidRDefault="007A68B7" w:rsidP="00624B69">
      <w:pPr>
        <w:pStyle w:val="Footer"/>
        <w:tabs>
          <w:tab w:val="left" w:pos="0"/>
        </w:tabs>
        <w:rPr>
          <w:szCs w:val="24"/>
          <w:lang w:val="en-US"/>
        </w:rPr>
      </w:pPr>
    </w:p>
    <w:p w:rsidR="007A68B7" w:rsidRPr="00B34920" w:rsidRDefault="007A68B7" w:rsidP="00624B69">
      <w:pPr>
        <w:pStyle w:val="Footer"/>
        <w:tabs>
          <w:tab w:val="left" w:pos="0"/>
        </w:tabs>
        <w:rPr>
          <w:b/>
          <w:szCs w:val="24"/>
          <w:lang w:val="fr-FR"/>
        </w:rPr>
      </w:pPr>
      <w:r w:rsidRPr="00B34920">
        <w:rPr>
          <w:b/>
          <w:szCs w:val="24"/>
          <w:lang w:val="fr-FR"/>
        </w:rPr>
        <w:t>Chapitres dans des ouvrages</w:t>
      </w:r>
    </w:p>
    <w:p w:rsidR="007A68B7" w:rsidRPr="00B34920" w:rsidRDefault="007A68B7" w:rsidP="00624B69">
      <w:pPr>
        <w:pStyle w:val="Footer"/>
        <w:tabs>
          <w:tab w:val="left" w:pos="0"/>
        </w:tabs>
        <w:rPr>
          <w:szCs w:val="24"/>
          <w:lang w:val="fr-FR"/>
        </w:rPr>
      </w:pPr>
    </w:p>
    <w:p w:rsidR="007A68B7" w:rsidRPr="00B34920" w:rsidRDefault="005F2681" w:rsidP="007A68B7">
      <w:pPr>
        <w:pStyle w:val="Footer"/>
        <w:tabs>
          <w:tab w:val="left" w:pos="0"/>
        </w:tabs>
        <w:rPr>
          <w:szCs w:val="24"/>
          <w:lang w:val="fr-FR"/>
        </w:rPr>
      </w:pPr>
      <w:r w:rsidRPr="00B34920">
        <w:rPr>
          <w:szCs w:val="24"/>
          <w:lang w:val="fr-FR"/>
        </w:rPr>
        <w:t>Avant</w:t>
      </w:r>
      <w:r w:rsidRPr="00B34920">
        <w:rPr>
          <w:szCs w:val="24"/>
          <w:lang w:val="fr-FR"/>
        </w:rPr>
        <w:noBreakHyphen/>
        <w:t xml:space="preserve">propos de </w:t>
      </w:r>
      <w:r w:rsidR="007A68B7" w:rsidRPr="00B34920">
        <w:rPr>
          <w:i/>
          <w:szCs w:val="24"/>
          <w:lang w:val="fr-FR"/>
        </w:rPr>
        <w:t>International Domain Name Law: ICANN and the UDRP</w:t>
      </w:r>
      <w:r w:rsidRPr="00B34920">
        <w:rPr>
          <w:szCs w:val="24"/>
          <w:lang w:val="fr-FR"/>
        </w:rPr>
        <w:t xml:space="preserve">, David Lindsay </w:t>
      </w:r>
      <w:r w:rsidR="007A68B7" w:rsidRPr="00B34920">
        <w:rPr>
          <w:szCs w:val="24"/>
          <w:lang w:val="fr-FR"/>
        </w:rPr>
        <w:t>(Hart, Oxford, 2007</w:t>
      </w:r>
      <w:r w:rsidRPr="00B34920">
        <w:rPr>
          <w:szCs w:val="24"/>
          <w:lang w:val="fr-FR"/>
        </w:rPr>
        <w:t>)</w:t>
      </w:r>
    </w:p>
    <w:p w:rsidR="007A68B7" w:rsidRPr="00B34920" w:rsidRDefault="007A68B7" w:rsidP="007A68B7">
      <w:pPr>
        <w:pStyle w:val="Footer"/>
        <w:tabs>
          <w:tab w:val="left" w:pos="0"/>
        </w:tabs>
        <w:rPr>
          <w:szCs w:val="24"/>
          <w:lang w:val="fr-FR"/>
        </w:rPr>
      </w:pPr>
    </w:p>
    <w:p w:rsidR="007A68B7" w:rsidRPr="00B34920" w:rsidRDefault="007A68B7" w:rsidP="007A68B7">
      <w:pPr>
        <w:pStyle w:val="Footer"/>
        <w:tabs>
          <w:tab w:val="left" w:pos="0"/>
        </w:tabs>
        <w:rPr>
          <w:szCs w:val="24"/>
          <w:lang w:val="fr-FR"/>
        </w:rPr>
      </w:pPr>
      <w:r w:rsidRPr="00B34920">
        <w:rPr>
          <w:szCs w:val="24"/>
          <w:lang w:val="fr-FR"/>
        </w:rPr>
        <w:t>Préface</w:t>
      </w:r>
      <w:r w:rsidR="005F2681" w:rsidRPr="00B34920">
        <w:rPr>
          <w:szCs w:val="24"/>
          <w:lang w:val="fr-FR"/>
        </w:rPr>
        <w:t xml:space="preserve"> </w:t>
      </w:r>
      <w:proofErr w:type="gramStart"/>
      <w:r w:rsidR="005F2681" w:rsidRPr="00B34920">
        <w:rPr>
          <w:szCs w:val="24"/>
          <w:lang w:val="fr-FR"/>
        </w:rPr>
        <w:t xml:space="preserve">de </w:t>
      </w:r>
      <w:r w:rsidRPr="00B34920">
        <w:rPr>
          <w:i/>
          <w:szCs w:val="24"/>
          <w:lang w:val="fr-FR"/>
        </w:rPr>
        <w:t>Inventions</w:t>
      </w:r>
      <w:proofErr w:type="gramEnd"/>
      <w:r w:rsidR="005F2681" w:rsidRPr="00B34920">
        <w:rPr>
          <w:szCs w:val="24"/>
          <w:lang w:val="fr-FR"/>
        </w:rPr>
        <w:t>, Valérie</w:t>
      </w:r>
      <w:r w:rsidR="005F2681" w:rsidRPr="00B34920">
        <w:rPr>
          <w:szCs w:val="24"/>
          <w:lang w:val="fr-FR"/>
        </w:rPr>
        <w:noBreakHyphen/>
        <w:t>Anne Giscard d</w:t>
      </w:r>
      <w:r w:rsidR="007B2487" w:rsidRPr="00B34920">
        <w:rPr>
          <w:szCs w:val="24"/>
          <w:lang w:val="fr-FR"/>
        </w:rPr>
        <w:t>’</w:t>
      </w:r>
      <w:r w:rsidR="005F2681" w:rsidRPr="00B34920">
        <w:rPr>
          <w:szCs w:val="24"/>
          <w:lang w:val="fr-FR"/>
        </w:rPr>
        <w:t xml:space="preserve">Estaing </w:t>
      </w:r>
      <w:r w:rsidRPr="00B34920">
        <w:rPr>
          <w:szCs w:val="24"/>
          <w:lang w:val="fr-FR"/>
        </w:rPr>
        <w:t xml:space="preserve">(édition 2007) (Michel </w:t>
      </w:r>
      <w:proofErr w:type="spellStart"/>
      <w:r w:rsidRPr="00B34920">
        <w:rPr>
          <w:szCs w:val="24"/>
          <w:lang w:val="fr-FR"/>
        </w:rPr>
        <w:t>Lafon</w:t>
      </w:r>
      <w:proofErr w:type="spellEnd"/>
      <w:r w:rsidRPr="00B34920">
        <w:rPr>
          <w:szCs w:val="24"/>
          <w:lang w:val="fr-FR"/>
        </w:rPr>
        <w:t>)</w:t>
      </w:r>
    </w:p>
    <w:p w:rsidR="007A68B7" w:rsidRPr="00B34920" w:rsidRDefault="007A68B7" w:rsidP="007A68B7">
      <w:pPr>
        <w:pStyle w:val="Footer"/>
        <w:tabs>
          <w:tab w:val="left" w:pos="0"/>
        </w:tabs>
        <w:rPr>
          <w:szCs w:val="24"/>
          <w:lang w:val="fr-FR"/>
        </w:rPr>
      </w:pPr>
    </w:p>
    <w:p w:rsidR="007A68B7" w:rsidRPr="000C4EA4" w:rsidRDefault="005F2681" w:rsidP="007A68B7">
      <w:pPr>
        <w:pStyle w:val="Footer"/>
        <w:tabs>
          <w:tab w:val="left" w:pos="0"/>
        </w:tabs>
        <w:rPr>
          <w:szCs w:val="24"/>
          <w:lang w:val="en-US"/>
        </w:rPr>
      </w:pPr>
      <w:r w:rsidRPr="000C4EA4">
        <w:rPr>
          <w:szCs w:val="24"/>
          <w:lang w:val="en-US"/>
        </w:rPr>
        <w:t>Avant</w:t>
      </w:r>
      <w:r w:rsidRPr="000C4EA4">
        <w:rPr>
          <w:szCs w:val="24"/>
          <w:lang w:val="en-US"/>
        </w:rPr>
        <w:noBreakHyphen/>
        <w:t>propos de</w:t>
      </w:r>
      <w:r w:rsidR="007A68B7" w:rsidRPr="000C4EA4">
        <w:rPr>
          <w:szCs w:val="24"/>
          <w:lang w:val="en-US"/>
        </w:rPr>
        <w:t xml:space="preserve"> </w:t>
      </w:r>
      <w:r w:rsidR="007A68B7" w:rsidRPr="000C4EA4">
        <w:rPr>
          <w:i/>
          <w:szCs w:val="24"/>
          <w:lang w:val="en-US"/>
        </w:rPr>
        <w:t xml:space="preserve">Intellectual Property Management in Health and Agricultural Innovation </w:t>
      </w:r>
      <w:r w:rsidR="007A68B7" w:rsidRPr="000C4EA4">
        <w:rPr>
          <w:szCs w:val="24"/>
          <w:lang w:val="en-US"/>
        </w:rPr>
        <w:t>(</w:t>
      </w:r>
      <w:r w:rsidR="0067397B" w:rsidRPr="000C4EA4">
        <w:rPr>
          <w:szCs w:val="24"/>
          <w:lang w:val="en-US"/>
        </w:rPr>
        <w:t>é</w:t>
      </w:r>
      <w:r w:rsidR="007A68B7" w:rsidRPr="000C4EA4">
        <w:rPr>
          <w:szCs w:val="24"/>
          <w:lang w:val="en-US"/>
        </w:rPr>
        <w:t>ds. A.</w:t>
      </w:r>
      <w:r w:rsidR="008D69EC" w:rsidRPr="000C4EA4">
        <w:rPr>
          <w:szCs w:val="24"/>
          <w:lang w:val="en-US"/>
        </w:rPr>
        <w:t> </w:t>
      </w:r>
      <w:r w:rsidR="007A68B7" w:rsidRPr="000C4EA4">
        <w:rPr>
          <w:szCs w:val="24"/>
          <w:lang w:val="en-US"/>
        </w:rPr>
        <w:t xml:space="preserve">Krattinger </w:t>
      </w:r>
      <w:r w:rsidR="007A68B7" w:rsidRPr="000C4EA4">
        <w:rPr>
          <w:i/>
          <w:szCs w:val="24"/>
          <w:lang w:val="en-US"/>
        </w:rPr>
        <w:t>et al</w:t>
      </w:r>
      <w:r w:rsidR="008D69EC" w:rsidRPr="000C4EA4">
        <w:rPr>
          <w:i/>
          <w:szCs w:val="24"/>
          <w:lang w:val="en-US"/>
        </w:rPr>
        <w:t>.</w:t>
      </w:r>
      <w:r w:rsidR="007A68B7" w:rsidRPr="000C4EA4">
        <w:rPr>
          <w:szCs w:val="24"/>
          <w:lang w:val="en-US"/>
        </w:rPr>
        <w:t>) (MIHR and PIPR) (2007)</w:t>
      </w:r>
    </w:p>
    <w:p w:rsidR="007A68B7" w:rsidRPr="000C4EA4" w:rsidRDefault="007A68B7" w:rsidP="007A68B7">
      <w:pPr>
        <w:pStyle w:val="Footer"/>
        <w:tabs>
          <w:tab w:val="left" w:pos="0"/>
        </w:tabs>
        <w:rPr>
          <w:szCs w:val="24"/>
          <w:lang w:val="en-US"/>
        </w:rPr>
      </w:pPr>
    </w:p>
    <w:p w:rsidR="007A68B7" w:rsidRPr="000C4EA4" w:rsidRDefault="007B2487" w:rsidP="007A68B7">
      <w:pPr>
        <w:pStyle w:val="Footer"/>
        <w:tabs>
          <w:tab w:val="left" w:pos="0"/>
        </w:tabs>
        <w:rPr>
          <w:szCs w:val="24"/>
          <w:lang w:val="en-US"/>
        </w:rPr>
      </w:pPr>
      <w:r w:rsidRPr="000C4EA4">
        <w:rPr>
          <w:szCs w:val="24"/>
          <w:lang w:val="en-US"/>
        </w:rPr>
        <w:lastRenderedPageBreak/>
        <w:t>“</w:t>
      </w:r>
      <w:r w:rsidR="007A68B7" w:rsidRPr="000C4EA4">
        <w:rPr>
          <w:szCs w:val="24"/>
          <w:lang w:val="en-US"/>
        </w:rPr>
        <w:t>The Uniform Domain Name Dispute Resolution Policy</w:t>
      </w:r>
      <w:r w:rsidRPr="000C4EA4">
        <w:rPr>
          <w:szCs w:val="24"/>
          <w:lang w:val="en-US"/>
        </w:rPr>
        <w:t>”</w:t>
      </w:r>
      <w:r w:rsidR="007A68B7" w:rsidRPr="000C4EA4">
        <w:rPr>
          <w:szCs w:val="24"/>
          <w:lang w:val="en-US"/>
        </w:rPr>
        <w:t xml:space="preserve"> (2002) XXVII </w:t>
      </w:r>
      <w:r w:rsidR="007A68B7" w:rsidRPr="000C4EA4">
        <w:rPr>
          <w:i/>
          <w:szCs w:val="24"/>
          <w:lang w:val="en-US"/>
        </w:rPr>
        <w:t>Yearbook Commercial Arbitration</w:t>
      </w:r>
      <w:r w:rsidR="007A68B7" w:rsidRPr="000C4EA4">
        <w:rPr>
          <w:szCs w:val="24"/>
          <w:lang w:val="en-US"/>
        </w:rPr>
        <w:t xml:space="preserve"> 299-304</w:t>
      </w:r>
    </w:p>
    <w:p w:rsidR="007A68B7" w:rsidRPr="000C4EA4" w:rsidRDefault="007A68B7" w:rsidP="007A68B7">
      <w:pPr>
        <w:pStyle w:val="Footer"/>
        <w:tabs>
          <w:tab w:val="left" w:pos="0"/>
        </w:tabs>
        <w:rPr>
          <w:szCs w:val="24"/>
          <w:lang w:val="en-US"/>
        </w:rPr>
      </w:pPr>
    </w:p>
    <w:p w:rsidR="007A68B7" w:rsidRPr="00B34920" w:rsidRDefault="005F2681" w:rsidP="007A68B7">
      <w:pPr>
        <w:pStyle w:val="Footer"/>
        <w:tabs>
          <w:tab w:val="left" w:pos="0"/>
        </w:tabs>
        <w:rPr>
          <w:szCs w:val="24"/>
          <w:lang w:val="fr-FR"/>
        </w:rPr>
      </w:pPr>
      <w:r w:rsidRPr="00B34920">
        <w:rPr>
          <w:szCs w:val="24"/>
          <w:lang w:val="fr-FR"/>
        </w:rPr>
        <w:t>Avant</w:t>
      </w:r>
      <w:r w:rsidRPr="00B34920">
        <w:rPr>
          <w:szCs w:val="24"/>
          <w:lang w:val="fr-FR"/>
        </w:rPr>
        <w:noBreakHyphen/>
        <w:t>propos de</w:t>
      </w:r>
      <w:r w:rsidR="007A68B7" w:rsidRPr="00B34920">
        <w:rPr>
          <w:szCs w:val="24"/>
          <w:lang w:val="fr-FR"/>
        </w:rPr>
        <w:t xml:space="preserve"> </w:t>
      </w:r>
      <w:proofErr w:type="spellStart"/>
      <w:r w:rsidR="007A68B7" w:rsidRPr="00B34920">
        <w:rPr>
          <w:i/>
          <w:szCs w:val="24"/>
          <w:lang w:val="fr-FR"/>
        </w:rPr>
        <w:t>Martindale</w:t>
      </w:r>
      <w:proofErr w:type="spellEnd"/>
      <w:r w:rsidR="007A68B7" w:rsidRPr="00B34920">
        <w:rPr>
          <w:i/>
          <w:szCs w:val="24"/>
          <w:lang w:val="fr-FR"/>
        </w:rPr>
        <w:t xml:space="preserve"> – </w:t>
      </w:r>
      <w:proofErr w:type="spellStart"/>
      <w:r w:rsidR="007A68B7" w:rsidRPr="00B34920">
        <w:rPr>
          <w:i/>
          <w:szCs w:val="24"/>
          <w:lang w:val="fr-FR"/>
        </w:rPr>
        <w:t>Hubbell</w:t>
      </w:r>
      <w:proofErr w:type="spellEnd"/>
      <w:r w:rsidR="007A68B7" w:rsidRPr="00B34920">
        <w:rPr>
          <w:i/>
          <w:szCs w:val="24"/>
          <w:lang w:val="fr-FR"/>
        </w:rPr>
        <w:t xml:space="preserve"> International Arbitration and Dispute </w:t>
      </w:r>
      <w:proofErr w:type="spellStart"/>
      <w:r w:rsidR="007A68B7" w:rsidRPr="00B34920">
        <w:rPr>
          <w:i/>
          <w:szCs w:val="24"/>
          <w:lang w:val="fr-FR"/>
        </w:rPr>
        <w:t>Resolution</w:t>
      </w:r>
      <w:proofErr w:type="spellEnd"/>
      <w:r w:rsidR="007A68B7" w:rsidRPr="00B34920">
        <w:rPr>
          <w:i/>
          <w:szCs w:val="24"/>
          <w:lang w:val="fr-FR"/>
        </w:rPr>
        <w:t xml:space="preserve"> Directory</w:t>
      </w:r>
      <w:r w:rsidR="007A68B7" w:rsidRPr="00B34920">
        <w:rPr>
          <w:szCs w:val="24"/>
          <w:lang w:val="fr-FR"/>
        </w:rPr>
        <w:t xml:space="preserve"> (1999) (</w:t>
      </w:r>
      <w:proofErr w:type="spellStart"/>
      <w:r w:rsidR="007A68B7" w:rsidRPr="00B34920">
        <w:rPr>
          <w:szCs w:val="24"/>
          <w:lang w:val="fr-FR"/>
        </w:rPr>
        <w:t>Martindale</w:t>
      </w:r>
      <w:proofErr w:type="spellEnd"/>
      <w:r w:rsidR="007A68B7" w:rsidRPr="00B34920">
        <w:rPr>
          <w:szCs w:val="24"/>
          <w:lang w:val="fr-FR"/>
        </w:rPr>
        <w:t xml:space="preserve"> – </w:t>
      </w:r>
      <w:proofErr w:type="spellStart"/>
      <w:r w:rsidR="007A68B7" w:rsidRPr="00B34920">
        <w:rPr>
          <w:szCs w:val="24"/>
          <w:lang w:val="fr-FR"/>
        </w:rPr>
        <w:t>Hubbell</w:t>
      </w:r>
      <w:proofErr w:type="spellEnd"/>
      <w:r w:rsidR="007A68B7" w:rsidRPr="00B34920">
        <w:rPr>
          <w:szCs w:val="24"/>
          <w:lang w:val="fr-FR"/>
        </w:rPr>
        <w:t xml:space="preserve">, East </w:t>
      </w:r>
      <w:proofErr w:type="spellStart"/>
      <w:r w:rsidR="007A68B7" w:rsidRPr="00B34920">
        <w:rPr>
          <w:szCs w:val="24"/>
          <w:lang w:val="fr-FR"/>
        </w:rPr>
        <w:t>Grinstead</w:t>
      </w:r>
      <w:proofErr w:type="spellEnd"/>
      <w:r w:rsidR="008D69EC" w:rsidRPr="00B34920">
        <w:rPr>
          <w:szCs w:val="24"/>
          <w:lang w:val="fr-FR"/>
        </w:rPr>
        <w:t xml:space="preserve"> (Royaume-Uni)</w:t>
      </w:r>
      <w:r w:rsidR="007A68B7" w:rsidRPr="00B34920">
        <w:rPr>
          <w:szCs w:val="24"/>
          <w:lang w:val="fr-FR"/>
        </w:rPr>
        <w:t>)</w:t>
      </w:r>
    </w:p>
    <w:p w:rsidR="007A68B7" w:rsidRPr="00B34920" w:rsidRDefault="007A68B7" w:rsidP="007A68B7">
      <w:pPr>
        <w:pStyle w:val="Footer"/>
        <w:tabs>
          <w:tab w:val="left" w:pos="0"/>
        </w:tabs>
        <w:rPr>
          <w:szCs w:val="24"/>
          <w:lang w:val="fr-FR"/>
        </w:rPr>
      </w:pPr>
    </w:p>
    <w:p w:rsidR="007A68B7" w:rsidRPr="00B34920" w:rsidRDefault="007B2487" w:rsidP="007A68B7">
      <w:pPr>
        <w:pStyle w:val="Footer"/>
        <w:tabs>
          <w:tab w:val="left" w:pos="0"/>
        </w:tabs>
        <w:rPr>
          <w:szCs w:val="24"/>
          <w:lang w:val="fr-FR"/>
        </w:rPr>
      </w:pPr>
      <w:r w:rsidRPr="00B34920">
        <w:rPr>
          <w:szCs w:val="24"/>
          <w:lang w:val="fr-FR"/>
        </w:rPr>
        <w:t>“</w:t>
      </w:r>
      <w:r w:rsidR="007A68B7" w:rsidRPr="00B34920">
        <w:rPr>
          <w:szCs w:val="24"/>
          <w:lang w:val="fr-FR"/>
        </w:rPr>
        <w:t>WIPO Arbitration C</w:t>
      </w:r>
      <w:r w:rsidR="00A92686" w:rsidRPr="00B34920">
        <w:rPr>
          <w:szCs w:val="24"/>
          <w:lang w:val="fr-FR"/>
        </w:rPr>
        <w:t>e</w:t>
      </w:r>
      <w:r w:rsidR="007A68B7" w:rsidRPr="00B34920">
        <w:rPr>
          <w:szCs w:val="24"/>
          <w:lang w:val="fr-FR"/>
        </w:rPr>
        <w:t>nter</w:t>
      </w:r>
      <w:r w:rsidRPr="00B34920">
        <w:rPr>
          <w:szCs w:val="24"/>
          <w:lang w:val="fr-FR"/>
        </w:rPr>
        <w:t>”</w:t>
      </w:r>
      <w:r w:rsidR="005F2681" w:rsidRPr="00B34920">
        <w:rPr>
          <w:szCs w:val="24"/>
          <w:lang w:val="fr-FR"/>
        </w:rPr>
        <w:t xml:space="preserve"> dans</w:t>
      </w:r>
      <w:r w:rsidR="007A68B7" w:rsidRPr="00B34920">
        <w:rPr>
          <w:szCs w:val="24"/>
          <w:lang w:val="fr-FR"/>
        </w:rPr>
        <w:t xml:space="preserve"> </w:t>
      </w:r>
      <w:r w:rsidR="007A68B7" w:rsidRPr="00B34920">
        <w:rPr>
          <w:i/>
          <w:szCs w:val="24"/>
          <w:lang w:val="fr-FR"/>
        </w:rPr>
        <w:t>ADR Guide</w:t>
      </w:r>
      <w:r w:rsidR="007A68B7" w:rsidRPr="00B34920">
        <w:rPr>
          <w:szCs w:val="24"/>
          <w:lang w:val="fr-FR"/>
        </w:rPr>
        <w:t xml:space="preserve"> </w:t>
      </w:r>
      <w:r w:rsidR="005F2681" w:rsidRPr="00B34920">
        <w:rPr>
          <w:szCs w:val="24"/>
          <w:lang w:val="fr-FR"/>
        </w:rPr>
        <w:t>de l</w:t>
      </w:r>
      <w:r w:rsidRPr="00B34920">
        <w:rPr>
          <w:szCs w:val="24"/>
          <w:lang w:val="fr-FR"/>
        </w:rPr>
        <w:t>’</w:t>
      </w:r>
      <w:r w:rsidR="005F2681" w:rsidRPr="00B34920">
        <w:rPr>
          <w:szCs w:val="24"/>
          <w:lang w:val="fr-FR"/>
        </w:rPr>
        <w:t xml:space="preserve">Association américaine du droit de la propriété intellectuelle </w:t>
      </w:r>
      <w:r w:rsidR="007A68B7" w:rsidRPr="00B34920">
        <w:rPr>
          <w:szCs w:val="24"/>
          <w:lang w:val="fr-FR"/>
        </w:rPr>
        <w:t>(1994)</w:t>
      </w:r>
    </w:p>
    <w:p w:rsidR="00A92686" w:rsidRPr="00B34920" w:rsidRDefault="00A92686" w:rsidP="007A68B7">
      <w:pPr>
        <w:pStyle w:val="Footer"/>
        <w:tabs>
          <w:tab w:val="left" w:pos="0"/>
        </w:tabs>
        <w:rPr>
          <w:szCs w:val="24"/>
          <w:lang w:val="fr-FR"/>
        </w:rPr>
      </w:pPr>
    </w:p>
    <w:p w:rsidR="007A68B7" w:rsidRPr="00B34920" w:rsidRDefault="007B2487" w:rsidP="007A68B7">
      <w:pPr>
        <w:pStyle w:val="Footer"/>
        <w:tabs>
          <w:tab w:val="left" w:pos="0"/>
        </w:tabs>
        <w:rPr>
          <w:szCs w:val="24"/>
          <w:lang w:val="fr-FR"/>
        </w:rPr>
      </w:pPr>
      <w:r w:rsidRPr="00B34920">
        <w:rPr>
          <w:szCs w:val="24"/>
          <w:lang w:val="fr-FR"/>
        </w:rPr>
        <w:t>“</w:t>
      </w:r>
      <w:proofErr w:type="spellStart"/>
      <w:r w:rsidR="007A68B7" w:rsidRPr="00B34920">
        <w:rPr>
          <w:szCs w:val="24"/>
          <w:lang w:val="fr-FR"/>
        </w:rPr>
        <w:t>Arbitrability</w:t>
      </w:r>
      <w:proofErr w:type="spellEnd"/>
      <w:r w:rsidR="007A68B7" w:rsidRPr="00B34920">
        <w:rPr>
          <w:szCs w:val="24"/>
          <w:lang w:val="fr-FR"/>
        </w:rPr>
        <w:t xml:space="preserve"> of </w:t>
      </w:r>
      <w:proofErr w:type="spellStart"/>
      <w:r w:rsidR="007A68B7" w:rsidRPr="00B34920">
        <w:rPr>
          <w:szCs w:val="24"/>
          <w:lang w:val="fr-FR"/>
        </w:rPr>
        <w:t>Intellectual</w:t>
      </w:r>
      <w:proofErr w:type="spellEnd"/>
      <w:r w:rsidR="007A68B7" w:rsidRPr="00B34920">
        <w:rPr>
          <w:szCs w:val="24"/>
          <w:lang w:val="fr-FR"/>
        </w:rPr>
        <w:t xml:space="preserve"> </w:t>
      </w:r>
      <w:proofErr w:type="spellStart"/>
      <w:r w:rsidR="007A68B7" w:rsidRPr="00B34920">
        <w:rPr>
          <w:szCs w:val="24"/>
          <w:lang w:val="fr-FR"/>
        </w:rPr>
        <w:t>Property</w:t>
      </w:r>
      <w:proofErr w:type="spellEnd"/>
      <w:r w:rsidR="007A68B7" w:rsidRPr="00B34920">
        <w:rPr>
          <w:szCs w:val="24"/>
          <w:lang w:val="fr-FR"/>
        </w:rPr>
        <w:t xml:space="preserve"> Disputes</w:t>
      </w:r>
      <w:r w:rsidRPr="00B34920">
        <w:rPr>
          <w:szCs w:val="24"/>
          <w:lang w:val="fr-FR"/>
        </w:rPr>
        <w:t>”</w:t>
      </w:r>
      <w:r w:rsidR="007A68B7" w:rsidRPr="00B34920">
        <w:rPr>
          <w:szCs w:val="24"/>
          <w:lang w:val="fr-FR"/>
        </w:rPr>
        <w:t xml:space="preserve"> </w:t>
      </w:r>
      <w:r w:rsidR="005F2681" w:rsidRPr="00B34920">
        <w:rPr>
          <w:szCs w:val="24"/>
          <w:lang w:val="fr-FR"/>
        </w:rPr>
        <w:t xml:space="preserve">dans </w:t>
      </w:r>
      <w:r w:rsidR="007A68B7" w:rsidRPr="00B34920">
        <w:rPr>
          <w:i/>
          <w:szCs w:val="24"/>
          <w:lang w:val="fr-FR"/>
        </w:rPr>
        <w:t xml:space="preserve">Objective </w:t>
      </w:r>
      <w:proofErr w:type="spellStart"/>
      <w:r w:rsidR="007A68B7" w:rsidRPr="00B34920">
        <w:rPr>
          <w:i/>
          <w:szCs w:val="24"/>
          <w:lang w:val="fr-FR"/>
        </w:rPr>
        <w:t>Arbitrability</w:t>
      </w:r>
      <w:proofErr w:type="spellEnd"/>
      <w:r w:rsidR="007A68B7" w:rsidRPr="00B34920">
        <w:rPr>
          <w:i/>
          <w:szCs w:val="24"/>
          <w:lang w:val="fr-FR"/>
        </w:rPr>
        <w:t xml:space="preserve">, Antitrust Disputes, </w:t>
      </w:r>
      <w:proofErr w:type="spellStart"/>
      <w:r w:rsidR="007A68B7" w:rsidRPr="00B34920">
        <w:rPr>
          <w:i/>
          <w:szCs w:val="24"/>
          <w:lang w:val="fr-FR"/>
        </w:rPr>
        <w:t>Intellectual</w:t>
      </w:r>
      <w:proofErr w:type="spellEnd"/>
      <w:r w:rsidR="007A68B7" w:rsidRPr="00B34920">
        <w:rPr>
          <w:i/>
          <w:szCs w:val="24"/>
          <w:lang w:val="fr-FR"/>
        </w:rPr>
        <w:t xml:space="preserve"> </w:t>
      </w:r>
      <w:proofErr w:type="spellStart"/>
      <w:r w:rsidR="007A68B7" w:rsidRPr="00B34920">
        <w:rPr>
          <w:i/>
          <w:szCs w:val="24"/>
          <w:lang w:val="fr-FR"/>
        </w:rPr>
        <w:t>Property</w:t>
      </w:r>
      <w:proofErr w:type="spellEnd"/>
      <w:r w:rsidR="007A68B7" w:rsidRPr="00B34920">
        <w:rPr>
          <w:i/>
          <w:szCs w:val="24"/>
          <w:lang w:val="fr-FR"/>
        </w:rPr>
        <w:t xml:space="preserve"> D</w:t>
      </w:r>
      <w:r w:rsidR="00A92686" w:rsidRPr="00B34920">
        <w:rPr>
          <w:i/>
          <w:szCs w:val="24"/>
          <w:lang w:val="fr-FR"/>
        </w:rPr>
        <w:t>i</w:t>
      </w:r>
      <w:r w:rsidR="007A68B7" w:rsidRPr="00B34920">
        <w:rPr>
          <w:i/>
          <w:szCs w:val="24"/>
          <w:lang w:val="fr-FR"/>
        </w:rPr>
        <w:t>sputes</w:t>
      </w:r>
      <w:r w:rsidR="007A68B7" w:rsidRPr="00B34920">
        <w:rPr>
          <w:szCs w:val="24"/>
          <w:lang w:val="fr-FR"/>
        </w:rPr>
        <w:t xml:space="preserve"> </w:t>
      </w:r>
      <w:r w:rsidR="005F2681" w:rsidRPr="00B34920">
        <w:rPr>
          <w:szCs w:val="24"/>
          <w:lang w:val="fr-FR"/>
        </w:rPr>
        <w:t>de l</w:t>
      </w:r>
      <w:r w:rsidRPr="00B34920">
        <w:rPr>
          <w:szCs w:val="24"/>
          <w:lang w:val="fr-FR"/>
        </w:rPr>
        <w:t>’</w:t>
      </w:r>
      <w:r w:rsidR="005F2681" w:rsidRPr="00B34920">
        <w:rPr>
          <w:szCs w:val="24"/>
          <w:lang w:val="fr-FR"/>
        </w:rPr>
        <w:t>Association suisse d</w:t>
      </w:r>
      <w:r w:rsidRPr="00B34920">
        <w:rPr>
          <w:szCs w:val="24"/>
          <w:lang w:val="fr-FR"/>
        </w:rPr>
        <w:t>’</w:t>
      </w:r>
      <w:r w:rsidR="005F2681" w:rsidRPr="00B34920">
        <w:rPr>
          <w:szCs w:val="24"/>
          <w:lang w:val="fr-FR"/>
        </w:rPr>
        <w:t xml:space="preserve">arbitrage </w:t>
      </w:r>
      <w:r w:rsidR="007A68B7" w:rsidRPr="00B34920">
        <w:rPr>
          <w:szCs w:val="24"/>
          <w:lang w:val="fr-FR"/>
        </w:rPr>
        <w:t xml:space="preserve">(ASA </w:t>
      </w:r>
      <w:r w:rsidR="005F2681" w:rsidRPr="00B34920">
        <w:rPr>
          <w:szCs w:val="24"/>
          <w:lang w:val="fr-FR"/>
        </w:rPr>
        <w:t xml:space="preserve">série spéciale </w:t>
      </w:r>
      <w:r w:rsidR="007A68B7" w:rsidRPr="00B34920">
        <w:rPr>
          <w:szCs w:val="24"/>
          <w:lang w:val="fr-FR"/>
        </w:rPr>
        <w:t>N/6, 1994)</w:t>
      </w:r>
    </w:p>
    <w:p w:rsidR="00A92686" w:rsidRPr="00B34920" w:rsidRDefault="00A92686" w:rsidP="007A68B7">
      <w:pPr>
        <w:pStyle w:val="Footer"/>
        <w:tabs>
          <w:tab w:val="left" w:pos="0"/>
        </w:tabs>
        <w:rPr>
          <w:szCs w:val="24"/>
          <w:lang w:val="fr-FR"/>
        </w:rPr>
      </w:pPr>
    </w:p>
    <w:p w:rsidR="007A68B7" w:rsidRPr="000C4EA4" w:rsidRDefault="007B2487" w:rsidP="007A68B7">
      <w:pPr>
        <w:pStyle w:val="Footer"/>
        <w:tabs>
          <w:tab w:val="left" w:pos="0"/>
        </w:tabs>
        <w:rPr>
          <w:szCs w:val="24"/>
          <w:lang w:val="en-US"/>
        </w:rPr>
      </w:pPr>
      <w:r w:rsidRPr="000C4EA4">
        <w:rPr>
          <w:szCs w:val="24"/>
          <w:lang w:val="en-US"/>
        </w:rPr>
        <w:t>“</w:t>
      </w:r>
      <w:r w:rsidR="007A68B7" w:rsidRPr="000C4EA4">
        <w:rPr>
          <w:szCs w:val="24"/>
          <w:lang w:val="en-US"/>
        </w:rPr>
        <w:t>Institutional Aspects</w:t>
      </w:r>
      <w:r w:rsidRPr="000C4EA4">
        <w:rPr>
          <w:szCs w:val="24"/>
          <w:lang w:val="en-US"/>
        </w:rPr>
        <w:t>”</w:t>
      </w:r>
      <w:r w:rsidR="007A68B7" w:rsidRPr="000C4EA4">
        <w:rPr>
          <w:szCs w:val="24"/>
          <w:lang w:val="en-US"/>
        </w:rPr>
        <w:t xml:space="preserve"> </w:t>
      </w:r>
      <w:r w:rsidR="005F2681" w:rsidRPr="000C4EA4">
        <w:rPr>
          <w:szCs w:val="24"/>
          <w:lang w:val="en-US"/>
        </w:rPr>
        <w:t xml:space="preserve">dans </w:t>
      </w:r>
      <w:r w:rsidR="007A68B7" w:rsidRPr="000C4EA4">
        <w:rPr>
          <w:i/>
          <w:szCs w:val="24"/>
          <w:lang w:val="en-US"/>
        </w:rPr>
        <w:t>Electronic Highways</w:t>
      </w:r>
      <w:r w:rsidR="00A92686" w:rsidRPr="000C4EA4">
        <w:rPr>
          <w:i/>
          <w:szCs w:val="24"/>
          <w:lang w:val="en-US"/>
        </w:rPr>
        <w:t xml:space="preserve"> </w:t>
      </w:r>
      <w:r w:rsidR="007A68B7" w:rsidRPr="000C4EA4">
        <w:rPr>
          <w:i/>
          <w:szCs w:val="24"/>
          <w:lang w:val="en-US"/>
        </w:rPr>
        <w:t>for World Trade</w:t>
      </w:r>
      <w:r w:rsidR="00A92686" w:rsidRPr="000C4EA4">
        <w:rPr>
          <w:i/>
          <w:szCs w:val="24"/>
          <w:lang w:val="en-US"/>
        </w:rPr>
        <w:t xml:space="preserve"> – </w:t>
      </w:r>
      <w:r w:rsidR="007A68B7" w:rsidRPr="000C4EA4">
        <w:rPr>
          <w:i/>
          <w:szCs w:val="24"/>
          <w:lang w:val="en-US"/>
        </w:rPr>
        <w:t>Issues in Telecommuni</w:t>
      </w:r>
      <w:r w:rsidR="00A92686" w:rsidRPr="000C4EA4">
        <w:rPr>
          <w:i/>
          <w:szCs w:val="24"/>
          <w:lang w:val="en-US"/>
        </w:rPr>
        <w:t>c</w:t>
      </w:r>
      <w:r w:rsidR="007A68B7" w:rsidRPr="000C4EA4">
        <w:rPr>
          <w:i/>
          <w:szCs w:val="24"/>
          <w:lang w:val="en-US"/>
        </w:rPr>
        <w:t>ation a</w:t>
      </w:r>
      <w:r w:rsidR="00A92686" w:rsidRPr="000C4EA4">
        <w:rPr>
          <w:i/>
          <w:szCs w:val="24"/>
          <w:lang w:val="en-US"/>
        </w:rPr>
        <w:t>n</w:t>
      </w:r>
      <w:r w:rsidR="007A68B7" w:rsidRPr="000C4EA4">
        <w:rPr>
          <w:i/>
          <w:szCs w:val="24"/>
          <w:lang w:val="en-US"/>
        </w:rPr>
        <w:t>d Data Services</w:t>
      </w:r>
      <w:r w:rsidRPr="000C4EA4">
        <w:rPr>
          <w:szCs w:val="24"/>
          <w:lang w:val="en-US"/>
        </w:rPr>
        <w:t>,</w:t>
      </w:r>
      <w:r w:rsidR="007A68B7" w:rsidRPr="000C4EA4">
        <w:rPr>
          <w:szCs w:val="24"/>
          <w:lang w:val="en-US"/>
        </w:rPr>
        <w:t xml:space="preserve"> </w:t>
      </w:r>
      <w:r w:rsidRPr="000C4EA4">
        <w:rPr>
          <w:szCs w:val="24"/>
          <w:lang w:val="en-US"/>
        </w:rPr>
        <w:t xml:space="preserve">sous la direction de </w:t>
      </w:r>
      <w:r w:rsidR="005F2681" w:rsidRPr="000C4EA4">
        <w:rPr>
          <w:szCs w:val="24"/>
          <w:lang w:val="en-US"/>
        </w:rPr>
        <w:t>Peter</w:t>
      </w:r>
      <w:r w:rsidRPr="000C4EA4">
        <w:rPr>
          <w:szCs w:val="24"/>
          <w:lang w:val="en-US"/>
        </w:rPr>
        <w:t> </w:t>
      </w:r>
      <w:r w:rsidR="005F2681" w:rsidRPr="000C4EA4">
        <w:rPr>
          <w:szCs w:val="24"/>
          <w:lang w:val="en-US"/>
        </w:rPr>
        <w:t>Robinson, Karl</w:t>
      </w:r>
      <w:r w:rsidRPr="000C4EA4">
        <w:rPr>
          <w:szCs w:val="24"/>
          <w:lang w:val="en-US"/>
        </w:rPr>
        <w:t> </w:t>
      </w:r>
      <w:r w:rsidR="005F2681" w:rsidRPr="000C4EA4">
        <w:rPr>
          <w:szCs w:val="24"/>
          <w:lang w:val="en-US"/>
        </w:rPr>
        <w:t>P.</w:t>
      </w:r>
      <w:r w:rsidRPr="000C4EA4">
        <w:rPr>
          <w:szCs w:val="24"/>
          <w:lang w:val="en-US"/>
        </w:rPr>
        <w:t> </w:t>
      </w:r>
      <w:r w:rsidR="005F2681" w:rsidRPr="000C4EA4">
        <w:rPr>
          <w:szCs w:val="24"/>
          <w:lang w:val="en-US"/>
        </w:rPr>
        <w:t xml:space="preserve">Sauvant </w:t>
      </w:r>
      <w:r w:rsidRPr="000C4EA4">
        <w:rPr>
          <w:szCs w:val="24"/>
          <w:lang w:val="en-US"/>
        </w:rPr>
        <w:t xml:space="preserve">et </w:t>
      </w:r>
      <w:r w:rsidR="005F2681" w:rsidRPr="000C4EA4">
        <w:rPr>
          <w:szCs w:val="24"/>
          <w:lang w:val="en-US"/>
        </w:rPr>
        <w:t>Vishwas</w:t>
      </w:r>
      <w:r w:rsidRPr="000C4EA4">
        <w:rPr>
          <w:szCs w:val="24"/>
          <w:lang w:val="en-US"/>
        </w:rPr>
        <w:t> </w:t>
      </w:r>
      <w:r w:rsidR="005F2681" w:rsidRPr="000C4EA4">
        <w:rPr>
          <w:szCs w:val="24"/>
          <w:lang w:val="en-US"/>
        </w:rPr>
        <w:t>P.</w:t>
      </w:r>
      <w:r w:rsidRPr="000C4EA4">
        <w:rPr>
          <w:szCs w:val="24"/>
          <w:lang w:val="en-US"/>
        </w:rPr>
        <w:t> </w:t>
      </w:r>
      <w:r w:rsidR="005F2681" w:rsidRPr="000C4EA4">
        <w:rPr>
          <w:szCs w:val="24"/>
          <w:lang w:val="en-US"/>
        </w:rPr>
        <w:t xml:space="preserve">Govitrikar </w:t>
      </w:r>
      <w:r w:rsidR="007A68B7" w:rsidRPr="000C4EA4">
        <w:rPr>
          <w:szCs w:val="24"/>
          <w:lang w:val="en-US"/>
        </w:rPr>
        <w:t>(Westview Press, 1989)</w:t>
      </w:r>
    </w:p>
    <w:p w:rsidR="00A92686" w:rsidRPr="000C4EA4" w:rsidRDefault="00A92686" w:rsidP="007A68B7">
      <w:pPr>
        <w:pStyle w:val="Footer"/>
        <w:tabs>
          <w:tab w:val="left" w:pos="0"/>
        </w:tabs>
        <w:rPr>
          <w:szCs w:val="24"/>
          <w:lang w:val="en-US"/>
        </w:rPr>
      </w:pPr>
    </w:p>
    <w:p w:rsidR="007A68B7" w:rsidRPr="000C4EA4" w:rsidRDefault="007B2487" w:rsidP="007A68B7">
      <w:pPr>
        <w:pStyle w:val="Footer"/>
        <w:tabs>
          <w:tab w:val="left" w:pos="0"/>
        </w:tabs>
        <w:rPr>
          <w:szCs w:val="24"/>
          <w:lang w:val="en-US"/>
        </w:rPr>
      </w:pPr>
      <w:r w:rsidRPr="000C4EA4">
        <w:rPr>
          <w:szCs w:val="24"/>
          <w:lang w:val="en-US"/>
        </w:rPr>
        <w:t>“</w:t>
      </w:r>
      <w:r w:rsidR="007A68B7" w:rsidRPr="000C4EA4">
        <w:rPr>
          <w:szCs w:val="24"/>
          <w:lang w:val="en-US"/>
        </w:rPr>
        <w:t>Liability Issues Affecting Non</w:t>
      </w:r>
      <w:r w:rsidR="00A92686" w:rsidRPr="000C4EA4">
        <w:rPr>
          <w:szCs w:val="24"/>
          <w:lang w:val="en-US"/>
        </w:rPr>
        <w:noBreakHyphen/>
      </w:r>
      <w:r w:rsidR="007A68B7" w:rsidRPr="000C4EA4">
        <w:rPr>
          <w:szCs w:val="24"/>
          <w:lang w:val="en-US"/>
        </w:rPr>
        <w:t>Contracting Parties</w:t>
      </w:r>
      <w:r w:rsidRPr="000C4EA4">
        <w:rPr>
          <w:szCs w:val="24"/>
          <w:lang w:val="en-US"/>
        </w:rPr>
        <w:t>” dans</w:t>
      </w:r>
      <w:r w:rsidR="007A68B7" w:rsidRPr="000C4EA4">
        <w:rPr>
          <w:szCs w:val="24"/>
          <w:lang w:val="en-US"/>
        </w:rPr>
        <w:t xml:space="preserve"> </w:t>
      </w:r>
      <w:r w:rsidR="007A68B7" w:rsidRPr="000C4EA4">
        <w:rPr>
          <w:i/>
          <w:szCs w:val="24"/>
          <w:lang w:val="en-US"/>
        </w:rPr>
        <w:t>Transbor</w:t>
      </w:r>
      <w:r w:rsidR="00A92686" w:rsidRPr="000C4EA4">
        <w:rPr>
          <w:i/>
          <w:szCs w:val="24"/>
          <w:lang w:val="en-US"/>
        </w:rPr>
        <w:t>d</w:t>
      </w:r>
      <w:r w:rsidR="007A68B7" w:rsidRPr="000C4EA4">
        <w:rPr>
          <w:i/>
          <w:szCs w:val="24"/>
          <w:lang w:val="en-US"/>
        </w:rPr>
        <w:t>er Data Flows</w:t>
      </w:r>
      <w:r w:rsidR="007A68B7" w:rsidRPr="000C4EA4">
        <w:rPr>
          <w:szCs w:val="24"/>
          <w:lang w:val="en-US"/>
        </w:rPr>
        <w:t xml:space="preserve"> </w:t>
      </w:r>
      <w:r w:rsidRPr="000C4EA4">
        <w:rPr>
          <w:szCs w:val="24"/>
          <w:lang w:val="en-US"/>
        </w:rPr>
        <w:t xml:space="preserve">de l’OCDE </w:t>
      </w:r>
      <w:r w:rsidR="007A68B7" w:rsidRPr="000C4EA4">
        <w:rPr>
          <w:szCs w:val="24"/>
          <w:lang w:val="en-US"/>
        </w:rPr>
        <w:t xml:space="preserve">(North </w:t>
      </w:r>
      <w:r w:rsidR="00A92686" w:rsidRPr="000C4EA4">
        <w:rPr>
          <w:szCs w:val="24"/>
          <w:lang w:val="en-US"/>
        </w:rPr>
        <w:t>H</w:t>
      </w:r>
      <w:r w:rsidR="007A68B7" w:rsidRPr="000C4EA4">
        <w:rPr>
          <w:szCs w:val="24"/>
          <w:lang w:val="en-US"/>
        </w:rPr>
        <w:t>olland, 1985)</w:t>
      </w:r>
    </w:p>
    <w:p w:rsidR="00A92686" w:rsidRPr="000C4EA4" w:rsidRDefault="00A92686" w:rsidP="007A68B7">
      <w:pPr>
        <w:pStyle w:val="Footer"/>
        <w:tabs>
          <w:tab w:val="left" w:pos="0"/>
        </w:tabs>
        <w:rPr>
          <w:szCs w:val="24"/>
          <w:lang w:val="en-US"/>
        </w:rPr>
      </w:pPr>
    </w:p>
    <w:p w:rsidR="007A68B7" w:rsidRPr="000C4EA4" w:rsidRDefault="007B2487" w:rsidP="007A68B7">
      <w:pPr>
        <w:pStyle w:val="Footer"/>
        <w:tabs>
          <w:tab w:val="left" w:pos="0"/>
        </w:tabs>
        <w:rPr>
          <w:szCs w:val="24"/>
          <w:lang w:val="en-US"/>
        </w:rPr>
      </w:pPr>
      <w:r w:rsidRPr="000C4EA4">
        <w:rPr>
          <w:szCs w:val="24"/>
          <w:lang w:val="en-US"/>
        </w:rPr>
        <w:t>“</w:t>
      </w:r>
      <w:r w:rsidR="007A68B7" w:rsidRPr="000C4EA4">
        <w:rPr>
          <w:szCs w:val="24"/>
          <w:lang w:val="en-US"/>
        </w:rPr>
        <w:t>Confidentia</w:t>
      </w:r>
      <w:r w:rsidR="008F6AF0" w:rsidRPr="000C4EA4">
        <w:rPr>
          <w:szCs w:val="24"/>
          <w:lang w:val="en-US"/>
        </w:rPr>
        <w:t>l</w:t>
      </w:r>
      <w:r w:rsidR="007A68B7" w:rsidRPr="000C4EA4">
        <w:rPr>
          <w:szCs w:val="24"/>
          <w:lang w:val="en-US"/>
        </w:rPr>
        <w:t>ity</w:t>
      </w:r>
      <w:r w:rsidRPr="000C4EA4">
        <w:rPr>
          <w:szCs w:val="24"/>
          <w:lang w:val="en-US"/>
        </w:rPr>
        <w:t xml:space="preserve">” dans </w:t>
      </w:r>
      <w:r w:rsidR="007A68B7" w:rsidRPr="000C4EA4">
        <w:rPr>
          <w:i/>
          <w:szCs w:val="24"/>
          <w:lang w:val="en-US"/>
        </w:rPr>
        <w:t>Essays in Equity</w:t>
      </w:r>
      <w:r w:rsidRPr="000C4EA4">
        <w:rPr>
          <w:szCs w:val="24"/>
          <w:lang w:val="en-US"/>
        </w:rPr>
        <w:t>,</w:t>
      </w:r>
      <w:r w:rsidR="007A68B7" w:rsidRPr="000C4EA4">
        <w:rPr>
          <w:szCs w:val="24"/>
          <w:lang w:val="en-US"/>
        </w:rPr>
        <w:t xml:space="preserve"> </w:t>
      </w:r>
      <w:r w:rsidRPr="000C4EA4">
        <w:rPr>
          <w:szCs w:val="24"/>
          <w:lang w:val="en-US"/>
        </w:rPr>
        <w:t>P. D.</w:t>
      </w:r>
      <w:r w:rsidRPr="000C4EA4">
        <w:rPr>
          <w:lang w:val="en-US"/>
        </w:rPr>
        <w:t> </w:t>
      </w:r>
      <w:r w:rsidRPr="000C4EA4">
        <w:rPr>
          <w:szCs w:val="24"/>
          <w:lang w:val="en-US"/>
        </w:rPr>
        <w:t>Finn (</w:t>
      </w:r>
      <w:r w:rsidR="008F6AF0" w:rsidRPr="000C4EA4">
        <w:rPr>
          <w:szCs w:val="24"/>
          <w:lang w:val="en-US"/>
        </w:rPr>
        <w:t>é</w:t>
      </w:r>
      <w:r w:rsidRPr="000C4EA4">
        <w:rPr>
          <w:szCs w:val="24"/>
          <w:lang w:val="en-US"/>
        </w:rPr>
        <w:t xml:space="preserve">d.) </w:t>
      </w:r>
      <w:r w:rsidR="007A68B7" w:rsidRPr="000C4EA4">
        <w:rPr>
          <w:szCs w:val="24"/>
          <w:lang w:val="en-US"/>
        </w:rPr>
        <w:t>(Law Book Company, Sydney, 1985)</w:t>
      </w:r>
    </w:p>
    <w:p w:rsidR="00021649" w:rsidRPr="000C4EA4" w:rsidRDefault="00021649" w:rsidP="007A68B7">
      <w:pPr>
        <w:pStyle w:val="Footer"/>
        <w:tabs>
          <w:tab w:val="left" w:pos="0"/>
        </w:tabs>
        <w:rPr>
          <w:szCs w:val="24"/>
          <w:lang w:val="en-US"/>
        </w:rPr>
      </w:pPr>
    </w:p>
    <w:p w:rsidR="008F6AF0" w:rsidRPr="000C4EA4" w:rsidRDefault="008F6AF0" w:rsidP="007A68B7">
      <w:pPr>
        <w:pStyle w:val="Footer"/>
        <w:tabs>
          <w:tab w:val="left" w:pos="0"/>
        </w:tabs>
        <w:rPr>
          <w:szCs w:val="24"/>
          <w:lang w:val="en-US"/>
        </w:rPr>
      </w:pPr>
    </w:p>
    <w:p w:rsidR="00021649" w:rsidRPr="000C4EA4" w:rsidRDefault="008F6AF0" w:rsidP="00021649">
      <w:pPr>
        <w:pStyle w:val="Footer"/>
        <w:tabs>
          <w:tab w:val="left" w:pos="0"/>
        </w:tabs>
        <w:rPr>
          <w:b/>
          <w:szCs w:val="24"/>
          <w:lang w:val="en-US"/>
        </w:rPr>
      </w:pPr>
      <w:r w:rsidRPr="000C4EA4">
        <w:rPr>
          <w:b/>
          <w:szCs w:val="24"/>
          <w:lang w:val="en-US"/>
        </w:rPr>
        <w:t>Articles</w:t>
      </w:r>
    </w:p>
    <w:p w:rsidR="00021649" w:rsidRPr="000C4EA4" w:rsidRDefault="00021649" w:rsidP="00021649">
      <w:pPr>
        <w:pStyle w:val="Footer"/>
        <w:tabs>
          <w:tab w:val="left" w:pos="0"/>
        </w:tabs>
        <w:rPr>
          <w:szCs w:val="24"/>
          <w:lang w:val="en-US"/>
        </w:rPr>
      </w:pPr>
    </w:p>
    <w:p w:rsidR="008F6AF0" w:rsidRPr="000C4EA4" w:rsidRDefault="008F6AF0" w:rsidP="008F6AF0">
      <w:pPr>
        <w:keepNext/>
        <w:keepLines/>
        <w:rPr>
          <w:lang w:val="en-US"/>
        </w:rPr>
      </w:pPr>
      <w:r w:rsidRPr="000C4EA4">
        <w:rPr>
          <w:lang w:val="en-US"/>
        </w:rPr>
        <w:t xml:space="preserve">“Copyright in the Digital Environment: Restoring the Balance” (24th Horace S. Manges Lecture, April 6, 2011) (2011) 35 </w:t>
      </w:r>
      <w:r w:rsidRPr="000C4EA4">
        <w:rPr>
          <w:i/>
          <w:lang w:val="en-US"/>
        </w:rPr>
        <w:t>Columbia Journal of Law and the Arts</w:t>
      </w:r>
      <w:r w:rsidRPr="000C4EA4">
        <w:rPr>
          <w:lang w:val="en-US"/>
        </w:rPr>
        <w:t xml:space="preserve"> 1-15</w:t>
      </w:r>
    </w:p>
    <w:p w:rsidR="008F6AF0" w:rsidRPr="000C4EA4" w:rsidRDefault="008F6AF0" w:rsidP="00021649">
      <w:pPr>
        <w:pStyle w:val="Footer"/>
        <w:tabs>
          <w:tab w:val="left" w:pos="0"/>
        </w:tabs>
        <w:rPr>
          <w:szCs w:val="24"/>
          <w:lang w:val="en-US"/>
        </w:rPr>
      </w:pPr>
    </w:p>
    <w:p w:rsidR="00021649" w:rsidRPr="000C4EA4" w:rsidRDefault="007B2487" w:rsidP="00021649">
      <w:pPr>
        <w:pStyle w:val="Footer"/>
        <w:tabs>
          <w:tab w:val="left" w:pos="0"/>
        </w:tabs>
        <w:rPr>
          <w:szCs w:val="24"/>
          <w:lang w:val="en-US"/>
        </w:rPr>
      </w:pPr>
      <w:r w:rsidRPr="000C4EA4">
        <w:rPr>
          <w:szCs w:val="24"/>
          <w:lang w:val="en-US"/>
        </w:rPr>
        <w:t>“</w:t>
      </w:r>
      <w:r w:rsidR="00021649" w:rsidRPr="000C4EA4">
        <w:rPr>
          <w:szCs w:val="24"/>
          <w:lang w:val="en-US"/>
        </w:rPr>
        <w:t>The Cambrian Explosion</w:t>
      </w:r>
      <w:r w:rsidRPr="000C4EA4">
        <w:rPr>
          <w:szCs w:val="24"/>
          <w:lang w:val="en-US"/>
        </w:rPr>
        <w:t>”</w:t>
      </w:r>
      <w:r w:rsidR="00021649" w:rsidRPr="000C4EA4">
        <w:rPr>
          <w:szCs w:val="24"/>
          <w:lang w:val="en-US"/>
        </w:rPr>
        <w:t xml:space="preserve"> (2007) 38 </w:t>
      </w:r>
      <w:r w:rsidR="00021649" w:rsidRPr="000C4EA4">
        <w:rPr>
          <w:i/>
          <w:szCs w:val="24"/>
          <w:lang w:val="en-US"/>
        </w:rPr>
        <w:t>International Review of Intellectual Property and Competition Law</w:t>
      </w:r>
      <w:r w:rsidR="008F6AF0" w:rsidRPr="000C4EA4">
        <w:rPr>
          <w:szCs w:val="24"/>
          <w:lang w:val="en-US"/>
        </w:rPr>
        <w:t xml:space="preserve"> 255-</w:t>
      </w:r>
      <w:r w:rsidR="00021649" w:rsidRPr="000C4EA4">
        <w:rPr>
          <w:szCs w:val="24"/>
          <w:lang w:val="en-US"/>
        </w:rPr>
        <w:t>258</w:t>
      </w:r>
    </w:p>
    <w:p w:rsidR="00021649" w:rsidRPr="000C4EA4" w:rsidRDefault="00021649" w:rsidP="00021649">
      <w:pPr>
        <w:pStyle w:val="Footer"/>
        <w:tabs>
          <w:tab w:val="left" w:pos="0"/>
        </w:tabs>
        <w:rPr>
          <w:szCs w:val="24"/>
          <w:lang w:val="en-US"/>
        </w:rPr>
      </w:pPr>
    </w:p>
    <w:p w:rsidR="00021649" w:rsidRPr="000C4EA4" w:rsidRDefault="007B2487" w:rsidP="00021649">
      <w:pPr>
        <w:pStyle w:val="Footer"/>
        <w:tabs>
          <w:tab w:val="left" w:pos="0"/>
        </w:tabs>
        <w:rPr>
          <w:szCs w:val="24"/>
          <w:lang w:val="en-US"/>
        </w:rPr>
      </w:pPr>
      <w:r w:rsidRPr="000C4EA4">
        <w:rPr>
          <w:szCs w:val="24"/>
          <w:lang w:val="en-US"/>
        </w:rPr>
        <w:t>“</w:t>
      </w:r>
      <w:r w:rsidR="00021649" w:rsidRPr="000C4EA4">
        <w:rPr>
          <w:szCs w:val="24"/>
          <w:lang w:val="en-US"/>
        </w:rPr>
        <w:t>Globalization, Intellectual Property and Development</w:t>
      </w:r>
      <w:r w:rsidRPr="000C4EA4">
        <w:rPr>
          <w:szCs w:val="24"/>
          <w:lang w:val="en-US"/>
        </w:rPr>
        <w:t>”</w:t>
      </w:r>
      <w:r w:rsidR="00021649" w:rsidRPr="000C4EA4">
        <w:rPr>
          <w:szCs w:val="24"/>
          <w:lang w:val="en-US"/>
        </w:rPr>
        <w:t xml:space="preserve"> </w:t>
      </w:r>
      <w:r w:rsidR="00021649" w:rsidRPr="000C4EA4">
        <w:rPr>
          <w:i/>
          <w:szCs w:val="24"/>
          <w:lang w:val="en-US"/>
        </w:rPr>
        <w:t>Proceedings of the American Society of International Law</w:t>
      </w:r>
      <w:r w:rsidR="00021649" w:rsidRPr="000C4EA4">
        <w:rPr>
          <w:szCs w:val="24"/>
          <w:lang w:val="en-US"/>
        </w:rPr>
        <w:t xml:space="preserve"> 2005</w:t>
      </w:r>
    </w:p>
    <w:p w:rsidR="00021649" w:rsidRPr="000C4EA4" w:rsidRDefault="00021649" w:rsidP="00021649">
      <w:pPr>
        <w:pStyle w:val="Footer"/>
        <w:tabs>
          <w:tab w:val="left" w:pos="0"/>
        </w:tabs>
        <w:rPr>
          <w:szCs w:val="24"/>
          <w:lang w:val="en-US"/>
        </w:rPr>
      </w:pPr>
    </w:p>
    <w:p w:rsidR="00021649" w:rsidRPr="000C4EA4" w:rsidRDefault="007B2487" w:rsidP="00021649">
      <w:pPr>
        <w:pStyle w:val="Footer"/>
        <w:tabs>
          <w:tab w:val="left" w:pos="0"/>
        </w:tabs>
        <w:rPr>
          <w:szCs w:val="24"/>
          <w:lang w:val="en-US"/>
        </w:rPr>
      </w:pPr>
      <w:r w:rsidRPr="000C4EA4">
        <w:rPr>
          <w:szCs w:val="24"/>
          <w:lang w:val="en-US"/>
        </w:rPr>
        <w:t>“</w:t>
      </w:r>
      <w:r w:rsidR="00021649" w:rsidRPr="000C4EA4">
        <w:rPr>
          <w:szCs w:val="24"/>
          <w:lang w:val="en-US"/>
        </w:rPr>
        <w:t>The Growing Complexity of International Policy in Intellectual Property</w:t>
      </w:r>
      <w:r w:rsidRPr="000C4EA4">
        <w:rPr>
          <w:szCs w:val="24"/>
          <w:lang w:val="en-US"/>
        </w:rPr>
        <w:t>”</w:t>
      </w:r>
      <w:r w:rsidR="00021649" w:rsidRPr="000C4EA4">
        <w:rPr>
          <w:szCs w:val="24"/>
          <w:lang w:val="en-US"/>
        </w:rPr>
        <w:t xml:space="preserve"> (2005) 11 (1) </w:t>
      </w:r>
      <w:r w:rsidR="00021649" w:rsidRPr="000C4EA4">
        <w:rPr>
          <w:i/>
          <w:szCs w:val="24"/>
          <w:lang w:val="en-US"/>
        </w:rPr>
        <w:t>Science and Engineering Ethics</w:t>
      </w:r>
      <w:r w:rsidR="00021649" w:rsidRPr="000C4EA4">
        <w:rPr>
          <w:szCs w:val="24"/>
          <w:lang w:val="en-US"/>
        </w:rPr>
        <w:t xml:space="preserve"> 13</w:t>
      </w:r>
      <w:r w:rsidR="008F6AF0" w:rsidRPr="000C4EA4">
        <w:rPr>
          <w:szCs w:val="24"/>
          <w:lang w:val="en-US"/>
        </w:rPr>
        <w:t>-</w:t>
      </w:r>
      <w:r w:rsidR="00021649" w:rsidRPr="000C4EA4">
        <w:rPr>
          <w:szCs w:val="24"/>
          <w:lang w:val="en-US"/>
        </w:rPr>
        <w:t>20</w:t>
      </w:r>
    </w:p>
    <w:p w:rsidR="00021649" w:rsidRPr="000C4EA4" w:rsidRDefault="00021649" w:rsidP="00021649">
      <w:pPr>
        <w:pStyle w:val="Footer"/>
        <w:tabs>
          <w:tab w:val="left" w:pos="0"/>
        </w:tabs>
        <w:rPr>
          <w:szCs w:val="24"/>
          <w:lang w:val="en-US"/>
        </w:rPr>
      </w:pPr>
    </w:p>
    <w:p w:rsidR="00021649" w:rsidRPr="000C4EA4" w:rsidRDefault="007B2487" w:rsidP="00021649">
      <w:pPr>
        <w:pStyle w:val="Footer"/>
        <w:tabs>
          <w:tab w:val="left" w:pos="0"/>
        </w:tabs>
        <w:rPr>
          <w:szCs w:val="24"/>
          <w:lang w:val="en-US"/>
        </w:rPr>
      </w:pPr>
      <w:r w:rsidRPr="000C4EA4">
        <w:rPr>
          <w:szCs w:val="24"/>
          <w:lang w:val="en-US"/>
        </w:rPr>
        <w:t>“</w:t>
      </w:r>
      <w:r w:rsidR="00021649" w:rsidRPr="000C4EA4">
        <w:rPr>
          <w:szCs w:val="24"/>
          <w:lang w:val="en-US"/>
        </w:rPr>
        <w:t>The Dispute Resolution Services of the World Intellectual Property Organization</w:t>
      </w:r>
      <w:r w:rsidRPr="000C4EA4">
        <w:rPr>
          <w:szCs w:val="24"/>
          <w:lang w:val="en-US"/>
        </w:rPr>
        <w:t>”</w:t>
      </w:r>
      <w:r w:rsidR="00021649" w:rsidRPr="000C4EA4">
        <w:rPr>
          <w:szCs w:val="24"/>
          <w:lang w:val="en-US"/>
        </w:rPr>
        <w:t xml:space="preserve"> (1999) </w:t>
      </w:r>
      <w:r w:rsidR="00021649" w:rsidRPr="000C4EA4">
        <w:rPr>
          <w:i/>
          <w:szCs w:val="24"/>
          <w:lang w:val="en-US"/>
        </w:rPr>
        <w:t>Journal of International Economic Law</w:t>
      </w:r>
      <w:r w:rsidR="00021649" w:rsidRPr="000C4EA4">
        <w:rPr>
          <w:szCs w:val="24"/>
          <w:lang w:val="en-US"/>
        </w:rPr>
        <w:t xml:space="preserve"> 385</w:t>
      </w:r>
      <w:r w:rsidR="008F6AF0" w:rsidRPr="000C4EA4">
        <w:rPr>
          <w:szCs w:val="24"/>
          <w:lang w:val="en-US"/>
        </w:rPr>
        <w:t>-</w:t>
      </w:r>
      <w:r w:rsidR="00021649" w:rsidRPr="000C4EA4">
        <w:rPr>
          <w:szCs w:val="24"/>
          <w:lang w:val="en-US"/>
        </w:rPr>
        <w:t>398</w:t>
      </w:r>
    </w:p>
    <w:p w:rsidR="00021649" w:rsidRPr="000C4EA4" w:rsidRDefault="00021649" w:rsidP="00021649">
      <w:pPr>
        <w:pStyle w:val="Footer"/>
        <w:tabs>
          <w:tab w:val="left" w:pos="0"/>
        </w:tabs>
        <w:rPr>
          <w:szCs w:val="24"/>
          <w:lang w:val="en-US"/>
        </w:rPr>
      </w:pPr>
    </w:p>
    <w:p w:rsidR="00021649" w:rsidRPr="000C4EA4" w:rsidRDefault="007B2487" w:rsidP="00021649">
      <w:pPr>
        <w:pStyle w:val="Footer"/>
        <w:tabs>
          <w:tab w:val="left" w:pos="0"/>
        </w:tabs>
        <w:rPr>
          <w:szCs w:val="24"/>
          <w:lang w:val="en-US"/>
        </w:rPr>
      </w:pPr>
      <w:r w:rsidRPr="000C4EA4">
        <w:rPr>
          <w:szCs w:val="24"/>
          <w:lang w:val="en-US"/>
        </w:rPr>
        <w:t>“</w:t>
      </w:r>
      <w:r w:rsidR="00021649" w:rsidRPr="000C4EA4">
        <w:rPr>
          <w:szCs w:val="24"/>
          <w:lang w:val="en-US"/>
        </w:rPr>
        <w:t>The Evolution of Technology and Markets and the Management of Intellectual Property Rights</w:t>
      </w:r>
      <w:r w:rsidRPr="000C4EA4">
        <w:rPr>
          <w:szCs w:val="24"/>
          <w:lang w:val="en-US"/>
        </w:rPr>
        <w:t>”</w:t>
      </w:r>
      <w:r w:rsidR="00021649" w:rsidRPr="000C4EA4">
        <w:rPr>
          <w:szCs w:val="24"/>
          <w:lang w:val="en-US"/>
        </w:rPr>
        <w:t xml:space="preserve"> </w:t>
      </w:r>
      <w:r w:rsidRPr="000C4EA4">
        <w:rPr>
          <w:szCs w:val="24"/>
          <w:lang w:val="en-US"/>
        </w:rPr>
        <w:t xml:space="preserve">dans </w:t>
      </w:r>
      <w:r w:rsidR="00021649" w:rsidRPr="000C4EA4">
        <w:rPr>
          <w:i/>
          <w:szCs w:val="24"/>
          <w:lang w:val="en-US"/>
        </w:rPr>
        <w:t>Public Policy and Global Technology Integration</w:t>
      </w:r>
      <w:r w:rsidR="00021649" w:rsidRPr="000C4EA4">
        <w:rPr>
          <w:szCs w:val="24"/>
          <w:lang w:val="en-US"/>
        </w:rPr>
        <w:t xml:space="preserve"> </w:t>
      </w:r>
      <w:r w:rsidRPr="000C4EA4">
        <w:rPr>
          <w:szCs w:val="24"/>
          <w:lang w:val="en-US"/>
        </w:rPr>
        <w:t>de Frederick Abbott et David Gerber (</w:t>
      </w:r>
      <w:r w:rsidR="008F6AF0" w:rsidRPr="000C4EA4">
        <w:rPr>
          <w:szCs w:val="24"/>
          <w:lang w:val="en-US"/>
        </w:rPr>
        <w:t>é</w:t>
      </w:r>
      <w:r w:rsidRPr="000C4EA4">
        <w:rPr>
          <w:szCs w:val="24"/>
          <w:lang w:val="en-US"/>
        </w:rPr>
        <w:t xml:space="preserve">ds.) </w:t>
      </w:r>
      <w:r w:rsidR="00021649" w:rsidRPr="000C4EA4">
        <w:rPr>
          <w:szCs w:val="24"/>
          <w:lang w:val="en-US"/>
        </w:rPr>
        <w:t>(Kluwer, 1997)</w:t>
      </w:r>
    </w:p>
    <w:p w:rsidR="00021649" w:rsidRPr="000C4EA4" w:rsidRDefault="00021649" w:rsidP="00021649">
      <w:pPr>
        <w:pStyle w:val="Footer"/>
        <w:tabs>
          <w:tab w:val="left" w:pos="0"/>
        </w:tabs>
        <w:rPr>
          <w:szCs w:val="24"/>
          <w:lang w:val="en-US"/>
        </w:rPr>
      </w:pPr>
    </w:p>
    <w:p w:rsidR="00021649" w:rsidRPr="000C4EA4" w:rsidRDefault="007B2487" w:rsidP="00021649">
      <w:pPr>
        <w:pStyle w:val="Footer"/>
        <w:tabs>
          <w:tab w:val="left" w:pos="0"/>
        </w:tabs>
        <w:rPr>
          <w:szCs w:val="24"/>
          <w:lang w:val="en-US"/>
        </w:rPr>
      </w:pPr>
      <w:r w:rsidRPr="000C4EA4">
        <w:rPr>
          <w:szCs w:val="24"/>
          <w:lang w:val="en-US"/>
        </w:rPr>
        <w:t>“</w:t>
      </w:r>
      <w:r w:rsidR="00021649" w:rsidRPr="000C4EA4">
        <w:rPr>
          <w:szCs w:val="24"/>
          <w:lang w:val="en-US"/>
        </w:rPr>
        <w:t>IP Licensing Disputes: When Courts are not the Answer</w:t>
      </w:r>
      <w:r w:rsidRPr="000C4EA4">
        <w:rPr>
          <w:szCs w:val="24"/>
          <w:lang w:val="en-US"/>
        </w:rPr>
        <w:t>”</w:t>
      </w:r>
      <w:r w:rsidR="00021649" w:rsidRPr="000C4EA4">
        <w:rPr>
          <w:szCs w:val="24"/>
          <w:lang w:val="en-US"/>
        </w:rPr>
        <w:t xml:space="preserve"> (1995) </w:t>
      </w:r>
      <w:r w:rsidR="00021649" w:rsidRPr="000C4EA4">
        <w:rPr>
          <w:i/>
          <w:szCs w:val="24"/>
          <w:lang w:val="en-US"/>
        </w:rPr>
        <w:t>IP Worldwide</w:t>
      </w:r>
      <w:r w:rsidR="00021649" w:rsidRPr="000C4EA4">
        <w:rPr>
          <w:szCs w:val="24"/>
          <w:lang w:val="en-US"/>
        </w:rPr>
        <w:t xml:space="preserve"> 13</w:t>
      </w:r>
      <w:r w:rsidR="008F6AF0" w:rsidRPr="000C4EA4">
        <w:rPr>
          <w:szCs w:val="24"/>
          <w:lang w:val="en-US"/>
        </w:rPr>
        <w:t>-</w:t>
      </w:r>
      <w:r w:rsidR="00021649" w:rsidRPr="000C4EA4">
        <w:rPr>
          <w:szCs w:val="24"/>
          <w:lang w:val="en-US"/>
        </w:rPr>
        <w:t>14</w:t>
      </w:r>
    </w:p>
    <w:p w:rsidR="001D3F05" w:rsidRPr="000C4EA4" w:rsidRDefault="001D3F05" w:rsidP="00021649">
      <w:pPr>
        <w:pStyle w:val="Footer"/>
        <w:tabs>
          <w:tab w:val="left" w:pos="0"/>
        </w:tabs>
        <w:rPr>
          <w:szCs w:val="24"/>
          <w:lang w:val="en-US"/>
        </w:rPr>
      </w:pPr>
    </w:p>
    <w:p w:rsidR="00021649" w:rsidRPr="00B34920" w:rsidRDefault="007B2487" w:rsidP="00021649">
      <w:pPr>
        <w:pStyle w:val="Footer"/>
        <w:tabs>
          <w:tab w:val="left" w:pos="0"/>
        </w:tabs>
        <w:rPr>
          <w:szCs w:val="24"/>
          <w:lang w:val="fr-FR"/>
        </w:rPr>
      </w:pPr>
      <w:r w:rsidRPr="00B34920">
        <w:rPr>
          <w:szCs w:val="24"/>
          <w:lang w:val="fr-FR"/>
        </w:rPr>
        <w:t>“</w:t>
      </w:r>
      <w:r w:rsidR="00021649" w:rsidRPr="00B34920">
        <w:rPr>
          <w:szCs w:val="24"/>
          <w:lang w:val="fr-FR"/>
        </w:rPr>
        <w:t>Arbitrage et propriété intellectuelle</w:t>
      </w:r>
      <w:r w:rsidRPr="00B34920">
        <w:rPr>
          <w:szCs w:val="24"/>
          <w:lang w:val="fr-FR"/>
        </w:rPr>
        <w:t>” dans</w:t>
      </w:r>
      <w:r w:rsidR="00021649" w:rsidRPr="00B34920">
        <w:rPr>
          <w:szCs w:val="24"/>
          <w:lang w:val="fr-FR"/>
        </w:rPr>
        <w:t xml:space="preserve"> </w:t>
      </w:r>
      <w:r w:rsidR="00021649" w:rsidRPr="00B34920">
        <w:rPr>
          <w:i/>
          <w:szCs w:val="24"/>
          <w:lang w:val="fr-FR"/>
        </w:rPr>
        <w:t>Arbitrage et propriété intellectuelle</w:t>
      </w:r>
      <w:r w:rsidR="00021649" w:rsidRPr="00B34920">
        <w:rPr>
          <w:szCs w:val="24"/>
          <w:lang w:val="fr-FR"/>
        </w:rPr>
        <w:t xml:space="preserve"> </w:t>
      </w:r>
      <w:r w:rsidRPr="00B34920">
        <w:rPr>
          <w:szCs w:val="24"/>
          <w:lang w:val="fr-FR"/>
        </w:rPr>
        <w:t xml:space="preserve">de l’Institut de recherche en propriété intellectuelle </w:t>
      </w:r>
      <w:r w:rsidR="00021649" w:rsidRPr="00B34920">
        <w:rPr>
          <w:szCs w:val="24"/>
          <w:lang w:val="fr-FR"/>
        </w:rPr>
        <w:t xml:space="preserve">(Libraires Techniques, </w:t>
      </w:r>
      <w:r w:rsidR="001D3F05" w:rsidRPr="00B34920">
        <w:rPr>
          <w:szCs w:val="24"/>
          <w:lang w:val="fr-FR"/>
        </w:rPr>
        <w:t>1</w:t>
      </w:r>
      <w:r w:rsidR="00021649" w:rsidRPr="00B34920">
        <w:rPr>
          <w:szCs w:val="24"/>
          <w:lang w:val="fr-FR"/>
        </w:rPr>
        <w:t>994)</w:t>
      </w:r>
    </w:p>
    <w:p w:rsidR="001D3F05" w:rsidRPr="00B34920" w:rsidRDefault="001D3F05" w:rsidP="00021649">
      <w:pPr>
        <w:pStyle w:val="Footer"/>
        <w:tabs>
          <w:tab w:val="left" w:pos="0"/>
        </w:tabs>
        <w:rPr>
          <w:szCs w:val="24"/>
          <w:lang w:val="fr-FR"/>
        </w:rPr>
      </w:pPr>
    </w:p>
    <w:p w:rsidR="00021649" w:rsidRPr="00B34920" w:rsidRDefault="007B2487" w:rsidP="00021649">
      <w:pPr>
        <w:pStyle w:val="Footer"/>
        <w:tabs>
          <w:tab w:val="left" w:pos="0"/>
        </w:tabs>
        <w:rPr>
          <w:szCs w:val="24"/>
          <w:lang w:val="fr-FR"/>
        </w:rPr>
      </w:pPr>
      <w:r w:rsidRPr="00B34920">
        <w:rPr>
          <w:szCs w:val="24"/>
          <w:lang w:val="fr-FR"/>
        </w:rPr>
        <w:t>“</w:t>
      </w:r>
      <w:r w:rsidR="00021649" w:rsidRPr="00B34920">
        <w:rPr>
          <w:szCs w:val="24"/>
          <w:lang w:val="fr-FR"/>
        </w:rPr>
        <w:t>Introduction</w:t>
      </w:r>
      <w:r w:rsidRPr="00B34920">
        <w:rPr>
          <w:szCs w:val="24"/>
          <w:lang w:val="fr-FR"/>
        </w:rPr>
        <w:t>”</w:t>
      </w:r>
      <w:r w:rsidR="00021649" w:rsidRPr="00B34920">
        <w:rPr>
          <w:szCs w:val="24"/>
          <w:lang w:val="fr-FR"/>
        </w:rPr>
        <w:t xml:space="preserve"> </w:t>
      </w:r>
      <w:r w:rsidRPr="00B34920">
        <w:rPr>
          <w:szCs w:val="24"/>
          <w:lang w:val="fr-FR"/>
        </w:rPr>
        <w:t>au volume pour</w:t>
      </w:r>
      <w:r w:rsidR="00021649" w:rsidRPr="00B34920">
        <w:rPr>
          <w:szCs w:val="24"/>
          <w:lang w:val="fr-FR"/>
        </w:rPr>
        <w:t xml:space="preserve"> 1994 (</w:t>
      </w:r>
      <w:r w:rsidR="0067397B">
        <w:rPr>
          <w:szCs w:val="24"/>
          <w:lang w:val="fr-FR"/>
        </w:rPr>
        <w:t>v</w:t>
      </w:r>
      <w:r w:rsidR="00021649" w:rsidRPr="00B34920">
        <w:rPr>
          <w:szCs w:val="24"/>
          <w:lang w:val="fr-FR"/>
        </w:rPr>
        <w:t>o</w:t>
      </w:r>
      <w:r w:rsidR="001D3F05" w:rsidRPr="00B34920">
        <w:rPr>
          <w:szCs w:val="24"/>
          <w:lang w:val="fr-FR"/>
        </w:rPr>
        <w:t>lume</w:t>
      </w:r>
      <w:r w:rsidR="00021649" w:rsidRPr="00B34920">
        <w:rPr>
          <w:szCs w:val="24"/>
          <w:lang w:val="fr-FR"/>
        </w:rPr>
        <w:t xml:space="preserve"> 5) </w:t>
      </w:r>
      <w:r w:rsidRPr="00B34920">
        <w:rPr>
          <w:szCs w:val="24"/>
          <w:lang w:val="fr-FR"/>
        </w:rPr>
        <w:t>de l’</w:t>
      </w:r>
      <w:r w:rsidR="00021649" w:rsidRPr="00B34920">
        <w:rPr>
          <w:i/>
          <w:szCs w:val="24"/>
          <w:lang w:val="fr-FR"/>
        </w:rPr>
        <w:t xml:space="preserve">American </w:t>
      </w:r>
      <w:proofErr w:type="spellStart"/>
      <w:r w:rsidR="00021649" w:rsidRPr="00B34920">
        <w:rPr>
          <w:i/>
          <w:szCs w:val="24"/>
          <w:lang w:val="fr-FR"/>
        </w:rPr>
        <w:t>Revie</w:t>
      </w:r>
      <w:r w:rsidR="001D3F05" w:rsidRPr="00B34920">
        <w:rPr>
          <w:i/>
          <w:szCs w:val="24"/>
          <w:lang w:val="fr-FR"/>
        </w:rPr>
        <w:t>w</w:t>
      </w:r>
      <w:proofErr w:type="spellEnd"/>
      <w:r w:rsidR="00021649" w:rsidRPr="00B34920">
        <w:rPr>
          <w:i/>
          <w:szCs w:val="24"/>
          <w:lang w:val="fr-FR"/>
        </w:rPr>
        <w:t xml:space="preserve"> </w:t>
      </w:r>
      <w:r w:rsidR="008F6AF0" w:rsidRPr="00B34920">
        <w:rPr>
          <w:i/>
          <w:szCs w:val="24"/>
          <w:lang w:val="fr-FR"/>
        </w:rPr>
        <w:t xml:space="preserve">of </w:t>
      </w:r>
      <w:r w:rsidR="001D3F05" w:rsidRPr="00B34920">
        <w:rPr>
          <w:i/>
          <w:szCs w:val="24"/>
          <w:lang w:val="fr-FR"/>
        </w:rPr>
        <w:t>I</w:t>
      </w:r>
      <w:r w:rsidR="00021649" w:rsidRPr="00B34920">
        <w:rPr>
          <w:i/>
          <w:szCs w:val="24"/>
          <w:lang w:val="fr-FR"/>
        </w:rPr>
        <w:t>nternational Arbitration</w:t>
      </w:r>
      <w:r w:rsidR="008F6AF0" w:rsidRPr="00B34920">
        <w:rPr>
          <w:szCs w:val="24"/>
          <w:lang w:val="fr-FR"/>
        </w:rPr>
        <w:t> </w:t>
      </w:r>
      <w:r w:rsidR="00021649" w:rsidRPr="00B34920">
        <w:rPr>
          <w:szCs w:val="24"/>
          <w:lang w:val="fr-FR"/>
        </w:rPr>
        <w:t>1</w:t>
      </w:r>
      <w:r w:rsidR="008F6AF0" w:rsidRPr="00B34920">
        <w:rPr>
          <w:szCs w:val="24"/>
          <w:lang w:val="fr-FR"/>
        </w:rPr>
        <w:t>-</w:t>
      </w:r>
      <w:r w:rsidR="00021649" w:rsidRPr="00B34920">
        <w:rPr>
          <w:szCs w:val="24"/>
          <w:lang w:val="fr-FR"/>
        </w:rPr>
        <w:t>5</w:t>
      </w:r>
    </w:p>
    <w:p w:rsidR="001D3F05" w:rsidRPr="00B34920" w:rsidRDefault="001D3F05" w:rsidP="00021649">
      <w:pPr>
        <w:pStyle w:val="Footer"/>
        <w:tabs>
          <w:tab w:val="left" w:pos="0"/>
        </w:tabs>
        <w:rPr>
          <w:szCs w:val="24"/>
          <w:lang w:val="fr-FR"/>
        </w:rPr>
      </w:pPr>
    </w:p>
    <w:p w:rsidR="00021649" w:rsidRPr="000C4EA4" w:rsidRDefault="007B2487" w:rsidP="00021649">
      <w:pPr>
        <w:pStyle w:val="Footer"/>
        <w:tabs>
          <w:tab w:val="left" w:pos="0"/>
        </w:tabs>
        <w:rPr>
          <w:szCs w:val="24"/>
          <w:lang w:val="en-US"/>
        </w:rPr>
      </w:pPr>
      <w:r w:rsidRPr="000C4EA4">
        <w:rPr>
          <w:szCs w:val="24"/>
          <w:lang w:val="en-US"/>
        </w:rPr>
        <w:t>“</w:t>
      </w:r>
      <w:r w:rsidR="00021649" w:rsidRPr="000C4EA4">
        <w:rPr>
          <w:szCs w:val="24"/>
          <w:lang w:val="en-US"/>
        </w:rPr>
        <w:t xml:space="preserve">New Television Services </w:t>
      </w:r>
      <w:r w:rsidR="001D3F05" w:rsidRPr="000C4EA4">
        <w:rPr>
          <w:szCs w:val="24"/>
          <w:lang w:val="en-US"/>
        </w:rPr>
        <w:t xml:space="preserve">– </w:t>
      </w:r>
      <w:r w:rsidR="00021649" w:rsidRPr="000C4EA4">
        <w:rPr>
          <w:szCs w:val="24"/>
          <w:lang w:val="en-US"/>
        </w:rPr>
        <w:t>Opportunities for Diversification</w:t>
      </w:r>
      <w:r w:rsidRPr="000C4EA4">
        <w:rPr>
          <w:szCs w:val="24"/>
          <w:lang w:val="en-US"/>
        </w:rPr>
        <w:t>”</w:t>
      </w:r>
      <w:r w:rsidR="00021649" w:rsidRPr="000C4EA4">
        <w:rPr>
          <w:szCs w:val="24"/>
          <w:lang w:val="en-US"/>
        </w:rPr>
        <w:t xml:space="preserve"> (1982) 10 </w:t>
      </w:r>
      <w:r w:rsidR="00021649" w:rsidRPr="000C4EA4">
        <w:rPr>
          <w:i/>
          <w:szCs w:val="24"/>
          <w:lang w:val="en-US"/>
        </w:rPr>
        <w:t>A</w:t>
      </w:r>
      <w:r w:rsidR="001D3F05" w:rsidRPr="000C4EA4">
        <w:rPr>
          <w:i/>
          <w:szCs w:val="24"/>
          <w:lang w:val="en-US"/>
        </w:rPr>
        <w:t>u</w:t>
      </w:r>
      <w:r w:rsidR="00021649" w:rsidRPr="000C4EA4">
        <w:rPr>
          <w:i/>
          <w:szCs w:val="24"/>
          <w:lang w:val="en-US"/>
        </w:rPr>
        <w:t>stralian Business Law Review</w:t>
      </w:r>
      <w:r w:rsidR="00021649" w:rsidRPr="000C4EA4">
        <w:rPr>
          <w:szCs w:val="24"/>
          <w:lang w:val="en-US"/>
        </w:rPr>
        <w:t xml:space="preserve"> 157</w:t>
      </w:r>
      <w:r w:rsidR="008F6AF0" w:rsidRPr="000C4EA4">
        <w:rPr>
          <w:szCs w:val="24"/>
          <w:lang w:val="en-US"/>
        </w:rPr>
        <w:t>-</w:t>
      </w:r>
      <w:r w:rsidR="00021649" w:rsidRPr="000C4EA4">
        <w:rPr>
          <w:szCs w:val="24"/>
          <w:lang w:val="en-US"/>
        </w:rPr>
        <w:t>173</w:t>
      </w:r>
    </w:p>
    <w:p w:rsidR="001D3F05" w:rsidRPr="000C4EA4" w:rsidRDefault="001D3F05" w:rsidP="00021649">
      <w:pPr>
        <w:pStyle w:val="Footer"/>
        <w:tabs>
          <w:tab w:val="left" w:pos="0"/>
        </w:tabs>
        <w:rPr>
          <w:szCs w:val="24"/>
          <w:lang w:val="en-US"/>
        </w:rPr>
      </w:pPr>
    </w:p>
    <w:p w:rsidR="00021649" w:rsidRPr="000C4EA4" w:rsidRDefault="007B2487" w:rsidP="00021649">
      <w:pPr>
        <w:pStyle w:val="Footer"/>
        <w:tabs>
          <w:tab w:val="left" w:pos="0"/>
        </w:tabs>
        <w:rPr>
          <w:szCs w:val="24"/>
          <w:lang w:val="en-US"/>
        </w:rPr>
      </w:pPr>
      <w:r w:rsidRPr="000C4EA4">
        <w:rPr>
          <w:szCs w:val="24"/>
          <w:lang w:val="en-US"/>
        </w:rPr>
        <w:lastRenderedPageBreak/>
        <w:t>“</w:t>
      </w:r>
      <w:r w:rsidR="00021649" w:rsidRPr="000C4EA4">
        <w:rPr>
          <w:szCs w:val="24"/>
          <w:lang w:val="en-US"/>
        </w:rPr>
        <w:t>The Implementation of Policy through Executive Action</w:t>
      </w:r>
      <w:r w:rsidRPr="000C4EA4">
        <w:rPr>
          <w:szCs w:val="24"/>
          <w:lang w:val="en-US"/>
        </w:rPr>
        <w:t>”</w:t>
      </w:r>
      <w:r w:rsidR="00021649" w:rsidRPr="000C4EA4">
        <w:rPr>
          <w:szCs w:val="24"/>
          <w:lang w:val="en-US"/>
        </w:rPr>
        <w:t xml:space="preserve"> (1977)</w:t>
      </w:r>
      <w:r w:rsidR="009C401E" w:rsidRPr="000C4EA4">
        <w:rPr>
          <w:szCs w:val="24"/>
          <w:lang w:val="en-US"/>
        </w:rPr>
        <w:t xml:space="preserve"> </w:t>
      </w:r>
      <w:r w:rsidR="00021649" w:rsidRPr="000C4EA4">
        <w:rPr>
          <w:szCs w:val="24"/>
          <w:lang w:val="en-US"/>
        </w:rPr>
        <w:t xml:space="preserve">11 </w:t>
      </w:r>
      <w:r w:rsidR="00021649" w:rsidRPr="000C4EA4">
        <w:rPr>
          <w:i/>
          <w:szCs w:val="24"/>
          <w:lang w:val="en-US"/>
        </w:rPr>
        <w:t>Melbourne University Law Review</w:t>
      </w:r>
      <w:r w:rsidR="00021649" w:rsidRPr="000C4EA4">
        <w:rPr>
          <w:szCs w:val="24"/>
          <w:lang w:val="en-US"/>
        </w:rPr>
        <w:t xml:space="preserve"> 189</w:t>
      </w:r>
      <w:r w:rsidR="008F6AF0" w:rsidRPr="000C4EA4">
        <w:rPr>
          <w:szCs w:val="24"/>
          <w:lang w:val="en-US"/>
        </w:rPr>
        <w:t>-</w:t>
      </w:r>
      <w:r w:rsidR="00021649" w:rsidRPr="000C4EA4">
        <w:rPr>
          <w:szCs w:val="24"/>
          <w:lang w:val="en-US"/>
        </w:rPr>
        <w:t>222</w:t>
      </w:r>
    </w:p>
    <w:p w:rsidR="009C401E" w:rsidRPr="000C4EA4" w:rsidRDefault="009C401E" w:rsidP="00021649">
      <w:pPr>
        <w:pStyle w:val="Footer"/>
        <w:tabs>
          <w:tab w:val="left" w:pos="0"/>
        </w:tabs>
        <w:rPr>
          <w:szCs w:val="24"/>
          <w:lang w:val="en-US"/>
        </w:rPr>
      </w:pPr>
    </w:p>
    <w:p w:rsidR="00021649" w:rsidRPr="000C4EA4" w:rsidRDefault="007B2487" w:rsidP="00021649">
      <w:pPr>
        <w:pStyle w:val="Footer"/>
        <w:tabs>
          <w:tab w:val="left" w:pos="0"/>
        </w:tabs>
        <w:rPr>
          <w:szCs w:val="24"/>
          <w:lang w:val="en-US"/>
        </w:rPr>
      </w:pPr>
      <w:r w:rsidRPr="000C4EA4">
        <w:rPr>
          <w:szCs w:val="24"/>
          <w:lang w:val="en-US"/>
        </w:rPr>
        <w:t>“</w:t>
      </w:r>
      <w:r w:rsidR="00021649" w:rsidRPr="000C4EA4">
        <w:rPr>
          <w:szCs w:val="24"/>
          <w:lang w:val="en-US"/>
        </w:rPr>
        <w:t>The Role of</w:t>
      </w:r>
      <w:r w:rsidR="009C401E" w:rsidRPr="000C4EA4">
        <w:rPr>
          <w:szCs w:val="24"/>
          <w:lang w:val="en-US"/>
        </w:rPr>
        <w:t xml:space="preserve"> </w:t>
      </w:r>
      <w:r w:rsidR="00021649" w:rsidRPr="000C4EA4">
        <w:rPr>
          <w:szCs w:val="24"/>
          <w:lang w:val="en-US"/>
        </w:rPr>
        <w:t>the Permanent Establishment in Double Taxation Agreements</w:t>
      </w:r>
      <w:r w:rsidRPr="000C4EA4">
        <w:rPr>
          <w:szCs w:val="24"/>
          <w:lang w:val="en-US"/>
        </w:rPr>
        <w:t>”</w:t>
      </w:r>
      <w:r w:rsidR="00021649" w:rsidRPr="000C4EA4">
        <w:rPr>
          <w:szCs w:val="24"/>
          <w:lang w:val="en-US"/>
        </w:rPr>
        <w:t xml:space="preserve"> (1976) 5 </w:t>
      </w:r>
      <w:r w:rsidR="00021649" w:rsidRPr="000C4EA4">
        <w:rPr>
          <w:i/>
          <w:szCs w:val="24"/>
          <w:lang w:val="en-US"/>
        </w:rPr>
        <w:t>Aus</w:t>
      </w:r>
      <w:r w:rsidR="009C401E" w:rsidRPr="000C4EA4">
        <w:rPr>
          <w:i/>
          <w:szCs w:val="24"/>
          <w:lang w:val="en-US"/>
        </w:rPr>
        <w:t>t</w:t>
      </w:r>
      <w:r w:rsidR="00021649" w:rsidRPr="000C4EA4">
        <w:rPr>
          <w:i/>
          <w:szCs w:val="24"/>
          <w:lang w:val="en-US"/>
        </w:rPr>
        <w:t>ra</w:t>
      </w:r>
      <w:r w:rsidR="009C401E" w:rsidRPr="000C4EA4">
        <w:rPr>
          <w:i/>
          <w:szCs w:val="24"/>
          <w:lang w:val="en-US"/>
        </w:rPr>
        <w:t>l</w:t>
      </w:r>
      <w:r w:rsidR="00021649" w:rsidRPr="000C4EA4">
        <w:rPr>
          <w:i/>
          <w:szCs w:val="24"/>
          <w:lang w:val="en-US"/>
        </w:rPr>
        <w:t>ian Tax</w:t>
      </w:r>
      <w:r w:rsidR="009C401E" w:rsidRPr="000C4EA4">
        <w:rPr>
          <w:i/>
          <w:szCs w:val="24"/>
          <w:lang w:val="en-US"/>
        </w:rPr>
        <w:t xml:space="preserve"> </w:t>
      </w:r>
      <w:r w:rsidR="00021649" w:rsidRPr="000C4EA4">
        <w:rPr>
          <w:i/>
          <w:szCs w:val="24"/>
          <w:lang w:val="en-US"/>
        </w:rPr>
        <w:t>Review</w:t>
      </w:r>
      <w:r w:rsidR="00021649" w:rsidRPr="000C4EA4">
        <w:rPr>
          <w:szCs w:val="24"/>
          <w:lang w:val="en-US"/>
        </w:rPr>
        <w:t xml:space="preserve"> 12-26</w:t>
      </w:r>
    </w:p>
    <w:p w:rsidR="009C401E" w:rsidRPr="000C4EA4" w:rsidRDefault="009C401E" w:rsidP="00021649">
      <w:pPr>
        <w:pStyle w:val="Footer"/>
        <w:tabs>
          <w:tab w:val="left" w:pos="0"/>
        </w:tabs>
        <w:rPr>
          <w:szCs w:val="24"/>
          <w:lang w:val="en-US"/>
        </w:rPr>
      </w:pPr>
    </w:p>
    <w:p w:rsidR="00021649" w:rsidRPr="000C4EA4" w:rsidRDefault="007B2487" w:rsidP="00021649">
      <w:pPr>
        <w:pStyle w:val="Footer"/>
        <w:tabs>
          <w:tab w:val="left" w:pos="0"/>
        </w:tabs>
        <w:rPr>
          <w:szCs w:val="24"/>
          <w:lang w:val="en-US"/>
        </w:rPr>
      </w:pPr>
      <w:r w:rsidRPr="000C4EA4">
        <w:rPr>
          <w:szCs w:val="24"/>
          <w:lang w:val="en-US"/>
        </w:rPr>
        <w:t>“</w:t>
      </w:r>
      <w:r w:rsidR="00021649" w:rsidRPr="000C4EA4">
        <w:rPr>
          <w:szCs w:val="24"/>
          <w:lang w:val="en-US"/>
        </w:rPr>
        <w:t>Aspects of the Law of Contract in Takeover Offers</w:t>
      </w:r>
      <w:r w:rsidRPr="000C4EA4">
        <w:rPr>
          <w:szCs w:val="24"/>
          <w:lang w:val="en-US"/>
        </w:rPr>
        <w:t>”</w:t>
      </w:r>
      <w:r w:rsidR="00021649" w:rsidRPr="000C4EA4">
        <w:rPr>
          <w:szCs w:val="24"/>
          <w:lang w:val="en-US"/>
        </w:rPr>
        <w:t xml:space="preserve"> (1976)</w:t>
      </w:r>
      <w:r w:rsidR="009C401E" w:rsidRPr="000C4EA4">
        <w:rPr>
          <w:szCs w:val="24"/>
          <w:lang w:val="en-US"/>
        </w:rPr>
        <w:t xml:space="preserve"> </w:t>
      </w:r>
      <w:r w:rsidR="00021649" w:rsidRPr="000C4EA4">
        <w:rPr>
          <w:szCs w:val="24"/>
          <w:lang w:val="en-US"/>
        </w:rPr>
        <w:t xml:space="preserve">50 </w:t>
      </w:r>
      <w:r w:rsidR="00021649" w:rsidRPr="000C4EA4">
        <w:rPr>
          <w:i/>
          <w:szCs w:val="24"/>
          <w:lang w:val="en-US"/>
        </w:rPr>
        <w:t>Australian Law Journal</w:t>
      </w:r>
      <w:r w:rsidR="00AA4EB3" w:rsidRPr="000C4EA4">
        <w:rPr>
          <w:szCs w:val="24"/>
          <w:lang w:val="en-US"/>
        </w:rPr>
        <w:br/>
      </w:r>
      <w:r w:rsidR="009C401E" w:rsidRPr="000C4EA4">
        <w:rPr>
          <w:szCs w:val="24"/>
          <w:lang w:val="en-US"/>
        </w:rPr>
        <w:t>1</w:t>
      </w:r>
      <w:r w:rsidR="00021649" w:rsidRPr="000C4EA4">
        <w:rPr>
          <w:szCs w:val="24"/>
          <w:lang w:val="en-US"/>
        </w:rPr>
        <w:t>67</w:t>
      </w:r>
      <w:r w:rsidR="008F6AF0" w:rsidRPr="000C4EA4">
        <w:rPr>
          <w:szCs w:val="24"/>
          <w:lang w:val="en-US"/>
        </w:rPr>
        <w:t>-</w:t>
      </w:r>
      <w:r w:rsidR="00021649" w:rsidRPr="000C4EA4">
        <w:rPr>
          <w:szCs w:val="24"/>
          <w:lang w:val="en-US"/>
        </w:rPr>
        <w:t>174</w:t>
      </w:r>
    </w:p>
    <w:p w:rsidR="00AA5FD2" w:rsidRPr="000C4EA4" w:rsidRDefault="00AA5FD2" w:rsidP="00021649">
      <w:pPr>
        <w:pStyle w:val="Footer"/>
        <w:tabs>
          <w:tab w:val="left" w:pos="0"/>
        </w:tabs>
        <w:rPr>
          <w:szCs w:val="24"/>
          <w:lang w:val="en-US"/>
        </w:rPr>
      </w:pPr>
    </w:p>
    <w:p w:rsidR="000C4EA4" w:rsidRPr="000C4EA4" w:rsidRDefault="000C4EA4" w:rsidP="00021649">
      <w:pPr>
        <w:pStyle w:val="Footer"/>
        <w:tabs>
          <w:tab w:val="left" w:pos="0"/>
        </w:tabs>
        <w:rPr>
          <w:szCs w:val="24"/>
          <w:lang w:val="en-US"/>
        </w:rPr>
      </w:pPr>
    </w:p>
    <w:p w:rsidR="00AA5FD2" w:rsidRPr="000C4EA4" w:rsidRDefault="00AA5FD2" w:rsidP="00021649">
      <w:pPr>
        <w:pStyle w:val="Footer"/>
        <w:tabs>
          <w:tab w:val="left" w:pos="0"/>
        </w:tabs>
        <w:rPr>
          <w:szCs w:val="24"/>
          <w:lang w:val="en-US"/>
        </w:rPr>
      </w:pPr>
    </w:p>
    <w:p w:rsidR="008F6AF0" w:rsidRPr="000C4EA4" w:rsidRDefault="008F6AF0">
      <w:pPr>
        <w:pStyle w:val="Endofdocument-Annex"/>
        <w:rPr>
          <w:lang w:val="fr-CH"/>
        </w:rPr>
      </w:pPr>
      <w:r w:rsidRPr="000C4EA4">
        <w:rPr>
          <w:lang w:val="fr-CH"/>
        </w:rPr>
        <w:t>[Fin de l’annexe e</w:t>
      </w:r>
      <w:bookmarkStart w:id="0" w:name="_GoBack"/>
      <w:bookmarkEnd w:id="0"/>
      <w:r w:rsidRPr="000C4EA4">
        <w:rPr>
          <w:lang w:val="fr-CH"/>
        </w:rPr>
        <w:t>t du document]</w:t>
      </w:r>
    </w:p>
    <w:sectPr w:rsidR="008F6AF0" w:rsidRPr="000C4EA4" w:rsidSect="008E42C8">
      <w:headerReference w:type="default" r:id="rId9"/>
      <w:headerReference w:type="first" r:id="rId10"/>
      <w:pgSz w:w="11907" w:h="16840" w:code="9"/>
      <w:pgMar w:top="567" w:right="1134" w:bottom="1417" w:left="1417" w:header="510" w:footer="10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67F" w:rsidRDefault="0051267F">
      <w:r>
        <w:separator/>
      </w:r>
    </w:p>
  </w:endnote>
  <w:endnote w:type="continuationSeparator" w:id="0">
    <w:p w:rsidR="0051267F" w:rsidRDefault="0051267F">
      <w:r>
        <w:separator/>
      </w:r>
    </w:p>
    <w:p w:rsidR="0051267F" w:rsidRDefault="0051267F">
      <w:pPr>
        <w:pStyle w:val="Footer"/>
        <w:spacing w:after="60"/>
        <w:rPr>
          <w:sz w:val="18"/>
        </w:rPr>
      </w:pPr>
      <w:r>
        <w:rPr>
          <w:sz w:val="18"/>
        </w:rPr>
        <w:t>[Suite de la note de la page précédente]</w:t>
      </w:r>
    </w:p>
  </w:endnote>
  <w:endnote w:type="continuationNotice" w:id="1">
    <w:p w:rsidR="0051267F" w:rsidRDefault="0051267F">
      <w:pPr>
        <w:spacing w:before="60"/>
        <w:jc w:val="right"/>
        <w:rPr>
          <w:sz w:val="18"/>
        </w:rPr>
      </w:pPr>
      <w:r>
        <w:rPr>
          <w:sz w:val="18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67F" w:rsidRDefault="0051267F">
      <w:r>
        <w:separator/>
      </w:r>
    </w:p>
  </w:footnote>
  <w:footnote w:type="continuationSeparator" w:id="0">
    <w:p w:rsidR="0051267F" w:rsidRDefault="0051267F">
      <w:r>
        <w:separator/>
      </w:r>
    </w:p>
    <w:p w:rsidR="0051267F" w:rsidRDefault="0051267F">
      <w:pPr>
        <w:pStyle w:val="Footer"/>
        <w:spacing w:after="60"/>
        <w:rPr>
          <w:sz w:val="18"/>
        </w:rPr>
      </w:pPr>
      <w:r>
        <w:rPr>
          <w:sz w:val="18"/>
        </w:rPr>
        <w:t>[Suite de la note de la page précédente]</w:t>
      </w:r>
    </w:p>
  </w:footnote>
  <w:footnote w:type="continuationNotice" w:id="1">
    <w:p w:rsidR="0051267F" w:rsidRDefault="0051267F">
      <w:pPr>
        <w:spacing w:before="60"/>
        <w:jc w:val="right"/>
        <w:rPr>
          <w:sz w:val="18"/>
        </w:rPr>
      </w:pPr>
      <w:r>
        <w:rPr>
          <w:sz w:val="18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FD2" w:rsidRDefault="003A6C70" w:rsidP="00B34920">
    <w:pPr>
      <w:jc w:val="right"/>
    </w:pPr>
    <w:r>
      <w:t>A/53/2</w:t>
    </w:r>
  </w:p>
  <w:p w:rsidR="00AA5FD2" w:rsidRDefault="00AA5FD2" w:rsidP="00B34920">
    <w:pPr>
      <w:jc w:val="right"/>
      <w:rPr>
        <w:rStyle w:val="PageNumber"/>
      </w:rPr>
    </w:pPr>
    <w:r>
      <w:t xml:space="preserve">Annexe,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C4EA4">
      <w:rPr>
        <w:rStyle w:val="PageNumber"/>
        <w:noProof/>
      </w:rPr>
      <w:t>6</w:t>
    </w:r>
    <w:r>
      <w:rPr>
        <w:rStyle w:val="PageNumber"/>
      </w:rPr>
      <w:fldChar w:fldCharType="end"/>
    </w:r>
  </w:p>
  <w:p w:rsidR="00AA5FD2" w:rsidRPr="00AA5FD2" w:rsidRDefault="00AA5FD2" w:rsidP="00B34920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FD2" w:rsidRDefault="003A6C70" w:rsidP="00B34920">
    <w:pPr>
      <w:jc w:val="right"/>
    </w:pPr>
    <w:r>
      <w:t>A/53/2</w:t>
    </w:r>
  </w:p>
  <w:p w:rsidR="003A6C70" w:rsidRDefault="003A6C70" w:rsidP="00B34920">
    <w:pPr>
      <w:jc w:val="right"/>
    </w:pPr>
    <w:r>
      <w:t>ANNEXE</w:t>
    </w:r>
  </w:p>
  <w:p w:rsidR="00AA5FD2" w:rsidRDefault="00AA5FD2" w:rsidP="00B34920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4C20F9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ECB4150"/>
    <w:multiLevelType w:val="hybridMultilevel"/>
    <w:tmpl w:val="72D620F8"/>
    <w:lvl w:ilvl="0" w:tplc="DCB0ED04">
      <w:start w:val="1980"/>
      <w:numFmt w:val="decimal"/>
      <w:lvlText w:val="%1"/>
      <w:lvlJc w:val="left"/>
      <w:pPr>
        <w:tabs>
          <w:tab w:val="num" w:pos="3195"/>
        </w:tabs>
        <w:ind w:left="3195" w:hanging="28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BD2373"/>
    <w:multiLevelType w:val="hybridMultilevel"/>
    <w:tmpl w:val="1AEAC204"/>
    <w:lvl w:ilvl="0" w:tplc="708642E0">
      <w:start w:val="1975"/>
      <w:numFmt w:val="decimal"/>
      <w:lvlText w:val="%1"/>
      <w:lvlJc w:val="left"/>
      <w:pPr>
        <w:tabs>
          <w:tab w:val="num" w:pos="3195"/>
        </w:tabs>
        <w:ind w:left="3195" w:hanging="283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222209"/>
    <w:multiLevelType w:val="hybridMultilevel"/>
    <w:tmpl w:val="DBE21BD0"/>
    <w:lvl w:ilvl="0" w:tplc="B9AC9626">
      <w:start w:val="1976"/>
      <w:numFmt w:val="decimal"/>
      <w:lvlText w:val="%1"/>
      <w:lvlJc w:val="left"/>
      <w:pPr>
        <w:tabs>
          <w:tab w:val="num" w:pos="3195"/>
        </w:tabs>
        <w:ind w:left="3195" w:hanging="28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451D356D"/>
    <w:multiLevelType w:val="hybridMultilevel"/>
    <w:tmpl w:val="5E6CD32A"/>
    <w:lvl w:ilvl="0" w:tplc="1C36AE5A">
      <w:start w:val="1974"/>
      <w:numFmt w:val="decimal"/>
      <w:lvlText w:val="%1"/>
      <w:lvlJc w:val="left"/>
      <w:pPr>
        <w:tabs>
          <w:tab w:val="num" w:pos="3195"/>
        </w:tabs>
        <w:ind w:left="3195" w:hanging="283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5DA0A47"/>
    <w:multiLevelType w:val="hybridMultilevel"/>
    <w:tmpl w:val="30CA18F8"/>
    <w:lvl w:ilvl="0" w:tplc="698CBE54">
      <w:start w:val="1984"/>
      <w:numFmt w:val="decimal"/>
      <w:lvlText w:val="%1"/>
      <w:lvlJc w:val="left"/>
      <w:pPr>
        <w:tabs>
          <w:tab w:val="num" w:pos="3195"/>
        </w:tabs>
        <w:ind w:left="3195" w:hanging="28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7"/>
  </w:num>
  <w:num w:numId="6">
    <w:abstractNumId w:val="0"/>
  </w:num>
  <w:num w:numId="7">
    <w:abstractNumId w:val="8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activeWritingStyle w:appName="MSWord" w:lang="en-US" w:vendorID="8" w:dllVersion="513" w:checkStyle="1"/>
  <w:activeWritingStyle w:appName="MSWord" w:lang="fr-CH" w:vendorID="9" w:dllVersion="512" w:checkStyle="1"/>
  <w:activeWritingStyle w:appName="MSWord" w:lang="fr-FR" w:vendorID="9" w:dllVersion="512" w:checkStyle="1"/>
  <w:activeWritingStyle w:appName="MSWord" w:lang="fr-FR" w:vendorID="10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EF6"/>
    <w:rsid w:val="000141B3"/>
    <w:rsid w:val="00021649"/>
    <w:rsid w:val="0003301E"/>
    <w:rsid w:val="00046E86"/>
    <w:rsid w:val="00057A89"/>
    <w:rsid w:val="000C4EA4"/>
    <w:rsid w:val="000C70E4"/>
    <w:rsid w:val="000E6BB5"/>
    <w:rsid w:val="00135A86"/>
    <w:rsid w:val="00175B0F"/>
    <w:rsid w:val="00193455"/>
    <w:rsid w:val="001B773F"/>
    <w:rsid w:val="001D3F05"/>
    <w:rsid w:val="001E3AFF"/>
    <w:rsid w:val="002A25E9"/>
    <w:rsid w:val="002A4508"/>
    <w:rsid w:val="003A6C70"/>
    <w:rsid w:val="003C2829"/>
    <w:rsid w:val="003D536C"/>
    <w:rsid w:val="003E14EC"/>
    <w:rsid w:val="003E6A5D"/>
    <w:rsid w:val="004118E3"/>
    <w:rsid w:val="004775C0"/>
    <w:rsid w:val="004818AF"/>
    <w:rsid w:val="00492153"/>
    <w:rsid w:val="004A281A"/>
    <w:rsid w:val="004E66D2"/>
    <w:rsid w:val="0051267F"/>
    <w:rsid w:val="00541116"/>
    <w:rsid w:val="00576FBD"/>
    <w:rsid w:val="005D545D"/>
    <w:rsid w:val="005F2681"/>
    <w:rsid w:val="00624B69"/>
    <w:rsid w:val="00642671"/>
    <w:rsid w:val="0067397B"/>
    <w:rsid w:val="00695B5D"/>
    <w:rsid w:val="006D74DC"/>
    <w:rsid w:val="007A0579"/>
    <w:rsid w:val="007A68B7"/>
    <w:rsid w:val="007B2487"/>
    <w:rsid w:val="008A00EA"/>
    <w:rsid w:val="008D69EC"/>
    <w:rsid w:val="008E42C8"/>
    <w:rsid w:val="008F6AF0"/>
    <w:rsid w:val="008F7D40"/>
    <w:rsid w:val="00962181"/>
    <w:rsid w:val="009C37BE"/>
    <w:rsid w:val="009C401E"/>
    <w:rsid w:val="00A0502F"/>
    <w:rsid w:val="00A705FA"/>
    <w:rsid w:val="00A92686"/>
    <w:rsid w:val="00AA4EB3"/>
    <w:rsid w:val="00AA5FD2"/>
    <w:rsid w:val="00AC08AB"/>
    <w:rsid w:val="00AE7B73"/>
    <w:rsid w:val="00B155A6"/>
    <w:rsid w:val="00B34920"/>
    <w:rsid w:val="00B51F1B"/>
    <w:rsid w:val="00B66FFA"/>
    <w:rsid w:val="00BE754B"/>
    <w:rsid w:val="00C71663"/>
    <w:rsid w:val="00C84466"/>
    <w:rsid w:val="00DF19AE"/>
    <w:rsid w:val="00E2503D"/>
    <w:rsid w:val="00E31EF6"/>
    <w:rsid w:val="00E43EE2"/>
    <w:rsid w:val="00F2215C"/>
    <w:rsid w:val="00F2490B"/>
    <w:rsid w:val="00F41973"/>
    <w:rsid w:val="00F51A09"/>
    <w:rsid w:val="00FA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42C8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8E42C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E42C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E42C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E42C8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sid w:val="008E42C8"/>
    <w:rPr>
      <w:sz w:val="18"/>
    </w:rPr>
  </w:style>
  <w:style w:type="paragraph" w:styleId="BodyText">
    <w:name w:val="Body Text"/>
    <w:basedOn w:val="Normal"/>
    <w:rsid w:val="008E42C8"/>
    <w:pPr>
      <w:spacing w:after="220"/>
    </w:pPr>
  </w:style>
  <w:style w:type="paragraph" w:styleId="BodyTextIndent">
    <w:name w:val="Body Text Indent"/>
    <w:basedOn w:val="Normal"/>
    <w:pPr>
      <w:ind w:left="567"/>
    </w:pPr>
  </w:style>
  <w:style w:type="paragraph" w:styleId="Closing">
    <w:name w:val="Closing"/>
    <w:basedOn w:val="Normal"/>
    <w:pPr>
      <w:ind w:left="4536"/>
      <w:jc w:val="center"/>
    </w:pPr>
  </w:style>
  <w:style w:type="paragraph" w:customStyle="1" w:styleId="Committee">
    <w:name w:val="Committee"/>
    <w:basedOn w:val="Normal"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pPr>
      <w:ind w:left="4536"/>
    </w:pPr>
    <w:rPr>
      <w:i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dofdocument">
    <w:name w:val="End of document"/>
    <w:basedOn w:val="Normal"/>
    <w:pPr>
      <w:ind w:left="4536"/>
      <w:jc w:val="center"/>
    </w:pPr>
  </w:style>
  <w:style w:type="paragraph" w:styleId="EndnoteText">
    <w:name w:val="endnote text"/>
    <w:basedOn w:val="Normal"/>
    <w:semiHidden/>
    <w:rsid w:val="008E42C8"/>
    <w:rPr>
      <w:sz w:val="18"/>
    </w:rPr>
  </w:style>
  <w:style w:type="paragraph" w:styleId="Footer">
    <w:name w:val="footer"/>
    <w:basedOn w:val="Normal"/>
    <w:rsid w:val="008E42C8"/>
    <w:pPr>
      <w:tabs>
        <w:tab w:val="center" w:pos="4320"/>
        <w:tab w:val="right" w:pos="8640"/>
      </w:tabs>
    </w:p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rsid w:val="008E42C8"/>
    <w:rPr>
      <w:sz w:val="18"/>
    </w:rPr>
  </w:style>
  <w:style w:type="paragraph" w:styleId="Header">
    <w:name w:val="header"/>
    <w:basedOn w:val="Normal"/>
    <w:link w:val="HeaderChar"/>
    <w:uiPriority w:val="99"/>
    <w:rsid w:val="008E42C8"/>
    <w:pPr>
      <w:tabs>
        <w:tab w:val="center" w:pos="4536"/>
        <w:tab w:val="right" w:pos="9072"/>
      </w:tabs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  <w:lang w:val="en-US" w:eastAsia="en-US"/>
    </w:rPr>
  </w:style>
  <w:style w:type="paragraph" w:customStyle="1" w:styleId="Organizer">
    <w:name w:val="Organizer"/>
    <w:basedOn w:val="Normal"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pPr>
      <w:spacing w:before="600" w:after="600"/>
      <w:jc w:val="center"/>
    </w:pPr>
    <w:rPr>
      <w:i/>
    </w:rPr>
  </w:style>
  <w:style w:type="paragraph" w:customStyle="1" w:styleId="Session">
    <w:name w:val="Session"/>
    <w:basedOn w:val="Normal"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rsid w:val="008E42C8"/>
    <w:pPr>
      <w:ind w:left="5250"/>
    </w:pPr>
  </w:style>
  <w:style w:type="paragraph" w:styleId="Title">
    <w:name w:val="Title"/>
    <w:basedOn w:val="Normal"/>
    <w:qFormat/>
    <w:pPr>
      <w:spacing w:after="300"/>
      <w:jc w:val="center"/>
    </w:pPr>
    <w:rPr>
      <w:b/>
      <w:caps/>
      <w:kern w:val="28"/>
      <w:sz w:val="30"/>
    </w:rPr>
  </w:style>
  <w:style w:type="paragraph" w:customStyle="1" w:styleId="TitleofDoc">
    <w:name w:val="Title of Doc"/>
    <w:basedOn w:val="Normal"/>
    <w:pPr>
      <w:spacing w:before="1200"/>
      <w:jc w:val="center"/>
    </w:pPr>
    <w:rPr>
      <w:caps/>
    </w:rPr>
  </w:style>
  <w:style w:type="paragraph" w:styleId="TOC1">
    <w:name w:val="toc 1"/>
    <w:basedOn w:val="Normal"/>
    <w:next w:val="Normal"/>
    <w:semiHidden/>
    <w:pPr>
      <w:tabs>
        <w:tab w:val="right" w:leader="dot" w:pos="9071"/>
      </w:tabs>
    </w:pPr>
  </w:style>
  <w:style w:type="character" w:styleId="PageNumber">
    <w:name w:val="page number"/>
    <w:basedOn w:val="DefaultParagraphFont"/>
  </w:style>
  <w:style w:type="paragraph" w:customStyle="1" w:styleId="Endofdocument-Annex">
    <w:name w:val="[End of document - Annex]"/>
    <w:basedOn w:val="Normal"/>
    <w:rsid w:val="008E42C8"/>
    <w:pPr>
      <w:ind w:left="5534"/>
    </w:pPr>
    <w:rPr>
      <w:lang w:val="en-US"/>
    </w:rPr>
  </w:style>
  <w:style w:type="paragraph" w:styleId="Caption">
    <w:name w:val="caption"/>
    <w:basedOn w:val="Normal"/>
    <w:next w:val="Normal"/>
    <w:qFormat/>
    <w:rsid w:val="008E42C8"/>
    <w:rPr>
      <w:b/>
      <w:bCs/>
      <w:sz w:val="18"/>
    </w:rPr>
  </w:style>
  <w:style w:type="paragraph" w:styleId="ListNumber">
    <w:name w:val="List Number"/>
    <w:basedOn w:val="Normal"/>
    <w:rsid w:val="008E42C8"/>
    <w:pPr>
      <w:numPr>
        <w:numId w:val="7"/>
      </w:numPr>
    </w:pPr>
  </w:style>
  <w:style w:type="paragraph" w:styleId="ListParagraph">
    <w:name w:val="List Paragraph"/>
    <w:basedOn w:val="Normal"/>
    <w:uiPriority w:val="34"/>
    <w:qFormat/>
    <w:rsid w:val="008E42C8"/>
    <w:pPr>
      <w:ind w:left="720"/>
      <w:contextualSpacing/>
    </w:pPr>
  </w:style>
  <w:style w:type="paragraph" w:customStyle="1" w:styleId="Meetingplacedate">
    <w:name w:val="Meeting place &amp; date"/>
    <w:basedOn w:val="Normal"/>
    <w:next w:val="Normal"/>
    <w:rsid w:val="008E42C8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paragraph" w:customStyle="1" w:styleId="Meetingtitle">
    <w:name w:val="Meeting title"/>
    <w:basedOn w:val="Normal"/>
    <w:next w:val="Normal"/>
    <w:rsid w:val="008E42C8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paragraph" w:customStyle="1" w:styleId="ONUME">
    <w:name w:val="ONUM E"/>
    <w:basedOn w:val="BodyText"/>
    <w:rsid w:val="008E42C8"/>
    <w:pPr>
      <w:numPr>
        <w:numId w:val="8"/>
      </w:numPr>
    </w:pPr>
  </w:style>
  <w:style w:type="paragraph" w:customStyle="1" w:styleId="ONUMFS">
    <w:name w:val="ONUM FS"/>
    <w:basedOn w:val="BodyText"/>
    <w:rsid w:val="008E42C8"/>
    <w:pPr>
      <w:numPr>
        <w:numId w:val="9"/>
      </w:numPr>
    </w:pPr>
  </w:style>
  <w:style w:type="paragraph" w:styleId="Salutation">
    <w:name w:val="Salutation"/>
    <w:basedOn w:val="Normal"/>
    <w:next w:val="Normal"/>
    <w:link w:val="SalutationChar"/>
    <w:rsid w:val="008E42C8"/>
  </w:style>
  <w:style w:type="character" w:customStyle="1" w:styleId="SalutationChar">
    <w:name w:val="Salutation Char"/>
    <w:basedOn w:val="DefaultParagraphFont"/>
    <w:link w:val="Salutation"/>
    <w:rsid w:val="008E42C8"/>
    <w:rPr>
      <w:rFonts w:ascii="Arial" w:eastAsia="SimSun" w:hAnsi="Arial" w:cs="Arial"/>
      <w:sz w:val="22"/>
      <w:lang w:val="fr-CH" w:eastAsia="zh-CN"/>
    </w:rPr>
  </w:style>
  <w:style w:type="character" w:customStyle="1" w:styleId="HeaderChar">
    <w:name w:val="Header Char"/>
    <w:link w:val="Header"/>
    <w:uiPriority w:val="99"/>
    <w:rsid w:val="003A6C70"/>
    <w:rPr>
      <w:rFonts w:ascii="Arial" w:eastAsia="SimSun" w:hAnsi="Arial" w:cs="Arial"/>
      <w:sz w:val="22"/>
      <w:lang w:val="fr-CH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42C8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8E42C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E42C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E42C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E42C8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sid w:val="008E42C8"/>
    <w:rPr>
      <w:sz w:val="18"/>
    </w:rPr>
  </w:style>
  <w:style w:type="paragraph" w:styleId="BodyText">
    <w:name w:val="Body Text"/>
    <w:basedOn w:val="Normal"/>
    <w:rsid w:val="008E42C8"/>
    <w:pPr>
      <w:spacing w:after="220"/>
    </w:pPr>
  </w:style>
  <w:style w:type="paragraph" w:styleId="BodyTextIndent">
    <w:name w:val="Body Text Indent"/>
    <w:basedOn w:val="Normal"/>
    <w:pPr>
      <w:ind w:left="567"/>
    </w:pPr>
  </w:style>
  <w:style w:type="paragraph" w:styleId="Closing">
    <w:name w:val="Closing"/>
    <w:basedOn w:val="Normal"/>
    <w:pPr>
      <w:ind w:left="4536"/>
      <w:jc w:val="center"/>
    </w:pPr>
  </w:style>
  <w:style w:type="paragraph" w:customStyle="1" w:styleId="Committee">
    <w:name w:val="Committee"/>
    <w:basedOn w:val="Normal"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pPr>
      <w:ind w:left="4536"/>
    </w:pPr>
    <w:rPr>
      <w:i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dofdocument">
    <w:name w:val="End of document"/>
    <w:basedOn w:val="Normal"/>
    <w:pPr>
      <w:ind w:left="4536"/>
      <w:jc w:val="center"/>
    </w:pPr>
  </w:style>
  <w:style w:type="paragraph" w:styleId="EndnoteText">
    <w:name w:val="endnote text"/>
    <w:basedOn w:val="Normal"/>
    <w:semiHidden/>
    <w:rsid w:val="008E42C8"/>
    <w:rPr>
      <w:sz w:val="18"/>
    </w:rPr>
  </w:style>
  <w:style w:type="paragraph" w:styleId="Footer">
    <w:name w:val="footer"/>
    <w:basedOn w:val="Normal"/>
    <w:rsid w:val="008E42C8"/>
    <w:pPr>
      <w:tabs>
        <w:tab w:val="center" w:pos="4320"/>
        <w:tab w:val="right" w:pos="8640"/>
      </w:tabs>
    </w:p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rsid w:val="008E42C8"/>
    <w:rPr>
      <w:sz w:val="18"/>
    </w:rPr>
  </w:style>
  <w:style w:type="paragraph" w:styleId="Header">
    <w:name w:val="header"/>
    <w:basedOn w:val="Normal"/>
    <w:link w:val="HeaderChar"/>
    <w:uiPriority w:val="99"/>
    <w:rsid w:val="008E42C8"/>
    <w:pPr>
      <w:tabs>
        <w:tab w:val="center" w:pos="4536"/>
        <w:tab w:val="right" w:pos="9072"/>
      </w:tabs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  <w:lang w:val="en-US" w:eastAsia="en-US"/>
    </w:rPr>
  </w:style>
  <w:style w:type="paragraph" w:customStyle="1" w:styleId="Organizer">
    <w:name w:val="Organizer"/>
    <w:basedOn w:val="Normal"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pPr>
      <w:spacing w:before="600" w:after="600"/>
      <w:jc w:val="center"/>
    </w:pPr>
    <w:rPr>
      <w:i/>
    </w:rPr>
  </w:style>
  <w:style w:type="paragraph" w:customStyle="1" w:styleId="Session">
    <w:name w:val="Session"/>
    <w:basedOn w:val="Normal"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rsid w:val="008E42C8"/>
    <w:pPr>
      <w:ind w:left="5250"/>
    </w:pPr>
  </w:style>
  <w:style w:type="paragraph" w:styleId="Title">
    <w:name w:val="Title"/>
    <w:basedOn w:val="Normal"/>
    <w:qFormat/>
    <w:pPr>
      <w:spacing w:after="300"/>
      <w:jc w:val="center"/>
    </w:pPr>
    <w:rPr>
      <w:b/>
      <w:caps/>
      <w:kern w:val="28"/>
      <w:sz w:val="30"/>
    </w:rPr>
  </w:style>
  <w:style w:type="paragraph" w:customStyle="1" w:styleId="TitleofDoc">
    <w:name w:val="Title of Doc"/>
    <w:basedOn w:val="Normal"/>
    <w:pPr>
      <w:spacing w:before="1200"/>
      <w:jc w:val="center"/>
    </w:pPr>
    <w:rPr>
      <w:caps/>
    </w:rPr>
  </w:style>
  <w:style w:type="paragraph" w:styleId="TOC1">
    <w:name w:val="toc 1"/>
    <w:basedOn w:val="Normal"/>
    <w:next w:val="Normal"/>
    <w:semiHidden/>
    <w:pPr>
      <w:tabs>
        <w:tab w:val="right" w:leader="dot" w:pos="9071"/>
      </w:tabs>
    </w:pPr>
  </w:style>
  <w:style w:type="character" w:styleId="PageNumber">
    <w:name w:val="page number"/>
    <w:basedOn w:val="DefaultParagraphFont"/>
  </w:style>
  <w:style w:type="paragraph" w:customStyle="1" w:styleId="Endofdocument-Annex">
    <w:name w:val="[End of document - Annex]"/>
    <w:basedOn w:val="Normal"/>
    <w:rsid w:val="008E42C8"/>
    <w:pPr>
      <w:ind w:left="5534"/>
    </w:pPr>
    <w:rPr>
      <w:lang w:val="en-US"/>
    </w:rPr>
  </w:style>
  <w:style w:type="paragraph" w:styleId="Caption">
    <w:name w:val="caption"/>
    <w:basedOn w:val="Normal"/>
    <w:next w:val="Normal"/>
    <w:qFormat/>
    <w:rsid w:val="008E42C8"/>
    <w:rPr>
      <w:b/>
      <w:bCs/>
      <w:sz w:val="18"/>
    </w:rPr>
  </w:style>
  <w:style w:type="paragraph" w:styleId="ListNumber">
    <w:name w:val="List Number"/>
    <w:basedOn w:val="Normal"/>
    <w:rsid w:val="008E42C8"/>
    <w:pPr>
      <w:numPr>
        <w:numId w:val="7"/>
      </w:numPr>
    </w:pPr>
  </w:style>
  <w:style w:type="paragraph" w:styleId="ListParagraph">
    <w:name w:val="List Paragraph"/>
    <w:basedOn w:val="Normal"/>
    <w:uiPriority w:val="34"/>
    <w:qFormat/>
    <w:rsid w:val="008E42C8"/>
    <w:pPr>
      <w:ind w:left="720"/>
      <w:contextualSpacing/>
    </w:pPr>
  </w:style>
  <w:style w:type="paragraph" w:customStyle="1" w:styleId="Meetingplacedate">
    <w:name w:val="Meeting place &amp; date"/>
    <w:basedOn w:val="Normal"/>
    <w:next w:val="Normal"/>
    <w:rsid w:val="008E42C8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paragraph" w:customStyle="1" w:styleId="Meetingtitle">
    <w:name w:val="Meeting title"/>
    <w:basedOn w:val="Normal"/>
    <w:next w:val="Normal"/>
    <w:rsid w:val="008E42C8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paragraph" w:customStyle="1" w:styleId="ONUME">
    <w:name w:val="ONUM E"/>
    <w:basedOn w:val="BodyText"/>
    <w:rsid w:val="008E42C8"/>
    <w:pPr>
      <w:numPr>
        <w:numId w:val="8"/>
      </w:numPr>
    </w:pPr>
  </w:style>
  <w:style w:type="paragraph" w:customStyle="1" w:styleId="ONUMFS">
    <w:name w:val="ONUM FS"/>
    <w:basedOn w:val="BodyText"/>
    <w:rsid w:val="008E42C8"/>
    <w:pPr>
      <w:numPr>
        <w:numId w:val="9"/>
      </w:numPr>
    </w:pPr>
  </w:style>
  <w:style w:type="paragraph" w:styleId="Salutation">
    <w:name w:val="Salutation"/>
    <w:basedOn w:val="Normal"/>
    <w:next w:val="Normal"/>
    <w:link w:val="SalutationChar"/>
    <w:rsid w:val="008E42C8"/>
  </w:style>
  <w:style w:type="character" w:customStyle="1" w:styleId="SalutationChar">
    <w:name w:val="Salutation Char"/>
    <w:basedOn w:val="DefaultParagraphFont"/>
    <w:link w:val="Salutation"/>
    <w:rsid w:val="008E42C8"/>
    <w:rPr>
      <w:rFonts w:ascii="Arial" w:eastAsia="SimSun" w:hAnsi="Arial" w:cs="Arial"/>
      <w:sz w:val="22"/>
      <w:lang w:val="fr-CH" w:eastAsia="zh-CN"/>
    </w:rPr>
  </w:style>
  <w:style w:type="character" w:customStyle="1" w:styleId="HeaderChar">
    <w:name w:val="Header Char"/>
    <w:link w:val="Header"/>
    <w:uiPriority w:val="99"/>
    <w:rsid w:val="003A6C70"/>
    <w:rPr>
      <w:rFonts w:ascii="Arial" w:eastAsia="SimSun" w:hAnsi="Arial" w:cs="Arial"/>
      <w:sz w:val="22"/>
      <w:lang w:val="fr-CH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6</Pages>
  <Words>1179</Words>
  <Characters>7750</Characters>
  <Application>Microsoft Office Word</Application>
  <DocSecurity>0</DocSecurity>
  <Lines>64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Traduction d’une lettre datée du 13 février 2008</vt:lpstr>
    </vt:vector>
  </TitlesOfParts>
  <Company>WIPO</Company>
  <LinksUpToDate>false</LinksUpToDate>
  <CharactersWithSpaces>8912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Traduction d’une lettre datée du 13 février 2008</dc:title>
  <dc:creator>Thioye</dc:creator>
  <cp:keywords>EDV/cp</cp:keywords>
  <dc:description>03/98 adapted  for NT</dc:description>
  <cp:lastModifiedBy>MARIN-CUDRAZ DAVI Nicoletta</cp:lastModifiedBy>
  <cp:revision>8</cp:revision>
  <cp:lastPrinted>2014-04-04T07:37:00Z</cp:lastPrinted>
  <dcterms:created xsi:type="dcterms:W3CDTF">2014-04-02T13:35:00Z</dcterms:created>
  <dcterms:modified xsi:type="dcterms:W3CDTF">2014-04-04T12:49:00Z</dcterms:modified>
</cp:coreProperties>
</file>