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1B4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58340" cy="14554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455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1B4F" w:rsidP="00831B4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  <w:r w:rsidRPr="00605827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8B2CC1" w:rsidRPr="001832A6" w:rsidTr="00754A5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6D4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26D45">
              <w:rPr>
                <w:rFonts w:ascii="Arial Black" w:hAnsi="Arial Black"/>
                <w:caps/>
                <w:sz w:val="15"/>
              </w:rPr>
              <w:t>WO/GA/47/</w:t>
            </w:r>
            <w:bookmarkStart w:id="1" w:name="Code"/>
            <w:bookmarkEnd w:id="1"/>
            <w:r w:rsidR="00FD24D7">
              <w:rPr>
                <w:rFonts w:ascii="Arial Black" w:hAnsi="Arial Black"/>
                <w:caps/>
                <w:sz w:val="15"/>
              </w:rPr>
              <w:t>14</w:t>
            </w:r>
          </w:p>
        </w:tc>
      </w:tr>
      <w:tr w:rsidR="008B2CC1" w:rsidRPr="001832A6" w:rsidTr="00754A54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31B4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754A54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2CC1" w:rsidRPr="0090731E" w:rsidRDefault="00831B4F" w:rsidP="00956D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7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31B4F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Генеральная Ассамблея ВОИС</w:t>
      </w:r>
    </w:p>
    <w:p w:rsidR="003845C1" w:rsidRDefault="003845C1" w:rsidP="003845C1"/>
    <w:p w:rsidR="00A85B8E" w:rsidRDefault="00A85B8E" w:rsidP="00E15A73"/>
    <w:p w:rsidR="00B26D45" w:rsidRPr="00E15A73" w:rsidRDefault="00831B4F" w:rsidP="00E15A73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седьмая (22-я очередная) сессия</w:t>
      </w:r>
      <w:r w:rsidRPr="00E15A73">
        <w:rPr>
          <w:b/>
          <w:sz w:val="24"/>
          <w:szCs w:val="24"/>
        </w:rPr>
        <w:t xml:space="preserve"> </w:t>
      </w:r>
    </w:p>
    <w:p w:rsidR="008B2CC1" w:rsidRPr="003845C1" w:rsidRDefault="00831B4F" w:rsidP="00E15A73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831B4F">
        <w:rPr>
          <w:b/>
          <w:sz w:val="24"/>
          <w:szCs w:val="24"/>
        </w:rPr>
        <w:t xml:space="preserve">, 05 – 14 </w:t>
      </w:r>
      <w:r w:rsidRPr="00814EB4">
        <w:rPr>
          <w:b/>
          <w:sz w:val="24"/>
          <w:szCs w:val="24"/>
          <w:lang w:val="ru-RU"/>
        </w:rPr>
        <w:t>октябр</w:t>
      </w:r>
      <w:r>
        <w:rPr>
          <w:b/>
          <w:sz w:val="24"/>
          <w:szCs w:val="24"/>
          <w:lang w:val="ru-RU"/>
        </w:rPr>
        <w:t>я</w:t>
      </w:r>
      <w:r w:rsidRPr="00831B4F">
        <w:rPr>
          <w:b/>
          <w:sz w:val="24"/>
          <w:szCs w:val="24"/>
        </w:rPr>
        <w:t xml:space="preserve"> 2015</w:t>
      </w:r>
      <w:r w:rsidRPr="00814EB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831B4F">
        <w:rPr>
          <w:b/>
          <w:sz w:val="24"/>
          <w:szCs w:val="24"/>
        </w:rPr>
        <w:t>.</w:t>
      </w:r>
    </w:p>
    <w:p w:rsidR="008B2CC1" w:rsidRPr="008B2CC1" w:rsidRDefault="008B2CC1" w:rsidP="00E15A73"/>
    <w:p w:rsidR="008B2CC1" w:rsidRPr="008B2CC1" w:rsidRDefault="008B2CC1" w:rsidP="008B2CC1"/>
    <w:p w:rsidR="008B2CC1" w:rsidRPr="008B2CC1" w:rsidRDefault="008B2CC1" w:rsidP="008B2CC1"/>
    <w:p w:rsidR="008B2CC1" w:rsidRPr="003320C2" w:rsidRDefault="00831B4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ЦЕНТР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АРБИТРАЖУ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ПОСРЕДНИЧЕСТВУ</w:t>
      </w:r>
      <w:r w:rsidRPr="003320C2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включая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доменныЕ</w:t>
      </w:r>
      <w:r w:rsidRPr="003320C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имена</w:t>
      </w:r>
      <w:r w:rsidRPr="003320C2">
        <w:rPr>
          <w:caps/>
          <w:sz w:val="24"/>
          <w:lang w:val="ru-RU"/>
        </w:rPr>
        <w:t xml:space="preserve"> </w:t>
      </w:r>
    </w:p>
    <w:p w:rsidR="008B2CC1" w:rsidRPr="003320C2" w:rsidRDefault="008B2CC1" w:rsidP="008B2CC1">
      <w:pPr>
        <w:rPr>
          <w:lang w:val="ru-RU"/>
        </w:rPr>
      </w:pPr>
    </w:p>
    <w:p w:rsidR="008B2CC1" w:rsidRPr="008B2CC1" w:rsidRDefault="00831B4F" w:rsidP="008B2CC1">
      <w:pPr>
        <w:rPr>
          <w:i/>
        </w:rPr>
      </w:pPr>
      <w:bookmarkStart w:id="5" w:name="Prepared"/>
      <w:bookmarkEnd w:id="5"/>
      <w:r w:rsidRPr="00226E01">
        <w:rPr>
          <w:i/>
        </w:rPr>
        <w:t>Документ подготовлен Секретариатом</w:t>
      </w:r>
    </w:p>
    <w:p w:rsidR="00AC205C" w:rsidRDefault="00AC205C"/>
    <w:p w:rsidR="008232F5" w:rsidRDefault="008232F5"/>
    <w:p w:rsidR="008232F5" w:rsidRDefault="008232F5"/>
    <w:p w:rsidR="008232F5" w:rsidRDefault="008232F5"/>
    <w:p w:rsidR="008232F5" w:rsidRDefault="008232F5"/>
    <w:p w:rsidR="00384EE8" w:rsidRPr="00831B4F" w:rsidRDefault="00831B4F" w:rsidP="005E2771">
      <w:pPr>
        <w:pStyle w:val="ListParagraph"/>
        <w:numPr>
          <w:ilvl w:val="0"/>
          <w:numId w:val="18"/>
        </w:numPr>
        <w:ind w:left="0" w:firstLine="0"/>
        <w:rPr>
          <w:snapToGrid w:val="0"/>
          <w:szCs w:val="22"/>
          <w:lang w:val="ru-RU"/>
        </w:rPr>
      </w:pPr>
      <w:r w:rsidRPr="00814EB4">
        <w:rPr>
          <w:szCs w:val="22"/>
          <w:lang w:val="ru-RU"/>
        </w:rPr>
        <w:t>В настоящем документе содержится обновленная информация о деятельности Центра ВОИС по арбитражу и посредничеству («Центр») как международного ресурса</w:t>
      </w:r>
      <w:r>
        <w:rPr>
          <w:szCs w:val="22"/>
          <w:lang w:val="ru-RU"/>
        </w:rPr>
        <w:t>, обеспечивающего</w:t>
      </w:r>
      <w:r w:rsidRPr="003C4C6B">
        <w:rPr>
          <w:szCs w:val="22"/>
          <w:lang w:val="ru-RU"/>
        </w:rPr>
        <w:t xml:space="preserve"> функционировани</w:t>
      </w:r>
      <w:r>
        <w:rPr>
          <w:szCs w:val="22"/>
          <w:lang w:val="ru-RU"/>
        </w:rPr>
        <w:t xml:space="preserve">е оперативных и </w:t>
      </w:r>
      <w:r w:rsidRPr="00814EB4">
        <w:rPr>
          <w:szCs w:val="22"/>
          <w:lang w:val="ru-RU"/>
        </w:rPr>
        <w:t>э</w:t>
      </w:r>
      <w:r>
        <w:rPr>
          <w:szCs w:val="22"/>
          <w:lang w:val="ru-RU"/>
        </w:rPr>
        <w:t>кономичных альтернативных механизмов</w:t>
      </w:r>
      <w:r w:rsidRPr="00814EB4">
        <w:rPr>
          <w:szCs w:val="22"/>
          <w:lang w:val="ru-RU"/>
        </w:rPr>
        <w:t xml:space="preserve"> внесудебного урегулирования споров, касающихся интеллектуальной собственности (ИС) </w:t>
      </w:r>
      <w:r>
        <w:rPr>
          <w:szCs w:val="22"/>
          <w:lang w:val="ru-RU"/>
        </w:rPr>
        <w:t xml:space="preserve">и </w:t>
      </w:r>
      <w:r w:rsidRPr="00814EB4">
        <w:rPr>
          <w:szCs w:val="22"/>
          <w:lang w:val="ru-RU"/>
        </w:rPr>
        <w:t xml:space="preserve">выступающего </w:t>
      </w:r>
      <w:r>
        <w:rPr>
          <w:szCs w:val="22"/>
          <w:lang w:val="ru-RU"/>
        </w:rPr>
        <w:t xml:space="preserve">как </w:t>
      </w:r>
      <w:r w:rsidRPr="00814EB4">
        <w:rPr>
          <w:szCs w:val="22"/>
          <w:lang w:val="ru-RU"/>
        </w:rPr>
        <w:t xml:space="preserve">в качестве </w:t>
      </w:r>
      <w:r w:rsidRPr="00586AC2">
        <w:rPr>
          <w:noProof/>
          <w:szCs w:val="22"/>
          <w:lang w:val="ru-RU" w:eastAsia="ru-RU"/>
        </w:rPr>
        <w:t>инстанци</w:t>
      </w:r>
      <w:r>
        <w:rPr>
          <w:szCs w:val="22"/>
          <w:lang w:val="ru-RU"/>
        </w:rPr>
        <w:t xml:space="preserve">и </w:t>
      </w:r>
      <w:r w:rsidRPr="00586AC2">
        <w:rPr>
          <w:szCs w:val="22"/>
          <w:lang w:val="ru-RU"/>
        </w:rPr>
        <w:t>рассмотрени</w:t>
      </w:r>
      <w:r>
        <w:rPr>
          <w:szCs w:val="22"/>
          <w:lang w:val="ru-RU"/>
        </w:rPr>
        <w:t>я споров</w:t>
      </w:r>
      <w:r w:rsidRPr="00814EB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так и органа, </w:t>
      </w:r>
      <w:r w:rsidRPr="00814EB4">
        <w:rPr>
          <w:szCs w:val="22"/>
          <w:lang w:val="ru-RU"/>
        </w:rPr>
        <w:t xml:space="preserve">предоставляющего экспертные </w:t>
      </w:r>
      <w:r w:rsidRPr="00586AC2">
        <w:rPr>
          <w:szCs w:val="22"/>
          <w:lang w:val="ru-RU"/>
        </w:rPr>
        <w:t>консульта</w:t>
      </w:r>
      <w:r>
        <w:rPr>
          <w:szCs w:val="22"/>
          <w:lang w:val="ru-RU"/>
        </w:rPr>
        <w:t xml:space="preserve">ции </w:t>
      </w:r>
      <w:r w:rsidRPr="00814EB4">
        <w:rPr>
          <w:szCs w:val="22"/>
          <w:lang w:val="ru-RU"/>
        </w:rPr>
        <w:t>по правовым и организационным вопросам в области альтернативного урегулирования споров (АУС).</w:t>
      </w:r>
    </w:p>
    <w:p w:rsidR="00384EE8" w:rsidRPr="00831B4F" w:rsidRDefault="00384EE8" w:rsidP="005E2771">
      <w:pPr>
        <w:rPr>
          <w:snapToGrid w:val="0"/>
          <w:szCs w:val="22"/>
          <w:lang w:val="ru-RU"/>
        </w:rPr>
      </w:pPr>
    </w:p>
    <w:p w:rsidR="00384EE8" w:rsidRPr="00831B4F" w:rsidRDefault="00831B4F" w:rsidP="005E2771">
      <w:pPr>
        <w:pStyle w:val="ListParagraph"/>
        <w:numPr>
          <w:ilvl w:val="0"/>
          <w:numId w:val="18"/>
        </w:numPr>
        <w:ind w:left="0" w:firstLine="0"/>
        <w:rPr>
          <w:rStyle w:val="ONUMEChar"/>
          <w:lang w:val="ru-RU"/>
        </w:rPr>
      </w:pPr>
      <w:r w:rsidRPr="00FB7971">
        <w:rPr>
          <w:szCs w:val="22"/>
          <w:lang w:val="ru-RU"/>
        </w:rPr>
        <w:t xml:space="preserve">Кроме того, в документе приводится обновленная информация о деятельности ВОИС в области доменных имен, </w:t>
      </w:r>
      <w:r>
        <w:rPr>
          <w:szCs w:val="22"/>
          <w:lang w:val="ru-RU"/>
        </w:rPr>
        <w:t xml:space="preserve">о </w:t>
      </w:r>
      <w:r w:rsidRPr="00586AC2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ой ранее сообщалось </w:t>
      </w:r>
      <w:r w:rsidRPr="00FB7971">
        <w:rPr>
          <w:szCs w:val="22"/>
          <w:lang w:val="ru-RU"/>
        </w:rPr>
        <w:t xml:space="preserve">в документе </w:t>
      </w:r>
      <w:r w:rsidRPr="00FB7971">
        <w:rPr>
          <w:rStyle w:val="ONUMEChar"/>
          <w:szCs w:val="22"/>
        </w:rPr>
        <w:t>WO</w:t>
      </w:r>
      <w:r w:rsidRPr="00FB7971">
        <w:rPr>
          <w:rStyle w:val="ONUMEChar"/>
          <w:szCs w:val="22"/>
          <w:lang w:val="ru-RU"/>
        </w:rPr>
        <w:t>/</w:t>
      </w:r>
      <w:r w:rsidRPr="00FB7971">
        <w:rPr>
          <w:rStyle w:val="ONUMEChar"/>
          <w:szCs w:val="22"/>
        </w:rPr>
        <w:t>GA</w:t>
      </w:r>
      <w:r w:rsidRPr="00FB7971">
        <w:rPr>
          <w:rStyle w:val="ONUMEChar"/>
          <w:szCs w:val="22"/>
          <w:lang w:val="ru-RU"/>
        </w:rPr>
        <w:t>/46/8</w:t>
      </w:r>
      <w:r w:rsidR="008D07ED" w:rsidRPr="002953D8">
        <w:rPr>
          <w:rStyle w:val="ONUMEChar"/>
          <w:szCs w:val="22"/>
          <w:vertAlign w:val="superscript"/>
        </w:rPr>
        <w:footnoteReference w:id="2"/>
      </w:r>
      <w:r w:rsidRPr="00831B4F">
        <w:rPr>
          <w:rStyle w:val="ONUMEChar"/>
          <w:szCs w:val="22"/>
          <w:lang w:val="ru-RU"/>
        </w:rPr>
        <w:t>.</w:t>
      </w:r>
      <w:r w:rsidR="00384EE8" w:rsidRPr="00831B4F">
        <w:rPr>
          <w:rStyle w:val="ONUMEChar"/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Он касается </w:t>
      </w:r>
      <w:r w:rsidRPr="00FB7971">
        <w:rPr>
          <w:szCs w:val="22"/>
          <w:lang w:val="ru-RU"/>
        </w:rPr>
        <w:t xml:space="preserve">рассмотрения Центром споров в области доменных имен </w:t>
      </w:r>
      <w:r w:rsidRPr="00586AC2">
        <w:rPr>
          <w:szCs w:val="22"/>
          <w:lang w:val="ru-RU"/>
        </w:rPr>
        <w:t>на основ</w:t>
      </w:r>
      <w:r>
        <w:rPr>
          <w:szCs w:val="22"/>
          <w:lang w:val="ru-RU"/>
        </w:rPr>
        <w:t xml:space="preserve">ании </w:t>
      </w:r>
      <w:r w:rsidRPr="00FB7971">
        <w:rPr>
          <w:szCs w:val="22"/>
          <w:lang w:val="ru-RU"/>
        </w:rPr>
        <w:t xml:space="preserve">различных </w:t>
      </w:r>
      <w:r w:rsidRPr="003C4C6B">
        <w:rPr>
          <w:szCs w:val="22"/>
          <w:lang w:val="ru-RU"/>
        </w:rPr>
        <w:t>стратеги</w:t>
      </w:r>
      <w:r>
        <w:rPr>
          <w:szCs w:val="22"/>
          <w:lang w:val="ru-RU"/>
        </w:rPr>
        <w:t>й</w:t>
      </w:r>
      <w:r w:rsidRPr="00FB7971">
        <w:rPr>
          <w:szCs w:val="22"/>
          <w:lang w:val="ru-RU"/>
        </w:rPr>
        <w:t xml:space="preserve"> и </w:t>
      </w:r>
      <w:r w:rsidRPr="003C4C6B">
        <w:rPr>
          <w:szCs w:val="22"/>
          <w:lang w:val="ru-RU"/>
        </w:rPr>
        <w:t xml:space="preserve">в отношении </w:t>
      </w:r>
      <w:r>
        <w:rPr>
          <w:szCs w:val="22"/>
          <w:lang w:val="ru-RU"/>
        </w:rPr>
        <w:t>различных</w:t>
      </w:r>
      <w:r w:rsidRPr="00FB7971">
        <w:rPr>
          <w:szCs w:val="22"/>
          <w:lang w:val="ru-RU"/>
        </w:rPr>
        <w:t xml:space="preserve"> </w:t>
      </w:r>
      <w:r w:rsidRPr="0072432B">
        <w:rPr>
          <w:szCs w:val="22"/>
          <w:lang w:val="ru-RU"/>
        </w:rPr>
        <w:t>соответствующ</w:t>
      </w:r>
      <w:r>
        <w:rPr>
          <w:szCs w:val="22"/>
          <w:lang w:val="ru-RU"/>
        </w:rPr>
        <w:t>их аспектов</w:t>
      </w:r>
      <w:r w:rsidRPr="00FB7971">
        <w:rPr>
          <w:szCs w:val="22"/>
          <w:lang w:val="ru-RU"/>
        </w:rPr>
        <w:t xml:space="preserve"> системы доменных имен в Интернете (DNS)</w:t>
      </w:r>
      <w:r>
        <w:rPr>
          <w:szCs w:val="22"/>
          <w:lang w:val="ru-RU"/>
        </w:rPr>
        <w:t xml:space="preserve">, а также некоторых изменений в подходах </w:t>
      </w:r>
      <w:r w:rsidRPr="003C4C6B">
        <w:rPr>
          <w:szCs w:val="22"/>
          <w:lang w:val="ru-RU"/>
        </w:rPr>
        <w:t>–</w:t>
      </w:r>
      <w:r>
        <w:rPr>
          <w:szCs w:val="22"/>
          <w:lang w:val="ru-RU"/>
        </w:rPr>
        <w:t xml:space="preserve"> </w:t>
      </w:r>
      <w:r w:rsidRPr="003C4C6B">
        <w:rPr>
          <w:szCs w:val="22"/>
          <w:lang w:val="ru-RU"/>
        </w:rPr>
        <w:t xml:space="preserve">в частности, </w:t>
      </w:r>
      <w:r w:rsidRPr="0072432B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>я</w:t>
      </w:r>
      <w:r w:rsidRPr="00FB7971">
        <w:rPr>
          <w:szCs w:val="22"/>
          <w:lang w:val="ru-RU"/>
        </w:rPr>
        <w:t xml:space="preserve"> механизмов </w:t>
      </w:r>
      <w:r>
        <w:rPr>
          <w:szCs w:val="22"/>
          <w:lang w:val="ru-RU"/>
        </w:rPr>
        <w:t xml:space="preserve">охраны </w:t>
      </w:r>
      <w:r w:rsidRPr="00FB7971">
        <w:rPr>
          <w:szCs w:val="22"/>
          <w:lang w:val="ru-RU"/>
        </w:rPr>
        <w:t>прав (</w:t>
      </w:r>
      <w:r>
        <w:rPr>
          <w:szCs w:val="22"/>
          <w:lang w:val="ru-RU"/>
        </w:rPr>
        <w:t>МОП</w:t>
      </w:r>
      <w:r w:rsidRPr="00FB797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 введении</w:t>
      </w:r>
      <w:r w:rsidRPr="00FB7971">
        <w:rPr>
          <w:szCs w:val="22"/>
          <w:lang w:val="ru-RU"/>
        </w:rPr>
        <w:t xml:space="preserve"> новых родовых доменов верхнего уровня (р</w:t>
      </w:r>
      <w:r>
        <w:rPr>
          <w:szCs w:val="22"/>
          <w:lang w:val="ru-RU"/>
        </w:rPr>
        <w:t>ДВУ), планируемого</w:t>
      </w:r>
      <w:r w:rsidRPr="00FB7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будущего</w:t>
      </w:r>
      <w:r w:rsidRPr="00FB7971">
        <w:rPr>
          <w:szCs w:val="22"/>
          <w:lang w:val="ru-RU"/>
        </w:rPr>
        <w:t xml:space="preserve"> пересмотр</w:t>
      </w:r>
      <w:r>
        <w:rPr>
          <w:szCs w:val="22"/>
          <w:lang w:val="ru-RU"/>
        </w:rPr>
        <w:t>а</w:t>
      </w:r>
      <w:r w:rsidRPr="00FB7971">
        <w:rPr>
          <w:szCs w:val="22"/>
          <w:lang w:val="ru-RU"/>
        </w:rPr>
        <w:t xml:space="preserve"> Корпорацией по </w:t>
      </w:r>
      <w:r w:rsidRPr="003C4C6B">
        <w:rPr>
          <w:szCs w:val="22"/>
          <w:lang w:val="ru-RU"/>
        </w:rPr>
        <w:t>распределени</w:t>
      </w:r>
      <w:r>
        <w:rPr>
          <w:szCs w:val="22"/>
          <w:lang w:val="ru-RU"/>
        </w:rPr>
        <w:t>ю</w:t>
      </w:r>
      <w:r w:rsidRPr="00FB7971">
        <w:rPr>
          <w:szCs w:val="22"/>
          <w:lang w:val="ru-RU"/>
        </w:rPr>
        <w:t xml:space="preserve"> имен и номеров в Интернете (</w:t>
      </w:r>
      <w:r w:rsidRPr="00FB7971">
        <w:rPr>
          <w:szCs w:val="22"/>
        </w:rPr>
        <w:t>ICANN</w:t>
      </w:r>
      <w:r w:rsidRPr="00FB7971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</w:t>
      </w:r>
      <w:r w:rsidRPr="00FB7971">
        <w:rPr>
          <w:szCs w:val="22"/>
          <w:lang w:val="ru-RU"/>
        </w:rPr>
        <w:t xml:space="preserve">Единой политики урегулирования споров в области доменных имен (ЕПУС), </w:t>
      </w:r>
      <w:r>
        <w:rPr>
          <w:szCs w:val="22"/>
          <w:lang w:val="ru-RU"/>
        </w:rPr>
        <w:t>а также хода</w:t>
      </w:r>
      <w:r w:rsidRPr="00FB7971">
        <w:rPr>
          <w:szCs w:val="22"/>
          <w:lang w:val="ru-RU"/>
        </w:rPr>
        <w:t xml:space="preserve"> выполнения рекомендаций</w:t>
      </w:r>
      <w:r>
        <w:rPr>
          <w:szCs w:val="22"/>
          <w:lang w:val="ru-RU"/>
        </w:rPr>
        <w:t xml:space="preserve"> государств-членов</w:t>
      </w:r>
      <w:r w:rsidRPr="00FB7971">
        <w:rPr>
          <w:szCs w:val="22"/>
          <w:lang w:val="ru-RU"/>
        </w:rPr>
        <w:t xml:space="preserve"> </w:t>
      </w:r>
      <w:r w:rsidRPr="0072432B">
        <w:rPr>
          <w:szCs w:val="22"/>
          <w:lang w:val="ru-RU"/>
        </w:rPr>
        <w:t>ВОИС</w:t>
      </w:r>
      <w:r>
        <w:rPr>
          <w:szCs w:val="22"/>
          <w:lang w:val="ru-RU"/>
        </w:rPr>
        <w:t>, с</w:t>
      </w:r>
      <w:r w:rsidRPr="003C4C6B">
        <w:rPr>
          <w:szCs w:val="22"/>
          <w:lang w:val="ru-RU"/>
        </w:rPr>
        <w:t>формулиров</w:t>
      </w:r>
      <w:r>
        <w:rPr>
          <w:szCs w:val="22"/>
          <w:lang w:val="ru-RU"/>
        </w:rPr>
        <w:t xml:space="preserve">анных </w:t>
      </w:r>
      <w:r w:rsidRPr="003C4C6B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FB7971">
        <w:rPr>
          <w:szCs w:val="22"/>
          <w:lang w:val="ru-RU"/>
        </w:rPr>
        <w:t>Второго процесса ВОИС по доменным именам в Интернете</w:t>
      </w:r>
      <w:r w:rsidRPr="00FB7971">
        <w:rPr>
          <w:rStyle w:val="ONUMEChar"/>
          <w:lang w:val="ru-RU"/>
        </w:rPr>
        <w:t>.</w:t>
      </w:r>
    </w:p>
    <w:p w:rsidR="00384EE8" w:rsidRPr="00831B4F" w:rsidRDefault="00384EE8" w:rsidP="005E2771">
      <w:pPr>
        <w:rPr>
          <w:rStyle w:val="ONUMEChar"/>
          <w:lang w:val="ru-RU"/>
        </w:rPr>
      </w:pPr>
    </w:p>
    <w:p w:rsidR="00384EE8" w:rsidRPr="00831B4F" w:rsidRDefault="005E2771" w:rsidP="00831B4F">
      <w:pPr>
        <w:ind w:left="567" w:hanging="567"/>
        <w:rPr>
          <w:b/>
          <w:lang w:val="ru-RU"/>
        </w:rPr>
      </w:pPr>
      <w:r w:rsidRPr="005E2771">
        <w:rPr>
          <w:b/>
        </w:rPr>
        <w:lastRenderedPageBreak/>
        <w:t>I</w:t>
      </w:r>
      <w:r w:rsidRPr="00831B4F">
        <w:rPr>
          <w:b/>
          <w:lang w:val="ru-RU"/>
        </w:rPr>
        <w:t>.</w:t>
      </w:r>
      <w:r w:rsidRPr="00831B4F">
        <w:rPr>
          <w:b/>
          <w:lang w:val="ru-RU"/>
        </w:rPr>
        <w:tab/>
      </w:r>
      <w:r w:rsidR="00831B4F" w:rsidRPr="00FB7971">
        <w:rPr>
          <w:b/>
          <w:lang w:val="ru-RU"/>
        </w:rPr>
        <w:t>АРБИТРАЖ И ПОСРЕДНИЧЕСТВО ПРИ УРЕГУЛИРОВАНИИ СПОРОВ, КАСАЮЩИХСЯ ИС</w:t>
      </w:r>
    </w:p>
    <w:p w:rsidR="005E2771" w:rsidRPr="00831B4F" w:rsidRDefault="005E2771" w:rsidP="005E2771">
      <w:pPr>
        <w:rPr>
          <w:lang w:val="ru-RU"/>
        </w:rPr>
      </w:pPr>
    </w:p>
    <w:p w:rsidR="00384EE8" w:rsidRPr="00CA720F" w:rsidRDefault="005E2771" w:rsidP="00CA720F">
      <w:pPr>
        <w:ind w:left="567" w:hanging="567"/>
        <w:rPr>
          <w:lang w:val="ru-RU"/>
        </w:rPr>
      </w:pPr>
      <w:r>
        <w:t>A</w:t>
      </w:r>
      <w:r w:rsidRPr="00CA720F">
        <w:rPr>
          <w:lang w:val="ru-RU"/>
        </w:rPr>
        <w:t>.</w:t>
      </w:r>
      <w:r w:rsidRPr="00CA720F">
        <w:rPr>
          <w:lang w:val="ru-RU"/>
        </w:rPr>
        <w:tab/>
      </w:r>
      <w:r w:rsidR="00CA720F">
        <w:rPr>
          <w:szCs w:val="22"/>
          <w:lang w:val="ru-RU"/>
        </w:rPr>
        <w:t xml:space="preserve">РАССМОТРЕНИЕ СПОРОВ С ПРИМЕНЕНИЕМ </w:t>
      </w:r>
      <w:r w:rsidR="00CA720F" w:rsidRPr="0072432B">
        <w:rPr>
          <w:szCs w:val="22"/>
          <w:lang w:val="ru-RU"/>
        </w:rPr>
        <w:t>МЕХАНИЗМ</w:t>
      </w:r>
      <w:r w:rsidR="00CA720F">
        <w:rPr>
          <w:szCs w:val="22"/>
          <w:lang w:val="ru-RU"/>
        </w:rPr>
        <w:t xml:space="preserve">ОВ АРБИТРАЖА И </w:t>
      </w:r>
      <w:r w:rsidR="00CA720F" w:rsidRPr="00FB7971">
        <w:rPr>
          <w:lang w:val="ru-RU"/>
        </w:rPr>
        <w:t>ПОСРЕДНИЧЕСТВА</w:t>
      </w:r>
    </w:p>
    <w:p w:rsidR="00384EE8" w:rsidRPr="00CA720F" w:rsidRDefault="00384EE8" w:rsidP="005E2771">
      <w:pPr>
        <w:jc w:val="both"/>
        <w:rPr>
          <w:snapToGrid w:val="0"/>
          <w:sz w:val="20"/>
          <w:lang w:val="ru-RU"/>
        </w:rPr>
      </w:pPr>
    </w:p>
    <w:p w:rsidR="00384EE8" w:rsidRPr="00917B80" w:rsidRDefault="00CA720F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>
        <w:rPr>
          <w:lang w:val="ru-RU"/>
        </w:rPr>
        <w:t xml:space="preserve">Центр продолжил работу по оптимизации </w:t>
      </w:r>
      <w:r w:rsidRPr="003C4C6B">
        <w:rPr>
          <w:lang w:val="ru-RU"/>
        </w:rPr>
        <w:t>возможн</w:t>
      </w:r>
      <w:r>
        <w:rPr>
          <w:lang w:val="ru-RU"/>
        </w:rPr>
        <w:t xml:space="preserve">остей применяемых им процедур посредничества и арбитража для лучшего </w:t>
      </w:r>
      <w:r w:rsidRPr="003C4C6B">
        <w:rPr>
          <w:lang w:val="ru-RU"/>
        </w:rPr>
        <w:t>удовлетворени</w:t>
      </w:r>
      <w:r>
        <w:rPr>
          <w:lang w:val="ru-RU"/>
        </w:rPr>
        <w:t>я потребности обладателей прав ИС в оперативном и экономичном урегулировании споров в отношении их прав. Главным</w:t>
      </w:r>
      <w:r w:rsidRPr="00CA720F">
        <w:rPr>
          <w:lang w:val="ru-RU"/>
        </w:rPr>
        <w:t xml:space="preserve"> </w:t>
      </w:r>
      <w:r>
        <w:rPr>
          <w:lang w:val="ru-RU"/>
        </w:rPr>
        <w:t>элементом</w:t>
      </w:r>
      <w:r w:rsidRPr="00CA720F">
        <w:rPr>
          <w:lang w:val="ru-RU"/>
        </w:rPr>
        <w:t xml:space="preserve"> </w:t>
      </w:r>
      <w:r>
        <w:rPr>
          <w:lang w:val="ru-RU"/>
        </w:rPr>
        <w:t>таких</w:t>
      </w:r>
      <w:r w:rsidRPr="00CA720F">
        <w:rPr>
          <w:lang w:val="ru-RU"/>
        </w:rPr>
        <w:t xml:space="preserve"> </w:t>
      </w:r>
      <w:r>
        <w:rPr>
          <w:lang w:val="ru-RU"/>
        </w:rPr>
        <w:t>усилий</w:t>
      </w:r>
      <w:r w:rsidRPr="00CA720F">
        <w:rPr>
          <w:lang w:val="ru-RU"/>
        </w:rPr>
        <w:t xml:space="preserve"> </w:t>
      </w:r>
      <w:r>
        <w:rPr>
          <w:lang w:val="ru-RU"/>
        </w:rPr>
        <w:t>является</w:t>
      </w:r>
      <w:r w:rsidRPr="00CA720F">
        <w:rPr>
          <w:lang w:val="ru-RU"/>
        </w:rPr>
        <w:t xml:space="preserve"> </w:t>
      </w:r>
      <w:r>
        <w:rPr>
          <w:lang w:val="ru-RU"/>
        </w:rPr>
        <w:t>качественное</w:t>
      </w:r>
      <w:r w:rsidRPr="00CA720F">
        <w:rPr>
          <w:lang w:val="ru-RU"/>
        </w:rPr>
        <w:t xml:space="preserve"> </w:t>
      </w:r>
      <w:r w:rsidRPr="003C4C6B">
        <w:rPr>
          <w:szCs w:val="22"/>
          <w:lang w:val="ru-RU"/>
        </w:rPr>
        <w:t>рассмотрени</w:t>
      </w:r>
      <w:r>
        <w:rPr>
          <w:lang w:val="ru-RU"/>
        </w:rPr>
        <w:t>е</w:t>
      </w:r>
      <w:r w:rsidRPr="00CA720F">
        <w:rPr>
          <w:lang w:val="ru-RU"/>
        </w:rPr>
        <w:t xml:space="preserve"> </w:t>
      </w:r>
      <w:r>
        <w:rPr>
          <w:lang w:val="ru-RU"/>
        </w:rPr>
        <w:t>и</w:t>
      </w:r>
      <w:r w:rsidRPr="00CA720F">
        <w:rPr>
          <w:lang w:val="ru-RU"/>
        </w:rPr>
        <w:t xml:space="preserve"> </w:t>
      </w:r>
      <w:r w:rsidRPr="003C4C6B">
        <w:rPr>
          <w:lang w:val="ru-RU"/>
        </w:rPr>
        <w:t>урегулировани</w:t>
      </w:r>
      <w:r>
        <w:rPr>
          <w:lang w:val="ru-RU"/>
        </w:rPr>
        <w:t>е</w:t>
      </w:r>
      <w:r w:rsidRPr="00CA720F">
        <w:rPr>
          <w:lang w:val="ru-RU"/>
        </w:rPr>
        <w:t xml:space="preserve"> </w:t>
      </w:r>
      <w:r>
        <w:rPr>
          <w:lang w:val="ru-RU"/>
        </w:rPr>
        <w:t>споров</w:t>
      </w:r>
      <w:r w:rsidRPr="00CA720F">
        <w:rPr>
          <w:lang w:val="ru-RU"/>
        </w:rPr>
        <w:t xml:space="preserve"> </w:t>
      </w:r>
      <w:r>
        <w:rPr>
          <w:lang w:val="ru-RU"/>
        </w:rPr>
        <w:t>с</w:t>
      </w:r>
      <w:r w:rsidRPr="00CA720F">
        <w:rPr>
          <w:lang w:val="ru-RU"/>
        </w:rPr>
        <w:t xml:space="preserve"> </w:t>
      </w:r>
      <w:r>
        <w:rPr>
          <w:lang w:val="ru-RU"/>
        </w:rPr>
        <w:t>применением</w:t>
      </w:r>
      <w:r w:rsidRPr="00CA720F">
        <w:rPr>
          <w:lang w:val="ru-RU"/>
        </w:rPr>
        <w:t xml:space="preserve"> </w:t>
      </w:r>
      <w:r>
        <w:rPr>
          <w:lang w:val="ru-RU"/>
        </w:rPr>
        <w:t>указанных</w:t>
      </w:r>
      <w:r w:rsidRPr="00CA720F">
        <w:rPr>
          <w:lang w:val="ru-RU"/>
        </w:rPr>
        <w:t xml:space="preserve"> </w:t>
      </w:r>
      <w:r>
        <w:rPr>
          <w:lang w:val="ru-RU"/>
        </w:rPr>
        <w:t>процедур</w:t>
      </w:r>
      <w:r w:rsidRPr="00CA720F">
        <w:rPr>
          <w:lang w:val="ru-RU"/>
        </w:rPr>
        <w:t xml:space="preserve">, </w:t>
      </w:r>
      <w:r>
        <w:rPr>
          <w:lang w:val="ru-RU"/>
        </w:rPr>
        <w:t>что</w:t>
      </w:r>
      <w:r w:rsidRPr="00CA720F">
        <w:rPr>
          <w:lang w:val="ru-RU"/>
        </w:rPr>
        <w:t xml:space="preserve"> </w:t>
      </w:r>
      <w:r>
        <w:rPr>
          <w:lang w:val="ru-RU"/>
        </w:rPr>
        <w:t>требует</w:t>
      </w:r>
      <w:r w:rsidRPr="00CA720F">
        <w:rPr>
          <w:lang w:val="ru-RU"/>
        </w:rPr>
        <w:t xml:space="preserve"> </w:t>
      </w:r>
      <w:r>
        <w:rPr>
          <w:lang w:val="ru-RU"/>
        </w:rPr>
        <w:t>обучения</w:t>
      </w:r>
      <w:r w:rsidR="00DF4485">
        <w:rPr>
          <w:rStyle w:val="FootnoteReference"/>
        </w:rPr>
        <w:footnoteReference w:id="3"/>
      </w:r>
      <w:r w:rsidRPr="00CA720F">
        <w:rPr>
          <w:lang w:val="ru-RU"/>
        </w:rPr>
        <w:t xml:space="preserve">, </w:t>
      </w:r>
      <w:r>
        <w:rPr>
          <w:lang w:val="ru-RU"/>
        </w:rPr>
        <w:t xml:space="preserve">и назначения квалифицированных арбитров и посредников и </w:t>
      </w:r>
      <w:r w:rsidRPr="00331612">
        <w:rPr>
          <w:lang w:val="ru-RU"/>
        </w:rPr>
        <w:t>обеспечени</w:t>
      </w:r>
      <w:r>
        <w:rPr>
          <w:lang w:val="ru-RU"/>
        </w:rPr>
        <w:t xml:space="preserve">я их </w:t>
      </w:r>
      <w:r w:rsidRPr="00331612">
        <w:rPr>
          <w:lang w:val="ru-RU"/>
        </w:rPr>
        <w:t>работ</w:t>
      </w:r>
      <w:r>
        <w:rPr>
          <w:lang w:val="ru-RU"/>
        </w:rPr>
        <w:t xml:space="preserve">ы, </w:t>
      </w:r>
      <w:r w:rsidRPr="0072432B">
        <w:rPr>
          <w:lang w:val="ru-RU"/>
        </w:rPr>
        <w:t>а также</w:t>
      </w:r>
      <w:r>
        <w:rPr>
          <w:lang w:val="ru-RU"/>
        </w:rPr>
        <w:t xml:space="preserve"> наличия современной инфраструктуры рассмотрения споров, в том числе основанной на использовании информационных технологий, таких как Электронный модуль ВОИС для рассмотрения споров (</w:t>
      </w:r>
      <w:r>
        <w:t>ECAF</w:t>
      </w:r>
      <w:r>
        <w:rPr>
          <w:lang w:val="ru-RU"/>
        </w:rPr>
        <w:t>)</w:t>
      </w:r>
      <w:r w:rsidR="00384EE8">
        <w:rPr>
          <w:rStyle w:val="FootnoteReference"/>
        </w:rPr>
        <w:footnoteReference w:id="4"/>
      </w:r>
      <w:r>
        <w:rPr>
          <w:lang w:val="ru-RU"/>
        </w:rPr>
        <w:t>.</w:t>
      </w:r>
      <w:r w:rsidR="00BC5505" w:rsidRPr="00CA720F">
        <w:rPr>
          <w:lang w:val="ru-RU"/>
        </w:rPr>
        <w:t xml:space="preserve">  </w:t>
      </w:r>
      <w:r w:rsidR="00917B80">
        <w:rPr>
          <w:lang w:val="ru-RU"/>
        </w:rPr>
        <w:t xml:space="preserve">Споры, </w:t>
      </w:r>
      <w:r w:rsidR="00917B80" w:rsidRPr="00274AD5">
        <w:rPr>
          <w:lang w:val="ru-RU"/>
        </w:rPr>
        <w:t>рассматрива</w:t>
      </w:r>
      <w:r w:rsidR="00917B80">
        <w:rPr>
          <w:lang w:val="ru-RU"/>
        </w:rPr>
        <w:t xml:space="preserve">вшиеся ВОИС в прошлом году, касались патентов, товарных знаков, программного обеспечения и научно-исследовательских и опытно-конструкторских разработок (НИОКР) и </w:t>
      </w:r>
      <w:r w:rsidR="00917B80" w:rsidRPr="00274AD5">
        <w:rPr>
          <w:lang w:val="ru-RU"/>
        </w:rPr>
        <w:t xml:space="preserve">франчайзинга </w:t>
      </w:r>
      <w:r w:rsidR="00917B80">
        <w:rPr>
          <w:lang w:val="ru-RU"/>
        </w:rPr>
        <w:t xml:space="preserve">и направлялись их сторонами в Центр на основании </w:t>
      </w:r>
      <w:r w:rsidR="00917B80" w:rsidRPr="003562BB">
        <w:rPr>
          <w:lang w:val="ru-RU"/>
        </w:rPr>
        <w:t>предварительн</w:t>
      </w:r>
      <w:r w:rsidR="00917B80">
        <w:rPr>
          <w:lang w:val="ru-RU"/>
        </w:rPr>
        <w:t xml:space="preserve">о согласованных условий контрактов, </w:t>
      </w:r>
      <w:r w:rsidR="00917B80" w:rsidRPr="0072432B">
        <w:rPr>
          <w:lang w:val="ru-RU"/>
        </w:rPr>
        <w:t>а также</w:t>
      </w:r>
      <w:r w:rsidR="00917B80">
        <w:rPr>
          <w:lang w:val="ru-RU"/>
        </w:rPr>
        <w:t xml:space="preserve"> </w:t>
      </w:r>
      <w:r w:rsidR="00917B80" w:rsidRPr="0072432B">
        <w:rPr>
          <w:lang w:val="ru-RU"/>
        </w:rPr>
        <w:t>соглашени</w:t>
      </w:r>
      <w:r w:rsidR="00917B80">
        <w:rPr>
          <w:lang w:val="ru-RU"/>
        </w:rPr>
        <w:t>й о передаче споров в арбитраж. Споры</w:t>
      </w:r>
      <w:r w:rsidR="00917B80" w:rsidRPr="00226E01">
        <w:rPr>
          <w:lang w:val="ru-RU"/>
        </w:rPr>
        <w:t xml:space="preserve">, </w:t>
      </w:r>
      <w:r w:rsidR="00917B80" w:rsidRPr="00274AD5">
        <w:rPr>
          <w:lang w:val="ru-RU"/>
        </w:rPr>
        <w:t>котор</w:t>
      </w:r>
      <w:r w:rsidR="00917B80">
        <w:rPr>
          <w:lang w:val="ru-RU"/>
        </w:rPr>
        <w:t>ые</w:t>
      </w:r>
      <w:r w:rsidR="00917B80" w:rsidRPr="00226E01">
        <w:rPr>
          <w:lang w:val="ru-RU"/>
        </w:rPr>
        <w:t xml:space="preserve"> </w:t>
      </w:r>
      <w:r w:rsidR="00917B80">
        <w:rPr>
          <w:lang w:val="ru-RU"/>
        </w:rPr>
        <w:t>направлялись</w:t>
      </w:r>
      <w:r w:rsidR="00917B80" w:rsidRPr="00226E01">
        <w:rPr>
          <w:lang w:val="ru-RU"/>
        </w:rPr>
        <w:t xml:space="preserve"> </w:t>
      </w:r>
      <w:r w:rsidR="00917B80">
        <w:rPr>
          <w:lang w:val="ru-RU"/>
        </w:rPr>
        <w:t>на</w:t>
      </w:r>
      <w:r w:rsidR="00917B80" w:rsidRPr="00226E01">
        <w:rPr>
          <w:lang w:val="ru-RU"/>
        </w:rPr>
        <w:t xml:space="preserve"> </w:t>
      </w:r>
      <w:r w:rsidR="00917B80" w:rsidRPr="00274AD5">
        <w:rPr>
          <w:szCs w:val="22"/>
          <w:lang w:val="ru-RU"/>
        </w:rPr>
        <w:t>рассмотрени</w:t>
      </w:r>
      <w:r w:rsidR="00917B80">
        <w:rPr>
          <w:lang w:val="ru-RU"/>
        </w:rPr>
        <w:t>е</w:t>
      </w:r>
      <w:r w:rsidR="00917B80" w:rsidRPr="00226E01">
        <w:rPr>
          <w:lang w:val="ru-RU"/>
        </w:rPr>
        <w:t xml:space="preserve"> </w:t>
      </w:r>
      <w:r w:rsidR="00917B80">
        <w:rPr>
          <w:lang w:val="ru-RU"/>
        </w:rPr>
        <w:t>после</w:t>
      </w:r>
      <w:r w:rsidR="00917B80" w:rsidRPr="00226E01">
        <w:rPr>
          <w:lang w:val="ru-RU"/>
        </w:rPr>
        <w:t xml:space="preserve"> 1</w:t>
      </w:r>
      <w:r w:rsidR="00917B80">
        <w:rPr>
          <w:lang w:val="ru-RU"/>
        </w:rPr>
        <w:t> июня</w:t>
      </w:r>
      <w:r w:rsidR="00917B80" w:rsidRPr="00226E01">
        <w:rPr>
          <w:lang w:val="ru-RU"/>
        </w:rPr>
        <w:t xml:space="preserve"> 2014 </w:t>
      </w:r>
      <w:r w:rsidR="00917B80">
        <w:rPr>
          <w:lang w:val="ru-RU"/>
        </w:rPr>
        <w:t>г</w:t>
      </w:r>
      <w:r w:rsidR="00917B80" w:rsidRPr="00226E01">
        <w:rPr>
          <w:lang w:val="ru-RU"/>
        </w:rPr>
        <w:t>., рассматрива</w:t>
      </w:r>
      <w:r w:rsidR="00917B80">
        <w:rPr>
          <w:lang w:val="ru-RU"/>
        </w:rPr>
        <w:t xml:space="preserve">лись </w:t>
      </w:r>
      <w:r w:rsidR="00917B80" w:rsidRPr="00226E01">
        <w:rPr>
          <w:lang w:val="ru-RU"/>
        </w:rPr>
        <w:t>на основ</w:t>
      </w:r>
      <w:r w:rsidR="00917B80">
        <w:rPr>
          <w:lang w:val="ru-RU"/>
        </w:rPr>
        <w:t xml:space="preserve">ании новых </w:t>
      </w:r>
      <w:r w:rsidR="00917B80" w:rsidRPr="00226E01">
        <w:rPr>
          <w:lang w:val="ru-RU"/>
        </w:rPr>
        <w:t>П</w:t>
      </w:r>
      <w:r w:rsidR="00917B80">
        <w:rPr>
          <w:lang w:val="ru-RU"/>
        </w:rPr>
        <w:t>равил</w:t>
      </w:r>
      <w:r w:rsidR="00917B80" w:rsidRPr="00226E01">
        <w:rPr>
          <w:lang w:val="ru-RU"/>
        </w:rPr>
        <w:t xml:space="preserve"> ВОИС по посредничеству и арбитражу</w:t>
      </w:r>
      <w:r w:rsidR="00917B80">
        <w:rPr>
          <w:lang w:val="ru-RU"/>
        </w:rPr>
        <w:t xml:space="preserve">, вступивших в силу в эту </w:t>
      </w:r>
      <w:r w:rsidR="00917B80">
        <w:rPr>
          <w:snapToGrid w:val="0"/>
          <w:lang w:val="ru-RU"/>
        </w:rPr>
        <w:t>дату</w:t>
      </w:r>
      <w:r w:rsidR="005F7F38">
        <w:rPr>
          <w:rStyle w:val="FootnoteReference"/>
        </w:rPr>
        <w:footnoteReference w:id="5"/>
      </w:r>
      <w:r w:rsidR="00917B80" w:rsidRPr="00917B80">
        <w:rPr>
          <w:lang w:val="ru-RU"/>
        </w:rPr>
        <w:t>.</w:t>
      </w:r>
    </w:p>
    <w:p w:rsidR="00384EE8" w:rsidRPr="00917B80" w:rsidRDefault="00384EE8" w:rsidP="005E2771">
      <w:pPr>
        <w:rPr>
          <w:lang w:val="ru-RU"/>
        </w:rPr>
      </w:pPr>
    </w:p>
    <w:p w:rsidR="008232F5" w:rsidRPr="00917B80" w:rsidRDefault="008232F5" w:rsidP="005E2771">
      <w:pPr>
        <w:rPr>
          <w:lang w:val="ru-RU"/>
        </w:rPr>
      </w:pPr>
    </w:p>
    <w:p w:rsidR="00384EE8" w:rsidRPr="003320C2" w:rsidRDefault="00754A54" w:rsidP="005E2771">
      <w:pPr>
        <w:pStyle w:val="Heading2"/>
        <w:spacing w:before="0" w:after="0"/>
        <w:rPr>
          <w:szCs w:val="22"/>
          <w:lang w:val="ru-RU"/>
        </w:rPr>
      </w:pPr>
      <w:r>
        <w:rPr>
          <w:szCs w:val="22"/>
        </w:rPr>
        <w:t>B</w:t>
      </w:r>
      <w:r w:rsidR="00384EE8" w:rsidRPr="003320C2">
        <w:rPr>
          <w:szCs w:val="22"/>
          <w:lang w:val="ru-RU"/>
        </w:rPr>
        <w:t>.</w:t>
      </w:r>
      <w:r w:rsidR="00384EE8" w:rsidRPr="003320C2">
        <w:rPr>
          <w:szCs w:val="22"/>
          <w:lang w:val="ru-RU"/>
        </w:rPr>
        <w:tab/>
      </w:r>
      <w:r w:rsidR="00917B80" w:rsidRPr="00226E01">
        <w:rPr>
          <w:szCs w:val="22"/>
          <w:lang w:val="ru-RU"/>
        </w:rPr>
        <w:t>УСЛУГИ</w:t>
      </w:r>
      <w:r w:rsidR="00917B80" w:rsidRPr="003320C2">
        <w:rPr>
          <w:szCs w:val="22"/>
          <w:lang w:val="ru-RU"/>
        </w:rPr>
        <w:t xml:space="preserve"> </w:t>
      </w:r>
      <w:r w:rsidR="00917B80" w:rsidRPr="00226E01">
        <w:rPr>
          <w:szCs w:val="22"/>
          <w:lang w:val="ru-RU"/>
        </w:rPr>
        <w:t>АУС</w:t>
      </w:r>
      <w:r w:rsidR="00917B80" w:rsidRPr="003320C2">
        <w:rPr>
          <w:szCs w:val="22"/>
          <w:lang w:val="ru-RU"/>
        </w:rPr>
        <w:t xml:space="preserve"> </w:t>
      </w:r>
      <w:r w:rsidR="00917B80" w:rsidRPr="00226E01">
        <w:rPr>
          <w:szCs w:val="22"/>
          <w:lang w:val="ru-RU"/>
        </w:rPr>
        <w:t>ДЛЯ</w:t>
      </w:r>
      <w:r w:rsidR="00917B80" w:rsidRPr="003320C2">
        <w:rPr>
          <w:szCs w:val="22"/>
          <w:lang w:val="ru-RU"/>
        </w:rPr>
        <w:t xml:space="preserve"> </w:t>
      </w:r>
      <w:r w:rsidR="00917B80" w:rsidRPr="00226E01">
        <w:rPr>
          <w:szCs w:val="22"/>
          <w:lang w:val="ru-RU"/>
        </w:rPr>
        <w:t>КОНКРЕТНЫХ</w:t>
      </w:r>
      <w:r w:rsidR="00917B80" w:rsidRPr="003320C2">
        <w:rPr>
          <w:szCs w:val="22"/>
          <w:lang w:val="ru-RU"/>
        </w:rPr>
        <w:t xml:space="preserve"> </w:t>
      </w:r>
      <w:r w:rsidR="00917B80" w:rsidRPr="00226E01">
        <w:rPr>
          <w:szCs w:val="22"/>
          <w:lang w:val="ru-RU"/>
        </w:rPr>
        <w:t>СЕКТОРОВ</w:t>
      </w:r>
      <w:r w:rsidR="00917B80" w:rsidRPr="003320C2">
        <w:rPr>
          <w:szCs w:val="22"/>
          <w:lang w:val="ru-RU"/>
        </w:rPr>
        <w:t xml:space="preserve"> </w:t>
      </w:r>
    </w:p>
    <w:p w:rsidR="00384EE8" w:rsidRPr="003320C2" w:rsidRDefault="00384EE8" w:rsidP="005E2771">
      <w:pPr>
        <w:rPr>
          <w:lang w:val="ru-RU"/>
        </w:rPr>
      </w:pPr>
    </w:p>
    <w:p w:rsidR="00384EE8" w:rsidRPr="00917B80" w:rsidRDefault="00917B80" w:rsidP="00366552">
      <w:pPr>
        <w:pStyle w:val="Heading3"/>
        <w:numPr>
          <w:ilvl w:val="4"/>
          <w:numId w:val="23"/>
        </w:numPr>
        <w:tabs>
          <w:tab w:val="left" w:pos="567"/>
        </w:tabs>
        <w:spacing w:before="0" w:after="0"/>
        <w:ind w:left="567" w:firstLine="0"/>
        <w:rPr>
          <w:szCs w:val="22"/>
          <w:lang w:val="ru-RU"/>
        </w:rPr>
      </w:pPr>
      <w:r w:rsidRPr="00226E01">
        <w:rPr>
          <w:szCs w:val="22"/>
          <w:lang w:val="ru-RU"/>
        </w:rPr>
        <w:t>Сотрудничество с ведомствами интеллектуальной собственности (ВИС)</w:t>
      </w:r>
    </w:p>
    <w:p w:rsidR="00366552" w:rsidRPr="00917B80" w:rsidRDefault="00366552" w:rsidP="00366552">
      <w:pPr>
        <w:rPr>
          <w:lang w:val="ru-RU"/>
        </w:rPr>
      </w:pPr>
    </w:p>
    <w:p w:rsidR="00384EE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226E01">
        <w:rPr>
          <w:lang w:val="ru-RU"/>
        </w:rPr>
        <w:t xml:space="preserve">В качестве одной из последних тенденций можно назвать оказание Центром услуг ведомствам </w:t>
      </w:r>
      <w:r>
        <w:rPr>
          <w:lang w:val="ru-RU"/>
        </w:rPr>
        <w:t xml:space="preserve">ИС </w:t>
      </w:r>
      <w:r w:rsidRPr="00226E01">
        <w:rPr>
          <w:lang w:val="ru-RU"/>
        </w:rPr>
        <w:t>по созданию факультативных механизмов АУС</w:t>
      </w:r>
      <w:r w:rsidRPr="009E1F9C">
        <w:rPr>
          <w:lang w:val="ru-RU"/>
        </w:rPr>
        <w:t xml:space="preserve">. </w:t>
      </w:r>
      <w:r>
        <w:rPr>
          <w:lang w:val="ru-RU"/>
        </w:rPr>
        <w:t xml:space="preserve">Такое </w:t>
      </w:r>
      <w:r w:rsidRPr="009E1F9C">
        <w:rPr>
          <w:lang w:val="ru-RU"/>
        </w:rPr>
        <w:t xml:space="preserve">сотрудничество, которое может также включать обучающие программы, информационно-разъяснительные мероприятия и </w:t>
      </w:r>
      <w:r>
        <w:rPr>
          <w:lang w:val="ru-RU"/>
        </w:rPr>
        <w:t>рассмотрение</w:t>
      </w:r>
      <w:r w:rsidRPr="009E1F9C">
        <w:rPr>
          <w:lang w:val="ru-RU"/>
        </w:rPr>
        <w:t xml:space="preserve"> споров, призвано </w:t>
      </w:r>
      <w:r>
        <w:rPr>
          <w:lang w:val="ru-RU"/>
        </w:rPr>
        <w:t xml:space="preserve">дать </w:t>
      </w:r>
      <w:r w:rsidRPr="009E1F9C">
        <w:rPr>
          <w:lang w:val="ru-RU"/>
        </w:rPr>
        <w:t xml:space="preserve">сторонам </w:t>
      </w:r>
      <w:r>
        <w:rPr>
          <w:lang w:val="ru-RU"/>
        </w:rPr>
        <w:t xml:space="preserve">недорогие </w:t>
      </w:r>
      <w:r w:rsidRPr="009E1F9C">
        <w:rPr>
          <w:lang w:val="ru-RU"/>
        </w:rPr>
        <w:t xml:space="preserve">и гибкие возможности урегулирования </w:t>
      </w:r>
      <w:r>
        <w:rPr>
          <w:lang w:val="ru-RU"/>
        </w:rPr>
        <w:t xml:space="preserve">направляемых </w:t>
      </w:r>
      <w:r w:rsidRPr="009E1F9C">
        <w:rPr>
          <w:lang w:val="ru-RU"/>
        </w:rPr>
        <w:t>ими в ВИС</w:t>
      </w:r>
      <w:r>
        <w:rPr>
          <w:lang w:val="ru-RU"/>
        </w:rPr>
        <w:t xml:space="preserve"> </w:t>
      </w:r>
      <w:r w:rsidRPr="009E1F9C">
        <w:rPr>
          <w:lang w:val="ru-RU"/>
        </w:rPr>
        <w:t>споров</w:t>
      </w:r>
      <w:r>
        <w:rPr>
          <w:lang w:val="ru-RU"/>
        </w:rPr>
        <w:t xml:space="preserve"> </w:t>
      </w:r>
      <w:r w:rsidRPr="003562BB">
        <w:rPr>
          <w:lang w:val="ru-RU"/>
        </w:rPr>
        <w:t xml:space="preserve">в отношении </w:t>
      </w:r>
      <w:r>
        <w:rPr>
          <w:lang w:val="ru-RU"/>
        </w:rPr>
        <w:t>заявок</w:t>
      </w:r>
      <w:r w:rsidRPr="009E1F9C">
        <w:rPr>
          <w:lang w:val="ru-RU"/>
        </w:rPr>
        <w:t xml:space="preserve">, по которым еще не принято решение, или </w:t>
      </w:r>
      <w:r>
        <w:rPr>
          <w:lang w:val="ru-RU"/>
        </w:rPr>
        <w:t>предоставленных прав</w:t>
      </w:r>
      <w:r w:rsidRPr="009E1F9C">
        <w:rPr>
          <w:lang w:val="ru-RU"/>
        </w:rPr>
        <w:t>.</w:t>
      </w:r>
    </w:p>
    <w:p w:rsidR="00384EE8" w:rsidRPr="00917B80" w:rsidRDefault="00384EE8" w:rsidP="005E2771">
      <w:pPr>
        <w:rPr>
          <w:lang w:val="ru-RU"/>
        </w:rPr>
      </w:pPr>
    </w:p>
    <w:p w:rsidR="00124C2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>
        <w:rPr>
          <w:lang w:val="ru-RU"/>
        </w:rPr>
        <w:t xml:space="preserve">После </w:t>
      </w:r>
      <w:r w:rsidRPr="000918A3">
        <w:rPr>
          <w:lang w:val="ru-RU"/>
        </w:rPr>
        <w:t>внедрени</w:t>
      </w:r>
      <w:r>
        <w:rPr>
          <w:lang w:val="ru-RU"/>
        </w:rPr>
        <w:t xml:space="preserve">я </w:t>
      </w:r>
      <w:r w:rsidRPr="00AD3962">
        <w:rPr>
          <w:lang w:val="ru-RU"/>
        </w:rPr>
        <w:t>в 2011</w:t>
      </w:r>
      <w:r w:rsidRPr="00AD3962">
        <w:t> </w:t>
      </w:r>
      <w:r w:rsidRPr="00AD3962">
        <w:rPr>
          <w:lang w:val="ru-RU"/>
        </w:rPr>
        <w:t xml:space="preserve">г. </w:t>
      </w:r>
      <w:r>
        <w:rPr>
          <w:lang w:val="ru-RU"/>
        </w:rPr>
        <w:t>в Ведомстве</w:t>
      </w:r>
      <w:r w:rsidRPr="00AD3962">
        <w:rPr>
          <w:lang w:val="ru-RU"/>
        </w:rPr>
        <w:t xml:space="preserve"> интеллектуальной собственности Сингапура (</w:t>
      </w:r>
      <w:r w:rsidRPr="00AD3962">
        <w:t>IPOS</w:t>
      </w:r>
      <w:r w:rsidRPr="00AD3962">
        <w:rPr>
          <w:lang w:val="ru-RU"/>
        </w:rPr>
        <w:t>)</w:t>
      </w:r>
      <w:r>
        <w:rPr>
          <w:lang w:val="ru-RU"/>
        </w:rPr>
        <w:t xml:space="preserve"> </w:t>
      </w:r>
      <w:r w:rsidRPr="00AD3962">
        <w:rPr>
          <w:lang w:val="ru-RU"/>
        </w:rPr>
        <w:t>совместной процедуры урегулирования споров</w:t>
      </w:r>
      <w:r>
        <w:rPr>
          <w:lang w:val="ru-RU"/>
        </w:rPr>
        <w:t xml:space="preserve">, направленной на </w:t>
      </w:r>
      <w:r w:rsidRPr="003562BB">
        <w:rPr>
          <w:lang w:val="ru-RU"/>
        </w:rPr>
        <w:t>развити</w:t>
      </w:r>
      <w:r>
        <w:rPr>
          <w:lang w:val="ru-RU"/>
        </w:rPr>
        <w:t xml:space="preserve">е посреднических </w:t>
      </w:r>
      <w:r w:rsidRPr="003562BB">
        <w:rPr>
          <w:lang w:val="ru-RU"/>
        </w:rPr>
        <w:t>процедур</w:t>
      </w:r>
      <w:r>
        <w:rPr>
          <w:lang w:val="ru-RU"/>
        </w:rPr>
        <w:t xml:space="preserve"> при </w:t>
      </w:r>
      <w:r w:rsidRPr="003562BB">
        <w:rPr>
          <w:szCs w:val="22"/>
          <w:lang w:val="ru-RU"/>
        </w:rPr>
        <w:t>рассмотрени</w:t>
      </w:r>
      <w:r>
        <w:rPr>
          <w:lang w:val="ru-RU"/>
        </w:rPr>
        <w:t>и споров о товарных знаках</w:t>
      </w:r>
      <w:r w:rsidRPr="00AD3962">
        <w:rPr>
          <w:lang w:val="ru-RU"/>
        </w:rPr>
        <w:t xml:space="preserve">, </w:t>
      </w:r>
      <w:r w:rsidRPr="00AD3962">
        <w:t>IPOS</w:t>
      </w:r>
      <w:r w:rsidRPr="00AD3962">
        <w:rPr>
          <w:lang w:val="ru-RU"/>
        </w:rPr>
        <w:t xml:space="preserve"> и Центр ввели с 1 апреля 201</w:t>
      </w:r>
      <w:r w:rsidRPr="001B68B0">
        <w:rPr>
          <w:lang w:val="ru-RU"/>
        </w:rPr>
        <w:t>4 г.</w:t>
      </w:r>
      <w:r>
        <w:rPr>
          <w:lang w:val="ru-RU"/>
        </w:rPr>
        <w:t xml:space="preserve">, </w:t>
      </w:r>
      <w:r w:rsidRPr="00282A64">
        <w:rPr>
          <w:lang w:val="ru-RU"/>
        </w:rPr>
        <w:t>в рамках</w:t>
      </w:r>
      <w:r>
        <w:rPr>
          <w:lang w:val="ru-RU"/>
        </w:rPr>
        <w:t xml:space="preserve"> упрощения</w:t>
      </w:r>
      <w:r w:rsidRPr="001B68B0">
        <w:rPr>
          <w:lang w:val="ru-RU"/>
        </w:rPr>
        <w:t xml:space="preserve"> </w:t>
      </w:r>
      <w:r w:rsidRPr="000918A3">
        <w:rPr>
          <w:lang w:val="ru-RU"/>
        </w:rPr>
        <w:t>процесс</w:t>
      </w:r>
      <w:r>
        <w:rPr>
          <w:lang w:val="ru-RU"/>
        </w:rPr>
        <w:t xml:space="preserve">ов </w:t>
      </w:r>
      <w:r w:rsidRPr="001B68B0">
        <w:rPr>
          <w:lang w:val="ru-RU"/>
        </w:rPr>
        <w:t>рассмотрения патентных споров</w:t>
      </w:r>
      <w:r>
        <w:rPr>
          <w:lang w:val="ru-RU"/>
        </w:rPr>
        <w:t>,</w:t>
      </w:r>
      <w:r w:rsidRPr="000918A3">
        <w:rPr>
          <w:lang w:val="ru-RU"/>
        </w:rPr>
        <w:t xml:space="preserve"> </w:t>
      </w:r>
      <w:r w:rsidRPr="001B68B0">
        <w:rPr>
          <w:lang w:val="ru-RU"/>
        </w:rPr>
        <w:t xml:space="preserve">подаваемых в </w:t>
      </w:r>
      <w:r w:rsidRPr="001B68B0">
        <w:t>IPOS</w:t>
      </w:r>
      <w:r>
        <w:rPr>
          <w:lang w:val="ru-RU"/>
        </w:rPr>
        <w:t>,</w:t>
      </w:r>
      <w:r w:rsidRPr="001B68B0">
        <w:rPr>
          <w:lang w:val="ru-RU"/>
        </w:rPr>
        <w:t xml:space="preserve"> </w:t>
      </w:r>
      <w:r w:rsidRPr="001B68B0">
        <w:rPr>
          <w:szCs w:val="22"/>
          <w:lang w:val="ru-RU"/>
        </w:rPr>
        <w:t>факультативн</w:t>
      </w:r>
      <w:r w:rsidRPr="001B68B0">
        <w:rPr>
          <w:lang w:val="ru-RU"/>
        </w:rPr>
        <w:t xml:space="preserve">ую </w:t>
      </w:r>
      <w:r>
        <w:rPr>
          <w:lang w:val="ru-RU"/>
        </w:rPr>
        <w:t xml:space="preserve">согласительную </w:t>
      </w:r>
      <w:r w:rsidRPr="001B68B0">
        <w:rPr>
          <w:lang w:val="ru-RU"/>
        </w:rPr>
        <w:t xml:space="preserve">процедуру </w:t>
      </w:r>
      <w:r>
        <w:rPr>
          <w:lang w:val="ru-RU"/>
        </w:rPr>
        <w:t>путем вынесения решений экспертами</w:t>
      </w:r>
      <w:r w:rsidRPr="001B68B0">
        <w:rPr>
          <w:lang w:val="ru-RU"/>
        </w:rPr>
        <w:t xml:space="preserve">. Центр также участвует в разработке процедур посредничества для урегулирования споров в сфере товарных знаков, подаваемых на </w:t>
      </w:r>
      <w:r w:rsidRPr="001B68B0">
        <w:rPr>
          <w:szCs w:val="22"/>
          <w:lang w:val="ru-RU"/>
        </w:rPr>
        <w:t>рассмотрени</w:t>
      </w:r>
      <w:r w:rsidRPr="001B68B0">
        <w:rPr>
          <w:lang w:val="ru-RU"/>
        </w:rPr>
        <w:t>е Национального института промышленной собственности Бразилии (</w:t>
      </w:r>
      <w:r w:rsidRPr="001B68B0">
        <w:t>INPI</w:t>
      </w:r>
      <w:r w:rsidRPr="001B68B0">
        <w:rPr>
          <w:lang w:val="ru-RU"/>
        </w:rPr>
        <w:t>-</w:t>
      </w:r>
      <w:r w:rsidRPr="001B68B0">
        <w:t>BR</w:t>
      </w:r>
      <w:r w:rsidRPr="001B68B0">
        <w:rPr>
          <w:lang w:val="ru-RU"/>
        </w:rPr>
        <w:t xml:space="preserve">), указавшего Центр в качестве </w:t>
      </w:r>
      <w:r>
        <w:rPr>
          <w:lang w:val="ru-RU"/>
        </w:rPr>
        <w:t xml:space="preserve">органа </w:t>
      </w:r>
      <w:r w:rsidRPr="001B68B0">
        <w:rPr>
          <w:lang w:val="ru-RU"/>
        </w:rPr>
        <w:t>рассмотрени</w:t>
      </w:r>
      <w:r>
        <w:rPr>
          <w:lang w:val="ru-RU"/>
        </w:rPr>
        <w:t>я споров с применением процедур</w:t>
      </w:r>
      <w:r w:rsidRPr="001B68B0">
        <w:rPr>
          <w:lang w:val="ru-RU"/>
        </w:rPr>
        <w:t xml:space="preserve"> посредничества</w:t>
      </w:r>
      <w:r>
        <w:rPr>
          <w:lang w:val="ru-RU"/>
        </w:rPr>
        <w:t xml:space="preserve"> для случаев</w:t>
      </w:r>
      <w:r w:rsidRPr="001B68B0">
        <w:rPr>
          <w:lang w:val="ru-RU"/>
        </w:rPr>
        <w:t xml:space="preserve">, </w:t>
      </w:r>
      <w:r>
        <w:rPr>
          <w:lang w:val="ru-RU"/>
        </w:rPr>
        <w:t xml:space="preserve">когда </w:t>
      </w:r>
      <w:r w:rsidRPr="001B68B0">
        <w:rPr>
          <w:lang w:val="ru-RU"/>
        </w:rPr>
        <w:t xml:space="preserve">одна или обе стороны </w:t>
      </w:r>
      <w:r>
        <w:rPr>
          <w:lang w:val="ru-RU"/>
        </w:rPr>
        <w:t>имеют постоянное местопребывание</w:t>
      </w:r>
      <w:r w:rsidRPr="001B68B0">
        <w:rPr>
          <w:lang w:val="ru-RU"/>
        </w:rPr>
        <w:t xml:space="preserve"> за пределами Бразилии. С 4 мая 2015</w:t>
      </w:r>
      <w:r w:rsidRPr="001B68B0">
        <w:t> </w:t>
      </w:r>
      <w:r w:rsidRPr="001B68B0">
        <w:rPr>
          <w:lang w:val="ru-RU"/>
        </w:rPr>
        <w:t>г. Ведомство интеллектуальной собственности Филиппин (</w:t>
      </w:r>
      <w:r w:rsidRPr="001B68B0">
        <w:t>IPOPHL</w:t>
      </w:r>
      <w:r w:rsidRPr="001B68B0">
        <w:rPr>
          <w:lang w:val="ru-RU"/>
        </w:rPr>
        <w:t>) предос</w:t>
      </w:r>
      <w:r>
        <w:rPr>
          <w:lang w:val="ru-RU"/>
        </w:rPr>
        <w:t>тавило сторонам споров</w:t>
      </w:r>
      <w:r w:rsidRPr="001B68B0">
        <w:rPr>
          <w:lang w:val="ru-RU"/>
        </w:rPr>
        <w:t xml:space="preserve"> возможность выб</w:t>
      </w:r>
      <w:r>
        <w:rPr>
          <w:lang w:val="ru-RU"/>
        </w:rPr>
        <w:t>и</w:t>
      </w:r>
      <w:r w:rsidRPr="001B68B0">
        <w:rPr>
          <w:lang w:val="ru-RU"/>
        </w:rPr>
        <w:t xml:space="preserve">рать Центр в качестве </w:t>
      </w:r>
      <w:r>
        <w:rPr>
          <w:lang w:val="ru-RU"/>
        </w:rPr>
        <w:t>органа</w:t>
      </w:r>
      <w:r w:rsidRPr="001B68B0">
        <w:rPr>
          <w:lang w:val="ru-RU"/>
        </w:rPr>
        <w:t xml:space="preserve"> </w:t>
      </w:r>
      <w:r w:rsidRPr="001B68B0">
        <w:rPr>
          <w:szCs w:val="22"/>
          <w:lang w:val="ru-RU"/>
        </w:rPr>
        <w:t>рассмотрени</w:t>
      </w:r>
      <w:r w:rsidRPr="001B68B0">
        <w:rPr>
          <w:lang w:val="ru-RU"/>
        </w:rPr>
        <w:t xml:space="preserve">я подаваемых в </w:t>
      </w:r>
      <w:r w:rsidRPr="001B68B0">
        <w:t>IPOPHL</w:t>
      </w:r>
      <w:r>
        <w:rPr>
          <w:lang w:val="ru-RU"/>
        </w:rPr>
        <w:t xml:space="preserve"> </w:t>
      </w:r>
      <w:r w:rsidRPr="001B68B0">
        <w:rPr>
          <w:lang w:val="ru-RU"/>
        </w:rPr>
        <w:t>споров</w:t>
      </w:r>
      <w:r>
        <w:rPr>
          <w:lang w:val="ru-RU"/>
        </w:rPr>
        <w:t xml:space="preserve"> </w:t>
      </w:r>
      <w:r w:rsidRPr="001B68B0">
        <w:rPr>
          <w:lang w:val="ru-RU"/>
        </w:rPr>
        <w:t xml:space="preserve">с </w:t>
      </w:r>
      <w:r w:rsidRPr="001B68B0">
        <w:rPr>
          <w:snapToGrid w:val="0"/>
          <w:lang w:val="ru-RU"/>
        </w:rPr>
        <w:t>применени</w:t>
      </w:r>
      <w:r w:rsidRPr="001B68B0">
        <w:rPr>
          <w:lang w:val="ru-RU"/>
        </w:rPr>
        <w:t xml:space="preserve">ем процедуры посредничества, если одна или несколько сторон </w:t>
      </w:r>
      <w:r>
        <w:rPr>
          <w:lang w:val="ru-RU"/>
        </w:rPr>
        <w:t>спора имеют постоянное местопребывание</w:t>
      </w:r>
      <w:r w:rsidRPr="001B68B0">
        <w:rPr>
          <w:lang w:val="ru-RU"/>
        </w:rPr>
        <w:t xml:space="preserve"> за пределами Филиппин.</w:t>
      </w:r>
    </w:p>
    <w:p w:rsidR="00C74E09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>
        <w:rPr>
          <w:lang w:val="ru-RU"/>
        </w:rPr>
        <w:lastRenderedPageBreak/>
        <w:t>После</w:t>
      </w:r>
      <w:r w:rsidRPr="00E24C0C">
        <w:rPr>
          <w:lang w:val="ru-RU"/>
        </w:rPr>
        <w:t xml:space="preserve"> подпис</w:t>
      </w:r>
      <w:r>
        <w:rPr>
          <w:lang w:val="ru-RU"/>
        </w:rPr>
        <w:t>ания</w:t>
      </w:r>
      <w:r w:rsidRPr="00E24C0C">
        <w:rPr>
          <w:lang w:val="ru-RU"/>
        </w:rPr>
        <w:t xml:space="preserve"> соглашени</w:t>
      </w:r>
      <w:r>
        <w:rPr>
          <w:lang w:val="ru-RU"/>
        </w:rPr>
        <w:t>я</w:t>
      </w:r>
      <w:r w:rsidRPr="00E24C0C">
        <w:rPr>
          <w:lang w:val="ru-RU"/>
        </w:rPr>
        <w:t xml:space="preserve"> </w:t>
      </w:r>
      <w:r>
        <w:rPr>
          <w:lang w:val="ru-RU"/>
        </w:rPr>
        <w:t>с</w:t>
      </w:r>
      <w:r w:rsidRPr="00E24C0C">
        <w:rPr>
          <w:lang w:val="ru-RU"/>
        </w:rPr>
        <w:t xml:space="preserve"> </w:t>
      </w:r>
      <w:r>
        <w:rPr>
          <w:lang w:val="ru-RU"/>
        </w:rPr>
        <w:t>Институтом</w:t>
      </w:r>
      <w:r w:rsidRPr="00E24C0C">
        <w:rPr>
          <w:lang w:val="ru-RU"/>
        </w:rPr>
        <w:t xml:space="preserve"> </w:t>
      </w:r>
      <w:r w:rsidRPr="001B68B0">
        <w:rPr>
          <w:lang w:val="ru-RU"/>
        </w:rPr>
        <w:t>промышленной</w:t>
      </w:r>
      <w:r w:rsidRPr="00E24C0C">
        <w:rPr>
          <w:lang w:val="ru-RU"/>
        </w:rPr>
        <w:t xml:space="preserve"> </w:t>
      </w:r>
      <w:r w:rsidRPr="001B68B0">
        <w:rPr>
          <w:lang w:val="ru-RU"/>
        </w:rPr>
        <w:t>собственности</w:t>
      </w:r>
      <w:r w:rsidRPr="00E24C0C">
        <w:rPr>
          <w:lang w:val="ru-RU"/>
        </w:rPr>
        <w:t xml:space="preserve"> </w:t>
      </w:r>
      <w:r>
        <w:rPr>
          <w:lang w:val="ru-RU"/>
        </w:rPr>
        <w:t>Мексики</w:t>
      </w:r>
      <w:r w:rsidRPr="00E24C0C">
        <w:rPr>
          <w:lang w:val="ru-RU"/>
        </w:rPr>
        <w:t xml:space="preserve"> (</w:t>
      </w:r>
      <w:r>
        <w:t>IMPI</w:t>
      </w:r>
      <w:r w:rsidRPr="00E24C0C">
        <w:rPr>
          <w:lang w:val="ru-RU"/>
        </w:rPr>
        <w:t xml:space="preserve">) </w:t>
      </w:r>
      <w:r>
        <w:rPr>
          <w:lang w:val="ru-RU"/>
        </w:rPr>
        <w:t xml:space="preserve">Центр </w:t>
      </w:r>
      <w:r w:rsidRPr="00E24C0C">
        <w:rPr>
          <w:lang w:val="ru-RU"/>
        </w:rPr>
        <w:t>сотрудн</w:t>
      </w:r>
      <w:r>
        <w:rPr>
          <w:lang w:val="ru-RU"/>
        </w:rPr>
        <w:t xml:space="preserve">ичает с </w:t>
      </w:r>
      <w:r>
        <w:t>IMPI</w:t>
      </w:r>
      <w:r w:rsidRPr="00E24C0C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E24C0C">
        <w:rPr>
          <w:lang w:val="ru-RU"/>
        </w:rPr>
        <w:t>разработк</w:t>
      </w:r>
      <w:r>
        <w:rPr>
          <w:lang w:val="ru-RU"/>
        </w:rPr>
        <w:t xml:space="preserve">е </w:t>
      </w:r>
      <w:r w:rsidRPr="00E24C0C">
        <w:rPr>
          <w:lang w:val="ru-RU"/>
        </w:rPr>
        <w:t>процедур</w:t>
      </w:r>
      <w:r>
        <w:rPr>
          <w:lang w:val="ru-RU"/>
        </w:rPr>
        <w:t xml:space="preserve"> и </w:t>
      </w:r>
      <w:r w:rsidRPr="00E24C0C">
        <w:rPr>
          <w:snapToGrid w:val="0"/>
          <w:lang w:val="ru-RU"/>
        </w:rPr>
        <w:t>услуг</w:t>
      </w:r>
      <w:r>
        <w:rPr>
          <w:snapToGrid w:val="0"/>
          <w:lang w:val="ru-RU"/>
        </w:rPr>
        <w:t xml:space="preserve"> </w:t>
      </w:r>
      <w:r w:rsidRPr="00E24C0C">
        <w:rPr>
          <w:lang w:val="ru-RU"/>
        </w:rPr>
        <w:t xml:space="preserve">АУС </w:t>
      </w:r>
      <w:r>
        <w:rPr>
          <w:lang w:val="ru-RU"/>
        </w:rPr>
        <w:t xml:space="preserve">для </w:t>
      </w:r>
      <w:r w:rsidRPr="00E24C0C">
        <w:rPr>
          <w:lang w:val="ru-RU"/>
        </w:rPr>
        <w:t>разрешени</w:t>
      </w:r>
      <w:r>
        <w:rPr>
          <w:lang w:val="ru-RU"/>
        </w:rPr>
        <w:t xml:space="preserve">я споров, направляемых в </w:t>
      </w:r>
      <w:r w:rsidRPr="00E24C0C">
        <w:rPr>
          <w:lang w:val="ru-RU"/>
        </w:rPr>
        <w:t xml:space="preserve">IMPI. </w:t>
      </w:r>
      <w:r>
        <w:rPr>
          <w:lang w:val="ru-RU"/>
        </w:rPr>
        <w:t>После</w:t>
      </w:r>
      <w:r w:rsidRPr="00E24C0C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E24C0C">
        <w:rPr>
          <w:lang w:val="ru-RU"/>
        </w:rPr>
        <w:t xml:space="preserve"> договоренност</w:t>
      </w:r>
      <w:r>
        <w:rPr>
          <w:lang w:val="ru-RU"/>
        </w:rPr>
        <w:t>ей</w:t>
      </w:r>
      <w:r w:rsidRPr="00E24C0C">
        <w:rPr>
          <w:lang w:val="ru-RU"/>
        </w:rPr>
        <w:t xml:space="preserve"> </w:t>
      </w:r>
      <w:r>
        <w:rPr>
          <w:lang w:val="ru-RU"/>
        </w:rPr>
        <w:t>с</w:t>
      </w:r>
      <w:r w:rsidRPr="00E24C0C">
        <w:rPr>
          <w:lang w:val="ru-RU"/>
        </w:rPr>
        <w:t xml:space="preserve"> Национальн</w:t>
      </w:r>
      <w:r>
        <w:rPr>
          <w:lang w:val="ru-RU"/>
        </w:rPr>
        <w:t xml:space="preserve">ым </w:t>
      </w:r>
      <w:r w:rsidRPr="00E24C0C">
        <w:rPr>
          <w:lang w:val="ru-RU"/>
        </w:rPr>
        <w:t>управлени</w:t>
      </w:r>
      <w:r>
        <w:rPr>
          <w:lang w:val="ru-RU"/>
        </w:rPr>
        <w:t xml:space="preserve">ем по </w:t>
      </w:r>
      <w:r>
        <w:rPr>
          <w:rFonts w:cs="Arial"/>
          <w:lang w:val="ru-RU"/>
        </w:rPr>
        <w:t>авторским</w:t>
      </w:r>
      <w:r w:rsidRPr="00E24C0C">
        <w:rPr>
          <w:rFonts w:cs="Arial"/>
          <w:lang w:val="ru-RU"/>
        </w:rPr>
        <w:t xml:space="preserve"> права</w:t>
      </w:r>
      <w:r>
        <w:rPr>
          <w:rFonts w:cs="Arial"/>
          <w:lang w:val="ru-RU"/>
        </w:rPr>
        <w:t>м</w:t>
      </w:r>
      <w:r>
        <w:rPr>
          <w:lang w:val="ru-RU"/>
        </w:rPr>
        <w:t xml:space="preserve"> </w:t>
      </w:r>
      <w:r w:rsidRPr="00E24C0C">
        <w:rPr>
          <w:lang w:val="ru-RU"/>
        </w:rPr>
        <w:t>Республик</w:t>
      </w:r>
      <w:r>
        <w:rPr>
          <w:lang w:val="ru-RU"/>
        </w:rPr>
        <w:t xml:space="preserve">и Колумбия и </w:t>
      </w:r>
      <w:r w:rsidRPr="00E24C0C">
        <w:rPr>
          <w:lang w:val="ru-RU"/>
        </w:rPr>
        <w:t xml:space="preserve">Генеральным директоратом по интеллектуальной собственности Индонезии (DGIPR) Центр </w:t>
      </w:r>
      <w:r>
        <w:rPr>
          <w:lang w:val="ru-RU"/>
        </w:rPr>
        <w:t xml:space="preserve">также участвует в </w:t>
      </w:r>
      <w:r w:rsidRPr="00E24C0C">
        <w:rPr>
          <w:lang w:val="ru-RU"/>
        </w:rPr>
        <w:t>проект</w:t>
      </w:r>
      <w:r>
        <w:rPr>
          <w:lang w:val="ru-RU"/>
        </w:rPr>
        <w:t xml:space="preserve">ах </w:t>
      </w:r>
      <w:r w:rsidRPr="00E24C0C">
        <w:rPr>
          <w:lang w:val="ru-RU"/>
        </w:rPr>
        <w:t>сотрудн</w:t>
      </w:r>
      <w:r>
        <w:rPr>
          <w:lang w:val="ru-RU"/>
        </w:rPr>
        <w:t xml:space="preserve">ичества по </w:t>
      </w:r>
      <w:r w:rsidRPr="00E24C0C">
        <w:rPr>
          <w:lang w:val="ru-RU"/>
        </w:rPr>
        <w:t>разработк</w:t>
      </w:r>
      <w:r>
        <w:rPr>
          <w:lang w:val="ru-RU"/>
        </w:rPr>
        <w:t xml:space="preserve">е </w:t>
      </w:r>
      <w:r w:rsidRPr="00E24C0C">
        <w:rPr>
          <w:lang w:val="ru-RU"/>
        </w:rPr>
        <w:t>процедур и услуг АУС</w:t>
      </w:r>
      <w:r>
        <w:rPr>
          <w:lang w:val="ru-RU"/>
        </w:rPr>
        <w:t xml:space="preserve">, применяемых </w:t>
      </w:r>
      <w:r w:rsidRPr="00E24C0C">
        <w:rPr>
          <w:lang w:val="ru-RU"/>
        </w:rPr>
        <w:t xml:space="preserve">в отношении </w:t>
      </w:r>
      <w:r>
        <w:rPr>
          <w:lang w:val="ru-RU"/>
        </w:rPr>
        <w:t xml:space="preserve">споров о </w:t>
      </w:r>
      <w:r w:rsidRPr="00E24C0C">
        <w:rPr>
          <w:lang w:val="ru-RU"/>
        </w:rPr>
        <w:t>некотор</w:t>
      </w:r>
      <w:r>
        <w:rPr>
          <w:lang w:val="ru-RU"/>
        </w:rPr>
        <w:t xml:space="preserve">ых правах в этих </w:t>
      </w:r>
      <w:r w:rsidRPr="00E24C0C">
        <w:rPr>
          <w:lang w:val="ru-RU"/>
        </w:rPr>
        <w:t>юрисдикци</w:t>
      </w:r>
      <w:r>
        <w:rPr>
          <w:lang w:val="ru-RU"/>
        </w:rPr>
        <w:t>ях.</w:t>
      </w:r>
    </w:p>
    <w:p w:rsidR="00194EFB" w:rsidRPr="00917B80" w:rsidRDefault="00194EFB" w:rsidP="005E2771">
      <w:pPr>
        <w:rPr>
          <w:lang w:val="ru-RU"/>
        </w:rPr>
      </w:pPr>
    </w:p>
    <w:p w:rsidR="00194EFB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714065">
        <w:rPr>
          <w:lang w:val="ru-RU"/>
        </w:rPr>
        <w:t>После заключения соответствующих соглашений Комиссия по авторскому праву Кореи (</w:t>
      </w:r>
      <w:r w:rsidRPr="00714065">
        <w:t>KCC</w:t>
      </w:r>
      <w:r w:rsidRPr="00714065">
        <w:rPr>
          <w:lang w:val="ru-RU"/>
        </w:rPr>
        <w:t>) и Корейское агентство по охране результатов творческой деятельности (</w:t>
      </w:r>
      <w:r w:rsidRPr="00714065">
        <w:t>KOCCA</w:t>
      </w:r>
      <w:r w:rsidRPr="00714065">
        <w:rPr>
          <w:lang w:val="ru-RU"/>
        </w:rPr>
        <w:t xml:space="preserve">) предлагают сторонам потенциальных споров использовать посредничество ВОИС при </w:t>
      </w:r>
      <w:r w:rsidRPr="00714065">
        <w:rPr>
          <w:szCs w:val="22"/>
          <w:lang w:val="ru-RU"/>
        </w:rPr>
        <w:t>рассмотрени</w:t>
      </w:r>
      <w:r w:rsidRPr="00714065">
        <w:rPr>
          <w:lang w:val="ru-RU"/>
        </w:rPr>
        <w:t>и дел с участием некорейской стороны с февраля и мая 2015 г., соответственно.</w:t>
      </w:r>
    </w:p>
    <w:p w:rsidR="00DC527E" w:rsidRPr="00917B80" w:rsidRDefault="00DC527E" w:rsidP="005E2771">
      <w:pPr>
        <w:rPr>
          <w:lang w:val="ru-RU"/>
        </w:rPr>
      </w:pPr>
    </w:p>
    <w:p w:rsidR="0058307C" w:rsidRPr="00917B80" w:rsidRDefault="0058307C" w:rsidP="005E2771">
      <w:pPr>
        <w:rPr>
          <w:lang w:val="ru-RU"/>
        </w:rPr>
      </w:pPr>
    </w:p>
    <w:p w:rsidR="00DC527E" w:rsidRDefault="00917B80" w:rsidP="00366552">
      <w:pPr>
        <w:pStyle w:val="Heading3"/>
        <w:numPr>
          <w:ilvl w:val="4"/>
          <w:numId w:val="23"/>
        </w:numPr>
        <w:tabs>
          <w:tab w:val="left" w:pos="1134"/>
        </w:tabs>
        <w:spacing w:before="0" w:after="0"/>
        <w:ind w:left="567" w:firstLine="0"/>
        <w:rPr>
          <w:szCs w:val="22"/>
        </w:rPr>
      </w:pPr>
      <w:r w:rsidRPr="00B00A34">
        <w:rPr>
          <w:szCs w:val="22"/>
          <w:lang w:val="ru-RU"/>
        </w:rPr>
        <w:t>Ускоренная</w:t>
      </w:r>
      <w:r w:rsidRPr="00B00A34">
        <w:rPr>
          <w:szCs w:val="22"/>
        </w:rPr>
        <w:t xml:space="preserve"> </w:t>
      </w:r>
      <w:r w:rsidRPr="00B00A34">
        <w:rPr>
          <w:szCs w:val="22"/>
          <w:lang w:val="ru-RU"/>
        </w:rPr>
        <w:t>процедура</w:t>
      </w:r>
      <w:r>
        <w:rPr>
          <w:szCs w:val="22"/>
          <w:lang w:val="ru-RU"/>
        </w:rPr>
        <w:t xml:space="preserve"> </w:t>
      </w:r>
      <w:r w:rsidRPr="00B00A34">
        <w:rPr>
          <w:szCs w:val="22"/>
          <w:lang w:val="ru-RU"/>
        </w:rPr>
        <w:t>разрешени</w:t>
      </w:r>
      <w:r>
        <w:rPr>
          <w:szCs w:val="22"/>
          <w:lang w:val="ru-RU"/>
        </w:rPr>
        <w:t>я споров</w:t>
      </w:r>
    </w:p>
    <w:p w:rsidR="00DC527E" w:rsidRDefault="00DC527E" w:rsidP="005E2771"/>
    <w:p w:rsidR="00DC527E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B00A34">
        <w:rPr>
          <w:lang w:val="ru-RU"/>
        </w:rPr>
        <w:t xml:space="preserve">Центр продолжал обсуждать варианты использования механизмов АУС для разрешения споров по вопросам ИС, возникающих </w:t>
      </w:r>
      <w:r>
        <w:rPr>
          <w:lang w:val="ru-RU"/>
        </w:rPr>
        <w:t xml:space="preserve">при проведении </w:t>
      </w:r>
      <w:r w:rsidRPr="00B00A34">
        <w:rPr>
          <w:lang w:val="ru-RU"/>
        </w:rPr>
        <w:t xml:space="preserve">торговых ярмарок, с организаторами и </w:t>
      </w:r>
      <w:r w:rsidRPr="00282A64">
        <w:rPr>
          <w:lang w:val="ru-RU"/>
        </w:rPr>
        <w:t>ассоциаци</w:t>
      </w:r>
      <w:r>
        <w:rPr>
          <w:lang w:val="ru-RU"/>
        </w:rPr>
        <w:t>ями</w:t>
      </w:r>
      <w:r w:rsidRPr="00B00A34">
        <w:rPr>
          <w:lang w:val="ru-RU"/>
        </w:rPr>
        <w:t xml:space="preserve"> организаторов ярмарок. В</w:t>
      </w:r>
      <w:r w:rsidRPr="00917B80">
        <w:rPr>
          <w:lang w:val="ru-RU"/>
        </w:rPr>
        <w:t xml:space="preserve"> 2015</w:t>
      </w:r>
      <w:r w:rsidRPr="00B00A34">
        <w:t> </w:t>
      </w:r>
      <w:r w:rsidRPr="00B00A34">
        <w:rPr>
          <w:lang w:val="ru-RU"/>
        </w:rPr>
        <w:t>г</w:t>
      </w:r>
      <w:r w:rsidRPr="00917B80">
        <w:rPr>
          <w:lang w:val="ru-RU"/>
        </w:rPr>
        <w:t xml:space="preserve">. </w:t>
      </w:r>
      <w:r w:rsidRPr="00B00A34">
        <w:rPr>
          <w:lang w:val="ru-RU"/>
        </w:rPr>
        <w:t>Центр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подготовил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проект</w:t>
      </w:r>
      <w:r w:rsidRPr="00917B80">
        <w:rPr>
          <w:lang w:val="ru-RU"/>
        </w:rPr>
        <w:t xml:space="preserve"> «</w:t>
      </w:r>
      <w:r w:rsidRPr="00B00A34">
        <w:rPr>
          <w:lang w:val="ru-RU"/>
        </w:rPr>
        <w:t>Процедуры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ВОИС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для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ускоренного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разрешения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споров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по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вопросам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ИС</w:t>
      </w:r>
      <w:r w:rsidRPr="00917B80">
        <w:rPr>
          <w:lang w:val="ru-RU"/>
        </w:rPr>
        <w:t xml:space="preserve">» </w:t>
      </w:r>
      <w:r w:rsidRPr="00B00A34">
        <w:rPr>
          <w:lang w:val="ru-RU"/>
        </w:rPr>
        <w:t>в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рамках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торговых</w:t>
      </w:r>
      <w:r w:rsidRPr="00917B80">
        <w:rPr>
          <w:lang w:val="ru-RU"/>
        </w:rPr>
        <w:t xml:space="preserve"> </w:t>
      </w:r>
      <w:r w:rsidRPr="00B00A34">
        <w:rPr>
          <w:lang w:val="ru-RU"/>
        </w:rPr>
        <w:t>ярмарок</w:t>
      </w:r>
      <w:r w:rsidRPr="00917B80">
        <w:rPr>
          <w:lang w:val="ru-RU"/>
        </w:rPr>
        <w:t xml:space="preserve"> </w:t>
      </w:r>
      <w:r w:rsidRPr="00B00A34">
        <w:t>Palexpo</w:t>
      </w:r>
      <w:r w:rsidRPr="00917B80">
        <w:rPr>
          <w:lang w:val="ru-RU"/>
        </w:rPr>
        <w:t xml:space="preserve">. </w:t>
      </w:r>
      <w:r>
        <w:rPr>
          <w:lang w:val="ru-RU"/>
        </w:rPr>
        <w:t xml:space="preserve">Такая </w:t>
      </w:r>
      <w:r w:rsidRPr="00B00A34">
        <w:rPr>
          <w:lang w:val="ru-RU"/>
        </w:rPr>
        <w:t xml:space="preserve">процедура </w:t>
      </w:r>
      <w:r>
        <w:rPr>
          <w:lang w:val="ru-RU"/>
        </w:rPr>
        <w:t xml:space="preserve">обеспечивает экономичный </w:t>
      </w:r>
      <w:r w:rsidRPr="00B00A34">
        <w:rPr>
          <w:lang w:val="ru-RU"/>
        </w:rPr>
        <w:t xml:space="preserve">и </w:t>
      </w:r>
      <w:r w:rsidRPr="00282A64">
        <w:rPr>
          <w:lang w:val="ru-RU"/>
        </w:rPr>
        <w:t>эффективн</w:t>
      </w:r>
      <w:r>
        <w:rPr>
          <w:lang w:val="ru-RU"/>
        </w:rPr>
        <w:t>ый</w:t>
      </w:r>
      <w:r w:rsidRPr="00B00A34">
        <w:rPr>
          <w:lang w:val="ru-RU"/>
        </w:rPr>
        <w:t xml:space="preserve"> механизм охраны авторских прав, прав на товарные знаки</w:t>
      </w:r>
      <w:r>
        <w:rPr>
          <w:lang w:val="ru-RU"/>
        </w:rPr>
        <w:t xml:space="preserve"> или </w:t>
      </w:r>
      <w:r w:rsidRPr="00B00A34">
        <w:rPr>
          <w:lang w:val="ru-RU"/>
        </w:rPr>
        <w:t xml:space="preserve">промышленные образцы экспонентов и иных сторон или </w:t>
      </w:r>
      <w:r>
        <w:rPr>
          <w:lang w:val="ru-RU"/>
        </w:rPr>
        <w:t>противодействия нарушению</w:t>
      </w:r>
      <w:r w:rsidRPr="00B00A34">
        <w:rPr>
          <w:lang w:val="ru-RU"/>
        </w:rPr>
        <w:t xml:space="preserve"> антимонопольного законодательства Швейцарии в рамках торговых ярмарок </w:t>
      </w:r>
      <w:r w:rsidRPr="00B00A34">
        <w:t>Palexpo</w:t>
      </w:r>
      <w:r w:rsidRPr="00B00A34">
        <w:rPr>
          <w:lang w:val="ru-RU"/>
        </w:rPr>
        <w:t>, проводимых в Женеве (Швейцар</w:t>
      </w:r>
      <w:r>
        <w:rPr>
          <w:lang w:val="ru-RU"/>
        </w:rPr>
        <w:t>ия). Решения в рамках процедуры</w:t>
      </w:r>
      <w:r w:rsidRPr="00B00A34">
        <w:rPr>
          <w:lang w:val="ru-RU"/>
        </w:rPr>
        <w:t xml:space="preserve">, разработанной для </w:t>
      </w:r>
      <w:r w:rsidRPr="00B00A34">
        <w:t>Palexpo</w:t>
      </w:r>
      <w:r w:rsidRPr="00B00A34">
        <w:rPr>
          <w:lang w:val="ru-RU"/>
        </w:rPr>
        <w:t>, выносятся одним экспертом в течение суток с момента поступления соответствующего ходатайства</w:t>
      </w:r>
      <w:r w:rsidRPr="00B00A34">
        <w:rPr>
          <w:szCs w:val="22"/>
          <w:lang w:val="ru-RU"/>
        </w:rPr>
        <w:t xml:space="preserve"> и подлежат немедленному исполнению на территории ярмарки. Каждая из сторон спора </w:t>
      </w:r>
      <w:r w:rsidRPr="00B00A34">
        <w:rPr>
          <w:rFonts w:eastAsia="PMingLiU"/>
          <w:bCs/>
          <w:szCs w:val="22"/>
          <w:lang w:val="ru-RU" w:eastAsia="zh-TW"/>
        </w:rPr>
        <w:t>вправе</w:t>
      </w:r>
      <w:r w:rsidRPr="00B00A34">
        <w:rPr>
          <w:szCs w:val="22"/>
          <w:lang w:val="ru-RU"/>
        </w:rPr>
        <w:t xml:space="preserve"> обжаловать решение эксперта в </w:t>
      </w:r>
      <w:r>
        <w:rPr>
          <w:szCs w:val="22"/>
          <w:lang w:val="ru-RU"/>
        </w:rPr>
        <w:t xml:space="preserve">органах </w:t>
      </w:r>
      <w:r w:rsidRPr="00B00A34">
        <w:rPr>
          <w:szCs w:val="22"/>
          <w:lang w:val="ru-RU"/>
        </w:rPr>
        <w:t xml:space="preserve">ускоренного арбитража ВОИС или в суде. Впервые </w:t>
      </w:r>
      <w:r w:rsidRPr="00B00A34">
        <w:rPr>
          <w:lang w:val="ru-RU"/>
        </w:rPr>
        <w:t xml:space="preserve">процедура ускоренного разрешения споров была </w:t>
      </w:r>
      <w:r w:rsidRPr="00B00A34">
        <w:rPr>
          <w:snapToGrid w:val="0"/>
          <w:lang w:val="ru-RU"/>
        </w:rPr>
        <w:t xml:space="preserve">применена </w:t>
      </w:r>
      <w:r w:rsidRPr="00B00A34">
        <w:rPr>
          <w:rFonts w:eastAsia="SimSun" w:cs="Arial"/>
          <w:snapToGrid w:val="0"/>
          <w:lang w:val="ru-RU"/>
        </w:rPr>
        <w:t>в ходе</w:t>
      </w:r>
      <w:r w:rsidRPr="00B00A34">
        <w:rPr>
          <w:snapToGrid w:val="0"/>
          <w:lang w:val="ru-RU"/>
        </w:rPr>
        <w:t xml:space="preserve"> </w:t>
      </w:r>
      <w:r w:rsidRPr="00B00A34">
        <w:rPr>
          <w:szCs w:val="22"/>
          <w:lang w:val="ru-RU"/>
        </w:rPr>
        <w:t xml:space="preserve">85-й Женевской международной автомобильной выставки, прошедшей в центре </w:t>
      </w:r>
      <w:r w:rsidRPr="00B00A34">
        <w:rPr>
          <w:szCs w:val="22"/>
        </w:rPr>
        <w:t>Palexpo</w:t>
      </w:r>
      <w:r w:rsidRPr="00B00A34">
        <w:rPr>
          <w:szCs w:val="22"/>
          <w:lang w:val="ru-RU"/>
        </w:rPr>
        <w:t xml:space="preserve"> 5 – 15 марта 2015 г.</w:t>
      </w:r>
    </w:p>
    <w:p w:rsidR="00261CAD" w:rsidRPr="00917B80" w:rsidRDefault="00261CAD" w:rsidP="005E2771">
      <w:pPr>
        <w:rPr>
          <w:lang w:val="ru-RU"/>
        </w:rPr>
      </w:pPr>
    </w:p>
    <w:p w:rsidR="0058307C" w:rsidRPr="00917B80" w:rsidRDefault="0058307C" w:rsidP="005E2771">
      <w:pPr>
        <w:rPr>
          <w:lang w:val="ru-RU"/>
        </w:rPr>
      </w:pPr>
    </w:p>
    <w:p w:rsidR="00261CAD" w:rsidRPr="00BE135E" w:rsidRDefault="00917B80" w:rsidP="00D55BC1">
      <w:pPr>
        <w:pStyle w:val="Heading3"/>
        <w:numPr>
          <w:ilvl w:val="4"/>
          <w:numId w:val="23"/>
        </w:numPr>
        <w:spacing w:before="0" w:after="0"/>
        <w:ind w:left="567" w:firstLine="0"/>
        <w:rPr>
          <w:szCs w:val="22"/>
        </w:rPr>
      </w:pPr>
      <w:r w:rsidRPr="0084516C">
        <w:rPr>
          <w:szCs w:val="22"/>
          <w:lang w:val="ru-RU"/>
        </w:rPr>
        <w:t>Разрешение споров о товарных знаках</w:t>
      </w:r>
    </w:p>
    <w:p w:rsidR="00261CAD" w:rsidRDefault="00261CAD" w:rsidP="005E2771"/>
    <w:p w:rsidR="00261CAD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84516C">
        <w:rPr>
          <w:lang w:val="ru-RU"/>
        </w:rPr>
        <w:t xml:space="preserve">В интересах более широкого использования механизмов посредничества сторонами споров и снижения негативных последствий споров для </w:t>
      </w:r>
      <w:r w:rsidRPr="00571C5E">
        <w:rPr>
          <w:lang w:val="ru-RU"/>
        </w:rPr>
        <w:t>эффективн</w:t>
      </w:r>
      <w:r>
        <w:rPr>
          <w:lang w:val="ru-RU"/>
        </w:rPr>
        <w:t xml:space="preserve">ого </w:t>
      </w:r>
      <w:r w:rsidRPr="0084516C">
        <w:rPr>
          <w:lang w:val="ru-RU"/>
        </w:rPr>
        <w:t xml:space="preserve">использования прав на товарные знаки Центр </w:t>
      </w:r>
      <w:r>
        <w:rPr>
          <w:lang w:val="ru-RU"/>
        </w:rPr>
        <w:t xml:space="preserve">и </w:t>
      </w:r>
      <w:r w:rsidRPr="0084516C">
        <w:rPr>
          <w:lang w:val="ru-RU"/>
        </w:rPr>
        <w:t>Международная ассоциация по товарным знакам (</w:t>
      </w:r>
      <w:r w:rsidRPr="0084516C">
        <w:t>INTA</w:t>
      </w:r>
      <w:r w:rsidRPr="0084516C">
        <w:rPr>
          <w:lang w:val="ru-RU"/>
        </w:rPr>
        <w:t xml:space="preserve">) договорились в феврале 2015 г. начать сотрудничество, призванное привлечь внимание членов </w:t>
      </w:r>
      <w:r w:rsidRPr="0084516C">
        <w:t>INTA</w:t>
      </w:r>
      <w:r w:rsidRPr="0084516C">
        <w:rPr>
          <w:lang w:val="ru-RU"/>
        </w:rPr>
        <w:t xml:space="preserve"> к возможн</w:t>
      </w:r>
      <w:r>
        <w:rPr>
          <w:lang w:val="ru-RU"/>
        </w:rPr>
        <w:t>остям</w:t>
      </w:r>
      <w:r w:rsidRPr="0084516C">
        <w:rPr>
          <w:lang w:val="ru-RU"/>
        </w:rPr>
        <w:t xml:space="preserve"> посредничества.</w:t>
      </w:r>
    </w:p>
    <w:p w:rsidR="00DC527E" w:rsidRPr="00917B80" w:rsidRDefault="00DC527E" w:rsidP="005E2771">
      <w:pPr>
        <w:rPr>
          <w:lang w:val="ru-RU"/>
        </w:rPr>
      </w:pPr>
    </w:p>
    <w:p w:rsidR="0058307C" w:rsidRPr="00917B80" w:rsidRDefault="0058307C" w:rsidP="005E2771">
      <w:pPr>
        <w:rPr>
          <w:lang w:val="ru-RU"/>
        </w:rPr>
      </w:pPr>
    </w:p>
    <w:p w:rsidR="00384EE8" w:rsidRPr="00917B80" w:rsidRDefault="00917B80" w:rsidP="00D55BC1">
      <w:pPr>
        <w:pStyle w:val="Heading3"/>
        <w:numPr>
          <w:ilvl w:val="4"/>
          <w:numId w:val="23"/>
        </w:numPr>
        <w:spacing w:before="0" w:after="0"/>
        <w:ind w:left="567" w:firstLine="0"/>
        <w:rPr>
          <w:szCs w:val="22"/>
          <w:lang w:val="ru-RU"/>
        </w:rPr>
      </w:pPr>
      <w:r w:rsidRPr="00260356">
        <w:rPr>
          <w:szCs w:val="22"/>
          <w:lang w:val="ru-RU"/>
        </w:rPr>
        <w:t>Урегулирование споров</w:t>
      </w:r>
      <w:r>
        <w:rPr>
          <w:szCs w:val="22"/>
          <w:lang w:val="ru-RU"/>
        </w:rPr>
        <w:t xml:space="preserve"> о патентах, входящих в стандарты</w:t>
      </w:r>
    </w:p>
    <w:p w:rsidR="00384EE8" w:rsidRPr="00917B80" w:rsidRDefault="00384EE8" w:rsidP="005E2771">
      <w:pPr>
        <w:rPr>
          <w:lang w:val="ru-RU"/>
        </w:rPr>
      </w:pPr>
    </w:p>
    <w:p w:rsidR="00384EE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260356">
        <w:rPr>
          <w:lang w:val="ru-RU"/>
        </w:rPr>
        <w:t>Центр продолжал сотрудничество с Европейским институтом телекоммуникационных стандартов (</w:t>
      </w:r>
      <w:r w:rsidRPr="00260356">
        <w:t>ETSI</w:t>
      </w:r>
      <w:r w:rsidRPr="00260356">
        <w:rPr>
          <w:lang w:val="ru-RU"/>
        </w:rPr>
        <w:t xml:space="preserve">) в разработке и </w:t>
      </w:r>
      <w:r w:rsidRPr="00260356">
        <w:rPr>
          <w:rFonts w:cs="Arial"/>
          <w:lang w:val="ru-RU"/>
        </w:rPr>
        <w:t>распространени</w:t>
      </w:r>
      <w:r w:rsidRPr="00260356">
        <w:rPr>
          <w:lang w:val="ru-RU"/>
        </w:rPr>
        <w:t>и специализированных типовых соглашений об арбитражном разрешении споров</w:t>
      </w:r>
      <w:r w:rsidRPr="00FC3321">
        <w:rPr>
          <w:lang w:val="ru-RU"/>
        </w:rPr>
        <w:t xml:space="preserve"> </w:t>
      </w:r>
      <w:r>
        <w:rPr>
          <w:lang w:val="ru-RU"/>
        </w:rPr>
        <w:t xml:space="preserve">о </w:t>
      </w:r>
      <w:r>
        <w:rPr>
          <w:szCs w:val="22"/>
          <w:lang w:val="ru-RU"/>
        </w:rPr>
        <w:t>патентах, входящих в стандарты</w:t>
      </w:r>
      <w:r w:rsidRPr="00260356">
        <w:rPr>
          <w:lang w:val="ru-RU"/>
        </w:rPr>
        <w:t xml:space="preserve">, </w:t>
      </w:r>
      <w:r>
        <w:rPr>
          <w:lang w:val="ru-RU"/>
        </w:rPr>
        <w:t xml:space="preserve">создающих </w:t>
      </w:r>
      <w:r w:rsidRPr="00260356">
        <w:rPr>
          <w:lang w:val="ru-RU"/>
        </w:rPr>
        <w:t xml:space="preserve">основу оперативного и экономичного урегулирования споров путем определения </w:t>
      </w:r>
      <w:r>
        <w:rPr>
          <w:lang w:val="ru-RU"/>
        </w:rPr>
        <w:t>условий справедливого</w:t>
      </w:r>
      <w:r w:rsidRPr="00260356">
        <w:rPr>
          <w:lang w:val="ru-RU"/>
        </w:rPr>
        <w:t>, разумн</w:t>
      </w:r>
      <w:r>
        <w:rPr>
          <w:lang w:val="ru-RU"/>
        </w:rPr>
        <w:t>ого и недискриминационного</w:t>
      </w:r>
      <w:r w:rsidRPr="00260356">
        <w:rPr>
          <w:lang w:val="ru-RU"/>
        </w:rPr>
        <w:t xml:space="preserve"> лицензирования</w:t>
      </w:r>
      <w:r w:rsidRPr="00FC3321">
        <w:rPr>
          <w:lang w:val="ru-RU"/>
        </w:rPr>
        <w:t xml:space="preserve"> </w:t>
      </w:r>
      <w:r w:rsidRPr="00260356">
        <w:rPr>
          <w:lang w:val="ru-RU"/>
        </w:rPr>
        <w:t>(</w:t>
      </w:r>
      <w:r w:rsidRPr="00260356">
        <w:t>fair</w:t>
      </w:r>
      <w:r w:rsidRPr="00260356">
        <w:rPr>
          <w:lang w:val="ru-RU"/>
        </w:rPr>
        <w:t xml:space="preserve">, </w:t>
      </w:r>
      <w:r w:rsidRPr="00260356">
        <w:t>reasonable</w:t>
      </w:r>
      <w:r w:rsidRPr="00260356">
        <w:rPr>
          <w:lang w:val="ru-RU"/>
        </w:rPr>
        <w:t xml:space="preserve"> </w:t>
      </w:r>
      <w:r w:rsidRPr="00260356">
        <w:t>and</w:t>
      </w:r>
      <w:r w:rsidRPr="00260356">
        <w:rPr>
          <w:lang w:val="ru-RU"/>
        </w:rPr>
        <w:t xml:space="preserve"> </w:t>
      </w:r>
      <w:r w:rsidRPr="00260356">
        <w:t>non</w:t>
      </w:r>
      <w:r w:rsidRPr="00260356">
        <w:rPr>
          <w:lang w:val="ru-RU"/>
        </w:rPr>
        <w:t>-</w:t>
      </w:r>
      <w:r w:rsidRPr="00260356">
        <w:t>discriminatory</w:t>
      </w:r>
      <w:r w:rsidRPr="00260356">
        <w:rPr>
          <w:lang w:val="ru-RU"/>
        </w:rPr>
        <w:t xml:space="preserve"> - </w:t>
      </w:r>
      <w:r w:rsidRPr="00260356">
        <w:t>FRAND</w:t>
      </w:r>
      <w:r w:rsidRPr="00260356">
        <w:rPr>
          <w:lang w:val="ru-RU"/>
        </w:rPr>
        <w:t>)</w:t>
      </w:r>
      <w:r w:rsidR="00384EE8">
        <w:rPr>
          <w:rStyle w:val="FootnoteReference"/>
          <w:szCs w:val="22"/>
        </w:rPr>
        <w:footnoteReference w:id="6"/>
      </w:r>
      <w:r w:rsidRPr="00917B80">
        <w:rPr>
          <w:szCs w:val="22"/>
          <w:lang w:val="ru-RU"/>
        </w:rPr>
        <w:t>.</w:t>
      </w:r>
      <w:r w:rsidR="00384EE8" w:rsidRPr="00917B80">
        <w:rPr>
          <w:szCs w:val="22"/>
          <w:lang w:val="ru-RU"/>
        </w:rPr>
        <w:t xml:space="preserve">  </w:t>
      </w:r>
      <w:r w:rsidRPr="00260356">
        <w:rPr>
          <w:szCs w:val="22"/>
          <w:lang w:val="ru-RU"/>
        </w:rPr>
        <w:t xml:space="preserve">Использование механизмов АУС для разрешения таких споров поощряется антимонопольными органами некоторых стран, а ряд нормотворческих организаций </w:t>
      </w:r>
      <w:r>
        <w:rPr>
          <w:szCs w:val="22"/>
          <w:lang w:val="ru-RU"/>
        </w:rPr>
        <w:lastRenderedPageBreak/>
        <w:t xml:space="preserve">учитывает </w:t>
      </w:r>
      <w:r w:rsidRPr="00571C5E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ы </w:t>
      </w:r>
      <w:r w:rsidRPr="00260356">
        <w:rPr>
          <w:szCs w:val="22"/>
          <w:lang w:val="ru-RU"/>
        </w:rPr>
        <w:t xml:space="preserve">АУС </w:t>
      </w:r>
      <w:r>
        <w:rPr>
          <w:szCs w:val="22"/>
          <w:lang w:val="ru-RU"/>
        </w:rPr>
        <w:t xml:space="preserve">при </w:t>
      </w:r>
      <w:r w:rsidRPr="00571C5E">
        <w:rPr>
          <w:szCs w:val="22"/>
          <w:lang w:val="ru-RU"/>
        </w:rPr>
        <w:t>разработк</w:t>
      </w:r>
      <w:r>
        <w:rPr>
          <w:szCs w:val="22"/>
          <w:lang w:val="ru-RU"/>
        </w:rPr>
        <w:t>е своей</w:t>
      </w:r>
      <w:r w:rsidRPr="00260356">
        <w:rPr>
          <w:szCs w:val="22"/>
          <w:lang w:val="ru-RU"/>
        </w:rPr>
        <w:t xml:space="preserve"> </w:t>
      </w:r>
      <w:r w:rsidRPr="00571C5E">
        <w:rPr>
          <w:szCs w:val="22"/>
          <w:lang w:val="ru-RU"/>
        </w:rPr>
        <w:t>политик</w:t>
      </w:r>
      <w:r>
        <w:rPr>
          <w:szCs w:val="22"/>
          <w:lang w:val="ru-RU"/>
        </w:rPr>
        <w:t>и</w:t>
      </w:r>
      <w:r w:rsidRPr="00260356">
        <w:rPr>
          <w:szCs w:val="22"/>
          <w:lang w:val="ru-RU"/>
        </w:rPr>
        <w:t xml:space="preserve"> в области ИС. </w:t>
      </w:r>
      <w:r>
        <w:rPr>
          <w:szCs w:val="22"/>
          <w:lang w:val="ru-RU"/>
        </w:rPr>
        <w:t>Разработанные</w:t>
      </w:r>
      <w:r w:rsidRPr="00F8214B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F8214B">
        <w:rPr>
          <w:szCs w:val="22"/>
          <w:lang w:val="ru-RU"/>
        </w:rPr>
        <w:t xml:space="preserve"> </w:t>
      </w:r>
      <w:r>
        <w:rPr>
          <w:lang w:val="ru-RU"/>
        </w:rPr>
        <w:t>типовые</w:t>
      </w:r>
      <w:r w:rsidRPr="00F8214B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F8214B">
        <w:rPr>
          <w:lang w:val="ru-RU"/>
        </w:rPr>
        <w:t xml:space="preserve"> </w:t>
      </w:r>
      <w:r>
        <w:rPr>
          <w:szCs w:val="22"/>
        </w:rPr>
        <w:t>FRAND</w:t>
      </w:r>
      <w:r w:rsidRPr="00F8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опираются</w:t>
      </w:r>
      <w:r w:rsidRPr="00F8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8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опыт</w:t>
      </w:r>
      <w:r w:rsidRPr="00F8214B">
        <w:rPr>
          <w:szCs w:val="22"/>
          <w:lang w:val="ru-RU"/>
        </w:rPr>
        <w:t xml:space="preserve"> работ</w:t>
      </w:r>
      <w:r>
        <w:rPr>
          <w:szCs w:val="22"/>
          <w:lang w:val="ru-RU"/>
        </w:rPr>
        <w:t>ы</w:t>
      </w:r>
      <w:r w:rsidRPr="00F8214B">
        <w:rPr>
          <w:szCs w:val="22"/>
          <w:lang w:val="ru-RU"/>
        </w:rPr>
        <w:t xml:space="preserve"> Центр</w:t>
      </w:r>
      <w:r>
        <w:rPr>
          <w:szCs w:val="22"/>
          <w:lang w:val="ru-RU"/>
        </w:rPr>
        <w:t>а</w:t>
      </w:r>
      <w:r w:rsidRPr="00F82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 </w:t>
      </w:r>
      <w:r w:rsidRPr="00F8214B">
        <w:rPr>
          <w:szCs w:val="22"/>
          <w:lang w:val="ru-RU"/>
        </w:rPr>
        <w:t>разрешени</w:t>
      </w:r>
      <w:r>
        <w:rPr>
          <w:szCs w:val="22"/>
          <w:lang w:val="ru-RU"/>
        </w:rPr>
        <w:t xml:space="preserve">ю сложных </w:t>
      </w:r>
      <w:r>
        <w:rPr>
          <w:rFonts w:cs="Arial"/>
          <w:szCs w:val="22"/>
          <w:lang w:val="ru-RU"/>
        </w:rPr>
        <w:t xml:space="preserve">патентных </w:t>
      </w:r>
      <w:r>
        <w:rPr>
          <w:szCs w:val="22"/>
          <w:lang w:val="ru-RU"/>
        </w:rPr>
        <w:t xml:space="preserve">споров путем </w:t>
      </w:r>
      <w:r w:rsidRPr="00571C5E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я </w:t>
      </w:r>
      <w:r w:rsidRPr="00F8214B">
        <w:rPr>
          <w:szCs w:val="22"/>
          <w:lang w:val="ru-RU"/>
        </w:rPr>
        <w:t>арбитраж</w:t>
      </w:r>
      <w:r>
        <w:rPr>
          <w:szCs w:val="22"/>
          <w:lang w:val="ru-RU"/>
        </w:rPr>
        <w:t xml:space="preserve">ных </w:t>
      </w:r>
      <w:r w:rsidRPr="00571C5E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 xml:space="preserve">и </w:t>
      </w:r>
      <w:r w:rsidRPr="00477993">
        <w:rPr>
          <w:rFonts w:cs="Arial"/>
          <w:szCs w:val="22"/>
          <w:lang w:val="ru-RU"/>
        </w:rPr>
        <w:t>содерж</w:t>
      </w:r>
      <w:r>
        <w:rPr>
          <w:rFonts w:cs="Arial"/>
          <w:szCs w:val="22"/>
          <w:lang w:val="ru-RU"/>
        </w:rPr>
        <w:t xml:space="preserve">ат комплекс норм, выработанных именно для таких </w:t>
      </w:r>
      <w:r w:rsidRPr="00477993">
        <w:rPr>
          <w:szCs w:val="22"/>
          <w:lang w:val="ru-RU"/>
        </w:rPr>
        <w:t>соглашени</w:t>
      </w:r>
      <w:r>
        <w:rPr>
          <w:szCs w:val="22"/>
          <w:lang w:val="ru-RU"/>
        </w:rPr>
        <w:t>й</w:t>
      </w:r>
      <w:r w:rsidR="0092594C">
        <w:rPr>
          <w:rStyle w:val="FootnoteReference"/>
          <w:szCs w:val="22"/>
        </w:rPr>
        <w:footnoteReference w:id="7"/>
      </w:r>
      <w:r w:rsidRPr="00917B80">
        <w:rPr>
          <w:szCs w:val="22"/>
          <w:lang w:val="ru-RU"/>
        </w:rPr>
        <w:t>.</w:t>
      </w:r>
      <w:r w:rsidR="008B60B0" w:rsidRPr="00917B80">
        <w:rPr>
          <w:szCs w:val="22"/>
          <w:lang w:val="ru-RU"/>
        </w:rPr>
        <w:t xml:space="preserve">  </w:t>
      </w:r>
      <w:r w:rsidRPr="00477993">
        <w:rPr>
          <w:szCs w:val="22"/>
          <w:lang w:val="ru-RU"/>
        </w:rPr>
        <w:t>При желании сторон</w:t>
      </w:r>
      <w:r>
        <w:rPr>
          <w:szCs w:val="22"/>
          <w:lang w:val="ru-RU"/>
        </w:rPr>
        <w:t xml:space="preserve"> </w:t>
      </w:r>
      <w:r w:rsidRPr="00F07419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ю </w:t>
      </w:r>
      <w:r w:rsidRPr="00477993">
        <w:rPr>
          <w:szCs w:val="22"/>
          <w:lang w:val="ru-RU"/>
        </w:rPr>
        <w:t>арбитраж</w:t>
      </w:r>
      <w:r>
        <w:rPr>
          <w:szCs w:val="22"/>
          <w:lang w:val="ru-RU"/>
        </w:rPr>
        <w:t>ной</w:t>
      </w:r>
      <w:r w:rsidRPr="00477993">
        <w:rPr>
          <w:szCs w:val="22"/>
          <w:lang w:val="ru-RU"/>
        </w:rPr>
        <w:t xml:space="preserve"> </w:t>
      </w:r>
      <w:r w:rsidRPr="00F07419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ы </w:t>
      </w:r>
      <w:r w:rsidRPr="00477993">
        <w:rPr>
          <w:szCs w:val="22"/>
          <w:lang w:val="ru-RU"/>
        </w:rPr>
        <w:t xml:space="preserve">ВОИС на условиях </w:t>
      </w:r>
      <w:r w:rsidRPr="00477993">
        <w:rPr>
          <w:szCs w:val="22"/>
        </w:rPr>
        <w:t>FRAND</w:t>
      </w:r>
      <w:r>
        <w:rPr>
          <w:szCs w:val="22"/>
          <w:lang w:val="ru-RU"/>
        </w:rPr>
        <w:t xml:space="preserve"> может предшествовать посредничество</w:t>
      </w:r>
      <w:r w:rsidRPr="00477993">
        <w:rPr>
          <w:szCs w:val="22"/>
          <w:lang w:val="ru-RU"/>
        </w:rPr>
        <w:t xml:space="preserve"> ВОИС</w:t>
      </w:r>
      <w:r>
        <w:rPr>
          <w:szCs w:val="22"/>
          <w:lang w:val="ru-RU"/>
        </w:rPr>
        <w:t>. Процент</w:t>
      </w:r>
      <w:r w:rsidRPr="00477993">
        <w:rPr>
          <w:szCs w:val="22"/>
          <w:lang w:val="ru-RU"/>
        </w:rPr>
        <w:t xml:space="preserve"> споров</w:t>
      </w:r>
      <w:r>
        <w:rPr>
          <w:szCs w:val="22"/>
          <w:lang w:val="ru-RU"/>
        </w:rPr>
        <w:t>,</w:t>
      </w:r>
      <w:r w:rsidRPr="00477993">
        <w:rPr>
          <w:szCs w:val="22"/>
          <w:lang w:val="ru-RU"/>
        </w:rPr>
        <w:t xml:space="preserve"> урегулированных </w:t>
      </w:r>
      <w:r>
        <w:rPr>
          <w:szCs w:val="22"/>
          <w:lang w:val="ru-RU"/>
        </w:rPr>
        <w:t>при посредничестве</w:t>
      </w:r>
      <w:r w:rsidRPr="00477993">
        <w:rPr>
          <w:szCs w:val="22"/>
          <w:lang w:val="ru-RU"/>
        </w:rPr>
        <w:t xml:space="preserve"> ВОИС (70%) и </w:t>
      </w:r>
      <w:r>
        <w:rPr>
          <w:szCs w:val="22"/>
          <w:lang w:val="ru-RU"/>
        </w:rPr>
        <w:t xml:space="preserve">с </w:t>
      </w:r>
      <w:r w:rsidRPr="0084516C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ем арбитражной </w:t>
      </w:r>
      <w:r w:rsidRPr="0084516C">
        <w:rPr>
          <w:szCs w:val="22"/>
          <w:lang w:val="ru-RU"/>
        </w:rPr>
        <w:t>процедур</w:t>
      </w:r>
      <w:r>
        <w:rPr>
          <w:szCs w:val="22"/>
          <w:lang w:val="ru-RU"/>
        </w:rPr>
        <w:t>ы</w:t>
      </w:r>
      <w:r w:rsidRPr="00477993">
        <w:rPr>
          <w:szCs w:val="22"/>
          <w:lang w:val="ru-RU"/>
        </w:rPr>
        <w:t xml:space="preserve"> </w:t>
      </w:r>
      <w:r w:rsidRPr="0084516C">
        <w:rPr>
          <w:szCs w:val="22"/>
          <w:lang w:val="ru-RU"/>
        </w:rPr>
        <w:t>ВОИС</w:t>
      </w:r>
      <w:r>
        <w:rPr>
          <w:szCs w:val="22"/>
          <w:lang w:val="ru-RU"/>
        </w:rPr>
        <w:t xml:space="preserve"> </w:t>
      </w:r>
      <w:r w:rsidRPr="00477993">
        <w:rPr>
          <w:szCs w:val="22"/>
          <w:lang w:val="ru-RU"/>
        </w:rPr>
        <w:t>(40%)</w:t>
      </w:r>
      <w:r>
        <w:rPr>
          <w:szCs w:val="22"/>
          <w:lang w:val="ru-RU"/>
        </w:rPr>
        <w:t>,</w:t>
      </w:r>
      <w:r w:rsidRPr="004779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показывает, что </w:t>
      </w:r>
      <w:r w:rsidRPr="0084516C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е предлагаемых </w:t>
      </w:r>
      <w:r w:rsidRPr="00477993">
        <w:rPr>
          <w:szCs w:val="22"/>
          <w:lang w:val="ru-RU"/>
        </w:rPr>
        <w:t xml:space="preserve">ВОИС </w:t>
      </w:r>
      <w:r>
        <w:rPr>
          <w:szCs w:val="22"/>
          <w:lang w:val="ru-RU"/>
        </w:rPr>
        <w:t xml:space="preserve">согласительных </w:t>
      </w:r>
      <w:r w:rsidRPr="00477993">
        <w:rPr>
          <w:szCs w:val="22"/>
          <w:lang w:val="ru-RU"/>
        </w:rPr>
        <w:t xml:space="preserve">процедур может </w:t>
      </w:r>
      <w:r>
        <w:rPr>
          <w:szCs w:val="22"/>
          <w:lang w:val="ru-RU"/>
        </w:rPr>
        <w:t>создавать</w:t>
      </w:r>
      <w:r w:rsidRPr="00477993">
        <w:rPr>
          <w:szCs w:val="22"/>
          <w:lang w:val="ru-RU"/>
        </w:rPr>
        <w:t xml:space="preserve"> </w:t>
      </w:r>
      <w:r w:rsidRPr="0084516C">
        <w:rPr>
          <w:rStyle w:val="AlfaNormalTextChar"/>
          <w:spacing w:val="-6"/>
          <w:lang w:val="ru-RU" w:eastAsia="ru-RU"/>
        </w:rPr>
        <w:t>благоприятн</w:t>
      </w:r>
      <w:r>
        <w:rPr>
          <w:szCs w:val="22"/>
          <w:lang w:val="ru-RU"/>
        </w:rPr>
        <w:t>ые</w:t>
      </w:r>
      <w:r w:rsidRPr="00477993">
        <w:rPr>
          <w:szCs w:val="22"/>
          <w:lang w:val="ru-RU"/>
        </w:rPr>
        <w:t xml:space="preserve"> </w:t>
      </w:r>
      <w:r w:rsidRPr="00F07419">
        <w:rPr>
          <w:szCs w:val="22"/>
          <w:lang w:val="ru-RU"/>
        </w:rPr>
        <w:t>услови</w:t>
      </w:r>
      <w:r>
        <w:rPr>
          <w:szCs w:val="22"/>
          <w:lang w:val="ru-RU"/>
        </w:rPr>
        <w:t>я</w:t>
      </w:r>
      <w:r w:rsidRPr="00477993">
        <w:rPr>
          <w:szCs w:val="22"/>
          <w:lang w:val="ru-RU"/>
        </w:rPr>
        <w:t xml:space="preserve"> для разрешения споров, </w:t>
      </w:r>
      <w:r>
        <w:rPr>
          <w:szCs w:val="22"/>
          <w:lang w:val="ru-RU"/>
        </w:rPr>
        <w:t xml:space="preserve">возникающих при </w:t>
      </w:r>
      <w:r w:rsidRPr="00FC3321">
        <w:rPr>
          <w:szCs w:val="22"/>
          <w:lang w:val="ru-RU"/>
        </w:rPr>
        <w:t>заключени</w:t>
      </w:r>
      <w:r>
        <w:rPr>
          <w:szCs w:val="22"/>
          <w:lang w:val="ru-RU"/>
        </w:rPr>
        <w:t xml:space="preserve">и </w:t>
      </w:r>
      <w:r w:rsidRPr="0084516C">
        <w:rPr>
          <w:szCs w:val="22"/>
          <w:lang w:val="ru-RU"/>
        </w:rPr>
        <w:t>соглашени</w:t>
      </w:r>
      <w:r>
        <w:rPr>
          <w:szCs w:val="22"/>
          <w:lang w:val="ru-RU"/>
        </w:rPr>
        <w:t xml:space="preserve">й </w:t>
      </w:r>
      <w:r w:rsidRPr="00477993">
        <w:rPr>
          <w:szCs w:val="22"/>
        </w:rPr>
        <w:t>FRAND</w:t>
      </w:r>
      <w:r w:rsidRPr="00477993">
        <w:rPr>
          <w:szCs w:val="22"/>
          <w:lang w:val="ru-RU"/>
        </w:rPr>
        <w:t>.</w:t>
      </w:r>
    </w:p>
    <w:p w:rsidR="00384EE8" w:rsidRPr="00917B80" w:rsidRDefault="00384EE8" w:rsidP="005E2771">
      <w:pPr>
        <w:pStyle w:val="Heading3"/>
        <w:spacing w:before="0" w:after="0"/>
        <w:rPr>
          <w:szCs w:val="22"/>
          <w:u w:val="none"/>
          <w:lang w:val="ru-RU"/>
        </w:rPr>
      </w:pPr>
    </w:p>
    <w:p w:rsidR="0058307C" w:rsidRPr="00917B80" w:rsidRDefault="0058307C" w:rsidP="005E2771">
      <w:pPr>
        <w:rPr>
          <w:lang w:val="ru-RU"/>
        </w:rPr>
      </w:pPr>
    </w:p>
    <w:p w:rsidR="00384EE8" w:rsidRPr="00AC608A" w:rsidRDefault="00384EE8" w:rsidP="00D55BC1">
      <w:pPr>
        <w:pStyle w:val="Heading3"/>
        <w:numPr>
          <w:ilvl w:val="4"/>
          <w:numId w:val="23"/>
        </w:numPr>
        <w:spacing w:before="0" w:after="0"/>
        <w:ind w:left="567" w:firstLine="0"/>
        <w:rPr>
          <w:szCs w:val="22"/>
        </w:rPr>
      </w:pPr>
      <w:r w:rsidRPr="00754A54">
        <w:rPr>
          <w:szCs w:val="22"/>
        </w:rPr>
        <w:t xml:space="preserve">R&amp;D </w:t>
      </w:r>
      <w:r>
        <w:rPr>
          <w:szCs w:val="22"/>
        </w:rPr>
        <w:t xml:space="preserve">Dispute Resolution </w:t>
      </w:r>
    </w:p>
    <w:p w:rsidR="00384EE8" w:rsidRDefault="00384EE8" w:rsidP="005E2771">
      <w:pPr>
        <w:rPr>
          <w:rStyle w:val="ONUMEChar"/>
        </w:rPr>
      </w:pPr>
    </w:p>
    <w:p w:rsidR="00EC781E" w:rsidRPr="00917B80" w:rsidRDefault="00917B80" w:rsidP="005E2771">
      <w:pPr>
        <w:pStyle w:val="ListParagraph"/>
        <w:numPr>
          <w:ilvl w:val="0"/>
          <w:numId w:val="18"/>
        </w:num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После</w:t>
      </w:r>
      <w:r w:rsidRPr="00917B80">
        <w:rPr>
          <w:lang w:val="ru-RU"/>
        </w:rPr>
        <w:t xml:space="preserve"> </w:t>
      </w:r>
      <w:r w:rsidRPr="00F27B1B">
        <w:rPr>
          <w:lang w:val="ru-RU"/>
        </w:rPr>
        <w:t>осуществлени</w:t>
      </w:r>
      <w:r>
        <w:rPr>
          <w:lang w:val="ru-RU"/>
        </w:rPr>
        <w:t>я</w:t>
      </w:r>
      <w:r w:rsidRPr="00917B80">
        <w:rPr>
          <w:lang w:val="ru-RU"/>
        </w:rPr>
        <w:t xml:space="preserve"> </w:t>
      </w:r>
      <w:r w:rsidRPr="00F27B1B">
        <w:rPr>
          <w:lang w:val="ru-RU"/>
        </w:rPr>
        <w:t>совместн</w:t>
      </w:r>
      <w:r>
        <w:rPr>
          <w:lang w:val="ru-RU"/>
        </w:rPr>
        <w:t>ых</w:t>
      </w:r>
      <w:r w:rsidRPr="00917B80">
        <w:rPr>
          <w:lang w:val="ru-RU"/>
        </w:rPr>
        <w:t xml:space="preserve"> </w:t>
      </w:r>
      <w:r w:rsidRPr="00F27B1B">
        <w:rPr>
          <w:lang w:val="ru-RU"/>
        </w:rPr>
        <w:t>проект</w:t>
      </w:r>
      <w:r>
        <w:rPr>
          <w:lang w:val="ru-RU"/>
        </w:rPr>
        <w:t>ов</w:t>
      </w:r>
      <w:r w:rsidRPr="00917B80">
        <w:rPr>
          <w:lang w:val="ru-RU"/>
        </w:rPr>
        <w:t xml:space="preserve"> </w:t>
      </w:r>
      <w:r>
        <w:rPr>
          <w:lang w:val="ru-RU"/>
        </w:rPr>
        <w:t>с</w:t>
      </w:r>
      <w:r w:rsidRPr="00917B80">
        <w:rPr>
          <w:lang w:val="ru-RU"/>
        </w:rPr>
        <w:t xml:space="preserve"> </w:t>
      </w:r>
      <w:r w:rsidRPr="009A664F">
        <w:rPr>
          <w:lang w:val="ru-RU"/>
        </w:rPr>
        <w:t>европейск</w:t>
      </w:r>
      <w:r>
        <w:rPr>
          <w:lang w:val="ru-RU"/>
        </w:rPr>
        <w:t>ими</w:t>
      </w:r>
      <w:r w:rsidRPr="00917B80">
        <w:rPr>
          <w:lang w:val="ru-RU"/>
        </w:rPr>
        <w:t xml:space="preserve"> </w:t>
      </w:r>
      <w:r>
        <w:rPr>
          <w:lang w:val="ru-RU"/>
        </w:rPr>
        <w:t>исследовательскими</w:t>
      </w:r>
      <w:r w:rsidRPr="00917B80">
        <w:rPr>
          <w:lang w:val="ru-RU"/>
        </w:rPr>
        <w:t xml:space="preserve"> </w:t>
      </w:r>
      <w:r w:rsidRPr="009A664F">
        <w:rPr>
          <w:lang w:val="ru-RU"/>
        </w:rPr>
        <w:t>учреждени</w:t>
      </w:r>
      <w:r>
        <w:rPr>
          <w:lang w:val="ru-RU"/>
        </w:rPr>
        <w:t>ями</w:t>
      </w:r>
      <w:r w:rsidRPr="00917B80">
        <w:rPr>
          <w:lang w:val="ru-RU"/>
        </w:rPr>
        <w:t>-</w:t>
      </w:r>
      <w:r w:rsidRPr="009A664F">
        <w:rPr>
          <w:lang w:val="ru-RU"/>
        </w:rPr>
        <w:t>партнер</w:t>
      </w:r>
      <w:r>
        <w:rPr>
          <w:lang w:val="ru-RU"/>
        </w:rPr>
        <w:t>ами</w:t>
      </w:r>
      <w:r w:rsidR="00E932F6">
        <w:rPr>
          <w:rStyle w:val="FootnoteReference"/>
        </w:rPr>
        <w:footnoteReference w:id="8"/>
      </w:r>
      <w:r w:rsidRPr="00917B80">
        <w:rPr>
          <w:lang w:val="ru-RU"/>
        </w:rPr>
        <w:t>,</w:t>
      </w:r>
      <w:r w:rsidR="00E932F6" w:rsidRPr="00917B80">
        <w:rPr>
          <w:lang w:val="ru-RU"/>
        </w:rPr>
        <w:t xml:space="preserve"> </w:t>
      </w:r>
      <w:r w:rsidRPr="009A664F">
        <w:rPr>
          <w:lang w:val="ru-RU"/>
        </w:rPr>
        <w:t>учреждени</w:t>
      </w:r>
      <w:r>
        <w:rPr>
          <w:lang w:val="ru-RU"/>
        </w:rPr>
        <w:t>ями</w:t>
      </w:r>
      <w:r w:rsidRPr="00917B80">
        <w:rPr>
          <w:lang w:val="ru-RU"/>
        </w:rPr>
        <w:t xml:space="preserve"> </w:t>
      </w:r>
      <w:r>
        <w:rPr>
          <w:lang w:val="ru-RU"/>
        </w:rPr>
        <w:t>Германии</w:t>
      </w:r>
      <w:r w:rsidR="00E932F6">
        <w:rPr>
          <w:rStyle w:val="FootnoteReference"/>
        </w:rPr>
        <w:footnoteReference w:id="9"/>
      </w:r>
      <w:r w:rsidR="00EC781E" w:rsidRPr="00917B80">
        <w:rPr>
          <w:lang w:val="ru-RU"/>
        </w:rPr>
        <w:t xml:space="preserve"> </w:t>
      </w:r>
      <w:r>
        <w:rPr>
          <w:lang w:val="ru-RU"/>
        </w:rPr>
        <w:t>и</w:t>
      </w:r>
      <w:r w:rsidRPr="00917B80">
        <w:rPr>
          <w:lang w:val="ru-RU"/>
        </w:rPr>
        <w:t xml:space="preserve"> </w:t>
      </w:r>
      <w:r w:rsidRPr="009A664F">
        <w:rPr>
          <w:lang w:val="ru-RU"/>
        </w:rPr>
        <w:t>организаци</w:t>
      </w:r>
      <w:r>
        <w:rPr>
          <w:lang w:val="ru-RU"/>
        </w:rPr>
        <w:t>ями</w:t>
      </w:r>
      <w:r w:rsidRPr="00917B80">
        <w:rPr>
          <w:lang w:val="ru-RU"/>
        </w:rPr>
        <w:t xml:space="preserve"> </w:t>
      </w:r>
      <w:r>
        <w:rPr>
          <w:lang w:val="ru-RU"/>
        </w:rPr>
        <w:t>Австрии</w:t>
      </w:r>
      <w:r w:rsidR="00E932F6" w:rsidRPr="00D11D05">
        <w:rPr>
          <w:rStyle w:val="FootnoteReference"/>
        </w:rPr>
        <w:footnoteReference w:id="10"/>
      </w:r>
      <w:r w:rsidR="00EC781E" w:rsidRPr="00917B80">
        <w:rPr>
          <w:lang w:val="ru-RU"/>
        </w:rPr>
        <w:t xml:space="preserve"> </w:t>
      </w:r>
      <w:r w:rsidRPr="009A664F">
        <w:rPr>
          <w:lang w:val="ru-RU"/>
        </w:rPr>
        <w:t xml:space="preserve">Центр </w:t>
      </w:r>
      <w:r>
        <w:rPr>
          <w:lang w:val="ru-RU"/>
        </w:rPr>
        <w:t xml:space="preserve">участвовал в </w:t>
      </w:r>
      <w:r w:rsidRPr="009A664F">
        <w:rPr>
          <w:lang w:val="ru-RU"/>
        </w:rPr>
        <w:t>разработк</w:t>
      </w:r>
      <w:r>
        <w:rPr>
          <w:lang w:val="ru-RU"/>
        </w:rPr>
        <w:t xml:space="preserve">е </w:t>
      </w:r>
      <w:r w:rsidRPr="009A664F">
        <w:rPr>
          <w:lang w:val="ru-RU"/>
        </w:rPr>
        <w:t>типовых соглашений</w:t>
      </w:r>
      <w:r>
        <w:rPr>
          <w:lang w:val="ru-RU"/>
        </w:rPr>
        <w:t xml:space="preserve">, направленных на </w:t>
      </w:r>
      <w:r w:rsidRPr="00F27B1B">
        <w:rPr>
          <w:lang w:val="ru-RU"/>
        </w:rPr>
        <w:t>обеспечени</w:t>
      </w:r>
      <w:r>
        <w:rPr>
          <w:lang w:val="ru-RU"/>
        </w:rPr>
        <w:t xml:space="preserve">е </w:t>
      </w:r>
      <w:r w:rsidRPr="00B03418">
        <w:rPr>
          <w:lang w:val="ru-RU"/>
        </w:rPr>
        <w:t>эффективн</w:t>
      </w:r>
      <w:r>
        <w:rPr>
          <w:lang w:val="ru-RU"/>
        </w:rPr>
        <w:t xml:space="preserve">ой передачи знаний и </w:t>
      </w:r>
      <w:r w:rsidRPr="00B03418">
        <w:rPr>
          <w:rFonts w:cs="Arial"/>
          <w:lang w:val="ru-RU"/>
        </w:rPr>
        <w:t>технологи</w:t>
      </w:r>
      <w:r>
        <w:rPr>
          <w:lang w:val="ru-RU"/>
        </w:rPr>
        <w:t xml:space="preserve">и, </w:t>
      </w:r>
      <w:r w:rsidRPr="00F27B1B">
        <w:rPr>
          <w:lang w:val="ru-RU"/>
        </w:rPr>
        <w:t>включая</w:t>
      </w:r>
      <w:r>
        <w:rPr>
          <w:lang w:val="ru-RU"/>
        </w:rPr>
        <w:t xml:space="preserve"> </w:t>
      </w:r>
      <w:r w:rsidRPr="00B03418">
        <w:rPr>
          <w:lang w:val="ru-RU"/>
        </w:rPr>
        <w:t>сотрудн</w:t>
      </w:r>
      <w:r>
        <w:rPr>
          <w:lang w:val="ru-RU"/>
        </w:rPr>
        <w:t>ичество</w:t>
      </w:r>
      <w:r w:rsidRPr="00B03418">
        <w:rPr>
          <w:lang w:val="ru-RU"/>
        </w:rPr>
        <w:t xml:space="preserve"> </w:t>
      </w:r>
      <w:r>
        <w:rPr>
          <w:lang w:val="ru-RU"/>
        </w:rPr>
        <w:t>с</w:t>
      </w:r>
      <w:r w:rsidRPr="00B03418">
        <w:rPr>
          <w:lang w:val="ru-RU"/>
        </w:rPr>
        <w:t xml:space="preserve"> Испанск</w:t>
      </w:r>
      <w:r>
        <w:rPr>
          <w:lang w:val="ru-RU"/>
        </w:rPr>
        <w:t>им</w:t>
      </w:r>
      <w:r w:rsidRPr="00B03418">
        <w:rPr>
          <w:lang w:val="ru-RU"/>
        </w:rPr>
        <w:t xml:space="preserve"> ведомство</w:t>
      </w:r>
      <w:r>
        <w:rPr>
          <w:lang w:val="ru-RU"/>
        </w:rPr>
        <w:t>м</w:t>
      </w:r>
      <w:r w:rsidRPr="00B03418">
        <w:rPr>
          <w:lang w:val="ru-RU"/>
        </w:rPr>
        <w:t xml:space="preserve"> по патентам и товарным знакам (ИВПТЗ) </w:t>
      </w:r>
      <w:r>
        <w:rPr>
          <w:lang w:val="ru-RU"/>
        </w:rPr>
        <w:t xml:space="preserve">по </w:t>
      </w:r>
      <w:r w:rsidRPr="00B03418">
        <w:rPr>
          <w:lang w:val="ru-RU"/>
        </w:rPr>
        <w:t>разработк</w:t>
      </w:r>
      <w:r>
        <w:rPr>
          <w:lang w:val="ru-RU"/>
        </w:rPr>
        <w:t xml:space="preserve">е типовых </w:t>
      </w:r>
      <w:r w:rsidRPr="00B03418">
        <w:rPr>
          <w:lang w:val="ru-RU"/>
        </w:rPr>
        <w:t>соглашени</w:t>
      </w:r>
      <w:r>
        <w:rPr>
          <w:lang w:val="ru-RU"/>
        </w:rPr>
        <w:t xml:space="preserve">й </w:t>
      </w:r>
      <w:r w:rsidRPr="00B03418">
        <w:rPr>
          <w:lang w:val="ru-RU"/>
        </w:rPr>
        <w:t>в области</w:t>
      </w:r>
      <w:r>
        <w:rPr>
          <w:lang w:val="ru-RU"/>
        </w:rPr>
        <w:t xml:space="preserve"> НИОКР, </w:t>
      </w:r>
      <w:r w:rsidRPr="00B03418">
        <w:rPr>
          <w:lang w:val="ru-RU"/>
        </w:rPr>
        <w:t>предусматрива</w:t>
      </w:r>
      <w:r>
        <w:rPr>
          <w:lang w:val="ru-RU"/>
        </w:rPr>
        <w:t xml:space="preserve">ющих </w:t>
      </w:r>
      <w:r w:rsidRPr="00B03418">
        <w:rPr>
          <w:lang w:val="ru-RU"/>
        </w:rPr>
        <w:t>разрешени</w:t>
      </w:r>
      <w:r>
        <w:rPr>
          <w:lang w:val="ru-RU"/>
        </w:rPr>
        <w:t xml:space="preserve">е споров с </w:t>
      </w:r>
      <w:r w:rsidRPr="003370AD">
        <w:rPr>
          <w:snapToGrid w:val="0"/>
          <w:lang w:val="ru-RU"/>
        </w:rPr>
        <w:t>применени</w:t>
      </w:r>
      <w:r w:rsidRPr="003370AD">
        <w:rPr>
          <w:lang w:val="ru-RU"/>
        </w:rPr>
        <w:t>ем механизмов посредничества и ускоренного арбитража ВОИС.</w:t>
      </w:r>
    </w:p>
    <w:p w:rsidR="00EC781E" w:rsidRPr="00917B80" w:rsidRDefault="00EC781E" w:rsidP="005E2771">
      <w:pPr>
        <w:tabs>
          <w:tab w:val="left" w:pos="567"/>
        </w:tabs>
        <w:rPr>
          <w:lang w:val="ru-RU"/>
        </w:rPr>
      </w:pPr>
    </w:p>
    <w:p w:rsidR="000D6A58" w:rsidRPr="00917B80" w:rsidRDefault="00917B80" w:rsidP="005E2771">
      <w:pPr>
        <w:pStyle w:val="ListParagraph"/>
        <w:numPr>
          <w:ilvl w:val="0"/>
          <w:numId w:val="18"/>
        </w:numPr>
        <w:tabs>
          <w:tab w:val="left" w:pos="567"/>
        </w:tabs>
        <w:ind w:left="0" w:firstLine="0"/>
        <w:rPr>
          <w:lang w:val="ru-RU"/>
        </w:rPr>
      </w:pPr>
      <w:r w:rsidRPr="003370AD">
        <w:rPr>
          <w:lang w:val="ru-RU"/>
        </w:rPr>
        <w:t xml:space="preserve">Кроме того, в рамках более общего </w:t>
      </w:r>
      <w:r w:rsidRPr="00F27B1B">
        <w:rPr>
          <w:lang w:val="ru-RU"/>
        </w:rPr>
        <w:t>сотрудн</w:t>
      </w:r>
      <w:r>
        <w:rPr>
          <w:lang w:val="ru-RU"/>
        </w:rPr>
        <w:t>ичества на базе Меморандума о договоренностях</w:t>
      </w:r>
      <w:r w:rsidRPr="003370AD">
        <w:rPr>
          <w:lang w:val="ru-RU"/>
        </w:rPr>
        <w:t xml:space="preserve"> (МоД)</w:t>
      </w:r>
      <w:r>
        <w:rPr>
          <w:lang w:val="ru-RU"/>
        </w:rPr>
        <w:t xml:space="preserve"> </w:t>
      </w:r>
      <w:r w:rsidRPr="003370AD">
        <w:rPr>
          <w:lang w:val="ru-RU"/>
        </w:rPr>
        <w:t>между ВОИС и Ассоциацией университетских менеджеров по вопросам технологий (</w:t>
      </w:r>
      <w:r w:rsidRPr="003370AD">
        <w:t>AUTM</w:t>
      </w:r>
      <w:r w:rsidRPr="003370AD">
        <w:rPr>
          <w:lang w:val="ru-RU"/>
        </w:rPr>
        <w:t>) Центр продолжил сотрудничество с Ассоциацией, направленное на содействие эффективному урегулированию споров с участием университетских бюро передачи технологий в разных странах мира. После более раннего заключения МоД в области разработк</w:t>
      </w:r>
      <w:r>
        <w:rPr>
          <w:lang w:val="ru-RU"/>
        </w:rPr>
        <w:t xml:space="preserve">и </w:t>
      </w:r>
      <w:r w:rsidRPr="003370AD">
        <w:rPr>
          <w:lang w:val="ru-RU"/>
        </w:rPr>
        <w:t xml:space="preserve">природоохранных </w:t>
      </w:r>
      <w:r w:rsidRPr="003370AD">
        <w:rPr>
          <w:rFonts w:cs="Arial"/>
          <w:lang w:val="ru-RU"/>
        </w:rPr>
        <w:t>технологи</w:t>
      </w:r>
      <w:r w:rsidRPr="003370AD">
        <w:rPr>
          <w:lang w:val="ru-RU"/>
        </w:rPr>
        <w:t>й между ВОИС и Финансово-</w:t>
      </w:r>
      <w:r w:rsidRPr="003370AD">
        <w:rPr>
          <w:rFonts w:cs="Arial"/>
          <w:lang w:val="ru-RU"/>
        </w:rPr>
        <w:t>технологи</w:t>
      </w:r>
      <w:r w:rsidRPr="003370AD">
        <w:rPr>
          <w:lang w:val="ru-RU"/>
        </w:rPr>
        <w:t>ческой корпорацией Кореи (</w:t>
      </w:r>
      <w:r w:rsidRPr="003370AD">
        <w:t>KOTEC</w:t>
      </w:r>
      <w:r w:rsidRPr="003370AD">
        <w:rPr>
          <w:lang w:val="ru-RU"/>
        </w:rPr>
        <w:t>)</w:t>
      </w:r>
      <w:r>
        <w:rPr>
          <w:lang w:val="ru-RU"/>
        </w:rPr>
        <w:t xml:space="preserve"> </w:t>
      </w:r>
      <w:r w:rsidRPr="003370AD">
        <w:rPr>
          <w:lang w:val="ru-RU"/>
        </w:rPr>
        <w:t xml:space="preserve">– некоммерческим </w:t>
      </w:r>
      <w:r w:rsidRPr="00F27B1B">
        <w:rPr>
          <w:lang w:val="ru-RU"/>
        </w:rPr>
        <w:t>финансов</w:t>
      </w:r>
      <w:r>
        <w:rPr>
          <w:lang w:val="ru-RU"/>
        </w:rPr>
        <w:t xml:space="preserve">ым </w:t>
      </w:r>
      <w:r w:rsidRPr="003370AD">
        <w:rPr>
          <w:lang w:val="ru-RU"/>
        </w:rPr>
        <w:t xml:space="preserve">учреждением, </w:t>
      </w:r>
      <w:r>
        <w:rPr>
          <w:lang w:val="ru-RU"/>
        </w:rPr>
        <w:t xml:space="preserve">цель </w:t>
      </w:r>
      <w:r w:rsidRPr="00F27B1B">
        <w:rPr>
          <w:lang w:val="ru-RU"/>
        </w:rPr>
        <w:t>котор</w:t>
      </w:r>
      <w:r>
        <w:rPr>
          <w:lang w:val="ru-RU"/>
        </w:rPr>
        <w:t xml:space="preserve">ого – предоставление </w:t>
      </w:r>
      <w:r w:rsidRPr="003370AD">
        <w:rPr>
          <w:szCs w:val="22"/>
          <w:lang w:val="ru-RU"/>
        </w:rPr>
        <w:t>малым и средним предприятиям</w:t>
      </w:r>
      <w:r w:rsidRPr="003370AD">
        <w:rPr>
          <w:lang w:val="ru-RU"/>
        </w:rPr>
        <w:t xml:space="preserve"> Республики Корея</w:t>
      </w:r>
      <w:r>
        <w:rPr>
          <w:lang w:val="ru-RU"/>
        </w:rPr>
        <w:t xml:space="preserve"> гарантий для </w:t>
      </w:r>
      <w:r w:rsidRPr="003370AD">
        <w:rPr>
          <w:lang w:val="ru-RU"/>
        </w:rPr>
        <w:t xml:space="preserve">разработки </w:t>
      </w:r>
      <w:r w:rsidRPr="003370AD">
        <w:rPr>
          <w:rFonts w:cs="Arial"/>
          <w:lang w:val="ru-RU"/>
        </w:rPr>
        <w:t>технологи</w:t>
      </w:r>
      <w:r>
        <w:rPr>
          <w:lang w:val="ru-RU"/>
        </w:rPr>
        <w:t>й</w:t>
      </w:r>
      <w:r w:rsidRPr="003370AD">
        <w:rPr>
          <w:lang w:val="ru-RU"/>
        </w:rPr>
        <w:t xml:space="preserve">, Центр и </w:t>
      </w:r>
      <w:r w:rsidRPr="003370AD">
        <w:t>KOTEC</w:t>
      </w:r>
      <w:r w:rsidRPr="003370AD">
        <w:rPr>
          <w:lang w:val="ru-RU"/>
        </w:rPr>
        <w:t xml:space="preserve"> подписали 14 мая 2015 г. соглашение о </w:t>
      </w:r>
      <w:r>
        <w:rPr>
          <w:lang w:val="ru-RU"/>
        </w:rPr>
        <w:t>сотрудничестве</w:t>
      </w:r>
      <w:r w:rsidRPr="003370AD">
        <w:rPr>
          <w:lang w:val="ru-RU"/>
        </w:rPr>
        <w:t xml:space="preserve"> в </w:t>
      </w:r>
      <w:r w:rsidRPr="00F27B1B">
        <w:rPr>
          <w:rFonts w:cs="Arial"/>
          <w:snapToGrid w:val="0"/>
          <w:lang w:val="ru-RU"/>
        </w:rPr>
        <w:t>стимулировани</w:t>
      </w:r>
      <w:r>
        <w:rPr>
          <w:lang w:val="ru-RU"/>
        </w:rPr>
        <w:t>и использования</w:t>
      </w:r>
      <w:r w:rsidRPr="003370AD">
        <w:rPr>
          <w:lang w:val="ru-RU"/>
        </w:rPr>
        <w:t xml:space="preserve"> процедур АУС, предлагаемых ВОИС</w:t>
      </w:r>
      <w:r>
        <w:rPr>
          <w:lang w:val="ru-RU"/>
        </w:rPr>
        <w:t>, клиентами</w:t>
      </w:r>
      <w:r w:rsidRPr="003370AD">
        <w:rPr>
          <w:lang w:val="ru-RU"/>
        </w:rPr>
        <w:t xml:space="preserve"> </w:t>
      </w:r>
      <w:r w:rsidRPr="003370AD">
        <w:t>KOTEC</w:t>
      </w:r>
      <w:r w:rsidRPr="003370AD">
        <w:rPr>
          <w:lang w:val="ru-RU"/>
        </w:rPr>
        <w:t>.</w:t>
      </w:r>
    </w:p>
    <w:p w:rsidR="000D6A58" w:rsidRPr="00917B80" w:rsidRDefault="000D6A58" w:rsidP="005E2771">
      <w:pPr>
        <w:tabs>
          <w:tab w:val="left" w:pos="567"/>
        </w:tabs>
        <w:rPr>
          <w:lang w:val="ru-RU"/>
        </w:rPr>
      </w:pPr>
    </w:p>
    <w:p w:rsidR="00955AF2" w:rsidRPr="00917B80" w:rsidRDefault="00955AF2" w:rsidP="005E2771">
      <w:pPr>
        <w:tabs>
          <w:tab w:val="left" w:pos="567"/>
        </w:tabs>
        <w:rPr>
          <w:lang w:val="ru-RU"/>
        </w:rPr>
      </w:pPr>
    </w:p>
    <w:p w:rsidR="00384EE8" w:rsidRPr="00AC608A" w:rsidRDefault="00917B80" w:rsidP="00D55BC1">
      <w:pPr>
        <w:pStyle w:val="Heading3"/>
        <w:numPr>
          <w:ilvl w:val="4"/>
          <w:numId w:val="23"/>
        </w:numPr>
        <w:spacing w:before="0" w:after="0"/>
        <w:ind w:left="567" w:firstLine="0"/>
        <w:rPr>
          <w:szCs w:val="22"/>
        </w:rPr>
      </w:pPr>
      <w:r w:rsidRPr="0031622A">
        <w:rPr>
          <w:szCs w:val="22"/>
          <w:lang w:val="ru-RU"/>
        </w:rPr>
        <w:t>Урегулирование споров в области</w:t>
      </w:r>
      <w:r>
        <w:rPr>
          <w:szCs w:val="22"/>
          <w:lang w:val="ru-RU"/>
        </w:rPr>
        <w:t xml:space="preserve"> </w:t>
      </w:r>
      <w:r w:rsidRPr="0031622A">
        <w:rPr>
          <w:szCs w:val="22"/>
          <w:lang w:val="ru-RU"/>
        </w:rPr>
        <w:t>фран</w:t>
      </w:r>
      <w:r>
        <w:rPr>
          <w:szCs w:val="22"/>
          <w:lang w:val="ru-RU"/>
        </w:rPr>
        <w:t>чайзинга</w:t>
      </w:r>
    </w:p>
    <w:p w:rsidR="00384EE8" w:rsidRDefault="00384EE8" w:rsidP="005E2771">
      <w:pPr>
        <w:rPr>
          <w:rStyle w:val="ONUMEChar"/>
          <w:szCs w:val="22"/>
        </w:rPr>
      </w:pPr>
    </w:p>
    <w:p w:rsidR="00384EE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rStyle w:val="ONUMEChar"/>
          <w:szCs w:val="22"/>
          <w:lang w:val="ru-RU"/>
        </w:rPr>
      </w:pPr>
      <w:r w:rsidRPr="00065DD7">
        <w:rPr>
          <w:rStyle w:val="ONUMEChar"/>
          <w:szCs w:val="22"/>
          <w:lang w:val="ru-RU"/>
        </w:rPr>
        <w:t>В рамках</w:t>
      </w:r>
      <w:r>
        <w:rPr>
          <w:rStyle w:val="ONUMEChar"/>
          <w:szCs w:val="22"/>
          <w:lang w:val="ru-RU"/>
        </w:rPr>
        <w:t xml:space="preserve"> </w:t>
      </w:r>
      <w:r w:rsidRPr="00B03418">
        <w:rPr>
          <w:rStyle w:val="ONUMEChar"/>
          <w:szCs w:val="22"/>
          <w:lang w:val="ru-RU"/>
        </w:rPr>
        <w:t xml:space="preserve">услуг АУС, предоставляемых ВОИС конкретным секторам, Центр ВОИС оказывает консультационную помощь и </w:t>
      </w:r>
      <w:r w:rsidRPr="00065DD7">
        <w:rPr>
          <w:rStyle w:val="ONUMEChar"/>
          <w:snapToGrid w:val="0"/>
          <w:szCs w:val="22"/>
          <w:lang w:val="ru-RU"/>
        </w:rPr>
        <w:t>услуг</w:t>
      </w:r>
      <w:r>
        <w:rPr>
          <w:rStyle w:val="ONUMEChar"/>
          <w:szCs w:val="22"/>
          <w:lang w:val="ru-RU"/>
        </w:rPr>
        <w:t xml:space="preserve">и по </w:t>
      </w:r>
      <w:r w:rsidRPr="00065DD7">
        <w:rPr>
          <w:rStyle w:val="ONUMEChar"/>
          <w:szCs w:val="22"/>
          <w:lang w:val="ru-RU"/>
        </w:rPr>
        <w:t>урегулировани</w:t>
      </w:r>
      <w:r>
        <w:rPr>
          <w:rStyle w:val="ONUMEChar"/>
          <w:szCs w:val="22"/>
          <w:lang w:val="ru-RU"/>
        </w:rPr>
        <w:t>ю споров, позволяющие</w:t>
      </w:r>
      <w:r w:rsidRPr="00B03418">
        <w:rPr>
          <w:rStyle w:val="ONUMEChar"/>
          <w:szCs w:val="22"/>
          <w:lang w:val="ru-RU"/>
        </w:rPr>
        <w:t xml:space="preserve"> сторонам разрешать во внесудебном порядке</w:t>
      </w:r>
      <w:r>
        <w:rPr>
          <w:rStyle w:val="ONUMEChar"/>
          <w:szCs w:val="22"/>
          <w:lang w:val="ru-RU"/>
        </w:rPr>
        <w:t xml:space="preserve"> </w:t>
      </w:r>
      <w:r w:rsidRPr="00B03418">
        <w:rPr>
          <w:rStyle w:val="ONUMEChar"/>
          <w:szCs w:val="22"/>
          <w:lang w:val="ru-RU"/>
        </w:rPr>
        <w:t xml:space="preserve">споры, связанные с ИС, возникающие в </w:t>
      </w:r>
      <w:r w:rsidRPr="00B03418">
        <w:rPr>
          <w:rStyle w:val="ONUMEChar"/>
          <w:szCs w:val="22"/>
          <w:lang w:val="ru-RU"/>
        </w:rPr>
        <w:lastRenderedPageBreak/>
        <w:t xml:space="preserve">области </w:t>
      </w:r>
      <w:r w:rsidRPr="0031622A">
        <w:rPr>
          <w:szCs w:val="22"/>
          <w:lang w:val="ru-RU"/>
        </w:rPr>
        <w:t>фран</w:t>
      </w:r>
      <w:r>
        <w:rPr>
          <w:szCs w:val="22"/>
          <w:lang w:val="ru-RU"/>
        </w:rPr>
        <w:t>чайзинга</w:t>
      </w:r>
      <w:r w:rsidRPr="00B03418">
        <w:rPr>
          <w:rStyle w:val="ONUMEChar"/>
          <w:szCs w:val="22"/>
          <w:lang w:val="ru-RU"/>
        </w:rPr>
        <w:t xml:space="preserve">. В частности, Центр сотрудничает с Ассоциацией </w:t>
      </w:r>
      <w:r w:rsidRPr="0031622A">
        <w:rPr>
          <w:szCs w:val="22"/>
          <w:lang w:val="ru-RU"/>
        </w:rPr>
        <w:t>фран</w:t>
      </w:r>
      <w:r>
        <w:rPr>
          <w:szCs w:val="22"/>
          <w:lang w:val="ru-RU"/>
        </w:rPr>
        <w:t>чайзинга</w:t>
      </w:r>
      <w:r w:rsidRPr="0031622A">
        <w:rPr>
          <w:rStyle w:val="ONUMEChar"/>
          <w:szCs w:val="22"/>
          <w:lang w:val="ru-RU"/>
        </w:rPr>
        <w:t xml:space="preserve"> и лицензирования Сингапура (</w:t>
      </w:r>
      <w:r w:rsidRPr="0031622A">
        <w:rPr>
          <w:rStyle w:val="ONUMEChar"/>
          <w:szCs w:val="22"/>
        </w:rPr>
        <w:t>FLA</w:t>
      </w:r>
      <w:r w:rsidRPr="0031622A">
        <w:rPr>
          <w:rStyle w:val="ONUMEChar"/>
          <w:szCs w:val="22"/>
          <w:lang w:val="ru-RU"/>
        </w:rPr>
        <w:t>) и Ассоциацией франчайзеров Испании (</w:t>
      </w:r>
      <w:r w:rsidRPr="0031622A">
        <w:rPr>
          <w:rStyle w:val="ONUMEChar"/>
          <w:szCs w:val="22"/>
        </w:rPr>
        <w:t>AEF</w:t>
      </w:r>
      <w:r>
        <w:rPr>
          <w:rStyle w:val="ONUMEChar"/>
          <w:szCs w:val="22"/>
          <w:lang w:val="ru-RU"/>
        </w:rPr>
        <w:t xml:space="preserve">) для </w:t>
      </w:r>
      <w:r w:rsidRPr="0031622A">
        <w:rPr>
          <w:rStyle w:val="ONUMEChar"/>
          <w:szCs w:val="22"/>
          <w:lang w:val="ru-RU"/>
        </w:rPr>
        <w:t>информирования общественности о возможностях</w:t>
      </w:r>
      <w:r>
        <w:rPr>
          <w:rStyle w:val="ONUMEChar"/>
          <w:szCs w:val="22"/>
          <w:lang w:val="ru-RU"/>
        </w:rPr>
        <w:t xml:space="preserve">, </w:t>
      </w:r>
      <w:r w:rsidRPr="003370AD">
        <w:rPr>
          <w:rStyle w:val="ONUMEChar"/>
          <w:szCs w:val="22"/>
          <w:lang w:val="ru-RU"/>
        </w:rPr>
        <w:t>котор</w:t>
      </w:r>
      <w:r>
        <w:rPr>
          <w:rStyle w:val="ONUMEChar"/>
          <w:szCs w:val="22"/>
          <w:lang w:val="ru-RU"/>
        </w:rPr>
        <w:t xml:space="preserve">ые </w:t>
      </w:r>
      <w:r w:rsidRPr="003370AD">
        <w:rPr>
          <w:rStyle w:val="ONUMEChar"/>
          <w:szCs w:val="22"/>
          <w:lang w:val="ru-RU"/>
        </w:rPr>
        <w:t>механизм</w:t>
      </w:r>
      <w:r>
        <w:rPr>
          <w:rStyle w:val="ONUMEChar"/>
          <w:szCs w:val="22"/>
          <w:lang w:val="ru-RU"/>
        </w:rPr>
        <w:t xml:space="preserve">ы </w:t>
      </w:r>
      <w:r w:rsidRPr="0031622A">
        <w:rPr>
          <w:rStyle w:val="ONUMEChar"/>
          <w:szCs w:val="22"/>
          <w:lang w:val="ru-RU"/>
        </w:rPr>
        <w:t xml:space="preserve">АУС </w:t>
      </w:r>
      <w:r>
        <w:rPr>
          <w:rStyle w:val="ONUMEChar"/>
          <w:szCs w:val="22"/>
          <w:lang w:val="ru-RU"/>
        </w:rPr>
        <w:t xml:space="preserve">открывают </w:t>
      </w:r>
      <w:r w:rsidRPr="0031622A">
        <w:rPr>
          <w:rStyle w:val="ONUMEChar"/>
          <w:szCs w:val="22"/>
          <w:lang w:val="ru-RU"/>
        </w:rPr>
        <w:t xml:space="preserve">для заинтересованных сторон </w:t>
      </w:r>
      <w:r>
        <w:rPr>
          <w:rStyle w:val="ONUMEChar"/>
          <w:szCs w:val="22"/>
          <w:lang w:val="ru-RU"/>
        </w:rPr>
        <w:t xml:space="preserve">при </w:t>
      </w:r>
      <w:r w:rsidRPr="003370AD">
        <w:rPr>
          <w:rStyle w:val="ONUMEChar"/>
          <w:szCs w:val="22"/>
          <w:lang w:val="ru-RU"/>
        </w:rPr>
        <w:t>урегулировани</w:t>
      </w:r>
      <w:r>
        <w:rPr>
          <w:rStyle w:val="ONUMEChar"/>
          <w:szCs w:val="22"/>
          <w:lang w:val="ru-RU"/>
        </w:rPr>
        <w:t xml:space="preserve">и споров </w:t>
      </w:r>
      <w:r w:rsidRPr="003370AD">
        <w:rPr>
          <w:rStyle w:val="ONUMEChar"/>
          <w:szCs w:val="22"/>
          <w:lang w:val="ru-RU"/>
        </w:rPr>
        <w:t>в области</w:t>
      </w:r>
      <w:r>
        <w:rPr>
          <w:rStyle w:val="ONUMEChar"/>
          <w:szCs w:val="22"/>
          <w:lang w:val="ru-RU"/>
        </w:rPr>
        <w:t xml:space="preserve"> </w:t>
      </w:r>
      <w:r w:rsidRPr="0031622A">
        <w:rPr>
          <w:szCs w:val="22"/>
          <w:lang w:val="ru-RU"/>
        </w:rPr>
        <w:t>фран</w:t>
      </w:r>
      <w:r>
        <w:rPr>
          <w:szCs w:val="22"/>
          <w:lang w:val="ru-RU"/>
        </w:rPr>
        <w:t>чайзинга</w:t>
      </w:r>
      <w:r w:rsidRPr="0031622A">
        <w:rPr>
          <w:rStyle w:val="ONUMEChar"/>
          <w:szCs w:val="22"/>
          <w:lang w:val="ru-RU"/>
        </w:rPr>
        <w:t xml:space="preserve"> и лицензирования. Аналогичным образом, в мае 2015</w:t>
      </w:r>
      <w:r w:rsidRPr="0031622A">
        <w:rPr>
          <w:rStyle w:val="ONUMEChar"/>
          <w:szCs w:val="22"/>
        </w:rPr>
        <w:t> </w:t>
      </w:r>
      <w:r w:rsidRPr="0031622A">
        <w:rPr>
          <w:rStyle w:val="ONUMEChar"/>
          <w:szCs w:val="22"/>
          <w:lang w:val="ru-RU"/>
        </w:rPr>
        <w:t>г. Центр и Швейцарская Ассоциация франчайзеров (</w:t>
      </w:r>
      <w:r w:rsidRPr="0031622A">
        <w:rPr>
          <w:rStyle w:val="ONUMEChar"/>
          <w:szCs w:val="22"/>
        </w:rPr>
        <w:t>SFA</w:t>
      </w:r>
      <w:r w:rsidRPr="0031622A">
        <w:rPr>
          <w:rStyle w:val="ONUMEChar"/>
          <w:szCs w:val="22"/>
          <w:lang w:val="ru-RU"/>
        </w:rPr>
        <w:t xml:space="preserve">) договорились о сотрудничестве при </w:t>
      </w:r>
      <w:r w:rsidRPr="003370AD">
        <w:rPr>
          <w:rStyle w:val="ONUMEChar"/>
          <w:szCs w:val="22"/>
          <w:lang w:val="ru-RU"/>
        </w:rPr>
        <w:t>разработк</w:t>
      </w:r>
      <w:r>
        <w:rPr>
          <w:rStyle w:val="ONUMEChar"/>
          <w:szCs w:val="22"/>
          <w:lang w:val="ru-RU"/>
        </w:rPr>
        <w:t>е</w:t>
      </w:r>
      <w:r w:rsidRPr="0031622A">
        <w:rPr>
          <w:rStyle w:val="ONUMEChar"/>
          <w:szCs w:val="22"/>
          <w:lang w:val="ru-RU"/>
        </w:rPr>
        <w:t xml:space="preserve"> процедур и услуг АУС ВОИС для разрешения споров с участием членов </w:t>
      </w:r>
      <w:r w:rsidRPr="0031622A">
        <w:rPr>
          <w:rStyle w:val="ONUMEChar"/>
          <w:szCs w:val="22"/>
        </w:rPr>
        <w:t>SFA</w:t>
      </w:r>
      <w:r w:rsidR="00455036">
        <w:rPr>
          <w:rStyle w:val="FootnoteReference"/>
          <w:szCs w:val="22"/>
        </w:rPr>
        <w:footnoteReference w:id="11"/>
      </w:r>
      <w:r w:rsidRPr="00917B80">
        <w:rPr>
          <w:rStyle w:val="ONUMEChar"/>
          <w:szCs w:val="22"/>
          <w:lang w:val="ru-RU"/>
        </w:rPr>
        <w:t>.</w:t>
      </w:r>
    </w:p>
    <w:p w:rsidR="00384EE8" w:rsidRPr="00917B80" w:rsidRDefault="00384EE8" w:rsidP="005E277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5E2771" w:rsidRPr="00917B80" w:rsidRDefault="005E2771" w:rsidP="005E277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384EE8" w:rsidRPr="00917B80" w:rsidRDefault="00384EE8" w:rsidP="005E2771">
      <w:pPr>
        <w:pStyle w:val="Heading1"/>
        <w:spacing w:before="0" w:after="0"/>
        <w:rPr>
          <w:szCs w:val="22"/>
          <w:lang w:val="ru-RU"/>
        </w:rPr>
      </w:pPr>
      <w:r w:rsidRPr="006475B9">
        <w:rPr>
          <w:szCs w:val="22"/>
        </w:rPr>
        <w:t>II</w:t>
      </w:r>
      <w:r w:rsidRPr="00917B80">
        <w:rPr>
          <w:szCs w:val="22"/>
          <w:lang w:val="ru-RU"/>
        </w:rPr>
        <w:t>.</w:t>
      </w:r>
      <w:r w:rsidRPr="00917B80">
        <w:rPr>
          <w:szCs w:val="22"/>
          <w:lang w:val="ru-RU"/>
        </w:rPr>
        <w:tab/>
      </w:r>
      <w:r w:rsidR="00917B80" w:rsidRPr="0031622A">
        <w:rPr>
          <w:szCs w:val="22"/>
          <w:lang w:val="ru-RU"/>
        </w:rPr>
        <w:t>РАССМОТРЕНИЕ СПОРОВ, СВЯЗАННЫХ С ДОМЕННЫМИ ИМЕНАМИ</w:t>
      </w:r>
    </w:p>
    <w:p w:rsidR="00384EE8" w:rsidRPr="00917B80" w:rsidRDefault="00384EE8" w:rsidP="005E2771">
      <w:pPr>
        <w:rPr>
          <w:lang w:val="ru-RU"/>
        </w:rPr>
      </w:pPr>
    </w:p>
    <w:p w:rsidR="00384EE8" w:rsidRPr="006475B9" w:rsidRDefault="005E2771" w:rsidP="005E2771">
      <w:pPr>
        <w:pStyle w:val="Heading2"/>
        <w:spacing w:before="0" w:after="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917B80" w:rsidRPr="0031622A">
        <w:rPr>
          <w:szCs w:val="22"/>
        </w:rPr>
        <w:t>ЕПУС</w:t>
      </w:r>
    </w:p>
    <w:p w:rsidR="00384EE8" w:rsidRPr="006475B9" w:rsidRDefault="00384EE8" w:rsidP="005E2771"/>
    <w:p w:rsidR="00D832E9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szCs w:val="24"/>
          <w:lang w:val="ru-RU"/>
        </w:rPr>
      </w:pPr>
      <w:r w:rsidRPr="00386B60">
        <w:rPr>
          <w:szCs w:val="24"/>
          <w:lang w:val="ru-RU"/>
        </w:rPr>
        <w:t>Существование системы доменных имен (</w:t>
      </w:r>
      <w:r w:rsidRPr="00386B60">
        <w:rPr>
          <w:szCs w:val="24"/>
        </w:rPr>
        <w:t>DNS</w:t>
      </w:r>
      <w:r w:rsidRPr="00386B60">
        <w:rPr>
          <w:szCs w:val="24"/>
          <w:lang w:val="ru-RU"/>
        </w:rPr>
        <w:t>) создает ряд проблем, связанных с охраной ИС, решение которых, в силу глобальной природы Интернета, требует международного подхода</w:t>
      </w:r>
      <w:r w:rsidRPr="009B46C7">
        <w:rPr>
          <w:szCs w:val="24"/>
          <w:lang w:val="ru-RU"/>
        </w:rPr>
        <w:t xml:space="preserve">. </w:t>
      </w:r>
      <w:r w:rsidRPr="00386B60">
        <w:rPr>
          <w:szCs w:val="24"/>
          <w:lang w:val="ru-RU"/>
        </w:rPr>
        <w:t>ВОИС занимается решени</w:t>
      </w:r>
      <w:r>
        <w:rPr>
          <w:szCs w:val="24"/>
          <w:lang w:val="ru-RU"/>
        </w:rPr>
        <w:t>ем</w:t>
      </w:r>
      <w:r w:rsidRPr="00386B60">
        <w:rPr>
          <w:szCs w:val="24"/>
          <w:lang w:val="ru-RU"/>
        </w:rPr>
        <w:t xml:space="preserve"> этих проблем с 1998</w:t>
      </w:r>
      <w:r w:rsidRPr="00386B60">
        <w:rPr>
          <w:szCs w:val="24"/>
        </w:rPr>
        <w:t> </w:t>
      </w:r>
      <w:r w:rsidRPr="00386B60">
        <w:rPr>
          <w:szCs w:val="24"/>
          <w:lang w:val="ru-RU"/>
        </w:rPr>
        <w:t>г., разрабатывая конкретные решения, из которых особого упоминания заслуживают Первый</w:t>
      </w:r>
      <w:r w:rsidR="00384EE8" w:rsidRPr="006475B9">
        <w:rPr>
          <w:rStyle w:val="FootnoteReference"/>
          <w:szCs w:val="24"/>
        </w:rPr>
        <w:footnoteReference w:id="12"/>
      </w:r>
      <w:r w:rsidR="00384EE8" w:rsidRPr="00917B80">
        <w:rPr>
          <w:szCs w:val="24"/>
          <w:lang w:val="ru-RU"/>
        </w:rPr>
        <w:t xml:space="preserve"> </w:t>
      </w:r>
      <w:r w:rsidRPr="00386B60">
        <w:rPr>
          <w:szCs w:val="24"/>
          <w:lang w:val="ru-RU"/>
        </w:rPr>
        <w:t>и Второй</w:t>
      </w:r>
      <w:r w:rsidR="00384EE8" w:rsidRPr="006475B9">
        <w:rPr>
          <w:rStyle w:val="FootnoteReference"/>
          <w:szCs w:val="24"/>
        </w:rPr>
        <w:footnoteReference w:id="13"/>
      </w:r>
      <w:r w:rsidR="00384EE8" w:rsidRPr="00917B80">
        <w:rPr>
          <w:szCs w:val="24"/>
          <w:lang w:val="ru-RU"/>
        </w:rPr>
        <w:t xml:space="preserve"> </w:t>
      </w:r>
      <w:r w:rsidRPr="00386B60">
        <w:rPr>
          <w:szCs w:val="24"/>
          <w:lang w:val="ru-RU"/>
        </w:rPr>
        <w:t>процессы ВОИС по доменным именам в Интернете</w:t>
      </w:r>
      <w:r>
        <w:rPr>
          <w:szCs w:val="24"/>
          <w:lang w:val="ru-RU"/>
        </w:rPr>
        <w:t xml:space="preserve">. Действуя </w:t>
      </w:r>
      <w:r w:rsidRPr="00386B60">
        <w:rPr>
          <w:szCs w:val="24"/>
          <w:lang w:val="ru-RU"/>
        </w:rPr>
        <w:t>через Центр, ВОИС предлагает владельцам товарных знаков эффективные международные механизмы противодействия недобросовестной регистрации и использовани</w:t>
      </w:r>
      <w:r>
        <w:rPr>
          <w:szCs w:val="24"/>
          <w:lang w:val="ru-RU"/>
        </w:rPr>
        <w:t>ю</w:t>
      </w:r>
      <w:r w:rsidRPr="00386B60">
        <w:rPr>
          <w:szCs w:val="24"/>
          <w:lang w:val="ru-RU"/>
        </w:rPr>
        <w:t xml:space="preserve"> доменных имен</w:t>
      </w:r>
      <w:r>
        <w:rPr>
          <w:szCs w:val="24"/>
          <w:lang w:val="ru-RU"/>
        </w:rPr>
        <w:t xml:space="preserve">, </w:t>
      </w:r>
      <w:r w:rsidRPr="00065DD7">
        <w:rPr>
          <w:szCs w:val="24"/>
          <w:lang w:val="ru-RU"/>
        </w:rPr>
        <w:t>соответствующ</w:t>
      </w:r>
      <w:r>
        <w:rPr>
          <w:szCs w:val="24"/>
          <w:lang w:val="ru-RU"/>
        </w:rPr>
        <w:t>ие их правам</w:t>
      </w:r>
      <w:r w:rsidRPr="00386B60">
        <w:rPr>
          <w:szCs w:val="24"/>
          <w:lang w:val="ru-RU"/>
        </w:rPr>
        <w:t xml:space="preserve"> на товарные знаки</w:t>
      </w:r>
      <w:r w:rsidRPr="005207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Главный из таких </w:t>
      </w:r>
      <w:r w:rsidRPr="00065DD7">
        <w:rPr>
          <w:szCs w:val="24"/>
          <w:lang w:val="ru-RU"/>
        </w:rPr>
        <w:t>механизм</w:t>
      </w:r>
      <w:r>
        <w:rPr>
          <w:szCs w:val="24"/>
          <w:lang w:val="ru-RU"/>
        </w:rPr>
        <w:t>ов, применяемых Центром,</w:t>
      </w:r>
      <w:r w:rsidRPr="00386B60">
        <w:rPr>
          <w:szCs w:val="24"/>
          <w:lang w:val="ru-RU"/>
        </w:rPr>
        <w:t xml:space="preserve"> ЕПУС</w:t>
      </w:r>
      <w:r>
        <w:rPr>
          <w:szCs w:val="24"/>
          <w:lang w:val="ru-RU"/>
        </w:rPr>
        <w:t xml:space="preserve">, </w:t>
      </w:r>
      <w:r w:rsidRPr="00386B60">
        <w:rPr>
          <w:szCs w:val="24"/>
          <w:lang w:val="ru-RU"/>
        </w:rPr>
        <w:t>был</w:t>
      </w:r>
      <w:r>
        <w:rPr>
          <w:szCs w:val="24"/>
          <w:lang w:val="ru-RU"/>
        </w:rPr>
        <w:t>а</w:t>
      </w:r>
      <w:r w:rsidRPr="00386B6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разработана</w:t>
      </w:r>
      <w:r w:rsidRPr="00386B60">
        <w:rPr>
          <w:szCs w:val="24"/>
          <w:lang w:val="ru-RU"/>
        </w:rPr>
        <w:t xml:space="preserve"> </w:t>
      </w:r>
      <w:r w:rsidRPr="00386B60">
        <w:rPr>
          <w:szCs w:val="24"/>
        </w:rPr>
        <w:t>ICANN</w:t>
      </w:r>
      <w:r w:rsidRPr="00386B6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 основе рекомендаций</w:t>
      </w:r>
      <w:r>
        <w:rPr>
          <w:szCs w:val="24"/>
          <w:lang w:val="ru-RU"/>
        </w:rPr>
        <w:tab/>
        <w:t xml:space="preserve"> сформулированных</w:t>
      </w:r>
      <w:r w:rsidRPr="00386B60">
        <w:rPr>
          <w:szCs w:val="24"/>
          <w:lang w:val="ru-RU"/>
        </w:rPr>
        <w:t xml:space="preserve"> ВОИС в рамках Первого процесса ВОИС по доменным именам в Интернете.</w:t>
      </w:r>
    </w:p>
    <w:p w:rsidR="00D832E9" w:rsidRPr="00917B80" w:rsidRDefault="00D832E9" w:rsidP="005E2771">
      <w:pPr>
        <w:rPr>
          <w:szCs w:val="24"/>
          <w:lang w:val="ru-RU"/>
        </w:rPr>
      </w:pPr>
    </w:p>
    <w:p w:rsidR="00384EE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szCs w:val="24"/>
          <w:lang w:val="ru-RU"/>
        </w:rPr>
      </w:pPr>
      <w:r w:rsidRPr="0042697B">
        <w:rPr>
          <w:szCs w:val="24"/>
          <w:lang w:val="ru-RU"/>
        </w:rPr>
        <w:t>Применение ЕПУС ограничивается случаями явно недобросовестной и неправомочной регистрации и использования доменных имен</w:t>
      </w:r>
      <w:r>
        <w:rPr>
          <w:szCs w:val="24"/>
          <w:lang w:val="ru-RU"/>
        </w:rPr>
        <w:t>,</w:t>
      </w:r>
      <w:r w:rsidRPr="0042697B">
        <w:rPr>
          <w:szCs w:val="24"/>
          <w:lang w:val="ru-RU"/>
        </w:rPr>
        <w:t xml:space="preserve"> и </w:t>
      </w:r>
      <w:r w:rsidRPr="009B46C7">
        <w:rPr>
          <w:snapToGrid w:val="0"/>
          <w:szCs w:val="24"/>
          <w:lang w:val="ru-RU"/>
        </w:rPr>
        <w:t>данн</w:t>
      </w:r>
      <w:r>
        <w:rPr>
          <w:szCs w:val="24"/>
          <w:lang w:val="ru-RU"/>
        </w:rPr>
        <w:t xml:space="preserve">ый </w:t>
      </w:r>
      <w:r w:rsidRPr="009B46C7">
        <w:rPr>
          <w:szCs w:val="24"/>
          <w:lang w:val="ru-RU"/>
        </w:rPr>
        <w:t>механизм</w:t>
      </w:r>
      <w:r>
        <w:rPr>
          <w:szCs w:val="24"/>
          <w:lang w:val="ru-RU"/>
        </w:rPr>
        <w:t xml:space="preserve"> </w:t>
      </w:r>
      <w:r w:rsidRPr="0042697B">
        <w:rPr>
          <w:szCs w:val="24"/>
          <w:lang w:val="ru-RU"/>
        </w:rPr>
        <w:t>пользуется весьма широкой популярностью среди владельцев товарных знаков</w:t>
      </w:r>
      <w:r w:rsidR="00384EE8" w:rsidRPr="006475B9">
        <w:rPr>
          <w:rStyle w:val="FootnoteReference"/>
          <w:szCs w:val="24"/>
        </w:rPr>
        <w:footnoteReference w:id="14"/>
      </w:r>
      <w:r w:rsidRPr="00917B80">
        <w:rPr>
          <w:szCs w:val="24"/>
          <w:lang w:val="ru-RU"/>
        </w:rPr>
        <w:t>.</w:t>
      </w:r>
      <w:r w:rsidR="008B60B0" w:rsidRPr="00917B80">
        <w:rPr>
          <w:szCs w:val="24"/>
          <w:lang w:val="ru-RU"/>
        </w:rPr>
        <w:t xml:space="preserve">  </w:t>
      </w:r>
      <w:r w:rsidRPr="0042697B">
        <w:rPr>
          <w:szCs w:val="24"/>
          <w:lang w:val="ru-RU"/>
        </w:rPr>
        <w:t xml:space="preserve">С декабря 1999 г. Центр рассмотрел </w:t>
      </w:r>
      <w:r>
        <w:rPr>
          <w:szCs w:val="24"/>
          <w:lang w:val="ru-RU"/>
        </w:rPr>
        <w:t xml:space="preserve">с </w:t>
      </w:r>
      <w:r w:rsidRPr="000E15BE">
        <w:rPr>
          <w:snapToGrid w:val="0"/>
          <w:szCs w:val="24"/>
          <w:lang w:val="ru-RU"/>
        </w:rPr>
        <w:t>применени</w:t>
      </w:r>
      <w:r>
        <w:rPr>
          <w:szCs w:val="24"/>
          <w:lang w:val="ru-RU"/>
        </w:rPr>
        <w:t xml:space="preserve">ем </w:t>
      </w:r>
      <w:r w:rsidRPr="0042697B">
        <w:rPr>
          <w:szCs w:val="24"/>
          <w:lang w:val="ru-RU"/>
        </w:rPr>
        <w:t>ЕПУС порядка 32 тыс. споров</w:t>
      </w:r>
      <w:r w:rsidR="00384EE8" w:rsidRPr="00047A9D">
        <w:rPr>
          <w:vertAlign w:val="superscript"/>
        </w:rPr>
        <w:footnoteReference w:id="15"/>
      </w:r>
      <w:r w:rsidRPr="00917B80">
        <w:rPr>
          <w:szCs w:val="24"/>
          <w:lang w:val="ru-RU"/>
        </w:rPr>
        <w:t>.</w:t>
      </w:r>
      <w:r w:rsidR="00384EE8" w:rsidRPr="00917B80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Обладатели</w:t>
      </w:r>
      <w:r w:rsidRPr="00702D44">
        <w:rPr>
          <w:szCs w:val="24"/>
          <w:lang w:val="ru-RU"/>
        </w:rPr>
        <w:t xml:space="preserve"> товарных знаков подали в Центр в течение 2014 г. 2 634 жалоб, основанных на положениях ЕПУС, что соответствует приросту в 2% относительно уровня 2013 г. С учетом споров, направленных в течение 2014 г., общее число доменных имен, ставших предметом </w:t>
      </w:r>
      <w:r>
        <w:rPr>
          <w:szCs w:val="24"/>
          <w:lang w:val="ru-RU"/>
        </w:rPr>
        <w:t>споров</w:t>
      </w:r>
      <w:r w:rsidRPr="00702D44">
        <w:rPr>
          <w:szCs w:val="24"/>
          <w:lang w:val="ru-RU"/>
        </w:rPr>
        <w:t xml:space="preserve">, </w:t>
      </w:r>
      <w:r w:rsidRPr="000E15BE">
        <w:rPr>
          <w:color w:val="000000"/>
          <w:szCs w:val="24"/>
          <w:lang w:val="ru-RU"/>
        </w:rPr>
        <w:t>урегулирован</w:t>
      </w:r>
      <w:r>
        <w:rPr>
          <w:color w:val="000000"/>
          <w:szCs w:val="24"/>
          <w:lang w:val="ru-RU"/>
        </w:rPr>
        <w:t>ных</w:t>
      </w:r>
      <w:r>
        <w:rPr>
          <w:szCs w:val="24"/>
          <w:lang w:val="ru-RU"/>
        </w:rPr>
        <w:t xml:space="preserve"> </w:t>
      </w:r>
      <w:r w:rsidRPr="00702D44">
        <w:rPr>
          <w:szCs w:val="24"/>
          <w:lang w:val="ru-RU"/>
        </w:rPr>
        <w:t>на основе ЕПУС ВОИС, приблизилось к 57</w:t>
      </w:r>
      <w:r>
        <w:rPr>
          <w:szCs w:val="24"/>
          <w:lang w:val="ru-RU"/>
        </w:rPr>
        <w:t> </w:t>
      </w:r>
      <w:r w:rsidRPr="00702D44">
        <w:rPr>
          <w:szCs w:val="24"/>
          <w:lang w:val="ru-RU"/>
        </w:rPr>
        <w:t>000.</w:t>
      </w:r>
    </w:p>
    <w:p w:rsidR="00384EE8" w:rsidRPr="00917B80" w:rsidRDefault="00384EE8" w:rsidP="005E2771">
      <w:pPr>
        <w:rPr>
          <w:szCs w:val="24"/>
          <w:lang w:val="ru-RU"/>
        </w:rPr>
      </w:pPr>
    </w:p>
    <w:p w:rsidR="00384EE8" w:rsidRPr="00917B80" w:rsidRDefault="00917B80" w:rsidP="005E2771">
      <w:pPr>
        <w:pStyle w:val="ListParagraph"/>
        <w:numPr>
          <w:ilvl w:val="0"/>
          <w:numId w:val="18"/>
        </w:numPr>
        <w:ind w:left="0" w:firstLine="0"/>
        <w:rPr>
          <w:szCs w:val="24"/>
          <w:lang w:val="ru-RU"/>
        </w:rPr>
      </w:pPr>
      <w:r w:rsidRPr="00BA326E">
        <w:rPr>
          <w:szCs w:val="24"/>
          <w:lang w:val="ru-RU"/>
        </w:rPr>
        <w:t>В 2014</w:t>
      </w:r>
      <w:r w:rsidRPr="00BA326E">
        <w:rPr>
          <w:szCs w:val="24"/>
        </w:rPr>
        <w:t> </w:t>
      </w:r>
      <w:r w:rsidRPr="00BA326E">
        <w:rPr>
          <w:szCs w:val="24"/>
          <w:lang w:val="ru-RU"/>
        </w:rPr>
        <w:t xml:space="preserve">г. </w:t>
      </w:r>
      <w:r>
        <w:rPr>
          <w:szCs w:val="24"/>
          <w:lang w:val="ru-RU"/>
        </w:rPr>
        <w:t>к процедурам</w:t>
      </w:r>
      <w:r w:rsidRPr="00BA326E">
        <w:rPr>
          <w:szCs w:val="24"/>
          <w:lang w:val="ru-RU"/>
        </w:rPr>
        <w:t xml:space="preserve"> Центра </w:t>
      </w:r>
      <w:r>
        <w:rPr>
          <w:szCs w:val="24"/>
          <w:lang w:val="ru-RU"/>
        </w:rPr>
        <w:t xml:space="preserve">для </w:t>
      </w:r>
      <w:r w:rsidRPr="00BA326E">
        <w:rPr>
          <w:szCs w:val="24"/>
          <w:lang w:val="ru-RU"/>
        </w:rPr>
        <w:t xml:space="preserve">разрешения споров </w:t>
      </w:r>
      <w:r>
        <w:rPr>
          <w:szCs w:val="24"/>
          <w:lang w:val="ru-RU"/>
        </w:rPr>
        <w:t>обращались клиенты самых разных категорий</w:t>
      </w:r>
      <w:r w:rsidRPr="00BA326E">
        <w:rPr>
          <w:szCs w:val="24"/>
          <w:lang w:val="ru-RU"/>
        </w:rPr>
        <w:t xml:space="preserve">: </w:t>
      </w:r>
      <w:r>
        <w:rPr>
          <w:szCs w:val="24"/>
          <w:lang w:val="ru-RU"/>
        </w:rPr>
        <w:t xml:space="preserve">как </w:t>
      </w:r>
      <w:r w:rsidRPr="00BA326E">
        <w:rPr>
          <w:szCs w:val="24"/>
          <w:lang w:val="ru-RU"/>
        </w:rPr>
        <w:t xml:space="preserve">предприятия </w:t>
      </w:r>
      <w:r>
        <w:rPr>
          <w:szCs w:val="24"/>
          <w:lang w:val="ru-RU"/>
        </w:rPr>
        <w:t xml:space="preserve">и </w:t>
      </w:r>
      <w:r w:rsidRPr="00BA326E">
        <w:rPr>
          <w:szCs w:val="24"/>
          <w:lang w:val="ru-RU"/>
        </w:rPr>
        <w:t>учреждения</w:t>
      </w:r>
      <w:r>
        <w:rPr>
          <w:szCs w:val="24"/>
          <w:lang w:val="ru-RU"/>
        </w:rPr>
        <w:t>, так</w:t>
      </w:r>
      <w:r w:rsidRPr="00BA326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 частные лица. Наибольшее число запросов поступило от </w:t>
      </w:r>
      <w:r w:rsidRPr="00BA326E">
        <w:rPr>
          <w:szCs w:val="24"/>
          <w:lang w:val="ru-RU"/>
        </w:rPr>
        <w:t xml:space="preserve">пяти отраслей: </w:t>
      </w:r>
      <w:r>
        <w:rPr>
          <w:szCs w:val="24"/>
          <w:lang w:val="ru-RU"/>
        </w:rPr>
        <w:t>розничной торговли, банковских</w:t>
      </w:r>
      <w:r w:rsidRPr="00BA326E">
        <w:rPr>
          <w:szCs w:val="24"/>
          <w:lang w:val="ru-RU"/>
        </w:rPr>
        <w:t xml:space="preserve"> и финан</w:t>
      </w:r>
      <w:r>
        <w:rPr>
          <w:szCs w:val="24"/>
          <w:lang w:val="ru-RU"/>
        </w:rPr>
        <w:t>совых</w:t>
      </w:r>
      <w:r w:rsidRPr="00BA326E">
        <w:rPr>
          <w:szCs w:val="24"/>
          <w:lang w:val="ru-RU"/>
        </w:rPr>
        <w:t xml:space="preserve"> </w:t>
      </w:r>
      <w:r w:rsidRPr="00D92B33">
        <w:rPr>
          <w:snapToGrid w:val="0"/>
          <w:szCs w:val="24"/>
          <w:lang w:val="ru-RU"/>
        </w:rPr>
        <w:t>услуг</w:t>
      </w:r>
      <w:r w:rsidRPr="00BA326E">
        <w:rPr>
          <w:szCs w:val="24"/>
          <w:lang w:val="ru-RU"/>
        </w:rPr>
        <w:t>, моды, Интернет</w:t>
      </w:r>
      <w:r>
        <w:rPr>
          <w:szCs w:val="24"/>
          <w:lang w:val="ru-RU"/>
        </w:rPr>
        <w:t>-</w:t>
      </w:r>
      <w:r w:rsidRPr="00D92B33">
        <w:rPr>
          <w:snapToGrid w:val="0"/>
          <w:szCs w:val="24"/>
          <w:lang w:val="ru-RU"/>
        </w:rPr>
        <w:t>услуг</w:t>
      </w:r>
      <w:r w:rsidRPr="00BA326E">
        <w:rPr>
          <w:szCs w:val="24"/>
          <w:lang w:val="ru-RU"/>
        </w:rPr>
        <w:t xml:space="preserve"> и информационных технологий</w:t>
      </w:r>
      <w:r>
        <w:rPr>
          <w:szCs w:val="24"/>
          <w:lang w:val="ru-RU"/>
        </w:rPr>
        <w:t>,</w:t>
      </w:r>
      <w:r w:rsidRPr="00BA326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</w:t>
      </w:r>
      <w:r w:rsidRPr="00BA326E">
        <w:rPr>
          <w:szCs w:val="24"/>
          <w:lang w:val="ru-RU"/>
        </w:rPr>
        <w:t>яжелой промышленности и производства оборудования</w:t>
      </w:r>
      <w:bookmarkStart w:id="6" w:name="t5"/>
      <w:bookmarkEnd w:id="6"/>
      <w:r w:rsidRPr="00BA326E">
        <w:rPr>
          <w:szCs w:val="24"/>
          <w:lang w:val="ru-RU"/>
        </w:rPr>
        <w:t xml:space="preserve">. </w:t>
      </w:r>
      <w:r w:rsidRPr="00D92B33">
        <w:rPr>
          <w:szCs w:val="24"/>
          <w:lang w:val="ru-RU"/>
        </w:rPr>
        <w:t xml:space="preserve">В частности, </w:t>
      </w:r>
      <w:r>
        <w:rPr>
          <w:szCs w:val="24"/>
          <w:lang w:val="ru-RU"/>
        </w:rPr>
        <w:t>жалобы</w:t>
      </w:r>
      <w:r w:rsidRPr="00BA326E">
        <w:rPr>
          <w:szCs w:val="24"/>
          <w:lang w:val="ru-RU"/>
        </w:rPr>
        <w:t xml:space="preserve">, </w:t>
      </w:r>
      <w:r w:rsidRPr="00D92B33">
        <w:rPr>
          <w:szCs w:val="24"/>
          <w:lang w:val="ru-RU"/>
        </w:rPr>
        <w:t>касающи</w:t>
      </w:r>
      <w:r>
        <w:rPr>
          <w:szCs w:val="24"/>
          <w:lang w:val="ru-RU"/>
        </w:rPr>
        <w:t xml:space="preserve">еся </w:t>
      </w:r>
      <w:r w:rsidRPr="00BA326E">
        <w:rPr>
          <w:szCs w:val="24"/>
          <w:lang w:val="ru-RU"/>
        </w:rPr>
        <w:t xml:space="preserve">брендов изделий </w:t>
      </w:r>
      <w:r>
        <w:rPr>
          <w:szCs w:val="24"/>
          <w:lang w:val="ru-RU"/>
        </w:rPr>
        <w:t>моды</w:t>
      </w:r>
      <w:r w:rsidRPr="00BA326E">
        <w:rPr>
          <w:szCs w:val="24"/>
          <w:lang w:val="ru-RU"/>
        </w:rPr>
        <w:t xml:space="preserve"> и предметов роскоши, включают жалобы, подаваемые правообладателями, заявляющими </w:t>
      </w:r>
      <w:r w:rsidRPr="00BA326E">
        <w:rPr>
          <w:szCs w:val="24"/>
          <w:lang w:val="ru-RU"/>
        </w:rPr>
        <w:lastRenderedPageBreak/>
        <w:t xml:space="preserve">о продаже контрафактной продукции через вебсайты, использующие оспариваемые доменные имена. За период до конца 2014 г. </w:t>
      </w:r>
      <w:r>
        <w:rPr>
          <w:szCs w:val="24"/>
          <w:lang w:val="ru-RU"/>
        </w:rPr>
        <w:t>сторонами</w:t>
      </w:r>
      <w:r w:rsidRPr="00BA326E">
        <w:rPr>
          <w:szCs w:val="24"/>
          <w:lang w:val="ru-RU"/>
        </w:rPr>
        <w:t xml:space="preserve"> споров, рассматриваемых в ВОИС, </w:t>
      </w:r>
      <w:r>
        <w:rPr>
          <w:szCs w:val="24"/>
          <w:lang w:val="ru-RU"/>
        </w:rPr>
        <w:t xml:space="preserve">были </w:t>
      </w:r>
      <w:r w:rsidRPr="00D92B33">
        <w:rPr>
          <w:szCs w:val="24"/>
          <w:lang w:val="ru-RU"/>
        </w:rPr>
        <w:t>представител</w:t>
      </w:r>
      <w:r>
        <w:rPr>
          <w:szCs w:val="24"/>
          <w:lang w:val="ru-RU"/>
        </w:rPr>
        <w:t xml:space="preserve">и </w:t>
      </w:r>
      <w:r w:rsidRPr="00BA326E">
        <w:rPr>
          <w:szCs w:val="24"/>
          <w:lang w:val="ru-RU"/>
        </w:rPr>
        <w:t>177</w:t>
      </w:r>
      <w:r w:rsidRPr="00BA326E">
        <w:rPr>
          <w:szCs w:val="24"/>
        </w:rPr>
        <w:t> </w:t>
      </w:r>
      <w:r w:rsidRPr="00BA326E">
        <w:rPr>
          <w:szCs w:val="24"/>
          <w:lang w:val="ru-RU"/>
        </w:rPr>
        <w:t xml:space="preserve">стран, </w:t>
      </w:r>
      <w:r>
        <w:rPr>
          <w:szCs w:val="24"/>
          <w:lang w:val="ru-RU"/>
        </w:rPr>
        <w:t xml:space="preserve">что говорит о </w:t>
      </w:r>
      <w:r w:rsidRPr="00BA326E">
        <w:rPr>
          <w:szCs w:val="24"/>
          <w:lang w:val="ru-RU"/>
        </w:rPr>
        <w:t xml:space="preserve">поистине </w:t>
      </w:r>
      <w:r>
        <w:rPr>
          <w:szCs w:val="24"/>
          <w:lang w:val="ru-RU"/>
        </w:rPr>
        <w:t xml:space="preserve">всемирной </w:t>
      </w:r>
      <w:r w:rsidRPr="00BA326E">
        <w:rPr>
          <w:rFonts w:cs="Arial"/>
          <w:szCs w:val="24"/>
          <w:lang w:val="ru-RU"/>
        </w:rPr>
        <w:t>популярност</w:t>
      </w:r>
      <w:r>
        <w:rPr>
          <w:rFonts w:cs="Arial"/>
          <w:szCs w:val="24"/>
          <w:lang w:val="ru-RU"/>
        </w:rPr>
        <w:t>и</w:t>
      </w:r>
      <w:r w:rsidRPr="00BA326E">
        <w:rPr>
          <w:rFonts w:cs="Arial"/>
          <w:szCs w:val="24"/>
          <w:lang w:val="ru-RU"/>
        </w:rPr>
        <w:t xml:space="preserve"> </w:t>
      </w:r>
      <w:r w:rsidRPr="00BA326E">
        <w:rPr>
          <w:szCs w:val="24"/>
          <w:lang w:val="ru-RU"/>
        </w:rPr>
        <w:t>этого механизма разрешения споров. Что касается языка соглашений</w:t>
      </w:r>
      <w:r>
        <w:rPr>
          <w:szCs w:val="24"/>
          <w:lang w:val="ru-RU"/>
        </w:rPr>
        <w:t xml:space="preserve"> о регистрации</w:t>
      </w:r>
      <w:r w:rsidRPr="00BA326E">
        <w:rPr>
          <w:szCs w:val="24"/>
          <w:lang w:val="ru-RU"/>
        </w:rPr>
        <w:t xml:space="preserve"> оспариваемых доменных имен, процедуры ВОИС на основе ЕПУС </w:t>
      </w:r>
      <w:r>
        <w:rPr>
          <w:szCs w:val="24"/>
          <w:lang w:val="ru-RU"/>
        </w:rPr>
        <w:t>пр</w:t>
      </w:r>
      <w:r w:rsidR="003320C2">
        <w:rPr>
          <w:szCs w:val="24"/>
          <w:lang w:val="ru-RU"/>
        </w:rPr>
        <w:t>о</w:t>
      </w:r>
      <w:r>
        <w:rPr>
          <w:szCs w:val="24"/>
          <w:lang w:val="ru-RU"/>
        </w:rPr>
        <w:t xml:space="preserve">водились </w:t>
      </w:r>
      <w:r w:rsidRPr="00BA326E">
        <w:rPr>
          <w:szCs w:val="24"/>
          <w:lang w:val="ru-RU"/>
        </w:rPr>
        <w:t>на 21</w:t>
      </w:r>
      <w:r w:rsidRPr="00BA326E">
        <w:rPr>
          <w:szCs w:val="24"/>
        </w:rPr>
        <w:t> </w:t>
      </w:r>
      <w:r w:rsidRPr="00BA326E">
        <w:rPr>
          <w:szCs w:val="24"/>
          <w:lang w:val="ru-RU"/>
        </w:rPr>
        <w:t>языке</w:t>
      </w:r>
      <w:r w:rsidR="00384EE8" w:rsidRPr="00352DDF">
        <w:rPr>
          <w:rStyle w:val="FootnoteReference"/>
          <w:szCs w:val="24"/>
        </w:rPr>
        <w:footnoteReference w:id="16"/>
      </w:r>
      <w:r w:rsidRPr="00917B80">
        <w:rPr>
          <w:szCs w:val="24"/>
          <w:lang w:val="ru-RU"/>
        </w:rPr>
        <w:t>.</w:t>
      </w:r>
    </w:p>
    <w:p w:rsidR="00384EE8" w:rsidRPr="00917B80" w:rsidRDefault="00384EE8" w:rsidP="005E2771">
      <w:pPr>
        <w:rPr>
          <w:szCs w:val="24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4"/>
          <w:lang w:val="ru-RU"/>
        </w:rPr>
      </w:pPr>
      <w:r w:rsidRPr="007F5FAE">
        <w:rPr>
          <w:szCs w:val="24"/>
          <w:lang w:val="ru-RU"/>
        </w:rPr>
        <w:t xml:space="preserve">Все решения экспертных комиссий ЕПУС ВОИС размещаются на веб-сайте Центра. На странице Центра также публикуется уникальный обзор общих тенденций в решениях по наиболее важным вопросам </w:t>
      </w:r>
      <w:r w:rsidRPr="004C689E">
        <w:rPr>
          <w:szCs w:val="24"/>
          <w:lang w:val="ru-RU"/>
        </w:rPr>
        <w:t>рассматрива</w:t>
      </w:r>
      <w:r>
        <w:rPr>
          <w:szCs w:val="24"/>
          <w:lang w:val="ru-RU"/>
        </w:rPr>
        <w:t xml:space="preserve">емых дел, именуемый </w:t>
      </w:r>
      <w:r w:rsidRPr="004C689E">
        <w:rPr>
          <w:szCs w:val="24"/>
          <w:lang w:val="ru-RU"/>
        </w:rPr>
        <w:t>«</w:t>
      </w:r>
      <w:r w:rsidRPr="007F5FAE">
        <w:rPr>
          <w:szCs w:val="24"/>
          <w:lang w:val="ru-RU"/>
        </w:rPr>
        <w:t>Обзор</w:t>
      </w:r>
      <w:r>
        <w:rPr>
          <w:szCs w:val="24"/>
          <w:lang w:val="ru-RU"/>
        </w:rPr>
        <w:t>ом</w:t>
      </w:r>
      <w:r w:rsidRPr="007F5FAE">
        <w:rPr>
          <w:szCs w:val="24"/>
          <w:lang w:val="ru-RU"/>
        </w:rPr>
        <w:t xml:space="preserve"> ВОИС </w:t>
      </w:r>
      <w:r>
        <w:rPr>
          <w:szCs w:val="24"/>
          <w:lang w:val="ru-RU"/>
        </w:rPr>
        <w:t>мнений комиссий</w:t>
      </w:r>
      <w:r w:rsidRPr="007F5FAE">
        <w:rPr>
          <w:szCs w:val="24"/>
          <w:lang w:val="ru-RU"/>
        </w:rPr>
        <w:t xml:space="preserve"> ВОИС по избранным вопросам ЕПУС</w:t>
      </w:r>
      <w:r w:rsidRPr="004C689E">
        <w:rPr>
          <w:szCs w:val="24"/>
          <w:lang w:val="ru-RU"/>
        </w:rPr>
        <w:t>»</w:t>
      </w:r>
      <w:r w:rsidRPr="007F5FAE">
        <w:rPr>
          <w:szCs w:val="24"/>
          <w:lang w:val="ru-RU"/>
        </w:rPr>
        <w:t xml:space="preserve"> (</w:t>
      </w:r>
      <w:r w:rsidRPr="007F5FAE">
        <w:rPr>
          <w:szCs w:val="24"/>
        </w:rPr>
        <w:t>WIPO</w:t>
      </w:r>
      <w:r w:rsidRPr="007F5FAE">
        <w:rPr>
          <w:szCs w:val="24"/>
          <w:lang w:val="ru-RU"/>
        </w:rPr>
        <w:t xml:space="preserve"> </w:t>
      </w:r>
      <w:r w:rsidRPr="007F5FAE">
        <w:rPr>
          <w:szCs w:val="24"/>
        </w:rPr>
        <w:t>Overview</w:t>
      </w:r>
      <w:r w:rsidRPr="007F5FAE">
        <w:rPr>
          <w:szCs w:val="24"/>
          <w:lang w:val="ru-RU"/>
        </w:rPr>
        <w:t xml:space="preserve"> 2.0), в котором анализируются тысячи споров, рассмотренных Центром по процедуре ЕПУС. Этот инструмент, </w:t>
      </w:r>
      <w:r>
        <w:rPr>
          <w:szCs w:val="24"/>
          <w:lang w:val="ru-RU"/>
        </w:rPr>
        <w:t xml:space="preserve">пользующийся </w:t>
      </w:r>
      <w:r w:rsidRPr="007F5FAE">
        <w:rPr>
          <w:szCs w:val="24"/>
          <w:lang w:val="ru-RU"/>
        </w:rPr>
        <w:t>широко</w:t>
      </w:r>
      <w:r>
        <w:rPr>
          <w:szCs w:val="24"/>
          <w:lang w:val="ru-RU"/>
        </w:rPr>
        <w:t xml:space="preserve">й </w:t>
      </w:r>
      <w:r>
        <w:rPr>
          <w:rFonts w:cs="Arial"/>
          <w:szCs w:val="24"/>
          <w:lang w:val="ru-RU"/>
        </w:rPr>
        <w:t xml:space="preserve">популярностью </w:t>
      </w:r>
      <w:r w:rsidRPr="007F5FAE">
        <w:rPr>
          <w:szCs w:val="24"/>
          <w:lang w:val="ru-RU"/>
        </w:rPr>
        <w:t xml:space="preserve">во всем мире, </w:t>
      </w:r>
      <w:r>
        <w:rPr>
          <w:szCs w:val="24"/>
          <w:lang w:val="ru-RU"/>
        </w:rPr>
        <w:t xml:space="preserve">призван обеспечивать согласованность и непротиворечивость </w:t>
      </w:r>
      <w:r w:rsidRPr="007F5FAE">
        <w:rPr>
          <w:szCs w:val="24"/>
          <w:lang w:val="ru-RU"/>
        </w:rPr>
        <w:t>решений, принимаемых на основе ЕПУС</w:t>
      </w:r>
      <w:r w:rsidR="00384EE8" w:rsidRPr="006475B9">
        <w:rPr>
          <w:rStyle w:val="FootnoteReference"/>
          <w:rFonts w:eastAsia="Batang"/>
          <w:szCs w:val="24"/>
        </w:rPr>
        <w:footnoteReference w:id="17"/>
      </w:r>
      <w:r w:rsidRPr="00A57D9C">
        <w:rPr>
          <w:szCs w:val="24"/>
          <w:lang w:val="ru-RU"/>
        </w:rPr>
        <w:t>.</w:t>
      </w:r>
      <w:r w:rsidR="00384EE8" w:rsidRPr="00A57D9C">
        <w:rPr>
          <w:szCs w:val="24"/>
          <w:lang w:val="ru-RU"/>
        </w:rPr>
        <w:t xml:space="preserve">  </w:t>
      </w:r>
      <w:r w:rsidRPr="007F5FAE">
        <w:rPr>
          <w:szCs w:val="24"/>
          <w:lang w:val="ru-RU"/>
        </w:rPr>
        <w:t>Для облегчения доступа к этим решениям</w:t>
      </w:r>
      <w:r>
        <w:rPr>
          <w:szCs w:val="24"/>
          <w:lang w:val="ru-RU"/>
        </w:rPr>
        <w:t xml:space="preserve"> по тематическим рубрикам</w:t>
      </w:r>
      <w:r w:rsidRPr="007F5FAE">
        <w:rPr>
          <w:szCs w:val="24"/>
          <w:lang w:val="ru-RU"/>
        </w:rPr>
        <w:t xml:space="preserve">, Центр также </w:t>
      </w:r>
      <w:r>
        <w:rPr>
          <w:szCs w:val="24"/>
          <w:lang w:val="ru-RU"/>
        </w:rPr>
        <w:t xml:space="preserve">публикует </w:t>
      </w:r>
      <w:r w:rsidRPr="007F5FAE">
        <w:rPr>
          <w:szCs w:val="24"/>
          <w:lang w:val="ru-RU"/>
        </w:rPr>
        <w:t xml:space="preserve">весьма популярный </w:t>
      </w:r>
      <w:r w:rsidRPr="00BF0BD0">
        <w:rPr>
          <w:szCs w:val="24"/>
          <w:lang w:val="ru-RU"/>
        </w:rPr>
        <w:t>«</w:t>
      </w:r>
      <w:r w:rsidRPr="007F5FAE">
        <w:rPr>
          <w:szCs w:val="24"/>
          <w:lang w:val="ru-RU"/>
        </w:rPr>
        <w:t>Юридический справочник решений ВОИС по процедуре ЕПУС</w:t>
      </w:r>
      <w:r w:rsidRPr="00BF0BD0">
        <w:rPr>
          <w:szCs w:val="24"/>
          <w:lang w:val="ru-RU"/>
        </w:rPr>
        <w:t>»</w:t>
      </w:r>
      <w:r w:rsidRPr="007F5FAE">
        <w:rPr>
          <w:szCs w:val="24"/>
          <w:lang w:val="ru-RU"/>
        </w:rPr>
        <w:t xml:space="preserve"> с возможностью онлайн</w:t>
      </w:r>
      <w:r>
        <w:rPr>
          <w:szCs w:val="24"/>
          <w:lang w:val="ru-RU"/>
        </w:rPr>
        <w:t>ового</w:t>
      </w:r>
      <w:r w:rsidRPr="007F5FAE">
        <w:rPr>
          <w:szCs w:val="24"/>
          <w:lang w:val="ru-RU"/>
        </w:rPr>
        <w:t xml:space="preserve"> контекстного поиска</w:t>
      </w:r>
      <w:r w:rsidR="00384EE8" w:rsidRPr="006475B9">
        <w:rPr>
          <w:vertAlign w:val="superscript"/>
        </w:rPr>
        <w:footnoteReference w:id="18"/>
      </w:r>
      <w:r w:rsidRPr="00A57D9C">
        <w:rPr>
          <w:szCs w:val="24"/>
          <w:lang w:val="ru-RU"/>
        </w:rPr>
        <w:t>.</w:t>
      </w:r>
      <w:r w:rsidR="00384EE8" w:rsidRPr="005E2771">
        <w:rPr>
          <w:szCs w:val="24"/>
        </w:rPr>
        <w:t> </w:t>
      </w:r>
      <w:r w:rsidR="00384EE8" w:rsidRPr="00A57D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</w:t>
      </w:r>
      <w:r w:rsidRPr="007F5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ресурсы </w:t>
      </w:r>
      <w:r w:rsidRPr="00071625">
        <w:rPr>
          <w:szCs w:val="24"/>
          <w:lang w:val="ru-RU"/>
        </w:rPr>
        <w:t>ВОИС</w:t>
      </w:r>
      <w:r>
        <w:rPr>
          <w:szCs w:val="24"/>
          <w:lang w:val="ru-RU"/>
        </w:rPr>
        <w:t xml:space="preserve"> предлагаются для бесплатного</w:t>
      </w:r>
      <w:r w:rsidRPr="007F5F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пользования во всем мире</w:t>
      </w:r>
      <w:r w:rsidRPr="007F5FAE">
        <w:rPr>
          <w:szCs w:val="24"/>
          <w:lang w:val="ru-RU"/>
        </w:rPr>
        <w:t>.</w:t>
      </w:r>
    </w:p>
    <w:p w:rsidR="00384EE8" w:rsidRPr="00A57D9C" w:rsidRDefault="00384EE8" w:rsidP="005E2771">
      <w:pPr>
        <w:rPr>
          <w:szCs w:val="24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Учитывая ключевую </w:t>
      </w:r>
      <w:r w:rsidRPr="007F5FAE">
        <w:rPr>
          <w:szCs w:val="24"/>
          <w:lang w:val="ru-RU"/>
        </w:rPr>
        <w:t xml:space="preserve">роль ВОИС </w:t>
      </w:r>
      <w:r>
        <w:rPr>
          <w:szCs w:val="24"/>
          <w:lang w:val="ru-RU"/>
        </w:rPr>
        <w:t xml:space="preserve">в </w:t>
      </w:r>
      <w:r w:rsidRPr="00987C72">
        <w:rPr>
          <w:szCs w:val="24"/>
          <w:lang w:val="ru-RU"/>
        </w:rPr>
        <w:t>разработк</w:t>
      </w:r>
      <w:r>
        <w:rPr>
          <w:szCs w:val="24"/>
          <w:lang w:val="ru-RU"/>
        </w:rPr>
        <w:t xml:space="preserve">е </w:t>
      </w:r>
      <w:r w:rsidRPr="007F5FAE">
        <w:rPr>
          <w:szCs w:val="24"/>
          <w:lang w:val="ru-RU"/>
        </w:rPr>
        <w:t xml:space="preserve">ЕПУС, Центр следит за </w:t>
      </w:r>
      <w:r w:rsidRPr="00987C72">
        <w:rPr>
          <w:szCs w:val="24"/>
          <w:lang w:val="ru-RU"/>
        </w:rPr>
        <w:t>развити</w:t>
      </w:r>
      <w:r>
        <w:rPr>
          <w:szCs w:val="24"/>
          <w:lang w:val="ru-RU"/>
        </w:rPr>
        <w:t xml:space="preserve">ем </w:t>
      </w:r>
      <w:r w:rsidRPr="00987C72">
        <w:rPr>
          <w:szCs w:val="24"/>
          <w:lang w:val="ru-RU"/>
        </w:rPr>
        <w:t>процесс</w:t>
      </w:r>
      <w:r>
        <w:rPr>
          <w:szCs w:val="24"/>
          <w:lang w:val="ru-RU"/>
        </w:rPr>
        <w:t>ов</w:t>
      </w:r>
      <w:r w:rsidRPr="007F5FAE">
        <w:rPr>
          <w:szCs w:val="24"/>
          <w:lang w:val="ru-RU"/>
        </w:rPr>
        <w:t xml:space="preserve"> в </w:t>
      </w:r>
      <w:r w:rsidRPr="007F5FAE">
        <w:rPr>
          <w:szCs w:val="24"/>
        </w:rPr>
        <w:t>DNS</w:t>
      </w:r>
      <w:r>
        <w:rPr>
          <w:szCs w:val="24"/>
          <w:lang w:val="ru-RU"/>
        </w:rPr>
        <w:t>, стремясь адаптировать к нему свои ресурсы</w:t>
      </w:r>
      <w:r w:rsidRPr="007F5FAE">
        <w:rPr>
          <w:szCs w:val="24"/>
          <w:lang w:val="ru-RU"/>
        </w:rPr>
        <w:t xml:space="preserve"> и </w:t>
      </w:r>
      <w:r>
        <w:rPr>
          <w:szCs w:val="24"/>
          <w:lang w:val="ru-RU"/>
        </w:rPr>
        <w:t xml:space="preserve">методы своей </w:t>
      </w:r>
      <w:r w:rsidRPr="00987C72">
        <w:rPr>
          <w:szCs w:val="24"/>
          <w:lang w:val="ru-RU"/>
        </w:rPr>
        <w:t>работ</w:t>
      </w:r>
      <w:r>
        <w:rPr>
          <w:szCs w:val="24"/>
          <w:lang w:val="ru-RU"/>
        </w:rPr>
        <w:t>ы</w:t>
      </w:r>
      <w:r w:rsidR="00384EE8" w:rsidRPr="006475B9">
        <w:rPr>
          <w:rStyle w:val="FootnoteReference"/>
          <w:szCs w:val="24"/>
        </w:rPr>
        <w:footnoteReference w:id="19"/>
      </w:r>
      <w:r w:rsidRPr="00A57D9C">
        <w:rPr>
          <w:szCs w:val="24"/>
          <w:lang w:val="ru-RU"/>
        </w:rPr>
        <w:t>.</w:t>
      </w:r>
      <w:r w:rsidR="00384EE8" w:rsidRPr="00A57D9C">
        <w:rPr>
          <w:szCs w:val="24"/>
          <w:lang w:val="ru-RU"/>
        </w:rPr>
        <w:t xml:space="preserve">  </w:t>
      </w:r>
      <w:r w:rsidRPr="007F5FAE">
        <w:rPr>
          <w:lang w:val="ru-RU"/>
        </w:rPr>
        <w:t>Центр регулярно организует семинары по вопросам урегулирования споров в области доменных имен для информирования заинтересованных сторон о последних тенденциях</w:t>
      </w:r>
      <w:r w:rsidR="00384EE8" w:rsidRPr="006475B9">
        <w:rPr>
          <w:rStyle w:val="FootnoteReference"/>
        </w:rPr>
        <w:footnoteReference w:id="20"/>
      </w:r>
      <w:r w:rsidRPr="00A57D9C">
        <w:rPr>
          <w:lang w:val="ru-RU"/>
        </w:rPr>
        <w:t xml:space="preserve"> </w:t>
      </w:r>
      <w:r w:rsidRPr="007F5FAE">
        <w:rPr>
          <w:lang w:val="ru-RU"/>
        </w:rPr>
        <w:t xml:space="preserve">а также </w:t>
      </w:r>
      <w:r>
        <w:rPr>
          <w:lang w:val="ru-RU"/>
        </w:rPr>
        <w:t xml:space="preserve">совещания членов комиссий </w:t>
      </w:r>
      <w:r w:rsidRPr="007F5FAE">
        <w:rPr>
          <w:lang w:val="ru-RU"/>
        </w:rPr>
        <w:t>по рассмотрению споров о доменных именах</w:t>
      </w:r>
      <w:r w:rsidR="00384EE8" w:rsidRPr="00A57D9C">
        <w:rPr>
          <w:lang w:val="ru-RU"/>
        </w:rPr>
        <w:t>.</w:t>
      </w:r>
      <w:r w:rsidR="00384EE8" w:rsidRPr="00A57D9C">
        <w:rPr>
          <w:szCs w:val="24"/>
          <w:lang w:val="ru-RU"/>
        </w:rPr>
        <w:t xml:space="preserve"> </w:t>
      </w:r>
    </w:p>
    <w:p w:rsidR="00384EE8" w:rsidRPr="00A57D9C" w:rsidRDefault="00384EE8" w:rsidP="005E2771">
      <w:pPr>
        <w:rPr>
          <w:szCs w:val="24"/>
          <w:lang w:val="ru-RU"/>
        </w:rPr>
      </w:pPr>
    </w:p>
    <w:p w:rsidR="0058307C" w:rsidRPr="00A57D9C" w:rsidRDefault="0058307C" w:rsidP="005E2771">
      <w:pPr>
        <w:rPr>
          <w:szCs w:val="24"/>
          <w:lang w:val="ru-RU"/>
        </w:rPr>
      </w:pPr>
    </w:p>
    <w:p w:rsidR="00384EE8" w:rsidRPr="00A57D9C" w:rsidRDefault="00384EE8" w:rsidP="005E2771">
      <w:pPr>
        <w:pStyle w:val="Heading2"/>
        <w:keepNext w:val="0"/>
        <w:spacing w:before="0" w:after="0"/>
        <w:rPr>
          <w:lang w:val="ru-RU"/>
        </w:rPr>
      </w:pPr>
      <w:r w:rsidRPr="006475B9">
        <w:t>B</w:t>
      </w:r>
      <w:r w:rsidRPr="00A57D9C">
        <w:rPr>
          <w:lang w:val="ru-RU"/>
        </w:rPr>
        <w:t>.</w:t>
      </w:r>
      <w:r w:rsidRPr="00A57D9C">
        <w:rPr>
          <w:lang w:val="ru-RU"/>
        </w:rPr>
        <w:tab/>
      </w:r>
      <w:r w:rsidR="00A57D9C" w:rsidRPr="00B30801">
        <w:rPr>
          <w:lang w:val="ru-RU"/>
        </w:rPr>
        <w:t>ДОМЕНЫ ВЕРХНЕГО УРОВНЯ С КОДОМ СТРАН (ксДВУ)</w:t>
      </w:r>
    </w:p>
    <w:p w:rsidR="00384EE8" w:rsidRPr="00A57D9C" w:rsidRDefault="00384EE8" w:rsidP="005E2771">
      <w:pPr>
        <w:rPr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767CC3">
        <w:rPr>
          <w:lang w:val="ru-RU"/>
        </w:rPr>
        <w:t xml:space="preserve">Хотя обязательное применение ЕПУС ограничивается доменными именами, зарегистрированными </w:t>
      </w:r>
      <w:r>
        <w:rPr>
          <w:lang w:val="ru-RU"/>
        </w:rPr>
        <w:t xml:space="preserve">в таких </w:t>
      </w:r>
      <w:r w:rsidRPr="00767CC3">
        <w:rPr>
          <w:lang w:val="ru-RU"/>
        </w:rPr>
        <w:t xml:space="preserve">рДВУ, </w:t>
      </w:r>
      <w:r>
        <w:rPr>
          <w:lang w:val="ru-RU"/>
        </w:rPr>
        <w:t xml:space="preserve">как </w:t>
      </w:r>
      <w:r w:rsidRPr="00767CC3">
        <w:rPr>
          <w:lang w:val="ru-RU"/>
        </w:rPr>
        <w:t>.</w:t>
      </w:r>
      <w:r w:rsidRPr="00767CC3">
        <w:t>com</w:t>
      </w:r>
      <w:r w:rsidRPr="00767CC3">
        <w:rPr>
          <w:lang w:val="ru-RU"/>
        </w:rPr>
        <w:t xml:space="preserve">, а также </w:t>
      </w:r>
      <w:r>
        <w:rPr>
          <w:lang w:val="ru-RU"/>
        </w:rPr>
        <w:t xml:space="preserve">в недавно созданных </w:t>
      </w:r>
      <w:r w:rsidRPr="00767CC3">
        <w:rPr>
          <w:lang w:val="ru-RU"/>
        </w:rPr>
        <w:t>н</w:t>
      </w:r>
      <w:r>
        <w:rPr>
          <w:lang w:val="ru-RU"/>
        </w:rPr>
        <w:t>овых</w:t>
      </w:r>
      <w:r w:rsidRPr="00767CC3">
        <w:rPr>
          <w:lang w:val="ru-RU"/>
        </w:rPr>
        <w:t xml:space="preserve"> рДВУ, Центр также оказывает помощь в </w:t>
      </w:r>
      <w:r w:rsidRPr="00071625">
        <w:rPr>
          <w:lang w:val="ru-RU"/>
        </w:rPr>
        <w:t>разработк</w:t>
      </w:r>
      <w:r>
        <w:rPr>
          <w:lang w:val="ru-RU"/>
        </w:rPr>
        <w:t xml:space="preserve">е </w:t>
      </w:r>
      <w:r w:rsidRPr="00767CC3">
        <w:rPr>
          <w:lang w:val="ru-RU"/>
        </w:rPr>
        <w:t xml:space="preserve">условий регистрации и </w:t>
      </w:r>
      <w:r w:rsidRPr="00071625">
        <w:rPr>
          <w:lang w:val="ru-RU"/>
        </w:rPr>
        <w:t>процедур</w:t>
      </w:r>
      <w:r>
        <w:rPr>
          <w:lang w:val="ru-RU"/>
        </w:rPr>
        <w:t xml:space="preserve"> </w:t>
      </w:r>
      <w:r w:rsidRPr="00767CC3">
        <w:rPr>
          <w:lang w:val="ru-RU"/>
        </w:rPr>
        <w:t>разрешения споров</w:t>
      </w:r>
      <w:r>
        <w:rPr>
          <w:lang w:val="ru-RU"/>
        </w:rPr>
        <w:t xml:space="preserve">, </w:t>
      </w:r>
      <w:r w:rsidRPr="00071625">
        <w:rPr>
          <w:lang w:val="ru-RU"/>
        </w:rPr>
        <w:t>соответствующ</w:t>
      </w:r>
      <w:r>
        <w:rPr>
          <w:lang w:val="ru-RU"/>
        </w:rPr>
        <w:t>их передовому регистрационному опыту и нормам охраны</w:t>
      </w:r>
      <w:r w:rsidRPr="00767CC3">
        <w:rPr>
          <w:lang w:val="ru-RU"/>
        </w:rPr>
        <w:t xml:space="preserve"> прав ИС</w:t>
      </w:r>
      <w:r>
        <w:rPr>
          <w:lang w:val="ru-RU"/>
        </w:rPr>
        <w:t>, реестрам ксДВУ</w:t>
      </w:r>
      <w:r w:rsidRPr="00767CC3">
        <w:rPr>
          <w:lang w:val="ru-RU"/>
        </w:rPr>
        <w:t xml:space="preserve">. Эти процедуры в основном разрабатываются по образцу ЕПУС, но могут учитывать конкретные </w:t>
      </w:r>
      <w:r w:rsidRPr="00987C72">
        <w:rPr>
          <w:lang w:val="ru-RU"/>
        </w:rPr>
        <w:t>услови</w:t>
      </w:r>
      <w:r>
        <w:rPr>
          <w:lang w:val="ru-RU"/>
        </w:rPr>
        <w:t xml:space="preserve">я </w:t>
      </w:r>
      <w:r w:rsidRPr="00987C72">
        <w:rPr>
          <w:lang w:val="ru-RU"/>
        </w:rPr>
        <w:t>деятельност</w:t>
      </w:r>
      <w:r>
        <w:rPr>
          <w:lang w:val="ru-RU"/>
        </w:rPr>
        <w:t>и</w:t>
      </w:r>
      <w:r w:rsidRPr="00767CC3">
        <w:rPr>
          <w:lang w:val="ru-RU"/>
        </w:rPr>
        <w:t xml:space="preserve"> и </w:t>
      </w:r>
      <w:r>
        <w:rPr>
          <w:lang w:val="ru-RU"/>
        </w:rPr>
        <w:t>специфику</w:t>
      </w:r>
      <w:r w:rsidRPr="00767CC3">
        <w:rPr>
          <w:lang w:val="ru-RU"/>
        </w:rPr>
        <w:t xml:space="preserve"> отдельных ксДВУ. В настоящее время Центр оказывает услуги в </w:t>
      </w:r>
      <w:r w:rsidRPr="00071625">
        <w:rPr>
          <w:szCs w:val="22"/>
          <w:lang w:val="ru-RU"/>
        </w:rPr>
        <w:t>рассмотрени</w:t>
      </w:r>
      <w:r>
        <w:rPr>
          <w:lang w:val="ru-RU"/>
        </w:rPr>
        <w:t>и</w:t>
      </w:r>
      <w:r w:rsidRPr="00767CC3">
        <w:rPr>
          <w:lang w:val="ru-RU"/>
        </w:rPr>
        <w:t xml:space="preserve"> споров </w:t>
      </w:r>
      <w:r>
        <w:rPr>
          <w:lang w:val="ru-RU"/>
        </w:rPr>
        <w:t xml:space="preserve">о </w:t>
      </w:r>
      <w:r w:rsidRPr="00767CC3">
        <w:rPr>
          <w:lang w:val="ru-RU"/>
        </w:rPr>
        <w:t>доменных имен</w:t>
      </w:r>
      <w:r>
        <w:rPr>
          <w:lang w:val="ru-RU"/>
        </w:rPr>
        <w:t>ах</w:t>
      </w:r>
      <w:r w:rsidRPr="00767CC3">
        <w:rPr>
          <w:lang w:val="ru-RU"/>
        </w:rPr>
        <w:t xml:space="preserve"> 71</w:t>
      </w:r>
      <w:r w:rsidRPr="00767CC3">
        <w:t> </w:t>
      </w:r>
      <w:r w:rsidRPr="00767CC3">
        <w:rPr>
          <w:lang w:val="ru-RU"/>
        </w:rPr>
        <w:t>ре</w:t>
      </w:r>
      <w:r>
        <w:rPr>
          <w:lang w:val="ru-RU"/>
        </w:rPr>
        <w:t xml:space="preserve">естру </w:t>
      </w:r>
      <w:r w:rsidRPr="00767CC3">
        <w:rPr>
          <w:lang w:val="ru-RU"/>
        </w:rPr>
        <w:t xml:space="preserve">ксДВУ, </w:t>
      </w:r>
      <w:r w:rsidRPr="00071625">
        <w:rPr>
          <w:lang w:val="ru-RU"/>
        </w:rPr>
        <w:t>включая</w:t>
      </w:r>
      <w:r>
        <w:rPr>
          <w:lang w:val="ru-RU"/>
        </w:rPr>
        <w:t xml:space="preserve"> зарегистрированную недавно доменную зону</w:t>
      </w:r>
      <w:r w:rsidRPr="00767CC3">
        <w:rPr>
          <w:lang w:val="ru-RU"/>
        </w:rPr>
        <w:t xml:space="preserve"> .</w:t>
      </w:r>
      <w:r w:rsidR="003320C2">
        <w:t>GQ</w:t>
      </w:r>
      <w:r w:rsidRPr="00767CC3">
        <w:rPr>
          <w:lang w:val="ru-RU"/>
        </w:rPr>
        <w:t xml:space="preserve"> (Экваториальная Гвинея)</w:t>
      </w:r>
      <w:r w:rsidR="00384EE8" w:rsidRPr="006475B9">
        <w:rPr>
          <w:vertAlign w:val="superscript"/>
        </w:rPr>
        <w:footnoteReference w:id="21"/>
      </w:r>
      <w:r w:rsidRPr="00A57D9C">
        <w:rPr>
          <w:lang w:val="ru-RU"/>
        </w:rPr>
        <w:t>.</w:t>
      </w:r>
    </w:p>
    <w:p w:rsidR="00384EE8" w:rsidRPr="00A57D9C" w:rsidRDefault="00384EE8" w:rsidP="005E2771">
      <w:pPr>
        <w:rPr>
          <w:lang w:val="ru-RU"/>
        </w:rPr>
      </w:pPr>
    </w:p>
    <w:p w:rsidR="0058307C" w:rsidRPr="00A57D9C" w:rsidRDefault="0058307C" w:rsidP="005E2771">
      <w:pPr>
        <w:rPr>
          <w:lang w:val="ru-RU"/>
        </w:rPr>
      </w:pPr>
    </w:p>
    <w:p w:rsidR="00384EE8" w:rsidRPr="00A57D9C" w:rsidRDefault="00384EE8" w:rsidP="005E2771">
      <w:pPr>
        <w:pStyle w:val="Heading1"/>
        <w:keepNext w:val="0"/>
        <w:spacing w:before="0" w:after="0"/>
        <w:rPr>
          <w:lang w:val="ru-RU"/>
        </w:rPr>
      </w:pPr>
      <w:r w:rsidRPr="006475B9">
        <w:t>IIi</w:t>
      </w:r>
      <w:r w:rsidRPr="00A57D9C">
        <w:rPr>
          <w:lang w:val="ru-RU"/>
        </w:rPr>
        <w:t>.</w:t>
      </w:r>
      <w:r w:rsidRPr="00A57D9C">
        <w:rPr>
          <w:lang w:val="ru-RU"/>
        </w:rPr>
        <w:tab/>
      </w:r>
      <w:r w:rsidR="00A57D9C">
        <w:rPr>
          <w:lang w:val="ru-RU"/>
        </w:rPr>
        <w:t xml:space="preserve">эволюция </w:t>
      </w:r>
      <w:r w:rsidR="00A57D9C" w:rsidRPr="00987C72">
        <w:rPr>
          <w:lang w:val="ru-RU"/>
        </w:rPr>
        <w:t xml:space="preserve">политики в области </w:t>
      </w:r>
      <w:r w:rsidR="00A57D9C" w:rsidRPr="00BA2CC4">
        <w:t>DNS</w:t>
      </w:r>
    </w:p>
    <w:p w:rsidR="00384EE8" w:rsidRPr="00A57D9C" w:rsidRDefault="00384EE8" w:rsidP="005E2771">
      <w:pPr>
        <w:rPr>
          <w:szCs w:val="24"/>
          <w:lang w:val="ru-RU"/>
        </w:rPr>
      </w:pPr>
    </w:p>
    <w:p w:rsidR="00384EE8" w:rsidRPr="00A57D9C" w:rsidRDefault="00A57D9C" w:rsidP="005E2771">
      <w:pPr>
        <w:pStyle w:val="ListParagraph"/>
        <w:widowControl w:val="0"/>
        <w:numPr>
          <w:ilvl w:val="0"/>
          <w:numId w:val="18"/>
        </w:numPr>
        <w:ind w:left="0" w:firstLine="0"/>
        <w:rPr>
          <w:lang w:val="ru-RU"/>
        </w:rPr>
      </w:pPr>
      <w:r w:rsidRPr="00071625">
        <w:rPr>
          <w:lang w:val="ru-RU"/>
        </w:rPr>
        <w:t xml:space="preserve">Ряд </w:t>
      </w:r>
      <w:r>
        <w:rPr>
          <w:lang w:val="ru-RU"/>
        </w:rPr>
        <w:t xml:space="preserve">новых </w:t>
      </w:r>
      <w:r w:rsidRPr="00987C72">
        <w:rPr>
          <w:lang w:val="ru-RU"/>
        </w:rPr>
        <w:t>момент</w:t>
      </w:r>
      <w:r>
        <w:rPr>
          <w:lang w:val="ru-RU"/>
        </w:rPr>
        <w:t xml:space="preserve">ов в политике </w:t>
      </w:r>
      <w:r w:rsidRPr="00071625">
        <w:t>ICANN</w:t>
      </w:r>
      <w:r w:rsidRPr="00071625">
        <w:rPr>
          <w:lang w:val="ru-RU"/>
        </w:rPr>
        <w:t xml:space="preserve"> создает не только возможности, но и </w:t>
      </w:r>
      <w:r w:rsidRPr="00987C72">
        <w:rPr>
          <w:lang w:val="ru-RU"/>
        </w:rPr>
        <w:t>проблем</w:t>
      </w:r>
      <w:r>
        <w:rPr>
          <w:lang w:val="ru-RU"/>
        </w:rPr>
        <w:t>ы</w:t>
      </w:r>
      <w:r w:rsidRPr="00071625">
        <w:rPr>
          <w:lang w:val="ru-RU"/>
        </w:rPr>
        <w:t xml:space="preserve"> для обладателей и пользователей прав ИС. </w:t>
      </w:r>
      <w:r>
        <w:rPr>
          <w:lang w:val="ru-RU"/>
        </w:rPr>
        <w:t xml:space="preserve">Одна из таких </w:t>
      </w:r>
      <w:r w:rsidRPr="00987C72">
        <w:rPr>
          <w:lang w:val="ru-RU"/>
        </w:rPr>
        <w:t>проблем</w:t>
      </w:r>
      <w:r w:rsidRPr="00892F3E">
        <w:rPr>
          <w:lang w:val="ru-RU"/>
        </w:rPr>
        <w:t xml:space="preserve"> связана с </w:t>
      </w:r>
      <w:r w:rsidRPr="00892F3E">
        <w:rPr>
          <w:lang w:val="ru-RU"/>
        </w:rPr>
        <w:lastRenderedPageBreak/>
        <w:t xml:space="preserve">введением </w:t>
      </w:r>
      <w:r w:rsidRPr="00892F3E">
        <w:t>ICANN</w:t>
      </w:r>
      <w:r w:rsidRPr="00892F3E">
        <w:rPr>
          <w:lang w:val="ru-RU"/>
        </w:rPr>
        <w:t xml:space="preserve"> более 1400</w:t>
      </w:r>
      <w:r w:rsidRPr="00892F3E">
        <w:t> </w:t>
      </w:r>
      <w:r w:rsidRPr="00892F3E">
        <w:rPr>
          <w:lang w:val="ru-RU"/>
        </w:rPr>
        <w:t xml:space="preserve">новых рДВУ. Такие новые рДВУ могут быть </w:t>
      </w:r>
      <w:r>
        <w:rPr>
          <w:lang w:val="ru-RU"/>
        </w:rPr>
        <w:t xml:space="preserve">как </w:t>
      </w:r>
      <w:r w:rsidRPr="00892F3E">
        <w:rPr>
          <w:lang w:val="ru-RU"/>
        </w:rPr>
        <w:t>«открытыми» по своему характеру (аналогично .</w:t>
      </w:r>
      <w:r w:rsidRPr="00892F3E">
        <w:t>com</w:t>
      </w:r>
      <w:r w:rsidRPr="00892F3E">
        <w:rPr>
          <w:lang w:val="ru-RU"/>
        </w:rPr>
        <w:t>)</w:t>
      </w:r>
      <w:r>
        <w:rPr>
          <w:lang w:val="ru-RU"/>
        </w:rPr>
        <w:t xml:space="preserve">, так и </w:t>
      </w:r>
      <w:r w:rsidRPr="00892F3E">
        <w:rPr>
          <w:rFonts w:cs="Arial"/>
          <w:lang w:val="ru-RU"/>
        </w:rPr>
        <w:t>приобре</w:t>
      </w:r>
      <w:r w:rsidRPr="00892F3E">
        <w:rPr>
          <w:lang w:val="ru-RU"/>
        </w:rPr>
        <w:t xml:space="preserve">тать более специализированный или ограничительный характер, </w:t>
      </w:r>
      <w:r>
        <w:rPr>
          <w:lang w:val="ru-RU"/>
        </w:rPr>
        <w:t xml:space="preserve">принимая такую форму, как </w:t>
      </w:r>
      <w:r w:rsidRPr="00892F3E">
        <w:rPr>
          <w:lang w:val="ru-RU"/>
        </w:rPr>
        <w:t>.[ бренд], .[ город], .[ сообщество], .[ культура], .[ отрасль] или .[ язык]. Еще одно важное и связанное с этим новое явление – появление интернационализированных доменных имен (</w:t>
      </w:r>
      <w:r>
        <w:rPr>
          <w:lang w:val="ru-RU"/>
        </w:rPr>
        <w:t>ИДИ</w:t>
      </w:r>
      <w:r w:rsidRPr="00892F3E">
        <w:rPr>
          <w:lang w:val="ru-RU"/>
        </w:rPr>
        <w:t xml:space="preserve">) верхнего уровня. Кроме того, планируемое </w:t>
      </w:r>
      <w:r w:rsidRPr="00892F3E">
        <w:t>ICANN</w:t>
      </w:r>
      <w:r w:rsidRPr="00892F3E">
        <w:rPr>
          <w:lang w:val="ru-RU"/>
        </w:rPr>
        <w:t xml:space="preserve"> расширение Системы доменных имен (</w:t>
      </w:r>
      <w:r w:rsidRPr="00892F3E">
        <w:t>DNS</w:t>
      </w:r>
      <w:r w:rsidRPr="00892F3E">
        <w:rPr>
          <w:lang w:val="ru-RU"/>
        </w:rPr>
        <w:t>) вызывает вопросы</w:t>
      </w:r>
      <w:r>
        <w:rPr>
          <w:lang w:val="ru-RU"/>
        </w:rPr>
        <w:t xml:space="preserve"> </w:t>
      </w:r>
      <w:r w:rsidRPr="00892F3E">
        <w:rPr>
          <w:lang w:val="ru-RU"/>
        </w:rPr>
        <w:t>охраны прав</w:t>
      </w:r>
      <w:r>
        <w:rPr>
          <w:lang w:val="ru-RU"/>
        </w:rPr>
        <w:t xml:space="preserve"> </w:t>
      </w:r>
      <w:r w:rsidRPr="00892F3E">
        <w:rPr>
          <w:lang w:val="ru-RU"/>
        </w:rPr>
        <w:t xml:space="preserve">с точки зрения Второго процесса ВОИС </w:t>
      </w:r>
      <w:r>
        <w:rPr>
          <w:lang w:val="ru-RU"/>
        </w:rPr>
        <w:t>по доменным именам в Интернете</w:t>
      </w:r>
      <w:r w:rsidRPr="00892F3E">
        <w:rPr>
          <w:lang w:val="ru-RU"/>
        </w:rPr>
        <w:t>.</w:t>
      </w:r>
    </w:p>
    <w:p w:rsidR="00A57D9C" w:rsidRPr="00A57D9C" w:rsidRDefault="00A57D9C" w:rsidP="00A57D9C">
      <w:pPr>
        <w:widowControl w:val="0"/>
        <w:rPr>
          <w:lang w:val="ru-RU"/>
        </w:rPr>
      </w:pPr>
    </w:p>
    <w:p w:rsidR="00384EE8" w:rsidRPr="006475B9" w:rsidRDefault="005E2771" w:rsidP="005E2771">
      <w:pPr>
        <w:pStyle w:val="Heading2"/>
        <w:keepNext w:val="0"/>
        <w:spacing w:before="0" w:after="0"/>
      </w:pPr>
      <w:r>
        <w:t>A.</w:t>
      </w:r>
      <w:r>
        <w:tab/>
      </w:r>
      <w:r w:rsidR="00A57D9C" w:rsidRPr="00BA2CC4">
        <w:t>НОВЫЕ РДВУ</w:t>
      </w:r>
    </w:p>
    <w:p w:rsidR="00384EE8" w:rsidRPr="006475B9" w:rsidRDefault="00384EE8" w:rsidP="005E2771">
      <w:pPr>
        <w:rPr>
          <w:color w:val="000000"/>
          <w:szCs w:val="24"/>
        </w:rPr>
      </w:pPr>
    </w:p>
    <w:p w:rsidR="00384EE8" w:rsidRPr="00A57D9C" w:rsidRDefault="00A57D9C" w:rsidP="005E2771">
      <w:pPr>
        <w:pStyle w:val="ListParagraph"/>
        <w:widowControl w:val="0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892F3E">
        <w:rPr>
          <w:szCs w:val="22"/>
          <w:lang w:val="ru-RU"/>
        </w:rPr>
        <w:t>П</w:t>
      </w:r>
      <w:r>
        <w:rPr>
          <w:szCs w:val="22"/>
          <w:lang w:val="ru-RU"/>
        </w:rPr>
        <w:t>рограмм</w:t>
      </w:r>
      <w:r w:rsidRPr="00EE02AE">
        <w:rPr>
          <w:szCs w:val="22"/>
          <w:lang w:val="ru-RU"/>
        </w:rPr>
        <w:t>а</w:t>
      </w:r>
      <w:r w:rsidRPr="00892F3E">
        <w:rPr>
          <w:szCs w:val="22"/>
          <w:lang w:val="ru-RU"/>
        </w:rPr>
        <w:t xml:space="preserve"> вв</w:t>
      </w:r>
      <w:r w:rsidRPr="00DF23E8">
        <w:rPr>
          <w:szCs w:val="22"/>
          <w:lang w:val="ru-RU"/>
        </w:rPr>
        <w:t xml:space="preserve">едения новых рДВУ была официально одобрена </w:t>
      </w:r>
      <w:r w:rsidRPr="00DF23E8">
        <w:rPr>
          <w:szCs w:val="22"/>
        </w:rPr>
        <w:t>ICANN</w:t>
      </w:r>
      <w:r w:rsidRPr="00DF23E8">
        <w:rPr>
          <w:szCs w:val="22"/>
          <w:lang w:val="ru-RU"/>
        </w:rPr>
        <w:t xml:space="preserve"> в июне 2011</w:t>
      </w:r>
      <w:r w:rsidRPr="00DF23E8">
        <w:rPr>
          <w:szCs w:val="22"/>
        </w:rPr>
        <w:t> </w:t>
      </w:r>
      <w:r w:rsidRPr="00DF23E8">
        <w:rPr>
          <w:szCs w:val="22"/>
          <w:lang w:val="ru-RU"/>
        </w:rPr>
        <w:t>г.</w:t>
      </w:r>
      <w:r w:rsidR="00384EE8" w:rsidRPr="006475B9">
        <w:rPr>
          <w:rStyle w:val="FootnoteReference"/>
          <w:szCs w:val="22"/>
        </w:rPr>
        <w:footnoteReference w:id="22"/>
      </w:r>
      <w:r w:rsidR="00384EE8" w:rsidRPr="00A57D9C">
        <w:rPr>
          <w:szCs w:val="22"/>
          <w:lang w:val="ru-RU"/>
        </w:rPr>
        <w:t xml:space="preserve">  </w:t>
      </w:r>
      <w:r w:rsidRPr="00DF23E8">
        <w:rPr>
          <w:szCs w:val="22"/>
          <w:lang w:val="ru-RU"/>
        </w:rPr>
        <w:t xml:space="preserve">Соответствующая информация была опубликована в </w:t>
      </w:r>
      <w:r>
        <w:rPr>
          <w:szCs w:val="22"/>
          <w:lang w:val="ru-RU"/>
        </w:rPr>
        <w:t xml:space="preserve">постоянно переиздаваемом </w:t>
      </w:r>
      <w:r w:rsidRPr="00DF23E8">
        <w:rPr>
          <w:szCs w:val="22"/>
        </w:rPr>
        <w:t>ICANN</w:t>
      </w:r>
      <w:r w:rsidRPr="00DF23E8">
        <w:rPr>
          <w:szCs w:val="22"/>
          <w:lang w:val="ru-RU"/>
        </w:rPr>
        <w:t xml:space="preserve"> «Руководстве для заявителя»</w:t>
      </w:r>
      <w:r w:rsidR="00384EE8" w:rsidRPr="006475B9">
        <w:rPr>
          <w:vertAlign w:val="superscript"/>
        </w:rPr>
        <w:footnoteReference w:id="23"/>
      </w:r>
      <w:r w:rsidRPr="00A57D9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Первые новые</w:t>
      </w:r>
      <w:r w:rsidRPr="00DF23E8">
        <w:rPr>
          <w:szCs w:val="22"/>
          <w:lang w:val="ru-RU"/>
        </w:rPr>
        <w:t xml:space="preserve"> рДВУ в корневой зоне Интернета </w:t>
      </w:r>
      <w:r>
        <w:rPr>
          <w:szCs w:val="22"/>
          <w:lang w:val="ru-RU"/>
        </w:rPr>
        <w:t>были делегированы</w:t>
      </w:r>
      <w:r w:rsidRPr="00DF23E8">
        <w:rPr>
          <w:szCs w:val="22"/>
          <w:lang w:val="ru-RU"/>
        </w:rPr>
        <w:t xml:space="preserve"> в октябре 2013</w:t>
      </w:r>
      <w:r w:rsidRPr="00DF23E8">
        <w:rPr>
          <w:szCs w:val="22"/>
        </w:rPr>
        <w:t> </w:t>
      </w:r>
      <w:r w:rsidRPr="00DF23E8">
        <w:rPr>
          <w:szCs w:val="22"/>
          <w:lang w:val="ru-RU"/>
        </w:rPr>
        <w:t xml:space="preserve">г., </w:t>
      </w:r>
      <w:r>
        <w:rPr>
          <w:szCs w:val="22"/>
          <w:lang w:val="ru-RU"/>
        </w:rPr>
        <w:t>а</w:t>
      </w:r>
      <w:r w:rsidRPr="00DF23E8">
        <w:rPr>
          <w:szCs w:val="22"/>
          <w:lang w:val="ru-RU"/>
        </w:rPr>
        <w:t xml:space="preserve"> к июню 2015</w:t>
      </w:r>
      <w:r w:rsidRPr="00DF23E8">
        <w:rPr>
          <w:szCs w:val="22"/>
        </w:rPr>
        <w:t> </w:t>
      </w:r>
      <w:r w:rsidRPr="00DF23E8">
        <w:rPr>
          <w:szCs w:val="22"/>
          <w:lang w:val="ru-RU"/>
        </w:rPr>
        <w:t>г. было делегировано еще 600 рДВУ</w:t>
      </w:r>
      <w:r w:rsidR="00384EE8" w:rsidRPr="006475B9">
        <w:rPr>
          <w:rStyle w:val="FootnoteReference"/>
          <w:szCs w:val="22"/>
        </w:rPr>
        <w:footnoteReference w:id="24"/>
      </w:r>
      <w:r w:rsidRPr="00A57D9C">
        <w:rPr>
          <w:szCs w:val="22"/>
          <w:lang w:val="ru-RU"/>
        </w:rPr>
        <w:t>.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Pr="00A57D9C" w:rsidRDefault="00A57D9C" w:rsidP="005E2771">
      <w:pPr>
        <w:pStyle w:val="ListParagraph"/>
        <w:keepNext/>
        <w:keepLines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DF23E8">
        <w:rPr>
          <w:szCs w:val="22"/>
          <w:lang w:val="ru-RU"/>
        </w:rPr>
        <w:t>Центр по-прежнему стремится сотрудничать с заинтересованными сторонами в стремлении обеспечить соблюдение общих принципов охраны ИС в новых рДВУ</w:t>
      </w:r>
      <w:r>
        <w:rPr>
          <w:szCs w:val="22"/>
          <w:lang w:val="ru-RU"/>
        </w:rPr>
        <w:t>.</w:t>
      </w:r>
      <w:r w:rsidRPr="00DF23E8">
        <w:rPr>
          <w:szCs w:val="22"/>
          <w:lang w:val="ru-RU"/>
        </w:rPr>
        <w:t xml:space="preserve"> В результате ряда заседаний комитетов </w:t>
      </w:r>
      <w:r w:rsidRPr="00DF23E8">
        <w:rPr>
          <w:szCs w:val="22"/>
        </w:rPr>
        <w:t>ICANN</w:t>
      </w:r>
      <w:r w:rsidRPr="00DF23E8">
        <w:rPr>
          <w:szCs w:val="22"/>
          <w:lang w:val="ru-RU"/>
        </w:rPr>
        <w:t xml:space="preserve"> и процедур создания новых рДВУ </w:t>
      </w:r>
      <w:r>
        <w:rPr>
          <w:szCs w:val="22"/>
          <w:lang w:val="ru-RU"/>
        </w:rPr>
        <w:t xml:space="preserve">был выработан </w:t>
      </w:r>
      <w:r w:rsidRPr="00DF23E8">
        <w:rPr>
          <w:szCs w:val="22"/>
          <w:lang w:val="ru-RU"/>
        </w:rPr>
        <w:t xml:space="preserve">ряд </w:t>
      </w:r>
      <w:r>
        <w:rPr>
          <w:szCs w:val="22"/>
          <w:lang w:val="ru-RU"/>
        </w:rPr>
        <w:t>МОП</w:t>
      </w:r>
      <w:r w:rsidR="00384EE8" w:rsidRPr="006475B9">
        <w:rPr>
          <w:rStyle w:val="FootnoteReference"/>
          <w:szCs w:val="22"/>
        </w:rPr>
        <w:footnoteReference w:id="25"/>
      </w:r>
      <w:r w:rsidRPr="00A57D9C">
        <w:rPr>
          <w:szCs w:val="22"/>
          <w:lang w:val="ru-RU"/>
        </w:rPr>
        <w:t>.</w:t>
      </w:r>
      <w:r w:rsidR="00384EE8" w:rsidRPr="00A57D9C">
        <w:rPr>
          <w:szCs w:val="22"/>
          <w:lang w:val="ru-RU"/>
        </w:rPr>
        <w:t xml:space="preserve"> </w:t>
      </w:r>
      <w:r w:rsidRPr="00DF23E8">
        <w:rPr>
          <w:szCs w:val="22"/>
          <w:lang w:val="ru-RU"/>
        </w:rPr>
        <w:t xml:space="preserve">Ниже приводится общее описание таких </w:t>
      </w:r>
      <w:r>
        <w:rPr>
          <w:szCs w:val="22"/>
          <w:lang w:val="ru-RU"/>
        </w:rPr>
        <w:t>МОП</w:t>
      </w:r>
      <w:r w:rsidRPr="00DF23E8">
        <w:rPr>
          <w:szCs w:val="22"/>
          <w:lang w:val="ru-RU"/>
        </w:rPr>
        <w:t xml:space="preserve">, одобренных </w:t>
      </w:r>
      <w:r w:rsidRPr="00DF23E8">
        <w:rPr>
          <w:szCs w:val="22"/>
        </w:rPr>
        <w:t>ICANN</w:t>
      </w:r>
      <w:r w:rsidRPr="00DF23E8">
        <w:rPr>
          <w:szCs w:val="22"/>
          <w:lang w:val="ru-RU"/>
        </w:rPr>
        <w:t xml:space="preserve"> для </w:t>
      </w:r>
      <w:r>
        <w:rPr>
          <w:szCs w:val="22"/>
          <w:lang w:val="ru-RU"/>
        </w:rPr>
        <w:t xml:space="preserve">доменов </w:t>
      </w:r>
      <w:r w:rsidRPr="00DF23E8">
        <w:rPr>
          <w:szCs w:val="22"/>
          <w:lang w:val="ru-RU"/>
        </w:rPr>
        <w:t>верхнего и второго уровней, соответственно.</w:t>
      </w:r>
    </w:p>
    <w:p w:rsidR="00384EE8" w:rsidRPr="00A57D9C" w:rsidRDefault="00384EE8" w:rsidP="005E2771">
      <w:pPr>
        <w:pStyle w:val="Heading3"/>
        <w:spacing w:before="0" w:after="0"/>
        <w:rPr>
          <w:szCs w:val="22"/>
          <w:u w:val="none"/>
          <w:lang w:val="ru-RU"/>
        </w:rPr>
      </w:pPr>
    </w:p>
    <w:p w:rsidR="0058307C" w:rsidRPr="00A57D9C" w:rsidRDefault="0058307C" w:rsidP="005E2771">
      <w:pPr>
        <w:rPr>
          <w:lang w:val="ru-RU"/>
        </w:rPr>
      </w:pPr>
    </w:p>
    <w:p w:rsidR="00384EE8" w:rsidRPr="006475B9" w:rsidRDefault="00A57D9C" w:rsidP="00D55BC1">
      <w:pPr>
        <w:pStyle w:val="Heading3"/>
        <w:numPr>
          <w:ilvl w:val="0"/>
          <w:numId w:val="24"/>
        </w:numPr>
        <w:spacing w:before="0" w:after="0"/>
        <w:ind w:left="567" w:firstLine="0"/>
        <w:rPr>
          <w:szCs w:val="22"/>
        </w:rPr>
      </w:pPr>
      <w:r>
        <w:rPr>
          <w:szCs w:val="22"/>
          <w:lang w:val="ru-RU"/>
        </w:rPr>
        <w:t>МОП</w:t>
      </w:r>
      <w:r w:rsidRPr="00C52C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</w:t>
      </w:r>
      <w:r w:rsidRPr="00C52CFA">
        <w:rPr>
          <w:szCs w:val="22"/>
          <w:lang w:val="ru-RU"/>
        </w:rPr>
        <w:t>доменов верхнего уровня</w:t>
      </w:r>
    </w:p>
    <w:p w:rsidR="00384EE8" w:rsidRPr="006475B9" w:rsidRDefault="00384EE8" w:rsidP="005E2771">
      <w:pPr>
        <w:pStyle w:val="Heading3"/>
        <w:spacing w:before="0" w:after="0"/>
        <w:rPr>
          <w:szCs w:val="22"/>
          <w:u w:val="none"/>
        </w:rPr>
      </w:pPr>
    </w:p>
    <w:p w:rsidR="00384EE8" w:rsidRPr="00A57D9C" w:rsidRDefault="00A57D9C" w:rsidP="00D55BC1">
      <w:pPr>
        <w:pStyle w:val="Heading3"/>
        <w:numPr>
          <w:ilvl w:val="0"/>
          <w:numId w:val="25"/>
        </w:numPr>
        <w:spacing w:before="0" w:after="0"/>
        <w:ind w:left="1701" w:hanging="567"/>
        <w:rPr>
          <w:szCs w:val="22"/>
          <w:lang w:val="ru-RU"/>
        </w:rPr>
      </w:pPr>
      <w:r w:rsidRPr="009D49F1">
        <w:rPr>
          <w:szCs w:val="22"/>
          <w:lang w:val="ru-RU"/>
        </w:rPr>
        <w:t>Процедура урегулирования споров, предшествующая</w:t>
      </w:r>
      <w:r>
        <w:rPr>
          <w:szCs w:val="22"/>
          <w:lang w:val="ru-RU"/>
        </w:rPr>
        <w:t xml:space="preserve"> делегированию (ДВУ)</w:t>
      </w:r>
    </w:p>
    <w:p w:rsidR="00384EE8" w:rsidRPr="00A57D9C" w:rsidRDefault="00384EE8" w:rsidP="005E2771">
      <w:pPr>
        <w:rPr>
          <w:color w:val="000000"/>
          <w:szCs w:val="22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C52CFA">
        <w:rPr>
          <w:szCs w:val="22"/>
          <w:lang w:val="ru-RU"/>
        </w:rPr>
        <w:t xml:space="preserve">Данный механизм дал владельцам товарных знаков возможность </w:t>
      </w:r>
      <w:r>
        <w:rPr>
          <w:szCs w:val="22"/>
          <w:lang w:val="ru-RU"/>
        </w:rPr>
        <w:t xml:space="preserve">направлять </w:t>
      </w:r>
      <w:r w:rsidRPr="00AC122D">
        <w:rPr>
          <w:szCs w:val="22"/>
          <w:lang w:val="ru-RU"/>
        </w:rPr>
        <w:t xml:space="preserve">в связи с </w:t>
      </w:r>
      <w:r>
        <w:rPr>
          <w:szCs w:val="22"/>
          <w:lang w:val="ru-RU"/>
        </w:rPr>
        <w:t>заявками</w:t>
      </w:r>
      <w:r w:rsidRPr="00C52CFA">
        <w:rPr>
          <w:szCs w:val="22"/>
          <w:lang w:val="ru-RU"/>
        </w:rPr>
        <w:t xml:space="preserve"> на создание новых </w:t>
      </w:r>
      <w:r>
        <w:rPr>
          <w:szCs w:val="22"/>
          <w:lang w:val="ru-RU"/>
        </w:rPr>
        <w:t xml:space="preserve">родовых доменов </w:t>
      </w:r>
      <w:r w:rsidRPr="00C52CFA">
        <w:rPr>
          <w:szCs w:val="22"/>
          <w:lang w:val="ru-RU"/>
        </w:rPr>
        <w:t xml:space="preserve">верхнего уровня </w:t>
      </w:r>
      <w:r w:rsidRPr="00AC122D">
        <w:rPr>
          <w:szCs w:val="22"/>
          <w:lang w:val="ru-RU"/>
        </w:rPr>
        <w:t>«</w:t>
      </w:r>
      <w:r w:rsidRPr="00C52CFA">
        <w:rPr>
          <w:szCs w:val="22"/>
          <w:lang w:val="ru-RU"/>
        </w:rPr>
        <w:t>возражения на основании юридических прав</w:t>
      </w:r>
      <w:r w:rsidRPr="00AC122D">
        <w:rPr>
          <w:szCs w:val="22"/>
          <w:lang w:val="ru-RU"/>
        </w:rPr>
        <w:t>»</w:t>
      </w:r>
      <w:r w:rsidRPr="00C52CFA">
        <w:rPr>
          <w:szCs w:val="22"/>
          <w:lang w:val="ru-RU"/>
        </w:rPr>
        <w:t xml:space="preserve"> (</w:t>
      </w:r>
      <w:r w:rsidRPr="00C52CFA">
        <w:rPr>
          <w:szCs w:val="22"/>
        </w:rPr>
        <w:t>LRO</w:t>
      </w:r>
      <w:r w:rsidRPr="00C52CFA">
        <w:rPr>
          <w:szCs w:val="22"/>
          <w:lang w:val="ru-RU"/>
        </w:rPr>
        <w:t xml:space="preserve">) при условии соблюдения некоторых </w:t>
      </w:r>
      <w:r>
        <w:rPr>
          <w:szCs w:val="22"/>
          <w:lang w:val="ru-RU"/>
        </w:rPr>
        <w:t xml:space="preserve">основных </w:t>
      </w:r>
      <w:r w:rsidRPr="00C52CFA">
        <w:rPr>
          <w:szCs w:val="22"/>
          <w:lang w:val="ru-RU"/>
        </w:rPr>
        <w:t>критериев</w:t>
      </w:r>
      <w:r w:rsidR="00384EE8" w:rsidRPr="006475B9">
        <w:rPr>
          <w:rStyle w:val="FootnoteReference"/>
          <w:szCs w:val="22"/>
        </w:rPr>
        <w:footnoteReference w:id="26"/>
      </w:r>
      <w:r w:rsidRPr="00A57D9C">
        <w:rPr>
          <w:szCs w:val="22"/>
          <w:lang w:val="ru-RU"/>
        </w:rPr>
        <w:t>.</w:t>
      </w:r>
      <w:r w:rsidR="00384EE8" w:rsidRPr="00A57D9C">
        <w:rPr>
          <w:szCs w:val="22"/>
          <w:lang w:val="ru-RU"/>
        </w:rPr>
        <w:t xml:space="preserve">  </w:t>
      </w:r>
      <w:r w:rsidRPr="00C52CFA">
        <w:rPr>
          <w:szCs w:val="22"/>
          <w:lang w:val="ru-RU"/>
        </w:rPr>
        <w:t xml:space="preserve">Центр оказал </w:t>
      </w:r>
      <w:r w:rsidRPr="00C52CFA">
        <w:rPr>
          <w:szCs w:val="22"/>
        </w:rPr>
        <w:t>ICANN</w:t>
      </w:r>
      <w:r w:rsidRPr="00C52CFA">
        <w:rPr>
          <w:szCs w:val="22"/>
          <w:lang w:val="ru-RU"/>
        </w:rPr>
        <w:t xml:space="preserve"> помощь в разработке таких критериев</w:t>
      </w:r>
      <w:r>
        <w:rPr>
          <w:szCs w:val="22"/>
          <w:lang w:val="ru-RU"/>
        </w:rPr>
        <w:t xml:space="preserve"> на основе «Совместной рекомендации</w:t>
      </w:r>
      <w:r w:rsidRPr="00C52CFA">
        <w:rPr>
          <w:szCs w:val="22"/>
          <w:lang w:val="ru-RU"/>
        </w:rPr>
        <w:t xml:space="preserve"> ВОИС </w:t>
      </w:r>
      <w:r w:rsidRPr="00AC122D">
        <w:rPr>
          <w:szCs w:val="22"/>
          <w:lang w:val="ru-RU"/>
        </w:rPr>
        <w:t xml:space="preserve">в отношении </w:t>
      </w:r>
      <w:r>
        <w:rPr>
          <w:szCs w:val="22"/>
          <w:lang w:val="ru-RU"/>
        </w:rPr>
        <w:t xml:space="preserve">норм, </w:t>
      </w:r>
      <w:r w:rsidRPr="00AC122D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Pr="00C52CFA">
        <w:rPr>
          <w:szCs w:val="22"/>
          <w:lang w:val="ru-RU"/>
        </w:rPr>
        <w:t xml:space="preserve">охраны знаков и других прав промышленной собственности на </w:t>
      </w:r>
      <w:r>
        <w:rPr>
          <w:szCs w:val="22"/>
          <w:lang w:val="ru-RU"/>
        </w:rPr>
        <w:t>обозначения</w:t>
      </w:r>
      <w:r w:rsidRPr="00C52CFA">
        <w:rPr>
          <w:szCs w:val="22"/>
          <w:lang w:val="ru-RU"/>
        </w:rPr>
        <w:t>, используемые в сети Интернет»</w:t>
      </w:r>
      <w:r w:rsidR="00384EE8" w:rsidRPr="006475B9">
        <w:rPr>
          <w:vertAlign w:val="superscript"/>
        </w:rPr>
        <w:footnoteReference w:id="27"/>
      </w:r>
      <w:r w:rsidRPr="00A57D9C">
        <w:rPr>
          <w:szCs w:val="22"/>
          <w:lang w:val="ru-RU"/>
        </w:rPr>
        <w:t>.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7738DB">
        <w:rPr>
          <w:szCs w:val="22"/>
        </w:rPr>
        <w:lastRenderedPageBreak/>
        <w:t>ICANN</w:t>
      </w:r>
      <w:r w:rsidRPr="007738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назначила </w:t>
      </w:r>
      <w:r w:rsidRPr="007738DB">
        <w:rPr>
          <w:szCs w:val="22"/>
          <w:lang w:val="ru-RU"/>
        </w:rPr>
        <w:t xml:space="preserve">Центр </w:t>
      </w:r>
      <w:r>
        <w:rPr>
          <w:szCs w:val="22"/>
          <w:lang w:val="ru-RU"/>
        </w:rPr>
        <w:t>эксклюзивным</w:t>
      </w:r>
      <w:r w:rsidRPr="007738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органом</w:t>
      </w:r>
      <w:r w:rsidRPr="007738DB">
        <w:rPr>
          <w:szCs w:val="22"/>
          <w:lang w:val="ru-RU"/>
        </w:rPr>
        <w:t xml:space="preserve"> рассмотрения споров, возбуждаемых </w:t>
      </w:r>
      <w:r>
        <w:rPr>
          <w:szCs w:val="22"/>
          <w:lang w:val="ru-RU"/>
        </w:rPr>
        <w:t xml:space="preserve">путем подачи </w:t>
      </w:r>
      <w:r w:rsidRPr="007738DB">
        <w:rPr>
          <w:szCs w:val="22"/>
        </w:rPr>
        <w:t>LRO</w:t>
      </w:r>
      <w:r w:rsidRPr="00A57D9C">
        <w:rPr>
          <w:rStyle w:val="FootnoteReference"/>
          <w:szCs w:val="22"/>
          <w:lang w:val="ru-RU"/>
        </w:rPr>
        <w:t xml:space="preserve"> </w:t>
      </w:r>
      <w:r w:rsidR="00384EE8" w:rsidRPr="006475B9">
        <w:rPr>
          <w:rStyle w:val="FootnoteReference"/>
          <w:szCs w:val="22"/>
        </w:rPr>
        <w:footnoteReference w:id="28"/>
      </w:r>
      <w:r>
        <w:rPr>
          <w:bCs/>
          <w:szCs w:val="22"/>
          <w:lang w:val="ru-RU"/>
        </w:rPr>
        <w:t>,</w:t>
      </w:r>
      <w:r w:rsidRPr="00A57D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после чего в него поступило </w:t>
      </w:r>
      <w:r w:rsidRPr="007738DB">
        <w:rPr>
          <w:szCs w:val="22"/>
          <w:lang w:val="ru-RU"/>
        </w:rPr>
        <w:t>69</w:t>
      </w:r>
      <w:r w:rsidRPr="007738DB">
        <w:rPr>
          <w:szCs w:val="22"/>
        </w:rPr>
        <w:t> LRO</w:t>
      </w:r>
      <w:r w:rsidRPr="007738DB">
        <w:rPr>
          <w:szCs w:val="22"/>
          <w:lang w:val="ru-RU"/>
        </w:rPr>
        <w:t xml:space="preserve">, которые были признаны соответствующими установленным процедурным требованиям и </w:t>
      </w:r>
      <w:r>
        <w:rPr>
          <w:szCs w:val="22"/>
          <w:lang w:val="ru-RU"/>
        </w:rPr>
        <w:t>рассмотрены</w:t>
      </w:r>
      <w:r w:rsidRPr="007738DB">
        <w:rPr>
          <w:szCs w:val="22"/>
          <w:lang w:val="ru-RU"/>
        </w:rPr>
        <w:t xml:space="preserve"> к сентябрю </w:t>
      </w:r>
      <w:r w:rsidRPr="00A57D9C">
        <w:rPr>
          <w:szCs w:val="22"/>
          <w:lang w:val="ru-RU"/>
        </w:rPr>
        <w:t>2013</w:t>
      </w:r>
      <w:r w:rsidRPr="007738DB">
        <w:rPr>
          <w:szCs w:val="22"/>
        </w:rPr>
        <w:t> </w:t>
      </w:r>
      <w:r w:rsidRPr="007738DB">
        <w:rPr>
          <w:szCs w:val="22"/>
          <w:lang w:val="ru-RU"/>
        </w:rPr>
        <w:t>г</w:t>
      </w:r>
      <w:r w:rsidRPr="00A57D9C">
        <w:rPr>
          <w:szCs w:val="22"/>
          <w:lang w:val="ru-RU"/>
        </w:rPr>
        <w:t>.</w:t>
      </w:r>
      <w:r w:rsidR="00384EE8" w:rsidRPr="006475B9">
        <w:rPr>
          <w:rStyle w:val="FootnoteReference"/>
          <w:szCs w:val="22"/>
        </w:rPr>
        <w:footnoteReference w:id="29"/>
      </w:r>
      <w:r w:rsidR="00384EE8" w:rsidRPr="00A57D9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На</w:t>
      </w:r>
      <w:r w:rsidRPr="007738DB">
        <w:rPr>
          <w:szCs w:val="22"/>
          <w:lang w:val="ru-RU"/>
        </w:rPr>
        <w:t xml:space="preserve"> вебсайт</w:t>
      </w:r>
      <w:r>
        <w:rPr>
          <w:szCs w:val="22"/>
          <w:lang w:val="ru-RU"/>
        </w:rPr>
        <w:t>е</w:t>
      </w:r>
      <w:r w:rsidRPr="007738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Центра</w:t>
      </w:r>
      <w:r w:rsidRPr="007738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опубликованы</w:t>
      </w:r>
      <w:r w:rsidRPr="007738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7738DB">
        <w:rPr>
          <w:szCs w:val="22"/>
          <w:lang w:val="ru-RU"/>
        </w:rPr>
        <w:t xml:space="preserve"> решени</w:t>
      </w:r>
      <w:r>
        <w:rPr>
          <w:szCs w:val="22"/>
          <w:lang w:val="ru-RU"/>
        </w:rPr>
        <w:t>я</w:t>
      </w:r>
      <w:r w:rsidRPr="007738DB">
        <w:rPr>
          <w:szCs w:val="22"/>
          <w:lang w:val="ru-RU"/>
        </w:rPr>
        <w:t xml:space="preserve"> эксперт</w:t>
      </w:r>
      <w:r>
        <w:rPr>
          <w:szCs w:val="22"/>
          <w:lang w:val="ru-RU"/>
        </w:rPr>
        <w:t>ной</w:t>
      </w:r>
      <w:r w:rsidRPr="007738DB">
        <w:rPr>
          <w:szCs w:val="22"/>
          <w:lang w:val="ru-RU"/>
        </w:rPr>
        <w:t xml:space="preserve"> комисси</w:t>
      </w:r>
      <w:r>
        <w:rPr>
          <w:szCs w:val="22"/>
          <w:lang w:val="ru-RU"/>
        </w:rPr>
        <w:t>и</w:t>
      </w:r>
      <w:r w:rsidRPr="007738DB">
        <w:rPr>
          <w:szCs w:val="22"/>
          <w:lang w:val="ru-RU"/>
        </w:rPr>
        <w:t xml:space="preserve"> ВОИС</w:t>
      </w:r>
      <w:r w:rsidR="00384EE8" w:rsidRPr="006475B9">
        <w:rPr>
          <w:rStyle w:val="FootnoteReference"/>
          <w:szCs w:val="22"/>
        </w:rPr>
        <w:footnoteReference w:id="30"/>
      </w:r>
      <w:r w:rsidRPr="00A57D9C">
        <w:rPr>
          <w:szCs w:val="22"/>
          <w:lang w:val="ru-RU"/>
        </w:rPr>
        <w:t xml:space="preserve">, </w:t>
      </w:r>
      <w:r w:rsidRPr="007738DB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Pr="007738DB">
        <w:rPr>
          <w:szCs w:val="22"/>
          <w:lang w:val="ru-RU"/>
        </w:rPr>
        <w:t>отчет</w:t>
      </w:r>
      <w:r>
        <w:rPr>
          <w:szCs w:val="22"/>
          <w:lang w:val="ru-RU"/>
        </w:rPr>
        <w:t xml:space="preserve"> Центра по </w:t>
      </w:r>
      <w:r w:rsidRPr="007738DB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ам, инициируемым </w:t>
      </w:r>
      <w:r>
        <w:rPr>
          <w:szCs w:val="22"/>
        </w:rPr>
        <w:t>LRO</w:t>
      </w:r>
      <w:r w:rsidR="00384EE8" w:rsidRPr="006475B9">
        <w:rPr>
          <w:rStyle w:val="FootnoteReference"/>
          <w:szCs w:val="22"/>
        </w:rPr>
        <w:footnoteReference w:id="31"/>
      </w:r>
      <w:r w:rsidRPr="00A57D9C">
        <w:rPr>
          <w:szCs w:val="22"/>
          <w:lang w:val="ru-RU"/>
        </w:rPr>
        <w:t>.</w:t>
      </w:r>
      <w:r w:rsidR="00E03485" w:rsidRPr="00A57D9C">
        <w:rPr>
          <w:szCs w:val="22"/>
          <w:lang w:val="ru-RU"/>
        </w:rPr>
        <w:t xml:space="preserve"> </w:t>
      </w:r>
    </w:p>
    <w:p w:rsidR="0058307C" w:rsidRPr="00A57D9C" w:rsidRDefault="0058307C" w:rsidP="005E2771">
      <w:pPr>
        <w:pStyle w:val="Heading3"/>
        <w:spacing w:before="0" w:after="0"/>
        <w:rPr>
          <w:szCs w:val="22"/>
          <w:lang w:val="ru-RU"/>
        </w:rPr>
      </w:pPr>
    </w:p>
    <w:p w:rsidR="00955AF2" w:rsidRPr="00A57D9C" w:rsidRDefault="00955AF2" w:rsidP="005E2771">
      <w:pPr>
        <w:rPr>
          <w:lang w:val="ru-RU"/>
        </w:rPr>
      </w:pPr>
    </w:p>
    <w:p w:rsidR="00384EE8" w:rsidRPr="00A57D9C" w:rsidRDefault="00A57D9C" w:rsidP="00D55BC1">
      <w:pPr>
        <w:pStyle w:val="Heading3"/>
        <w:numPr>
          <w:ilvl w:val="0"/>
          <w:numId w:val="25"/>
        </w:numPr>
        <w:spacing w:before="0" w:after="0"/>
        <w:ind w:left="1701" w:hanging="567"/>
        <w:rPr>
          <w:szCs w:val="22"/>
          <w:lang w:val="ru-RU"/>
        </w:rPr>
      </w:pPr>
      <w:r w:rsidRPr="0001646C">
        <w:rPr>
          <w:szCs w:val="22"/>
          <w:lang w:val="ru-RU"/>
        </w:rPr>
        <w:t xml:space="preserve">Процедура урегулирования споров после делегирования </w:t>
      </w:r>
      <w:r>
        <w:rPr>
          <w:szCs w:val="22"/>
          <w:lang w:val="ru-RU"/>
        </w:rPr>
        <w:t>(</w:t>
      </w:r>
      <w:r w:rsidRPr="0001646C">
        <w:rPr>
          <w:szCs w:val="22"/>
          <w:lang w:val="ru-RU"/>
        </w:rPr>
        <w:t>ДВУ</w:t>
      </w:r>
      <w:r>
        <w:rPr>
          <w:szCs w:val="22"/>
          <w:lang w:val="ru-RU"/>
        </w:rPr>
        <w:t>)</w:t>
      </w:r>
      <w:r w:rsidRPr="0001646C">
        <w:rPr>
          <w:szCs w:val="22"/>
          <w:lang w:val="ru-RU"/>
        </w:rPr>
        <w:t xml:space="preserve"> (</w:t>
      </w:r>
      <w:r w:rsidRPr="0001646C">
        <w:rPr>
          <w:szCs w:val="22"/>
        </w:rPr>
        <w:t>PDDRP</w:t>
      </w:r>
      <w:r w:rsidRPr="0001646C">
        <w:rPr>
          <w:szCs w:val="22"/>
          <w:lang w:val="ru-RU"/>
        </w:rPr>
        <w:t>)</w:t>
      </w:r>
    </w:p>
    <w:p w:rsidR="00384EE8" w:rsidRPr="00A57D9C" w:rsidRDefault="00384EE8" w:rsidP="005E2771">
      <w:pPr>
        <w:rPr>
          <w:color w:val="000000"/>
          <w:szCs w:val="22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F6493E">
        <w:rPr>
          <w:szCs w:val="22"/>
          <w:lang w:val="ru-RU"/>
        </w:rPr>
        <w:t>В начале 2009</w:t>
      </w:r>
      <w:r w:rsidRPr="00F6493E">
        <w:rPr>
          <w:szCs w:val="22"/>
        </w:rPr>
        <w:t> </w:t>
      </w:r>
      <w:r w:rsidRPr="00F6493E">
        <w:rPr>
          <w:szCs w:val="22"/>
          <w:lang w:val="ru-RU"/>
        </w:rPr>
        <w:t xml:space="preserve">г Центр направил в </w:t>
      </w:r>
      <w:r w:rsidRPr="00F6493E">
        <w:rPr>
          <w:szCs w:val="22"/>
        </w:rPr>
        <w:t>ICANN</w:t>
      </w:r>
      <w:r w:rsidRPr="00F6493E">
        <w:rPr>
          <w:szCs w:val="22"/>
          <w:lang w:val="ru-RU"/>
        </w:rPr>
        <w:t xml:space="preserve"> конкретное содержательное предложение в отношении введения постоянно</w:t>
      </w:r>
      <w:r>
        <w:rPr>
          <w:szCs w:val="22"/>
          <w:lang w:val="ru-RU"/>
        </w:rPr>
        <w:t xml:space="preserve">го административного </w:t>
      </w:r>
      <w:r w:rsidRPr="0025376F">
        <w:rPr>
          <w:szCs w:val="22"/>
          <w:lang w:val="ru-RU"/>
        </w:rPr>
        <w:t>решени</w:t>
      </w:r>
      <w:r>
        <w:rPr>
          <w:szCs w:val="22"/>
          <w:lang w:val="ru-RU"/>
        </w:rPr>
        <w:t>я</w:t>
      </w:r>
      <w:r w:rsidRPr="00F6493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позволящего</w:t>
      </w:r>
      <w:r w:rsidRPr="00F6493E">
        <w:rPr>
          <w:szCs w:val="22"/>
          <w:lang w:val="ru-RU"/>
        </w:rPr>
        <w:t xml:space="preserve"> подавать жалобы </w:t>
      </w:r>
      <w:r>
        <w:rPr>
          <w:szCs w:val="22"/>
          <w:lang w:val="ru-RU"/>
        </w:rPr>
        <w:t>на регистраторов вновь делегированных</w:t>
      </w:r>
      <w:r w:rsidRPr="00F6493E">
        <w:rPr>
          <w:szCs w:val="22"/>
          <w:lang w:val="ru-RU"/>
        </w:rPr>
        <w:t xml:space="preserve"> рДВУ, чьи действия по управлению ре</w:t>
      </w:r>
      <w:r>
        <w:rPr>
          <w:szCs w:val="22"/>
          <w:lang w:val="ru-RU"/>
        </w:rPr>
        <w:t xml:space="preserve">естром </w:t>
      </w:r>
      <w:r w:rsidRPr="00F6493E">
        <w:rPr>
          <w:szCs w:val="22"/>
          <w:lang w:val="ru-RU"/>
        </w:rPr>
        <w:t xml:space="preserve">предположительно </w:t>
      </w:r>
      <w:r>
        <w:rPr>
          <w:szCs w:val="22"/>
          <w:lang w:val="ru-RU"/>
        </w:rPr>
        <w:t xml:space="preserve">вызвали </w:t>
      </w:r>
      <w:r w:rsidRPr="00F6493E">
        <w:rPr>
          <w:szCs w:val="22"/>
          <w:lang w:val="ru-RU"/>
        </w:rPr>
        <w:t xml:space="preserve">злоупотребления товарными знаками или в </w:t>
      </w:r>
      <w:r>
        <w:rPr>
          <w:szCs w:val="22"/>
          <w:lang w:val="ru-RU"/>
        </w:rPr>
        <w:t>значительной мере способствовали</w:t>
      </w:r>
      <w:r w:rsidRPr="00F6493E">
        <w:rPr>
          <w:szCs w:val="22"/>
          <w:lang w:val="ru-RU"/>
        </w:rPr>
        <w:t xml:space="preserve"> таким злоупотреблениям</w:t>
      </w:r>
      <w:r w:rsidR="00384EE8" w:rsidRPr="006475B9">
        <w:rPr>
          <w:vertAlign w:val="superscript"/>
        </w:rPr>
        <w:footnoteReference w:id="32"/>
      </w:r>
      <w:r w:rsidRPr="00A57D9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Цель </w:t>
      </w:r>
      <w:r w:rsidRPr="00F6493E">
        <w:rPr>
          <w:szCs w:val="22"/>
          <w:lang w:val="ru-RU"/>
        </w:rPr>
        <w:t xml:space="preserve">данного предложения заключалась в том, чтобы </w:t>
      </w:r>
      <w:r>
        <w:rPr>
          <w:szCs w:val="22"/>
          <w:lang w:val="ru-RU"/>
        </w:rPr>
        <w:t>поддержать собственные функции</w:t>
      </w:r>
      <w:r w:rsidRPr="00F6493E">
        <w:rPr>
          <w:szCs w:val="22"/>
          <w:lang w:val="ru-RU"/>
        </w:rPr>
        <w:t xml:space="preserve"> </w:t>
      </w:r>
      <w:r w:rsidRPr="00F6493E">
        <w:rPr>
          <w:szCs w:val="22"/>
        </w:rPr>
        <w:t>ICANN</w:t>
      </w:r>
      <w:r w:rsidRPr="00F6493E">
        <w:rPr>
          <w:szCs w:val="22"/>
          <w:lang w:val="ru-RU"/>
        </w:rPr>
        <w:t xml:space="preserve"> по надзору за соблюдением </w:t>
      </w:r>
      <w:r w:rsidRPr="0025376F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>а</w:t>
      </w:r>
      <w:r w:rsidRPr="00F6493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стандартизированной</w:t>
      </w:r>
      <w:r w:rsidRPr="00F6493E">
        <w:rPr>
          <w:szCs w:val="22"/>
          <w:lang w:val="ru-RU"/>
        </w:rPr>
        <w:t xml:space="preserve"> </w:t>
      </w:r>
      <w:r w:rsidRPr="0025376F">
        <w:rPr>
          <w:szCs w:val="22"/>
          <w:lang w:val="ru-RU"/>
        </w:rPr>
        <w:t>процедур</w:t>
      </w:r>
      <w:r>
        <w:rPr>
          <w:szCs w:val="22"/>
          <w:lang w:val="ru-RU"/>
        </w:rPr>
        <w:t>ой, основанной</w:t>
      </w:r>
      <w:r w:rsidRPr="00F6493E">
        <w:rPr>
          <w:szCs w:val="22"/>
          <w:lang w:val="ru-RU"/>
        </w:rPr>
        <w:t xml:space="preserve"> на административной альтернативе судебному разбирательству</w:t>
      </w:r>
      <w:r>
        <w:rPr>
          <w:szCs w:val="22"/>
          <w:lang w:val="ru-RU"/>
        </w:rPr>
        <w:t>, обеспечивающей ответственное поведение</w:t>
      </w:r>
      <w:r w:rsidRPr="00F6493E">
        <w:rPr>
          <w:szCs w:val="22"/>
          <w:lang w:val="ru-RU"/>
        </w:rPr>
        <w:t xml:space="preserve"> соответствующих сторон и </w:t>
      </w:r>
      <w:r w:rsidRPr="0025376F">
        <w:rPr>
          <w:szCs w:val="22"/>
          <w:lang w:val="ru-RU"/>
        </w:rPr>
        <w:t>предусматрива</w:t>
      </w:r>
      <w:r>
        <w:rPr>
          <w:szCs w:val="22"/>
          <w:lang w:val="ru-RU"/>
        </w:rPr>
        <w:t>ющей соответствующие</w:t>
      </w:r>
      <w:r w:rsidRPr="00F6493E">
        <w:rPr>
          <w:szCs w:val="22"/>
          <w:lang w:val="ru-RU"/>
        </w:rPr>
        <w:t xml:space="preserve"> «зон</w:t>
      </w:r>
      <w:r>
        <w:rPr>
          <w:szCs w:val="22"/>
          <w:lang w:val="ru-RU"/>
        </w:rPr>
        <w:t>ы</w:t>
      </w:r>
      <w:r w:rsidRPr="00F6493E">
        <w:rPr>
          <w:szCs w:val="22"/>
          <w:lang w:val="ru-RU"/>
        </w:rPr>
        <w:t xml:space="preserve"> безопасности»</w:t>
      </w:r>
      <w:r w:rsidR="00384EE8" w:rsidRPr="006475B9">
        <w:rPr>
          <w:rStyle w:val="FootnoteReference"/>
          <w:szCs w:val="22"/>
        </w:rPr>
        <w:footnoteReference w:id="33"/>
      </w:r>
      <w:r w:rsidRPr="00A57D9C">
        <w:rPr>
          <w:szCs w:val="22"/>
          <w:lang w:val="ru-RU"/>
        </w:rPr>
        <w:t>.</w:t>
      </w:r>
      <w:r w:rsidR="00384EE8" w:rsidRPr="00A57D9C">
        <w:rPr>
          <w:szCs w:val="22"/>
          <w:lang w:val="ru-RU"/>
        </w:rPr>
        <w:t xml:space="preserve"> 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6D156C">
        <w:rPr>
          <w:szCs w:val="22"/>
          <w:lang w:val="ru-RU"/>
        </w:rPr>
        <w:t xml:space="preserve">Обсуждение в различных комитетах </w:t>
      </w:r>
      <w:r w:rsidRPr="006D156C">
        <w:rPr>
          <w:szCs w:val="22"/>
        </w:rPr>
        <w:t>ICANN</w:t>
      </w:r>
      <w:r w:rsidRPr="006D156C">
        <w:rPr>
          <w:szCs w:val="22"/>
          <w:lang w:val="ru-RU"/>
        </w:rPr>
        <w:t xml:space="preserve"> и консультации с ре</w:t>
      </w:r>
      <w:r>
        <w:rPr>
          <w:szCs w:val="22"/>
          <w:lang w:val="ru-RU"/>
        </w:rPr>
        <w:t xml:space="preserve">гистраторами </w:t>
      </w:r>
      <w:r w:rsidRPr="006D156C">
        <w:rPr>
          <w:szCs w:val="22"/>
          <w:lang w:val="ru-RU"/>
        </w:rPr>
        <w:t xml:space="preserve">показали, что эффективность процедуры </w:t>
      </w:r>
      <w:r w:rsidRPr="006D156C">
        <w:rPr>
          <w:szCs w:val="22"/>
        </w:rPr>
        <w:t>PDDRP</w:t>
      </w:r>
      <w:r w:rsidRPr="006D156C">
        <w:rPr>
          <w:szCs w:val="22"/>
          <w:lang w:val="ru-RU"/>
        </w:rPr>
        <w:t xml:space="preserve"> в том виде, в каком она реализована </w:t>
      </w:r>
      <w:r w:rsidRPr="006D156C">
        <w:rPr>
          <w:szCs w:val="22"/>
        </w:rPr>
        <w:t>ICANN</w:t>
      </w:r>
      <w:r w:rsidRPr="006D156C">
        <w:rPr>
          <w:szCs w:val="22"/>
          <w:lang w:val="ru-RU"/>
        </w:rPr>
        <w:t xml:space="preserve">, по-прежнему вызывает сомнения, особенно в связи с появлением новых дублирующих друг друга </w:t>
      </w:r>
      <w:r>
        <w:rPr>
          <w:szCs w:val="22"/>
          <w:lang w:val="ru-RU"/>
        </w:rPr>
        <w:t>процедур</w:t>
      </w:r>
      <w:r w:rsidRPr="006D156C">
        <w:rPr>
          <w:szCs w:val="22"/>
          <w:lang w:val="ru-RU"/>
        </w:rPr>
        <w:t xml:space="preserve"> и вопросов, </w:t>
      </w:r>
      <w:r w:rsidRPr="00EE1909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Pr="006D156C">
        <w:rPr>
          <w:szCs w:val="22"/>
          <w:lang w:val="ru-RU"/>
        </w:rPr>
        <w:t>планируемо</w:t>
      </w:r>
      <w:r>
        <w:rPr>
          <w:szCs w:val="22"/>
          <w:lang w:val="ru-RU"/>
        </w:rPr>
        <w:t xml:space="preserve">го </w:t>
      </w:r>
      <w:r w:rsidRPr="00EE1909">
        <w:rPr>
          <w:szCs w:val="22"/>
          <w:lang w:val="ru-RU"/>
        </w:rPr>
        <w:t>фактическ</w:t>
      </w:r>
      <w:r>
        <w:rPr>
          <w:szCs w:val="22"/>
          <w:lang w:val="ru-RU"/>
        </w:rPr>
        <w:t xml:space="preserve">ого </w:t>
      </w:r>
      <w:r w:rsidRPr="00EE1909">
        <w:rPr>
          <w:szCs w:val="22"/>
          <w:lang w:val="ru-RU"/>
        </w:rPr>
        <w:t>объе</w:t>
      </w:r>
      <w:r>
        <w:rPr>
          <w:szCs w:val="22"/>
          <w:lang w:val="ru-RU"/>
        </w:rPr>
        <w:t xml:space="preserve">ма </w:t>
      </w:r>
      <w:r w:rsidRPr="006D156C">
        <w:rPr>
          <w:szCs w:val="22"/>
          <w:lang w:val="ru-RU"/>
        </w:rPr>
        <w:t>применения этого механизма. Учитывая более общие стратегические интересы, в 2013</w:t>
      </w:r>
      <w:r w:rsidRPr="006D156C">
        <w:rPr>
          <w:szCs w:val="22"/>
        </w:rPr>
        <w:t> </w:t>
      </w:r>
      <w:r w:rsidRPr="006D156C">
        <w:rPr>
          <w:szCs w:val="22"/>
          <w:lang w:val="ru-RU"/>
        </w:rPr>
        <w:t xml:space="preserve">г. Центр и </w:t>
      </w:r>
      <w:r w:rsidRPr="006D156C">
        <w:rPr>
          <w:szCs w:val="22"/>
        </w:rPr>
        <w:t>ICANN</w:t>
      </w:r>
      <w:r w:rsidRPr="006D156C">
        <w:rPr>
          <w:szCs w:val="22"/>
          <w:lang w:val="ru-RU"/>
        </w:rPr>
        <w:t xml:space="preserve"> договорились о том, что Центр станет органом рассмотрения споров по процедуре </w:t>
      </w:r>
      <w:r w:rsidRPr="006D156C">
        <w:rPr>
          <w:szCs w:val="22"/>
        </w:rPr>
        <w:t>PDDRP</w:t>
      </w:r>
      <w:r w:rsidRPr="006D156C">
        <w:rPr>
          <w:szCs w:val="22"/>
          <w:lang w:val="ru-RU"/>
        </w:rPr>
        <w:t xml:space="preserve"> применительно к товарным знакам.</w:t>
      </w:r>
    </w:p>
    <w:p w:rsidR="009417B6" w:rsidRPr="00A57D9C" w:rsidRDefault="009417B6" w:rsidP="005E2771">
      <w:pPr>
        <w:rPr>
          <w:szCs w:val="22"/>
          <w:lang w:val="ru-RU"/>
        </w:rPr>
      </w:pPr>
    </w:p>
    <w:p w:rsidR="009417B6" w:rsidRDefault="009417B6" w:rsidP="005E2771">
      <w:pPr>
        <w:rPr>
          <w:szCs w:val="22"/>
          <w:lang w:val="ru-RU"/>
        </w:rPr>
      </w:pPr>
    </w:p>
    <w:p w:rsidR="00A57D9C" w:rsidRPr="00A57D9C" w:rsidRDefault="00A57D9C" w:rsidP="005E2771">
      <w:pPr>
        <w:rPr>
          <w:szCs w:val="22"/>
          <w:lang w:val="ru-RU"/>
        </w:rPr>
      </w:pPr>
    </w:p>
    <w:p w:rsidR="00313D74" w:rsidRDefault="00313D74">
      <w:pPr>
        <w:rPr>
          <w:bCs/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384EE8" w:rsidRPr="00A57D9C" w:rsidRDefault="00A57D9C" w:rsidP="00D55BC1">
      <w:pPr>
        <w:pStyle w:val="Heading3"/>
        <w:keepNext w:val="0"/>
        <w:numPr>
          <w:ilvl w:val="0"/>
          <w:numId w:val="24"/>
        </w:numPr>
        <w:spacing w:before="0"/>
        <w:ind w:left="567" w:firstLine="0"/>
        <w:rPr>
          <w:szCs w:val="22"/>
          <w:lang w:val="ru-RU"/>
        </w:rPr>
      </w:pPr>
      <w:r>
        <w:rPr>
          <w:szCs w:val="22"/>
          <w:u w:val="none"/>
          <w:lang w:val="ru-RU"/>
        </w:rPr>
        <w:lastRenderedPageBreak/>
        <w:t>МОП</w:t>
      </w:r>
      <w:r w:rsidRPr="0001646C">
        <w:rPr>
          <w:szCs w:val="22"/>
          <w:u w:val="none"/>
          <w:lang w:val="ru-RU"/>
        </w:rPr>
        <w:t xml:space="preserve"> </w:t>
      </w:r>
      <w:r w:rsidRPr="006D156C">
        <w:rPr>
          <w:szCs w:val="22"/>
          <w:u w:val="none"/>
          <w:lang w:val="ru-RU"/>
        </w:rPr>
        <w:t xml:space="preserve">для доменов </w:t>
      </w:r>
      <w:r w:rsidRPr="0001646C">
        <w:rPr>
          <w:szCs w:val="22"/>
          <w:u w:val="none"/>
          <w:lang w:val="ru-RU"/>
        </w:rPr>
        <w:t>второго уровня</w:t>
      </w:r>
    </w:p>
    <w:p w:rsidR="00384EE8" w:rsidRPr="00A57D9C" w:rsidRDefault="00A57D9C" w:rsidP="00D55BC1">
      <w:pPr>
        <w:pStyle w:val="Heading3"/>
        <w:numPr>
          <w:ilvl w:val="0"/>
          <w:numId w:val="26"/>
        </w:numPr>
        <w:ind w:left="1134" w:firstLine="0"/>
        <w:rPr>
          <w:szCs w:val="22"/>
          <w:lang w:val="ru-RU"/>
        </w:rPr>
      </w:pPr>
      <w:r w:rsidRPr="0001646C">
        <w:rPr>
          <w:szCs w:val="22"/>
          <w:lang w:val="ru-RU"/>
        </w:rPr>
        <w:t>Центр обмена информацией о товарных знаках</w:t>
      </w:r>
    </w:p>
    <w:p w:rsidR="00384EE8" w:rsidRPr="00A57D9C" w:rsidRDefault="00384EE8" w:rsidP="005E2771">
      <w:pPr>
        <w:pStyle w:val="Heading3"/>
        <w:keepLines/>
        <w:spacing w:before="0" w:after="0"/>
        <w:rPr>
          <w:szCs w:val="22"/>
          <w:u w:val="none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6D156C">
        <w:rPr>
          <w:lang w:val="ru-RU"/>
        </w:rPr>
        <w:t xml:space="preserve">Программа </w:t>
      </w:r>
      <w:r w:rsidRPr="006D156C">
        <w:t>ICANN</w:t>
      </w:r>
      <w:r w:rsidRPr="006D156C">
        <w:rPr>
          <w:lang w:val="ru-RU"/>
        </w:rPr>
        <w:t xml:space="preserve"> по введению новых рДВУ предусматривает создание «Центра обмена информацией о товарных знаках» – централизованного хранилища удостоверенных данных о товарных знаках, которые могут использоваться </w:t>
      </w:r>
      <w:r>
        <w:rPr>
          <w:lang w:val="ru-RU"/>
        </w:rPr>
        <w:t>в качестве оснований</w:t>
      </w:r>
      <w:r w:rsidRPr="006D156C">
        <w:rPr>
          <w:lang w:val="ru-RU"/>
        </w:rPr>
        <w:t xml:space="preserve"> для подачи </w:t>
      </w:r>
      <w:r>
        <w:rPr>
          <w:lang w:val="ru-RU"/>
        </w:rPr>
        <w:t>жалоб на основании МОП</w:t>
      </w:r>
      <w:r w:rsidRPr="006D156C">
        <w:rPr>
          <w:lang w:val="ru-RU"/>
        </w:rPr>
        <w:t>, предусмотренных для новых рДВУ</w:t>
      </w:r>
      <w:r w:rsidR="00384EE8" w:rsidRPr="006475B9">
        <w:rPr>
          <w:rStyle w:val="FootnoteReference"/>
        </w:rPr>
        <w:footnoteReference w:id="34"/>
      </w:r>
      <w:r w:rsidRPr="00A57D9C">
        <w:rPr>
          <w:lang w:val="ru-RU"/>
        </w:rPr>
        <w:t xml:space="preserve">. </w:t>
      </w:r>
      <w:r w:rsidRPr="00342603">
        <w:rPr>
          <w:lang w:val="ru-RU"/>
        </w:rPr>
        <w:t xml:space="preserve">Центр отметил, что использование </w:t>
      </w:r>
      <w:r w:rsidRPr="009157BB">
        <w:rPr>
          <w:lang w:val="ru-RU"/>
        </w:rPr>
        <w:t>механизм</w:t>
      </w:r>
      <w:r>
        <w:rPr>
          <w:lang w:val="ru-RU"/>
        </w:rPr>
        <w:t xml:space="preserve">ов </w:t>
      </w:r>
      <w:r w:rsidRPr="00342603">
        <w:rPr>
          <w:lang w:val="ru-RU"/>
        </w:rPr>
        <w:t xml:space="preserve">любого такого Центра не должно создавать </w:t>
      </w:r>
      <w:r>
        <w:rPr>
          <w:lang w:val="ru-RU"/>
        </w:rPr>
        <w:t xml:space="preserve">неоправданных </w:t>
      </w:r>
      <w:r w:rsidRPr="009157BB">
        <w:rPr>
          <w:lang w:val="ru-RU"/>
        </w:rPr>
        <w:t>проблем</w:t>
      </w:r>
      <w:r>
        <w:rPr>
          <w:lang w:val="ru-RU"/>
        </w:rPr>
        <w:t xml:space="preserve"> </w:t>
      </w:r>
      <w:r w:rsidRPr="00342603">
        <w:rPr>
          <w:lang w:val="ru-RU"/>
        </w:rPr>
        <w:t xml:space="preserve">для правообладателей </w:t>
      </w:r>
      <w:r>
        <w:rPr>
          <w:lang w:val="ru-RU"/>
        </w:rPr>
        <w:t xml:space="preserve">в </w:t>
      </w:r>
      <w:r w:rsidRPr="009157BB">
        <w:rPr>
          <w:lang w:val="ru-RU"/>
        </w:rPr>
        <w:t>подход</w:t>
      </w:r>
      <w:r>
        <w:rPr>
          <w:lang w:val="ru-RU"/>
        </w:rPr>
        <w:t xml:space="preserve">е к их </w:t>
      </w:r>
      <w:r w:rsidRPr="00342603">
        <w:rPr>
          <w:lang w:val="ru-RU"/>
        </w:rPr>
        <w:t>прав</w:t>
      </w:r>
      <w:r>
        <w:rPr>
          <w:lang w:val="ru-RU"/>
        </w:rPr>
        <w:t>ам</w:t>
      </w:r>
      <w:r w:rsidRPr="00342603">
        <w:rPr>
          <w:lang w:val="ru-RU"/>
        </w:rPr>
        <w:t xml:space="preserve"> на товарные знаки, </w:t>
      </w:r>
      <w:r>
        <w:rPr>
          <w:lang w:val="ru-RU"/>
        </w:rPr>
        <w:t xml:space="preserve">правомерно </w:t>
      </w:r>
      <w:r w:rsidRPr="009157BB">
        <w:rPr>
          <w:lang w:val="ru-RU"/>
        </w:rPr>
        <w:t>зарегистрированн</w:t>
      </w:r>
      <w:r>
        <w:rPr>
          <w:lang w:val="ru-RU"/>
        </w:rPr>
        <w:t xml:space="preserve">ые </w:t>
      </w:r>
      <w:r w:rsidRPr="00342603">
        <w:rPr>
          <w:lang w:val="ru-RU"/>
        </w:rPr>
        <w:t xml:space="preserve">путем использования экспертных и регистрационных систем, применяемых во многих странах мира, и, в соответствующих случаях, могут быть предусмотрены практические меры </w:t>
      </w:r>
      <w:r>
        <w:rPr>
          <w:lang w:val="ru-RU"/>
        </w:rPr>
        <w:t>для выявления</w:t>
      </w:r>
      <w:r w:rsidRPr="00342603">
        <w:rPr>
          <w:lang w:val="ru-RU"/>
        </w:rPr>
        <w:t xml:space="preserve"> </w:t>
      </w:r>
      <w:r>
        <w:rPr>
          <w:lang w:val="ru-RU"/>
        </w:rPr>
        <w:t xml:space="preserve">каких-то </w:t>
      </w:r>
      <w:r w:rsidRPr="00342603">
        <w:rPr>
          <w:lang w:val="ru-RU"/>
        </w:rPr>
        <w:t xml:space="preserve">предположительно </w:t>
      </w:r>
      <w:r>
        <w:rPr>
          <w:lang w:val="ru-RU"/>
        </w:rPr>
        <w:t>неправомерных</w:t>
      </w:r>
      <w:r w:rsidRPr="00342603">
        <w:rPr>
          <w:lang w:val="ru-RU"/>
        </w:rPr>
        <w:t xml:space="preserve"> сс</w:t>
      </w:r>
      <w:r>
        <w:rPr>
          <w:lang w:val="ru-RU"/>
        </w:rPr>
        <w:t>ылок</w:t>
      </w:r>
      <w:r w:rsidRPr="00342603">
        <w:rPr>
          <w:lang w:val="ru-RU"/>
        </w:rPr>
        <w:t xml:space="preserve"> на наличие прав в конкретных ситуациях. По имеющимся данным, </w:t>
      </w:r>
      <w:r w:rsidRPr="00342603">
        <w:rPr>
          <w:szCs w:val="24"/>
          <w:lang w:val="ru-RU"/>
        </w:rPr>
        <w:t>по состоянию на</w:t>
      </w:r>
      <w:r w:rsidRPr="00342603">
        <w:rPr>
          <w:lang w:val="ru-RU"/>
        </w:rPr>
        <w:t xml:space="preserve"> </w:t>
      </w:r>
      <w:r>
        <w:rPr>
          <w:lang w:val="ru-RU"/>
        </w:rPr>
        <w:t>конец июня</w:t>
      </w:r>
      <w:r w:rsidRPr="00342603">
        <w:rPr>
          <w:lang w:val="ru-RU"/>
        </w:rPr>
        <w:t xml:space="preserve"> 2015</w:t>
      </w:r>
      <w:r w:rsidRPr="00342603">
        <w:t> </w:t>
      </w:r>
      <w:r w:rsidRPr="00342603">
        <w:rPr>
          <w:lang w:val="ru-RU"/>
        </w:rPr>
        <w:t>г</w:t>
      </w:r>
      <w:r>
        <w:rPr>
          <w:lang w:val="ru-RU"/>
        </w:rPr>
        <w:t>.</w:t>
      </w:r>
      <w:r w:rsidRPr="00342603">
        <w:rPr>
          <w:lang w:val="ru-RU"/>
        </w:rPr>
        <w:t xml:space="preserve"> число товарных знаков, зарегистрированных в Центре обмена информацией, составляло порядка 37</w:t>
      </w:r>
      <w:r w:rsidRPr="00342603">
        <w:t> </w:t>
      </w:r>
      <w:r w:rsidRPr="00342603">
        <w:rPr>
          <w:lang w:val="ru-RU"/>
        </w:rPr>
        <w:t>тыс.</w:t>
      </w:r>
      <w:r w:rsidR="00384EE8" w:rsidRPr="006475B9">
        <w:rPr>
          <w:rStyle w:val="FootnoteReference"/>
          <w:szCs w:val="22"/>
        </w:rPr>
        <w:footnoteReference w:id="35"/>
      </w:r>
      <w:r w:rsidR="00384EE8" w:rsidRPr="00A57D9C">
        <w:rPr>
          <w:lang w:val="ru-RU"/>
        </w:rPr>
        <w:t xml:space="preserve"> </w:t>
      </w:r>
      <w:r w:rsidR="00577D56" w:rsidRPr="00A57D9C">
        <w:rPr>
          <w:lang w:val="ru-RU"/>
        </w:rPr>
        <w:t xml:space="preserve"> </w:t>
      </w:r>
    </w:p>
    <w:p w:rsidR="0058307C" w:rsidRPr="00A57D9C" w:rsidRDefault="0058307C" w:rsidP="005E2771">
      <w:pPr>
        <w:rPr>
          <w:lang w:val="ru-RU"/>
        </w:rPr>
      </w:pPr>
    </w:p>
    <w:p w:rsidR="009417B6" w:rsidRPr="00A57D9C" w:rsidRDefault="009417B6" w:rsidP="005E2771">
      <w:pPr>
        <w:rPr>
          <w:lang w:val="ru-RU"/>
        </w:rPr>
      </w:pPr>
    </w:p>
    <w:p w:rsidR="00384EE8" w:rsidRPr="00A57D9C" w:rsidRDefault="00A57D9C" w:rsidP="00D55BC1">
      <w:pPr>
        <w:pStyle w:val="Heading3"/>
        <w:keepNext w:val="0"/>
        <w:numPr>
          <w:ilvl w:val="0"/>
          <w:numId w:val="26"/>
        </w:numPr>
        <w:spacing w:before="0" w:after="0"/>
        <w:ind w:left="1134" w:firstLine="0"/>
        <w:rPr>
          <w:color w:val="000000"/>
          <w:szCs w:val="22"/>
          <w:lang w:val="ru-RU"/>
        </w:rPr>
      </w:pPr>
      <w:r w:rsidRPr="00311881">
        <w:rPr>
          <w:szCs w:val="22"/>
          <w:lang w:val="ru-RU"/>
        </w:rPr>
        <w:t>Единая система быстрого приостановления действия (URS)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Default="00A57D9C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 w:rsidRPr="008163DB">
        <w:rPr>
          <w:lang w:val="ru-RU"/>
        </w:rPr>
        <w:t xml:space="preserve">Хотя важно сохранять ЕПУС в качестве важного инструмента </w:t>
      </w:r>
      <w:r>
        <w:rPr>
          <w:lang w:val="ru-RU"/>
        </w:rPr>
        <w:t xml:space="preserve">исправления нарушений </w:t>
      </w:r>
      <w:r w:rsidRPr="009157BB">
        <w:rPr>
          <w:lang w:val="ru-RU"/>
        </w:rPr>
        <w:t>в рамках</w:t>
      </w:r>
      <w:r>
        <w:rPr>
          <w:lang w:val="ru-RU"/>
        </w:rPr>
        <w:t xml:space="preserve"> </w:t>
      </w:r>
      <w:r w:rsidRPr="008163DB">
        <w:rPr>
          <w:lang w:val="ru-RU"/>
        </w:rPr>
        <w:t xml:space="preserve">споров по поводу новых рДВУ, связанных с </w:t>
      </w:r>
      <w:r w:rsidRPr="009157BB">
        <w:rPr>
          <w:lang w:val="ru-RU"/>
        </w:rPr>
        <w:t>рассматрива</w:t>
      </w:r>
      <w:r>
        <w:rPr>
          <w:lang w:val="ru-RU"/>
        </w:rPr>
        <w:t xml:space="preserve">емой </w:t>
      </w:r>
      <w:r w:rsidRPr="008163DB">
        <w:rPr>
          <w:lang w:val="ru-RU"/>
        </w:rPr>
        <w:t xml:space="preserve">передачей оспариваемого доменного имени владельцу товарного знака, </w:t>
      </w:r>
      <w:r w:rsidRPr="008163DB">
        <w:t>ICANN</w:t>
      </w:r>
      <w:r w:rsidRPr="008163DB">
        <w:rPr>
          <w:lang w:val="ru-RU"/>
        </w:rPr>
        <w:t xml:space="preserve"> внедрила процедуру, </w:t>
      </w:r>
      <w:r w:rsidRPr="00041E59">
        <w:rPr>
          <w:lang w:val="ru-RU"/>
        </w:rPr>
        <w:t>котор</w:t>
      </w:r>
      <w:r>
        <w:rPr>
          <w:lang w:val="ru-RU"/>
        </w:rPr>
        <w:t xml:space="preserve">ая должна служить </w:t>
      </w:r>
      <w:r w:rsidRPr="008163DB">
        <w:rPr>
          <w:lang w:val="ru-RU"/>
        </w:rPr>
        <w:t xml:space="preserve">более простым механизмом </w:t>
      </w:r>
      <w:r w:rsidRPr="00D945E4">
        <w:rPr>
          <w:lang w:val="ru-RU"/>
        </w:rPr>
        <w:t>охран</w:t>
      </w:r>
      <w:r>
        <w:rPr>
          <w:lang w:val="ru-RU"/>
        </w:rPr>
        <w:t>ы</w:t>
      </w:r>
      <w:r w:rsidRPr="008163DB">
        <w:rPr>
          <w:lang w:val="ru-RU"/>
        </w:rPr>
        <w:t xml:space="preserve"> прав на </w:t>
      </w:r>
      <w:r>
        <w:rPr>
          <w:lang w:val="ru-RU"/>
        </w:rPr>
        <w:t xml:space="preserve">домены </w:t>
      </w:r>
      <w:r w:rsidRPr="008163DB">
        <w:rPr>
          <w:lang w:val="ru-RU"/>
        </w:rPr>
        <w:t xml:space="preserve">второго уровня при </w:t>
      </w:r>
      <w:r>
        <w:rPr>
          <w:lang w:val="ru-RU"/>
        </w:rPr>
        <w:t>возникновении</w:t>
      </w:r>
      <w:r w:rsidRPr="008163DB">
        <w:rPr>
          <w:lang w:val="ru-RU"/>
        </w:rPr>
        <w:t xml:space="preserve"> соответствующих споров</w:t>
      </w:r>
      <w:r w:rsidR="00384EE8">
        <w:rPr>
          <w:rStyle w:val="FootnoteReference"/>
        </w:rPr>
        <w:footnoteReference w:id="36"/>
      </w:r>
      <w:r w:rsidR="003320C2" w:rsidRPr="003320C2">
        <w:rPr>
          <w:lang w:val="ru-RU"/>
        </w:rPr>
        <w:t>.</w:t>
      </w:r>
      <w:r w:rsidR="00384EE8" w:rsidRPr="00A57D9C">
        <w:rPr>
          <w:lang w:val="ru-RU"/>
        </w:rPr>
        <w:t xml:space="preserve"> </w:t>
      </w:r>
    </w:p>
    <w:p w:rsidR="00A57D9C" w:rsidRPr="00A57D9C" w:rsidRDefault="00A57D9C" w:rsidP="00A57D9C">
      <w:pPr>
        <w:rPr>
          <w:lang w:val="ru-RU"/>
        </w:rPr>
      </w:pPr>
    </w:p>
    <w:p w:rsidR="00384EE8" w:rsidRPr="006475B9" w:rsidRDefault="00A57D9C" w:rsidP="005E2771">
      <w:pPr>
        <w:pStyle w:val="ListParagraph"/>
        <w:numPr>
          <w:ilvl w:val="0"/>
          <w:numId w:val="18"/>
        </w:numPr>
        <w:ind w:left="0" w:firstLine="0"/>
      </w:pPr>
      <w:r w:rsidRPr="00041E59">
        <w:rPr>
          <w:lang w:val="ru-RU"/>
        </w:rPr>
        <w:t>Систем</w:t>
      </w:r>
      <w:r>
        <w:rPr>
          <w:lang w:val="ru-RU"/>
        </w:rPr>
        <w:t xml:space="preserve">а </w:t>
      </w:r>
      <w:r w:rsidRPr="00CE0DFD">
        <w:t>URS</w:t>
      </w:r>
      <w:r w:rsidRPr="00CE0DFD">
        <w:rPr>
          <w:lang w:val="ru-RU"/>
        </w:rPr>
        <w:t xml:space="preserve">, разработанная в результате целого ряда процедур и заседаний комитетов в </w:t>
      </w:r>
      <w:r w:rsidRPr="001C169F">
        <w:rPr>
          <w:lang w:val="ru-RU"/>
        </w:rPr>
        <w:t xml:space="preserve">рамках </w:t>
      </w:r>
      <w:r w:rsidRPr="001C169F">
        <w:t>ICANN</w:t>
      </w:r>
      <w:r w:rsidRPr="001C169F">
        <w:rPr>
          <w:lang w:val="ru-RU"/>
        </w:rPr>
        <w:t>, по-прежнему вызывает ряд вопросов, включая вопрос о ее взаимосвязи с ЕПУС</w:t>
      </w:r>
      <w:r w:rsidR="00384EE8" w:rsidRPr="006475B9">
        <w:rPr>
          <w:rStyle w:val="FootnoteReference"/>
          <w:szCs w:val="22"/>
        </w:rPr>
        <w:footnoteReference w:id="37"/>
      </w:r>
      <w:r w:rsidRPr="00A57D9C">
        <w:rPr>
          <w:lang w:val="ru-RU"/>
        </w:rPr>
        <w:t>.</w:t>
      </w:r>
      <w:r w:rsidR="00384EE8" w:rsidRPr="00A57D9C">
        <w:rPr>
          <w:lang w:val="ru-RU"/>
        </w:rPr>
        <w:t xml:space="preserve">  </w:t>
      </w:r>
      <w:r w:rsidRPr="001C169F">
        <w:rPr>
          <w:lang w:val="ru-RU"/>
        </w:rPr>
        <w:t>В конце 2012</w:t>
      </w:r>
      <w:r w:rsidRPr="001C169F">
        <w:t> </w:t>
      </w:r>
      <w:r w:rsidRPr="001C169F">
        <w:rPr>
          <w:lang w:val="ru-RU"/>
        </w:rPr>
        <w:t xml:space="preserve">г. </w:t>
      </w:r>
      <w:r w:rsidRPr="001C169F">
        <w:t>ICANN</w:t>
      </w:r>
      <w:r w:rsidRPr="001C169F">
        <w:rPr>
          <w:lang w:val="ru-RU"/>
        </w:rPr>
        <w:t xml:space="preserve"> предложила потенциальным провайдерам </w:t>
      </w:r>
      <w:r w:rsidRPr="001C169F">
        <w:rPr>
          <w:lang w:val="ru-RU"/>
        </w:rPr>
        <w:lastRenderedPageBreak/>
        <w:t xml:space="preserve">услуг, связанных с </w:t>
      </w:r>
      <w:r w:rsidRPr="001C169F">
        <w:t>URS</w:t>
      </w:r>
      <w:r w:rsidRPr="001C169F">
        <w:rPr>
          <w:lang w:val="ru-RU"/>
        </w:rPr>
        <w:t xml:space="preserve">, подать конкурсные заявки. После тщательного рассмотрения принятой </w:t>
      </w:r>
      <w:r w:rsidRPr="001C169F">
        <w:t>ICANN</w:t>
      </w:r>
      <w:r w:rsidRPr="001C169F">
        <w:rPr>
          <w:lang w:val="ru-RU"/>
        </w:rPr>
        <w:t xml:space="preserve"> модели </w:t>
      </w:r>
      <w:r w:rsidRPr="001C169F">
        <w:t>URS</w:t>
      </w:r>
      <w:r w:rsidRPr="001C169F">
        <w:rPr>
          <w:lang w:val="ru-RU"/>
        </w:rPr>
        <w:t xml:space="preserve"> и соответствующих вопросов</w:t>
      </w:r>
      <w:r>
        <w:rPr>
          <w:lang w:val="ru-RU"/>
        </w:rPr>
        <w:t xml:space="preserve"> ресурсного </w:t>
      </w:r>
      <w:r w:rsidRPr="00041E59">
        <w:rPr>
          <w:lang w:val="ru-RU"/>
        </w:rPr>
        <w:t>обеспечени</w:t>
      </w:r>
      <w:r>
        <w:rPr>
          <w:lang w:val="ru-RU"/>
        </w:rPr>
        <w:t>я</w:t>
      </w:r>
      <w:r w:rsidRPr="001C169F">
        <w:rPr>
          <w:lang w:val="ru-RU"/>
        </w:rPr>
        <w:t xml:space="preserve"> Центр пришел к вывод</w:t>
      </w:r>
      <w:r>
        <w:rPr>
          <w:lang w:val="ru-RU"/>
        </w:rPr>
        <w:t>у о том</w:t>
      </w:r>
      <w:r w:rsidRPr="001C169F">
        <w:rPr>
          <w:lang w:val="ru-RU"/>
        </w:rPr>
        <w:t>, что он не имеет возможности подать такую заявку</w:t>
      </w:r>
      <w:r w:rsidR="00384EE8" w:rsidRPr="006475B9">
        <w:rPr>
          <w:rStyle w:val="FootnoteReference"/>
        </w:rPr>
        <w:footnoteReference w:id="38"/>
      </w:r>
      <w:r w:rsidRPr="00A57D9C">
        <w:rPr>
          <w:lang w:val="ru-RU"/>
        </w:rPr>
        <w:t>.</w:t>
      </w:r>
      <w:r w:rsidR="00384EE8" w:rsidRPr="00A57D9C">
        <w:rPr>
          <w:lang w:val="ru-RU"/>
        </w:rPr>
        <w:t xml:space="preserve">  </w:t>
      </w:r>
      <w:r w:rsidRPr="00963EEC">
        <w:rPr>
          <w:lang w:val="ru-RU"/>
        </w:rPr>
        <w:t>Центр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ВОИС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продолжает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пристально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следить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за</w:t>
      </w:r>
      <w:r w:rsidRPr="001C169F">
        <w:rPr>
          <w:lang w:val="ru-RU"/>
        </w:rPr>
        <w:t xml:space="preserve"> </w:t>
      </w:r>
      <w:r w:rsidRPr="00963EEC">
        <w:rPr>
          <w:lang w:val="ru-RU"/>
        </w:rPr>
        <w:t>развитием</w:t>
      </w:r>
      <w:r w:rsidRPr="001C169F">
        <w:rPr>
          <w:lang w:val="ru-RU"/>
        </w:rPr>
        <w:t xml:space="preserve"> ситуаци</w:t>
      </w:r>
      <w:r>
        <w:rPr>
          <w:lang w:val="ru-RU"/>
        </w:rPr>
        <w:t>и</w:t>
      </w:r>
      <w:r w:rsidRPr="001C169F">
        <w:rPr>
          <w:lang w:val="ru-RU"/>
        </w:rPr>
        <w:t>.</w:t>
      </w:r>
    </w:p>
    <w:p w:rsidR="00384EE8" w:rsidRDefault="00384EE8" w:rsidP="005E2771"/>
    <w:p w:rsidR="00EC7C95" w:rsidRPr="006475B9" w:rsidRDefault="00EC7C95" w:rsidP="005E2771"/>
    <w:p w:rsidR="00384EE8" w:rsidRPr="00A57D9C" w:rsidRDefault="00384EE8" w:rsidP="00E105A8">
      <w:pPr>
        <w:pStyle w:val="Heading2"/>
        <w:spacing w:before="0" w:after="0"/>
        <w:ind w:left="567" w:hanging="567"/>
        <w:rPr>
          <w:szCs w:val="22"/>
          <w:lang w:val="ru-RU"/>
        </w:rPr>
      </w:pPr>
      <w:r w:rsidRPr="006475B9">
        <w:rPr>
          <w:szCs w:val="22"/>
        </w:rPr>
        <w:t>B</w:t>
      </w:r>
      <w:r w:rsidRPr="00A57D9C">
        <w:rPr>
          <w:szCs w:val="22"/>
          <w:lang w:val="ru-RU"/>
        </w:rPr>
        <w:t>.</w:t>
      </w:r>
      <w:r w:rsidRPr="00A57D9C">
        <w:rPr>
          <w:szCs w:val="22"/>
          <w:lang w:val="ru-RU"/>
        </w:rPr>
        <w:tab/>
      </w:r>
      <w:r w:rsidR="00A57D9C" w:rsidRPr="00A40AEE">
        <w:rPr>
          <w:szCs w:val="22"/>
          <w:lang w:val="ru-RU"/>
        </w:rPr>
        <w:t xml:space="preserve">ПЛАНИРУЕМЫЙ </w:t>
      </w:r>
      <w:r w:rsidR="00A57D9C" w:rsidRPr="00963EEC">
        <w:rPr>
          <w:szCs w:val="22"/>
        </w:rPr>
        <w:t>ICANN</w:t>
      </w:r>
      <w:r w:rsidR="00A57D9C" w:rsidRPr="00A40AEE">
        <w:rPr>
          <w:szCs w:val="22"/>
          <w:lang w:val="ru-RU"/>
        </w:rPr>
        <w:t xml:space="preserve"> </w:t>
      </w:r>
      <w:r w:rsidR="00A57D9C">
        <w:rPr>
          <w:szCs w:val="22"/>
          <w:lang w:val="ru-RU"/>
        </w:rPr>
        <w:t xml:space="preserve">пересмотр </w:t>
      </w:r>
      <w:r w:rsidR="00A57D9C" w:rsidRPr="00A40AEE">
        <w:rPr>
          <w:szCs w:val="22"/>
          <w:lang w:val="ru-RU"/>
        </w:rPr>
        <w:t>ЕПУС</w:t>
      </w:r>
      <w:r w:rsidR="00A57D9C">
        <w:rPr>
          <w:szCs w:val="22"/>
          <w:lang w:val="ru-RU"/>
        </w:rPr>
        <w:t>,</w:t>
      </w:r>
      <w:r w:rsidR="00A57D9C" w:rsidRPr="00A40AEE">
        <w:rPr>
          <w:szCs w:val="22"/>
          <w:lang w:val="ru-RU"/>
        </w:rPr>
        <w:t xml:space="preserve"> РАЗРАБОТАННОЙ ВОИС</w:t>
      </w:r>
      <w:r w:rsidR="00A57D9C">
        <w:rPr>
          <w:szCs w:val="22"/>
          <w:lang w:val="ru-RU"/>
        </w:rPr>
        <w:t>,</w:t>
      </w:r>
      <w:r w:rsidR="00A57D9C" w:rsidRPr="00A40AEE">
        <w:rPr>
          <w:szCs w:val="22"/>
          <w:lang w:val="ru-RU"/>
        </w:rPr>
        <w:t xml:space="preserve"> И РАБОЧАЯ ГРУППА ПО ВОПРОСАМ ФИКСАЦИИ</w:t>
      </w:r>
      <w:r w:rsidR="00A57D9C">
        <w:rPr>
          <w:szCs w:val="22"/>
          <w:lang w:val="ru-RU"/>
        </w:rPr>
        <w:t xml:space="preserve"> ДОМЕНов </w:t>
      </w:r>
      <w:r w:rsidR="00A57D9C" w:rsidRPr="00A40AEE">
        <w:rPr>
          <w:szCs w:val="22"/>
          <w:lang w:val="ru-RU"/>
        </w:rPr>
        <w:t>В РАМКАХ</w:t>
      </w:r>
      <w:r w:rsidR="00A57D9C" w:rsidRPr="00963EEC">
        <w:rPr>
          <w:sz w:val="20"/>
          <w:lang w:val="ru-RU"/>
        </w:rPr>
        <w:t xml:space="preserve"> </w:t>
      </w:r>
      <w:r w:rsidR="00A57D9C" w:rsidRPr="00963EEC">
        <w:rPr>
          <w:szCs w:val="22"/>
          <w:lang w:val="ru-RU"/>
        </w:rPr>
        <w:t>ЕПУС</w:t>
      </w:r>
    </w:p>
    <w:p w:rsidR="00384EE8" w:rsidRPr="00A57D9C" w:rsidRDefault="00384EE8" w:rsidP="005E2771">
      <w:pPr>
        <w:keepNext/>
        <w:keepLines/>
        <w:rPr>
          <w:bCs/>
          <w:color w:val="000000"/>
          <w:szCs w:val="22"/>
          <w:lang w:val="ru-RU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lang w:val="ru-RU"/>
        </w:rPr>
      </w:pPr>
      <w:r>
        <w:rPr>
          <w:lang w:val="ru-RU"/>
        </w:rPr>
        <w:t>В условиях динамичного развития</w:t>
      </w:r>
      <w:r w:rsidRPr="00EB774A">
        <w:rPr>
          <w:lang w:val="ru-RU"/>
        </w:rPr>
        <w:t xml:space="preserve"> </w:t>
      </w:r>
      <w:r w:rsidRPr="00EB774A">
        <w:t>DNS</w:t>
      </w:r>
      <w:r>
        <w:rPr>
          <w:lang w:val="ru-RU"/>
        </w:rPr>
        <w:t xml:space="preserve"> ЕПУС обеспечивает </w:t>
      </w:r>
      <w:r w:rsidRPr="00EB774A">
        <w:rPr>
          <w:lang w:val="ru-RU"/>
        </w:rPr>
        <w:t xml:space="preserve">владельцам товарных знаков, владельцам зарегистрированных доменных имен и </w:t>
      </w:r>
      <w:r>
        <w:rPr>
          <w:lang w:val="ru-RU"/>
        </w:rPr>
        <w:t xml:space="preserve">регистрационным </w:t>
      </w:r>
      <w:r w:rsidRPr="00EB774A">
        <w:rPr>
          <w:lang w:val="ru-RU"/>
        </w:rPr>
        <w:t>органам эффективную альтернативу судебному разбирательству. Тем не менее, после состоявшихся обсуждений, в ходе которых явное большинство участников высказали мнение</w:t>
      </w:r>
      <w:r>
        <w:rPr>
          <w:lang w:val="ru-RU"/>
        </w:rPr>
        <w:t xml:space="preserve"> </w:t>
      </w:r>
      <w:r w:rsidRPr="00A40AEE">
        <w:rPr>
          <w:rFonts w:cs="Arial"/>
          <w:lang w:val="ru-RU"/>
        </w:rPr>
        <w:t>о том, что</w:t>
      </w:r>
      <w:r>
        <w:rPr>
          <w:lang w:val="ru-RU"/>
        </w:rPr>
        <w:t xml:space="preserve"> любой пересмотр </w:t>
      </w:r>
      <w:r w:rsidRPr="00EB774A">
        <w:rPr>
          <w:lang w:val="ru-RU"/>
        </w:rPr>
        <w:t xml:space="preserve">ЕПУС со стороны </w:t>
      </w:r>
      <w:r w:rsidRPr="00EB774A">
        <w:t>ICANN</w:t>
      </w:r>
      <w:r w:rsidRPr="00EB774A">
        <w:rPr>
          <w:lang w:val="ru-RU"/>
        </w:rPr>
        <w:t xml:space="preserve"> как органа, </w:t>
      </w:r>
      <w:r w:rsidRPr="00A40AEE">
        <w:rPr>
          <w:lang w:val="ru-RU"/>
        </w:rPr>
        <w:t>основн</w:t>
      </w:r>
      <w:r>
        <w:rPr>
          <w:lang w:val="ru-RU"/>
        </w:rPr>
        <w:t xml:space="preserve">ой функцией </w:t>
      </w:r>
      <w:r w:rsidRPr="00EB774A">
        <w:rPr>
          <w:lang w:val="ru-RU"/>
        </w:rPr>
        <w:t xml:space="preserve">которого является </w:t>
      </w:r>
      <w:r w:rsidRPr="00A40AEE">
        <w:rPr>
          <w:lang w:val="ru-RU"/>
        </w:rPr>
        <w:t>обеспечени</w:t>
      </w:r>
      <w:r>
        <w:rPr>
          <w:lang w:val="ru-RU"/>
        </w:rPr>
        <w:t xml:space="preserve">е </w:t>
      </w:r>
      <w:r w:rsidRPr="00EB774A">
        <w:rPr>
          <w:lang w:val="ru-RU"/>
        </w:rPr>
        <w:t>регистраций</w:t>
      </w:r>
      <w:r w:rsidR="00384EE8" w:rsidRPr="006475B9">
        <w:rPr>
          <w:rStyle w:val="FootnoteReference"/>
          <w:szCs w:val="22"/>
        </w:rPr>
        <w:footnoteReference w:id="39"/>
      </w:r>
      <w:r w:rsidRPr="00A57D9C">
        <w:rPr>
          <w:lang w:val="ru-RU"/>
        </w:rPr>
        <w:t>,</w:t>
      </w:r>
      <w:r w:rsidRPr="00EB774A">
        <w:rPr>
          <w:lang w:val="ru-RU"/>
        </w:rPr>
        <w:t xml:space="preserve">может принести больше вреда, чем пользы, Организация поддержки родовых </w:t>
      </w:r>
      <w:r>
        <w:rPr>
          <w:lang w:val="ru-RU"/>
        </w:rPr>
        <w:t xml:space="preserve">имен </w:t>
      </w:r>
      <w:r w:rsidRPr="00EB774A">
        <w:rPr>
          <w:lang w:val="ru-RU"/>
        </w:rPr>
        <w:t>(</w:t>
      </w:r>
      <w:r w:rsidRPr="00EB774A">
        <w:t>GNSO</w:t>
      </w:r>
      <w:r w:rsidRPr="00EB774A">
        <w:rPr>
          <w:lang w:val="ru-RU"/>
        </w:rPr>
        <w:t xml:space="preserve">) </w:t>
      </w:r>
      <w:r w:rsidRPr="00EB774A">
        <w:t>ICANN</w:t>
      </w:r>
      <w:r w:rsidRPr="00EB774A">
        <w:rPr>
          <w:lang w:val="ru-RU"/>
        </w:rPr>
        <w:t xml:space="preserve"> приняла решение </w:t>
      </w:r>
      <w:r>
        <w:rPr>
          <w:lang w:val="ru-RU"/>
        </w:rPr>
        <w:t xml:space="preserve">о пересмотре </w:t>
      </w:r>
      <w:r w:rsidRPr="00EB774A">
        <w:rPr>
          <w:lang w:val="ru-RU"/>
        </w:rPr>
        <w:t>ЕПУС</w:t>
      </w:r>
      <w:r>
        <w:rPr>
          <w:lang w:val="ru-RU"/>
        </w:rPr>
        <w:t xml:space="preserve">. В настоящее время эта </w:t>
      </w:r>
      <w:r w:rsidRPr="00A40AEE">
        <w:rPr>
          <w:lang w:val="ru-RU"/>
        </w:rPr>
        <w:t>процедур</w:t>
      </w:r>
      <w:r>
        <w:rPr>
          <w:lang w:val="ru-RU"/>
        </w:rPr>
        <w:t xml:space="preserve">а </w:t>
      </w:r>
      <w:r w:rsidRPr="00EB774A">
        <w:rPr>
          <w:lang w:val="ru-RU"/>
        </w:rPr>
        <w:t>начинается, и Центр б</w:t>
      </w:r>
      <w:r w:rsidRPr="007F307D">
        <w:rPr>
          <w:lang w:val="ru-RU"/>
        </w:rPr>
        <w:t>удет его заинтересованным участником</w:t>
      </w:r>
      <w:r w:rsidR="00384EE8" w:rsidRPr="006475B9">
        <w:rPr>
          <w:rStyle w:val="FootnoteReference"/>
          <w:szCs w:val="22"/>
        </w:rPr>
        <w:footnoteReference w:id="40"/>
      </w:r>
      <w:r w:rsidRPr="00A57D9C">
        <w:rPr>
          <w:lang w:val="ru-RU"/>
        </w:rPr>
        <w:t>.</w:t>
      </w:r>
      <w:r w:rsidR="00F700F1" w:rsidRPr="00A57D9C">
        <w:rPr>
          <w:lang w:val="ru-RU"/>
        </w:rPr>
        <w:t xml:space="preserve">  </w:t>
      </w:r>
      <w:r w:rsidRPr="007F307D">
        <w:rPr>
          <w:lang w:val="ru-RU"/>
        </w:rPr>
        <w:t xml:space="preserve">Кроме того, Центр принял участие в </w:t>
      </w:r>
      <w:r w:rsidRPr="00A40AEE">
        <w:rPr>
          <w:lang w:val="ru-RU"/>
        </w:rPr>
        <w:t>процесс</w:t>
      </w:r>
      <w:r>
        <w:rPr>
          <w:lang w:val="ru-RU"/>
        </w:rPr>
        <w:t>е</w:t>
      </w:r>
      <w:r w:rsidRPr="007F307D">
        <w:rPr>
          <w:lang w:val="ru-RU"/>
        </w:rPr>
        <w:t xml:space="preserve"> выработки </w:t>
      </w:r>
      <w:r w:rsidRPr="00A40AEE">
        <w:rPr>
          <w:lang w:val="ru-RU"/>
        </w:rPr>
        <w:t>политик</w:t>
      </w:r>
      <w:r>
        <w:rPr>
          <w:lang w:val="ru-RU"/>
        </w:rPr>
        <w:t xml:space="preserve">и </w:t>
      </w:r>
      <w:r w:rsidRPr="007F307D">
        <w:t>ICANN</w:t>
      </w:r>
      <w:r w:rsidRPr="007F307D">
        <w:rPr>
          <w:lang w:val="ru-RU"/>
        </w:rPr>
        <w:t>, в ходе которого был</w:t>
      </w:r>
      <w:r>
        <w:rPr>
          <w:lang w:val="ru-RU"/>
        </w:rPr>
        <w:t>а пересмотрена практика</w:t>
      </w:r>
      <w:r w:rsidRPr="007F307D">
        <w:rPr>
          <w:lang w:val="ru-RU"/>
        </w:rPr>
        <w:t xml:space="preserve"> «фиксации» доменных имен</w:t>
      </w:r>
      <w:r>
        <w:rPr>
          <w:lang w:val="ru-RU"/>
        </w:rPr>
        <w:t>, призванная</w:t>
      </w:r>
      <w:r w:rsidRPr="007F307D">
        <w:rPr>
          <w:lang w:val="ru-RU"/>
        </w:rPr>
        <w:t xml:space="preserve"> предотвращать так называемое «кибер-бегство»</w:t>
      </w:r>
      <w:r>
        <w:rPr>
          <w:lang w:val="ru-RU"/>
        </w:rPr>
        <w:t xml:space="preserve">, и </w:t>
      </w:r>
      <w:r w:rsidRPr="00A40AEE">
        <w:rPr>
          <w:lang w:val="ru-RU"/>
        </w:rPr>
        <w:t>в настоящее время</w:t>
      </w:r>
      <w:r w:rsidRPr="007F307D">
        <w:rPr>
          <w:lang w:val="ru-RU"/>
        </w:rPr>
        <w:t xml:space="preserve"> результаты этого </w:t>
      </w:r>
      <w:r>
        <w:rPr>
          <w:lang w:val="ru-RU"/>
        </w:rPr>
        <w:t xml:space="preserve">пересмотра </w:t>
      </w:r>
      <w:r w:rsidRPr="007F307D">
        <w:rPr>
          <w:lang w:val="ru-RU"/>
        </w:rPr>
        <w:t>кодифицированы</w:t>
      </w:r>
      <w:r>
        <w:rPr>
          <w:lang w:val="ru-RU"/>
        </w:rPr>
        <w:t xml:space="preserve"> для </w:t>
      </w:r>
      <w:r w:rsidRPr="00A40AEE">
        <w:rPr>
          <w:snapToGrid w:val="0"/>
          <w:lang w:val="ru-RU"/>
        </w:rPr>
        <w:t>применени</w:t>
      </w:r>
      <w:r>
        <w:rPr>
          <w:lang w:val="ru-RU"/>
        </w:rPr>
        <w:t xml:space="preserve">я </w:t>
      </w:r>
      <w:r w:rsidRPr="00A40AEE">
        <w:rPr>
          <w:lang w:val="ru-RU"/>
        </w:rPr>
        <w:t>в рамках</w:t>
      </w:r>
      <w:r>
        <w:rPr>
          <w:lang w:val="ru-RU"/>
        </w:rPr>
        <w:t xml:space="preserve"> </w:t>
      </w:r>
      <w:r w:rsidRPr="007F307D">
        <w:rPr>
          <w:lang w:val="ru-RU"/>
        </w:rPr>
        <w:t>процедур</w:t>
      </w:r>
      <w:r>
        <w:rPr>
          <w:lang w:val="ru-RU"/>
        </w:rPr>
        <w:t xml:space="preserve"> </w:t>
      </w:r>
      <w:r w:rsidRPr="007F307D">
        <w:rPr>
          <w:lang w:val="ru-RU"/>
        </w:rPr>
        <w:t>ЕПУС</w:t>
      </w:r>
      <w:r w:rsidR="00384EE8" w:rsidRPr="00A57D9C">
        <w:rPr>
          <w:lang w:val="ru-RU"/>
        </w:rPr>
        <w:t>.</w:t>
      </w:r>
    </w:p>
    <w:p w:rsidR="00384EE8" w:rsidRPr="00A57D9C" w:rsidRDefault="00384EE8" w:rsidP="005E2771">
      <w:pPr>
        <w:rPr>
          <w:lang w:val="ru-RU"/>
        </w:rPr>
      </w:pPr>
    </w:p>
    <w:p w:rsidR="0058307C" w:rsidRPr="00A57D9C" w:rsidRDefault="0058307C" w:rsidP="005E2771">
      <w:pPr>
        <w:rPr>
          <w:lang w:val="ru-RU"/>
        </w:rPr>
      </w:pPr>
    </w:p>
    <w:p w:rsidR="00384EE8" w:rsidRPr="005E2771" w:rsidRDefault="00384EE8" w:rsidP="00E105A8">
      <w:pPr>
        <w:pStyle w:val="ListParagraph"/>
        <w:ind w:left="0"/>
        <w:rPr>
          <w:szCs w:val="22"/>
        </w:rPr>
      </w:pPr>
      <w:r w:rsidRPr="005E2771">
        <w:rPr>
          <w:szCs w:val="22"/>
        </w:rPr>
        <w:t>C.</w:t>
      </w:r>
      <w:r w:rsidRPr="005E2771">
        <w:rPr>
          <w:szCs w:val="22"/>
        </w:rPr>
        <w:tab/>
      </w:r>
      <w:r w:rsidR="00A57D9C">
        <w:rPr>
          <w:szCs w:val="22"/>
          <w:lang w:val="ru-RU"/>
        </w:rPr>
        <w:t>ИДИ</w:t>
      </w:r>
    </w:p>
    <w:p w:rsidR="00384EE8" w:rsidRPr="006475B9" w:rsidRDefault="00384EE8" w:rsidP="005E2771">
      <w:pPr>
        <w:rPr>
          <w:color w:val="000000"/>
          <w:szCs w:val="22"/>
        </w:rPr>
      </w:pPr>
    </w:p>
    <w:p w:rsidR="00384EE8" w:rsidRPr="00A57D9C" w:rsidRDefault="00A57D9C" w:rsidP="005E2771">
      <w:pPr>
        <w:pStyle w:val="ListParagraph"/>
        <w:widowControl w:val="0"/>
        <w:numPr>
          <w:ilvl w:val="0"/>
          <w:numId w:val="18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отмечалось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пункте</w:t>
      </w:r>
      <w:r w:rsidRPr="007F307D">
        <w:rPr>
          <w:szCs w:val="22"/>
          <w:lang w:val="ru-RU"/>
        </w:rPr>
        <w:t xml:space="preserve"> 20, </w:t>
      </w:r>
      <w:r>
        <w:rPr>
          <w:szCs w:val="22"/>
          <w:lang w:val="ru-RU"/>
        </w:rPr>
        <w:t>еще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одним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важным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новым явлением в </w:t>
      </w:r>
      <w:r w:rsidRPr="00D73E5C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е </w:t>
      </w:r>
      <w:r w:rsidRPr="00D73E5C">
        <w:rPr>
          <w:szCs w:val="22"/>
          <w:lang w:val="ru-RU"/>
        </w:rPr>
        <w:t xml:space="preserve">в отношении </w:t>
      </w:r>
      <w:r>
        <w:rPr>
          <w:szCs w:val="22"/>
        </w:rPr>
        <w:t>DNS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стало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введение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верхнем уровне </w:t>
      </w:r>
      <w:r w:rsidRPr="00D73E5C">
        <w:rPr>
          <w:szCs w:val="22"/>
          <w:lang w:val="ru-RU"/>
        </w:rPr>
        <w:t>систем</w:t>
      </w:r>
      <w:r>
        <w:rPr>
          <w:szCs w:val="22"/>
          <w:lang w:val="ru-RU"/>
        </w:rPr>
        <w:t xml:space="preserve">ы </w:t>
      </w:r>
      <w:r w:rsidRPr="007F307D">
        <w:rPr>
          <w:lang w:val="ru-RU"/>
        </w:rPr>
        <w:t>интернационализированных доменных имен (</w:t>
      </w:r>
      <w:r>
        <w:rPr>
          <w:lang w:val="ru-RU"/>
        </w:rPr>
        <w:t>ИДИ</w:t>
      </w:r>
      <w:r w:rsidRPr="007F307D">
        <w:rPr>
          <w:szCs w:val="22"/>
          <w:lang w:val="ru-RU"/>
        </w:rPr>
        <w:t>) (</w:t>
      </w:r>
      <w:r>
        <w:rPr>
          <w:szCs w:val="22"/>
          <w:lang w:val="ru-RU"/>
        </w:rPr>
        <w:t>нелатинский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шрифт</w:t>
      </w:r>
      <w:r w:rsidRPr="007F307D">
        <w:rPr>
          <w:szCs w:val="22"/>
          <w:lang w:val="ru-RU"/>
        </w:rPr>
        <w:t>)</w:t>
      </w:r>
      <w:r w:rsidR="00384EE8" w:rsidRPr="006475B9">
        <w:rPr>
          <w:rStyle w:val="FootnoteReference"/>
          <w:szCs w:val="22"/>
        </w:rPr>
        <w:footnoteReference w:id="41"/>
      </w:r>
      <w:r w:rsidRPr="00A57D9C">
        <w:rPr>
          <w:szCs w:val="22"/>
          <w:lang w:val="ru-RU"/>
        </w:rPr>
        <w:t>.</w:t>
      </w:r>
      <w:r w:rsidR="00384EE8" w:rsidRPr="00A57D9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Многие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 имен вошли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число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первых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новых</w:t>
      </w:r>
      <w:r w:rsidRPr="007F307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рДВУ, </w:t>
      </w:r>
      <w:r w:rsidRPr="00D73E5C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ые, по </w:t>
      </w:r>
      <w:r w:rsidRPr="00D73E5C">
        <w:rPr>
          <w:szCs w:val="22"/>
          <w:lang w:val="ru-RU"/>
        </w:rPr>
        <w:t>информаци</w:t>
      </w:r>
      <w:r>
        <w:rPr>
          <w:szCs w:val="22"/>
          <w:lang w:val="ru-RU"/>
        </w:rPr>
        <w:t xml:space="preserve">и </w:t>
      </w:r>
      <w:r>
        <w:rPr>
          <w:szCs w:val="22"/>
        </w:rPr>
        <w:t>ICANN</w:t>
      </w:r>
      <w:r>
        <w:rPr>
          <w:szCs w:val="22"/>
          <w:lang w:val="ru-RU"/>
        </w:rPr>
        <w:t xml:space="preserve">, будут делегироваться в корневой зоне </w:t>
      </w:r>
      <w:r>
        <w:rPr>
          <w:szCs w:val="22"/>
        </w:rPr>
        <w:t>DNS</w:t>
      </w:r>
      <w:r w:rsidRPr="007F307D">
        <w:rPr>
          <w:szCs w:val="22"/>
          <w:lang w:val="ru-RU"/>
        </w:rPr>
        <w:t>.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F52A26" w:rsidRPr="00A57D9C" w:rsidRDefault="00F52A26" w:rsidP="005E2771">
      <w:pPr>
        <w:rPr>
          <w:szCs w:val="22"/>
          <w:lang w:val="ru-RU"/>
        </w:rPr>
      </w:pPr>
    </w:p>
    <w:p w:rsidR="00384EE8" w:rsidRPr="006475B9" w:rsidRDefault="00384EE8" w:rsidP="00E105A8">
      <w:pPr>
        <w:pStyle w:val="Heading2"/>
        <w:spacing w:before="0" w:after="0"/>
        <w:rPr>
          <w:szCs w:val="22"/>
        </w:rPr>
      </w:pPr>
      <w:r w:rsidRPr="006475B9">
        <w:rPr>
          <w:szCs w:val="22"/>
        </w:rPr>
        <w:t>D.</w:t>
      </w:r>
      <w:r w:rsidRPr="006475B9">
        <w:rPr>
          <w:szCs w:val="22"/>
        </w:rPr>
        <w:tab/>
      </w:r>
      <w:r w:rsidR="00A57D9C">
        <w:rPr>
          <w:szCs w:val="22"/>
          <w:lang w:val="ru-RU"/>
        </w:rPr>
        <w:t>другие идентификаторы</w:t>
      </w:r>
    </w:p>
    <w:p w:rsidR="00384EE8" w:rsidRPr="006475B9" w:rsidRDefault="00384EE8" w:rsidP="005E2771"/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Помимо упомянутых выше инициатив, </w:t>
      </w:r>
      <w:r w:rsidRPr="00D73E5C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Pr="001C7936">
        <w:rPr>
          <w:szCs w:val="22"/>
          <w:lang w:val="ru-RU"/>
        </w:rPr>
        <w:t>в связи с ними</w:t>
      </w:r>
      <w:r>
        <w:rPr>
          <w:szCs w:val="22"/>
          <w:lang w:val="ru-RU"/>
        </w:rPr>
        <w:t>,</w:t>
      </w:r>
      <w:r w:rsidRPr="001C7936">
        <w:rPr>
          <w:szCs w:val="22"/>
          <w:lang w:val="ru-RU"/>
        </w:rPr>
        <w:t xml:space="preserve"> в </w:t>
      </w:r>
      <w:r w:rsidRPr="001C7936">
        <w:rPr>
          <w:szCs w:val="22"/>
        </w:rPr>
        <w:t>ICANN</w:t>
      </w:r>
      <w:r w:rsidRPr="001C79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имеют место и </w:t>
      </w:r>
      <w:r w:rsidRPr="001C7936">
        <w:rPr>
          <w:szCs w:val="22"/>
          <w:lang w:val="ru-RU"/>
        </w:rPr>
        <w:t xml:space="preserve">другие </w:t>
      </w:r>
      <w:r>
        <w:rPr>
          <w:szCs w:val="22"/>
          <w:lang w:val="ru-RU"/>
        </w:rPr>
        <w:t xml:space="preserve">новые </w:t>
      </w:r>
      <w:r w:rsidRPr="00D73E5C">
        <w:rPr>
          <w:szCs w:val="22"/>
          <w:lang w:val="ru-RU"/>
        </w:rPr>
        <w:t>событи</w:t>
      </w:r>
      <w:r>
        <w:rPr>
          <w:szCs w:val="22"/>
          <w:lang w:val="ru-RU"/>
        </w:rPr>
        <w:t xml:space="preserve">я </w:t>
      </w:r>
      <w:r w:rsidRPr="00D73E5C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охраны</w:t>
      </w:r>
      <w:r w:rsidRPr="001C7936">
        <w:rPr>
          <w:szCs w:val="22"/>
          <w:lang w:val="ru-RU"/>
        </w:rPr>
        <w:t xml:space="preserve"> идентификаторов, не связанных с товарными знаками.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Pr="006475B9" w:rsidRDefault="003320C2" w:rsidP="00D55BC1">
      <w:pPr>
        <w:pStyle w:val="ListParagraph"/>
        <w:numPr>
          <w:ilvl w:val="0"/>
          <w:numId w:val="27"/>
        </w:numPr>
        <w:ind w:left="567" w:firstLine="0"/>
      </w:pPr>
      <w:r>
        <w:rPr>
          <w:lang w:val="ru-RU"/>
        </w:rPr>
        <w:t>Межправительственные</w:t>
      </w:r>
      <w:r w:rsidR="00A57D9C" w:rsidRPr="00963EEC">
        <w:t xml:space="preserve"> организации (МПО)</w:t>
      </w:r>
    </w:p>
    <w:p w:rsidR="00384EE8" w:rsidRPr="006475B9" w:rsidRDefault="00384EE8" w:rsidP="005E2771">
      <w:pPr>
        <w:rPr>
          <w:szCs w:val="22"/>
        </w:rPr>
      </w:pPr>
    </w:p>
    <w:p w:rsidR="00384EE8" w:rsidRPr="00A57D9C" w:rsidRDefault="00A57D9C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1C7936">
        <w:rPr>
          <w:szCs w:val="22"/>
          <w:lang w:val="ru-RU"/>
        </w:rPr>
        <w:t xml:space="preserve">Следует напомнить, что Первый процесс ВОИС по доменным именам в Интернете касался </w:t>
      </w:r>
      <w:r w:rsidRPr="00A65A8A">
        <w:rPr>
          <w:szCs w:val="22"/>
          <w:lang w:val="ru-RU"/>
        </w:rPr>
        <w:t>взаимосвяз</w:t>
      </w:r>
      <w:r>
        <w:rPr>
          <w:szCs w:val="22"/>
          <w:lang w:val="ru-RU"/>
        </w:rPr>
        <w:t>и</w:t>
      </w:r>
      <w:r w:rsidRPr="001C7936">
        <w:rPr>
          <w:szCs w:val="22"/>
          <w:lang w:val="ru-RU"/>
        </w:rPr>
        <w:t xml:space="preserve"> между доменными именами и товарными знаками. Второй процесс в рамках ВОИС по доменным именам в Интернете был посвящен связи между доменными </w:t>
      </w:r>
      <w:r w:rsidRPr="001C7936">
        <w:rPr>
          <w:szCs w:val="22"/>
          <w:lang w:val="ru-RU"/>
        </w:rPr>
        <w:lastRenderedPageBreak/>
        <w:t xml:space="preserve">именами и другими </w:t>
      </w:r>
      <w:r>
        <w:rPr>
          <w:szCs w:val="22"/>
          <w:lang w:val="ru-RU"/>
        </w:rPr>
        <w:t>идентификаторами</w:t>
      </w:r>
      <w:r w:rsidRPr="001C7936">
        <w:rPr>
          <w:szCs w:val="22"/>
          <w:lang w:val="ru-RU"/>
        </w:rPr>
        <w:t xml:space="preserve">, которые до этого не рассматривались, включая названия стран и полные и сокращенные </w:t>
      </w:r>
      <w:r w:rsidRPr="00F75A6D">
        <w:rPr>
          <w:szCs w:val="22"/>
          <w:lang w:val="ru-RU"/>
        </w:rPr>
        <w:t>наименовани</w:t>
      </w:r>
      <w:r>
        <w:rPr>
          <w:szCs w:val="22"/>
          <w:lang w:val="ru-RU"/>
        </w:rPr>
        <w:t>я</w:t>
      </w:r>
      <w:r w:rsidRPr="001C7936">
        <w:rPr>
          <w:szCs w:val="22"/>
          <w:lang w:val="ru-RU"/>
        </w:rPr>
        <w:t xml:space="preserve"> МПО.</w:t>
      </w:r>
    </w:p>
    <w:p w:rsidR="00384EE8" w:rsidRPr="00A57D9C" w:rsidRDefault="00384EE8" w:rsidP="005E2771">
      <w:pPr>
        <w:rPr>
          <w:szCs w:val="22"/>
          <w:lang w:val="ru-RU"/>
        </w:rPr>
      </w:pPr>
    </w:p>
    <w:p w:rsidR="00384EE8" w:rsidRPr="005E2771" w:rsidRDefault="00A57D9C" w:rsidP="005E2771">
      <w:pPr>
        <w:pStyle w:val="ListParagraph"/>
        <w:keepNext/>
        <w:keepLines/>
        <w:numPr>
          <w:ilvl w:val="0"/>
          <w:numId w:val="18"/>
        </w:numPr>
        <w:ind w:left="0" w:firstLine="0"/>
        <w:rPr>
          <w:szCs w:val="22"/>
        </w:rPr>
      </w:pPr>
      <w:r w:rsidRPr="001C7936">
        <w:rPr>
          <w:szCs w:val="22"/>
          <w:lang w:val="ru-RU"/>
        </w:rPr>
        <w:t>Генеральная Ассамблея ВОИС 2002</w:t>
      </w:r>
      <w:r w:rsidRPr="001C7936">
        <w:rPr>
          <w:szCs w:val="22"/>
        </w:rPr>
        <w:t> </w:t>
      </w:r>
      <w:r w:rsidRPr="001C7936">
        <w:rPr>
          <w:szCs w:val="22"/>
          <w:lang w:val="ru-RU"/>
        </w:rPr>
        <w:t xml:space="preserve">г. </w:t>
      </w:r>
      <w:r>
        <w:rPr>
          <w:szCs w:val="22"/>
          <w:lang w:val="ru-RU"/>
        </w:rPr>
        <w:t xml:space="preserve">приняла рекомендацию о внесении в </w:t>
      </w:r>
      <w:r w:rsidRPr="001C7936">
        <w:rPr>
          <w:szCs w:val="22"/>
          <w:lang w:val="ru-RU"/>
        </w:rPr>
        <w:t xml:space="preserve">ЕПУС </w:t>
      </w:r>
      <w:r w:rsidRPr="00A65A8A">
        <w:rPr>
          <w:szCs w:val="22"/>
          <w:lang w:val="ru-RU"/>
        </w:rPr>
        <w:t>изменени</w:t>
      </w:r>
      <w:r>
        <w:rPr>
          <w:szCs w:val="22"/>
          <w:lang w:val="ru-RU"/>
        </w:rPr>
        <w:t>й</w:t>
      </w:r>
      <w:r w:rsidRPr="001C793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обеспечивающих</w:t>
      </w:r>
      <w:r w:rsidRPr="001C7936">
        <w:rPr>
          <w:szCs w:val="22"/>
          <w:lang w:val="ru-RU"/>
        </w:rPr>
        <w:t xml:space="preserve"> охрану названий стран</w:t>
      </w:r>
      <w:r>
        <w:rPr>
          <w:szCs w:val="22"/>
          <w:lang w:val="ru-RU"/>
        </w:rPr>
        <w:t xml:space="preserve">, </w:t>
      </w:r>
      <w:r w:rsidRPr="00A65A8A">
        <w:rPr>
          <w:szCs w:val="22"/>
          <w:lang w:val="ru-RU"/>
        </w:rPr>
        <w:t>а также</w:t>
      </w:r>
      <w:r w:rsidRPr="001C7936">
        <w:rPr>
          <w:szCs w:val="22"/>
          <w:lang w:val="ru-RU"/>
        </w:rPr>
        <w:t xml:space="preserve"> полных и сокращенных названий МПО</w:t>
      </w:r>
      <w:r w:rsidR="00384EE8" w:rsidRPr="006475B9">
        <w:rPr>
          <w:vertAlign w:val="superscript"/>
        </w:rPr>
        <w:footnoteReference w:id="42"/>
      </w:r>
      <w:r w:rsidRPr="00A57D9C">
        <w:rPr>
          <w:szCs w:val="22"/>
          <w:lang w:val="ru-RU"/>
        </w:rPr>
        <w:t>.</w:t>
      </w:r>
      <w:r w:rsidR="00384EE8" w:rsidRPr="00A57D9C">
        <w:rPr>
          <w:szCs w:val="22"/>
          <w:lang w:val="ru-RU"/>
        </w:rPr>
        <w:t xml:space="preserve">  </w:t>
      </w:r>
      <w:r w:rsidRPr="001C7936">
        <w:rPr>
          <w:szCs w:val="22"/>
          <w:lang w:val="ru-RU"/>
        </w:rPr>
        <w:t xml:space="preserve">Секретариат ВОИС передал эти рекомендации </w:t>
      </w:r>
      <w:r w:rsidRPr="001C7936">
        <w:rPr>
          <w:szCs w:val="22"/>
        </w:rPr>
        <w:t>ICANN</w:t>
      </w:r>
      <w:r w:rsidRPr="001C7936">
        <w:rPr>
          <w:szCs w:val="22"/>
          <w:lang w:val="ru-RU"/>
        </w:rPr>
        <w:t xml:space="preserve"> в феврале 2003</w:t>
      </w:r>
      <w:r w:rsidRPr="001C7936">
        <w:rPr>
          <w:szCs w:val="22"/>
        </w:rPr>
        <w:t> </w:t>
      </w:r>
      <w:r w:rsidRPr="001C7936">
        <w:rPr>
          <w:szCs w:val="22"/>
          <w:lang w:val="ru-RU"/>
        </w:rPr>
        <w:t>г.</w:t>
      </w:r>
      <w:r w:rsidR="00384EE8" w:rsidRPr="006475B9">
        <w:rPr>
          <w:vertAlign w:val="superscript"/>
        </w:rPr>
        <w:footnoteReference w:id="43"/>
      </w:r>
    </w:p>
    <w:p w:rsidR="00384EE8" w:rsidRPr="006475B9" w:rsidRDefault="00384EE8" w:rsidP="005E2771">
      <w:pPr>
        <w:autoSpaceDE w:val="0"/>
        <w:autoSpaceDN w:val="0"/>
        <w:adjustRightInd w:val="0"/>
        <w:rPr>
          <w:szCs w:val="22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После</w:t>
      </w:r>
      <w:r w:rsidRPr="008973B0">
        <w:rPr>
          <w:szCs w:val="22"/>
          <w:lang w:val="ru-RU"/>
        </w:rPr>
        <w:t xml:space="preserve"> </w:t>
      </w:r>
      <w:r w:rsidRPr="00417945">
        <w:rPr>
          <w:szCs w:val="22"/>
          <w:lang w:val="ru-RU"/>
        </w:rPr>
        <w:t>обсуждени</w:t>
      </w:r>
      <w:r>
        <w:rPr>
          <w:szCs w:val="22"/>
          <w:lang w:val="ru-RU"/>
        </w:rPr>
        <w:t>й</w:t>
      </w:r>
      <w:r w:rsidRPr="008973B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состоявшихся</w:t>
      </w:r>
      <w:r w:rsidRPr="008973B0">
        <w:rPr>
          <w:szCs w:val="22"/>
          <w:lang w:val="ru-RU"/>
        </w:rPr>
        <w:t xml:space="preserve"> </w:t>
      </w:r>
      <w:r w:rsidRPr="001C7936">
        <w:rPr>
          <w:szCs w:val="22"/>
          <w:lang w:val="ru-RU"/>
        </w:rPr>
        <w:t>в</w:t>
      </w:r>
      <w:r w:rsidRPr="008973B0">
        <w:rPr>
          <w:szCs w:val="22"/>
          <w:lang w:val="ru-RU"/>
        </w:rPr>
        <w:t xml:space="preserve"> </w:t>
      </w:r>
      <w:r w:rsidRPr="001C7936">
        <w:rPr>
          <w:szCs w:val="22"/>
          <w:lang w:val="ru-RU"/>
        </w:rPr>
        <w:t>рамках</w:t>
      </w:r>
      <w:r w:rsidRPr="008973B0">
        <w:rPr>
          <w:szCs w:val="22"/>
          <w:lang w:val="ru-RU"/>
        </w:rPr>
        <w:t xml:space="preserve"> </w:t>
      </w:r>
      <w:r w:rsidRPr="001C7936">
        <w:rPr>
          <w:szCs w:val="22"/>
        </w:rPr>
        <w:t>ICANN</w:t>
      </w:r>
      <w:r w:rsidR="00384EE8" w:rsidRPr="006475B9">
        <w:rPr>
          <w:rStyle w:val="FootnoteReference"/>
          <w:szCs w:val="22"/>
        </w:rPr>
        <w:footnoteReference w:id="44"/>
      </w:r>
      <w:r w:rsidRPr="008973B0">
        <w:rPr>
          <w:szCs w:val="22"/>
          <w:lang w:val="ru-RU"/>
        </w:rPr>
        <w:t>,</w:t>
      </w:r>
      <w:r>
        <w:rPr>
          <w:szCs w:val="22"/>
          <w:lang w:val="ru-RU"/>
        </w:rPr>
        <w:t xml:space="preserve">в </w:t>
      </w:r>
      <w:r w:rsidRPr="00C83564">
        <w:rPr>
          <w:szCs w:val="22"/>
          <w:lang w:val="ru-RU"/>
        </w:rPr>
        <w:t xml:space="preserve">новом «Руководстве для заявителя» </w:t>
      </w:r>
      <w:r w:rsidRPr="00C83564">
        <w:rPr>
          <w:szCs w:val="22"/>
        </w:rPr>
        <w:t>ICANN</w:t>
      </w:r>
      <w:r w:rsidRPr="00C83564">
        <w:rPr>
          <w:szCs w:val="22"/>
          <w:lang w:val="ru-RU"/>
        </w:rPr>
        <w:t xml:space="preserve">, касающемся новых рДВУ, </w:t>
      </w:r>
      <w:r w:rsidRPr="00417945">
        <w:rPr>
          <w:szCs w:val="22"/>
          <w:lang w:val="ru-RU"/>
        </w:rPr>
        <w:t>возможн</w:t>
      </w:r>
      <w:r>
        <w:rPr>
          <w:szCs w:val="22"/>
          <w:lang w:val="ru-RU"/>
        </w:rPr>
        <w:t xml:space="preserve">ости </w:t>
      </w:r>
      <w:r w:rsidRPr="00C83564">
        <w:rPr>
          <w:szCs w:val="22"/>
          <w:lang w:val="ru-RU"/>
        </w:rPr>
        <w:t xml:space="preserve">охраны полных и сокращенных названий МПО </w:t>
      </w:r>
      <w:r>
        <w:rPr>
          <w:szCs w:val="22"/>
          <w:lang w:val="ru-RU"/>
        </w:rPr>
        <w:t>были ограничены</w:t>
      </w:r>
      <w:r w:rsidRPr="00C835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введением </w:t>
      </w:r>
      <w:r w:rsidRPr="00417945">
        <w:rPr>
          <w:szCs w:val="22"/>
          <w:lang w:val="ru-RU"/>
        </w:rPr>
        <w:t>процедур</w:t>
      </w:r>
      <w:r>
        <w:rPr>
          <w:szCs w:val="22"/>
          <w:lang w:val="ru-RU"/>
        </w:rPr>
        <w:t xml:space="preserve">ы </w:t>
      </w:r>
      <w:r w:rsidRPr="00C83564">
        <w:rPr>
          <w:szCs w:val="22"/>
          <w:lang w:val="ru-RU"/>
        </w:rPr>
        <w:t>возражений</w:t>
      </w:r>
      <w:r>
        <w:rPr>
          <w:szCs w:val="22"/>
          <w:lang w:val="ru-RU"/>
        </w:rPr>
        <w:t xml:space="preserve"> </w:t>
      </w:r>
      <w:r w:rsidRPr="00C83564">
        <w:rPr>
          <w:szCs w:val="22"/>
          <w:lang w:val="ru-RU"/>
        </w:rPr>
        <w:t xml:space="preserve">в отношении </w:t>
      </w:r>
      <w:r>
        <w:rPr>
          <w:szCs w:val="22"/>
          <w:lang w:val="ru-RU"/>
        </w:rPr>
        <w:t xml:space="preserve">доменов </w:t>
      </w:r>
      <w:r w:rsidRPr="00C83564">
        <w:rPr>
          <w:szCs w:val="22"/>
          <w:lang w:val="ru-RU"/>
        </w:rPr>
        <w:t>верхнего уровня (т.е. ДВУ, в отношении которы</w:t>
      </w:r>
      <w:r w:rsidRPr="00C80EC7">
        <w:rPr>
          <w:szCs w:val="22"/>
          <w:lang w:val="ru-RU"/>
        </w:rPr>
        <w:t xml:space="preserve">х </w:t>
      </w:r>
      <w:r>
        <w:rPr>
          <w:szCs w:val="22"/>
          <w:lang w:val="ru-RU"/>
        </w:rPr>
        <w:t xml:space="preserve">направлены </w:t>
      </w:r>
      <w:r w:rsidRPr="00C80EC7">
        <w:rPr>
          <w:szCs w:val="22"/>
          <w:lang w:val="ru-RU"/>
        </w:rPr>
        <w:t xml:space="preserve">заявки), </w:t>
      </w:r>
      <w:r>
        <w:rPr>
          <w:szCs w:val="22"/>
          <w:lang w:val="ru-RU"/>
        </w:rPr>
        <w:t xml:space="preserve">подаваемых </w:t>
      </w:r>
      <w:r w:rsidRPr="00C83564">
        <w:rPr>
          <w:szCs w:val="22"/>
          <w:lang w:val="ru-RU"/>
        </w:rPr>
        <w:t xml:space="preserve">до делегирования ДВУ, </w:t>
      </w:r>
      <w:r>
        <w:rPr>
          <w:szCs w:val="22"/>
          <w:lang w:val="ru-RU"/>
        </w:rPr>
        <w:t xml:space="preserve">которая рассмотрена </w:t>
      </w:r>
      <w:r w:rsidRPr="00C80EC7">
        <w:rPr>
          <w:szCs w:val="22"/>
          <w:lang w:val="ru-RU"/>
        </w:rPr>
        <w:t>выше</w:t>
      </w:r>
      <w:r>
        <w:rPr>
          <w:szCs w:val="22"/>
          <w:lang w:val="ru-RU"/>
        </w:rPr>
        <w:t xml:space="preserve"> </w:t>
      </w:r>
      <w:r w:rsidRPr="00C80EC7">
        <w:rPr>
          <w:szCs w:val="22"/>
          <w:lang w:val="ru-RU"/>
        </w:rPr>
        <w:t>в пунктах</w:t>
      </w:r>
      <w:r w:rsidRPr="00C80EC7">
        <w:rPr>
          <w:szCs w:val="22"/>
        </w:rPr>
        <w:t> </w:t>
      </w:r>
      <w:r w:rsidRPr="00C80EC7">
        <w:rPr>
          <w:szCs w:val="22"/>
          <w:lang w:val="ru-RU"/>
        </w:rPr>
        <w:t xml:space="preserve">19 и 20. Однако </w:t>
      </w:r>
      <w:r>
        <w:rPr>
          <w:szCs w:val="22"/>
          <w:lang w:val="ru-RU"/>
        </w:rPr>
        <w:t xml:space="preserve">после настойчивых </w:t>
      </w:r>
      <w:r w:rsidRPr="00C80EC7">
        <w:rPr>
          <w:szCs w:val="22"/>
          <w:lang w:val="ru-RU"/>
        </w:rPr>
        <w:t xml:space="preserve">усилий МПО Правительственный консультативный комитет </w:t>
      </w:r>
      <w:r w:rsidRPr="00C80EC7">
        <w:rPr>
          <w:szCs w:val="22"/>
        </w:rPr>
        <w:t>ICANN</w:t>
      </w:r>
      <w:r w:rsidRPr="00C80EC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ПКК</w:t>
      </w:r>
      <w:r w:rsidRPr="00C80EC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рекомендовал </w:t>
      </w:r>
      <w:r w:rsidRPr="00C80EC7">
        <w:rPr>
          <w:szCs w:val="22"/>
          <w:lang w:val="ru-RU"/>
        </w:rPr>
        <w:t xml:space="preserve">Совету </w:t>
      </w:r>
      <w:r w:rsidRPr="00C80EC7">
        <w:rPr>
          <w:szCs w:val="22"/>
        </w:rPr>
        <w:t>ICANN</w:t>
      </w:r>
      <w:r w:rsidRPr="00C80E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предусмотреть </w:t>
      </w:r>
      <w:r w:rsidRPr="00C80EC7">
        <w:rPr>
          <w:szCs w:val="22"/>
          <w:lang w:val="ru-RU"/>
        </w:rPr>
        <w:t>охр</w:t>
      </w:r>
      <w:r>
        <w:rPr>
          <w:szCs w:val="22"/>
          <w:lang w:val="ru-RU"/>
        </w:rPr>
        <w:t>ану полных и сокращенных</w:t>
      </w:r>
      <w:r w:rsidRPr="00C80E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наименований</w:t>
      </w:r>
      <w:r w:rsidRPr="00C80EC7">
        <w:rPr>
          <w:szCs w:val="22"/>
          <w:lang w:val="ru-RU"/>
        </w:rPr>
        <w:t xml:space="preserve"> МПО </w:t>
      </w:r>
      <w:r w:rsidRPr="00F24B32">
        <w:rPr>
          <w:szCs w:val="22"/>
          <w:lang w:val="ru-RU"/>
        </w:rPr>
        <w:t xml:space="preserve">от ненадлежащей регистрации третьими сторонами в </w:t>
      </w:r>
      <w:r w:rsidRPr="00F24B32">
        <w:rPr>
          <w:szCs w:val="22"/>
        </w:rPr>
        <w:t>DNS</w:t>
      </w:r>
      <w:r w:rsidRPr="00F24B32">
        <w:rPr>
          <w:szCs w:val="22"/>
          <w:lang w:val="ru-RU"/>
        </w:rPr>
        <w:t xml:space="preserve"> до </w:t>
      </w:r>
      <w:r>
        <w:rPr>
          <w:szCs w:val="22"/>
          <w:lang w:val="ru-RU"/>
        </w:rPr>
        <w:t xml:space="preserve">делегирования </w:t>
      </w:r>
      <w:r w:rsidRPr="00F24B32">
        <w:rPr>
          <w:szCs w:val="22"/>
          <w:lang w:val="ru-RU"/>
        </w:rPr>
        <w:t>любых новых рДВУ</w:t>
      </w:r>
      <w:r w:rsidR="00384EE8" w:rsidRPr="006475B9">
        <w:rPr>
          <w:rStyle w:val="FootnoteReference"/>
          <w:szCs w:val="22"/>
        </w:rPr>
        <w:footnoteReference w:id="45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 w:rsidRPr="00F24B32">
        <w:rPr>
          <w:szCs w:val="22"/>
          <w:lang w:val="ru-RU"/>
        </w:rPr>
        <w:t xml:space="preserve">Кроме того, </w:t>
      </w:r>
      <w:r>
        <w:rPr>
          <w:szCs w:val="22"/>
          <w:lang w:val="ru-RU"/>
        </w:rPr>
        <w:t>ПКК</w:t>
      </w:r>
      <w:r w:rsidRPr="00F24B32">
        <w:rPr>
          <w:szCs w:val="22"/>
          <w:lang w:val="ru-RU"/>
        </w:rPr>
        <w:t xml:space="preserve"> рекомендовал Совету </w:t>
      </w:r>
      <w:r w:rsidRPr="00F24B32">
        <w:rPr>
          <w:szCs w:val="22"/>
        </w:rPr>
        <w:t>ICANN</w:t>
      </w:r>
      <w:r>
        <w:rPr>
          <w:szCs w:val="22"/>
          <w:lang w:val="ru-RU"/>
        </w:rPr>
        <w:t xml:space="preserve"> разработать</w:t>
      </w:r>
      <w:r w:rsidRPr="00F24B32">
        <w:rPr>
          <w:szCs w:val="22"/>
          <w:lang w:val="ru-RU"/>
        </w:rPr>
        <w:t>, опираясь на существующие критерии, применяемые при регистрации имен доменов второго уровня в зоне .</w:t>
      </w:r>
      <w:r w:rsidRPr="00F24B32">
        <w:rPr>
          <w:szCs w:val="22"/>
        </w:rPr>
        <w:t>int</w:t>
      </w:r>
      <w:r w:rsidRPr="00F24B3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и </w:t>
      </w:r>
      <w:r w:rsidRPr="00F24B32">
        <w:rPr>
          <w:szCs w:val="22"/>
          <w:lang w:val="ru-RU"/>
        </w:rPr>
        <w:t>во взаимодействии с МПО</w:t>
      </w:r>
      <w:r>
        <w:rPr>
          <w:szCs w:val="22"/>
          <w:lang w:val="ru-RU"/>
        </w:rPr>
        <w:t>,</w:t>
      </w:r>
      <w:r w:rsidRPr="00F24B32">
        <w:rPr>
          <w:szCs w:val="22"/>
          <w:lang w:val="ru-RU"/>
        </w:rPr>
        <w:t xml:space="preserve"> список полных и сокращенных названий МПО, которые должны пользоваться охраной. </w:t>
      </w:r>
      <w:r>
        <w:rPr>
          <w:szCs w:val="22"/>
          <w:lang w:val="ru-RU"/>
        </w:rPr>
        <w:t>Такую</w:t>
      </w:r>
      <w:r w:rsidRPr="00F24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охрану</w:t>
      </w:r>
      <w:r w:rsidRPr="00F24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предполагается предоставить</w:t>
      </w:r>
      <w:r w:rsidRPr="00F24B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доменов второго уровня</w:t>
      </w:r>
      <w:r w:rsidRPr="00F24B32">
        <w:rPr>
          <w:szCs w:val="22"/>
          <w:lang w:val="ru-RU"/>
        </w:rPr>
        <w:t xml:space="preserve"> </w:t>
      </w:r>
      <w:r w:rsidRPr="00483626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 w:rsidRPr="00483626">
        <w:rPr>
          <w:szCs w:val="22"/>
          <w:lang w:val="ru-RU"/>
        </w:rPr>
        <w:t>текущ</w:t>
      </w:r>
      <w:r>
        <w:rPr>
          <w:szCs w:val="22"/>
          <w:lang w:val="ru-RU"/>
        </w:rPr>
        <w:t xml:space="preserve">его раунда делегирования </w:t>
      </w:r>
      <w:r w:rsidRPr="00F24B32">
        <w:rPr>
          <w:szCs w:val="22"/>
          <w:lang w:val="ru-RU"/>
        </w:rPr>
        <w:t xml:space="preserve">новых рДВУ и </w:t>
      </w:r>
      <w:r>
        <w:rPr>
          <w:szCs w:val="22"/>
          <w:lang w:val="ru-RU"/>
        </w:rPr>
        <w:t>для доменов второго и верхнего уровней</w:t>
      </w:r>
      <w:r w:rsidRPr="00F24B32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 xml:space="preserve">в ходе </w:t>
      </w:r>
      <w:r w:rsidRPr="00F24B32">
        <w:rPr>
          <w:szCs w:val="22"/>
          <w:lang w:val="ru-RU"/>
        </w:rPr>
        <w:t xml:space="preserve">любых последующих </w:t>
      </w:r>
      <w:r>
        <w:rPr>
          <w:szCs w:val="22"/>
          <w:lang w:val="ru-RU"/>
        </w:rPr>
        <w:t xml:space="preserve">раундов делегирования </w:t>
      </w:r>
      <w:r w:rsidRPr="00F24B32">
        <w:rPr>
          <w:szCs w:val="22"/>
          <w:lang w:val="ru-RU"/>
        </w:rPr>
        <w:t xml:space="preserve">новых рДВУ. </w:t>
      </w:r>
      <w:r w:rsidRPr="00417945">
        <w:rPr>
          <w:szCs w:val="22"/>
          <w:lang w:val="ru-RU"/>
        </w:rPr>
        <w:t>ПКК</w:t>
      </w:r>
      <w:r w:rsidRPr="00F24B32">
        <w:rPr>
          <w:szCs w:val="22"/>
          <w:lang w:val="ru-RU"/>
        </w:rPr>
        <w:t xml:space="preserve"> также рекомендовал Совету, впредь до завершения работы над вопросами будущей </w:t>
      </w:r>
      <w:r w:rsidRPr="00F24B32">
        <w:rPr>
          <w:rFonts w:eastAsia="SimSun" w:cs="Arial"/>
          <w:bCs/>
          <w:szCs w:val="22"/>
          <w:lang w:val="ru-RU" w:eastAsia="zh-CN"/>
        </w:rPr>
        <w:t>имплементаци</w:t>
      </w:r>
      <w:r w:rsidRPr="00F24B32">
        <w:rPr>
          <w:szCs w:val="22"/>
          <w:lang w:val="ru-RU"/>
        </w:rPr>
        <w:t xml:space="preserve">и, предусмотреть временный режим охраны полных и сокращенных наименований МПО посредством </w:t>
      </w:r>
      <w:r>
        <w:rPr>
          <w:szCs w:val="22"/>
          <w:lang w:val="ru-RU"/>
        </w:rPr>
        <w:t xml:space="preserve">введения </w:t>
      </w:r>
      <w:r w:rsidRPr="00F24B32">
        <w:rPr>
          <w:szCs w:val="22"/>
          <w:lang w:val="ru-RU"/>
        </w:rPr>
        <w:t>моратория на регистрацию имен третьими сторонами до делегирования любых новых рДВУ.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AA5FE3">
        <w:rPr>
          <w:szCs w:val="22"/>
          <w:lang w:val="ru-RU"/>
        </w:rPr>
        <w:t xml:space="preserve">В своем ответе </w:t>
      </w:r>
      <w:r w:rsidRPr="00417945">
        <w:rPr>
          <w:szCs w:val="22"/>
          <w:lang w:val="ru-RU"/>
        </w:rPr>
        <w:t>ПКК</w:t>
      </w:r>
      <w:r w:rsidRPr="00AA5FE3">
        <w:rPr>
          <w:szCs w:val="22"/>
          <w:lang w:val="ru-RU"/>
        </w:rPr>
        <w:t xml:space="preserve"> Совет </w:t>
      </w:r>
      <w:r w:rsidRPr="00AA5FE3">
        <w:rPr>
          <w:szCs w:val="22"/>
        </w:rPr>
        <w:t>ICANN</w:t>
      </w:r>
      <w:r w:rsidRPr="00AA5FE3">
        <w:rPr>
          <w:szCs w:val="22"/>
          <w:lang w:val="ru-RU"/>
        </w:rPr>
        <w:t xml:space="preserve"> указал на то, что он принял резолюцию, закладывающую основу для такой временной охраны на втором уровне </w:t>
      </w:r>
      <w:r>
        <w:rPr>
          <w:szCs w:val="22"/>
          <w:lang w:val="ru-RU"/>
        </w:rPr>
        <w:t>н</w:t>
      </w:r>
      <w:r w:rsidRPr="00AA5FE3">
        <w:rPr>
          <w:szCs w:val="22"/>
          <w:lang w:val="ru-RU"/>
        </w:rPr>
        <w:t>а базе существующих критериев, применяемых при регистрации имен доменов второго уровня в зоне .</w:t>
      </w:r>
      <w:r w:rsidRPr="00AA5FE3">
        <w:rPr>
          <w:szCs w:val="22"/>
        </w:rPr>
        <w:t>int</w:t>
      </w:r>
      <w:r w:rsidRPr="00AA5FE3">
        <w:rPr>
          <w:szCs w:val="22"/>
          <w:lang w:val="ru-RU"/>
        </w:rPr>
        <w:t xml:space="preserve">, используя имеющийся в </w:t>
      </w:r>
      <w:r w:rsidRPr="00AA5FE3">
        <w:rPr>
          <w:szCs w:val="22"/>
        </w:rPr>
        <w:t>ICANN</w:t>
      </w:r>
      <w:r w:rsidRPr="00AA5FE3">
        <w:rPr>
          <w:szCs w:val="22"/>
          <w:lang w:val="ru-RU"/>
        </w:rPr>
        <w:t xml:space="preserve"> перечень зарезервированных наименований МПО, </w:t>
      </w:r>
      <w:r w:rsidRPr="00943263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не должны </w:t>
      </w:r>
      <w:r w:rsidRPr="00943263">
        <w:rPr>
          <w:szCs w:val="22"/>
          <w:lang w:val="ru-RU"/>
        </w:rPr>
        <w:t>использова</w:t>
      </w:r>
      <w:r>
        <w:rPr>
          <w:szCs w:val="22"/>
          <w:lang w:val="ru-RU"/>
        </w:rPr>
        <w:t xml:space="preserve">ться для </w:t>
      </w:r>
      <w:r w:rsidRPr="00AA5FE3">
        <w:rPr>
          <w:szCs w:val="22"/>
          <w:lang w:val="ru-RU"/>
        </w:rPr>
        <w:t xml:space="preserve">регистрации третьими сторонами, </w:t>
      </w:r>
      <w:r>
        <w:rPr>
          <w:szCs w:val="22"/>
          <w:lang w:val="ru-RU"/>
        </w:rPr>
        <w:t xml:space="preserve">согласно </w:t>
      </w:r>
      <w:r w:rsidRPr="00AA5FE3">
        <w:rPr>
          <w:szCs w:val="22"/>
          <w:lang w:val="ru-RU"/>
        </w:rPr>
        <w:t>С</w:t>
      </w:r>
      <w:r>
        <w:rPr>
          <w:szCs w:val="22"/>
          <w:lang w:val="ru-RU"/>
        </w:rPr>
        <w:t>оглашению с реестрами</w:t>
      </w:r>
      <w:r w:rsidRPr="00AA5FE3">
        <w:rPr>
          <w:szCs w:val="22"/>
          <w:lang w:val="ru-RU"/>
        </w:rPr>
        <w:t xml:space="preserve"> относительно новых рДВУ. </w:t>
      </w:r>
      <w:r w:rsidRPr="00AA5FE3">
        <w:rPr>
          <w:szCs w:val="22"/>
        </w:rPr>
        <w:t>ICANN</w:t>
      </w:r>
      <w:r w:rsidRPr="00AA5FE3">
        <w:rPr>
          <w:szCs w:val="22"/>
          <w:lang w:val="ru-RU"/>
        </w:rPr>
        <w:t xml:space="preserve"> предложила</w:t>
      </w:r>
      <w:r>
        <w:rPr>
          <w:szCs w:val="22"/>
          <w:lang w:val="ru-RU"/>
        </w:rPr>
        <w:t>, чтобы МПО, отвечающие</w:t>
      </w:r>
      <w:r w:rsidRPr="00AA5FE3">
        <w:rPr>
          <w:szCs w:val="22"/>
          <w:lang w:val="ru-RU"/>
        </w:rPr>
        <w:t xml:space="preserve"> соответствующим </w:t>
      </w:r>
      <w:r w:rsidRPr="00943263">
        <w:rPr>
          <w:szCs w:val="22"/>
          <w:lang w:val="ru-RU"/>
        </w:rPr>
        <w:t>требовани</w:t>
      </w:r>
      <w:r>
        <w:rPr>
          <w:szCs w:val="22"/>
          <w:lang w:val="ru-RU"/>
        </w:rPr>
        <w:t>ям</w:t>
      </w:r>
      <w:r w:rsidRPr="00AA5FE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направили в</w:t>
      </w:r>
      <w:r w:rsidRPr="00AA5FE3">
        <w:rPr>
          <w:szCs w:val="22"/>
          <w:lang w:val="ru-RU"/>
        </w:rPr>
        <w:t xml:space="preserve"> </w:t>
      </w:r>
      <w:r w:rsidRPr="00AA5FE3">
        <w:rPr>
          <w:szCs w:val="22"/>
        </w:rPr>
        <w:t>ICANN</w:t>
      </w:r>
      <w:r w:rsidRPr="00AA5FE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 данные</w:t>
      </w:r>
      <w:r w:rsidRPr="00AA5FE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Pr="00AA5FE3">
        <w:rPr>
          <w:szCs w:val="22"/>
          <w:lang w:val="ru-RU"/>
        </w:rPr>
        <w:t xml:space="preserve">чтобы </w:t>
      </w:r>
      <w:r w:rsidRPr="00417945">
        <w:rPr>
          <w:szCs w:val="22"/>
          <w:lang w:val="ru-RU"/>
        </w:rPr>
        <w:t>ПКК</w:t>
      </w:r>
      <w:r w:rsidRPr="00AA5FE3">
        <w:rPr>
          <w:szCs w:val="22"/>
          <w:lang w:val="ru-RU"/>
        </w:rPr>
        <w:t xml:space="preserve"> (совместно с МПО) составил </w:t>
      </w:r>
      <w:r>
        <w:rPr>
          <w:szCs w:val="22"/>
          <w:lang w:val="ru-RU"/>
        </w:rPr>
        <w:t xml:space="preserve">единый </w:t>
      </w:r>
      <w:r w:rsidRPr="00AA5FE3">
        <w:rPr>
          <w:szCs w:val="22"/>
          <w:lang w:val="ru-RU"/>
        </w:rPr>
        <w:t>пакет документов по МПО, включающий соответству</w:t>
      </w:r>
      <w:r w:rsidRPr="00F421DF">
        <w:rPr>
          <w:szCs w:val="22"/>
          <w:lang w:val="ru-RU"/>
        </w:rPr>
        <w:t xml:space="preserve">ющие критерии и перечень полных и сокращенных наименований МПО, для которых </w:t>
      </w:r>
      <w:r w:rsidRPr="00417945">
        <w:rPr>
          <w:szCs w:val="22"/>
          <w:lang w:val="ru-RU"/>
        </w:rPr>
        <w:t>ПКК</w:t>
      </w:r>
      <w:r w:rsidRPr="00F421DF">
        <w:rPr>
          <w:szCs w:val="22"/>
          <w:lang w:val="ru-RU"/>
        </w:rPr>
        <w:t xml:space="preserve"> рекомендует предусмотреть охрану</w:t>
      </w:r>
      <w:r w:rsidR="00384EE8" w:rsidRPr="006475B9">
        <w:rPr>
          <w:rStyle w:val="FootnoteReference"/>
          <w:szCs w:val="22"/>
        </w:rPr>
        <w:footnoteReference w:id="46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 w:rsidRPr="00F421DF">
        <w:rPr>
          <w:szCs w:val="22"/>
          <w:lang w:val="ru-RU"/>
        </w:rPr>
        <w:t>В</w:t>
      </w:r>
      <w:r>
        <w:rPr>
          <w:szCs w:val="22"/>
          <w:lang w:val="ru-RU"/>
        </w:rPr>
        <w:t> </w:t>
      </w:r>
      <w:r w:rsidRPr="00F421DF">
        <w:rPr>
          <w:szCs w:val="22"/>
          <w:lang w:val="ru-RU"/>
        </w:rPr>
        <w:t>ответ на это коалиция МПО разработала критерии охраны МПО на базе существующих критериев, применяемых при регистрации доменов в зоне .</w:t>
      </w:r>
      <w:r w:rsidRPr="00F421DF">
        <w:rPr>
          <w:szCs w:val="22"/>
        </w:rPr>
        <w:t>int</w:t>
      </w:r>
      <w:r w:rsidRPr="00F421DF">
        <w:rPr>
          <w:szCs w:val="22"/>
          <w:lang w:val="ru-RU"/>
        </w:rPr>
        <w:t xml:space="preserve"> и </w:t>
      </w:r>
      <w:r w:rsidRPr="00943263">
        <w:rPr>
          <w:szCs w:val="22"/>
          <w:lang w:val="ru-RU"/>
        </w:rPr>
        <w:t>соответствующ</w:t>
      </w:r>
      <w:r>
        <w:rPr>
          <w:szCs w:val="22"/>
          <w:lang w:val="ru-RU"/>
        </w:rPr>
        <w:t>ий</w:t>
      </w:r>
      <w:r w:rsidRPr="00F421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перечень </w:t>
      </w:r>
      <w:r w:rsidRPr="00F421DF">
        <w:rPr>
          <w:szCs w:val="22"/>
          <w:lang w:val="ru-RU"/>
        </w:rPr>
        <w:t xml:space="preserve">МПО, которые были направлены Совету </w:t>
      </w:r>
      <w:r w:rsidRPr="00F421DF">
        <w:rPr>
          <w:szCs w:val="22"/>
        </w:rPr>
        <w:t>ICANN</w:t>
      </w:r>
      <w:r w:rsidRPr="00F421DF">
        <w:rPr>
          <w:szCs w:val="22"/>
          <w:lang w:val="ru-RU"/>
        </w:rPr>
        <w:t xml:space="preserve"> в феврале 2013</w:t>
      </w:r>
      <w:r w:rsidRPr="00F421DF">
        <w:rPr>
          <w:szCs w:val="22"/>
        </w:rPr>
        <w:t> </w:t>
      </w:r>
      <w:r w:rsidRPr="00F421DF">
        <w:rPr>
          <w:szCs w:val="22"/>
          <w:lang w:val="ru-RU"/>
        </w:rPr>
        <w:t>г. За</w:t>
      </w:r>
      <w:r>
        <w:rPr>
          <w:szCs w:val="22"/>
          <w:lang w:val="ru-RU"/>
        </w:rPr>
        <w:t xml:space="preserve">там </w:t>
      </w:r>
      <w:r w:rsidRPr="00417945">
        <w:rPr>
          <w:szCs w:val="22"/>
          <w:lang w:val="ru-RU"/>
        </w:rPr>
        <w:t>ПКК</w:t>
      </w:r>
      <w:r w:rsidRPr="00F421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 </w:t>
      </w:r>
      <w:r w:rsidRPr="00F421DF">
        <w:rPr>
          <w:szCs w:val="22"/>
          <w:lang w:val="ru-RU"/>
        </w:rPr>
        <w:t xml:space="preserve">в адрес Совета </w:t>
      </w:r>
      <w:r w:rsidRPr="00F421DF">
        <w:rPr>
          <w:szCs w:val="22"/>
        </w:rPr>
        <w:t>ICANN</w:t>
      </w:r>
      <w:r w:rsidRPr="00F421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письма, </w:t>
      </w:r>
      <w:r w:rsidRPr="00943263">
        <w:rPr>
          <w:szCs w:val="22"/>
          <w:lang w:val="ru-RU"/>
        </w:rPr>
        <w:t>содерж</w:t>
      </w:r>
      <w:r>
        <w:rPr>
          <w:szCs w:val="22"/>
          <w:lang w:val="ru-RU"/>
        </w:rPr>
        <w:t xml:space="preserve">ащее рекомендуемые </w:t>
      </w:r>
      <w:r w:rsidRPr="00417945">
        <w:rPr>
          <w:szCs w:val="22"/>
          <w:lang w:val="ru-RU"/>
        </w:rPr>
        <w:t>ПКК</w:t>
      </w:r>
      <w:r>
        <w:rPr>
          <w:szCs w:val="22"/>
          <w:lang w:val="ru-RU"/>
        </w:rPr>
        <w:t xml:space="preserve"> критерии</w:t>
      </w:r>
      <w:r w:rsidRPr="00F421DF">
        <w:rPr>
          <w:szCs w:val="22"/>
          <w:lang w:val="ru-RU"/>
        </w:rPr>
        <w:t xml:space="preserve"> </w:t>
      </w:r>
      <w:r w:rsidRPr="00943263">
        <w:rPr>
          <w:szCs w:val="22"/>
          <w:lang w:val="ru-RU"/>
        </w:rPr>
        <w:t>определени</w:t>
      </w:r>
      <w:r>
        <w:rPr>
          <w:szCs w:val="22"/>
          <w:lang w:val="ru-RU"/>
        </w:rPr>
        <w:t xml:space="preserve">я </w:t>
      </w:r>
      <w:r w:rsidRPr="00F421DF">
        <w:rPr>
          <w:szCs w:val="22"/>
          <w:lang w:val="ru-RU"/>
        </w:rPr>
        <w:t>МПО</w:t>
      </w:r>
      <w:r>
        <w:rPr>
          <w:szCs w:val="22"/>
          <w:lang w:val="ru-RU"/>
        </w:rPr>
        <w:t xml:space="preserve">, имеющих право </w:t>
      </w:r>
      <w:r w:rsidRPr="00F421DF">
        <w:rPr>
          <w:szCs w:val="22"/>
          <w:lang w:val="ru-RU"/>
        </w:rPr>
        <w:lastRenderedPageBreak/>
        <w:t>на охрану</w:t>
      </w:r>
      <w:r w:rsidR="008B2E20">
        <w:rPr>
          <w:rStyle w:val="FootnoteReference"/>
          <w:szCs w:val="22"/>
        </w:rPr>
        <w:footnoteReference w:id="47"/>
      </w:r>
      <w:r w:rsidRPr="008973B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к </w:t>
      </w:r>
      <w:r w:rsidRPr="00F421DF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ому был приложен перечень подлежащих охране </w:t>
      </w:r>
      <w:r w:rsidRPr="00F421DF">
        <w:rPr>
          <w:szCs w:val="22"/>
          <w:lang w:val="ru-RU"/>
        </w:rPr>
        <w:t>полных и сокращенных наименований МПО</w:t>
      </w:r>
      <w:r w:rsidR="00384EE8" w:rsidRPr="006475B9">
        <w:rPr>
          <w:rStyle w:val="FootnoteReference"/>
          <w:szCs w:val="22"/>
        </w:rPr>
        <w:footnoteReference w:id="48"/>
      </w:r>
      <w:r w:rsidRPr="008973B0">
        <w:rPr>
          <w:szCs w:val="22"/>
          <w:lang w:val="ru-RU"/>
        </w:rPr>
        <w:t>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F421DF">
        <w:rPr>
          <w:szCs w:val="22"/>
          <w:lang w:val="ru-RU"/>
        </w:rPr>
        <w:t>1 апреля 2013</w:t>
      </w:r>
      <w:r w:rsidRPr="00F421DF">
        <w:rPr>
          <w:szCs w:val="22"/>
        </w:rPr>
        <w:t> </w:t>
      </w:r>
      <w:r w:rsidRPr="00F421DF">
        <w:rPr>
          <w:szCs w:val="22"/>
          <w:lang w:val="ru-RU"/>
        </w:rPr>
        <w:t xml:space="preserve">г. Совет изложил в письме </w:t>
      </w:r>
      <w:r w:rsidRPr="00417945">
        <w:rPr>
          <w:szCs w:val="22"/>
          <w:lang w:val="ru-RU"/>
        </w:rPr>
        <w:t>ПКК</w:t>
      </w:r>
      <w:r w:rsidRPr="00F421DF">
        <w:rPr>
          <w:szCs w:val="22"/>
          <w:lang w:val="ru-RU"/>
        </w:rPr>
        <w:t xml:space="preserve"> вызывающие его обеспокоенность вопросы </w:t>
      </w:r>
      <w:r>
        <w:rPr>
          <w:szCs w:val="22"/>
          <w:lang w:val="ru-RU"/>
        </w:rPr>
        <w:t>согласования</w:t>
      </w:r>
      <w:r w:rsidRPr="00F421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F421DF">
        <w:rPr>
          <w:szCs w:val="22"/>
          <w:lang w:val="ru-RU"/>
        </w:rPr>
        <w:t xml:space="preserve"> сокращенных названий МПО с некоторыми потенциально правомерными попытками третьих сторон регистрировать доменные им</w:t>
      </w:r>
      <w:r>
        <w:rPr>
          <w:szCs w:val="22"/>
          <w:lang w:val="ru-RU"/>
        </w:rPr>
        <w:t>ена, соответствующие охраняемым сокращенным</w:t>
      </w:r>
      <w:r w:rsidRPr="00F421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наименованям</w:t>
      </w:r>
      <w:r w:rsidRPr="00F421DF">
        <w:rPr>
          <w:szCs w:val="22"/>
          <w:lang w:val="ru-RU"/>
        </w:rPr>
        <w:t xml:space="preserve"> МПО, </w:t>
      </w:r>
      <w:r>
        <w:rPr>
          <w:szCs w:val="22"/>
          <w:lang w:val="ru-RU"/>
        </w:rPr>
        <w:t>и в связи с этим попросил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ПКК представить </w:t>
      </w:r>
      <w:r w:rsidRPr="00467E46">
        <w:rPr>
          <w:szCs w:val="22"/>
          <w:lang w:val="ru-RU"/>
        </w:rPr>
        <w:t xml:space="preserve">дополнительные </w:t>
      </w:r>
      <w:r>
        <w:rPr>
          <w:szCs w:val="22"/>
          <w:lang w:val="ru-RU"/>
        </w:rPr>
        <w:t xml:space="preserve">соображения </w:t>
      </w:r>
      <w:r w:rsidRPr="00467E46">
        <w:rPr>
          <w:szCs w:val="22"/>
          <w:lang w:val="ru-RU"/>
        </w:rPr>
        <w:t>относительно возможных средств</w:t>
      </w:r>
      <w:r>
        <w:rPr>
          <w:szCs w:val="22"/>
          <w:lang w:val="ru-RU"/>
        </w:rPr>
        <w:t xml:space="preserve"> практического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</w:t>
      </w:r>
      <w:r w:rsidRPr="00467E46">
        <w:rPr>
          <w:szCs w:val="22"/>
          <w:lang w:val="ru-RU"/>
        </w:rPr>
        <w:t>регулирова</w:t>
      </w:r>
      <w:r>
        <w:rPr>
          <w:szCs w:val="22"/>
          <w:lang w:val="ru-RU"/>
        </w:rPr>
        <w:t xml:space="preserve">ния </w:t>
      </w:r>
      <w:r w:rsidRPr="00036338">
        <w:rPr>
          <w:szCs w:val="22"/>
          <w:lang w:val="ru-RU"/>
        </w:rPr>
        <w:t>ситуаци</w:t>
      </w:r>
      <w:r>
        <w:rPr>
          <w:szCs w:val="22"/>
          <w:lang w:val="ru-RU"/>
        </w:rPr>
        <w:t xml:space="preserve">й, связанных с </w:t>
      </w:r>
      <w:r w:rsidRPr="00467E46">
        <w:rPr>
          <w:szCs w:val="22"/>
          <w:lang w:val="ru-RU"/>
        </w:rPr>
        <w:t xml:space="preserve">потенциально </w:t>
      </w:r>
      <w:r>
        <w:rPr>
          <w:szCs w:val="22"/>
          <w:lang w:val="ru-RU"/>
        </w:rPr>
        <w:t>правомерным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совместным</w:t>
      </w:r>
      <w:r w:rsidRPr="00467E46">
        <w:rPr>
          <w:szCs w:val="22"/>
          <w:lang w:val="ru-RU"/>
        </w:rPr>
        <w:t xml:space="preserve"> использовани</w:t>
      </w:r>
      <w:r>
        <w:rPr>
          <w:szCs w:val="22"/>
          <w:lang w:val="ru-RU"/>
        </w:rPr>
        <w:t>ем</w:t>
      </w:r>
      <w:r w:rsidR="00384EE8" w:rsidRPr="006475B9">
        <w:rPr>
          <w:rStyle w:val="FootnoteReference"/>
          <w:szCs w:val="22"/>
        </w:rPr>
        <w:footnoteReference w:id="49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 w:rsidRPr="00467E46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 xml:space="preserve">своем </w:t>
      </w:r>
      <w:r w:rsidRPr="00467E46">
        <w:rPr>
          <w:szCs w:val="22"/>
          <w:lang w:val="ru-RU"/>
        </w:rPr>
        <w:t xml:space="preserve">ответе </w:t>
      </w:r>
      <w:r w:rsidRPr="00417945">
        <w:rPr>
          <w:szCs w:val="22"/>
          <w:lang w:val="ru-RU"/>
        </w:rPr>
        <w:t>ПКК</w:t>
      </w:r>
      <w:r w:rsidRPr="00467E46">
        <w:rPr>
          <w:szCs w:val="22"/>
          <w:lang w:val="ru-RU"/>
        </w:rPr>
        <w:t xml:space="preserve"> подчерк</w:t>
      </w:r>
      <w:r>
        <w:rPr>
          <w:szCs w:val="22"/>
          <w:lang w:val="ru-RU"/>
        </w:rPr>
        <w:t>нул важную глобальную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публичную</w:t>
      </w:r>
      <w:r w:rsidRPr="00467E46">
        <w:rPr>
          <w:szCs w:val="22"/>
          <w:lang w:val="ru-RU"/>
        </w:rPr>
        <w:t xml:space="preserve"> ми</w:t>
      </w:r>
      <w:r>
        <w:rPr>
          <w:szCs w:val="22"/>
          <w:lang w:val="ru-RU"/>
        </w:rPr>
        <w:t>ссию</w:t>
      </w:r>
      <w:r w:rsidRPr="00467E46">
        <w:rPr>
          <w:szCs w:val="22"/>
          <w:lang w:val="ru-RU"/>
        </w:rPr>
        <w:t xml:space="preserve"> МПО</w:t>
      </w:r>
      <w:r>
        <w:rPr>
          <w:szCs w:val="22"/>
          <w:lang w:val="ru-RU"/>
        </w:rPr>
        <w:t xml:space="preserve">, </w:t>
      </w:r>
      <w:r w:rsidRPr="00467E46">
        <w:rPr>
          <w:szCs w:val="22"/>
          <w:lang w:val="ru-RU"/>
        </w:rPr>
        <w:t xml:space="preserve">заявил, что он </w:t>
      </w:r>
      <w:r>
        <w:rPr>
          <w:szCs w:val="22"/>
          <w:lang w:val="ru-RU"/>
        </w:rPr>
        <w:t>будет стремиться активно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искать пути</w:t>
      </w:r>
      <w:r w:rsidRPr="00467E46">
        <w:rPr>
          <w:szCs w:val="22"/>
          <w:lang w:val="ru-RU"/>
        </w:rPr>
        <w:t xml:space="preserve"> решения этих проблем и вновь </w:t>
      </w:r>
      <w:r>
        <w:rPr>
          <w:szCs w:val="22"/>
          <w:lang w:val="ru-RU"/>
        </w:rPr>
        <w:t>рекомендовал</w:t>
      </w:r>
      <w:r w:rsidRPr="00467E46">
        <w:rPr>
          <w:szCs w:val="22"/>
          <w:lang w:val="ru-RU"/>
        </w:rPr>
        <w:t xml:space="preserve"> Совету </w:t>
      </w:r>
      <w:r w:rsidRPr="00467E46">
        <w:rPr>
          <w:szCs w:val="22"/>
        </w:rPr>
        <w:t>ICANN</w:t>
      </w:r>
      <w:r w:rsidRPr="00467E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предусмотреть превентивную предварительную охрану</w:t>
      </w:r>
      <w:r w:rsidRPr="00467E46">
        <w:rPr>
          <w:szCs w:val="22"/>
          <w:lang w:val="ru-RU"/>
        </w:rPr>
        <w:t xml:space="preserve"> полных и сокращенных названий МПО, включенных в </w:t>
      </w:r>
      <w:r>
        <w:rPr>
          <w:szCs w:val="22"/>
          <w:lang w:val="ru-RU"/>
        </w:rPr>
        <w:t>перечень</w:t>
      </w:r>
      <w:r w:rsidRPr="00467E46">
        <w:rPr>
          <w:szCs w:val="22"/>
          <w:lang w:val="ru-RU"/>
        </w:rPr>
        <w:t>, до делегирован</w:t>
      </w:r>
      <w:r w:rsidRPr="00407777">
        <w:rPr>
          <w:szCs w:val="22"/>
          <w:lang w:val="ru-RU"/>
        </w:rPr>
        <w:t>ия любых новых рДВУ</w:t>
      </w:r>
      <w:r w:rsidR="00384EE8" w:rsidRPr="006475B9">
        <w:rPr>
          <w:rStyle w:val="FootnoteReference"/>
          <w:szCs w:val="22"/>
        </w:rPr>
        <w:footnoteReference w:id="50"/>
      </w:r>
      <w:r w:rsidRPr="008973B0">
        <w:rPr>
          <w:szCs w:val="22"/>
          <w:lang w:val="ru-RU"/>
        </w:rPr>
        <w:t>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keepNext/>
        <w:keepLines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407777">
        <w:rPr>
          <w:szCs w:val="22"/>
          <w:lang w:val="ru-RU"/>
        </w:rPr>
        <w:t>В июле 2013</w:t>
      </w:r>
      <w:r w:rsidRPr="00407777">
        <w:rPr>
          <w:szCs w:val="22"/>
        </w:rPr>
        <w:t> </w:t>
      </w:r>
      <w:r w:rsidRPr="00407777">
        <w:rPr>
          <w:szCs w:val="22"/>
          <w:lang w:val="ru-RU"/>
        </w:rPr>
        <w:t xml:space="preserve">г., после новых обсуждений с </w:t>
      </w:r>
      <w:r w:rsidRPr="00407777">
        <w:rPr>
          <w:szCs w:val="22"/>
        </w:rPr>
        <w:t>ICANN</w:t>
      </w:r>
      <w:r w:rsidRPr="00407777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настойчивых </w:t>
      </w:r>
      <w:r w:rsidRPr="00407777">
        <w:rPr>
          <w:szCs w:val="22"/>
          <w:lang w:val="ru-RU"/>
        </w:rPr>
        <w:t xml:space="preserve">усилий МПО, </w:t>
      </w:r>
      <w:r w:rsidRPr="00417945">
        <w:rPr>
          <w:szCs w:val="22"/>
          <w:lang w:val="ru-RU"/>
        </w:rPr>
        <w:t>ПКК</w:t>
      </w:r>
      <w:r w:rsidRPr="00407777">
        <w:rPr>
          <w:szCs w:val="22"/>
          <w:lang w:val="ru-RU"/>
        </w:rPr>
        <w:t xml:space="preserve"> направил Совету </w:t>
      </w:r>
      <w:r w:rsidRPr="00407777">
        <w:rPr>
          <w:szCs w:val="22"/>
        </w:rPr>
        <w:t>ICANN</w:t>
      </w:r>
      <w:r w:rsidRPr="00407777">
        <w:rPr>
          <w:szCs w:val="22"/>
          <w:lang w:val="ru-RU"/>
        </w:rPr>
        <w:t xml:space="preserve"> рекомендацию, в которой подчеркивалась необходимость особой превентивной охраны полных и сокращенных названий МПО в </w:t>
      </w:r>
      <w:r w:rsidRPr="00407777">
        <w:rPr>
          <w:szCs w:val="22"/>
        </w:rPr>
        <w:t>DNS</w:t>
      </w:r>
      <w:r w:rsidR="00384EE8" w:rsidRPr="006475B9">
        <w:rPr>
          <w:rStyle w:val="FootnoteReference"/>
          <w:szCs w:val="22"/>
        </w:rPr>
        <w:footnoteReference w:id="51"/>
      </w:r>
      <w:r w:rsidRPr="008973B0">
        <w:rPr>
          <w:szCs w:val="22"/>
          <w:lang w:val="ru-RU"/>
        </w:rPr>
        <w:t xml:space="preserve">. </w:t>
      </w:r>
      <w:r w:rsidRPr="00407777">
        <w:rPr>
          <w:szCs w:val="22"/>
          <w:lang w:val="ru-RU"/>
        </w:rPr>
        <w:t xml:space="preserve">В порядке выполнения этой рекомендации Совет </w:t>
      </w:r>
      <w:r w:rsidRPr="00407777">
        <w:rPr>
          <w:szCs w:val="22"/>
        </w:rPr>
        <w:t>ICANN</w:t>
      </w:r>
      <w:r w:rsidRPr="00407777">
        <w:rPr>
          <w:szCs w:val="22"/>
          <w:lang w:val="ru-RU"/>
        </w:rPr>
        <w:t xml:space="preserve"> принял решение, расширяющее объем временной охраны наименований МПО впредь до проведения первого заседания Программного комитета </w:t>
      </w:r>
      <w:r w:rsidRPr="00407777">
        <w:rPr>
          <w:szCs w:val="22"/>
        </w:rPr>
        <w:t>ICANN</w:t>
      </w:r>
      <w:r w:rsidRPr="00407777">
        <w:rPr>
          <w:szCs w:val="22"/>
          <w:lang w:val="ru-RU"/>
        </w:rPr>
        <w:t xml:space="preserve"> по новым рДВУ (</w:t>
      </w:r>
      <w:r w:rsidRPr="00407777">
        <w:rPr>
          <w:szCs w:val="22"/>
        </w:rPr>
        <w:t>NGPC</w:t>
      </w:r>
      <w:r w:rsidRPr="00407777">
        <w:rPr>
          <w:szCs w:val="22"/>
          <w:lang w:val="ru-RU"/>
        </w:rPr>
        <w:t xml:space="preserve">) после сессии </w:t>
      </w:r>
      <w:r w:rsidRPr="00407777">
        <w:rPr>
          <w:szCs w:val="22"/>
        </w:rPr>
        <w:t>ICANN</w:t>
      </w:r>
      <w:r w:rsidRPr="00407777">
        <w:rPr>
          <w:szCs w:val="22"/>
          <w:lang w:val="ru-RU"/>
        </w:rPr>
        <w:t xml:space="preserve"> в ноябре 2013</w:t>
      </w:r>
      <w:r w:rsidRPr="00407777">
        <w:rPr>
          <w:szCs w:val="22"/>
        </w:rPr>
        <w:t> </w:t>
      </w:r>
      <w:r w:rsidRPr="00407777">
        <w:rPr>
          <w:szCs w:val="22"/>
          <w:lang w:val="ru-RU"/>
        </w:rPr>
        <w:t>г.</w:t>
      </w:r>
      <w:r w:rsidR="00384EE8" w:rsidRPr="006475B9">
        <w:rPr>
          <w:rStyle w:val="FootnoteReference"/>
          <w:szCs w:val="22"/>
        </w:rPr>
        <w:footnoteReference w:id="52"/>
      </w:r>
      <w:r w:rsidR="00384EE8" w:rsidRPr="008973B0">
        <w:rPr>
          <w:szCs w:val="22"/>
          <w:lang w:val="ru-RU"/>
        </w:rPr>
        <w:t xml:space="preserve"> 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110C04">
        <w:rPr>
          <w:szCs w:val="22"/>
          <w:lang w:val="ru-RU"/>
        </w:rPr>
        <w:t>В октябре 2013</w:t>
      </w:r>
      <w:r w:rsidRPr="00110C04">
        <w:rPr>
          <w:szCs w:val="22"/>
        </w:rPr>
        <w:t> </w:t>
      </w:r>
      <w:r w:rsidRPr="00110C04">
        <w:rPr>
          <w:szCs w:val="22"/>
          <w:lang w:val="ru-RU"/>
        </w:rPr>
        <w:t xml:space="preserve">г. </w:t>
      </w:r>
      <w:r w:rsidRPr="00110C04">
        <w:rPr>
          <w:szCs w:val="22"/>
        </w:rPr>
        <w:t>NGPC</w:t>
      </w:r>
      <w:r w:rsidRPr="00110C04">
        <w:rPr>
          <w:szCs w:val="22"/>
          <w:lang w:val="ru-RU"/>
        </w:rPr>
        <w:t xml:space="preserve"> выступил с предложением об охране сокращенных названий МПО на втором уровне</w:t>
      </w:r>
      <w:r w:rsidRPr="00036338">
        <w:rPr>
          <w:szCs w:val="22"/>
          <w:lang w:val="ru-RU"/>
        </w:rPr>
        <w:t xml:space="preserve"> </w:t>
      </w:r>
      <w:r>
        <w:rPr>
          <w:szCs w:val="22"/>
        </w:rPr>
        <w:t>DNS</w:t>
      </w:r>
      <w:r w:rsidRPr="00110C04">
        <w:rPr>
          <w:szCs w:val="22"/>
          <w:lang w:val="ru-RU"/>
        </w:rPr>
        <w:t xml:space="preserve">, которое оказалось гораздо </w:t>
      </w:r>
      <w:r>
        <w:rPr>
          <w:szCs w:val="22"/>
          <w:lang w:val="ru-RU"/>
        </w:rPr>
        <w:t xml:space="preserve">более </w:t>
      </w:r>
      <w:r w:rsidRPr="00110C04">
        <w:rPr>
          <w:szCs w:val="22"/>
          <w:lang w:val="ru-RU"/>
        </w:rPr>
        <w:t>ограниченн</w:t>
      </w:r>
      <w:r>
        <w:rPr>
          <w:szCs w:val="22"/>
          <w:lang w:val="ru-RU"/>
        </w:rPr>
        <w:t xml:space="preserve">ым по своему </w:t>
      </w:r>
      <w:r w:rsidRPr="00036338">
        <w:rPr>
          <w:szCs w:val="22"/>
          <w:lang w:val="ru-RU"/>
        </w:rPr>
        <w:t>объе</w:t>
      </w:r>
      <w:r>
        <w:rPr>
          <w:szCs w:val="22"/>
          <w:lang w:val="ru-RU"/>
        </w:rPr>
        <w:t xml:space="preserve">му </w:t>
      </w:r>
      <w:r w:rsidRPr="00110C04">
        <w:rPr>
          <w:szCs w:val="18"/>
          <w:lang w:val="ru-RU"/>
        </w:rPr>
        <w:t>по сравнению</w:t>
      </w:r>
      <w:r>
        <w:rPr>
          <w:szCs w:val="22"/>
          <w:lang w:val="ru-RU"/>
        </w:rPr>
        <w:t xml:space="preserve"> с </w:t>
      </w:r>
      <w:r w:rsidRPr="00036338">
        <w:rPr>
          <w:szCs w:val="22"/>
          <w:lang w:val="ru-RU"/>
        </w:rPr>
        <w:t>режим</w:t>
      </w:r>
      <w:r>
        <w:rPr>
          <w:szCs w:val="22"/>
          <w:lang w:val="ru-RU"/>
        </w:rPr>
        <w:t xml:space="preserve">ом постоянной превентивной </w:t>
      </w:r>
      <w:r w:rsidRPr="00110C04">
        <w:rPr>
          <w:szCs w:val="22"/>
          <w:lang w:val="ru-RU"/>
        </w:rPr>
        <w:t>охран</w:t>
      </w:r>
      <w:r>
        <w:rPr>
          <w:szCs w:val="22"/>
          <w:lang w:val="ru-RU"/>
        </w:rPr>
        <w:t xml:space="preserve">ы сокращенных </w:t>
      </w:r>
      <w:r w:rsidRPr="00110C04">
        <w:rPr>
          <w:szCs w:val="22"/>
          <w:lang w:val="ru-RU"/>
        </w:rPr>
        <w:t>наименовани</w:t>
      </w:r>
      <w:r>
        <w:rPr>
          <w:szCs w:val="22"/>
          <w:lang w:val="ru-RU"/>
        </w:rPr>
        <w:t xml:space="preserve">й МПО, рекомендованным в </w:t>
      </w:r>
      <w:r w:rsidRPr="00110C04">
        <w:rPr>
          <w:szCs w:val="22"/>
          <w:lang w:val="ru-RU"/>
        </w:rPr>
        <w:t xml:space="preserve">предыдущих коммюнике </w:t>
      </w:r>
      <w:r w:rsidRPr="00417945">
        <w:rPr>
          <w:szCs w:val="22"/>
          <w:lang w:val="ru-RU"/>
        </w:rPr>
        <w:t>ПКК</w:t>
      </w:r>
      <w:r w:rsidR="00384EE8">
        <w:rPr>
          <w:rStyle w:val="FootnoteReference"/>
          <w:szCs w:val="22"/>
        </w:rPr>
        <w:footnoteReference w:id="53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 своем</w:t>
      </w:r>
      <w:r w:rsidRPr="00110C04">
        <w:rPr>
          <w:szCs w:val="22"/>
          <w:lang w:val="ru-RU"/>
        </w:rPr>
        <w:t xml:space="preserve"> ответ</w:t>
      </w:r>
      <w:r>
        <w:rPr>
          <w:szCs w:val="22"/>
          <w:lang w:val="ru-RU"/>
        </w:rPr>
        <w:t xml:space="preserve">е, направленном </w:t>
      </w:r>
      <w:r w:rsidRPr="00110C04">
        <w:rPr>
          <w:szCs w:val="22"/>
        </w:rPr>
        <w:t>NGPC</w:t>
      </w:r>
      <w:r w:rsidRPr="00110C04">
        <w:rPr>
          <w:szCs w:val="22"/>
          <w:lang w:val="ru-RU"/>
        </w:rPr>
        <w:t xml:space="preserve">, коалиция МПО </w:t>
      </w:r>
      <w:r>
        <w:rPr>
          <w:szCs w:val="22"/>
          <w:lang w:val="ru-RU"/>
        </w:rPr>
        <w:t>заявила</w:t>
      </w:r>
      <w:r w:rsidRPr="00110C04">
        <w:rPr>
          <w:szCs w:val="22"/>
          <w:lang w:val="ru-RU"/>
        </w:rPr>
        <w:t xml:space="preserve"> о своем разочаровании по поводу того, что это предложение </w:t>
      </w:r>
      <w:r w:rsidRPr="00EA6FFA">
        <w:rPr>
          <w:szCs w:val="22"/>
          <w:lang w:val="ru-RU"/>
        </w:rPr>
        <w:t>предусматрива</w:t>
      </w:r>
      <w:r>
        <w:rPr>
          <w:szCs w:val="22"/>
          <w:lang w:val="ru-RU"/>
        </w:rPr>
        <w:t xml:space="preserve">ет меры </w:t>
      </w:r>
      <w:r w:rsidRPr="00110C04">
        <w:rPr>
          <w:szCs w:val="22"/>
          <w:lang w:val="ru-RU"/>
        </w:rPr>
        <w:t xml:space="preserve">чисто </w:t>
      </w:r>
      <w:r>
        <w:rPr>
          <w:szCs w:val="22"/>
          <w:lang w:val="ru-RU"/>
        </w:rPr>
        <w:t xml:space="preserve">корректирующего </w:t>
      </w:r>
      <w:r w:rsidRPr="00EA6FFA">
        <w:rPr>
          <w:szCs w:val="22"/>
          <w:lang w:val="ru-RU"/>
        </w:rPr>
        <w:t>характер</w:t>
      </w:r>
      <w:r>
        <w:rPr>
          <w:szCs w:val="22"/>
          <w:lang w:val="ru-RU"/>
        </w:rPr>
        <w:t>а</w:t>
      </w:r>
      <w:r w:rsidRPr="00110C04">
        <w:rPr>
          <w:szCs w:val="22"/>
          <w:lang w:val="ru-RU"/>
        </w:rPr>
        <w:t xml:space="preserve"> и не </w:t>
      </w:r>
      <w:r>
        <w:rPr>
          <w:szCs w:val="22"/>
          <w:lang w:val="ru-RU"/>
        </w:rPr>
        <w:t xml:space="preserve">дает ничего для предотвращения </w:t>
      </w:r>
      <w:r w:rsidRPr="00EA6FFA">
        <w:rPr>
          <w:szCs w:val="22"/>
          <w:lang w:val="ru-RU"/>
        </w:rPr>
        <w:t>первоначальн</w:t>
      </w:r>
      <w:r>
        <w:rPr>
          <w:szCs w:val="22"/>
          <w:lang w:val="ru-RU"/>
        </w:rPr>
        <w:t>ого нарушения прав</w:t>
      </w:r>
      <w:r w:rsidRPr="00110C04">
        <w:rPr>
          <w:szCs w:val="22"/>
          <w:lang w:val="ru-RU"/>
        </w:rPr>
        <w:t xml:space="preserve">, а также </w:t>
      </w:r>
      <w:r>
        <w:rPr>
          <w:szCs w:val="22"/>
          <w:lang w:val="ru-RU"/>
        </w:rPr>
        <w:t xml:space="preserve">направила письмо с </w:t>
      </w:r>
      <w:r w:rsidRPr="00EA6FFA">
        <w:rPr>
          <w:szCs w:val="22"/>
          <w:lang w:val="ru-RU"/>
        </w:rPr>
        <w:t>выражени</w:t>
      </w:r>
      <w:r>
        <w:rPr>
          <w:szCs w:val="22"/>
          <w:lang w:val="ru-RU"/>
        </w:rPr>
        <w:t xml:space="preserve">ем своей </w:t>
      </w:r>
      <w:r w:rsidRPr="00110C04">
        <w:rPr>
          <w:szCs w:val="22"/>
          <w:lang w:val="ru-RU"/>
        </w:rPr>
        <w:t xml:space="preserve">обеспокоенности </w:t>
      </w:r>
      <w:r>
        <w:rPr>
          <w:szCs w:val="22"/>
          <w:lang w:val="ru-RU"/>
        </w:rPr>
        <w:t xml:space="preserve">в </w:t>
      </w:r>
      <w:r w:rsidRPr="00417945">
        <w:rPr>
          <w:szCs w:val="22"/>
          <w:lang w:val="ru-RU"/>
        </w:rPr>
        <w:t>ПКК</w:t>
      </w:r>
      <w:r w:rsidRPr="00110C04">
        <w:rPr>
          <w:szCs w:val="22"/>
          <w:lang w:val="ru-RU"/>
        </w:rPr>
        <w:t>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251B56">
        <w:rPr>
          <w:szCs w:val="22"/>
        </w:rPr>
        <w:t>NGPC</w:t>
      </w:r>
      <w:r w:rsidRPr="00251B56">
        <w:rPr>
          <w:szCs w:val="22"/>
          <w:lang w:val="ru-RU"/>
        </w:rPr>
        <w:t xml:space="preserve">, </w:t>
      </w:r>
      <w:r w:rsidRPr="00417945">
        <w:rPr>
          <w:szCs w:val="22"/>
          <w:lang w:val="ru-RU"/>
        </w:rPr>
        <w:t>ПКК</w:t>
      </w:r>
      <w:r w:rsidRPr="00251B56">
        <w:rPr>
          <w:szCs w:val="22"/>
          <w:lang w:val="ru-RU"/>
        </w:rPr>
        <w:t xml:space="preserve"> и МПО провели обсуждения </w:t>
      </w:r>
      <w:r>
        <w:rPr>
          <w:szCs w:val="22"/>
          <w:lang w:val="ru-RU"/>
        </w:rPr>
        <w:t xml:space="preserve">накануне и после </w:t>
      </w:r>
      <w:r w:rsidRPr="00251B56">
        <w:rPr>
          <w:szCs w:val="22"/>
          <w:lang w:val="ru-RU"/>
        </w:rPr>
        <w:t xml:space="preserve">заседания </w:t>
      </w:r>
      <w:r w:rsidRPr="00251B56">
        <w:rPr>
          <w:szCs w:val="22"/>
        </w:rPr>
        <w:t>ICANN</w:t>
      </w:r>
      <w:r w:rsidRPr="00251B56">
        <w:rPr>
          <w:szCs w:val="22"/>
          <w:lang w:val="ru-RU"/>
        </w:rPr>
        <w:t xml:space="preserve"> в Буэнос-Айресе в ноябре 2013</w:t>
      </w:r>
      <w:r w:rsidRPr="00251B56">
        <w:rPr>
          <w:szCs w:val="22"/>
        </w:rPr>
        <w:t> </w:t>
      </w:r>
      <w:r w:rsidRPr="00251B56">
        <w:rPr>
          <w:szCs w:val="22"/>
          <w:lang w:val="ru-RU"/>
        </w:rPr>
        <w:t xml:space="preserve">г. </w:t>
      </w:r>
      <w:r w:rsidRPr="00251B56">
        <w:rPr>
          <w:szCs w:val="22"/>
        </w:rPr>
        <w:t>NGPC</w:t>
      </w:r>
      <w:r w:rsidRPr="00251B56">
        <w:rPr>
          <w:szCs w:val="22"/>
          <w:lang w:val="ru-RU"/>
        </w:rPr>
        <w:t xml:space="preserve"> указал на то, что, хотя конкретные технические моменты в его предложении от октября 2013</w:t>
      </w:r>
      <w:r w:rsidRPr="00251B56">
        <w:rPr>
          <w:szCs w:val="22"/>
        </w:rPr>
        <w:t> </w:t>
      </w:r>
      <w:r w:rsidRPr="00251B56">
        <w:rPr>
          <w:szCs w:val="22"/>
          <w:lang w:val="ru-RU"/>
        </w:rPr>
        <w:t xml:space="preserve">г. можно доработать, полная превентивная охрана сокращенных названий МПО </w:t>
      </w:r>
      <w:r>
        <w:rPr>
          <w:szCs w:val="22"/>
          <w:lang w:val="ru-RU"/>
        </w:rPr>
        <w:t>была намере</w:t>
      </w:r>
      <w:r w:rsidRPr="00251B56">
        <w:rPr>
          <w:szCs w:val="22"/>
          <w:lang w:val="ru-RU"/>
        </w:rPr>
        <w:t xml:space="preserve">нно исключена. </w:t>
      </w:r>
      <w:r w:rsidRPr="00417945">
        <w:rPr>
          <w:szCs w:val="22"/>
          <w:lang w:val="ru-RU"/>
        </w:rPr>
        <w:t>ПКК</w:t>
      </w:r>
      <w:r w:rsidRPr="00251B56">
        <w:rPr>
          <w:szCs w:val="22"/>
          <w:lang w:val="ru-RU"/>
        </w:rPr>
        <w:t xml:space="preserve"> рекомендовал Совету </w:t>
      </w:r>
      <w:r w:rsidRPr="00251B56">
        <w:rPr>
          <w:szCs w:val="22"/>
        </w:rPr>
        <w:t>ICANN</w:t>
      </w:r>
      <w:r w:rsidRPr="00251B56">
        <w:rPr>
          <w:szCs w:val="22"/>
          <w:lang w:val="ru-RU"/>
        </w:rPr>
        <w:t xml:space="preserve"> оставить в силе временные меры охраны сокращенных названий МПО до завершения диалога между </w:t>
      </w:r>
      <w:r w:rsidRPr="00417945">
        <w:rPr>
          <w:szCs w:val="22"/>
          <w:lang w:val="ru-RU"/>
        </w:rPr>
        <w:t>ПКК</w:t>
      </w:r>
      <w:r w:rsidRPr="00251B56">
        <w:rPr>
          <w:szCs w:val="22"/>
          <w:lang w:val="ru-RU"/>
        </w:rPr>
        <w:t xml:space="preserve">, </w:t>
      </w:r>
      <w:r w:rsidRPr="00251B56">
        <w:rPr>
          <w:szCs w:val="22"/>
        </w:rPr>
        <w:t>NGPC</w:t>
      </w:r>
      <w:r w:rsidRPr="00251B56">
        <w:rPr>
          <w:szCs w:val="22"/>
          <w:lang w:val="ru-RU"/>
        </w:rPr>
        <w:t xml:space="preserve"> и МПО </w:t>
      </w:r>
      <w:r>
        <w:rPr>
          <w:szCs w:val="22"/>
          <w:lang w:val="ru-RU"/>
        </w:rPr>
        <w:t xml:space="preserve">о практической </w:t>
      </w:r>
      <w:r w:rsidRPr="00251B56">
        <w:rPr>
          <w:szCs w:val="22"/>
          <w:lang w:val="ru-RU"/>
        </w:rPr>
        <w:t>реализации мер охраны, но воздержался от повторения своей прежней позиции относительно необходимости превентивной охраны</w:t>
      </w:r>
      <w:r w:rsidR="00384EE8" w:rsidRPr="006475B9">
        <w:rPr>
          <w:rStyle w:val="FootnoteReference"/>
          <w:szCs w:val="22"/>
        </w:rPr>
        <w:footnoteReference w:id="54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В </w:t>
      </w:r>
      <w:r w:rsidRPr="00893995">
        <w:rPr>
          <w:szCs w:val="22"/>
          <w:lang w:val="ru-RU"/>
        </w:rPr>
        <w:t>январе 2014</w:t>
      </w:r>
      <w:r w:rsidRPr="00893995">
        <w:rPr>
          <w:szCs w:val="22"/>
        </w:rPr>
        <w:t> </w:t>
      </w:r>
      <w:r w:rsidRPr="00893995">
        <w:rPr>
          <w:szCs w:val="22"/>
          <w:lang w:val="ru-RU"/>
        </w:rPr>
        <w:t xml:space="preserve">г. </w:t>
      </w:r>
      <w:r w:rsidRPr="00893995">
        <w:rPr>
          <w:szCs w:val="22"/>
        </w:rPr>
        <w:t>NGPC</w:t>
      </w:r>
      <w:r w:rsidRPr="00893995">
        <w:rPr>
          <w:szCs w:val="22"/>
          <w:lang w:val="ru-RU"/>
        </w:rPr>
        <w:t xml:space="preserve"> принял резолюцию, продлевающую </w:t>
      </w:r>
      <w:r w:rsidRPr="00893995">
        <w:rPr>
          <w:szCs w:val="22"/>
          <w:lang w:val="ru-RU"/>
        </w:rPr>
        <w:lastRenderedPageBreak/>
        <w:t>действие временной охраны сокращенных названий МПО впредь до приня</w:t>
      </w:r>
      <w:r w:rsidRPr="00251B56">
        <w:rPr>
          <w:szCs w:val="22"/>
          <w:lang w:val="ru-RU"/>
        </w:rPr>
        <w:t xml:space="preserve">тия </w:t>
      </w:r>
      <w:r w:rsidRPr="00251B56">
        <w:rPr>
          <w:szCs w:val="22"/>
        </w:rPr>
        <w:t>NGPC</w:t>
      </w:r>
      <w:r w:rsidRPr="00251B56">
        <w:rPr>
          <w:szCs w:val="22"/>
          <w:lang w:val="ru-RU"/>
        </w:rPr>
        <w:t xml:space="preserve"> окончательного решения</w:t>
      </w:r>
      <w:r w:rsidR="00384EE8" w:rsidRPr="006475B9">
        <w:rPr>
          <w:rStyle w:val="FootnoteReference"/>
          <w:szCs w:val="22"/>
        </w:rPr>
        <w:footnoteReference w:id="55"/>
      </w:r>
      <w:r w:rsidRPr="008973B0">
        <w:rPr>
          <w:szCs w:val="22"/>
          <w:lang w:val="ru-RU"/>
        </w:rPr>
        <w:t>.</w:t>
      </w:r>
    </w:p>
    <w:p w:rsidR="00384EE8" w:rsidRPr="008973B0" w:rsidRDefault="00384EE8" w:rsidP="005E2771">
      <w:pPr>
        <w:tabs>
          <w:tab w:val="left" w:pos="1500"/>
        </w:tabs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251B56">
        <w:rPr>
          <w:szCs w:val="22"/>
          <w:lang w:val="ru-RU"/>
        </w:rPr>
        <w:t xml:space="preserve">Параллельно с этими усилиями </w:t>
      </w:r>
      <w:r w:rsidRPr="00251B56">
        <w:rPr>
          <w:szCs w:val="22"/>
        </w:rPr>
        <w:t>GNSO</w:t>
      </w:r>
      <w:r w:rsidRPr="00251B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инициировал «процесс</w:t>
      </w:r>
      <w:r w:rsidRPr="00251B56">
        <w:rPr>
          <w:szCs w:val="22"/>
          <w:lang w:val="ru-RU"/>
        </w:rPr>
        <w:t xml:space="preserve"> разр</w:t>
      </w:r>
      <w:r w:rsidRPr="00F82B3C">
        <w:rPr>
          <w:szCs w:val="22"/>
          <w:lang w:val="ru-RU"/>
        </w:rPr>
        <w:t xml:space="preserve">аботки политики» (ПРП) по </w:t>
      </w:r>
      <w:r>
        <w:rPr>
          <w:szCs w:val="22"/>
          <w:lang w:val="ru-RU"/>
        </w:rPr>
        <w:t>вопросу об охране МПО, в котором</w:t>
      </w:r>
      <w:r w:rsidRPr="00F82B3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наряду </w:t>
      </w:r>
      <w:r w:rsidRPr="00F82B3C">
        <w:rPr>
          <w:szCs w:val="22"/>
          <w:lang w:val="ru-RU"/>
        </w:rPr>
        <w:t>с другими представителями МПО, участвовал Центр. Вопреки возражениям МПО, в ноябре 2013</w:t>
      </w:r>
      <w:r w:rsidRPr="00F82B3C">
        <w:rPr>
          <w:szCs w:val="22"/>
        </w:rPr>
        <w:t> </w:t>
      </w:r>
      <w:r w:rsidRPr="00F82B3C">
        <w:rPr>
          <w:szCs w:val="22"/>
          <w:lang w:val="ru-RU"/>
        </w:rPr>
        <w:t xml:space="preserve">г. в рамках данной процедуры </w:t>
      </w:r>
      <w:r w:rsidRPr="00F82B3C">
        <w:rPr>
          <w:szCs w:val="22"/>
        </w:rPr>
        <w:t>GNSO</w:t>
      </w:r>
      <w:r w:rsidRPr="00F82B3C">
        <w:rPr>
          <w:szCs w:val="22"/>
          <w:lang w:val="ru-RU"/>
        </w:rPr>
        <w:t xml:space="preserve"> вынес</w:t>
      </w:r>
      <w:r>
        <w:rPr>
          <w:szCs w:val="22"/>
          <w:lang w:val="ru-RU"/>
        </w:rPr>
        <w:t>ла</w:t>
      </w:r>
      <w:r w:rsidRPr="00F82B3C">
        <w:rPr>
          <w:szCs w:val="22"/>
          <w:lang w:val="ru-RU"/>
        </w:rPr>
        <w:t xml:space="preserve"> решение, отвергающее идею превентивной охраны сокращенных названий МПО на втором уровне. </w:t>
      </w:r>
      <w:r w:rsidRPr="00F82B3C">
        <w:rPr>
          <w:szCs w:val="22"/>
        </w:rPr>
        <w:t>GNSO</w:t>
      </w:r>
      <w:r w:rsidRPr="00F82B3C">
        <w:rPr>
          <w:szCs w:val="22"/>
          <w:lang w:val="ru-RU"/>
        </w:rPr>
        <w:t xml:space="preserve"> рекомендовал</w:t>
      </w:r>
      <w:r>
        <w:rPr>
          <w:szCs w:val="22"/>
          <w:lang w:val="ru-RU"/>
        </w:rPr>
        <w:t>а</w:t>
      </w:r>
      <w:r w:rsidRPr="00F82B3C">
        <w:rPr>
          <w:szCs w:val="22"/>
          <w:lang w:val="ru-RU"/>
        </w:rPr>
        <w:t xml:space="preserve"> лишь корректирующие механизмы охраны прав на сокращенные наименования МПО, а также отмену уже вступивших в силу временных мер охраны сокращенных названий МПО. </w:t>
      </w:r>
      <w:r>
        <w:rPr>
          <w:szCs w:val="22"/>
          <w:lang w:val="ru-RU"/>
        </w:rPr>
        <w:t>Совет</w:t>
      </w:r>
      <w:r w:rsidRPr="00E219BB">
        <w:rPr>
          <w:szCs w:val="22"/>
          <w:lang w:val="ru-RU"/>
        </w:rPr>
        <w:t xml:space="preserve"> </w:t>
      </w:r>
      <w:r w:rsidRPr="00E219BB">
        <w:rPr>
          <w:szCs w:val="22"/>
        </w:rPr>
        <w:t>GNSO</w:t>
      </w:r>
      <w:r w:rsidRPr="00E219BB">
        <w:rPr>
          <w:szCs w:val="22"/>
          <w:lang w:val="ru-RU"/>
        </w:rPr>
        <w:t xml:space="preserve"> единогласно </w:t>
      </w:r>
      <w:r>
        <w:rPr>
          <w:szCs w:val="22"/>
          <w:lang w:val="ru-RU"/>
        </w:rPr>
        <w:t>принял</w:t>
      </w:r>
      <w:r w:rsidRPr="00E219BB">
        <w:rPr>
          <w:szCs w:val="22"/>
          <w:lang w:val="ru-RU"/>
        </w:rPr>
        <w:t xml:space="preserve"> эти рекомендации в ноябре 2013</w:t>
      </w:r>
      <w:r w:rsidRPr="00E219BB">
        <w:rPr>
          <w:szCs w:val="22"/>
        </w:rPr>
        <w:t> </w:t>
      </w:r>
      <w:r w:rsidRPr="00E219BB">
        <w:rPr>
          <w:szCs w:val="22"/>
          <w:lang w:val="ru-RU"/>
        </w:rPr>
        <w:t xml:space="preserve">г. Комментируя эти решения в своем письме, МПО выразили свою обеспокоенность, отметив, что </w:t>
      </w:r>
      <w:r>
        <w:rPr>
          <w:szCs w:val="22"/>
          <w:lang w:val="ru-RU"/>
        </w:rPr>
        <w:t>создание</w:t>
      </w:r>
      <w:r w:rsidRPr="00E219BB">
        <w:rPr>
          <w:szCs w:val="22"/>
          <w:lang w:val="ru-RU"/>
        </w:rPr>
        <w:t xml:space="preserve"> этих механизмов в предусматрив</w:t>
      </w:r>
      <w:r>
        <w:rPr>
          <w:szCs w:val="22"/>
          <w:lang w:val="ru-RU"/>
        </w:rPr>
        <w:t xml:space="preserve">аемом </w:t>
      </w:r>
      <w:r w:rsidRPr="00A94ED9">
        <w:rPr>
          <w:szCs w:val="22"/>
          <w:lang w:val="ru-RU"/>
        </w:rPr>
        <w:t>в настоящее время</w:t>
      </w:r>
      <w:r>
        <w:rPr>
          <w:szCs w:val="22"/>
          <w:lang w:val="ru-RU"/>
        </w:rPr>
        <w:t xml:space="preserve"> виде </w:t>
      </w:r>
      <w:r w:rsidRPr="00E219BB">
        <w:rPr>
          <w:szCs w:val="22"/>
          <w:lang w:val="ru-RU"/>
        </w:rPr>
        <w:t xml:space="preserve">будет </w:t>
      </w:r>
      <w:r>
        <w:rPr>
          <w:szCs w:val="22"/>
          <w:lang w:val="ru-RU"/>
        </w:rPr>
        <w:t>означать утрату важной возможности</w:t>
      </w:r>
      <w:r w:rsidRPr="00E219BB">
        <w:rPr>
          <w:szCs w:val="22"/>
          <w:lang w:val="ru-RU"/>
        </w:rPr>
        <w:t xml:space="preserve"> ограничить </w:t>
      </w:r>
      <w:r>
        <w:rPr>
          <w:szCs w:val="22"/>
          <w:lang w:val="ru-RU"/>
        </w:rPr>
        <w:t>неправомерное</w:t>
      </w:r>
      <w:r w:rsidRPr="00E219BB">
        <w:rPr>
          <w:szCs w:val="22"/>
          <w:lang w:val="ru-RU"/>
        </w:rPr>
        <w:t xml:space="preserve"> использование сокращенных наименований МПО в </w:t>
      </w:r>
      <w:r w:rsidRPr="00E219BB">
        <w:rPr>
          <w:szCs w:val="22"/>
        </w:rPr>
        <w:t>DNS</w:t>
      </w:r>
      <w:r w:rsidRPr="00E219BB">
        <w:rPr>
          <w:szCs w:val="22"/>
          <w:lang w:val="ru-RU"/>
        </w:rPr>
        <w:t xml:space="preserve"> до причинения фактического ущерба</w:t>
      </w:r>
      <w:r w:rsidR="00384EE8" w:rsidRPr="006475B9">
        <w:rPr>
          <w:rStyle w:val="FootnoteReference"/>
          <w:szCs w:val="22"/>
        </w:rPr>
        <w:footnoteReference w:id="56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E219BB">
        <w:rPr>
          <w:szCs w:val="22"/>
          <w:lang w:val="ru-RU"/>
        </w:rPr>
        <w:t>В феврале 2014</w:t>
      </w:r>
      <w:r w:rsidRPr="00E219BB">
        <w:rPr>
          <w:szCs w:val="22"/>
        </w:rPr>
        <w:t> </w:t>
      </w:r>
      <w:r w:rsidRPr="00E219BB">
        <w:rPr>
          <w:szCs w:val="22"/>
          <w:lang w:val="ru-RU"/>
        </w:rPr>
        <w:t xml:space="preserve">г. МПО провели встречу с представителем </w:t>
      </w:r>
      <w:r w:rsidRPr="00E219BB">
        <w:rPr>
          <w:szCs w:val="22"/>
        </w:rPr>
        <w:t>ICANN</w:t>
      </w:r>
      <w:r w:rsidRPr="00E219BB">
        <w:rPr>
          <w:szCs w:val="22"/>
          <w:lang w:val="ru-RU"/>
        </w:rPr>
        <w:t xml:space="preserve">, отвечающим за </w:t>
      </w:r>
      <w:r w:rsidRPr="00E219BB">
        <w:rPr>
          <w:szCs w:val="22"/>
        </w:rPr>
        <w:t>NGPC</w:t>
      </w:r>
      <w:r w:rsidRPr="00E219BB">
        <w:rPr>
          <w:szCs w:val="22"/>
          <w:lang w:val="ru-RU"/>
        </w:rPr>
        <w:t xml:space="preserve">, для обсуждения предложения </w:t>
      </w:r>
      <w:r w:rsidRPr="00E219BB">
        <w:rPr>
          <w:szCs w:val="22"/>
        </w:rPr>
        <w:t>NGPC</w:t>
      </w:r>
      <w:r w:rsidRPr="00E219BB">
        <w:rPr>
          <w:szCs w:val="22"/>
          <w:lang w:val="ru-RU"/>
        </w:rPr>
        <w:t>, внесенного в октябре 2013</w:t>
      </w:r>
      <w:r w:rsidRPr="00E219BB">
        <w:rPr>
          <w:szCs w:val="22"/>
        </w:rPr>
        <w:t> </w:t>
      </w:r>
      <w:r w:rsidRPr="00E219BB">
        <w:rPr>
          <w:szCs w:val="22"/>
          <w:lang w:val="ru-RU"/>
        </w:rPr>
        <w:t>г. Позднее, в марте 2014</w:t>
      </w:r>
      <w:r w:rsidRPr="00E219BB">
        <w:rPr>
          <w:szCs w:val="22"/>
        </w:rPr>
        <w:t> </w:t>
      </w:r>
      <w:r w:rsidRPr="00E219BB">
        <w:rPr>
          <w:szCs w:val="22"/>
          <w:lang w:val="ru-RU"/>
        </w:rPr>
        <w:t xml:space="preserve">г. </w:t>
      </w:r>
      <w:r w:rsidRPr="00E219BB">
        <w:rPr>
          <w:szCs w:val="22"/>
        </w:rPr>
        <w:t>NGPC</w:t>
      </w:r>
      <w:r w:rsidRPr="00E219BB">
        <w:rPr>
          <w:szCs w:val="22"/>
          <w:lang w:val="ru-RU"/>
        </w:rPr>
        <w:t xml:space="preserve"> внес проект предложения о создании механизмов охраны прав на сокращенные </w:t>
      </w:r>
      <w:r w:rsidRPr="00A94ED9">
        <w:rPr>
          <w:szCs w:val="22"/>
          <w:lang w:val="ru-RU"/>
        </w:rPr>
        <w:t>наименовани</w:t>
      </w:r>
      <w:r>
        <w:rPr>
          <w:szCs w:val="22"/>
          <w:lang w:val="ru-RU"/>
        </w:rPr>
        <w:t>я</w:t>
      </w:r>
      <w:r w:rsidRPr="00E219BB">
        <w:rPr>
          <w:szCs w:val="22"/>
          <w:lang w:val="ru-RU"/>
        </w:rPr>
        <w:t xml:space="preserve"> МПО, имеющих корректирующий характер. МПО и </w:t>
      </w:r>
      <w:r w:rsidRPr="00E219BB">
        <w:rPr>
          <w:szCs w:val="22"/>
        </w:rPr>
        <w:t>NGPC</w:t>
      </w:r>
      <w:r w:rsidRPr="00E219BB">
        <w:rPr>
          <w:szCs w:val="22"/>
          <w:lang w:val="ru-RU"/>
        </w:rPr>
        <w:t xml:space="preserve"> продолжили обсуждение этого вопроса на совещании в </w:t>
      </w:r>
      <w:r w:rsidRPr="00E219BB">
        <w:rPr>
          <w:szCs w:val="22"/>
        </w:rPr>
        <w:t>ICANN</w:t>
      </w:r>
      <w:r w:rsidRPr="00E219BB">
        <w:rPr>
          <w:szCs w:val="22"/>
          <w:lang w:val="ru-RU"/>
        </w:rPr>
        <w:t xml:space="preserve"> в марте 2014</w:t>
      </w:r>
      <w:r w:rsidRPr="00E219BB">
        <w:rPr>
          <w:szCs w:val="22"/>
        </w:rPr>
        <w:t> </w:t>
      </w:r>
      <w:r w:rsidRPr="00E219BB">
        <w:rPr>
          <w:szCs w:val="22"/>
          <w:lang w:val="ru-RU"/>
        </w:rPr>
        <w:t xml:space="preserve">г., </w:t>
      </w:r>
      <w:r w:rsidRPr="00E219BB">
        <w:rPr>
          <w:rFonts w:eastAsia="SimSun" w:cs="Arial"/>
          <w:szCs w:val="22"/>
          <w:lang w:val="ru-RU"/>
        </w:rPr>
        <w:t>в ходе</w:t>
      </w:r>
      <w:r w:rsidRPr="00E219BB">
        <w:rPr>
          <w:szCs w:val="22"/>
          <w:lang w:val="ru-RU"/>
        </w:rPr>
        <w:t xml:space="preserve"> которого </w:t>
      </w:r>
      <w:r w:rsidRPr="00417945">
        <w:rPr>
          <w:szCs w:val="22"/>
          <w:lang w:val="ru-RU"/>
        </w:rPr>
        <w:t>ПКК</w:t>
      </w:r>
      <w:r w:rsidRPr="00E219BB">
        <w:rPr>
          <w:szCs w:val="22"/>
          <w:lang w:val="ru-RU"/>
        </w:rPr>
        <w:t xml:space="preserve">, в частности, сообщил Совету </w:t>
      </w:r>
      <w:r w:rsidRPr="00E219BB">
        <w:rPr>
          <w:szCs w:val="22"/>
        </w:rPr>
        <w:t>ICANN</w:t>
      </w:r>
      <w:r w:rsidRPr="00E219BB">
        <w:rPr>
          <w:szCs w:val="22"/>
          <w:lang w:val="ru-RU"/>
        </w:rPr>
        <w:t xml:space="preserve"> о том, что он ожидает ответа Совета по вопросу о выполнении предыдущих рекомендаций </w:t>
      </w:r>
      <w:r w:rsidRPr="00417945">
        <w:rPr>
          <w:szCs w:val="22"/>
          <w:lang w:val="ru-RU"/>
        </w:rPr>
        <w:t>ПКК</w:t>
      </w:r>
      <w:r>
        <w:rPr>
          <w:szCs w:val="22"/>
          <w:lang w:val="ru-RU"/>
        </w:rPr>
        <w:t>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tabs>
          <w:tab w:val="left" w:pos="567"/>
        </w:tabs>
        <w:ind w:left="0" w:firstLine="0"/>
        <w:rPr>
          <w:szCs w:val="22"/>
          <w:lang w:val="ru-RU"/>
        </w:rPr>
      </w:pPr>
      <w:r w:rsidRPr="007F4E61">
        <w:rPr>
          <w:szCs w:val="22"/>
          <w:lang w:val="ru-RU"/>
        </w:rPr>
        <w:t>В апреле 2014</w:t>
      </w:r>
      <w:r w:rsidRPr="007F4E61">
        <w:rPr>
          <w:szCs w:val="22"/>
        </w:rPr>
        <w:t> </w:t>
      </w:r>
      <w:r w:rsidRPr="007F4E61">
        <w:rPr>
          <w:szCs w:val="22"/>
          <w:lang w:val="ru-RU"/>
        </w:rPr>
        <w:t xml:space="preserve">г. Совет </w:t>
      </w:r>
      <w:r w:rsidRPr="007F4E61">
        <w:rPr>
          <w:szCs w:val="22"/>
        </w:rPr>
        <w:t>ICANN</w:t>
      </w:r>
      <w:r w:rsidRPr="007F4E61">
        <w:rPr>
          <w:szCs w:val="22"/>
          <w:lang w:val="ru-RU"/>
        </w:rPr>
        <w:t xml:space="preserve"> постановил принять </w:t>
      </w:r>
      <w:r>
        <w:rPr>
          <w:szCs w:val="22"/>
          <w:lang w:val="ru-RU"/>
        </w:rPr>
        <w:t xml:space="preserve">те </w:t>
      </w:r>
      <w:r w:rsidRPr="007F4E61">
        <w:rPr>
          <w:szCs w:val="22"/>
          <w:lang w:val="ru-RU"/>
        </w:rPr>
        <w:t xml:space="preserve">рекомендации Совета </w:t>
      </w:r>
      <w:r w:rsidRPr="007F4E61">
        <w:rPr>
          <w:szCs w:val="22"/>
        </w:rPr>
        <w:t>GNSO</w:t>
      </w:r>
      <w:r>
        <w:rPr>
          <w:szCs w:val="22"/>
          <w:lang w:val="ru-RU"/>
        </w:rPr>
        <w:t xml:space="preserve">, </w:t>
      </w:r>
      <w:r w:rsidRPr="00A94ED9">
        <w:rPr>
          <w:szCs w:val="22"/>
          <w:lang w:val="ru-RU"/>
        </w:rPr>
        <w:t>котор</w:t>
      </w:r>
      <w:r>
        <w:rPr>
          <w:szCs w:val="22"/>
          <w:lang w:val="ru-RU"/>
        </w:rPr>
        <w:t>ые не противоречат рекомендации</w:t>
      </w:r>
      <w:r w:rsidRPr="007F4E61">
        <w:rPr>
          <w:szCs w:val="22"/>
          <w:lang w:val="ru-RU"/>
        </w:rPr>
        <w:t xml:space="preserve"> </w:t>
      </w:r>
      <w:r w:rsidRPr="00417945">
        <w:rPr>
          <w:szCs w:val="22"/>
          <w:lang w:val="ru-RU"/>
        </w:rPr>
        <w:t>ПКК</w:t>
      </w:r>
      <w:r w:rsidRPr="007F4E6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резервирование при </w:t>
      </w:r>
      <w:r w:rsidRPr="007F4E61">
        <w:rPr>
          <w:szCs w:val="22"/>
          <w:lang w:val="ru-RU"/>
        </w:rPr>
        <w:t xml:space="preserve">регистрации полных </w:t>
      </w:r>
      <w:r w:rsidRPr="00A94ED9">
        <w:rPr>
          <w:szCs w:val="22"/>
          <w:lang w:val="ru-RU"/>
        </w:rPr>
        <w:t>наименовани</w:t>
      </w:r>
      <w:r>
        <w:rPr>
          <w:szCs w:val="22"/>
          <w:lang w:val="ru-RU"/>
        </w:rPr>
        <w:t>и</w:t>
      </w:r>
      <w:r w:rsidRPr="007F4E61">
        <w:rPr>
          <w:szCs w:val="22"/>
          <w:lang w:val="ru-RU"/>
        </w:rPr>
        <w:t xml:space="preserve"> МПО на двух языках</w:t>
      </w:r>
      <w:r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 xml:space="preserve">на верхнем и </w:t>
      </w:r>
      <w:r>
        <w:rPr>
          <w:szCs w:val="22"/>
          <w:lang w:val="ru-RU"/>
        </w:rPr>
        <w:t>втором уровнях</w:t>
      </w:r>
      <w:r w:rsidRPr="007F4E61">
        <w:rPr>
          <w:szCs w:val="22"/>
          <w:lang w:val="ru-RU"/>
        </w:rPr>
        <w:t xml:space="preserve"> </w:t>
      </w:r>
      <w:r>
        <w:rPr>
          <w:szCs w:val="22"/>
        </w:rPr>
        <w:t>DNS</w:t>
      </w:r>
      <w:r w:rsidRPr="007F4E61">
        <w:rPr>
          <w:szCs w:val="22"/>
          <w:lang w:val="ru-RU"/>
        </w:rPr>
        <w:t xml:space="preserve">), запросив при этом дополнительное время на </w:t>
      </w:r>
      <w:r>
        <w:rPr>
          <w:szCs w:val="22"/>
          <w:lang w:val="ru-RU"/>
        </w:rPr>
        <w:t xml:space="preserve">изучение </w:t>
      </w:r>
      <w:r w:rsidRPr="007F4E61">
        <w:rPr>
          <w:szCs w:val="22"/>
          <w:lang w:val="ru-RU"/>
        </w:rPr>
        <w:t xml:space="preserve">рекомендаций, </w:t>
      </w:r>
      <w:r w:rsidRPr="00A94ED9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ый на тот </w:t>
      </w:r>
      <w:r w:rsidRPr="00A94ED9">
        <w:rPr>
          <w:szCs w:val="22"/>
          <w:lang w:val="ru-RU"/>
        </w:rPr>
        <w:t>момент</w:t>
      </w:r>
      <w:r>
        <w:rPr>
          <w:szCs w:val="22"/>
          <w:lang w:val="ru-RU"/>
        </w:rPr>
        <w:t xml:space="preserve"> не соответствовали</w:t>
      </w:r>
      <w:r w:rsidRPr="007F4E61">
        <w:rPr>
          <w:szCs w:val="22"/>
          <w:lang w:val="ru-RU"/>
        </w:rPr>
        <w:t xml:space="preserve"> рекомендациям </w:t>
      </w:r>
      <w:r w:rsidRPr="00417945">
        <w:rPr>
          <w:szCs w:val="22"/>
          <w:lang w:val="ru-RU"/>
        </w:rPr>
        <w:t>ПКК</w:t>
      </w:r>
      <w:r w:rsidRPr="007F4E61">
        <w:rPr>
          <w:szCs w:val="22"/>
          <w:lang w:val="ru-RU"/>
        </w:rPr>
        <w:t xml:space="preserve"> (сроки действия «уведомлений о претензиях»</w:t>
      </w:r>
      <w:r w:rsidR="000D6DE0" w:rsidRPr="005E6BA7">
        <w:rPr>
          <w:rStyle w:val="FootnoteReference"/>
          <w:szCs w:val="22"/>
        </w:rPr>
        <w:footnoteReference w:id="57"/>
      </w:r>
      <w:r w:rsidRPr="008973B0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 xml:space="preserve">и потенциальный корректирующий механизм охраны прав). </w:t>
      </w:r>
      <w:r>
        <w:rPr>
          <w:szCs w:val="22"/>
          <w:lang w:val="ru-RU"/>
        </w:rPr>
        <w:t>Несмотря</w:t>
      </w:r>
      <w:r w:rsidRPr="004179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4179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эту</w:t>
      </w:r>
      <w:r w:rsidRPr="00417945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рекомендаци</w:t>
      </w:r>
      <w:r>
        <w:rPr>
          <w:szCs w:val="22"/>
          <w:lang w:val="ru-RU"/>
        </w:rPr>
        <w:t>ю</w:t>
      </w:r>
      <w:r w:rsidRPr="00417945">
        <w:rPr>
          <w:szCs w:val="22"/>
          <w:lang w:val="ru-RU"/>
        </w:rPr>
        <w:t xml:space="preserve"> ПКК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945E4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позици</w:t>
      </w:r>
      <w:r>
        <w:rPr>
          <w:szCs w:val="22"/>
          <w:lang w:val="ru-RU"/>
        </w:rPr>
        <w:t>и</w:t>
      </w:r>
      <w:r w:rsidRPr="00D945E4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МПО</w:t>
      </w:r>
      <w:r w:rsidRPr="00D945E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июне</w:t>
      </w:r>
      <w:r w:rsidRPr="00D945E4">
        <w:rPr>
          <w:szCs w:val="22"/>
          <w:lang w:val="ru-RU"/>
        </w:rPr>
        <w:t xml:space="preserve"> 2014</w:t>
      </w:r>
      <w:r w:rsidRPr="007F4E61">
        <w:rPr>
          <w:szCs w:val="22"/>
        </w:rPr>
        <w:t> </w:t>
      </w:r>
      <w:r>
        <w:rPr>
          <w:szCs w:val="22"/>
          <w:lang w:val="ru-RU"/>
        </w:rPr>
        <w:t>г</w:t>
      </w:r>
      <w:r w:rsidRPr="00D945E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Совет</w:t>
      </w:r>
      <w:r w:rsidRPr="00D945E4">
        <w:rPr>
          <w:szCs w:val="22"/>
          <w:lang w:val="ru-RU"/>
        </w:rPr>
        <w:t xml:space="preserve"> </w:t>
      </w:r>
      <w:r>
        <w:rPr>
          <w:szCs w:val="22"/>
        </w:rPr>
        <w:t>GNSO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принял </w:t>
      </w:r>
      <w:r w:rsidRPr="00A94ED9">
        <w:rPr>
          <w:szCs w:val="22"/>
          <w:lang w:val="ru-RU"/>
        </w:rPr>
        <w:t>решени</w:t>
      </w:r>
      <w:r>
        <w:rPr>
          <w:szCs w:val="22"/>
          <w:lang w:val="ru-RU"/>
        </w:rPr>
        <w:t>е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 инициировании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второго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ПРП, </w:t>
      </w:r>
      <w:r w:rsidRPr="00A94ED9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ого </w:t>
      </w:r>
      <w:r w:rsidRPr="007F4E61">
        <w:rPr>
          <w:szCs w:val="22"/>
          <w:lang w:val="ru-RU"/>
        </w:rPr>
        <w:t>целесообразн</w:t>
      </w:r>
      <w:r>
        <w:rPr>
          <w:szCs w:val="22"/>
          <w:lang w:val="ru-RU"/>
        </w:rPr>
        <w:t>ости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формах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предоставления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Pr="00A94ED9">
        <w:rPr>
          <w:szCs w:val="22"/>
          <w:lang w:val="ru-RU"/>
        </w:rPr>
        <w:t>распоряжени</w:t>
      </w:r>
      <w:r>
        <w:rPr>
          <w:szCs w:val="22"/>
          <w:lang w:val="ru-RU"/>
        </w:rPr>
        <w:t xml:space="preserve">е </w:t>
      </w:r>
      <w:r w:rsidRPr="007F4E61">
        <w:rPr>
          <w:szCs w:val="22"/>
          <w:lang w:val="ru-RU"/>
        </w:rPr>
        <w:t>МПО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корректирующих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МОП</w:t>
      </w:r>
      <w:r w:rsidRPr="00D945E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таких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D945E4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ЕПУС</w:t>
      </w:r>
      <w:r w:rsidRPr="00D945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D945E4">
        <w:rPr>
          <w:szCs w:val="22"/>
          <w:lang w:val="ru-RU"/>
        </w:rPr>
        <w:t xml:space="preserve"> </w:t>
      </w:r>
      <w:r>
        <w:rPr>
          <w:szCs w:val="22"/>
        </w:rPr>
        <w:t>URS</w:t>
      </w:r>
      <w:r w:rsidRPr="00D945E4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>В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октябре</w:t>
      </w:r>
      <w:r w:rsidRPr="00F75A6D">
        <w:rPr>
          <w:szCs w:val="22"/>
          <w:lang w:val="ru-RU"/>
        </w:rPr>
        <w:t xml:space="preserve"> 2014</w:t>
      </w:r>
      <w:r w:rsidRPr="007F4E61">
        <w:rPr>
          <w:szCs w:val="22"/>
        </w:rPr>
        <w:t> </w:t>
      </w:r>
      <w:r>
        <w:rPr>
          <w:szCs w:val="22"/>
          <w:lang w:val="ru-RU"/>
        </w:rPr>
        <w:t>г</w:t>
      </w:r>
      <w:r w:rsidRPr="00F75A6D">
        <w:rPr>
          <w:szCs w:val="22"/>
          <w:lang w:val="ru-RU"/>
        </w:rPr>
        <w:t xml:space="preserve">. </w:t>
      </w:r>
      <w:r w:rsidRPr="00417945">
        <w:rPr>
          <w:szCs w:val="22"/>
          <w:lang w:val="ru-RU"/>
        </w:rPr>
        <w:t>ПКК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подтвердил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F75A6D">
        <w:rPr>
          <w:szCs w:val="22"/>
          <w:lang w:val="ru-RU"/>
        </w:rPr>
        <w:t xml:space="preserve"> предыдущ</w:t>
      </w:r>
      <w:r>
        <w:rPr>
          <w:szCs w:val="22"/>
          <w:lang w:val="ru-RU"/>
        </w:rPr>
        <w:t>ую</w:t>
      </w:r>
      <w:r w:rsidRPr="00F75A6D">
        <w:rPr>
          <w:szCs w:val="22"/>
          <w:lang w:val="ru-RU"/>
        </w:rPr>
        <w:t xml:space="preserve"> рекомендаци</w:t>
      </w:r>
      <w:r>
        <w:rPr>
          <w:szCs w:val="22"/>
          <w:lang w:val="ru-RU"/>
        </w:rPr>
        <w:t>ю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F75A6D">
        <w:rPr>
          <w:szCs w:val="22"/>
          <w:lang w:val="ru-RU"/>
        </w:rPr>
        <w:t xml:space="preserve"> </w:t>
      </w:r>
      <w:r w:rsidRPr="00A94ED9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ости </w:t>
      </w:r>
      <w:r w:rsidRPr="00F75A6D">
        <w:rPr>
          <w:szCs w:val="22"/>
          <w:lang w:val="ru-RU"/>
        </w:rPr>
        <w:t>выработк</w:t>
      </w:r>
      <w:r>
        <w:rPr>
          <w:szCs w:val="22"/>
          <w:lang w:val="ru-RU"/>
        </w:rPr>
        <w:t>и</w:t>
      </w:r>
      <w:r w:rsidRPr="00F75A6D">
        <w:rPr>
          <w:szCs w:val="22"/>
          <w:lang w:val="ru-RU"/>
        </w:rPr>
        <w:t xml:space="preserve"> механизм</w:t>
      </w:r>
      <w:r>
        <w:rPr>
          <w:szCs w:val="22"/>
          <w:lang w:val="ru-RU"/>
        </w:rPr>
        <w:t>а</w:t>
      </w:r>
      <w:r w:rsidRPr="00F75A6D">
        <w:rPr>
          <w:szCs w:val="22"/>
          <w:lang w:val="ru-RU"/>
        </w:rPr>
        <w:t xml:space="preserve"> охран</w:t>
      </w:r>
      <w:r>
        <w:rPr>
          <w:szCs w:val="22"/>
          <w:lang w:val="ru-RU"/>
        </w:rPr>
        <w:t>ы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идентификаторов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МПО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втором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F75A6D">
        <w:rPr>
          <w:szCs w:val="22"/>
          <w:lang w:val="ru-RU"/>
        </w:rPr>
        <w:t xml:space="preserve">, </w:t>
      </w:r>
      <w:r w:rsidRPr="00F75A6D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>е</w:t>
      </w:r>
      <w:r w:rsidRPr="00F75A6D">
        <w:rPr>
          <w:szCs w:val="22"/>
          <w:lang w:val="ru-RU"/>
        </w:rPr>
        <w:t xml:space="preserve"> котор</w:t>
      </w:r>
      <w:r>
        <w:rPr>
          <w:szCs w:val="22"/>
          <w:lang w:val="ru-RU"/>
        </w:rPr>
        <w:t>ого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не требовало бы пересмотра существующей </w:t>
      </w:r>
      <w:r w:rsidRPr="00F75A6D">
        <w:rPr>
          <w:szCs w:val="22"/>
          <w:lang w:val="ru-RU"/>
        </w:rPr>
        <w:t>ЕПУС</w:t>
      </w:r>
      <w:r w:rsidR="000D6DE0" w:rsidRPr="00D90428">
        <w:rPr>
          <w:rStyle w:val="FootnoteReference"/>
          <w:szCs w:val="22"/>
        </w:rPr>
        <w:footnoteReference w:id="58"/>
      </w:r>
      <w:r w:rsidRPr="008973B0">
        <w:rPr>
          <w:szCs w:val="22"/>
          <w:lang w:val="ru-RU"/>
        </w:rPr>
        <w:t>.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январе</w:t>
      </w:r>
      <w:r w:rsidRPr="00F75A6D">
        <w:rPr>
          <w:szCs w:val="22"/>
          <w:lang w:val="ru-RU"/>
        </w:rPr>
        <w:t xml:space="preserve"> 2015</w:t>
      </w:r>
      <w:r w:rsidRPr="00F75A6D">
        <w:rPr>
          <w:szCs w:val="22"/>
        </w:rPr>
        <w:t> </w:t>
      </w:r>
      <w:r>
        <w:rPr>
          <w:szCs w:val="22"/>
          <w:lang w:val="ru-RU"/>
        </w:rPr>
        <w:t>г</w:t>
      </w:r>
      <w:r w:rsidRPr="00F75A6D">
        <w:rPr>
          <w:szCs w:val="22"/>
          <w:lang w:val="ru-RU"/>
        </w:rPr>
        <w:t xml:space="preserve">. </w:t>
      </w:r>
      <w:r>
        <w:rPr>
          <w:szCs w:val="22"/>
        </w:rPr>
        <w:t>NGPC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вновь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попросил </w:t>
      </w:r>
      <w:r w:rsidRPr="00417945">
        <w:rPr>
          <w:szCs w:val="22"/>
          <w:lang w:val="ru-RU"/>
        </w:rPr>
        <w:t>ПКК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представить соображения последнего </w:t>
      </w:r>
      <w:r w:rsidRPr="00A94ED9">
        <w:rPr>
          <w:szCs w:val="22"/>
          <w:lang w:val="ru-RU"/>
        </w:rPr>
        <w:t>относительн</w:t>
      </w:r>
      <w:r>
        <w:rPr>
          <w:szCs w:val="22"/>
          <w:lang w:val="ru-RU"/>
        </w:rPr>
        <w:t xml:space="preserve">о </w:t>
      </w:r>
      <w:r w:rsidRPr="00F75A6D">
        <w:rPr>
          <w:szCs w:val="22"/>
          <w:lang w:val="ru-RU"/>
        </w:rPr>
        <w:t>«характер</w:t>
      </w:r>
      <w:r>
        <w:rPr>
          <w:szCs w:val="22"/>
          <w:lang w:val="ru-RU"/>
        </w:rPr>
        <w:t>а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75A6D">
        <w:rPr>
          <w:szCs w:val="22"/>
          <w:lang w:val="ru-RU"/>
        </w:rPr>
        <w:t xml:space="preserve"> объе</w:t>
      </w:r>
      <w:r>
        <w:rPr>
          <w:szCs w:val="22"/>
          <w:lang w:val="ru-RU"/>
        </w:rPr>
        <w:t>ма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прав </w:t>
      </w:r>
      <w:r w:rsidRPr="00F75A6D">
        <w:rPr>
          <w:szCs w:val="22"/>
          <w:lang w:val="ru-RU"/>
        </w:rPr>
        <w:t>международн</w:t>
      </w:r>
      <w:r>
        <w:rPr>
          <w:szCs w:val="22"/>
          <w:lang w:val="ru-RU"/>
        </w:rPr>
        <w:t xml:space="preserve">ых </w:t>
      </w:r>
      <w:r w:rsidRPr="00F75A6D">
        <w:rPr>
          <w:szCs w:val="22"/>
          <w:lang w:val="ru-RU"/>
        </w:rPr>
        <w:t>правительств</w:t>
      </w:r>
      <w:r>
        <w:rPr>
          <w:szCs w:val="22"/>
          <w:lang w:val="ru-RU"/>
        </w:rPr>
        <w:t xml:space="preserve">енных </w:t>
      </w:r>
      <w:r w:rsidRPr="00F75A6D">
        <w:rPr>
          <w:szCs w:val="22"/>
          <w:lang w:val="ru-RU"/>
        </w:rPr>
        <w:t>организаци</w:t>
      </w:r>
      <w:r>
        <w:rPr>
          <w:szCs w:val="22"/>
          <w:lang w:val="ru-RU"/>
        </w:rPr>
        <w:t xml:space="preserve">й </w:t>
      </w:r>
      <w:r w:rsidRPr="00F75A6D">
        <w:rPr>
          <w:szCs w:val="22"/>
          <w:lang w:val="ru-RU"/>
        </w:rPr>
        <w:t xml:space="preserve">в отношении </w:t>
      </w:r>
      <w:r>
        <w:rPr>
          <w:szCs w:val="22"/>
          <w:lang w:val="ru-RU"/>
        </w:rPr>
        <w:t xml:space="preserve">корректирующих </w:t>
      </w:r>
      <w:r w:rsidRPr="00F75A6D">
        <w:rPr>
          <w:szCs w:val="22"/>
          <w:lang w:val="ru-RU"/>
        </w:rPr>
        <w:t>механизм</w:t>
      </w:r>
      <w:r>
        <w:rPr>
          <w:szCs w:val="22"/>
          <w:lang w:val="ru-RU"/>
        </w:rPr>
        <w:t xml:space="preserve">ов </w:t>
      </w:r>
      <w:r w:rsidRPr="00F75A6D">
        <w:rPr>
          <w:szCs w:val="22"/>
          <w:lang w:val="ru-RU"/>
        </w:rPr>
        <w:t>охран</w:t>
      </w:r>
      <w:r>
        <w:rPr>
          <w:szCs w:val="22"/>
          <w:lang w:val="ru-RU"/>
        </w:rPr>
        <w:t xml:space="preserve">ы прав на их </w:t>
      </w:r>
      <w:r w:rsidRPr="001C7936">
        <w:rPr>
          <w:szCs w:val="22"/>
          <w:lang w:val="ru-RU"/>
        </w:rPr>
        <w:t xml:space="preserve">полные и сокращенные </w:t>
      </w:r>
      <w:r w:rsidRPr="00F75A6D">
        <w:rPr>
          <w:szCs w:val="22"/>
          <w:lang w:val="ru-RU"/>
        </w:rPr>
        <w:t>наименовани</w:t>
      </w:r>
      <w:r>
        <w:rPr>
          <w:szCs w:val="22"/>
          <w:lang w:val="ru-RU"/>
        </w:rPr>
        <w:t>я</w:t>
      </w:r>
      <w:r w:rsidRPr="00F75A6D">
        <w:rPr>
          <w:szCs w:val="22"/>
          <w:lang w:val="ru-RU"/>
        </w:rPr>
        <w:t>»</w:t>
      </w:r>
      <w:r w:rsidR="000D6DE0" w:rsidRPr="00D90428">
        <w:rPr>
          <w:rStyle w:val="FootnoteReference"/>
          <w:szCs w:val="22"/>
        </w:rPr>
        <w:footnoteReference w:id="59"/>
      </w:r>
      <w:r w:rsidRPr="008973B0">
        <w:rPr>
          <w:szCs w:val="22"/>
          <w:lang w:val="ru-RU"/>
        </w:rPr>
        <w:t>.</w:t>
      </w:r>
      <w:r w:rsidR="000D6DE0" w:rsidRPr="008973B0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Параллельно</w:t>
      </w:r>
      <w:r w:rsidRPr="00F75A6D">
        <w:rPr>
          <w:szCs w:val="22"/>
          <w:lang w:val="ru-RU"/>
        </w:rPr>
        <w:t xml:space="preserve"> </w:t>
      </w:r>
      <w:r w:rsidRPr="00417945">
        <w:rPr>
          <w:szCs w:val="22"/>
          <w:lang w:val="ru-RU"/>
        </w:rPr>
        <w:t>ПКК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пояснил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F75A6D">
        <w:rPr>
          <w:szCs w:val="22"/>
          <w:lang w:val="ru-RU"/>
        </w:rPr>
        <w:t xml:space="preserve"> позици</w:t>
      </w:r>
      <w:r>
        <w:rPr>
          <w:szCs w:val="22"/>
          <w:lang w:val="ru-RU"/>
        </w:rPr>
        <w:t>ю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 вопросу об </w:t>
      </w:r>
      <w:r w:rsidRPr="00F75A6D">
        <w:rPr>
          <w:szCs w:val="22"/>
          <w:lang w:val="ru-RU"/>
        </w:rPr>
        <w:t>охран</w:t>
      </w:r>
      <w:r>
        <w:rPr>
          <w:szCs w:val="22"/>
          <w:lang w:val="ru-RU"/>
        </w:rPr>
        <w:t xml:space="preserve">е прав </w:t>
      </w:r>
      <w:r w:rsidRPr="007F4E61">
        <w:rPr>
          <w:szCs w:val="22"/>
          <w:lang w:val="ru-RU"/>
        </w:rPr>
        <w:t>МПО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Рабочей </w:t>
      </w:r>
      <w:r w:rsidRPr="00F75A6D">
        <w:rPr>
          <w:szCs w:val="22"/>
          <w:lang w:val="ru-RU"/>
        </w:rPr>
        <w:t>групп</w:t>
      </w:r>
      <w:r>
        <w:rPr>
          <w:szCs w:val="22"/>
          <w:lang w:val="ru-RU"/>
        </w:rPr>
        <w:t xml:space="preserve">е </w:t>
      </w:r>
      <w:r>
        <w:rPr>
          <w:szCs w:val="22"/>
        </w:rPr>
        <w:t>GNSO</w:t>
      </w:r>
      <w:r w:rsidRPr="00F75A6D">
        <w:rPr>
          <w:szCs w:val="22"/>
          <w:lang w:val="ru-RU"/>
        </w:rPr>
        <w:t xml:space="preserve"> по вопросам</w:t>
      </w:r>
      <w:r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МПО</w:t>
      </w:r>
      <w:r w:rsidR="00687020">
        <w:rPr>
          <w:rStyle w:val="FootnoteReference"/>
          <w:szCs w:val="22"/>
        </w:rPr>
        <w:footnoteReference w:id="60"/>
      </w:r>
      <w:r w:rsidRPr="008973B0">
        <w:rPr>
          <w:szCs w:val="22"/>
          <w:lang w:val="ru-RU"/>
        </w:rPr>
        <w:t>.</w:t>
      </w:r>
      <w:r w:rsidR="00687020" w:rsidRPr="008973B0">
        <w:rPr>
          <w:szCs w:val="22"/>
          <w:lang w:val="ru-RU"/>
        </w:rPr>
        <w:t xml:space="preserve">  </w:t>
      </w:r>
      <w:r w:rsidRPr="00F75A6D">
        <w:rPr>
          <w:szCs w:val="22"/>
          <w:lang w:val="ru-RU"/>
        </w:rPr>
        <w:t>Совместн</w:t>
      </w:r>
      <w:r>
        <w:rPr>
          <w:szCs w:val="22"/>
          <w:lang w:val="ru-RU"/>
        </w:rPr>
        <w:t>о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F75A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Pr="00F75A6D">
        <w:rPr>
          <w:szCs w:val="22"/>
          <w:lang w:val="ru-RU"/>
        </w:rPr>
        <w:t xml:space="preserve"> </w:t>
      </w:r>
      <w:r w:rsidRPr="007F4E61">
        <w:rPr>
          <w:szCs w:val="22"/>
          <w:lang w:val="ru-RU"/>
        </w:rPr>
        <w:t>МПО</w:t>
      </w:r>
      <w:r w:rsidRPr="00F75A6D">
        <w:rPr>
          <w:szCs w:val="22"/>
          <w:lang w:val="ru-RU"/>
        </w:rPr>
        <w:t xml:space="preserve"> Центр </w:t>
      </w:r>
      <w:r>
        <w:rPr>
          <w:szCs w:val="22"/>
          <w:lang w:val="ru-RU"/>
        </w:rPr>
        <w:t xml:space="preserve">продолжает внимательно следить за </w:t>
      </w:r>
      <w:r w:rsidRPr="00F75A6D">
        <w:rPr>
          <w:szCs w:val="22"/>
          <w:lang w:val="ru-RU"/>
        </w:rPr>
        <w:t>обсуждени</w:t>
      </w:r>
      <w:r>
        <w:rPr>
          <w:szCs w:val="22"/>
          <w:lang w:val="ru-RU"/>
        </w:rPr>
        <w:t xml:space="preserve">ем этих </w:t>
      </w:r>
      <w:r w:rsidRPr="00F75A6D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ов </w:t>
      </w:r>
      <w:r w:rsidRPr="00F75A6D">
        <w:rPr>
          <w:szCs w:val="22"/>
          <w:lang w:val="ru-RU"/>
        </w:rPr>
        <w:t>в рамках</w:t>
      </w:r>
      <w:r>
        <w:rPr>
          <w:szCs w:val="22"/>
          <w:lang w:val="ru-RU"/>
        </w:rPr>
        <w:t xml:space="preserve"> </w:t>
      </w:r>
      <w:r>
        <w:rPr>
          <w:szCs w:val="22"/>
        </w:rPr>
        <w:t>ICANN</w:t>
      </w:r>
      <w:r>
        <w:rPr>
          <w:szCs w:val="22"/>
          <w:lang w:val="ru-RU"/>
        </w:rPr>
        <w:t>, уже имеющим долгую историю</w:t>
      </w:r>
      <w:r w:rsidRPr="00F75A6D">
        <w:rPr>
          <w:szCs w:val="22"/>
          <w:lang w:val="ru-RU"/>
        </w:rPr>
        <w:t>.</w:t>
      </w:r>
    </w:p>
    <w:p w:rsidR="00384EE8" w:rsidRPr="008973B0" w:rsidRDefault="00384EE8" w:rsidP="005E2771">
      <w:pPr>
        <w:ind w:right="-143"/>
        <w:rPr>
          <w:szCs w:val="22"/>
          <w:lang w:val="ru-RU"/>
        </w:rPr>
      </w:pPr>
    </w:p>
    <w:p w:rsidR="00B40326" w:rsidRPr="003320C2" w:rsidRDefault="00B40326" w:rsidP="005E2771">
      <w:pPr>
        <w:ind w:right="-143"/>
        <w:rPr>
          <w:szCs w:val="22"/>
          <w:lang w:val="ru-RU"/>
        </w:rPr>
      </w:pPr>
    </w:p>
    <w:p w:rsidR="008973B0" w:rsidRPr="003320C2" w:rsidRDefault="008973B0" w:rsidP="005E2771">
      <w:pPr>
        <w:ind w:right="-143"/>
        <w:rPr>
          <w:szCs w:val="22"/>
          <w:lang w:val="ru-RU"/>
        </w:rPr>
      </w:pPr>
    </w:p>
    <w:p w:rsidR="008973B0" w:rsidRPr="003320C2" w:rsidRDefault="008973B0" w:rsidP="005E2771">
      <w:pPr>
        <w:ind w:right="-143"/>
        <w:rPr>
          <w:szCs w:val="22"/>
          <w:lang w:val="ru-RU"/>
        </w:rPr>
      </w:pPr>
    </w:p>
    <w:p w:rsidR="00384EE8" w:rsidRPr="00D55BC1" w:rsidRDefault="008973B0" w:rsidP="00D55BC1">
      <w:pPr>
        <w:pStyle w:val="ListParagraph"/>
        <w:numPr>
          <w:ilvl w:val="0"/>
          <w:numId w:val="27"/>
        </w:numPr>
        <w:ind w:left="567" w:right="-143" w:firstLine="0"/>
        <w:rPr>
          <w:szCs w:val="22"/>
        </w:rPr>
      </w:pPr>
      <w:r w:rsidRPr="00893995">
        <w:rPr>
          <w:szCs w:val="22"/>
        </w:rPr>
        <w:lastRenderedPageBreak/>
        <w:t>Географические термины</w:t>
      </w:r>
    </w:p>
    <w:p w:rsidR="00384EE8" w:rsidRPr="006475B9" w:rsidRDefault="00384EE8" w:rsidP="005E2771">
      <w:pPr>
        <w:ind w:right="-143"/>
        <w:rPr>
          <w:szCs w:val="22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right="-143" w:firstLine="0"/>
        <w:rPr>
          <w:iCs/>
          <w:szCs w:val="22"/>
          <w:lang w:val="ru-RU"/>
        </w:rPr>
      </w:pPr>
      <w:r w:rsidRPr="00F75A6D">
        <w:rPr>
          <w:szCs w:val="22"/>
          <w:lang w:val="ru-RU"/>
        </w:rPr>
        <w:t xml:space="preserve">В области охраны географических терминов </w:t>
      </w:r>
      <w:r w:rsidRPr="00417945">
        <w:rPr>
          <w:szCs w:val="22"/>
          <w:lang w:val="ru-RU"/>
        </w:rPr>
        <w:t>ПКК</w:t>
      </w:r>
      <w:r w:rsidRPr="00F75A6D">
        <w:rPr>
          <w:szCs w:val="22"/>
          <w:lang w:val="ru-RU"/>
        </w:rPr>
        <w:t>, в частности, выразил обеспокое</w:t>
      </w:r>
      <w:r w:rsidRPr="00CF5546">
        <w:rPr>
          <w:szCs w:val="22"/>
          <w:lang w:val="ru-RU"/>
        </w:rPr>
        <w:t>нность по вопросу об их использовании в новых рДВУ и достаточности их охраны в этой связи</w:t>
      </w:r>
      <w:r w:rsidR="00166C30" w:rsidRPr="002F395E">
        <w:rPr>
          <w:vertAlign w:val="superscript"/>
        </w:rPr>
        <w:footnoteReference w:id="61"/>
      </w:r>
      <w:r w:rsidRPr="008973B0">
        <w:rPr>
          <w:szCs w:val="22"/>
          <w:lang w:val="ru-RU"/>
        </w:rPr>
        <w:t>.</w:t>
      </w:r>
      <w:r w:rsidR="00166C30" w:rsidRPr="008973B0">
        <w:rPr>
          <w:szCs w:val="22"/>
          <w:lang w:val="ru-RU"/>
        </w:rPr>
        <w:t xml:space="preserve">  </w:t>
      </w:r>
      <w:r w:rsidRPr="00CF5546">
        <w:rPr>
          <w:szCs w:val="22"/>
          <w:lang w:val="ru-RU"/>
        </w:rPr>
        <w:t>По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вопросу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о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регистрации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доменов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верхнего</w:t>
      </w:r>
      <w:r w:rsidRPr="008973B0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>уровня</w:t>
      </w:r>
      <w:r w:rsidR="00166C30" w:rsidRPr="002F395E">
        <w:rPr>
          <w:rStyle w:val="FootnoteReference"/>
          <w:szCs w:val="22"/>
        </w:rPr>
        <w:footnoteReference w:id="62"/>
      </w:r>
      <w:r w:rsidR="003320C2">
        <w:rPr>
          <w:szCs w:val="22"/>
          <w:lang w:val="ru-RU"/>
        </w:rPr>
        <w:t xml:space="preserve"> </w:t>
      </w:r>
      <w:r w:rsidRPr="00CF5546">
        <w:rPr>
          <w:szCs w:val="22"/>
          <w:lang w:val="ru-RU"/>
        </w:rPr>
        <w:t xml:space="preserve">«Руководство </w:t>
      </w:r>
      <w:r w:rsidRPr="00CF5546">
        <w:rPr>
          <w:szCs w:val="22"/>
        </w:rPr>
        <w:t>ICANN</w:t>
      </w:r>
      <w:r w:rsidRPr="00CF5546">
        <w:rPr>
          <w:szCs w:val="22"/>
          <w:lang w:val="ru-RU"/>
        </w:rPr>
        <w:t xml:space="preserve"> для заявителя» предусматривает, что «заявки на </w:t>
      </w:r>
      <w:r w:rsidRPr="00294FC2">
        <w:rPr>
          <w:szCs w:val="22"/>
          <w:lang w:val="ru-RU"/>
        </w:rPr>
        <w:t>регистраци</w:t>
      </w:r>
      <w:r>
        <w:rPr>
          <w:szCs w:val="22"/>
          <w:lang w:val="ru-RU"/>
        </w:rPr>
        <w:t xml:space="preserve">ю </w:t>
      </w:r>
      <w:r w:rsidRPr="00CF5546">
        <w:rPr>
          <w:szCs w:val="22"/>
          <w:lang w:val="ru-RU"/>
        </w:rPr>
        <w:t>строк, представляющих собой названия стран или территорий, не будут утверждаться, поскольку Программа ввода новых рДВУ не предусматривает их предоставления в х</w:t>
      </w:r>
      <w:r w:rsidRPr="008D5C87">
        <w:rPr>
          <w:szCs w:val="22"/>
          <w:lang w:val="ru-RU"/>
        </w:rPr>
        <w:t>оде данного раунда приема заявок»</w:t>
      </w:r>
      <w:r w:rsidR="00166C30" w:rsidRPr="002F395E">
        <w:rPr>
          <w:rStyle w:val="FootnoteReference"/>
          <w:szCs w:val="22"/>
        </w:rPr>
        <w:footnoteReference w:id="63"/>
      </w:r>
      <w:r>
        <w:rPr>
          <w:szCs w:val="22"/>
          <w:lang w:val="ru-RU"/>
        </w:rPr>
        <w:t>.</w:t>
      </w:r>
      <w:r w:rsidRPr="008973B0">
        <w:rPr>
          <w:szCs w:val="22"/>
          <w:lang w:val="ru-RU"/>
        </w:rPr>
        <w:t xml:space="preserve"> </w:t>
      </w:r>
      <w:r w:rsidRPr="008D5C87">
        <w:rPr>
          <w:szCs w:val="22"/>
          <w:lang w:val="ru-RU"/>
        </w:rPr>
        <w:t xml:space="preserve">К заявкам на </w:t>
      </w:r>
      <w:r w:rsidRPr="00294FC2">
        <w:rPr>
          <w:szCs w:val="22"/>
          <w:lang w:val="ru-RU"/>
        </w:rPr>
        <w:t>регистраци</w:t>
      </w:r>
      <w:r>
        <w:rPr>
          <w:szCs w:val="22"/>
          <w:lang w:val="ru-RU"/>
        </w:rPr>
        <w:t xml:space="preserve">ю </w:t>
      </w:r>
      <w:r w:rsidRPr="008D5C87">
        <w:rPr>
          <w:szCs w:val="22"/>
          <w:lang w:val="ru-RU"/>
        </w:rPr>
        <w:t>строк, которые</w:t>
      </w:r>
      <w:r>
        <w:rPr>
          <w:szCs w:val="22"/>
          <w:lang w:val="ru-RU"/>
        </w:rPr>
        <w:t xml:space="preserve"> </w:t>
      </w:r>
      <w:r w:rsidRPr="008D5C87">
        <w:rPr>
          <w:szCs w:val="22"/>
        </w:rPr>
        <w:t>ICANN</w:t>
      </w:r>
      <w:r>
        <w:rPr>
          <w:szCs w:val="22"/>
          <w:lang w:val="ru-RU"/>
        </w:rPr>
        <w:t xml:space="preserve"> относит к </w:t>
      </w:r>
      <w:r w:rsidRPr="00294FC2">
        <w:rPr>
          <w:szCs w:val="22"/>
          <w:lang w:val="ru-RU"/>
        </w:rPr>
        <w:t>групп</w:t>
      </w:r>
      <w:r>
        <w:rPr>
          <w:szCs w:val="22"/>
          <w:lang w:val="ru-RU"/>
        </w:rPr>
        <w:t xml:space="preserve">е </w:t>
      </w:r>
      <w:r w:rsidRPr="00294FC2">
        <w:rPr>
          <w:szCs w:val="22"/>
          <w:lang w:val="ru-RU"/>
        </w:rPr>
        <w:t>«некотор</w:t>
      </w:r>
      <w:r>
        <w:rPr>
          <w:szCs w:val="22"/>
          <w:lang w:val="ru-RU"/>
        </w:rPr>
        <w:t>ых иных географических</w:t>
      </w:r>
      <w:r w:rsidRPr="008D5C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наименований</w:t>
      </w:r>
      <w:r w:rsidRPr="00294FC2">
        <w:rPr>
          <w:szCs w:val="22"/>
          <w:lang w:val="ru-RU"/>
        </w:rPr>
        <w:t>»</w:t>
      </w:r>
      <w:r w:rsidRPr="008D5C87">
        <w:rPr>
          <w:szCs w:val="22"/>
          <w:lang w:val="ru-RU"/>
        </w:rPr>
        <w:t>, например, названия столиц стран мира, должны прилагаться документы, подтверждающие, что правительства или государственные органы соответствующих стран поддерживают такие заявки или не имеют возражений против использования таких наименований</w:t>
      </w:r>
      <w:r w:rsidR="00166C30" w:rsidRPr="002F395E">
        <w:rPr>
          <w:rStyle w:val="FootnoteReference"/>
          <w:szCs w:val="22"/>
        </w:rPr>
        <w:footnoteReference w:id="64"/>
      </w:r>
      <w:r w:rsidRPr="008973B0">
        <w:rPr>
          <w:szCs w:val="22"/>
          <w:lang w:val="ru-RU"/>
        </w:rPr>
        <w:t>.</w:t>
      </w:r>
      <w:r w:rsidR="00166C30" w:rsidRPr="008973B0">
        <w:rPr>
          <w:szCs w:val="22"/>
          <w:lang w:val="ru-RU"/>
        </w:rPr>
        <w:t xml:space="preserve"> </w:t>
      </w:r>
    </w:p>
    <w:p w:rsidR="00384EE8" w:rsidRPr="008973B0" w:rsidRDefault="00384EE8" w:rsidP="005E2771">
      <w:pPr>
        <w:rPr>
          <w:iCs/>
          <w:szCs w:val="22"/>
          <w:lang w:val="ru-RU"/>
        </w:rPr>
      </w:pPr>
    </w:p>
    <w:p w:rsidR="00384EE8" w:rsidRPr="008973B0" w:rsidRDefault="008973B0" w:rsidP="005E2771">
      <w:pPr>
        <w:pStyle w:val="ListParagraph"/>
        <w:numPr>
          <w:ilvl w:val="0"/>
          <w:numId w:val="18"/>
        </w:numPr>
        <w:ind w:left="0" w:firstLine="0"/>
        <w:rPr>
          <w:szCs w:val="22"/>
          <w:lang w:val="ru-RU"/>
        </w:rPr>
      </w:pPr>
      <w:r w:rsidRPr="000D5BF9">
        <w:rPr>
          <w:iCs/>
          <w:szCs w:val="22"/>
          <w:lang w:val="ru-RU"/>
        </w:rPr>
        <w:t xml:space="preserve">Члены </w:t>
      </w:r>
      <w:r w:rsidRPr="00417945">
        <w:rPr>
          <w:iCs/>
          <w:szCs w:val="22"/>
          <w:lang w:val="ru-RU"/>
        </w:rPr>
        <w:t>ПКК</w:t>
      </w:r>
      <w:r w:rsidRPr="000D5BF9">
        <w:rPr>
          <w:iCs/>
          <w:szCs w:val="22"/>
          <w:lang w:val="ru-RU"/>
        </w:rPr>
        <w:t xml:space="preserve"> высказали дополнительные оговорки относительно некоторых заявок на создание новых рДВУ по основаниям их близости или совпадения с географическими наименованиями</w:t>
      </w:r>
      <w:r>
        <w:rPr>
          <w:iCs/>
          <w:szCs w:val="22"/>
          <w:lang w:val="ru-RU"/>
        </w:rPr>
        <w:t xml:space="preserve"> </w:t>
      </w:r>
      <w:r w:rsidRPr="000D5BF9">
        <w:rPr>
          <w:iCs/>
          <w:szCs w:val="22"/>
          <w:lang w:val="ru-RU"/>
        </w:rPr>
        <w:t xml:space="preserve">или иными наименованиями, </w:t>
      </w:r>
      <w:r>
        <w:rPr>
          <w:iCs/>
          <w:szCs w:val="22"/>
          <w:lang w:val="ru-RU"/>
        </w:rPr>
        <w:t xml:space="preserve">требующими «особого </w:t>
      </w:r>
      <w:r w:rsidRPr="00294FC2">
        <w:rPr>
          <w:iCs/>
          <w:szCs w:val="22"/>
          <w:lang w:val="ru-RU"/>
        </w:rPr>
        <w:t>подход</w:t>
      </w:r>
      <w:r>
        <w:rPr>
          <w:iCs/>
          <w:szCs w:val="22"/>
          <w:lang w:val="ru-RU"/>
        </w:rPr>
        <w:t>а</w:t>
      </w:r>
      <w:r w:rsidRPr="000D5BF9">
        <w:rPr>
          <w:iCs/>
          <w:szCs w:val="22"/>
          <w:lang w:val="ru-RU"/>
        </w:rPr>
        <w:t>»</w:t>
      </w:r>
      <w:r>
        <w:rPr>
          <w:iCs/>
          <w:szCs w:val="22"/>
          <w:lang w:val="ru-RU"/>
        </w:rPr>
        <w:t>,</w:t>
      </w:r>
      <w:r w:rsidRPr="000D5BF9">
        <w:rPr>
          <w:iCs/>
          <w:szCs w:val="22"/>
          <w:lang w:val="ru-RU"/>
        </w:rPr>
        <w:t xml:space="preserve"> рекомендовав Совету </w:t>
      </w:r>
      <w:r w:rsidRPr="000D5BF9">
        <w:rPr>
          <w:iCs/>
          <w:szCs w:val="22"/>
        </w:rPr>
        <w:t>ICANN</w:t>
      </w:r>
      <w:r w:rsidRPr="000D5BF9">
        <w:rPr>
          <w:iCs/>
          <w:szCs w:val="22"/>
          <w:lang w:val="ru-RU"/>
        </w:rPr>
        <w:t xml:space="preserve"> не принимать по ним никаких решений </w:t>
      </w:r>
      <w:r>
        <w:rPr>
          <w:iCs/>
          <w:szCs w:val="22"/>
          <w:lang w:val="ru-RU"/>
        </w:rPr>
        <w:t xml:space="preserve">после </w:t>
      </w:r>
      <w:r w:rsidRPr="000D5BF9">
        <w:rPr>
          <w:iCs/>
          <w:szCs w:val="22"/>
          <w:lang w:val="ru-RU"/>
        </w:rPr>
        <w:t xml:space="preserve">первоначальной </w:t>
      </w:r>
      <w:r w:rsidRPr="00294FC2">
        <w:rPr>
          <w:iCs/>
          <w:szCs w:val="22"/>
          <w:lang w:val="ru-RU"/>
        </w:rPr>
        <w:t>эксперт</w:t>
      </w:r>
      <w:r>
        <w:rPr>
          <w:iCs/>
          <w:szCs w:val="22"/>
          <w:lang w:val="ru-RU"/>
        </w:rPr>
        <w:t>изы</w:t>
      </w:r>
      <w:r w:rsidRPr="000D5BF9">
        <w:rPr>
          <w:iCs/>
          <w:szCs w:val="22"/>
          <w:lang w:val="ru-RU"/>
        </w:rPr>
        <w:t>, и запросил</w:t>
      </w:r>
      <w:r>
        <w:rPr>
          <w:iCs/>
          <w:szCs w:val="22"/>
          <w:lang w:val="ru-RU"/>
        </w:rPr>
        <w:t xml:space="preserve">и у </w:t>
      </w:r>
      <w:r w:rsidRPr="000D5BF9">
        <w:rPr>
          <w:iCs/>
          <w:szCs w:val="22"/>
          <w:lang w:val="ru-RU"/>
        </w:rPr>
        <w:t xml:space="preserve">Совета </w:t>
      </w:r>
      <w:r>
        <w:rPr>
          <w:iCs/>
          <w:szCs w:val="22"/>
          <w:lang w:val="ru-RU"/>
        </w:rPr>
        <w:t>дальнейших разъяснений</w:t>
      </w:r>
      <w:r w:rsidRPr="000D5BF9">
        <w:rPr>
          <w:iCs/>
          <w:szCs w:val="22"/>
          <w:lang w:val="ru-RU"/>
        </w:rPr>
        <w:t xml:space="preserve"> </w:t>
      </w:r>
      <w:r w:rsidRPr="00294FC2">
        <w:rPr>
          <w:iCs/>
          <w:szCs w:val="22"/>
          <w:lang w:val="ru-RU"/>
        </w:rPr>
        <w:t>по поводу</w:t>
      </w:r>
      <w:r w:rsidRPr="000D5BF9">
        <w:rPr>
          <w:iCs/>
          <w:szCs w:val="22"/>
          <w:lang w:val="ru-RU"/>
        </w:rPr>
        <w:t xml:space="preserve"> возможности исправления заявителями поданных ими заявок на создание новых рДВУ для учета конкретных вопросов, вызывающих озабоченность </w:t>
      </w:r>
      <w:r w:rsidRPr="00417945">
        <w:rPr>
          <w:iCs/>
          <w:szCs w:val="22"/>
          <w:lang w:val="ru-RU"/>
        </w:rPr>
        <w:t>ПКК</w:t>
      </w:r>
      <w:r w:rsidR="00CE1B4E" w:rsidRPr="002F395E">
        <w:rPr>
          <w:rStyle w:val="FootnoteReference"/>
          <w:iCs/>
          <w:szCs w:val="22"/>
        </w:rPr>
        <w:footnoteReference w:id="65"/>
      </w:r>
      <w:r w:rsidRPr="008973B0">
        <w:rPr>
          <w:iCs/>
          <w:szCs w:val="22"/>
          <w:lang w:val="ru-RU"/>
        </w:rPr>
        <w:t>.</w:t>
      </w:r>
    </w:p>
    <w:p w:rsidR="00384EE8" w:rsidRPr="008973B0" w:rsidRDefault="00384EE8" w:rsidP="005E2771">
      <w:pPr>
        <w:rPr>
          <w:szCs w:val="22"/>
          <w:lang w:val="ru-RU"/>
        </w:rPr>
      </w:pPr>
    </w:p>
    <w:p w:rsidR="00384EE8" w:rsidRPr="008973B0" w:rsidRDefault="008973B0" w:rsidP="005E2771">
      <w:pPr>
        <w:pStyle w:val="ListParagraph"/>
        <w:keepLines/>
        <w:numPr>
          <w:ilvl w:val="0"/>
          <w:numId w:val="18"/>
        </w:numPr>
        <w:ind w:left="0" w:firstLine="0"/>
        <w:rPr>
          <w:szCs w:val="24"/>
          <w:lang w:val="ru-RU"/>
        </w:rPr>
      </w:pPr>
      <w:r w:rsidRPr="00EC522A">
        <w:rPr>
          <w:szCs w:val="22"/>
          <w:lang w:val="ru-RU"/>
        </w:rPr>
        <w:t xml:space="preserve">В целом Центр стремился информировать соответствующие отделы Секретариата по вышеизложенным вопросам, в том числе в порядке </w:t>
      </w:r>
      <w:r w:rsidRPr="00294FC2">
        <w:rPr>
          <w:szCs w:val="22"/>
          <w:lang w:val="ru-RU"/>
        </w:rPr>
        <w:t>обеспечени</w:t>
      </w:r>
      <w:r>
        <w:rPr>
          <w:szCs w:val="22"/>
          <w:lang w:val="ru-RU"/>
        </w:rPr>
        <w:t>я</w:t>
      </w:r>
      <w:r w:rsidRPr="00EC522A">
        <w:rPr>
          <w:szCs w:val="22"/>
          <w:lang w:val="ru-RU"/>
        </w:rPr>
        <w:t xml:space="preserve"> работы Постоянного комитета по законодательству в области товарных знаков, промышленных образцов и географических указаний (ПКТЗ)</w:t>
      </w:r>
      <w:r w:rsidR="00384EE8" w:rsidRPr="006475B9">
        <w:rPr>
          <w:rStyle w:val="FootnoteReference"/>
          <w:szCs w:val="22"/>
        </w:rPr>
        <w:footnoteReference w:id="66"/>
      </w:r>
      <w:r w:rsidRPr="008973B0">
        <w:rPr>
          <w:szCs w:val="22"/>
          <w:lang w:val="ru-RU"/>
        </w:rPr>
        <w:t>.</w:t>
      </w:r>
      <w:r w:rsidR="00384EE8" w:rsidRPr="008973B0">
        <w:rPr>
          <w:szCs w:val="22"/>
          <w:lang w:val="ru-RU"/>
        </w:rPr>
        <w:t xml:space="preserve">  </w:t>
      </w:r>
      <w:r w:rsidRPr="00EC522A">
        <w:rPr>
          <w:color w:val="000000"/>
          <w:szCs w:val="22"/>
          <w:lang w:val="ru-RU"/>
        </w:rPr>
        <w:t xml:space="preserve">Секретариат будет продолжать следить за развитием ситуации в </w:t>
      </w:r>
      <w:r w:rsidRPr="00EC522A">
        <w:rPr>
          <w:snapToGrid w:val="0"/>
          <w:color w:val="000000"/>
          <w:szCs w:val="22"/>
          <w:lang w:val="ru-RU"/>
        </w:rPr>
        <w:t>данн</w:t>
      </w:r>
      <w:r w:rsidRPr="00EC522A">
        <w:rPr>
          <w:color w:val="000000"/>
          <w:szCs w:val="22"/>
          <w:lang w:val="ru-RU"/>
        </w:rPr>
        <w:t>ой области и высказывать свои соображения</w:t>
      </w:r>
      <w:r>
        <w:rPr>
          <w:color w:val="000000"/>
          <w:szCs w:val="22"/>
          <w:lang w:val="ru-RU"/>
        </w:rPr>
        <w:t xml:space="preserve"> </w:t>
      </w:r>
      <w:r w:rsidRPr="00EC522A">
        <w:rPr>
          <w:color w:val="000000"/>
          <w:szCs w:val="22"/>
          <w:lang w:val="ru-RU"/>
        </w:rPr>
        <w:t>по мере возможности</w:t>
      </w:r>
      <w:r>
        <w:rPr>
          <w:color w:val="000000"/>
          <w:szCs w:val="22"/>
          <w:lang w:val="ru-RU"/>
        </w:rPr>
        <w:t>.</w:t>
      </w:r>
    </w:p>
    <w:p w:rsidR="00FD4971" w:rsidRDefault="00FD4971">
      <w:pPr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384EE8" w:rsidRPr="008973B0" w:rsidRDefault="00384EE8" w:rsidP="005E2771">
      <w:pPr>
        <w:keepLines/>
        <w:rPr>
          <w:szCs w:val="24"/>
          <w:lang w:val="ru-RU"/>
        </w:rPr>
      </w:pPr>
    </w:p>
    <w:p w:rsidR="00384EE8" w:rsidRPr="008973B0" w:rsidRDefault="008973B0" w:rsidP="00E105A8">
      <w:pPr>
        <w:pStyle w:val="DecisionInvitingPara"/>
        <w:numPr>
          <w:ilvl w:val="0"/>
          <w:numId w:val="18"/>
        </w:numPr>
        <w:spacing w:after="0"/>
        <w:ind w:left="5533" w:firstLine="0"/>
        <w:rPr>
          <w:sz w:val="22"/>
          <w:szCs w:val="22"/>
          <w:lang w:val="ru-RU"/>
        </w:rPr>
      </w:pPr>
      <w:r w:rsidRPr="00EC522A">
        <w:rPr>
          <w:sz w:val="22"/>
          <w:szCs w:val="22"/>
          <w:lang w:val="ru-RU"/>
        </w:rPr>
        <w:t>Генеральной Ассамблее ВОИС предлагается принять к сведению содержание документа «Центр ВОИС по арбитражу и посредничеству, включая доменные имена» (</w:t>
      </w:r>
      <w:r w:rsidRPr="00EC522A">
        <w:rPr>
          <w:sz w:val="22"/>
          <w:szCs w:val="22"/>
        </w:rPr>
        <w:t>WO</w:t>
      </w:r>
      <w:r w:rsidRPr="00EC522A">
        <w:rPr>
          <w:sz w:val="22"/>
          <w:szCs w:val="22"/>
          <w:lang w:val="ru-RU"/>
        </w:rPr>
        <w:t>/</w:t>
      </w:r>
      <w:r w:rsidRPr="00EC522A">
        <w:rPr>
          <w:sz w:val="22"/>
          <w:szCs w:val="22"/>
        </w:rPr>
        <w:t>GA</w:t>
      </w:r>
      <w:r w:rsidRPr="00EC522A">
        <w:rPr>
          <w:sz w:val="22"/>
          <w:szCs w:val="22"/>
          <w:lang w:val="ru-RU"/>
        </w:rPr>
        <w:t>/47/14).</w:t>
      </w:r>
    </w:p>
    <w:p w:rsidR="00BE6F54" w:rsidRPr="008973B0" w:rsidRDefault="00BE6F54" w:rsidP="00E105A8">
      <w:pPr>
        <w:pStyle w:val="DecisionInvitingPara"/>
        <w:spacing w:after="0"/>
        <w:ind w:left="5533"/>
        <w:rPr>
          <w:i w:val="0"/>
          <w:sz w:val="22"/>
          <w:szCs w:val="22"/>
          <w:lang w:val="ru-RU"/>
        </w:rPr>
      </w:pPr>
    </w:p>
    <w:p w:rsidR="00F52A26" w:rsidRPr="008973B0" w:rsidRDefault="00F52A26" w:rsidP="00E105A8">
      <w:pPr>
        <w:pStyle w:val="DecisionInvitingPara"/>
        <w:spacing w:after="0"/>
        <w:ind w:left="5533"/>
        <w:rPr>
          <w:i w:val="0"/>
          <w:sz w:val="22"/>
          <w:szCs w:val="22"/>
          <w:lang w:val="ru-RU"/>
        </w:rPr>
      </w:pPr>
    </w:p>
    <w:p w:rsidR="00F52A26" w:rsidRPr="008973B0" w:rsidRDefault="00F52A26" w:rsidP="00E105A8">
      <w:pPr>
        <w:pStyle w:val="DecisionInvitingPara"/>
        <w:spacing w:after="0"/>
        <w:ind w:left="5533"/>
        <w:rPr>
          <w:i w:val="0"/>
          <w:sz w:val="22"/>
          <w:szCs w:val="22"/>
          <w:lang w:val="ru-RU"/>
        </w:rPr>
      </w:pPr>
    </w:p>
    <w:p w:rsidR="002928D3" w:rsidRPr="00E105A8" w:rsidRDefault="008973B0" w:rsidP="00E105A8">
      <w:pPr>
        <w:ind w:left="5533"/>
      </w:pPr>
      <w:r>
        <w:rPr>
          <w:szCs w:val="22"/>
        </w:rPr>
        <w:t>[</w:t>
      </w:r>
      <w:r>
        <w:rPr>
          <w:szCs w:val="22"/>
          <w:lang w:val="ru-RU"/>
        </w:rPr>
        <w:t>Конец</w:t>
      </w:r>
      <w:r w:rsidRPr="00EC522A">
        <w:rPr>
          <w:szCs w:val="22"/>
        </w:rPr>
        <w:t xml:space="preserve"> </w:t>
      </w:r>
      <w:r w:rsidRPr="00EC522A">
        <w:rPr>
          <w:szCs w:val="22"/>
          <w:lang w:val="ru-RU"/>
        </w:rPr>
        <w:t>документ</w:t>
      </w:r>
      <w:r>
        <w:rPr>
          <w:szCs w:val="22"/>
          <w:lang w:val="ru-RU"/>
        </w:rPr>
        <w:t>а</w:t>
      </w:r>
      <w:r>
        <w:rPr>
          <w:szCs w:val="22"/>
        </w:rPr>
        <w:t>]</w:t>
      </w:r>
    </w:p>
    <w:sectPr w:rsidR="002928D3" w:rsidRPr="00E105A8" w:rsidSect="00FD24D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57" w:rsidRDefault="00627957">
      <w:r>
        <w:separator/>
      </w:r>
    </w:p>
  </w:endnote>
  <w:endnote w:type="continuationSeparator" w:id="0">
    <w:p w:rsidR="00627957" w:rsidRDefault="00627957" w:rsidP="003B38C1">
      <w:r>
        <w:separator/>
      </w:r>
    </w:p>
    <w:p w:rsidR="00627957" w:rsidRPr="003B38C1" w:rsidRDefault="006279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7957" w:rsidRPr="003B38C1" w:rsidRDefault="006279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57" w:rsidRDefault="00627957">
      <w:r>
        <w:separator/>
      </w:r>
    </w:p>
  </w:footnote>
  <w:footnote w:type="continuationSeparator" w:id="0">
    <w:p w:rsidR="00627957" w:rsidRDefault="00627957" w:rsidP="008B60B2">
      <w:r>
        <w:separator/>
      </w:r>
    </w:p>
    <w:p w:rsidR="00627957" w:rsidRPr="00ED77FB" w:rsidRDefault="006279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7957" w:rsidRPr="00ED77FB" w:rsidRDefault="006279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A720F" w:rsidRPr="003320C2" w:rsidRDefault="00CA720F" w:rsidP="00BA1B8B">
      <w:pPr>
        <w:pStyle w:val="FootnoteText"/>
        <w:tabs>
          <w:tab w:val="left" w:pos="567"/>
        </w:tabs>
        <w:rPr>
          <w:szCs w:val="18"/>
          <w:u w:val="single"/>
          <w:lang w:val="ru-RU"/>
        </w:rPr>
      </w:pPr>
      <w:r w:rsidRPr="004B7471">
        <w:rPr>
          <w:rStyle w:val="FootnoteReference"/>
          <w:szCs w:val="18"/>
        </w:rPr>
        <w:footnoteRef/>
      </w:r>
      <w:r w:rsidR="003320C2" w:rsidRPr="003320C2">
        <w:rPr>
          <w:szCs w:val="18"/>
          <w:lang w:val="ru-RU"/>
        </w:rPr>
        <w:t xml:space="preserve"> </w:t>
      </w:r>
      <w:r w:rsidR="003320C2">
        <w:rPr>
          <w:szCs w:val="18"/>
          <w:lang w:val="ru-RU"/>
        </w:rPr>
        <w:tab/>
        <w:t>См.</w:t>
      </w:r>
      <w:r w:rsidRPr="003320C2">
        <w:rPr>
          <w:szCs w:val="18"/>
          <w:lang w:val="ru-RU"/>
        </w:rPr>
        <w:t xml:space="preserve"> </w:t>
      </w:r>
      <w:r w:rsidR="00991391">
        <w:fldChar w:fldCharType="begin"/>
      </w:r>
      <w:r w:rsidR="00991391">
        <w:instrText xml:space="preserve"> HYPERLINK "http://www.wipo.int/edocs/mdocs/govbody/en/wo_ga_46/wo_ga_46_8.pdf" </w:instrText>
      </w:r>
      <w:r w:rsidR="00991391">
        <w:fldChar w:fldCharType="separate"/>
      </w:r>
      <w:r w:rsidRPr="003A09DF">
        <w:t>http</w:t>
      </w:r>
      <w:r w:rsidRPr="003320C2">
        <w:rPr>
          <w:lang w:val="ru-RU"/>
        </w:rPr>
        <w:t>://</w:t>
      </w:r>
      <w:r w:rsidRPr="003A09DF">
        <w:t>www</w:t>
      </w:r>
      <w:r w:rsidRPr="003320C2">
        <w:rPr>
          <w:lang w:val="ru-RU"/>
        </w:rPr>
        <w:t>.</w:t>
      </w:r>
      <w:r w:rsidRPr="003A09DF">
        <w:t>wipo</w:t>
      </w:r>
      <w:r w:rsidRPr="003320C2">
        <w:rPr>
          <w:lang w:val="ru-RU"/>
        </w:rPr>
        <w:t>.</w:t>
      </w:r>
      <w:r w:rsidRPr="003A09DF">
        <w:t>int</w:t>
      </w:r>
      <w:r w:rsidRPr="003320C2">
        <w:rPr>
          <w:lang w:val="ru-RU"/>
        </w:rPr>
        <w:t>/</w:t>
      </w:r>
      <w:r w:rsidRPr="003A09DF">
        <w:t>edocs</w:t>
      </w:r>
      <w:r w:rsidRPr="003320C2">
        <w:rPr>
          <w:lang w:val="ru-RU"/>
        </w:rPr>
        <w:t>/</w:t>
      </w:r>
      <w:r w:rsidRPr="003A09DF">
        <w:t>mdocs</w:t>
      </w:r>
      <w:r w:rsidRPr="003320C2">
        <w:rPr>
          <w:lang w:val="ru-RU"/>
        </w:rPr>
        <w:t>/</w:t>
      </w:r>
      <w:r w:rsidRPr="003A09DF">
        <w:t>govbody</w:t>
      </w:r>
      <w:r w:rsidRPr="003320C2">
        <w:rPr>
          <w:lang w:val="ru-RU"/>
        </w:rPr>
        <w:t>/</w:t>
      </w:r>
      <w:r w:rsidRPr="003A09DF">
        <w:t>en</w:t>
      </w:r>
      <w:r w:rsidRPr="003320C2">
        <w:rPr>
          <w:lang w:val="ru-RU"/>
        </w:rPr>
        <w:t>/</w:t>
      </w:r>
      <w:r w:rsidRPr="003A09DF">
        <w:t>wo</w:t>
      </w:r>
      <w:r w:rsidRPr="003320C2">
        <w:rPr>
          <w:lang w:val="ru-RU"/>
        </w:rPr>
        <w:t>_</w:t>
      </w:r>
      <w:r w:rsidRPr="003A09DF">
        <w:t>ga</w:t>
      </w:r>
      <w:r w:rsidRPr="003320C2">
        <w:rPr>
          <w:lang w:val="ru-RU"/>
        </w:rPr>
        <w:t>_46/</w:t>
      </w:r>
      <w:r w:rsidRPr="003A09DF">
        <w:t>wo</w:t>
      </w:r>
      <w:r w:rsidRPr="003320C2">
        <w:rPr>
          <w:lang w:val="ru-RU"/>
        </w:rPr>
        <w:t>_</w:t>
      </w:r>
      <w:r w:rsidRPr="003A09DF">
        <w:t>ga</w:t>
      </w:r>
      <w:r w:rsidRPr="003320C2">
        <w:rPr>
          <w:lang w:val="ru-RU"/>
        </w:rPr>
        <w:t>_46_8.</w:t>
      </w:r>
      <w:r w:rsidRPr="003A09DF">
        <w:t>pdf</w:t>
      </w:r>
      <w:r w:rsidR="00991391">
        <w:fldChar w:fldCharType="end"/>
      </w:r>
      <w:r w:rsidRPr="003320C2">
        <w:rPr>
          <w:szCs w:val="18"/>
          <w:lang w:val="ru-RU"/>
        </w:rPr>
        <w:t xml:space="preserve">.  </w:t>
      </w:r>
      <w:r w:rsidRPr="003320C2">
        <w:rPr>
          <w:szCs w:val="18"/>
          <w:u w:val="single"/>
          <w:lang w:val="ru-RU"/>
        </w:rPr>
        <w:t xml:space="preserve"> </w:t>
      </w:r>
    </w:p>
  </w:footnote>
  <w:footnote w:id="3">
    <w:p w:rsidR="00CA720F" w:rsidRPr="00CA720F" w:rsidRDefault="00CA720F" w:rsidP="00DF4485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226E01">
        <w:rPr>
          <w:szCs w:val="18"/>
          <w:lang w:val="ru-RU"/>
        </w:rPr>
        <w:t xml:space="preserve">С перечнем всех </w:t>
      </w:r>
      <w:r>
        <w:rPr>
          <w:szCs w:val="18"/>
          <w:lang w:val="ru-RU"/>
        </w:rPr>
        <w:t xml:space="preserve">проводимых </w:t>
      </w:r>
      <w:r w:rsidRPr="00226E01">
        <w:rPr>
          <w:szCs w:val="18"/>
          <w:lang w:val="ru-RU"/>
        </w:rPr>
        <w:t>Центром</w:t>
      </w:r>
      <w:r>
        <w:rPr>
          <w:szCs w:val="18"/>
          <w:lang w:val="ru-RU"/>
        </w:rPr>
        <w:t xml:space="preserve"> </w:t>
      </w:r>
      <w:r w:rsidRPr="00226E01">
        <w:rPr>
          <w:szCs w:val="18"/>
          <w:lang w:val="ru-RU"/>
        </w:rPr>
        <w:t>семинаров и других мероприятий</w:t>
      </w:r>
      <w:r>
        <w:rPr>
          <w:szCs w:val="18"/>
          <w:lang w:val="ru-RU"/>
        </w:rPr>
        <w:t xml:space="preserve"> </w:t>
      </w:r>
      <w:r w:rsidRPr="00226E01">
        <w:rPr>
          <w:szCs w:val="18"/>
          <w:lang w:val="ru-RU"/>
        </w:rPr>
        <w:t>можно ознакомиться по адресу</w:t>
      </w:r>
      <w:r>
        <w:rPr>
          <w:szCs w:val="18"/>
          <w:lang w:val="ru-RU"/>
        </w:rPr>
        <w:t>:</w:t>
      </w:r>
      <w:r w:rsidRPr="00226E01">
        <w:rPr>
          <w:szCs w:val="18"/>
          <w:lang w:val="ru-RU"/>
        </w:rPr>
        <w:t xml:space="preserve"> </w:t>
      </w:r>
      <w:r>
        <w:rPr>
          <w:szCs w:val="18"/>
        </w:rPr>
        <w:t>http</w:t>
      </w:r>
      <w:r w:rsidRPr="00226E01">
        <w:rPr>
          <w:szCs w:val="18"/>
          <w:lang w:val="ru-RU"/>
        </w:rPr>
        <w:t>://</w:t>
      </w:r>
      <w:r>
        <w:rPr>
          <w:szCs w:val="18"/>
        </w:rPr>
        <w:t>www</w:t>
      </w:r>
      <w:r w:rsidRPr="00226E01">
        <w:rPr>
          <w:szCs w:val="18"/>
          <w:lang w:val="ru-RU"/>
        </w:rPr>
        <w:t>.</w:t>
      </w:r>
      <w:r>
        <w:rPr>
          <w:szCs w:val="18"/>
        </w:rPr>
        <w:t>wipo</w:t>
      </w:r>
      <w:r w:rsidRPr="00226E01">
        <w:rPr>
          <w:szCs w:val="18"/>
          <w:lang w:val="ru-RU"/>
        </w:rPr>
        <w:t>.</w:t>
      </w:r>
      <w:r>
        <w:rPr>
          <w:szCs w:val="18"/>
        </w:rPr>
        <w:t>int</w:t>
      </w:r>
      <w:r w:rsidRPr="00226E01">
        <w:rPr>
          <w:szCs w:val="18"/>
          <w:lang w:val="ru-RU"/>
        </w:rPr>
        <w:t>/</w:t>
      </w:r>
      <w:r>
        <w:rPr>
          <w:szCs w:val="18"/>
        </w:rPr>
        <w:t>amc</w:t>
      </w:r>
      <w:r w:rsidRPr="00226E01">
        <w:rPr>
          <w:szCs w:val="18"/>
          <w:lang w:val="ru-RU"/>
        </w:rPr>
        <w:t>/</w:t>
      </w:r>
      <w:r>
        <w:rPr>
          <w:szCs w:val="18"/>
        </w:rPr>
        <w:t>en</w:t>
      </w:r>
      <w:r w:rsidRPr="00226E01">
        <w:rPr>
          <w:szCs w:val="18"/>
          <w:lang w:val="ru-RU"/>
        </w:rPr>
        <w:t>/</w:t>
      </w:r>
      <w:r>
        <w:rPr>
          <w:szCs w:val="18"/>
        </w:rPr>
        <w:t>events</w:t>
      </w:r>
      <w:r w:rsidRPr="00226E01">
        <w:rPr>
          <w:szCs w:val="18"/>
          <w:lang w:val="ru-RU"/>
        </w:rPr>
        <w:t>.</w:t>
      </w:r>
    </w:p>
  </w:footnote>
  <w:footnote w:id="4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9D416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226E01">
        <w:rPr>
          <w:szCs w:val="18"/>
          <w:lang w:val="ru-RU"/>
        </w:rPr>
        <w:t xml:space="preserve">ECAF </w:t>
      </w:r>
      <w:r>
        <w:rPr>
          <w:szCs w:val="18"/>
          <w:lang w:val="ru-RU"/>
        </w:rPr>
        <w:t xml:space="preserve">обеспечивает электронную передачу </w:t>
      </w:r>
      <w:r w:rsidRPr="0072432B">
        <w:rPr>
          <w:szCs w:val="18"/>
          <w:lang w:val="ru-RU"/>
        </w:rPr>
        <w:t>материал</w:t>
      </w:r>
      <w:r>
        <w:rPr>
          <w:szCs w:val="18"/>
          <w:lang w:val="ru-RU"/>
        </w:rPr>
        <w:t>ов дел и хранение документов</w:t>
      </w:r>
      <w:r w:rsidRPr="00226E01">
        <w:rPr>
          <w:szCs w:val="18"/>
          <w:lang w:val="ru-RU"/>
        </w:rPr>
        <w:t xml:space="preserve"> в электронном виде, что </w:t>
      </w:r>
      <w:r>
        <w:rPr>
          <w:szCs w:val="18"/>
          <w:lang w:val="ru-RU"/>
        </w:rPr>
        <w:t xml:space="preserve">позволяет </w:t>
      </w:r>
      <w:r w:rsidRPr="00226E01">
        <w:rPr>
          <w:szCs w:val="18"/>
          <w:lang w:val="ru-RU"/>
        </w:rPr>
        <w:t>экономит</w:t>
      </w:r>
      <w:r>
        <w:rPr>
          <w:szCs w:val="18"/>
          <w:lang w:val="ru-RU"/>
        </w:rPr>
        <w:t>ь</w:t>
      </w:r>
      <w:r w:rsidRPr="00226E01">
        <w:rPr>
          <w:szCs w:val="18"/>
          <w:lang w:val="ru-RU"/>
        </w:rPr>
        <w:t xml:space="preserve"> время и </w:t>
      </w:r>
      <w:r w:rsidRPr="003562BB">
        <w:rPr>
          <w:szCs w:val="18"/>
          <w:lang w:val="ru-RU"/>
        </w:rPr>
        <w:t>финансов</w:t>
      </w:r>
      <w:r>
        <w:rPr>
          <w:szCs w:val="18"/>
          <w:lang w:val="ru-RU"/>
        </w:rPr>
        <w:t xml:space="preserve">ые </w:t>
      </w:r>
      <w:r w:rsidRPr="003562BB">
        <w:rPr>
          <w:szCs w:val="18"/>
          <w:lang w:val="ru-RU"/>
        </w:rPr>
        <w:t>ресурс</w:t>
      </w:r>
      <w:r>
        <w:rPr>
          <w:szCs w:val="18"/>
          <w:lang w:val="ru-RU"/>
        </w:rPr>
        <w:t>ы</w:t>
      </w:r>
      <w:r w:rsidRPr="00226E01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при </w:t>
      </w:r>
      <w:r w:rsidRPr="003562BB">
        <w:rPr>
          <w:szCs w:val="18"/>
          <w:lang w:val="ru-RU"/>
        </w:rPr>
        <w:t>осуществлени</w:t>
      </w:r>
      <w:r>
        <w:rPr>
          <w:szCs w:val="18"/>
          <w:lang w:val="ru-RU"/>
        </w:rPr>
        <w:t>и</w:t>
      </w:r>
      <w:r w:rsidRPr="00226E01">
        <w:rPr>
          <w:szCs w:val="18"/>
          <w:lang w:val="ru-RU"/>
        </w:rPr>
        <w:t xml:space="preserve"> процедур посредничества и арбитража. </w:t>
      </w:r>
      <w:r w:rsidRPr="00EE5914">
        <w:rPr>
          <w:szCs w:val="18"/>
          <w:lang w:val="ru-RU"/>
        </w:rPr>
        <w:t xml:space="preserve">См.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www</w:t>
      </w:r>
      <w:r w:rsidRPr="00EE5914">
        <w:rPr>
          <w:szCs w:val="18"/>
          <w:lang w:val="ru-RU"/>
        </w:rPr>
        <w:t>.</w:t>
      </w:r>
      <w:r>
        <w:rPr>
          <w:szCs w:val="18"/>
        </w:rPr>
        <w:t>wipo</w:t>
      </w:r>
      <w:r w:rsidRPr="00EE5914">
        <w:rPr>
          <w:szCs w:val="18"/>
          <w:lang w:val="ru-RU"/>
        </w:rPr>
        <w:t>.</w:t>
      </w:r>
      <w:r>
        <w:rPr>
          <w:szCs w:val="18"/>
        </w:rPr>
        <w:t>int</w:t>
      </w:r>
      <w:r w:rsidRPr="00EE5914">
        <w:rPr>
          <w:szCs w:val="18"/>
          <w:lang w:val="ru-RU"/>
        </w:rPr>
        <w:t>/</w:t>
      </w:r>
      <w:r>
        <w:rPr>
          <w:szCs w:val="18"/>
        </w:rPr>
        <w:t>amc</w:t>
      </w:r>
      <w:r w:rsidRPr="00EE5914">
        <w:rPr>
          <w:szCs w:val="18"/>
          <w:lang w:val="ru-RU"/>
        </w:rPr>
        <w:t>/</w:t>
      </w:r>
      <w:r>
        <w:rPr>
          <w:szCs w:val="18"/>
        </w:rPr>
        <w:t>en</w:t>
      </w:r>
      <w:r w:rsidRPr="00EE5914">
        <w:rPr>
          <w:szCs w:val="18"/>
          <w:lang w:val="ru-RU"/>
        </w:rPr>
        <w:t>/</w:t>
      </w:r>
      <w:r>
        <w:rPr>
          <w:szCs w:val="18"/>
        </w:rPr>
        <w:t>ecaf</w:t>
      </w:r>
      <w:r w:rsidRPr="00EE5914">
        <w:rPr>
          <w:szCs w:val="18"/>
          <w:lang w:val="ru-RU"/>
        </w:rPr>
        <w:t>/</w:t>
      </w:r>
      <w:r>
        <w:rPr>
          <w:szCs w:val="18"/>
        </w:rPr>
        <w:t>index</w:t>
      </w:r>
      <w:r w:rsidRPr="00EE5914">
        <w:rPr>
          <w:szCs w:val="18"/>
          <w:lang w:val="ru-RU"/>
        </w:rPr>
        <w:t>.</w:t>
      </w:r>
      <w:r>
        <w:rPr>
          <w:szCs w:val="18"/>
        </w:rPr>
        <w:t>html</w:t>
      </w:r>
      <w:r w:rsidRPr="00EE5914">
        <w:rPr>
          <w:szCs w:val="18"/>
          <w:lang w:val="ru-RU"/>
        </w:rPr>
        <w:t>.</w:t>
      </w:r>
    </w:p>
  </w:footnote>
  <w:footnote w:id="5">
    <w:p w:rsidR="00CA720F" w:rsidRPr="00CA720F" w:rsidRDefault="00CA720F" w:rsidP="005F7F3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EE5914">
        <w:rPr>
          <w:szCs w:val="18"/>
          <w:lang w:val="ru-RU"/>
        </w:rPr>
        <w:t xml:space="preserve">См.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wipo</w:t>
      </w:r>
      <w:r w:rsidRPr="00EE5914">
        <w:rPr>
          <w:lang w:val="ru-RU"/>
        </w:rPr>
        <w:t>.</w:t>
      </w:r>
      <w:r>
        <w:t>int</w:t>
      </w:r>
      <w:r w:rsidRPr="00EE5914">
        <w:rPr>
          <w:lang w:val="ru-RU"/>
        </w:rPr>
        <w:t>/</w:t>
      </w:r>
      <w:r>
        <w:t>amc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rules</w:t>
      </w:r>
      <w:r w:rsidRPr="00EE5914">
        <w:rPr>
          <w:lang w:val="ru-RU"/>
        </w:rPr>
        <w:t>/</w:t>
      </w:r>
      <w:r>
        <w:t>newrules</w:t>
      </w:r>
      <w:r w:rsidRPr="00EE5914">
        <w:rPr>
          <w:lang w:val="ru-RU"/>
        </w:rPr>
        <w:t>.</w:t>
      </w:r>
      <w:r>
        <w:t>html</w:t>
      </w:r>
      <w:r w:rsidRPr="00EE5914">
        <w:rPr>
          <w:lang w:val="ru-RU"/>
        </w:rPr>
        <w:t>.</w:t>
      </w:r>
    </w:p>
  </w:footnote>
  <w:footnote w:id="6">
    <w:p w:rsidR="00CA720F" w:rsidRPr="00CA720F" w:rsidRDefault="00CA720F" w:rsidP="00384E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wipo</w:t>
      </w:r>
      <w:r w:rsidRPr="00EE5914">
        <w:rPr>
          <w:lang w:val="ru-RU"/>
        </w:rPr>
        <w:t>.</w:t>
      </w:r>
      <w:r>
        <w:t>int</w:t>
      </w:r>
      <w:r w:rsidRPr="00EE5914">
        <w:rPr>
          <w:lang w:val="ru-RU"/>
        </w:rPr>
        <w:t>/</w:t>
      </w:r>
      <w:r>
        <w:t>amc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center</w:t>
      </w:r>
      <w:r w:rsidRPr="00EE5914">
        <w:rPr>
          <w:lang w:val="ru-RU"/>
        </w:rPr>
        <w:t>/</w:t>
      </w:r>
      <w:r>
        <w:t>specific</w:t>
      </w:r>
      <w:r w:rsidRPr="00EE5914">
        <w:rPr>
          <w:lang w:val="ru-RU"/>
        </w:rPr>
        <w:t>-</w:t>
      </w:r>
      <w:r>
        <w:t>sectors</w:t>
      </w:r>
      <w:r w:rsidRPr="00EE5914">
        <w:rPr>
          <w:lang w:val="ru-RU"/>
        </w:rPr>
        <w:t>/</w:t>
      </w:r>
      <w:r>
        <w:t>ict</w:t>
      </w:r>
      <w:r w:rsidRPr="00EE5914">
        <w:rPr>
          <w:lang w:val="ru-RU"/>
        </w:rPr>
        <w:t>/</w:t>
      </w:r>
      <w:r>
        <w:t>frand</w:t>
      </w:r>
      <w:r w:rsidRPr="00EE5914">
        <w:rPr>
          <w:lang w:val="ru-RU"/>
        </w:rPr>
        <w:t>/.</w:t>
      </w:r>
    </w:p>
  </w:footnote>
  <w:footnote w:id="7">
    <w:p w:rsidR="00CA720F" w:rsidRPr="00CA720F" w:rsidRDefault="00CA72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477993">
        <w:rPr>
          <w:szCs w:val="22"/>
          <w:lang w:val="ru-RU"/>
        </w:rPr>
        <w:t>Предусматриваются две различные модели: (i) арбитраж</w:t>
      </w:r>
      <w:r>
        <w:rPr>
          <w:szCs w:val="22"/>
          <w:lang w:val="ru-RU"/>
        </w:rPr>
        <w:t xml:space="preserve">ная </w:t>
      </w:r>
      <w:r w:rsidRPr="00D11B46">
        <w:rPr>
          <w:szCs w:val="22"/>
          <w:lang w:val="ru-RU"/>
        </w:rPr>
        <w:t>процедур</w:t>
      </w:r>
      <w:r>
        <w:rPr>
          <w:szCs w:val="22"/>
          <w:lang w:val="ru-RU"/>
        </w:rPr>
        <w:t>а</w:t>
      </w:r>
      <w:r w:rsidRPr="00477993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для споров </w:t>
      </w:r>
      <w:r w:rsidRPr="00D11B46">
        <w:rPr>
          <w:szCs w:val="22"/>
          <w:lang w:val="ru-RU"/>
        </w:rPr>
        <w:t>в отношении соглашени</w:t>
      </w:r>
      <w:r>
        <w:rPr>
          <w:szCs w:val="22"/>
          <w:lang w:val="ru-RU"/>
        </w:rPr>
        <w:t xml:space="preserve">й FRAND и (ii) ускоренная </w:t>
      </w:r>
      <w:r w:rsidRPr="00477993">
        <w:rPr>
          <w:szCs w:val="22"/>
          <w:lang w:val="ru-RU"/>
        </w:rPr>
        <w:t>арбитраж</w:t>
      </w:r>
      <w:r>
        <w:rPr>
          <w:szCs w:val="22"/>
          <w:lang w:val="ru-RU"/>
        </w:rPr>
        <w:t xml:space="preserve">ная </w:t>
      </w:r>
      <w:r w:rsidRPr="00D11B46">
        <w:rPr>
          <w:szCs w:val="22"/>
          <w:lang w:val="ru-RU"/>
        </w:rPr>
        <w:t>процедур</w:t>
      </w:r>
      <w:r>
        <w:rPr>
          <w:szCs w:val="22"/>
          <w:lang w:val="ru-RU"/>
        </w:rPr>
        <w:t>а</w:t>
      </w:r>
      <w:r w:rsidRPr="00477993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для споров </w:t>
      </w:r>
      <w:r w:rsidRPr="00D11B46">
        <w:rPr>
          <w:szCs w:val="22"/>
          <w:lang w:val="ru-RU"/>
        </w:rPr>
        <w:t>в отношении соглашени</w:t>
      </w:r>
      <w:r>
        <w:rPr>
          <w:szCs w:val="22"/>
          <w:lang w:val="ru-RU"/>
        </w:rPr>
        <w:t xml:space="preserve">й FRAND </w:t>
      </w:r>
      <w:r w:rsidRPr="00477993">
        <w:rPr>
          <w:szCs w:val="22"/>
          <w:lang w:val="ru-RU"/>
        </w:rPr>
        <w:t xml:space="preserve">для менее сложных случаев с ограниченным числом передаваемых на арбитражное рассмотрение </w:t>
      </w:r>
      <w:r>
        <w:rPr>
          <w:szCs w:val="22"/>
          <w:lang w:val="ru-RU"/>
        </w:rPr>
        <w:t>споров о патентах</w:t>
      </w:r>
      <w:r w:rsidRPr="0047799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входящих в стандарты</w:t>
      </w:r>
      <w:r w:rsidRPr="00477993">
        <w:rPr>
          <w:szCs w:val="22"/>
          <w:lang w:val="ru-RU"/>
        </w:rPr>
        <w:t xml:space="preserve">. </w:t>
      </w:r>
      <w:r w:rsidRPr="00CA720F">
        <w:rPr>
          <w:szCs w:val="22"/>
          <w:lang w:val="ru-RU"/>
        </w:rPr>
        <w:t xml:space="preserve"> </w:t>
      </w:r>
    </w:p>
  </w:footnote>
  <w:footnote w:id="8">
    <w:p w:rsidR="00CA720F" w:rsidRPr="00CA720F" w:rsidRDefault="00CA720F" w:rsidP="00E932F6">
      <w:pPr>
        <w:pStyle w:val="FootnoteText"/>
        <w:rPr>
          <w:lang w:val="ru-RU"/>
        </w:rPr>
      </w:pPr>
      <w:r w:rsidRPr="009D416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9A664F">
        <w:rPr>
          <w:szCs w:val="18"/>
          <w:lang w:val="ru-RU"/>
        </w:rPr>
        <w:t xml:space="preserve">Одним </w:t>
      </w:r>
      <w:r>
        <w:rPr>
          <w:szCs w:val="18"/>
          <w:lang w:val="ru-RU"/>
        </w:rPr>
        <w:t>из примеров</w:t>
      </w:r>
      <w:r w:rsidRPr="009A664F">
        <w:rPr>
          <w:szCs w:val="18"/>
          <w:lang w:val="ru-RU"/>
        </w:rPr>
        <w:t xml:space="preserve"> такого сотрудничества являются многосторонние проекты, финансируемые за счет Седьмой рамочной программы Европейского союза (РП7) в рамках которого стороны используют типовое соглашение о создании консорциума (DESCA), содержащее рекомендацию о</w:t>
      </w:r>
      <w:r>
        <w:rPr>
          <w:szCs w:val="18"/>
          <w:lang w:val="ru-RU"/>
        </w:rPr>
        <w:t xml:space="preserve">б </w:t>
      </w:r>
      <w:r w:rsidRPr="00824BE3">
        <w:rPr>
          <w:szCs w:val="18"/>
          <w:lang w:val="ru-RU"/>
        </w:rPr>
        <w:t>использова</w:t>
      </w:r>
      <w:r>
        <w:rPr>
          <w:szCs w:val="18"/>
          <w:lang w:val="ru-RU"/>
        </w:rPr>
        <w:t>нии</w:t>
      </w:r>
      <w:r w:rsidRPr="009A664F">
        <w:rPr>
          <w:szCs w:val="18"/>
          <w:lang w:val="ru-RU"/>
        </w:rPr>
        <w:t xml:space="preserve"> </w:t>
      </w:r>
      <w:r w:rsidRPr="00824BE3">
        <w:rPr>
          <w:snapToGrid w:val="0"/>
          <w:szCs w:val="18"/>
          <w:lang w:val="ru-RU"/>
        </w:rPr>
        <w:t>услуг</w:t>
      </w:r>
      <w:r>
        <w:rPr>
          <w:szCs w:val="18"/>
          <w:lang w:val="ru-RU"/>
        </w:rPr>
        <w:t xml:space="preserve"> посредничества и ускоренного арбитража</w:t>
      </w:r>
      <w:r w:rsidRPr="009A664F">
        <w:rPr>
          <w:szCs w:val="18"/>
          <w:lang w:val="ru-RU"/>
        </w:rPr>
        <w:t xml:space="preserve"> ВОИС. «DESCA»</w:t>
      </w:r>
      <w:r>
        <w:rPr>
          <w:szCs w:val="18"/>
          <w:lang w:val="ru-RU"/>
        </w:rPr>
        <w:t xml:space="preserve">, которое переводится как </w:t>
      </w:r>
      <w:r w:rsidRPr="00824BE3">
        <w:rPr>
          <w:szCs w:val="18"/>
          <w:lang w:val="ru-RU"/>
        </w:rPr>
        <w:t>«</w:t>
      </w:r>
      <w:r w:rsidRPr="009A664F">
        <w:rPr>
          <w:szCs w:val="18"/>
          <w:lang w:val="ru-RU"/>
        </w:rPr>
        <w:t>разработка упрощенного соглашения о создании консорциума</w:t>
      </w:r>
      <w:r w:rsidRPr="00824BE3">
        <w:rPr>
          <w:szCs w:val="18"/>
          <w:lang w:val="ru-RU"/>
        </w:rPr>
        <w:t>»</w:t>
      </w:r>
      <w:r>
        <w:rPr>
          <w:szCs w:val="18"/>
          <w:lang w:val="ru-RU"/>
        </w:rPr>
        <w:t xml:space="preserve"> </w:t>
      </w:r>
      <w:r w:rsidRPr="009A664F">
        <w:rPr>
          <w:szCs w:val="18"/>
          <w:lang w:val="ru-RU"/>
        </w:rPr>
        <w:t>(Development of a Simplified Consortium Agreement</w:t>
      </w:r>
      <w:r>
        <w:rPr>
          <w:szCs w:val="18"/>
          <w:lang w:val="ru-RU"/>
        </w:rPr>
        <w:t>)</w:t>
      </w:r>
      <w:r w:rsidRPr="009A664F">
        <w:rPr>
          <w:szCs w:val="18"/>
          <w:lang w:val="ru-RU"/>
        </w:rPr>
        <w:t xml:space="preserve"> </w:t>
      </w:r>
      <w:r w:rsidRPr="00824BE3">
        <w:rPr>
          <w:szCs w:val="18"/>
          <w:lang w:val="ru-RU"/>
        </w:rPr>
        <w:t>–</w:t>
      </w:r>
      <w:r>
        <w:rPr>
          <w:szCs w:val="18"/>
          <w:lang w:val="ru-RU"/>
        </w:rPr>
        <w:t xml:space="preserve"> </w:t>
      </w:r>
      <w:r w:rsidRPr="009A664F">
        <w:rPr>
          <w:szCs w:val="18"/>
          <w:lang w:val="ru-RU"/>
        </w:rPr>
        <w:t xml:space="preserve">это типовое соглашение о создании консорциума, которое было первоначально разработано для научно-исследовательских проектов, финансируемых Европейской комиссией в рамках РП7. По имеющимся оценкам, типовое соглашение DESCA используют около 75% компаний, научно-исследовательских институтов, университетов и частных лиц, участвующих в межнациональных научных исследованиях, финансируемых по линии РП7. </w:t>
      </w:r>
      <w:r>
        <w:rPr>
          <w:szCs w:val="18"/>
          <w:lang w:val="ru-RU"/>
        </w:rPr>
        <w:t xml:space="preserve">См. </w:t>
      </w:r>
      <w:r>
        <w:rPr>
          <w:szCs w:val="18"/>
        </w:rPr>
        <w:t>http</w:t>
      </w:r>
      <w:r w:rsidRPr="009A664F">
        <w:rPr>
          <w:szCs w:val="18"/>
          <w:lang w:val="ru-RU"/>
        </w:rPr>
        <w:t>://</w:t>
      </w:r>
      <w:r>
        <w:rPr>
          <w:szCs w:val="18"/>
        </w:rPr>
        <w:t>www</w:t>
      </w:r>
      <w:r w:rsidRPr="009A664F">
        <w:rPr>
          <w:szCs w:val="18"/>
          <w:lang w:val="ru-RU"/>
        </w:rPr>
        <w:t>.</w:t>
      </w:r>
      <w:r>
        <w:rPr>
          <w:szCs w:val="18"/>
        </w:rPr>
        <w:t>desca</w:t>
      </w:r>
      <w:r w:rsidRPr="009A664F">
        <w:rPr>
          <w:szCs w:val="18"/>
          <w:lang w:val="ru-RU"/>
        </w:rPr>
        <w:t>-</w:t>
      </w:r>
      <w:r>
        <w:rPr>
          <w:szCs w:val="18"/>
        </w:rPr>
        <w:t>fp</w:t>
      </w:r>
      <w:r w:rsidRPr="009A664F">
        <w:rPr>
          <w:szCs w:val="18"/>
          <w:lang w:val="ru-RU"/>
        </w:rPr>
        <w:t>7.</w:t>
      </w:r>
      <w:r>
        <w:rPr>
          <w:szCs w:val="18"/>
        </w:rPr>
        <w:t>eu</w:t>
      </w:r>
      <w:r w:rsidRPr="009A664F">
        <w:rPr>
          <w:szCs w:val="18"/>
          <w:lang w:val="ru-RU"/>
        </w:rPr>
        <w:t>/.</w:t>
      </w:r>
    </w:p>
  </w:footnote>
  <w:footnote w:id="9">
    <w:p w:rsidR="00CA720F" w:rsidRPr="00CA720F" w:rsidRDefault="00CA720F" w:rsidP="00E932F6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bmwi</w:t>
      </w:r>
      <w:r w:rsidRPr="00EE5914">
        <w:rPr>
          <w:lang w:val="ru-RU"/>
        </w:rPr>
        <w:t>.</w:t>
      </w:r>
      <w:r>
        <w:t>de</w:t>
      </w:r>
      <w:r w:rsidRPr="00EE5914">
        <w:rPr>
          <w:lang w:val="ru-RU"/>
        </w:rPr>
        <w:t>/</w:t>
      </w:r>
      <w:r>
        <w:t>English</w:t>
      </w:r>
      <w:r w:rsidRPr="00EE5914">
        <w:rPr>
          <w:lang w:val="ru-RU"/>
        </w:rPr>
        <w:t>/</w:t>
      </w:r>
      <w:r>
        <w:t>Redaktion</w:t>
      </w:r>
      <w:r w:rsidRPr="00EE5914">
        <w:rPr>
          <w:lang w:val="ru-RU"/>
        </w:rPr>
        <w:t>/</w:t>
      </w:r>
      <w:r>
        <w:t>Pdf</w:t>
      </w:r>
      <w:r w:rsidRPr="00EE5914">
        <w:rPr>
          <w:lang w:val="ru-RU"/>
        </w:rPr>
        <w:t>/</w:t>
      </w:r>
      <w:r>
        <w:t>sample</w:t>
      </w:r>
      <w:r w:rsidRPr="00EE5914">
        <w:rPr>
          <w:lang w:val="ru-RU"/>
        </w:rPr>
        <w:t>-</w:t>
      </w:r>
      <w:r>
        <w:t>agreements</w:t>
      </w:r>
      <w:r w:rsidRPr="00EE5914">
        <w:rPr>
          <w:lang w:val="ru-RU"/>
        </w:rPr>
        <w:t>-</w:t>
      </w:r>
      <w:r>
        <w:t>for</w:t>
      </w:r>
      <w:r w:rsidRPr="00EE5914">
        <w:rPr>
          <w:lang w:val="ru-RU"/>
        </w:rPr>
        <w:t>-</w:t>
      </w:r>
      <w:r>
        <w:t>research</w:t>
      </w:r>
      <w:r w:rsidRPr="00EE5914">
        <w:rPr>
          <w:lang w:val="ru-RU"/>
        </w:rPr>
        <w:t>-</w:t>
      </w:r>
      <w:r>
        <w:t>and</w:t>
      </w:r>
      <w:r w:rsidRPr="00EE5914">
        <w:rPr>
          <w:lang w:val="ru-RU"/>
        </w:rPr>
        <w:t>-</w:t>
      </w:r>
      <w:r>
        <w:t>development</w:t>
      </w:r>
      <w:r w:rsidRPr="00EE5914">
        <w:rPr>
          <w:lang w:val="ru-RU"/>
        </w:rPr>
        <w:t>-</w:t>
      </w:r>
      <w:r>
        <w:t>cooperation</w:t>
      </w:r>
      <w:r w:rsidRPr="00EE5914">
        <w:rPr>
          <w:lang w:val="ru-RU"/>
        </w:rPr>
        <w:t>,</w:t>
      </w:r>
      <w:r>
        <w:t>property</w:t>
      </w:r>
      <w:r w:rsidRPr="00EE5914">
        <w:rPr>
          <w:lang w:val="ru-RU"/>
        </w:rPr>
        <w:t>=</w:t>
      </w:r>
      <w:r>
        <w:t>pdf</w:t>
      </w:r>
      <w:r w:rsidRPr="00EE5914">
        <w:rPr>
          <w:lang w:val="ru-RU"/>
        </w:rPr>
        <w:t>,</w:t>
      </w:r>
      <w:r>
        <w:t>bereich</w:t>
      </w:r>
      <w:r w:rsidRPr="00EE5914">
        <w:rPr>
          <w:lang w:val="ru-RU"/>
        </w:rPr>
        <w:t>=</w:t>
      </w:r>
      <w:r>
        <w:t>bmwi</w:t>
      </w:r>
      <w:r w:rsidRPr="00EE5914">
        <w:rPr>
          <w:lang w:val="ru-RU"/>
        </w:rPr>
        <w:t>,</w:t>
      </w:r>
      <w:r>
        <w:t>sprache</w:t>
      </w:r>
      <w:r w:rsidRPr="00EE5914">
        <w:rPr>
          <w:lang w:val="ru-RU"/>
        </w:rPr>
        <w:t>=</w:t>
      </w:r>
      <w:r>
        <w:t>en</w:t>
      </w:r>
      <w:r w:rsidRPr="00EE5914">
        <w:rPr>
          <w:lang w:val="ru-RU"/>
        </w:rPr>
        <w:t>,</w:t>
      </w:r>
      <w:r>
        <w:t>rwb</w:t>
      </w:r>
      <w:r w:rsidRPr="00EE5914">
        <w:rPr>
          <w:lang w:val="ru-RU"/>
        </w:rPr>
        <w:t>=</w:t>
      </w:r>
      <w:r>
        <w:t>true</w:t>
      </w:r>
      <w:r w:rsidRPr="00EE5914">
        <w:rPr>
          <w:lang w:val="ru-RU"/>
        </w:rPr>
        <w:t>.</w:t>
      </w:r>
      <w:r>
        <w:t>pdf</w:t>
      </w:r>
      <w:r w:rsidRPr="00EE5914">
        <w:rPr>
          <w:lang w:val="ru-RU"/>
        </w:rPr>
        <w:t>.</w:t>
      </w:r>
    </w:p>
  </w:footnote>
  <w:footnote w:id="10">
    <w:p w:rsidR="00CA720F" w:rsidRPr="00CA720F" w:rsidRDefault="00CA720F" w:rsidP="00E932F6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wipo</w:t>
      </w:r>
      <w:r w:rsidRPr="00EE5914">
        <w:rPr>
          <w:lang w:val="ru-RU"/>
        </w:rPr>
        <w:t>.</w:t>
      </w:r>
      <w:r>
        <w:t>int</w:t>
      </w:r>
      <w:r w:rsidRPr="00EE5914">
        <w:rPr>
          <w:lang w:val="ru-RU"/>
        </w:rPr>
        <w:t>/</w:t>
      </w:r>
      <w:r>
        <w:t>amc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center</w:t>
      </w:r>
      <w:r w:rsidRPr="00EE5914">
        <w:rPr>
          <w:lang w:val="ru-RU"/>
        </w:rPr>
        <w:t>/</w:t>
      </w:r>
      <w:r>
        <w:t>specific</w:t>
      </w:r>
      <w:r w:rsidRPr="00EE5914">
        <w:rPr>
          <w:lang w:val="ru-RU"/>
        </w:rPr>
        <w:t>-</w:t>
      </w:r>
      <w:r>
        <w:t>sectors</w:t>
      </w:r>
      <w:r w:rsidRPr="00EE5914">
        <w:rPr>
          <w:lang w:val="ru-RU"/>
        </w:rPr>
        <w:t>/</w:t>
      </w:r>
      <w:r>
        <w:t>rd</w:t>
      </w:r>
      <w:r w:rsidRPr="00EE5914">
        <w:rPr>
          <w:lang w:val="ru-RU"/>
        </w:rPr>
        <w:t>/</w:t>
      </w:r>
      <w:r>
        <w:t>ipag</w:t>
      </w:r>
      <w:r w:rsidRPr="00EE5914">
        <w:rPr>
          <w:lang w:val="ru-RU"/>
        </w:rPr>
        <w:t xml:space="preserve">/.  </w:t>
      </w:r>
      <w:r w:rsidRPr="00CA720F">
        <w:rPr>
          <w:lang w:val="ru-RU"/>
        </w:rPr>
        <w:t xml:space="preserve"> </w:t>
      </w:r>
    </w:p>
  </w:footnote>
  <w:footnote w:id="11">
    <w:p w:rsidR="00CA720F" w:rsidRPr="00CA720F" w:rsidRDefault="00CA72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wipo</w:t>
      </w:r>
      <w:r w:rsidRPr="00EE5914">
        <w:rPr>
          <w:lang w:val="ru-RU"/>
        </w:rPr>
        <w:t>.</w:t>
      </w:r>
      <w:r>
        <w:t>int</w:t>
      </w:r>
      <w:r w:rsidRPr="00EE5914">
        <w:rPr>
          <w:lang w:val="ru-RU"/>
        </w:rPr>
        <w:t>/</w:t>
      </w:r>
      <w:r>
        <w:t>amc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center</w:t>
      </w:r>
      <w:r w:rsidRPr="00EE5914">
        <w:rPr>
          <w:lang w:val="ru-RU"/>
        </w:rPr>
        <w:t>/</w:t>
      </w:r>
      <w:r>
        <w:t>specific</w:t>
      </w:r>
      <w:r w:rsidRPr="00EE5914">
        <w:rPr>
          <w:lang w:val="ru-RU"/>
        </w:rPr>
        <w:t>-</w:t>
      </w:r>
      <w:r>
        <w:t>sectors</w:t>
      </w:r>
      <w:r w:rsidRPr="00EE5914">
        <w:rPr>
          <w:lang w:val="ru-RU"/>
        </w:rPr>
        <w:t>/</w:t>
      </w:r>
      <w:r>
        <w:t>franchising</w:t>
      </w:r>
      <w:r w:rsidRPr="00EE5914">
        <w:rPr>
          <w:lang w:val="ru-RU"/>
        </w:rPr>
        <w:t>/</w:t>
      </w:r>
      <w:r w:rsidRPr="00205828">
        <w:rPr>
          <w:lang w:val="ru-RU"/>
        </w:rPr>
        <w:t>.</w:t>
      </w:r>
    </w:p>
  </w:footnote>
  <w:footnote w:id="12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386B60">
        <w:rPr>
          <w:szCs w:val="18"/>
          <w:lang w:val="ru-RU"/>
        </w:rPr>
        <w:t>«Управление именами и адресами в Интернете:  вопросы интеллектуальной собственности</w:t>
      </w:r>
      <w:r>
        <w:rPr>
          <w:szCs w:val="18"/>
          <w:lang w:val="ru-RU"/>
        </w:rPr>
        <w:t>.</w:t>
      </w:r>
      <w:r w:rsidRPr="00386B60">
        <w:rPr>
          <w:szCs w:val="18"/>
          <w:lang w:val="ru-RU"/>
        </w:rPr>
        <w:t xml:space="preserve"> Итоговый отчет о Первом процессе ВОИС по доменным именам в Интернете», публикация ВОИС № 439</w:t>
      </w:r>
      <w:r>
        <w:rPr>
          <w:szCs w:val="18"/>
          <w:lang w:val="ru-RU"/>
        </w:rPr>
        <w:t xml:space="preserve"> </w:t>
      </w:r>
      <w:r w:rsidRPr="00386B60">
        <w:rPr>
          <w:szCs w:val="18"/>
          <w:lang w:val="ru-RU"/>
        </w:rPr>
        <w:t>(</w:t>
      </w:r>
      <w:r>
        <w:rPr>
          <w:szCs w:val="18"/>
          <w:lang w:val="ru-RU"/>
        </w:rPr>
        <w:t>также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размещена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адресу:</w:t>
      </w:r>
      <w:r w:rsidRPr="00386B60">
        <w:rPr>
          <w:szCs w:val="18"/>
          <w:lang w:val="ru-RU"/>
        </w:rPr>
        <w:t xml:space="preserve"> </w:t>
      </w:r>
      <w:r>
        <w:rPr>
          <w:szCs w:val="18"/>
        </w:rPr>
        <w:t>http</w:t>
      </w:r>
      <w:r w:rsidRPr="00386B60">
        <w:rPr>
          <w:szCs w:val="18"/>
          <w:lang w:val="ru-RU"/>
        </w:rPr>
        <w:t>://</w:t>
      </w:r>
      <w:r>
        <w:rPr>
          <w:szCs w:val="18"/>
        </w:rPr>
        <w:t>www</w:t>
      </w:r>
      <w:r w:rsidRPr="00386B60">
        <w:rPr>
          <w:szCs w:val="18"/>
          <w:lang w:val="ru-RU"/>
        </w:rPr>
        <w:t>.</w:t>
      </w:r>
      <w:r>
        <w:rPr>
          <w:szCs w:val="18"/>
        </w:rPr>
        <w:t>wipo</w:t>
      </w:r>
      <w:r w:rsidRPr="00386B60">
        <w:rPr>
          <w:szCs w:val="18"/>
          <w:lang w:val="ru-RU"/>
        </w:rPr>
        <w:t>.</w:t>
      </w:r>
      <w:r>
        <w:rPr>
          <w:szCs w:val="18"/>
        </w:rPr>
        <w:t>int</w:t>
      </w:r>
      <w:r w:rsidRPr="00386B60">
        <w:rPr>
          <w:szCs w:val="18"/>
          <w:lang w:val="ru-RU"/>
        </w:rPr>
        <w:t>/</w:t>
      </w:r>
      <w:r>
        <w:rPr>
          <w:szCs w:val="18"/>
        </w:rPr>
        <w:t>amc</w:t>
      </w:r>
      <w:r w:rsidRPr="00386B60">
        <w:rPr>
          <w:szCs w:val="18"/>
          <w:lang w:val="ru-RU"/>
        </w:rPr>
        <w:t>/</w:t>
      </w:r>
      <w:r>
        <w:rPr>
          <w:szCs w:val="18"/>
        </w:rPr>
        <w:t>en</w:t>
      </w:r>
      <w:r w:rsidRPr="00386B60">
        <w:rPr>
          <w:szCs w:val="18"/>
          <w:lang w:val="ru-RU"/>
        </w:rPr>
        <w:t>/</w:t>
      </w:r>
      <w:r>
        <w:rPr>
          <w:szCs w:val="18"/>
        </w:rPr>
        <w:t>processes</w:t>
      </w:r>
      <w:r w:rsidRPr="00386B60">
        <w:rPr>
          <w:szCs w:val="18"/>
          <w:lang w:val="ru-RU"/>
        </w:rPr>
        <w:t>/</w:t>
      </w:r>
      <w:r>
        <w:rPr>
          <w:szCs w:val="18"/>
        </w:rPr>
        <w:t>process</w:t>
      </w:r>
      <w:r w:rsidRPr="00386B60">
        <w:rPr>
          <w:szCs w:val="18"/>
          <w:lang w:val="ru-RU"/>
        </w:rPr>
        <w:t>1/</w:t>
      </w:r>
      <w:r>
        <w:rPr>
          <w:szCs w:val="18"/>
        </w:rPr>
        <w:t>report</w:t>
      </w:r>
      <w:r w:rsidRPr="00386B60">
        <w:rPr>
          <w:szCs w:val="18"/>
          <w:lang w:val="ru-RU"/>
        </w:rPr>
        <w:t>.).</w:t>
      </w:r>
    </w:p>
  </w:footnote>
  <w:footnote w:id="13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0E15BE">
        <w:rPr>
          <w:szCs w:val="18"/>
          <w:lang w:val="ru-RU"/>
        </w:rPr>
        <w:t>«</w:t>
      </w:r>
      <w:r w:rsidRPr="00386B60">
        <w:rPr>
          <w:szCs w:val="18"/>
          <w:lang w:val="ru-RU"/>
        </w:rPr>
        <w:t xml:space="preserve">Признание прав и использование имен в </w:t>
      </w:r>
      <w:r w:rsidRPr="00386B60">
        <w:rPr>
          <w:szCs w:val="24"/>
          <w:lang w:val="ru-RU"/>
        </w:rPr>
        <w:t>С</w:t>
      </w:r>
      <w:r>
        <w:rPr>
          <w:szCs w:val="24"/>
          <w:lang w:val="ru-RU"/>
        </w:rPr>
        <w:t>истеме</w:t>
      </w:r>
      <w:r w:rsidRPr="00386B60">
        <w:rPr>
          <w:szCs w:val="24"/>
          <w:lang w:val="ru-RU"/>
        </w:rPr>
        <w:t xml:space="preserve"> доменных имен </w:t>
      </w:r>
      <w:r w:rsidRPr="00386B60">
        <w:rPr>
          <w:szCs w:val="18"/>
          <w:lang w:val="ru-RU"/>
        </w:rPr>
        <w:t>в Интернете</w:t>
      </w:r>
      <w:r w:rsidRPr="000E15BE">
        <w:rPr>
          <w:szCs w:val="18"/>
          <w:lang w:val="ru-RU"/>
        </w:rPr>
        <w:t>.</w:t>
      </w:r>
      <w:r w:rsidRPr="00386B60">
        <w:rPr>
          <w:szCs w:val="18"/>
          <w:lang w:val="ru-RU"/>
        </w:rPr>
        <w:t xml:space="preserve"> Отчет о Втором процессе ВОИС по доменным именам в Интернете</w:t>
      </w:r>
      <w:r w:rsidRPr="000E15BE">
        <w:rPr>
          <w:szCs w:val="18"/>
          <w:lang w:val="ru-RU"/>
        </w:rPr>
        <w:t>»</w:t>
      </w:r>
      <w:r w:rsidRPr="00386B60">
        <w:rPr>
          <w:szCs w:val="18"/>
          <w:lang w:val="ru-RU"/>
        </w:rPr>
        <w:t>, публикация ВОИС № 843 (</w:t>
      </w:r>
      <w:r>
        <w:rPr>
          <w:szCs w:val="18"/>
          <w:lang w:val="ru-RU"/>
        </w:rPr>
        <w:t>также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размещена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386B6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адресу:</w:t>
      </w:r>
      <w:r w:rsidRPr="00386B60">
        <w:rPr>
          <w:szCs w:val="18"/>
          <w:lang w:val="ru-RU"/>
        </w:rPr>
        <w:t xml:space="preserve"> </w:t>
      </w:r>
      <w:r>
        <w:rPr>
          <w:szCs w:val="18"/>
        </w:rPr>
        <w:t>http</w:t>
      </w:r>
      <w:r w:rsidRPr="00386B60">
        <w:rPr>
          <w:szCs w:val="18"/>
          <w:lang w:val="ru-RU"/>
        </w:rPr>
        <w:t>://</w:t>
      </w:r>
      <w:r>
        <w:rPr>
          <w:szCs w:val="18"/>
        </w:rPr>
        <w:t>www</w:t>
      </w:r>
      <w:r w:rsidRPr="00386B60">
        <w:rPr>
          <w:szCs w:val="18"/>
          <w:lang w:val="ru-RU"/>
        </w:rPr>
        <w:t>.</w:t>
      </w:r>
      <w:r>
        <w:rPr>
          <w:szCs w:val="18"/>
        </w:rPr>
        <w:t>wipo</w:t>
      </w:r>
      <w:r w:rsidRPr="00386B60">
        <w:rPr>
          <w:szCs w:val="18"/>
          <w:lang w:val="ru-RU"/>
        </w:rPr>
        <w:t>.</w:t>
      </w:r>
      <w:r>
        <w:rPr>
          <w:szCs w:val="18"/>
        </w:rPr>
        <w:t>int</w:t>
      </w:r>
      <w:r w:rsidRPr="00386B60">
        <w:rPr>
          <w:szCs w:val="18"/>
          <w:lang w:val="ru-RU"/>
        </w:rPr>
        <w:t>/</w:t>
      </w:r>
      <w:r>
        <w:rPr>
          <w:szCs w:val="18"/>
        </w:rPr>
        <w:t>amc</w:t>
      </w:r>
      <w:r w:rsidRPr="00386B60">
        <w:rPr>
          <w:szCs w:val="18"/>
          <w:lang w:val="ru-RU"/>
        </w:rPr>
        <w:t>/</w:t>
      </w:r>
      <w:r>
        <w:rPr>
          <w:szCs w:val="18"/>
        </w:rPr>
        <w:t>en</w:t>
      </w:r>
      <w:r w:rsidRPr="00386B60">
        <w:rPr>
          <w:szCs w:val="18"/>
          <w:lang w:val="ru-RU"/>
        </w:rPr>
        <w:t>/</w:t>
      </w:r>
      <w:r>
        <w:rPr>
          <w:szCs w:val="18"/>
        </w:rPr>
        <w:t>processes</w:t>
      </w:r>
      <w:r w:rsidRPr="00386B60">
        <w:rPr>
          <w:szCs w:val="18"/>
          <w:lang w:val="ru-RU"/>
        </w:rPr>
        <w:t>/</w:t>
      </w:r>
      <w:r>
        <w:rPr>
          <w:szCs w:val="18"/>
        </w:rPr>
        <w:t>process</w:t>
      </w:r>
      <w:r w:rsidRPr="00386B60">
        <w:rPr>
          <w:szCs w:val="18"/>
          <w:lang w:val="ru-RU"/>
        </w:rPr>
        <w:t>2/</w:t>
      </w:r>
      <w:r>
        <w:rPr>
          <w:szCs w:val="18"/>
        </w:rPr>
        <w:t>report</w:t>
      </w:r>
      <w:r w:rsidRPr="00386B60">
        <w:rPr>
          <w:szCs w:val="18"/>
          <w:lang w:val="ru-RU"/>
        </w:rPr>
        <w:t>.).</w:t>
      </w:r>
    </w:p>
  </w:footnote>
  <w:footnote w:id="14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ab/>
      </w:r>
      <w:r w:rsidRPr="0042697B">
        <w:rPr>
          <w:szCs w:val="18"/>
          <w:lang w:val="ru-RU"/>
        </w:rPr>
        <w:t xml:space="preserve">ЕПУС не лишает ни одну из сторон права передать спор в компетентный суд, но лишь очень немногие споры, по которым было принято решение на основе ЕПУС, были в дальнейшем переданы в национальные суды. </w:t>
      </w:r>
      <w:r w:rsidRPr="0042697B">
        <w:rPr>
          <w:szCs w:val="18"/>
        </w:rPr>
        <w:t>C</w:t>
      </w:r>
      <w:r w:rsidRPr="0042697B">
        <w:rPr>
          <w:szCs w:val="18"/>
          <w:lang w:val="ru-RU"/>
        </w:rPr>
        <w:t>м. подборку судебных дел, решенных на основе ЕПУС</w:t>
      </w:r>
      <w:r>
        <w:rPr>
          <w:szCs w:val="18"/>
          <w:lang w:val="ru-RU"/>
        </w:rPr>
        <w:t xml:space="preserve">, по адресу: </w:t>
      </w:r>
      <w:r>
        <w:rPr>
          <w:szCs w:val="18"/>
        </w:rPr>
        <w:t>http</w:t>
      </w:r>
      <w:r w:rsidRPr="0042697B">
        <w:rPr>
          <w:szCs w:val="18"/>
          <w:lang w:val="ru-RU"/>
        </w:rPr>
        <w:t>://</w:t>
      </w:r>
      <w:r>
        <w:rPr>
          <w:szCs w:val="18"/>
        </w:rPr>
        <w:t>www</w:t>
      </w:r>
      <w:r w:rsidRPr="0042697B">
        <w:rPr>
          <w:szCs w:val="18"/>
          <w:lang w:val="ru-RU"/>
        </w:rPr>
        <w:t>.</w:t>
      </w:r>
      <w:r>
        <w:rPr>
          <w:szCs w:val="18"/>
        </w:rPr>
        <w:t>wipo</w:t>
      </w:r>
      <w:r w:rsidRPr="0042697B">
        <w:rPr>
          <w:szCs w:val="18"/>
          <w:lang w:val="ru-RU"/>
        </w:rPr>
        <w:t>.</w:t>
      </w:r>
      <w:r>
        <w:rPr>
          <w:szCs w:val="18"/>
        </w:rPr>
        <w:t>int</w:t>
      </w:r>
      <w:r w:rsidRPr="0042697B">
        <w:rPr>
          <w:szCs w:val="18"/>
          <w:lang w:val="ru-RU"/>
        </w:rPr>
        <w:t>/</w:t>
      </w:r>
      <w:r>
        <w:rPr>
          <w:szCs w:val="18"/>
        </w:rPr>
        <w:t>amc</w:t>
      </w:r>
      <w:r w:rsidRPr="0042697B">
        <w:rPr>
          <w:szCs w:val="18"/>
          <w:lang w:val="ru-RU"/>
        </w:rPr>
        <w:t>/</w:t>
      </w:r>
      <w:r>
        <w:rPr>
          <w:szCs w:val="18"/>
        </w:rPr>
        <w:t>en</w:t>
      </w:r>
      <w:r w:rsidRPr="0042697B">
        <w:rPr>
          <w:szCs w:val="18"/>
          <w:lang w:val="ru-RU"/>
        </w:rPr>
        <w:t>/</w:t>
      </w:r>
      <w:r>
        <w:rPr>
          <w:szCs w:val="18"/>
        </w:rPr>
        <w:t>domains</w:t>
      </w:r>
      <w:r w:rsidRPr="0042697B">
        <w:rPr>
          <w:szCs w:val="18"/>
          <w:lang w:val="ru-RU"/>
        </w:rPr>
        <w:t>/</w:t>
      </w:r>
      <w:r>
        <w:rPr>
          <w:szCs w:val="18"/>
        </w:rPr>
        <w:t>challenged</w:t>
      </w:r>
      <w:r w:rsidRPr="0042697B">
        <w:rPr>
          <w:szCs w:val="18"/>
          <w:lang w:val="ru-RU"/>
        </w:rPr>
        <w:t>.</w:t>
      </w:r>
    </w:p>
  </w:footnote>
  <w:footnote w:id="15">
    <w:p w:rsidR="00CA720F" w:rsidRPr="00CA720F" w:rsidRDefault="00CA720F" w:rsidP="00384EE8">
      <w:pPr>
        <w:pStyle w:val="FootnoteText"/>
        <w:rPr>
          <w:color w:val="000000"/>
          <w:szCs w:val="18"/>
          <w:lang w:val="ru-RU"/>
        </w:rPr>
      </w:pPr>
      <w:r w:rsidRPr="006475B9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42697B">
        <w:rPr>
          <w:szCs w:val="18"/>
          <w:lang w:val="ru-RU"/>
        </w:rPr>
        <w:t xml:space="preserve">Центр публикует в Интернете статистические данные в режиме реального времени, которыми могут пользоваться стороны споров, рассматриваемых органами ВОИС на базе ЕПУС, нейтральные лица, поверенные по товарным знакам, </w:t>
      </w:r>
      <w:r w:rsidRPr="00D92B33">
        <w:rPr>
          <w:lang w:val="ru-RU"/>
        </w:rPr>
        <w:t>владел</w:t>
      </w:r>
      <w:r>
        <w:rPr>
          <w:lang w:val="ru-RU"/>
        </w:rPr>
        <w:t>ь</w:t>
      </w:r>
      <w:r w:rsidRPr="00D92B33">
        <w:rPr>
          <w:lang w:val="ru-RU"/>
        </w:rPr>
        <w:t>ц</w:t>
      </w:r>
      <w:r>
        <w:rPr>
          <w:lang w:val="ru-RU"/>
        </w:rPr>
        <w:t>ы</w:t>
      </w:r>
      <w:r w:rsidRPr="00D92B33">
        <w:rPr>
          <w:lang w:val="ru-RU"/>
        </w:rPr>
        <w:t xml:space="preserve"> </w:t>
      </w:r>
      <w:r>
        <w:rPr>
          <w:szCs w:val="18"/>
          <w:lang w:val="ru-RU"/>
        </w:rPr>
        <w:t>регистраций</w:t>
      </w:r>
      <w:r w:rsidRPr="0042697B">
        <w:rPr>
          <w:szCs w:val="18"/>
          <w:lang w:val="ru-RU"/>
        </w:rPr>
        <w:t xml:space="preserve"> доменных имен</w:t>
      </w:r>
      <w:r>
        <w:rPr>
          <w:szCs w:val="18"/>
          <w:lang w:val="ru-RU"/>
        </w:rPr>
        <w:t xml:space="preserve">, директивные </w:t>
      </w:r>
      <w:r w:rsidRPr="0042697B">
        <w:rPr>
          <w:szCs w:val="18"/>
          <w:lang w:val="ru-RU"/>
        </w:rPr>
        <w:t xml:space="preserve">органы </w:t>
      </w:r>
      <w:r w:rsidRPr="004C689E">
        <w:rPr>
          <w:szCs w:val="18"/>
          <w:lang w:val="ru-RU"/>
        </w:rPr>
        <w:t>в области</w:t>
      </w:r>
      <w:r>
        <w:rPr>
          <w:szCs w:val="18"/>
          <w:lang w:val="ru-RU"/>
        </w:rPr>
        <w:t xml:space="preserve"> </w:t>
      </w:r>
      <w:r w:rsidRPr="0042697B">
        <w:rPr>
          <w:szCs w:val="18"/>
          <w:lang w:val="ru-RU"/>
        </w:rPr>
        <w:t xml:space="preserve">доменных имен, средства массовой информации и </w:t>
      </w:r>
      <w:r>
        <w:rPr>
          <w:szCs w:val="18"/>
          <w:lang w:val="ru-RU"/>
        </w:rPr>
        <w:t>ученые. Имеется статистика</w:t>
      </w:r>
      <w:r w:rsidRPr="0042697B">
        <w:rPr>
          <w:szCs w:val="18"/>
          <w:lang w:val="ru-RU"/>
        </w:rPr>
        <w:t xml:space="preserve"> по многим категориям, таким как «сферы деятельности </w:t>
      </w:r>
      <w:r>
        <w:rPr>
          <w:szCs w:val="18"/>
          <w:lang w:val="ru-RU"/>
        </w:rPr>
        <w:t>истца</w:t>
      </w:r>
      <w:r w:rsidRPr="0042697B">
        <w:rPr>
          <w:szCs w:val="18"/>
          <w:lang w:val="ru-RU"/>
        </w:rPr>
        <w:t>», «</w:t>
      </w:r>
      <w:r>
        <w:rPr>
          <w:szCs w:val="18"/>
          <w:lang w:val="ru-RU"/>
        </w:rPr>
        <w:t xml:space="preserve">строка </w:t>
      </w:r>
      <w:r w:rsidRPr="0042697B">
        <w:rPr>
          <w:szCs w:val="18"/>
          <w:lang w:val="ru-RU"/>
        </w:rPr>
        <w:t xml:space="preserve">доменного имени» и «25 решений, наиболее часто цитируемых в жалобе».  </w:t>
      </w:r>
      <w:r>
        <w:rPr>
          <w:szCs w:val="18"/>
          <w:lang w:val="ru-RU"/>
        </w:rPr>
        <w:t>См</w:t>
      </w:r>
      <w:r w:rsidRPr="0042697B">
        <w:rPr>
          <w:szCs w:val="18"/>
          <w:lang w:val="ru-RU"/>
        </w:rPr>
        <w:t xml:space="preserve">. </w:t>
      </w:r>
      <w:r>
        <w:rPr>
          <w:szCs w:val="18"/>
        </w:rPr>
        <w:t>http</w:t>
      </w:r>
      <w:r w:rsidRPr="0042697B">
        <w:rPr>
          <w:szCs w:val="18"/>
          <w:lang w:val="ru-RU"/>
        </w:rPr>
        <w:t>://</w:t>
      </w:r>
      <w:r>
        <w:rPr>
          <w:szCs w:val="18"/>
        </w:rPr>
        <w:t>www</w:t>
      </w:r>
      <w:r w:rsidRPr="0042697B">
        <w:rPr>
          <w:szCs w:val="18"/>
          <w:lang w:val="ru-RU"/>
        </w:rPr>
        <w:t>.</w:t>
      </w:r>
      <w:r>
        <w:rPr>
          <w:szCs w:val="18"/>
        </w:rPr>
        <w:t>wipo</w:t>
      </w:r>
      <w:r w:rsidRPr="0042697B">
        <w:rPr>
          <w:szCs w:val="18"/>
          <w:lang w:val="ru-RU"/>
        </w:rPr>
        <w:t>.</w:t>
      </w:r>
      <w:r>
        <w:rPr>
          <w:szCs w:val="18"/>
        </w:rPr>
        <w:t>int</w:t>
      </w:r>
      <w:r w:rsidRPr="0042697B">
        <w:rPr>
          <w:szCs w:val="18"/>
          <w:lang w:val="ru-RU"/>
        </w:rPr>
        <w:t>/</w:t>
      </w:r>
      <w:r>
        <w:rPr>
          <w:szCs w:val="18"/>
        </w:rPr>
        <w:t>amc</w:t>
      </w:r>
      <w:r w:rsidRPr="0042697B">
        <w:rPr>
          <w:szCs w:val="18"/>
          <w:lang w:val="ru-RU"/>
        </w:rPr>
        <w:t>/</w:t>
      </w:r>
      <w:r>
        <w:rPr>
          <w:szCs w:val="18"/>
        </w:rPr>
        <w:t>en</w:t>
      </w:r>
      <w:r w:rsidRPr="0042697B">
        <w:rPr>
          <w:szCs w:val="18"/>
          <w:lang w:val="ru-RU"/>
        </w:rPr>
        <w:t>/</w:t>
      </w:r>
      <w:r>
        <w:rPr>
          <w:szCs w:val="18"/>
        </w:rPr>
        <w:t>domains</w:t>
      </w:r>
      <w:r w:rsidRPr="0042697B">
        <w:rPr>
          <w:szCs w:val="18"/>
          <w:lang w:val="ru-RU"/>
        </w:rPr>
        <w:t>/</w:t>
      </w:r>
      <w:r>
        <w:rPr>
          <w:szCs w:val="18"/>
        </w:rPr>
        <w:t>statistics</w:t>
      </w:r>
      <w:r w:rsidRPr="0042697B">
        <w:rPr>
          <w:szCs w:val="18"/>
          <w:lang w:val="ru-RU"/>
        </w:rPr>
        <w:t xml:space="preserve">. </w:t>
      </w:r>
      <w:r w:rsidRPr="00CA720F">
        <w:rPr>
          <w:szCs w:val="18"/>
          <w:lang w:val="ru-RU"/>
        </w:rPr>
        <w:t xml:space="preserve"> </w:t>
      </w:r>
    </w:p>
  </w:footnote>
  <w:footnote w:id="16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7F5FAE">
        <w:rPr>
          <w:lang w:val="ru-RU"/>
        </w:rPr>
        <w:t>Китайском, чешском, датском, голландском, английском, французском, немецком, иврите, итальянском, японском, корейском, норвежском, польском, португальском, румынском, русском, словацком, испанском, шведском и турецком и вьетнамском (в порядке</w:t>
      </w:r>
      <w:r>
        <w:rPr>
          <w:lang w:val="ru-RU"/>
        </w:rPr>
        <w:t xml:space="preserve"> английского алфавита</w:t>
      </w:r>
      <w:r w:rsidRPr="007F5FAE">
        <w:rPr>
          <w:lang w:val="ru-RU"/>
        </w:rPr>
        <w:t>).</w:t>
      </w:r>
    </w:p>
  </w:footnote>
  <w:footnote w:id="17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ab/>
      </w:r>
      <w:r w:rsidRPr="007F5FAE">
        <w:rPr>
          <w:szCs w:val="18"/>
          <w:lang w:val="ru-RU"/>
        </w:rPr>
        <w:t xml:space="preserve">Текст Обзора размещен по адресу: </w:t>
      </w:r>
      <w:r>
        <w:rPr>
          <w:szCs w:val="18"/>
        </w:rPr>
        <w:t>http</w:t>
      </w:r>
      <w:r w:rsidRPr="00205828">
        <w:rPr>
          <w:szCs w:val="18"/>
          <w:lang w:val="ru-RU"/>
        </w:rPr>
        <w:t>://</w:t>
      </w:r>
      <w:r>
        <w:rPr>
          <w:szCs w:val="18"/>
        </w:rPr>
        <w:t>www</w:t>
      </w:r>
      <w:r w:rsidRPr="00205828">
        <w:rPr>
          <w:szCs w:val="18"/>
          <w:lang w:val="ru-RU"/>
        </w:rPr>
        <w:t>.</w:t>
      </w:r>
      <w:r>
        <w:rPr>
          <w:szCs w:val="18"/>
        </w:rPr>
        <w:t>wipo</w:t>
      </w:r>
      <w:r w:rsidRPr="00205828">
        <w:rPr>
          <w:szCs w:val="18"/>
          <w:lang w:val="ru-RU"/>
        </w:rPr>
        <w:t>.</w:t>
      </w:r>
      <w:r>
        <w:rPr>
          <w:szCs w:val="18"/>
        </w:rPr>
        <w:t>int</w:t>
      </w:r>
      <w:r w:rsidRPr="00205828">
        <w:rPr>
          <w:szCs w:val="18"/>
          <w:lang w:val="ru-RU"/>
        </w:rPr>
        <w:t>/</w:t>
      </w:r>
      <w:r>
        <w:rPr>
          <w:szCs w:val="18"/>
        </w:rPr>
        <w:t>amc</w:t>
      </w:r>
      <w:r w:rsidRPr="00205828">
        <w:rPr>
          <w:szCs w:val="18"/>
          <w:lang w:val="ru-RU"/>
        </w:rPr>
        <w:t>/</w:t>
      </w:r>
      <w:r>
        <w:rPr>
          <w:szCs w:val="18"/>
        </w:rPr>
        <w:t>en</w:t>
      </w:r>
      <w:r w:rsidRPr="00205828">
        <w:rPr>
          <w:szCs w:val="18"/>
          <w:lang w:val="ru-RU"/>
        </w:rPr>
        <w:t>/</w:t>
      </w:r>
      <w:r>
        <w:rPr>
          <w:szCs w:val="18"/>
        </w:rPr>
        <w:t>domains</w:t>
      </w:r>
      <w:r w:rsidRPr="00205828">
        <w:rPr>
          <w:szCs w:val="18"/>
          <w:lang w:val="ru-RU"/>
        </w:rPr>
        <w:t>/</w:t>
      </w:r>
      <w:r>
        <w:rPr>
          <w:szCs w:val="18"/>
        </w:rPr>
        <w:t>search</w:t>
      </w:r>
      <w:r w:rsidRPr="00205828">
        <w:rPr>
          <w:szCs w:val="18"/>
          <w:lang w:val="ru-RU"/>
        </w:rPr>
        <w:t>/</w:t>
      </w:r>
      <w:r>
        <w:rPr>
          <w:szCs w:val="18"/>
        </w:rPr>
        <w:t>overview</w:t>
      </w:r>
      <w:r w:rsidRPr="00205828">
        <w:rPr>
          <w:szCs w:val="18"/>
          <w:lang w:val="ru-RU"/>
        </w:rPr>
        <w:t>2.0.</w:t>
      </w:r>
    </w:p>
  </w:footnote>
  <w:footnote w:id="18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Данный</w:t>
      </w:r>
      <w:r w:rsidRPr="00205828">
        <w:rPr>
          <w:szCs w:val="18"/>
          <w:lang w:val="ru-RU"/>
        </w:rPr>
        <w:t xml:space="preserve"> </w:t>
      </w:r>
      <w:r w:rsidRPr="004C689E">
        <w:rPr>
          <w:szCs w:val="18"/>
          <w:lang w:val="ru-RU"/>
        </w:rPr>
        <w:t>ресурс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 специалистов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опубликован по адресу: </w:t>
      </w:r>
      <w:r>
        <w:rPr>
          <w:szCs w:val="18"/>
        </w:rPr>
        <w:t>http</w:t>
      </w:r>
      <w:r w:rsidRPr="00205828">
        <w:rPr>
          <w:szCs w:val="18"/>
          <w:lang w:val="ru-RU"/>
        </w:rPr>
        <w:t>://</w:t>
      </w:r>
      <w:r>
        <w:rPr>
          <w:szCs w:val="18"/>
        </w:rPr>
        <w:t>www</w:t>
      </w:r>
      <w:r w:rsidRPr="00205828">
        <w:rPr>
          <w:szCs w:val="18"/>
          <w:lang w:val="ru-RU"/>
        </w:rPr>
        <w:t>.</w:t>
      </w:r>
      <w:r>
        <w:rPr>
          <w:szCs w:val="18"/>
        </w:rPr>
        <w:t>wipo</w:t>
      </w:r>
      <w:r w:rsidRPr="00205828">
        <w:rPr>
          <w:szCs w:val="18"/>
          <w:lang w:val="ru-RU"/>
        </w:rPr>
        <w:t>.</w:t>
      </w:r>
      <w:r>
        <w:rPr>
          <w:szCs w:val="18"/>
        </w:rPr>
        <w:t>int</w:t>
      </w:r>
      <w:r w:rsidRPr="00205828">
        <w:rPr>
          <w:szCs w:val="18"/>
          <w:lang w:val="ru-RU"/>
        </w:rPr>
        <w:t>/</w:t>
      </w:r>
      <w:r>
        <w:rPr>
          <w:szCs w:val="18"/>
        </w:rPr>
        <w:t>cgi</w:t>
      </w:r>
      <w:r w:rsidRPr="00205828">
        <w:rPr>
          <w:szCs w:val="18"/>
          <w:lang w:val="ru-RU"/>
        </w:rPr>
        <w:t>-</w:t>
      </w:r>
      <w:r>
        <w:rPr>
          <w:szCs w:val="18"/>
        </w:rPr>
        <w:t>bin</w:t>
      </w:r>
      <w:r w:rsidRPr="00205828">
        <w:rPr>
          <w:szCs w:val="18"/>
          <w:lang w:val="ru-RU"/>
        </w:rPr>
        <w:t>/</w:t>
      </w:r>
      <w:r>
        <w:rPr>
          <w:szCs w:val="18"/>
        </w:rPr>
        <w:t>domains</w:t>
      </w:r>
      <w:r w:rsidRPr="00205828">
        <w:rPr>
          <w:szCs w:val="18"/>
          <w:lang w:val="ru-RU"/>
        </w:rPr>
        <w:t>/</w:t>
      </w:r>
      <w:r>
        <w:rPr>
          <w:szCs w:val="18"/>
        </w:rPr>
        <w:t>search</w:t>
      </w:r>
      <w:r w:rsidRPr="00205828">
        <w:rPr>
          <w:szCs w:val="18"/>
          <w:lang w:val="ru-RU"/>
        </w:rPr>
        <w:t>/</w:t>
      </w:r>
      <w:r>
        <w:rPr>
          <w:szCs w:val="18"/>
        </w:rPr>
        <w:t>legalindex</w:t>
      </w:r>
      <w:r w:rsidRPr="00205828">
        <w:rPr>
          <w:szCs w:val="18"/>
          <w:lang w:val="ru-RU"/>
        </w:rPr>
        <w:t>.</w:t>
      </w:r>
    </w:p>
  </w:footnote>
  <w:footnote w:id="19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например, </w:t>
      </w:r>
      <w:r>
        <w:t>WO</w:t>
      </w:r>
      <w:r w:rsidRPr="00EE5914">
        <w:rPr>
          <w:lang w:val="ru-RU"/>
        </w:rPr>
        <w:t>/</w:t>
      </w:r>
      <w:r>
        <w:t>GA</w:t>
      </w:r>
      <w:r w:rsidRPr="00EE5914">
        <w:rPr>
          <w:lang w:val="ru-RU"/>
        </w:rPr>
        <w:t xml:space="preserve">/41/17 </w:t>
      </w:r>
      <w:r>
        <w:t>Rev</w:t>
      </w:r>
      <w:r w:rsidRPr="00EE5914">
        <w:rPr>
          <w:lang w:val="ru-RU"/>
        </w:rPr>
        <w:t xml:space="preserve">.2, </w:t>
      </w:r>
      <w:r>
        <w:rPr>
          <w:lang w:val="ru-RU"/>
        </w:rPr>
        <w:t>пункты</w:t>
      </w:r>
      <w:r w:rsidRPr="00EE5914">
        <w:rPr>
          <w:lang w:val="ru-RU"/>
        </w:rPr>
        <w:t xml:space="preserve"> 14 </w:t>
      </w:r>
      <w:r>
        <w:rPr>
          <w:lang w:val="ru-RU"/>
        </w:rPr>
        <w:t>-</w:t>
      </w:r>
      <w:r w:rsidRPr="00EE5914">
        <w:rPr>
          <w:lang w:val="ru-RU"/>
        </w:rPr>
        <w:t>16.</w:t>
      </w:r>
    </w:p>
  </w:footnote>
  <w:footnote w:id="20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lang w:val="ru-RU"/>
        </w:rPr>
        <w:t>сноску</w:t>
      </w:r>
      <w:r w:rsidRPr="00CA720F">
        <w:rPr>
          <w:lang w:val="ru-RU"/>
        </w:rPr>
        <w:t xml:space="preserve"> 2</w:t>
      </w:r>
      <w:r>
        <w:rPr>
          <w:lang w:val="ru-RU"/>
        </w:rPr>
        <w:t xml:space="preserve"> выше</w:t>
      </w:r>
      <w:r w:rsidRPr="00CA720F">
        <w:rPr>
          <w:lang w:val="ru-RU"/>
        </w:rPr>
        <w:t>.</w:t>
      </w:r>
    </w:p>
  </w:footnote>
  <w:footnote w:id="21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ab/>
      </w:r>
      <w:r w:rsidRPr="00767CC3">
        <w:rPr>
          <w:szCs w:val="18"/>
          <w:lang w:val="ru-RU"/>
        </w:rPr>
        <w:t>С полным списком ксДВУ, в отношении которых Центр выбран в качестве</w:t>
      </w:r>
      <w:r>
        <w:rPr>
          <w:szCs w:val="18"/>
          <w:lang w:val="ru-RU"/>
        </w:rPr>
        <w:t xml:space="preserve"> </w:t>
      </w:r>
      <w:r w:rsidRPr="00071625">
        <w:rPr>
          <w:szCs w:val="18"/>
          <w:lang w:val="ru-RU"/>
        </w:rPr>
        <w:t>провайдер</w:t>
      </w:r>
      <w:r>
        <w:rPr>
          <w:szCs w:val="18"/>
          <w:lang w:val="ru-RU"/>
        </w:rPr>
        <w:t>а</w:t>
      </w:r>
      <w:r w:rsidRPr="00767CC3">
        <w:rPr>
          <w:szCs w:val="18"/>
          <w:lang w:val="ru-RU"/>
        </w:rPr>
        <w:t xml:space="preserve"> услуг по урегулированию споров в отношении доменных имен, можно ознакомиться по адресу:  </w:t>
      </w:r>
      <w:r>
        <w:rPr>
          <w:szCs w:val="18"/>
        </w:rPr>
        <w:t>http</w:t>
      </w:r>
      <w:r w:rsidRPr="00767CC3">
        <w:rPr>
          <w:szCs w:val="18"/>
          <w:lang w:val="ru-RU"/>
        </w:rPr>
        <w:t>://</w:t>
      </w:r>
      <w:r>
        <w:rPr>
          <w:szCs w:val="18"/>
        </w:rPr>
        <w:t>www</w:t>
      </w:r>
      <w:r w:rsidRPr="00767CC3">
        <w:rPr>
          <w:szCs w:val="18"/>
          <w:lang w:val="ru-RU"/>
        </w:rPr>
        <w:t>.</w:t>
      </w:r>
      <w:r>
        <w:rPr>
          <w:szCs w:val="18"/>
        </w:rPr>
        <w:t>wipo</w:t>
      </w:r>
      <w:r w:rsidRPr="00767CC3">
        <w:rPr>
          <w:szCs w:val="18"/>
          <w:lang w:val="ru-RU"/>
        </w:rPr>
        <w:t>.</w:t>
      </w:r>
      <w:r>
        <w:rPr>
          <w:szCs w:val="18"/>
        </w:rPr>
        <w:t>int</w:t>
      </w:r>
      <w:r w:rsidRPr="00767CC3">
        <w:rPr>
          <w:szCs w:val="18"/>
          <w:lang w:val="ru-RU"/>
        </w:rPr>
        <w:t>/</w:t>
      </w:r>
      <w:r>
        <w:rPr>
          <w:szCs w:val="18"/>
        </w:rPr>
        <w:t>amc</w:t>
      </w:r>
      <w:r w:rsidRPr="00767CC3">
        <w:rPr>
          <w:szCs w:val="18"/>
          <w:lang w:val="ru-RU"/>
        </w:rPr>
        <w:t>/</w:t>
      </w:r>
      <w:r>
        <w:rPr>
          <w:szCs w:val="18"/>
        </w:rPr>
        <w:t>en</w:t>
      </w:r>
      <w:r w:rsidRPr="00767CC3">
        <w:rPr>
          <w:szCs w:val="18"/>
          <w:lang w:val="ru-RU"/>
        </w:rPr>
        <w:t>/</w:t>
      </w:r>
      <w:r>
        <w:rPr>
          <w:szCs w:val="18"/>
        </w:rPr>
        <w:t>domains</w:t>
      </w:r>
      <w:r w:rsidRPr="00767CC3">
        <w:rPr>
          <w:szCs w:val="18"/>
          <w:lang w:val="ru-RU"/>
        </w:rPr>
        <w:t>/</w:t>
      </w:r>
      <w:r>
        <w:rPr>
          <w:szCs w:val="18"/>
        </w:rPr>
        <w:t>cctld</w:t>
      </w:r>
      <w:r w:rsidRPr="00767CC3">
        <w:rPr>
          <w:szCs w:val="18"/>
          <w:lang w:val="ru-RU"/>
        </w:rPr>
        <w:t>.</w:t>
      </w:r>
    </w:p>
  </w:footnote>
  <w:footnote w:id="22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www</w:t>
      </w:r>
      <w:r w:rsidRPr="00EE5914">
        <w:rPr>
          <w:szCs w:val="18"/>
          <w:lang w:val="ru-RU"/>
        </w:rPr>
        <w:t>.</w:t>
      </w:r>
      <w:r>
        <w:rPr>
          <w:szCs w:val="18"/>
        </w:rPr>
        <w:t>icann</w:t>
      </w:r>
      <w:r w:rsidRPr="00EE5914">
        <w:rPr>
          <w:szCs w:val="18"/>
          <w:lang w:val="ru-RU"/>
        </w:rPr>
        <w:t>.</w:t>
      </w:r>
      <w:r>
        <w:rPr>
          <w:szCs w:val="18"/>
        </w:rPr>
        <w:t>org</w:t>
      </w:r>
      <w:r w:rsidRPr="00EE5914">
        <w:rPr>
          <w:szCs w:val="18"/>
          <w:lang w:val="ru-RU"/>
        </w:rPr>
        <w:t>/</w:t>
      </w:r>
      <w:r>
        <w:rPr>
          <w:szCs w:val="18"/>
        </w:rPr>
        <w:t>en</w:t>
      </w:r>
      <w:r w:rsidRPr="00EE5914">
        <w:rPr>
          <w:szCs w:val="18"/>
          <w:lang w:val="ru-RU"/>
        </w:rPr>
        <w:t>/</w:t>
      </w:r>
      <w:r>
        <w:rPr>
          <w:szCs w:val="18"/>
        </w:rPr>
        <w:t>minutes</w:t>
      </w:r>
      <w:r w:rsidRPr="00EE5914">
        <w:rPr>
          <w:szCs w:val="18"/>
          <w:lang w:val="ru-RU"/>
        </w:rPr>
        <w:t>/</w:t>
      </w:r>
      <w:r>
        <w:rPr>
          <w:szCs w:val="18"/>
        </w:rPr>
        <w:t>resolutions</w:t>
      </w:r>
      <w:r w:rsidRPr="00EE5914">
        <w:rPr>
          <w:szCs w:val="18"/>
          <w:lang w:val="ru-RU"/>
        </w:rPr>
        <w:t>-20</w:t>
      </w:r>
      <w:r>
        <w:rPr>
          <w:szCs w:val="18"/>
        </w:rPr>
        <w:t>jun</w:t>
      </w:r>
      <w:r w:rsidRPr="00EE5914">
        <w:rPr>
          <w:szCs w:val="18"/>
          <w:lang w:val="ru-RU"/>
        </w:rPr>
        <w:t>11-</w:t>
      </w:r>
      <w:r>
        <w:rPr>
          <w:szCs w:val="18"/>
        </w:rPr>
        <w:t>en</w:t>
      </w:r>
      <w:r w:rsidRPr="00EE5914">
        <w:rPr>
          <w:szCs w:val="18"/>
          <w:lang w:val="ru-RU"/>
        </w:rPr>
        <w:t>.</w:t>
      </w:r>
      <w:r>
        <w:rPr>
          <w:szCs w:val="18"/>
        </w:rPr>
        <w:t>htm</w:t>
      </w:r>
      <w:r w:rsidRPr="00EE5914">
        <w:rPr>
          <w:szCs w:val="18"/>
          <w:lang w:val="ru-RU"/>
        </w:rPr>
        <w:t xml:space="preserve">.  </w:t>
      </w:r>
      <w:r w:rsidRPr="00205828">
        <w:rPr>
          <w:szCs w:val="18"/>
          <w:lang w:val="ru-RU"/>
        </w:rPr>
        <w:t>Дополнительн</w:t>
      </w:r>
      <w:r>
        <w:rPr>
          <w:szCs w:val="18"/>
          <w:lang w:val="ru-RU"/>
        </w:rPr>
        <w:t>ая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справочная </w:t>
      </w:r>
      <w:r w:rsidRPr="00205828">
        <w:rPr>
          <w:szCs w:val="18"/>
          <w:lang w:val="ru-RU"/>
        </w:rPr>
        <w:t>информаци</w:t>
      </w:r>
      <w:r>
        <w:rPr>
          <w:szCs w:val="18"/>
          <w:lang w:val="ru-RU"/>
        </w:rPr>
        <w:t>я</w:t>
      </w:r>
      <w:r w:rsidRPr="0020582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включая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ссылки</w:t>
      </w:r>
      <w:r w:rsidRPr="0020582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имеется в </w:t>
      </w:r>
      <w:r w:rsidRPr="00205828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е </w:t>
      </w:r>
      <w:r>
        <w:rPr>
          <w:szCs w:val="18"/>
        </w:rPr>
        <w:t>WO</w:t>
      </w:r>
      <w:r w:rsidRPr="00205828">
        <w:rPr>
          <w:szCs w:val="18"/>
          <w:lang w:val="ru-RU"/>
        </w:rPr>
        <w:t>/</w:t>
      </w:r>
      <w:r>
        <w:rPr>
          <w:szCs w:val="18"/>
        </w:rPr>
        <w:t>GA</w:t>
      </w:r>
      <w:r w:rsidRPr="00205828">
        <w:rPr>
          <w:szCs w:val="18"/>
          <w:lang w:val="ru-RU"/>
        </w:rPr>
        <w:t xml:space="preserve">/39/10, </w:t>
      </w:r>
      <w:r>
        <w:rPr>
          <w:szCs w:val="18"/>
          <w:lang w:val="ru-RU"/>
        </w:rPr>
        <w:t xml:space="preserve">особенно в пункте </w:t>
      </w:r>
      <w:r w:rsidRPr="00205828">
        <w:rPr>
          <w:szCs w:val="18"/>
          <w:lang w:val="ru-RU"/>
        </w:rPr>
        <w:t>14.</w:t>
      </w:r>
    </w:p>
  </w:footnote>
  <w:footnote w:id="23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Руководств</w:t>
      </w:r>
      <w:r w:rsidRPr="009D49F1">
        <w:rPr>
          <w:szCs w:val="18"/>
          <w:lang w:val="ru-RU"/>
        </w:rPr>
        <w:t xml:space="preserve">о для заявителя ICANN </w:t>
      </w:r>
      <w:r w:rsidRPr="00205828">
        <w:rPr>
          <w:szCs w:val="18"/>
          <w:lang w:val="ru-RU"/>
        </w:rPr>
        <w:t>опубликован</w:t>
      </w:r>
      <w:r>
        <w:rPr>
          <w:szCs w:val="18"/>
          <w:lang w:val="ru-RU"/>
        </w:rPr>
        <w:t>о</w:t>
      </w:r>
      <w:r w:rsidRPr="009D49F1">
        <w:rPr>
          <w:szCs w:val="18"/>
          <w:lang w:val="ru-RU"/>
        </w:rPr>
        <w:t xml:space="preserve"> </w:t>
      </w:r>
      <w:r w:rsidRPr="00205828">
        <w:rPr>
          <w:szCs w:val="18"/>
          <w:lang w:val="ru-RU"/>
        </w:rPr>
        <w:t>по</w:t>
      </w:r>
      <w:r w:rsidRPr="009D49F1">
        <w:rPr>
          <w:szCs w:val="18"/>
          <w:lang w:val="ru-RU"/>
        </w:rPr>
        <w:t xml:space="preserve"> </w:t>
      </w:r>
      <w:r w:rsidRPr="00205828">
        <w:rPr>
          <w:szCs w:val="18"/>
          <w:lang w:val="ru-RU"/>
        </w:rPr>
        <w:t>адресу</w:t>
      </w:r>
      <w:r w:rsidRPr="009D49F1">
        <w:rPr>
          <w:szCs w:val="18"/>
          <w:lang w:val="ru-RU"/>
        </w:rPr>
        <w:t xml:space="preserve">: </w:t>
      </w:r>
      <w:r>
        <w:rPr>
          <w:szCs w:val="18"/>
        </w:rPr>
        <w:t>http</w:t>
      </w:r>
      <w:r w:rsidRPr="009D49F1">
        <w:rPr>
          <w:szCs w:val="18"/>
          <w:lang w:val="ru-RU"/>
        </w:rPr>
        <w:t>://</w:t>
      </w:r>
      <w:r>
        <w:rPr>
          <w:szCs w:val="18"/>
        </w:rPr>
        <w:t>newgtlds</w:t>
      </w:r>
      <w:r w:rsidRPr="009D49F1">
        <w:rPr>
          <w:szCs w:val="18"/>
          <w:lang w:val="ru-RU"/>
        </w:rPr>
        <w:t>.</w:t>
      </w:r>
      <w:r>
        <w:rPr>
          <w:szCs w:val="18"/>
        </w:rPr>
        <w:t>icann</w:t>
      </w:r>
      <w:r w:rsidRPr="009D49F1">
        <w:rPr>
          <w:szCs w:val="18"/>
          <w:lang w:val="ru-RU"/>
        </w:rPr>
        <w:t>.</w:t>
      </w:r>
      <w:r>
        <w:rPr>
          <w:szCs w:val="18"/>
        </w:rPr>
        <w:t>org</w:t>
      </w:r>
      <w:r w:rsidRPr="009D49F1">
        <w:rPr>
          <w:szCs w:val="18"/>
          <w:lang w:val="ru-RU"/>
        </w:rPr>
        <w:t>/</w:t>
      </w:r>
      <w:r>
        <w:rPr>
          <w:szCs w:val="18"/>
        </w:rPr>
        <w:t>en</w:t>
      </w:r>
      <w:r w:rsidRPr="009D49F1">
        <w:rPr>
          <w:szCs w:val="18"/>
          <w:lang w:val="ru-RU"/>
        </w:rPr>
        <w:t>/</w:t>
      </w:r>
      <w:r>
        <w:rPr>
          <w:szCs w:val="18"/>
        </w:rPr>
        <w:t>applicants</w:t>
      </w:r>
      <w:r w:rsidRPr="009D49F1">
        <w:rPr>
          <w:szCs w:val="18"/>
          <w:lang w:val="ru-RU"/>
        </w:rPr>
        <w:t>/</w:t>
      </w:r>
      <w:r>
        <w:rPr>
          <w:szCs w:val="18"/>
        </w:rPr>
        <w:t>agb</w:t>
      </w:r>
      <w:r w:rsidRPr="009D49F1">
        <w:rPr>
          <w:szCs w:val="18"/>
          <w:lang w:val="ru-RU"/>
        </w:rPr>
        <w:t xml:space="preserve">. </w:t>
      </w:r>
      <w:r w:rsidRPr="00CA720F">
        <w:rPr>
          <w:szCs w:val="18"/>
          <w:lang w:val="ru-RU"/>
        </w:rPr>
        <w:t xml:space="preserve"> </w:t>
      </w:r>
    </w:p>
  </w:footnote>
  <w:footnote w:id="24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9D49F1">
        <w:rPr>
          <w:szCs w:val="18"/>
          <w:lang w:val="ru-RU"/>
        </w:rPr>
        <w:t xml:space="preserve">Новые делегированные рДВУ </w:t>
      </w:r>
      <w:r>
        <w:rPr>
          <w:szCs w:val="18"/>
          <w:lang w:val="ru-RU"/>
        </w:rPr>
        <w:t xml:space="preserve">приводятся </w:t>
      </w:r>
      <w:r w:rsidRPr="009D49F1">
        <w:rPr>
          <w:szCs w:val="18"/>
          <w:lang w:val="ru-RU"/>
        </w:rPr>
        <w:t>по адресу</w:t>
      </w:r>
      <w:r>
        <w:rPr>
          <w:szCs w:val="18"/>
          <w:lang w:val="ru-RU"/>
        </w:rPr>
        <w:t xml:space="preserve">: </w:t>
      </w:r>
      <w:r>
        <w:t>http</w:t>
      </w:r>
      <w:r w:rsidRPr="00205828">
        <w:rPr>
          <w:lang w:val="ru-RU"/>
        </w:rPr>
        <w:t>://</w:t>
      </w:r>
      <w:r>
        <w:t>newgtlds</w:t>
      </w:r>
      <w:r w:rsidRPr="00205828">
        <w:rPr>
          <w:lang w:val="ru-RU"/>
        </w:rPr>
        <w:t>.</w:t>
      </w:r>
      <w:r>
        <w:t>icann</w:t>
      </w:r>
      <w:r w:rsidRPr="00205828">
        <w:rPr>
          <w:lang w:val="ru-RU"/>
        </w:rPr>
        <w:t>.</w:t>
      </w:r>
      <w:r>
        <w:t>org</w:t>
      </w:r>
      <w:r w:rsidRPr="00205828">
        <w:rPr>
          <w:lang w:val="ru-RU"/>
        </w:rPr>
        <w:t>/</w:t>
      </w:r>
      <w:r>
        <w:t>en</w:t>
      </w:r>
      <w:r w:rsidRPr="00205828">
        <w:rPr>
          <w:lang w:val="ru-RU"/>
        </w:rPr>
        <w:t>/</w:t>
      </w:r>
      <w:r>
        <w:t>program</w:t>
      </w:r>
      <w:r w:rsidRPr="00205828">
        <w:rPr>
          <w:lang w:val="ru-RU"/>
        </w:rPr>
        <w:t>-</w:t>
      </w:r>
      <w:r>
        <w:t>status</w:t>
      </w:r>
      <w:r w:rsidRPr="00205828">
        <w:rPr>
          <w:lang w:val="ru-RU"/>
        </w:rPr>
        <w:t>/</w:t>
      </w:r>
      <w:r>
        <w:t>delegated</w:t>
      </w:r>
      <w:r w:rsidRPr="00205828">
        <w:rPr>
          <w:lang w:val="ru-RU"/>
        </w:rPr>
        <w:t>-</w:t>
      </w:r>
      <w:r>
        <w:t>strings</w:t>
      </w:r>
      <w:r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25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205828">
        <w:rPr>
          <w:szCs w:val="18"/>
          <w:lang w:val="ru-RU"/>
        </w:rPr>
        <w:t>Дополнительн</w:t>
      </w:r>
      <w:r>
        <w:rPr>
          <w:szCs w:val="18"/>
          <w:lang w:val="ru-RU"/>
        </w:rPr>
        <w:t>ая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справочная </w:t>
      </w:r>
      <w:r w:rsidRPr="00205828">
        <w:rPr>
          <w:szCs w:val="18"/>
          <w:lang w:val="ru-RU"/>
        </w:rPr>
        <w:t>информаци</w:t>
      </w:r>
      <w:r>
        <w:rPr>
          <w:szCs w:val="18"/>
          <w:lang w:val="ru-RU"/>
        </w:rPr>
        <w:t>я</w:t>
      </w:r>
      <w:r w:rsidRPr="0020582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включая</w:t>
      </w:r>
      <w:r w:rsidRPr="0020582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ссылки</w:t>
      </w:r>
      <w:r w:rsidRPr="0020582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имеется в </w:t>
      </w:r>
      <w:r w:rsidRPr="00205828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е </w:t>
      </w:r>
      <w:r>
        <w:rPr>
          <w:szCs w:val="18"/>
        </w:rPr>
        <w:t>WO</w:t>
      </w:r>
      <w:r w:rsidRPr="00023788">
        <w:rPr>
          <w:szCs w:val="18"/>
          <w:lang w:val="ru-RU"/>
        </w:rPr>
        <w:t>/</w:t>
      </w:r>
      <w:r>
        <w:rPr>
          <w:szCs w:val="18"/>
        </w:rPr>
        <w:t>GA</w:t>
      </w:r>
      <w:r w:rsidRPr="00023788">
        <w:rPr>
          <w:szCs w:val="18"/>
          <w:lang w:val="ru-RU"/>
        </w:rPr>
        <w:t xml:space="preserve">/39/10, </w:t>
      </w:r>
      <w:r>
        <w:rPr>
          <w:szCs w:val="18"/>
          <w:lang w:val="ru-RU"/>
        </w:rPr>
        <w:t xml:space="preserve">особенно в пунктах </w:t>
      </w:r>
      <w:r w:rsidRPr="00023788">
        <w:rPr>
          <w:szCs w:val="18"/>
          <w:lang w:val="ru-RU"/>
        </w:rPr>
        <w:t xml:space="preserve">23 </w:t>
      </w:r>
      <w:r>
        <w:rPr>
          <w:szCs w:val="18"/>
          <w:lang w:val="ru-RU"/>
        </w:rPr>
        <w:t xml:space="preserve">- </w:t>
      </w:r>
      <w:r w:rsidRPr="00023788">
        <w:rPr>
          <w:szCs w:val="18"/>
          <w:lang w:val="ru-RU"/>
        </w:rPr>
        <w:t xml:space="preserve">30. </w:t>
      </w:r>
      <w:r w:rsidRPr="009D49F1">
        <w:rPr>
          <w:szCs w:val="18"/>
          <w:lang w:val="ru-RU"/>
        </w:rPr>
        <w:t xml:space="preserve">Следует также отметить, что ICANN </w:t>
      </w:r>
      <w:r>
        <w:rPr>
          <w:szCs w:val="18"/>
          <w:lang w:val="ru-RU"/>
        </w:rPr>
        <w:t xml:space="preserve">довольно поспешно </w:t>
      </w:r>
      <w:r w:rsidRPr="009D49F1">
        <w:rPr>
          <w:szCs w:val="18"/>
          <w:lang w:val="ru-RU"/>
        </w:rPr>
        <w:t>отклонила предложение о подготовке «Перечня знаков, пользующихся глобальной охраной».</w:t>
      </w:r>
    </w:p>
  </w:footnote>
  <w:footnote w:id="26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01646C">
        <w:rPr>
          <w:szCs w:val="22"/>
          <w:lang w:val="ru-RU"/>
        </w:rPr>
        <w:t xml:space="preserve">Другими основаниями для подачи возражений, признаваемыми ИКАНН, являются: «возражения в связи с наличием дезориентирующей информации в доменной строке», «возражения на основании </w:t>
      </w:r>
      <w:r>
        <w:rPr>
          <w:szCs w:val="22"/>
          <w:lang w:val="ru-RU"/>
        </w:rPr>
        <w:t>общественных требований</w:t>
      </w:r>
      <w:r w:rsidRPr="0001646C">
        <w:rPr>
          <w:szCs w:val="22"/>
          <w:lang w:val="ru-RU"/>
        </w:rPr>
        <w:t>» и «возражения</w:t>
      </w:r>
      <w:r>
        <w:rPr>
          <w:szCs w:val="22"/>
          <w:lang w:val="ru-RU"/>
        </w:rPr>
        <w:t>, связанные с необходимостью</w:t>
      </w:r>
      <w:r w:rsidRPr="0001646C">
        <w:rPr>
          <w:szCs w:val="22"/>
          <w:lang w:val="ru-RU"/>
        </w:rPr>
        <w:t xml:space="preserve"> защиты ограниченных интересов общества»).  «Руководство для заявителя» предусматривает также ряд других процедур, которыми правительства могут пользоваться после того, как ICANN </w:t>
      </w:r>
      <w:r>
        <w:rPr>
          <w:szCs w:val="22"/>
          <w:lang w:val="ru-RU"/>
        </w:rPr>
        <w:t xml:space="preserve">публикует </w:t>
      </w:r>
      <w:r w:rsidRPr="0001646C">
        <w:rPr>
          <w:szCs w:val="22"/>
          <w:lang w:val="ru-RU"/>
        </w:rPr>
        <w:t>заявк</w:t>
      </w:r>
      <w:r>
        <w:rPr>
          <w:szCs w:val="22"/>
          <w:lang w:val="ru-RU"/>
        </w:rPr>
        <w:t>и</w:t>
      </w:r>
      <w:r w:rsidRPr="0001646C">
        <w:rPr>
          <w:szCs w:val="22"/>
          <w:lang w:val="ru-RU"/>
        </w:rPr>
        <w:t xml:space="preserve"> на регистрацию новых рДВУ. В частности, раздел 1.1.2.4 </w:t>
      </w:r>
      <w:r w:rsidRPr="00295C97">
        <w:rPr>
          <w:szCs w:val="22"/>
          <w:lang w:val="ru-RU"/>
        </w:rPr>
        <w:t>предусматрива</w:t>
      </w:r>
      <w:r>
        <w:rPr>
          <w:szCs w:val="22"/>
          <w:lang w:val="ru-RU"/>
        </w:rPr>
        <w:t xml:space="preserve">ет </w:t>
      </w:r>
      <w:r w:rsidRPr="0001646C">
        <w:rPr>
          <w:szCs w:val="22"/>
          <w:lang w:val="ru-RU"/>
        </w:rPr>
        <w:t xml:space="preserve">«Механизм раннего оповещения ПКК», а раздел 1.1.2.7 </w:t>
      </w:r>
      <w:r w:rsidRPr="00295C97">
        <w:rPr>
          <w:szCs w:val="22"/>
          <w:lang w:val="ru-RU"/>
        </w:rPr>
        <w:t>–</w:t>
      </w:r>
      <w:r>
        <w:rPr>
          <w:szCs w:val="22"/>
          <w:lang w:val="ru-RU"/>
        </w:rPr>
        <w:t xml:space="preserve"> </w:t>
      </w:r>
      <w:r w:rsidRPr="00295C97">
        <w:rPr>
          <w:szCs w:val="22"/>
          <w:lang w:val="ru-RU"/>
        </w:rPr>
        <w:t>«Рекомендаци</w:t>
      </w:r>
      <w:r>
        <w:rPr>
          <w:szCs w:val="22"/>
          <w:lang w:val="ru-RU"/>
        </w:rPr>
        <w:t>и</w:t>
      </w:r>
      <w:r w:rsidRPr="0001646C">
        <w:rPr>
          <w:szCs w:val="22"/>
          <w:lang w:val="ru-RU"/>
        </w:rPr>
        <w:t xml:space="preserve"> ПКК в отношении новых рДВУ</w:t>
      </w:r>
      <w:r w:rsidRPr="00295C97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, направляемые на </w:t>
      </w:r>
      <w:r w:rsidRPr="0001646C">
        <w:rPr>
          <w:szCs w:val="22"/>
          <w:lang w:val="ru-RU"/>
        </w:rPr>
        <w:t>рассмотрени</w:t>
      </w:r>
      <w:r>
        <w:rPr>
          <w:szCs w:val="22"/>
          <w:lang w:val="ru-RU"/>
        </w:rPr>
        <w:t>е Совета</w:t>
      </w:r>
      <w:r w:rsidRPr="0001646C">
        <w:rPr>
          <w:sz w:val="22"/>
          <w:szCs w:val="18"/>
          <w:lang w:val="ru-RU"/>
        </w:rPr>
        <w:t xml:space="preserve"> </w:t>
      </w:r>
      <w:r w:rsidRPr="0001646C">
        <w:rPr>
          <w:szCs w:val="18"/>
        </w:rPr>
        <w:t>ICANN</w:t>
      </w:r>
      <w:r w:rsidRPr="0001646C">
        <w:rPr>
          <w:szCs w:val="18"/>
          <w:lang w:val="ru-RU"/>
        </w:rPr>
        <w:t>.</w:t>
      </w:r>
    </w:p>
  </w:footnote>
  <w:footnote w:id="27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  <w:szCs w:val="18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22"/>
          <w:lang w:val="ru-RU"/>
        </w:rPr>
        <w:t>Принята</w:t>
      </w:r>
      <w:r w:rsidRPr="00C52CFA">
        <w:rPr>
          <w:szCs w:val="22"/>
          <w:lang w:val="ru-RU"/>
        </w:rPr>
        <w:t xml:space="preserve"> Генеральн</w:t>
      </w:r>
      <w:r>
        <w:rPr>
          <w:szCs w:val="22"/>
          <w:lang w:val="ru-RU"/>
        </w:rPr>
        <w:t>ой</w:t>
      </w:r>
      <w:r w:rsidRPr="00C52CFA">
        <w:rPr>
          <w:szCs w:val="22"/>
          <w:lang w:val="ru-RU"/>
        </w:rPr>
        <w:t xml:space="preserve"> </w:t>
      </w:r>
      <w:r w:rsidRPr="00C52CFA">
        <w:rPr>
          <w:lang w:val="ru-RU"/>
        </w:rPr>
        <w:t xml:space="preserve">ассамблеей ВОИС в сентябре 2001 г.;  </w:t>
      </w:r>
      <w:r>
        <w:rPr>
          <w:lang w:val="ru-RU"/>
        </w:rPr>
        <w:t>см</w:t>
      </w:r>
      <w:r w:rsidRPr="00C52CFA">
        <w:rPr>
          <w:lang w:val="ru-RU"/>
        </w:rPr>
        <w:t xml:space="preserve">. </w:t>
      </w:r>
      <w:r>
        <w:rPr>
          <w:szCs w:val="18"/>
        </w:rPr>
        <w:t>http</w:t>
      </w:r>
      <w:r w:rsidRPr="00C52CFA">
        <w:rPr>
          <w:szCs w:val="18"/>
          <w:lang w:val="ru-RU"/>
        </w:rPr>
        <w:t>://</w:t>
      </w:r>
      <w:r>
        <w:rPr>
          <w:szCs w:val="18"/>
        </w:rPr>
        <w:t>www</w:t>
      </w:r>
      <w:r w:rsidRPr="00C52CFA">
        <w:rPr>
          <w:szCs w:val="18"/>
          <w:lang w:val="ru-RU"/>
        </w:rPr>
        <w:t>.</w:t>
      </w:r>
      <w:r>
        <w:rPr>
          <w:szCs w:val="18"/>
        </w:rPr>
        <w:t>wipo</w:t>
      </w:r>
      <w:r w:rsidRPr="00C52CFA">
        <w:rPr>
          <w:szCs w:val="18"/>
          <w:lang w:val="ru-RU"/>
        </w:rPr>
        <w:t>.</w:t>
      </w:r>
      <w:r>
        <w:rPr>
          <w:szCs w:val="18"/>
        </w:rPr>
        <w:t>int</w:t>
      </w:r>
      <w:r w:rsidRPr="00C52CFA">
        <w:rPr>
          <w:szCs w:val="18"/>
          <w:lang w:val="ru-RU"/>
        </w:rPr>
        <w:t>/</w:t>
      </w:r>
      <w:r>
        <w:rPr>
          <w:szCs w:val="18"/>
        </w:rPr>
        <w:t>about</w:t>
      </w:r>
      <w:r w:rsidRPr="00C52CFA">
        <w:rPr>
          <w:szCs w:val="18"/>
          <w:lang w:val="ru-RU"/>
        </w:rPr>
        <w:noBreakHyphen/>
      </w:r>
      <w:r>
        <w:rPr>
          <w:szCs w:val="18"/>
        </w:rPr>
        <w:t>ip</w:t>
      </w:r>
      <w:r w:rsidRPr="00C52CFA">
        <w:rPr>
          <w:szCs w:val="18"/>
          <w:lang w:val="ru-RU"/>
        </w:rPr>
        <w:t>/</w:t>
      </w:r>
      <w:r>
        <w:rPr>
          <w:szCs w:val="18"/>
        </w:rPr>
        <w:t>en</w:t>
      </w:r>
      <w:r w:rsidRPr="00C52CFA">
        <w:rPr>
          <w:szCs w:val="18"/>
          <w:lang w:val="ru-RU"/>
        </w:rPr>
        <w:t>/</w:t>
      </w:r>
      <w:r>
        <w:rPr>
          <w:szCs w:val="18"/>
        </w:rPr>
        <w:t>development</w:t>
      </w:r>
      <w:r w:rsidRPr="00C52CFA">
        <w:rPr>
          <w:szCs w:val="18"/>
          <w:lang w:val="ru-RU"/>
        </w:rPr>
        <w:t>_</w:t>
      </w:r>
      <w:r>
        <w:rPr>
          <w:szCs w:val="18"/>
        </w:rPr>
        <w:t>iplaw</w:t>
      </w:r>
      <w:r w:rsidRPr="00C52CFA">
        <w:rPr>
          <w:szCs w:val="18"/>
          <w:lang w:val="ru-RU"/>
        </w:rPr>
        <w:t>/</w:t>
      </w:r>
      <w:r>
        <w:rPr>
          <w:szCs w:val="18"/>
        </w:rPr>
        <w:t>pub</w:t>
      </w:r>
      <w:r w:rsidRPr="00C52CFA">
        <w:rPr>
          <w:szCs w:val="18"/>
          <w:lang w:val="ru-RU"/>
        </w:rPr>
        <w:t>845-</w:t>
      </w:r>
      <w:r>
        <w:rPr>
          <w:szCs w:val="18"/>
        </w:rPr>
        <w:t>toc</w:t>
      </w:r>
      <w:r w:rsidRPr="00C52CFA">
        <w:rPr>
          <w:szCs w:val="18"/>
          <w:lang w:val="ru-RU"/>
        </w:rPr>
        <w:t>.</w:t>
      </w:r>
      <w:r>
        <w:rPr>
          <w:szCs w:val="18"/>
        </w:rPr>
        <w:t>htm</w:t>
      </w:r>
      <w:r w:rsidRPr="00C52CFA">
        <w:rPr>
          <w:szCs w:val="18"/>
          <w:lang w:val="ru-RU"/>
        </w:rPr>
        <w:t>.</w:t>
      </w:r>
    </w:p>
  </w:footnote>
  <w:footnote w:id="28">
    <w:p w:rsidR="00CA720F" w:rsidRPr="00CA720F" w:rsidRDefault="00CA720F" w:rsidP="00384EE8">
      <w:pPr>
        <w:pStyle w:val="FootnoteText"/>
        <w:rPr>
          <w:szCs w:val="18"/>
          <w:u w:val="single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01646C">
        <w:rPr>
          <w:lang w:val="ru-RU"/>
        </w:rPr>
        <w:t xml:space="preserve">. раздел </w:t>
      </w:r>
      <w:r w:rsidRPr="0001646C">
        <w:rPr>
          <w:szCs w:val="18"/>
          <w:lang w:val="ru-RU"/>
        </w:rPr>
        <w:t xml:space="preserve">3.2 </w:t>
      </w:r>
      <w:r>
        <w:rPr>
          <w:szCs w:val="18"/>
          <w:lang w:val="ru-RU"/>
        </w:rPr>
        <w:t>Руководства</w:t>
      </w:r>
      <w:r w:rsidRPr="009D49F1">
        <w:rPr>
          <w:szCs w:val="18"/>
          <w:lang w:val="ru-RU"/>
        </w:rPr>
        <w:t xml:space="preserve"> для заявителя ICANN </w:t>
      </w:r>
      <w:r w:rsidRPr="00023788">
        <w:rPr>
          <w:szCs w:val="18"/>
          <w:lang w:val="ru-RU"/>
        </w:rPr>
        <w:t>по</w:t>
      </w:r>
      <w:r w:rsidRPr="0001646C">
        <w:rPr>
          <w:szCs w:val="18"/>
          <w:lang w:val="ru-RU"/>
        </w:rPr>
        <w:t xml:space="preserve"> </w:t>
      </w:r>
      <w:r w:rsidRPr="00023788">
        <w:rPr>
          <w:szCs w:val="18"/>
          <w:lang w:val="ru-RU"/>
        </w:rPr>
        <w:t>адресу</w:t>
      </w:r>
      <w:r w:rsidRPr="0001646C">
        <w:rPr>
          <w:szCs w:val="18"/>
          <w:lang w:val="ru-RU"/>
        </w:rPr>
        <w:t xml:space="preserve">: </w:t>
      </w:r>
      <w:hyperlink r:id="rId1" w:history="1">
        <w:r w:rsidRPr="004F5F66">
          <w:rPr>
            <w:rStyle w:val="Hyperlink"/>
            <w:color w:val="00000A"/>
            <w:szCs w:val="18"/>
            <w:u w:val="none"/>
          </w:rPr>
          <w:t>http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://</w:t>
        </w:r>
        <w:r w:rsidRPr="004F5F66">
          <w:rPr>
            <w:rStyle w:val="Hyperlink"/>
            <w:color w:val="00000A"/>
            <w:szCs w:val="18"/>
            <w:u w:val="none"/>
          </w:rPr>
          <w:t>newgtlds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.</w:t>
        </w:r>
        <w:r w:rsidRPr="004F5F66">
          <w:rPr>
            <w:rStyle w:val="Hyperlink"/>
            <w:color w:val="00000A"/>
            <w:szCs w:val="18"/>
            <w:u w:val="none"/>
          </w:rPr>
          <w:t>icann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.</w:t>
        </w:r>
        <w:r w:rsidRPr="004F5F66">
          <w:rPr>
            <w:rStyle w:val="Hyperlink"/>
            <w:color w:val="00000A"/>
            <w:szCs w:val="18"/>
            <w:u w:val="none"/>
          </w:rPr>
          <w:t>org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/</w:t>
        </w:r>
        <w:r w:rsidRPr="004F5F66">
          <w:rPr>
            <w:rStyle w:val="Hyperlink"/>
            <w:color w:val="00000A"/>
            <w:szCs w:val="18"/>
            <w:u w:val="none"/>
          </w:rPr>
          <w:t>en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/</w:t>
        </w:r>
        <w:r w:rsidRPr="004F5F66">
          <w:rPr>
            <w:rStyle w:val="Hyperlink"/>
            <w:color w:val="00000A"/>
            <w:szCs w:val="18"/>
            <w:u w:val="none"/>
          </w:rPr>
          <w:t>applicants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/</w:t>
        </w:r>
        <w:r w:rsidRPr="004F5F66">
          <w:rPr>
            <w:rStyle w:val="Hyperlink"/>
            <w:color w:val="00000A"/>
            <w:szCs w:val="18"/>
            <w:u w:val="none"/>
          </w:rPr>
          <w:t>agb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/</w:t>
        </w:r>
        <w:r w:rsidRPr="004F5F66">
          <w:rPr>
            <w:rStyle w:val="Hyperlink"/>
            <w:color w:val="00000A"/>
            <w:szCs w:val="18"/>
            <w:u w:val="none"/>
          </w:rPr>
          <w:t>objection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noBreakHyphen/>
        </w:r>
        <w:r w:rsidRPr="004F5F66">
          <w:rPr>
            <w:rStyle w:val="Hyperlink"/>
            <w:color w:val="00000A"/>
            <w:szCs w:val="18"/>
            <w:u w:val="none"/>
          </w:rPr>
          <w:t>procedures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-04</w:t>
        </w:r>
        <w:r w:rsidRPr="004F5F66">
          <w:rPr>
            <w:rStyle w:val="Hyperlink"/>
            <w:color w:val="00000A"/>
            <w:szCs w:val="18"/>
            <w:u w:val="none"/>
          </w:rPr>
          <w:t>jun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12-</w:t>
        </w:r>
        <w:r w:rsidRPr="004F5F66">
          <w:rPr>
            <w:rStyle w:val="Hyperlink"/>
            <w:color w:val="00000A"/>
            <w:szCs w:val="18"/>
            <w:u w:val="none"/>
          </w:rPr>
          <w:t>en</w:t>
        </w:r>
        <w:r w:rsidRPr="004F5F66">
          <w:rPr>
            <w:rStyle w:val="Hyperlink"/>
            <w:color w:val="00000A"/>
            <w:szCs w:val="18"/>
            <w:u w:val="none"/>
            <w:lang w:val="ru-RU"/>
          </w:rPr>
          <w:t>.</w:t>
        </w:r>
        <w:r w:rsidRPr="004F5F66">
          <w:rPr>
            <w:rStyle w:val="Hyperlink"/>
            <w:color w:val="00000A"/>
            <w:szCs w:val="18"/>
            <w:u w:val="none"/>
          </w:rPr>
          <w:t>pdf</w:t>
        </w:r>
      </w:hyperlink>
      <w:r w:rsidRPr="004F5F66">
        <w:rPr>
          <w:szCs w:val="18"/>
          <w:lang w:val="ru-RU"/>
        </w:rPr>
        <w:t>.</w:t>
      </w:r>
    </w:p>
  </w:footnote>
  <w:footnote w:id="29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7738DB">
        <w:rPr>
          <w:szCs w:val="18"/>
          <w:lang w:val="ru-RU"/>
        </w:rPr>
        <w:t xml:space="preserve">См. «Правила ВОИС по урегулированию споров, касающихся новых рДВУ», и «Перечень пошлин и сборов», </w:t>
      </w:r>
      <w:r>
        <w:rPr>
          <w:szCs w:val="18"/>
          <w:lang w:val="ru-RU"/>
        </w:rPr>
        <w:t>по адресам</w:t>
      </w:r>
      <w:r w:rsidRPr="007738DB">
        <w:rPr>
          <w:szCs w:val="18"/>
          <w:lang w:val="ru-RU"/>
        </w:rPr>
        <w:t xml:space="preserve">: </w:t>
      </w:r>
      <w:r w:rsidRPr="007738DB">
        <w:rPr>
          <w:szCs w:val="18"/>
        </w:rPr>
        <w:t>http</w:t>
      </w:r>
      <w:r w:rsidRPr="007738DB">
        <w:rPr>
          <w:szCs w:val="18"/>
          <w:lang w:val="ru-RU"/>
        </w:rPr>
        <w:t>:</w:t>
      </w:r>
      <w:r w:rsidRPr="007738DB">
        <w:rPr>
          <w:szCs w:val="18"/>
        </w:rPr>
        <w:t>www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wipo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int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amc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en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docs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wipolrorules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pdf</w:t>
      </w:r>
      <w:r w:rsidRPr="007738DB">
        <w:rPr>
          <w:szCs w:val="18"/>
          <w:lang w:val="ru-RU"/>
        </w:rPr>
        <w:t xml:space="preserve">  и </w:t>
      </w:r>
      <w:r w:rsidRPr="007738DB">
        <w:rPr>
          <w:szCs w:val="18"/>
        </w:rPr>
        <w:t>http</w:t>
      </w:r>
      <w:r w:rsidRPr="007738DB">
        <w:rPr>
          <w:szCs w:val="18"/>
          <w:lang w:val="ru-RU"/>
        </w:rPr>
        <w:t>://</w:t>
      </w:r>
      <w:r w:rsidRPr="007738DB">
        <w:rPr>
          <w:szCs w:val="18"/>
        </w:rPr>
        <w:t>www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wipo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int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amc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en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domains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lro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fees</w:t>
      </w:r>
      <w:r w:rsidRPr="007738DB">
        <w:rPr>
          <w:szCs w:val="18"/>
          <w:lang w:val="ru-RU"/>
        </w:rPr>
        <w:t>/</w:t>
      </w:r>
      <w:r>
        <w:rPr>
          <w:szCs w:val="18"/>
          <w:lang w:val="ru-RU"/>
        </w:rPr>
        <w:t>,</w:t>
      </w:r>
      <w:r w:rsidRPr="007738DB">
        <w:rPr>
          <w:szCs w:val="18"/>
          <w:lang w:val="ru-RU"/>
        </w:rPr>
        <w:t xml:space="preserve"> соответственно, </w:t>
      </w:r>
      <w:r w:rsidRPr="00EE1909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</w:t>
      </w:r>
      <w:r w:rsidRPr="007738DB">
        <w:rPr>
          <w:szCs w:val="18"/>
          <w:lang w:val="ru-RU"/>
        </w:rPr>
        <w:t xml:space="preserve">«Зарегистрированные </w:t>
      </w:r>
      <w:r>
        <w:rPr>
          <w:szCs w:val="18"/>
          <w:lang w:val="ru-RU"/>
        </w:rPr>
        <w:t xml:space="preserve">в </w:t>
      </w:r>
      <w:r w:rsidRPr="007738DB">
        <w:rPr>
          <w:szCs w:val="18"/>
          <w:lang w:val="ru-RU"/>
        </w:rPr>
        <w:t xml:space="preserve">ВОИС споры, возбужденные на основании </w:t>
      </w:r>
      <w:r w:rsidRPr="007738DB">
        <w:rPr>
          <w:szCs w:val="18"/>
        </w:rPr>
        <w:t>LRO</w:t>
      </w:r>
      <w:r w:rsidRPr="007738DB">
        <w:rPr>
          <w:szCs w:val="18"/>
          <w:lang w:val="ru-RU"/>
        </w:rPr>
        <w:t>» (</w:t>
      </w:r>
      <w:r w:rsidRPr="007738DB">
        <w:rPr>
          <w:szCs w:val="18"/>
        </w:rPr>
        <w:t>http</w:t>
      </w:r>
      <w:r w:rsidRPr="007738DB">
        <w:rPr>
          <w:szCs w:val="18"/>
          <w:lang w:val="ru-RU"/>
        </w:rPr>
        <w:t>:</w:t>
      </w:r>
      <w:r w:rsidRPr="007738DB">
        <w:rPr>
          <w:szCs w:val="18"/>
        </w:rPr>
        <w:t>www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wipo</w:t>
      </w:r>
      <w:r w:rsidRPr="007738DB">
        <w:rPr>
          <w:szCs w:val="18"/>
          <w:lang w:val="ru-RU"/>
        </w:rPr>
        <w:t>.</w:t>
      </w:r>
      <w:r w:rsidRPr="007738DB">
        <w:rPr>
          <w:szCs w:val="18"/>
        </w:rPr>
        <w:t>int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amc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en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domains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lro</w:t>
      </w:r>
      <w:r w:rsidRPr="007738DB">
        <w:rPr>
          <w:szCs w:val="18"/>
          <w:lang w:val="ru-RU"/>
        </w:rPr>
        <w:t>/</w:t>
      </w:r>
      <w:r w:rsidRPr="007738DB">
        <w:rPr>
          <w:szCs w:val="18"/>
        </w:rPr>
        <w:t>cases</w:t>
      </w:r>
      <w:r w:rsidRPr="007738DB">
        <w:rPr>
          <w:szCs w:val="18"/>
          <w:lang w:val="ru-RU"/>
        </w:rPr>
        <w:t>/)</w:t>
      </w:r>
      <w:r>
        <w:rPr>
          <w:szCs w:val="18"/>
          <w:lang w:val="ru-RU"/>
        </w:rPr>
        <w:t>.</w:t>
      </w:r>
      <w:r w:rsidRPr="00CA720F">
        <w:rPr>
          <w:szCs w:val="18"/>
          <w:lang w:val="ru-RU"/>
        </w:rPr>
        <w:t xml:space="preserve"> </w:t>
      </w:r>
    </w:p>
  </w:footnote>
  <w:footnote w:id="30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t>http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wipo</w:t>
      </w:r>
      <w:r w:rsidRPr="00EE5914">
        <w:rPr>
          <w:lang w:val="ru-RU"/>
        </w:rPr>
        <w:t>.</w:t>
      </w:r>
      <w:r>
        <w:t>int</w:t>
      </w:r>
      <w:r w:rsidRPr="00EE5914">
        <w:rPr>
          <w:lang w:val="ru-RU"/>
        </w:rPr>
        <w:t>/</w:t>
      </w:r>
      <w:r>
        <w:t>amc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domains</w:t>
      </w:r>
      <w:r w:rsidRPr="00EE5914">
        <w:rPr>
          <w:lang w:val="ru-RU"/>
        </w:rPr>
        <w:t>/</w:t>
      </w:r>
      <w:r>
        <w:t>lro</w:t>
      </w:r>
      <w:r w:rsidRPr="00EE5914">
        <w:rPr>
          <w:lang w:val="ru-RU"/>
        </w:rPr>
        <w:t>/</w:t>
      </w:r>
      <w:r>
        <w:t>cases</w:t>
      </w:r>
      <w:r w:rsidRPr="00EE5914">
        <w:rPr>
          <w:lang w:val="ru-RU"/>
        </w:rPr>
        <w:t xml:space="preserve">/. </w:t>
      </w:r>
      <w:r w:rsidRPr="00CA720F">
        <w:rPr>
          <w:lang w:val="ru-RU"/>
        </w:rPr>
        <w:t xml:space="preserve"> </w:t>
      </w:r>
    </w:p>
  </w:footnote>
  <w:footnote w:id="31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AA5025">
        <w:rPr>
          <w:szCs w:val="22"/>
          <w:lang w:val="ru-RU"/>
        </w:rPr>
        <w:t xml:space="preserve">В отчете ВОИС по процедурам LRO отмечается, что подавляющее большинство LRO были поданы против заявок на регистрацию рДВУ, текст которых имеет описательное или словарное значение. Многие </w:t>
      </w:r>
      <w:r>
        <w:rPr>
          <w:szCs w:val="22"/>
          <w:lang w:val="ru-RU"/>
        </w:rPr>
        <w:t>экспертные комиссии</w:t>
      </w:r>
      <w:r w:rsidRPr="00AA5025">
        <w:rPr>
          <w:szCs w:val="22"/>
          <w:lang w:val="ru-RU"/>
        </w:rPr>
        <w:t xml:space="preserve"> приходили к выводу о том, что, когда владелец товарного знака регистрировал в качестве товарного знака обычный словарный термин, заявка на регистрацию рДВУ, направленная только на использование такого общего </w:t>
      </w:r>
      <w:r>
        <w:rPr>
          <w:szCs w:val="22"/>
          <w:lang w:val="ru-RU"/>
        </w:rPr>
        <w:t>словарного значения, не является</w:t>
      </w:r>
      <w:r w:rsidRPr="00AA5025">
        <w:rPr>
          <w:szCs w:val="22"/>
          <w:lang w:val="ru-RU"/>
        </w:rPr>
        <w:t xml:space="preserve">, сама по себе, нарушением </w:t>
      </w:r>
      <w:r>
        <w:rPr>
          <w:szCs w:val="22"/>
          <w:lang w:val="ru-RU"/>
        </w:rPr>
        <w:t>норм</w:t>
      </w:r>
      <w:r w:rsidRPr="00AA502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позволяющим удовлетворить </w:t>
      </w:r>
      <w:r w:rsidRPr="00AA5025">
        <w:rPr>
          <w:szCs w:val="22"/>
          <w:lang w:val="ru-RU"/>
        </w:rPr>
        <w:t xml:space="preserve">LRO. В некоторых случаях </w:t>
      </w:r>
      <w:r>
        <w:rPr>
          <w:szCs w:val="22"/>
          <w:lang w:val="ru-RU"/>
        </w:rPr>
        <w:t>экспертные комиссии</w:t>
      </w:r>
      <w:r w:rsidRPr="00AA5025">
        <w:rPr>
          <w:szCs w:val="22"/>
          <w:lang w:val="ru-RU"/>
        </w:rPr>
        <w:t xml:space="preserve"> рассматривали случаи, когда товарные знаки регистрировались </w:t>
      </w:r>
      <w:r>
        <w:rPr>
          <w:szCs w:val="22"/>
          <w:lang w:val="ru-RU"/>
        </w:rPr>
        <w:t xml:space="preserve">в основном </w:t>
      </w:r>
      <w:r w:rsidRPr="00AA5025">
        <w:rPr>
          <w:szCs w:val="22"/>
          <w:lang w:val="ru-RU"/>
        </w:rPr>
        <w:t xml:space="preserve">для обеспечения успеха заявки на регистрацию нового рДВУ и/или </w:t>
      </w:r>
      <w:r>
        <w:rPr>
          <w:szCs w:val="22"/>
          <w:lang w:val="ru-RU"/>
        </w:rPr>
        <w:t xml:space="preserve">получения </w:t>
      </w:r>
      <w:r w:rsidRPr="00AA5025">
        <w:rPr>
          <w:szCs w:val="22"/>
          <w:lang w:val="ru-RU"/>
        </w:rPr>
        <w:t xml:space="preserve">юридических прав для подачи LRO и не </w:t>
      </w:r>
      <w:r w:rsidRPr="00811A10">
        <w:rPr>
          <w:szCs w:val="22"/>
          <w:lang w:val="ru-RU"/>
        </w:rPr>
        <w:t>подтвержд</w:t>
      </w:r>
      <w:r>
        <w:rPr>
          <w:szCs w:val="22"/>
          <w:lang w:val="ru-RU"/>
        </w:rPr>
        <w:t xml:space="preserve">ались </w:t>
      </w:r>
      <w:r w:rsidRPr="00AA5025">
        <w:rPr>
          <w:szCs w:val="22"/>
          <w:lang w:val="ru-RU"/>
        </w:rPr>
        <w:t xml:space="preserve">или </w:t>
      </w:r>
      <w:r>
        <w:rPr>
          <w:szCs w:val="22"/>
          <w:lang w:val="ru-RU"/>
        </w:rPr>
        <w:t xml:space="preserve">почти </w:t>
      </w:r>
      <w:r w:rsidRPr="00AA5025">
        <w:rPr>
          <w:szCs w:val="22"/>
          <w:lang w:val="ru-RU"/>
        </w:rPr>
        <w:t xml:space="preserve">не </w:t>
      </w:r>
      <w:r w:rsidRPr="00811A10">
        <w:rPr>
          <w:szCs w:val="22"/>
          <w:lang w:val="ru-RU"/>
        </w:rPr>
        <w:t>подтвержд</w:t>
      </w:r>
      <w:r>
        <w:rPr>
          <w:szCs w:val="22"/>
          <w:lang w:val="ru-RU"/>
        </w:rPr>
        <w:t xml:space="preserve">ались </w:t>
      </w:r>
      <w:r w:rsidRPr="00811A10">
        <w:rPr>
          <w:szCs w:val="22"/>
          <w:lang w:val="ru-RU"/>
        </w:rPr>
        <w:t>доказательств</w:t>
      </w:r>
      <w:r>
        <w:rPr>
          <w:szCs w:val="22"/>
          <w:lang w:val="ru-RU"/>
        </w:rPr>
        <w:t xml:space="preserve">ами их </w:t>
      </w:r>
      <w:r w:rsidRPr="00811A10">
        <w:rPr>
          <w:szCs w:val="22"/>
          <w:lang w:val="ru-RU"/>
        </w:rPr>
        <w:t>предыдущ</w:t>
      </w:r>
      <w:r>
        <w:rPr>
          <w:szCs w:val="22"/>
          <w:lang w:val="ru-RU"/>
        </w:rPr>
        <w:t xml:space="preserve">его </w:t>
      </w:r>
      <w:r w:rsidRPr="00AA5025">
        <w:rPr>
          <w:szCs w:val="22"/>
          <w:lang w:val="ru-RU"/>
        </w:rPr>
        <w:t xml:space="preserve">использования. </w:t>
      </w:r>
      <w:r>
        <w:rPr>
          <w:szCs w:val="22"/>
          <w:lang w:val="ru-RU"/>
        </w:rPr>
        <w:t>См</w:t>
      </w:r>
      <w:r w:rsidRPr="00023788">
        <w:rPr>
          <w:szCs w:val="22"/>
          <w:lang w:val="ru-RU"/>
        </w:rPr>
        <w:t xml:space="preserve">. </w:t>
      </w:r>
      <w:r>
        <w:t>http</w:t>
      </w:r>
      <w:r w:rsidRPr="00023788">
        <w:rPr>
          <w:lang w:val="ru-RU"/>
        </w:rPr>
        <w:t>://</w:t>
      </w:r>
      <w:r>
        <w:t>www</w:t>
      </w:r>
      <w:r w:rsidRPr="00023788">
        <w:rPr>
          <w:lang w:val="ru-RU"/>
        </w:rPr>
        <w:t>.</w:t>
      </w:r>
      <w:r>
        <w:t>wipo</w:t>
      </w:r>
      <w:r w:rsidRPr="00023788">
        <w:rPr>
          <w:lang w:val="ru-RU"/>
        </w:rPr>
        <w:t>.</w:t>
      </w:r>
      <w:r>
        <w:t>int</w:t>
      </w:r>
      <w:r w:rsidRPr="00023788">
        <w:rPr>
          <w:lang w:val="ru-RU"/>
        </w:rPr>
        <w:t>/</w:t>
      </w:r>
      <w:r>
        <w:t>amc</w:t>
      </w:r>
      <w:r w:rsidRPr="00023788">
        <w:rPr>
          <w:lang w:val="ru-RU"/>
        </w:rPr>
        <w:t>/</w:t>
      </w:r>
      <w:r>
        <w:t>en</w:t>
      </w:r>
      <w:r w:rsidRPr="00023788">
        <w:rPr>
          <w:lang w:val="ru-RU"/>
        </w:rPr>
        <w:t>/</w:t>
      </w:r>
      <w:r>
        <w:t>docs</w:t>
      </w:r>
      <w:r w:rsidRPr="00023788">
        <w:rPr>
          <w:lang w:val="ru-RU"/>
        </w:rPr>
        <w:t>/</w:t>
      </w:r>
      <w:r>
        <w:t>lroreport</w:t>
      </w:r>
      <w:r w:rsidRPr="00023788">
        <w:rPr>
          <w:lang w:val="ru-RU"/>
        </w:rPr>
        <w:t>.</w:t>
      </w:r>
      <w:r>
        <w:t>pdf</w:t>
      </w:r>
      <w:r w:rsidRPr="00023788"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32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www</w:t>
      </w:r>
      <w:r w:rsidRPr="00EE5914">
        <w:rPr>
          <w:szCs w:val="18"/>
          <w:lang w:val="ru-RU"/>
        </w:rPr>
        <w:t>.</w:t>
      </w:r>
      <w:r>
        <w:rPr>
          <w:szCs w:val="18"/>
        </w:rPr>
        <w:t>wipo</w:t>
      </w:r>
      <w:r w:rsidRPr="00EE5914">
        <w:rPr>
          <w:szCs w:val="18"/>
          <w:lang w:val="ru-RU"/>
        </w:rPr>
        <w:t>.</w:t>
      </w:r>
      <w:r>
        <w:rPr>
          <w:szCs w:val="18"/>
        </w:rPr>
        <w:t>int</w:t>
      </w:r>
      <w:r w:rsidRPr="00EE5914">
        <w:rPr>
          <w:szCs w:val="18"/>
          <w:lang w:val="ru-RU"/>
        </w:rPr>
        <w:t>/</w:t>
      </w:r>
      <w:r>
        <w:rPr>
          <w:szCs w:val="18"/>
        </w:rPr>
        <w:t>amc</w:t>
      </w:r>
      <w:r w:rsidRPr="00EE5914">
        <w:rPr>
          <w:szCs w:val="18"/>
          <w:lang w:val="ru-RU"/>
        </w:rPr>
        <w:t>/</w:t>
      </w:r>
      <w:r>
        <w:rPr>
          <w:szCs w:val="18"/>
        </w:rPr>
        <w:t>en</w:t>
      </w:r>
      <w:r w:rsidRPr="00EE5914">
        <w:rPr>
          <w:szCs w:val="18"/>
          <w:lang w:val="ru-RU"/>
        </w:rPr>
        <w:t>/</w:t>
      </w:r>
      <w:r>
        <w:rPr>
          <w:szCs w:val="18"/>
        </w:rPr>
        <w:t>docs</w:t>
      </w:r>
      <w:r w:rsidRPr="00EE5914">
        <w:rPr>
          <w:szCs w:val="18"/>
          <w:lang w:val="ru-RU"/>
        </w:rPr>
        <w:t>/</w:t>
      </w:r>
      <w:r>
        <w:rPr>
          <w:szCs w:val="18"/>
        </w:rPr>
        <w:t>icann</w:t>
      </w:r>
      <w:r w:rsidRPr="00EE5914">
        <w:rPr>
          <w:szCs w:val="18"/>
          <w:lang w:val="ru-RU"/>
        </w:rPr>
        <w:t>130309.</w:t>
      </w:r>
      <w:r>
        <w:rPr>
          <w:szCs w:val="18"/>
        </w:rPr>
        <w:t>pdf</w:t>
      </w:r>
      <w:r w:rsidRPr="00EE5914">
        <w:rPr>
          <w:szCs w:val="18"/>
          <w:lang w:val="ru-RU"/>
        </w:rPr>
        <w:t>.</w:t>
      </w:r>
    </w:p>
  </w:footnote>
  <w:footnote w:id="33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B9755B">
        <w:rPr>
          <w:szCs w:val="18"/>
          <w:lang w:val="ru-RU"/>
        </w:rPr>
        <w:t xml:space="preserve">С учетом </w:t>
      </w:r>
      <w:r>
        <w:rPr>
          <w:szCs w:val="18"/>
          <w:lang w:val="ru-RU"/>
        </w:rPr>
        <w:t>наблюдающегося сближения функций</w:t>
      </w:r>
      <w:r w:rsidRPr="00B9755B">
        <w:rPr>
          <w:szCs w:val="18"/>
          <w:lang w:val="ru-RU"/>
        </w:rPr>
        <w:t xml:space="preserve"> реестра, регистратора и владельца регистрации в рамках DNS, Центр также рекомендовал, исходя, в частности, из своего опыта применения ЕПУС и решения ICANN допустить </w:t>
      </w:r>
      <w:r>
        <w:rPr>
          <w:szCs w:val="18"/>
          <w:lang w:val="ru-RU"/>
        </w:rPr>
        <w:t>перекрестное владение</w:t>
      </w:r>
      <w:r w:rsidRPr="00B9755B">
        <w:rPr>
          <w:szCs w:val="18"/>
          <w:lang w:val="ru-RU"/>
        </w:rPr>
        <w:t xml:space="preserve"> между регистраторами и реестрами (см. http:www.icann.org/en/minutes/resolutions-05nov10-en.htm), чтобы ICANN рассмотрела возможность распространения процедуры PDDRP</w:t>
      </w:r>
      <w:r>
        <w:rPr>
          <w:szCs w:val="18"/>
          <w:lang w:val="ru-RU"/>
        </w:rPr>
        <w:t xml:space="preserve">, </w:t>
      </w:r>
      <w:r w:rsidRPr="00B9755B">
        <w:rPr>
          <w:szCs w:val="18"/>
          <w:lang w:val="ru-RU"/>
        </w:rPr>
        <w:t>примен</w:t>
      </w:r>
      <w:r>
        <w:rPr>
          <w:szCs w:val="18"/>
          <w:lang w:val="ru-RU"/>
        </w:rPr>
        <w:t xml:space="preserve">яемой </w:t>
      </w:r>
      <w:r w:rsidRPr="00B9755B">
        <w:rPr>
          <w:szCs w:val="18"/>
          <w:lang w:val="ru-RU"/>
        </w:rPr>
        <w:t>к реестрам</w:t>
      </w:r>
      <w:r>
        <w:rPr>
          <w:szCs w:val="18"/>
          <w:lang w:val="ru-RU"/>
        </w:rPr>
        <w:t>,</w:t>
      </w:r>
      <w:r w:rsidRPr="00B9755B">
        <w:rPr>
          <w:szCs w:val="18"/>
          <w:lang w:val="ru-RU"/>
        </w:rPr>
        <w:t xml:space="preserve"> на </w:t>
      </w:r>
      <w:r>
        <w:rPr>
          <w:szCs w:val="18"/>
          <w:lang w:val="ru-RU"/>
        </w:rPr>
        <w:t xml:space="preserve">действия </w:t>
      </w:r>
      <w:r w:rsidRPr="00B9755B">
        <w:rPr>
          <w:szCs w:val="18"/>
          <w:lang w:val="ru-RU"/>
        </w:rPr>
        <w:t>регист</w:t>
      </w:r>
      <w:r>
        <w:rPr>
          <w:szCs w:val="18"/>
          <w:lang w:val="ru-RU"/>
        </w:rPr>
        <w:t>раторов</w:t>
      </w:r>
      <w:r w:rsidRPr="00B9755B">
        <w:rPr>
          <w:szCs w:val="18"/>
          <w:lang w:val="ru-RU"/>
        </w:rPr>
        <w:t xml:space="preserve"> (см., в частности, </w:t>
      </w:r>
      <w:r>
        <w:rPr>
          <w:szCs w:val="18"/>
        </w:rPr>
        <w:t>http</w:t>
      </w:r>
      <w:r w:rsidRPr="00B9755B">
        <w:rPr>
          <w:szCs w:val="18"/>
          <w:lang w:val="ru-RU"/>
        </w:rPr>
        <w:t>://</w:t>
      </w:r>
      <w:r>
        <w:rPr>
          <w:szCs w:val="18"/>
        </w:rPr>
        <w:t>www</w:t>
      </w:r>
      <w:r w:rsidRPr="00B9755B">
        <w:rPr>
          <w:szCs w:val="18"/>
          <w:lang w:val="ru-RU"/>
        </w:rPr>
        <w:t>.</w:t>
      </w:r>
      <w:r>
        <w:rPr>
          <w:szCs w:val="18"/>
        </w:rPr>
        <w:t>wipo</w:t>
      </w:r>
      <w:r w:rsidRPr="00B9755B">
        <w:rPr>
          <w:szCs w:val="18"/>
          <w:lang w:val="ru-RU"/>
        </w:rPr>
        <w:t>.</w:t>
      </w:r>
      <w:r>
        <w:rPr>
          <w:szCs w:val="18"/>
        </w:rPr>
        <w:t>int</w:t>
      </w:r>
      <w:r w:rsidRPr="00B9755B">
        <w:rPr>
          <w:szCs w:val="18"/>
          <w:lang w:val="ru-RU"/>
        </w:rPr>
        <w:t>/</w:t>
      </w:r>
      <w:r>
        <w:rPr>
          <w:szCs w:val="18"/>
        </w:rPr>
        <w:t>amc</w:t>
      </w:r>
      <w:r w:rsidRPr="00B9755B">
        <w:rPr>
          <w:szCs w:val="18"/>
          <w:lang w:val="ru-RU"/>
        </w:rPr>
        <w:t>/</w:t>
      </w:r>
      <w:r>
        <w:rPr>
          <w:szCs w:val="18"/>
        </w:rPr>
        <w:t>en</w:t>
      </w:r>
      <w:r w:rsidRPr="00B9755B">
        <w:rPr>
          <w:szCs w:val="18"/>
          <w:lang w:val="ru-RU"/>
        </w:rPr>
        <w:t>/</w:t>
      </w:r>
      <w:r>
        <w:rPr>
          <w:szCs w:val="18"/>
        </w:rPr>
        <w:t>docs</w:t>
      </w:r>
      <w:r w:rsidRPr="00B9755B">
        <w:rPr>
          <w:szCs w:val="18"/>
          <w:lang w:val="ru-RU"/>
        </w:rPr>
        <w:t>/</w:t>
      </w:r>
      <w:r>
        <w:rPr>
          <w:szCs w:val="18"/>
        </w:rPr>
        <w:t>icann</w:t>
      </w:r>
      <w:r w:rsidRPr="00B9755B">
        <w:rPr>
          <w:szCs w:val="18"/>
          <w:lang w:val="ru-RU"/>
        </w:rPr>
        <w:t>260310</w:t>
      </w:r>
      <w:r>
        <w:rPr>
          <w:szCs w:val="18"/>
        </w:rPr>
        <w:t>rap</w:t>
      </w:r>
      <w:r w:rsidRPr="00B9755B">
        <w:rPr>
          <w:szCs w:val="18"/>
          <w:lang w:val="ru-RU"/>
        </w:rPr>
        <w:t>.</w:t>
      </w:r>
      <w:r>
        <w:rPr>
          <w:szCs w:val="18"/>
        </w:rPr>
        <w:t>pdf</w:t>
      </w:r>
      <w:r w:rsidRPr="00B9755B">
        <w:rPr>
          <w:szCs w:val="18"/>
          <w:lang w:val="ru-RU"/>
        </w:rPr>
        <w:t>).</w:t>
      </w:r>
    </w:p>
  </w:footnote>
  <w:footnote w:id="34">
    <w:p w:rsidR="00CA720F" w:rsidRPr="00CA720F" w:rsidRDefault="00CA720F" w:rsidP="00384EE8">
      <w:pPr>
        <w:pStyle w:val="FootnoteText"/>
        <w:rPr>
          <w:lang w:val="ru-RU"/>
        </w:rPr>
      </w:pPr>
      <w:r w:rsidRPr="006475B9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764498">
        <w:rPr>
          <w:lang w:val="ru-RU"/>
        </w:rPr>
        <w:t>Центр обмена информацией дает возможность использования зарегистрированных словесных знаков, словесных знаков, охраняемых в соответствии с законом или договором или на основании судебного решения, и «прочих знаков, представляющих собой интеллектуальную собственность» (последнее понятие не определено). Что касается МОП, основанных на использовании данных Центра обмена информацией, в настоящее время предоставление услуг «</w:t>
      </w:r>
      <w:r w:rsidRPr="00764498">
        <w:t>Sunrise</w:t>
      </w:r>
      <w:r w:rsidRPr="00764498">
        <w:rPr>
          <w:lang w:val="ru-RU"/>
        </w:rPr>
        <w:t xml:space="preserve">» (т.е. право владельца товарного знака, при условии оплаты </w:t>
      </w:r>
      <w:r w:rsidRPr="009157BB">
        <w:rPr>
          <w:lang w:val="ru-RU"/>
        </w:rPr>
        <w:t>соответствующ</w:t>
      </w:r>
      <w:r>
        <w:rPr>
          <w:lang w:val="ru-RU"/>
        </w:rPr>
        <w:t>его сбора</w:t>
      </w:r>
      <w:r w:rsidRPr="00764498">
        <w:rPr>
          <w:lang w:val="ru-RU"/>
        </w:rPr>
        <w:t>, осуществить в качестве превентивной меры регистрацию в качестве доменного имени слова, полностью совпадающего с прина</w:t>
      </w:r>
      <w:r>
        <w:rPr>
          <w:lang w:val="ru-RU"/>
        </w:rPr>
        <w:t>д</w:t>
      </w:r>
      <w:r w:rsidRPr="00764498">
        <w:rPr>
          <w:lang w:val="ru-RU"/>
        </w:rPr>
        <w:t xml:space="preserve">лежащим ему знаком) ограничено теми товарными знаками, текущее использование которых может быть доказано. </w:t>
      </w:r>
      <w:r w:rsidRPr="009157BB">
        <w:rPr>
          <w:lang w:val="ru-RU"/>
        </w:rPr>
        <w:t xml:space="preserve">Независимо от </w:t>
      </w:r>
      <w:r>
        <w:rPr>
          <w:lang w:val="ru-RU"/>
        </w:rPr>
        <w:t>доказанности</w:t>
      </w:r>
      <w:r w:rsidRPr="009157BB">
        <w:rPr>
          <w:lang w:val="ru-RU"/>
        </w:rPr>
        <w:t xml:space="preserve"> </w:t>
      </w:r>
      <w:r>
        <w:rPr>
          <w:lang w:val="ru-RU"/>
        </w:rPr>
        <w:t>текущего использования</w:t>
      </w:r>
      <w:r w:rsidRPr="009157BB">
        <w:rPr>
          <w:lang w:val="ru-RU"/>
        </w:rPr>
        <w:t xml:space="preserve"> знаков соответствующими данными, владельцы товарных знаков будут также иметь право пользоваться ограниченным </w:t>
      </w:r>
      <w:r>
        <w:rPr>
          <w:lang w:val="ru-RU"/>
        </w:rPr>
        <w:t xml:space="preserve">по </w:t>
      </w:r>
      <w:r w:rsidRPr="009157BB">
        <w:rPr>
          <w:lang w:val="ru-RU"/>
        </w:rPr>
        <w:t xml:space="preserve">времени </w:t>
      </w:r>
      <w:r>
        <w:rPr>
          <w:lang w:val="ru-RU"/>
        </w:rPr>
        <w:t xml:space="preserve">действия </w:t>
      </w:r>
      <w:r w:rsidRPr="009157BB">
        <w:rPr>
          <w:lang w:val="ru-RU"/>
        </w:rPr>
        <w:t xml:space="preserve">сервисом «Claims» (возможностью уведомления потенциального владельца регистрации доменного имени о наличии потенциально конфликтующего права на товарный знак, а также уведомления соответствующего владельца (владельцев) товарного знака в случае, если владелец регистрации все же регистрирует доменное имя). </w:t>
      </w:r>
      <w:r w:rsidRPr="00764498">
        <w:rPr>
          <w:lang w:val="ru-RU"/>
        </w:rPr>
        <w:t xml:space="preserve">Согласно решению </w:t>
      </w:r>
      <w:r w:rsidRPr="009157BB">
        <w:rPr>
          <w:lang w:val="ru-RU"/>
        </w:rPr>
        <w:t>ICANN</w:t>
      </w:r>
      <w:r w:rsidRPr="00764498">
        <w:rPr>
          <w:lang w:val="ru-RU"/>
        </w:rPr>
        <w:t>, в настоящее время сервис «</w:t>
      </w:r>
      <w:r w:rsidRPr="009157BB">
        <w:rPr>
          <w:lang w:val="ru-RU"/>
        </w:rPr>
        <w:t>Claims</w:t>
      </w:r>
      <w:r w:rsidRPr="00764498">
        <w:rPr>
          <w:lang w:val="ru-RU"/>
        </w:rPr>
        <w:t>» действует не более 90</w:t>
      </w:r>
      <w:r w:rsidRPr="009157BB">
        <w:rPr>
          <w:lang w:val="ru-RU"/>
        </w:rPr>
        <w:t> </w:t>
      </w:r>
      <w:r w:rsidRPr="00764498">
        <w:rPr>
          <w:lang w:val="ru-RU"/>
        </w:rPr>
        <w:t xml:space="preserve">дней после того, как новый рДВУ становится доступен для общей публичной регистрации, но клиенты Центра обмена информацией </w:t>
      </w:r>
      <w:r w:rsidRPr="009157BB">
        <w:rPr>
          <w:lang w:val="ru-RU"/>
        </w:rPr>
        <w:t>вправе</w:t>
      </w:r>
      <w:r w:rsidRPr="00764498">
        <w:rPr>
          <w:lang w:val="ru-RU"/>
        </w:rPr>
        <w:t xml:space="preserve"> </w:t>
      </w:r>
      <w:r>
        <w:rPr>
          <w:lang w:val="ru-RU"/>
        </w:rPr>
        <w:t xml:space="preserve">подать </w:t>
      </w:r>
      <w:r w:rsidRPr="00041E59">
        <w:rPr>
          <w:lang w:val="ru-RU"/>
        </w:rPr>
        <w:t>ходатайств</w:t>
      </w:r>
      <w:r>
        <w:rPr>
          <w:lang w:val="ru-RU"/>
        </w:rPr>
        <w:t>о</w:t>
      </w:r>
      <w:r w:rsidRPr="0076449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041E59">
        <w:rPr>
          <w:lang w:val="ru-RU"/>
        </w:rPr>
        <w:t>направлени</w:t>
      </w:r>
      <w:r>
        <w:rPr>
          <w:lang w:val="ru-RU"/>
        </w:rPr>
        <w:t xml:space="preserve">и им </w:t>
      </w:r>
      <w:r w:rsidRPr="00041E59">
        <w:rPr>
          <w:lang w:val="ru-RU"/>
        </w:rPr>
        <w:t>соответствующ</w:t>
      </w:r>
      <w:r>
        <w:rPr>
          <w:lang w:val="ru-RU"/>
        </w:rPr>
        <w:t xml:space="preserve">ей </w:t>
      </w:r>
      <w:r w:rsidRPr="00041E59">
        <w:rPr>
          <w:lang w:val="ru-RU"/>
        </w:rPr>
        <w:t>информаци</w:t>
      </w:r>
      <w:r>
        <w:rPr>
          <w:lang w:val="ru-RU"/>
        </w:rPr>
        <w:t>и</w:t>
      </w:r>
      <w:r w:rsidRPr="00764498">
        <w:rPr>
          <w:lang w:val="ru-RU"/>
        </w:rPr>
        <w:t xml:space="preserve"> в течение неопределенного времени. Требование </w:t>
      </w:r>
      <w:r>
        <w:rPr>
          <w:lang w:val="ru-RU"/>
        </w:rPr>
        <w:t xml:space="preserve">наличия </w:t>
      </w:r>
      <w:r w:rsidRPr="00764498">
        <w:rPr>
          <w:lang w:val="ru-RU"/>
        </w:rPr>
        <w:t>доказ</w:t>
      </w:r>
      <w:r>
        <w:rPr>
          <w:lang w:val="ru-RU"/>
        </w:rPr>
        <w:t xml:space="preserve">ательств </w:t>
      </w:r>
      <w:r w:rsidRPr="00764498">
        <w:rPr>
          <w:lang w:val="ru-RU"/>
        </w:rPr>
        <w:t>использования</w:t>
      </w:r>
      <w:r>
        <w:rPr>
          <w:lang w:val="ru-RU"/>
        </w:rPr>
        <w:t xml:space="preserve"> знака</w:t>
      </w:r>
      <w:r w:rsidRPr="00764498">
        <w:rPr>
          <w:lang w:val="ru-RU"/>
        </w:rPr>
        <w:t>, необходимое для пользования сервисом «</w:t>
      </w:r>
      <w:r w:rsidRPr="00764498">
        <w:t>Sunrise</w:t>
      </w:r>
      <w:r w:rsidRPr="00764498">
        <w:rPr>
          <w:lang w:val="ru-RU"/>
        </w:rPr>
        <w:t xml:space="preserve">», касается также ссылки на </w:t>
      </w:r>
      <w:r>
        <w:rPr>
          <w:lang w:val="ru-RU"/>
        </w:rPr>
        <w:t>существование</w:t>
      </w:r>
      <w:r w:rsidRPr="00764498">
        <w:rPr>
          <w:lang w:val="ru-RU"/>
        </w:rPr>
        <w:t xml:space="preserve"> товарных знаков в качестве основания для подачи иска в соответствии с </w:t>
      </w:r>
      <w:r>
        <w:rPr>
          <w:lang w:val="ru-RU"/>
        </w:rPr>
        <w:t xml:space="preserve">описанным ниже </w:t>
      </w:r>
      <w:r w:rsidRPr="00041E59">
        <w:rPr>
          <w:lang w:val="ru-RU"/>
        </w:rPr>
        <w:t>механизм</w:t>
      </w:r>
      <w:r>
        <w:rPr>
          <w:lang w:val="ru-RU"/>
        </w:rPr>
        <w:t xml:space="preserve">ов </w:t>
      </w:r>
      <w:r w:rsidRPr="00041E59">
        <w:rPr>
          <w:lang w:val="ru-RU"/>
        </w:rPr>
        <w:t>охран</w:t>
      </w:r>
      <w:r>
        <w:rPr>
          <w:lang w:val="ru-RU"/>
        </w:rPr>
        <w:t>ы прав</w:t>
      </w:r>
      <w:r w:rsidRPr="00764498">
        <w:rPr>
          <w:lang w:val="ru-RU"/>
        </w:rPr>
        <w:t xml:space="preserve"> «Единая система быстрого приостановления действия».</w:t>
      </w:r>
    </w:p>
  </w:footnote>
  <w:footnote w:id="35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trademark</w:t>
      </w:r>
      <w:r w:rsidRPr="00EE5914">
        <w:rPr>
          <w:szCs w:val="18"/>
          <w:lang w:val="ru-RU"/>
        </w:rPr>
        <w:t>-</w:t>
      </w:r>
      <w:r>
        <w:rPr>
          <w:szCs w:val="18"/>
        </w:rPr>
        <w:t>clearinghouse</w:t>
      </w:r>
      <w:r w:rsidRPr="00EE5914">
        <w:rPr>
          <w:szCs w:val="18"/>
          <w:lang w:val="ru-RU"/>
        </w:rPr>
        <w:t>.</w:t>
      </w:r>
      <w:r>
        <w:rPr>
          <w:szCs w:val="18"/>
        </w:rPr>
        <w:t>com</w:t>
      </w:r>
      <w:r w:rsidRPr="00EE5914">
        <w:rPr>
          <w:szCs w:val="18"/>
          <w:lang w:val="ru-RU"/>
        </w:rPr>
        <w:t>/</w:t>
      </w:r>
      <w:r>
        <w:rPr>
          <w:szCs w:val="18"/>
        </w:rPr>
        <w:t>content</w:t>
      </w:r>
      <w:r w:rsidRPr="00EE5914">
        <w:rPr>
          <w:szCs w:val="18"/>
          <w:lang w:val="ru-RU"/>
        </w:rPr>
        <w:t>/</w:t>
      </w:r>
      <w:r>
        <w:rPr>
          <w:szCs w:val="18"/>
        </w:rPr>
        <w:t>tmch</w:t>
      </w:r>
      <w:r w:rsidRPr="00EE5914">
        <w:rPr>
          <w:szCs w:val="18"/>
          <w:lang w:val="ru-RU"/>
        </w:rPr>
        <w:t>-</w:t>
      </w:r>
      <w:r>
        <w:rPr>
          <w:szCs w:val="18"/>
        </w:rPr>
        <w:t>stats</w:t>
      </w:r>
      <w:r w:rsidRPr="00EE5914">
        <w:rPr>
          <w:szCs w:val="18"/>
          <w:lang w:val="ru-RU"/>
        </w:rPr>
        <w:t>.</w:t>
      </w:r>
    </w:p>
  </w:footnote>
  <w:footnote w:id="36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8163DB">
        <w:rPr>
          <w:lang w:val="ru-RU"/>
        </w:rPr>
        <w:t xml:space="preserve">Центр, со своей стороны, направил в </w:t>
      </w:r>
      <w:r w:rsidRPr="008163DB">
        <w:t>ICANN</w:t>
      </w:r>
      <w:r w:rsidRPr="008163DB">
        <w:rPr>
          <w:lang w:val="ru-RU"/>
        </w:rPr>
        <w:t xml:space="preserve"> для обсуждения в апреле 2009</w:t>
      </w:r>
      <w:r w:rsidRPr="008163DB">
        <w:t> </w:t>
      </w:r>
      <w:r w:rsidRPr="008163DB">
        <w:rPr>
          <w:lang w:val="ru-RU"/>
        </w:rPr>
        <w:t>г. проект документа «Ускоренный механизм приостановления действия регистрации (доменных имен)» (</w:t>
      </w:r>
      <w:r>
        <w:rPr>
          <w:lang w:val="ru-RU"/>
        </w:rPr>
        <w:t>см</w:t>
      </w:r>
      <w:r w:rsidRPr="008163DB">
        <w:rPr>
          <w:lang w:val="ru-RU"/>
        </w:rPr>
        <w:t xml:space="preserve">. </w:t>
      </w:r>
      <w:r w:rsidR="00991391">
        <w:fldChar w:fldCharType="begin"/>
      </w:r>
      <w:r w:rsidR="00991391" w:rsidRPr="00313D74">
        <w:rPr>
          <w:lang w:val="ru-RU"/>
        </w:rPr>
        <w:instrText xml:space="preserve"> </w:instrText>
      </w:r>
      <w:r w:rsidR="00991391">
        <w:instrText>HYPERLINK</w:instrText>
      </w:r>
      <w:r w:rsidR="00991391" w:rsidRPr="00313D74">
        <w:rPr>
          <w:lang w:val="ru-RU"/>
        </w:rPr>
        <w:instrText xml:space="preserve"> "</w:instrText>
      </w:r>
      <w:r w:rsidR="00991391">
        <w:instrText>http</w:instrText>
      </w:r>
      <w:r w:rsidR="00991391" w:rsidRPr="00313D74">
        <w:rPr>
          <w:lang w:val="ru-RU"/>
        </w:rPr>
        <w:instrText>://</w:instrText>
      </w:r>
      <w:r w:rsidR="00991391">
        <w:instrText>www</w:instrText>
      </w:r>
      <w:r w:rsidR="00991391" w:rsidRPr="00313D74">
        <w:rPr>
          <w:lang w:val="ru-RU"/>
        </w:rPr>
        <w:instrText>.</w:instrText>
      </w:r>
      <w:r w:rsidR="00991391">
        <w:instrText>wipo</w:instrText>
      </w:r>
      <w:r w:rsidR="00991391" w:rsidRPr="00313D74">
        <w:rPr>
          <w:lang w:val="ru-RU"/>
        </w:rPr>
        <w:instrText>.</w:instrText>
      </w:r>
      <w:r w:rsidR="00991391">
        <w:instrText>int</w:instrText>
      </w:r>
      <w:r w:rsidR="00991391" w:rsidRPr="00313D74">
        <w:rPr>
          <w:lang w:val="ru-RU"/>
        </w:rPr>
        <w:instrText>/</w:instrText>
      </w:r>
      <w:r w:rsidR="00991391">
        <w:instrText>amc</w:instrText>
      </w:r>
      <w:r w:rsidR="00991391" w:rsidRPr="00313D74">
        <w:rPr>
          <w:lang w:val="ru-RU"/>
        </w:rPr>
        <w:instrText>/</w:instrText>
      </w:r>
      <w:r w:rsidR="00991391">
        <w:instrText>en</w:instrText>
      </w:r>
      <w:r w:rsidR="00991391" w:rsidRPr="00313D74">
        <w:rPr>
          <w:lang w:val="ru-RU"/>
        </w:rPr>
        <w:instrText>/</w:instrText>
      </w:r>
      <w:r w:rsidR="00991391">
        <w:instrText>docs</w:instrText>
      </w:r>
      <w:r w:rsidR="00991391" w:rsidRPr="00313D74">
        <w:rPr>
          <w:lang w:val="ru-RU"/>
        </w:rPr>
        <w:instrText>/</w:instrText>
      </w:r>
      <w:r w:rsidR="00991391">
        <w:instrText>icann</w:instrText>
      </w:r>
      <w:r w:rsidR="00991391" w:rsidRPr="00313D74">
        <w:rPr>
          <w:lang w:val="ru-RU"/>
        </w:rPr>
        <w:instrText>030409.</w:instrText>
      </w:r>
      <w:r w:rsidR="00991391">
        <w:instrText>pdf</w:instrText>
      </w:r>
      <w:r w:rsidR="00991391" w:rsidRPr="00313D74">
        <w:rPr>
          <w:lang w:val="ru-RU"/>
        </w:rPr>
        <w:instrText xml:space="preserve">" </w:instrText>
      </w:r>
      <w:r w:rsidR="00991391">
        <w:fldChar w:fldCharType="separate"/>
      </w:r>
      <w:proofErr w:type="gramStart"/>
      <w:r w:rsidRPr="00746C4C">
        <w:rPr>
          <w:rStyle w:val="Hyperlink"/>
          <w:color w:val="00000A"/>
          <w:szCs w:val="18"/>
        </w:rPr>
        <w:t>http</w:t>
      </w:r>
      <w:r w:rsidRPr="00CA720F">
        <w:rPr>
          <w:rStyle w:val="Hyperlink"/>
          <w:color w:val="00000A"/>
          <w:szCs w:val="18"/>
          <w:lang w:val="ru-RU"/>
        </w:rPr>
        <w:t>://</w:t>
      </w:r>
      <w:r w:rsidRPr="00746C4C">
        <w:rPr>
          <w:rStyle w:val="Hyperlink"/>
          <w:color w:val="00000A"/>
          <w:szCs w:val="18"/>
        </w:rPr>
        <w:t>www</w:t>
      </w:r>
      <w:r w:rsidRPr="00CA720F">
        <w:rPr>
          <w:rStyle w:val="Hyperlink"/>
          <w:color w:val="00000A"/>
          <w:szCs w:val="18"/>
          <w:lang w:val="ru-RU"/>
        </w:rPr>
        <w:t>.</w:t>
      </w:r>
      <w:r w:rsidRPr="00746C4C">
        <w:rPr>
          <w:rStyle w:val="Hyperlink"/>
          <w:color w:val="00000A"/>
          <w:szCs w:val="18"/>
        </w:rPr>
        <w:t>wipo</w:t>
      </w:r>
      <w:r w:rsidRPr="00CA720F">
        <w:rPr>
          <w:rStyle w:val="Hyperlink"/>
          <w:color w:val="00000A"/>
          <w:szCs w:val="18"/>
          <w:lang w:val="ru-RU"/>
        </w:rPr>
        <w:t>.</w:t>
      </w:r>
      <w:r w:rsidRPr="00746C4C">
        <w:rPr>
          <w:rStyle w:val="Hyperlink"/>
          <w:color w:val="00000A"/>
          <w:szCs w:val="18"/>
        </w:rPr>
        <w:t>int</w:t>
      </w:r>
      <w:r w:rsidRPr="00CA720F">
        <w:rPr>
          <w:rStyle w:val="Hyperlink"/>
          <w:color w:val="00000A"/>
          <w:szCs w:val="18"/>
          <w:lang w:val="ru-RU"/>
        </w:rPr>
        <w:t>/</w:t>
      </w:r>
      <w:r w:rsidRPr="00746C4C">
        <w:rPr>
          <w:rStyle w:val="Hyperlink"/>
          <w:color w:val="00000A"/>
          <w:szCs w:val="18"/>
        </w:rPr>
        <w:t>amc</w:t>
      </w:r>
      <w:r w:rsidRPr="00CA720F">
        <w:rPr>
          <w:rStyle w:val="Hyperlink"/>
          <w:color w:val="00000A"/>
          <w:szCs w:val="18"/>
          <w:lang w:val="ru-RU"/>
        </w:rPr>
        <w:t>/</w:t>
      </w:r>
      <w:r w:rsidRPr="00746C4C">
        <w:rPr>
          <w:rStyle w:val="Hyperlink"/>
          <w:color w:val="00000A"/>
          <w:szCs w:val="18"/>
        </w:rPr>
        <w:t>en</w:t>
      </w:r>
      <w:r w:rsidRPr="00CA720F">
        <w:rPr>
          <w:rStyle w:val="Hyperlink"/>
          <w:color w:val="00000A"/>
          <w:szCs w:val="18"/>
          <w:lang w:val="ru-RU"/>
        </w:rPr>
        <w:t>/</w:t>
      </w:r>
      <w:r w:rsidRPr="00746C4C">
        <w:rPr>
          <w:rStyle w:val="Hyperlink"/>
          <w:color w:val="00000A"/>
          <w:szCs w:val="18"/>
        </w:rPr>
        <w:t>docs</w:t>
      </w:r>
      <w:r w:rsidRPr="00CA720F">
        <w:rPr>
          <w:rStyle w:val="Hyperlink"/>
          <w:color w:val="00000A"/>
          <w:szCs w:val="18"/>
          <w:lang w:val="ru-RU"/>
        </w:rPr>
        <w:t>/</w:t>
      </w:r>
      <w:r w:rsidRPr="00746C4C">
        <w:rPr>
          <w:rStyle w:val="Hyperlink"/>
          <w:color w:val="00000A"/>
          <w:szCs w:val="18"/>
        </w:rPr>
        <w:t>icann</w:t>
      </w:r>
      <w:r w:rsidRPr="00CA720F">
        <w:rPr>
          <w:rStyle w:val="Hyperlink"/>
          <w:color w:val="00000A"/>
          <w:szCs w:val="18"/>
          <w:lang w:val="ru-RU"/>
        </w:rPr>
        <w:t>030409.</w:t>
      </w:r>
      <w:r w:rsidRPr="00746C4C">
        <w:rPr>
          <w:rStyle w:val="Hyperlink"/>
          <w:color w:val="00000A"/>
          <w:szCs w:val="18"/>
        </w:rPr>
        <w:t>pdf</w:t>
      </w:r>
      <w:r w:rsidR="00991391">
        <w:rPr>
          <w:rStyle w:val="Hyperlink"/>
          <w:color w:val="00000A"/>
          <w:szCs w:val="18"/>
        </w:rPr>
        <w:fldChar w:fldCharType="end"/>
      </w:r>
      <w:r w:rsidRPr="008163DB">
        <w:rPr>
          <w:lang w:val="ru-RU"/>
        </w:rPr>
        <w:t xml:space="preserve">) и </w:t>
      </w:r>
      <w:r>
        <w:rPr>
          <w:lang w:val="ru-RU"/>
        </w:rPr>
        <w:t>затем</w:t>
      </w:r>
      <w:r w:rsidRPr="008163DB">
        <w:rPr>
          <w:lang w:val="ru-RU"/>
        </w:rPr>
        <w:t xml:space="preserve"> внес на заседаниях </w:t>
      </w:r>
      <w:r w:rsidRPr="008163DB">
        <w:t>ICANN</w:t>
      </w:r>
      <w:r w:rsidRPr="008163DB">
        <w:rPr>
          <w:lang w:val="ru-RU"/>
        </w:rPr>
        <w:t xml:space="preserve"> предложения </w:t>
      </w:r>
      <w:r>
        <w:rPr>
          <w:lang w:val="ru-RU"/>
        </w:rPr>
        <w:t>об оптимизации</w:t>
      </w:r>
      <w:r w:rsidRPr="008163DB">
        <w:rPr>
          <w:lang w:val="ru-RU"/>
        </w:rPr>
        <w:t xml:space="preserve"> механиз</w:t>
      </w:r>
      <w:r>
        <w:rPr>
          <w:lang w:val="ru-RU"/>
        </w:rPr>
        <w:t xml:space="preserve">ма, основанного на этой модели </w:t>
      </w:r>
      <w:r w:rsidRPr="008163DB">
        <w:rPr>
          <w:lang w:val="ru-RU"/>
        </w:rPr>
        <w:t>(</w:t>
      </w:r>
      <w:r>
        <w:rPr>
          <w:lang w:val="ru-RU"/>
        </w:rPr>
        <w:t>см</w:t>
      </w:r>
      <w:r w:rsidRPr="008163DB">
        <w:rPr>
          <w:lang w:val="ru-RU"/>
        </w:rPr>
        <w:t xml:space="preserve">. </w:t>
      </w:r>
      <w:hyperlink r:id="rId2" w:history="1">
        <w:r>
          <w:rPr>
            <w:rStyle w:val="Hyperlink"/>
            <w:szCs w:val="18"/>
          </w:rPr>
          <w:t>http</w:t>
        </w:r>
        <w:r w:rsidRPr="00CA720F">
          <w:rPr>
            <w:rStyle w:val="Hyperlink"/>
            <w:szCs w:val="18"/>
            <w:lang w:val="ru-RU"/>
          </w:rPr>
          <w:t>://</w:t>
        </w:r>
        <w:r>
          <w:rPr>
            <w:rStyle w:val="Hyperlink"/>
            <w:szCs w:val="18"/>
          </w:rPr>
          <w:t>prague</w:t>
        </w:r>
        <w:r w:rsidRPr="00CA720F">
          <w:rPr>
            <w:rStyle w:val="Hyperlink"/>
            <w:szCs w:val="18"/>
            <w:lang w:val="ru-RU"/>
          </w:rPr>
          <w:t>44.</w:t>
        </w:r>
        <w:r>
          <w:rPr>
            <w:rStyle w:val="Hyperlink"/>
            <w:szCs w:val="18"/>
          </w:rPr>
          <w:t>icann</w:t>
        </w:r>
        <w:r w:rsidRPr="00CA720F">
          <w:rPr>
            <w:rStyle w:val="Hyperlink"/>
            <w:szCs w:val="18"/>
            <w:lang w:val="ru-RU"/>
          </w:rPr>
          <w:t>.</w:t>
        </w:r>
        <w:r>
          <w:rPr>
            <w:rStyle w:val="Hyperlink"/>
            <w:szCs w:val="18"/>
          </w:rPr>
          <w:t>org</w:t>
        </w:r>
        <w:r w:rsidRPr="00CA720F">
          <w:rPr>
            <w:rStyle w:val="Hyperlink"/>
            <w:szCs w:val="18"/>
            <w:lang w:val="ru-RU"/>
          </w:rPr>
          <w:t>/</w:t>
        </w:r>
        <w:r>
          <w:rPr>
            <w:rStyle w:val="Hyperlink"/>
            <w:szCs w:val="18"/>
          </w:rPr>
          <w:t>node</w:t>
        </w:r>
        <w:r w:rsidRPr="00CA720F">
          <w:rPr>
            <w:rStyle w:val="Hyperlink"/>
            <w:szCs w:val="18"/>
            <w:lang w:val="ru-RU"/>
          </w:rPr>
          <w:t>/31773</w:t>
        </w:r>
      </w:hyperlink>
      <w:r w:rsidRPr="0002378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и </w:t>
      </w:r>
      <w:hyperlink r:id="rId3" w:history="1">
        <w:r>
          <w:rPr>
            <w:rStyle w:val="Hyperlink"/>
            <w:szCs w:val="18"/>
          </w:rPr>
          <w:t>http</w:t>
        </w:r>
        <w:r w:rsidRPr="00CA720F">
          <w:rPr>
            <w:rStyle w:val="Hyperlink"/>
            <w:szCs w:val="18"/>
            <w:lang w:val="ru-RU"/>
          </w:rPr>
          <w:t>://</w:t>
        </w:r>
        <w:r>
          <w:rPr>
            <w:rStyle w:val="Hyperlink"/>
            <w:szCs w:val="18"/>
          </w:rPr>
          <w:t>toronto</w:t>
        </w:r>
        <w:r w:rsidRPr="00CA720F">
          <w:rPr>
            <w:rStyle w:val="Hyperlink"/>
            <w:szCs w:val="18"/>
            <w:lang w:val="ru-RU"/>
          </w:rPr>
          <w:t>45.</w:t>
        </w:r>
        <w:r>
          <w:rPr>
            <w:rStyle w:val="Hyperlink"/>
            <w:szCs w:val="18"/>
          </w:rPr>
          <w:t>icann</w:t>
        </w:r>
        <w:r w:rsidRPr="00CA720F">
          <w:rPr>
            <w:rStyle w:val="Hyperlink"/>
            <w:szCs w:val="18"/>
            <w:lang w:val="ru-RU"/>
          </w:rPr>
          <w:t>.</w:t>
        </w:r>
        <w:r>
          <w:rPr>
            <w:rStyle w:val="Hyperlink"/>
            <w:szCs w:val="18"/>
          </w:rPr>
          <w:t>org</w:t>
        </w:r>
        <w:r w:rsidRPr="00CA720F">
          <w:rPr>
            <w:rStyle w:val="Hyperlink"/>
            <w:szCs w:val="18"/>
            <w:lang w:val="ru-RU"/>
          </w:rPr>
          <w:t>/</w:t>
        </w:r>
        <w:r>
          <w:rPr>
            <w:rStyle w:val="Hyperlink"/>
            <w:szCs w:val="18"/>
          </w:rPr>
          <w:t>node</w:t>
        </w:r>
        <w:r w:rsidRPr="00CA720F">
          <w:rPr>
            <w:rStyle w:val="Hyperlink"/>
            <w:szCs w:val="18"/>
            <w:lang w:val="ru-RU"/>
          </w:rPr>
          <w:t>/34325</w:t>
        </w:r>
      </w:hyperlink>
      <w:r w:rsidRPr="00023788">
        <w:rPr>
          <w:lang w:val="ru-RU"/>
        </w:rPr>
        <w:t>).</w:t>
      </w:r>
      <w:proofErr w:type="gramEnd"/>
      <w:r w:rsidRPr="00023788">
        <w:rPr>
          <w:lang w:val="ru-RU"/>
        </w:rPr>
        <w:t xml:space="preserve"> </w:t>
      </w:r>
      <w:r>
        <w:rPr>
          <w:lang w:val="ru-RU"/>
        </w:rPr>
        <w:t xml:space="preserve">Эти </w:t>
      </w:r>
      <w:r w:rsidRPr="008163DB">
        <w:rPr>
          <w:lang w:val="ru-RU"/>
        </w:rPr>
        <w:t>предложения учитывали необходимость разумного равновесия между охраной признаваемых законо</w:t>
      </w:r>
      <w:r>
        <w:rPr>
          <w:lang w:val="ru-RU"/>
        </w:rPr>
        <w:t>м</w:t>
      </w:r>
      <w:r w:rsidRPr="008163DB">
        <w:rPr>
          <w:lang w:val="ru-RU"/>
        </w:rPr>
        <w:t xml:space="preserve"> прав</w:t>
      </w:r>
      <w:r>
        <w:rPr>
          <w:lang w:val="ru-RU"/>
        </w:rPr>
        <w:t xml:space="preserve"> на товарный знак, практической </w:t>
      </w:r>
      <w:r w:rsidRPr="00D73E5C">
        <w:rPr>
          <w:lang w:val="ru-RU"/>
        </w:rPr>
        <w:t>заинтересованн</w:t>
      </w:r>
      <w:r>
        <w:rPr>
          <w:lang w:val="ru-RU"/>
        </w:rPr>
        <w:t xml:space="preserve">остью </w:t>
      </w:r>
      <w:r w:rsidRPr="008163DB">
        <w:rPr>
          <w:lang w:val="ru-RU"/>
        </w:rPr>
        <w:t>добросовестных регистр</w:t>
      </w:r>
      <w:r>
        <w:rPr>
          <w:lang w:val="ru-RU"/>
        </w:rPr>
        <w:t xml:space="preserve">ационных </w:t>
      </w:r>
      <w:r w:rsidRPr="008163DB">
        <w:rPr>
          <w:lang w:val="ru-RU"/>
        </w:rPr>
        <w:t xml:space="preserve">органов </w:t>
      </w:r>
      <w:r>
        <w:rPr>
          <w:lang w:val="ru-RU"/>
        </w:rPr>
        <w:t xml:space="preserve">в </w:t>
      </w:r>
      <w:r w:rsidRPr="008163DB">
        <w:rPr>
          <w:lang w:val="ru-RU"/>
        </w:rPr>
        <w:t>минимизации их рабочей нагрузки и законными ожиданиями добросовестных владельцев зарегистрированных доменных имен.</w:t>
      </w:r>
      <w:r w:rsidRPr="00CA720F">
        <w:rPr>
          <w:lang w:val="ru-RU"/>
        </w:rPr>
        <w:t xml:space="preserve"> </w:t>
      </w:r>
    </w:p>
  </w:footnote>
  <w:footnote w:id="37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963EEC">
        <w:rPr>
          <w:szCs w:val="18"/>
          <w:lang w:val="ru-RU"/>
        </w:rPr>
        <w:t xml:space="preserve">Подробный перечень таких вопросов содержится, в частности, в письме Центра от 2 декабря 2010 г., которое можно найти по адресу:  http:www.wipo.int/amc/en/docs/icann021210.pdf.    </w:t>
      </w:r>
      <w:r w:rsidRPr="00CA720F">
        <w:rPr>
          <w:szCs w:val="18"/>
          <w:lang w:val="ru-RU"/>
        </w:rPr>
        <w:t xml:space="preserve"> </w:t>
      </w:r>
    </w:p>
  </w:footnote>
  <w:footnote w:id="38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D73E5C">
        <w:rPr>
          <w:szCs w:val="18"/>
          <w:lang w:val="ru-RU"/>
        </w:rPr>
        <w:t>Вопрос</w:t>
      </w:r>
      <w:r>
        <w:rPr>
          <w:szCs w:val="18"/>
          <w:lang w:val="ru-RU"/>
        </w:rPr>
        <w:t xml:space="preserve"> аккредитации</w:t>
      </w:r>
      <w:r w:rsidRPr="00963EEC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провайдеров </w:t>
      </w:r>
      <w:r w:rsidRPr="00963EEC">
        <w:rPr>
          <w:szCs w:val="18"/>
          <w:lang w:val="ru-RU"/>
        </w:rPr>
        <w:t xml:space="preserve">услуг вызывает обеспокоенность </w:t>
      </w:r>
      <w:r w:rsidRPr="00D73E5C">
        <w:rPr>
          <w:szCs w:val="18"/>
          <w:lang w:val="ru-RU"/>
        </w:rPr>
        <w:t>по поводу</w:t>
      </w:r>
      <w:r>
        <w:rPr>
          <w:szCs w:val="18"/>
          <w:lang w:val="ru-RU"/>
        </w:rPr>
        <w:t xml:space="preserve"> стабильности МОП; </w:t>
      </w:r>
      <w:r w:rsidRPr="00963EEC">
        <w:rPr>
          <w:szCs w:val="18"/>
          <w:lang w:val="ru-RU"/>
        </w:rPr>
        <w:t xml:space="preserve">ВОИС поднимала этот вопрос в контексте ЕПУС еще в 2007 г. (см. http:www.wipo.int/amc/en/docs/icann040707.pdf).  </w:t>
      </w:r>
      <w:r w:rsidRPr="00CA720F">
        <w:rPr>
          <w:szCs w:val="18"/>
          <w:lang w:val="ru-RU"/>
        </w:rPr>
        <w:t xml:space="preserve"> </w:t>
      </w:r>
    </w:p>
  </w:footnote>
  <w:footnote w:id="39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https</w:t>
      </w:r>
      <w:r w:rsidRPr="00EE5914">
        <w:rPr>
          <w:szCs w:val="18"/>
          <w:lang w:val="ru-RU"/>
        </w:rPr>
        <w:t>://</w:t>
      </w:r>
      <w:r>
        <w:rPr>
          <w:szCs w:val="18"/>
        </w:rPr>
        <w:t>community</w:t>
      </w:r>
      <w:r w:rsidRPr="00EE5914">
        <w:rPr>
          <w:szCs w:val="18"/>
          <w:lang w:val="ru-RU"/>
        </w:rPr>
        <w:t>.</w:t>
      </w:r>
      <w:r>
        <w:rPr>
          <w:szCs w:val="18"/>
        </w:rPr>
        <w:t>icann</w:t>
      </w:r>
      <w:r w:rsidRPr="00EE5914">
        <w:rPr>
          <w:szCs w:val="18"/>
          <w:lang w:val="ru-RU"/>
        </w:rPr>
        <w:t>.</w:t>
      </w:r>
      <w:r>
        <w:rPr>
          <w:szCs w:val="18"/>
        </w:rPr>
        <w:t>org</w:t>
      </w:r>
      <w:r w:rsidRPr="00EE5914">
        <w:rPr>
          <w:szCs w:val="18"/>
          <w:lang w:val="ru-RU"/>
        </w:rPr>
        <w:t>/</w:t>
      </w:r>
      <w:r>
        <w:rPr>
          <w:szCs w:val="18"/>
        </w:rPr>
        <w:t>display</w:t>
      </w:r>
      <w:r w:rsidRPr="00EE5914">
        <w:rPr>
          <w:szCs w:val="18"/>
          <w:lang w:val="ru-RU"/>
        </w:rPr>
        <w:t>/</w:t>
      </w:r>
      <w:r>
        <w:rPr>
          <w:szCs w:val="18"/>
        </w:rPr>
        <w:t>gnsoudrpdt</w:t>
      </w:r>
      <w:r w:rsidRPr="00EE5914">
        <w:rPr>
          <w:szCs w:val="18"/>
          <w:lang w:val="ru-RU"/>
        </w:rPr>
        <w:t>/</w:t>
      </w:r>
      <w:r>
        <w:rPr>
          <w:szCs w:val="18"/>
        </w:rPr>
        <w:t>Webinar</w:t>
      </w:r>
      <w:r w:rsidRPr="00EE5914">
        <w:rPr>
          <w:szCs w:val="18"/>
          <w:lang w:val="ru-RU"/>
        </w:rPr>
        <w:t>+</w:t>
      </w:r>
      <w:r>
        <w:rPr>
          <w:szCs w:val="18"/>
        </w:rPr>
        <w:t>on</w:t>
      </w:r>
      <w:r w:rsidRPr="00EE5914">
        <w:rPr>
          <w:szCs w:val="18"/>
          <w:lang w:val="ru-RU"/>
        </w:rPr>
        <w:t>+</w:t>
      </w:r>
      <w:r>
        <w:rPr>
          <w:szCs w:val="18"/>
        </w:rPr>
        <w:t>the</w:t>
      </w:r>
      <w:r w:rsidRPr="00EE5914">
        <w:rPr>
          <w:szCs w:val="18"/>
          <w:lang w:val="ru-RU"/>
        </w:rPr>
        <w:t>+</w:t>
      </w:r>
      <w:r>
        <w:rPr>
          <w:szCs w:val="18"/>
        </w:rPr>
        <w:t>Current</w:t>
      </w:r>
      <w:r w:rsidRPr="00EE5914">
        <w:rPr>
          <w:szCs w:val="18"/>
          <w:lang w:val="ru-RU"/>
        </w:rPr>
        <w:t>+</w:t>
      </w:r>
      <w:r>
        <w:rPr>
          <w:szCs w:val="18"/>
        </w:rPr>
        <w:t>State</w:t>
      </w:r>
      <w:r w:rsidRPr="00EE5914">
        <w:rPr>
          <w:szCs w:val="18"/>
          <w:lang w:val="ru-RU"/>
        </w:rPr>
        <w:t>+</w:t>
      </w:r>
      <w:r>
        <w:rPr>
          <w:szCs w:val="18"/>
        </w:rPr>
        <w:t>of</w:t>
      </w:r>
      <w:r w:rsidRPr="00EE5914">
        <w:rPr>
          <w:szCs w:val="18"/>
          <w:lang w:val="ru-RU"/>
        </w:rPr>
        <w:t>+</w:t>
      </w:r>
      <w:r>
        <w:rPr>
          <w:szCs w:val="18"/>
        </w:rPr>
        <w:t>the</w:t>
      </w:r>
      <w:r w:rsidRPr="00EE5914">
        <w:rPr>
          <w:szCs w:val="18"/>
          <w:lang w:val="ru-RU"/>
        </w:rPr>
        <w:t>+</w:t>
      </w:r>
      <w:r>
        <w:rPr>
          <w:szCs w:val="18"/>
        </w:rPr>
        <w:t>UDRP</w:t>
      </w:r>
      <w:proofErr w:type="gramStart"/>
      <w:r w:rsidRPr="00EE5914">
        <w:rPr>
          <w:szCs w:val="18"/>
          <w:lang w:val="ru-RU"/>
        </w:rPr>
        <w:t xml:space="preserve">;  </w:t>
      </w:r>
      <w:r>
        <w:rPr>
          <w:szCs w:val="18"/>
          <w:lang w:val="ru-RU"/>
        </w:rPr>
        <w:t>более</w:t>
      </w:r>
      <w:proofErr w:type="gramEnd"/>
      <w:r w:rsidRPr="00EE591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общий</w:t>
      </w:r>
      <w:r w:rsidRPr="00EE5914">
        <w:rPr>
          <w:szCs w:val="18"/>
          <w:lang w:val="ru-RU"/>
        </w:rPr>
        <w:t xml:space="preserve"> контекст </w:t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lang w:val="ru-RU"/>
        </w:rPr>
        <w:t>также</w:t>
      </w:r>
      <w:r w:rsidRPr="00EE5914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EE5914">
        <w:rPr>
          <w:lang w:val="ru-RU"/>
        </w:rPr>
        <w:t>документ</w:t>
      </w:r>
      <w:r>
        <w:rPr>
          <w:lang w:val="ru-RU"/>
        </w:rPr>
        <w:t>е</w:t>
      </w:r>
      <w:r w:rsidRPr="00EE5914">
        <w:rPr>
          <w:szCs w:val="18"/>
          <w:lang w:val="ru-RU"/>
        </w:rPr>
        <w:t xml:space="preserve"> </w:t>
      </w:r>
      <w:r>
        <w:rPr>
          <w:szCs w:val="18"/>
        </w:rPr>
        <w:t>WO</w:t>
      </w:r>
      <w:r w:rsidRPr="00EE5914">
        <w:rPr>
          <w:szCs w:val="18"/>
          <w:lang w:val="ru-RU"/>
        </w:rPr>
        <w:t>/</w:t>
      </w:r>
      <w:r>
        <w:rPr>
          <w:szCs w:val="18"/>
        </w:rPr>
        <w:t>GA</w:t>
      </w:r>
      <w:r w:rsidRPr="00EE5914">
        <w:rPr>
          <w:szCs w:val="18"/>
          <w:lang w:val="ru-RU"/>
        </w:rPr>
        <w:t xml:space="preserve">/39/10, </w:t>
      </w:r>
      <w:r>
        <w:rPr>
          <w:szCs w:val="18"/>
          <w:lang w:val="ru-RU"/>
        </w:rPr>
        <w:t xml:space="preserve">пункт </w:t>
      </w:r>
      <w:r w:rsidRPr="00EE5914">
        <w:rPr>
          <w:szCs w:val="18"/>
          <w:lang w:val="ru-RU"/>
        </w:rPr>
        <w:t>31.</w:t>
      </w:r>
    </w:p>
  </w:footnote>
  <w:footnote w:id="40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gnso</w:t>
      </w:r>
      <w:r w:rsidRPr="00EE5914">
        <w:rPr>
          <w:szCs w:val="18"/>
          <w:lang w:val="ru-RU"/>
        </w:rPr>
        <w:t>.</w:t>
      </w:r>
      <w:r>
        <w:rPr>
          <w:szCs w:val="18"/>
        </w:rPr>
        <w:t>icann</w:t>
      </w:r>
      <w:r w:rsidRPr="00EE5914">
        <w:rPr>
          <w:szCs w:val="18"/>
          <w:lang w:val="ru-RU"/>
        </w:rPr>
        <w:t>.</w:t>
      </w:r>
      <w:r>
        <w:rPr>
          <w:szCs w:val="18"/>
        </w:rPr>
        <w:t>org</w:t>
      </w:r>
      <w:r w:rsidRPr="00EE5914">
        <w:rPr>
          <w:szCs w:val="18"/>
          <w:lang w:val="ru-RU"/>
        </w:rPr>
        <w:t>/</w:t>
      </w:r>
      <w:r>
        <w:rPr>
          <w:szCs w:val="18"/>
        </w:rPr>
        <w:t>meetings</w:t>
      </w:r>
      <w:r w:rsidRPr="00EE5914">
        <w:rPr>
          <w:szCs w:val="18"/>
          <w:lang w:val="ru-RU"/>
        </w:rPr>
        <w:t>/</w:t>
      </w:r>
      <w:r>
        <w:rPr>
          <w:szCs w:val="18"/>
        </w:rPr>
        <w:t>minutes</w:t>
      </w:r>
      <w:r w:rsidRPr="00EE5914">
        <w:rPr>
          <w:szCs w:val="18"/>
          <w:lang w:val="ru-RU"/>
        </w:rPr>
        <w:t>-</w:t>
      </w:r>
      <w:r>
        <w:rPr>
          <w:szCs w:val="18"/>
        </w:rPr>
        <w:t>council</w:t>
      </w:r>
      <w:r w:rsidRPr="00EE5914">
        <w:rPr>
          <w:szCs w:val="18"/>
          <w:lang w:val="ru-RU"/>
        </w:rPr>
        <w:t>-15</w:t>
      </w:r>
      <w:r>
        <w:rPr>
          <w:szCs w:val="18"/>
        </w:rPr>
        <w:t>dec</w:t>
      </w:r>
      <w:r w:rsidRPr="00EE5914">
        <w:rPr>
          <w:szCs w:val="18"/>
          <w:lang w:val="ru-RU"/>
        </w:rPr>
        <w:t>11-</w:t>
      </w:r>
      <w:r>
        <w:rPr>
          <w:szCs w:val="18"/>
        </w:rPr>
        <w:t>en</w:t>
      </w:r>
      <w:r w:rsidRPr="00EE5914">
        <w:rPr>
          <w:szCs w:val="18"/>
          <w:lang w:val="ru-RU"/>
        </w:rPr>
        <w:t>.</w:t>
      </w:r>
      <w:r>
        <w:rPr>
          <w:szCs w:val="18"/>
        </w:rPr>
        <w:t>htm</w:t>
      </w:r>
      <w:r w:rsidRPr="00EE5914">
        <w:rPr>
          <w:szCs w:val="18"/>
          <w:lang w:val="ru-RU"/>
        </w:rPr>
        <w:t>.</w:t>
      </w:r>
    </w:p>
  </w:footnote>
  <w:footnote w:id="41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963EEC">
        <w:rPr>
          <w:lang w:val="ru-RU"/>
        </w:rPr>
        <w:t xml:space="preserve">. </w:t>
      </w:r>
      <w:r>
        <w:rPr>
          <w:lang w:val="ru-RU"/>
        </w:rPr>
        <w:t>также</w:t>
      </w:r>
      <w:r w:rsidRPr="00963EEC">
        <w:rPr>
          <w:lang w:val="ru-RU"/>
        </w:rPr>
        <w:t xml:space="preserve"> </w:t>
      </w:r>
      <w:r w:rsidRPr="007F307D">
        <w:rPr>
          <w:szCs w:val="18"/>
          <w:lang w:val="ru-RU"/>
        </w:rPr>
        <w:t xml:space="preserve">Окончательный план </w:t>
      </w:r>
      <w:r w:rsidRPr="00963EEC">
        <w:rPr>
          <w:szCs w:val="18"/>
        </w:rPr>
        <w:t>ICANN</w:t>
      </w:r>
      <w:r w:rsidRPr="007F307D">
        <w:rPr>
          <w:szCs w:val="18"/>
          <w:lang w:val="ru-RU"/>
        </w:rPr>
        <w:t xml:space="preserve"> по реализации ускоренного процесса введения </w:t>
      </w:r>
      <w:r w:rsidRPr="00963EEC">
        <w:rPr>
          <w:szCs w:val="18"/>
        </w:rPr>
        <w:t>IDN</w:t>
      </w:r>
      <w:r w:rsidRPr="007F307D">
        <w:rPr>
          <w:szCs w:val="18"/>
          <w:lang w:val="ru-RU"/>
        </w:rPr>
        <w:t xml:space="preserve"> ксДВУ, опубликованный в ноябре 2009</w:t>
      </w:r>
      <w:r w:rsidRPr="00963EEC">
        <w:rPr>
          <w:szCs w:val="18"/>
        </w:rPr>
        <w:t> </w:t>
      </w:r>
      <w:r w:rsidRPr="007F307D">
        <w:rPr>
          <w:szCs w:val="18"/>
          <w:lang w:val="ru-RU"/>
        </w:rPr>
        <w:t>г. (</w:t>
      </w:r>
      <w:r>
        <w:rPr>
          <w:szCs w:val="18"/>
          <w:lang w:val="ru-RU"/>
        </w:rPr>
        <w:t xml:space="preserve">см. </w:t>
      </w:r>
      <w:r>
        <w:rPr>
          <w:szCs w:val="18"/>
        </w:rPr>
        <w:t>http</w:t>
      </w:r>
      <w:r w:rsidRPr="00963EEC">
        <w:rPr>
          <w:szCs w:val="18"/>
          <w:lang w:val="ru-RU"/>
        </w:rPr>
        <w:t>://</w:t>
      </w:r>
      <w:r>
        <w:rPr>
          <w:szCs w:val="18"/>
        </w:rPr>
        <w:t>www</w:t>
      </w:r>
      <w:r w:rsidRPr="00963EEC">
        <w:rPr>
          <w:szCs w:val="18"/>
          <w:lang w:val="ru-RU"/>
        </w:rPr>
        <w:t>.</w:t>
      </w:r>
      <w:r>
        <w:rPr>
          <w:szCs w:val="18"/>
        </w:rPr>
        <w:t>icann</w:t>
      </w:r>
      <w:r w:rsidRPr="00963EEC">
        <w:rPr>
          <w:szCs w:val="18"/>
          <w:lang w:val="ru-RU"/>
        </w:rPr>
        <w:t>.</w:t>
      </w:r>
      <w:r>
        <w:rPr>
          <w:szCs w:val="18"/>
        </w:rPr>
        <w:t>org</w:t>
      </w:r>
      <w:r w:rsidRPr="00963EEC">
        <w:rPr>
          <w:szCs w:val="18"/>
          <w:lang w:val="ru-RU"/>
        </w:rPr>
        <w:t>/</w:t>
      </w:r>
      <w:r>
        <w:rPr>
          <w:szCs w:val="18"/>
        </w:rPr>
        <w:t>en</w:t>
      </w:r>
      <w:r w:rsidRPr="00963EEC">
        <w:rPr>
          <w:szCs w:val="18"/>
          <w:lang w:val="ru-RU"/>
        </w:rPr>
        <w:t>/</w:t>
      </w:r>
      <w:r>
        <w:rPr>
          <w:szCs w:val="18"/>
        </w:rPr>
        <w:t>topics</w:t>
      </w:r>
      <w:r w:rsidRPr="00963EEC">
        <w:rPr>
          <w:szCs w:val="18"/>
          <w:lang w:val="ru-RU"/>
        </w:rPr>
        <w:t>/</w:t>
      </w:r>
      <w:r>
        <w:rPr>
          <w:szCs w:val="18"/>
        </w:rPr>
        <w:t>idn</w:t>
      </w:r>
      <w:r w:rsidRPr="00963EEC">
        <w:rPr>
          <w:szCs w:val="18"/>
          <w:lang w:val="ru-RU"/>
        </w:rPr>
        <w:t>/</w:t>
      </w:r>
      <w:r>
        <w:rPr>
          <w:szCs w:val="18"/>
        </w:rPr>
        <w:t>fast</w:t>
      </w:r>
      <w:r w:rsidRPr="00963EEC">
        <w:rPr>
          <w:szCs w:val="18"/>
          <w:lang w:val="ru-RU"/>
        </w:rPr>
        <w:noBreakHyphen/>
      </w:r>
      <w:r>
        <w:rPr>
          <w:szCs w:val="18"/>
        </w:rPr>
        <w:t>track</w:t>
      </w:r>
      <w:r w:rsidRPr="00963EEC">
        <w:rPr>
          <w:szCs w:val="18"/>
          <w:lang w:val="ru-RU"/>
        </w:rPr>
        <w:t>/</w:t>
      </w:r>
      <w:r>
        <w:rPr>
          <w:szCs w:val="18"/>
        </w:rPr>
        <w:t>idn</w:t>
      </w:r>
      <w:r w:rsidRPr="00963EEC">
        <w:rPr>
          <w:szCs w:val="18"/>
          <w:lang w:val="ru-RU"/>
        </w:rPr>
        <w:noBreakHyphen/>
      </w:r>
      <w:r>
        <w:rPr>
          <w:szCs w:val="18"/>
        </w:rPr>
        <w:t>cctld</w:t>
      </w:r>
      <w:r w:rsidRPr="00963EEC">
        <w:rPr>
          <w:szCs w:val="18"/>
          <w:lang w:val="ru-RU"/>
        </w:rPr>
        <w:noBreakHyphen/>
      </w:r>
      <w:r>
        <w:rPr>
          <w:szCs w:val="18"/>
        </w:rPr>
        <w:t>implementation</w:t>
      </w:r>
      <w:r w:rsidRPr="00963EEC">
        <w:rPr>
          <w:szCs w:val="18"/>
          <w:lang w:val="ru-RU"/>
        </w:rPr>
        <w:t>-</w:t>
      </w:r>
      <w:r>
        <w:rPr>
          <w:szCs w:val="18"/>
        </w:rPr>
        <w:t>plan</w:t>
      </w:r>
      <w:r w:rsidRPr="00963EEC">
        <w:rPr>
          <w:szCs w:val="18"/>
          <w:lang w:val="ru-RU"/>
        </w:rPr>
        <w:t>-16</w:t>
      </w:r>
      <w:r>
        <w:rPr>
          <w:szCs w:val="18"/>
        </w:rPr>
        <w:t>nov</w:t>
      </w:r>
      <w:r w:rsidRPr="00963EEC">
        <w:rPr>
          <w:szCs w:val="18"/>
          <w:lang w:val="ru-RU"/>
        </w:rPr>
        <w:t>09-</w:t>
      </w:r>
      <w:r>
        <w:rPr>
          <w:szCs w:val="18"/>
        </w:rPr>
        <w:t>en</w:t>
      </w:r>
      <w:r w:rsidRPr="00963EEC">
        <w:rPr>
          <w:szCs w:val="18"/>
          <w:lang w:val="ru-RU"/>
        </w:rPr>
        <w:t>.</w:t>
      </w:r>
      <w:r>
        <w:rPr>
          <w:szCs w:val="18"/>
        </w:rPr>
        <w:t>pdf</w:t>
      </w:r>
      <w:r w:rsidRPr="00963EEC">
        <w:rPr>
          <w:szCs w:val="22"/>
          <w:lang w:val="ru-RU"/>
        </w:rPr>
        <w:t xml:space="preserve">). С этого времени в рамках обозначенного плана уже были введены несколько IDN ксДВУ, связанных с двухбуквенными кодами в стандарте ISO 3166-1 (см. </w:t>
      </w:r>
      <w:r>
        <w:rPr>
          <w:szCs w:val="18"/>
        </w:rPr>
        <w:t>http</w:t>
      </w:r>
      <w:r w:rsidRPr="00963EEC">
        <w:rPr>
          <w:szCs w:val="18"/>
          <w:lang w:val="ru-RU"/>
        </w:rPr>
        <w:t>://</w:t>
      </w:r>
      <w:r>
        <w:rPr>
          <w:szCs w:val="18"/>
        </w:rPr>
        <w:t>www</w:t>
      </w:r>
      <w:r w:rsidRPr="00963EEC">
        <w:rPr>
          <w:szCs w:val="18"/>
          <w:lang w:val="ru-RU"/>
        </w:rPr>
        <w:t>.</w:t>
      </w:r>
      <w:r>
        <w:rPr>
          <w:szCs w:val="18"/>
        </w:rPr>
        <w:t>iso</w:t>
      </w:r>
      <w:r w:rsidRPr="00963EEC">
        <w:rPr>
          <w:szCs w:val="18"/>
          <w:lang w:val="ru-RU"/>
        </w:rPr>
        <w:t>.</w:t>
      </w:r>
      <w:r>
        <w:rPr>
          <w:szCs w:val="18"/>
        </w:rPr>
        <w:t>org</w:t>
      </w:r>
      <w:r w:rsidRPr="00963EEC">
        <w:rPr>
          <w:szCs w:val="18"/>
          <w:lang w:val="ru-RU"/>
        </w:rPr>
        <w:t>/</w:t>
      </w:r>
      <w:r>
        <w:rPr>
          <w:szCs w:val="18"/>
        </w:rPr>
        <w:t>iso</w:t>
      </w:r>
      <w:r w:rsidRPr="00963EEC">
        <w:rPr>
          <w:szCs w:val="18"/>
          <w:lang w:val="ru-RU"/>
        </w:rPr>
        <w:t>/</w:t>
      </w:r>
      <w:r>
        <w:rPr>
          <w:szCs w:val="18"/>
        </w:rPr>
        <w:t>english</w:t>
      </w:r>
      <w:r w:rsidRPr="00963EEC">
        <w:rPr>
          <w:szCs w:val="18"/>
          <w:lang w:val="ru-RU"/>
        </w:rPr>
        <w:t>_</w:t>
      </w:r>
      <w:r>
        <w:rPr>
          <w:szCs w:val="18"/>
        </w:rPr>
        <w:t>country</w:t>
      </w:r>
      <w:r w:rsidRPr="00963EEC">
        <w:rPr>
          <w:szCs w:val="18"/>
          <w:lang w:val="ru-RU"/>
        </w:rPr>
        <w:t>_</w:t>
      </w:r>
      <w:r>
        <w:rPr>
          <w:szCs w:val="18"/>
        </w:rPr>
        <w:t>names</w:t>
      </w:r>
      <w:r w:rsidRPr="00963EEC">
        <w:rPr>
          <w:szCs w:val="18"/>
          <w:lang w:val="ru-RU"/>
        </w:rPr>
        <w:t>_</w:t>
      </w:r>
      <w:r>
        <w:rPr>
          <w:szCs w:val="18"/>
        </w:rPr>
        <w:t>and</w:t>
      </w:r>
      <w:r w:rsidRPr="00963EEC">
        <w:rPr>
          <w:szCs w:val="18"/>
          <w:lang w:val="ru-RU"/>
        </w:rPr>
        <w:t>_</w:t>
      </w:r>
      <w:r>
        <w:rPr>
          <w:szCs w:val="18"/>
        </w:rPr>
        <w:t>code</w:t>
      </w:r>
      <w:r w:rsidRPr="00963EEC">
        <w:rPr>
          <w:szCs w:val="18"/>
          <w:lang w:val="ru-RU"/>
        </w:rPr>
        <w:t>_</w:t>
      </w:r>
      <w:r>
        <w:rPr>
          <w:szCs w:val="18"/>
        </w:rPr>
        <w:t>elements</w:t>
      </w:r>
      <w:r w:rsidRPr="00963EEC">
        <w:rPr>
          <w:szCs w:val="18"/>
          <w:lang w:val="ru-RU"/>
        </w:rPr>
        <w:t xml:space="preserve">). </w:t>
      </w:r>
      <w:r w:rsidRPr="00CA720F">
        <w:rPr>
          <w:szCs w:val="18"/>
          <w:lang w:val="ru-RU"/>
        </w:rPr>
        <w:t xml:space="preserve"> </w:t>
      </w:r>
    </w:p>
  </w:footnote>
  <w:footnote w:id="42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1755F4">
        <w:rPr>
          <w:lang w:val="ru-RU"/>
        </w:rPr>
        <w:t xml:space="preserve">. </w:t>
      </w:r>
      <w:r>
        <w:rPr>
          <w:szCs w:val="18"/>
        </w:rPr>
        <w:t>http</w:t>
      </w:r>
      <w:r w:rsidRPr="001755F4">
        <w:rPr>
          <w:szCs w:val="18"/>
          <w:lang w:val="ru-RU"/>
        </w:rPr>
        <w:t>://</w:t>
      </w:r>
      <w:r>
        <w:rPr>
          <w:szCs w:val="18"/>
        </w:rPr>
        <w:t>www</w:t>
      </w:r>
      <w:r w:rsidRPr="001755F4">
        <w:rPr>
          <w:szCs w:val="18"/>
          <w:lang w:val="ru-RU"/>
        </w:rPr>
        <w:t>.</w:t>
      </w:r>
      <w:r>
        <w:rPr>
          <w:szCs w:val="18"/>
        </w:rPr>
        <w:t>wipo</w:t>
      </w:r>
      <w:r w:rsidRPr="001755F4">
        <w:rPr>
          <w:szCs w:val="18"/>
          <w:lang w:val="ru-RU"/>
        </w:rPr>
        <w:t>.</w:t>
      </w:r>
      <w:r>
        <w:rPr>
          <w:szCs w:val="18"/>
        </w:rPr>
        <w:t>int</w:t>
      </w:r>
      <w:r w:rsidRPr="001755F4">
        <w:rPr>
          <w:szCs w:val="18"/>
          <w:lang w:val="ru-RU"/>
        </w:rPr>
        <w:t>/</w:t>
      </w:r>
      <w:r>
        <w:rPr>
          <w:szCs w:val="18"/>
        </w:rPr>
        <w:t>edocs</w:t>
      </w:r>
      <w:r w:rsidRPr="001755F4">
        <w:rPr>
          <w:szCs w:val="18"/>
          <w:lang w:val="ru-RU"/>
        </w:rPr>
        <w:t>/</w:t>
      </w:r>
      <w:r>
        <w:rPr>
          <w:szCs w:val="18"/>
        </w:rPr>
        <w:t>mdocs</w:t>
      </w:r>
      <w:r w:rsidRPr="001755F4">
        <w:rPr>
          <w:szCs w:val="18"/>
          <w:lang w:val="ru-RU"/>
        </w:rPr>
        <w:t>/</w:t>
      </w:r>
      <w:r>
        <w:rPr>
          <w:szCs w:val="18"/>
        </w:rPr>
        <w:t>govbody</w:t>
      </w:r>
      <w:r w:rsidRPr="001755F4">
        <w:rPr>
          <w:szCs w:val="18"/>
          <w:lang w:val="ru-RU"/>
        </w:rPr>
        <w:t>/</w:t>
      </w:r>
      <w:r>
        <w:rPr>
          <w:szCs w:val="18"/>
        </w:rPr>
        <w:t>en</w:t>
      </w:r>
      <w:r w:rsidRPr="001755F4">
        <w:rPr>
          <w:szCs w:val="18"/>
          <w:lang w:val="ru-RU"/>
        </w:rPr>
        <w:t>/</w:t>
      </w:r>
      <w:r>
        <w:rPr>
          <w:szCs w:val="18"/>
        </w:rPr>
        <w:t>wo</w:t>
      </w:r>
      <w:r w:rsidRPr="001755F4">
        <w:rPr>
          <w:szCs w:val="18"/>
          <w:lang w:val="ru-RU"/>
        </w:rPr>
        <w:t>_</w:t>
      </w:r>
      <w:r>
        <w:rPr>
          <w:szCs w:val="18"/>
        </w:rPr>
        <w:t>ga</w:t>
      </w:r>
      <w:r w:rsidRPr="001755F4">
        <w:rPr>
          <w:szCs w:val="18"/>
          <w:lang w:val="ru-RU"/>
        </w:rPr>
        <w:t>_28/</w:t>
      </w:r>
      <w:r>
        <w:rPr>
          <w:szCs w:val="18"/>
        </w:rPr>
        <w:t>wo</w:t>
      </w:r>
      <w:r w:rsidRPr="001755F4">
        <w:rPr>
          <w:szCs w:val="18"/>
          <w:lang w:val="ru-RU"/>
        </w:rPr>
        <w:t>_</w:t>
      </w:r>
      <w:r>
        <w:rPr>
          <w:szCs w:val="18"/>
        </w:rPr>
        <w:t>ga</w:t>
      </w:r>
      <w:r w:rsidRPr="001755F4">
        <w:rPr>
          <w:szCs w:val="18"/>
          <w:lang w:val="ru-RU"/>
        </w:rPr>
        <w:t>_28_3.</w:t>
      </w:r>
      <w:r>
        <w:rPr>
          <w:szCs w:val="18"/>
        </w:rPr>
        <w:t>pdf</w:t>
      </w:r>
      <w:proofErr w:type="gramStart"/>
      <w:r w:rsidRPr="001755F4">
        <w:rPr>
          <w:szCs w:val="18"/>
          <w:lang w:val="ru-RU"/>
        </w:rPr>
        <w:t xml:space="preserve">;  </w:t>
      </w:r>
      <w:r>
        <w:rPr>
          <w:szCs w:val="18"/>
          <w:lang w:val="ru-RU"/>
        </w:rPr>
        <w:t>см</w:t>
      </w:r>
      <w:proofErr w:type="gramEnd"/>
      <w:r w:rsidRPr="001755F4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также</w:t>
      </w:r>
      <w:r w:rsidRPr="001755F4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>ы</w:t>
      </w:r>
      <w:r w:rsidRPr="001755F4">
        <w:rPr>
          <w:szCs w:val="18"/>
          <w:lang w:val="ru-RU"/>
        </w:rPr>
        <w:t xml:space="preserve"> </w:t>
      </w:r>
      <w:r>
        <w:rPr>
          <w:szCs w:val="18"/>
        </w:rPr>
        <w:t>SCT</w:t>
      </w:r>
      <w:r w:rsidRPr="001755F4">
        <w:rPr>
          <w:szCs w:val="18"/>
          <w:lang w:val="ru-RU"/>
        </w:rPr>
        <w:t xml:space="preserve">/9/8, </w:t>
      </w:r>
      <w:r>
        <w:rPr>
          <w:szCs w:val="18"/>
          <w:lang w:val="ru-RU"/>
        </w:rPr>
        <w:t>пункты</w:t>
      </w:r>
      <w:r w:rsidRPr="001755F4">
        <w:rPr>
          <w:szCs w:val="18"/>
          <w:lang w:val="ru-RU"/>
        </w:rPr>
        <w:t xml:space="preserve"> 6 – 11</w:t>
      </w:r>
      <w:r>
        <w:rPr>
          <w:szCs w:val="18"/>
          <w:lang w:val="ru-RU"/>
        </w:rPr>
        <w:t xml:space="preserve">, и </w:t>
      </w:r>
      <w:r>
        <w:rPr>
          <w:szCs w:val="18"/>
        </w:rPr>
        <w:t>SCT</w:t>
      </w:r>
      <w:r w:rsidRPr="001755F4">
        <w:rPr>
          <w:szCs w:val="18"/>
          <w:lang w:val="ru-RU"/>
        </w:rPr>
        <w:t xml:space="preserve">/9/9, </w:t>
      </w:r>
      <w:r>
        <w:rPr>
          <w:szCs w:val="18"/>
          <w:lang w:val="ru-RU"/>
        </w:rPr>
        <w:t xml:space="preserve">пункт </w:t>
      </w:r>
      <w:r w:rsidRPr="001755F4">
        <w:rPr>
          <w:szCs w:val="18"/>
          <w:lang w:val="ru-RU"/>
        </w:rPr>
        <w:t>149.</w:t>
      </w:r>
    </w:p>
  </w:footnote>
  <w:footnote w:id="43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www</w:t>
      </w:r>
      <w:r w:rsidRPr="00EE5914">
        <w:rPr>
          <w:szCs w:val="18"/>
          <w:lang w:val="ru-RU"/>
        </w:rPr>
        <w:t>.</w:t>
      </w:r>
      <w:r>
        <w:rPr>
          <w:szCs w:val="18"/>
        </w:rPr>
        <w:t>wipo</w:t>
      </w:r>
      <w:r w:rsidRPr="00EE5914">
        <w:rPr>
          <w:szCs w:val="18"/>
          <w:lang w:val="ru-RU"/>
        </w:rPr>
        <w:t>.</w:t>
      </w:r>
      <w:r>
        <w:rPr>
          <w:szCs w:val="18"/>
        </w:rPr>
        <w:t>int</w:t>
      </w:r>
      <w:r w:rsidRPr="00EE5914">
        <w:rPr>
          <w:szCs w:val="18"/>
          <w:lang w:val="ru-RU"/>
        </w:rPr>
        <w:t>/</w:t>
      </w:r>
      <w:r>
        <w:rPr>
          <w:szCs w:val="18"/>
        </w:rPr>
        <w:t>amc</w:t>
      </w:r>
      <w:r w:rsidRPr="00EE5914">
        <w:rPr>
          <w:szCs w:val="18"/>
          <w:lang w:val="ru-RU"/>
        </w:rPr>
        <w:t>/</w:t>
      </w:r>
      <w:r>
        <w:rPr>
          <w:szCs w:val="18"/>
        </w:rPr>
        <w:t>en</w:t>
      </w:r>
      <w:r w:rsidRPr="00EE5914">
        <w:rPr>
          <w:szCs w:val="18"/>
          <w:lang w:val="ru-RU"/>
        </w:rPr>
        <w:t>/</w:t>
      </w:r>
      <w:r>
        <w:rPr>
          <w:szCs w:val="18"/>
        </w:rPr>
        <w:t>docs</w:t>
      </w:r>
      <w:r w:rsidRPr="00EE5914">
        <w:rPr>
          <w:szCs w:val="18"/>
          <w:lang w:val="ru-RU"/>
        </w:rPr>
        <w:t>/</w:t>
      </w:r>
      <w:r>
        <w:rPr>
          <w:szCs w:val="18"/>
        </w:rPr>
        <w:t>wipo</w:t>
      </w:r>
      <w:r w:rsidRPr="00EE5914">
        <w:rPr>
          <w:szCs w:val="18"/>
          <w:lang w:val="ru-RU"/>
        </w:rPr>
        <w:t>.</w:t>
      </w:r>
      <w:r>
        <w:rPr>
          <w:szCs w:val="18"/>
        </w:rPr>
        <w:t>doc</w:t>
      </w:r>
      <w:r w:rsidRPr="00EE5914">
        <w:rPr>
          <w:szCs w:val="18"/>
          <w:lang w:val="ru-RU"/>
        </w:rPr>
        <w:t>.</w:t>
      </w:r>
    </w:p>
  </w:footnote>
  <w:footnote w:id="44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EE5914">
        <w:rPr>
          <w:lang w:val="ru-RU"/>
        </w:rPr>
        <w:t>. истори</w:t>
      </w:r>
      <w:r>
        <w:rPr>
          <w:lang w:val="ru-RU"/>
        </w:rPr>
        <w:t>ю</w:t>
      </w:r>
      <w:r w:rsidRPr="00EE5914">
        <w:rPr>
          <w:lang w:val="ru-RU"/>
        </w:rPr>
        <w:t xml:space="preserve"> вопроса </w:t>
      </w:r>
      <w:r>
        <w:rPr>
          <w:lang w:val="ru-RU"/>
        </w:rPr>
        <w:t>в</w:t>
      </w:r>
      <w:r w:rsidRPr="00EE5914">
        <w:rPr>
          <w:lang w:val="ru-RU"/>
        </w:rPr>
        <w:t xml:space="preserve"> документ</w:t>
      </w:r>
      <w:r>
        <w:rPr>
          <w:lang w:val="ru-RU"/>
        </w:rPr>
        <w:t>е</w:t>
      </w:r>
      <w:r w:rsidRPr="00EE5914">
        <w:rPr>
          <w:lang w:val="ru-RU"/>
        </w:rPr>
        <w:t xml:space="preserve"> </w:t>
      </w:r>
      <w:r>
        <w:t>WO</w:t>
      </w:r>
      <w:r w:rsidRPr="00EE5914">
        <w:rPr>
          <w:lang w:val="ru-RU"/>
        </w:rPr>
        <w:t>/</w:t>
      </w:r>
      <w:r>
        <w:t>GA</w:t>
      </w:r>
      <w:r w:rsidRPr="00EE5914">
        <w:rPr>
          <w:lang w:val="ru-RU"/>
        </w:rPr>
        <w:t xml:space="preserve">/41/17 </w:t>
      </w:r>
      <w:r>
        <w:t>Rev</w:t>
      </w:r>
      <w:r w:rsidRPr="00EE5914">
        <w:rPr>
          <w:lang w:val="ru-RU"/>
        </w:rPr>
        <w:t xml:space="preserve">.2, </w:t>
      </w:r>
      <w:r>
        <w:rPr>
          <w:lang w:val="ru-RU"/>
        </w:rPr>
        <w:t>особенно</w:t>
      </w:r>
      <w:r w:rsidRPr="00EE5914">
        <w:rPr>
          <w:lang w:val="ru-RU"/>
        </w:rPr>
        <w:t xml:space="preserve"> </w:t>
      </w:r>
      <w:r>
        <w:rPr>
          <w:lang w:val="ru-RU"/>
        </w:rPr>
        <w:t>пункты</w:t>
      </w:r>
      <w:r w:rsidRPr="00EE5914">
        <w:rPr>
          <w:lang w:val="ru-RU"/>
        </w:rPr>
        <w:t xml:space="preserve"> 40 </w:t>
      </w:r>
      <w:r>
        <w:rPr>
          <w:lang w:val="ru-RU"/>
        </w:rPr>
        <w:t xml:space="preserve">и </w:t>
      </w:r>
      <w:r w:rsidRPr="00EE5914">
        <w:rPr>
          <w:lang w:val="ru-RU"/>
        </w:rPr>
        <w:t>41.</w:t>
      </w:r>
    </w:p>
  </w:footnote>
  <w:footnote w:id="45">
    <w:p w:rsidR="00CA720F" w:rsidRPr="00313D74" w:rsidRDefault="00CA720F" w:rsidP="00384EE8">
      <w:pPr>
        <w:pStyle w:val="FootnoteText"/>
        <w:rPr>
          <w:color w:val="000000" w:themeColor="text1"/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CA720F">
        <w:rPr>
          <w:szCs w:val="18"/>
          <w:lang w:val="ru-RU"/>
        </w:rPr>
        <w:t xml:space="preserve">. </w:t>
      </w:r>
      <w:r w:rsidR="00991391" w:rsidRPr="00313D74">
        <w:rPr>
          <w:color w:val="000000" w:themeColor="text1"/>
        </w:rPr>
        <w:fldChar w:fldCharType="begin"/>
      </w:r>
      <w:r w:rsidR="00991391" w:rsidRPr="00313D74">
        <w:rPr>
          <w:color w:val="000000" w:themeColor="text1"/>
          <w:lang w:val="ru-RU"/>
        </w:rPr>
        <w:instrText xml:space="preserve"> </w:instrText>
      </w:r>
      <w:r w:rsidR="00991391" w:rsidRPr="00313D74">
        <w:rPr>
          <w:color w:val="000000" w:themeColor="text1"/>
        </w:rPr>
        <w:instrText>HYPERLINK</w:instrText>
      </w:r>
      <w:r w:rsidR="00991391" w:rsidRPr="00313D74">
        <w:rPr>
          <w:color w:val="000000" w:themeColor="text1"/>
          <w:lang w:val="ru-RU"/>
        </w:rPr>
        <w:instrText xml:space="preserve"> "</w:instrText>
      </w:r>
      <w:r w:rsidR="00991391" w:rsidRPr="00313D74">
        <w:rPr>
          <w:color w:val="000000" w:themeColor="text1"/>
        </w:rPr>
        <w:instrText>https</w:instrText>
      </w:r>
      <w:r w:rsidR="00991391" w:rsidRPr="00313D74">
        <w:rPr>
          <w:color w:val="000000" w:themeColor="text1"/>
          <w:lang w:val="ru-RU"/>
        </w:rPr>
        <w:instrText>://</w:instrText>
      </w:r>
      <w:r w:rsidR="00991391" w:rsidRPr="00313D74">
        <w:rPr>
          <w:color w:val="000000" w:themeColor="text1"/>
        </w:rPr>
        <w:instrText>gacweb</w:instrText>
      </w:r>
      <w:r w:rsidR="00991391" w:rsidRPr="00313D74">
        <w:rPr>
          <w:color w:val="000000" w:themeColor="text1"/>
          <w:lang w:val="ru-RU"/>
        </w:rPr>
        <w:instrText>.</w:instrText>
      </w:r>
      <w:r w:rsidR="00991391" w:rsidRPr="00313D74">
        <w:rPr>
          <w:color w:val="000000" w:themeColor="text1"/>
        </w:rPr>
        <w:instrText>icann</w:instrText>
      </w:r>
      <w:r w:rsidR="00991391" w:rsidRPr="00313D74">
        <w:rPr>
          <w:color w:val="000000" w:themeColor="text1"/>
          <w:lang w:val="ru-RU"/>
        </w:rPr>
        <w:instrText>.</w:instrText>
      </w:r>
      <w:r w:rsidR="00991391" w:rsidRPr="00313D74">
        <w:rPr>
          <w:color w:val="000000" w:themeColor="text1"/>
        </w:rPr>
        <w:instrText>org</w:instrText>
      </w:r>
      <w:r w:rsidR="00991391" w:rsidRPr="00313D74">
        <w:rPr>
          <w:color w:val="000000" w:themeColor="text1"/>
          <w:lang w:val="ru-RU"/>
        </w:rPr>
        <w:instrText>/</w:instrText>
      </w:r>
      <w:r w:rsidR="00991391" w:rsidRPr="00313D74">
        <w:rPr>
          <w:color w:val="000000" w:themeColor="text1"/>
        </w:rPr>
        <w:instrText>download</w:instrText>
      </w:r>
      <w:r w:rsidR="00991391" w:rsidRPr="00313D74">
        <w:rPr>
          <w:color w:val="000000" w:themeColor="text1"/>
          <w:lang w:val="ru-RU"/>
        </w:rPr>
        <w:instrText>/</w:instrText>
      </w:r>
      <w:r w:rsidR="00991391" w:rsidRPr="00313D74">
        <w:rPr>
          <w:color w:val="000000" w:themeColor="text1"/>
        </w:rPr>
        <w:instrText>attachments</w:instrText>
      </w:r>
      <w:r w:rsidR="00991391" w:rsidRPr="00313D74">
        <w:rPr>
          <w:color w:val="000000" w:themeColor="text1"/>
          <w:lang w:val="ru-RU"/>
        </w:rPr>
        <w:instrText>/27132070/</w:instrText>
      </w:r>
      <w:r w:rsidR="00991391" w:rsidRPr="00313D74">
        <w:rPr>
          <w:color w:val="000000" w:themeColor="text1"/>
        </w:rPr>
        <w:instrText>FINAL</w:instrText>
      </w:r>
      <w:r w:rsidR="00991391" w:rsidRPr="00313D74">
        <w:rPr>
          <w:color w:val="000000" w:themeColor="text1"/>
          <w:lang w:val="ru-RU"/>
        </w:rPr>
        <w:instrText>_</w:instrText>
      </w:r>
      <w:r w:rsidR="00991391" w:rsidRPr="00313D74">
        <w:rPr>
          <w:color w:val="000000" w:themeColor="text1"/>
        </w:rPr>
        <w:instrText>Toronto</w:instrText>
      </w:r>
      <w:r w:rsidR="00991391" w:rsidRPr="00313D74">
        <w:rPr>
          <w:color w:val="000000" w:themeColor="text1"/>
          <w:lang w:val="ru-RU"/>
        </w:rPr>
        <w:instrText>_</w:instrText>
      </w:r>
      <w:r w:rsidR="00991391" w:rsidRPr="00313D74">
        <w:rPr>
          <w:color w:val="000000" w:themeColor="text1"/>
        </w:rPr>
        <w:instrText>Communique</w:instrText>
      </w:r>
      <w:r w:rsidR="00991391" w:rsidRPr="00313D74">
        <w:rPr>
          <w:color w:val="000000" w:themeColor="text1"/>
          <w:lang w:val="ru-RU"/>
        </w:rPr>
        <w:instrText>_20121017.</w:instrText>
      </w:r>
      <w:r w:rsidR="00991391" w:rsidRPr="00313D74">
        <w:rPr>
          <w:color w:val="000000" w:themeColor="text1"/>
        </w:rPr>
        <w:instrText>pdf</w:instrText>
      </w:r>
      <w:r w:rsidR="00991391" w:rsidRPr="00313D74">
        <w:rPr>
          <w:color w:val="000000" w:themeColor="text1"/>
          <w:lang w:val="ru-RU"/>
        </w:rPr>
        <w:instrText>?</w:instrText>
      </w:r>
      <w:r w:rsidR="00991391" w:rsidRPr="00313D74">
        <w:rPr>
          <w:color w:val="000000" w:themeColor="text1"/>
        </w:rPr>
        <w:instrText>version</w:instrText>
      </w:r>
      <w:r w:rsidR="00991391" w:rsidRPr="00313D74">
        <w:rPr>
          <w:color w:val="000000" w:themeColor="text1"/>
          <w:lang w:val="ru-RU"/>
        </w:rPr>
        <w:instrText>=1&amp;</w:instrText>
      </w:r>
      <w:r w:rsidR="00991391" w:rsidRPr="00313D74">
        <w:rPr>
          <w:color w:val="000000" w:themeColor="text1"/>
        </w:rPr>
        <w:instrText>modificationDate</w:instrText>
      </w:r>
      <w:r w:rsidR="00991391" w:rsidRPr="00313D74">
        <w:rPr>
          <w:color w:val="000000" w:themeColor="text1"/>
          <w:lang w:val="ru-RU"/>
        </w:rPr>
        <w:instrText>=1354149148000&amp;</w:instrText>
      </w:r>
      <w:r w:rsidR="00991391" w:rsidRPr="00313D74">
        <w:rPr>
          <w:color w:val="000000" w:themeColor="text1"/>
        </w:rPr>
        <w:instrText>api</w:instrText>
      </w:r>
      <w:r w:rsidR="00991391" w:rsidRPr="00313D74">
        <w:rPr>
          <w:color w:val="000000" w:themeColor="text1"/>
          <w:lang w:val="ru-RU"/>
        </w:rPr>
        <w:instrText>=</w:instrText>
      </w:r>
      <w:r w:rsidR="00991391" w:rsidRPr="00313D74">
        <w:rPr>
          <w:color w:val="000000" w:themeColor="text1"/>
        </w:rPr>
        <w:instrText>v</w:instrText>
      </w:r>
      <w:r w:rsidR="00991391" w:rsidRPr="00313D74">
        <w:rPr>
          <w:color w:val="000000" w:themeColor="text1"/>
          <w:lang w:val="ru-RU"/>
        </w:rPr>
        <w:instrText xml:space="preserve">2" </w:instrText>
      </w:r>
      <w:r w:rsidR="00702B39" w:rsidRPr="00313D74">
        <w:rPr>
          <w:color w:val="000000" w:themeColor="text1"/>
        </w:rPr>
      </w:r>
      <w:r w:rsidR="00991391" w:rsidRPr="00313D74">
        <w:rPr>
          <w:color w:val="000000" w:themeColor="text1"/>
        </w:rPr>
        <w:fldChar w:fldCharType="separate"/>
      </w:r>
      <w:r w:rsidRPr="00313D74">
        <w:rPr>
          <w:rStyle w:val="Hyperlink"/>
          <w:color w:val="000000" w:themeColor="text1"/>
          <w:szCs w:val="18"/>
        </w:rPr>
        <w:t>https</w:t>
      </w:r>
      <w:r w:rsidRPr="00313D74">
        <w:rPr>
          <w:rStyle w:val="Hyperlink"/>
          <w:color w:val="000000" w:themeColor="text1"/>
          <w:szCs w:val="18"/>
          <w:lang w:val="ru-RU"/>
        </w:rPr>
        <w:t>://</w:t>
      </w:r>
      <w:r w:rsidRPr="00313D74">
        <w:rPr>
          <w:rStyle w:val="Hyperlink"/>
          <w:color w:val="000000" w:themeColor="text1"/>
          <w:szCs w:val="18"/>
        </w:rPr>
        <w:t>gacweb</w:t>
      </w:r>
      <w:r w:rsidRPr="00313D74">
        <w:rPr>
          <w:rStyle w:val="Hyperlink"/>
          <w:color w:val="000000" w:themeColor="text1"/>
          <w:szCs w:val="18"/>
          <w:lang w:val="ru-RU"/>
        </w:rPr>
        <w:t>.</w:t>
      </w:r>
      <w:r w:rsidRPr="00313D74">
        <w:rPr>
          <w:rStyle w:val="Hyperlink"/>
          <w:color w:val="000000" w:themeColor="text1"/>
          <w:szCs w:val="18"/>
        </w:rPr>
        <w:t>icann</w:t>
      </w:r>
      <w:r w:rsidRPr="00313D74">
        <w:rPr>
          <w:rStyle w:val="Hyperlink"/>
          <w:color w:val="000000" w:themeColor="text1"/>
          <w:szCs w:val="18"/>
          <w:lang w:val="ru-RU"/>
        </w:rPr>
        <w:t>.</w:t>
      </w:r>
      <w:r w:rsidRPr="00313D74">
        <w:rPr>
          <w:rStyle w:val="Hyperlink"/>
          <w:color w:val="000000" w:themeColor="text1"/>
          <w:szCs w:val="18"/>
        </w:rPr>
        <w:t>org</w:t>
      </w:r>
      <w:r w:rsidRPr="00313D74">
        <w:rPr>
          <w:rStyle w:val="Hyperlink"/>
          <w:color w:val="000000" w:themeColor="text1"/>
          <w:szCs w:val="18"/>
          <w:lang w:val="ru-RU"/>
        </w:rPr>
        <w:t>/</w:t>
      </w:r>
      <w:r w:rsidRPr="00313D74">
        <w:rPr>
          <w:rStyle w:val="Hyperlink"/>
          <w:color w:val="000000" w:themeColor="text1"/>
          <w:szCs w:val="18"/>
        </w:rPr>
        <w:t>download</w:t>
      </w:r>
      <w:r w:rsidRPr="00313D74">
        <w:rPr>
          <w:rStyle w:val="Hyperlink"/>
          <w:color w:val="000000" w:themeColor="text1"/>
          <w:szCs w:val="18"/>
          <w:lang w:val="ru-RU"/>
        </w:rPr>
        <w:t>/</w:t>
      </w:r>
      <w:r w:rsidRPr="00313D74">
        <w:rPr>
          <w:rStyle w:val="Hyperlink"/>
          <w:color w:val="000000" w:themeColor="text1"/>
          <w:szCs w:val="18"/>
        </w:rPr>
        <w:t>attachments</w:t>
      </w:r>
      <w:r w:rsidRPr="00313D74">
        <w:rPr>
          <w:rStyle w:val="Hyperlink"/>
          <w:color w:val="000000" w:themeColor="text1"/>
          <w:szCs w:val="18"/>
          <w:lang w:val="ru-RU"/>
        </w:rPr>
        <w:t>/27132070/</w:t>
      </w:r>
      <w:r w:rsidRPr="00313D74">
        <w:rPr>
          <w:rStyle w:val="Hyperlink"/>
          <w:color w:val="000000" w:themeColor="text1"/>
          <w:szCs w:val="18"/>
        </w:rPr>
        <w:t>FINAL</w:t>
      </w:r>
      <w:r w:rsidRPr="00313D74">
        <w:rPr>
          <w:rStyle w:val="Hyperlink"/>
          <w:color w:val="000000" w:themeColor="text1"/>
          <w:szCs w:val="18"/>
          <w:lang w:val="ru-RU"/>
        </w:rPr>
        <w:t>_</w:t>
      </w:r>
      <w:r w:rsidRPr="00313D74">
        <w:rPr>
          <w:rStyle w:val="Hyperlink"/>
          <w:color w:val="000000" w:themeColor="text1"/>
          <w:szCs w:val="18"/>
        </w:rPr>
        <w:t>Toronto</w:t>
      </w:r>
      <w:r w:rsidRPr="00313D74">
        <w:rPr>
          <w:rStyle w:val="Hyperlink"/>
          <w:color w:val="000000" w:themeColor="text1"/>
          <w:szCs w:val="18"/>
          <w:lang w:val="ru-RU"/>
        </w:rPr>
        <w:t>_</w:t>
      </w:r>
      <w:r w:rsidRPr="00313D74">
        <w:rPr>
          <w:rStyle w:val="Hyperlink"/>
          <w:color w:val="000000" w:themeColor="text1"/>
          <w:szCs w:val="18"/>
        </w:rPr>
        <w:t>Communique</w:t>
      </w:r>
      <w:r w:rsidRPr="00313D74">
        <w:rPr>
          <w:rStyle w:val="Hyperlink"/>
          <w:color w:val="000000" w:themeColor="text1"/>
          <w:szCs w:val="18"/>
          <w:lang w:val="ru-RU"/>
        </w:rPr>
        <w:t>_20121017.</w:t>
      </w:r>
      <w:r w:rsidRPr="00313D74">
        <w:rPr>
          <w:rStyle w:val="Hyperlink"/>
          <w:color w:val="000000" w:themeColor="text1"/>
          <w:szCs w:val="18"/>
        </w:rPr>
        <w:t>pdf</w:t>
      </w:r>
      <w:r w:rsidRPr="00313D74">
        <w:rPr>
          <w:rStyle w:val="Hyperlink"/>
          <w:color w:val="000000" w:themeColor="text1"/>
          <w:szCs w:val="18"/>
          <w:lang w:val="ru-RU"/>
        </w:rPr>
        <w:t>?</w:t>
      </w:r>
      <w:r w:rsidRPr="00313D74">
        <w:rPr>
          <w:rStyle w:val="Hyperlink"/>
          <w:color w:val="000000" w:themeColor="text1"/>
          <w:szCs w:val="18"/>
        </w:rPr>
        <w:t>version</w:t>
      </w:r>
      <w:r w:rsidRPr="00313D74">
        <w:rPr>
          <w:rStyle w:val="Hyperlink"/>
          <w:color w:val="000000" w:themeColor="text1"/>
          <w:szCs w:val="18"/>
          <w:lang w:val="ru-RU"/>
        </w:rPr>
        <w:t>=1&amp;</w:t>
      </w:r>
      <w:r w:rsidRPr="00313D74">
        <w:rPr>
          <w:rStyle w:val="Hyperlink"/>
          <w:color w:val="000000" w:themeColor="text1"/>
          <w:szCs w:val="18"/>
        </w:rPr>
        <w:t>modificationDate</w:t>
      </w:r>
      <w:r w:rsidRPr="00313D74">
        <w:rPr>
          <w:rStyle w:val="Hyperlink"/>
          <w:color w:val="000000" w:themeColor="text1"/>
          <w:szCs w:val="18"/>
          <w:lang w:val="ru-RU"/>
        </w:rPr>
        <w:t>=1354149148000&amp;</w:t>
      </w:r>
      <w:r w:rsidRPr="00313D74">
        <w:rPr>
          <w:rStyle w:val="Hyperlink"/>
          <w:color w:val="000000" w:themeColor="text1"/>
          <w:szCs w:val="18"/>
        </w:rPr>
        <w:t>api</w:t>
      </w:r>
      <w:r w:rsidRPr="00313D74">
        <w:rPr>
          <w:rStyle w:val="Hyperlink"/>
          <w:color w:val="000000" w:themeColor="text1"/>
          <w:szCs w:val="18"/>
          <w:lang w:val="ru-RU"/>
        </w:rPr>
        <w:t>=</w:t>
      </w:r>
      <w:r w:rsidRPr="00313D74">
        <w:rPr>
          <w:rStyle w:val="Hyperlink"/>
          <w:color w:val="000000" w:themeColor="text1"/>
          <w:szCs w:val="18"/>
        </w:rPr>
        <w:t>v</w:t>
      </w:r>
      <w:r w:rsidRPr="00313D74">
        <w:rPr>
          <w:rStyle w:val="Hyperlink"/>
          <w:color w:val="000000" w:themeColor="text1"/>
          <w:szCs w:val="18"/>
          <w:lang w:val="ru-RU"/>
        </w:rPr>
        <w:t>2</w:t>
      </w:r>
      <w:r w:rsidR="00991391" w:rsidRPr="00313D74">
        <w:rPr>
          <w:rStyle w:val="Hyperlink"/>
          <w:color w:val="000000" w:themeColor="text1"/>
          <w:szCs w:val="18"/>
          <w:lang w:val="ru-RU"/>
        </w:rPr>
        <w:fldChar w:fldCharType="end"/>
      </w:r>
      <w:r w:rsidRPr="00313D74">
        <w:rPr>
          <w:color w:val="000000" w:themeColor="text1"/>
          <w:szCs w:val="18"/>
          <w:lang w:val="ru-RU"/>
        </w:rPr>
        <w:t xml:space="preserve">.  </w:t>
      </w:r>
    </w:p>
  </w:footnote>
  <w:footnote w:id="46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6475B9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CA720F">
        <w:rPr>
          <w:szCs w:val="18"/>
          <w:lang w:val="ru-RU"/>
        </w:rPr>
        <w:t xml:space="preserve">. </w:t>
      </w:r>
      <w:r w:rsidR="00991391">
        <w:fldChar w:fldCharType="begin"/>
      </w:r>
      <w:r w:rsidR="00991391" w:rsidRPr="00313D74">
        <w:rPr>
          <w:lang w:val="ru-RU"/>
        </w:rPr>
        <w:instrText xml:space="preserve"> </w:instrText>
      </w:r>
      <w:r w:rsidR="00991391">
        <w:instrText>HYPERLINK</w:instrText>
      </w:r>
      <w:r w:rsidR="00991391" w:rsidRPr="00313D74">
        <w:rPr>
          <w:lang w:val="ru-RU"/>
        </w:rPr>
        <w:instrText xml:space="preserve"> "</w:instrText>
      </w:r>
      <w:r w:rsidR="00991391">
        <w:instrText>https</w:instrText>
      </w:r>
      <w:r w:rsidR="00991391" w:rsidRPr="00313D74">
        <w:rPr>
          <w:lang w:val="ru-RU"/>
        </w:rPr>
        <w:instrText>://</w:instrText>
      </w:r>
      <w:r w:rsidR="00991391">
        <w:instrText>gacweb</w:instrText>
      </w:r>
      <w:r w:rsidR="00991391" w:rsidRPr="00313D74">
        <w:rPr>
          <w:lang w:val="ru-RU"/>
        </w:rPr>
        <w:instrText>.</w:instrText>
      </w:r>
      <w:r w:rsidR="00991391">
        <w:instrText>icann</w:instrText>
      </w:r>
      <w:r w:rsidR="00991391" w:rsidRPr="00313D74">
        <w:rPr>
          <w:lang w:val="ru-RU"/>
        </w:rPr>
        <w:instrText>.</w:instrText>
      </w:r>
      <w:r w:rsidR="00991391">
        <w:instrText>org</w:instrText>
      </w:r>
      <w:r w:rsidR="00991391" w:rsidRPr="00313D74">
        <w:rPr>
          <w:lang w:val="ru-RU"/>
        </w:rPr>
        <w:instrText>/</w:instrText>
      </w:r>
      <w:r w:rsidR="00991391">
        <w:instrText>download</w:instrText>
      </w:r>
      <w:r w:rsidR="00991391" w:rsidRPr="00313D74">
        <w:rPr>
          <w:lang w:val="ru-RU"/>
        </w:rPr>
        <w:instrText>/</w:instrText>
      </w:r>
      <w:r w:rsidR="00991391">
        <w:instrText>attachments</w:instrText>
      </w:r>
      <w:r w:rsidR="00991391" w:rsidRPr="00313D74">
        <w:rPr>
          <w:lang w:val="ru-RU"/>
        </w:rPr>
        <w:instrText>/27132070/</w:instrText>
      </w:r>
      <w:r w:rsidR="00991391">
        <w:instrText>Board</w:instrText>
      </w:r>
      <w:r w:rsidR="00991391" w:rsidRPr="00313D74">
        <w:rPr>
          <w:lang w:val="ru-RU"/>
        </w:rPr>
        <w:instrText>%20</w:instrText>
      </w:r>
      <w:r w:rsidR="00991391">
        <w:instrText>Response</w:instrText>
      </w:r>
      <w:r w:rsidR="00991391" w:rsidRPr="00313D74">
        <w:rPr>
          <w:lang w:val="ru-RU"/>
        </w:rPr>
        <w:instrText>%20</w:instrText>
      </w:r>
      <w:r w:rsidR="00991391">
        <w:instrText>to</w:instrText>
      </w:r>
      <w:r w:rsidR="00991391" w:rsidRPr="00313D74">
        <w:rPr>
          <w:lang w:val="ru-RU"/>
        </w:rPr>
        <w:instrText>%20</w:instrText>
      </w:r>
      <w:r w:rsidR="00991391">
        <w:instrText>GAC</w:instrText>
      </w:r>
      <w:r w:rsidR="00991391" w:rsidRPr="00313D74">
        <w:rPr>
          <w:lang w:val="ru-RU"/>
        </w:rPr>
        <w:instrText>%20</w:instrText>
      </w:r>
      <w:r w:rsidR="00991391">
        <w:instrText>Toronto</w:instrText>
      </w:r>
      <w:r w:rsidR="00991391" w:rsidRPr="00313D74">
        <w:rPr>
          <w:lang w:val="ru-RU"/>
        </w:rPr>
        <w:instrText>%20</w:instrText>
      </w:r>
      <w:r w:rsidR="00991391">
        <w:instrText>Communique</w:instrText>
      </w:r>
      <w:r w:rsidR="00991391" w:rsidRPr="00313D74">
        <w:rPr>
          <w:lang w:val="ru-RU"/>
        </w:rPr>
        <w:instrText>.</w:instrText>
      </w:r>
      <w:r w:rsidR="00991391">
        <w:instrText>pdf</w:instrText>
      </w:r>
      <w:r w:rsidR="00991391" w:rsidRPr="00313D74">
        <w:rPr>
          <w:lang w:val="ru-RU"/>
        </w:rPr>
        <w:instrText>?</w:instrText>
      </w:r>
      <w:r w:rsidR="00991391">
        <w:instrText>version</w:instrText>
      </w:r>
      <w:r w:rsidR="00991391" w:rsidRPr="00313D74">
        <w:rPr>
          <w:lang w:val="ru-RU"/>
        </w:rPr>
        <w:instrText>=1&amp;</w:instrText>
      </w:r>
      <w:r w:rsidR="00991391">
        <w:instrText>modificationDate</w:instrText>
      </w:r>
      <w:r w:rsidR="00991391" w:rsidRPr="00313D74">
        <w:rPr>
          <w:lang w:val="ru-RU"/>
        </w:rPr>
        <w:instrText>=1361909146000&amp;</w:instrText>
      </w:r>
      <w:r w:rsidR="00991391">
        <w:instrText>api</w:instrText>
      </w:r>
      <w:r w:rsidR="00991391" w:rsidRPr="00313D74">
        <w:rPr>
          <w:lang w:val="ru-RU"/>
        </w:rPr>
        <w:instrText>=</w:instrText>
      </w:r>
      <w:r w:rsidR="00991391">
        <w:instrText>v</w:instrText>
      </w:r>
      <w:r w:rsidR="00991391" w:rsidRPr="00313D74">
        <w:rPr>
          <w:lang w:val="ru-RU"/>
        </w:rPr>
        <w:instrText xml:space="preserve">2" </w:instrText>
      </w:r>
      <w:r w:rsidR="00991391">
        <w:fldChar w:fldCharType="separate"/>
      </w:r>
      <w:r w:rsidRPr="003A09DF">
        <w:rPr>
          <w:szCs w:val="18"/>
        </w:rPr>
        <w:t>https</w:t>
      </w:r>
      <w:r w:rsidRPr="00CA720F">
        <w:rPr>
          <w:szCs w:val="18"/>
          <w:lang w:val="ru-RU"/>
        </w:rPr>
        <w:t>://</w:t>
      </w:r>
      <w:r w:rsidRPr="003A09DF">
        <w:rPr>
          <w:szCs w:val="18"/>
        </w:rPr>
        <w:t>gacweb</w:t>
      </w:r>
      <w:r w:rsidRPr="00CA720F">
        <w:rPr>
          <w:szCs w:val="18"/>
          <w:lang w:val="ru-RU"/>
        </w:rPr>
        <w:t>.</w:t>
      </w:r>
      <w:r w:rsidRPr="003A09DF">
        <w:rPr>
          <w:szCs w:val="18"/>
        </w:rPr>
        <w:t>icann</w:t>
      </w:r>
      <w:r w:rsidRPr="00CA720F">
        <w:rPr>
          <w:szCs w:val="18"/>
          <w:lang w:val="ru-RU"/>
        </w:rPr>
        <w:t>.</w:t>
      </w:r>
      <w:r w:rsidRPr="003A09DF">
        <w:rPr>
          <w:szCs w:val="18"/>
        </w:rPr>
        <w:t>org</w:t>
      </w:r>
      <w:r w:rsidRPr="00CA720F">
        <w:rPr>
          <w:szCs w:val="18"/>
          <w:lang w:val="ru-RU"/>
        </w:rPr>
        <w:t>/</w:t>
      </w:r>
      <w:r w:rsidRPr="003A09DF">
        <w:rPr>
          <w:szCs w:val="18"/>
        </w:rPr>
        <w:t>download</w:t>
      </w:r>
      <w:r w:rsidRPr="00CA720F">
        <w:rPr>
          <w:szCs w:val="18"/>
          <w:lang w:val="ru-RU"/>
        </w:rPr>
        <w:t>/</w:t>
      </w:r>
      <w:r w:rsidRPr="003A09DF">
        <w:rPr>
          <w:szCs w:val="18"/>
        </w:rPr>
        <w:t>attachments</w:t>
      </w:r>
      <w:r w:rsidRPr="00CA720F">
        <w:rPr>
          <w:szCs w:val="18"/>
          <w:lang w:val="ru-RU"/>
        </w:rPr>
        <w:t>/27132070/</w:t>
      </w:r>
      <w:r w:rsidRPr="003A09DF">
        <w:rPr>
          <w:szCs w:val="18"/>
        </w:rPr>
        <w:t>Board</w:t>
      </w:r>
      <w:r w:rsidRPr="00CA720F">
        <w:rPr>
          <w:szCs w:val="18"/>
          <w:lang w:val="ru-RU"/>
        </w:rPr>
        <w:t>%20</w:t>
      </w:r>
      <w:r w:rsidRPr="003A09DF">
        <w:rPr>
          <w:szCs w:val="18"/>
        </w:rPr>
        <w:t>Response</w:t>
      </w:r>
      <w:r w:rsidRPr="00CA720F">
        <w:rPr>
          <w:szCs w:val="18"/>
          <w:lang w:val="ru-RU"/>
        </w:rPr>
        <w:t>%20</w:t>
      </w:r>
      <w:r w:rsidRPr="003A09DF">
        <w:rPr>
          <w:szCs w:val="18"/>
        </w:rPr>
        <w:t>to</w:t>
      </w:r>
      <w:r w:rsidRPr="00CA720F">
        <w:rPr>
          <w:szCs w:val="18"/>
          <w:lang w:val="ru-RU"/>
        </w:rPr>
        <w:t>%20</w:t>
      </w:r>
      <w:r w:rsidRPr="003A09DF">
        <w:rPr>
          <w:szCs w:val="18"/>
        </w:rPr>
        <w:t>GAC</w:t>
      </w:r>
      <w:r w:rsidRPr="00CA720F">
        <w:rPr>
          <w:szCs w:val="18"/>
          <w:lang w:val="ru-RU"/>
        </w:rPr>
        <w:t>%20</w:t>
      </w:r>
      <w:r w:rsidRPr="003A09DF">
        <w:rPr>
          <w:szCs w:val="18"/>
        </w:rPr>
        <w:t>Toronto</w:t>
      </w:r>
      <w:r w:rsidRPr="00CA720F">
        <w:rPr>
          <w:szCs w:val="18"/>
          <w:lang w:val="ru-RU"/>
        </w:rPr>
        <w:t>%20</w:t>
      </w:r>
      <w:r w:rsidRPr="003A09DF">
        <w:rPr>
          <w:szCs w:val="18"/>
        </w:rPr>
        <w:t>Communique</w:t>
      </w:r>
      <w:r w:rsidRPr="00CA720F">
        <w:rPr>
          <w:szCs w:val="18"/>
          <w:lang w:val="ru-RU"/>
        </w:rPr>
        <w:t>.</w:t>
      </w:r>
      <w:r w:rsidRPr="003A09DF">
        <w:rPr>
          <w:szCs w:val="18"/>
        </w:rPr>
        <w:t>pdf</w:t>
      </w:r>
      <w:r w:rsidRPr="00CA720F">
        <w:rPr>
          <w:szCs w:val="18"/>
          <w:lang w:val="ru-RU"/>
        </w:rPr>
        <w:t>?</w:t>
      </w:r>
      <w:r w:rsidRPr="003A09DF">
        <w:rPr>
          <w:szCs w:val="18"/>
        </w:rPr>
        <w:t>version</w:t>
      </w:r>
      <w:r w:rsidRPr="00CA720F">
        <w:rPr>
          <w:szCs w:val="18"/>
          <w:lang w:val="ru-RU"/>
        </w:rPr>
        <w:t>=1&amp;</w:t>
      </w:r>
      <w:r w:rsidRPr="003A09DF">
        <w:rPr>
          <w:szCs w:val="18"/>
        </w:rPr>
        <w:t>modificationDate</w:t>
      </w:r>
      <w:r w:rsidRPr="00CA720F">
        <w:rPr>
          <w:szCs w:val="18"/>
          <w:lang w:val="ru-RU"/>
        </w:rPr>
        <w:t>=1361909146000&amp;</w:t>
      </w:r>
      <w:r w:rsidRPr="003A09DF">
        <w:rPr>
          <w:szCs w:val="18"/>
        </w:rPr>
        <w:t>api</w:t>
      </w:r>
      <w:r w:rsidRPr="00CA720F">
        <w:rPr>
          <w:szCs w:val="18"/>
          <w:lang w:val="ru-RU"/>
        </w:rPr>
        <w:t>=</w:t>
      </w:r>
      <w:r w:rsidRPr="003A09DF">
        <w:rPr>
          <w:szCs w:val="18"/>
        </w:rPr>
        <w:t>v</w:t>
      </w:r>
      <w:r w:rsidRPr="00CA720F">
        <w:rPr>
          <w:szCs w:val="18"/>
          <w:lang w:val="ru-RU"/>
        </w:rPr>
        <w:t>2</w:t>
      </w:r>
      <w:r w:rsidR="00991391">
        <w:rPr>
          <w:szCs w:val="18"/>
          <w:lang w:val="ru-RU"/>
        </w:rPr>
        <w:fldChar w:fldCharType="end"/>
      </w:r>
      <w:r w:rsidRPr="00CA720F">
        <w:rPr>
          <w:szCs w:val="18"/>
          <w:lang w:val="ru-RU"/>
        </w:rPr>
        <w:t xml:space="preserve">. </w:t>
      </w:r>
    </w:p>
  </w:footnote>
  <w:footnote w:id="47">
    <w:p w:rsidR="00CA720F" w:rsidRPr="00CA720F" w:rsidRDefault="00CA720F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Таким</w:t>
      </w:r>
      <w:r w:rsidRPr="00E80A58">
        <w:rPr>
          <w:lang w:val="ru-RU"/>
        </w:rPr>
        <w:t xml:space="preserve"> </w:t>
      </w:r>
      <w:r>
        <w:rPr>
          <w:lang w:val="ru-RU"/>
        </w:rPr>
        <w:t>критериям</w:t>
      </w:r>
      <w:r w:rsidRPr="00E80A58">
        <w:rPr>
          <w:lang w:val="ru-RU"/>
        </w:rPr>
        <w:t xml:space="preserve"> </w:t>
      </w:r>
      <w:r>
        <w:rPr>
          <w:lang w:val="ru-RU"/>
        </w:rPr>
        <w:t>отвечают</w:t>
      </w:r>
      <w:r w:rsidRPr="00E80A58">
        <w:rPr>
          <w:lang w:val="ru-RU"/>
        </w:rPr>
        <w:t xml:space="preserve"> </w:t>
      </w:r>
      <w:r>
        <w:rPr>
          <w:lang w:val="ru-RU"/>
        </w:rPr>
        <w:t>МПО</w:t>
      </w:r>
      <w:r w:rsidRPr="00E80A58">
        <w:rPr>
          <w:lang w:val="ru-RU"/>
        </w:rPr>
        <w:t xml:space="preserve">, </w:t>
      </w:r>
      <w:r>
        <w:rPr>
          <w:lang w:val="ru-RU"/>
        </w:rPr>
        <w:t xml:space="preserve">созданные на основании </w:t>
      </w:r>
      <w:r w:rsidRPr="00943263">
        <w:rPr>
          <w:lang w:val="ru-RU"/>
        </w:rPr>
        <w:t>международн</w:t>
      </w:r>
      <w:r>
        <w:rPr>
          <w:lang w:val="ru-RU"/>
        </w:rPr>
        <w:t xml:space="preserve">ых </w:t>
      </w:r>
      <w:r w:rsidRPr="00943263">
        <w:rPr>
          <w:lang w:val="ru-RU"/>
        </w:rPr>
        <w:t>договор</w:t>
      </w:r>
      <w:r>
        <w:rPr>
          <w:lang w:val="ru-RU"/>
        </w:rPr>
        <w:t>ов и обладающие</w:t>
      </w:r>
      <w:r w:rsidRPr="00E80A58">
        <w:rPr>
          <w:lang w:val="ru-RU"/>
        </w:rPr>
        <w:t xml:space="preserve"> международн</w:t>
      </w:r>
      <w:r>
        <w:rPr>
          <w:lang w:val="ru-RU"/>
        </w:rPr>
        <w:t>ой</w:t>
      </w:r>
      <w:r w:rsidRPr="00E80A58">
        <w:rPr>
          <w:lang w:val="ru-RU"/>
        </w:rPr>
        <w:t xml:space="preserve"> </w:t>
      </w:r>
      <w:r>
        <w:rPr>
          <w:lang w:val="ru-RU"/>
        </w:rPr>
        <w:t>правосубъектность</w:t>
      </w:r>
      <w:r w:rsidRPr="00E80A58">
        <w:rPr>
          <w:lang w:val="ru-RU"/>
        </w:rPr>
        <w:t>ю,</w:t>
      </w:r>
      <w:r w:rsidRPr="00E80A58">
        <w:rPr>
          <w:szCs w:val="22"/>
          <w:lang w:val="ru-RU"/>
        </w:rPr>
        <w:t xml:space="preserve"> МПО, являющиеся организациями-наблюдателями ООН или фонд</w:t>
      </w:r>
      <w:r>
        <w:rPr>
          <w:szCs w:val="22"/>
          <w:lang w:val="ru-RU"/>
        </w:rPr>
        <w:t>ы или программы</w:t>
      </w:r>
      <w:r w:rsidRPr="00E80A58">
        <w:rPr>
          <w:szCs w:val="22"/>
          <w:lang w:val="ru-RU"/>
        </w:rPr>
        <w:t xml:space="preserve"> ООН.</w:t>
      </w:r>
    </w:p>
  </w:footnote>
  <w:footnote w:id="48">
    <w:p w:rsidR="00CA720F" w:rsidRPr="003320C2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3320C2">
        <w:rPr>
          <w:szCs w:val="18"/>
          <w:lang w:val="ru-RU"/>
        </w:rPr>
        <w:t xml:space="preserve"> </w:t>
      </w:r>
      <w:r w:rsidRPr="003320C2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3320C2">
        <w:rPr>
          <w:szCs w:val="18"/>
          <w:lang w:val="ru-RU"/>
        </w:rPr>
        <w:t xml:space="preserve">. </w:t>
      </w:r>
      <w:r w:rsidR="00991391">
        <w:fldChar w:fldCharType="begin"/>
      </w:r>
      <w:r w:rsidR="00991391" w:rsidRPr="00313D74">
        <w:rPr>
          <w:lang w:val="ru-RU"/>
        </w:rPr>
        <w:instrText xml:space="preserve"> </w:instrText>
      </w:r>
      <w:r w:rsidR="00991391">
        <w:instrText>HYPERLINK</w:instrText>
      </w:r>
      <w:r w:rsidR="00991391" w:rsidRPr="00313D74">
        <w:rPr>
          <w:lang w:val="ru-RU"/>
        </w:rPr>
        <w:instrText xml:space="preserve"> "</w:instrText>
      </w:r>
      <w:r w:rsidR="00991391">
        <w:instrText>http</w:instrText>
      </w:r>
      <w:r w:rsidR="00991391" w:rsidRPr="00313D74">
        <w:rPr>
          <w:lang w:val="ru-RU"/>
        </w:rPr>
        <w:instrText>://</w:instrText>
      </w:r>
      <w:r w:rsidR="00991391">
        <w:instrText>www</w:instrText>
      </w:r>
      <w:r w:rsidR="00991391" w:rsidRPr="00313D74">
        <w:rPr>
          <w:lang w:val="ru-RU"/>
        </w:rPr>
        <w:instrText>.</w:instrText>
      </w:r>
      <w:r w:rsidR="00991391">
        <w:instrText>icann</w:instrText>
      </w:r>
      <w:r w:rsidR="00991391" w:rsidRPr="00313D74">
        <w:rPr>
          <w:lang w:val="ru-RU"/>
        </w:rPr>
        <w:instrText>.</w:instrText>
      </w:r>
      <w:r w:rsidR="00991391">
        <w:instrText>org</w:instrText>
      </w:r>
      <w:r w:rsidR="00991391" w:rsidRPr="00313D74">
        <w:rPr>
          <w:lang w:val="ru-RU"/>
        </w:rPr>
        <w:instrText>/</w:instrText>
      </w:r>
      <w:r w:rsidR="00991391">
        <w:instrText>en</w:instrText>
      </w:r>
      <w:r w:rsidR="00991391" w:rsidRPr="00313D74">
        <w:rPr>
          <w:lang w:val="ru-RU"/>
        </w:rPr>
        <w:instrText>/</w:instrText>
      </w:r>
      <w:r w:rsidR="00991391">
        <w:instrText>news</w:instrText>
      </w:r>
      <w:r w:rsidR="00991391" w:rsidRPr="00313D74">
        <w:rPr>
          <w:lang w:val="ru-RU"/>
        </w:rPr>
        <w:instrText>/</w:instrText>
      </w:r>
      <w:r w:rsidR="00991391">
        <w:instrText>correspondence</w:instrText>
      </w:r>
      <w:r w:rsidR="00991391" w:rsidRPr="00313D74">
        <w:rPr>
          <w:lang w:val="ru-RU"/>
        </w:rPr>
        <w:instrText>/</w:instrText>
      </w:r>
      <w:r w:rsidR="00991391">
        <w:instrText>dryden</w:instrText>
      </w:r>
      <w:r w:rsidR="00991391" w:rsidRPr="00313D74">
        <w:rPr>
          <w:lang w:val="ru-RU"/>
        </w:rPr>
        <w:instrText>-</w:instrText>
      </w:r>
      <w:r w:rsidR="00991391">
        <w:instrText>to</w:instrText>
      </w:r>
      <w:r w:rsidR="00991391" w:rsidRPr="00313D74">
        <w:rPr>
          <w:lang w:val="ru-RU"/>
        </w:rPr>
        <w:instrText>-</w:instrText>
      </w:r>
      <w:r w:rsidR="00991391">
        <w:instrText>crocker</w:instrText>
      </w:r>
      <w:r w:rsidR="00991391" w:rsidRPr="00313D74">
        <w:rPr>
          <w:lang w:val="ru-RU"/>
        </w:rPr>
        <w:instrText>-</w:instrText>
      </w:r>
      <w:r w:rsidR="00991391">
        <w:instrText>chalaby</w:instrText>
      </w:r>
      <w:r w:rsidR="00991391" w:rsidRPr="00313D74">
        <w:rPr>
          <w:lang w:val="ru-RU"/>
        </w:rPr>
        <w:instrText>-22</w:instrText>
      </w:r>
      <w:r w:rsidR="00991391">
        <w:instrText>mar</w:instrText>
      </w:r>
      <w:r w:rsidR="00991391" w:rsidRPr="00313D74">
        <w:rPr>
          <w:lang w:val="ru-RU"/>
        </w:rPr>
        <w:instrText>13-</w:instrText>
      </w:r>
      <w:r w:rsidR="00991391">
        <w:instrText>en</w:instrText>
      </w:r>
      <w:r w:rsidR="00991391" w:rsidRPr="00313D74">
        <w:rPr>
          <w:lang w:val="ru-RU"/>
        </w:rPr>
        <w:instrText xml:space="preserve">" </w:instrText>
      </w:r>
      <w:r w:rsidR="00991391">
        <w:fldChar w:fldCharType="separate"/>
      </w:r>
      <w:r w:rsidRPr="003A09DF">
        <w:rPr>
          <w:szCs w:val="18"/>
        </w:rPr>
        <w:t>http</w:t>
      </w:r>
      <w:r w:rsidRPr="003320C2">
        <w:rPr>
          <w:szCs w:val="18"/>
          <w:lang w:val="ru-RU"/>
        </w:rPr>
        <w:t>://</w:t>
      </w:r>
      <w:r w:rsidRPr="003A09DF">
        <w:rPr>
          <w:szCs w:val="18"/>
        </w:rPr>
        <w:t>www</w:t>
      </w:r>
      <w:r w:rsidRPr="003320C2">
        <w:rPr>
          <w:szCs w:val="18"/>
          <w:lang w:val="ru-RU"/>
        </w:rPr>
        <w:t>.</w:t>
      </w:r>
      <w:r w:rsidRPr="003A09DF">
        <w:rPr>
          <w:szCs w:val="18"/>
        </w:rPr>
        <w:t>icann</w:t>
      </w:r>
      <w:r w:rsidRPr="003320C2">
        <w:rPr>
          <w:szCs w:val="18"/>
          <w:lang w:val="ru-RU"/>
        </w:rPr>
        <w:t>.</w:t>
      </w:r>
      <w:r w:rsidRPr="003A09DF">
        <w:rPr>
          <w:szCs w:val="18"/>
        </w:rPr>
        <w:t>org</w:t>
      </w:r>
      <w:r w:rsidRPr="003320C2">
        <w:rPr>
          <w:szCs w:val="18"/>
          <w:lang w:val="ru-RU"/>
        </w:rPr>
        <w:t>/</w:t>
      </w:r>
      <w:r w:rsidRPr="003A09DF">
        <w:rPr>
          <w:szCs w:val="18"/>
        </w:rPr>
        <w:t>en</w:t>
      </w:r>
      <w:r w:rsidRPr="003320C2">
        <w:rPr>
          <w:szCs w:val="18"/>
          <w:lang w:val="ru-RU"/>
        </w:rPr>
        <w:t>/</w:t>
      </w:r>
      <w:r w:rsidRPr="003A09DF">
        <w:rPr>
          <w:szCs w:val="18"/>
        </w:rPr>
        <w:t>news</w:t>
      </w:r>
      <w:r w:rsidRPr="003320C2">
        <w:rPr>
          <w:szCs w:val="18"/>
          <w:lang w:val="ru-RU"/>
        </w:rPr>
        <w:t>/</w:t>
      </w:r>
      <w:r w:rsidRPr="003A09DF">
        <w:rPr>
          <w:szCs w:val="18"/>
        </w:rPr>
        <w:t>correspondence</w:t>
      </w:r>
      <w:r w:rsidRPr="003320C2">
        <w:rPr>
          <w:szCs w:val="18"/>
          <w:lang w:val="ru-RU"/>
        </w:rPr>
        <w:t>/</w:t>
      </w:r>
      <w:r w:rsidRPr="003A09DF">
        <w:rPr>
          <w:szCs w:val="18"/>
        </w:rPr>
        <w:t>dryden</w:t>
      </w:r>
      <w:r w:rsidRPr="003320C2">
        <w:rPr>
          <w:szCs w:val="18"/>
          <w:lang w:val="ru-RU"/>
        </w:rPr>
        <w:t>-</w:t>
      </w:r>
      <w:r w:rsidRPr="003A09DF">
        <w:rPr>
          <w:szCs w:val="18"/>
        </w:rPr>
        <w:t>to</w:t>
      </w:r>
      <w:r w:rsidRPr="003320C2">
        <w:rPr>
          <w:szCs w:val="18"/>
          <w:lang w:val="ru-RU"/>
        </w:rPr>
        <w:t>-</w:t>
      </w:r>
      <w:r w:rsidRPr="003A09DF">
        <w:rPr>
          <w:szCs w:val="18"/>
        </w:rPr>
        <w:t>crocker</w:t>
      </w:r>
      <w:r w:rsidRPr="003320C2">
        <w:rPr>
          <w:szCs w:val="18"/>
          <w:lang w:val="ru-RU"/>
        </w:rPr>
        <w:t>-</w:t>
      </w:r>
      <w:r w:rsidRPr="003A09DF">
        <w:rPr>
          <w:szCs w:val="18"/>
        </w:rPr>
        <w:t>chalaby</w:t>
      </w:r>
      <w:r w:rsidRPr="003320C2">
        <w:rPr>
          <w:szCs w:val="18"/>
          <w:lang w:val="ru-RU"/>
        </w:rPr>
        <w:t>-22</w:t>
      </w:r>
      <w:r w:rsidRPr="003A09DF">
        <w:rPr>
          <w:szCs w:val="18"/>
        </w:rPr>
        <w:t>mar</w:t>
      </w:r>
      <w:r w:rsidRPr="003320C2">
        <w:rPr>
          <w:szCs w:val="18"/>
          <w:lang w:val="ru-RU"/>
        </w:rPr>
        <w:t>13-</w:t>
      </w:r>
      <w:r w:rsidRPr="003A09DF">
        <w:rPr>
          <w:szCs w:val="18"/>
        </w:rPr>
        <w:t>en</w:t>
      </w:r>
      <w:r w:rsidR="00991391">
        <w:rPr>
          <w:szCs w:val="18"/>
        </w:rPr>
        <w:fldChar w:fldCharType="end"/>
      </w:r>
      <w:r w:rsidRPr="003320C2">
        <w:rPr>
          <w:szCs w:val="18"/>
          <w:lang w:val="ru-RU"/>
        </w:rPr>
        <w:t xml:space="preserve">. </w:t>
      </w:r>
    </w:p>
  </w:footnote>
  <w:footnote w:id="49">
    <w:p w:rsidR="00CA720F" w:rsidRPr="003A09DF" w:rsidRDefault="00CA720F" w:rsidP="00384EE8">
      <w:pPr>
        <w:pStyle w:val="FootnoteText"/>
        <w:rPr>
          <w:szCs w:val="18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9157B8">
        <w:rPr>
          <w:szCs w:val="22"/>
          <w:lang w:val="ru-RU"/>
        </w:rPr>
        <w:t xml:space="preserve">Совет также запросил дальнейшие детали относительно возможного средства периодического обзора этого списка, а также разъяснения относительно любых дополнительных языков, на которых испрашивается охрана полных и сокращенных названий МПО. </w:t>
      </w:r>
      <w:r>
        <w:rPr>
          <w:szCs w:val="22"/>
          <w:lang w:val="ru-RU"/>
        </w:rPr>
        <w:t>См</w:t>
      </w:r>
      <w:r w:rsidRPr="009157B8">
        <w:rPr>
          <w:szCs w:val="22"/>
          <w:lang w:val="ru-RU"/>
        </w:rPr>
        <w:t xml:space="preserve">. </w:t>
      </w:r>
      <w:r w:rsidR="00991391">
        <w:fldChar w:fldCharType="begin"/>
      </w:r>
      <w:r w:rsidR="00991391" w:rsidRPr="00313D74">
        <w:rPr>
          <w:lang w:val="ru-RU"/>
        </w:rPr>
        <w:instrText xml:space="preserve"> </w:instrText>
      </w:r>
      <w:r w:rsidR="00991391">
        <w:instrText>HYPERLINK</w:instrText>
      </w:r>
      <w:r w:rsidR="00991391" w:rsidRPr="00313D74">
        <w:rPr>
          <w:lang w:val="ru-RU"/>
        </w:rPr>
        <w:instrText xml:space="preserve"> "</w:instrText>
      </w:r>
      <w:r w:rsidR="00991391">
        <w:instrText>http</w:instrText>
      </w:r>
      <w:r w:rsidR="00991391" w:rsidRPr="00313D74">
        <w:rPr>
          <w:lang w:val="ru-RU"/>
        </w:rPr>
        <w:instrText>://</w:instrText>
      </w:r>
      <w:r w:rsidR="00991391">
        <w:instrText>www</w:instrText>
      </w:r>
      <w:r w:rsidR="00991391" w:rsidRPr="00313D74">
        <w:rPr>
          <w:lang w:val="ru-RU"/>
        </w:rPr>
        <w:instrText>.</w:instrText>
      </w:r>
      <w:r w:rsidR="00991391">
        <w:instrText>icann</w:instrText>
      </w:r>
      <w:r w:rsidR="00991391" w:rsidRPr="00313D74">
        <w:rPr>
          <w:lang w:val="ru-RU"/>
        </w:rPr>
        <w:instrText>.</w:instrText>
      </w:r>
      <w:r w:rsidR="00991391">
        <w:instrText>org</w:instrText>
      </w:r>
      <w:r w:rsidR="00991391" w:rsidRPr="00313D74">
        <w:rPr>
          <w:lang w:val="ru-RU"/>
        </w:rPr>
        <w:instrText>/</w:instrText>
      </w:r>
      <w:r w:rsidR="00991391">
        <w:instrText>en</w:instrText>
      </w:r>
      <w:r w:rsidR="00991391" w:rsidRPr="00313D74">
        <w:rPr>
          <w:lang w:val="ru-RU"/>
        </w:rPr>
        <w:instrText>/</w:instrText>
      </w:r>
      <w:r w:rsidR="00991391">
        <w:instrText>news</w:instrText>
      </w:r>
      <w:r w:rsidR="00991391" w:rsidRPr="00313D74">
        <w:rPr>
          <w:lang w:val="ru-RU"/>
        </w:rPr>
        <w:instrText>/</w:instrText>
      </w:r>
      <w:r w:rsidR="00991391">
        <w:instrText>correspondence</w:instrText>
      </w:r>
      <w:r w:rsidR="00991391" w:rsidRPr="00313D74">
        <w:rPr>
          <w:lang w:val="ru-RU"/>
        </w:rPr>
        <w:instrText>/</w:instrText>
      </w:r>
      <w:r w:rsidR="00991391">
        <w:instrText>crocker</w:instrText>
      </w:r>
      <w:r w:rsidR="00991391" w:rsidRPr="00313D74">
        <w:rPr>
          <w:lang w:val="ru-RU"/>
        </w:rPr>
        <w:instrText>-</w:instrText>
      </w:r>
      <w:r w:rsidR="00991391">
        <w:instrText>to</w:instrText>
      </w:r>
      <w:r w:rsidR="00991391" w:rsidRPr="00313D74">
        <w:rPr>
          <w:lang w:val="ru-RU"/>
        </w:rPr>
        <w:instrText>-</w:instrText>
      </w:r>
      <w:r w:rsidR="00991391">
        <w:instrText>dryden</w:instrText>
      </w:r>
      <w:r w:rsidR="00991391" w:rsidRPr="00313D74">
        <w:rPr>
          <w:lang w:val="ru-RU"/>
        </w:rPr>
        <w:instrText>-01</w:instrText>
      </w:r>
      <w:r w:rsidR="00991391">
        <w:instrText>apr</w:instrText>
      </w:r>
      <w:r w:rsidR="00991391" w:rsidRPr="00313D74">
        <w:rPr>
          <w:lang w:val="ru-RU"/>
        </w:rPr>
        <w:instrText>13-</w:instrText>
      </w:r>
      <w:r w:rsidR="00991391">
        <w:instrText>en</w:instrText>
      </w:r>
      <w:r w:rsidR="00991391" w:rsidRPr="00313D74">
        <w:rPr>
          <w:lang w:val="ru-RU"/>
        </w:rPr>
        <w:instrText xml:space="preserve">" </w:instrText>
      </w:r>
      <w:r w:rsidR="00991391">
        <w:fldChar w:fldCharType="separate"/>
      </w:r>
      <w:r>
        <w:rPr>
          <w:rStyle w:val="Hyperlink"/>
          <w:szCs w:val="18"/>
        </w:rPr>
        <w:t>http://www.icann.org/en/news/correspondence/crocker-to-dryden-01apr13-en</w:t>
      </w:r>
      <w:r w:rsidR="00991391">
        <w:rPr>
          <w:rStyle w:val="Hyperlink"/>
          <w:szCs w:val="18"/>
        </w:rPr>
        <w:fldChar w:fldCharType="end"/>
      </w:r>
      <w:r>
        <w:rPr>
          <w:szCs w:val="18"/>
        </w:rPr>
        <w:t xml:space="preserve">. </w:t>
      </w:r>
      <w:r w:rsidRPr="003A09DF">
        <w:rPr>
          <w:szCs w:val="18"/>
        </w:rPr>
        <w:t xml:space="preserve"> </w:t>
      </w:r>
    </w:p>
  </w:footnote>
  <w:footnote w:id="50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EE5914">
        <w:rPr>
          <w:szCs w:val="18"/>
          <w:lang w:val="ru-RU"/>
        </w:rPr>
        <w:t xml:space="preserve">. </w:t>
      </w:r>
      <w:r>
        <w:t>https</w:t>
      </w:r>
      <w:r w:rsidRPr="00EE5914">
        <w:rPr>
          <w:lang w:val="ru-RU"/>
        </w:rPr>
        <w:t>://</w:t>
      </w:r>
      <w:r>
        <w:t>www</w:t>
      </w:r>
      <w:r w:rsidRPr="00EE5914">
        <w:rPr>
          <w:lang w:val="ru-RU"/>
        </w:rPr>
        <w:t>.</w:t>
      </w:r>
      <w:r>
        <w:t>icann</w:t>
      </w:r>
      <w:r w:rsidRPr="00EE5914">
        <w:rPr>
          <w:lang w:val="ru-RU"/>
        </w:rPr>
        <w:t>.</w:t>
      </w:r>
      <w:r>
        <w:t>org</w:t>
      </w:r>
      <w:r w:rsidRPr="00EE5914">
        <w:rPr>
          <w:lang w:val="ru-RU"/>
        </w:rPr>
        <w:t>/</w:t>
      </w:r>
      <w:r>
        <w:t>en</w:t>
      </w:r>
      <w:r w:rsidRPr="00EE5914">
        <w:rPr>
          <w:lang w:val="ru-RU"/>
        </w:rPr>
        <w:t>/</w:t>
      </w:r>
      <w:r>
        <w:t>system</w:t>
      </w:r>
      <w:r w:rsidRPr="00EE5914">
        <w:rPr>
          <w:lang w:val="ru-RU"/>
        </w:rPr>
        <w:t>/</w:t>
      </w:r>
      <w:r>
        <w:t>files</w:t>
      </w:r>
      <w:r w:rsidRPr="00EE5914">
        <w:rPr>
          <w:lang w:val="ru-RU"/>
        </w:rPr>
        <w:t>/</w:t>
      </w:r>
      <w:r>
        <w:t>correspondence</w:t>
      </w:r>
      <w:r w:rsidRPr="00EE5914">
        <w:rPr>
          <w:lang w:val="ru-RU"/>
        </w:rPr>
        <w:t>/</w:t>
      </w:r>
      <w:r>
        <w:t>gac</w:t>
      </w:r>
      <w:r w:rsidRPr="00EE5914">
        <w:rPr>
          <w:lang w:val="ru-RU"/>
        </w:rPr>
        <w:t>-</w:t>
      </w:r>
      <w:r>
        <w:t>to</w:t>
      </w:r>
      <w:r w:rsidRPr="00EE5914">
        <w:rPr>
          <w:lang w:val="ru-RU"/>
        </w:rPr>
        <w:t>-</w:t>
      </w:r>
      <w:r>
        <w:t>board</w:t>
      </w:r>
      <w:r w:rsidRPr="00EE5914">
        <w:rPr>
          <w:lang w:val="ru-RU"/>
        </w:rPr>
        <w:t>-18</w:t>
      </w:r>
      <w:r>
        <w:t>apr</w:t>
      </w:r>
      <w:r w:rsidRPr="00EE5914">
        <w:rPr>
          <w:lang w:val="ru-RU"/>
        </w:rPr>
        <w:t>13-</w:t>
      </w:r>
      <w:r>
        <w:t>en</w:t>
      </w:r>
      <w:r w:rsidRPr="00EE5914">
        <w:rPr>
          <w:lang w:val="ru-RU"/>
        </w:rPr>
        <w:t>.</w:t>
      </w:r>
      <w:r>
        <w:t>pdf</w:t>
      </w:r>
      <w:r w:rsidRPr="00EE5914"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51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9157B8">
        <w:rPr>
          <w:szCs w:val="22"/>
          <w:lang w:val="ru-RU"/>
        </w:rPr>
        <w:t xml:space="preserve">Далее </w:t>
      </w:r>
      <w:r>
        <w:rPr>
          <w:szCs w:val="22"/>
          <w:lang w:val="ru-RU"/>
        </w:rPr>
        <w:t>ПКК</w:t>
      </w:r>
      <w:r w:rsidRPr="009157B8">
        <w:rPr>
          <w:szCs w:val="22"/>
          <w:lang w:val="ru-RU"/>
        </w:rPr>
        <w:t xml:space="preserve"> сообщил, что он определенным образом </w:t>
      </w:r>
      <w:r>
        <w:rPr>
          <w:szCs w:val="22"/>
          <w:lang w:val="ru-RU"/>
        </w:rPr>
        <w:t>исходит из того</w:t>
      </w:r>
      <w:r w:rsidRPr="009157B8">
        <w:rPr>
          <w:szCs w:val="22"/>
          <w:lang w:val="ru-RU"/>
        </w:rPr>
        <w:t xml:space="preserve">, что Совет ICANN готов выполнить рекомендации </w:t>
      </w:r>
      <w:bookmarkStart w:id="7" w:name="c"/>
      <w:r>
        <w:rPr>
          <w:szCs w:val="22"/>
          <w:lang w:val="ru-RU"/>
        </w:rPr>
        <w:t>ПКК</w:t>
      </w:r>
      <w:bookmarkEnd w:id="7"/>
      <w:r w:rsidRPr="009157B8">
        <w:rPr>
          <w:szCs w:val="22"/>
          <w:lang w:val="ru-RU"/>
        </w:rPr>
        <w:t xml:space="preserve"> в полном объеме и сосредоточить </w:t>
      </w:r>
      <w:r>
        <w:rPr>
          <w:szCs w:val="22"/>
          <w:lang w:val="ru-RU"/>
        </w:rPr>
        <w:t xml:space="preserve">свои </w:t>
      </w:r>
      <w:r w:rsidRPr="009157B8">
        <w:rPr>
          <w:szCs w:val="22"/>
          <w:lang w:val="ru-RU"/>
        </w:rPr>
        <w:t xml:space="preserve">усилия на практической и эффективной реализации мер превентивной охраны новых рДВУ </w:t>
      </w:r>
      <w:r>
        <w:rPr>
          <w:szCs w:val="22"/>
          <w:lang w:val="ru-RU"/>
        </w:rPr>
        <w:t>второго уровня,</w:t>
      </w:r>
      <w:r w:rsidRPr="009157B8">
        <w:rPr>
          <w:szCs w:val="22"/>
          <w:lang w:val="ru-RU"/>
        </w:rPr>
        <w:t xml:space="preserve"> и что временная охрана полных и сокращенных названий МПО должна обеспечиваться до завершения диалога между </w:t>
      </w:r>
      <w:r>
        <w:rPr>
          <w:szCs w:val="22"/>
          <w:lang w:val="ru-RU"/>
        </w:rPr>
        <w:t>ПКК</w:t>
      </w:r>
      <w:r w:rsidRPr="009157B8">
        <w:rPr>
          <w:szCs w:val="22"/>
          <w:lang w:val="ru-RU"/>
        </w:rPr>
        <w:t>,</w:t>
      </w:r>
      <w:r w:rsidRPr="009157B8">
        <w:rPr>
          <w:sz w:val="20"/>
          <w:lang w:val="ru-RU"/>
        </w:rPr>
        <w:t xml:space="preserve"> </w:t>
      </w:r>
      <w:r w:rsidRPr="009157B8">
        <w:rPr>
          <w:szCs w:val="22"/>
          <w:lang w:val="ru-RU"/>
        </w:rPr>
        <w:t xml:space="preserve">ICANN и МПО.  </w:t>
      </w:r>
      <w:r>
        <w:rPr>
          <w:szCs w:val="22"/>
          <w:lang w:val="ru-RU"/>
        </w:rPr>
        <w:t>См</w:t>
      </w:r>
      <w:r w:rsidRPr="001755F4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>
        <w:t>http</w:t>
      </w:r>
      <w:r w:rsidRPr="001755F4">
        <w:rPr>
          <w:lang w:val="ru-RU"/>
        </w:rPr>
        <w:t>://</w:t>
      </w:r>
      <w:r>
        <w:t>durban</w:t>
      </w:r>
      <w:r w:rsidRPr="001755F4">
        <w:rPr>
          <w:lang w:val="ru-RU"/>
        </w:rPr>
        <w:t>47.</w:t>
      </w:r>
      <w:r>
        <w:t>icann</w:t>
      </w:r>
      <w:r w:rsidRPr="001755F4">
        <w:rPr>
          <w:lang w:val="ru-RU"/>
        </w:rPr>
        <w:t>.</w:t>
      </w:r>
      <w:r>
        <w:t>org</w:t>
      </w:r>
      <w:r w:rsidRPr="001755F4">
        <w:rPr>
          <w:lang w:val="ru-RU"/>
        </w:rPr>
        <w:t>/</w:t>
      </w:r>
      <w:r>
        <w:t>meetings</w:t>
      </w:r>
      <w:r w:rsidRPr="001755F4">
        <w:rPr>
          <w:lang w:val="ru-RU"/>
        </w:rPr>
        <w:t>/</w:t>
      </w:r>
      <w:r>
        <w:t>durban</w:t>
      </w:r>
      <w:r w:rsidRPr="001755F4">
        <w:rPr>
          <w:lang w:val="ru-RU"/>
        </w:rPr>
        <w:t>2013/</w:t>
      </w:r>
      <w:r>
        <w:t>presentation</w:t>
      </w:r>
      <w:r w:rsidRPr="001755F4">
        <w:rPr>
          <w:lang w:val="ru-RU"/>
        </w:rPr>
        <w:t>-</w:t>
      </w:r>
      <w:r>
        <w:t>gac</w:t>
      </w:r>
      <w:r w:rsidRPr="001755F4">
        <w:rPr>
          <w:lang w:val="ru-RU"/>
        </w:rPr>
        <w:t>-</w:t>
      </w:r>
      <w:r>
        <w:t>communique</w:t>
      </w:r>
      <w:r w:rsidRPr="001755F4">
        <w:rPr>
          <w:lang w:val="ru-RU"/>
        </w:rPr>
        <w:t>-18</w:t>
      </w:r>
      <w:r>
        <w:t>jul</w:t>
      </w:r>
      <w:r w:rsidRPr="001755F4">
        <w:rPr>
          <w:lang w:val="ru-RU"/>
        </w:rPr>
        <w:t>13-</w:t>
      </w:r>
      <w:r>
        <w:t>en</w:t>
      </w:r>
      <w:r w:rsidRPr="001755F4">
        <w:rPr>
          <w:lang w:val="ru-RU"/>
        </w:rPr>
        <w:t>.</w:t>
      </w:r>
      <w:r>
        <w:t>pdf</w:t>
      </w:r>
      <w:r w:rsidRPr="001755F4"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52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EE5914">
        <w:rPr>
          <w:szCs w:val="18"/>
          <w:lang w:val="ru-RU"/>
        </w:rPr>
        <w:t xml:space="preserve">. </w:t>
      </w:r>
      <w:r>
        <w:rPr>
          <w:szCs w:val="18"/>
        </w:rPr>
        <w:t>http</w:t>
      </w:r>
      <w:r w:rsidRPr="00EE5914">
        <w:rPr>
          <w:szCs w:val="18"/>
          <w:lang w:val="ru-RU"/>
        </w:rPr>
        <w:t>://</w:t>
      </w:r>
      <w:r>
        <w:rPr>
          <w:szCs w:val="18"/>
        </w:rPr>
        <w:t>www</w:t>
      </w:r>
      <w:r w:rsidRPr="00EE5914">
        <w:rPr>
          <w:szCs w:val="18"/>
          <w:lang w:val="ru-RU"/>
        </w:rPr>
        <w:t>.</w:t>
      </w:r>
      <w:r>
        <w:rPr>
          <w:szCs w:val="18"/>
        </w:rPr>
        <w:t>icann</w:t>
      </w:r>
      <w:r w:rsidRPr="00EE5914">
        <w:rPr>
          <w:szCs w:val="18"/>
          <w:lang w:val="ru-RU"/>
        </w:rPr>
        <w:t>.</w:t>
      </w:r>
      <w:r>
        <w:rPr>
          <w:szCs w:val="18"/>
        </w:rPr>
        <w:t>org</w:t>
      </w:r>
      <w:r w:rsidRPr="00EE5914">
        <w:rPr>
          <w:szCs w:val="18"/>
          <w:lang w:val="ru-RU"/>
        </w:rPr>
        <w:t>/</w:t>
      </w:r>
      <w:r>
        <w:rPr>
          <w:szCs w:val="18"/>
        </w:rPr>
        <w:t>en</w:t>
      </w:r>
      <w:r w:rsidRPr="00EE5914">
        <w:rPr>
          <w:szCs w:val="18"/>
          <w:lang w:val="ru-RU"/>
        </w:rPr>
        <w:t>/</w:t>
      </w:r>
      <w:r>
        <w:rPr>
          <w:szCs w:val="18"/>
        </w:rPr>
        <w:t>groups</w:t>
      </w:r>
      <w:r w:rsidRPr="00EE5914">
        <w:rPr>
          <w:szCs w:val="18"/>
          <w:lang w:val="ru-RU"/>
        </w:rPr>
        <w:t>/</w:t>
      </w:r>
      <w:r>
        <w:rPr>
          <w:szCs w:val="18"/>
        </w:rPr>
        <w:t>board</w:t>
      </w:r>
      <w:r w:rsidRPr="00EE5914">
        <w:rPr>
          <w:szCs w:val="18"/>
          <w:lang w:val="ru-RU"/>
        </w:rPr>
        <w:t>/</w:t>
      </w:r>
      <w:r>
        <w:rPr>
          <w:szCs w:val="18"/>
        </w:rPr>
        <w:t>documents</w:t>
      </w:r>
      <w:r w:rsidRPr="00EE5914">
        <w:rPr>
          <w:szCs w:val="18"/>
          <w:lang w:val="ru-RU"/>
        </w:rPr>
        <w:t>/</w:t>
      </w:r>
      <w:r>
        <w:rPr>
          <w:szCs w:val="18"/>
        </w:rPr>
        <w:t>resolutions</w:t>
      </w:r>
      <w:r w:rsidRPr="00EE5914">
        <w:rPr>
          <w:szCs w:val="18"/>
          <w:lang w:val="ru-RU"/>
        </w:rPr>
        <w:t>-</w:t>
      </w:r>
      <w:r>
        <w:rPr>
          <w:szCs w:val="18"/>
        </w:rPr>
        <w:t>new</w:t>
      </w:r>
      <w:r w:rsidRPr="00EE5914">
        <w:rPr>
          <w:szCs w:val="18"/>
          <w:lang w:val="ru-RU"/>
        </w:rPr>
        <w:t>-</w:t>
      </w:r>
      <w:r>
        <w:rPr>
          <w:szCs w:val="18"/>
        </w:rPr>
        <w:t>gtld</w:t>
      </w:r>
      <w:r w:rsidRPr="00EE5914">
        <w:rPr>
          <w:szCs w:val="18"/>
          <w:lang w:val="ru-RU"/>
        </w:rPr>
        <w:t>-17</w:t>
      </w:r>
      <w:r>
        <w:rPr>
          <w:szCs w:val="18"/>
        </w:rPr>
        <w:t>jul</w:t>
      </w:r>
      <w:r w:rsidRPr="00EE5914">
        <w:rPr>
          <w:szCs w:val="18"/>
          <w:lang w:val="ru-RU"/>
        </w:rPr>
        <w:t>13-</w:t>
      </w:r>
      <w:r>
        <w:rPr>
          <w:szCs w:val="18"/>
        </w:rPr>
        <w:t>en</w:t>
      </w:r>
      <w:r w:rsidRPr="00EE5914">
        <w:rPr>
          <w:szCs w:val="18"/>
          <w:lang w:val="ru-RU"/>
        </w:rPr>
        <w:t>.</w:t>
      </w:r>
      <w:r>
        <w:rPr>
          <w:szCs w:val="18"/>
        </w:rPr>
        <w:t>htm</w:t>
      </w:r>
      <w:r w:rsidRPr="00EE5914">
        <w:rPr>
          <w:szCs w:val="18"/>
          <w:lang w:val="ru-RU"/>
        </w:rPr>
        <w:t>.</w:t>
      </w:r>
    </w:p>
  </w:footnote>
  <w:footnote w:id="53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22"/>
          <w:lang w:val="ru-RU"/>
        </w:rPr>
        <w:t>ПКК</w:t>
      </w:r>
      <w:r w:rsidRPr="009157B8">
        <w:rPr>
          <w:szCs w:val="22"/>
          <w:lang w:val="ru-RU"/>
        </w:rPr>
        <w:t xml:space="preserve"> </w:t>
      </w:r>
      <w:r w:rsidRPr="009157B8">
        <w:rPr>
          <w:lang w:val="ru-RU"/>
        </w:rPr>
        <w:t xml:space="preserve">и </w:t>
      </w:r>
      <w:r w:rsidRPr="009157B8">
        <w:t>NGPC</w:t>
      </w:r>
      <w:r w:rsidRPr="009157B8">
        <w:rPr>
          <w:lang w:val="ru-RU"/>
        </w:rPr>
        <w:t xml:space="preserve"> от</w:t>
      </w:r>
      <w:r>
        <w:rPr>
          <w:lang w:val="ru-RU"/>
        </w:rPr>
        <w:t>менили свое участие</w:t>
      </w:r>
      <w:r w:rsidRPr="009157B8">
        <w:rPr>
          <w:lang w:val="ru-RU"/>
        </w:rPr>
        <w:t xml:space="preserve"> в заседании 30</w:t>
      </w:r>
      <w:r w:rsidRPr="009157B8">
        <w:t> </w:t>
      </w:r>
      <w:r w:rsidRPr="009157B8">
        <w:rPr>
          <w:lang w:val="ru-RU"/>
        </w:rPr>
        <w:t xml:space="preserve">сентября, предлагавшемся МПО. </w:t>
      </w:r>
      <w:r w:rsidRPr="00CA720F">
        <w:rPr>
          <w:szCs w:val="22"/>
          <w:lang w:val="ru-RU"/>
        </w:rPr>
        <w:t xml:space="preserve"> </w:t>
      </w:r>
    </w:p>
  </w:footnote>
  <w:footnote w:id="54">
    <w:p w:rsidR="00CA720F" w:rsidRPr="00CA720F" w:rsidRDefault="00CA720F" w:rsidP="00384EE8">
      <w:pPr>
        <w:pStyle w:val="FootnoteText"/>
        <w:rPr>
          <w:lang w:val="ru-RU"/>
        </w:rPr>
      </w:pPr>
      <w:r w:rsidRPr="006475B9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EA6FFA">
        <w:rPr>
          <w:szCs w:val="18"/>
          <w:lang w:val="ru-RU"/>
        </w:rPr>
        <w:t xml:space="preserve">. </w:t>
      </w:r>
      <w:r>
        <w:t>http</w:t>
      </w:r>
      <w:r w:rsidRPr="00EA6FFA">
        <w:rPr>
          <w:lang w:val="ru-RU"/>
        </w:rPr>
        <w:t>://</w:t>
      </w:r>
      <w:r>
        <w:t>www</w:t>
      </w:r>
      <w:r w:rsidRPr="00EA6FFA">
        <w:rPr>
          <w:lang w:val="ru-RU"/>
        </w:rPr>
        <w:t>.</w:t>
      </w:r>
      <w:r>
        <w:t>icann</w:t>
      </w:r>
      <w:r w:rsidRPr="00EA6FFA">
        <w:rPr>
          <w:lang w:val="ru-RU"/>
        </w:rPr>
        <w:t>.</w:t>
      </w:r>
      <w:r>
        <w:t>org</w:t>
      </w:r>
      <w:r w:rsidRPr="00EA6FFA">
        <w:rPr>
          <w:lang w:val="ru-RU"/>
        </w:rPr>
        <w:t>/</w:t>
      </w:r>
      <w:r>
        <w:t>en</w:t>
      </w:r>
      <w:r w:rsidRPr="00EA6FFA">
        <w:rPr>
          <w:lang w:val="ru-RU"/>
        </w:rPr>
        <w:t>/</w:t>
      </w:r>
      <w:r>
        <w:t>news</w:t>
      </w:r>
      <w:r w:rsidRPr="00EA6FFA">
        <w:rPr>
          <w:lang w:val="ru-RU"/>
        </w:rPr>
        <w:t>/</w:t>
      </w:r>
      <w:r>
        <w:t>correspondence</w:t>
      </w:r>
      <w:r w:rsidRPr="00EA6FFA">
        <w:rPr>
          <w:lang w:val="ru-RU"/>
        </w:rPr>
        <w:t>/</w:t>
      </w:r>
      <w:r>
        <w:t>gac</w:t>
      </w:r>
      <w:r w:rsidRPr="00EA6FFA">
        <w:rPr>
          <w:lang w:val="ru-RU"/>
        </w:rPr>
        <w:t>-</w:t>
      </w:r>
      <w:r>
        <w:t>to</w:t>
      </w:r>
      <w:r w:rsidRPr="00EA6FFA">
        <w:rPr>
          <w:lang w:val="ru-RU"/>
        </w:rPr>
        <w:t>-</w:t>
      </w:r>
      <w:r>
        <w:t>board</w:t>
      </w:r>
      <w:r w:rsidRPr="00EA6FFA">
        <w:rPr>
          <w:lang w:val="ru-RU"/>
        </w:rPr>
        <w:t>-20</w:t>
      </w:r>
      <w:r>
        <w:t>nov</w:t>
      </w:r>
      <w:r w:rsidRPr="00EA6FFA">
        <w:rPr>
          <w:lang w:val="ru-RU"/>
        </w:rPr>
        <w:t>13-</w:t>
      </w:r>
      <w:r>
        <w:t>en</w:t>
      </w:r>
      <w:r w:rsidRPr="00EA6FFA">
        <w:rPr>
          <w:lang w:val="ru-RU"/>
        </w:rPr>
        <w:t>.</w:t>
      </w:r>
      <w:r>
        <w:t>pdf</w:t>
      </w:r>
      <w:r w:rsidRPr="00EA6FFA"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55">
    <w:p w:rsidR="00CA720F" w:rsidRPr="00CA720F" w:rsidRDefault="00CA720F" w:rsidP="00384EE8">
      <w:pPr>
        <w:pStyle w:val="FootnoteText"/>
        <w:rPr>
          <w:b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1755F4">
        <w:rPr>
          <w:szCs w:val="18"/>
          <w:lang w:val="ru-RU"/>
        </w:rPr>
        <w:t xml:space="preserve">. </w:t>
      </w:r>
      <w:r>
        <w:t>http</w:t>
      </w:r>
      <w:r w:rsidRPr="001755F4">
        <w:rPr>
          <w:lang w:val="ru-RU"/>
        </w:rPr>
        <w:t>://</w:t>
      </w:r>
      <w:r>
        <w:t>www</w:t>
      </w:r>
      <w:r w:rsidRPr="001755F4">
        <w:rPr>
          <w:lang w:val="ru-RU"/>
        </w:rPr>
        <w:t>.</w:t>
      </w:r>
      <w:r>
        <w:t>icann</w:t>
      </w:r>
      <w:r w:rsidRPr="001755F4">
        <w:rPr>
          <w:lang w:val="ru-RU"/>
        </w:rPr>
        <w:t>.</w:t>
      </w:r>
      <w:r>
        <w:t>org</w:t>
      </w:r>
      <w:r w:rsidRPr="001755F4">
        <w:rPr>
          <w:lang w:val="ru-RU"/>
        </w:rPr>
        <w:t>/</w:t>
      </w:r>
      <w:r>
        <w:t>en</w:t>
      </w:r>
      <w:r w:rsidRPr="001755F4">
        <w:rPr>
          <w:lang w:val="ru-RU"/>
        </w:rPr>
        <w:t>/</w:t>
      </w:r>
      <w:r>
        <w:t>groups</w:t>
      </w:r>
      <w:r w:rsidRPr="001755F4">
        <w:rPr>
          <w:lang w:val="ru-RU"/>
        </w:rPr>
        <w:t>/</w:t>
      </w:r>
      <w:r>
        <w:t>board</w:t>
      </w:r>
      <w:r w:rsidRPr="001755F4">
        <w:rPr>
          <w:lang w:val="ru-RU"/>
        </w:rPr>
        <w:t>/</w:t>
      </w:r>
      <w:r>
        <w:t>documents</w:t>
      </w:r>
      <w:r w:rsidRPr="001755F4">
        <w:rPr>
          <w:lang w:val="ru-RU"/>
        </w:rPr>
        <w:t>/</w:t>
      </w:r>
      <w:r>
        <w:t>resolutions</w:t>
      </w:r>
      <w:r w:rsidRPr="001755F4">
        <w:rPr>
          <w:lang w:val="ru-RU"/>
        </w:rPr>
        <w:t>-</w:t>
      </w:r>
      <w:r>
        <w:t>new</w:t>
      </w:r>
      <w:r w:rsidRPr="001755F4">
        <w:rPr>
          <w:lang w:val="ru-RU"/>
        </w:rPr>
        <w:t>-</w:t>
      </w:r>
      <w:r>
        <w:t>gtld</w:t>
      </w:r>
      <w:r w:rsidRPr="001755F4">
        <w:rPr>
          <w:lang w:val="ru-RU"/>
        </w:rPr>
        <w:t>-09</w:t>
      </w:r>
      <w:r>
        <w:t>jan</w:t>
      </w:r>
      <w:r w:rsidRPr="001755F4">
        <w:rPr>
          <w:lang w:val="ru-RU"/>
        </w:rPr>
        <w:t>14-</w:t>
      </w:r>
      <w:r>
        <w:t>en</w:t>
      </w:r>
      <w:r w:rsidRPr="001755F4">
        <w:rPr>
          <w:lang w:val="ru-RU"/>
        </w:rPr>
        <w:t>.</w:t>
      </w:r>
      <w:r>
        <w:t>htm</w:t>
      </w:r>
      <w:r w:rsidRPr="001755F4">
        <w:rPr>
          <w:lang w:val="ru-RU"/>
        </w:rPr>
        <w:t>#2.</w:t>
      </w:r>
      <w:r>
        <w:t>d</w:t>
      </w:r>
      <w:r w:rsidRPr="001755F4">
        <w:rPr>
          <w:lang w:val="ru-RU"/>
        </w:rPr>
        <w:t>.</w:t>
      </w:r>
      <w:r>
        <w:t>i</w:t>
      </w:r>
      <w:r w:rsidRPr="001755F4">
        <w:rPr>
          <w:lang w:val="ru-RU"/>
        </w:rPr>
        <w:t xml:space="preserve">. </w:t>
      </w:r>
      <w:r w:rsidRPr="00CA720F">
        <w:rPr>
          <w:lang w:val="ru-RU"/>
        </w:rPr>
        <w:t xml:space="preserve"> </w:t>
      </w:r>
    </w:p>
  </w:footnote>
  <w:footnote w:id="56">
    <w:p w:rsidR="00CA720F" w:rsidRPr="00CA720F" w:rsidRDefault="00CA720F" w:rsidP="00384EE8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4019A9">
        <w:rPr>
          <w:lang w:val="ru-RU"/>
        </w:rPr>
        <w:t>В качестве примера в письме МПО упомянуты незаконные спекулятивные операции, имевшие место в рамках кампаний ЮНИСЕФ по сбору средств на ликвидацию последствий гуманитарных</w:t>
      </w:r>
      <w:r w:rsidRPr="004019A9">
        <w:rPr>
          <w:sz w:val="20"/>
          <w:lang w:val="ru-RU"/>
        </w:rPr>
        <w:t xml:space="preserve"> </w:t>
      </w:r>
      <w:r w:rsidRPr="004019A9">
        <w:rPr>
          <w:lang w:val="ru-RU"/>
        </w:rPr>
        <w:t xml:space="preserve">кризисов. </w:t>
      </w:r>
      <w:r w:rsidRPr="00CA720F">
        <w:rPr>
          <w:szCs w:val="22"/>
          <w:lang w:val="ru-RU"/>
        </w:rPr>
        <w:t xml:space="preserve"> </w:t>
      </w:r>
    </w:p>
  </w:footnote>
  <w:footnote w:id="57">
    <w:p w:rsidR="00CA720F" w:rsidRPr="00CA720F" w:rsidRDefault="00CA720F" w:rsidP="000D6DE0">
      <w:pPr>
        <w:pStyle w:val="FootnoteText"/>
        <w:tabs>
          <w:tab w:val="left" w:pos="567"/>
        </w:tabs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CA720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сноску </w:t>
      </w:r>
      <w:r w:rsidRPr="00CA720F">
        <w:rPr>
          <w:lang w:val="ru-RU"/>
        </w:rPr>
        <w:t>23.</w:t>
      </w:r>
    </w:p>
  </w:footnote>
  <w:footnote w:id="58">
    <w:p w:rsidR="00CA720F" w:rsidRPr="00CA720F" w:rsidRDefault="00CA720F" w:rsidP="000D6DE0">
      <w:pPr>
        <w:pStyle w:val="FootnoteText"/>
        <w:tabs>
          <w:tab w:val="left" w:pos="567"/>
        </w:tabs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EE5914">
        <w:rPr>
          <w:szCs w:val="18"/>
          <w:lang w:val="ru-RU"/>
        </w:rPr>
        <w:t xml:space="preserve">. </w:t>
      </w:r>
      <w:r w:rsidRPr="003A09DF">
        <w:t>https</w:t>
      </w:r>
      <w:r w:rsidRPr="00CA720F">
        <w:rPr>
          <w:lang w:val="ru-RU"/>
        </w:rPr>
        <w:t>://</w:t>
      </w:r>
      <w:r w:rsidRPr="003A09DF">
        <w:t>gacweb</w:t>
      </w:r>
      <w:r w:rsidRPr="00CA720F">
        <w:rPr>
          <w:lang w:val="ru-RU"/>
        </w:rPr>
        <w:t>.</w:t>
      </w:r>
      <w:r w:rsidRPr="003A09DF">
        <w:t>icann</w:t>
      </w:r>
      <w:r w:rsidRPr="00CA720F">
        <w:rPr>
          <w:lang w:val="ru-RU"/>
        </w:rPr>
        <w:t>.</w:t>
      </w:r>
      <w:r w:rsidRPr="003A09DF">
        <w:t>org</w:t>
      </w:r>
      <w:r w:rsidRPr="00CA720F">
        <w:rPr>
          <w:lang w:val="ru-RU"/>
        </w:rPr>
        <w:t>/</w:t>
      </w:r>
      <w:r w:rsidRPr="003A09DF">
        <w:t>download</w:t>
      </w:r>
      <w:r w:rsidRPr="00CA720F">
        <w:rPr>
          <w:lang w:val="ru-RU"/>
        </w:rPr>
        <w:t>/</w:t>
      </w:r>
      <w:r w:rsidRPr="003A09DF">
        <w:t>attachments</w:t>
      </w:r>
      <w:r w:rsidRPr="00CA720F">
        <w:rPr>
          <w:lang w:val="ru-RU"/>
        </w:rPr>
        <w:t>/27132037/</w:t>
      </w:r>
      <w:r w:rsidRPr="003A09DF">
        <w:t>Los</w:t>
      </w:r>
      <w:r w:rsidRPr="00CA720F">
        <w:rPr>
          <w:lang w:val="ru-RU"/>
        </w:rPr>
        <w:t>%20</w:t>
      </w:r>
      <w:r w:rsidRPr="003A09DF">
        <w:t>Angeles</w:t>
      </w:r>
      <w:r w:rsidRPr="00CA720F">
        <w:rPr>
          <w:lang w:val="ru-RU"/>
        </w:rPr>
        <w:t>_</w:t>
      </w:r>
      <w:r w:rsidRPr="003A09DF">
        <w:t>GAC</w:t>
      </w:r>
      <w:r w:rsidRPr="00CA720F">
        <w:rPr>
          <w:lang w:val="ru-RU"/>
        </w:rPr>
        <w:t>%20</w:t>
      </w:r>
      <w:r w:rsidRPr="003A09DF">
        <w:t>Communique</w:t>
      </w:r>
      <w:r w:rsidRPr="00CA720F">
        <w:rPr>
          <w:lang w:val="ru-RU"/>
        </w:rPr>
        <w:t>_</w:t>
      </w:r>
      <w:r w:rsidRPr="003A09DF">
        <w:t>Final</w:t>
      </w:r>
      <w:r w:rsidRPr="00CA720F">
        <w:rPr>
          <w:lang w:val="ru-RU"/>
        </w:rPr>
        <w:t>.</w:t>
      </w:r>
      <w:r w:rsidRPr="003A09DF">
        <w:t>pdf</w:t>
      </w:r>
      <w:r w:rsidRPr="00CA720F">
        <w:rPr>
          <w:lang w:val="ru-RU"/>
        </w:rPr>
        <w:t>?</w:t>
      </w:r>
      <w:r w:rsidRPr="003A09DF">
        <w:t>version</w:t>
      </w:r>
      <w:r w:rsidRPr="00CA720F">
        <w:rPr>
          <w:lang w:val="ru-RU"/>
        </w:rPr>
        <w:t>=1&amp;</w:t>
      </w:r>
      <w:r w:rsidRPr="003A09DF">
        <w:t>modificationDate</w:t>
      </w:r>
      <w:r w:rsidRPr="00CA720F">
        <w:rPr>
          <w:lang w:val="ru-RU"/>
        </w:rPr>
        <w:t>=1413479079000&amp;</w:t>
      </w:r>
      <w:r w:rsidRPr="003A09DF">
        <w:t>api</w:t>
      </w:r>
      <w:r w:rsidRPr="00CA720F">
        <w:rPr>
          <w:lang w:val="ru-RU"/>
        </w:rPr>
        <w:t>=</w:t>
      </w:r>
      <w:r w:rsidRPr="003A09DF">
        <w:t>v</w:t>
      </w:r>
      <w:r w:rsidRPr="00CA720F">
        <w:rPr>
          <w:lang w:val="ru-RU"/>
        </w:rPr>
        <w:t>2.</w:t>
      </w:r>
    </w:p>
  </w:footnote>
  <w:footnote w:id="59">
    <w:p w:rsidR="00CA720F" w:rsidRPr="00CA720F" w:rsidRDefault="00CA720F" w:rsidP="000D6DE0">
      <w:pPr>
        <w:pStyle w:val="FootnoteText"/>
        <w:tabs>
          <w:tab w:val="left" w:pos="567"/>
        </w:tabs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CA720F">
        <w:rPr>
          <w:szCs w:val="18"/>
          <w:lang w:val="ru-RU"/>
        </w:rPr>
        <w:t xml:space="preserve">. </w:t>
      </w:r>
      <w:r w:rsidRPr="003A09DF">
        <w:t>https</w:t>
      </w:r>
      <w:r w:rsidRPr="00CA720F">
        <w:rPr>
          <w:lang w:val="ru-RU"/>
        </w:rPr>
        <w:t>://</w:t>
      </w:r>
      <w:r w:rsidRPr="003A09DF">
        <w:t>www</w:t>
      </w:r>
      <w:r w:rsidRPr="00CA720F">
        <w:rPr>
          <w:lang w:val="ru-RU"/>
        </w:rPr>
        <w:t>.</w:t>
      </w:r>
      <w:r w:rsidRPr="003A09DF">
        <w:t>icann</w:t>
      </w:r>
      <w:r w:rsidRPr="00CA720F">
        <w:rPr>
          <w:lang w:val="ru-RU"/>
        </w:rPr>
        <w:t>.</w:t>
      </w:r>
      <w:r w:rsidRPr="003A09DF">
        <w:t>org</w:t>
      </w:r>
      <w:r w:rsidRPr="00CA720F">
        <w:rPr>
          <w:lang w:val="ru-RU"/>
        </w:rPr>
        <w:t>/</w:t>
      </w:r>
      <w:r w:rsidRPr="003A09DF">
        <w:t>en</w:t>
      </w:r>
      <w:r w:rsidRPr="00CA720F">
        <w:rPr>
          <w:lang w:val="ru-RU"/>
        </w:rPr>
        <w:t>/</w:t>
      </w:r>
      <w:r w:rsidRPr="003A09DF">
        <w:t>system</w:t>
      </w:r>
      <w:r w:rsidRPr="00CA720F">
        <w:rPr>
          <w:lang w:val="ru-RU"/>
        </w:rPr>
        <w:t>/</w:t>
      </w:r>
      <w:r w:rsidRPr="003A09DF">
        <w:t>files</w:t>
      </w:r>
      <w:r w:rsidRPr="00CA720F">
        <w:rPr>
          <w:lang w:val="ru-RU"/>
        </w:rPr>
        <w:t>/</w:t>
      </w:r>
      <w:r w:rsidRPr="003A09DF">
        <w:t>correspondence</w:t>
      </w:r>
      <w:r w:rsidRPr="00CA720F">
        <w:rPr>
          <w:lang w:val="ru-RU"/>
        </w:rPr>
        <w:t>/</w:t>
      </w:r>
      <w:r w:rsidRPr="003A09DF">
        <w:t>chalaby</w:t>
      </w:r>
      <w:r w:rsidRPr="00CA720F">
        <w:rPr>
          <w:lang w:val="ru-RU"/>
        </w:rPr>
        <w:t>-</w:t>
      </w:r>
      <w:r w:rsidRPr="003A09DF">
        <w:t>to</w:t>
      </w:r>
      <w:r w:rsidRPr="00CA720F">
        <w:rPr>
          <w:lang w:val="ru-RU"/>
        </w:rPr>
        <w:t>-</w:t>
      </w:r>
      <w:r w:rsidRPr="003A09DF">
        <w:t>schneider</w:t>
      </w:r>
      <w:r w:rsidRPr="00CA720F">
        <w:rPr>
          <w:lang w:val="ru-RU"/>
        </w:rPr>
        <w:t>-22</w:t>
      </w:r>
      <w:r w:rsidRPr="003A09DF">
        <w:t>jan</w:t>
      </w:r>
      <w:r w:rsidRPr="00CA720F">
        <w:rPr>
          <w:lang w:val="ru-RU"/>
        </w:rPr>
        <w:t>15-</w:t>
      </w:r>
      <w:r w:rsidRPr="003A09DF">
        <w:t>en</w:t>
      </w:r>
      <w:r w:rsidRPr="00CA720F">
        <w:rPr>
          <w:lang w:val="ru-RU"/>
        </w:rPr>
        <w:t>.</w:t>
      </w:r>
      <w:r w:rsidRPr="003A09DF">
        <w:t>pdf</w:t>
      </w:r>
      <w:r w:rsidRPr="00CA720F">
        <w:rPr>
          <w:lang w:val="ru-RU"/>
        </w:rPr>
        <w:t>.</w:t>
      </w:r>
    </w:p>
  </w:footnote>
  <w:footnote w:id="60">
    <w:p w:rsidR="00CA720F" w:rsidRPr="00CA720F" w:rsidRDefault="00CA720F">
      <w:pPr>
        <w:pStyle w:val="FootnoteText"/>
        <w:rPr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szCs w:val="18"/>
          <w:lang w:val="ru-RU"/>
        </w:rPr>
        <w:t>См</w:t>
      </w:r>
      <w:r w:rsidRPr="00EE5914">
        <w:rPr>
          <w:szCs w:val="18"/>
          <w:lang w:val="ru-RU"/>
        </w:rPr>
        <w:t xml:space="preserve">. </w:t>
      </w:r>
      <w:r w:rsidRPr="003A09DF">
        <w:t>http</w:t>
      </w:r>
      <w:r w:rsidRPr="00CA720F">
        <w:rPr>
          <w:lang w:val="ru-RU"/>
        </w:rPr>
        <w:t>://</w:t>
      </w:r>
      <w:r w:rsidRPr="003A09DF">
        <w:t>mm</w:t>
      </w:r>
      <w:r w:rsidRPr="00CA720F">
        <w:rPr>
          <w:lang w:val="ru-RU"/>
        </w:rPr>
        <w:t>.</w:t>
      </w:r>
      <w:r w:rsidRPr="003A09DF">
        <w:t>icann</w:t>
      </w:r>
      <w:r w:rsidRPr="00CA720F">
        <w:rPr>
          <w:lang w:val="ru-RU"/>
        </w:rPr>
        <w:t>.</w:t>
      </w:r>
      <w:r w:rsidRPr="003A09DF">
        <w:t>org</w:t>
      </w:r>
      <w:r w:rsidRPr="00CA720F">
        <w:rPr>
          <w:lang w:val="ru-RU"/>
        </w:rPr>
        <w:t>/</w:t>
      </w:r>
      <w:r w:rsidRPr="003A09DF">
        <w:t>pipermail</w:t>
      </w:r>
      <w:r w:rsidRPr="00CA720F">
        <w:rPr>
          <w:lang w:val="ru-RU"/>
        </w:rPr>
        <w:t>/</w:t>
      </w:r>
      <w:r w:rsidRPr="003A09DF">
        <w:t>gnso</w:t>
      </w:r>
      <w:r w:rsidRPr="00CA720F">
        <w:rPr>
          <w:lang w:val="ru-RU"/>
        </w:rPr>
        <w:t>-</w:t>
      </w:r>
      <w:r w:rsidRPr="003A09DF">
        <w:t>igo</w:t>
      </w:r>
      <w:r w:rsidRPr="00CA720F">
        <w:rPr>
          <w:lang w:val="ru-RU"/>
        </w:rPr>
        <w:t>-</w:t>
      </w:r>
      <w:r w:rsidRPr="003A09DF">
        <w:t>ingo</w:t>
      </w:r>
      <w:r w:rsidRPr="00CA720F">
        <w:rPr>
          <w:lang w:val="ru-RU"/>
        </w:rPr>
        <w:t>-</w:t>
      </w:r>
      <w:r w:rsidRPr="003A09DF">
        <w:t>crp</w:t>
      </w:r>
      <w:r w:rsidRPr="00CA720F">
        <w:rPr>
          <w:lang w:val="ru-RU"/>
        </w:rPr>
        <w:t>/2015-</w:t>
      </w:r>
      <w:r w:rsidRPr="003A09DF">
        <w:t>April</w:t>
      </w:r>
      <w:r w:rsidRPr="00CA720F">
        <w:rPr>
          <w:lang w:val="ru-RU"/>
        </w:rPr>
        <w:t>/000345.</w:t>
      </w:r>
      <w:r w:rsidRPr="003A09DF">
        <w:t>html</w:t>
      </w:r>
      <w:r w:rsidRPr="00CA720F">
        <w:rPr>
          <w:lang w:val="ru-RU"/>
        </w:rPr>
        <w:t>.</w:t>
      </w:r>
    </w:p>
  </w:footnote>
  <w:footnote w:id="61">
    <w:p w:rsidR="00CA720F" w:rsidRPr="00CA720F" w:rsidRDefault="00CA720F" w:rsidP="00166C30">
      <w:pPr>
        <w:pStyle w:val="FootnoteText"/>
        <w:tabs>
          <w:tab w:val="left" w:pos="567"/>
        </w:tabs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 w:rsidRPr="00EA6FFA">
        <w:rPr>
          <w:lang w:val="ru-RU"/>
        </w:rPr>
        <w:t>В 2007</w:t>
      </w:r>
      <w:r w:rsidRPr="00893995">
        <w:t> </w:t>
      </w:r>
      <w:r w:rsidRPr="00EA6FFA">
        <w:rPr>
          <w:lang w:val="ru-RU"/>
        </w:rPr>
        <w:t xml:space="preserve">г. </w:t>
      </w:r>
      <w:r>
        <w:rPr>
          <w:szCs w:val="22"/>
          <w:lang w:val="ru-RU"/>
        </w:rPr>
        <w:t>ПКК</w:t>
      </w:r>
      <w:r w:rsidRPr="009157B8">
        <w:rPr>
          <w:szCs w:val="22"/>
          <w:lang w:val="ru-RU"/>
        </w:rPr>
        <w:t xml:space="preserve"> </w:t>
      </w:r>
      <w:r w:rsidRPr="00EA6FFA">
        <w:rPr>
          <w:lang w:val="ru-RU"/>
        </w:rPr>
        <w:t xml:space="preserve">выпустил «Принципы </w:t>
      </w:r>
      <w:r>
        <w:rPr>
          <w:szCs w:val="22"/>
          <w:lang w:val="ru-RU"/>
        </w:rPr>
        <w:t>ПКК</w:t>
      </w:r>
      <w:r w:rsidRPr="00EA6FFA">
        <w:rPr>
          <w:lang w:val="ru-RU"/>
        </w:rPr>
        <w:t xml:space="preserve">, касающиеся новых рДВУ» которые, среди прочего, предусматривают, что </w:t>
      </w:r>
      <w:r w:rsidRPr="00893995">
        <w:t>ICANN</w:t>
      </w:r>
      <w:r w:rsidRPr="00EA6FFA">
        <w:rPr>
          <w:lang w:val="ru-RU"/>
        </w:rPr>
        <w:t xml:space="preserve"> следует избегать делегирования новых рДВУ, касающихся названий стран, территорий или </w:t>
      </w:r>
      <w:r>
        <w:rPr>
          <w:lang w:val="ru-RU"/>
        </w:rPr>
        <w:t>местностей</w:t>
      </w:r>
      <w:r w:rsidRPr="00EA6FFA">
        <w:rPr>
          <w:lang w:val="ru-RU"/>
        </w:rPr>
        <w:t>, а также наименований региональных языков</w:t>
      </w:r>
      <w:r>
        <w:rPr>
          <w:lang w:val="ru-RU"/>
        </w:rPr>
        <w:t xml:space="preserve"> или народностей</w:t>
      </w:r>
      <w:r w:rsidRPr="00EA6FFA">
        <w:rPr>
          <w:lang w:val="ru-RU"/>
        </w:rPr>
        <w:t xml:space="preserve">, </w:t>
      </w:r>
      <w:r>
        <w:rPr>
          <w:lang w:val="ru-RU"/>
        </w:rPr>
        <w:t xml:space="preserve">кроме случаев, когда имеются </w:t>
      </w:r>
      <w:r w:rsidRPr="00294FC2">
        <w:rPr>
          <w:lang w:val="ru-RU"/>
        </w:rPr>
        <w:t>соответствующ</w:t>
      </w:r>
      <w:r>
        <w:rPr>
          <w:lang w:val="ru-RU"/>
        </w:rPr>
        <w:t>ие соглашения</w:t>
      </w:r>
      <w:r w:rsidRPr="00EA6FFA">
        <w:rPr>
          <w:lang w:val="ru-RU"/>
        </w:rPr>
        <w:t xml:space="preserve"> с правительствами или государственными </w:t>
      </w:r>
      <w:r>
        <w:rPr>
          <w:lang w:val="ru-RU"/>
        </w:rPr>
        <w:t>органами</w:t>
      </w:r>
      <w:r w:rsidRPr="00EA6FFA">
        <w:rPr>
          <w:lang w:val="ru-RU"/>
        </w:rPr>
        <w:t>.</w:t>
      </w:r>
      <w:r w:rsidRPr="00893995">
        <w:rPr>
          <w:sz w:val="20"/>
          <w:lang w:val="ru-RU"/>
        </w:rPr>
        <w:t xml:space="preserve"> </w:t>
      </w:r>
      <w:r w:rsidRPr="00EA6FFA">
        <w:rPr>
          <w:lang w:val="ru-RU"/>
        </w:rPr>
        <w:t xml:space="preserve">Далее в «Принципах </w:t>
      </w:r>
      <w:r>
        <w:rPr>
          <w:szCs w:val="22"/>
          <w:lang w:val="ru-RU"/>
        </w:rPr>
        <w:t>ПКК</w:t>
      </w:r>
      <w:r w:rsidRPr="00EA6FFA">
        <w:rPr>
          <w:lang w:val="ru-RU"/>
        </w:rPr>
        <w:t xml:space="preserve">» говорится, что </w:t>
      </w:r>
      <w:r>
        <w:rPr>
          <w:lang w:val="ru-RU"/>
        </w:rPr>
        <w:t>при новых регистрациях</w:t>
      </w:r>
      <w:r w:rsidRPr="00EA6FFA">
        <w:rPr>
          <w:lang w:val="ru-RU"/>
        </w:rPr>
        <w:t xml:space="preserve"> следует ввести процедуры блокирования/оспаривания по требованию правительств</w:t>
      </w:r>
      <w:r>
        <w:rPr>
          <w:lang w:val="ru-RU"/>
        </w:rPr>
        <w:t xml:space="preserve"> </w:t>
      </w:r>
      <w:r w:rsidRPr="00EA6FFA">
        <w:rPr>
          <w:lang w:val="ru-RU"/>
        </w:rPr>
        <w:t>названий, имеющих национальное или</w:t>
      </w:r>
      <w:r w:rsidRPr="00893995">
        <w:rPr>
          <w:sz w:val="20"/>
          <w:lang w:val="ru-RU"/>
        </w:rPr>
        <w:t xml:space="preserve"> </w:t>
      </w:r>
      <w:r w:rsidRPr="00EA6FFA">
        <w:rPr>
          <w:lang w:val="ru-RU"/>
        </w:rPr>
        <w:t xml:space="preserve">географическое значение, на втором уровне </w:t>
      </w:r>
      <w:r>
        <w:rPr>
          <w:lang w:val="ru-RU"/>
        </w:rPr>
        <w:t>DNS</w:t>
      </w:r>
      <w:r w:rsidRPr="00EA6FFA">
        <w:rPr>
          <w:lang w:val="ru-RU"/>
        </w:rPr>
        <w:t xml:space="preserve">. </w:t>
      </w:r>
      <w:r>
        <w:rPr>
          <w:iCs/>
          <w:szCs w:val="22"/>
          <w:lang w:val="ru-RU"/>
        </w:rPr>
        <w:t>См</w:t>
      </w:r>
      <w:r w:rsidRPr="001755F4">
        <w:rPr>
          <w:iCs/>
          <w:szCs w:val="22"/>
          <w:lang w:val="ru-RU"/>
        </w:rPr>
        <w:t xml:space="preserve">. </w:t>
      </w:r>
      <w:r>
        <w:rPr>
          <w:szCs w:val="18"/>
        </w:rPr>
        <w:t>http</w:t>
      </w:r>
      <w:r w:rsidRPr="001755F4">
        <w:rPr>
          <w:szCs w:val="18"/>
          <w:lang w:val="ru-RU"/>
        </w:rPr>
        <w:t>://</w:t>
      </w:r>
      <w:r>
        <w:rPr>
          <w:szCs w:val="18"/>
        </w:rPr>
        <w:t>gac</w:t>
      </w:r>
      <w:r w:rsidRPr="001755F4">
        <w:rPr>
          <w:szCs w:val="18"/>
          <w:lang w:val="ru-RU"/>
        </w:rPr>
        <w:t>.</w:t>
      </w:r>
      <w:r>
        <w:rPr>
          <w:szCs w:val="18"/>
        </w:rPr>
        <w:t>icann</w:t>
      </w:r>
      <w:r w:rsidRPr="001755F4">
        <w:rPr>
          <w:szCs w:val="18"/>
          <w:lang w:val="ru-RU"/>
        </w:rPr>
        <w:t>.</w:t>
      </w:r>
      <w:r>
        <w:rPr>
          <w:szCs w:val="18"/>
        </w:rPr>
        <w:t>org</w:t>
      </w:r>
      <w:r w:rsidRPr="001755F4">
        <w:rPr>
          <w:szCs w:val="18"/>
          <w:lang w:val="ru-RU"/>
        </w:rPr>
        <w:t>/</w:t>
      </w:r>
      <w:r>
        <w:rPr>
          <w:szCs w:val="18"/>
        </w:rPr>
        <w:t>web</w:t>
      </w:r>
      <w:r w:rsidRPr="001755F4">
        <w:rPr>
          <w:szCs w:val="18"/>
          <w:lang w:val="ru-RU"/>
        </w:rPr>
        <w:t>/</w:t>
      </w:r>
      <w:r>
        <w:rPr>
          <w:szCs w:val="18"/>
        </w:rPr>
        <w:t>home</w:t>
      </w:r>
      <w:r w:rsidRPr="001755F4">
        <w:rPr>
          <w:szCs w:val="18"/>
          <w:lang w:val="ru-RU"/>
        </w:rPr>
        <w:t>/</w:t>
      </w:r>
      <w:r>
        <w:rPr>
          <w:szCs w:val="18"/>
        </w:rPr>
        <w:t>gTLD</w:t>
      </w:r>
      <w:r w:rsidRPr="001755F4">
        <w:rPr>
          <w:szCs w:val="18"/>
          <w:lang w:val="ru-RU"/>
        </w:rPr>
        <w:t>_</w:t>
      </w:r>
      <w:r>
        <w:rPr>
          <w:szCs w:val="18"/>
        </w:rPr>
        <w:t>principles</w:t>
      </w:r>
      <w:r w:rsidRPr="001755F4">
        <w:rPr>
          <w:szCs w:val="18"/>
          <w:lang w:val="ru-RU"/>
        </w:rPr>
        <w:t>.</w:t>
      </w:r>
      <w:r>
        <w:rPr>
          <w:szCs w:val="18"/>
        </w:rPr>
        <w:t>pdf</w:t>
      </w:r>
      <w:r w:rsidRPr="001755F4">
        <w:rPr>
          <w:szCs w:val="18"/>
          <w:lang w:val="ru-RU"/>
        </w:rPr>
        <w:t>.</w:t>
      </w:r>
    </w:p>
  </w:footnote>
  <w:footnote w:id="62">
    <w:p w:rsidR="00CA720F" w:rsidRPr="00CA720F" w:rsidRDefault="00CA720F" w:rsidP="00166C30">
      <w:pPr>
        <w:pStyle w:val="FootnoteText"/>
        <w:tabs>
          <w:tab w:val="left" w:pos="567"/>
        </w:tabs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 w:rsidRPr="00052564">
        <w:rPr>
          <w:szCs w:val="18"/>
          <w:lang w:val="ru-RU"/>
        </w:rPr>
        <w:t>Что касается регистраци</w:t>
      </w:r>
      <w:r>
        <w:rPr>
          <w:szCs w:val="18"/>
          <w:lang w:val="ru-RU"/>
        </w:rPr>
        <w:t>и</w:t>
      </w:r>
      <w:r w:rsidRPr="00052564">
        <w:rPr>
          <w:szCs w:val="18"/>
          <w:lang w:val="ru-RU"/>
        </w:rPr>
        <w:t xml:space="preserve"> доменов второго уровня, базовое регистрационное соглашение </w:t>
      </w:r>
      <w:r w:rsidRPr="00052564">
        <w:rPr>
          <w:szCs w:val="18"/>
        </w:rPr>
        <w:t>ICANN</w:t>
      </w:r>
      <w:r w:rsidRPr="00052564">
        <w:rPr>
          <w:szCs w:val="18"/>
          <w:lang w:val="ru-RU"/>
        </w:rPr>
        <w:t xml:space="preserve"> включает «Список зарезервированных </w:t>
      </w:r>
      <w:r w:rsidRPr="00294FC2">
        <w:rPr>
          <w:szCs w:val="18"/>
          <w:lang w:val="ru-RU"/>
        </w:rPr>
        <w:t>наименовани</w:t>
      </w:r>
      <w:r>
        <w:rPr>
          <w:szCs w:val="18"/>
          <w:lang w:val="ru-RU"/>
        </w:rPr>
        <w:t>й</w:t>
      </w:r>
      <w:r w:rsidRPr="000525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второго уровня </w:t>
      </w:r>
      <w:r w:rsidRPr="00052564">
        <w:rPr>
          <w:szCs w:val="18"/>
          <w:lang w:val="ru-RU"/>
        </w:rPr>
        <w:t xml:space="preserve">в реестрах рДВУ», где учтены определенные названия стран и территорий. См. </w:t>
      </w:r>
      <w:r>
        <w:rPr>
          <w:szCs w:val="18"/>
        </w:rPr>
        <w:t>http</w:t>
      </w:r>
      <w:r w:rsidRPr="00052564">
        <w:rPr>
          <w:szCs w:val="18"/>
          <w:lang w:val="ru-RU"/>
        </w:rPr>
        <w:t>://</w:t>
      </w:r>
      <w:r>
        <w:rPr>
          <w:szCs w:val="18"/>
        </w:rPr>
        <w:t>newgtlds</w:t>
      </w:r>
      <w:r w:rsidRPr="00052564">
        <w:rPr>
          <w:szCs w:val="18"/>
          <w:lang w:val="ru-RU"/>
        </w:rPr>
        <w:t>.</w:t>
      </w:r>
      <w:r>
        <w:rPr>
          <w:szCs w:val="18"/>
        </w:rPr>
        <w:t>icann</w:t>
      </w:r>
      <w:r w:rsidRPr="00052564">
        <w:rPr>
          <w:szCs w:val="18"/>
          <w:lang w:val="ru-RU"/>
        </w:rPr>
        <w:t>.</w:t>
      </w:r>
      <w:r>
        <w:rPr>
          <w:szCs w:val="18"/>
        </w:rPr>
        <w:t>org</w:t>
      </w:r>
      <w:r w:rsidRPr="00052564">
        <w:rPr>
          <w:szCs w:val="18"/>
          <w:lang w:val="ru-RU"/>
        </w:rPr>
        <w:t>/</w:t>
      </w:r>
      <w:r>
        <w:rPr>
          <w:szCs w:val="18"/>
        </w:rPr>
        <w:t>en</w:t>
      </w:r>
      <w:r w:rsidRPr="00052564">
        <w:rPr>
          <w:szCs w:val="18"/>
          <w:lang w:val="ru-RU"/>
        </w:rPr>
        <w:t>/</w:t>
      </w:r>
      <w:r>
        <w:rPr>
          <w:szCs w:val="18"/>
        </w:rPr>
        <w:t>applicants</w:t>
      </w:r>
      <w:r w:rsidRPr="00052564">
        <w:rPr>
          <w:szCs w:val="18"/>
          <w:lang w:val="ru-RU"/>
        </w:rPr>
        <w:t>/</w:t>
      </w:r>
      <w:r>
        <w:rPr>
          <w:szCs w:val="18"/>
        </w:rPr>
        <w:t>agb</w:t>
      </w:r>
      <w:r w:rsidRPr="00052564">
        <w:rPr>
          <w:szCs w:val="18"/>
          <w:lang w:val="ru-RU"/>
        </w:rPr>
        <w:t>/</w:t>
      </w:r>
      <w:r>
        <w:rPr>
          <w:szCs w:val="18"/>
        </w:rPr>
        <w:t>base</w:t>
      </w:r>
      <w:r w:rsidRPr="00052564">
        <w:rPr>
          <w:szCs w:val="18"/>
          <w:lang w:val="ru-RU"/>
        </w:rPr>
        <w:t>-</w:t>
      </w:r>
      <w:r>
        <w:rPr>
          <w:szCs w:val="18"/>
        </w:rPr>
        <w:t>agreement</w:t>
      </w:r>
      <w:r w:rsidRPr="00052564">
        <w:rPr>
          <w:szCs w:val="18"/>
          <w:lang w:val="ru-RU"/>
        </w:rPr>
        <w:t>-</w:t>
      </w:r>
      <w:r>
        <w:rPr>
          <w:szCs w:val="18"/>
        </w:rPr>
        <w:t>specs</w:t>
      </w:r>
      <w:r w:rsidRPr="00052564">
        <w:rPr>
          <w:szCs w:val="18"/>
          <w:lang w:val="ru-RU"/>
        </w:rPr>
        <w:t>-04</w:t>
      </w:r>
      <w:r>
        <w:rPr>
          <w:szCs w:val="18"/>
        </w:rPr>
        <w:t>jun</w:t>
      </w:r>
      <w:r w:rsidRPr="00052564">
        <w:rPr>
          <w:szCs w:val="18"/>
          <w:lang w:val="ru-RU"/>
        </w:rPr>
        <w:t>12-</w:t>
      </w:r>
      <w:r>
        <w:rPr>
          <w:szCs w:val="18"/>
        </w:rPr>
        <w:t>en</w:t>
      </w:r>
      <w:r w:rsidRPr="00052564">
        <w:rPr>
          <w:szCs w:val="18"/>
          <w:lang w:val="ru-RU"/>
        </w:rPr>
        <w:t>.</w:t>
      </w:r>
      <w:r>
        <w:rPr>
          <w:szCs w:val="18"/>
        </w:rPr>
        <w:t>pdf</w:t>
      </w:r>
      <w:r w:rsidRPr="00052564">
        <w:rPr>
          <w:szCs w:val="18"/>
          <w:lang w:val="ru-RU"/>
        </w:rPr>
        <w:t>, раздел 5.</w:t>
      </w:r>
    </w:p>
  </w:footnote>
  <w:footnote w:id="63">
    <w:p w:rsidR="00CA720F" w:rsidRPr="00CA720F" w:rsidRDefault="00CA720F" w:rsidP="00166C30">
      <w:pPr>
        <w:pStyle w:val="FootnoteText"/>
        <w:tabs>
          <w:tab w:val="left" w:pos="567"/>
        </w:tabs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052564">
        <w:rPr>
          <w:szCs w:val="18"/>
          <w:lang w:val="ru-RU"/>
        </w:rPr>
        <w:t xml:space="preserve">. </w:t>
      </w:r>
      <w:proofErr w:type="gramStart"/>
      <w:r>
        <w:rPr>
          <w:szCs w:val="18"/>
        </w:rPr>
        <w:t>http</w:t>
      </w:r>
      <w:r w:rsidRPr="00052564">
        <w:rPr>
          <w:szCs w:val="18"/>
          <w:lang w:val="ru-RU"/>
        </w:rPr>
        <w:t>://</w:t>
      </w:r>
      <w:r>
        <w:rPr>
          <w:szCs w:val="18"/>
        </w:rPr>
        <w:t>newgtlds</w:t>
      </w:r>
      <w:r w:rsidRPr="00052564">
        <w:rPr>
          <w:szCs w:val="18"/>
          <w:lang w:val="ru-RU"/>
        </w:rPr>
        <w:t>.</w:t>
      </w:r>
      <w:r>
        <w:rPr>
          <w:szCs w:val="18"/>
        </w:rPr>
        <w:t>icann</w:t>
      </w:r>
      <w:r w:rsidRPr="00052564">
        <w:rPr>
          <w:szCs w:val="18"/>
          <w:lang w:val="ru-RU"/>
        </w:rPr>
        <w:t>.</w:t>
      </w:r>
      <w:r>
        <w:rPr>
          <w:szCs w:val="18"/>
        </w:rPr>
        <w:t>org</w:t>
      </w:r>
      <w:r w:rsidRPr="00052564">
        <w:rPr>
          <w:szCs w:val="18"/>
          <w:lang w:val="ru-RU"/>
        </w:rPr>
        <w:t>/</w:t>
      </w:r>
      <w:r>
        <w:rPr>
          <w:szCs w:val="18"/>
        </w:rPr>
        <w:t>en</w:t>
      </w:r>
      <w:r w:rsidRPr="00052564">
        <w:rPr>
          <w:szCs w:val="18"/>
          <w:lang w:val="ru-RU"/>
        </w:rPr>
        <w:t>/</w:t>
      </w:r>
      <w:r>
        <w:rPr>
          <w:szCs w:val="18"/>
        </w:rPr>
        <w:t>applicants</w:t>
      </w:r>
      <w:r w:rsidRPr="00052564">
        <w:rPr>
          <w:szCs w:val="18"/>
          <w:lang w:val="ru-RU"/>
        </w:rPr>
        <w:t>/</w:t>
      </w:r>
      <w:r>
        <w:rPr>
          <w:szCs w:val="18"/>
        </w:rPr>
        <w:t>agb</w:t>
      </w:r>
      <w:r w:rsidRPr="00052564">
        <w:rPr>
          <w:szCs w:val="18"/>
          <w:lang w:val="ru-RU"/>
        </w:rPr>
        <w:t>/</w:t>
      </w:r>
      <w:r>
        <w:rPr>
          <w:szCs w:val="18"/>
        </w:rPr>
        <w:t>evaluation</w:t>
      </w:r>
      <w:r w:rsidRPr="00052564">
        <w:rPr>
          <w:szCs w:val="18"/>
          <w:lang w:val="ru-RU"/>
        </w:rPr>
        <w:t>-</w:t>
      </w:r>
      <w:r>
        <w:rPr>
          <w:szCs w:val="18"/>
        </w:rPr>
        <w:t>procedures</w:t>
      </w:r>
      <w:r w:rsidRPr="00052564">
        <w:rPr>
          <w:szCs w:val="18"/>
          <w:lang w:val="ru-RU"/>
        </w:rPr>
        <w:t>-04</w:t>
      </w:r>
      <w:r>
        <w:rPr>
          <w:szCs w:val="18"/>
        </w:rPr>
        <w:t>jun</w:t>
      </w:r>
      <w:r w:rsidRPr="00052564">
        <w:rPr>
          <w:szCs w:val="18"/>
          <w:lang w:val="ru-RU"/>
        </w:rPr>
        <w:t>12-</w:t>
      </w:r>
      <w:r>
        <w:rPr>
          <w:szCs w:val="18"/>
        </w:rPr>
        <w:t>en</w:t>
      </w:r>
      <w:r w:rsidRPr="00052564">
        <w:rPr>
          <w:szCs w:val="18"/>
          <w:lang w:val="ru-RU"/>
        </w:rPr>
        <w:t>.</w:t>
      </w:r>
      <w:r>
        <w:rPr>
          <w:szCs w:val="18"/>
        </w:rPr>
        <w:t>pdf</w:t>
      </w:r>
      <w:r w:rsidRPr="000525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052564">
        <w:rPr>
          <w:szCs w:val="18"/>
          <w:lang w:val="ru-RU"/>
        </w:rPr>
        <w:t xml:space="preserve"> раздел</w:t>
      </w:r>
      <w:r>
        <w:rPr>
          <w:szCs w:val="18"/>
          <w:lang w:val="ru-RU"/>
        </w:rPr>
        <w:t>е</w:t>
      </w:r>
      <w:r w:rsidRPr="00052564">
        <w:rPr>
          <w:szCs w:val="18"/>
          <w:lang w:val="ru-RU"/>
        </w:rPr>
        <w:t xml:space="preserve"> 2.2.1.4.1 </w:t>
      </w:r>
      <w:r w:rsidRPr="00052564">
        <w:rPr>
          <w:lang w:val="ru-RU"/>
        </w:rPr>
        <w:t>«Порядок работы с названиями стран и территорий»</w:t>
      </w:r>
      <w:r>
        <w:rPr>
          <w:lang w:val="ru-RU"/>
        </w:rPr>
        <w:t>.</w:t>
      </w:r>
      <w:proofErr w:type="gramEnd"/>
    </w:p>
  </w:footnote>
  <w:footnote w:id="64">
    <w:p w:rsidR="00CA720F" w:rsidRPr="00CA720F" w:rsidRDefault="00CA720F" w:rsidP="00166C30">
      <w:pPr>
        <w:pStyle w:val="FootnoteText"/>
        <w:tabs>
          <w:tab w:val="left" w:pos="567"/>
        </w:tabs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szCs w:val="18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052564">
        <w:rPr>
          <w:szCs w:val="18"/>
          <w:lang w:val="ru-RU"/>
        </w:rPr>
        <w:t xml:space="preserve">. </w:t>
      </w:r>
      <w:r>
        <w:rPr>
          <w:szCs w:val="18"/>
        </w:rPr>
        <w:t>http</w:t>
      </w:r>
      <w:r w:rsidRPr="00052564">
        <w:rPr>
          <w:szCs w:val="18"/>
          <w:lang w:val="ru-RU"/>
        </w:rPr>
        <w:t>://</w:t>
      </w:r>
      <w:r>
        <w:rPr>
          <w:szCs w:val="18"/>
        </w:rPr>
        <w:t>newgtlds</w:t>
      </w:r>
      <w:r w:rsidRPr="00052564">
        <w:rPr>
          <w:szCs w:val="18"/>
          <w:lang w:val="ru-RU"/>
        </w:rPr>
        <w:t>.</w:t>
      </w:r>
      <w:r>
        <w:rPr>
          <w:szCs w:val="18"/>
        </w:rPr>
        <w:t>icann</w:t>
      </w:r>
      <w:r w:rsidRPr="00052564">
        <w:rPr>
          <w:szCs w:val="18"/>
          <w:lang w:val="ru-RU"/>
        </w:rPr>
        <w:t>.</w:t>
      </w:r>
      <w:r>
        <w:rPr>
          <w:szCs w:val="18"/>
        </w:rPr>
        <w:t>org</w:t>
      </w:r>
      <w:r w:rsidRPr="00052564">
        <w:rPr>
          <w:szCs w:val="18"/>
          <w:lang w:val="ru-RU"/>
        </w:rPr>
        <w:t>/</w:t>
      </w:r>
      <w:r>
        <w:rPr>
          <w:szCs w:val="18"/>
        </w:rPr>
        <w:t>en</w:t>
      </w:r>
      <w:r w:rsidRPr="00052564">
        <w:rPr>
          <w:szCs w:val="18"/>
          <w:lang w:val="ru-RU"/>
        </w:rPr>
        <w:t>/</w:t>
      </w:r>
      <w:r>
        <w:rPr>
          <w:szCs w:val="18"/>
        </w:rPr>
        <w:t>applicants</w:t>
      </w:r>
      <w:r w:rsidRPr="00052564">
        <w:rPr>
          <w:szCs w:val="18"/>
          <w:lang w:val="ru-RU"/>
        </w:rPr>
        <w:t>/</w:t>
      </w:r>
      <w:r>
        <w:rPr>
          <w:szCs w:val="18"/>
        </w:rPr>
        <w:t>agb</w:t>
      </w:r>
      <w:r w:rsidRPr="00052564">
        <w:rPr>
          <w:szCs w:val="18"/>
          <w:lang w:val="ru-RU"/>
        </w:rPr>
        <w:t>/</w:t>
      </w:r>
      <w:r>
        <w:rPr>
          <w:szCs w:val="18"/>
        </w:rPr>
        <w:t>evaluation</w:t>
      </w:r>
      <w:r w:rsidRPr="00052564">
        <w:rPr>
          <w:szCs w:val="18"/>
          <w:lang w:val="ru-RU"/>
        </w:rPr>
        <w:t>-</w:t>
      </w:r>
      <w:r>
        <w:rPr>
          <w:szCs w:val="18"/>
        </w:rPr>
        <w:t>procedures</w:t>
      </w:r>
      <w:r w:rsidRPr="00052564">
        <w:rPr>
          <w:szCs w:val="18"/>
          <w:lang w:val="ru-RU"/>
        </w:rPr>
        <w:t>-04</w:t>
      </w:r>
      <w:r>
        <w:rPr>
          <w:szCs w:val="18"/>
        </w:rPr>
        <w:t>jun</w:t>
      </w:r>
      <w:r w:rsidRPr="00052564">
        <w:rPr>
          <w:szCs w:val="18"/>
          <w:lang w:val="ru-RU"/>
        </w:rPr>
        <w:t>12-</w:t>
      </w:r>
      <w:r>
        <w:rPr>
          <w:szCs w:val="18"/>
        </w:rPr>
        <w:t>en</w:t>
      </w:r>
      <w:r w:rsidRPr="00052564">
        <w:rPr>
          <w:szCs w:val="18"/>
          <w:lang w:val="ru-RU"/>
        </w:rPr>
        <w:t>.</w:t>
      </w:r>
      <w:r>
        <w:rPr>
          <w:szCs w:val="18"/>
        </w:rPr>
        <w:t>pdf</w:t>
      </w:r>
      <w:r w:rsidRPr="0005256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</w:t>
      </w:r>
      <w:r w:rsidRPr="00052564">
        <w:rPr>
          <w:szCs w:val="18"/>
          <w:lang w:val="ru-RU"/>
        </w:rPr>
        <w:t xml:space="preserve"> раздел</w:t>
      </w:r>
      <w:r>
        <w:rPr>
          <w:szCs w:val="18"/>
          <w:lang w:val="ru-RU"/>
        </w:rPr>
        <w:t>е</w:t>
      </w:r>
      <w:r w:rsidRPr="00052564">
        <w:rPr>
          <w:szCs w:val="18"/>
          <w:lang w:val="ru-RU"/>
        </w:rPr>
        <w:t xml:space="preserve"> 2.2.1.4.</w:t>
      </w:r>
      <w:r w:rsidRPr="00052564">
        <w:rPr>
          <w:lang w:val="ru-RU"/>
        </w:rPr>
        <w:t xml:space="preserve">2 «Географические </w:t>
      </w:r>
      <w:r w:rsidRPr="00294FC2">
        <w:rPr>
          <w:lang w:val="ru-RU"/>
        </w:rPr>
        <w:t>наименовани</w:t>
      </w:r>
      <w:r>
        <w:rPr>
          <w:lang w:val="ru-RU"/>
        </w:rPr>
        <w:t>я</w:t>
      </w:r>
      <w:r w:rsidRPr="00052564">
        <w:rPr>
          <w:lang w:val="ru-RU"/>
        </w:rPr>
        <w:t>,</w:t>
      </w:r>
      <w:r>
        <w:rPr>
          <w:lang w:val="ru-RU"/>
        </w:rPr>
        <w:t xml:space="preserve"> </w:t>
      </w:r>
      <w:r w:rsidRPr="00294FC2">
        <w:rPr>
          <w:lang w:val="ru-RU"/>
        </w:rPr>
        <w:t xml:space="preserve">в отношении </w:t>
      </w:r>
      <w:r>
        <w:rPr>
          <w:lang w:val="ru-RU"/>
        </w:rPr>
        <w:t>которых</w:t>
      </w:r>
      <w:r w:rsidRPr="00052564">
        <w:rPr>
          <w:lang w:val="ru-RU"/>
        </w:rPr>
        <w:t xml:space="preserve"> требуется поддержка со ст</w:t>
      </w:r>
      <w:r>
        <w:rPr>
          <w:lang w:val="ru-RU"/>
        </w:rPr>
        <w:t>ороны правительств».</w:t>
      </w:r>
      <w:r w:rsidRPr="00CA720F">
        <w:rPr>
          <w:szCs w:val="18"/>
          <w:lang w:val="ru-RU"/>
        </w:rPr>
        <w:t xml:space="preserve"> </w:t>
      </w:r>
    </w:p>
  </w:footnote>
  <w:footnote w:id="65">
    <w:p w:rsidR="00CA720F" w:rsidRPr="001C013F" w:rsidRDefault="00CA720F" w:rsidP="00CE1B4E">
      <w:pPr>
        <w:pStyle w:val="FootnoteText"/>
        <w:tabs>
          <w:tab w:val="left" w:pos="567"/>
        </w:tabs>
        <w:rPr>
          <w:color w:val="000000" w:themeColor="text1"/>
          <w:szCs w:val="22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lang w:val="ru-RU"/>
        </w:rPr>
        <w:t xml:space="preserve"> </w:t>
      </w:r>
      <w:r w:rsidRPr="00CA720F">
        <w:rPr>
          <w:lang w:val="ru-RU"/>
        </w:rPr>
        <w:tab/>
      </w:r>
      <w:r>
        <w:rPr>
          <w:lang w:val="ru-RU"/>
        </w:rPr>
        <w:t>См</w:t>
      </w:r>
      <w:r w:rsidRPr="00052564">
        <w:rPr>
          <w:lang w:val="ru-RU"/>
        </w:rPr>
        <w:t xml:space="preserve">. </w:t>
      </w:r>
      <w:r>
        <w:t>https</w:t>
      </w:r>
      <w:r w:rsidRPr="00052564">
        <w:rPr>
          <w:lang w:val="ru-RU"/>
        </w:rPr>
        <w:t>://</w:t>
      </w:r>
      <w:r>
        <w:t>www</w:t>
      </w:r>
      <w:r w:rsidRPr="00052564">
        <w:rPr>
          <w:lang w:val="ru-RU"/>
        </w:rPr>
        <w:t>.</w:t>
      </w:r>
      <w:r>
        <w:t>icann</w:t>
      </w:r>
      <w:r w:rsidRPr="00052564">
        <w:rPr>
          <w:lang w:val="ru-RU"/>
        </w:rPr>
        <w:t>.</w:t>
      </w:r>
      <w:r>
        <w:t>org</w:t>
      </w:r>
      <w:r w:rsidRPr="00052564">
        <w:rPr>
          <w:lang w:val="ru-RU"/>
        </w:rPr>
        <w:t>/</w:t>
      </w:r>
      <w:r>
        <w:t>en</w:t>
      </w:r>
      <w:r w:rsidRPr="00052564">
        <w:rPr>
          <w:lang w:val="ru-RU"/>
        </w:rPr>
        <w:t>/</w:t>
      </w:r>
      <w:r>
        <w:t>system</w:t>
      </w:r>
      <w:r w:rsidRPr="00052564">
        <w:rPr>
          <w:lang w:val="ru-RU"/>
        </w:rPr>
        <w:t>/</w:t>
      </w:r>
      <w:r>
        <w:t>files</w:t>
      </w:r>
      <w:r w:rsidRPr="00052564">
        <w:rPr>
          <w:lang w:val="ru-RU"/>
        </w:rPr>
        <w:t>/</w:t>
      </w:r>
      <w:r>
        <w:t>correspondence</w:t>
      </w:r>
      <w:r w:rsidRPr="00052564">
        <w:rPr>
          <w:lang w:val="ru-RU"/>
        </w:rPr>
        <w:t>/</w:t>
      </w:r>
      <w:r>
        <w:t>gac</w:t>
      </w:r>
      <w:r w:rsidRPr="00052564">
        <w:rPr>
          <w:lang w:val="ru-RU"/>
        </w:rPr>
        <w:t>-</w:t>
      </w:r>
      <w:r>
        <w:t>to</w:t>
      </w:r>
      <w:r w:rsidRPr="00052564">
        <w:rPr>
          <w:lang w:val="ru-RU"/>
        </w:rPr>
        <w:t>-</w:t>
      </w:r>
      <w:r>
        <w:t>board</w:t>
      </w:r>
      <w:r w:rsidRPr="00052564">
        <w:rPr>
          <w:lang w:val="ru-RU"/>
        </w:rPr>
        <w:t>-27</w:t>
      </w:r>
      <w:r>
        <w:t>mar</w:t>
      </w:r>
      <w:r w:rsidRPr="00052564">
        <w:rPr>
          <w:lang w:val="ru-RU"/>
        </w:rPr>
        <w:t>14-</w:t>
      </w:r>
      <w:r>
        <w:t>en</w:t>
      </w:r>
      <w:r w:rsidRPr="00052564">
        <w:rPr>
          <w:lang w:val="ru-RU"/>
        </w:rPr>
        <w:t>.</w:t>
      </w:r>
      <w:r>
        <w:t>pdf</w:t>
      </w:r>
      <w:r w:rsidRPr="00052564">
        <w:rPr>
          <w:szCs w:val="22"/>
          <w:lang w:val="ru-RU"/>
        </w:rPr>
        <w:t>, раздел</w:t>
      </w:r>
      <w:r w:rsidRPr="00052564">
        <w:rPr>
          <w:szCs w:val="22"/>
        </w:rPr>
        <w:t> </w:t>
      </w:r>
      <w:r w:rsidRPr="00052564">
        <w:rPr>
          <w:szCs w:val="22"/>
          <w:lang w:val="ru-RU"/>
        </w:rPr>
        <w:t xml:space="preserve">4 «Конкретные </w:t>
      </w:r>
      <w:r>
        <w:rPr>
          <w:szCs w:val="22"/>
          <w:lang w:val="ru-RU"/>
        </w:rPr>
        <w:t xml:space="preserve">текстовые </w:t>
      </w:r>
      <w:r w:rsidRPr="00586AC2">
        <w:rPr>
          <w:szCs w:val="18"/>
          <w:lang w:val="ru-RU"/>
        </w:rPr>
        <w:t xml:space="preserve">строки». Хотя Совет </w:t>
      </w:r>
      <w:r>
        <w:rPr>
          <w:szCs w:val="18"/>
          <w:lang w:val="ru-RU"/>
        </w:rPr>
        <w:t>принял рекомендацию</w:t>
      </w:r>
      <w:r w:rsidRPr="00586A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ПКК</w:t>
      </w:r>
      <w:r w:rsidRPr="00586AC2">
        <w:rPr>
          <w:szCs w:val="18"/>
          <w:lang w:val="ru-RU"/>
        </w:rPr>
        <w:t xml:space="preserve"> о том, чтобы не </w:t>
      </w:r>
      <w:r>
        <w:rPr>
          <w:szCs w:val="18"/>
          <w:lang w:val="ru-RU"/>
        </w:rPr>
        <w:t xml:space="preserve">утверждать </w:t>
      </w:r>
      <w:r w:rsidRPr="00586AC2">
        <w:rPr>
          <w:szCs w:val="18"/>
          <w:lang w:val="ru-RU"/>
        </w:rPr>
        <w:t>некоторые заявк</w:t>
      </w:r>
      <w:r>
        <w:rPr>
          <w:szCs w:val="18"/>
          <w:lang w:val="ru-RU"/>
        </w:rPr>
        <w:t>и</w:t>
      </w:r>
      <w:r w:rsidRPr="00586AC2">
        <w:rPr>
          <w:szCs w:val="18"/>
          <w:lang w:val="ru-RU"/>
        </w:rPr>
        <w:t xml:space="preserve">, он запросил у </w:t>
      </w:r>
      <w:r>
        <w:rPr>
          <w:szCs w:val="18"/>
          <w:lang w:val="ru-RU"/>
        </w:rPr>
        <w:t>ПКК</w:t>
      </w:r>
      <w:r w:rsidRPr="00586AC2">
        <w:rPr>
          <w:szCs w:val="18"/>
          <w:lang w:val="ru-RU"/>
        </w:rPr>
        <w:t xml:space="preserve"> дополнительную информацию, а также предложил </w:t>
      </w:r>
      <w:r w:rsidRPr="00294FC2">
        <w:rPr>
          <w:szCs w:val="18"/>
          <w:lang w:val="ru-RU"/>
        </w:rPr>
        <w:t>общественн</w:t>
      </w:r>
      <w:r>
        <w:rPr>
          <w:szCs w:val="18"/>
          <w:lang w:val="ru-RU"/>
        </w:rPr>
        <w:t xml:space="preserve">ости </w:t>
      </w:r>
      <w:r w:rsidRPr="00586AC2">
        <w:rPr>
          <w:szCs w:val="18"/>
          <w:lang w:val="ru-RU"/>
        </w:rPr>
        <w:t>представить свои комментарии</w:t>
      </w:r>
      <w:r>
        <w:rPr>
          <w:szCs w:val="18"/>
          <w:lang w:val="ru-RU"/>
        </w:rPr>
        <w:t xml:space="preserve"> </w:t>
      </w:r>
      <w:r w:rsidRPr="00294FC2">
        <w:rPr>
          <w:szCs w:val="18"/>
          <w:lang w:val="ru-RU"/>
        </w:rPr>
        <w:t>–</w:t>
      </w:r>
      <w:r w:rsidRPr="00586AC2">
        <w:rPr>
          <w:szCs w:val="18"/>
          <w:lang w:val="ru-RU"/>
        </w:rPr>
        <w:t xml:space="preserve"> в частности, по вопросу о ряде дополнительных </w:t>
      </w:r>
      <w:r w:rsidRPr="00EC522A">
        <w:rPr>
          <w:szCs w:val="18"/>
          <w:lang w:val="ru-RU"/>
        </w:rPr>
        <w:t>механизм</w:t>
      </w:r>
      <w:r>
        <w:rPr>
          <w:szCs w:val="18"/>
          <w:lang w:val="ru-RU"/>
        </w:rPr>
        <w:t xml:space="preserve">ах </w:t>
      </w:r>
      <w:r w:rsidRPr="00294FC2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586AC2">
        <w:rPr>
          <w:szCs w:val="18"/>
          <w:lang w:val="ru-RU"/>
        </w:rPr>
        <w:t xml:space="preserve">, предлагаемых </w:t>
      </w:r>
      <w:r>
        <w:rPr>
          <w:szCs w:val="18"/>
          <w:lang w:val="ru-RU"/>
        </w:rPr>
        <w:t xml:space="preserve">ПКК </w:t>
      </w:r>
      <w:r w:rsidRPr="00EC522A">
        <w:rPr>
          <w:szCs w:val="18"/>
          <w:lang w:val="ru-RU"/>
        </w:rPr>
        <w:t>в отноше</w:t>
      </w:r>
      <w:r w:rsidRPr="00185CBA">
        <w:rPr>
          <w:szCs w:val="18"/>
          <w:lang w:val="ru-RU"/>
        </w:rPr>
        <w:t>нии ряда заявок общих категорий на делегирование новых рДВУ – например, новых рДВУ, имена которых соответст</w:t>
      </w:r>
      <w:r>
        <w:rPr>
          <w:szCs w:val="18"/>
          <w:lang w:val="ru-RU"/>
        </w:rPr>
        <w:t xml:space="preserve">вуют контролируемым </w:t>
      </w:r>
      <w:r w:rsidRPr="00185CBA">
        <w:rPr>
          <w:szCs w:val="18"/>
          <w:lang w:val="ru-RU"/>
        </w:rPr>
        <w:t>видам деятельности или словарным терминам</w:t>
      </w:r>
      <w:r w:rsidRPr="00185CBA">
        <w:rPr>
          <w:szCs w:val="22"/>
          <w:lang w:val="ru-RU"/>
        </w:rPr>
        <w:t xml:space="preserve">. См. </w:t>
      </w:r>
      <w:hyperlink r:id="rId4" w:history="1">
        <w:r w:rsidRPr="00185CBA">
          <w:rPr>
            <w:rStyle w:val="Hyperlink"/>
          </w:rPr>
          <w:t>https</w:t>
        </w:r>
        <w:r w:rsidRPr="00313D74">
          <w:rPr>
            <w:rStyle w:val="Hyperlink"/>
            <w:lang w:val="ru-RU"/>
          </w:rPr>
          <w:t>://</w:t>
        </w:r>
        <w:r w:rsidRPr="00185CBA">
          <w:rPr>
            <w:rStyle w:val="Hyperlink"/>
          </w:rPr>
          <w:t>gacweb</w:t>
        </w:r>
        <w:r w:rsidRPr="00313D74">
          <w:rPr>
            <w:rStyle w:val="Hyperlink"/>
            <w:lang w:val="ru-RU"/>
          </w:rPr>
          <w:t>.</w:t>
        </w:r>
        <w:r w:rsidRPr="00185CBA">
          <w:rPr>
            <w:rStyle w:val="Hyperlink"/>
          </w:rPr>
          <w:t>icann</w:t>
        </w:r>
        <w:r w:rsidRPr="00313D74">
          <w:rPr>
            <w:rStyle w:val="Hyperlink"/>
            <w:lang w:val="ru-RU"/>
          </w:rPr>
          <w:t>.</w:t>
        </w:r>
        <w:r w:rsidRPr="00185CBA">
          <w:rPr>
            <w:rStyle w:val="Hyperlink"/>
          </w:rPr>
          <w:t>org</w:t>
        </w:r>
        <w:r w:rsidRPr="00313D74">
          <w:rPr>
            <w:rStyle w:val="Hyperlink"/>
            <w:lang w:val="ru-RU"/>
          </w:rPr>
          <w:t>/</w:t>
        </w:r>
        <w:r w:rsidRPr="00185CBA">
          <w:rPr>
            <w:rStyle w:val="Hyperlink"/>
          </w:rPr>
          <w:t>download</w:t>
        </w:r>
        <w:r w:rsidRPr="00313D74">
          <w:rPr>
            <w:rStyle w:val="Hyperlink"/>
            <w:lang w:val="ru-RU"/>
          </w:rPr>
          <w:t>/</w:t>
        </w:r>
        <w:r w:rsidRPr="00185CBA">
          <w:rPr>
            <w:rStyle w:val="Hyperlink"/>
          </w:rPr>
          <w:t>attachments</w:t>
        </w:r>
        <w:r w:rsidRPr="00313D74">
          <w:rPr>
            <w:rStyle w:val="Hyperlink"/>
            <w:lang w:val="ru-RU"/>
          </w:rPr>
          <w:t>/27132037/</w:t>
        </w:r>
        <w:r w:rsidRPr="00185CBA">
          <w:rPr>
            <w:rStyle w:val="Hyperlink"/>
          </w:rPr>
          <w:t>Beijing</w:t>
        </w:r>
        <w:r w:rsidRPr="00313D74">
          <w:rPr>
            <w:rStyle w:val="Hyperlink"/>
            <w:lang w:val="ru-RU"/>
          </w:rPr>
          <w:t>%20</w:t>
        </w:r>
        <w:r w:rsidRPr="00185CBA">
          <w:rPr>
            <w:rStyle w:val="Hyperlink"/>
          </w:rPr>
          <w:t>Communique</w:t>
        </w:r>
        <w:r w:rsidRPr="00313D74">
          <w:rPr>
            <w:rStyle w:val="Hyperlink"/>
            <w:lang w:val="ru-RU"/>
          </w:rPr>
          <w:t>%20</w:t>
        </w:r>
        <w:r w:rsidRPr="00185CBA">
          <w:rPr>
            <w:rStyle w:val="Hyperlink"/>
          </w:rPr>
          <w:t>april</w:t>
        </w:r>
        <w:r w:rsidRPr="00313D74">
          <w:rPr>
            <w:rStyle w:val="Hyperlink"/>
            <w:lang w:val="ru-RU"/>
          </w:rPr>
          <w:t>2013_</w:t>
        </w:r>
        <w:r w:rsidRPr="00185CBA">
          <w:rPr>
            <w:rStyle w:val="Hyperlink"/>
          </w:rPr>
          <w:t>Final</w:t>
        </w:r>
        <w:r w:rsidRPr="00313D74">
          <w:rPr>
            <w:rStyle w:val="Hyperlink"/>
            <w:lang w:val="ru-RU"/>
          </w:rPr>
          <w:t>.</w:t>
        </w:r>
        <w:r w:rsidRPr="00185CBA">
          <w:rPr>
            <w:rStyle w:val="Hyperlink"/>
          </w:rPr>
          <w:t>pdf</w:t>
        </w:r>
      </w:hyperlink>
      <w:r w:rsidRPr="00313D74">
        <w:rPr>
          <w:lang w:val="ru-RU"/>
        </w:rPr>
        <w:t xml:space="preserve">. </w:t>
      </w:r>
      <w:r w:rsidRPr="003C4C6B">
        <w:rPr>
          <w:lang w:val="ru-RU"/>
        </w:rPr>
        <w:t xml:space="preserve">Подгруппа </w:t>
      </w:r>
      <w:r>
        <w:rPr>
          <w:szCs w:val="18"/>
          <w:lang w:val="ru-RU"/>
        </w:rPr>
        <w:t>ПКК</w:t>
      </w:r>
      <w:r w:rsidRPr="003C4C6B">
        <w:rPr>
          <w:lang w:val="ru-RU"/>
        </w:rPr>
        <w:t xml:space="preserve"> </w:t>
      </w:r>
      <w:r w:rsidRPr="00185CBA">
        <w:rPr>
          <w:iCs/>
          <w:szCs w:val="22"/>
          <w:lang w:val="ru-RU"/>
        </w:rPr>
        <w:t>по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географическим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наименованиям</w:t>
      </w:r>
      <w:r w:rsidRPr="003C4C6B">
        <w:rPr>
          <w:iCs/>
          <w:szCs w:val="22"/>
          <w:lang w:val="ru-RU"/>
        </w:rPr>
        <w:t xml:space="preserve"> (</w:t>
      </w:r>
      <w:r w:rsidRPr="003C4C6B">
        <w:rPr>
          <w:lang w:val="ru-RU"/>
        </w:rPr>
        <w:t>подгруппа Рабо</w:t>
      </w:r>
      <w:r w:rsidRPr="00185CBA">
        <w:rPr>
          <w:lang w:val="ru-RU"/>
        </w:rPr>
        <w:t>чей</w:t>
      </w:r>
      <w:r w:rsidRPr="003C4C6B">
        <w:rPr>
          <w:lang w:val="ru-RU"/>
        </w:rPr>
        <w:t xml:space="preserve"> </w:t>
      </w:r>
      <w:r w:rsidRPr="00185CBA">
        <w:rPr>
          <w:lang w:val="ru-RU"/>
        </w:rPr>
        <w:t>группы</w:t>
      </w:r>
      <w:r w:rsidRPr="003C4C6B">
        <w:rPr>
          <w:lang w:val="ru-RU"/>
        </w:rPr>
        <w:t xml:space="preserve"> </w:t>
      </w:r>
      <w:r>
        <w:rPr>
          <w:szCs w:val="18"/>
          <w:lang w:val="ru-RU"/>
        </w:rPr>
        <w:t>ПКК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по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будущим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новым</w:t>
      </w:r>
      <w:r w:rsidRPr="003C4C6B">
        <w:rPr>
          <w:iCs/>
          <w:szCs w:val="22"/>
          <w:lang w:val="ru-RU"/>
        </w:rPr>
        <w:t xml:space="preserve"> </w:t>
      </w:r>
      <w:r w:rsidRPr="00185CBA">
        <w:rPr>
          <w:iCs/>
          <w:szCs w:val="22"/>
          <w:lang w:val="ru-RU"/>
        </w:rPr>
        <w:t>рДВУ</w:t>
      </w:r>
      <w:r w:rsidRPr="003C4C6B">
        <w:rPr>
          <w:iCs/>
          <w:szCs w:val="22"/>
          <w:lang w:val="ru-RU"/>
        </w:rPr>
        <w:t xml:space="preserve">) </w:t>
      </w:r>
      <w:r w:rsidRPr="00185CBA">
        <w:rPr>
          <w:iCs/>
          <w:szCs w:val="22"/>
          <w:lang w:val="ru-RU"/>
        </w:rPr>
        <w:t xml:space="preserve">разработала проект документа для будущих </w:t>
      </w:r>
      <w:r w:rsidRPr="003C4C6B">
        <w:rPr>
          <w:lang w:val="ru-RU"/>
        </w:rPr>
        <w:t>раунд</w:t>
      </w:r>
      <w:r w:rsidRPr="00185CBA">
        <w:rPr>
          <w:lang w:val="ru-RU"/>
        </w:rPr>
        <w:t>ов</w:t>
      </w:r>
      <w:r w:rsidRPr="003C4C6B">
        <w:rPr>
          <w:lang w:val="ru-RU"/>
        </w:rPr>
        <w:t xml:space="preserve"> приема заявок на новые рДВУ</w:t>
      </w:r>
      <w:r w:rsidRPr="00185CBA">
        <w:rPr>
          <w:lang w:val="ru-RU"/>
        </w:rPr>
        <w:t xml:space="preserve">, в котором изложены некоторые аспекты публичной политики в отношении географических наименований, который в настоящее время </w:t>
      </w:r>
      <w:r>
        <w:rPr>
          <w:lang w:val="ru-RU"/>
        </w:rPr>
        <w:t>продолжает обсуждаться</w:t>
      </w:r>
      <w:r w:rsidRPr="00185CBA">
        <w:rPr>
          <w:lang w:val="ru-RU"/>
        </w:rPr>
        <w:t xml:space="preserve"> в </w:t>
      </w:r>
      <w:r w:rsidRPr="00185CBA">
        <w:rPr>
          <w:iCs/>
          <w:szCs w:val="22"/>
        </w:rPr>
        <w:t>ICANN</w:t>
      </w:r>
      <w:r w:rsidRPr="003C4C6B">
        <w:rPr>
          <w:iCs/>
          <w:szCs w:val="22"/>
          <w:lang w:val="ru-RU"/>
        </w:rPr>
        <w:t xml:space="preserve">. </w:t>
      </w:r>
      <w:r>
        <w:rPr>
          <w:iCs/>
          <w:szCs w:val="22"/>
          <w:lang w:val="ru-RU"/>
        </w:rPr>
        <w:t>См</w:t>
      </w:r>
      <w:r w:rsidRPr="003C4C6B">
        <w:rPr>
          <w:iCs/>
          <w:szCs w:val="22"/>
          <w:lang w:val="ru-RU"/>
        </w:rPr>
        <w:t xml:space="preserve">. </w:t>
      </w:r>
      <w:hyperlink r:id="rId5" w:history="1">
        <w:r w:rsidRPr="001C013F">
          <w:rPr>
            <w:rStyle w:val="Hyperlink"/>
            <w:color w:val="000000"/>
            <w:u w:val="none"/>
          </w:rPr>
          <w:t>https</w:t>
        </w:r>
        <w:r w:rsidRPr="001C013F">
          <w:rPr>
            <w:rStyle w:val="Hyperlink"/>
            <w:color w:val="000000"/>
            <w:u w:val="none"/>
            <w:lang w:val="ru-RU"/>
          </w:rPr>
          <w:t>://</w:t>
        </w:r>
        <w:r w:rsidRPr="001C013F">
          <w:rPr>
            <w:rStyle w:val="Hyperlink"/>
            <w:color w:val="000000"/>
            <w:u w:val="none"/>
          </w:rPr>
          <w:t>gacweb</w:t>
        </w:r>
        <w:r w:rsidRPr="001C013F">
          <w:rPr>
            <w:rStyle w:val="Hyperlink"/>
            <w:color w:val="000000"/>
            <w:u w:val="none"/>
            <w:lang w:val="ru-RU"/>
          </w:rPr>
          <w:t>.</w:t>
        </w:r>
        <w:r w:rsidRPr="001C013F">
          <w:rPr>
            <w:rStyle w:val="Hyperlink"/>
            <w:color w:val="000000"/>
            <w:u w:val="none"/>
          </w:rPr>
          <w:t>icann</w:t>
        </w:r>
        <w:r w:rsidRPr="001C013F">
          <w:rPr>
            <w:rStyle w:val="Hyperlink"/>
            <w:color w:val="000000"/>
            <w:u w:val="none"/>
            <w:lang w:val="ru-RU"/>
          </w:rPr>
          <w:t>.</w:t>
        </w:r>
        <w:r w:rsidRPr="001C013F">
          <w:rPr>
            <w:rStyle w:val="Hyperlink"/>
            <w:color w:val="000000"/>
            <w:u w:val="none"/>
          </w:rPr>
          <w:t>org</w:t>
        </w:r>
        <w:r w:rsidRPr="001C013F">
          <w:rPr>
            <w:rStyle w:val="Hyperlink"/>
            <w:color w:val="000000"/>
            <w:u w:val="none"/>
            <w:lang w:val="ru-RU"/>
          </w:rPr>
          <w:t>/</w:t>
        </w:r>
        <w:r w:rsidRPr="001C013F">
          <w:rPr>
            <w:rStyle w:val="Hyperlink"/>
            <w:color w:val="000000"/>
            <w:u w:val="none"/>
          </w:rPr>
          <w:t>download</w:t>
        </w:r>
        <w:r w:rsidRPr="001C013F">
          <w:rPr>
            <w:rStyle w:val="Hyperlink"/>
            <w:color w:val="000000"/>
            <w:u w:val="none"/>
            <w:lang w:val="ru-RU"/>
          </w:rPr>
          <w:t>/</w:t>
        </w:r>
        <w:r w:rsidRPr="001C013F">
          <w:rPr>
            <w:rStyle w:val="Hyperlink"/>
            <w:color w:val="000000"/>
            <w:u w:val="none"/>
          </w:rPr>
          <w:t>attachments</w:t>
        </w:r>
        <w:r w:rsidRPr="001C013F">
          <w:rPr>
            <w:rStyle w:val="Hyperlink"/>
            <w:color w:val="000000"/>
            <w:u w:val="none"/>
            <w:lang w:val="ru-RU"/>
          </w:rPr>
          <w:t>/27132037/</w:t>
        </w:r>
        <w:r w:rsidRPr="001C013F">
          <w:rPr>
            <w:rStyle w:val="Hyperlink"/>
            <w:color w:val="000000"/>
            <w:u w:val="none"/>
          </w:rPr>
          <w:t>Geo</w:t>
        </w:r>
        <w:r w:rsidRPr="001C013F">
          <w:rPr>
            <w:rStyle w:val="Hyperlink"/>
            <w:color w:val="000000"/>
            <w:u w:val="none"/>
            <w:lang w:val="ru-RU"/>
          </w:rPr>
          <w:t>%20</w:t>
        </w:r>
        <w:r w:rsidRPr="001C013F">
          <w:rPr>
            <w:rStyle w:val="Hyperlink"/>
            <w:color w:val="000000"/>
            <w:u w:val="none"/>
          </w:rPr>
          <w:t>names</w:t>
        </w:r>
        <w:r w:rsidRPr="001C013F">
          <w:rPr>
            <w:rStyle w:val="Hyperlink"/>
            <w:color w:val="000000"/>
            <w:u w:val="none"/>
            <w:lang w:val="ru-RU"/>
          </w:rPr>
          <w:t>%20</w:t>
        </w:r>
        <w:r w:rsidRPr="001C013F">
          <w:rPr>
            <w:rStyle w:val="Hyperlink"/>
            <w:color w:val="000000"/>
            <w:u w:val="none"/>
          </w:rPr>
          <w:t>in</w:t>
        </w:r>
        <w:r w:rsidRPr="001C013F">
          <w:rPr>
            <w:rStyle w:val="Hyperlink"/>
            <w:color w:val="000000"/>
            <w:u w:val="none"/>
            <w:lang w:val="ru-RU"/>
          </w:rPr>
          <w:t>%20</w:t>
        </w:r>
        <w:r w:rsidRPr="001C013F">
          <w:rPr>
            <w:rStyle w:val="Hyperlink"/>
            <w:color w:val="000000"/>
            <w:u w:val="none"/>
          </w:rPr>
          <w:t>new</w:t>
        </w:r>
        <w:r w:rsidRPr="001C013F">
          <w:rPr>
            <w:rStyle w:val="Hyperlink"/>
            <w:color w:val="000000"/>
            <w:u w:val="none"/>
            <w:lang w:val="ru-RU"/>
          </w:rPr>
          <w:t>%20</w:t>
        </w:r>
        <w:r w:rsidRPr="001C013F">
          <w:rPr>
            <w:rStyle w:val="Hyperlink"/>
            <w:color w:val="000000"/>
            <w:u w:val="none"/>
          </w:rPr>
          <w:t>gTLDs</w:t>
        </w:r>
        <w:r w:rsidRPr="001C013F">
          <w:rPr>
            <w:rStyle w:val="Hyperlink"/>
            <w:color w:val="000000"/>
            <w:u w:val="none"/>
            <w:lang w:val="ru-RU"/>
          </w:rPr>
          <w:t>%20</w:t>
        </w:r>
        <w:r w:rsidRPr="001C013F">
          <w:rPr>
            <w:rStyle w:val="Hyperlink"/>
            <w:color w:val="000000"/>
            <w:u w:val="none"/>
          </w:rPr>
          <w:t>Updated</w:t>
        </w:r>
        <w:r w:rsidRPr="001C013F">
          <w:rPr>
            <w:rStyle w:val="Hyperlink"/>
            <w:color w:val="000000"/>
            <w:u w:val="none"/>
            <w:lang w:val="ru-RU"/>
          </w:rPr>
          <w:t>%20%20</w:t>
        </w:r>
        <w:r w:rsidRPr="001C013F">
          <w:rPr>
            <w:rStyle w:val="Hyperlink"/>
            <w:color w:val="000000"/>
            <w:u w:val="none"/>
          </w:rPr>
          <w:t>V</w:t>
        </w:r>
        <w:r w:rsidRPr="001C013F">
          <w:rPr>
            <w:rStyle w:val="Hyperlink"/>
            <w:color w:val="000000"/>
            <w:u w:val="none"/>
            <w:lang w:val="ru-RU"/>
          </w:rPr>
          <w:t>3%20%2029%20</w:t>
        </w:r>
        <w:r w:rsidRPr="001C013F">
          <w:rPr>
            <w:rStyle w:val="Hyperlink"/>
            <w:color w:val="000000"/>
            <w:u w:val="none"/>
          </w:rPr>
          <w:t>august</w:t>
        </w:r>
        <w:r w:rsidRPr="001C013F">
          <w:rPr>
            <w:rStyle w:val="Hyperlink"/>
            <w:color w:val="000000"/>
            <w:u w:val="none"/>
            <w:lang w:val="ru-RU"/>
          </w:rPr>
          <w:t>%202014%5</w:t>
        </w:r>
        <w:r w:rsidRPr="001C013F">
          <w:rPr>
            <w:rStyle w:val="Hyperlink"/>
            <w:color w:val="000000"/>
            <w:u w:val="none"/>
          </w:rPr>
          <w:t>B</w:t>
        </w:r>
        <w:r w:rsidRPr="001C013F">
          <w:rPr>
            <w:rStyle w:val="Hyperlink"/>
            <w:color w:val="000000"/>
            <w:u w:val="none"/>
            <w:lang w:val="ru-RU"/>
          </w:rPr>
          <w:t>4%5</w:t>
        </w:r>
        <w:r w:rsidRPr="001C013F">
          <w:rPr>
            <w:rStyle w:val="Hyperlink"/>
            <w:color w:val="000000"/>
            <w:u w:val="none"/>
          </w:rPr>
          <w:t>D</w:t>
        </w:r>
        <w:r w:rsidRPr="001C013F">
          <w:rPr>
            <w:rStyle w:val="Hyperlink"/>
            <w:color w:val="000000"/>
            <w:u w:val="none"/>
            <w:lang w:val="ru-RU"/>
          </w:rPr>
          <w:t>.</w:t>
        </w:r>
        <w:r w:rsidRPr="001C013F">
          <w:rPr>
            <w:rStyle w:val="Hyperlink"/>
            <w:color w:val="000000"/>
            <w:u w:val="none"/>
          </w:rPr>
          <w:t>pdf</w:t>
        </w:r>
        <w:r w:rsidRPr="001C013F">
          <w:rPr>
            <w:rStyle w:val="Hyperlink"/>
            <w:color w:val="000000"/>
            <w:u w:val="none"/>
            <w:lang w:val="ru-RU"/>
          </w:rPr>
          <w:t>?</w:t>
        </w:r>
        <w:r w:rsidRPr="001C013F">
          <w:rPr>
            <w:rStyle w:val="Hyperlink"/>
            <w:color w:val="000000"/>
            <w:u w:val="none"/>
          </w:rPr>
          <w:t>version</w:t>
        </w:r>
        <w:r w:rsidRPr="001C013F">
          <w:rPr>
            <w:rStyle w:val="Hyperlink"/>
            <w:color w:val="000000"/>
            <w:u w:val="none"/>
            <w:lang w:val="ru-RU"/>
          </w:rPr>
          <w:t>=1&amp;</w:t>
        </w:r>
        <w:r w:rsidRPr="001C013F">
          <w:rPr>
            <w:rStyle w:val="Hyperlink"/>
            <w:color w:val="000000"/>
            <w:u w:val="none"/>
          </w:rPr>
          <w:t>modificationDate</w:t>
        </w:r>
        <w:r w:rsidRPr="001C013F">
          <w:rPr>
            <w:rStyle w:val="Hyperlink"/>
            <w:color w:val="000000"/>
            <w:u w:val="none"/>
            <w:lang w:val="ru-RU"/>
          </w:rPr>
          <w:t>=1411549935000&amp;</w:t>
        </w:r>
        <w:r w:rsidRPr="001C013F">
          <w:rPr>
            <w:rStyle w:val="Hyperlink"/>
            <w:color w:val="000000"/>
            <w:u w:val="none"/>
          </w:rPr>
          <w:t>api</w:t>
        </w:r>
        <w:r w:rsidRPr="001C013F">
          <w:rPr>
            <w:rStyle w:val="Hyperlink"/>
            <w:color w:val="000000"/>
            <w:u w:val="none"/>
            <w:lang w:val="ru-RU"/>
          </w:rPr>
          <w:t>=</w:t>
        </w:r>
        <w:r w:rsidRPr="001C013F">
          <w:rPr>
            <w:rStyle w:val="Hyperlink"/>
            <w:color w:val="000000"/>
            <w:u w:val="none"/>
          </w:rPr>
          <w:t>v</w:t>
        </w:r>
        <w:r w:rsidRPr="001C013F">
          <w:rPr>
            <w:rStyle w:val="Hyperlink"/>
            <w:color w:val="000000"/>
            <w:u w:val="none"/>
            <w:lang w:val="ru-RU"/>
          </w:rPr>
          <w:t>2</w:t>
        </w:r>
      </w:hyperlink>
      <w:r w:rsidRPr="001C013F">
        <w:rPr>
          <w:color w:val="000000"/>
          <w:lang w:val="ru-RU"/>
        </w:rPr>
        <w:t>.</w:t>
      </w:r>
    </w:p>
  </w:footnote>
  <w:footnote w:id="66">
    <w:p w:rsidR="00CA720F" w:rsidRPr="00CA720F" w:rsidRDefault="00CA720F" w:rsidP="00384EE8">
      <w:pPr>
        <w:pStyle w:val="FootnoteText"/>
        <w:rPr>
          <w:szCs w:val="18"/>
          <w:lang w:val="ru-RU"/>
        </w:rPr>
      </w:pPr>
      <w:r w:rsidRPr="003A09DF">
        <w:rPr>
          <w:rStyle w:val="FootnoteReference"/>
        </w:rPr>
        <w:footnoteRef/>
      </w:r>
      <w:r w:rsidRPr="00CA720F">
        <w:rPr>
          <w:rStyle w:val="FootnoteReference"/>
          <w:lang w:val="ru-RU"/>
        </w:rPr>
        <w:t xml:space="preserve"> </w:t>
      </w:r>
      <w:r w:rsidRPr="00CA72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205828">
        <w:rPr>
          <w:szCs w:val="18"/>
          <w:lang w:val="ru-RU"/>
        </w:rPr>
        <w:t xml:space="preserve">., </w:t>
      </w:r>
      <w:r w:rsidRPr="00EE5914">
        <w:rPr>
          <w:szCs w:val="18"/>
          <w:lang w:val="ru-RU"/>
        </w:rPr>
        <w:t>например</w:t>
      </w:r>
      <w:r w:rsidRPr="00205828">
        <w:rPr>
          <w:szCs w:val="18"/>
          <w:lang w:val="ru-RU"/>
        </w:rPr>
        <w:t>, документ</w:t>
      </w:r>
      <w:r>
        <w:rPr>
          <w:szCs w:val="18"/>
          <w:lang w:val="ru-RU"/>
        </w:rPr>
        <w:t>ы</w:t>
      </w:r>
      <w:r w:rsidRPr="00205828">
        <w:rPr>
          <w:szCs w:val="18"/>
          <w:lang w:val="ru-RU"/>
        </w:rPr>
        <w:t xml:space="preserve"> </w:t>
      </w:r>
      <w:r>
        <w:rPr>
          <w:szCs w:val="18"/>
        </w:rPr>
        <w:t>SCT</w:t>
      </w:r>
      <w:r w:rsidRPr="00205828">
        <w:rPr>
          <w:szCs w:val="18"/>
          <w:lang w:val="ru-RU"/>
        </w:rPr>
        <w:t xml:space="preserve">/24/4, </w:t>
      </w:r>
      <w:r>
        <w:rPr>
          <w:szCs w:val="18"/>
        </w:rPr>
        <w:t>SCT</w:t>
      </w:r>
      <w:r w:rsidRPr="00205828">
        <w:rPr>
          <w:szCs w:val="18"/>
          <w:lang w:val="ru-RU"/>
        </w:rPr>
        <w:t xml:space="preserve"> 25/3, </w:t>
      </w:r>
      <w:r>
        <w:rPr>
          <w:szCs w:val="18"/>
        </w:rPr>
        <w:t>SCT</w:t>
      </w:r>
      <w:r w:rsidRPr="00205828">
        <w:rPr>
          <w:szCs w:val="18"/>
          <w:lang w:val="ru-RU"/>
        </w:rPr>
        <w:t xml:space="preserve"> 26/6 </w:t>
      </w:r>
      <w:r>
        <w:rPr>
          <w:szCs w:val="18"/>
          <w:lang w:val="ru-RU"/>
        </w:rPr>
        <w:t xml:space="preserve">и </w:t>
      </w:r>
      <w:r w:rsidRPr="00205828">
        <w:rPr>
          <w:szCs w:val="18"/>
          <w:lang w:val="ru-RU"/>
        </w:rPr>
        <w:t>27/8.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0F" w:rsidRDefault="00CA720F" w:rsidP="00477D6B">
    <w:pPr>
      <w:jc w:val="right"/>
    </w:pPr>
    <w:bookmarkStart w:id="8" w:name="Code2"/>
    <w:bookmarkEnd w:id="8"/>
    <w:r>
      <w:t>WO/GA/47/14</w:t>
    </w:r>
  </w:p>
  <w:p w:rsidR="00CA720F" w:rsidRDefault="00CA720F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702B39">
      <w:rPr>
        <w:noProof/>
      </w:rPr>
      <w:t>15</w:t>
    </w:r>
    <w:r>
      <w:fldChar w:fldCharType="end"/>
    </w:r>
  </w:p>
  <w:p w:rsidR="00CA720F" w:rsidRDefault="00CA720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BB1F57"/>
    <w:multiLevelType w:val="hybridMultilevel"/>
    <w:tmpl w:val="D5D4AD0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6548"/>
    <w:multiLevelType w:val="hybridMultilevel"/>
    <w:tmpl w:val="C5E8EEB6"/>
    <w:lvl w:ilvl="0" w:tplc="B07AC554">
      <w:start w:val="1"/>
      <w:numFmt w:val="lowerRoman"/>
      <w:lvlText w:val="(%1)"/>
      <w:lvlJc w:val="left"/>
      <w:pPr>
        <w:ind w:left="18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D354EA7"/>
    <w:multiLevelType w:val="hybridMultilevel"/>
    <w:tmpl w:val="E0F60134"/>
    <w:lvl w:ilvl="0" w:tplc="04090017">
      <w:start w:val="1"/>
      <w:numFmt w:val="lowerLetter"/>
      <w:lvlText w:val="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7E6B91"/>
    <w:multiLevelType w:val="multilevel"/>
    <w:tmpl w:val="0CDA56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FE3A1D"/>
    <w:multiLevelType w:val="hybridMultilevel"/>
    <w:tmpl w:val="FB6ADDE2"/>
    <w:lvl w:ilvl="0" w:tplc="F996B52C">
      <w:start w:val="1"/>
      <w:numFmt w:val="lowerRoman"/>
      <w:lvlText w:val="(%1)"/>
      <w:lvlJc w:val="left"/>
      <w:pPr>
        <w:ind w:left="18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1BCD3DE8"/>
    <w:multiLevelType w:val="hybridMultilevel"/>
    <w:tmpl w:val="ECE0E356"/>
    <w:lvl w:ilvl="0" w:tplc="0FD6DA12">
      <w:start w:val="1"/>
      <w:numFmt w:val="lowerRoman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2747A9A"/>
    <w:multiLevelType w:val="hybridMultilevel"/>
    <w:tmpl w:val="CC9E7D70"/>
    <w:lvl w:ilvl="0" w:tplc="A536958E">
      <w:start w:val="3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B12FE"/>
    <w:multiLevelType w:val="hybridMultilevel"/>
    <w:tmpl w:val="F9F829BC"/>
    <w:lvl w:ilvl="0" w:tplc="B7664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67E7C">
      <w:start w:val="1"/>
      <w:numFmt w:val="lowerLetter"/>
      <w:lvlText w:val="(%2)"/>
      <w:lvlJc w:val="left"/>
      <w:pPr>
        <w:ind w:left="1656" w:hanging="576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2461"/>
    <w:multiLevelType w:val="hybridMultilevel"/>
    <w:tmpl w:val="4FA27BB2"/>
    <w:lvl w:ilvl="0" w:tplc="DCB0F3D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2F72A8"/>
    <w:multiLevelType w:val="hybridMultilevel"/>
    <w:tmpl w:val="CDB05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E4F86"/>
    <w:multiLevelType w:val="hybridMultilevel"/>
    <w:tmpl w:val="C9CC3F8C"/>
    <w:lvl w:ilvl="0" w:tplc="005C486C">
      <w:start w:val="2"/>
      <w:numFmt w:val="lowerLetter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257AB"/>
    <w:multiLevelType w:val="hybridMultilevel"/>
    <w:tmpl w:val="0286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A20E6"/>
    <w:multiLevelType w:val="hybridMultilevel"/>
    <w:tmpl w:val="AE7EBBC0"/>
    <w:lvl w:ilvl="0" w:tplc="125A75E2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D6A6F27"/>
    <w:multiLevelType w:val="hybridMultilevel"/>
    <w:tmpl w:val="DDFC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D210B"/>
    <w:multiLevelType w:val="hybridMultilevel"/>
    <w:tmpl w:val="3EAEF82E"/>
    <w:lvl w:ilvl="0" w:tplc="9626B6C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935A699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819EF478">
      <w:start w:val="1"/>
      <w:numFmt w:val="upperLetter"/>
      <w:lvlText w:val="%3."/>
      <w:lvlJc w:val="left"/>
      <w:pPr>
        <w:ind w:left="2544" w:hanging="564"/>
      </w:pPr>
      <w:rPr>
        <w:rFonts w:hint="default"/>
      </w:rPr>
    </w:lvl>
    <w:lvl w:ilvl="3" w:tplc="BF7A55CC">
      <w:start w:val="1"/>
      <w:numFmt w:val="lowerRoman"/>
      <w:lvlText w:val="(%4)"/>
      <w:lvlJc w:val="left"/>
      <w:pPr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34847"/>
    <w:multiLevelType w:val="hybridMultilevel"/>
    <w:tmpl w:val="D410E016"/>
    <w:lvl w:ilvl="0" w:tplc="23D867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537663"/>
    <w:multiLevelType w:val="hybridMultilevel"/>
    <w:tmpl w:val="F4E0E82E"/>
    <w:lvl w:ilvl="0" w:tplc="0032FEF8">
      <w:start w:val="4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A1CE0"/>
    <w:multiLevelType w:val="hybridMultilevel"/>
    <w:tmpl w:val="4AE6BE0E"/>
    <w:lvl w:ilvl="0" w:tplc="7D3A76C2">
      <w:start w:val="1"/>
      <w:numFmt w:val="lowerRoman"/>
      <w:lvlText w:val="(%1)"/>
      <w:lvlJc w:val="left"/>
      <w:pPr>
        <w:ind w:left="18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6EEC14B3"/>
    <w:multiLevelType w:val="hybridMultilevel"/>
    <w:tmpl w:val="4C8E34C8"/>
    <w:lvl w:ilvl="0" w:tplc="125A75E2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712B4864"/>
    <w:multiLevelType w:val="hybridMultilevel"/>
    <w:tmpl w:val="BFD630B8"/>
    <w:lvl w:ilvl="0" w:tplc="DCB0F3D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454990"/>
    <w:multiLevelType w:val="hybridMultilevel"/>
    <w:tmpl w:val="CA8C07D6"/>
    <w:lvl w:ilvl="0" w:tplc="DCB0F3D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2"/>
  </w:num>
  <w:num w:numId="11">
    <w:abstractNumId w:val="21"/>
  </w:num>
  <w:num w:numId="12">
    <w:abstractNumId w:val="15"/>
  </w:num>
  <w:num w:numId="13">
    <w:abstractNumId w:val="10"/>
  </w:num>
  <w:num w:numId="14">
    <w:abstractNumId w:val="22"/>
  </w:num>
  <w:num w:numId="15">
    <w:abstractNumId w:val="3"/>
  </w:num>
  <w:num w:numId="16">
    <w:abstractNumId w:val="23"/>
  </w:num>
  <w:num w:numId="17">
    <w:abstractNumId w:val="7"/>
  </w:num>
  <w:num w:numId="18">
    <w:abstractNumId w:val="11"/>
  </w:num>
  <w:num w:numId="19">
    <w:abstractNumId w:val="20"/>
  </w:num>
  <w:num w:numId="20">
    <w:abstractNumId w:val="25"/>
  </w:num>
  <w:num w:numId="21">
    <w:abstractNumId w:val="17"/>
  </w:num>
  <w:num w:numId="22">
    <w:abstractNumId w:val="19"/>
  </w:num>
  <w:num w:numId="23">
    <w:abstractNumId w:val="5"/>
  </w:num>
  <w:num w:numId="24">
    <w:abstractNumId w:val="26"/>
  </w:num>
  <w:num w:numId="25">
    <w:abstractNumId w:val="24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7"/>
    <w:rsid w:val="0001182E"/>
    <w:rsid w:val="00027793"/>
    <w:rsid w:val="00043CAA"/>
    <w:rsid w:val="000442D5"/>
    <w:rsid w:val="00047A9D"/>
    <w:rsid w:val="00047E13"/>
    <w:rsid w:val="00075432"/>
    <w:rsid w:val="00086BE7"/>
    <w:rsid w:val="00086C90"/>
    <w:rsid w:val="000968ED"/>
    <w:rsid w:val="000D6A58"/>
    <w:rsid w:val="000D6DE0"/>
    <w:rsid w:val="000E2EF1"/>
    <w:rsid w:val="000F5E56"/>
    <w:rsid w:val="00102167"/>
    <w:rsid w:val="00113061"/>
    <w:rsid w:val="00123300"/>
    <w:rsid w:val="00124C28"/>
    <w:rsid w:val="00131099"/>
    <w:rsid w:val="001362EE"/>
    <w:rsid w:val="00140AF1"/>
    <w:rsid w:val="00141A29"/>
    <w:rsid w:val="0015130E"/>
    <w:rsid w:val="001607D6"/>
    <w:rsid w:val="00166C30"/>
    <w:rsid w:val="001832A6"/>
    <w:rsid w:val="00194CA1"/>
    <w:rsid w:val="00194EFB"/>
    <w:rsid w:val="001B516F"/>
    <w:rsid w:val="001C013F"/>
    <w:rsid w:val="001C3405"/>
    <w:rsid w:val="001C6973"/>
    <w:rsid w:val="001D0864"/>
    <w:rsid w:val="001D2551"/>
    <w:rsid w:val="002205EA"/>
    <w:rsid w:val="00223A9B"/>
    <w:rsid w:val="00233CCC"/>
    <w:rsid w:val="00261CAD"/>
    <w:rsid w:val="002634C4"/>
    <w:rsid w:val="0026657A"/>
    <w:rsid w:val="00272EB9"/>
    <w:rsid w:val="0029121F"/>
    <w:rsid w:val="002928D3"/>
    <w:rsid w:val="002F1FE6"/>
    <w:rsid w:val="002F4E68"/>
    <w:rsid w:val="00312F7F"/>
    <w:rsid w:val="00313D74"/>
    <w:rsid w:val="003228B7"/>
    <w:rsid w:val="00331C07"/>
    <w:rsid w:val="003320C2"/>
    <w:rsid w:val="00340400"/>
    <w:rsid w:val="00351399"/>
    <w:rsid w:val="00352DDF"/>
    <w:rsid w:val="00362FD0"/>
    <w:rsid w:val="00366552"/>
    <w:rsid w:val="003673CF"/>
    <w:rsid w:val="0037155E"/>
    <w:rsid w:val="003845C1"/>
    <w:rsid w:val="00384EE8"/>
    <w:rsid w:val="003A09DF"/>
    <w:rsid w:val="003A6F89"/>
    <w:rsid w:val="003B38C1"/>
    <w:rsid w:val="003D0E9F"/>
    <w:rsid w:val="003F266C"/>
    <w:rsid w:val="003F346D"/>
    <w:rsid w:val="00423E3E"/>
    <w:rsid w:val="00427AF4"/>
    <w:rsid w:val="004400E2"/>
    <w:rsid w:val="00455036"/>
    <w:rsid w:val="004640C0"/>
    <w:rsid w:val="004647DA"/>
    <w:rsid w:val="00474062"/>
    <w:rsid w:val="00477D6B"/>
    <w:rsid w:val="00486A94"/>
    <w:rsid w:val="004B5D31"/>
    <w:rsid w:val="004C2D33"/>
    <w:rsid w:val="004E4C31"/>
    <w:rsid w:val="004F0CFE"/>
    <w:rsid w:val="004F16FF"/>
    <w:rsid w:val="004F1EC3"/>
    <w:rsid w:val="004F5F66"/>
    <w:rsid w:val="0050649E"/>
    <w:rsid w:val="00506EE2"/>
    <w:rsid w:val="0053057A"/>
    <w:rsid w:val="005447C7"/>
    <w:rsid w:val="00553814"/>
    <w:rsid w:val="00560A29"/>
    <w:rsid w:val="005731B6"/>
    <w:rsid w:val="00577D56"/>
    <w:rsid w:val="0058307C"/>
    <w:rsid w:val="00592397"/>
    <w:rsid w:val="005A4169"/>
    <w:rsid w:val="005A7E4F"/>
    <w:rsid w:val="005B099F"/>
    <w:rsid w:val="005B35E3"/>
    <w:rsid w:val="005E2771"/>
    <w:rsid w:val="005E5F2B"/>
    <w:rsid w:val="005F543A"/>
    <w:rsid w:val="005F7F38"/>
    <w:rsid w:val="006013CB"/>
    <w:rsid w:val="00605827"/>
    <w:rsid w:val="00627957"/>
    <w:rsid w:val="0063452C"/>
    <w:rsid w:val="00643CBB"/>
    <w:rsid w:val="00646050"/>
    <w:rsid w:val="00647B5B"/>
    <w:rsid w:val="00647F81"/>
    <w:rsid w:val="006562D8"/>
    <w:rsid w:val="006713CA"/>
    <w:rsid w:val="00676C5C"/>
    <w:rsid w:val="00687020"/>
    <w:rsid w:val="006A5051"/>
    <w:rsid w:val="006B0ABD"/>
    <w:rsid w:val="006B2C62"/>
    <w:rsid w:val="006B4418"/>
    <w:rsid w:val="006B57CE"/>
    <w:rsid w:val="00702B39"/>
    <w:rsid w:val="007058FB"/>
    <w:rsid w:val="00754A54"/>
    <w:rsid w:val="007764D2"/>
    <w:rsid w:val="007B17B5"/>
    <w:rsid w:val="007B3153"/>
    <w:rsid w:val="007B3921"/>
    <w:rsid w:val="007B6A58"/>
    <w:rsid w:val="007D1613"/>
    <w:rsid w:val="007E22BD"/>
    <w:rsid w:val="00812D68"/>
    <w:rsid w:val="00816A60"/>
    <w:rsid w:val="008232F5"/>
    <w:rsid w:val="00831B4F"/>
    <w:rsid w:val="008603F8"/>
    <w:rsid w:val="00880158"/>
    <w:rsid w:val="00895213"/>
    <w:rsid w:val="008973B0"/>
    <w:rsid w:val="008A7C96"/>
    <w:rsid w:val="008B1844"/>
    <w:rsid w:val="008B2CC1"/>
    <w:rsid w:val="008B2E20"/>
    <w:rsid w:val="008B60B0"/>
    <w:rsid w:val="008B60B2"/>
    <w:rsid w:val="008C7934"/>
    <w:rsid w:val="008D07ED"/>
    <w:rsid w:val="0090731E"/>
    <w:rsid w:val="00916EE2"/>
    <w:rsid w:val="00917B80"/>
    <w:rsid w:val="0092594C"/>
    <w:rsid w:val="009417B6"/>
    <w:rsid w:val="009546F2"/>
    <w:rsid w:val="00955AF2"/>
    <w:rsid w:val="00956D69"/>
    <w:rsid w:val="00966A22"/>
    <w:rsid w:val="00966BE0"/>
    <w:rsid w:val="0096722F"/>
    <w:rsid w:val="00980843"/>
    <w:rsid w:val="00991391"/>
    <w:rsid w:val="009933F9"/>
    <w:rsid w:val="009B3283"/>
    <w:rsid w:val="009B59E6"/>
    <w:rsid w:val="009D55D4"/>
    <w:rsid w:val="009E2791"/>
    <w:rsid w:val="009E3F6F"/>
    <w:rsid w:val="009F499F"/>
    <w:rsid w:val="00A31B5D"/>
    <w:rsid w:val="00A42DAF"/>
    <w:rsid w:val="00A43C58"/>
    <w:rsid w:val="00A45BD8"/>
    <w:rsid w:val="00A57D58"/>
    <w:rsid w:val="00A57D9C"/>
    <w:rsid w:val="00A85B8E"/>
    <w:rsid w:val="00AC205C"/>
    <w:rsid w:val="00AC6B02"/>
    <w:rsid w:val="00B00C4D"/>
    <w:rsid w:val="00B05A69"/>
    <w:rsid w:val="00B26D45"/>
    <w:rsid w:val="00B40326"/>
    <w:rsid w:val="00B5235C"/>
    <w:rsid w:val="00B55059"/>
    <w:rsid w:val="00B60E66"/>
    <w:rsid w:val="00B761FB"/>
    <w:rsid w:val="00B8411E"/>
    <w:rsid w:val="00B9734B"/>
    <w:rsid w:val="00BA1B8B"/>
    <w:rsid w:val="00BB3ADD"/>
    <w:rsid w:val="00BC5505"/>
    <w:rsid w:val="00BE2EF8"/>
    <w:rsid w:val="00BE6F54"/>
    <w:rsid w:val="00BF7E86"/>
    <w:rsid w:val="00C11BFE"/>
    <w:rsid w:val="00C32196"/>
    <w:rsid w:val="00C339B8"/>
    <w:rsid w:val="00C53186"/>
    <w:rsid w:val="00C65F2F"/>
    <w:rsid w:val="00C72C92"/>
    <w:rsid w:val="00C74E09"/>
    <w:rsid w:val="00C94629"/>
    <w:rsid w:val="00CA720F"/>
    <w:rsid w:val="00CC2D01"/>
    <w:rsid w:val="00CE1B4E"/>
    <w:rsid w:val="00CF4D8B"/>
    <w:rsid w:val="00D04990"/>
    <w:rsid w:val="00D11707"/>
    <w:rsid w:val="00D11D05"/>
    <w:rsid w:val="00D36FF7"/>
    <w:rsid w:val="00D45252"/>
    <w:rsid w:val="00D55BC1"/>
    <w:rsid w:val="00D61B74"/>
    <w:rsid w:val="00D71B4D"/>
    <w:rsid w:val="00D80760"/>
    <w:rsid w:val="00D832E9"/>
    <w:rsid w:val="00D913A3"/>
    <w:rsid w:val="00D9278A"/>
    <w:rsid w:val="00D93D55"/>
    <w:rsid w:val="00DC4340"/>
    <w:rsid w:val="00DC527E"/>
    <w:rsid w:val="00DF0CA4"/>
    <w:rsid w:val="00DF420B"/>
    <w:rsid w:val="00DF4485"/>
    <w:rsid w:val="00DF67C1"/>
    <w:rsid w:val="00E03485"/>
    <w:rsid w:val="00E105A8"/>
    <w:rsid w:val="00E15A73"/>
    <w:rsid w:val="00E30E6B"/>
    <w:rsid w:val="00E335FE"/>
    <w:rsid w:val="00E46CAE"/>
    <w:rsid w:val="00E5021F"/>
    <w:rsid w:val="00E5343C"/>
    <w:rsid w:val="00E71985"/>
    <w:rsid w:val="00E71BC9"/>
    <w:rsid w:val="00E85A8B"/>
    <w:rsid w:val="00E932F6"/>
    <w:rsid w:val="00E936FC"/>
    <w:rsid w:val="00EA32DB"/>
    <w:rsid w:val="00EC4E49"/>
    <w:rsid w:val="00EC781E"/>
    <w:rsid w:val="00EC7C95"/>
    <w:rsid w:val="00ED77FB"/>
    <w:rsid w:val="00EE61C1"/>
    <w:rsid w:val="00EF5710"/>
    <w:rsid w:val="00F021A6"/>
    <w:rsid w:val="00F03388"/>
    <w:rsid w:val="00F07344"/>
    <w:rsid w:val="00F30B69"/>
    <w:rsid w:val="00F43B2F"/>
    <w:rsid w:val="00F455B5"/>
    <w:rsid w:val="00F51C50"/>
    <w:rsid w:val="00F52A26"/>
    <w:rsid w:val="00F55A1C"/>
    <w:rsid w:val="00F66152"/>
    <w:rsid w:val="00F700F1"/>
    <w:rsid w:val="00F73D73"/>
    <w:rsid w:val="00F807AD"/>
    <w:rsid w:val="00F92B15"/>
    <w:rsid w:val="00F94DDB"/>
    <w:rsid w:val="00FA0B25"/>
    <w:rsid w:val="00FB0E81"/>
    <w:rsid w:val="00FD0DD4"/>
    <w:rsid w:val="00FD24D7"/>
    <w:rsid w:val="00FD4971"/>
    <w:rsid w:val="00FD5764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link w:val="Heading1"/>
    <w:rsid w:val="00384EE8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link w:val="Heading2"/>
    <w:rsid w:val="00384EE8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384EE8"/>
    <w:rPr>
      <w:rFonts w:ascii="Arial" w:eastAsia="SimSun" w:hAnsi="Arial" w:cs="Arial"/>
      <w:bCs/>
      <w:sz w:val="22"/>
      <w:szCs w:val="26"/>
      <w:u w:val="single"/>
    </w:rPr>
  </w:style>
  <w:style w:type="character" w:customStyle="1" w:styleId="FooterChar">
    <w:name w:val="Footer Char"/>
    <w:link w:val="Footer"/>
    <w:semiHidden/>
    <w:rsid w:val="00384EE8"/>
    <w:rPr>
      <w:rFonts w:ascii="Arial" w:eastAsia="SimSun" w:hAnsi="Arial" w:cs="Arial"/>
      <w:sz w:val="22"/>
    </w:rPr>
  </w:style>
  <w:style w:type="character" w:customStyle="1" w:styleId="FootnoteTextChar">
    <w:name w:val="Footnote Text Char"/>
    <w:link w:val="FootnoteText"/>
    <w:uiPriority w:val="99"/>
    <w:semiHidden/>
    <w:rsid w:val="00384EE8"/>
    <w:rPr>
      <w:rFonts w:ascii="Arial" w:eastAsia="SimSun" w:hAnsi="Arial" w:cs="Arial"/>
      <w:sz w:val="18"/>
    </w:rPr>
  </w:style>
  <w:style w:type="paragraph" w:customStyle="1" w:styleId="DecisionInvitingPara">
    <w:name w:val="Decision Inviting Para."/>
    <w:basedOn w:val="Normal"/>
    <w:rsid w:val="00384EE8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otnoteReference">
    <w:name w:val="footnote reference"/>
    <w:rsid w:val="00384EE8"/>
    <w:rPr>
      <w:vertAlign w:val="superscript"/>
    </w:rPr>
  </w:style>
  <w:style w:type="character" w:customStyle="1" w:styleId="ONUMEChar">
    <w:name w:val="ONUM E Char"/>
    <w:link w:val="ONUME"/>
    <w:rsid w:val="00384EE8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384EE8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rsid w:val="005F7F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24C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24C2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28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24C28"/>
    <w:rPr>
      <w:rFonts w:ascii="Arial" w:eastAsia="SimSun" w:hAnsi="Arial" w:cs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C72C92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AlfaNormalTextChar">
    <w:name w:val="Alfa Normal Text Char"/>
    <w:basedOn w:val="DefaultParagraphFont"/>
    <w:rsid w:val="00917B80"/>
    <w:rPr>
      <w:rFonts w:ascii="Arial" w:hAnsi="Arial"/>
      <w:noProof w:val="0"/>
      <w:sz w:val="22"/>
      <w:szCs w:val="22"/>
      <w:lang w:val="en-US" w:eastAsia="en-US" w:bidi="ar-SA"/>
    </w:rPr>
  </w:style>
  <w:style w:type="paragraph" w:styleId="List">
    <w:name w:val="List"/>
    <w:basedOn w:val="Normal"/>
    <w:rsid w:val="00A57D9C"/>
    <w:pPr>
      <w:ind w:left="283" w:hanging="283"/>
      <w:contextualSpacing/>
    </w:pPr>
  </w:style>
  <w:style w:type="character" w:customStyle="1" w:styleId="FootnoteReference1">
    <w:name w:val="Footnote Reference1"/>
    <w:rsid w:val="008973B0"/>
    <w:rPr>
      <w:vertAlign w:val="superscript"/>
    </w:rPr>
  </w:style>
  <w:style w:type="character" w:customStyle="1" w:styleId="FootnoteCharacters">
    <w:name w:val="Footnote Characters"/>
    <w:rsid w:val="008973B0"/>
  </w:style>
  <w:style w:type="paragraph" w:customStyle="1" w:styleId="FootnoteText1">
    <w:name w:val="Footnote Text1"/>
    <w:basedOn w:val="Normal"/>
    <w:rsid w:val="008973B0"/>
    <w:pPr>
      <w:suppressAutoHyphens/>
    </w:pPr>
    <w:rPr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link w:val="Heading1"/>
    <w:rsid w:val="00384EE8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link w:val="Heading2"/>
    <w:rsid w:val="00384EE8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384EE8"/>
    <w:rPr>
      <w:rFonts w:ascii="Arial" w:eastAsia="SimSun" w:hAnsi="Arial" w:cs="Arial"/>
      <w:bCs/>
      <w:sz w:val="22"/>
      <w:szCs w:val="26"/>
      <w:u w:val="single"/>
    </w:rPr>
  </w:style>
  <w:style w:type="character" w:customStyle="1" w:styleId="FooterChar">
    <w:name w:val="Footer Char"/>
    <w:link w:val="Footer"/>
    <w:semiHidden/>
    <w:rsid w:val="00384EE8"/>
    <w:rPr>
      <w:rFonts w:ascii="Arial" w:eastAsia="SimSun" w:hAnsi="Arial" w:cs="Arial"/>
      <w:sz w:val="22"/>
    </w:rPr>
  </w:style>
  <w:style w:type="character" w:customStyle="1" w:styleId="FootnoteTextChar">
    <w:name w:val="Footnote Text Char"/>
    <w:link w:val="FootnoteText"/>
    <w:uiPriority w:val="99"/>
    <w:semiHidden/>
    <w:rsid w:val="00384EE8"/>
    <w:rPr>
      <w:rFonts w:ascii="Arial" w:eastAsia="SimSun" w:hAnsi="Arial" w:cs="Arial"/>
      <w:sz w:val="18"/>
    </w:rPr>
  </w:style>
  <w:style w:type="paragraph" w:customStyle="1" w:styleId="DecisionInvitingPara">
    <w:name w:val="Decision Inviting Para."/>
    <w:basedOn w:val="Normal"/>
    <w:rsid w:val="00384EE8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otnoteReference">
    <w:name w:val="footnote reference"/>
    <w:rsid w:val="00384EE8"/>
    <w:rPr>
      <w:vertAlign w:val="superscript"/>
    </w:rPr>
  </w:style>
  <w:style w:type="character" w:customStyle="1" w:styleId="ONUMEChar">
    <w:name w:val="ONUM E Char"/>
    <w:link w:val="ONUME"/>
    <w:rsid w:val="00384EE8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384EE8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rsid w:val="005F7F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24C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24C2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28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24C28"/>
    <w:rPr>
      <w:rFonts w:ascii="Arial" w:eastAsia="SimSun" w:hAnsi="Arial" w:cs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C72C92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AlfaNormalTextChar">
    <w:name w:val="Alfa Normal Text Char"/>
    <w:basedOn w:val="DefaultParagraphFont"/>
    <w:rsid w:val="00917B80"/>
    <w:rPr>
      <w:rFonts w:ascii="Arial" w:hAnsi="Arial"/>
      <w:noProof w:val="0"/>
      <w:sz w:val="22"/>
      <w:szCs w:val="22"/>
      <w:lang w:val="en-US" w:eastAsia="en-US" w:bidi="ar-SA"/>
    </w:rPr>
  </w:style>
  <w:style w:type="paragraph" w:styleId="List">
    <w:name w:val="List"/>
    <w:basedOn w:val="Normal"/>
    <w:rsid w:val="00A57D9C"/>
    <w:pPr>
      <w:ind w:left="283" w:hanging="283"/>
      <w:contextualSpacing/>
    </w:pPr>
  </w:style>
  <w:style w:type="character" w:customStyle="1" w:styleId="FootnoteReference1">
    <w:name w:val="Footnote Reference1"/>
    <w:rsid w:val="008973B0"/>
    <w:rPr>
      <w:vertAlign w:val="superscript"/>
    </w:rPr>
  </w:style>
  <w:style w:type="character" w:customStyle="1" w:styleId="FootnoteCharacters">
    <w:name w:val="Footnote Characters"/>
    <w:rsid w:val="008973B0"/>
  </w:style>
  <w:style w:type="paragraph" w:customStyle="1" w:styleId="FootnoteText1">
    <w:name w:val="Footnote Text1"/>
    <w:basedOn w:val="Normal"/>
    <w:rsid w:val="008973B0"/>
    <w:pPr>
      <w:suppressAutoHyphens/>
    </w:pPr>
    <w:rPr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oronto45.icann.org/node/34325" TargetMode="External"/><Relationship Id="rId2" Type="http://schemas.openxmlformats.org/officeDocument/2006/relationships/hyperlink" Target="http://prague44.icann.org/node/31773" TargetMode="External"/><Relationship Id="rId1" Type="http://schemas.openxmlformats.org/officeDocument/2006/relationships/hyperlink" Target="http://newgtlds.icann.org/en/applicants/agb/objectionprocedures-04jun12-en.pdf" TargetMode="External"/><Relationship Id="rId5" Type="http://schemas.openxmlformats.org/officeDocument/2006/relationships/hyperlink" Target="https://gacweb.icann.org/download/attachments/27132037/Geo%20names%20in%20new%20gTLDs%20Updated%20%20V3%20%2029%20august%202014%5B4%5D.pdf?version=1&amp;modificationDate=1411549935000&amp;api=v2" TargetMode="External"/><Relationship Id="rId4" Type="http://schemas.openxmlformats.org/officeDocument/2006/relationships/hyperlink" Target="https://gacweb.icann.org/download/attachments/27132037/Beijing%20Communique%20april2013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F5CD-9E9E-4E4F-B191-1BC2AA28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4317</Words>
  <Characters>28428</Characters>
  <Application>Microsoft Office Word</Application>
  <DocSecurity>0</DocSecurity>
  <Lines>7107</Lines>
  <Paragraphs>2182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WO/GA/47/</vt:lpstr>
      <vt:lpstr>WO/GA/47/</vt:lpstr>
    </vt:vector>
  </TitlesOfParts>
  <Company>WIPO</Company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RATTRAY Adam</dc:creator>
  <cp:lastModifiedBy>HÄFLIGER Patience</cp:lastModifiedBy>
  <cp:revision>4</cp:revision>
  <cp:lastPrinted>2015-06-30T14:12:00Z</cp:lastPrinted>
  <dcterms:created xsi:type="dcterms:W3CDTF">2015-06-30T12:27:00Z</dcterms:created>
  <dcterms:modified xsi:type="dcterms:W3CDTF">2015-06-30T14:49:00Z</dcterms:modified>
</cp:coreProperties>
</file>