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42AB9" w:rsidRDefault="00B92F1F" w:rsidP="008E137E">
      <w:pPr>
        <w:spacing w:before="360" w:after="240"/>
        <w:jc w:val="right"/>
        <w:rPr>
          <w:b/>
          <w:sz w:val="32"/>
          <w:szCs w:val="40"/>
        </w:rPr>
      </w:pPr>
      <w:r w:rsidRPr="00742AB9">
        <w:rPr>
          <w:noProof/>
          <w:sz w:val="28"/>
          <w:szCs w:val="28"/>
          <w:lang w:val="fr-CH" w:eastAsia="fr-CH"/>
        </w:rPr>
        <w:drawing>
          <wp:inline distT="0" distB="0" distL="0" distR="0" wp14:anchorId="055BC574" wp14:editId="2CB2A23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742AB9" w:rsidRDefault="00EE5045" w:rsidP="008E137E">
      <w:pPr>
        <w:pBdr>
          <w:top w:val="single" w:sz="4" w:space="16" w:color="auto"/>
        </w:pBdr>
        <w:jc w:val="right"/>
        <w:rPr>
          <w:rFonts w:ascii="Arial Black" w:hAnsi="Arial Black"/>
          <w:caps/>
          <w:sz w:val="15"/>
          <w:szCs w:val="15"/>
        </w:rPr>
      </w:pPr>
      <w:r w:rsidRPr="00742AB9">
        <w:rPr>
          <w:rFonts w:ascii="Arial Black" w:hAnsi="Arial Black"/>
          <w:caps/>
          <w:sz w:val="15"/>
          <w:szCs w:val="15"/>
        </w:rPr>
        <w:t>H</w:t>
      </w:r>
      <w:r w:rsidR="00556656" w:rsidRPr="00742AB9">
        <w:rPr>
          <w:rFonts w:ascii="Arial Black" w:hAnsi="Arial Black"/>
          <w:caps/>
          <w:sz w:val="15"/>
          <w:szCs w:val="15"/>
        </w:rPr>
        <w:t>/</w:t>
      </w:r>
      <w:r w:rsidR="008E137E" w:rsidRPr="00742AB9">
        <w:rPr>
          <w:rFonts w:ascii="Arial Black" w:hAnsi="Arial Black"/>
          <w:caps/>
          <w:sz w:val="15"/>
          <w:szCs w:val="15"/>
        </w:rPr>
        <w:t>LD</w:t>
      </w:r>
      <w:r w:rsidR="00556656" w:rsidRPr="00742AB9">
        <w:rPr>
          <w:rFonts w:ascii="Arial Black" w:hAnsi="Arial Black"/>
          <w:caps/>
          <w:sz w:val="15"/>
          <w:szCs w:val="15"/>
        </w:rPr>
        <w:t>/</w:t>
      </w:r>
      <w:bookmarkStart w:id="0" w:name="Code"/>
      <w:r w:rsidR="00BE26AD" w:rsidRPr="00742AB9">
        <w:rPr>
          <w:rFonts w:ascii="Arial Black" w:hAnsi="Arial Black"/>
          <w:caps/>
          <w:sz w:val="15"/>
          <w:szCs w:val="15"/>
        </w:rPr>
        <w:t>WG/9</w:t>
      </w:r>
      <w:r w:rsidR="0066593C" w:rsidRPr="00742AB9">
        <w:rPr>
          <w:rFonts w:ascii="Arial Black" w:hAnsi="Arial Black"/>
          <w:caps/>
          <w:sz w:val="15"/>
          <w:szCs w:val="15"/>
        </w:rPr>
        <w:t>/</w:t>
      </w:r>
      <w:r w:rsidR="00D56485" w:rsidRPr="00742AB9">
        <w:rPr>
          <w:rFonts w:ascii="Arial Black" w:hAnsi="Arial Black"/>
          <w:caps/>
          <w:sz w:val="15"/>
          <w:szCs w:val="15"/>
        </w:rPr>
        <w:t>4</w:t>
      </w:r>
    </w:p>
    <w:bookmarkEnd w:id="0"/>
    <w:p w:rsidR="008B2CC1" w:rsidRPr="00742AB9" w:rsidRDefault="00EB2F76" w:rsidP="008E137E">
      <w:pPr>
        <w:jc w:val="right"/>
        <w:rPr>
          <w:rFonts w:ascii="Arial Black" w:hAnsi="Arial Black"/>
          <w:caps/>
          <w:sz w:val="15"/>
          <w:szCs w:val="15"/>
        </w:rPr>
      </w:pPr>
      <w:r w:rsidRPr="00742AB9">
        <w:rPr>
          <w:rFonts w:ascii="Arial Black" w:hAnsi="Arial Black"/>
          <w:caps/>
          <w:sz w:val="15"/>
          <w:szCs w:val="15"/>
        </w:rPr>
        <w:t xml:space="preserve">ORIGINAL: </w:t>
      </w:r>
      <w:bookmarkStart w:id="1" w:name="Original"/>
      <w:r w:rsidR="008E137E" w:rsidRPr="00742AB9">
        <w:rPr>
          <w:rFonts w:ascii="Arial Black" w:hAnsi="Arial Black"/>
          <w:caps/>
          <w:sz w:val="15"/>
          <w:szCs w:val="15"/>
        </w:rPr>
        <w:t xml:space="preserve"> ENGLISH</w:t>
      </w:r>
    </w:p>
    <w:bookmarkEnd w:id="1"/>
    <w:p w:rsidR="008B2CC1" w:rsidRPr="00742AB9" w:rsidRDefault="00EB2F76" w:rsidP="008E137E">
      <w:pPr>
        <w:spacing w:after="1200"/>
        <w:jc w:val="right"/>
        <w:rPr>
          <w:rFonts w:ascii="Arial Black" w:hAnsi="Arial Black"/>
          <w:caps/>
          <w:sz w:val="15"/>
          <w:szCs w:val="15"/>
        </w:rPr>
      </w:pPr>
      <w:r w:rsidRPr="00742AB9">
        <w:rPr>
          <w:rFonts w:ascii="Arial Black" w:hAnsi="Arial Black"/>
          <w:caps/>
          <w:sz w:val="15"/>
          <w:szCs w:val="15"/>
        </w:rPr>
        <w:t>DATE:</w:t>
      </w:r>
      <w:r w:rsidR="008E137E" w:rsidRPr="00742AB9">
        <w:rPr>
          <w:rFonts w:ascii="Arial Black" w:hAnsi="Arial Black"/>
          <w:caps/>
          <w:sz w:val="15"/>
          <w:szCs w:val="15"/>
        </w:rPr>
        <w:t xml:space="preserve"> </w:t>
      </w:r>
      <w:r w:rsidRPr="00742AB9">
        <w:rPr>
          <w:rFonts w:ascii="Arial Black" w:hAnsi="Arial Black"/>
          <w:caps/>
          <w:sz w:val="15"/>
          <w:szCs w:val="15"/>
        </w:rPr>
        <w:t xml:space="preserve"> </w:t>
      </w:r>
      <w:bookmarkStart w:id="2" w:name="Date"/>
      <w:r w:rsidR="004A1923">
        <w:rPr>
          <w:rFonts w:ascii="Arial Black" w:hAnsi="Arial Black"/>
          <w:caps/>
          <w:sz w:val="15"/>
          <w:szCs w:val="15"/>
        </w:rPr>
        <w:t>november 6</w:t>
      </w:r>
      <w:bookmarkStart w:id="3" w:name="_GoBack"/>
      <w:bookmarkEnd w:id="3"/>
      <w:r w:rsidR="008E137E" w:rsidRPr="00742AB9">
        <w:rPr>
          <w:rFonts w:ascii="Arial Black" w:hAnsi="Arial Black"/>
          <w:caps/>
          <w:sz w:val="15"/>
          <w:szCs w:val="15"/>
        </w:rPr>
        <w:t>, 2020</w:t>
      </w:r>
    </w:p>
    <w:bookmarkEnd w:id="2"/>
    <w:p w:rsidR="00BE26AD" w:rsidRPr="00742AB9" w:rsidRDefault="00BE26AD" w:rsidP="00BE26AD">
      <w:pPr>
        <w:spacing w:before="1200"/>
        <w:rPr>
          <w:b/>
          <w:sz w:val="28"/>
          <w:szCs w:val="28"/>
        </w:rPr>
      </w:pPr>
      <w:r w:rsidRPr="00742AB9">
        <w:rPr>
          <w:b/>
          <w:sz w:val="28"/>
          <w:szCs w:val="28"/>
        </w:rPr>
        <w:t>Working Group on the Legal Development of the Hague System for the International Registration of Industrial Designs</w:t>
      </w:r>
    </w:p>
    <w:p w:rsidR="00BE26AD" w:rsidRPr="00742AB9" w:rsidRDefault="00BE26AD" w:rsidP="00BE26AD">
      <w:pPr>
        <w:spacing w:before="480"/>
        <w:rPr>
          <w:b/>
          <w:sz w:val="24"/>
          <w:szCs w:val="24"/>
        </w:rPr>
      </w:pPr>
      <w:r w:rsidRPr="00742AB9">
        <w:rPr>
          <w:b/>
          <w:sz w:val="24"/>
          <w:szCs w:val="24"/>
        </w:rPr>
        <w:t>Ninth Session</w:t>
      </w:r>
    </w:p>
    <w:p w:rsidR="00BE26AD" w:rsidRPr="00742AB9" w:rsidRDefault="00BE26AD" w:rsidP="00BE26AD">
      <w:pPr>
        <w:rPr>
          <w:b/>
          <w:sz w:val="24"/>
          <w:szCs w:val="24"/>
        </w:rPr>
      </w:pPr>
      <w:r w:rsidRPr="00742AB9">
        <w:rPr>
          <w:b/>
          <w:sz w:val="24"/>
          <w:szCs w:val="24"/>
        </w:rPr>
        <w:t>Geneva, December 14 to 16, 2020</w:t>
      </w:r>
    </w:p>
    <w:p w:rsidR="00BE26AD" w:rsidRPr="00742AB9" w:rsidRDefault="00BE26AD" w:rsidP="00BE26AD">
      <w:pPr>
        <w:spacing w:before="720"/>
        <w:rPr>
          <w:caps/>
          <w:sz w:val="24"/>
        </w:rPr>
      </w:pPr>
      <w:r w:rsidRPr="00742AB9">
        <w:rPr>
          <w:sz w:val="24"/>
        </w:rPr>
        <w:t>ADVANCED STUDY OF THE COST IMPLICATIONS AND TECHNICAL FEASIBILITY OF THE</w:t>
      </w:r>
      <w:r w:rsidRPr="00742AB9">
        <w:t> </w:t>
      </w:r>
      <w:r w:rsidRPr="00742AB9">
        <w:rPr>
          <w:sz w:val="24"/>
        </w:rPr>
        <w:t xml:space="preserve">INTRODUCTION OF THE CHINESE AND RUSSIAN </w:t>
      </w:r>
      <w:r w:rsidRPr="00742AB9">
        <w:rPr>
          <w:caps/>
          <w:sz w:val="24"/>
        </w:rPr>
        <w:t>Languages Into the hague System</w:t>
      </w:r>
    </w:p>
    <w:p w:rsidR="00BE26AD" w:rsidRPr="00742AB9" w:rsidRDefault="00BE26AD" w:rsidP="00BE26AD">
      <w:pPr>
        <w:spacing w:before="240" w:after="480"/>
        <w:rPr>
          <w:i/>
        </w:rPr>
      </w:pPr>
      <w:proofErr w:type="gramStart"/>
      <w:r w:rsidRPr="00742AB9">
        <w:rPr>
          <w:i/>
        </w:rPr>
        <w:t>prepared</w:t>
      </w:r>
      <w:proofErr w:type="gramEnd"/>
      <w:r w:rsidRPr="00742AB9">
        <w:rPr>
          <w:i/>
        </w:rPr>
        <w:t xml:space="preserve"> by the International Bureau</w:t>
      </w:r>
    </w:p>
    <w:p w:rsidR="00BE26AD" w:rsidRPr="00742AB9" w:rsidRDefault="00BE26AD" w:rsidP="00BE26AD">
      <w:pPr>
        <w:pStyle w:val="Heading1"/>
      </w:pPr>
      <w:r w:rsidRPr="00742AB9">
        <w:t>INTRODUCTION</w:t>
      </w:r>
    </w:p>
    <w:p w:rsidR="00BE26AD" w:rsidRPr="00742AB9" w:rsidRDefault="00A70344" w:rsidP="000D6624">
      <w:pPr>
        <w:pStyle w:val="ONUME"/>
        <w:numPr>
          <w:ilvl w:val="0"/>
          <w:numId w:val="0"/>
        </w:numPr>
      </w:pPr>
      <w:r w:rsidRPr="00742AB9">
        <w:t>1.</w:t>
      </w:r>
      <w:r w:rsidR="00BE26AD" w:rsidRPr="00742AB9">
        <w:tab/>
      </w:r>
      <w:r w:rsidR="006624AB" w:rsidRPr="00742AB9">
        <w:t>At its</w:t>
      </w:r>
      <w:r w:rsidR="00BE26AD" w:rsidRPr="00742AB9">
        <w:t xml:space="preserve"> eigh</w:t>
      </w:r>
      <w:r w:rsidR="006624AB" w:rsidRPr="00742AB9">
        <w:t>th session</w:t>
      </w:r>
      <w:r w:rsidR="00BE26AD" w:rsidRPr="00742AB9">
        <w:t>, held from October 30 to November 1, 2019, the </w:t>
      </w:r>
      <w:r w:rsidR="006624AB" w:rsidRPr="00742AB9">
        <w:t>Working Group on the Legal Development of the Hague System for the International Registration of Industrial Designs (hereinafter referred to as the “Working Group” and the “Hague System”)</w:t>
      </w:r>
      <w:r w:rsidR="00BE26AD" w:rsidRPr="00742AB9">
        <w:t xml:space="preserve"> discussed document H/LD/WG/8/5</w:t>
      </w:r>
      <w:r w:rsidR="00221B92">
        <w:t>,</w:t>
      </w:r>
      <w:r w:rsidR="00BE26AD" w:rsidRPr="00742AB9">
        <w:t xml:space="preserve"> </w:t>
      </w:r>
      <w:r w:rsidR="00EA44AA" w:rsidRPr="00742AB9">
        <w:t xml:space="preserve">which </w:t>
      </w:r>
      <w:r w:rsidR="006F68E2" w:rsidRPr="00742AB9">
        <w:t>is entitled “P</w:t>
      </w:r>
      <w:r w:rsidR="00BE26AD" w:rsidRPr="00742AB9">
        <w:t xml:space="preserve">ossible </w:t>
      </w:r>
      <w:r w:rsidR="006F68E2" w:rsidRPr="00742AB9">
        <w:t>O</w:t>
      </w:r>
      <w:r w:rsidR="00BE26AD" w:rsidRPr="00742AB9">
        <w:t xml:space="preserve">ptions for the </w:t>
      </w:r>
      <w:r w:rsidR="006F68E2" w:rsidRPr="00742AB9">
        <w:t>I</w:t>
      </w:r>
      <w:r w:rsidR="00BE26AD" w:rsidRPr="00742AB9">
        <w:t xml:space="preserve">ntroduction of </w:t>
      </w:r>
      <w:r w:rsidR="006F68E2" w:rsidRPr="00742AB9">
        <w:t>N</w:t>
      </w:r>
      <w:r w:rsidR="00BE26AD" w:rsidRPr="00742AB9">
        <w:t xml:space="preserve">ew </w:t>
      </w:r>
      <w:r w:rsidR="006F68E2" w:rsidRPr="00742AB9">
        <w:t>L</w:t>
      </w:r>
      <w:r w:rsidR="006624AB" w:rsidRPr="00742AB9">
        <w:t>anguages</w:t>
      </w:r>
      <w:r w:rsidR="006F68E2" w:rsidRPr="00742AB9">
        <w:t xml:space="preserve"> into the Hague System</w:t>
      </w:r>
      <w:r w:rsidR="000D665D" w:rsidRPr="00742AB9">
        <w:t>”</w:t>
      </w:r>
      <w:r w:rsidR="00BE26AD" w:rsidRPr="00742AB9">
        <w:t>.</w:t>
      </w:r>
    </w:p>
    <w:p w:rsidR="00BE26AD" w:rsidRPr="00742AB9" w:rsidRDefault="00BE26AD" w:rsidP="00BE26AD">
      <w:pPr>
        <w:pStyle w:val="ONUME"/>
        <w:numPr>
          <w:ilvl w:val="0"/>
          <w:numId w:val="0"/>
        </w:numPr>
      </w:pPr>
      <w:r w:rsidRPr="00742AB9">
        <w:t>2.</w:t>
      </w:r>
      <w:r w:rsidRPr="00742AB9">
        <w:tab/>
        <w:t xml:space="preserve">The Working Group requested the International Bureau to prepare, for discussion at its next session, </w:t>
      </w:r>
      <w:r w:rsidRPr="00742AB9">
        <w:rPr>
          <w:lang w:eastAsia="en-US"/>
        </w:rPr>
        <w:t>an advanced study of the cost implications and technical feasibility of the introduction of the Chinese and Russian languages into the Hague System</w:t>
      </w:r>
      <w:r w:rsidR="00475D83" w:rsidRPr="00742AB9">
        <w:rPr>
          <w:rStyle w:val="FootnoteReference"/>
          <w:lang w:eastAsia="en-US"/>
        </w:rPr>
        <w:footnoteReference w:id="2"/>
      </w:r>
      <w:r w:rsidRPr="00742AB9">
        <w:t>.</w:t>
      </w:r>
    </w:p>
    <w:p w:rsidR="00F677DE" w:rsidRPr="00742AB9" w:rsidRDefault="00BE26AD" w:rsidP="00F677DE">
      <w:pPr>
        <w:pStyle w:val="ONUME"/>
        <w:numPr>
          <w:ilvl w:val="0"/>
          <w:numId w:val="0"/>
        </w:numPr>
      </w:pPr>
      <w:r w:rsidRPr="00742AB9">
        <w:t>3.</w:t>
      </w:r>
      <w:r w:rsidRPr="00742AB9">
        <w:tab/>
        <w:t xml:space="preserve">This document presents the cost implications and technical feasibility of introducing the </w:t>
      </w:r>
      <w:r w:rsidR="006624AB" w:rsidRPr="00742AB9">
        <w:t>aforementioned</w:t>
      </w:r>
      <w:r w:rsidRPr="00742AB9">
        <w:t xml:space="preserve"> </w:t>
      </w:r>
      <w:r w:rsidR="00D723E7" w:rsidRPr="00742AB9">
        <w:t xml:space="preserve">two </w:t>
      </w:r>
      <w:r w:rsidRPr="00742AB9">
        <w:t xml:space="preserve">languages simultaneously, as well as an assessment of the availability of materials and tools for </w:t>
      </w:r>
      <w:r w:rsidR="00A47D79">
        <w:t xml:space="preserve">users of the </w:t>
      </w:r>
      <w:r w:rsidR="00EA44AA" w:rsidRPr="00742AB9">
        <w:t>Hague System</w:t>
      </w:r>
      <w:r w:rsidRPr="00742AB9">
        <w:t xml:space="preserve"> in English, </w:t>
      </w:r>
      <w:r w:rsidR="00221B92" w:rsidRPr="00742AB9">
        <w:t>Chinese,</w:t>
      </w:r>
      <w:r w:rsidR="00221B92">
        <w:t xml:space="preserve"> </w:t>
      </w:r>
      <w:r w:rsidRPr="00742AB9">
        <w:t xml:space="preserve">French, </w:t>
      </w:r>
      <w:r w:rsidR="00BC01B8" w:rsidRPr="00742AB9">
        <w:t xml:space="preserve">Russian and </w:t>
      </w:r>
      <w:r w:rsidRPr="00742AB9">
        <w:t>Spanish.</w:t>
      </w:r>
    </w:p>
    <w:p w:rsidR="00AB6323" w:rsidRPr="00742AB9" w:rsidRDefault="00AD273D" w:rsidP="00CE04A8">
      <w:pPr>
        <w:pStyle w:val="Heading1"/>
      </w:pPr>
      <w:r w:rsidRPr="00742AB9">
        <w:t>summary of the implementation options</w:t>
      </w:r>
    </w:p>
    <w:p w:rsidR="00123C01" w:rsidRDefault="00AB6323" w:rsidP="00CE04A8">
      <w:pPr>
        <w:pStyle w:val="ONUME"/>
        <w:numPr>
          <w:ilvl w:val="0"/>
          <w:numId w:val="0"/>
        </w:numPr>
      </w:pPr>
      <w:r w:rsidRPr="00742AB9">
        <w:t>4.</w:t>
      </w:r>
      <w:r w:rsidRPr="00742AB9">
        <w:tab/>
        <w:t xml:space="preserve"> </w:t>
      </w:r>
      <w:r w:rsidR="006D78CC" w:rsidRPr="00742AB9">
        <w:t>P</w:t>
      </w:r>
      <w:r w:rsidR="00087BC2" w:rsidRPr="00742AB9">
        <w:t xml:space="preserve">ossible </w:t>
      </w:r>
      <w:r w:rsidR="000B2AE2" w:rsidRPr="00742AB9">
        <w:t xml:space="preserve">implementation </w:t>
      </w:r>
      <w:r w:rsidR="00087BC2" w:rsidRPr="00742AB9">
        <w:t>options for the introduction of new languages into the Hague System</w:t>
      </w:r>
      <w:r w:rsidR="006D78CC" w:rsidRPr="00742AB9">
        <w:t xml:space="preserve"> were </w:t>
      </w:r>
      <w:r w:rsidR="00A35FFC" w:rsidRPr="00742AB9">
        <w:t>already presented</w:t>
      </w:r>
      <w:r w:rsidR="006D78CC" w:rsidRPr="00742AB9">
        <w:t xml:space="preserve"> in document H/LD/WG/8/5</w:t>
      </w:r>
      <w:r w:rsidR="00087BC2" w:rsidRPr="00742AB9">
        <w:t>.</w:t>
      </w:r>
      <w:r w:rsidR="004B420C" w:rsidRPr="00742AB9">
        <w:t xml:space="preserve">  </w:t>
      </w:r>
      <w:r w:rsidR="00CE04A8" w:rsidRPr="00742AB9">
        <w:t>O</w:t>
      </w:r>
      <w:r w:rsidR="00A35FFC" w:rsidRPr="00742AB9">
        <w:t>ne additional option is presented</w:t>
      </w:r>
      <w:r w:rsidR="00292ACA" w:rsidRPr="00742AB9">
        <w:t xml:space="preserve"> in this document</w:t>
      </w:r>
      <w:r w:rsidR="00A35FFC" w:rsidRPr="00742AB9">
        <w:t xml:space="preserve">, since </w:t>
      </w:r>
      <w:r w:rsidR="00CE04A8" w:rsidRPr="00742AB9">
        <w:t xml:space="preserve">a </w:t>
      </w:r>
      <w:r w:rsidR="00A35FFC" w:rsidRPr="00742AB9">
        <w:t xml:space="preserve">further analysis of </w:t>
      </w:r>
      <w:r w:rsidR="007B0BAD" w:rsidRPr="00742AB9">
        <w:t xml:space="preserve">the </w:t>
      </w:r>
      <w:r w:rsidR="00A35FFC" w:rsidRPr="00742AB9">
        <w:t xml:space="preserve">implementation </w:t>
      </w:r>
      <w:r w:rsidR="007B0BAD" w:rsidRPr="00742AB9">
        <w:t xml:space="preserve">implications made it worthwhile </w:t>
      </w:r>
    </w:p>
    <w:p w:rsidR="00F633FE" w:rsidRPr="00742AB9" w:rsidRDefault="007B0BAD" w:rsidP="00CE04A8">
      <w:pPr>
        <w:pStyle w:val="ONUME"/>
        <w:numPr>
          <w:ilvl w:val="0"/>
          <w:numId w:val="0"/>
        </w:numPr>
      </w:pPr>
      <w:proofErr w:type="gramStart"/>
      <w:r w:rsidRPr="00742AB9">
        <w:lastRenderedPageBreak/>
        <w:t>to</w:t>
      </w:r>
      <w:proofErr w:type="gramEnd"/>
      <w:r w:rsidRPr="00742AB9">
        <w:t xml:space="preserve"> also outline this option for consideration by the Working Group</w:t>
      </w:r>
      <w:r w:rsidR="00A35FFC" w:rsidRPr="00742AB9">
        <w:t xml:space="preserve">.  </w:t>
      </w:r>
      <w:r w:rsidR="006D78CC" w:rsidRPr="00742AB9">
        <w:t xml:space="preserve">A summary of </w:t>
      </w:r>
      <w:r w:rsidR="00AA4977" w:rsidRPr="00742AB9">
        <w:t xml:space="preserve">the options and of </w:t>
      </w:r>
      <w:r w:rsidR="006D78CC" w:rsidRPr="00742AB9">
        <w:t>the</w:t>
      </w:r>
      <w:r w:rsidR="000B2AE2" w:rsidRPr="00742AB9">
        <w:t>ir</w:t>
      </w:r>
      <w:r w:rsidR="006D78CC" w:rsidRPr="00742AB9">
        <w:t xml:space="preserve"> main features is </w:t>
      </w:r>
      <w:r w:rsidR="000B2AE2" w:rsidRPr="00742AB9">
        <w:t>provided below</w:t>
      </w:r>
      <w:r w:rsidR="00CE04A8" w:rsidRPr="00742AB9">
        <w:t xml:space="preserve"> in the order of increasing complexity</w:t>
      </w:r>
      <w:r w:rsidR="000B2AE2" w:rsidRPr="00742AB9">
        <w:t>.</w:t>
      </w:r>
      <w:r w:rsidR="00ED4C2E" w:rsidRPr="00742AB9">
        <w:t xml:space="preserve">  </w:t>
      </w:r>
      <w:r w:rsidR="00EA44AA" w:rsidRPr="00742AB9">
        <w:t xml:space="preserve">The </w:t>
      </w:r>
      <w:r w:rsidR="00ED4C2E" w:rsidRPr="00742AB9">
        <w:t xml:space="preserve">name given to each option </w:t>
      </w:r>
      <w:r w:rsidR="00CE04A8" w:rsidRPr="00742AB9">
        <w:t xml:space="preserve">is merely descriptive and </w:t>
      </w:r>
      <w:r w:rsidR="00ED4C2E" w:rsidRPr="00742AB9">
        <w:t xml:space="preserve">should </w:t>
      </w:r>
      <w:r w:rsidR="00822530" w:rsidRPr="00742AB9">
        <w:t xml:space="preserve">therefore </w:t>
      </w:r>
      <w:r w:rsidR="00ED4C2E" w:rsidRPr="00742AB9">
        <w:t>be considered</w:t>
      </w:r>
      <w:r w:rsidR="00822530" w:rsidRPr="00742AB9">
        <w:t xml:space="preserve"> as</w:t>
      </w:r>
      <w:r w:rsidR="00ED4C2E" w:rsidRPr="00742AB9">
        <w:t xml:space="preserve"> tentative.</w:t>
      </w:r>
      <w:r w:rsidR="00CE04A8" w:rsidRPr="00742AB9">
        <w:t xml:space="preserve"> </w:t>
      </w:r>
    </w:p>
    <w:p w:rsidR="00685D23" w:rsidRPr="00742AB9" w:rsidRDefault="00685D23" w:rsidP="00CE04A8">
      <w:pPr>
        <w:pStyle w:val="ONUME"/>
        <w:numPr>
          <w:ilvl w:val="0"/>
          <w:numId w:val="0"/>
        </w:numPr>
      </w:pPr>
      <w:r w:rsidRPr="00742AB9">
        <w:t>O</w:t>
      </w:r>
      <w:r w:rsidR="005E4442" w:rsidRPr="00742AB9">
        <w:t>PTION</w:t>
      </w:r>
      <w:r w:rsidRPr="00742AB9">
        <w:t xml:space="preserve"> </w:t>
      </w:r>
      <w:r w:rsidR="00B430B6" w:rsidRPr="00742AB9">
        <w:t>“</w:t>
      </w:r>
      <w:r w:rsidRPr="00742AB9">
        <w:t>A</w:t>
      </w:r>
      <w:r w:rsidR="00B430B6" w:rsidRPr="00742AB9">
        <w:t>”</w:t>
      </w:r>
      <w:r w:rsidRPr="00742AB9">
        <w:t xml:space="preserve">: </w:t>
      </w:r>
      <w:r w:rsidR="001B05DF" w:rsidRPr="00742AB9">
        <w:t xml:space="preserve"> </w:t>
      </w:r>
      <w:r w:rsidR="00D13A8D" w:rsidRPr="00742AB9">
        <w:t>FILING LANGUAGE</w:t>
      </w:r>
    </w:p>
    <w:p w:rsidR="001B05DF" w:rsidRPr="00742AB9" w:rsidRDefault="00685D23" w:rsidP="009955D6">
      <w:pPr>
        <w:pStyle w:val="ONUME"/>
        <w:numPr>
          <w:ilvl w:val="0"/>
          <w:numId w:val="0"/>
        </w:numPr>
      </w:pPr>
      <w:r w:rsidRPr="00742AB9">
        <w:t>5.</w:t>
      </w:r>
      <w:r w:rsidRPr="00742AB9">
        <w:tab/>
        <w:t xml:space="preserve">This is a new option slightly modified from </w:t>
      </w:r>
      <w:r w:rsidR="007B0BAD" w:rsidRPr="00742AB9">
        <w:t xml:space="preserve">the </w:t>
      </w:r>
      <w:r w:rsidRPr="00742AB9">
        <w:t>filing language option presented in document H/LD/WG/8/5.  This is the least complex option.</w:t>
      </w:r>
    </w:p>
    <w:p w:rsidR="009955D6" w:rsidRPr="00742AB9" w:rsidRDefault="001B05DF" w:rsidP="009955D6">
      <w:pPr>
        <w:pStyle w:val="ONUME"/>
        <w:numPr>
          <w:ilvl w:val="0"/>
          <w:numId w:val="0"/>
        </w:numPr>
      </w:pPr>
      <w:r w:rsidRPr="00742AB9">
        <w:t>6.</w:t>
      </w:r>
      <w:r w:rsidRPr="00742AB9">
        <w:tab/>
      </w:r>
      <w:r w:rsidR="009955D6" w:rsidRPr="00742AB9">
        <w:t xml:space="preserve">Under this option, applicants would be able to file international applications in </w:t>
      </w:r>
      <w:r w:rsidR="008231CA" w:rsidRPr="00742AB9">
        <w:t xml:space="preserve">any of </w:t>
      </w:r>
      <w:r w:rsidR="009955D6" w:rsidRPr="00742AB9">
        <w:t>the new la</w:t>
      </w:r>
      <w:r w:rsidRPr="00742AB9">
        <w:t>nguage</w:t>
      </w:r>
      <w:r w:rsidR="004537B6" w:rsidRPr="00742AB9">
        <w:t>s</w:t>
      </w:r>
      <w:r w:rsidRPr="00742AB9">
        <w:t>.</w:t>
      </w:r>
    </w:p>
    <w:p w:rsidR="00685D23" w:rsidRPr="00742AB9" w:rsidRDefault="001B05DF" w:rsidP="009955D6">
      <w:pPr>
        <w:pStyle w:val="ONUME"/>
        <w:numPr>
          <w:ilvl w:val="0"/>
          <w:numId w:val="0"/>
        </w:numPr>
      </w:pPr>
      <w:r w:rsidRPr="00742AB9">
        <w:t>7.</w:t>
      </w:r>
      <w:r w:rsidRPr="00742AB9">
        <w:tab/>
      </w:r>
      <w:r w:rsidR="009955D6" w:rsidRPr="00742AB9">
        <w:t xml:space="preserve">If the international application was filed in the new language, the International Bureau would translate </w:t>
      </w:r>
      <w:r w:rsidR="007B0BAD" w:rsidRPr="00742AB9">
        <w:t xml:space="preserve">the </w:t>
      </w:r>
      <w:r w:rsidR="009955D6" w:rsidRPr="00742AB9">
        <w:t xml:space="preserve">relevant elements in the international application into </w:t>
      </w:r>
      <w:r w:rsidR="002C53CC" w:rsidRPr="00742AB9">
        <w:t>one of the three current languages (English, French or Spanish)</w:t>
      </w:r>
      <w:r w:rsidR="006F13D4" w:rsidRPr="00742AB9">
        <w:t xml:space="preserve"> </w:t>
      </w:r>
      <w:r w:rsidR="002C53CC" w:rsidRPr="00742AB9">
        <w:t>as</w:t>
      </w:r>
      <w:r w:rsidR="009955D6" w:rsidRPr="00742AB9">
        <w:t xml:space="preserve"> selected by the applicant</w:t>
      </w:r>
      <w:r w:rsidR="002C53CC" w:rsidRPr="00742AB9">
        <w:t>.</w:t>
      </w:r>
    </w:p>
    <w:p w:rsidR="00685D23" w:rsidRPr="00742AB9" w:rsidRDefault="001B05DF" w:rsidP="00B766E7">
      <w:pPr>
        <w:pStyle w:val="ONUME"/>
        <w:numPr>
          <w:ilvl w:val="0"/>
          <w:numId w:val="0"/>
        </w:numPr>
      </w:pPr>
      <w:r w:rsidRPr="00742AB9">
        <w:t>8.</w:t>
      </w:r>
      <w:r w:rsidRPr="00742AB9">
        <w:tab/>
      </w:r>
      <w:r w:rsidR="008231CA" w:rsidRPr="00742AB9">
        <w:t xml:space="preserve">Therefore, </w:t>
      </w:r>
      <w:r w:rsidR="00A70344" w:rsidRPr="00742AB9">
        <w:t>t</w:t>
      </w:r>
      <w:r w:rsidR="009955D6" w:rsidRPr="00742AB9">
        <w:t>he International Bureau would examine the international application</w:t>
      </w:r>
      <w:r w:rsidR="00EA44AA" w:rsidRPr="00742AB9">
        <w:t xml:space="preserve"> and </w:t>
      </w:r>
      <w:r w:rsidR="009955D6" w:rsidRPr="00742AB9">
        <w:t xml:space="preserve">communicate with the applicant in </w:t>
      </w:r>
      <w:r w:rsidR="002C53CC" w:rsidRPr="00742AB9">
        <w:t>English, French or Spanish</w:t>
      </w:r>
      <w:r w:rsidR="009955D6" w:rsidRPr="00742AB9">
        <w:t>.</w:t>
      </w:r>
    </w:p>
    <w:p w:rsidR="00685D23" w:rsidRPr="00742AB9" w:rsidRDefault="001B05DF" w:rsidP="00685D23">
      <w:r w:rsidRPr="00742AB9">
        <w:t>9.</w:t>
      </w:r>
      <w:r w:rsidRPr="00742AB9">
        <w:tab/>
      </w:r>
      <w:r w:rsidR="00685D23" w:rsidRPr="00742AB9">
        <w:t>Accordingly, the resulting international registration would be recorded and published in English, French and Spanish only.  All further communications concerning the international registration with the holders and Offices would continue to be in English, French or Spanish.</w:t>
      </w:r>
    </w:p>
    <w:p w:rsidR="00974C06" w:rsidRPr="00742AB9" w:rsidRDefault="000B2AE2" w:rsidP="00022BB9">
      <w:pPr>
        <w:pStyle w:val="Heading2"/>
        <w:spacing w:before="240"/>
      </w:pPr>
      <w:r w:rsidRPr="00742AB9">
        <w:t xml:space="preserve">Option </w:t>
      </w:r>
      <w:r w:rsidR="00B430B6" w:rsidRPr="00742AB9">
        <w:t>“</w:t>
      </w:r>
      <w:r w:rsidR="00292ACA" w:rsidRPr="00742AB9">
        <w:t>B</w:t>
      </w:r>
      <w:r w:rsidR="00B430B6" w:rsidRPr="00742AB9">
        <w:t>”</w:t>
      </w:r>
      <w:r w:rsidR="00F633FE" w:rsidRPr="00742AB9">
        <w:t xml:space="preserve">: </w:t>
      </w:r>
      <w:r w:rsidR="007F13D8" w:rsidRPr="00742AB9">
        <w:t xml:space="preserve"> </w:t>
      </w:r>
      <w:r w:rsidR="00F633FE" w:rsidRPr="00742AB9">
        <w:t>Filing</w:t>
      </w:r>
      <w:r w:rsidR="00685D23" w:rsidRPr="00742AB9">
        <w:t xml:space="preserve"> and communication</w:t>
      </w:r>
      <w:r w:rsidR="00F633FE" w:rsidRPr="00742AB9">
        <w:t xml:space="preserve"> language</w:t>
      </w:r>
    </w:p>
    <w:p w:rsidR="009955D6" w:rsidRPr="00742AB9" w:rsidRDefault="001B05DF" w:rsidP="00AB6323">
      <w:pPr>
        <w:pStyle w:val="ONUME"/>
        <w:numPr>
          <w:ilvl w:val="0"/>
          <w:numId w:val="0"/>
        </w:numPr>
      </w:pPr>
      <w:r w:rsidRPr="00742AB9">
        <w:t>10.</w:t>
      </w:r>
      <w:r w:rsidRPr="00742AB9">
        <w:tab/>
      </w:r>
      <w:r w:rsidR="000B2AE2" w:rsidRPr="00742AB9">
        <w:t>Th</w:t>
      </w:r>
      <w:r w:rsidR="009955D6" w:rsidRPr="00742AB9">
        <w:t xml:space="preserve">is option is </w:t>
      </w:r>
      <w:r w:rsidR="00AA5699" w:rsidRPr="00742AB9">
        <w:t xml:space="preserve">the equivalent to </w:t>
      </w:r>
      <w:r w:rsidR="009955D6" w:rsidRPr="00742AB9">
        <w:t xml:space="preserve">what </w:t>
      </w:r>
      <w:r w:rsidR="00292ACA" w:rsidRPr="00742AB9">
        <w:t>was</w:t>
      </w:r>
      <w:r w:rsidR="009955D6" w:rsidRPr="00742AB9">
        <w:t xml:space="preserve"> presented as filing language</w:t>
      </w:r>
      <w:r w:rsidR="00B766E7" w:rsidRPr="00742AB9">
        <w:t xml:space="preserve"> (option “A”)</w:t>
      </w:r>
      <w:r w:rsidR="009955D6" w:rsidRPr="00742AB9">
        <w:t xml:space="preserve"> in document H/LD/WG/8/5, but </w:t>
      </w:r>
      <w:r w:rsidR="00F20D31" w:rsidRPr="00742AB9">
        <w:t>has been</w:t>
      </w:r>
      <w:r w:rsidR="009955D6" w:rsidRPr="00742AB9">
        <w:t xml:space="preserve"> renamed </w:t>
      </w:r>
      <w:r w:rsidR="00A70344" w:rsidRPr="00742AB9">
        <w:t>“</w:t>
      </w:r>
      <w:r w:rsidR="009955D6" w:rsidRPr="00742AB9">
        <w:t>filing and communication language</w:t>
      </w:r>
      <w:r w:rsidR="00A70344" w:rsidRPr="00742AB9">
        <w:t>”</w:t>
      </w:r>
      <w:r w:rsidR="009955D6" w:rsidRPr="00742AB9">
        <w:t xml:space="preserve"> </w:t>
      </w:r>
      <w:r w:rsidR="00822530" w:rsidRPr="00742AB9">
        <w:br/>
      </w:r>
      <w:r w:rsidR="00AA5699" w:rsidRPr="00742AB9">
        <w:t xml:space="preserve">(option “B”) </w:t>
      </w:r>
      <w:r w:rsidR="009955D6" w:rsidRPr="00742AB9">
        <w:t>for the purpose of this document</w:t>
      </w:r>
      <w:r w:rsidR="004B420C" w:rsidRPr="00742AB9">
        <w:t>.</w:t>
      </w:r>
      <w:r w:rsidR="00F633FE" w:rsidRPr="00742AB9">
        <w:t xml:space="preserve">  </w:t>
      </w:r>
    </w:p>
    <w:p w:rsidR="00AE24D4" w:rsidRPr="00742AB9" w:rsidRDefault="001B05DF" w:rsidP="00AE24D4">
      <w:pPr>
        <w:pStyle w:val="ONUME"/>
        <w:numPr>
          <w:ilvl w:val="0"/>
          <w:numId w:val="0"/>
        </w:numPr>
      </w:pPr>
      <w:r w:rsidRPr="00742AB9">
        <w:t>11.</w:t>
      </w:r>
      <w:r w:rsidRPr="00742AB9">
        <w:tab/>
      </w:r>
      <w:r w:rsidR="00F633FE" w:rsidRPr="00742AB9">
        <w:t>Under this option, applicants would be able to file international applications in</w:t>
      </w:r>
      <w:r w:rsidR="00142686" w:rsidRPr="00742AB9">
        <w:t xml:space="preserve"> the new language.</w:t>
      </w:r>
      <w:r w:rsidR="0063059E" w:rsidRPr="00742AB9">
        <w:t xml:space="preserve"> </w:t>
      </w:r>
      <w:r w:rsidR="00142686" w:rsidRPr="00742AB9">
        <w:t xml:space="preserve"> </w:t>
      </w:r>
      <w:r w:rsidR="00A70344" w:rsidRPr="00742AB9">
        <w:t>Furthermore, examination of the international application and communication by the International Bureau with the applicant w</w:t>
      </w:r>
      <w:r w:rsidR="004537B6" w:rsidRPr="00742AB9">
        <w:t>ould</w:t>
      </w:r>
      <w:r w:rsidR="00A70344" w:rsidRPr="00742AB9">
        <w:t xml:space="preserve"> be in the new language.</w:t>
      </w:r>
      <w:r w:rsidR="000665EA" w:rsidRPr="00742AB9">
        <w:t xml:space="preserve">  </w:t>
      </w:r>
    </w:p>
    <w:p w:rsidR="007D7787" w:rsidRPr="00742AB9" w:rsidRDefault="00AE24D4" w:rsidP="00AE24D4">
      <w:r w:rsidRPr="00742AB9">
        <w:t>12.</w:t>
      </w:r>
      <w:r w:rsidRPr="00742AB9">
        <w:tab/>
      </w:r>
      <w:r w:rsidR="00842C3A" w:rsidRPr="00742AB9" w:rsidDel="00A70344">
        <w:t>However, the resulting international registration would be recorded and published in English, French and Spanish only.</w:t>
      </w:r>
      <w:r w:rsidR="00D644E2" w:rsidRPr="00742AB9" w:rsidDel="00A70344">
        <w:t xml:space="preserve">  All further communications concerning the international registration with the holders and Offices would continue to be in English, French or Spanish only.</w:t>
      </w:r>
    </w:p>
    <w:p w:rsidR="00142686" w:rsidRPr="00742AB9" w:rsidRDefault="00142686" w:rsidP="00022BB9">
      <w:pPr>
        <w:pStyle w:val="Heading2"/>
        <w:spacing w:before="240"/>
      </w:pPr>
      <w:r w:rsidRPr="00742AB9">
        <w:t xml:space="preserve">OPTION </w:t>
      </w:r>
      <w:r w:rsidR="00B430B6" w:rsidRPr="00742AB9">
        <w:t>“</w:t>
      </w:r>
      <w:r w:rsidR="00292ACA" w:rsidRPr="00742AB9">
        <w:t>c</w:t>
      </w:r>
      <w:r w:rsidR="00B430B6" w:rsidRPr="00742AB9">
        <w:t>”</w:t>
      </w:r>
      <w:r w:rsidRPr="00742AB9">
        <w:t xml:space="preserve">: </w:t>
      </w:r>
      <w:r w:rsidR="007F13D8" w:rsidRPr="00742AB9">
        <w:t xml:space="preserve"> </w:t>
      </w:r>
      <w:r w:rsidRPr="00742AB9">
        <w:t>PUBLICATION LANGUAGE</w:t>
      </w:r>
    </w:p>
    <w:p w:rsidR="00BB4E71" w:rsidRPr="00742AB9" w:rsidRDefault="001B05DF" w:rsidP="006D78CC">
      <w:r w:rsidRPr="00742AB9">
        <w:t>1</w:t>
      </w:r>
      <w:r w:rsidR="007E32EC" w:rsidRPr="00742AB9">
        <w:t>3</w:t>
      </w:r>
      <w:r w:rsidRPr="00742AB9">
        <w:t>.</w:t>
      </w:r>
      <w:r w:rsidRPr="00742AB9">
        <w:tab/>
      </w:r>
      <w:r w:rsidR="006D78CC" w:rsidRPr="00742AB9">
        <w:t xml:space="preserve">Building on </w:t>
      </w:r>
      <w:r w:rsidR="008E5B08" w:rsidRPr="00742AB9">
        <w:t>o</w:t>
      </w:r>
      <w:r w:rsidR="0063059E" w:rsidRPr="00742AB9">
        <w:t xml:space="preserve">ption </w:t>
      </w:r>
      <w:r w:rsidR="008E5B08" w:rsidRPr="00742AB9">
        <w:t>“</w:t>
      </w:r>
      <w:r w:rsidR="0063059E" w:rsidRPr="00742AB9">
        <w:t>B</w:t>
      </w:r>
      <w:r w:rsidR="008E5B08" w:rsidRPr="00742AB9">
        <w:t>”</w:t>
      </w:r>
      <w:r w:rsidR="0063059E" w:rsidRPr="00742AB9">
        <w:t>, in addition to filing, examination and communication</w:t>
      </w:r>
      <w:r w:rsidR="00810571" w:rsidRPr="00742AB9">
        <w:t xml:space="preserve"> with the applicant</w:t>
      </w:r>
      <w:r w:rsidR="0063059E" w:rsidRPr="00742AB9">
        <w:t xml:space="preserve"> in the new language,</w:t>
      </w:r>
      <w:r w:rsidR="006D78CC" w:rsidRPr="00742AB9">
        <w:t xml:space="preserve"> the International Bureau </w:t>
      </w:r>
      <w:r w:rsidR="008E5B08" w:rsidRPr="00742AB9">
        <w:t xml:space="preserve">would </w:t>
      </w:r>
      <w:r w:rsidR="006D78CC" w:rsidRPr="00742AB9">
        <w:t xml:space="preserve">record the international registration in that language. </w:t>
      </w:r>
      <w:r w:rsidR="00A91757" w:rsidRPr="00742AB9">
        <w:t xml:space="preserve"> </w:t>
      </w:r>
      <w:r w:rsidR="006D78CC" w:rsidRPr="00742AB9">
        <w:t xml:space="preserve">Accordingly, the international registration would be recorded and published in </w:t>
      </w:r>
      <w:r w:rsidR="0063059E" w:rsidRPr="00742AB9">
        <w:t>the new language in addition to the current three languages (in</w:t>
      </w:r>
      <w:r w:rsidR="0016209F" w:rsidRPr="00742AB9">
        <w:t xml:space="preserve"> total</w:t>
      </w:r>
      <w:r w:rsidR="0063059E" w:rsidRPr="00742AB9">
        <w:t xml:space="preserve"> </w:t>
      </w:r>
      <w:r w:rsidR="006D78CC" w:rsidRPr="00742AB9">
        <w:t>four languages</w:t>
      </w:r>
      <w:r w:rsidR="0016209F" w:rsidRPr="00742AB9">
        <w:t>)</w:t>
      </w:r>
      <w:r w:rsidR="006D78CC" w:rsidRPr="00742AB9">
        <w:t>.</w:t>
      </w:r>
    </w:p>
    <w:p w:rsidR="00742AB9" w:rsidRDefault="001B05DF" w:rsidP="00742AB9">
      <w:pPr>
        <w:spacing w:before="240" w:after="240"/>
      </w:pPr>
      <w:r w:rsidRPr="00742AB9">
        <w:t>1</w:t>
      </w:r>
      <w:r w:rsidR="007E32EC" w:rsidRPr="00742AB9">
        <w:t>4</w:t>
      </w:r>
      <w:r w:rsidRPr="00742AB9">
        <w:t>.</w:t>
      </w:r>
      <w:r w:rsidRPr="00742AB9">
        <w:tab/>
      </w:r>
      <w:r w:rsidR="006D78CC" w:rsidRPr="00742AB9">
        <w:t>Moreover, for international registrations published in that new language only, Offices of designated Contracting Parties would be able to send communications (</w:t>
      </w:r>
      <w:r w:rsidR="00996196" w:rsidRPr="00742AB9">
        <w:t>e.g</w:t>
      </w:r>
      <w:r w:rsidR="006D78CC" w:rsidRPr="00742AB9">
        <w:t>., notifications of refusal and statements of grant of protection) in th</w:t>
      </w:r>
      <w:r w:rsidR="0063059E" w:rsidRPr="00742AB9">
        <w:t>e new</w:t>
      </w:r>
      <w:r w:rsidR="006D78CC" w:rsidRPr="00742AB9">
        <w:t xml:space="preserve"> language, </w:t>
      </w:r>
      <w:r w:rsidR="00996196" w:rsidRPr="00742AB9">
        <w:t>in addition to being able to do so in</w:t>
      </w:r>
      <w:r w:rsidR="006D78CC" w:rsidRPr="00742AB9">
        <w:t xml:space="preserve"> </w:t>
      </w:r>
      <w:r w:rsidR="00BB4E71" w:rsidRPr="00742AB9">
        <w:t xml:space="preserve">English, French or Spanish. </w:t>
      </w:r>
    </w:p>
    <w:p w:rsidR="00A93167" w:rsidRPr="00742AB9" w:rsidRDefault="001B05DF" w:rsidP="00742AB9">
      <w:pPr>
        <w:spacing w:before="240" w:after="240"/>
      </w:pPr>
      <w:r w:rsidRPr="00742AB9">
        <w:t>1</w:t>
      </w:r>
      <w:r w:rsidR="007E32EC" w:rsidRPr="00742AB9">
        <w:t>5</w:t>
      </w:r>
      <w:r w:rsidRPr="00742AB9">
        <w:t>.</w:t>
      </w:r>
      <w:r w:rsidRPr="00742AB9">
        <w:tab/>
      </w:r>
      <w:r w:rsidR="00A93167" w:rsidRPr="00742AB9">
        <w:t xml:space="preserve">Holders of international registrations published in the new language would be able to send communications to the International Bureau in </w:t>
      </w:r>
      <w:r w:rsidR="001E135C" w:rsidRPr="00742AB9">
        <w:t xml:space="preserve">the new </w:t>
      </w:r>
      <w:r w:rsidR="00A93167" w:rsidRPr="00742AB9">
        <w:t>language (</w:t>
      </w:r>
      <w:r w:rsidR="00D14057" w:rsidRPr="00742AB9">
        <w:rPr>
          <w:i/>
        </w:rPr>
        <w:t>e.g</w:t>
      </w:r>
      <w:r w:rsidR="00A93167" w:rsidRPr="00742AB9">
        <w:t>., a request for the recording of a change or renewal) and receive communications from the International Bureau</w:t>
      </w:r>
      <w:r w:rsidR="001E135C" w:rsidRPr="00742AB9">
        <w:t xml:space="preserve"> also</w:t>
      </w:r>
      <w:r w:rsidR="00A93167" w:rsidRPr="00742AB9">
        <w:t xml:space="preserve"> in that language.</w:t>
      </w:r>
      <w:r w:rsidR="00511390" w:rsidRPr="00742AB9">
        <w:t xml:space="preserve">  Accordingly, </w:t>
      </w:r>
      <w:r w:rsidR="00742151" w:rsidRPr="00742AB9">
        <w:t xml:space="preserve">any resulting </w:t>
      </w:r>
      <w:r w:rsidR="00511390" w:rsidRPr="00742AB9">
        <w:t>transaction would be recorded and published in the four languages (the new language, English, French and Spanish).</w:t>
      </w:r>
    </w:p>
    <w:p w:rsidR="00A93167" w:rsidRPr="00742AB9" w:rsidRDefault="00A93167" w:rsidP="006D78CC"/>
    <w:p w:rsidR="006D78CC" w:rsidRPr="00742AB9" w:rsidRDefault="001B05DF" w:rsidP="006D78CC">
      <w:r w:rsidRPr="00742AB9">
        <w:lastRenderedPageBreak/>
        <w:t>1</w:t>
      </w:r>
      <w:r w:rsidR="007E32EC" w:rsidRPr="00742AB9">
        <w:t>6</w:t>
      </w:r>
      <w:r w:rsidRPr="00742AB9">
        <w:t>.</w:t>
      </w:r>
      <w:r w:rsidRPr="00742AB9">
        <w:tab/>
      </w:r>
      <w:r w:rsidR="006D78CC" w:rsidRPr="00742AB9">
        <w:t>The recording, publication and communications concerning international registrations that result from an application filed in English, French or Spanish would continue to be in those languages only.</w:t>
      </w:r>
    </w:p>
    <w:p w:rsidR="00142686" w:rsidRPr="00742AB9" w:rsidRDefault="00142686" w:rsidP="001B05DF">
      <w:pPr>
        <w:spacing w:before="240"/>
      </w:pPr>
      <w:r w:rsidRPr="00742AB9">
        <w:t xml:space="preserve">OPTION </w:t>
      </w:r>
      <w:r w:rsidR="00B430B6" w:rsidRPr="00742AB9">
        <w:t>“D”</w:t>
      </w:r>
      <w:r w:rsidR="00353D7D" w:rsidRPr="00742AB9">
        <w:t xml:space="preserve">: </w:t>
      </w:r>
      <w:r w:rsidR="007F13D8" w:rsidRPr="00742AB9">
        <w:t xml:space="preserve"> </w:t>
      </w:r>
      <w:r w:rsidR="000B2AE2" w:rsidRPr="00742AB9">
        <w:t>PUBLICATION AND</w:t>
      </w:r>
      <w:r w:rsidR="00353D7D" w:rsidRPr="00742AB9">
        <w:t xml:space="preserve"> </w:t>
      </w:r>
      <w:r w:rsidRPr="00742AB9">
        <w:t>OFFICE COMMUNICATION LANGUAGE</w:t>
      </w:r>
    </w:p>
    <w:p w:rsidR="008D2F93" w:rsidRPr="00742AB9" w:rsidRDefault="001B05DF" w:rsidP="001B05DF">
      <w:pPr>
        <w:spacing w:before="240"/>
      </w:pPr>
      <w:r w:rsidRPr="00742AB9">
        <w:t>1</w:t>
      </w:r>
      <w:r w:rsidR="007E32EC" w:rsidRPr="00742AB9">
        <w:t>7</w:t>
      </w:r>
      <w:r w:rsidRPr="00742AB9">
        <w:t>.</w:t>
      </w:r>
      <w:r w:rsidRPr="00742AB9">
        <w:tab/>
      </w:r>
      <w:r w:rsidR="006D78CC" w:rsidRPr="00742AB9">
        <w:t>This is an extended version of option</w:t>
      </w:r>
      <w:r w:rsidR="001E135C" w:rsidRPr="00742AB9">
        <w:t xml:space="preserve"> </w:t>
      </w:r>
      <w:r w:rsidR="008E5B08" w:rsidRPr="00742AB9">
        <w:t>“</w:t>
      </w:r>
      <w:r w:rsidR="001E135C" w:rsidRPr="00742AB9">
        <w:t>C</w:t>
      </w:r>
      <w:r w:rsidR="008E5B08" w:rsidRPr="00742AB9">
        <w:t>”</w:t>
      </w:r>
      <w:r w:rsidR="006D78CC" w:rsidRPr="00742AB9">
        <w:t xml:space="preserve">. </w:t>
      </w:r>
      <w:r w:rsidR="00A91757" w:rsidRPr="00742AB9">
        <w:t xml:space="preserve"> </w:t>
      </w:r>
      <w:r w:rsidR="00721838" w:rsidRPr="00742AB9">
        <w:t>I</w:t>
      </w:r>
      <w:r w:rsidR="0037410C" w:rsidRPr="00742AB9">
        <w:t>n addition</w:t>
      </w:r>
      <w:r w:rsidR="00396739" w:rsidRPr="00742AB9">
        <w:t xml:space="preserve"> to what </w:t>
      </w:r>
      <w:r w:rsidR="00A04C4A" w:rsidRPr="00742AB9">
        <w:t xml:space="preserve">is foreseen </w:t>
      </w:r>
      <w:r w:rsidR="00396739" w:rsidRPr="00742AB9">
        <w:t>under option “C”,</w:t>
      </w:r>
      <w:r w:rsidR="000C77CA" w:rsidRPr="00742AB9">
        <w:t xml:space="preserve"> the International Bureau</w:t>
      </w:r>
      <w:r w:rsidR="006D78CC" w:rsidRPr="00742AB9">
        <w:t xml:space="preserve"> would make the necessary translations </w:t>
      </w:r>
      <w:r w:rsidR="00D14057" w:rsidRPr="00742AB9">
        <w:t>in</w:t>
      </w:r>
      <w:r w:rsidR="000C77CA" w:rsidRPr="00742AB9">
        <w:t>to</w:t>
      </w:r>
      <w:r w:rsidR="00D14057" w:rsidRPr="00742AB9">
        <w:t xml:space="preserve"> any of the new languages that is </w:t>
      </w:r>
      <w:r w:rsidR="00A95A35" w:rsidRPr="00742AB9">
        <w:t>the selected</w:t>
      </w:r>
      <w:r w:rsidR="006D78CC" w:rsidRPr="00742AB9">
        <w:t xml:space="preserve"> language </w:t>
      </w:r>
      <w:r w:rsidR="00A95A35" w:rsidRPr="00742AB9">
        <w:t xml:space="preserve">of </w:t>
      </w:r>
      <w:r w:rsidR="006D78CC" w:rsidRPr="00742AB9">
        <w:t xml:space="preserve">the Office of </w:t>
      </w:r>
      <w:r w:rsidR="00D14057" w:rsidRPr="00742AB9">
        <w:t xml:space="preserve">a </w:t>
      </w:r>
      <w:r w:rsidR="006D78CC" w:rsidRPr="00742AB9">
        <w:t>designated Contracting P</w:t>
      </w:r>
      <w:r w:rsidR="00091422" w:rsidRPr="00742AB9">
        <w:t>a</w:t>
      </w:r>
      <w:r w:rsidR="00025E1C" w:rsidRPr="00742AB9">
        <w:t>rty</w:t>
      </w:r>
      <w:r w:rsidR="00091422" w:rsidRPr="00742AB9">
        <w:t>.</w:t>
      </w:r>
    </w:p>
    <w:p w:rsidR="00584163" w:rsidRPr="00742AB9" w:rsidRDefault="001B05DF" w:rsidP="001B05DF">
      <w:pPr>
        <w:spacing w:before="240"/>
      </w:pPr>
      <w:r w:rsidRPr="00742AB9">
        <w:t>1</w:t>
      </w:r>
      <w:r w:rsidR="007E32EC" w:rsidRPr="00742AB9">
        <w:t>8</w:t>
      </w:r>
      <w:r w:rsidR="008D2F93" w:rsidRPr="00742AB9">
        <w:t>.</w:t>
      </w:r>
      <w:r w:rsidR="008D2F93" w:rsidRPr="00742AB9">
        <w:tab/>
      </w:r>
      <w:r w:rsidR="002F3B55" w:rsidRPr="00742AB9">
        <w:t>A</w:t>
      </w:r>
      <w:r w:rsidR="00DF58BE" w:rsidRPr="00742AB9">
        <w:t>ny such Office could send communications (</w:t>
      </w:r>
      <w:r w:rsidR="00DF58BE" w:rsidRPr="00742AB9">
        <w:rPr>
          <w:i/>
        </w:rPr>
        <w:t>i.e</w:t>
      </w:r>
      <w:r w:rsidR="00DF58BE" w:rsidRPr="00742AB9">
        <w:t>., notifications of refusal and statements of grant of protection) in the new language, irrespective of the language in which the international application was filed.</w:t>
      </w:r>
    </w:p>
    <w:p w:rsidR="00142686" w:rsidRPr="00742AB9" w:rsidRDefault="00142686" w:rsidP="001B05DF">
      <w:pPr>
        <w:spacing w:before="240"/>
      </w:pPr>
      <w:r w:rsidRPr="00742AB9">
        <w:t xml:space="preserve">OPTION </w:t>
      </w:r>
      <w:r w:rsidR="00B430B6" w:rsidRPr="00742AB9">
        <w:t>“</w:t>
      </w:r>
      <w:r w:rsidR="00292ACA" w:rsidRPr="00742AB9">
        <w:t>E</w:t>
      </w:r>
      <w:r w:rsidR="00B430B6" w:rsidRPr="00742AB9">
        <w:t>”</w:t>
      </w:r>
      <w:r w:rsidRPr="00742AB9">
        <w:t>:</w:t>
      </w:r>
      <w:r w:rsidR="007F13D8" w:rsidRPr="00742AB9">
        <w:t xml:space="preserve"> </w:t>
      </w:r>
      <w:r w:rsidRPr="00742AB9">
        <w:t xml:space="preserve"> WORKING LANGUAGE</w:t>
      </w:r>
    </w:p>
    <w:p w:rsidR="006D78CC" w:rsidRPr="00742AB9" w:rsidRDefault="000665EA" w:rsidP="001B05DF">
      <w:pPr>
        <w:spacing w:before="240"/>
      </w:pPr>
      <w:r w:rsidRPr="00742AB9">
        <w:t>1</w:t>
      </w:r>
      <w:r w:rsidR="007E32EC" w:rsidRPr="00742AB9">
        <w:t>9</w:t>
      </w:r>
      <w:r w:rsidR="00536BD8" w:rsidRPr="00742AB9">
        <w:t xml:space="preserve">. </w:t>
      </w:r>
      <w:r w:rsidR="007D7787" w:rsidRPr="00742AB9">
        <w:tab/>
      </w:r>
      <w:r w:rsidR="006D78CC" w:rsidRPr="00742AB9">
        <w:t xml:space="preserve">Under this option, the </w:t>
      </w:r>
      <w:r w:rsidR="000B2AE2" w:rsidRPr="00742AB9">
        <w:t xml:space="preserve">language </w:t>
      </w:r>
      <w:r w:rsidR="006D78CC" w:rsidRPr="00742AB9">
        <w:t xml:space="preserve">regime currently envisaged in Rule 6 of the Common Regulations would also apply to the new language. </w:t>
      </w:r>
      <w:r w:rsidR="00A91757" w:rsidRPr="00742AB9">
        <w:t xml:space="preserve"> </w:t>
      </w:r>
      <w:r w:rsidR="006D78CC" w:rsidRPr="00742AB9">
        <w:t xml:space="preserve">In other words, in contrast </w:t>
      </w:r>
      <w:r w:rsidR="00511FF4" w:rsidRPr="00742AB9">
        <w:t>to</w:t>
      </w:r>
      <w:r w:rsidR="006D78CC" w:rsidRPr="00742AB9">
        <w:t xml:space="preserve"> options</w:t>
      </w:r>
      <w:r w:rsidR="001E135C" w:rsidRPr="00742AB9">
        <w:t xml:space="preserve"> </w:t>
      </w:r>
      <w:r w:rsidR="008E5B08" w:rsidRPr="00742AB9">
        <w:t>“</w:t>
      </w:r>
      <w:r w:rsidR="001E135C" w:rsidRPr="00742AB9">
        <w:t>A</w:t>
      </w:r>
      <w:r w:rsidR="008E5B08" w:rsidRPr="00742AB9">
        <w:t>”</w:t>
      </w:r>
      <w:r w:rsidR="001E135C" w:rsidRPr="00742AB9">
        <w:t xml:space="preserve"> </w:t>
      </w:r>
      <w:r w:rsidR="00221B92">
        <w:br/>
      </w:r>
      <w:r w:rsidR="001E135C" w:rsidRPr="00742AB9">
        <w:t xml:space="preserve">to </w:t>
      </w:r>
      <w:r w:rsidR="008E5B08" w:rsidRPr="00742AB9">
        <w:t>“</w:t>
      </w:r>
      <w:r w:rsidR="001E135C" w:rsidRPr="00742AB9">
        <w:t>D</w:t>
      </w:r>
      <w:r w:rsidR="008E5B08" w:rsidRPr="00742AB9">
        <w:t>”</w:t>
      </w:r>
      <w:r w:rsidR="006D78CC" w:rsidRPr="00742AB9">
        <w:t xml:space="preserve">, the International Bureau would </w:t>
      </w:r>
      <w:r w:rsidR="00637936" w:rsidRPr="00742AB9">
        <w:t xml:space="preserve">in </w:t>
      </w:r>
      <w:r w:rsidR="006D78CC" w:rsidRPr="00742AB9">
        <w:t>all</w:t>
      </w:r>
      <w:r w:rsidR="00637936" w:rsidRPr="00742AB9">
        <w:t xml:space="preserve"> cases </w:t>
      </w:r>
      <w:r w:rsidR="000C77CA" w:rsidRPr="00742AB9">
        <w:t xml:space="preserve">record and </w:t>
      </w:r>
      <w:r w:rsidR="00637936" w:rsidRPr="00742AB9">
        <w:t>publish</w:t>
      </w:r>
      <w:r w:rsidR="006D78CC" w:rsidRPr="00742AB9">
        <w:t xml:space="preserve"> international registrations </w:t>
      </w:r>
      <w:r w:rsidR="00637936" w:rsidRPr="00742AB9">
        <w:t>in</w:t>
      </w:r>
      <w:r w:rsidR="006D78CC" w:rsidRPr="00742AB9">
        <w:t xml:space="preserve"> any new language in addition to English, French and Spanish.</w:t>
      </w:r>
    </w:p>
    <w:p w:rsidR="00790512" w:rsidRPr="00742AB9" w:rsidRDefault="00790512" w:rsidP="00790512">
      <w:pPr>
        <w:pStyle w:val="Heading1"/>
      </w:pPr>
      <w:r w:rsidRPr="00742AB9">
        <w:t xml:space="preserve">Assessment of the Availability of materials and Tools concerning the hague system </w:t>
      </w:r>
    </w:p>
    <w:p w:rsidR="00790512" w:rsidRPr="00742AB9" w:rsidRDefault="007E32EC" w:rsidP="00664212">
      <w:pPr>
        <w:pStyle w:val="ONUME"/>
        <w:numPr>
          <w:ilvl w:val="0"/>
          <w:numId w:val="0"/>
        </w:numPr>
      </w:pPr>
      <w:r w:rsidRPr="00742AB9">
        <w:t>20.</w:t>
      </w:r>
      <w:r w:rsidRPr="00742AB9">
        <w:tab/>
      </w:r>
      <w:r w:rsidR="00790512" w:rsidRPr="00742AB9">
        <w:t xml:space="preserve">Annex I to this document provides an overview of the availability of materials and tools in English, </w:t>
      </w:r>
      <w:r w:rsidR="00221B92" w:rsidRPr="00742AB9">
        <w:t>Chinese,</w:t>
      </w:r>
      <w:r w:rsidR="00221B92">
        <w:t xml:space="preserve"> </w:t>
      </w:r>
      <w:r w:rsidR="00790512" w:rsidRPr="00742AB9">
        <w:t xml:space="preserve">French, Russian and Spanish concerning the Hague System.  </w:t>
      </w:r>
    </w:p>
    <w:p w:rsidR="00790512" w:rsidRPr="00742AB9" w:rsidRDefault="007E32EC" w:rsidP="00664212">
      <w:pPr>
        <w:pStyle w:val="ONUME"/>
        <w:numPr>
          <w:ilvl w:val="0"/>
          <w:numId w:val="0"/>
        </w:numPr>
      </w:pPr>
      <w:r w:rsidRPr="00742AB9">
        <w:t>21.</w:t>
      </w:r>
      <w:r w:rsidRPr="00742AB9">
        <w:tab/>
      </w:r>
      <w:r w:rsidR="00790512" w:rsidRPr="00742AB9">
        <w:t xml:space="preserve">Information such as the Hague Union Assembly and Working Group documents, </w:t>
      </w:r>
      <w:proofErr w:type="gramStart"/>
      <w:r w:rsidR="00790512" w:rsidRPr="00742AB9">
        <w:t>the</w:t>
      </w:r>
      <w:proofErr w:type="gramEnd"/>
      <w:r w:rsidR="00790512" w:rsidRPr="00742AB9">
        <w:t xml:space="preserve"> Hague System website and the legal texts are available in all the </w:t>
      </w:r>
      <w:r w:rsidR="00A95A35" w:rsidRPr="00742AB9">
        <w:t xml:space="preserve">aforementioned </w:t>
      </w:r>
      <w:r w:rsidR="00790512" w:rsidRPr="00742AB9">
        <w:t xml:space="preserve">languages.  However, materials and online tools </w:t>
      </w:r>
      <w:r w:rsidR="001E135C" w:rsidRPr="00742AB9">
        <w:t>used in the operation</w:t>
      </w:r>
      <w:r w:rsidR="00790512" w:rsidRPr="00742AB9">
        <w:t xml:space="preserve"> of the Hague System, such as the</w:t>
      </w:r>
      <w:r w:rsidR="001E135C" w:rsidRPr="00742AB9">
        <w:t xml:space="preserve"> online interfaces </w:t>
      </w:r>
      <w:proofErr w:type="spellStart"/>
      <w:r w:rsidR="001E135C" w:rsidRPr="00742AB9">
        <w:rPr>
          <w:i/>
        </w:rPr>
        <w:t>eHague</w:t>
      </w:r>
      <w:proofErr w:type="spellEnd"/>
      <w:r w:rsidR="001E135C" w:rsidRPr="00742AB9">
        <w:rPr>
          <w:i/>
        </w:rPr>
        <w:t xml:space="preserve"> </w:t>
      </w:r>
      <w:r w:rsidR="001E135C" w:rsidRPr="00742AB9">
        <w:t xml:space="preserve">and </w:t>
      </w:r>
      <w:proofErr w:type="spellStart"/>
      <w:r w:rsidR="001E135C" w:rsidRPr="00742AB9">
        <w:rPr>
          <w:i/>
        </w:rPr>
        <w:t>eRenewal</w:t>
      </w:r>
      <w:proofErr w:type="spellEnd"/>
      <w:r w:rsidR="00790512" w:rsidRPr="00742AB9">
        <w:t xml:space="preserve">, the </w:t>
      </w:r>
      <w:r w:rsidR="00790512" w:rsidRPr="00742AB9">
        <w:rPr>
          <w:i/>
        </w:rPr>
        <w:t>International Designs Bulletin</w:t>
      </w:r>
      <w:r w:rsidR="00790512" w:rsidRPr="00742AB9">
        <w:t xml:space="preserve">, </w:t>
      </w:r>
      <w:r w:rsidR="007F7E88" w:rsidRPr="00742AB9">
        <w:t>the forms</w:t>
      </w:r>
      <w:r w:rsidR="00CD6D61" w:rsidRPr="00742AB9">
        <w:t xml:space="preserve"> </w:t>
      </w:r>
      <w:r w:rsidR="00790512" w:rsidRPr="00742AB9">
        <w:t>and the Fee Calculator</w:t>
      </w:r>
      <w:r w:rsidR="007F7E88" w:rsidRPr="00742AB9">
        <w:t>,</w:t>
      </w:r>
      <w:r w:rsidR="00790512" w:rsidRPr="00742AB9">
        <w:t xml:space="preserve"> are only available in English, French and Spanish.  </w:t>
      </w:r>
    </w:p>
    <w:p w:rsidR="00E7402F" w:rsidRPr="00742AB9" w:rsidRDefault="007E32EC" w:rsidP="00664212">
      <w:pPr>
        <w:pStyle w:val="ONUME"/>
        <w:numPr>
          <w:ilvl w:val="0"/>
          <w:numId w:val="0"/>
        </w:numPr>
      </w:pPr>
      <w:r w:rsidRPr="00742AB9">
        <w:t>22.</w:t>
      </w:r>
      <w:r w:rsidRPr="00742AB9">
        <w:tab/>
      </w:r>
      <w:r w:rsidR="0012706C" w:rsidRPr="00742AB9">
        <w:t xml:space="preserve">If the new languages were introduced into the Hague System, </w:t>
      </w:r>
      <w:r w:rsidR="00790512" w:rsidRPr="00742AB9">
        <w:t>the International Bureau would need to ensure that the relevant information and services are available in the new languages.  Under all</w:t>
      </w:r>
      <w:r w:rsidR="007F13D8" w:rsidRPr="00742AB9">
        <w:t xml:space="preserve"> of</w:t>
      </w:r>
      <w:r w:rsidR="00790512" w:rsidRPr="00742AB9">
        <w:t xml:space="preserve"> the implementation options, the International Bureau would need to make </w:t>
      </w:r>
      <w:proofErr w:type="spellStart"/>
      <w:r w:rsidR="00790512" w:rsidRPr="00742AB9">
        <w:rPr>
          <w:i/>
        </w:rPr>
        <w:t>eHague</w:t>
      </w:r>
      <w:proofErr w:type="spellEnd"/>
      <w:r w:rsidR="00A95A35" w:rsidRPr="00742AB9">
        <w:t>,</w:t>
      </w:r>
      <w:r w:rsidR="00790512" w:rsidRPr="00742AB9">
        <w:t xml:space="preserve"> the paper application form and other relevant forms available in those languages.  Options “C” to “E” would additionally require that some other materials, such as the </w:t>
      </w:r>
      <w:r w:rsidR="00790512" w:rsidRPr="00742AB9">
        <w:rPr>
          <w:i/>
        </w:rPr>
        <w:t>International Design Bulletin</w:t>
      </w:r>
      <w:r w:rsidR="00790512" w:rsidRPr="00742AB9">
        <w:t>, as well as all other forms associated with the recording of a change and</w:t>
      </w:r>
      <w:r w:rsidR="002C53CC" w:rsidRPr="00742AB9">
        <w:t>/or a</w:t>
      </w:r>
      <w:r w:rsidR="00790512" w:rsidRPr="00742AB9">
        <w:t xml:space="preserve"> renewal </w:t>
      </w:r>
      <w:r w:rsidR="00456E02" w:rsidRPr="00742AB9">
        <w:t>be available in those languages</w:t>
      </w:r>
      <w:r w:rsidR="004F2895" w:rsidRPr="00742AB9">
        <w:t>.</w:t>
      </w:r>
    </w:p>
    <w:p w:rsidR="00790512" w:rsidRPr="00742AB9" w:rsidRDefault="007E32EC" w:rsidP="00742AB9">
      <w:pPr>
        <w:pStyle w:val="ONUME"/>
        <w:numPr>
          <w:ilvl w:val="0"/>
          <w:numId w:val="0"/>
        </w:numPr>
        <w:spacing w:after="600"/>
      </w:pPr>
      <w:r w:rsidRPr="00742AB9">
        <w:t>23.</w:t>
      </w:r>
      <w:r w:rsidRPr="00742AB9">
        <w:tab/>
      </w:r>
      <w:r w:rsidR="00790512" w:rsidRPr="00742AB9">
        <w:t xml:space="preserve">Moreover, some of the information materials and tools are not strictly tied to any of the options.  For instance, it would be ideal that the Information Notices and the Global Design Database be made available in more languages to better assist </w:t>
      </w:r>
      <w:r w:rsidR="00414392" w:rsidRPr="00742AB9">
        <w:t>c</w:t>
      </w:r>
      <w:r w:rsidR="00D15032" w:rsidRPr="00742AB9">
        <w:t>ustomers</w:t>
      </w:r>
      <w:r w:rsidR="00790512" w:rsidRPr="00742AB9">
        <w:t>.  However, making more materials available in more languages would require more preparatory and maintenance costs and have quality implications</w:t>
      </w:r>
      <w:r w:rsidR="00790512" w:rsidRPr="00742AB9">
        <w:rPr>
          <w:rStyle w:val="FootnoteReference"/>
        </w:rPr>
        <w:footnoteReference w:id="3"/>
      </w:r>
      <w:r w:rsidR="00790512" w:rsidRPr="00742AB9">
        <w:t xml:space="preserve">.  </w:t>
      </w:r>
    </w:p>
    <w:p w:rsidR="00BE26AD" w:rsidRPr="00742AB9" w:rsidRDefault="004F465E" w:rsidP="00BE26AD">
      <w:pPr>
        <w:pStyle w:val="Heading1"/>
      </w:pPr>
      <w:r w:rsidRPr="00742AB9">
        <w:lastRenderedPageBreak/>
        <w:t xml:space="preserve">TECHNICAL FEASIBILITY AND </w:t>
      </w:r>
      <w:r w:rsidR="00BE26AD" w:rsidRPr="00742AB9">
        <w:t xml:space="preserve">Cost </w:t>
      </w:r>
      <w:r w:rsidR="00704D3F" w:rsidRPr="00742AB9">
        <w:t xml:space="preserve">and operational </w:t>
      </w:r>
      <w:r w:rsidR="00BE26AD" w:rsidRPr="00742AB9">
        <w:t>Implications</w:t>
      </w:r>
    </w:p>
    <w:p w:rsidR="004F465E" w:rsidRPr="00742AB9" w:rsidRDefault="004F465E" w:rsidP="004F465E">
      <w:r w:rsidRPr="00742AB9">
        <w:t>TECHNICAL FEASIBILITY</w:t>
      </w:r>
    </w:p>
    <w:p w:rsidR="004F465E" w:rsidRPr="00742AB9" w:rsidRDefault="001B05DF" w:rsidP="001B05DF">
      <w:pPr>
        <w:pStyle w:val="ONUME"/>
        <w:numPr>
          <w:ilvl w:val="0"/>
          <w:numId w:val="0"/>
        </w:numPr>
        <w:spacing w:before="240"/>
      </w:pPr>
      <w:r w:rsidRPr="00742AB9">
        <w:t>2</w:t>
      </w:r>
      <w:r w:rsidR="00151AA9" w:rsidRPr="00742AB9">
        <w:t>4</w:t>
      </w:r>
      <w:r w:rsidR="00D55406" w:rsidRPr="00742AB9">
        <w:t>.</w:t>
      </w:r>
      <w:r w:rsidR="00D55406" w:rsidRPr="00742AB9">
        <w:tab/>
      </w:r>
      <w:r w:rsidR="008301FB" w:rsidRPr="00742AB9">
        <w:t xml:space="preserve">From a purely technical ICT perspective, all </w:t>
      </w:r>
      <w:r w:rsidR="007F13D8" w:rsidRPr="00742AB9">
        <w:t xml:space="preserve">of </w:t>
      </w:r>
      <w:r w:rsidR="008301FB" w:rsidRPr="00742AB9">
        <w:t xml:space="preserve">the implementation options for the simultaneous introduction of Chinese and Russian are feasible, as </w:t>
      </w:r>
      <w:r w:rsidR="009F33EB" w:rsidRPr="00742AB9">
        <w:t>already mentione</w:t>
      </w:r>
      <w:r w:rsidR="008301FB" w:rsidRPr="00742AB9">
        <w:t>d in the previous documents</w:t>
      </w:r>
      <w:r w:rsidR="008301FB" w:rsidRPr="00742AB9">
        <w:rPr>
          <w:rStyle w:val="FootnoteReference"/>
        </w:rPr>
        <w:footnoteReference w:id="4"/>
      </w:r>
      <w:r w:rsidR="0026706B" w:rsidRPr="00742AB9">
        <w:t xml:space="preserve"> (also refer to Annex II, Section I).</w:t>
      </w:r>
    </w:p>
    <w:p w:rsidR="009E08AF" w:rsidRPr="00742AB9" w:rsidRDefault="004D385F" w:rsidP="00AB6323">
      <w:pPr>
        <w:pStyle w:val="ONUME"/>
        <w:numPr>
          <w:ilvl w:val="0"/>
          <w:numId w:val="0"/>
        </w:numPr>
      </w:pPr>
      <w:r w:rsidRPr="00742AB9">
        <w:t>2</w:t>
      </w:r>
      <w:r w:rsidR="00151AA9" w:rsidRPr="00742AB9">
        <w:t>5</w:t>
      </w:r>
      <w:r w:rsidRPr="00742AB9">
        <w:t>.</w:t>
      </w:r>
      <w:r w:rsidRPr="00742AB9">
        <w:tab/>
      </w:r>
      <w:r w:rsidR="009F33EB" w:rsidRPr="00742AB9">
        <w:t>However, as described</w:t>
      </w:r>
      <w:r w:rsidR="00693D82" w:rsidRPr="00742AB9">
        <w:t xml:space="preserve"> in the previous chapter</w:t>
      </w:r>
      <w:r w:rsidR="0012706C" w:rsidRPr="00742AB9">
        <w:t>s</w:t>
      </w:r>
      <w:r w:rsidR="00693D82" w:rsidRPr="00742AB9">
        <w:t xml:space="preserve">, </w:t>
      </w:r>
      <w:r w:rsidR="00EC6C8C" w:rsidRPr="00742AB9">
        <w:t xml:space="preserve">the different implementation options </w:t>
      </w:r>
      <w:r w:rsidR="00BE26AD" w:rsidRPr="00742AB9">
        <w:t>provid</w:t>
      </w:r>
      <w:r w:rsidR="00EC6C8C" w:rsidRPr="00742AB9">
        <w:t>e</w:t>
      </w:r>
      <w:r w:rsidR="00BE26AD" w:rsidRPr="00742AB9">
        <w:t xml:space="preserve"> for additional features</w:t>
      </w:r>
      <w:r w:rsidR="00EC6C8C" w:rsidRPr="00742AB9">
        <w:t xml:space="preserve"> which would have</w:t>
      </w:r>
      <w:r w:rsidR="00BE26AD" w:rsidRPr="00742AB9">
        <w:t xml:space="preserve"> </w:t>
      </w:r>
      <w:r w:rsidR="00637936" w:rsidRPr="00742AB9">
        <w:t xml:space="preserve">their own </w:t>
      </w:r>
      <w:r w:rsidR="00704D3F" w:rsidRPr="00742AB9">
        <w:t xml:space="preserve">cost and </w:t>
      </w:r>
      <w:r w:rsidR="00996196" w:rsidRPr="00742AB9">
        <w:t>operational</w:t>
      </w:r>
      <w:r w:rsidR="00BE26AD" w:rsidRPr="00742AB9">
        <w:t xml:space="preserve"> implications.  Annex I</w:t>
      </w:r>
      <w:r w:rsidR="00790512" w:rsidRPr="00742AB9">
        <w:t>I</w:t>
      </w:r>
      <w:r w:rsidR="00BE26AD" w:rsidRPr="00742AB9">
        <w:t xml:space="preserve"> to this document presents the cost implications of the simultaneous introduction of Chinese and Russian.</w:t>
      </w:r>
    </w:p>
    <w:p w:rsidR="00AB6323" w:rsidRPr="00742AB9" w:rsidRDefault="009E08AF" w:rsidP="009E08AF">
      <w:r w:rsidRPr="00742AB9">
        <w:t>SET-UP COSTS</w:t>
      </w:r>
    </w:p>
    <w:p w:rsidR="009F5228" w:rsidRPr="00742AB9" w:rsidRDefault="00456E02" w:rsidP="00456E02">
      <w:pPr>
        <w:pStyle w:val="ONUME"/>
        <w:numPr>
          <w:ilvl w:val="0"/>
          <w:numId w:val="0"/>
        </w:numPr>
        <w:spacing w:before="240"/>
      </w:pPr>
      <w:r w:rsidRPr="00742AB9">
        <w:t>2</w:t>
      </w:r>
      <w:r w:rsidR="00151AA9" w:rsidRPr="00742AB9">
        <w:t>6</w:t>
      </w:r>
      <w:r w:rsidR="00AB6323" w:rsidRPr="00742AB9">
        <w:t>.</w:t>
      </w:r>
      <w:r w:rsidR="00AB6323" w:rsidRPr="00742AB9">
        <w:tab/>
      </w:r>
      <w:r w:rsidR="00D644E2" w:rsidRPr="00742AB9">
        <w:t>The filing language</w:t>
      </w:r>
      <w:r w:rsidR="00BE26AD" w:rsidRPr="00742AB9">
        <w:t xml:space="preserve"> option </w:t>
      </w:r>
      <w:r w:rsidR="00EC35A2" w:rsidRPr="00742AB9">
        <w:t xml:space="preserve">(option “A”) </w:t>
      </w:r>
      <w:r w:rsidR="00BE26AD" w:rsidRPr="00742AB9">
        <w:t xml:space="preserve">would require an initial investment </w:t>
      </w:r>
      <w:r w:rsidR="00EC35A2" w:rsidRPr="00742AB9">
        <w:t xml:space="preserve">of </w:t>
      </w:r>
      <w:r w:rsidR="00D644E2" w:rsidRPr="00742AB9">
        <w:t>approximately</w:t>
      </w:r>
      <w:r w:rsidR="00555FC5" w:rsidRPr="00742AB9">
        <w:t xml:space="preserve"> </w:t>
      </w:r>
      <w:r w:rsidR="00803EAC" w:rsidRPr="00742AB9">
        <w:t>5</w:t>
      </w:r>
      <w:r w:rsidR="00D644E2" w:rsidRPr="00742AB9">
        <w:t>5</w:t>
      </w:r>
      <w:r w:rsidR="00555FC5" w:rsidRPr="00742AB9">
        <w:t>0</w:t>
      </w:r>
      <w:r w:rsidR="00BE26AD" w:rsidRPr="00742AB9">
        <w:t>,000</w:t>
      </w:r>
      <w:r w:rsidR="00E46D7B" w:rsidRPr="00742AB9">
        <w:t> Swiss francs</w:t>
      </w:r>
      <w:r w:rsidR="00172326" w:rsidRPr="00742AB9">
        <w:t>.</w:t>
      </w:r>
      <w:r w:rsidR="00555FC5" w:rsidRPr="00742AB9">
        <w:t xml:space="preserve"> </w:t>
      </w:r>
      <w:r w:rsidR="00172326" w:rsidRPr="00742AB9">
        <w:t xml:space="preserve"> T</w:t>
      </w:r>
      <w:r w:rsidR="004D385F" w:rsidRPr="00742AB9">
        <w:t xml:space="preserve">his would include </w:t>
      </w:r>
      <w:r w:rsidR="00555FC5" w:rsidRPr="00742AB9">
        <w:t>the translation of relevant materials and the development and adjustments to the ICT system</w:t>
      </w:r>
      <w:r w:rsidR="00D644E2" w:rsidRPr="00742AB9">
        <w:t>.  These costs would increase to</w:t>
      </w:r>
      <w:r w:rsidR="00E46D7B" w:rsidRPr="00742AB9">
        <w:t xml:space="preserve"> </w:t>
      </w:r>
      <w:r w:rsidR="00803EAC" w:rsidRPr="00742AB9">
        <w:t>675</w:t>
      </w:r>
      <w:r w:rsidR="00D644E2" w:rsidRPr="00742AB9">
        <w:t>,000</w:t>
      </w:r>
      <w:r w:rsidR="00E46D7B" w:rsidRPr="00742AB9">
        <w:t> Swiss francs</w:t>
      </w:r>
      <w:r w:rsidR="00803EAC" w:rsidRPr="00742AB9">
        <w:t xml:space="preserve"> under the filing and communication language option (option “B”) and </w:t>
      </w:r>
      <w:r w:rsidR="009824BA" w:rsidRPr="00742AB9">
        <w:t xml:space="preserve">to </w:t>
      </w:r>
      <w:r w:rsidR="00803EAC" w:rsidRPr="00742AB9">
        <w:t>800,000</w:t>
      </w:r>
      <w:r w:rsidR="00E46D7B" w:rsidRPr="00742AB9">
        <w:t> Swiss francs</w:t>
      </w:r>
      <w:r w:rsidR="00D644E2" w:rsidRPr="00742AB9">
        <w:t xml:space="preserve"> under all the other</w:t>
      </w:r>
      <w:r w:rsidR="00803EAC" w:rsidRPr="00742AB9">
        <w:t xml:space="preserve"> three</w:t>
      </w:r>
      <w:r w:rsidR="00D644E2" w:rsidRPr="00742AB9">
        <w:t xml:space="preserve"> options</w:t>
      </w:r>
      <w:r w:rsidR="00803EAC" w:rsidRPr="00742AB9">
        <w:t xml:space="preserve"> (options “C”</w:t>
      </w:r>
      <w:r w:rsidR="00953968" w:rsidRPr="00742AB9">
        <w:t xml:space="preserve"> to</w:t>
      </w:r>
      <w:r w:rsidR="00803EAC" w:rsidRPr="00742AB9">
        <w:t xml:space="preserve"> “E”)</w:t>
      </w:r>
      <w:r w:rsidR="00555FC5" w:rsidRPr="00742AB9">
        <w:t xml:space="preserve"> (refer to Annex </w:t>
      </w:r>
      <w:r w:rsidR="004F46F2" w:rsidRPr="00742AB9">
        <w:t>I</w:t>
      </w:r>
      <w:r w:rsidR="00555FC5" w:rsidRPr="00742AB9">
        <w:t>I, Section I).</w:t>
      </w:r>
      <w:r w:rsidR="009F5228" w:rsidRPr="00742AB9">
        <w:t xml:space="preserve">  This is to ensure that all relevant information and services are available in the new languages</w:t>
      </w:r>
      <w:r w:rsidR="002D40B5" w:rsidRPr="00742AB9">
        <w:t xml:space="preserve"> under the respective implementation options</w:t>
      </w:r>
      <w:r w:rsidR="009F5228" w:rsidRPr="00742AB9">
        <w:t>.</w:t>
      </w:r>
    </w:p>
    <w:p w:rsidR="00A319F3" w:rsidRPr="00742AB9" w:rsidRDefault="00A319F3" w:rsidP="00A319F3">
      <w:r w:rsidRPr="00742AB9">
        <w:t>RECURRENT COSTS</w:t>
      </w:r>
    </w:p>
    <w:p w:rsidR="00994311" w:rsidRPr="00742AB9" w:rsidRDefault="00456E02" w:rsidP="00456E02">
      <w:pPr>
        <w:pStyle w:val="ONUME"/>
        <w:numPr>
          <w:ilvl w:val="0"/>
          <w:numId w:val="0"/>
        </w:numPr>
        <w:spacing w:before="240"/>
      </w:pPr>
      <w:r w:rsidRPr="00742AB9">
        <w:t>2</w:t>
      </w:r>
      <w:r w:rsidR="001E0519" w:rsidRPr="00742AB9">
        <w:t>7</w:t>
      </w:r>
      <w:r w:rsidR="00AB6323" w:rsidRPr="00742AB9">
        <w:t>.</w:t>
      </w:r>
      <w:r w:rsidR="00AB6323" w:rsidRPr="00742AB9">
        <w:tab/>
      </w:r>
      <w:r w:rsidR="00A319F3" w:rsidRPr="00742AB9">
        <w:t>A</w:t>
      </w:r>
      <w:r w:rsidR="0007084E" w:rsidRPr="00742AB9">
        <w:t xml:space="preserve">dditional work </w:t>
      </w:r>
      <w:r w:rsidR="008D5C87" w:rsidRPr="00742AB9">
        <w:t>to keep</w:t>
      </w:r>
      <w:r w:rsidR="0007670B" w:rsidRPr="00742AB9">
        <w:t xml:space="preserve"> the ICT system</w:t>
      </w:r>
      <w:r w:rsidR="00994311" w:rsidRPr="00742AB9">
        <w:t xml:space="preserve"> </w:t>
      </w:r>
      <w:r w:rsidR="008D5C87" w:rsidRPr="00742AB9">
        <w:t xml:space="preserve">updated in </w:t>
      </w:r>
      <w:r w:rsidR="00994311" w:rsidRPr="00742AB9">
        <w:t>the new languages would require approximately 120,000</w:t>
      </w:r>
      <w:r w:rsidR="00E46D7B" w:rsidRPr="00742AB9">
        <w:t> Swiss francs</w:t>
      </w:r>
      <w:r w:rsidR="00994311" w:rsidRPr="00742AB9">
        <w:t xml:space="preserve"> per year.  </w:t>
      </w:r>
      <w:r w:rsidR="0007670B" w:rsidRPr="00742AB9">
        <w:t>Th</w:t>
      </w:r>
      <w:r w:rsidR="00EC35A2" w:rsidRPr="00742AB9">
        <w:t>ese</w:t>
      </w:r>
      <w:r w:rsidR="00403E96" w:rsidRPr="00742AB9">
        <w:t xml:space="preserve"> cost</w:t>
      </w:r>
      <w:r w:rsidR="00EC35A2" w:rsidRPr="00742AB9">
        <w:t>s</w:t>
      </w:r>
      <w:r w:rsidR="0007670B" w:rsidRPr="00742AB9">
        <w:t xml:space="preserve"> would </w:t>
      </w:r>
      <w:r w:rsidR="00EC35A2" w:rsidRPr="00742AB9">
        <w:t>occur</w:t>
      </w:r>
      <w:r w:rsidR="0007670B" w:rsidRPr="00742AB9">
        <w:t xml:space="preserve"> regardless of the implementation option</w:t>
      </w:r>
      <w:r w:rsidR="0007084E" w:rsidRPr="00742AB9">
        <w:t>s</w:t>
      </w:r>
      <w:r w:rsidR="003E5757" w:rsidRPr="00742AB9">
        <w:t xml:space="preserve"> (refer to Annex I</w:t>
      </w:r>
      <w:r w:rsidR="00790512" w:rsidRPr="00742AB9">
        <w:t>I</w:t>
      </w:r>
      <w:r w:rsidR="003E5757" w:rsidRPr="00742AB9">
        <w:t>, Section II).</w:t>
      </w:r>
    </w:p>
    <w:p w:rsidR="00376D37" w:rsidRPr="00742AB9" w:rsidRDefault="00456E02" w:rsidP="00D55406">
      <w:pPr>
        <w:pStyle w:val="ONUME"/>
        <w:numPr>
          <w:ilvl w:val="0"/>
          <w:numId w:val="0"/>
        </w:numPr>
      </w:pPr>
      <w:r w:rsidRPr="00742AB9">
        <w:t>2</w:t>
      </w:r>
      <w:r w:rsidR="001E0519" w:rsidRPr="00742AB9">
        <w:t>8</w:t>
      </w:r>
      <w:r w:rsidR="00D55406" w:rsidRPr="00742AB9">
        <w:t>.</w:t>
      </w:r>
      <w:r w:rsidR="00994311" w:rsidRPr="00742AB9">
        <w:tab/>
      </w:r>
      <w:r w:rsidR="00376D37" w:rsidRPr="00742AB9">
        <w:t xml:space="preserve">Moreover, the translation of text matters contained in international applications is currently performed by in-house translators </w:t>
      </w:r>
      <w:r w:rsidR="008D5C87" w:rsidRPr="00742AB9">
        <w:t>in</w:t>
      </w:r>
      <w:r w:rsidR="00376D37" w:rsidRPr="00742AB9">
        <w:t xml:space="preserve"> the Madrid Registry.  Neither the Madrid Registry </w:t>
      </w:r>
      <w:r w:rsidR="00B123D8" w:rsidRPr="00742AB9">
        <w:t>n</w:t>
      </w:r>
      <w:r w:rsidR="00376D37" w:rsidRPr="00742AB9">
        <w:t xml:space="preserve">or the Hague Registry </w:t>
      </w:r>
      <w:r w:rsidR="00B123D8" w:rsidRPr="00742AB9">
        <w:t>have</w:t>
      </w:r>
      <w:r w:rsidR="00376D37" w:rsidRPr="00742AB9">
        <w:t xml:space="preserve"> </w:t>
      </w:r>
      <w:r w:rsidR="004D385F" w:rsidRPr="00742AB9">
        <w:t xml:space="preserve">the </w:t>
      </w:r>
      <w:r w:rsidR="00376D37" w:rsidRPr="00742AB9">
        <w:t>translation resources to perform</w:t>
      </w:r>
      <w:r w:rsidR="00F5239D" w:rsidRPr="00742AB9">
        <w:t xml:space="preserve"> the translation of texts in Chinese and Russian.  Accordingly, the International Bureau would</w:t>
      </w:r>
      <w:r w:rsidR="00EC35A2" w:rsidRPr="00742AB9">
        <w:t xml:space="preserve"> have to</w:t>
      </w:r>
      <w:r w:rsidR="00F5239D" w:rsidRPr="00742AB9">
        <w:t xml:space="preserve"> outsource </w:t>
      </w:r>
      <w:r w:rsidR="008D5C87" w:rsidRPr="00742AB9">
        <w:t>the translation</w:t>
      </w:r>
      <w:r w:rsidR="004D385F" w:rsidRPr="00742AB9">
        <w:t>s</w:t>
      </w:r>
      <w:r w:rsidR="008D5C87" w:rsidRPr="00742AB9">
        <w:t xml:space="preserve"> of </w:t>
      </w:r>
      <w:r w:rsidR="00F5239D" w:rsidRPr="00742AB9">
        <w:t>those texts, and control the quality of the outsourced translation work.  I</w:t>
      </w:r>
      <w:r w:rsidR="003E5757" w:rsidRPr="00742AB9">
        <w:t>n this context, i</w:t>
      </w:r>
      <w:r w:rsidR="00F5239D" w:rsidRPr="00742AB9">
        <w:t xml:space="preserve">f the Hague Registry would set up its own resources for </w:t>
      </w:r>
      <w:r w:rsidR="0016764E" w:rsidRPr="00742AB9">
        <w:t xml:space="preserve">carrying out </w:t>
      </w:r>
      <w:r w:rsidR="0007084E" w:rsidRPr="00742AB9">
        <w:t xml:space="preserve">this </w:t>
      </w:r>
      <w:r w:rsidR="00B963E6" w:rsidRPr="00742AB9">
        <w:t>quality control</w:t>
      </w:r>
      <w:r w:rsidR="0016764E" w:rsidRPr="00742AB9">
        <w:t xml:space="preserve"> </w:t>
      </w:r>
      <w:r w:rsidR="0007084E" w:rsidRPr="00742AB9">
        <w:t>work</w:t>
      </w:r>
      <w:r w:rsidR="003E5757" w:rsidRPr="00742AB9">
        <w:t xml:space="preserve">, </w:t>
      </w:r>
      <w:r w:rsidR="002D40B5" w:rsidRPr="00742AB9">
        <w:t xml:space="preserve">the additional annual </w:t>
      </w:r>
      <w:r w:rsidR="003E5757" w:rsidRPr="00742AB9">
        <w:t>cost</w:t>
      </w:r>
      <w:r w:rsidR="002D40B5" w:rsidRPr="00742AB9">
        <w:t xml:space="preserve"> would be</w:t>
      </w:r>
      <w:r w:rsidR="003E5757" w:rsidRPr="00742AB9">
        <w:t xml:space="preserve"> approximately 500,000</w:t>
      </w:r>
      <w:r w:rsidR="00E46D7B" w:rsidRPr="00742AB9">
        <w:t> Swiss francs</w:t>
      </w:r>
      <w:r w:rsidR="00E07B56" w:rsidRPr="00742AB9">
        <w:t>, regardless of the implementation option</w:t>
      </w:r>
      <w:r w:rsidR="0007084E" w:rsidRPr="00742AB9">
        <w:t>s</w:t>
      </w:r>
      <w:r w:rsidR="003E5757" w:rsidRPr="00742AB9">
        <w:t xml:space="preserve"> (refer to Annex I</w:t>
      </w:r>
      <w:r w:rsidR="004F46F2" w:rsidRPr="00742AB9">
        <w:t>I</w:t>
      </w:r>
      <w:r w:rsidR="003E5757" w:rsidRPr="00742AB9">
        <w:t>, Section II).</w:t>
      </w:r>
      <w:r w:rsidR="00376D37" w:rsidRPr="00742AB9">
        <w:t xml:space="preserve"> </w:t>
      </w:r>
    </w:p>
    <w:p w:rsidR="00765019" w:rsidRPr="00742AB9" w:rsidRDefault="00EE0917" w:rsidP="00664212">
      <w:pPr>
        <w:pStyle w:val="ONUME"/>
        <w:numPr>
          <w:ilvl w:val="0"/>
          <w:numId w:val="0"/>
        </w:numPr>
      </w:pPr>
      <w:r w:rsidRPr="00742AB9">
        <w:t>29.</w:t>
      </w:r>
      <w:r w:rsidRPr="00742AB9">
        <w:tab/>
      </w:r>
      <w:r w:rsidR="00166617" w:rsidRPr="00742AB9">
        <w:t>T</w:t>
      </w:r>
      <w:r w:rsidR="0007670B" w:rsidRPr="00742AB9">
        <w:t xml:space="preserve">he operational translation </w:t>
      </w:r>
      <w:r w:rsidR="00D438AA" w:rsidRPr="00742AB9">
        <w:t xml:space="preserve">(outsourcing) </w:t>
      </w:r>
      <w:r w:rsidR="0007670B" w:rsidRPr="00742AB9">
        <w:t>costs</w:t>
      </w:r>
      <w:r w:rsidR="008A015A" w:rsidRPr="00742AB9">
        <w:t xml:space="preserve"> </w:t>
      </w:r>
      <w:r w:rsidR="00166617" w:rsidRPr="00742AB9">
        <w:t xml:space="preserve">would be different depending on the </w:t>
      </w:r>
      <w:r w:rsidR="00E07B56" w:rsidRPr="00742AB9">
        <w:t>implementation options</w:t>
      </w:r>
      <w:r w:rsidR="00765019" w:rsidRPr="00742AB9">
        <w:t>.</w:t>
      </w:r>
      <w:r w:rsidR="00E07B56" w:rsidRPr="00742AB9">
        <w:t xml:space="preserve">  </w:t>
      </w:r>
      <w:r w:rsidR="0070362D" w:rsidRPr="00742AB9">
        <w:t xml:space="preserve">The International Bureau estimates that, </w:t>
      </w:r>
      <w:r w:rsidR="007D7E7F" w:rsidRPr="00742AB9">
        <w:t>if</w:t>
      </w:r>
      <w:r w:rsidR="0070362D" w:rsidRPr="00742AB9">
        <w:t xml:space="preserve"> the introduction of Chinese and Russian </w:t>
      </w:r>
      <w:r w:rsidR="007D7E7F" w:rsidRPr="00742AB9">
        <w:t>were</w:t>
      </w:r>
      <w:r w:rsidR="0070362D" w:rsidRPr="00742AB9">
        <w:t xml:space="preserve"> operational in 2021, </w:t>
      </w:r>
      <w:r w:rsidR="008A015A" w:rsidRPr="00742AB9">
        <w:t xml:space="preserve">the </w:t>
      </w:r>
      <w:r w:rsidR="00D438AA" w:rsidRPr="00742AB9">
        <w:t xml:space="preserve">additional </w:t>
      </w:r>
      <w:r w:rsidR="008A015A" w:rsidRPr="00742AB9">
        <w:t xml:space="preserve">annual </w:t>
      </w:r>
      <w:r w:rsidR="00D438AA" w:rsidRPr="00742AB9">
        <w:t>operational</w:t>
      </w:r>
      <w:r w:rsidR="0070362D" w:rsidRPr="00742AB9">
        <w:t xml:space="preserve"> </w:t>
      </w:r>
      <w:r w:rsidR="0007084E" w:rsidRPr="00742AB9">
        <w:t xml:space="preserve">translation </w:t>
      </w:r>
      <w:r w:rsidR="00A319F3" w:rsidRPr="00742AB9">
        <w:t>costs would</w:t>
      </w:r>
      <w:r w:rsidR="008A015A" w:rsidRPr="00742AB9">
        <w:t xml:space="preserve"> amount to</w:t>
      </w:r>
      <w:r w:rsidR="0070362D" w:rsidRPr="00742AB9">
        <w:t xml:space="preserve"> </w:t>
      </w:r>
      <w:r w:rsidR="00351B20" w:rsidRPr="00742AB9">
        <w:t>6</w:t>
      </w:r>
      <w:r w:rsidR="0070362D" w:rsidRPr="00742AB9">
        <w:t>,</w:t>
      </w:r>
      <w:r w:rsidR="002732A4" w:rsidRPr="00742AB9">
        <w:t>2</w:t>
      </w:r>
      <w:r w:rsidR="0070362D" w:rsidRPr="00742AB9">
        <w:t>00</w:t>
      </w:r>
      <w:r w:rsidR="00E46D7B" w:rsidRPr="00742AB9">
        <w:t> Swiss francs</w:t>
      </w:r>
      <w:r w:rsidR="0070362D" w:rsidRPr="00742AB9">
        <w:t xml:space="preserve"> under the filing language</w:t>
      </w:r>
      <w:r w:rsidR="007B1A5C" w:rsidRPr="00742AB9">
        <w:t>, the filing and communication</w:t>
      </w:r>
      <w:r w:rsidR="00A26029" w:rsidRPr="00742AB9">
        <w:t>,</w:t>
      </w:r>
      <w:r w:rsidR="00764308" w:rsidRPr="00742AB9">
        <w:t xml:space="preserve"> </w:t>
      </w:r>
      <w:r w:rsidR="0070362D" w:rsidRPr="00742AB9">
        <w:t>or the publication language option</w:t>
      </w:r>
      <w:r w:rsidR="007B1A5C" w:rsidRPr="00742AB9">
        <w:t>s</w:t>
      </w:r>
      <w:r w:rsidR="00764308" w:rsidRPr="00742AB9">
        <w:t xml:space="preserve"> (option</w:t>
      </w:r>
      <w:r w:rsidR="007B1A5C" w:rsidRPr="00742AB9">
        <w:t>s “A”</w:t>
      </w:r>
      <w:r w:rsidR="00953968" w:rsidRPr="00742AB9">
        <w:t xml:space="preserve"> to</w:t>
      </w:r>
      <w:r w:rsidR="00764308" w:rsidRPr="00742AB9">
        <w:t xml:space="preserve"> “C”)</w:t>
      </w:r>
      <w:r w:rsidR="0070362D" w:rsidRPr="00742AB9">
        <w:t xml:space="preserve">;  </w:t>
      </w:r>
      <w:r w:rsidR="00351B20" w:rsidRPr="00742AB9">
        <w:t>36</w:t>
      </w:r>
      <w:r w:rsidR="00FF5F5E" w:rsidRPr="00742AB9">
        <w:t>,</w:t>
      </w:r>
      <w:r w:rsidR="002732A4" w:rsidRPr="00742AB9">
        <w:t>1</w:t>
      </w:r>
      <w:r w:rsidR="00FF5F5E" w:rsidRPr="00742AB9">
        <w:t>00</w:t>
      </w:r>
      <w:r w:rsidR="00E46D7B" w:rsidRPr="00742AB9">
        <w:t> Swiss francs</w:t>
      </w:r>
      <w:r w:rsidR="0070362D" w:rsidRPr="00742AB9">
        <w:t xml:space="preserve"> </w:t>
      </w:r>
      <w:r w:rsidR="00FF5F5E" w:rsidRPr="00742AB9">
        <w:t xml:space="preserve">under </w:t>
      </w:r>
      <w:r w:rsidR="0070362D" w:rsidRPr="00742AB9">
        <w:t xml:space="preserve">the publication and </w:t>
      </w:r>
      <w:r w:rsidR="00F20D31" w:rsidRPr="00742AB9">
        <w:t>O</w:t>
      </w:r>
      <w:r w:rsidR="0070362D" w:rsidRPr="00742AB9">
        <w:t>ffice communication language option</w:t>
      </w:r>
      <w:r w:rsidR="00764308" w:rsidRPr="00742AB9">
        <w:t xml:space="preserve"> (option “D”)</w:t>
      </w:r>
      <w:r w:rsidR="0070362D" w:rsidRPr="00742AB9">
        <w:t xml:space="preserve">;  and </w:t>
      </w:r>
      <w:r w:rsidR="00FF5F5E" w:rsidRPr="00742AB9">
        <w:t>1</w:t>
      </w:r>
      <w:r w:rsidR="00351B20" w:rsidRPr="00742AB9">
        <w:t>27</w:t>
      </w:r>
      <w:r w:rsidR="00FF5F5E" w:rsidRPr="00742AB9">
        <w:t>,</w:t>
      </w:r>
      <w:r w:rsidR="00351B20" w:rsidRPr="00742AB9">
        <w:t>7</w:t>
      </w:r>
      <w:r w:rsidR="00FF5F5E" w:rsidRPr="00742AB9">
        <w:t>00</w:t>
      </w:r>
      <w:r w:rsidR="00E46D7B" w:rsidRPr="00742AB9">
        <w:t> Swiss francs</w:t>
      </w:r>
      <w:r w:rsidR="00FF5F5E" w:rsidRPr="00742AB9">
        <w:t xml:space="preserve"> under</w:t>
      </w:r>
      <w:r w:rsidR="0070362D" w:rsidRPr="00742AB9">
        <w:t xml:space="preserve"> the working language option</w:t>
      </w:r>
      <w:r w:rsidR="00FF5F5E" w:rsidRPr="00742AB9">
        <w:t xml:space="preserve"> </w:t>
      </w:r>
      <w:r w:rsidR="00764308" w:rsidRPr="00742AB9">
        <w:t>(option “E”)</w:t>
      </w:r>
      <w:r w:rsidR="00B963E6" w:rsidRPr="00742AB9">
        <w:t xml:space="preserve"> </w:t>
      </w:r>
      <w:r w:rsidR="00FF5F5E" w:rsidRPr="00742AB9">
        <w:t>(refer to Annex I</w:t>
      </w:r>
      <w:r w:rsidR="00790512" w:rsidRPr="00742AB9">
        <w:t>I</w:t>
      </w:r>
      <w:r w:rsidR="00FF5F5E" w:rsidRPr="00742AB9">
        <w:t xml:space="preserve">, Section </w:t>
      </w:r>
      <w:r w:rsidR="001D1E05" w:rsidRPr="00742AB9">
        <w:t>II</w:t>
      </w:r>
      <w:r w:rsidR="000D5B71" w:rsidRPr="00742AB9">
        <w:t>I).</w:t>
      </w:r>
    </w:p>
    <w:p w:rsidR="00C23ECB" w:rsidRPr="00742AB9" w:rsidRDefault="00F717FA" w:rsidP="00742AB9">
      <w:pPr>
        <w:pStyle w:val="ONUME"/>
        <w:numPr>
          <w:ilvl w:val="0"/>
          <w:numId w:val="0"/>
        </w:numPr>
        <w:spacing w:after="480"/>
      </w:pPr>
      <w:r w:rsidRPr="00742AB9">
        <w:t>30.</w:t>
      </w:r>
      <w:r w:rsidRPr="00742AB9">
        <w:tab/>
      </w:r>
      <w:r w:rsidR="00CF1971" w:rsidRPr="00742AB9">
        <w:t>Finally, if</w:t>
      </w:r>
      <w:r w:rsidR="00B14292" w:rsidRPr="00742AB9">
        <w:t xml:space="preserve">, under </w:t>
      </w:r>
      <w:r w:rsidR="00810571" w:rsidRPr="00742AB9">
        <w:t>any</w:t>
      </w:r>
      <w:r w:rsidR="00B14292" w:rsidRPr="00742AB9">
        <w:t xml:space="preserve"> </w:t>
      </w:r>
      <w:r w:rsidR="00C23ECB" w:rsidRPr="00742AB9">
        <w:t>implementation</w:t>
      </w:r>
      <w:r w:rsidR="00B14292" w:rsidRPr="00742AB9">
        <w:t xml:space="preserve"> option,</w:t>
      </w:r>
      <w:r w:rsidR="0007084E" w:rsidRPr="00742AB9">
        <w:t xml:space="preserve"> the International Bureau would be expected to handle</w:t>
      </w:r>
      <w:r w:rsidR="00CF1971" w:rsidRPr="00742AB9">
        <w:t xml:space="preserve"> </w:t>
      </w:r>
      <w:r w:rsidR="00C23ECB" w:rsidRPr="00742AB9">
        <w:t>all types of en</w:t>
      </w:r>
      <w:r w:rsidR="0007084E" w:rsidRPr="00742AB9">
        <w:t xml:space="preserve">quiries </w:t>
      </w:r>
      <w:r w:rsidR="008E079A" w:rsidRPr="00742AB9">
        <w:t>regarding</w:t>
      </w:r>
      <w:r w:rsidR="0007084E" w:rsidRPr="00742AB9">
        <w:t xml:space="preserve"> the Hague System in the new languages</w:t>
      </w:r>
      <w:r w:rsidR="00CF1971" w:rsidRPr="00742AB9">
        <w:t xml:space="preserve">, </w:t>
      </w:r>
      <w:r w:rsidR="0007084E" w:rsidRPr="00742AB9">
        <w:t xml:space="preserve">the retention of two full-time personnel to provide </w:t>
      </w:r>
      <w:r w:rsidR="00CF1971" w:rsidRPr="00742AB9">
        <w:t xml:space="preserve">such </w:t>
      </w:r>
      <w:r w:rsidR="00E63D22" w:rsidRPr="00742AB9">
        <w:t>customer</w:t>
      </w:r>
      <w:r w:rsidR="0007084E" w:rsidRPr="00742AB9">
        <w:t xml:space="preserve"> </w:t>
      </w:r>
      <w:r w:rsidR="00ED56F7" w:rsidRPr="00742AB9">
        <w:t xml:space="preserve">support </w:t>
      </w:r>
      <w:r w:rsidR="0007084E" w:rsidRPr="00742AB9">
        <w:t xml:space="preserve">would require an investment of </w:t>
      </w:r>
      <w:r w:rsidR="00953968" w:rsidRPr="00742AB9">
        <w:t>approximately</w:t>
      </w:r>
      <w:r w:rsidR="0007084E" w:rsidRPr="00742AB9">
        <w:t xml:space="preserve"> </w:t>
      </w:r>
      <w:r w:rsidR="00C23ECB" w:rsidRPr="00742AB9">
        <w:t>2</w:t>
      </w:r>
      <w:r w:rsidR="00E40E7A" w:rsidRPr="00742AB9">
        <w:t>37</w:t>
      </w:r>
      <w:r w:rsidR="0007084E" w:rsidRPr="00742AB9">
        <w:t>,000</w:t>
      </w:r>
      <w:r w:rsidR="00E46D7B" w:rsidRPr="00742AB9">
        <w:t> Swiss francs</w:t>
      </w:r>
      <w:r w:rsidR="0007084E" w:rsidRPr="00742AB9">
        <w:t xml:space="preserve"> per year</w:t>
      </w:r>
      <w:r w:rsidR="00CF1971" w:rsidRPr="00742AB9">
        <w:t xml:space="preserve"> (refer to Annex I</w:t>
      </w:r>
      <w:r w:rsidR="00790512" w:rsidRPr="00742AB9">
        <w:t>I</w:t>
      </w:r>
      <w:r w:rsidR="00CF1971" w:rsidRPr="00742AB9">
        <w:t>, Section II)</w:t>
      </w:r>
      <w:r w:rsidR="00ED56F7" w:rsidRPr="00742AB9">
        <w:t>.</w:t>
      </w:r>
    </w:p>
    <w:p w:rsidR="00993E2D" w:rsidRPr="00742AB9" w:rsidRDefault="00F717FA" w:rsidP="00664212">
      <w:pPr>
        <w:pStyle w:val="ONUME"/>
        <w:numPr>
          <w:ilvl w:val="0"/>
          <w:numId w:val="0"/>
        </w:numPr>
      </w:pPr>
      <w:r w:rsidRPr="00742AB9">
        <w:lastRenderedPageBreak/>
        <w:t>31.</w:t>
      </w:r>
      <w:r w:rsidRPr="00742AB9">
        <w:tab/>
      </w:r>
      <w:r w:rsidR="00ED56F7" w:rsidRPr="00742AB9">
        <w:t>Accordingly</w:t>
      </w:r>
      <w:r w:rsidR="00C73D69" w:rsidRPr="00742AB9">
        <w:t>,</w:t>
      </w:r>
      <w:r w:rsidR="00ED56F7" w:rsidRPr="00742AB9">
        <w:t xml:space="preserve"> </w:t>
      </w:r>
      <w:r w:rsidR="00993E2D" w:rsidRPr="00742AB9">
        <w:t xml:space="preserve">it is estimated that the annual operational costs would </w:t>
      </w:r>
      <w:r w:rsidR="00C73D69" w:rsidRPr="00742AB9">
        <w:t>be between</w:t>
      </w:r>
      <w:r w:rsidR="00E46D7B" w:rsidRPr="00742AB9">
        <w:t xml:space="preserve"> </w:t>
      </w:r>
      <w:r w:rsidR="00C73D69" w:rsidRPr="00742AB9">
        <w:t>8</w:t>
      </w:r>
      <w:r w:rsidR="00E40E7A" w:rsidRPr="00742AB9">
        <w:t>63</w:t>
      </w:r>
      <w:r w:rsidR="00C73D69" w:rsidRPr="00742AB9">
        <w:t>,200</w:t>
      </w:r>
      <w:r w:rsidR="00E46D7B" w:rsidRPr="00742AB9">
        <w:t xml:space="preserve"> Swiss francs </w:t>
      </w:r>
      <w:r w:rsidR="00C73D69" w:rsidRPr="00742AB9">
        <w:rPr>
          <w:rStyle w:val="FootnoteReference"/>
        </w:rPr>
        <w:footnoteReference w:id="5"/>
      </w:r>
      <w:r w:rsidR="00C73D69" w:rsidRPr="00742AB9">
        <w:t xml:space="preserve"> (under option</w:t>
      </w:r>
      <w:r w:rsidR="00A26029" w:rsidRPr="00742AB9">
        <w:t>s</w:t>
      </w:r>
      <w:r w:rsidR="00C73D69" w:rsidRPr="00742AB9">
        <w:t xml:space="preserve"> “A” </w:t>
      </w:r>
      <w:r w:rsidR="00953968" w:rsidRPr="00742AB9">
        <w:t>to</w:t>
      </w:r>
      <w:r w:rsidR="00C73D69" w:rsidRPr="00742AB9">
        <w:t xml:space="preserve"> “C”), </w:t>
      </w:r>
      <w:r w:rsidR="00E40E7A" w:rsidRPr="00742AB9">
        <w:t>893</w:t>
      </w:r>
      <w:r w:rsidR="00C73D69" w:rsidRPr="00742AB9">
        <w:t>,100</w:t>
      </w:r>
      <w:r w:rsidR="00E46D7B" w:rsidRPr="00742AB9">
        <w:t> Swiss francs</w:t>
      </w:r>
      <w:r w:rsidR="00C73D69" w:rsidRPr="00742AB9">
        <w:rPr>
          <w:rStyle w:val="FootnoteReference"/>
        </w:rPr>
        <w:footnoteReference w:id="6"/>
      </w:r>
      <w:r w:rsidR="00C73D69" w:rsidRPr="00742AB9">
        <w:t xml:space="preserve"> (under option “D”), and</w:t>
      </w:r>
      <w:r w:rsidR="00993E2D" w:rsidRPr="00742AB9">
        <w:t xml:space="preserve"> </w:t>
      </w:r>
      <w:r w:rsidR="00E40E7A" w:rsidRPr="00742AB9">
        <w:t>984</w:t>
      </w:r>
      <w:r w:rsidR="00993E2D" w:rsidRPr="00742AB9">
        <w:t>,</w:t>
      </w:r>
      <w:r w:rsidR="00351B20" w:rsidRPr="00742AB9">
        <w:t>7</w:t>
      </w:r>
      <w:r w:rsidR="00993E2D" w:rsidRPr="00742AB9">
        <w:t>00</w:t>
      </w:r>
      <w:r w:rsidR="00E46D7B" w:rsidRPr="00742AB9">
        <w:t> Swiss francs</w:t>
      </w:r>
      <w:r w:rsidR="00033AB1" w:rsidRPr="00742AB9">
        <w:rPr>
          <w:rStyle w:val="FootnoteReference"/>
        </w:rPr>
        <w:footnoteReference w:id="7"/>
      </w:r>
      <w:r w:rsidR="00993E2D" w:rsidRPr="00742AB9">
        <w:t xml:space="preserve"> </w:t>
      </w:r>
      <w:r w:rsidR="00C73D69" w:rsidRPr="00742AB9">
        <w:t>(</w:t>
      </w:r>
      <w:r w:rsidR="00993E2D" w:rsidRPr="00742AB9">
        <w:t>under</w:t>
      </w:r>
      <w:r w:rsidR="00C73D69" w:rsidRPr="00742AB9">
        <w:t xml:space="preserve"> option “E”),</w:t>
      </w:r>
      <w:r w:rsidR="007B1A5C" w:rsidRPr="00742AB9">
        <w:t xml:space="preserve"> </w:t>
      </w:r>
      <w:r w:rsidR="00C73D69" w:rsidRPr="00742AB9">
        <w:t xml:space="preserve">if the Hague Registry </w:t>
      </w:r>
      <w:r w:rsidR="00346DCB" w:rsidRPr="00742AB9">
        <w:t>had</w:t>
      </w:r>
      <w:r w:rsidR="00C73D69" w:rsidRPr="00742AB9">
        <w:t xml:space="preserve"> to set up its own translation resources for the new languages and to provide full-time </w:t>
      </w:r>
      <w:r w:rsidR="00CE7ABB" w:rsidRPr="00742AB9">
        <w:t>customer</w:t>
      </w:r>
      <w:r w:rsidR="00C73D69" w:rsidRPr="00742AB9">
        <w:t xml:space="preserve"> support in the new languages</w:t>
      </w:r>
      <w:r w:rsidR="00ED56F7" w:rsidRPr="00742AB9">
        <w:t>.</w:t>
      </w:r>
    </w:p>
    <w:p w:rsidR="00704D3F" w:rsidRPr="00742AB9" w:rsidRDefault="00704D3F" w:rsidP="00704D3F">
      <w:pPr>
        <w:pStyle w:val="ONUME"/>
        <w:numPr>
          <w:ilvl w:val="0"/>
          <w:numId w:val="0"/>
        </w:numPr>
      </w:pPr>
      <w:r w:rsidRPr="00742AB9">
        <w:t>OPERATIONAL IMPLICATIONS</w:t>
      </w:r>
    </w:p>
    <w:p w:rsidR="00704D3F" w:rsidRPr="00742AB9" w:rsidRDefault="00174D01" w:rsidP="00664212">
      <w:pPr>
        <w:pStyle w:val="ONUME"/>
        <w:numPr>
          <w:ilvl w:val="0"/>
          <w:numId w:val="0"/>
        </w:numPr>
      </w:pPr>
      <w:r w:rsidRPr="00742AB9">
        <w:t>32.</w:t>
      </w:r>
      <w:r w:rsidRPr="00742AB9">
        <w:tab/>
      </w:r>
      <w:r w:rsidR="00704D3F" w:rsidRPr="00742AB9">
        <w:t xml:space="preserve">All </w:t>
      </w:r>
      <w:r w:rsidR="007F13D8" w:rsidRPr="00742AB9">
        <w:t xml:space="preserve">of </w:t>
      </w:r>
      <w:r w:rsidR="00704D3F" w:rsidRPr="00742AB9">
        <w:t xml:space="preserve">the implementation options other than the filing language option (option “A”) would require examiners </w:t>
      </w:r>
      <w:r w:rsidR="0079434F" w:rsidRPr="00742AB9">
        <w:t>proficient in the new languages</w:t>
      </w:r>
      <w:r w:rsidR="00704D3F" w:rsidRPr="00742AB9">
        <w:t>.</w:t>
      </w:r>
      <w:r w:rsidR="0079434F" w:rsidRPr="00742AB9">
        <w:t xml:space="preserve">  This document does not address examination costs associated with specific languages</w:t>
      </w:r>
      <w:r w:rsidR="00996196" w:rsidRPr="00742AB9">
        <w:t>, the reason being that the International Bureau already possesses some capacity to carry out examination in Chinese and Russian and that it would be normal for th</w:t>
      </w:r>
      <w:r w:rsidR="004971C9" w:rsidRPr="00742AB9">
        <w:t xml:space="preserve">e examination </w:t>
      </w:r>
      <w:r w:rsidR="00996196" w:rsidRPr="00742AB9">
        <w:t xml:space="preserve">capacity </w:t>
      </w:r>
      <w:r w:rsidR="004971C9" w:rsidRPr="00742AB9">
        <w:t xml:space="preserve">in general </w:t>
      </w:r>
      <w:r w:rsidR="00996196" w:rsidRPr="00742AB9">
        <w:t xml:space="preserve">to evolve through time on the basis of volume. </w:t>
      </w:r>
      <w:r w:rsidR="004D385F" w:rsidRPr="00742AB9">
        <w:t xml:space="preserve"> </w:t>
      </w:r>
      <w:r w:rsidR="0079434F" w:rsidRPr="00742AB9">
        <w:t>However, it should be noted that the more languages would be introduced, the less flexibility the International Bureau would have to increment the examination capacity</w:t>
      </w:r>
      <w:r w:rsidR="00D96372" w:rsidRPr="00742AB9">
        <w:t>.  This would be the case</w:t>
      </w:r>
      <w:r w:rsidR="0079434F" w:rsidRPr="00742AB9">
        <w:t xml:space="preserve"> under </w:t>
      </w:r>
      <w:r w:rsidR="00D96372" w:rsidRPr="00742AB9">
        <w:t xml:space="preserve">all </w:t>
      </w:r>
      <w:r w:rsidR="004D385F" w:rsidRPr="00742AB9">
        <w:t xml:space="preserve">of the </w:t>
      </w:r>
      <w:r w:rsidR="0079434F" w:rsidRPr="00742AB9">
        <w:t xml:space="preserve">implementation options </w:t>
      </w:r>
      <w:r w:rsidR="004D385F" w:rsidRPr="00742AB9">
        <w:t>except</w:t>
      </w:r>
      <w:r w:rsidR="0079434F" w:rsidRPr="00742AB9">
        <w:t xml:space="preserve"> option “A” (refer to Annex </w:t>
      </w:r>
      <w:r w:rsidR="004F46F2" w:rsidRPr="00742AB9">
        <w:t>I</w:t>
      </w:r>
      <w:r w:rsidR="0079434F" w:rsidRPr="00742AB9">
        <w:t>I, Section II).</w:t>
      </w:r>
    </w:p>
    <w:p w:rsidR="00444580" w:rsidRPr="00742AB9" w:rsidRDefault="00A555CF" w:rsidP="00444580">
      <w:pPr>
        <w:pStyle w:val="Heading1"/>
        <w:ind w:left="360" w:hanging="360"/>
      </w:pPr>
      <w:r w:rsidRPr="00742AB9">
        <w:t xml:space="preserve">Further </w:t>
      </w:r>
      <w:r w:rsidR="007E3C41" w:rsidRPr="00742AB9">
        <w:t>considerations</w:t>
      </w:r>
    </w:p>
    <w:p w:rsidR="0069039A" w:rsidRPr="00742AB9" w:rsidRDefault="0069039A" w:rsidP="0069039A">
      <w:pPr>
        <w:pStyle w:val="ONUME"/>
        <w:numPr>
          <w:ilvl w:val="0"/>
          <w:numId w:val="0"/>
        </w:numPr>
      </w:pPr>
      <w:r w:rsidRPr="00742AB9">
        <w:t>MADRID WORKING GROUP</w:t>
      </w:r>
    </w:p>
    <w:p w:rsidR="002704F1" w:rsidRPr="00742AB9" w:rsidRDefault="003211FA" w:rsidP="00664212">
      <w:pPr>
        <w:pStyle w:val="ONUME"/>
        <w:numPr>
          <w:ilvl w:val="0"/>
          <w:numId w:val="0"/>
        </w:numPr>
      </w:pPr>
      <w:r w:rsidRPr="00742AB9">
        <w:t>3</w:t>
      </w:r>
      <w:r w:rsidR="00BD4216">
        <w:t>3</w:t>
      </w:r>
      <w:r w:rsidRPr="00742AB9">
        <w:t>.</w:t>
      </w:r>
      <w:r w:rsidRPr="00742AB9">
        <w:tab/>
      </w:r>
      <w:r w:rsidR="0069039A" w:rsidRPr="00742AB9">
        <w:t>A</w:t>
      </w:r>
      <w:r w:rsidR="0005780E" w:rsidRPr="00742AB9">
        <w:t>t its seventeenth session held in July 2019,</w:t>
      </w:r>
      <w:r w:rsidR="004C5B4C" w:rsidRPr="00742AB9">
        <w:t xml:space="preserve"> the Working Group on the Legal Development of the </w:t>
      </w:r>
      <w:r w:rsidR="007E0189" w:rsidRPr="00742AB9">
        <w:t>Madrid</w:t>
      </w:r>
      <w:r w:rsidR="004C5B4C" w:rsidRPr="00742AB9">
        <w:t xml:space="preserve"> System for the International Registration of Mark</w:t>
      </w:r>
      <w:r w:rsidR="004F465E" w:rsidRPr="00742AB9">
        <w:t>s</w:t>
      </w:r>
      <w:r w:rsidR="004C5B4C" w:rsidRPr="00742AB9">
        <w:t xml:space="preserve"> discuss</w:t>
      </w:r>
      <w:r w:rsidR="0005780E" w:rsidRPr="00742AB9">
        <w:t>ed</w:t>
      </w:r>
      <w:r w:rsidR="004C5B4C" w:rsidRPr="00742AB9">
        <w:t xml:space="preserve"> the possible introduction of the Arabic, Chinese and Russian languages into the Madrid System.</w:t>
      </w:r>
      <w:r w:rsidR="000A7826" w:rsidRPr="00742AB9">
        <w:t xml:space="preserve">  The Madrid Working Group requested the International Bureau to prepare a comprehensive study of the cost implications and technical feasibility of the gradual introduction of those languages into the Madrid System.</w:t>
      </w:r>
      <w:r w:rsidR="004C5B4C" w:rsidRPr="00742AB9">
        <w:t xml:space="preserve">  </w:t>
      </w:r>
      <w:r w:rsidR="000A7826" w:rsidRPr="00742AB9">
        <w:t>A</w:t>
      </w:r>
      <w:r w:rsidR="00897CA4" w:rsidRPr="00742AB9">
        <w:t>t its eighteen</w:t>
      </w:r>
      <w:r w:rsidR="002C2885" w:rsidRPr="00742AB9">
        <w:t>th</w:t>
      </w:r>
      <w:r w:rsidR="00897CA4" w:rsidRPr="00742AB9">
        <w:t xml:space="preserve"> session held in October 2020</w:t>
      </w:r>
      <w:r w:rsidR="000A7826" w:rsidRPr="00742AB9">
        <w:t xml:space="preserve">, </w:t>
      </w:r>
      <w:r w:rsidR="00897CA4" w:rsidRPr="00742AB9">
        <w:t>the Madrid Working Group considered the comprehensive study (</w:t>
      </w:r>
      <w:r w:rsidR="0005780E" w:rsidRPr="00742AB9">
        <w:t xml:space="preserve">document </w:t>
      </w:r>
      <w:r w:rsidR="00C0534A" w:rsidRPr="00742AB9">
        <w:t>MM/LD/WG/18/</w:t>
      </w:r>
      <w:r w:rsidR="00ED4C2E" w:rsidRPr="00742AB9">
        <w:t>5</w:t>
      </w:r>
      <w:r w:rsidR="0005780E" w:rsidRPr="00742AB9">
        <w:t>).</w:t>
      </w:r>
      <w:r w:rsidR="00AE3EC6" w:rsidRPr="00742AB9">
        <w:t xml:space="preserve">  </w:t>
      </w:r>
    </w:p>
    <w:p w:rsidR="007863F5" w:rsidRPr="00742AB9" w:rsidRDefault="002704F1" w:rsidP="00664212">
      <w:pPr>
        <w:pStyle w:val="ONUME"/>
        <w:numPr>
          <w:ilvl w:val="0"/>
          <w:numId w:val="0"/>
        </w:numPr>
      </w:pPr>
      <w:r w:rsidRPr="00742AB9">
        <w:t>3</w:t>
      </w:r>
      <w:r w:rsidR="00BD4216">
        <w:t>4</w:t>
      </w:r>
      <w:r w:rsidRPr="00742AB9">
        <w:t>.</w:t>
      </w:r>
      <w:r w:rsidRPr="00742AB9">
        <w:tab/>
      </w:r>
      <w:r w:rsidR="0005780E" w:rsidRPr="00742AB9">
        <w:t xml:space="preserve">The </w:t>
      </w:r>
      <w:r w:rsidR="00CE512E" w:rsidRPr="00742AB9">
        <w:t xml:space="preserve">said </w:t>
      </w:r>
      <w:r w:rsidR="0005780E" w:rsidRPr="00742AB9">
        <w:t>document</w:t>
      </w:r>
      <w:r w:rsidR="00C0534A" w:rsidRPr="00742AB9">
        <w:t xml:space="preserve"> propose</w:t>
      </w:r>
      <w:r w:rsidR="00C76507" w:rsidRPr="00742AB9">
        <w:t>d</w:t>
      </w:r>
      <w:r w:rsidR="00C0534A" w:rsidRPr="00742AB9">
        <w:t xml:space="preserve"> the introduction of th</w:t>
      </w:r>
      <w:r w:rsidR="00D543BE" w:rsidRPr="00742AB9">
        <w:t>ose three</w:t>
      </w:r>
      <w:r w:rsidR="00C0534A" w:rsidRPr="00742AB9">
        <w:t xml:space="preserve"> languages as filing</w:t>
      </w:r>
      <w:r w:rsidR="0005780E" w:rsidRPr="00742AB9">
        <w:t xml:space="preserve"> langu</w:t>
      </w:r>
      <w:r w:rsidR="00CE512E" w:rsidRPr="00742AB9">
        <w:t xml:space="preserve">ages, as a possible way forward.  </w:t>
      </w:r>
      <w:r w:rsidR="00354FAE" w:rsidRPr="00742AB9">
        <w:t xml:space="preserve">It is to be noted that the filing language option </w:t>
      </w:r>
      <w:r w:rsidR="00221B92">
        <w:br/>
      </w:r>
      <w:r w:rsidR="00354FAE" w:rsidRPr="00742AB9">
        <w:t xml:space="preserve">(option “A”) </w:t>
      </w:r>
      <w:r w:rsidR="009B7FDD" w:rsidRPr="00742AB9">
        <w:t>largely</w:t>
      </w:r>
      <w:r w:rsidR="00AE3EC6" w:rsidRPr="00742AB9">
        <w:t xml:space="preserve"> </w:t>
      </w:r>
      <w:r w:rsidR="00354FAE" w:rsidRPr="00742AB9">
        <w:t>corresponds to th</w:t>
      </w:r>
      <w:r w:rsidR="00AE3EC6" w:rsidRPr="00742AB9">
        <w:t>at</w:t>
      </w:r>
      <w:r w:rsidR="009B7FDD" w:rsidRPr="00742AB9">
        <w:t xml:space="preserve"> option</w:t>
      </w:r>
      <w:r w:rsidR="00AE3EC6" w:rsidRPr="00742AB9">
        <w:t>.</w:t>
      </w:r>
      <w:r w:rsidR="000819B8" w:rsidRPr="00742AB9">
        <w:t xml:space="preserve">  After the consideration of the said document, the Madrid Working Group requested the International Bureau to prepare a revised</w:t>
      </w:r>
      <w:r w:rsidRPr="00742AB9">
        <w:t xml:space="preserve"> </w:t>
      </w:r>
      <w:r w:rsidR="00C76507" w:rsidRPr="00742AB9">
        <w:t>study</w:t>
      </w:r>
      <w:r w:rsidR="000819B8" w:rsidRPr="00742AB9">
        <w:t>, so as to address the issues raised by delegations</w:t>
      </w:r>
      <w:r w:rsidR="00C76507" w:rsidRPr="00742AB9">
        <w:t xml:space="preserve">, </w:t>
      </w:r>
      <w:r w:rsidR="000819B8" w:rsidRPr="00742AB9">
        <w:t xml:space="preserve">as well as </w:t>
      </w:r>
      <w:r w:rsidR="00C76507" w:rsidRPr="00742AB9">
        <w:t xml:space="preserve">to hold consultations in </w:t>
      </w:r>
      <w:r w:rsidR="000819B8" w:rsidRPr="00742AB9">
        <w:t xml:space="preserve">advance </w:t>
      </w:r>
      <w:r w:rsidR="00C76507" w:rsidRPr="00742AB9">
        <w:t>of its next session</w:t>
      </w:r>
      <w:r w:rsidR="008765E4" w:rsidRPr="00742AB9">
        <w:t>.</w:t>
      </w:r>
      <w:r w:rsidR="000819B8" w:rsidRPr="00742AB9" w:rsidDel="00354FAE">
        <w:t xml:space="preserve"> </w:t>
      </w:r>
    </w:p>
    <w:p w:rsidR="00897CA4" w:rsidRPr="00742AB9" w:rsidRDefault="00897CA4" w:rsidP="00742AB9">
      <w:pPr>
        <w:pStyle w:val="ONUME"/>
        <w:numPr>
          <w:ilvl w:val="0"/>
          <w:numId w:val="0"/>
        </w:numPr>
        <w:spacing w:before="480" w:after="240"/>
      </w:pPr>
      <w:r w:rsidRPr="00742AB9">
        <w:t>PROPOSAL BY THE REPUBLIC OF KOREA</w:t>
      </w:r>
    </w:p>
    <w:p w:rsidR="00EC064B" w:rsidRPr="00742AB9" w:rsidRDefault="000F4819" w:rsidP="00664212">
      <w:pPr>
        <w:pStyle w:val="ONUME"/>
        <w:numPr>
          <w:ilvl w:val="0"/>
          <w:numId w:val="0"/>
        </w:numPr>
      </w:pPr>
      <w:r w:rsidRPr="00742AB9">
        <w:t>3</w:t>
      </w:r>
      <w:r w:rsidR="00BD4216">
        <w:t>5</w:t>
      </w:r>
      <w:r w:rsidRPr="00742AB9">
        <w:t>.</w:t>
      </w:r>
      <w:r w:rsidRPr="00742AB9">
        <w:tab/>
      </w:r>
      <w:r w:rsidR="00897CA4" w:rsidRPr="00742AB9">
        <w:t xml:space="preserve">It is also </w:t>
      </w:r>
      <w:r w:rsidR="00C76507" w:rsidRPr="00742AB9">
        <w:t xml:space="preserve">recalled </w:t>
      </w:r>
      <w:r w:rsidR="00897CA4" w:rsidRPr="00742AB9">
        <w:t>that</w:t>
      </w:r>
      <w:r w:rsidR="00EC064B" w:rsidRPr="00742AB9">
        <w:t>, at the previous session of the Working Group, the Delegation of the Republic of Korea proposed to include Korean as a filing language into the Hague System.  Following the instruction of the Working Group, the International Bureau has prepared document H/LD/WG/9/</w:t>
      </w:r>
      <w:r w:rsidR="00036ACF" w:rsidRPr="00742AB9">
        <w:t>5</w:t>
      </w:r>
      <w:r w:rsidR="00EC064B" w:rsidRPr="00742AB9">
        <w:t xml:space="preserve"> </w:t>
      </w:r>
      <w:r w:rsidR="00CE7ABB" w:rsidRPr="00742AB9">
        <w:t xml:space="preserve">entitled </w:t>
      </w:r>
      <w:r w:rsidR="00EC064B" w:rsidRPr="00742AB9">
        <w:t xml:space="preserve">“Criteria for the </w:t>
      </w:r>
      <w:r w:rsidR="00731562" w:rsidRPr="00742AB9">
        <w:t>S</w:t>
      </w:r>
      <w:r w:rsidR="00EC064B" w:rsidRPr="00742AB9">
        <w:t xml:space="preserve">election of </w:t>
      </w:r>
      <w:r w:rsidR="00731562" w:rsidRPr="00742AB9">
        <w:t>A</w:t>
      </w:r>
      <w:r w:rsidR="00EC064B" w:rsidRPr="00742AB9">
        <w:t xml:space="preserve">dditional </w:t>
      </w:r>
      <w:r w:rsidR="00731562" w:rsidRPr="00742AB9">
        <w:t>L</w:t>
      </w:r>
      <w:r w:rsidR="00EC064B" w:rsidRPr="00742AB9">
        <w:t xml:space="preserve">anguages for </w:t>
      </w:r>
      <w:r w:rsidR="00731562" w:rsidRPr="00742AB9">
        <w:t>I</w:t>
      </w:r>
      <w:r w:rsidR="00EC064B" w:rsidRPr="00742AB9">
        <w:t>ntroduction into the Hague System</w:t>
      </w:r>
      <w:r w:rsidR="007E0189" w:rsidRPr="00742AB9">
        <w:t>”</w:t>
      </w:r>
      <w:r w:rsidR="000819B8" w:rsidRPr="00742AB9">
        <w:t xml:space="preserve"> for consideration at the current session</w:t>
      </w:r>
      <w:r w:rsidR="00EC064B" w:rsidRPr="00742AB9">
        <w:t xml:space="preserve">. </w:t>
      </w:r>
    </w:p>
    <w:p w:rsidR="00BD043A" w:rsidRDefault="00BD043A" w:rsidP="00664212">
      <w:pPr>
        <w:pStyle w:val="ONUME"/>
        <w:numPr>
          <w:ilvl w:val="0"/>
          <w:numId w:val="0"/>
        </w:numPr>
        <w:ind w:left="6237" w:hanging="837"/>
        <w:rPr>
          <w:i/>
        </w:rPr>
      </w:pPr>
    </w:p>
    <w:p w:rsidR="00BD043A" w:rsidRDefault="00BD043A" w:rsidP="00664212">
      <w:pPr>
        <w:pStyle w:val="ONUME"/>
        <w:numPr>
          <w:ilvl w:val="0"/>
          <w:numId w:val="0"/>
        </w:numPr>
        <w:ind w:left="6237" w:hanging="837"/>
        <w:rPr>
          <w:i/>
        </w:rPr>
      </w:pPr>
    </w:p>
    <w:p w:rsidR="00BE26AD" w:rsidRPr="00742AB9" w:rsidRDefault="000F4819" w:rsidP="00664212">
      <w:pPr>
        <w:pStyle w:val="ONUME"/>
        <w:numPr>
          <w:ilvl w:val="0"/>
          <w:numId w:val="0"/>
        </w:numPr>
        <w:ind w:left="6237" w:hanging="837"/>
        <w:rPr>
          <w:i/>
        </w:rPr>
      </w:pPr>
      <w:r w:rsidRPr="00742AB9">
        <w:rPr>
          <w:i/>
        </w:rPr>
        <w:lastRenderedPageBreak/>
        <w:t>3</w:t>
      </w:r>
      <w:r w:rsidR="00BD4216">
        <w:rPr>
          <w:i/>
        </w:rPr>
        <w:t>6</w:t>
      </w:r>
      <w:r w:rsidRPr="00742AB9">
        <w:rPr>
          <w:i/>
        </w:rPr>
        <w:t>.</w:t>
      </w:r>
      <w:r w:rsidRPr="00742AB9">
        <w:rPr>
          <w:i/>
        </w:rPr>
        <w:tab/>
      </w:r>
      <w:r w:rsidR="00BE26AD" w:rsidRPr="00742AB9">
        <w:rPr>
          <w:i/>
        </w:rPr>
        <w:t xml:space="preserve">The Working Group is invited </w:t>
      </w:r>
      <w:r w:rsidR="000D5B71" w:rsidRPr="00742AB9">
        <w:rPr>
          <w:i/>
        </w:rPr>
        <w:t xml:space="preserve">   </w:t>
      </w:r>
      <w:r w:rsidR="000D5B71" w:rsidRPr="00742AB9">
        <w:rPr>
          <w:i/>
        </w:rPr>
        <w:br/>
      </w:r>
      <w:r w:rsidR="00BE26AD" w:rsidRPr="00742AB9">
        <w:rPr>
          <w:i/>
        </w:rPr>
        <w:t xml:space="preserve">to:  </w:t>
      </w:r>
    </w:p>
    <w:p w:rsidR="00B07593" w:rsidRPr="00742AB9" w:rsidRDefault="00BE26AD" w:rsidP="00DF78FD">
      <w:pPr>
        <w:pStyle w:val="ONUME"/>
        <w:numPr>
          <w:ilvl w:val="0"/>
          <w:numId w:val="0"/>
        </w:numPr>
        <w:ind w:left="6237"/>
        <w:rPr>
          <w:i/>
        </w:rPr>
      </w:pPr>
      <w:r w:rsidRPr="00742AB9">
        <w:rPr>
          <w:i/>
        </w:rPr>
        <w:t>(</w:t>
      </w:r>
      <w:proofErr w:type="spellStart"/>
      <w:r w:rsidRPr="00742AB9">
        <w:rPr>
          <w:i/>
        </w:rPr>
        <w:t>i</w:t>
      </w:r>
      <w:proofErr w:type="spellEnd"/>
      <w:r w:rsidRPr="00742AB9">
        <w:rPr>
          <w:i/>
        </w:rPr>
        <w:t>)</w:t>
      </w:r>
      <w:r w:rsidRPr="00742AB9">
        <w:rPr>
          <w:i/>
        </w:rPr>
        <w:tab/>
      </w:r>
      <w:proofErr w:type="gramStart"/>
      <w:r w:rsidR="00E6350D" w:rsidRPr="00742AB9">
        <w:rPr>
          <w:i/>
        </w:rPr>
        <w:t>discuss</w:t>
      </w:r>
      <w:proofErr w:type="gramEnd"/>
      <w:r w:rsidR="00E6350D" w:rsidRPr="00742AB9">
        <w:rPr>
          <w:i/>
        </w:rPr>
        <w:t xml:space="preserve"> and comment on th</w:t>
      </w:r>
      <w:r w:rsidR="00584163" w:rsidRPr="00742AB9">
        <w:rPr>
          <w:i/>
        </w:rPr>
        <w:t>e contents</w:t>
      </w:r>
      <w:r w:rsidR="00E6350D" w:rsidRPr="00742AB9">
        <w:rPr>
          <w:i/>
        </w:rPr>
        <w:t xml:space="preserve"> presented in this document</w:t>
      </w:r>
      <w:r w:rsidR="00B07593" w:rsidRPr="00742AB9">
        <w:rPr>
          <w:i/>
        </w:rPr>
        <w:t>;</w:t>
      </w:r>
      <w:r w:rsidR="00822530" w:rsidRPr="00742AB9">
        <w:rPr>
          <w:i/>
        </w:rPr>
        <w:t xml:space="preserve"> </w:t>
      </w:r>
      <w:r w:rsidR="00B07593" w:rsidRPr="00742AB9">
        <w:rPr>
          <w:i/>
        </w:rPr>
        <w:t xml:space="preserve"> and,</w:t>
      </w:r>
    </w:p>
    <w:p w:rsidR="00BE26AD" w:rsidRPr="00742AB9" w:rsidRDefault="00B07593" w:rsidP="00DF78FD">
      <w:pPr>
        <w:pStyle w:val="ONUME"/>
        <w:numPr>
          <w:ilvl w:val="0"/>
          <w:numId w:val="0"/>
        </w:numPr>
        <w:ind w:left="6237"/>
        <w:rPr>
          <w:i/>
        </w:rPr>
      </w:pPr>
      <w:r w:rsidRPr="00742AB9">
        <w:rPr>
          <w:i/>
        </w:rPr>
        <w:t>(ii)</w:t>
      </w:r>
      <w:r w:rsidRPr="00742AB9">
        <w:rPr>
          <w:i/>
        </w:rPr>
        <w:tab/>
      </w:r>
      <w:proofErr w:type="gramStart"/>
      <w:r w:rsidR="00E6350D" w:rsidRPr="00742AB9">
        <w:rPr>
          <w:i/>
        </w:rPr>
        <w:t>provide</w:t>
      </w:r>
      <w:proofErr w:type="gramEnd"/>
      <w:r w:rsidR="00E6350D" w:rsidRPr="00742AB9">
        <w:rPr>
          <w:i/>
        </w:rPr>
        <w:t xml:space="preserve"> guidance to the International Bureau on a possible way forward.</w:t>
      </w:r>
    </w:p>
    <w:p w:rsidR="005E43F0" w:rsidRPr="00742AB9" w:rsidRDefault="005E43F0" w:rsidP="005E43F0">
      <w:pPr>
        <w:pStyle w:val="Endofdocument-Annex"/>
      </w:pPr>
      <w:r w:rsidRPr="00742AB9">
        <w:t>[Annex</w:t>
      </w:r>
      <w:r w:rsidR="00DF78FD" w:rsidRPr="00742AB9">
        <w:t>es</w:t>
      </w:r>
      <w:r w:rsidRPr="00742AB9">
        <w:t xml:space="preserve"> follow]</w:t>
      </w:r>
    </w:p>
    <w:p w:rsidR="00E7402F" w:rsidRPr="00742AB9" w:rsidRDefault="00DF78FD">
      <w:pPr>
        <w:rPr>
          <w:b/>
          <w:bCs/>
          <w:caps/>
          <w:kern w:val="32"/>
          <w:szCs w:val="32"/>
        </w:rPr>
        <w:sectPr w:rsidR="00E7402F" w:rsidRPr="00742AB9" w:rsidSect="00291E9B">
          <w:headerReference w:type="default" r:id="rId9"/>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742AB9">
        <w:rPr>
          <w:b/>
          <w:bCs/>
          <w:caps/>
          <w:kern w:val="32"/>
          <w:szCs w:val="32"/>
        </w:rPr>
        <w:br w:type="page"/>
      </w:r>
    </w:p>
    <w:p w:rsidR="00790512" w:rsidRPr="00742AB9" w:rsidRDefault="007F7E88">
      <w:pPr>
        <w:pStyle w:val="Heading1"/>
        <w:numPr>
          <w:ilvl w:val="0"/>
          <w:numId w:val="0"/>
        </w:numPr>
        <w:spacing w:before="0"/>
      </w:pPr>
      <w:r w:rsidRPr="00742AB9">
        <w:lastRenderedPageBreak/>
        <w:t>A</w:t>
      </w:r>
      <w:r w:rsidR="00790512" w:rsidRPr="00742AB9">
        <w:t xml:space="preserve">nnex I:  Assessment of the availability of materials and tools in English, </w:t>
      </w:r>
      <w:r w:rsidR="00221B92" w:rsidRPr="00742AB9">
        <w:t xml:space="preserve">Chinese, </w:t>
      </w:r>
      <w:r w:rsidR="00790512" w:rsidRPr="00742AB9">
        <w:t>French, Russian AND SPANISH concerning the hague system</w:t>
      </w:r>
    </w:p>
    <w:tbl>
      <w:tblPr>
        <w:tblW w:w="9795" w:type="dxa"/>
        <w:tblLayout w:type="fixed"/>
        <w:tblLook w:val="04A0" w:firstRow="1" w:lastRow="0" w:firstColumn="1" w:lastColumn="0" w:noHBand="0" w:noVBand="1"/>
      </w:tblPr>
      <w:tblGrid>
        <w:gridCol w:w="704"/>
        <w:gridCol w:w="3151"/>
        <w:gridCol w:w="1260"/>
        <w:gridCol w:w="1260"/>
        <w:gridCol w:w="1170"/>
        <w:gridCol w:w="1170"/>
        <w:gridCol w:w="1080"/>
      </w:tblGrid>
      <w:tr w:rsidR="00E11F83" w:rsidRPr="00742AB9" w:rsidTr="00221B92">
        <w:trPr>
          <w:trHeight w:val="810"/>
          <w:tblHeader/>
        </w:trPr>
        <w:tc>
          <w:tcPr>
            <w:tcW w:w="38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1F83" w:rsidRPr="00742AB9" w:rsidRDefault="00E11F83" w:rsidP="001D52BE">
            <w:pPr>
              <w:rPr>
                <w:b/>
                <w:color w:val="000000"/>
                <w:szCs w:val="22"/>
              </w:rPr>
            </w:pPr>
            <w:r w:rsidRPr="00742AB9">
              <w:rPr>
                <w:b/>
                <w:color w:val="000000"/>
                <w:szCs w:val="22"/>
              </w:rPr>
              <w:t>Materials and/or tools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11F83" w:rsidRPr="00742AB9" w:rsidRDefault="00A47D79" w:rsidP="001D52BE">
            <w:pPr>
              <w:jc w:val="center"/>
              <w:rPr>
                <w:b/>
                <w:bCs/>
                <w:color w:val="000000"/>
                <w:szCs w:val="22"/>
              </w:rPr>
            </w:pPr>
            <w:r w:rsidRPr="00A47D79">
              <w:rPr>
                <w:b/>
                <w:bCs/>
                <w:color w:val="000000"/>
                <w:szCs w:val="22"/>
              </w:rPr>
              <w:t>English</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E11F83" w:rsidRPr="00742AB9" w:rsidRDefault="00A47D79" w:rsidP="001D52BE">
            <w:pPr>
              <w:jc w:val="center"/>
              <w:rPr>
                <w:b/>
                <w:bCs/>
                <w:color w:val="000000"/>
                <w:szCs w:val="22"/>
              </w:rPr>
            </w:pPr>
            <w:r w:rsidRPr="00742AB9">
              <w:rPr>
                <w:b/>
                <w:bCs/>
                <w:color w:val="000000"/>
                <w:szCs w:val="22"/>
              </w:rPr>
              <w:t xml:space="preserve"> Chinese</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b/>
                <w:bCs/>
                <w:color w:val="000000"/>
                <w:szCs w:val="22"/>
              </w:rPr>
            </w:pPr>
            <w:r w:rsidRPr="00742AB9">
              <w:rPr>
                <w:b/>
                <w:bCs/>
                <w:color w:val="000000"/>
                <w:szCs w:val="22"/>
              </w:rPr>
              <w:t>French</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E11F83" w:rsidRPr="00742AB9" w:rsidRDefault="006F68E2" w:rsidP="001D52BE">
            <w:pPr>
              <w:jc w:val="center"/>
              <w:rPr>
                <w:b/>
                <w:bCs/>
                <w:color w:val="000000"/>
                <w:szCs w:val="22"/>
              </w:rPr>
            </w:pPr>
            <w:r w:rsidRPr="00742AB9">
              <w:rPr>
                <w:b/>
                <w:bCs/>
                <w:color w:val="000000"/>
                <w:szCs w:val="22"/>
              </w:rPr>
              <w:t>Russian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E11F83" w:rsidRPr="00742AB9" w:rsidRDefault="006F68E2" w:rsidP="001D52BE">
            <w:pPr>
              <w:jc w:val="center"/>
              <w:rPr>
                <w:b/>
                <w:bCs/>
                <w:color w:val="000000"/>
                <w:szCs w:val="22"/>
              </w:rPr>
            </w:pPr>
            <w:r w:rsidRPr="00742AB9">
              <w:rPr>
                <w:b/>
                <w:bCs/>
                <w:color w:val="000000"/>
                <w:szCs w:val="22"/>
              </w:rPr>
              <w:t>Spanish</w:t>
            </w:r>
          </w:p>
        </w:tc>
      </w:tr>
      <w:tr w:rsidR="00E11F83" w:rsidRPr="00742AB9" w:rsidTr="00221B92">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E11F83" w:rsidP="001D52BE">
            <w:pPr>
              <w:rPr>
                <w:b/>
                <w:color w:val="000000"/>
                <w:szCs w:val="22"/>
              </w:rPr>
            </w:pPr>
            <w:r w:rsidRPr="00742AB9">
              <w:rPr>
                <w:b/>
                <w:color w:val="000000"/>
                <w:szCs w:val="22"/>
              </w:rPr>
              <w:t>All options require their availability in the new languages for implementation</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1)</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rPr>
                <w:color w:val="000000"/>
                <w:szCs w:val="22"/>
              </w:rPr>
            </w:pPr>
            <w:r w:rsidRPr="00742AB9">
              <w:rPr>
                <w:color w:val="000000"/>
                <w:szCs w:val="22"/>
              </w:rPr>
              <w:t>Hague Website (General Content)</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E11F83" w:rsidRPr="00742AB9" w:rsidRDefault="00221B92" w:rsidP="001D52BE">
            <w:pPr>
              <w:jc w:val="center"/>
              <w:rPr>
                <w:color w:val="000000"/>
                <w:szCs w:val="22"/>
              </w:rPr>
            </w:pPr>
            <w:r>
              <w:rPr>
                <w:color w:val="000000"/>
                <w:szCs w:val="22"/>
              </w:rPr>
              <w:t>(</w:t>
            </w:r>
            <w:r w:rsidR="00E11F83" w:rsidRPr="00742AB9">
              <w:rPr>
                <w:color w:val="000000"/>
                <w:szCs w:val="22"/>
              </w:rPr>
              <w:t>2)</w:t>
            </w:r>
          </w:p>
        </w:tc>
        <w:tc>
          <w:tcPr>
            <w:tcW w:w="3151"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rPr>
                <w:color w:val="000000"/>
                <w:szCs w:val="22"/>
              </w:rPr>
            </w:pPr>
            <w:proofErr w:type="spellStart"/>
            <w:r w:rsidRPr="00742AB9">
              <w:rPr>
                <w:color w:val="000000"/>
                <w:szCs w:val="22"/>
              </w:rPr>
              <w:t>eHague</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A47D79" w:rsidP="001D52BE">
            <w:pPr>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hideMark/>
          </w:tcPr>
          <w:p w:rsidR="00E11F83" w:rsidRPr="00742AB9" w:rsidRDefault="006F68E2" w:rsidP="001D52BE">
            <w:pPr>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E11F83" w:rsidRPr="00742AB9" w:rsidRDefault="00221B92" w:rsidP="001D52BE">
            <w:pPr>
              <w:jc w:val="center"/>
              <w:rPr>
                <w:color w:val="000000"/>
                <w:szCs w:val="22"/>
              </w:rPr>
            </w:pPr>
            <w:r>
              <w:rPr>
                <w:color w:val="000000"/>
                <w:szCs w:val="22"/>
              </w:rPr>
              <w:t>(</w:t>
            </w:r>
            <w:r w:rsidR="00E11F83" w:rsidRPr="00742AB9">
              <w:rPr>
                <w:color w:val="000000"/>
                <w:szCs w:val="22"/>
              </w:rPr>
              <w:t>3)</w:t>
            </w:r>
          </w:p>
        </w:tc>
        <w:tc>
          <w:tcPr>
            <w:tcW w:w="3151"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rPr>
                <w:color w:val="000000"/>
                <w:szCs w:val="22"/>
              </w:rPr>
            </w:pPr>
            <w:r w:rsidRPr="00742AB9">
              <w:rPr>
                <w:color w:val="000000"/>
                <w:szCs w:val="22"/>
              </w:rPr>
              <w:t>Paper application form and other relevant forms</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A47D79" w:rsidP="001D52BE">
            <w:pPr>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hideMark/>
          </w:tcPr>
          <w:p w:rsidR="00E11F83" w:rsidRPr="00742AB9" w:rsidRDefault="006F68E2" w:rsidP="001D52BE">
            <w:pPr>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4)</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Fees and Payments webpage</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5)</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rPr>
                <w:color w:val="000000"/>
                <w:szCs w:val="22"/>
              </w:rPr>
            </w:pPr>
            <w:proofErr w:type="spellStart"/>
            <w:r w:rsidRPr="00742AB9">
              <w:rPr>
                <w:color w:val="000000"/>
                <w:szCs w:val="22"/>
              </w:rPr>
              <w:t>ePay</w:t>
            </w:r>
            <w:proofErr w:type="spellEnd"/>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r w:rsidR="00E11F83" w:rsidRPr="00742AB9" w:rsidTr="00221B92">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E11F83" w:rsidP="001D52BE">
            <w:pPr>
              <w:rPr>
                <w:b/>
                <w:color w:val="000000"/>
                <w:szCs w:val="22"/>
              </w:rPr>
            </w:pPr>
            <w:r w:rsidRPr="00742AB9">
              <w:rPr>
                <w:b/>
                <w:color w:val="000000"/>
                <w:szCs w:val="22"/>
              </w:rPr>
              <w:t>Options “C” to “E” additionally require their availability in the new languages for implementation</w:t>
            </w:r>
          </w:p>
        </w:tc>
      </w:tr>
      <w:tr w:rsidR="006F68E2"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6F68E2" w:rsidRPr="00742AB9" w:rsidRDefault="00221B92" w:rsidP="006F68E2">
            <w:pPr>
              <w:jc w:val="center"/>
              <w:rPr>
                <w:color w:val="000000"/>
                <w:szCs w:val="22"/>
              </w:rPr>
            </w:pPr>
            <w:r>
              <w:rPr>
                <w:color w:val="000000"/>
                <w:szCs w:val="22"/>
              </w:rPr>
              <w:t>(</w:t>
            </w:r>
            <w:r w:rsidR="006F68E2" w:rsidRPr="00742AB9">
              <w:rPr>
                <w:color w:val="000000"/>
                <w:szCs w:val="22"/>
              </w:rPr>
              <w:t>6)</w:t>
            </w:r>
          </w:p>
        </w:tc>
        <w:tc>
          <w:tcPr>
            <w:tcW w:w="3151"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rPr>
                <w:color w:val="000000"/>
                <w:szCs w:val="22"/>
              </w:rPr>
            </w:pPr>
            <w:r w:rsidRPr="00742AB9">
              <w:rPr>
                <w:color w:val="000000"/>
                <w:szCs w:val="22"/>
              </w:rPr>
              <w:t>International Designs Bulletin</w:t>
            </w:r>
          </w:p>
        </w:tc>
        <w:tc>
          <w:tcPr>
            <w:tcW w:w="1260" w:type="dxa"/>
            <w:tcBorders>
              <w:top w:val="nil"/>
              <w:left w:val="nil"/>
              <w:bottom w:val="single" w:sz="4" w:space="0" w:color="auto"/>
              <w:right w:val="single" w:sz="4" w:space="0" w:color="auto"/>
            </w:tcBorders>
            <w:shd w:val="clear" w:color="000000" w:fill="FFFFFF"/>
            <w:noWrap/>
            <w:vAlign w:val="center"/>
          </w:tcPr>
          <w:p w:rsidR="006F68E2" w:rsidRPr="00742AB9" w:rsidRDefault="00A47D79" w:rsidP="006F68E2">
            <w:pPr>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r w:rsidRPr="00742AB9">
              <w:rPr>
                <w:color w:val="000000"/>
                <w:szCs w:val="22"/>
              </w:rPr>
              <w:t>X</w:t>
            </w:r>
          </w:p>
        </w:tc>
      </w:tr>
      <w:tr w:rsidR="006F68E2"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6F68E2" w:rsidRPr="00742AB9" w:rsidRDefault="00221B92" w:rsidP="006F68E2">
            <w:pPr>
              <w:jc w:val="center"/>
              <w:rPr>
                <w:color w:val="000000"/>
                <w:szCs w:val="22"/>
              </w:rPr>
            </w:pPr>
            <w:r>
              <w:rPr>
                <w:color w:val="000000"/>
                <w:szCs w:val="22"/>
              </w:rPr>
              <w:t>(</w:t>
            </w:r>
            <w:r w:rsidR="006F68E2" w:rsidRPr="00742AB9">
              <w:rPr>
                <w:color w:val="000000"/>
                <w:szCs w:val="22"/>
              </w:rPr>
              <w:t>7)</w:t>
            </w:r>
          </w:p>
        </w:tc>
        <w:tc>
          <w:tcPr>
            <w:tcW w:w="3151"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rPr>
                <w:color w:val="000000"/>
                <w:szCs w:val="22"/>
              </w:rPr>
            </w:pPr>
            <w:r w:rsidRPr="00742AB9">
              <w:rPr>
                <w:color w:val="000000"/>
                <w:szCs w:val="22"/>
              </w:rPr>
              <w:t>All other forms</w:t>
            </w:r>
          </w:p>
        </w:tc>
        <w:tc>
          <w:tcPr>
            <w:tcW w:w="1260" w:type="dxa"/>
            <w:tcBorders>
              <w:top w:val="nil"/>
              <w:left w:val="nil"/>
              <w:bottom w:val="single" w:sz="4" w:space="0" w:color="auto"/>
              <w:right w:val="single" w:sz="4" w:space="0" w:color="auto"/>
            </w:tcBorders>
            <w:shd w:val="clear" w:color="000000" w:fill="FFFFFF"/>
            <w:noWrap/>
            <w:vAlign w:val="center"/>
          </w:tcPr>
          <w:p w:rsidR="006F68E2" w:rsidRPr="00742AB9" w:rsidRDefault="00A47D79" w:rsidP="006F68E2">
            <w:pPr>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r w:rsidRPr="00742AB9">
              <w:rPr>
                <w:color w:val="000000"/>
                <w:szCs w:val="22"/>
              </w:rPr>
              <w:t>X</w:t>
            </w:r>
          </w:p>
        </w:tc>
      </w:tr>
      <w:tr w:rsidR="006F68E2"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6F68E2" w:rsidRPr="00742AB9" w:rsidRDefault="00221B92" w:rsidP="006F68E2">
            <w:pPr>
              <w:jc w:val="center"/>
              <w:rPr>
                <w:color w:val="000000"/>
                <w:szCs w:val="22"/>
              </w:rPr>
            </w:pPr>
            <w:r>
              <w:rPr>
                <w:color w:val="000000"/>
                <w:szCs w:val="22"/>
              </w:rPr>
              <w:t>(</w:t>
            </w:r>
            <w:r w:rsidR="006F68E2" w:rsidRPr="00742AB9">
              <w:rPr>
                <w:color w:val="000000"/>
                <w:szCs w:val="22"/>
              </w:rPr>
              <w:t>8)</w:t>
            </w:r>
          </w:p>
        </w:tc>
        <w:tc>
          <w:tcPr>
            <w:tcW w:w="3151"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rPr>
                <w:color w:val="000000"/>
                <w:szCs w:val="22"/>
              </w:rPr>
            </w:pPr>
            <w:proofErr w:type="spellStart"/>
            <w:r w:rsidRPr="00742AB9">
              <w:rPr>
                <w:color w:val="000000"/>
                <w:szCs w:val="22"/>
              </w:rPr>
              <w:t>eRenewal</w:t>
            </w:r>
            <w:proofErr w:type="spellEnd"/>
          </w:p>
        </w:tc>
        <w:tc>
          <w:tcPr>
            <w:tcW w:w="1260" w:type="dxa"/>
            <w:tcBorders>
              <w:top w:val="nil"/>
              <w:left w:val="nil"/>
              <w:bottom w:val="single" w:sz="4" w:space="0" w:color="auto"/>
              <w:right w:val="single" w:sz="4" w:space="0" w:color="auto"/>
            </w:tcBorders>
            <w:shd w:val="clear" w:color="000000" w:fill="FFFFFF"/>
            <w:noWrap/>
            <w:vAlign w:val="center"/>
          </w:tcPr>
          <w:p w:rsidR="006F68E2" w:rsidRPr="00742AB9" w:rsidRDefault="00A47D79" w:rsidP="006F68E2">
            <w:pPr>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6F68E2" w:rsidRPr="00742AB9" w:rsidRDefault="006F68E2" w:rsidP="006F68E2">
            <w:pPr>
              <w:jc w:val="center"/>
              <w:rPr>
                <w:color w:val="000000"/>
                <w:szCs w:val="22"/>
              </w:rPr>
            </w:pPr>
            <w:r w:rsidRPr="00742AB9">
              <w:rPr>
                <w:color w:val="000000"/>
                <w:szCs w:val="22"/>
              </w:rPr>
              <w:t>X</w:t>
            </w:r>
          </w:p>
        </w:tc>
      </w:tr>
      <w:tr w:rsidR="00E11F83" w:rsidRPr="00742AB9" w:rsidTr="00221B92">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E11F83" w:rsidP="001D52BE">
            <w:pPr>
              <w:rPr>
                <w:b/>
                <w:color w:val="000000"/>
                <w:szCs w:val="22"/>
              </w:rPr>
            </w:pPr>
            <w:r w:rsidRPr="00742AB9">
              <w:rPr>
                <w:b/>
                <w:color w:val="000000"/>
                <w:szCs w:val="22"/>
              </w:rPr>
              <w:t>All options suggest their availability in the new languages to assist users</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E11F83" w:rsidRPr="00742AB9" w:rsidRDefault="00221B92" w:rsidP="001D52BE">
            <w:pPr>
              <w:jc w:val="center"/>
              <w:rPr>
                <w:color w:val="000000"/>
                <w:szCs w:val="22"/>
              </w:rPr>
            </w:pPr>
            <w:r>
              <w:rPr>
                <w:color w:val="000000"/>
                <w:szCs w:val="22"/>
              </w:rPr>
              <w:t>(</w:t>
            </w:r>
            <w:r w:rsidR="00E11F83" w:rsidRPr="00742AB9">
              <w:rPr>
                <w:color w:val="000000"/>
                <w:szCs w:val="22"/>
              </w:rPr>
              <w:t>9)</w:t>
            </w:r>
          </w:p>
        </w:tc>
        <w:tc>
          <w:tcPr>
            <w:tcW w:w="3151"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rPr>
                <w:color w:val="000000"/>
                <w:szCs w:val="22"/>
              </w:rPr>
            </w:pPr>
            <w:r w:rsidRPr="00742AB9">
              <w:rPr>
                <w:color w:val="000000"/>
                <w:szCs w:val="22"/>
              </w:rPr>
              <w:t>Locarno Classification</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r>
      <w:tr w:rsidR="00E11F83" w:rsidRPr="00742AB9" w:rsidTr="00221B92">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10)</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rPr>
                <w:color w:val="000000"/>
                <w:szCs w:val="22"/>
              </w:rPr>
            </w:pPr>
            <w:r w:rsidRPr="00742AB9">
              <w:rPr>
                <w:color w:val="000000"/>
                <w:szCs w:val="22"/>
              </w:rPr>
              <w:t>Guidance on reproductions</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r w:rsidR="00E11F83" w:rsidRPr="00742AB9" w:rsidTr="00221B92">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11)</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rPr>
                <w:color w:val="000000"/>
                <w:szCs w:val="22"/>
              </w:rPr>
            </w:pPr>
            <w:r w:rsidRPr="00742AB9">
              <w:rPr>
                <w:color w:val="000000"/>
                <w:szCs w:val="22"/>
              </w:rPr>
              <w:t>Hague Guide for Users</w:t>
            </w:r>
            <w:r w:rsidRPr="00742AB9">
              <w:rPr>
                <w:rStyle w:val="FootnoteReference"/>
                <w:color w:val="000000"/>
                <w:szCs w:val="22"/>
              </w:rPr>
              <w:footnoteReference w:id="8"/>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E11F83" w:rsidRPr="00742AB9" w:rsidRDefault="00221B92" w:rsidP="001D52BE">
            <w:pPr>
              <w:jc w:val="center"/>
              <w:rPr>
                <w:color w:val="000000"/>
                <w:szCs w:val="22"/>
              </w:rPr>
            </w:pPr>
            <w:r>
              <w:rPr>
                <w:color w:val="000000"/>
                <w:szCs w:val="22"/>
              </w:rPr>
              <w:t>(</w:t>
            </w:r>
            <w:r w:rsidR="00E11F83" w:rsidRPr="00742AB9">
              <w:rPr>
                <w:color w:val="000000"/>
                <w:szCs w:val="22"/>
              </w:rPr>
              <w:t>12)</w:t>
            </w:r>
          </w:p>
        </w:tc>
        <w:tc>
          <w:tcPr>
            <w:tcW w:w="3151"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rPr>
                <w:color w:val="000000"/>
                <w:szCs w:val="22"/>
              </w:rPr>
            </w:pPr>
            <w:r w:rsidRPr="00742AB9">
              <w:rPr>
                <w:color w:val="000000"/>
                <w:szCs w:val="22"/>
              </w:rPr>
              <w:t>Hague Member Profiles</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 </w:t>
            </w:r>
            <w:r w:rsidR="00A47D79"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hideMark/>
          </w:tcPr>
          <w:p w:rsidR="00E11F83" w:rsidRPr="00742AB9" w:rsidRDefault="006F68E2" w:rsidP="001D52BE">
            <w:pPr>
              <w:jc w:val="center"/>
              <w:rPr>
                <w:color w:val="000000"/>
                <w:szCs w:val="22"/>
              </w:rPr>
            </w:pPr>
            <w:r w:rsidRPr="00742AB9">
              <w:rPr>
                <w:color w:val="000000"/>
                <w:szCs w:val="22"/>
              </w:rPr>
              <w:t>X</w:t>
            </w:r>
            <w:r w:rsidR="00E11F83" w:rsidRPr="00742AB9">
              <w:rPr>
                <w:color w:val="000000"/>
                <w:szCs w:val="22"/>
              </w:rPr>
              <w:t> </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E11F83" w:rsidRPr="00742AB9" w:rsidRDefault="00221B92" w:rsidP="001D52BE">
            <w:pPr>
              <w:jc w:val="center"/>
              <w:rPr>
                <w:color w:val="000000"/>
                <w:szCs w:val="22"/>
              </w:rPr>
            </w:pPr>
            <w:r>
              <w:rPr>
                <w:color w:val="000000"/>
                <w:szCs w:val="22"/>
              </w:rPr>
              <w:t>(</w:t>
            </w:r>
            <w:r w:rsidR="00E11F83" w:rsidRPr="00742AB9">
              <w:rPr>
                <w:color w:val="000000"/>
                <w:szCs w:val="22"/>
              </w:rPr>
              <w:t>13)</w:t>
            </w:r>
          </w:p>
        </w:tc>
        <w:tc>
          <w:tcPr>
            <w:tcW w:w="3151"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rPr>
                <w:color w:val="000000"/>
                <w:szCs w:val="22"/>
              </w:rPr>
            </w:pPr>
            <w:r w:rsidRPr="00742AB9">
              <w:rPr>
                <w:color w:val="000000"/>
                <w:szCs w:val="22"/>
              </w:rPr>
              <w:t>Fee Calculator</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A47D79" w:rsidP="001D52BE">
            <w:pPr>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hideMark/>
          </w:tcPr>
          <w:p w:rsidR="00E11F83" w:rsidRPr="00742AB9" w:rsidRDefault="006F68E2" w:rsidP="001D52BE">
            <w:pPr>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E11F83" w:rsidRPr="00742AB9" w:rsidRDefault="00221B92" w:rsidP="001D52BE">
            <w:pPr>
              <w:jc w:val="center"/>
              <w:rPr>
                <w:color w:val="000000"/>
                <w:szCs w:val="22"/>
              </w:rPr>
            </w:pPr>
            <w:r>
              <w:rPr>
                <w:color w:val="000000"/>
                <w:szCs w:val="22"/>
              </w:rPr>
              <w:t>(</w:t>
            </w:r>
            <w:r w:rsidR="00E11F83" w:rsidRPr="00742AB9">
              <w:rPr>
                <w:color w:val="000000"/>
                <w:szCs w:val="22"/>
              </w:rPr>
              <w:t>14)</w:t>
            </w:r>
          </w:p>
        </w:tc>
        <w:tc>
          <w:tcPr>
            <w:tcW w:w="3151"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rPr>
                <w:color w:val="000000"/>
                <w:szCs w:val="22"/>
              </w:rPr>
            </w:pPr>
            <w:r w:rsidRPr="00742AB9">
              <w:rPr>
                <w:color w:val="000000"/>
                <w:szCs w:val="22"/>
              </w:rPr>
              <w:t>Global Design Database (including Hague Express)</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A47D79" w:rsidP="001D52BE">
            <w:pPr>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 </w:t>
            </w:r>
            <w:r w:rsidR="006F68E2"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E11F83" w:rsidRPr="00742AB9" w:rsidRDefault="00221B92" w:rsidP="001D52BE">
            <w:pPr>
              <w:jc w:val="center"/>
              <w:rPr>
                <w:color w:val="000000"/>
                <w:szCs w:val="22"/>
              </w:rPr>
            </w:pPr>
            <w:r>
              <w:rPr>
                <w:color w:val="000000"/>
                <w:szCs w:val="22"/>
              </w:rPr>
              <w:t>(</w:t>
            </w:r>
            <w:r w:rsidR="00E11F83" w:rsidRPr="00742AB9">
              <w:rPr>
                <w:color w:val="000000"/>
                <w:szCs w:val="22"/>
              </w:rPr>
              <w:t>15)</w:t>
            </w:r>
          </w:p>
        </w:tc>
        <w:tc>
          <w:tcPr>
            <w:tcW w:w="3151"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rPr>
                <w:color w:val="000000"/>
                <w:szCs w:val="22"/>
              </w:rPr>
            </w:pPr>
            <w:r w:rsidRPr="00742AB9">
              <w:rPr>
                <w:color w:val="000000"/>
                <w:szCs w:val="22"/>
              </w:rPr>
              <w:t>Contact Hague interface</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A47D79" w:rsidP="001D52BE">
            <w:pPr>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hideMark/>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hideMark/>
          </w:tcPr>
          <w:p w:rsidR="00E11F83" w:rsidRPr="00742AB9" w:rsidRDefault="006F68E2" w:rsidP="001D52BE">
            <w:pPr>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keepNext/>
              <w:jc w:val="center"/>
              <w:rPr>
                <w:color w:val="000000"/>
                <w:szCs w:val="22"/>
              </w:rPr>
            </w:pPr>
            <w:r>
              <w:rPr>
                <w:color w:val="000000"/>
                <w:szCs w:val="22"/>
              </w:rPr>
              <w:t>(</w:t>
            </w:r>
            <w:r w:rsidR="00E11F83" w:rsidRPr="00742AB9">
              <w:rPr>
                <w:color w:val="000000"/>
                <w:szCs w:val="22"/>
              </w:rPr>
              <w:t>16)</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keepNext/>
              <w:rPr>
                <w:color w:val="000000"/>
                <w:szCs w:val="22"/>
              </w:rPr>
            </w:pPr>
            <w:r w:rsidRPr="00742AB9">
              <w:rPr>
                <w:color w:val="000000"/>
                <w:szCs w:val="22"/>
              </w:rPr>
              <w:t>Information Notices (legal)</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A47D79" w:rsidP="001D52BE">
            <w:pPr>
              <w:keepNext/>
              <w:jc w:val="center"/>
              <w:rPr>
                <w:color w:val="000000"/>
                <w:szCs w:val="22"/>
              </w:rPr>
            </w:pPr>
            <w:r w:rsidRPr="00A47D7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keepNext/>
              <w:jc w:val="center"/>
              <w:rPr>
                <w:color w:val="000000"/>
                <w:szCs w:val="22"/>
              </w:rPr>
            </w:pP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keepNext/>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keepNext/>
              <w:jc w:val="center"/>
              <w:rPr>
                <w:color w:val="000000"/>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6F68E2" w:rsidP="001D52BE">
            <w:pPr>
              <w:keepNext/>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17)</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rPr>
                <w:color w:val="000000"/>
                <w:szCs w:val="22"/>
              </w:rPr>
            </w:pPr>
            <w:r w:rsidRPr="00742AB9">
              <w:rPr>
                <w:color w:val="000000"/>
                <w:szCs w:val="22"/>
              </w:rPr>
              <w:t>Hague System News</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r w:rsidR="00E11F83" w:rsidRPr="00742AB9" w:rsidTr="00221B92">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E11F83" w:rsidP="001D52BE">
            <w:pPr>
              <w:rPr>
                <w:b/>
                <w:color w:val="000000"/>
                <w:szCs w:val="22"/>
              </w:rPr>
            </w:pPr>
            <w:r w:rsidRPr="00742AB9">
              <w:rPr>
                <w:b/>
                <w:color w:val="000000"/>
                <w:szCs w:val="22"/>
              </w:rPr>
              <w:t>Documents and information</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18)</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rPr>
                <w:color w:val="000000"/>
                <w:szCs w:val="22"/>
              </w:rPr>
            </w:pPr>
            <w:r w:rsidRPr="00742AB9">
              <w:rPr>
                <w:color w:val="000000"/>
                <w:szCs w:val="22"/>
              </w:rPr>
              <w:t>Hague legal texts (WIPO Publication No. 269)</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r w:rsidR="00E11F83" w:rsidRPr="00742AB9" w:rsidTr="00221B92">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19)</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rPr>
                <w:color w:val="000000"/>
                <w:szCs w:val="22"/>
              </w:rPr>
            </w:pPr>
            <w:r w:rsidRPr="00742AB9">
              <w:rPr>
                <w:color w:val="000000"/>
                <w:szCs w:val="22"/>
              </w:rPr>
              <w:t>Hague Union Assembly and Working Group Documents</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r w:rsidR="00E11F83" w:rsidRPr="00742AB9" w:rsidTr="00221B92">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11F83" w:rsidRPr="00742AB9" w:rsidRDefault="00221B92" w:rsidP="001D52BE">
            <w:pPr>
              <w:jc w:val="center"/>
              <w:rPr>
                <w:color w:val="000000"/>
                <w:szCs w:val="22"/>
              </w:rPr>
            </w:pPr>
            <w:r>
              <w:rPr>
                <w:color w:val="000000"/>
                <w:szCs w:val="22"/>
              </w:rPr>
              <w:t>(</w:t>
            </w:r>
            <w:r w:rsidR="00E11F83" w:rsidRPr="00742AB9">
              <w:rPr>
                <w:color w:val="000000"/>
                <w:szCs w:val="22"/>
              </w:rPr>
              <w:t>20)</w:t>
            </w:r>
          </w:p>
        </w:tc>
        <w:tc>
          <w:tcPr>
            <w:tcW w:w="3151"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rPr>
                <w:color w:val="000000"/>
                <w:szCs w:val="22"/>
              </w:rPr>
            </w:pPr>
            <w:r w:rsidRPr="00742AB9">
              <w:rPr>
                <w:color w:val="000000"/>
                <w:szCs w:val="22"/>
              </w:rPr>
              <w:t>Hague Yearly Review</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26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17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c>
          <w:tcPr>
            <w:tcW w:w="1080" w:type="dxa"/>
            <w:tcBorders>
              <w:top w:val="nil"/>
              <w:left w:val="nil"/>
              <w:bottom w:val="single" w:sz="4" w:space="0" w:color="auto"/>
              <w:right w:val="single" w:sz="4" w:space="0" w:color="auto"/>
            </w:tcBorders>
            <w:shd w:val="clear" w:color="000000" w:fill="FFFFFF"/>
            <w:noWrap/>
            <w:vAlign w:val="center"/>
          </w:tcPr>
          <w:p w:rsidR="00E11F83" w:rsidRPr="00742AB9" w:rsidRDefault="00E11F83" w:rsidP="001D52BE">
            <w:pPr>
              <w:jc w:val="center"/>
              <w:rPr>
                <w:color w:val="000000"/>
                <w:szCs w:val="22"/>
              </w:rPr>
            </w:pPr>
            <w:r w:rsidRPr="00742AB9">
              <w:rPr>
                <w:color w:val="000000"/>
                <w:szCs w:val="22"/>
              </w:rPr>
              <w:t>X</w:t>
            </w:r>
          </w:p>
        </w:tc>
      </w:tr>
    </w:tbl>
    <w:p w:rsidR="00E11F83" w:rsidRPr="00742AB9" w:rsidRDefault="00E11F83" w:rsidP="00E11F83">
      <w:pPr>
        <w:spacing w:before="720"/>
        <w:ind w:left="5533"/>
      </w:pPr>
      <w:r w:rsidRPr="00742AB9">
        <w:t>[A</w:t>
      </w:r>
      <w:r w:rsidR="00E46D7B" w:rsidRPr="00742AB9">
        <w:t>nnex</w:t>
      </w:r>
      <w:r w:rsidRPr="00742AB9">
        <w:t xml:space="preserve"> II </w:t>
      </w:r>
      <w:r w:rsidR="006F2488" w:rsidRPr="00742AB9">
        <w:t>follows</w:t>
      </w:r>
      <w:r w:rsidRPr="00742AB9">
        <w:t>]</w:t>
      </w:r>
    </w:p>
    <w:p w:rsidR="00E11F83" w:rsidRPr="00742AB9" w:rsidRDefault="00E11F83" w:rsidP="00E7402F">
      <w:pPr>
        <w:sectPr w:rsidR="00E11F83" w:rsidRPr="00742AB9" w:rsidSect="007863F5">
          <w:headerReference w:type="default" r:id="rId10"/>
          <w:footnotePr>
            <w:numRestart w:val="eachSect"/>
          </w:footnotePr>
          <w:endnotePr>
            <w:numFmt w:val="decimal"/>
          </w:endnotePr>
          <w:pgSz w:w="11907" w:h="16840" w:code="9"/>
          <w:pgMar w:top="567" w:right="1134" w:bottom="851" w:left="1418" w:header="510" w:footer="1021" w:gutter="0"/>
          <w:pgNumType w:start="1"/>
          <w:cols w:space="720"/>
          <w:docGrid w:linePitch="299"/>
        </w:sectPr>
      </w:pPr>
    </w:p>
    <w:p w:rsidR="00BA0E14" w:rsidRPr="00742AB9" w:rsidRDefault="00BA0E14" w:rsidP="00BA0E14">
      <w:pPr>
        <w:pStyle w:val="Heading1"/>
        <w:numPr>
          <w:ilvl w:val="0"/>
          <w:numId w:val="0"/>
        </w:numPr>
        <w:spacing w:before="0"/>
      </w:pPr>
      <w:r w:rsidRPr="00742AB9">
        <w:rPr>
          <w:color w:val="000000" w:themeColor="text1"/>
        </w:rPr>
        <w:lastRenderedPageBreak/>
        <w:t>Annex I</w:t>
      </w:r>
      <w:r w:rsidR="00790512" w:rsidRPr="00742AB9">
        <w:rPr>
          <w:color w:val="000000" w:themeColor="text1"/>
        </w:rPr>
        <w:t>i</w:t>
      </w:r>
      <w:r w:rsidRPr="00742AB9">
        <w:rPr>
          <w:color w:val="000000" w:themeColor="text1"/>
        </w:rPr>
        <w:t xml:space="preserve">:  </w:t>
      </w:r>
      <w:r w:rsidRPr="00742AB9">
        <w:t>Cost</w:t>
      </w:r>
      <w:r w:rsidR="001D519E" w:rsidRPr="00742AB9">
        <w:t>s</w:t>
      </w:r>
      <w:r w:rsidRPr="00742AB9">
        <w:t xml:space="preserve"> of </w:t>
      </w:r>
      <w:r w:rsidR="00033AB1" w:rsidRPr="00742AB9">
        <w:t>THE IntroducTION OF</w:t>
      </w:r>
      <w:r w:rsidRPr="00742AB9">
        <w:t xml:space="preserve"> Chinese and Russian into the HAGUE System</w:t>
      </w:r>
    </w:p>
    <w:p w:rsidR="00CE512E" w:rsidRPr="00742AB9" w:rsidRDefault="001853A9" w:rsidP="00BA0E14">
      <w:pPr>
        <w:pStyle w:val="Heading1"/>
        <w:numPr>
          <w:ilvl w:val="0"/>
          <w:numId w:val="6"/>
        </w:numPr>
        <w:ind w:left="567" w:hanging="567"/>
      </w:pPr>
      <w:r w:rsidRPr="00742AB9">
        <w:t>s</w:t>
      </w:r>
      <w:r w:rsidR="00CA3392" w:rsidRPr="00742AB9">
        <w:t>e</w:t>
      </w:r>
      <w:r w:rsidRPr="00742AB9">
        <w:t>t-up costs</w:t>
      </w:r>
    </w:p>
    <w:p w:rsidR="002313B5" w:rsidRPr="00742AB9" w:rsidRDefault="002313B5" w:rsidP="001F75EF">
      <w:pPr>
        <w:pStyle w:val="Heading2"/>
        <w:spacing w:before="240"/>
      </w:pPr>
      <w:r w:rsidRPr="00742AB9">
        <w:t>translation</w:t>
      </w:r>
    </w:p>
    <w:p w:rsidR="001853A9" w:rsidRPr="00742AB9" w:rsidRDefault="004971C9" w:rsidP="001853A9">
      <w:pPr>
        <w:pStyle w:val="ONUME"/>
        <w:numPr>
          <w:ilvl w:val="0"/>
          <w:numId w:val="13"/>
        </w:numPr>
      </w:pPr>
      <w:r w:rsidRPr="00742AB9">
        <w:t>A</w:t>
      </w:r>
      <w:r w:rsidR="001853A9" w:rsidRPr="00742AB9">
        <w:t xml:space="preserve">s an initial step, all texts in </w:t>
      </w:r>
      <w:proofErr w:type="spellStart"/>
      <w:r w:rsidR="001853A9" w:rsidRPr="00742AB9">
        <w:rPr>
          <w:i/>
        </w:rPr>
        <w:t>eHague</w:t>
      </w:r>
      <w:proofErr w:type="spellEnd"/>
      <w:r w:rsidR="001853A9" w:rsidRPr="00742AB9">
        <w:t>, forms and notification templates and texts</w:t>
      </w:r>
      <w:r w:rsidR="00BB52D7" w:rsidRPr="00742AB9">
        <w:t xml:space="preserve"> applicable under the respective implementation options</w:t>
      </w:r>
      <w:r w:rsidR="001853A9" w:rsidRPr="00742AB9">
        <w:t xml:space="preserve"> would have to be translated, in order to ensure that all relevant information and services are available in the new languages.</w:t>
      </w:r>
    </w:p>
    <w:p w:rsidR="001853A9" w:rsidRPr="00742AB9" w:rsidRDefault="001853A9" w:rsidP="001853A9">
      <w:pPr>
        <w:pStyle w:val="ONUME"/>
        <w:numPr>
          <w:ilvl w:val="0"/>
          <w:numId w:val="13"/>
        </w:numPr>
      </w:pPr>
      <w:r w:rsidRPr="00742AB9">
        <w:t xml:space="preserve">The International Bureau would need to engage two full-time translators proficient in the new languages (one translator per language, </w:t>
      </w:r>
      <w:r w:rsidRPr="00742AB9">
        <w:rPr>
          <w:i/>
        </w:rPr>
        <w:t>i.e</w:t>
      </w:r>
      <w:r w:rsidRPr="00742AB9">
        <w:t>., Chinese and Russian), on Individual Contractor Services (ICS) contracts</w:t>
      </w:r>
      <w:r w:rsidRPr="00742AB9">
        <w:rPr>
          <w:rStyle w:val="FootnoteReference"/>
        </w:rPr>
        <w:footnoteReference w:id="9"/>
      </w:r>
      <w:r w:rsidRPr="00742AB9">
        <w:t>.  An ICS contract for a P3 or P4</w:t>
      </w:r>
      <w:r w:rsidRPr="00742AB9">
        <w:noBreakHyphen/>
        <w:t>level translator could range between</w:t>
      </w:r>
      <w:r w:rsidR="00CA0817" w:rsidRPr="00742AB9">
        <w:t> </w:t>
      </w:r>
      <w:r w:rsidRPr="00742AB9">
        <w:t xml:space="preserve">100,000 </w:t>
      </w:r>
      <w:r w:rsidR="008C70AA" w:rsidRPr="00742AB9">
        <w:t xml:space="preserve">Swiss francs </w:t>
      </w:r>
      <w:r w:rsidRPr="00742AB9">
        <w:t>and</w:t>
      </w:r>
      <w:r w:rsidR="00CA0817" w:rsidRPr="00742AB9">
        <w:t> </w:t>
      </w:r>
      <w:r w:rsidRPr="00742AB9">
        <w:t>150,000</w:t>
      </w:r>
      <w:r w:rsidR="008C70AA" w:rsidRPr="00742AB9">
        <w:t xml:space="preserve"> Swiss francs</w:t>
      </w:r>
      <w:r w:rsidRPr="00742AB9">
        <w:t xml:space="preserve"> per year, subject to experience.  It is thus estimated that each ICS contract would require an investment of approximately</w:t>
      </w:r>
      <w:r w:rsidR="00CA0817" w:rsidRPr="00742AB9">
        <w:t> </w:t>
      </w:r>
      <w:r w:rsidRPr="00742AB9">
        <w:t xml:space="preserve">125,000 </w:t>
      </w:r>
      <w:r w:rsidR="008C70AA" w:rsidRPr="00742AB9">
        <w:t xml:space="preserve">Swiss francs </w:t>
      </w:r>
      <w:r w:rsidRPr="00742AB9">
        <w:t>per year</w:t>
      </w:r>
      <w:r w:rsidR="000D665D" w:rsidRPr="00742AB9">
        <w:t xml:space="preserve"> on an indicative basis</w:t>
      </w:r>
      <w:r w:rsidRPr="00742AB9">
        <w:t xml:space="preserve">.  </w:t>
      </w:r>
    </w:p>
    <w:p w:rsidR="00112FBE" w:rsidRPr="00742AB9" w:rsidRDefault="00563B40" w:rsidP="001853A9">
      <w:pPr>
        <w:pStyle w:val="ONUME"/>
        <w:numPr>
          <w:ilvl w:val="0"/>
          <w:numId w:val="13"/>
        </w:numPr>
      </w:pPr>
      <w:r w:rsidRPr="00742AB9">
        <w:t>The nature of the n</w:t>
      </w:r>
      <w:r w:rsidR="001853A9" w:rsidRPr="00742AB9">
        <w:t>otification</w:t>
      </w:r>
      <w:r w:rsidR="00BB52D7" w:rsidRPr="00742AB9">
        <w:t xml:space="preserve"> templates and texts</w:t>
      </w:r>
      <w:r w:rsidR="001853A9" w:rsidRPr="00742AB9">
        <w:t xml:space="preserve"> required to be translated into the new languages would vary according to each implementation option.  </w:t>
      </w:r>
      <w:r w:rsidRPr="00742AB9">
        <w:t xml:space="preserve">However, the necessity to </w:t>
      </w:r>
      <w:r w:rsidR="00125A87" w:rsidRPr="00742AB9">
        <w:t>make some</w:t>
      </w:r>
      <w:r w:rsidR="001853A9" w:rsidRPr="00742AB9">
        <w:t xml:space="preserve"> of the information materials and tools </w:t>
      </w:r>
      <w:r w:rsidRPr="00742AB9">
        <w:t>available in the new languages is</w:t>
      </w:r>
      <w:r w:rsidR="001853A9" w:rsidRPr="00742AB9">
        <w:t xml:space="preserve"> not strictly</w:t>
      </w:r>
      <w:r w:rsidR="004A7C3A" w:rsidRPr="00742AB9">
        <w:t xml:space="preserve"> tied </w:t>
      </w:r>
      <w:r w:rsidRPr="00742AB9">
        <w:t>to</w:t>
      </w:r>
      <w:r w:rsidR="00125A87" w:rsidRPr="00742AB9">
        <w:t xml:space="preserve"> </w:t>
      </w:r>
      <w:r w:rsidR="004A7C3A" w:rsidRPr="00742AB9">
        <w:t>any of the options</w:t>
      </w:r>
      <w:r w:rsidR="00112FBE" w:rsidRPr="00742AB9">
        <w:t>.</w:t>
      </w:r>
    </w:p>
    <w:p w:rsidR="004A7C3A" w:rsidRPr="00742AB9" w:rsidRDefault="00FD5395" w:rsidP="001853A9">
      <w:pPr>
        <w:pStyle w:val="ONUME"/>
        <w:numPr>
          <w:ilvl w:val="0"/>
          <w:numId w:val="13"/>
        </w:numPr>
      </w:pPr>
      <w:r w:rsidRPr="00742AB9">
        <w:t xml:space="preserve">As opposed to the filing language option (option “A”), the filing and communication language option (option “B”) would require the translation of notification templates and texts associated with the examination process for international applications.  </w:t>
      </w:r>
      <w:r w:rsidR="004A7C3A" w:rsidRPr="00742AB9">
        <w:t>All the other three options (options “C”</w:t>
      </w:r>
      <w:r w:rsidR="00953968" w:rsidRPr="00742AB9">
        <w:t xml:space="preserve"> to</w:t>
      </w:r>
      <w:r w:rsidR="004A7C3A" w:rsidRPr="00742AB9">
        <w:t xml:space="preserve"> “E”) would additionally require </w:t>
      </w:r>
      <w:r w:rsidR="00B10143" w:rsidRPr="00742AB9">
        <w:t xml:space="preserve">the translation of the user interface of the </w:t>
      </w:r>
      <w:r w:rsidR="00B10143" w:rsidRPr="00742AB9">
        <w:rPr>
          <w:i/>
        </w:rPr>
        <w:t>International Designs Bulletin</w:t>
      </w:r>
      <w:r w:rsidR="00B10143" w:rsidRPr="00742AB9">
        <w:t xml:space="preserve"> and other </w:t>
      </w:r>
      <w:r w:rsidR="007431D7" w:rsidRPr="00742AB9">
        <w:t xml:space="preserve">tools as well as all </w:t>
      </w:r>
      <w:r w:rsidR="004A7C3A" w:rsidRPr="00742AB9">
        <w:t>other</w:t>
      </w:r>
      <w:r w:rsidR="00B05F2B" w:rsidRPr="00742AB9">
        <w:t xml:space="preserve"> </w:t>
      </w:r>
      <w:r w:rsidR="007431D7" w:rsidRPr="00742AB9">
        <w:t>forms and notification templates and texts</w:t>
      </w:r>
      <w:r w:rsidR="004A7C3A" w:rsidRPr="00742AB9">
        <w:t>.</w:t>
      </w:r>
    </w:p>
    <w:p w:rsidR="001853A9" w:rsidRPr="00742AB9" w:rsidRDefault="004A7C3A" w:rsidP="001853A9">
      <w:pPr>
        <w:pStyle w:val="ONUME"/>
        <w:numPr>
          <w:ilvl w:val="0"/>
          <w:numId w:val="13"/>
        </w:numPr>
      </w:pPr>
      <w:r w:rsidRPr="00742AB9">
        <w:t xml:space="preserve">It is therefore estimated that the preparatory translation work would require </w:t>
      </w:r>
      <w:r w:rsidR="00563B40" w:rsidRPr="00742AB9">
        <w:t xml:space="preserve">between </w:t>
      </w:r>
      <w:r w:rsidRPr="00742AB9">
        <w:t>one to two years under option “A”, option “B” and the other three options, respectively.</w:t>
      </w:r>
      <w:r w:rsidR="001853A9" w:rsidRPr="00742AB9">
        <w:t xml:space="preserve"> </w:t>
      </w:r>
    </w:p>
    <w:p w:rsidR="001853A9" w:rsidRPr="00742AB9" w:rsidRDefault="001853A9" w:rsidP="000D5B71">
      <w:pPr>
        <w:pStyle w:val="Heading2"/>
        <w:spacing w:before="240"/>
      </w:pPr>
      <w:r w:rsidRPr="00742AB9">
        <w:t xml:space="preserve">ict </w:t>
      </w:r>
      <w:r w:rsidR="002313B5" w:rsidRPr="00742AB9">
        <w:t>systems</w:t>
      </w:r>
    </w:p>
    <w:p w:rsidR="00FE7CE6" w:rsidRPr="00742AB9" w:rsidRDefault="00883476" w:rsidP="002A3678">
      <w:pPr>
        <w:pStyle w:val="ONUME"/>
        <w:numPr>
          <w:ilvl w:val="0"/>
          <w:numId w:val="13"/>
        </w:numPr>
        <w:rPr>
          <w:u w:val="single"/>
        </w:rPr>
      </w:pPr>
      <w:r w:rsidRPr="00742AB9">
        <w:t xml:space="preserve">All </w:t>
      </w:r>
      <w:r w:rsidR="007F13D8" w:rsidRPr="00742AB9">
        <w:t xml:space="preserve">of the </w:t>
      </w:r>
      <w:r w:rsidRPr="00742AB9">
        <w:t xml:space="preserve">implementation options would require </w:t>
      </w:r>
      <w:r w:rsidR="00FE7CE6" w:rsidRPr="00742AB9">
        <w:t xml:space="preserve">development and </w:t>
      </w:r>
      <w:r w:rsidRPr="00742AB9">
        <w:t xml:space="preserve">adjustments </w:t>
      </w:r>
      <w:r w:rsidR="00FE7CE6" w:rsidRPr="00742AB9">
        <w:t>to</w:t>
      </w:r>
      <w:r w:rsidRPr="00742AB9">
        <w:t xml:space="preserve"> the internal IT System as well as making available the new languages in the user interfaces.</w:t>
      </w:r>
    </w:p>
    <w:p w:rsidR="009B60E1" w:rsidRPr="00742AB9" w:rsidRDefault="009B60E1" w:rsidP="00FE7CE6">
      <w:pPr>
        <w:pStyle w:val="ONUME"/>
        <w:numPr>
          <w:ilvl w:val="0"/>
          <w:numId w:val="0"/>
        </w:numPr>
        <w:rPr>
          <w:i/>
          <w:u w:val="single"/>
        </w:rPr>
      </w:pPr>
      <w:r w:rsidRPr="00742AB9">
        <w:rPr>
          <w:i/>
          <w:u w:val="single"/>
        </w:rPr>
        <w:t xml:space="preserve">Option </w:t>
      </w:r>
      <w:r w:rsidR="00706CC5" w:rsidRPr="00742AB9">
        <w:rPr>
          <w:i/>
          <w:u w:val="single"/>
        </w:rPr>
        <w:t>“</w:t>
      </w:r>
      <w:r w:rsidRPr="00742AB9">
        <w:rPr>
          <w:i/>
          <w:u w:val="single"/>
        </w:rPr>
        <w:t>A</w:t>
      </w:r>
      <w:r w:rsidR="00706CC5" w:rsidRPr="00742AB9">
        <w:rPr>
          <w:i/>
          <w:u w:val="single"/>
        </w:rPr>
        <w:t>”</w:t>
      </w:r>
    </w:p>
    <w:p w:rsidR="00FE7CE6" w:rsidRPr="00742AB9" w:rsidRDefault="00883476" w:rsidP="00883476">
      <w:pPr>
        <w:pStyle w:val="ONUME"/>
        <w:numPr>
          <w:ilvl w:val="0"/>
          <w:numId w:val="13"/>
        </w:numPr>
      </w:pPr>
      <w:r w:rsidRPr="00742AB9">
        <w:t>The fil</w:t>
      </w:r>
      <w:r w:rsidR="00FE7CE6" w:rsidRPr="00742AB9">
        <w:t>ing language option (option “A”)</w:t>
      </w:r>
      <w:r w:rsidRPr="00742AB9">
        <w:t xml:space="preserve"> would require the introduction of the notion of communication language to be limited to English, French or Spanish.  Additional changes would also be required in the internal IT system to allow applications filed in the new language to be translated into the language of communication selected by the applicant before examination. </w:t>
      </w:r>
      <w:r w:rsidR="00FE7CE6" w:rsidRPr="00742AB9">
        <w:t xml:space="preserve"> </w:t>
      </w:r>
      <w:r w:rsidRPr="00742AB9">
        <w:t xml:space="preserve">The developments for this option </w:t>
      </w:r>
      <w:r w:rsidR="00CE7ABB" w:rsidRPr="00742AB9">
        <w:t>would</w:t>
      </w:r>
      <w:r w:rsidRPr="00742AB9">
        <w:t xml:space="preserve"> require an investment of approximately</w:t>
      </w:r>
      <w:r w:rsidR="00CE0FB2" w:rsidRPr="00742AB9">
        <w:t xml:space="preserve"> </w:t>
      </w:r>
      <w:r w:rsidRPr="00742AB9">
        <w:t>300,000</w:t>
      </w:r>
      <w:r w:rsidR="00CE0FB2" w:rsidRPr="00742AB9">
        <w:t> Swiss francs</w:t>
      </w:r>
      <w:r w:rsidRPr="00742AB9">
        <w:t>.</w:t>
      </w:r>
    </w:p>
    <w:p w:rsidR="00883476" w:rsidRPr="00742AB9" w:rsidRDefault="00FE7CE6" w:rsidP="00FE7CE6">
      <w:pPr>
        <w:pStyle w:val="ONUME"/>
        <w:numPr>
          <w:ilvl w:val="0"/>
          <w:numId w:val="0"/>
        </w:numPr>
      </w:pPr>
      <w:r w:rsidRPr="00742AB9">
        <w:rPr>
          <w:i/>
          <w:u w:val="single"/>
        </w:rPr>
        <w:t xml:space="preserve">Options </w:t>
      </w:r>
      <w:r w:rsidR="00706CC5" w:rsidRPr="00742AB9">
        <w:rPr>
          <w:i/>
          <w:u w:val="single"/>
        </w:rPr>
        <w:t>“</w:t>
      </w:r>
      <w:r w:rsidRPr="00742AB9">
        <w:rPr>
          <w:i/>
          <w:u w:val="single"/>
        </w:rPr>
        <w:t>B</w:t>
      </w:r>
      <w:r w:rsidR="00706CC5" w:rsidRPr="00742AB9">
        <w:rPr>
          <w:i/>
          <w:u w:val="single"/>
        </w:rPr>
        <w:t>”</w:t>
      </w:r>
      <w:r w:rsidR="00D13052" w:rsidRPr="00742AB9">
        <w:rPr>
          <w:i/>
          <w:u w:val="single"/>
        </w:rPr>
        <w:t xml:space="preserve"> </w:t>
      </w:r>
      <w:r w:rsidR="00953968" w:rsidRPr="00742AB9">
        <w:rPr>
          <w:i/>
          <w:u w:val="single"/>
        </w:rPr>
        <w:t>to</w:t>
      </w:r>
      <w:r w:rsidRPr="00742AB9">
        <w:rPr>
          <w:i/>
          <w:u w:val="single"/>
        </w:rPr>
        <w:t xml:space="preserve"> </w:t>
      </w:r>
      <w:r w:rsidR="00706CC5" w:rsidRPr="00742AB9">
        <w:rPr>
          <w:i/>
          <w:u w:val="single"/>
        </w:rPr>
        <w:t>“</w:t>
      </w:r>
      <w:r w:rsidRPr="00742AB9">
        <w:rPr>
          <w:i/>
          <w:u w:val="single"/>
        </w:rPr>
        <w:t>D</w:t>
      </w:r>
      <w:r w:rsidR="00706CC5" w:rsidRPr="00742AB9">
        <w:rPr>
          <w:i/>
          <w:u w:val="single"/>
        </w:rPr>
        <w:t>”</w:t>
      </w:r>
      <w:r w:rsidR="00883476" w:rsidRPr="00742AB9">
        <w:t xml:space="preserve">   </w:t>
      </w:r>
    </w:p>
    <w:p w:rsidR="00883476" w:rsidRPr="00742AB9" w:rsidRDefault="00FE7CE6" w:rsidP="00883476">
      <w:pPr>
        <w:pStyle w:val="ONUME"/>
        <w:numPr>
          <w:ilvl w:val="0"/>
          <w:numId w:val="13"/>
        </w:numPr>
      </w:pPr>
      <w:r w:rsidRPr="00742AB9">
        <w:t>These three opt</w:t>
      </w:r>
      <w:r w:rsidR="00883476" w:rsidRPr="00742AB9">
        <w:t>ions would additionally require updates of the internal IT system that w</w:t>
      </w:r>
      <w:r w:rsidR="00DF291E" w:rsidRPr="00742AB9">
        <w:t>ould</w:t>
      </w:r>
      <w:r w:rsidR="00883476" w:rsidRPr="00742AB9">
        <w:t xml:space="preserve"> allow the International Bureau to examine and communicate in the new languages, as well as the updates of the series of standard texts and templates associated with the examination process.  </w:t>
      </w:r>
    </w:p>
    <w:p w:rsidR="004657E3" w:rsidRPr="00742AB9" w:rsidRDefault="00DF291E" w:rsidP="00563B40">
      <w:pPr>
        <w:pStyle w:val="ONUME"/>
        <w:numPr>
          <w:ilvl w:val="0"/>
          <w:numId w:val="13"/>
        </w:numPr>
      </w:pPr>
      <w:r w:rsidRPr="00742AB9">
        <w:lastRenderedPageBreak/>
        <w:t>Besides, (option “B”</w:t>
      </w:r>
      <w:r w:rsidR="00883476" w:rsidRPr="00742AB9">
        <w:t xml:space="preserve"> w</w:t>
      </w:r>
      <w:r w:rsidRPr="00742AB9">
        <w:t>ould</w:t>
      </w:r>
      <w:r w:rsidR="00883476" w:rsidRPr="00742AB9">
        <w:t xml:space="preserve"> require an adjustment of the translation request process to maintain publication in English, French and Spanish only. </w:t>
      </w:r>
      <w:r w:rsidRPr="00742AB9">
        <w:t xml:space="preserve"> </w:t>
      </w:r>
      <w:r w:rsidR="00883476" w:rsidRPr="00742AB9">
        <w:t>The developments for this option w</w:t>
      </w:r>
      <w:r w:rsidRPr="00742AB9">
        <w:t>ould</w:t>
      </w:r>
      <w:r w:rsidR="00883476" w:rsidRPr="00742AB9">
        <w:t xml:space="preserve"> require an investment of approximately</w:t>
      </w:r>
      <w:r w:rsidR="00CE0FB2" w:rsidRPr="00742AB9">
        <w:t xml:space="preserve"> </w:t>
      </w:r>
      <w:r w:rsidR="00EB1ABB" w:rsidRPr="00742AB9">
        <w:t>300,000</w:t>
      </w:r>
      <w:r w:rsidR="00CE0FB2" w:rsidRPr="00742AB9">
        <w:t> Swiss francs.  Options</w:t>
      </w:r>
      <w:r w:rsidRPr="00742AB9">
        <w:t xml:space="preserve"> “C” and “D”</w:t>
      </w:r>
      <w:r w:rsidR="00883476" w:rsidRPr="00742AB9">
        <w:t>, w</w:t>
      </w:r>
      <w:r w:rsidRPr="00742AB9">
        <w:t>ould</w:t>
      </w:r>
      <w:r w:rsidR="00883476" w:rsidRPr="00742AB9">
        <w:t xml:space="preserve"> require updates of the user interface of the </w:t>
      </w:r>
      <w:r w:rsidR="00883476" w:rsidRPr="00742AB9">
        <w:rPr>
          <w:i/>
        </w:rPr>
        <w:t>International Designs Bulletin</w:t>
      </w:r>
      <w:r w:rsidR="00883476" w:rsidRPr="00742AB9">
        <w:t xml:space="preserve"> and the translation request process to allow the publication of international registrations and other recordings and communications with certain Offices in the new languages in certain conditions.  These developments w</w:t>
      </w:r>
      <w:r w:rsidRPr="00742AB9">
        <w:t>ould</w:t>
      </w:r>
      <w:r w:rsidR="00883476" w:rsidRPr="00742AB9">
        <w:t xml:space="preserve"> require an investment of approximately 300,000</w:t>
      </w:r>
      <w:r w:rsidR="00CE0FB2" w:rsidRPr="00742AB9">
        <w:t> Swiss francs</w:t>
      </w:r>
      <w:r w:rsidR="00883476" w:rsidRPr="00742AB9">
        <w:t xml:space="preserve">.  This is the same estimate as for the previous two options, given the negligible cost of the translation of the user interface of the </w:t>
      </w:r>
      <w:r w:rsidR="00883476" w:rsidRPr="00742AB9">
        <w:rPr>
          <w:i/>
        </w:rPr>
        <w:t xml:space="preserve">International Designs Bulletin </w:t>
      </w:r>
      <w:r w:rsidR="00883476" w:rsidRPr="00742AB9">
        <w:t>and the equivalent complexity of the required translation process updates in comparison to those required under the previous two options</w:t>
      </w:r>
      <w:r w:rsidR="004657E3" w:rsidRPr="00742AB9">
        <w:t>.</w:t>
      </w:r>
    </w:p>
    <w:p w:rsidR="004657E3" w:rsidRPr="00742AB9" w:rsidRDefault="004657E3" w:rsidP="004657E3">
      <w:pPr>
        <w:pStyle w:val="ONUME"/>
        <w:numPr>
          <w:ilvl w:val="0"/>
          <w:numId w:val="0"/>
        </w:numPr>
        <w:rPr>
          <w:i/>
          <w:u w:val="single"/>
        </w:rPr>
      </w:pPr>
      <w:r w:rsidRPr="00742AB9">
        <w:rPr>
          <w:i/>
          <w:u w:val="single"/>
        </w:rPr>
        <w:t xml:space="preserve">Option </w:t>
      </w:r>
      <w:r w:rsidR="00706CC5" w:rsidRPr="00742AB9">
        <w:rPr>
          <w:i/>
          <w:u w:val="single"/>
        </w:rPr>
        <w:t>“</w:t>
      </w:r>
      <w:r w:rsidRPr="00742AB9">
        <w:rPr>
          <w:i/>
          <w:u w:val="single"/>
        </w:rPr>
        <w:t>E</w:t>
      </w:r>
      <w:r w:rsidR="00706CC5" w:rsidRPr="00742AB9">
        <w:rPr>
          <w:i/>
          <w:u w:val="single"/>
        </w:rPr>
        <w:t>”</w:t>
      </w:r>
    </w:p>
    <w:p w:rsidR="00883476" w:rsidRPr="00742AB9" w:rsidRDefault="00DF291E" w:rsidP="00883476">
      <w:pPr>
        <w:pStyle w:val="ONUME"/>
        <w:numPr>
          <w:ilvl w:val="0"/>
          <w:numId w:val="13"/>
        </w:numPr>
      </w:pPr>
      <w:r w:rsidRPr="00742AB9">
        <w:t>Finally, option “E”</w:t>
      </w:r>
      <w:r w:rsidR="00883476" w:rsidRPr="00742AB9">
        <w:t xml:space="preserve"> w</w:t>
      </w:r>
      <w:r w:rsidRPr="00742AB9">
        <w:t>ould</w:t>
      </w:r>
      <w:r w:rsidR="00883476" w:rsidRPr="00742AB9">
        <w:t xml:space="preserve"> require the introduction of all the user-facing functionalities</w:t>
      </w:r>
      <w:r w:rsidR="004657E3" w:rsidRPr="00742AB9">
        <w:t>, as well as the updates of the series of standard texts and templates associated with the examination process</w:t>
      </w:r>
      <w:r w:rsidR="00883476" w:rsidRPr="00742AB9">
        <w:t xml:space="preserve">.  However, the current ICT system </w:t>
      </w:r>
      <w:r w:rsidRPr="00742AB9">
        <w:t>could</w:t>
      </w:r>
      <w:r w:rsidR="00883476" w:rsidRPr="00742AB9">
        <w:t xml:space="preserve"> simply extend to the new languages without </w:t>
      </w:r>
      <w:r w:rsidR="00996196" w:rsidRPr="00742AB9">
        <w:t xml:space="preserve">the need for </w:t>
      </w:r>
      <w:r w:rsidR="00883476" w:rsidRPr="00742AB9">
        <w:t>business logic updates.  The developments needed to implement this option w</w:t>
      </w:r>
      <w:r w:rsidRPr="00742AB9">
        <w:t>ould</w:t>
      </w:r>
      <w:r w:rsidR="00883476" w:rsidRPr="00742AB9">
        <w:t xml:space="preserve"> require an investment of approximately 300,000</w:t>
      </w:r>
      <w:r w:rsidR="00E46D7B" w:rsidRPr="00742AB9">
        <w:t> Swiss francs</w:t>
      </w:r>
      <w:r w:rsidR="00883476" w:rsidRPr="00742AB9">
        <w:t>.</w:t>
      </w:r>
    </w:p>
    <w:p w:rsidR="001853A9" w:rsidRPr="00742AB9" w:rsidRDefault="00E84A94" w:rsidP="000D5B71">
      <w:pPr>
        <w:pStyle w:val="Heading2"/>
        <w:spacing w:before="240"/>
      </w:pPr>
      <w:r w:rsidRPr="00742AB9">
        <w:t xml:space="preserve">summary and </w:t>
      </w:r>
      <w:r w:rsidR="001853A9" w:rsidRPr="00742AB9">
        <w:t>total</w:t>
      </w:r>
    </w:p>
    <w:p w:rsidR="001853A9" w:rsidRPr="00742AB9" w:rsidRDefault="007431D7" w:rsidP="001853A9">
      <w:pPr>
        <w:pStyle w:val="ONUME"/>
        <w:numPr>
          <w:ilvl w:val="0"/>
          <w:numId w:val="13"/>
        </w:numPr>
      </w:pPr>
      <w:r w:rsidRPr="00742AB9">
        <w:t>In view of the above, t</w:t>
      </w:r>
      <w:r w:rsidR="001853A9" w:rsidRPr="00742AB9">
        <w:t>he total s</w:t>
      </w:r>
      <w:r w:rsidR="000D665D" w:rsidRPr="00742AB9">
        <w:t>e</w:t>
      </w:r>
      <w:r w:rsidR="001853A9" w:rsidRPr="00742AB9">
        <w:t>t-up costs, including the translation of relevant materials and the developments and adjustments to the ICT system</w:t>
      </w:r>
      <w:r w:rsidRPr="00742AB9">
        <w:t>, would be:</w:t>
      </w:r>
    </w:p>
    <w:p w:rsidR="00251ACB" w:rsidRPr="00742AB9" w:rsidRDefault="00123C01" w:rsidP="00664212">
      <w:pPr>
        <w:pStyle w:val="ONUME"/>
        <w:numPr>
          <w:ilvl w:val="0"/>
          <w:numId w:val="0"/>
        </w:numPr>
        <w:ind w:left="1134" w:hanging="567"/>
      </w:pPr>
      <w:r>
        <w:t>–</w:t>
      </w:r>
      <w:r w:rsidR="007431D7" w:rsidRPr="00742AB9">
        <w:tab/>
        <w:t xml:space="preserve">Under </w:t>
      </w:r>
      <w:r w:rsidR="00C46616" w:rsidRPr="00742AB9">
        <w:t xml:space="preserve">the </w:t>
      </w:r>
      <w:r w:rsidR="007431D7" w:rsidRPr="00742AB9">
        <w:t>filing language option</w:t>
      </w:r>
      <w:r w:rsidR="00950E75" w:rsidRPr="00742AB9">
        <w:t xml:space="preserve"> (option “A”)</w:t>
      </w:r>
      <w:r w:rsidR="007431D7" w:rsidRPr="00742AB9">
        <w:t>: approximately</w:t>
      </w:r>
      <w:r w:rsidR="00CE0FB2" w:rsidRPr="00742AB9">
        <w:t xml:space="preserve"> </w:t>
      </w:r>
      <w:r w:rsidR="004A7C3A" w:rsidRPr="00742AB9">
        <w:t>5</w:t>
      </w:r>
      <w:r w:rsidR="00251ACB" w:rsidRPr="00742AB9">
        <w:t>50</w:t>
      </w:r>
      <w:r w:rsidR="007431D7" w:rsidRPr="00742AB9">
        <w:t>,000</w:t>
      </w:r>
      <w:r w:rsidR="00CE0FB2" w:rsidRPr="00742AB9">
        <w:t xml:space="preserve"> Swiss francs </w:t>
      </w:r>
      <w:r w:rsidR="007431D7" w:rsidRPr="00742AB9">
        <w:t>(250,000</w:t>
      </w:r>
      <w:r w:rsidR="00CE0FB2" w:rsidRPr="00742AB9">
        <w:t> Swiss francs</w:t>
      </w:r>
      <w:r w:rsidR="007431D7" w:rsidRPr="00742AB9">
        <w:t xml:space="preserve"> (two ICS contracts - 125,000</w:t>
      </w:r>
      <w:r w:rsidR="00CE0FB2" w:rsidRPr="00742AB9">
        <w:t xml:space="preserve"> Swiss francs </w:t>
      </w:r>
      <w:r w:rsidR="007431D7" w:rsidRPr="00742AB9">
        <w:t xml:space="preserve">x 2 x </w:t>
      </w:r>
      <w:r w:rsidR="00C46616" w:rsidRPr="00742AB9">
        <w:t>1</w:t>
      </w:r>
      <w:r w:rsidR="007431D7" w:rsidRPr="00742AB9">
        <w:t xml:space="preserve"> year) + </w:t>
      </w:r>
      <w:r w:rsidR="004A7C3A" w:rsidRPr="00742AB9">
        <w:t>3</w:t>
      </w:r>
      <w:r w:rsidR="00251ACB" w:rsidRPr="00742AB9">
        <w:t>00,000</w:t>
      </w:r>
      <w:r w:rsidR="00CE0FB2" w:rsidRPr="00742AB9">
        <w:t> Swiss francs</w:t>
      </w:r>
      <w:r w:rsidR="00251ACB" w:rsidRPr="00742AB9">
        <w:t xml:space="preserve"> (ICT)</w:t>
      </w:r>
      <w:r w:rsidR="007431D7" w:rsidRPr="00742AB9">
        <w:t>;</w:t>
      </w:r>
    </w:p>
    <w:p w:rsidR="00C46616" w:rsidRPr="00742AB9" w:rsidRDefault="00123C01" w:rsidP="00664212">
      <w:pPr>
        <w:pStyle w:val="ONUME"/>
        <w:numPr>
          <w:ilvl w:val="0"/>
          <w:numId w:val="0"/>
        </w:numPr>
        <w:ind w:left="1134" w:hanging="567"/>
      </w:pPr>
      <w:r>
        <w:t>–</w:t>
      </w:r>
      <w:r w:rsidR="00C46616" w:rsidRPr="00742AB9">
        <w:tab/>
        <w:t>Under the filing and communication language option (option “B”): approximately 675,000</w:t>
      </w:r>
      <w:r w:rsidR="00CE0FB2" w:rsidRPr="00742AB9">
        <w:t xml:space="preserve"> Swiss francs </w:t>
      </w:r>
      <w:r w:rsidR="00C46616" w:rsidRPr="00742AB9">
        <w:t>(375,000</w:t>
      </w:r>
      <w:r w:rsidR="00CE0FB2" w:rsidRPr="00742AB9">
        <w:t xml:space="preserve"> Swiss francs </w:t>
      </w:r>
      <w:r w:rsidR="00C46616" w:rsidRPr="00742AB9">
        <w:t>(two ICS contracts - 125,000</w:t>
      </w:r>
      <w:r w:rsidR="00CE0FB2" w:rsidRPr="00742AB9">
        <w:t> Swiss francs</w:t>
      </w:r>
      <w:r w:rsidR="00C46616" w:rsidRPr="00742AB9">
        <w:t xml:space="preserve"> x 2 x 1.5 year) + 300,000</w:t>
      </w:r>
      <w:r w:rsidR="00CE0FB2" w:rsidRPr="00742AB9">
        <w:t> Swiss francs</w:t>
      </w:r>
      <w:r w:rsidR="00C46616" w:rsidRPr="00742AB9">
        <w:t xml:space="preserve"> (ICT)</w:t>
      </w:r>
      <w:proofErr w:type="gramStart"/>
      <w:r w:rsidR="00C46616" w:rsidRPr="00742AB9">
        <w:t>;</w:t>
      </w:r>
      <w:r w:rsidR="00822530" w:rsidRPr="00742AB9">
        <w:t xml:space="preserve"> </w:t>
      </w:r>
      <w:r w:rsidR="00C46616" w:rsidRPr="00742AB9">
        <w:t xml:space="preserve"> or</w:t>
      </w:r>
      <w:proofErr w:type="gramEnd"/>
    </w:p>
    <w:p w:rsidR="00251ACB" w:rsidRPr="00742AB9" w:rsidRDefault="00123C01" w:rsidP="00664212">
      <w:pPr>
        <w:pStyle w:val="ONUME"/>
        <w:numPr>
          <w:ilvl w:val="0"/>
          <w:numId w:val="0"/>
        </w:numPr>
        <w:ind w:left="1134" w:hanging="567"/>
      </w:pPr>
      <w:r>
        <w:t>–</w:t>
      </w:r>
      <w:r w:rsidR="00251ACB" w:rsidRPr="00742AB9">
        <w:tab/>
        <w:t>Under all the other options</w:t>
      </w:r>
      <w:r w:rsidR="00C46616" w:rsidRPr="00742AB9">
        <w:t xml:space="preserve"> (options “C”</w:t>
      </w:r>
      <w:r w:rsidR="00953968" w:rsidRPr="00742AB9">
        <w:t xml:space="preserve"> to</w:t>
      </w:r>
      <w:r w:rsidR="00C46616" w:rsidRPr="00742AB9">
        <w:t xml:space="preserve"> “E”)</w:t>
      </w:r>
      <w:r w:rsidR="00251ACB" w:rsidRPr="00742AB9">
        <w:t xml:space="preserve">: approximately </w:t>
      </w:r>
      <w:r w:rsidR="00C46616" w:rsidRPr="00742AB9">
        <w:t>8</w:t>
      </w:r>
      <w:r w:rsidR="00251ACB" w:rsidRPr="00742AB9">
        <w:t>00,000</w:t>
      </w:r>
      <w:r w:rsidR="00CE0FB2" w:rsidRPr="00742AB9">
        <w:t> Swiss francs</w:t>
      </w:r>
      <w:r w:rsidR="00251ACB" w:rsidRPr="00742AB9">
        <w:t xml:space="preserve"> (500,000</w:t>
      </w:r>
      <w:r w:rsidR="00CE0FB2" w:rsidRPr="00742AB9">
        <w:t> Swiss francs</w:t>
      </w:r>
      <w:r w:rsidR="00251ACB" w:rsidRPr="00742AB9">
        <w:t xml:space="preserve"> (two ICS contracts - 125,000</w:t>
      </w:r>
      <w:r w:rsidR="00CE0FB2" w:rsidRPr="00742AB9">
        <w:t> Swiss francs</w:t>
      </w:r>
      <w:r w:rsidR="00251ACB" w:rsidRPr="00742AB9">
        <w:t xml:space="preserve"> x 2 x </w:t>
      </w:r>
      <w:r w:rsidR="00C46616" w:rsidRPr="00742AB9">
        <w:t>2</w:t>
      </w:r>
      <w:r w:rsidR="00251ACB" w:rsidRPr="00742AB9">
        <w:t xml:space="preserve"> year</w:t>
      </w:r>
      <w:r w:rsidR="00B05F2B" w:rsidRPr="00742AB9">
        <w:t>s</w:t>
      </w:r>
      <w:r w:rsidR="00251ACB" w:rsidRPr="00742AB9">
        <w:t>) +</w:t>
      </w:r>
      <w:r w:rsidR="00CE0FB2" w:rsidRPr="00742AB9">
        <w:t xml:space="preserve"> </w:t>
      </w:r>
      <w:r w:rsidR="00C46616" w:rsidRPr="00742AB9">
        <w:t>3</w:t>
      </w:r>
      <w:r w:rsidR="00251ACB" w:rsidRPr="00742AB9">
        <w:t>00,000</w:t>
      </w:r>
      <w:r w:rsidR="00CE0FB2" w:rsidRPr="00742AB9">
        <w:t> Swiss francs</w:t>
      </w:r>
      <w:r w:rsidR="00251ACB" w:rsidRPr="00742AB9">
        <w:t xml:space="preserve"> (ICT)</w:t>
      </w:r>
      <w:r w:rsidR="001E6EE5" w:rsidRPr="00742AB9">
        <w:t>.</w:t>
      </w:r>
    </w:p>
    <w:p w:rsidR="001853A9" w:rsidRPr="00742AB9" w:rsidRDefault="001853A9" w:rsidP="000D5B71">
      <w:pPr>
        <w:pStyle w:val="Heading1"/>
        <w:numPr>
          <w:ilvl w:val="0"/>
          <w:numId w:val="6"/>
        </w:numPr>
        <w:ind w:left="567" w:hanging="567"/>
      </w:pPr>
      <w:r w:rsidRPr="00742AB9">
        <w:t>recu</w:t>
      </w:r>
      <w:r w:rsidR="00996196" w:rsidRPr="00742AB9">
        <w:t>R</w:t>
      </w:r>
      <w:r w:rsidRPr="00742AB9">
        <w:t>rent costs</w:t>
      </w:r>
    </w:p>
    <w:p w:rsidR="001853A9" w:rsidRPr="00742AB9" w:rsidRDefault="001853A9" w:rsidP="000D5B71">
      <w:pPr>
        <w:pStyle w:val="Heading2"/>
        <w:spacing w:before="240"/>
      </w:pPr>
      <w:r w:rsidRPr="00742AB9">
        <w:t>Translation</w:t>
      </w:r>
    </w:p>
    <w:p w:rsidR="00E46D7B" w:rsidRPr="00742AB9" w:rsidRDefault="001853A9" w:rsidP="00FF2DCA">
      <w:pPr>
        <w:pStyle w:val="ONUME"/>
        <w:spacing w:before="240"/>
      </w:pPr>
      <w:r w:rsidRPr="00742AB9">
        <w:t xml:space="preserve">Under any of the implementation options, the International Bureau would translate </w:t>
      </w:r>
      <w:r w:rsidR="00EA3FF4" w:rsidRPr="00742AB9">
        <w:t xml:space="preserve">the </w:t>
      </w:r>
      <w:r w:rsidRPr="00742AB9">
        <w:t>relevant elements in the international application filed in the new language into English as the relay language (Chinese or Russian to English).  The translation would be outsourced, and thus require two translators (one per language) who would control the quality of the outsourced translation.</w:t>
      </w:r>
    </w:p>
    <w:p w:rsidR="001853A9" w:rsidRPr="00742AB9" w:rsidRDefault="001853A9" w:rsidP="00FF2DCA">
      <w:pPr>
        <w:pStyle w:val="ONUME"/>
        <w:spacing w:before="240"/>
      </w:pPr>
      <w:r w:rsidRPr="00742AB9">
        <w:t xml:space="preserve">Normally, only a translator whose first language is the target language should perform the quality control of translation into that language, meaning two translators whose mother tongue is English and </w:t>
      </w:r>
      <w:r w:rsidR="00BE043B" w:rsidRPr="00742AB9">
        <w:t xml:space="preserve">who are </w:t>
      </w:r>
      <w:r w:rsidRPr="00742AB9">
        <w:t xml:space="preserve">proficient in Chinese or Russian (one for each).  However, </w:t>
      </w:r>
      <w:r w:rsidR="00BE043B" w:rsidRPr="00742AB9">
        <w:t>option</w:t>
      </w:r>
      <w:r w:rsidR="00563B40" w:rsidRPr="00742AB9">
        <w:t>s</w:t>
      </w:r>
      <w:r w:rsidR="00BE043B" w:rsidRPr="00742AB9">
        <w:t xml:space="preserve"> “D</w:t>
      </w:r>
      <w:r w:rsidR="003C0BA8" w:rsidRPr="00742AB9">
        <w:t xml:space="preserve">” </w:t>
      </w:r>
      <w:r w:rsidR="00563B40" w:rsidRPr="00742AB9">
        <w:t>and</w:t>
      </w:r>
      <w:r w:rsidR="00BE043B" w:rsidRPr="00742AB9">
        <w:t xml:space="preserve"> “E” </w:t>
      </w:r>
      <w:r w:rsidRPr="00742AB9">
        <w:t xml:space="preserve">would introduce additional translation directions (English to Chinese and Russian).  This </w:t>
      </w:r>
      <w:r w:rsidR="00BE043B" w:rsidRPr="00742AB9">
        <w:t xml:space="preserve">would </w:t>
      </w:r>
      <w:r w:rsidRPr="00742AB9">
        <w:t>mean that two additional translators whose mother tongue is Chinese or Russian (one for each</w:t>
      </w:r>
      <w:r w:rsidR="00BE043B" w:rsidRPr="00742AB9">
        <w:t xml:space="preserve"> language</w:t>
      </w:r>
      <w:r w:rsidRPr="00742AB9">
        <w:t xml:space="preserve">) would be required under these options, in order to best ensure the quality of translation.  Two translators per language could back up each other in terms of business continuity.  </w:t>
      </w:r>
      <w:r w:rsidR="00E46D7B" w:rsidRPr="00742AB9">
        <w:br/>
      </w:r>
    </w:p>
    <w:p w:rsidR="001853A9" w:rsidRPr="00742AB9" w:rsidRDefault="001853A9" w:rsidP="001853A9">
      <w:pPr>
        <w:pStyle w:val="ONUME"/>
      </w:pPr>
      <w:r w:rsidRPr="00742AB9">
        <w:lastRenderedPageBreak/>
        <w:t>This being said, according to the operational translation cost estimate presented in this annex</w:t>
      </w:r>
      <w:r w:rsidR="008E2CF3" w:rsidRPr="00742AB9">
        <w:t xml:space="preserve"> (Section III)</w:t>
      </w:r>
      <w:r w:rsidRPr="00742AB9">
        <w:t>, the workload required for the translation quality control would be far below the adequate amount of workload for one translator in both languages regardless of the implementation options until 2025.  In this regard, it is recalled that the daily operation of the Hague System relies entirely on the Madrid translation resources as to translation</w:t>
      </w:r>
      <w:r w:rsidRPr="00742AB9">
        <w:rPr>
          <w:rStyle w:val="FootnoteReference"/>
        </w:rPr>
        <w:footnoteReference w:id="10"/>
      </w:r>
      <w:r w:rsidRPr="00742AB9">
        <w:t xml:space="preserve">.  If this would no longer </w:t>
      </w:r>
      <w:r w:rsidR="00B7308E" w:rsidRPr="00742AB9">
        <w:t xml:space="preserve">be </w:t>
      </w:r>
      <w:r w:rsidRPr="00742AB9">
        <w:t>the case, a</w:t>
      </w:r>
      <w:r w:rsidRPr="00742AB9">
        <w:rPr>
          <w:rFonts w:eastAsiaTheme="minorEastAsia" w:hint="eastAsia"/>
          <w:lang w:eastAsia="ja-JP"/>
        </w:rPr>
        <w:t xml:space="preserve"> possible introduction of new language</w:t>
      </w:r>
      <w:r w:rsidRPr="00742AB9">
        <w:rPr>
          <w:rFonts w:eastAsiaTheme="minorEastAsia"/>
          <w:lang w:eastAsia="ja-JP"/>
        </w:rPr>
        <w:t>s</w:t>
      </w:r>
      <w:r w:rsidRPr="00742AB9">
        <w:rPr>
          <w:rFonts w:eastAsiaTheme="minorEastAsia" w:hint="eastAsia"/>
          <w:lang w:eastAsia="ja-JP"/>
        </w:rPr>
        <w:t xml:space="preserve"> would</w:t>
      </w:r>
      <w:r w:rsidRPr="00742AB9">
        <w:rPr>
          <w:rFonts w:eastAsiaTheme="minorEastAsia"/>
          <w:lang w:eastAsia="ja-JP"/>
        </w:rPr>
        <w:t xml:space="preserve"> require a different solution.</w:t>
      </w:r>
    </w:p>
    <w:p w:rsidR="001853A9" w:rsidRPr="00742AB9" w:rsidRDefault="001853A9" w:rsidP="001853A9">
      <w:pPr>
        <w:pStyle w:val="ONUME"/>
      </w:pPr>
      <w:r w:rsidRPr="00742AB9">
        <w:t xml:space="preserve"> I</w:t>
      </w:r>
      <w:r w:rsidR="00871EF0" w:rsidRPr="00742AB9">
        <w:t>n this context, i</w:t>
      </w:r>
      <w:r w:rsidRPr="00742AB9">
        <w:t xml:space="preserve">f the Hague Registry would need to set up its own translation resources for processing the translation of the new languages, </w:t>
      </w:r>
      <w:r w:rsidR="00871EF0" w:rsidRPr="00742AB9">
        <w:t xml:space="preserve">and </w:t>
      </w:r>
      <w:r w:rsidRPr="00742AB9">
        <w:t>for the reasons describe</w:t>
      </w:r>
      <w:r w:rsidR="00B7308E" w:rsidRPr="00742AB9">
        <w:t>d</w:t>
      </w:r>
      <w:r w:rsidRPr="00742AB9">
        <w:t xml:space="preserve"> in </w:t>
      </w:r>
      <w:r w:rsidR="00221B92">
        <w:br/>
      </w:r>
      <w:r w:rsidRPr="00742AB9">
        <w:t xml:space="preserve">paragraph </w:t>
      </w:r>
      <w:r w:rsidR="00E641FF" w:rsidRPr="00742AB9">
        <w:t>1</w:t>
      </w:r>
      <w:r w:rsidR="00A47D79">
        <w:t>3</w:t>
      </w:r>
      <w:r w:rsidR="00E163D7" w:rsidRPr="00742AB9">
        <w:t xml:space="preserve"> above</w:t>
      </w:r>
      <w:r w:rsidRPr="00742AB9">
        <w:t>, the International Bureau would need to engage four full-time translators proficient in the new languages (two translators per language), on ICS contracts for a P3 or P4</w:t>
      </w:r>
      <w:r w:rsidRPr="00742AB9">
        <w:noBreakHyphen/>
        <w:t>level translator.  T</w:t>
      </w:r>
      <w:r w:rsidR="000D665D" w:rsidRPr="00742AB9">
        <w:t>hus, on an indicative basis, t</w:t>
      </w:r>
      <w:r w:rsidRPr="00742AB9">
        <w:t>his would require an investment of approximately 500,000</w:t>
      </w:r>
      <w:r w:rsidR="00CE0FB2" w:rsidRPr="00742AB9">
        <w:t> Swiss francs</w:t>
      </w:r>
      <w:r w:rsidRPr="00742AB9">
        <w:t xml:space="preserve"> per year (125,000</w:t>
      </w:r>
      <w:r w:rsidR="00CE0FB2" w:rsidRPr="00742AB9">
        <w:t> Swiss francs</w:t>
      </w:r>
      <w:r w:rsidRPr="00742AB9">
        <w:t xml:space="preserve"> x 4 translators).</w:t>
      </w:r>
    </w:p>
    <w:p w:rsidR="001853A9" w:rsidRPr="00742AB9" w:rsidRDefault="001853A9" w:rsidP="000D5B71">
      <w:pPr>
        <w:pStyle w:val="Heading2"/>
        <w:spacing w:before="240"/>
      </w:pPr>
      <w:r w:rsidRPr="00742AB9">
        <w:t>ict systems</w:t>
      </w:r>
    </w:p>
    <w:p w:rsidR="001853A9" w:rsidRPr="00742AB9" w:rsidRDefault="001853A9" w:rsidP="001853A9">
      <w:pPr>
        <w:pStyle w:val="ONUME"/>
      </w:pPr>
      <w:r w:rsidRPr="00742AB9">
        <w:t xml:space="preserve">A possible introduction of the two new languages would entail maintenance work for the ICT systems, thus requiring one additional IT personnel (P2 level) or the provision of the corresponding cost in the annual ICT budget.  Such </w:t>
      </w:r>
      <w:r w:rsidR="00B7308E" w:rsidRPr="00742AB9">
        <w:t xml:space="preserve">a </w:t>
      </w:r>
      <w:r w:rsidRPr="00742AB9">
        <w:t>recurrent maintenance cost is estimated to be appr</w:t>
      </w:r>
      <w:r w:rsidR="000D5B71" w:rsidRPr="00742AB9">
        <w:t>oximately 120,000</w:t>
      </w:r>
      <w:r w:rsidR="00CE0FB2" w:rsidRPr="00742AB9">
        <w:t> Swiss francs</w:t>
      </w:r>
      <w:r w:rsidR="000D5B71" w:rsidRPr="00742AB9">
        <w:t xml:space="preserve"> per year.</w:t>
      </w:r>
    </w:p>
    <w:p w:rsidR="001853A9" w:rsidRPr="00742AB9" w:rsidRDefault="001853A9" w:rsidP="000D5B71">
      <w:pPr>
        <w:pStyle w:val="Heading2"/>
        <w:spacing w:before="240"/>
      </w:pPr>
      <w:r w:rsidRPr="00742AB9">
        <w:t>Examination</w:t>
      </w:r>
    </w:p>
    <w:p w:rsidR="00132CFC" w:rsidRPr="00742AB9" w:rsidRDefault="001853A9" w:rsidP="001853A9">
      <w:pPr>
        <w:pStyle w:val="ONUME"/>
      </w:pPr>
      <w:r w:rsidRPr="00742AB9">
        <w:t xml:space="preserve">All </w:t>
      </w:r>
      <w:r w:rsidR="007F13D8" w:rsidRPr="00742AB9">
        <w:t xml:space="preserve">of </w:t>
      </w:r>
      <w:r w:rsidRPr="00742AB9">
        <w:t>the implementation options</w:t>
      </w:r>
      <w:r w:rsidR="00871EF0" w:rsidRPr="00742AB9">
        <w:t xml:space="preserve"> </w:t>
      </w:r>
      <w:r w:rsidR="002C53CC" w:rsidRPr="00742AB9">
        <w:t>except</w:t>
      </w:r>
      <w:r w:rsidR="00871EF0" w:rsidRPr="00742AB9">
        <w:t xml:space="preserve"> </w:t>
      </w:r>
      <w:r w:rsidR="00000F01" w:rsidRPr="00742AB9">
        <w:t>option “A”</w:t>
      </w:r>
      <w:r w:rsidR="000D5B71" w:rsidRPr="00742AB9">
        <w:t xml:space="preserve"> would</w:t>
      </w:r>
      <w:r w:rsidRPr="00742AB9">
        <w:t xml:space="preserve"> require examiners proficient in the new languages, since the International Bureau would examine international applications in the new languages.  At present, the Hague Registry has minimum resources to examine international applications</w:t>
      </w:r>
      <w:r w:rsidR="00E610A3" w:rsidRPr="00742AB9">
        <w:t xml:space="preserve"> in the new languages</w:t>
      </w:r>
      <w:r w:rsidRPr="00742AB9">
        <w:t xml:space="preserve">.  A growth in the </w:t>
      </w:r>
      <w:r w:rsidR="00E610A3" w:rsidRPr="00742AB9">
        <w:t xml:space="preserve">total </w:t>
      </w:r>
      <w:r w:rsidRPr="00742AB9">
        <w:t xml:space="preserve">number of applications </w:t>
      </w:r>
      <w:r w:rsidR="00737D47" w:rsidRPr="00742AB9">
        <w:t>would increase</w:t>
      </w:r>
      <w:r w:rsidRPr="00742AB9">
        <w:t xml:space="preserve"> the number of examiners required.  However, </w:t>
      </w:r>
      <w:r w:rsidR="00996196" w:rsidRPr="00742AB9">
        <w:t xml:space="preserve">with </w:t>
      </w:r>
      <w:r w:rsidRPr="00742AB9">
        <w:t>the growth in the number of applications</w:t>
      </w:r>
      <w:r w:rsidR="00996196" w:rsidRPr="00742AB9">
        <w:t xml:space="preserve">, </w:t>
      </w:r>
      <w:r w:rsidRPr="00742AB9">
        <w:t xml:space="preserve">income </w:t>
      </w:r>
      <w:r w:rsidR="00996196" w:rsidRPr="00742AB9">
        <w:t xml:space="preserve">should increase in correlation with the </w:t>
      </w:r>
      <w:r w:rsidRPr="00742AB9">
        <w:t>cost</w:t>
      </w:r>
      <w:r w:rsidR="00737D47" w:rsidRPr="00742AB9">
        <w:t>s</w:t>
      </w:r>
      <w:r w:rsidRPr="00742AB9">
        <w:t xml:space="preserve"> for </w:t>
      </w:r>
      <w:r w:rsidR="00737D47" w:rsidRPr="00742AB9">
        <w:t>additional</w:t>
      </w:r>
      <w:r w:rsidRPr="00742AB9">
        <w:t xml:space="preserve"> examiners.</w:t>
      </w:r>
    </w:p>
    <w:p w:rsidR="00871EF0" w:rsidRPr="00742AB9" w:rsidRDefault="00234A90" w:rsidP="001853A9">
      <w:pPr>
        <w:pStyle w:val="ONUME"/>
      </w:pPr>
      <w:r w:rsidRPr="00742AB9">
        <w:t>For this reason, the present cost estimation</w:t>
      </w:r>
      <w:r w:rsidR="00737D47" w:rsidRPr="00742AB9">
        <w:t>s</w:t>
      </w:r>
      <w:r w:rsidRPr="00742AB9">
        <w:t xml:space="preserve"> </w:t>
      </w:r>
      <w:r w:rsidR="00B7308E" w:rsidRPr="00742AB9">
        <w:t xml:space="preserve">do </w:t>
      </w:r>
      <w:r w:rsidRPr="00742AB9">
        <w:t xml:space="preserve">not take into account </w:t>
      </w:r>
      <w:r w:rsidR="00132CFC" w:rsidRPr="00742AB9">
        <w:t xml:space="preserve">examination </w:t>
      </w:r>
      <w:r w:rsidRPr="00742AB9">
        <w:t>costs associated with</w:t>
      </w:r>
      <w:r w:rsidR="00132CFC" w:rsidRPr="00742AB9">
        <w:t xml:space="preserve"> specific languages.  However, it should be noted that the more languages introduced, the less flexibility the International Bureau would have in order to increment the examination </w:t>
      </w:r>
      <w:r w:rsidR="00FA638B" w:rsidRPr="00742AB9">
        <w:t>capacity</w:t>
      </w:r>
      <w:r w:rsidR="00132CFC" w:rsidRPr="00742AB9">
        <w:t>.</w:t>
      </w:r>
      <w:r w:rsidR="001855AB" w:rsidRPr="00742AB9">
        <w:t xml:space="preserve">  </w:t>
      </w:r>
      <w:r w:rsidR="00563B40" w:rsidRPr="00742AB9">
        <w:t>Ideally, however</w:t>
      </w:r>
      <w:r w:rsidR="001855AB" w:rsidRPr="00742AB9">
        <w:t>, the International Bureau should retain at least two examiners</w:t>
      </w:r>
      <w:r w:rsidR="00FA638B" w:rsidRPr="00742AB9">
        <w:t xml:space="preserve"> per language</w:t>
      </w:r>
      <w:r w:rsidR="001855AB" w:rsidRPr="00742AB9">
        <w:t xml:space="preserve"> </w:t>
      </w:r>
      <w:r w:rsidR="00FA638B" w:rsidRPr="00742AB9">
        <w:t xml:space="preserve">for </w:t>
      </w:r>
      <w:r w:rsidR="001855AB" w:rsidRPr="00742AB9">
        <w:t>backup in terms of business continuity</w:t>
      </w:r>
      <w:r w:rsidR="00FA638B" w:rsidRPr="00742AB9">
        <w:t>,</w:t>
      </w:r>
      <w:r w:rsidR="001855AB" w:rsidRPr="00742AB9">
        <w:t xml:space="preserve"> regardless of the number of applications in a given language.</w:t>
      </w:r>
    </w:p>
    <w:p w:rsidR="00A458CA" w:rsidRPr="00742AB9" w:rsidRDefault="001155FF" w:rsidP="00F456AD">
      <w:pPr>
        <w:pStyle w:val="ONUME"/>
      </w:pPr>
      <w:r w:rsidRPr="00742AB9">
        <w:t>In this regard</w:t>
      </w:r>
      <w:r w:rsidR="00871EF0" w:rsidRPr="00742AB9">
        <w:t xml:space="preserve">, </w:t>
      </w:r>
      <w:r w:rsidRPr="00742AB9">
        <w:t xml:space="preserve">under </w:t>
      </w:r>
      <w:r w:rsidR="00737D47" w:rsidRPr="00742AB9">
        <w:t>option “A”</w:t>
      </w:r>
      <w:r w:rsidR="00034A79" w:rsidRPr="00742AB9">
        <w:t xml:space="preserve">, applications filed in new languages would be translated </w:t>
      </w:r>
      <w:r w:rsidR="00FA7CBE" w:rsidRPr="00742AB9">
        <w:t xml:space="preserve">by the International Bureau </w:t>
      </w:r>
      <w:r w:rsidR="00034A79" w:rsidRPr="00742AB9">
        <w:t xml:space="preserve">into one of the </w:t>
      </w:r>
      <w:r w:rsidR="008C0C24" w:rsidRPr="00742AB9">
        <w:t>current three</w:t>
      </w:r>
      <w:r w:rsidR="00034A79" w:rsidRPr="00742AB9">
        <w:t xml:space="preserve"> languages for examination.  It is expected that the large majority of applications w</w:t>
      </w:r>
      <w:r w:rsidR="00FA7CBE" w:rsidRPr="00742AB9">
        <w:t xml:space="preserve">ould </w:t>
      </w:r>
      <w:r w:rsidR="00034A79" w:rsidRPr="00742AB9">
        <w:t>be examined in English</w:t>
      </w:r>
      <w:r w:rsidR="00FA7CBE" w:rsidRPr="00742AB9">
        <w:t>,</w:t>
      </w:r>
      <w:r w:rsidR="00034A79" w:rsidRPr="00742AB9">
        <w:t xml:space="preserve"> </w:t>
      </w:r>
      <w:r w:rsidR="00FA7CBE" w:rsidRPr="00742AB9">
        <w:t xml:space="preserve">either </w:t>
      </w:r>
      <w:r w:rsidR="00034A79" w:rsidRPr="00742AB9">
        <w:t xml:space="preserve">as the default </w:t>
      </w:r>
      <w:r w:rsidR="00CE7ABB" w:rsidRPr="00742AB9">
        <w:t xml:space="preserve">filing </w:t>
      </w:r>
      <w:r w:rsidR="00034A79" w:rsidRPr="00742AB9">
        <w:t>language o</w:t>
      </w:r>
      <w:r w:rsidR="00FA7CBE" w:rsidRPr="00742AB9">
        <w:t>r as</w:t>
      </w:r>
      <w:r w:rsidR="00034A79" w:rsidRPr="00742AB9">
        <w:t xml:space="preserve"> </w:t>
      </w:r>
      <w:r w:rsidR="00FA7CBE" w:rsidRPr="00742AB9">
        <w:t xml:space="preserve">the </w:t>
      </w:r>
      <w:r w:rsidR="00034A79" w:rsidRPr="00742AB9">
        <w:t>language selected by the applicant</w:t>
      </w:r>
      <w:r w:rsidR="00FA7CBE" w:rsidRPr="00742AB9">
        <w:t xml:space="preserve"> for examination</w:t>
      </w:r>
      <w:r w:rsidR="00034A79" w:rsidRPr="00742AB9">
        <w:t>.</w:t>
      </w:r>
      <w:r w:rsidR="00FA7CBE" w:rsidRPr="00742AB9">
        <w:t xml:space="preserve">  </w:t>
      </w:r>
      <w:r w:rsidR="00F456AD" w:rsidRPr="00742AB9">
        <w:t xml:space="preserve">Maintaining the current three language system for examination without having to make adjustments for the addition of new languages </w:t>
      </w:r>
      <w:r w:rsidR="00AE5FA0" w:rsidRPr="00742AB9">
        <w:t xml:space="preserve">– as this option “A” allows - </w:t>
      </w:r>
      <w:r w:rsidR="00F456AD" w:rsidRPr="00742AB9">
        <w:t xml:space="preserve">would have the least impact on </w:t>
      </w:r>
      <w:r w:rsidR="000660B4" w:rsidRPr="00742AB9">
        <w:t xml:space="preserve">the </w:t>
      </w:r>
      <w:r w:rsidR="00F456AD" w:rsidRPr="00742AB9">
        <w:t>productivity</w:t>
      </w:r>
      <w:r w:rsidR="000660B4" w:rsidRPr="00742AB9">
        <w:t xml:space="preserve"> of the daily operation</w:t>
      </w:r>
      <w:r w:rsidR="00F456AD" w:rsidRPr="00742AB9">
        <w:t xml:space="preserve">.  It is </w:t>
      </w:r>
      <w:r w:rsidR="00221B92">
        <w:t>estimated that over 95 per cent</w:t>
      </w:r>
      <w:r w:rsidR="00F456AD" w:rsidRPr="00742AB9">
        <w:t xml:space="preserve"> of Hague examination and coordination is done in English, as all examiners have English as either a first or second language.  </w:t>
      </w:r>
    </w:p>
    <w:p w:rsidR="001853A9" w:rsidRPr="00742AB9" w:rsidRDefault="00E63D22" w:rsidP="0033756D">
      <w:pPr>
        <w:pStyle w:val="Heading2"/>
        <w:spacing w:before="240"/>
      </w:pPr>
      <w:r w:rsidRPr="00742AB9">
        <w:t>customer</w:t>
      </w:r>
      <w:r w:rsidR="001853A9" w:rsidRPr="00742AB9">
        <w:t xml:space="preserve"> support </w:t>
      </w:r>
      <w:r w:rsidR="001D1E05" w:rsidRPr="00742AB9">
        <w:t>and relations</w:t>
      </w:r>
    </w:p>
    <w:p w:rsidR="00E641FF" w:rsidRPr="00742AB9" w:rsidRDefault="001853A9" w:rsidP="0033756D">
      <w:pPr>
        <w:pStyle w:val="ONUME"/>
      </w:pPr>
      <w:r w:rsidRPr="00742AB9">
        <w:t xml:space="preserve">In 2020, from January to </w:t>
      </w:r>
      <w:r w:rsidR="00076E3D" w:rsidRPr="00742AB9">
        <w:t>September</w:t>
      </w:r>
      <w:r w:rsidR="004F0957" w:rsidRPr="00742AB9">
        <w:t xml:space="preserve"> (nine months)</w:t>
      </w:r>
      <w:r w:rsidRPr="00742AB9">
        <w:t xml:space="preserve">, the Hague Registry received </w:t>
      </w:r>
      <w:r w:rsidR="0096262D" w:rsidRPr="00742AB9">
        <w:t xml:space="preserve">approximately </w:t>
      </w:r>
      <w:r w:rsidR="0005525C" w:rsidRPr="00742AB9">
        <w:t>5,853</w:t>
      </w:r>
      <w:r w:rsidRPr="00742AB9">
        <w:t xml:space="preserve"> </w:t>
      </w:r>
      <w:r w:rsidR="0033756D" w:rsidRPr="00742AB9">
        <w:t>enquiries</w:t>
      </w:r>
      <w:r w:rsidR="00162741" w:rsidRPr="00742AB9">
        <w:t>,</w:t>
      </w:r>
      <w:r w:rsidR="0039441F" w:rsidRPr="00742AB9">
        <w:t xml:space="preserve"> a monthly average of </w:t>
      </w:r>
      <w:r w:rsidR="0005525C" w:rsidRPr="00742AB9">
        <w:t>650</w:t>
      </w:r>
      <w:r w:rsidR="0039441F" w:rsidRPr="00742AB9">
        <w:t xml:space="preserve"> enquiries, through three communication channels:  </w:t>
      </w:r>
      <w:r w:rsidR="00327709" w:rsidRPr="00742AB9">
        <w:t>(</w:t>
      </w:r>
      <w:proofErr w:type="spellStart"/>
      <w:r w:rsidR="00327709" w:rsidRPr="00742AB9">
        <w:t>i</w:t>
      </w:r>
      <w:proofErr w:type="spellEnd"/>
      <w:r w:rsidR="00327709" w:rsidRPr="00742AB9">
        <w:t xml:space="preserve">) </w:t>
      </w:r>
      <w:r w:rsidR="0033756D" w:rsidRPr="00742AB9">
        <w:t xml:space="preserve">online through Contact Hague, </w:t>
      </w:r>
      <w:r w:rsidR="00327709" w:rsidRPr="00742AB9">
        <w:t xml:space="preserve">(ii) </w:t>
      </w:r>
      <w:r w:rsidR="00690C35" w:rsidRPr="00742AB9">
        <w:t>by telephone</w:t>
      </w:r>
      <w:r w:rsidR="00D25D29" w:rsidRPr="00742AB9">
        <w:t xml:space="preserve"> and (iii) direct </w:t>
      </w:r>
      <w:r w:rsidR="00221B92">
        <w:br/>
      </w:r>
      <w:r w:rsidR="00D25D29" w:rsidRPr="00742AB9">
        <w:t>e</w:t>
      </w:r>
      <w:r w:rsidR="00664212" w:rsidRPr="00742AB9">
        <w:t>-</w:t>
      </w:r>
      <w:r w:rsidR="00D25D29" w:rsidRPr="00742AB9">
        <w:t>mail</w:t>
      </w:r>
      <w:r w:rsidR="0033756D" w:rsidRPr="00742AB9">
        <w:t>.</w:t>
      </w:r>
      <w:r w:rsidR="00E46D7B" w:rsidRPr="00742AB9">
        <w:br/>
      </w:r>
    </w:p>
    <w:p w:rsidR="00327709" w:rsidRPr="00742AB9" w:rsidRDefault="00E641FF" w:rsidP="0033756D">
      <w:pPr>
        <w:pStyle w:val="ONUME"/>
      </w:pPr>
      <w:r w:rsidRPr="00742AB9">
        <w:lastRenderedPageBreak/>
        <w:t xml:space="preserve">Responses and further exchanges with </w:t>
      </w:r>
      <w:r w:rsidR="00CB68FA" w:rsidRPr="00742AB9">
        <w:t>customers</w:t>
      </w:r>
      <w:r w:rsidRPr="00742AB9">
        <w:t xml:space="preserve"> through the above communication channels are conducted by the Hague Customer Service (currently a </w:t>
      </w:r>
      <w:r w:rsidRPr="00742AB9">
        <w:rPr>
          <w:i/>
        </w:rPr>
        <w:t>de facto</w:t>
      </w:r>
      <w:r w:rsidRPr="00742AB9">
        <w:t xml:space="preserve"> unit within the Hague Registry) in the language in which the enquiries are received, </w:t>
      </w:r>
      <w:r w:rsidRPr="00742AB9">
        <w:rPr>
          <w:i/>
        </w:rPr>
        <w:t>i.e</w:t>
      </w:r>
      <w:r w:rsidRPr="00742AB9">
        <w:t xml:space="preserve">., predominantly in English and French.  </w:t>
      </w:r>
      <w:r w:rsidR="00406A52" w:rsidRPr="00742AB9">
        <w:t xml:space="preserve">Currently, there are two dedicated full-time personnel handling these enquiries both </w:t>
      </w:r>
      <w:r w:rsidR="000D4B60" w:rsidRPr="00742AB9">
        <w:t>of whom possess</w:t>
      </w:r>
      <w:r w:rsidR="00406A52" w:rsidRPr="00742AB9">
        <w:t xml:space="preserve"> language skills in English and French</w:t>
      </w:r>
      <w:r w:rsidR="00327709" w:rsidRPr="00742AB9">
        <w:t>.</w:t>
      </w:r>
      <w:r w:rsidR="000D4B60" w:rsidRPr="00742AB9">
        <w:t xml:space="preserve">  An additional </w:t>
      </w:r>
      <w:r w:rsidR="00221B92">
        <w:br/>
      </w:r>
      <w:r w:rsidR="000D4B60" w:rsidRPr="00742AB9">
        <w:t xml:space="preserve">50 per cent of one full-time </w:t>
      </w:r>
      <w:r w:rsidRPr="00742AB9">
        <w:t>personnel</w:t>
      </w:r>
      <w:r w:rsidR="00557C9D" w:rsidRPr="00742AB9">
        <w:t xml:space="preserve">’s </w:t>
      </w:r>
      <w:r w:rsidR="000D4B60" w:rsidRPr="00742AB9">
        <w:t>working time</w:t>
      </w:r>
      <w:r w:rsidR="00557C9D" w:rsidRPr="00742AB9">
        <w:t xml:space="preserve"> (at P2 level)</w:t>
      </w:r>
      <w:r w:rsidR="000D4B60" w:rsidRPr="00742AB9">
        <w:t xml:space="preserve"> is spent on </w:t>
      </w:r>
      <w:r w:rsidR="00376222" w:rsidRPr="00742AB9">
        <w:t>customer</w:t>
      </w:r>
      <w:r w:rsidR="000D4B60" w:rsidRPr="00742AB9">
        <w:t xml:space="preserve"> support (</w:t>
      </w:r>
      <w:r w:rsidR="000D4B60" w:rsidRPr="00742AB9">
        <w:rPr>
          <w:i/>
        </w:rPr>
        <w:t>e.g</w:t>
      </w:r>
      <w:r w:rsidR="000D4B60" w:rsidRPr="00742AB9">
        <w:t>., data gathering and analysis, maintenance of the online Contact Hague, coordination over equipment and logistics, first-level technical investigation of customer enquiries, etc.).</w:t>
      </w:r>
    </w:p>
    <w:p w:rsidR="00C5044D" w:rsidRPr="00742AB9" w:rsidRDefault="00CE4057" w:rsidP="00E50E5A">
      <w:pPr>
        <w:pStyle w:val="ONUME"/>
      </w:pPr>
      <w:r w:rsidRPr="00742AB9">
        <w:t xml:space="preserve">If additional languages </w:t>
      </w:r>
      <w:r w:rsidR="001502D6" w:rsidRPr="00742AB9">
        <w:t xml:space="preserve">were to be </w:t>
      </w:r>
      <w:r w:rsidRPr="00742AB9">
        <w:t>introduced in</w:t>
      </w:r>
      <w:r w:rsidR="00654010" w:rsidRPr="00742AB9">
        <w:t>to</w:t>
      </w:r>
      <w:r w:rsidRPr="00742AB9">
        <w:t xml:space="preserve"> </w:t>
      </w:r>
      <w:proofErr w:type="gramStart"/>
      <w:r w:rsidRPr="00742AB9">
        <w:t>the</w:t>
      </w:r>
      <w:proofErr w:type="gramEnd"/>
      <w:r w:rsidRPr="00742AB9">
        <w:t xml:space="preserve"> Hague System, under any of </w:t>
      </w:r>
      <w:r w:rsidR="00654010" w:rsidRPr="00742AB9">
        <w:t>o</w:t>
      </w:r>
      <w:r w:rsidRPr="00742AB9">
        <w:t>p</w:t>
      </w:r>
      <w:r w:rsidR="00557C9D" w:rsidRPr="00742AB9">
        <w:t xml:space="preserve">tions </w:t>
      </w:r>
      <w:r w:rsidR="00654010" w:rsidRPr="00742AB9">
        <w:t>“</w:t>
      </w:r>
      <w:r w:rsidR="00557C9D" w:rsidRPr="00742AB9">
        <w:t>A</w:t>
      </w:r>
      <w:r w:rsidR="00654010" w:rsidRPr="00742AB9">
        <w:t>”</w:t>
      </w:r>
      <w:r w:rsidR="00557C9D" w:rsidRPr="00742AB9">
        <w:t xml:space="preserve"> to </w:t>
      </w:r>
      <w:r w:rsidR="00654010" w:rsidRPr="00742AB9">
        <w:t>“</w:t>
      </w:r>
      <w:r w:rsidR="00557C9D" w:rsidRPr="00742AB9">
        <w:t>E</w:t>
      </w:r>
      <w:r w:rsidR="00654010" w:rsidRPr="00742AB9">
        <w:t>”</w:t>
      </w:r>
      <w:r w:rsidRPr="00742AB9">
        <w:t xml:space="preserve">, </w:t>
      </w:r>
      <w:r w:rsidR="00376222" w:rsidRPr="00742AB9">
        <w:t>customer</w:t>
      </w:r>
      <w:r w:rsidRPr="00742AB9">
        <w:t xml:space="preserve"> support </w:t>
      </w:r>
      <w:r w:rsidR="00654010" w:rsidRPr="00742AB9">
        <w:t>should</w:t>
      </w:r>
      <w:r w:rsidRPr="00742AB9">
        <w:t xml:space="preserve"> be provided also in </w:t>
      </w:r>
      <w:r w:rsidR="006138AF" w:rsidRPr="00742AB9">
        <w:t>these</w:t>
      </w:r>
      <w:r w:rsidRPr="00742AB9">
        <w:t xml:space="preserve"> languages.  While the bulk of Hague </w:t>
      </w:r>
      <w:r w:rsidR="00E63D22" w:rsidRPr="00742AB9">
        <w:t>customer</w:t>
      </w:r>
      <w:r w:rsidRPr="00742AB9">
        <w:t xml:space="preserve"> enquiries (approximately 76 per cent) concern specific cases (</w:t>
      </w:r>
      <w:r w:rsidRPr="00742AB9">
        <w:rPr>
          <w:i/>
        </w:rPr>
        <w:t>i.e</w:t>
      </w:r>
      <w:r w:rsidRPr="00742AB9">
        <w:t xml:space="preserve">., applications, registrations or renewals) and the </w:t>
      </w:r>
      <w:r w:rsidR="00C04F74" w:rsidRPr="00742AB9">
        <w:t>remaining</w:t>
      </w:r>
      <w:r w:rsidRPr="00742AB9">
        <w:t xml:space="preserve"> are general in nature (</w:t>
      </w:r>
      <w:r w:rsidRPr="00742AB9">
        <w:rPr>
          <w:i/>
        </w:rPr>
        <w:t>e.g</w:t>
      </w:r>
      <w:r w:rsidRPr="00742AB9">
        <w:t>., requests for information, legal and technical questions</w:t>
      </w:r>
      <w:r w:rsidR="000D4B60" w:rsidRPr="00742AB9">
        <w:t>), it would be very difficult</w:t>
      </w:r>
      <w:r w:rsidR="00FE7362" w:rsidRPr="00742AB9">
        <w:t xml:space="preserve">, </w:t>
      </w:r>
      <w:r w:rsidR="000D4B60" w:rsidRPr="00742AB9">
        <w:t>complicated</w:t>
      </w:r>
      <w:r w:rsidR="00FE7362" w:rsidRPr="00742AB9">
        <w:t xml:space="preserve"> and </w:t>
      </w:r>
      <w:r w:rsidR="00557C9D" w:rsidRPr="00742AB9">
        <w:t xml:space="preserve">therefore </w:t>
      </w:r>
      <w:r w:rsidR="00FE7362" w:rsidRPr="00742AB9">
        <w:t>not feasible</w:t>
      </w:r>
      <w:r w:rsidR="000D4B60" w:rsidRPr="00742AB9">
        <w:t xml:space="preserve"> to distinguish between case specific-enquiries and general enquiries for purposes of determining the language to be used in dealing with and assisting </w:t>
      </w:r>
      <w:r w:rsidR="00376222" w:rsidRPr="00742AB9">
        <w:t>customers</w:t>
      </w:r>
      <w:r w:rsidR="000D4B60" w:rsidRPr="00742AB9">
        <w:t xml:space="preserve">.  </w:t>
      </w:r>
      <w:r w:rsidR="00E50E5A" w:rsidRPr="00742AB9">
        <w:t>For instance</w:t>
      </w:r>
      <w:r w:rsidR="000D4B60" w:rsidRPr="00742AB9">
        <w:t xml:space="preserve">, if two </w:t>
      </w:r>
      <w:r w:rsidR="00CE7ABB" w:rsidRPr="00742AB9">
        <w:t>new</w:t>
      </w:r>
      <w:r w:rsidR="000D4B60" w:rsidRPr="00742AB9">
        <w:t xml:space="preserve"> languages </w:t>
      </w:r>
      <w:r w:rsidR="00C04F74" w:rsidRPr="00742AB9">
        <w:t xml:space="preserve">were </w:t>
      </w:r>
      <w:r w:rsidR="000D4B60" w:rsidRPr="00742AB9">
        <w:t xml:space="preserve">added, under any of </w:t>
      </w:r>
      <w:r w:rsidR="00E50E5A" w:rsidRPr="00742AB9">
        <w:t>o</w:t>
      </w:r>
      <w:r w:rsidR="000D4B60" w:rsidRPr="00742AB9">
        <w:t xml:space="preserve">ptions </w:t>
      </w:r>
      <w:r w:rsidR="00E50E5A" w:rsidRPr="00742AB9">
        <w:t>“</w:t>
      </w:r>
      <w:r w:rsidR="000D4B60" w:rsidRPr="00742AB9">
        <w:t>A</w:t>
      </w:r>
      <w:r w:rsidR="00E50E5A" w:rsidRPr="00742AB9">
        <w:t>”</w:t>
      </w:r>
      <w:r w:rsidR="000D4B60" w:rsidRPr="00742AB9">
        <w:t xml:space="preserve"> to </w:t>
      </w:r>
      <w:r w:rsidR="00E50E5A" w:rsidRPr="00742AB9">
        <w:t>“</w:t>
      </w:r>
      <w:r w:rsidR="00557C9D" w:rsidRPr="00742AB9">
        <w:t>E</w:t>
      </w:r>
      <w:r w:rsidR="00E50E5A" w:rsidRPr="00742AB9">
        <w:t>”</w:t>
      </w:r>
      <w:r w:rsidR="000D4B60" w:rsidRPr="00742AB9">
        <w:t xml:space="preserve">, the Contact Hague interface </w:t>
      </w:r>
      <w:r w:rsidR="00E50E5A" w:rsidRPr="00742AB9">
        <w:t>should</w:t>
      </w:r>
      <w:r w:rsidR="000D4B60" w:rsidRPr="00742AB9">
        <w:t xml:space="preserve"> be developed to include th</w:t>
      </w:r>
      <w:r w:rsidR="00CE7ABB" w:rsidRPr="00742AB9">
        <w:t>os</w:t>
      </w:r>
      <w:r w:rsidR="000D4B60" w:rsidRPr="00742AB9">
        <w:t>e two additional languages</w:t>
      </w:r>
      <w:r w:rsidR="006138AF" w:rsidRPr="00742AB9">
        <w:t>, which means that all type</w:t>
      </w:r>
      <w:r w:rsidR="00557C9D" w:rsidRPr="00742AB9">
        <w:t>s</w:t>
      </w:r>
      <w:r w:rsidR="006138AF" w:rsidRPr="00742AB9">
        <w:t xml:space="preserve"> of enquiries w</w:t>
      </w:r>
      <w:r w:rsidR="00111874" w:rsidRPr="00742AB9">
        <w:t>ould</w:t>
      </w:r>
      <w:r w:rsidR="006138AF" w:rsidRPr="00742AB9">
        <w:t xml:space="preserve"> be covered</w:t>
      </w:r>
      <w:r w:rsidR="000D4B60" w:rsidRPr="00742AB9">
        <w:t xml:space="preserve">. </w:t>
      </w:r>
    </w:p>
    <w:p w:rsidR="00BE7246" w:rsidRPr="00742AB9" w:rsidRDefault="00C5044D">
      <w:pPr>
        <w:pStyle w:val="ONUME"/>
      </w:pPr>
      <w:r w:rsidRPr="00742AB9">
        <w:t xml:space="preserve">This </w:t>
      </w:r>
      <w:r w:rsidR="00E63D22" w:rsidRPr="00742AB9">
        <w:t xml:space="preserve">being </w:t>
      </w:r>
      <w:r w:rsidRPr="00742AB9">
        <w:t xml:space="preserve">said, under </w:t>
      </w:r>
      <w:r w:rsidR="00CE7ABB" w:rsidRPr="00742AB9">
        <w:t>the filing language option (</w:t>
      </w:r>
      <w:r w:rsidRPr="00742AB9">
        <w:t>option “A”</w:t>
      </w:r>
      <w:r w:rsidR="00CE7ABB" w:rsidRPr="00742AB9">
        <w:t>)</w:t>
      </w:r>
      <w:r w:rsidRPr="00742AB9">
        <w:t xml:space="preserve">, </w:t>
      </w:r>
      <w:r w:rsidR="00BE7246" w:rsidRPr="00742AB9">
        <w:t xml:space="preserve">even if the application was filed in the new language, </w:t>
      </w:r>
      <w:r w:rsidRPr="00742AB9">
        <w:t>the International Bureau would examine and communicate</w:t>
      </w:r>
      <w:r w:rsidR="00FE040C" w:rsidRPr="00742AB9">
        <w:t xml:space="preserve"> with</w:t>
      </w:r>
      <w:r w:rsidRPr="00742AB9">
        <w:t xml:space="preserve"> the applicant in the language selected by the applicant among English, French and Spanish with respect to th</w:t>
      </w:r>
      <w:r w:rsidR="00BE7246" w:rsidRPr="00742AB9">
        <w:t xml:space="preserve">at </w:t>
      </w:r>
      <w:r w:rsidRPr="00742AB9">
        <w:t>application</w:t>
      </w:r>
      <w:r w:rsidR="00FC2D4B" w:rsidRPr="00742AB9">
        <w:t xml:space="preserve"> </w:t>
      </w:r>
      <w:r w:rsidRPr="00742AB9">
        <w:t>or the international registration resulting therefrom.</w:t>
      </w:r>
      <w:r w:rsidR="00FC2D4B" w:rsidRPr="00742AB9">
        <w:t xml:space="preserve">  Given that specific feature, it would be worth consider</w:t>
      </w:r>
      <w:r w:rsidR="001459FB" w:rsidRPr="00742AB9">
        <w:t>ing</w:t>
      </w:r>
      <w:r w:rsidR="00FC2D4B" w:rsidRPr="00742AB9">
        <w:t xml:space="preserve"> </w:t>
      </w:r>
      <w:r w:rsidR="001459FB" w:rsidRPr="00742AB9">
        <w:t xml:space="preserve">the said </w:t>
      </w:r>
      <w:r w:rsidR="00CE7ABB" w:rsidRPr="00742AB9">
        <w:t xml:space="preserve">implementation </w:t>
      </w:r>
      <w:r w:rsidR="001459FB" w:rsidRPr="00742AB9">
        <w:t>option</w:t>
      </w:r>
      <w:r w:rsidR="00FC2D4B" w:rsidRPr="00742AB9">
        <w:t xml:space="preserve"> with or without extending </w:t>
      </w:r>
      <w:r w:rsidR="00CB68FA" w:rsidRPr="00742AB9">
        <w:t>customer</w:t>
      </w:r>
      <w:r w:rsidR="00FC2D4B" w:rsidRPr="00742AB9">
        <w:t xml:space="preserve"> support in the new languages.</w:t>
      </w:r>
    </w:p>
    <w:p w:rsidR="001853A9" w:rsidRPr="00742AB9" w:rsidRDefault="00953968">
      <w:pPr>
        <w:pStyle w:val="ONUME"/>
      </w:pPr>
      <w:r w:rsidRPr="00742AB9">
        <w:t xml:space="preserve">As mentioned in paragraph </w:t>
      </w:r>
      <w:r w:rsidR="0064479B" w:rsidRPr="00742AB9">
        <w:t>21</w:t>
      </w:r>
      <w:r w:rsidR="00221B92">
        <w:t>,</w:t>
      </w:r>
      <w:r w:rsidR="0064479B" w:rsidRPr="00742AB9">
        <w:t xml:space="preserve"> </w:t>
      </w:r>
      <w:r w:rsidR="00FE040C" w:rsidRPr="00742AB9">
        <w:t>above</w:t>
      </w:r>
      <w:r w:rsidRPr="00742AB9">
        <w:t>,</w:t>
      </w:r>
      <w:r w:rsidR="00FC2D4B" w:rsidRPr="00742AB9">
        <w:t xml:space="preserve"> </w:t>
      </w:r>
      <w:r w:rsidRPr="00742AB9">
        <w:t>t</w:t>
      </w:r>
      <w:r w:rsidR="00FA0D35" w:rsidRPr="00742AB9">
        <w:t xml:space="preserve">he Hague Registry currently </w:t>
      </w:r>
      <w:r w:rsidR="00FE7362" w:rsidRPr="00742AB9">
        <w:t xml:space="preserve">has </w:t>
      </w:r>
      <w:r w:rsidR="00FA0D35" w:rsidRPr="00742AB9">
        <w:t xml:space="preserve">two </w:t>
      </w:r>
      <w:r w:rsidR="00557C9D" w:rsidRPr="00742AB9">
        <w:t xml:space="preserve">and a half </w:t>
      </w:r>
      <w:r w:rsidR="00FE7362" w:rsidRPr="00742AB9">
        <w:t xml:space="preserve">personnel </w:t>
      </w:r>
      <w:r w:rsidR="00FA0D35" w:rsidRPr="00742AB9">
        <w:t>exclusively dedicated to provid</w:t>
      </w:r>
      <w:r w:rsidR="00FE7362" w:rsidRPr="00742AB9">
        <w:t>ing</w:t>
      </w:r>
      <w:r w:rsidR="00FA0D35" w:rsidRPr="00742AB9">
        <w:t xml:space="preserve"> </w:t>
      </w:r>
      <w:r w:rsidR="00CB68FA" w:rsidRPr="00742AB9">
        <w:t>customer</w:t>
      </w:r>
      <w:r w:rsidR="00FA0D35" w:rsidRPr="00742AB9">
        <w:t xml:space="preserve"> support (one G6 regular post</w:t>
      </w:r>
      <w:r w:rsidR="00557C9D" w:rsidRPr="00742AB9">
        <w:t>,</w:t>
      </w:r>
      <w:r w:rsidR="00FA0D35" w:rsidRPr="00742AB9">
        <w:t xml:space="preserve"> one agency worker</w:t>
      </w:r>
      <w:r w:rsidR="00557C9D" w:rsidRPr="00742AB9">
        <w:t xml:space="preserve"> and half a P2 temporary position</w:t>
      </w:r>
      <w:r w:rsidR="00FA0D35" w:rsidRPr="00742AB9">
        <w:t xml:space="preserve">).  </w:t>
      </w:r>
      <w:r w:rsidR="001853A9" w:rsidRPr="00742AB9">
        <w:t>The annual standard cost for G6</w:t>
      </w:r>
      <w:r w:rsidR="00076F68" w:rsidRPr="00742AB9">
        <w:t xml:space="preserve"> is approximately</w:t>
      </w:r>
      <w:r w:rsidR="001853A9" w:rsidRPr="00742AB9">
        <w:t xml:space="preserve"> 133,000</w:t>
      </w:r>
      <w:r w:rsidR="00CE0FB2" w:rsidRPr="00742AB9">
        <w:t> Swiss francs</w:t>
      </w:r>
      <w:r w:rsidR="001853A9" w:rsidRPr="00742AB9">
        <w:rPr>
          <w:rStyle w:val="FootnoteReference"/>
        </w:rPr>
        <w:footnoteReference w:id="11"/>
      </w:r>
      <w:r w:rsidR="002635C5" w:rsidRPr="00742AB9">
        <w:t xml:space="preserve"> while that of the agency worker is approximately 104,000</w:t>
      </w:r>
      <w:r w:rsidR="00CE0FB2" w:rsidRPr="00742AB9">
        <w:t> Swiss francs</w:t>
      </w:r>
      <w:r w:rsidR="001853A9" w:rsidRPr="00742AB9">
        <w:t xml:space="preserve">.  </w:t>
      </w:r>
      <w:r w:rsidR="00EF390A" w:rsidRPr="00742AB9">
        <w:t>Thus</w:t>
      </w:r>
      <w:r w:rsidR="001853A9" w:rsidRPr="00742AB9">
        <w:t xml:space="preserve">, the provision of full-time </w:t>
      </w:r>
      <w:r w:rsidR="00EF390A" w:rsidRPr="00742AB9">
        <w:t>customer</w:t>
      </w:r>
      <w:r w:rsidR="001853A9" w:rsidRPr="00742AB9">
        <w:t xml:space="preserve"> support per language would require an </w:t>
      </w:r>
      <w:r w:rsidR="00076F68" w:rsidRPr="00742AB9">
        <w:t xml:space="preserve">investment of </w:t>
      </w:r>
      <w:r w:rsidR="00EF390A" w:rsidRPr="00742AB9">
        <w:t>between 208,000</w:t>
      </w:r>
      <w:r w:rsidR="00CE0FB2" w:rsidRPr="00742AB9">
        <w:t> Swiss francs</w:t>
      </w:r>
      <w:r w:rsidR="00EF390A" w:rsidRPr="00742AB9">
        <w:t xml:space="preserve"> (104,000</w:t>
      </w:r>
      <w:r w:rsidR="00CE0FB2" w:rsidRPr="00742AB9">
        <w:t> Swiss francs</w:t>
      </w:r>
      <w:r w:rsidR="00EF390A" w:rsidRPr="00742AB9">
        <w:t xml:space="preserve"> x two agency workers)</w:t>
      </w:r>
      <w:r w:rsidR="001853A9" w:rsidRPr="00742AB9">
        <w:t xml:space="preserve"> </w:t>
      </w:r>
      <w:r w:rsidR="00EF390A" w:rsidRPr="00742AB9">
        <w:t xml:space="preserve">and </w:t>
      </w:r>
      <w:r w:rsidR="00652660" w:rsidRPr="00742AB9">
        <w:t>266</w:t>
      </w:r>
      <w:r w:rsidR="001853A9" w:rsidRPr="00742AB9">
        <w:t>,000</w:t>
      </w:r>
      <w:r w:rsidR="00CE0FB2" w:rsidRPr="00742AB9">
        <w:t> Swiss francs</w:t>
      </w:r>
      <w:r w:rsidR="001853A9" w:rsidRPr="00742AB9">
        <w:t xml:space="preserve"> per year (1</w:t>
      </w:r>
      <w:r w:rsidR="00FA0D35" w:rsidRPr="00742AB9">
        <w:t>33</w:t>
      </w:r>
      <w:r w:rsidR="001853A9" w:rsidRPr="00742AB9">
        <w:t>,000</w:t>
      </w:r>
      <w:r w:rsidR="00CE0FB2" w:rsidRPr="00742AB9">
        <w:t> Swiss francs</w:t>
      </w:r>
      <w:r w:rsidR="001853A9" w:rsidRPr="00742AB9">
        <w:t xml:space="preserve"> x two </w:t>
      </w:r>
      <w:r w:rsidR="00FA0D35" w:rsidRPr="00742AB9">
        <w:t>G6-level personnel</w:t>
      </w:r>
      <w:r w:rsidR="001853A9" w:rsidRPr="00742AB9">
        <w:t>)</w:t>
      </w:r>
      <w:r w:rsidR="009E5E9D" w:rsidRPr="00742AB9">
        <w:t>.</w:t>
      </w:r>
      <w:r w:rsidR="00EF390A" w:rsidRPr="00742AB9">
        <w:t xml:space="preserve">  On an indicative basis, th</w:t>
      </w:r>
      <w:r w:rsidR="00E40E7A" w:rsidRPr="00742AB9">
        <w:t>e average figure</w:t>
      </w:r>
      <w:r w:rsidR="00EF390A" w:rsidRPr="00742AB9">
        <w:t xml:space="preserve"> would </w:t>
      </w:r>
      <w:r w:rsidR="00E40E7A" w:rsidRPr="00742AB9">
        <w:t>be</w:t>
      </w:r>
      <w:r w:rsidR="00CE0FB2" w:rsidRPr="00742AB9">
        <w:t xml:space="preserve"> </w:t>
      </w:r>
      <w:r w:rsidR="00CA6567" w:rsidRPr="00742AB9">
        <w:t>237</w:t>
      </w:r>
      <w:r w:rsidR="00E40E7A" w:rsidRPr="00742AB9">
        <w:t>,000</w:t>
      </w:r>
      <w:r w:rsidR="00CE0FB2" w:rsidRPr="00742AB9">
        <w:t> Swiss francs</w:t>
      </w:r>
      <w:r w:rsidR="00E40E7A" w:rsidRPr="00742AB9">
        <w:t>.</w:t>
      </w:r>
    </w:p>
    <w:p w:rsidR="001853A9" w:rsidRPr="00742AB9" w:rsidRDefault="001853A9" w:rsidP="001853A9">
      <w:pPr>
        <w:pStyle w:val="ONUME"/>
        <w:numPr>
          <w:ilvl w:val="0"/>
          <w:numId w:val="0"/>
        </w:numPr>
        <w:rPr>
          <w:bCs/>
          <w:iCs/>
          <w:caps/>
          <w:szCs w:val="28"/>
        </w:rPr>
      </w:pPr>
      <w:r w:rsidRPr="00742AB9">
        <w:rPr>
          <w:bCs/>
          <w:iCs/>
          <w:caps/>
          <w:szCs w:val="28"/>
        </w:rPr>
        <w:t>Summary and total</w:t>
      </w:r>
    </w:p>
    <w:p w:rsidR="001853A9" w:rsidRPr="00742AB9" w:rsidRDefault="001853A9" w:rsidP="001853A9">
      <w:pPr>
        <w:pStyle w:val="ONUME"/>
      </w:pPr>
      <w:r w:rsidRPr="00742AB9">
        <w:t xml:space="preserve">In view of the above, if the introduction of Chinese and Russian </w:t>
      </w:r>
      <w:r w:rsidR="00F849DD" w:rsidRPr="00742AB9">
        <w:t>became</w:t>
      </w:r>
      <w:r w:rsidRPr="00742AB9">
        <w:t xml:space="preserve"> operational, the following recurrent operational costs would </w:t>
      </w:r>
      <w:r w:rsidR="00F849DD" w:rsidRPr="00742AB9">
        <w:t>occur</w:t>
      </w:r>
      <w:r w:rsidRPr="00742AB9">
        <w:t xml:space="preserve"> with immediate effect </w:t>
      </w:r>
      <w:r w:rsidR="006130FA" w:rsidRPr="00742AB9">
        <w:t>on an annual basis</w:t>
      </w:r>
      <w:r w:rsidRPr="00742AB9">
        <w:t>:</w:t>
      </w:r>
    </w:p>
    <w:p w:rsidR="001853A9" w:rsidRPr="00742AB9" w:rsidRDefault="00123C01" w:rsidP="00664212">
      <w:pPr>
        <w:pStyle w:val="ONUME"/>
        <w:numPr>
          <w:ilvl w:val="0"/>
          <w:numId w:val="0"/>
        </w:numPr>
        <w:tabs>
          <w:tab w:val="left" w:pos="1134"/>
        </w:tabs>
        <w:ind w:left="1134" w:hanging="567"/>
      </w:pPr>
      <w:r>
        <w:t>–</w:t>
      </w:r>
      <w:r w:rsidR="00664212" w:rsidRPr="00742AB9">
        <w:tab/>
      </w:r>
      <w:r w:rsidR="001853A9" w:rsidRPr="00742AB9">
        <w:t>For the quality control of the outsourced translation work: approximately 500,000</w:t>
      </w:r>
      <w:r w:rsidR="00CE0FB2" w:rsidRPr="00742AB9">
        <w:t> Swiss francs</w:t>
      </w:r>
      <w:r w:rsidR="001853A9" w:rsidRPr="00742AB9">
        <w:t xml:space="preserve"> (four ICS contracts - 125,000</w:t>
      </w:r>
      <w:r w:rsidR="00CE0FB2" w:rsidRPr="00742AB9">
        <w:t> Swiss francs</w:t>
      </w:r>
      <w:r w:rsidR="001853A9" w:rsidRPr="00742AB9">
        <w:t xml:space="preserve"> x 4), if the Hague Registry would need to set up its own translation resources for </w:t>
      </w:r>
      <w:r w:rsidR="00CE7ABB" w:rsidRPr="00742AB9">
        <w:t>conducting the quality control</w:t>
      </w:r>
      <w:r w:rsidR="001853A9" w:rsidRPr="00742AB9">
        <w:t>;</w:t>
      </w:r>
    </w:p>
    <w:p w:rsidR="001853A9" w:rsidRPr="00742AB9" w:rsidRDefault="00123C01" w:rsidP="00664212">
      <w:pPr>
        <w:pStyle w:val="ONUME"/>
        <w:numPr>
          <w:ilvl w:val="0"/>
          <w:numId w:val="0"/>
        </w:numPr>
        <w:tabs>
          <w:tab w:val="left" w:pos="1134"/>
        </w:tabs>
        <w:ind w:left="1134" w:hanging="567"/>
      </w:pPr>
      <w:r>
        <w:t>–</w:t>
      </w:r>
      <w:r w:rsidR="00664212" w:rsidRPr="00742AB9">
        <w:tab/>
      </w:r>
      <w:r w:rsidR="001853A9" w:rsidRPr="00742AB9">
        <w:t>For the maintenance of the ICT systems: approximately 120,000</w:t>
      </w:r>
      <w:r w:rsidR="00CE0FB2" w:rsidRPr="00742AB9">
        <w:t> Swiss francs</w:t>
      </w:r>
      <w:r w:rsidR="001853A9" w:rsidRPr="00742AB9">
        <w:t xml:space="preserve"> </w:t>
      </w:r>
      <w:r w:rsidR="00CE0FB2" w:rsidRPr="00742AB9">
        <w:br/>
      </w:r>
      <w:r w:rsidR="001853A9" w:rsidRPr="00742AB9">
        <w:t xml:space="preserve">(one P2-level IT personnel) under the all </w:t>
      </w:r>
      <w:r w:rsidR="007F13D8" w:rsidRPr="00742AB9">
        <w:t xml:space="preserve">of the </w:t>
      </w:r>
      <w:r w:rsidR="001853A9" w:rsidRPr="00742AB9">
        <w:t>implementation options</w:t>
      </w:r>
      <w:proofErr w:type="gramStart"/>
      <w:r w:rsidR="001853A9" w:rsidRPr="00742AB9">
        <w:t xml:space="preserve">; </w:t>
      </w:r>
      <w:r w:rsidR="00AB5C3D" w:rsidRPr="00742AB9">
        <w:t xml:space="preserve"> </w:t>
      </w:r>
      <w:r w:rsidR="001853A9" w:rsidRPr="00742AB9">
        <w:t>and</w:t>
      </w:r>
      <w:proofErr w:type="gramEnd"/>
      <w:r w:rsidR="001E6EE5" w:rsidRPr="00742AB9">
        <w:t>,</w:t>
      </w:r>
    </w:p>
    <w:p w:rsidR="001853A9" w:rsidRPr="00742AB9" w:rsidRDefault="00123C01" w:rsidP="00664212">
      <w:pPr>
        <w:pStyle w:val="ONUME"/>
        <w:numPr>
          <w:ilvl w:val="0"/>
          <w:numId w:val="0"/>
        </w:numPr>
        <w:tabs>
          <w:tab w:val="left" w:pos="1134"/>
        </w:tabs>
        <w:ind w:left="1134" w:hanging="567"/>
      </w:pPr>
      <w:r>
        <w:t>–</w:t>
      </w:r>
      <w:r w:rsidR="00664212" w:rsidRPr="00742AB9">
        <w:tab/>
      </w:r>
      <w:r w:rsidR="00111874" w:rsidRPr="00742AB9">
        <w:t xml:space="preserve">For providing full-time </w:t>
      </w:r>
      <w:r w:rsidR="00E63D22" w:rsidRPr="00742AB9">
        <w:t>customer</w:t>
      </w:r>
      <w:r w:rsidR="001853A9" w:rsidRPr="00742AB9">
        <w:t xml:space="preserve"> support per language: </w:t>
      </w:r>
      <w:r w:rsidR="00953968" w:rsidRPr="00742AB9">
        <w:t>approximately</w:t>
      </w:r>
      <w:r w:rsidR="00CE0FB2" w:rsidRPr="00742AB9">
        <w:t xml:space="preserve"> </w:t>
      </w:r>
      <w:r w:rsidR="00E40E7A" w:rsidRPr="00742AB9">
        <w:t>237</w:t>
      </w:r>
      <w:r w:rsidR="001853A9" w:rsidRPr="00742AB9">
        <w:t>,000</w:t>
      </w:r>
      <w:r w:rsidR="00CE0FB2" w:rsidRPr="00742AB9">
        <w:t> Swiss francs</w:t>
      </w:r>
      <w:r w:rsidR="001853A9" w:rsidRPr="00742AB9">
        <w:t xml:space="preserve"> (</w:t>
      </w:r>
      <w:r w:rsidR="00E40E7A" w:rsidRPr="00742AB9">
        <w:t>one</w:t>
      </w:r>
      <w:r w:rsidR="001853A9" w:rsidRPr="00742AB9">
        <w:t xml:space="preserve"> </w:t>
      </w:r>
      <w:r w:rsidR="00076F68" w:rsidRPr="00742AB9">
        <w:t>G6</w:t>
      </w:r>
      <w:r w:rsidR="001853A9" w:rsidRPr="00742AB9">
        <w:t xml:space="preserve"> regular post</w:t>
      </w:r>
      <w:r w:rsidR="00E40E7A" w:rsidRPr="00742AB9">
        <w:t xml:space="preserve"> (</w:t>
      </w:r>
      <w:r w:rsidR="001853A9" w:rsidRPr="00742AB9">
        <w:t>1</w:t>
      </w:r>
      <w:r w:rsidR="00076F68" w:rsidRPr="00742AB9">
        <w:t>33</w:t>
      </w:r>
      <w:r w:rsidR="001853A9" w:rsidRPr="00742AB9">
        <w:t>,000</w:t>
      </w:r>
      <w:r w:rsidR="00CE0FB2" w:rsidRPr="00742AB9">
        <w:t> Swiss francs</w:t>
      </w:r>
      <w:r w:rsidR="00E40E7A" w:rsidRPr="00742AB9">
        <w:t>) + one agency worker (104,000</w:t>
      </w:r>
      <w:r w:rsidR="00CE0FB2" w:rsidRPr="00742AB9">
        <w:t> Swiss francs</w:t>
      </w:r>
      <w:r w:rsidR="001853A9" w:rsidRPr="00742AB9">
        <w:t xml:space="preserve">) under </w:t>
      </w:r>
      <w:r w:rsidR="00111874" w:rsidRPr="00742AB9">
        <w:t xml:space="preserve">all </w:t>
      </w:r>
      <w:r w:rsidR="007F13D8" w:rsidRPr="00742AB9">
        <w:t xml:space="preserve">of the </w:t>
      </w:r>
      <w:r w:rsidR="00111874" w:rsidRPr="00742AB9">
        <w:t xml:space="preserve">implementation </w:t>
      </w:r>
      <w:r w:rsidR="001853A9" w:rsidRPr="00742AB9">
        <w:t>option</w:t>
      </w:r>
      <w:r w:rsidR="00111874" w:rsidRPr="00742AB9">
        <w:t>s</w:t>
      </w:r>
      <w:r w:rsidR="001853A9" w:rsidRPr="00742AB9">
        <w:t>.</w:t>
      </w:r>
    </w:p>
    <w:p w:rsidR="00BA0E14" w:rsidRPr="00742AB9" w:rsidRDefault="00771FCF" w:rsidP="00BA0E14">
      <w:pPr>
        <w:pStyle w:val="Heading1"/>
        <w:numPr>
          <w:ilvl w:val="0"/>
          <w:numId w:val="6"/>
        </w:numPr>
        <w:ind w:left="567" w:hanging="567"/>
      </w:pPr>
      <w:r w:rsidRPr="00742AB9">
        <w:lastRenderedPageBreak/>
        <w:t xml:space="preserve">Operational </w:t>
      </w:r>
      <w:r w:rsidR="00BA0E14" w:rsidRPr="00742AB9">
        <w:t>Translation Costs</w:t>
      </w:r>
    </w:p>
    <w:p w:rsidR="00BA0E14" w:rsidRPr="00742AB9" w:rsidRDefault="00BA0E14" w:rsidP="00BA0E14">
      <w:pPr>
        <w:pStyle w:val="ONUME"/>
        <w:numPr>
          <w:ilvl w:val="0"/>
          <w:numId w:val="13"/>
        </w:numPr>
      </w:pPr>
      <w:r w:rsidRPr="00742AB9">
        <w:t>This estimate is based on a five</w:t>
      </w:r>
      <w:r w:rsidRPr="00742AB9">
        <w:noBreakHyphen/>
        <w:t xml:space="preserve">year forecast of the number of international applications made by the </w:t>
      </w:r>
      <w:r w:rsidR="00771FCF" w:rsidRPr="00742AB9">
        <w:t>Statistics</w:t>
      </w:r>
      <w:r w:rsidRPr="00742AB9">
        <w:t xml:space="preserve"> and </w:t>
      </w:r>
      <w:r w:rsidR="00771FCF" w:rsidRPr="00742AB9">
        <w:t>Data Analytics Division</w:t>
      </w:r>
      <w:r w:rsidRPr="00742AB9">
        <w:t xml:space="preserve"> of the World Intellectual Property Organization (WIPO).  The estimate shows the additional translation cost related to the simultaneous introduction of Chinese and Russian only, under an indirect translation practice, with English as the relay language</w:t>
      </w:r>
      <w:r w:rsidR="00BC74F9" w:rsidRPr="00742AB9">
        <w:rPr>
          <w:rStyle w:val="FootnoteReference"/>
        </w:rPr>
        <w:footnoteReference w:id="12"/>
      </w:r>
      <w:r w:rsidRPr="00742AB9">
        <w:t>.</w:t>
      </w:r>
    </w:p>
    <w:p w:rsidR="00BA0E14" w:rsidRPr="00742AB9" w:rsidRDefault="00004585" w:rsidP="00BA0E14">
      <w:pPr>
        <w:pStyle w:val="ONUME"/>
      </w:pPr>
      <w:r w:rsidRPr="00742AB9">
        <w:t>Applicants from China are likely to file</w:t>
      </w:r>
      <w:r w:rsidR="00BA0E14" w:rsidRPr="00742AB9">
        <w:t xml:space="preserve"> international applications</w:t>
      </w:r>
      <w:r w:rsidRPr="00742AB9">
        <w:t xml:space="preserve"> in Chinese.  Appli</w:t>
      </w:r>
      <w:r w:rsidR="007923CC" w:rsidRPr="00742AB9">
        <w:t>cants and holders from China as well as</w:t>
      </w:r>
      <w:r w:rsidRPr="00742AB9">
        <w:t xml:space="preserve"> the Office of China are likely to</w:t>
      </w:r>
      <w:r w:rsidR="00BA0E14" w:rsidRPr="00742AB9">
        <w:t xml:space="preserve"> commun</w:t>
      </w:r>
      <w:r w:rsidRPr="00742AB9">
        <w:t>icate in Chinese.  Applicants from</w:t>
      </w:r>
      <w:r w:rsidR="00BA0E14" w:rsidRPr="00742AB9">
        <w:t xml:space="preserve"> Armenia, Azerbaijan, Kyrgyzstan, the Russian Federation, Tajikistan, Turkmenistan a</w:t>
      </w:r>
      <w:r w:rsidRPr="00742AB9">
        <w:t>nd Ukraine are likely to file</w:t>
      </w:r>
      <w:r w:rsidR="00BA0E14" w:rsidRPr="00742AB9">
        <w:t xml:space="preserve"> international applications </w:t>
      </w:r>
      <w:r w:rsidR="007923CC" w:rsidRPr="00742AB9">
        <w:t>in Russian</w:t>
      </w:r>
      <w:r w:rsidR="00FE4EFF" w:rsidRPr="00742AB9">
        <w:rPr>
          <w:rStyle w:val="FootnoteReference"/>
        </w:rPr>
        <w:footnoteReference w:id="13"/>
      </w:r>
      <w:r w:rsidR="007923CC" w:rsidRPr="00742AB9">
        <w:t>.  Applicants,</w:t>
      </w:r>
      <w:r w:rsidRPr="00742AB9">
        <w:t xml:space="preserve"> holders </w:t>
      </w:r>
      <w:r w:rsidR="007923CC" w:rsidRPr="00742AB9">
        <w:t xml:space="preserve">and Offices </w:t>
      </w:r>
      <w:r w:rsidRPr="00742AB9">
        <w:t>from these Cont</w:t>
      </w:r>
      <w:r w:rsidR="007923CC" w:rsidRPr="00742AB9">
        <w:t xml:space="preserve">racting Parties </w:t>
      </w:r>
      <w:r w:rsidRPr="00742AB9">
        <w:t>are likely to communicate in Russian.</w:t>
      </w:r>
      <w:r w:rsidR="00D73127" w:rsidRPr="00742AB9">
        <w:t xml:space="preserve">  The estimate therefore assumes that, where made possible under a specific option, applicants, holders and Offices from these selected Contracting Parties would chose to communicate with the International Bureau in Chinese or Russian. </w:t>
      </w:r>
      <w:r w:rsidR="00BA0E14" w:rsidRPr="00742AB9">
        <w:t xml:space="preserve"> </w:t>
      </w:r>
    </w:p>
    <w:p w:rsidR="00BA0E14" w:rsidRPr="00742AB9" w:rsidRDefault="005D1336" w:rsidP="00BA0E14">
      <w:pPr>
        <w:pStyle w:val="ONUME"/>
      </w:pPr>
      <w:r w:rsidRPr="00742AB9">
        <w:t>The International Bureau would outsource the translation of texts that it would not be able to translate automatically</w:t>
      </w:r>
      <w:r w:rsidR="000C0D51" w:rsidRPr="00742AB9">
        <w:t>, without human intervention</w:t>
      </w:r>
      <w:r w:rsidRPr="00742AB9">
        <w:t xml:space="preserve">.  </w:t>
      </w:r>
      <w:r w:rsidR="000C0D51" w:rsidRPr="00742AB9">
        <w:t xml:space="preserve">At the </w:t>
      </w:r>
      <w:r w:rsidR="00097887" w:rsidRPr="00742AB9">
        <w:t>time</w:t>
      </w:r>
      <w:r w:rsidR="000C0D51" w:rsidRPr="00742AB9">
        <w:t xml:space="preserve"> of </w:t>
      </w:r>
      <w:r w:rsidRPr="00742AB9">
        <w:t xml:space="preserve">the introduction of the new languages in </w:t>
      </w:r>
      <w:r w:rsidR="00F72179" w:rsidRPr="00742AB9">
        <w:t>2021</w:t>
      </w:r>
      <w:r w:rsidR="00BA0E14" w:rsidRPr="00742AB9">
        <w:t xml:space="preserve">, </w:t>
      </w:r>
      <w:r w:rsidR="000C0D51" w:rsidRPr="00742AB9">
        <w:t xml:space="preserve">the International Bureau would have no reference data </w:t>
      </w:r>
      <w:r w:rsidR="0052722C" w:rsidRPr="00742AB9">
        <w:t>for</w:t>
      </w:r>
      <w:r w:rsidR="000C0D51" w:rsidRPr="00742AB9">
        <w:t xml:space="preserve"> the new languages.  </w:t>
      </w:r>
      <w:r w:rsidR="0052722C" w:rsidRPr="00742AB9">
        <w:t>It should</w:t>
      </w:r>
      <w:r w:rsidR="001E6A40" w:rsidRPr="00742AB9">
        <w:t>,</w:t>
      </w:r>
      <w:r w:rsidR="0052722C" w:rsidRPr="00742AB9">
        <w:t xml:space="preserve"> however</w:t>
      </w:r>
      <w:r w:rsidR="001E6A40" w:rsidRPr="00742AB9">
        <w:t>,</w:t>
      </w:r>
      <w:r w:rsidR="0052722C" w:rsidRPr="00742AB9">
        <w:t xml:space="preserve"> be able to benefit gradually from</w:t>
      </w:r>
      <w:r w:rsidR="000C0D51" w:rsidRPr="00742AB9">
        <w:t xml:space="preserve"> the </w:t>
      </w:r>
      <w:r w:rsidRPr="00742AB9">
        <w:t>compilation of</w:t>
      </w:r>
      <w:r w:rsidR="000C0D51" w:rsidRPr="00742AB9">
        <w:t xml:space="preserve"> the translation data</w:t>
      </w:r>
      <w:r w:rsidR="0052722C" w:rsidRPr="00742AB9">
        <w:t>.  Thus, the estimate assumes that from 2022 the International Bureau should be able to</w:t>
      </w:r>
      <w:r w:rsidRPr="00742AB9">
        <w:t xml:space="preserve"> </w:t>
      </w:r>
      <w:r w:rsidR="0052722C" w:rsidRPr="00742AB9">
        <w:t>translate 2.5 per cent of the words</w:t>
      </w:r>
      <w:r w:rsidR="00BA0E14" w:rsidRPr="00742AB9">
        <w:t xml:space="preserve"> in the new languages automatically</w:t>
      </w:r>
      <w:r w:rsidR="0052722C" w:rsidRPr="00742AB9">
        <w:t xml:space="preserve"> and that</w:t>
      </w:r>
      <w:r w:rsidR="00BA0E14" w:rsidRPr="00742AB9">
        <w:t xml:space="preserve"> this percentage wou</w:t>
      </w:r>
      <w:r w:rsidR="0052722C" w:rsidRPr="00742AB9">
        <w:t>ld increase by 2.5 per cent every</w:t>
      </w:r>
      <w:r w:rsidR="00BA0E14" w:rsidRPr="00742AB9">
        <w:t xml:space="preserve"> year.  The fee per word translated between English and Chinese is 0.15</w:t>
      </w:r>
      <w:r w:rsidR="00CE0FB2" w:rsidRPr="00742AB9">
        <w:t> Swiss francs</w:t>
      </w:r>
      <w:r w:rsidR="009F5A9B" w:rsidRPr="00742AB9">
        <w:t xml:space="preserve">, </w:t>
      </w:r>
      <w:r w:rsidR="00BA0E14" w:rsidRPr="00742AB9">
        <w:t>and</w:t>
      </w:r>
      <w:r w:rsidR="009F5A9B" w:rsidRPr="00742AB9">
        <w:t xml:space="preserve"> that between English and</w:t>
      </w:r>
      <w:r w:rsidR="00BA0E14" w:rsidRPr="00742AB9">
        <w:t xml:space="preserve"> Russian</w:t>
      </w:r>
      <w:r w:rsidR="009F5A9B" w:rsidRPr="00742AB9">
        <w:t xml:space="preserve"> is</w:t>
      </w:r>
      <w:r w:rsidR="00BA0E14" w:rsidRPr="00742AB9">
        <w:t xml:space="preserve"> 0.2</w:t>
      </w:r>
      <w:r w:rsidR="000D44AB" w:rsidRPr="00742AB9">
        <w:t>4</w:t>
      </w:r>
      <w:r w:rsidR="00CE0FB2" w:rsidRPr="00742AB9">
        <w:t> Swiss francs</w:t>
      </w:r>
      <w:r w:rsidR="000D44AB" w:rsidRPr="00742AB9">
        <w:rPr>
          <w:rStyle w:val="FootnoteReference"/>
        </w:rPr>
        <w:footnoteReference w:id="14"/>
      </w:r>
      <w:r w:rsidR="00BA0E14" w:rsidRPr="00742AB9">
        <w:t>.  Seven per cent of the outsourced translation work is subject to quality control by a WIPO internal translator</w:t>
      </w:r>
      <w:r w:rsidR="00CE7ABB" w:rsidRPr="00742AB9">
        <w:t xml:space="preserve"> (ICS contract)</w:t>
      </w:r>
      <w:r w:rsidR="00B467EA" w:rsidRPr="00742AB9">
        <w:t xml:space="preserve">. </w:t>
      </w:r>
      <w:r w:rsidR="009F5A9B" w:rsidRPr="00742AB9">
        <w:t xml:space="preserve"> The methodology and format basically follows the cost estimate presented in the </w:t>
      </w:r>
      <w:r w:rsidR="00415C36" w:rsidRPr="00742AB9">
        <w:t xml:space="preserve">Annex </w:t>
      </w:r>
      <w:r w:rsidR="009F5A9B" w:rsidRPr="00742AB9">
        <w:t>to document H/LD/WG/8/5</w:t>
      </w:r>
      <w:r w:rsidR="00BA0E14" w:rsidRPr="00742AB9">
        <w:t>.</w:t>
      </w:r>
      <w:r w:rsidR="009F5A9B" w:rsidRPr="00742AB9">
        <w:t xml:space="preserve">  </w:t>
      </w:r>
      <w:r w:rsidR="00E647E7" w:rsidRPr="00742AB9">
        <w:t>For</w:t>
      </w:r>
      <w:r w:rsidR="005252CC" w:rsidRPr="00742AB9">
        <w:t xml:space="preserve"> Chinese, the costs are estimated</w:t>
      </w:r>
      <w:r w:rsidR="00BA0E14" w:rsidRPr="00742AB9">
        <w:t xml:space="preserve"> </w:t>
      </w:r>
      <w:r w:rsidR="009F5A9B" w:rsidRPr="00742AB9">
        <w:t xml:space="preserve">in the anticipation of </w:t>
      </w:r>
      <w:r w:rsidR="001D519E" w:rsidRPr="00742AB9">
        <w:t xml:space="preserve">the accession of China </w:t>
      </w:r>
      <w:r w:rsidR="00E33F43" w:rsidRPr="00742AB9">
        <w:t>in the beginning of</w:t>
      </w:r>
      <w:r w:rsidR="00BA0E14" w:rsidRPr="00742AB9">
        <w:t xml:space="preserve"> 2021.</w:t>
      </w:r>
    </w:p>
    <w:p w:rsidR="00D73127" w:rsidRPr="00742AB9" w:rsidRDefault="00D73127" w:rsidP="00BA0E14">
      <w:pPr>
        <w:pStyle w:val="ONUME"/>
      </w:pPr>
      <w:r w:rsidRPr="00742AB9">
        <w:t>As to the operational translation cost</w:t>
      </w:r>
      <w:r w:rsidR="006D6A5F" w:rsidRPr="00742AB9">
        <w:t>s</w:t>
      </w:r>
      <w:r w:rsidR="00AE5FA0" w:rsidRPr="00742AB9">
        <w:t xml:space="preserve"> </w:t>
      </w:r>
      <w:r w:rsidR="00F849DD" w:rsidRPr="00742AB9">
        <w:t>option</w:t>
      </w:r>
      <w:r w:rsidR="005B771C" w:rsidRPr="00742AB9">
        <w:t>s “A”</w:t>
      </w:r>
      <w:r w:rsidR="00E83EFD" w:rsidRPr="00742AB9">
        <w:t xml:space="preserve"> to</w:t>
      </w:r>
      <w:r w:rsidR="00F849DD" w:rsidRPr="00742AB9">
        <w:t xml:space="preserve"> “C”</w:t>
      </w:r>
      <w:r w:rsidRPr="00742AB9">
        <w:t xml:space="preserve"> are basically the same.  Opting for </w:t>
      </w:r>
      <w:r w:rsidR="00F849DD" w:rsidRPr="00742AB9">
        <w:t>option “D”</w:t>
      </w:r>
      <w:r w:rsidR="00125A87" w:rsidRPr="00742AB9">
        <w:t xml:space="preserve"> </w:t>
      </w:r>
      <w:r w:rsidR="00EB1ABB" w:rsidRPr="00742AB9">
        <w:t>or</w:t>
      </w:r>
      <w:r w:rsidR="00F849DD" w:rsidRPr="00742AB9">
        <w:t xml:space="preserve"> “E” </w:t>
      </w:r>
      <w:r w:rsidRPr="00742AB9">
        <w:t>would increase these costs, because the International Bureau would also need to translate</w:t>
      </w:r>
      <w:r w:rsidR="00EA3FF4" w:rsidRPr="00742AB9">
        <w:t xml:space="preserve"> the</w:t>
      </w:r>
      <w:r w:rsidRPr="00742AB9">
        <w:t xml:space="preserve"> relevant elements in the international application into the new languages under these options.</w:t>
      </w:r>
    </w:p>
    <w:p w:rsidR="00BA0E14" w:rsidRPr="00742AB9" w:rsidRDefault="00BA0E14" w:rsidP="00BA0E14">
      <w:pPr>
        <w:pStyle w:val="Heading2"/>
        <w:spacing w:before="0"/>
      </w:pPr>
      <w:r w:rsidRPr="00742AB9">
        <w:t>Filing Language</w:t>
      </w:r>
      <w:proofErr w:type="gramStart"/>
      <w:r w:rsidRPr="00742AB9">
        <w:t xml:space="preserve">; </w:t>
      </w:r>
      <w:r w:rsidR="008E2CF3" w:rsidRPr="00742AB9">
        <w:t xml:space="preserve"> </w:t>
      </w:r>
      <w:r w:rsidR="00EE39E4" w:rsidRPr="00742AB9">
        <w:t>Filing</w:t>
      </w:r>
      <w:proofErr w:type="gramEnd"/>
      <w:r w:rsidR="00EE39E4" w:rsidRPr="00742AB9">
        <w:t xml:space="preserve"> and communication Language;</w:t>
      </w:r>
      <w:r w:rsidR="005B771C" w:rsidRPr="00742AB9">
        <w:t xml:space="preserve">  </w:t>
      </w:r>
      <w:r w:rsidRPr="00742AB9">
        <w:t>AND</w:t>
      </w:r>
      <w:r w:rsidR="00415C36" w:rsidRPr="00742AB9">
        <w:t xml:space="preserve"> </w:t>
      </w:r>
      <w:r w:rsidRPr="00742AB9">
        <w:t>PUBLICATION LANGUAGE</w:t>
      </w:r>
      <w:r w:rsidR="00F849DD" w:rsidRPr="00742AB9">
        <w:t xml:space="preserve"> (</w:t>
      </w:r>
      <w:r w:rsidR="005B771C" w:rsidRPr="00742AB9">
        <w:t>Options “a”</w:t>
      </w:r>
      <w:r w:rsidR="00953968" w:rsidRPr="00742AB9">
        <w:t xml:space="preserve"> to</w:t>
      </w:r>
      <w:r w:rsidR="005B771C" w:rsidRPr="00742AB9">
        <w:t xml:space="preserve"> “</w:t>
      </w:r>
      <w:r w:rsidR="00F849DD" w:rsidRPr="00742AB9">
        <w:t>C</w:t>
      </w:r>
      <w:r w:rsidR="005B771C" w:rsidRPr="00742AB9">
        <w:t>”</w:t>
      </w:r>
      <w:r w:rsidR="00F849DD" w:rsidRPr="00742AB9">
        <w:t>)</w:t>
      </w:r>
    </w:p>
    <w:p w:rsidR="00F677DE" w:rsidRPr="00742AB9" w:rsidRDefault="00742AB9" w:rsidP="00742AB9">
      <w:pPr>
        <w:pStyle w:val="ONUME"/>
        <w:numPr>
          <w:ilvl w:val="0"/>
          <w:numId w:val="0"/>
        </w:numPr>
        <w:spacing w:after="2280"/>
      </w:pPr>
      <w:r>
        <w:t>30.</w:t>
      </w:r>
      <w:r>
        <w:tab/>
      </w:r>
      <w:r w:rsidR="00BA0E14" w:rsidRPr="00742AB9">
        <w:t xml:space="preserve">Under these </w:t>
      </w:r>
      <w:r w:rsidR="007112FC" w:rsidRPr="00742AB9">
        <w:t>t</w:t>
      </w:r>
      <w:r w:rsidR="00EE39E4" w:rsidRPr="00742AB9">
        <w:t>hree</w:t>
      </w:r>
      <w:r w:rsidR="007112FC" w:rsidRPr="00742AB9">
        <w:t xml:space="preserve"> </w:t>
      </w:r>
      <w:r w:rsidR="00BA0E14" w:rsidRPr="00742AB9">
        <w:t>options, applicants would be able to file i</w:t>
      </w:r>
      <w:r w:rsidR="00B237ED" w:rsidRPr="00742AB9">
        <w:t>nternational applications in the</w:t>
      </w:r>
      <w:r w:rsidR="00BA0E14" w:rsidRPr="00742AB9">
        <w:t xml:space="preserve"> new language.</w:t>
      </w:r>
      <w:r w:rsidR="007112FC" w:rsidRPr="00742AB9">
        <w:t xml:space="preserve">  </w:t>
      </w:r>
      <w:r w:rsidR="002C59F0" w:rsidRPr="00742AB9">
        <w:t>The International Bureau would</w:t>
      </w:r>
      <w:r w:rsidR="000008C3" w:rsidRPr="00742AB9">
        <w:t xml:space="preserve"> translate</w:t>
      </w:r>
      <w:r w:rsidR="00EA3FF4" w:rsidRPr="00742AB9">
        <w:t xml:space="preserve"> the</w:t>
      </w:r>
      <w:r w:rsidR="000008C3" w:rsidRPr="00742AB9">
        <w:t xml:space="preserve"> relevant elements</w:t>
      </w:r>
      <w:r w:rsidR="0000297F" w:rsidRPr="00742AB9">
        <w:t xml:space="preserve"> in the international application into English.</w:t>
      </w:r>
    </w:p>
    <w:p w:rsidR="00497FD3" w:rsidRPr="00742AB9" w:rsidRDefault="0000297F" w:rsidP="00742AB9">
      <w:pPr>
        <w:pStyle w:val="ONUME"/>
        <w:numPr>
          <w:ilvl w:val="0"/>
          <w:numId w:val="31"/>
        </w:numPr>
      </w:pPr>
      <w:r w:rsidRPr="00742AB9">
        <w:lastRenderedPageBreak/>
        <w:t xml:space="preserve">The cost of outsourcing </w:t>
      </w:r>
      <w:r w:rsidR="00B237ED" w:rsidRPr="00742AB9">
        <w:t>the translation</w:t>
      </w:r>
      <w:r w:rsidRPr="00742AB9">
        <w:t xml:space="preserve"> and the resources required for controlling the quality of the translation work would be the same as under these </w:t>
      </w:r>
      <w:r w:rsidR="00CE7ABB" w:rsidRPr="00742AB9">
        <w:t>three</w:t>
      </w:r>
      <w:r w:rsidRPr="00742AB9">
        <w:t xml:space="preserve"> options.</w:t>
      </w:r>
    </w:p>
    <w:tbl>
      <w:tblPr>
        <w:tblW w:w="4813" w:type="pct"/>
        <w:jc w:val="center"/>
        <w:tblLook w:val="04A0" w:firstRow="1" w:lastRow="0" w:firstColumn="1" w:lastColumn="0" w:noHBand="0" w:noVBand="1"/>
      </w:tblPr>
      <w:tblGrid>
        <w:gridCol w:w="754"/>
        <w:gridCol w:w="1380"/>
        <w:gridCol w:w="1374"/>
        <w:gridCol w:w="1562"/>
        <w:gridCol w:w="2101"/>
        <w:gridCol w:w="1824"/>
      </w:tblGrid>
      <w:tr w:rsidR="00D449F3" w:rsidRPr="00742AB9" w:rsidTr="0047019B">
        <w:trPr>
          <w:trHeight w:val="368"/>
          <w:jc w:val="center"/>
        </w:trPr>
        <w:tc>
          <w:tcPr>
            <w:tcW w:w="419" w:type="pct"/>
            <w:vMerge w:val="restart"/>
            <w:tcBorders>
              <w:top w:val="single" w:sz="4" w:space="0" w:color="auto"/>
              <w:left w:val="single" w:sz="4" w:space="0" w:color="auto"/>
              <w:right w:val="single" w:sz="4" w:space="0" w:color="auto"/>
            </w:tcBorders>
            <w:shd w:val="clear" w:color="000000" w:fill="FFFFFF"/>
            <w:vAlign w:val="center"/>
            <w:hideMark/>
          </w:tcPr>
          <w:p w:rsidR="00D449F3" w:rsidRPr="00742AB9" w:rsidRDefault="00D449F3" w:rsidP="003926E8">
            <w:pPr>
              <w:jc w:val="center"/>
              <w:rPr>
                <w:color w:val="000000"/>
                <w:sz w:val="20"/>
              </w:rPr>
            </w:pPr>
            <w:r w:rsidRPr="00742AB9">
              <w:rPr>
                <w:color w:val="000000"/>
                <w:sz w:val="20"/>
              </w:rPr>
              <w:t>Year</w:t>
            </w:r>
          </w:p>
        </w:tc>
        <w:tc>
          <w:tcPr>
            <w:tcW w:w="2399" w:type="pct"/>
            <w:gridSpan w:val="3"/>
            <w:tcBorders>
              <w:top w:val="single" w:sz="4" w:space="0" w:color="auto"/>
              <w:left w:val="nil"/>
              <w:bottom w:val="single" w:sz="4" w:space="0" w:color="auto"/>
              <w:right w:val="single" w:sz="4" w:space="0" w:color="auto"/>
            </w:tcBorders>
            <w:shd w:val="clear" w:color="000000" w:fill="FFFFFF"/>
            <w:vAlign w:val="center"/>
            <w:hideMark/>
          </w:tcPr>
          <w:p w:rsidR="00D449F3" w:rsidRPr="00742AB9" w:rsidRDefault="00D449F3" w:rsidP="003926E8">
            <w:pPr>
              <w:jc w:val="center"/>
              <w:rPr>
                <w:color w:val="000000"/>
                <w:sz w:val="20"/>
              </w:rPr>
            </w:pPr>
            <w:r w:rsidRPr="00742AB9">
              <w:rPr>
                <w:color w:val="000000"/>
                <w:sz w:val="20"/>
              </w:rPr>
              <w:t>Out</w:t>
            </w:r>
            <w:r w:rsidR="00221B92">
              <w:rPr>
                <w:color w:val="000000"/>
                <w:sz w:val="20"/>
              </w:rPr>
              <w:t>sourced Translation (Swiss francs</w:t>
            </w:r>
            <w:r w:rsidRPr="00742AB9">
              <w:rPr>
                <w:color w:val="000000"/>
                <w:sz w:val="20"/>
              </w:rPr>
              <w:t>)</w:t>
            </w:r>
          </w:p>
        </w:tc>
        <w:tc>
          <w:tcPr>
            <w:tcW w:w="2182" w:type="pct"/>
            <w:gridSpan w:val="2"/>
            <w:tcBorders>
              <w:top w:val="single" w:sz="4" w:space="0" w:color="auto"/>
              <w:left w:val="nil"/>
              <w:bottom w:val="single" w:sz="4" w:space="0" w:color="auto"/>
              <w:right w:val="single" w:sz="4" w:space="0" w:color="auto"/>
            </w:tcBorders>
            <w:shd w:val="clear" w:color="000000" w:fill="FFFFFF"/>
            <w:vAlign w:val="center"/>
            <w:hideMark/>
          </w:tcPr>
          <w:p w:rsidR="00D449F3" w:rsidRPr="00742AB9" w:rsidRDefault="00D449F3" w:rsidP="003926E8">
            <w:pPr>
              <w:jc w:val="center"/>
              <w:rPr>
                <w:color w:val="000000"/>
                <w:sz w:val="20"/>
              </w:rPr>
            </w:pPr>
            <w:r w:rsidRPr="00742AB9">
              <w:rPr>
                <w:color w:val="000000"/>
                <w:sz w:val="20"/>
              </w:rPr>
              <w:t>Translation Quality Control (Work Days)</w:t>
            </w:r>
            <w:r w:rsidRPr="00742AB9">
              <w:rPr>
                <w:rStyle w:val="FootnoteReference"/>
                <w:color w:val="000000"/>
                <w:sz w:val="20"/>
              </w:rPr>
              <w:footnoteReference w:id="15"/>
            </w:r>
          </w:p>
        </w:tc>
      </w:tr>
      <w:tr w:rsidR="00D449F3" w:rsidRPr="00742AB9" w:rsidTr="00D33D61">
        <w:trPr>
          <w:trHeight w:val="251"/>
          <w:jc w:val="center"/>
        </w:trPr>
        <w:tc>
          <w:tcPr>
            <w:tcW w:w="419" w:type="pct"/>
            <w:vMerge/>
            <w:tcBorders>
              <w:left w:val="single"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 w:val="20"/>
              </w:rPr>
            </w:pPr>
          </w:p>
        </w:tc>
        <w:tc>
          <w:tcPr>
            <w:tcW w:w="767" w:type="pct"/>
            <w:tcBorders>
              <w:top w:val="single" w:sz="4" w:space="0" w:color="auto"/>
              <w:left w:val="nil"/>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Chinese</w:t>
            </w:r>
            <w:r w:rsidRPr="00742AB9">
              <w:rPr>
                <w:rStyle w:val="FootnoteReference"/>
                <w:color w:val="000000"/>
                <w:sz w:val="20"/>
              </w:rPr>
              <w:footnoteReference w:id="16"/>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Russian</w:t>
            </w:r>
            <w:r w:rsidRPr="00742AB9">
              <w:rPr>
                <w:rStyle w:val="FootnoteReference"/>
                <w:color w:val="000000"/>
                <w:sz w:val="20"/>
              </w:rPr>
              <w:footnoteReference w:id="17"/>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Total</w:t>
            </w:r>
          </w:p>
        </w:tc>
        <w:tc>
          <w:tcPr>
            <w:tcW w:w="1168" w:type="pct"/>
            <w:tcBorders>
              <w:top w:val="single" w:sz="4" w:space="0" w:color="auto"/>
              <w:left w:val="nil"/>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Chinese</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Russian</w:t>
            </w:r>
          </w:p>
        </w:tc>
      </w:tr>
      <w:tr w:rsidR="0047019B" w:rsidRPr="00742AB9" w:rsidTr="00D33D61">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47019B" w:rsidRPr="00742AB9" w:rsidRDefault="0047019B" w:rsidP="0047019B">
            <w:pPr>
              <w:jc w:val="center"/>
              <w:rPr>
                <w:color w:val="000000"/>
                <w:szCs w:val="22"/>
              </w:rPr>
            </w:pPr>
            <w:r w:rsidRPr="00742AB9">
              <w:rPr>
                <w:color w:val="000000"/>
                <w:szCs w:val="22"/>
              </w:rPr>
              <w:t>2021</w:t>
            </w:r>
          </w:p>
        </w:tc>
        <w:tc>
          <w:tcPr>
            <w:tcW w:w="767" w:type="pct"/>
            <w:tcBorders>
              <w:top w:val="nil"/>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4,917</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1,263</w:t>
            </w:r>
          </w:p>
        </w:tc>
        <w:tc>
          <w:tcPr>
            <w:tcW w:w="868" w:type="pct"/>
            <w:tcBorders>
              <w:top w:val="nil"/>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6,181</w:t>
            </w:r>
          </w:p>
        </w:tc>
        <w:tc>
          <w:tcPr>
            <w:tcW w:w="1168" w:type="pct"/>
            <w:tcBorders>
              <w:top w:val="nil"/>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0.62</w:t>
            </w:r>
          </w:p>
        </w:tc>
        <w:tc>
          <w:tcPr>
            <w:tcW w:w="1014" w:type="pct"/>
            <w:tcBorders>
              <w:top w:val="nil"/>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0.10</w:t>
            </w:r>
          </w:p>
        </w:tc>
      </w:tr>
      <w:tr w:rsidR="0047019B" w:rsidRPr="00742AB9" w:rsidTr="00D33D61">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47019B" w:rsidRPr="00742AB9" w:rsidRDefault="0047019B" w:rsidP="0047019B">
            <w:pPr>
              <w:jc w:val="center"/>
              <w:rPr>
                <w:color w:val="000000"/>
                <w:szCs w:val="22"/>
              </w:rPr>
            </w:pPr>
            <w:r w:rsidRPr="00742AB9">
              <w:rPr>
                <w:color w:val="000000"/>
                <w:szCs w:val="22"/>
              </w:rPr>
              <w:t>2022</w:t>
            </w:r>
          </w:p>
        </w:tc>
        <w:tc>
          <w:tcPr>
            <w:tcW w:w="767" w:type="pct"/>
            <w:tcBorders>
              <w:top w:val="nil"/>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6,326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1,427</w:t>
            </w:r>
          </w:p>
        </w:tc>
        <w:tc>
          <w:tcPr>
            <w:tcW w:w="868" w:type="pct"/>
            <w:tcBorders>
              <w:top w:val="nil"/>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7,753</w:t>
            </w:r>
          </w:p>
        </w:tc>
        <w:tc>
          <w:tcPr>
            <w:tcW w:w="1168" w:type="pct"/>
            <w:tcBorders>
              <w:top w:val="nil"/>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0.82</w:t>
            </w:r>
          </w:p>
        </w:tc>
        <w:tc>
          <w:tcPr>
            <w:tcW w:w="1014" w:type="pct"/>
            <w:tcBorders>
              <w:top w:val="nil"/>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0.12</w:t>
            </w:r>
          </w:p>
        </w:tc>
      </w:tr>
      <w:tr w:rsidR="0047019B" w:rsidRPr="00742AB9" w:rsidTr="00D33D61">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47019B" w:rsidRPr="00742AB9" w:rsidRDefault="0047019B" w:rsidP="0047019B">
            <w:pPr>
              <w:jc w:val="center"/>
              <w:rPr>
                <w:color w:val="000000"/>
                <w:szCs w:val="22"/>
              </w:rPr>
            </w:pPr>
            <w:r w:rsidRPr="00742AB9">
              <w:rPr>
                <w:color w:val="000000"/>
                <w:szCs w:val="22"/>
              </w:rPr>
              <w:t>2023</w:t>
            </w:r>
          </w:p>
        </w:tc>
        <w:tc>
          <w:tcPr>
            <w:tcW w:w="767" w:type="pct"/>
            <w:tcBorders>
              <w:top w:val="nil"/>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7,881</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1,580</w:t>
            </w:r>
          </w:p>
        </w:tc>
        <w:tc>
          <w:tcPr>
            <w:tcW w:w="868" w:type="pct"/>
            <w:tcBorders>
              <w:top w:val="nil"/>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9,461</w:t>
            </w:r>
          </w:p>
        </w:tc>
        <w:tc>
          <w:tcPr>
            <w:tcW w:w="1168" w:type="pct"/>
            <w:tcBorders>
              <w:top w:val="nil"/>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1.05</w:t>
            </w:r>
          </w:p>
        </w:tc>
        <w:tc>
          <w:tcPr>
            <w:tcW w:w="1014" w:type="pct"/>
            <w:tcBorders>
              <w:top w:val="nil"/>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0.13</w:t>
            </w:r>
          </w:p>
        </w:tc>
      </w:tr>
      <w:tr w:rsidR="0047019B" w:rsidRPr="00742AB9" w:rsidTr="00D33D61">
        <w:trPr>
          <w:trHeight w:val="600"/>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19B" w:rsidRPr="00742AB9" w:rsidRDefault="0047019B" w:rsidP="0047019B">
            <w:pPr>
              <w:jc w:val="center"/>
              <w:rPr>
                <w:color w:val="000000"/>
                <w:szCs w:val="22"/>
              </w:rPr>
            </w:pPr>
            <w:r w:rsidRPr="00742AB9">
              <w:rPr>
                <w:color w:val="000000"/>
                <w:szCs w:val="22"/>
              </w:rPr>
              <w:t>2024</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9,563</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1,724</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11,287</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1.30</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0.15</w:t>
            </w:r>
          </w:p>
        </w:tc>
      </w:tr>
      <w:tr w:rsidR="0047019B" w:rsidRPr="00742AB9" w:rsidTr="00D33D61">
        <w:trPr>
          <w:trHeight w:val="600"/>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19B" w:rsidRPr="00742AB9" w:rsidRDefault="0047019B" w:rsidP="0047019B">
            <w:pPr>
              <w:jc w:val="center"/>
              <w:rPr>
                <w:color w:val="000000"/>
                <w:szCs w:val="22"/>
              </w:rPr>
            </w:pPr>
            <w:r w:rsidRPr="00742AB9">
              <w:rPr>
                <w:color w:val="000000"/>
                <w:szCs w:val="22"/>
              </w:rPr>
              <w:t>2025</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11,356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1,857</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13,213</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rsidR="0047019B" w:rsidRPr="00742AB9" w:rsidRDefault="0047019B" w:rsidP="0047019B">
            <w:pPr>
              <w:jc w:val="center"/>
              <w:rPr>
                <w:color w:val="000000"/>
                <w:szCs w:val="22"/>
              </w:rPr>
            </w:pPr>
            <w:r w:rsidRPr="00742AB9">
              <w:rPr>
                <w:bCs/>
                <w:szCs w:val="22"/>
              </w:rPr>
              <w:t>1.59</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rsidR="0047019B" w:rsidRPr="00742AB9" w:rsidRDefault="0047019B" w:rsidP="0047019B">
            <w:pPr>
              <w:jc w:val="center"/>
              <w:rPr>
                <w:color w:val="000000"/>
                <w:szCs w:val="22"/>
              </w:rPr>
            </w:pPr>
            <w:r w:rsidRPr="00742AB9">
              <w:rPr>
                <w:bCs/>
                <w:szCs w:val="22"/>
              </w:rPr>
              <w:t>0.16</w:t>
            </w:r>
          </w:p>
        </w:tc>
      </w:tr>
    </w:tbl>
    <w:p w:rsidR="00BA0E14" w:rsidRPr="00742AB9" w:rsidRDefault="00BA0E14" w:rsidP="00221B92">
      <w:pPr>
        <w:pStyle w:val="Heading2"/>
        <w:spacing w:before="240"/>
      </w:pPr>
      <w:r w:rsidRPr="00742AB9">
        <w:t>PUBLICATION AND OFFICE COMMUNICATION Language</w:t>
      </w:r>
      <w:r w:rsidR="00F849DD" w:rsidRPr="00742AB9">
        <w:t xml:space="preserve"> (</w:t>
      </w:r>
      <w:r w:rsidR="005B771C" w:rsidRPr="00742AB9">
        <w:t>option “</w:t>
      </w:r>
      <w:r w:rsidR="00F849DD" w:rsidRPr="00742AB9">
        <w:t>D</w:t>
      </w:r>
      <w:r w:rsidR="005B771C" w:rsidRPr="00742AB9">
        <w:t>”</w:t>
      </w:r>
      <w:r w:rsidR="00F849DD" w:rsidRPr="00742AB9">
        <w:t>)</w:t>
      </w:r>
    </w:p>
    <w:p w:rsidR="0003519F" w:rsidRPr="00742AB9" w:rsidRDefault="0003519F" w:rsidP="0003519F">
      <w:pPr>
        <w:pStyle w:val="ONUME"/>
      </w:pPr>
      <w:r w:rsidRPr="00742AB9">
        <w:t>In addition to the translation work required under</w:t>
      </w:r>
      <w:r w:rsidR="000008C3" w:rsidRPr="00742AB9">
        <w:t xml:space="preserve"> the previous options</w:t>
      </w:r>
      <w:r w:rsidR="00683187" w:rsidRPr="00742AB9">
        <w:t xml:space="preserve">, the International Bureau would </w:t>
      </w:r>
      <w:r w:rsidRPr="00742AB9">
        <w:t xml:space="preserve">also </w:t>
      </w:r>
      <w:r w:rsidR="00683187" w:rsidRPr="00742AB9">
        <w:t>translate</w:t>
      </w:r>
      <w:r w:rsidR="000008C3" w:rsidRPr="00742AB9">
        <w:t xml:space="preserve"> relevant elements</w:t>
      </w:r>
      <w:r w:rsidR="00683187" w:rsidRPr="00742AB9">
        <w:t xml:space="preserve"> into </w:t>
      </w:r>
      <w:r w:rsidR="00B24CBF" w:rsidRPr="00742AB9">
        <w:t>another</w:t>
      </w:r>
      <w:r w:rsidR="00683187" w:rsidRPr="00742AB9">
        <w:t xml:space="preserve"> new language if the inte</w:t>
      </w:r>
      <w:r w:rsidR="00B237ED" w:rsidRPr="00742AB9">
        <w:t>rnational application designated</w:t>
      </w:r>
      <w:r w:rsidR="00683187" w:rsidRPr="00742AB9">
        <w:t xml:space="preserve"> a Contracting Party having selected that language for communication.</w:t>
      </w:r>
    </w:p>
    <w:p w:rsidR="00BA0E14" w:rsidRPr="00742AB9" w:rsidRDefault="0003519F" w:rsidP="0003519F">
      <w:pPr>
        <w:pStyle w:val="ONUME"/>
      </w:pPr>
      <w:r w:rsidRPr="00742AB9">
        <w:t>Accordingly, the cost estimate</w:t>
      </w:r>
      <w:r w:rsidR="00683187" w:rsidRPr="00742AB9">
        <w:t xml:space="preserve"> </w:t>
      </w:r>
      <w:r w:rsidR="00B237ED" w:rsidRPr="00742AB9">
        <w:t xml:space="preserve">also </w:t>
      </w:r>
      <w:r w:rsidR="00683187" w:rsidRPr="00742AB9">
        <w:t>take</w:t>
      </w:r>
      <w:r w:rsidRPr="00742AB9">
        <w:t>s</w:t>
      </w:r>
      <w:r w:rsidR="000008C3" w:rsidRPr="00742AB9">
        <w:t xml:space="preserve"> into account the forecasted</w:t>
      </w:r>
      <w:r w:rsidR="00683187" w:rsidRPr="00742AB9">
        <w:t xml:space="preserve"> number of international applications filed in English, French or Spanish and which designate </w:t>
      </w:r>
      <w:r w:rsidRPr="00742AB9">
        <w:t>prospective Contracting Parties</w:t>
      </w:r>
      <w:r w:rsidRPr="00742AB9">
        <w:rPr>
          <w:rStyle w:val="FootnoteReference"/>
        </w:rPr>
        <w:footnoteReference w:id="18"/>
      </w:r>
      <w:r w:rsidRPr="00742AB9">
        <w:t>.</w:t>
      </w:r>
    </w:p>
    <w:tbl>
      <w:tblPr>
        <w:tblW w:w="4861" w:type="pct"/>
        <w:jc w:val="center"/>
        <w:tblLayout w:type="fixed"/>
        <w:tblLook w:val="04A0" w:firstRow="1" w:lastRow="0" w:firstColumn="1" w:lastColumn="0" w:noHBand="0" w:noVBand="1"/>
      </w:tblPr>
      <w:tblGrid>
        <w:gridCol w:w="738"/>
        <w:gridCol w:w="1517"/>
        <w:gridCol w:w="1441"/>
        <w:gridCol w:w="1259"/>
        <w:gridCol w:w="2162"/>
        <w:gridCol w:w="1968"/>
      </w:tblGrid>
      <w:tr w:rsidR="00D449F3" w:rsidRPr="00742AB9" w:rsidTr="00287074">
        <w:trPr>
          <w:trHeight w:val="323"/>
          <w:jc w:val="center"/>
        </w:trPr>
        <w:tc>
          <w:tcPr>
            <w:tcW w:w="406" w:type="pct"/>
            <w:vMerge w:val="restart"/>
            <w:tcBorders>
              <w:top w:val="single" w:sz="4" w:space="0" w:color="auto"/>
              <w:left w:val="single" w:sz="4" w:space="0" w:color="auto"/>
              <w:right w:val="single" w:sz="4" w:space="0" w:color="auto"/>
            </w:tcBorders>
            <w:shd w:val="clear" w:color="000000" w:fill="FFFFFF"/>
            <w:vAlign w:val="center"/>
            <w:hideMark/>
          </w:tcPr>
          <w:p w:rsidR="00D449F3" w:rsidRPr="00742AB9" w:rsidRDefault="00D449F3" w:rsidP="003926E8">
            <w:pPr>
              <w:jc w:val="center"/>
              <w:rPr>
                <w:color w:val="000000"/>
                <w:szCs w:val="22"/>
              </w:rPr>
            </w:pPr>
            <w:r w:rsidRPr="00742AB9">
              <w:rPr>
                <w:color w:val="000000"/>
                <w:szCs w:val="22"/>
              </w:rPr>
              <w:t>Year</w:t>
            </w:r>
          </w:p>
        </w:tc>
        <w:tc>
          <w:tcPr>
            <w:tcW w:w="2321" w:type="pct"/>
            <w:gridSpan w:val="3"/>
            <w:tcBorders>
              <w:top w:val="single" w:sz="4" w:space="0" w:color="auto"/>
              <w:left w:val="nil"/>
              <w:bottom w:val="single" w:sz="4" w:space="0" w:color="auto"/>
              <w:right w:val="single" w:sz="4" w:space="0" w:color="auto"/>
            </w:tcBorders>
            <w:shd w:val="clear" w:color="000000" w:fill="FFFFFF"/>
            <w:vAlign w:val="center"/>
            <w:hideMark/>
          </w:tcPr>
          <w:p w:rsidR="00D449F3" w:rsidRPr="00742AB9" w:rsidRDefault="00221B92" w:rsidP="003926E8">
            <w:pPr>
              <w:jc w:val="center"/>
              <w:rPr>
                <w:color w:val="000000"/>
                <w:sz w:val="20"/>
              </w:rPr>
            </w:pPr>
            <w:r>
              <w:rPr>
                <w:color w:val="000000"/>
                <w:sz w:val="20"/>
              </w:rPr>
              <w:t>Outsourced Translation (Swiss francs</w:t>
            </w:r>
            <w:r w:rsidR="00D449F3" w:rsidRPr="00742AB9">
              <w:rPr>
                <w:color w:val="000000"/>
                <w:sz w:val="20"/>
              </w:rPr>
              <w:t>)</w:t>
            </w:r>
          </w:p>
        </w:tc>
        <w:tc>
          <w:tcPr>
            <w:tcW w:w="2273" w:type="pct"/>
            <w:gridSpan w:val="2"/>
            <w:tcBorders>
              <w:top w:val="single" w:sz="4" w:space="0" w:color="auto"/>
              <w:left w:val="nil"/>
              <w:bottom w:val="single" w:sz="4" w:space="0" w:color="auto"/>
              <w:right w:val="single" w:sz="4" w:space="0" w:color="auto"/>
            </w:tcBorders>
            <w:shd w:val="clear" w:color="000000" w:fill="FFFFFF"/>
            <w:vAlign w:val="center"/>
            <w:hideMark/>
          </w:tcPr>
          <w:p w:rsidR="00D449F3" w:rsidRPr="00742AB9" w:rsidRDefault="00D449F3" w:rsidP="003926E8">
            <w:pPr>
              <w:jc w:val="center"/>
              <w:rPr>
                <w:color w:val="000000"/>
                <w:sz w:val="20"/>
              </w:rPr>
            </w:pPr>
            <w:r w:rsidRPr="00742AB9">
              <w:rPr>
                <w:color w:val="000000"/>
                <w:sz w:val="20"/>
              </w:rPr>
              <w:t>Translation Quality Control (Work Days)</w:t>
            </w:r>
          </w:p>
        </w:tc>
      </w:tr>
      <w:tr w:rsidR="00D449F3" w:rsidRPr="00742AB9" w:rsidTr="000A7826">
        <w:trPr>
          <w:trHeight w:val="251"/>
          <w:jc w:val="center"/>
        </w:trPr>
        <w:tc>
          <w:tcPr>
            <w:tcW w:w="406" w:type="pct"/>
            <w:vMerge/>
            <w:tcBorders>
              <w:left w:val="single"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Cs w:val="22"/>
              </w:rPr>
            </w:pPr>
          </w:p>
        </w:tc>
        <w:tc>
          <w:tcPr>
            <w:tcW w:w="835" w:type="pct"/>
            <w:tcBorders>
              <w:top w:val="single" w:sz="4" w:space="0" w:color="auto"/>
              <w:left w:val="nil"/>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Chinese</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Russian</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Total</w:t>
            </w:r>
          </w:p>
        </w:tc>
        <w:tc>
          <w:tcPr>
            <w:tcW w:w="1190" w:type="pct"/>
            <w:tcBorders>
              <w:top w:val="single" w:sz="4" w:space="0" w:color="auto"/>
              <w:left w:val="nil"/>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Chinese</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Russian</w:t>
            </w:r>
          </w:p>
        </w:tc>
      </w:tr>
      <w:tr w:rsidR="00287074" w:rsidRPr="00742AB9" w:rsidTr="000A7826">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rsidR="00287074" w:rsidRPr="00742AB9" w:rsidRDefault="00287074" w:rsidP="00287074">
            <w:pPr>
              <w:jc w:val="center"/>
              <w:rPr>
                <w:color w:val="000000"/>
                <w:szCs w:val="22"/>
              </w:rPr>
            </w:pPr>
            <w:r w:rsidRPr="00742AB9">
              <w:rPr>
                <w:color w:val="000000"/>
                <w:szCs w:val="22"/>
              </w:rPr>
              <w:t>2021</w:t>
            </w:r>
          </w:p>
        </w:tc>
        <w:tc>
          <w:tcPr>
            <w:tcW w:w="835" w:type="pct"/>
            <w:tcBorders>
              <w:top w:val="nil"/>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color w:val="000000"/>
                <w:szCs w:val="22"/>
              </w:rPr>
            </w:pPr>
            <w:r w:rsidRPr="00742AB9">
              <w:rPr>
                <w:bCs/>
                <w:szCs w:val="22"/>
              </w:rPr>
              <w:t>16,428</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19,681</w:t>
            </w:r>
          </w:p>
        </w:tc>
        <w:tc>
          <w:tcPr>
            <w:tcW w:w="693" w:type="pct"/>
            <w:tcBorders>
              <w:top w:val="nil"/>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36,108</w:t>
            </w:r>
          </w:p>
        </w:tc>
        <w:tc>
          <w:tcPr>
            <w:tcW w:w="1190" w:type="pct"/>
            <w:tcBorders>
              <w:top w:val="nil"/>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color w:val="000000"/>
                <w:szCs w:val="22"/>
              </w:rPr>
            </w:pPr>
            <w:r w:rsidRPr="00742AB9">
              <w:rPr>
                <w:bCs/>
                <w:szCs w:val="22"/>
              </w:rPr>
              <w:t>2.07</w:t>
            </w:r>
          </w:p>
        </w:tc>
        <w:tc>
          <w:tcPr>
            <w:tcW w:w="1083" w:type="pct"/>
            <w:tcBorders>
              <w:top w:val="nil"/>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1.55</w:t>
            </w:r>
          </w:p>
        </w:tc>
      </w:tr>
      <w:tr w:rsidR="00287074" w:rsidRPr="00742AB9" w:rsidTr="000A7826">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rsidR="00287074" w:rsidRPr="00742AB9" w:rsidRDefault="00287074" w:rsidP="00287074">
            <w:pPr>
              <w:jc w:val="center"/>
              <w:rPr>
                <w:color w:val="000000"/>
                <w:szCs w:val="22"/>
              </w:rPr>
            </w:pPr>
            <w:r w:rsidRPr="00742AB9">
              <w:rPr>
                <w:color w:val="000000"/>
                <w:szCs w:val="22"/>
              </w:rPr>
              <w:t>2022</w:t>
            </w:r>
          </w:p>
        </w:tc>
        <w:tc>
          <w:tcPr>
            <w:tcW w:w="835" w:type="pct"/>
            <w:tcBorders>
              <w:top w:val="nil"/>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color w:val="000000"/>
                <w:szCs w:val="22"/>
              </w:rPr>
            </w:pPr>
            <w:r w:rsidRPr="00742AB9">
              <w:rPr>
                <w:bCs/>
                <w:szCs w:val="22"/>
              </w:rPr>
              <w:t>18,231</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20,919</w:t>
            </w:r>
          </w:p>
        </w:tc>
        <w:tc>
          <w:tcPr>
            <w:tcW w:w="693" w:type="pct"/>
            <w:tcBorders>
              <w:top w:val="nil"/>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39,150</w:t>
            </w:r>
          </w:p>
        </w:tc>
        <w:tc>
          <w:tcPr>
            <w:tcW w:w="1190" w:type="pct"/>
            <w:tcBorders>
              <w:top w:val="nil"/>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color w:val="000000"/>
                <w:szCs w:val="22"/>
              </w:rPr>
            </w:pPr>
            <w:r w:rsidRPr="00742AB9">
              <w:rPr>
                <w:bCs/>
                <w:szCs w:val="22"/>
              </w:rPr>
              <w:t>2.36</w:t>
            </w:r>
          </w:p>
        </w:tc>
        <w:tc>
          <w:tcPr>
            <w:tcW w:w="1083" w:type="pct"/>
            <w:tcBorders>
              <w:top w:val="nil"/>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1.69</w:t>
            </w:r>
          </w:p>
        </w:tc>
      </w:tr>
      <w:tr w:rsidR="00287074" w:rsidRPr="00742AB9" w:rsidTr="000A7826">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rsidR="00287074" w:rsidRPr="00742AB9" w:rsidRDefault="00287074" w:rsidP="00287074">
            <w:pPr>
              <w:jc w:val="center"/>
              <w:rPr>
                <w:color w:val="000000"/>
                <w:szCs w:val="22"/>
              </w:rPr>
            </w:pPr>
            <w:r w:rsidRPr="00742AB9">
              <w:rPr>
                <w:color w:val="000000"/>
                <w:szCs w:val="22"/>
              </w:rPr>
              <w:t>2023</w:t>
            </w:r>
          </w:p>
        </w:tc>
        <w:tc>
          <w:tcPr>
            <w:tcW w:w="835" w:type="pct"/>
            <w:tcBorders>
              <w:top w:val="nil"/>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color w:val="000000"/>
                <w:szCs w:val="22"/>
              </w:rPr>
            </w:pPr>
            <w:r w:rsidRPr="00742AB9">
              <w:rPr>
                <w:bCs/>
                <w:szCs w:val="22"/>
              </w:rPr>
              <w:t>20,144</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22,153</w:t>
            </w:r>
          </w:p>
        </w:tc>
        <w:tc>
          <w:tcPr>
            <w:tcW w:w="693" w:type="pct"/>
            <w:tcBorders>
              <w:top w:val="nil"/>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42,298</w:t>
            </w:r>
          </w:p>
        </w:tc>
        <w:tc>
          <w:tcPr>
            <w:tcW w:w="1190" w:type="pct"/>
            <w:tcBorders>
              <w:top w:val="nil"/>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color w:val="000000"/>
                <w:szCs w:val="22"/>
              </w:rPr>
            </w:pPr>
            <w:r w:rsidRPr="00742AB9">
              <w:rPr>
                <w:bCs/>
                <w:szCs w:val="22"/>
              </w:rPr>
              <w:t>2.67</w:t>
            </w:r>
          </w:p>
        </w:tc>
        <w:tc>
          <w:tcPr>
            <w:tcW w:w="1083" w:type="pct"/>
            <w:tcBorders>
              <w:top w:val="nil"/>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1.84</w:t>
            </w:r>
          </w:p>
        </w:tc>
      </w:tr>
      <w:tr w:rsidR="00287074" w:rsidRPr="00742AB9" w:rsidTr="000A7826">
        <w:trPr>
          <w:trHeight w:val="600"/>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7074" w:rsidRPr="00742AB9" w:rsidRDefault="00287074" w:rsidP="00287074">
            <w:pPr>
              <w:jc w:val="center"/>
              <w:rPr>
                <w:color w:val="000000"/>
                <w:szCs w:val="22"/>
              </w:rPr>
            </w:pPr>
            <w:r w:rsidRPr="00742AB9">
              <w:rPr>
                <w:color w:val="000000"/>
                <w:szCs w:val="22"/>
              </w:rPr>
              <w:t>2024</w:t>
            </w:r>
          </w:p>
        </w:tc>
        <w:tc>
          <w:tcPr>
            <w:tcW w:w="835" w:type="pct"/>
            <w:tcBorders>
              <w:top w:val="single" w:sz="4" w:space="0" w:color="auto"/>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color w:val="000000"/>
                <w:szCs w:val="22"/>
              </w:rPr>
            </w:pPr>
            <w:r w:rsidRPr="00742AB9">
              <w:rPr>
                <w:bCs/>
                <w:szCs w:val="22"/>
              </w:rPr>
              <w:t>22,151</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23,378</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45,529</w:t>
            </w:r>
          </w:p>
        </w:tc>
        <w:tc>
          <w:tcPr>
            <w:tcW w:w="1190" w:type="pct"/>
            <w:tcBorders>
              <w:top w:val="single" w:sz="4" w:space="0" w:color="auto"/>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color w:val="000000"/>
                <w:szCs w:val="22"/>
              </w:rPr>
            </w:pPr>
            <w:r w:rsidRPr="00742AB9">
              <w:rPr>
                <w:bCs/>
                <w:szCs w:val="22"/>
              </w:rPr>
              <w:t>3.02</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color w:val="000000"/>
                <w:szCs w:val="22"/>
              </w:rPr>
            </w:pPr>
            <w:r w:rsidRPr="00742AB9">
              <w:rPr>
                <w:bCs/>
                <w:szCs w:val="22"/>
              </w:rPr>
              <w:t>1.99</w:t>
            </w:r>
          </w:p>
        </w:tc>
      </w:tr>
      <w:tr w:rsidR="00287074" w:rsidRPr="00742AB9" w:rsidTr="000A7826">
        <w:trPr>
          <w:trHeight w:val="600"/>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87074" w:rsidRPr="00742AB9" w:rsidRDefault="00287074" w:rsidP="00287074">
            <w:pPr>
              <w:jc w:val="center"/>
              <w:rPr>
                <w:color w:val="000000"/>
                <w:szCs w:val="22"/>
              </w:rPr>
            </w:pPr>
            <w:r w:rsidRPr="00742AB9">
              <w:rPr>
                <w:color w:val="000000"/>
                <w:szCs w:val="22"/>
              </w:rPr>
              <w:t>2025</w:t>
            </w:r>
          </w:p>
        </w:tc>
        <w:tc>
          <w:tcPr>
            <w:tcW w:w="835" w:type="pct"/>
            <w:tcBorders>
              <w:top w:val="single" w:sz="4" w:space="0" w:color="auto"/>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bCs/>
                <w:szCs w:val="22"/>
              </w:rPr>
            </w:pPr>
            <w:r w:rsidRPr="00742AB9">
              <w:rPr>
                <w:bCs/>
                <w:szCs w:val="22"/>
              </w:rPr>
              <w:t>24,247</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rsidR="00287074" w:rsidRPr="00742AB9" w:rsidRDefault="00287074" w:rsidP="00287074">
            <w:pPr>
              <w:jc w:val="center"/>
              <w:rPr>
                <w:bCs/>
                <w:szCs w:val="22"/>
              </w:rPr>
            </w:pPr>
            <w:r w:rsidRPr="00742AB9">
              <w:rPr>
                <w:bCs/>
                <w:szCs w:val="22"/>
              </w:rPr>
              <w:t>24,608</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bCs/>
                <w:szCs w:val="22"/>
              </w:rPr>
            </w:pPr>
            <w:r w:rsidRPr="00742AB9">
              <w:rPr>
                <w:bCs/>
                <w:szCs w:val="22"/>
              </w:rPr>
              <w:t>48,856</w:t>
            </w:r>
          </w:p>
        </w:tc>
        <w:tc>
          <w:tcPr>
            <w:tcW w:w="1190" w:type="pct"/>
            <w:tcBorders>
              <w:top w:val="single" w:sz="4" w:space="0" w:color="auto"/>
              <w:left w:val="nil"/>
              <w:bottom w:val="single" w:sz="4" w:space="0" w:color="auto"/>
              <w:right w:val="dotted" w:sz="4" w:space="0" w:color="auto"/>
            </w:tcBorders>
            <w:shd w:val="clear" w:color="000000" w:fill="FFFFFF"/>
            <w:noWrap/>
            <w:vAlign w:val="center"/>
          </w:tcPr>
          <w:p w:rsidR="00287074" w:rsidRPr="00742AB9" w:rsidRDefault="00287074" w:rsidP="00287074">
            <w:pPr>
              <w:jc w:val="center"/>
              <w:rPr>
                <w:bCs/>
                <w:szCs w:val="22"/>
              </w:rPr>
            </w:pPr>
            <w:r w:rsidRPr="00742AB9">
              <w:rPr>
                <w:bCs/>
                <w:szCs w:val="22"/>
              </w:rPr>
              <w:t>3.40</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rsidR="00287074" w:rsidRPr="00742AB9" w:rsidRDefault="00287074" w:rsidP="00287074">
            <w:pPr>
              <w:jc w:val="center"/>
              <w:rPr>
                <w:bCs/>
                <w:szCs w:val="22"/>
              </w:rPr>
            </w:pPr>
            <w:r w:rsidRPr="00742AB9">
              <w:rPr>
                <w:bCs/>
                <w:szCs w:val="22"/>
              </w:rPr>
              <w:t>2.16</w:t>
            </w:r>
          </w:p>
        </w:tc>
      </w:tr>
    </w:tbl>
    <w:p w:rsidR="00BA0E14" w:rsidRPr="00742AB9" w:rsidRDefault="00BA0E14" w:rsidP="00221B92">
      <w:pPr>
        <w:pStyle w:val="Heading2"/>
      </w:pPr>
      <w:r w:rsidRPr="00742AB9">
        <w:lastRenderedPageBreak/>
        <w:t>Working Language</w:t>
      </w:r>
      <w:r w:rsidR="006142AA" w:rsidRPr="00742AB9">
        <w:t xml:space="preserve"> (</w:t>
      </w:r>
      <w:r w:rsidR="00A36AB3" w:rsidRPr="00742AB9">
        <w:t>option “</w:t>
      </w:r>
      <w:r w:rsidR="006142AA" w:rsidRPr="00742AB9">
        <w:t>E</w:t>
      </w:r>
      <w:r w:rsidR="00A36AB3" w:rsidRPr="00742AB9">
        <w:t>”</w:t>
      </w:r>
      <w:r w:rsidR="006142AA" w:rsidRPr="00742AB9">
        <w:t>)</w:t>
      </w:r>
    </w:p>
    <w:p w:rsidR="0003519F" w:rsidRPr="00742AB9" w:rsidRDefault="00BA0E14" w:rsidP="00BA0E14">
      <w:pPr>
        <w:pStyle w:val="ONUME"/>
      </w:pPr>
      <w:r w:rsidRPr="00742AB9">
        <w:t xml:space="preserve">Under this option, the </w:t>
      </w:r>
      <w:r w:rsidR="002C59F0" w:rsidRPr="00742AB9">
        <w:t xml:space="preserve">language </w:t>
      </w:r>
      <w:r w:rsidRPr="00742AB9">
        <w:t>regime currently envisaged in Rule 6 of the Common Regulations would also apply to the new language.</w:t>
      </w:r>
      <w:r w:rsidR="0003519F" w:rsidRPr="00742AB9">
        <w:t xml:space="preserve"> </w:t>
      </w:r>
      <w:r w:rsidRPr="00742AB9">
        <w:t xml:space="preserve"> In other words, in contrast </w:t>
      </w:r>
      <w:r w:rsidR="005B771C" w:rsidRPr="00742AB9">
        <w:t xml:space="preserve">with </w:t>
      </w:r>
      <w:r w:rsidRPr="00742AB9">
        <w:t>the previous options, the International</w:t>
      </w:r>
      <w:r w:rsidR="0003519F" w:rsidRPr="00742AB9">
        <w:t xml:space="preserve"> Bureau would</w:t>
      </w:r>
      <w:r w:rsidR="000008C3" w:rsidRPr="00742AB9">
        <w:t xml:space="preserve"> make the necessary translation for </w:t>
      </w:r>
      <w:r w:rsidRPr="00742AB9">
        <w:t>all internatio</w:t>
      </w:r>
      <w:r w:rsidR="000008C3" w:rsidRPr="00742AB9">
        <w:t>nal registrations</w:t>
      </w:r>
      <w:r w:rsidRPr="00742AB9">
        <w:t xml:space="preserve"> into any new language in addition to English, French and Spanish.</w:t>
      </w:r>
    </w:p>
    <w:p w:rsidR="00D449F3" w:rsidRPr="00742AB9" w:rsidRDefault="004D1215" w:rsidP="00BA0E14">
      <w:pPr>
        <w:pStyle w:val="ONUME"/>
      </w:pPr>
      <w:r w:rsidRPr="00742AB9">
        <w:t>The additional translation workload resulting from the introduction of a new working language would practically be the same for all languages.  Accordingly, the resources required to conduct quality control would be the same.  However, the cost</w:t>
      </w:r>
      <w:r w:rsidR="0093767F" w:rsidRPr="00742AB9">
        <w:t>s for</w:t>
      </w:r>
      <w:r w:rsidRPr="00742AB9">
        <w:t xml:space="preserve"> outsourced translation</w:t>
      </w:r>
      <w:r w:rsidR="0093767F" w:rsidRPr="00742AB9">
        <w:t>s</w:t>
      </w:r>
      <w:r w:rsidRPr="00742AB9">
        <w:t xml:space="preserve"> would be different due to the different rates of translation from and into those languages</w:t>
      </w:r>
      <w:r w:rsidR="000008C3" w:rsidRPr="00742AB9">
        <w:t>.</w:t>
      </w:r>
    </w:p>
    <w:tbl>
      <w:tblPr>
        <w:tblW w:w="4768" w:type="pct"/>
        <w:jc w:val="center"/>
        <w:tblLook w:val="04A0" w:firstRow="1" w:lastRow="0" w:firstColumn="1" w:lastColumn="0" w:noHBand="0" w:noVBand="1"/>
      </w:tblPr>
      <w:tblGrid>
        <w:gridCol w:w="769"/>
        <w:gridCol w:w="1517"/>
        <w:gridCol w:w="1511"/>
        <w:gridCol w:w="1183"/>
        <w:gridCol w:w="2058"/>
        <w:gridCol w:w="1873"/>
      </w:tblGrid>
      <w:tr w:rsidR="00D449F3" w:rsidRPr="00742AB9" w:rsidTr="008317E8">
        <w:trPr>
          <w:trHeight w:val="287"/>
          <w:jc w:val="center"/>
        </w:trPr>
        <w:tc>
          <w:tcPr>
            <w:tcW w:w="431" w:type="pct"/>
            <w:vMerge w:val="restart"/>
            <w:tcBorders>
              <w:top w:val="single" w:sz="4" w:space="0" w:color="auto"/>
              <w:left w:val="single" w:sz="4" w:space="0" w:color="auto"/>
              <w:right w:val="single" w:sz="4" w:space="0" w:color="auto"/>
            </w:tcBorders>
            <w:shd w:val="clear" w:color="000000" w:fill="FFFFFF"/>
            <w:vAlign w:val="center"/>
            <w:hideMark/>
          </w:tcPr>
          <w:p w:rsidR="00D449F3" w:rsidRPr="00742AB9" w:rsidRDefault="00D449F3" w:rsidP="003926E8">
            <w:pPr>
              <w:jc w:val="center"/>
              <w:rPr>
                <w:color w:val="000000"/>
                <w:szCs w:val="22"/>
              </w:rPr>
            </w:pPr>
            <w:r w:rsidRPr="00742AB9">
              <w:rPr>
                <w:color w:val="000000"/>
                <w:szCs w:val="22"/>
              </w:rPr>
              <w:t>Year</w:t>
            </w:r>
          </w:p>
        </w:tc>
        <w:tc>
          <w:tcPr>
            <w:tcW w:w="2362" w:type="pct"/>
            <w:gridSpan w:val="3"/>
            <w:tcBorders>
              <w:top w:val="single" w:sz="4" w:space="0" w:color="auto"/>
              <w:left w:val="nil"/>
              <w:bottom w:val="single" w:sz="4" w:space="0" w:color="auto"/>
              <w:right w:val="single" w:sz="4" w:space="0" w:color="auto"/>
            </w:tcBorders>
            <w:shd w:val="clear" w:color="000000" w:fill="FFFFFF"/>
            <w:vAlign w:val="center"/>
            <w:hideMark/>
          </w:tcPr>
          <w:p w:rsidR="00D449F3" w:rsidRPr="00742AB9" w:rsidRDefault="00A92E96" w:rsidP="003926E8">
            <w:pPr>
              <w:jc w:val="center"/>
              <w:rPr>
                <w:color w:val="000000"/>
                <w:sz w:val="20"/>
              </w:rPr>
            </w:pPr>
            <w:r>
              <w:rPr>
                <w:color w:val="000000"/>
                <w:sz w:val="20"/>
              </w:rPr>
              <w:t>Outsourced Translation (Swiss francs</w:t>
            </w:r>
            <w:r w:rsidR="00D449F3" w:rsidRPr="00742AB9">
              <w:rPr>
                <w:color w:val="000000"/>
                <w:sz w:val="20"/>
              </w:rPr>
              <w:t>)</w:t>
            </w:r>
          </w:p>
        </w:tc>
        <w:tc>
          <w:tcPr>
            <w:tcW w:w="2207" w:type="pct"/>
            <w:gridSpan w:val="2"/>
            <w:tcBorders>
              <w:top w:val="single" w:sz="4" w:space="0" w:color="auto"/>
              <w:left w:val="nil"/>
              <w:bottom w:val="single" w:sz="4" w:space="0" w:color="auto"/>
              <w:right w:val="single" w:sz="4" w:space="0" w:color="auto"/>
            </w:tcBorders>
            <w:shd w:val="clear" w:color="000000" w:fill="FFFFFF"/>
            <w:vAlign w:val="center"/>
            <w:hideMark/>
          </w:tcPr>
          <w:p w:rsidR="00D449F3" w:rsidRPr="00742AB9" w:rsidRDefault="00D449F3" w:rsidP="003926E8">
            <w:pPr>
              <w:jc w:val="center"/>
              <w:rPr>
                <w:color w:val="000000"/>
                <w:sz w:val="20"/>
              </w:rPr>
            </w:pPr>
            <w:r w:rsidRPr="00742AB9">
              <w:rPr>
                <w:color w:val="000000"/>
                <w:sz w:val="20"/>
              </w:rPr>
              <w:t>Translation Quality Control (Work Days)</w:t>
            </w:r>
          </w:p>
        </w:tc>
      </w:tr>
      <w:tr w:rsidR="00D449F3" w:rsidRPr="00742AB9" w:rsidTr="008317E8">
        <w:trPr>
          <w:trHeight w:val="251"/>
          <w:jc w:val="center"/>
        </w:trPr>
        <w:tc>
          <w:tcPr>
            <w:tcW w:w="431" w:type="pct"/>
            <w:vMerge/>
            <w:tcBorders>
              <w:left w:val="single"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Cs w:val="22"/>
              </w:rPr>
            </w:pPr>
          </w:p>
        </w:tc>
        <w:tc>
          <w:tcPr>
            <w:tcW w:w="851" w:type="pct"/>
            <w:tcBorders>
              <w:top w:val="single" w:sz="4" w:space="0" w:color="auto"/>
              <w:left w:val="nil"/>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Chinese</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Russian</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Total</w:t>
            </w:r>
          </w:p>
        </w:tc>
        <w:tc>
          <w:tcPr>
            <w:tcW w:w="1155" w:type="pct"/>
            <w:tcBorders>
              <w:top w:val="single" w:sz="4" w:space="0" w:color="auto"/>
              <w:left w:val="nil"/>
              <w:bottom w:val="single" w:sz="4" w:space="0" w:color="auto"/>
              <w:right w:val="dotted"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Chinese</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rsidR="00D449F3" w:rsidRPr="00742AB9" w:rsidRDefault="00D449F3" w:rsidP="003926E8">
            <w:pPr>
              <w:jc w:val="center"/>
              <w:rPr>
                <w:color w:val="000000"/>
                <w:sz w:val="20"/>
              </w:rPr>
            </w:pPr>
            <w:r w:rsidRPr="00742AB9">
              <w:rPr>
                <w:color w:val="000000"/>
                <w:sz w:val="20"/>
              </w:rPr>
              <w:t>Russian</w:t>
            </w:r>
          </w:p>
        </w:tc>
      </w:tr>
      <w:tr w:rsidR="00497FD3" w:rsidRPr="00742AB9" w:rsidTr="008317E8">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497FD3" w:rsidRPr="00742AB9" w:rsidRDefault="00497FD3" w:rsidP="00497FD3">
            <w:pPr>
              <w:jc w:val="center"/>
              <w:rPr>
                <w:color w:val="000000"/>
                <w:szCs w:val="22"/>
              </w:rPr>
            </w:pPr>
            <w:r w:rsidRPr="00742AB9">
              <w:rPr>
                <w:color w:val="000000"/>
                <w:szCs w:val="22"/>
              </w:rPr>
              <w:t>2021</w:t>
            </w:r>
          </w:p>
        </w:tc>
        <w:tc>
          <w:tcPr>
            <w:tcW w:w="851" w:type="pct"/>
            <w:tcBorders>
              <w:top w:val="nil"/>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color w:val="000000"/>
                <w:szCs w:val="22"/>
              </w:rPr>
            </w:pPr>
            <w:r w:rsidRPr="00742AB9">
              <w:rPr>
                <w:bCs/>
                <w:szCs w:val="22"/>
              </w:rPr>
              <w:t>49,114</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78,582</w:t>
            </w:r>
          </w:p>
        </w:tc>
        <w:tc>
          <w:tcPr>
            <w:tcW w:w="664" w:type="pct"/>
            <w:tcBorders>
              <w:top w:val="nil"/>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127,695</w:t>
            </w:r>
          </w:p>
        </w:tc>
        <w:tc>
          <w:tcPr>
            <w:tcW w:w="1155" w:type="pct"/>
            <w:tcBorders>
              <w:top w:val="nil"/>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color w:val="000000"/>
                <w:szCs w:val="22"/>
              </w:rPr>
            </w:pPr>
            <w:r w:rsidRPr="00742AB9">
              <w:rPr>
                <w:bCs/>
                <w:szCs w:val="22"/>
              </w:rPr>
              <w:t>6.19</w:t>
            </w:r>
          </w:p>
        </w:tc>
        <w:tc>
          <w:tcPr>
            <w:tcW w:w="1052" w:type="pct"/>
            <w:tcBorders>
              <w:top w:val="nil"/>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6.19</w:t>
            </w:r>
          </w:p>
        </w:tc>
      </w:tr>
      <w:tr w:rsidR="00497FD3" w:rsidRPr="00742AB9" w:rsidTr="008317E8">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497FD3" w:rsidRPr="00742AB9" w:rsidRDefault="00497FD3" w:rsidP="00497FD3">
            <w:pPr>
              <w:jc w:val="center"/>
              <w:rPr>
                <w:color w:val="000000"/>
                <w:szCs w:val="22"/>
              </w:rPr>
            </w:pPr>
            <w:r w:rsidRPr="00742AB9">
              <w:rPr>
                <w:color w:val="000000"/>
                <w:szCs w:val="22"/>
              </w:rPr>
              <w:t>2022</w:t>
            </w:r>
          </w:p>
        </w:tc>
        <w:tc>
          <w:tcPr>
            <w:tcW w:w="851" w:type="pct"/>
            <w:tcBorders>
              <w:top w:val="nil"/>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color w:val="000000"/>
                <w:szCs w:val="22"/>
              </w:rPr>
            </w:pPr>
            <w:r w:rsidRPr="00742AB9">
              <w:rPr>
                <w:bCs/>
                <w:szCs w:val="22"/>
              </w:rPr>
              <w:t>52,035</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83,256</w:t>
            </w:r>
          </w:p>
        </w:tc>
        <w:tc>
          <w:tcPr>
            <w:tcW w:w="664" w:type="pct"/>
            <w:tcBorders>
              <w:top w:val="nil"/>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135,292</w:t>
            </w:r>
          </w:p>
        </w:tc>
        <w:tc>
          <w:tcPr>
            <w:tcW w:w="1155" w:type="pct"/>
            <w:tcBorders>
              <w:top w:val="nil"/>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color w:val="000000"/>
                <w:szCs w:val="22"/>
              </w:rPr>
            </w:pPr>
            <w:r w:rsidRPr="00742AB9">
              <w:rPr>
                <w:bCs/>
                <w:szCs w:val="22"/>
              </w:rPr>
              <w:t>6.73</w:t>
            </w:r>
          </w:p>
        </w:tc>
        <w:tc>
          <w:tcPr>
            <w:tcW w:w="1052" w:type="pct"/>
            <w:tcBorders>
              <w:top w:val="nil"/>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6.73</w:t>
            </w:r>
          </w:p>
        </w:tc>
      </w:tr>
      <w:tr w:rsidR="00497FD3" w:rsidRPr="00742AB9" w:rsidTr="008317E8">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497FD3" w:rsidRPr="00742AB9" w:rsidRDefault="00497FD3" w:rsidP="00497FD3">
            <w:pPr>
              <w:jc w:val="center"/>
              <w:rPr>
                <w:color w:val="000000"/>
                <w:szCs w:val="22"/>
              </w:rPr>
            </w:pPr>
            <w:r w:rsidRPr="00742AB9">
              <w:rPr>
                <w:color w:val="000000"/>
                <w:szCs w:val="22"/>
              </w:rPr>
              <w:t>2023</w:t>
            </w:r>
          </w:p>
        </w:tc>
        <w:tc>
          <w:tcPr>
            <w:tcW w:w="851" w:type="pct"/>
            <w:tcBorders>
              <w:top w:val="nil"/>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color w:val="000000"/>
                <w:szCs w:val="22"/>
              </w:rPr>
            </w:pPr>
            <w:r w:rsidRPr="00742AB9">
              <w:rPr>
                <w:bCs/>
                <w:szCs w:val="22"/>
              </w:rPr>
              <w:t>54,968</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87,949</w:t>
            </w:r>
          </w:p>
        </w:tc>
        <w:tc>
          <w:tcPr>
            <w:tcW w:w="664" w:type="pct"/>
            <w:tcBorders>
              <w:top w:val="nil"/>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142,917</w:t>
            </w:r>
          </w:p>
        </w:tc>
        <w:tc>
          <w:tcPr>
            <w:tcW w:w="1155" w:type="pct"/>
            <w:tcBorders>
              <w:top w:val="nil"/>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color w:val="000000"/>
                <w:szCs w:val="22"/>
              </w:rPr>
            </w:pPr>
            <w:r w:rsidRPr="00742AB9">
              <w:rPr>
                <w:bCs/>
                <w:szCs w:val="22"/>
              </w:rPr>
              <w:t>7.30</w:t>
            </w:r>
          </w:p>
        </w:tc>
        <w:tc>
          <w:tcPr>
            <w:tcW w:w="1052" w:type="pct"/>
            <w:tcBorders>
              <w:top w:val="nil"/>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7.30</w:t>
            </w:r>
          </w:p>
        </w:tc>
      </w:tr>
      <w:tr w:rsidR="00497FD3" w:rsidRPr="00742AB9" w:rsidTr="008317E8">
        <w:trPr>
          <w:trHeight w:val="60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FD3" w:rsidRPr="00742AB9" w:rsidRDefault="00497FD3" w:rsidP="00497FD3">
            <w:pPr>
              <w:jc w:val="center"/>
              <w:rPr>
                <w:color w:val="000000"/>
                <w:szCs w:val="22"/>
              </w:rPr>
            </w:pPr>
            <w:r w:rsidRPr="00742AB9">
              <w:rPr>
                <w:color w:val="000000"/>
                <w:szCs w:val="22"/>
              </w:rPr>
              <w:t>2024</w:t>
            </w:r>
          </w:p>
        </w:tc>
        <w:tc>
          <w:tcPr>
            <w:tcW w:w="851" w:type="pct"/>
            <w:tcBorders>
              <w:top w:val="single" w:sz="4" w:space="0" w:color="auto"/>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color w:val="000000"/>
                <w:szCs w:val="22"/>
              </w:rPr>
            </w:pPr>
            <w:r w:rsidRPr="00742AB9">
              <w:rPr>
                <w:bCs/>
                <w:szCs w:val="22"/>
              </w:rPr>
              <w:t>57,894</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92,631</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150,525</w:t>
            </w:r>
          </w:p>
        </w:tc>
        <w:tc>
          <w:tcPr>
            <w:tcW w:w="1155" w:type="pct"/>
            <w:tcBorders>
              <w:top w:val="single" w:sz="4" w:space="0" w:color="auto"/>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color w:val="000000"/>
                <w:szCs w:val="22"/>
              </w:rPr>
            </w:pPr>
            <w:r w:rsidRPr="00742AB9">
              <w:rPr>
                <w:bCs/>
                <w:szCs w:val="22"/>
              </w:rPr>
              <w:t>7.89</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color w:val="000000"/>
                <w:szCs w:val="22"/>
              </w:rPr>
            </w:pPr>
            <w:r w:rsidRPr="00742AB9">
              <w:rPr>
                <w:bCs/>
                <w:szCs w:val="22"/>
              </w:rPr>
              <w:t>7.89</w:t>
            </w:r>
          </w:p>
        </w:tc>
      </w:tr>
      <w:tr w:rsidR="00497FD3" w:rsidRPr="00742AB9" w:rsidTr="008317E8">
        <w:trPr>
          <w:trHeight w:val="60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7FD3" w:rsidRPr="00742AB9" w:rsidRDefault="00497FD3" w:rsidP="00497FD3">
            <w:pPr>
              <w:jc w:val="center"/>
              <w:rPr>
                <w:color w:val="000000"/>
                <w:szCs w:val="22"/>
              </w:rPr>
            </w:pPr>
            <w:r w:rsidRPr="00742AB9">
              <w:rPr>
                <w:color w:val="000000"/>
                <w:szCs w:val="22"/>
              </w:rPr>
              <w:t>2025</w:t>
            </w:r>
          </w:p>
        </w:tc>
        <w:tc>
          <w:tcPr>
            <w:tcW w:w="851" w:type="pct"/>
            <w:tcBorders>
              <w:top w:val="single" w:sz="4" w:space="0" w:color="auto"/>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bCs/>
                <w:szCs w:val="22"/>
              </w:rPr>
            </w:pPr>
            <w:r w:rsidRPr="00742AB9">
              <w:rPr>
                <w:bCs/>
                <w:szCs w:val="22"/>
              </w:rPr>
              <w:t>60,855</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rsidR="00497FD3" w:rsidRPr="00742AB9" w:rsidRDefault="00497FD3" w:rsidP="00497FD3">
            <w:pPr>
              <w:jc w:val="center"/>
              <w:rPr>
                <w:bCs/>
                <w:szCs w:val="22"/>
              </w:rPr>
            </w:pPr>
            <w:r w:rsidRPr="00742AB9">
              <w:rPr>
                <w:bCs/>
                <w:szCs w:val="22"/>
              </w:rPr>
              <w:t>97,369</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rFonts w:eastAsiaTheme="minorEastAsia"/>
                <w:bCs/>
                <w:szCs w:val="22"/>
                <w:lang w:eastAsia="ja-JP"/>
              </w:rPr>
            </w:pPr>
            <w:r w:rsidRPr="00742AB9">
              <w:rPr>
                <w:bCs/>
                <w:szCs w:val="22"/>
              </w:rPr>
              <w:t>158,224</w:t>
            </w:r>
          </w:p>
        </w:tc>
        <w:tc>
          <w:tcPr>
            <w:tcW w:w="1155" w:type="pct"/>
            <w:tcBorders>
              <w:top w:val="single" w:sz="4" w:space="0" w:color="auto"/>
              <w:left w:val="nil"/>
              <w:bottom w:val="single" w:sz="4" w:space="0" w:color="auto"/>
              <w:right w:val="dotted" w:sz="4" w:space="0" w:color="auto"/>
            </w:tcBorders>
            <w:shd w:val="clear" w:color="000000" w:fill="FFFFFF"/>
            <w:noWrap/>
            <w:vAlign w:val="center"/>
          </w:tcPr>
          <w:p w:rsidR="00497FD3" w:rsidRPr="00742AB9" w:rsidRDefault="00497FD3" w:rsidP="00497FD3">
            <w:pPr>
              <w:jc w:val="center"/>
              <w:rPr>
                <w:bCs/>
                <w:szCs w:val="22"/>
              </w:rPr>
            </w:pPr>
            <w:r w:rsidRPr="00742AB9">
              <w:rPr>
                <w:bCs/>
                <w:szCs w:val="22"/>
              </w:rPr>
              <w:t>8.53</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rsidR="00497FD3" w:rsidRPr="00742AB9" w:rsidRDefault="00497FD3" w:rsidP="00497FD3">
            <w:pPr>
              <w:jc w:val="center"/>
              <w:rPr>
                <w:bCs/>
                <w:szCs w:val="22"/>
              </w:rPr>
            </w:pPr>
            <w:r w:rsidRPr="00742AB9">
              <w:rPr>
                <w:bCs/>
                <w:szCs w:val="22"/>
              </w:rPr>
              <w:t>8.53</w:t>
            </w:r>
          </w:p>
        </w:tc>
      </w:tr>
    </w:tbl>
    <w:p w:rsidR="003E50AD" w:rsidRPr="00742AB9" w:rsidRDefault="003E50AD" w:rsidP="003E50AD"/>
    <w:p w:rsidR="00AB5C3D" w:rsidRPr="00742AB9" w:rsidRDefault="00AB5C3D" w:rsidP="003E50AD"/>
    <w:p w:rsidR="00AB5C3D" w:rsidRPr="00742AB9" w:rsidRDefault="00AB5C3D" w:rsidP="003E50AD"/>
    <w:p w:rsidR="0014585A" w:rsidRPr="0026706B" w:rsidRDefault="003E50AD" w:rsidP="00AF4FD6">
      <w:pPr>
        <w:ind w:firstLine="5103"/>
        <w:rPr>
          <w:b/>
          <w:bCs/>
          <w:caps/>
          <w:kern w:val="32"/>
          <w:szCs w:val="32"/>
        </w:rPr>
      </w:pPr>
      <w:r w:rsidRPr="00742AB9">
        <w:t>[</w:t>
      </w:r>
      <w:r w:rsidR="00F72179" w:rsidRPr="00742AB9">
        <w:t>End of Annex II and o</w:t>
      </w:r>
      <w:r w:rsidR="000A7D3E" w:rsidRPr="00742AB9">
        <w:t>f document]</w:t>
      </w:r>
    </w:p>
    <w:sectPr w:rsidR="0014585A" w:rsidRPr="0026706B" w:rsidSect="00291E9B">
      <w:headerReference w:type="default" r:id="rId11"/>
      <w:headerReference w:type="first" r:id="rId12"/>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A4066" w16cid:durableId="23294711"/>
  <w16cid:commentId w16cid:paraId="4EB8ED3A" w16cid:durableId="23294712"/>
  <w16cid:commentId w16cid:paraId="74BEDBD3" w16cid:durableId="23294713"/>
  <w16cid:commentId w16cid:paraId="03EA15CF" w16cid:durableId="232947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92" w:rsidRDefault="00221B92">
      <w:r>
        <w:separator/>
      </w:r>
    </w:p>
  </w:endnote>
  <w:endnote w:type="continuationSeparator" w:id="0">
    <w:p w:rsidR="00221B92" w:rsidRDefault="00221B92" w:rsidP="003B38C1">
      <w:r>
        <w:separator/>
      </w:r>
    </w:p>
    <w:p w:rsidR="00221B92" w:rsidRPr="003B38C1" w:rsidRDefault="00221B92" w:rsidP="003B38C1">
      <w:pPr>
        <w:spacing w:after="60"/>
        <w:rPr>
          <w:sz w:val="17"/>
        </w:rPr>
      </w:pPr>
      <w:r>
        <w:rPr>
          <w:sz w:val="17"/>
        </w:rPr>
        <w:t>[Endnote continued from previous page]</w:t>
      </w:r>
    </w:p>
  </w:endnote>
  <w:endnote w:type="continuationNotice" w:id="1">
    <w:p w:rsidR="00221B92" w:rsidRPr="003B38C1" w:rsidRDefault="00221B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E502E71C-5585-4E1C-925E-C0E18FA75BD4}"/>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92" w:rsidRDefault="00221B92">
      <w:r>
        <w:separator/>
      </w:r>
    </w:p>
  </w:footnote>
  <w:footnote w:type="continuationSeparator" w:id="0">
    <w:p w:rsidR="00221B92" w:rsidRDefault="00221B92" w:rsidP="008B60B2">
      <w:r>
        <w:separator/>
      </w:r>
    </w:p>
    <w:p w:rsidR="00221B92" w:rsidRPr="00ED77FB" w:rsidRDefault="00221B92" w:rsidP="008B60B2">
      <w:pPr>
        <w:spacing w:after="60"/>
        <w:rPr>
          <w:sz w:val="17"/>
          <w:szCs w:val="17"/>
        </w:rPr>
      </w:pPr>
      <w:r w:rsidRPr="00ED77FB">
        <w:rPr>
          <w:sz w:val="17"/>
          <w:szCs w:val="17"/>
        </w:rPr>
        <w:t>[Footnote continued from previous page]</w:t>
      </w:r>
    </w:p>
  </w:footnote>
  <w:footnote w:type="continuationNotice" w:id="1">
    <w:p w:rsidR="00221B92" w:rsidRPr="00ED77FB" w:rsidRDefault="00221B92" w:rsidP="008B60B2">
      <w:pPr>
        <w:spacing w:before="60"/>
        <w:jc w:val="right"/>
        <w:rPr>
          <w:sz w:val="17"/>
          <w:szCs w:val="17"/>
        </w:rPr>
      </w:pPr>
      <w:r w:rsidRPr="00ED77FB">
        <w:rPr>
          <w:sz w:val="17"/>
          <w:szCs w:val="17"/>
        </w:rPr>
        <w:t>[Footnote continued on next page]</w:t>
      </w:r>
    </w:p>
  </w:footnote>
  <w:footnote w:id="2">
    <w:p w:rsidR="00221B92" w:rsidRPr="00D74A49" w:rsidRDefault="00221B92">
      <w:pPr>
        <w:pStyle w:val="FootnoteText"/>
        <w:rPr>
          <w:rFonts w:eastAsiaTheme="minorEastAsia"/>
          <w:lang w:eastAsia="ja-JP"/>
        </w:rPr>
      </w:pPr>
      <w:r w:rsidRPr="00172326">
        <w:rPr>
          <w:rStyle w:val="FootnoteReference"/>
        </w:rPr>
        <w:footnoteRef/>
      </w:r>
      <w:r w:rsidRPr="00172326">
        <w:t xml:space="preserve"> </w:t>
      </w:r>
      <w:r w:rsidRPr="00172326">
        <w:rPr>
          <w:rFonts w:eastAsiaTheme="minorEastAsia"/>
          <w:lang w:eastAsia="ja-JP"/>
        </w:rPr>
        <w:tab/>
        <w:t>Refer to document H/LD/WG/8/8 “Summary by the Chair”, paragraph 29.</w:t>
      </w:r>
    </w:p>
  </w:footnote>
  <w:footnote w:id="3">
    <w:p w:rsidR="00221B92" w:rsidRPr="009E5784" w:rsidRDefault="00221B92" w:rsidP="00790512">
      <w:pPr>
        <w:pStyle w:val="FootnoteText"/>
      </w:pPr>
      <w:r>
        <w:rPr>
          <w:rStyle w:val="FootnoteReference"/>
        </w:rPr>
        <w:footnoteRef/>
      </w:r>
      <w:r>
        <w:t xml:space="preserve"> </w:t>
      </w:r>
      <w:r>
        <w:tab/>
        <w:t>For instance, there are 10</w:t>
      </w:r>
      <w:r w:rsidRPr="009E5784">
        <w:t xml:space="preserve"> publication languages in the PCT System. </w:t>
      </w:r>
      <w:r>
        <w:t xml:space="preserve"> However, at the time of writing this document, the PCT Applicant’s Guide (Introduction to the International Phase and the Introduction to the National Phase) is available only in English, French, Japanese, Russian and Spanish, while the PCT Receiving Office Guidelines are only available in English and French.  The PCT Newsletter is available only in English with excerpts available in Chinese, Japanese and Korean.</w:t>
      </w:r>
    </w:p>
    <w:p w:rsidR="00221B92" w:rsidRPr="00607CD3" w:rsidRDefault="00221B92" w:rsidP="00790512">
      <w:pPr>
        <w:pStyle w:val="FootnoteText"/>
      </w:pPr>
    </w:p>
  </w:footnote>
  <w:footnote w:id="4">
    <w:p w:rsidR="00221B92" w:rsidRPr="003961B7" w:rsidRDefault="00221B92">
      <w:pPr>
        <w:pStyle w:val="FootnoteText"/>
        <w:rPr>
          <w:rFonts w:eastAsiaTheme="minorEastAsia"/>
          <w:lang w:eastAsia="ja-JP"/>
        </w:rPr>
      </w:pPr>
      <w:r w:rsidRPr="00742AB9">
        <w:rPr>
          <w:rStyle w:val="FootnoteReference"/>
        </w:rPr>
        <w:footnoteRef/>
      </w:r>
      <w:r w:rsidRPr="00742AB9">
        <w:t xml:space="preserve"> </w:t>
      </w:r>
      <w:r w:rsidRPr="00742AB9">
        <w:tab/>
        <w:t>Refer to document H/LD/WG/7/INF/2,</w:t>
      </w:r>
      <w:r>
        <w:t xml:space="preserve"> paragraph 46 and document H/LD/WG/8/5</w:t>
      </w:r>
      <w:r>
        <w:rPr>
          <w:rFonts w:eastAsiaTheme="minorEastAsia" w:hint="eastAsia"/>
          <w:lang w:eastAsia="ja-JP"/>
        </w:rPr>
        <w:t>, paragraph 21, in particular.</w:t>
      </w:r>
    </w:p>
  </w:footnote>
  <w:footnote w:id="5">
    <w:p w:rsidR="00221B92" w:rsidRDefault="00221B92" w:rsidP="00C73D69">
      <w:pPr>
        <w:pStyle w:val="FootnoteText"/>
      </w:pPr>
      <w:r>
        <w:rPr>
          <w:rStyle w:val="FootnoteReference"/>
        </w:rPr>
        <w:footnoteRef/>
      </w:r>
      <w:r>
        <w:t xml:space="preserve"> </w:t>
      </w:r>
      <w:r>
        <w:tab/>
        <w:t>120,000</w:t>
      </w:r>
      <w:r w:rsidRPr="00DF291E">
        <w:t> </w:t>
      </w:r>
      <w:r>
        <w:t>Swiss</w:t>
      </w:r>
      <w:r w:rsidRPr="00DF291E">
        <w:t> </w:t>
      </w:r>
      <w:r>
        <w:t>francs (ICT) + 500,000 (translators) + 6,200</w:t>
      </w:r>
      <w:r w:rsidRPr="00DF291E">
        <w:t> </w:t>
      </w:r>
      <w:r>
        <w:t>Swiss</w:t>
      </w:r>
      <w:r w:rsidRPr="00DF291E">
        <w:t> </w:t>
      </w:r>
      <w:r>
        <w:t xml:space="preserve">francs (translation outsourcing) </w:t>
      </w:r>
    </w:p>
    <w:p w:rsidR="00221B92" w:rsidRPr="00033AB1" w:rsidRDefault="00221B92" w:rsidP="00C73D69">
      <w:pPr>
        <w:pStyle w:val="FootnoteText"/>
      </w:pPr>
      <w:r>
        <w:t>+ 237,000</w:t>
      </w:r>
      <w:r w:rsidRPr="00DF291E">
        <w:t> </w:t>
      </w:r>
      <w:r>
        <w:t>Swiss</w:t>
      </w:r>
      <w:r w:rsidRPr="00DF291E">
        <w:t> </w:t>
      </w:r>
      <w:r>
        <w:t>francs (customer support) = 863,200</w:t>
      </w:r>
      <w:r w:rsidRPr="00DF291E">
        <w:t> </w:t>
      </w:r>
      <w:r>
        <w:t>Swiss</w:t>
      </w:r>
      <w:r w:rsidRPr="00DF291E">
        <w:t> </w:t>
      </w:r>
      <w:r>
        <w:t>francs.</w:t>
      </w:r>
    </w:p>
  </w:footnote>
  <w:footnote w:id="6">
    <w:p w:rsidR="00221B92" w:rsidRDefault="00221B92" w:rsidP="00C73D69">
      <w:pPr>
        <w:pStyle w:val="FootnoteText"/>
      </w:pPr>
      <w:r>
        <w:rPr>
          <w:rStyle w:val="FootnoteReference"/>
        </w:rPr>
        <w:footnoteRef/>
      </w:r>
      <w:r>
        <w:tab/>
        <w:t>120,000</w:t>
      </w:r>
      <w:r w:rsidRPr="00DF291E">
        <w:t> </w:t>
      </w:r>
      <w:r>
        <w:t>Swiss</w:t>
      </w:r>
      <w:r w:rsidRPr="00DF291E">
        <w:t> </w:t>
      </w:r>
      <w:r>
        <w:t>francs (ICT) + 500,000 (translators) + 36,100</w:t>
      </w:r>
      <w:r w:rsidRPr="00DF291E">
        <w:t> </w:t>
      </w:r>
      <w:r>
        <w:t>Swiss</w:t>
      </w:r>
      <w:r w:rsidRPr="00DF291E">
        <w:t> </w:t>
      </w:r>
      <w:r>
        <w:t xml:space="preserve">francs (translation outsourcing) </w:t>
      </w:r>
    </w:p>
    <w:p w:rsidR="00221B92" w:rsidRPr="00033AB1" w:rsidRDefault="00221B92" w:rsidP="00C73D69">
      <w:pPr>
        <w:pStyle w:val="FootnoteText"/>
      </w:pPr>
      <w:r>
        <w:t>+ 237,000</w:t>
      </w:r>
      <w:r w:rsidRPr="00DF291E">
        <w:t> </w:t>
      </w:r>
      <w:r>
        <w:t>Swiss</w:t>
      </w:r>
      <w:r w:rsidRPr="00DF291E">
        <w:t> </w:t>
      </w:r>
      <w:r>
        <w:t>francs (</w:t>
      </w:r>
      <w:r w:rsidRPr="00CE7ABB">
        <w:t>customer</w:t>
      </w:r>
      <w:r>
        <w:t xml:space="preserve"> support) = 893,100</w:t>
      </w:r>
      <w:r w:rsidRPr="00DF291E">
        <w:t> </w:t>
      </w:r>
      <w:r>
        <w:t>Swiss</w:t>
      </w:r>
      <w:r w:rsidRPr="00DF291E">
        <w:t> </w:t>
      </w:r>
      <w:r>
        <w:t>francs.</w:t>
      </w:r>
    </w:p>
  </w:footnote>
  <w:footnote w:id="7">
    <w:p w:rsidR="00221B92" w:rsidRDefault="00221B92">
      <w:pPr>
        <w:pStyle w:val="FootnoteText"/>
      </w:pPr>
      <w:r>
        <w:rPr>
          <w:rStyle w:val="FootnoteReference"/>
        </w:rPr>
        <w:footnoteRef/>
      </w:r>
      <w:r>
        <w:tab/>
        <w:t>120,000</w:t>
      </w:r>
      <w:r w:rsidRPr="00DF291E">
        <w:t> </w:t>
      </w:r>
      <w:r>
        <w:t>Swiss</w:t>
      </w:r>
      <w:r w:rsidRPr="00DF291E">
        <w:t> </w:t>
      </w:r>
      <w:r>
        <w:t>francs (ICT) + 500,000 (translators) + 127,700</w:t>
      </w:r>
      <w:r w:rsidRPr="00DF291E">
        <w:t> </w:t>
      </w:r>
      <w:r>
        <w:t>Swiss</w:t>
      </w:r>
      <w:r w:rsidRPr="00DF291E">
        <w:t> </w:t>
      </w:r>
      <w:r>
        <w:t xml:space="preserve">francs (translation outsourcing) </w:t>
      </w:r>
    </w:p>
    <w:p w:rsidR="00221B92" w:rsidRPr="00033AB1" w:rsidRDefault="00221B92">
      <w:pPr>
        <w:pStyle w:val="FootnoteText"/>
      </w:pPr>
      <w:r>
        <w:t>+ 237,000</w:t>
      </w:r>
      <w:r w:rsidRPr="00DF291E">
        <w:t> </w:t>
      </w:r>
      <w:r>
        <w:t>Swiss</w:t>
      </w:r>
      <w:r w:rsidRPr="00DF291E">
        <w:t> </w:t>
      </w:r>
      <w:r>
        <w:t>francs (customer support) = 984,700</w:t>
      </w:r>
      <w:r w:rsidRPr="00DF291E">
        <w:t> </w:t>
      </w:r>
      <w:r>
        <w:t>Swiss</w:t>
      </w:r>
      <w:r w:rsidRPr="00DF291E">
        <w:t> </w:t>
      </w:r>
      <w:r>
        <w:t>francs.</w:t>
      </w:r>
    </w:p>
  </w:footnote>
  <w:footnote w:id="8">
    <w:p w:rsidR="00221B92" w:rsidRPr="00443120" w:rsidRDefault="00221B92" w:rsidP="00E11F83">
      <w:pPr>
        <w:pStyle w:val="FootnoteText"/>
      </w:pPr>
      <w:r>
        <w:rPr>
          <w:rStyle w:val="FootnoteReference"/>
        </w:rPr>
        <w:footnoteRef/>
      </w:r>
      <w:r>
        <w:t xml:space="preserve"> </w:t>
      </w:r>
      <w:r w:rsidRPr="00443120">
        <w:tab/>
        <w:t xml:space="preserve">The Chinese and Russian versions </w:t>
      </w:r>
      <w:r>
        <w:t>have not been updated as regularly as the English, French and Spanish versions.</w:t>
      </w:r>
    </w:p>
  </w:footnote>
  <w:footnote w:id="9">
    <w:p w:rsidR="00221B92" w:rsidRPr="00F9094E" w:rsidRDefault="00221B92" w:rsidP="001853A9">
      <w:pPr>
        <w:pStyle w:val="FootnoteText"/>
      </w:pPr>
      <w:r>
        <w:rPr>
          <w:rStyle w:val="FootnoteReference"/>
        </w:rPr>
        <w:footnoteRef/>
      </w:r>
      <w:r>
        <w:t xml:space="preserve"> </w:t>
      </w:r>
      <w:r>
        <w:tab/>
        <w:t>In principle</w:t>
      </w:r>
      <w:r w:rsidRPr="002E2BE4">
        <w:t>, only a translator whose first language is the target language should translate into that language.  In most tasks, English would be the source language while Chinese and Russian would be the</w:t>
      </w:r>
      <w:r>
        <w:t xml:space="preserve"> target languages, respectively</w:t>
      </w:r>
      <w:r w:rsidRPr="002E2BE4">
        <w:t xml:space="preserve">.  Thus, two translators whose mother tongue is Chinese or Russian (one for each) would </w:t>
      </w:r>
      <w:r>
        <w:t xml:space="preserve">normally </w:t>
      </w:r>
      <w:r w:rsidRPr="002E2BE4">
        <w:t>be required</w:t>
      </w:r>
      <w:r>
        <w:t>.</w:t>
      </w:r>
    </w:p>
  </w:footnote>
  <w:footnote w:id="10">
    <w:p w:rsidR="00221B92" w:rsidRPr="00A4408D" w:rsidRDefault="00221B92" w:rsidP="001853A9">
      <w:pPr>
        <w:pStyle w:val="FootnoteText"/>
      </w:pPr>
      <w:r>
        <w:rPr>
          <w:rStyle w:val="FootnoteReference"/>
        </w:rPr>
        <w:footnoteRef/>
      </w:r>
      <w:r>
        <w:t xml:space="preserve"> </w:t>
      </w:r>
      <w:r>
        <w:tab/>
        <w:t xml:space="preserve">In terms of the number of words, share of Hague files corresponds to 0.9 per cent of the total words that the Translation and Terminology Section of the Madrid Registry processed in 2018.  </w:t>
      </w:r>
    </w:p>
  </w:footnote>
  <w:footnote w:id="11">
    <w:p w:rsidR="00221B92" w:rsidRPr="003972C0" w:rsidRDefault="00221B92" w:rsidP="001853A9">
      <w:pPr>
        <w:pStyle w:val="FootnoteText"/>
      </w:pPr>
      <w:r>
        <w:rPr>
          <w:rStyle w:val="FootnoteReference"/>
        </w:rPr>
        <w:footnoteRef/>
      </w:r>
      <w:r>
        <w:t xml:space="preserve"> </w:t>
      </w:r>
      <w:r>
        <w:tab/>
        <w:t>132,900</w:t>
      </w:r>
      <w:r w:rsidRPr="00DF291E">
        <w:t> </w:t>
      </w:r>
      <w:r>
        <w:t>Swiss</w:t>
      </w:r>
      <w:r w:rsidRPr="00DF291E">
        <w:t> </w:t>
      </w:r>
      <w:r>
        <w:t>francs for G6 regular post in Geneva in 2021, a</w:t>
      </w:r>
      <w:r w:rsidRPr="00430F9F">
        <w:t>ccording to th</w:t>
      </w:r>
      <w:r>
        <w:t>e annual standard cost for the b</w:t>
      </w:r>
      <w:r w:rsidRPr="00430F9F">
        <w:t>iennium 2020/21</w:t>
      </w:r>
      <w:r>
        <w:t>.</w:t>
      </w:r>
    </w:p>
  </w:footnote>
  <w:footnote w:id="12">
    <w:p w:rsidR="00221B92" w:rsidRPr="00BC74F9" w:rsidRDefault="00221B92">
      <w:pPr>
        <w:pStyle w:val="FootnoteText"/>
      </w:pPr>
      <w:r>
        <w:rPr>
          <w:rStyle w:val="FootnoteReference"/>
        </w:rPr>
        <w:footnoteRef/>
      </w:r>
      <w:r>
        <w:t xml:space="preserve"> </w:t>
      </w:r>
      <w:r>
        <w:tab/>
        <w:t>Refer to document H/LD/WG/8/5, paragraphs 24 to 29, and document MM/LD/WG/17/7 Rev., paragraphs 25 to 44.</w:t>
      </w:r>
    </w:p>
  </w:footnote>
  <w:footnote w:id="13">
    <w:p w:rsidR="00221B92" w:rsidRPr="008317E8" w:rsidRDefault="00221B92">
      <w:pPr>
        <w:pStyle w:val="FootnoteText"/>
        <w:rPr>
          <w:rFonts w:eastAsiaTheme="minorEastAsia"/>
          <w:lang w:eastAsia="ja-JP"/>
        </w:rPr>
      </w:pPr>
      <w:r>
        <w:rPr>
          <w:rStyle w:val="FootnoteReference"/>
        </w:rPr>
        <w:footnoteRef/>
      </w:r>
      <w:r>
        <w:t xml:space="preserve"> </w:t>
      </w:r>
      <w:r>
        <w:tab/>
        <w:t xml:space="preserve">These Contracting Parties are mentioned in the proposal submitted by the Delegation of the Russian Federation to include Russian as an official language of the Hague System (refer to document H/LD/WG/7/5). </w:t>
      </w:r>
    </w:p>
  </w:footnote>
  <w:footnote w:id="14">
    <w:p w:rsidR="00221B92" w:rsidRPr="000D44AB" w:rsidRDefault="00221B92">
      <w:pPr>
        <w:pStyle w:val="FootnoteText"/>
      </w:pPr>
      <w:r>
        <w:rPr>
          <w:rStyle w:val="FootnoteReference"/>
        </w:rPr>
        <w:footnoteRef/>
      </w:r>
      <w:r>
        <w:t xml:space="preserve"> </w:t>
      </w:r>
      <w:r>
        <w:tab/>
        <w:t xml:space="preserve">According to the rates applicable in the operation of the PCT System in 2019. </w:t>
      </w:r>
    </w:p>
  </w:footnote>
  <w:footnote w:id="15">
    <w:p w:rsidR="00221B92" w:rsidRPr="00221B92" w:rsidRDefault="00221B92" w:rsidP="00D449F3">
      <w:pPr>
        <w:pStyle w:val="FootnoteText"/>
      </w:pPr>
      <w:r w:rsidRPr="00221B92">
        <w:rPr>
          <w:rStyle w:val="FootnoteReference"/>
        </w:rPr>
        <w:footnoteRef/>
      </w:r>
      <w:r w:rsidRPr="00221B92">
        <w:t xml:space="preserve"> </w:t>
      </w:r>
      <w:r w:rsidRPr="00221B92">
        <w:tab/>
        <w:t xml:space="preserve">Quality control consists of revising a random sample of about 7 per cent of the edited work.  A translator whose first language is the target language should conduct quality control.  </w:t>
      </w:r>
      <w:r w:rsidRPr="00221B92">
        <w:rPr>
          <w:szCs w:val="18"/>
        </w:rPr>
        <w:t>A senior translator reviews 3,700 words for translation per day.</w:t>
      </w:r>
    </w:p>
  </w:footnote>
  <w:footnote w:id="16">
    <w:p w:rsidR="00221B92" w:rsidRPr="00221B92" w:rsidRDefault="00221B92" w:rsidP="00D449F3">
      <w:pPr>
        <w:pStyle w:val="FootnoteText"/>
        <w:rPr>
          <w:rFonts w:eastAsiaTheme="minorEastAsia"/>
          <w:lang w:eastAsia="ja-JP"/>
        </w:rPr>
      </w:pPr>
      <w:r w:rsidRPr="00221B92">
        <w:rPr>
          <w:rStyle w:val="FootnoteReference"/>
        </w:rPr>
        <w:footnoteRef/>
      </w:r>
      <w:r w:rsidRPr="00221B92">
        <w:t xml:space="preserve"> </w:t>
      </w:r>
      <w:r w:rsidRPr="00221B92">
        <w:rPr>
          <w:rFonts w:eastAsiaTheme="minorEastAsia"/>
          <w:lang w:eastAsia="ja-JP"/>
        </w:rPr>
        <w:tab/>
      </w:r>
      <w:r w:rsidRPr="00221B92">
        <w:t>The costs are estimated in the anticipation of the accession of China in the beginning of 2021.</w:t>
      </w:r>
    </w:p>
  </w:footnote>
  <w:footnote w:id="17">
    <w:p w:rsidR="00221B92" w:rsidRPr="00221B92" w:rsidRDefault="00221B92" w:rsidP="00D449F3">
      <w:pPr>
        <w:pStyle w:val="FootnoteText"/>
        <w:rPr>
          <w:rFonts w:eastAsiaTheme="minorEastAsia"/>
          <w:lang w:eastAsia="ja-JP"/>
        </w:rPr>
      </w:pPr>
      <w:r w:rsidRPr="00221B92">
        <w:rPr>
          <w:rStyle w:val="FootnoteReference"/>
        </w:rPr>
        <w:footnoteRef/>
      </w:r>
      <w:r w:rsidRPr="00221B92">
        <w:t xml:space="preserve"> </w:t>
      </w:r>
      <w:r w:rsidRPr="00221B92">
        <w:tab/>
        <w:t>The growth rate is forecast from the trend of international applications filed by applicants from the Russian speaking Contracting Parties from 2016 to 2019.</w:t>
      </w:r>
    </w:p>
  </w:footnote>
  <w:footnote w:id="18">
    <w:p w:rsidR="00221B92" w:rsidRPr="0003519F" w:rsidRDefault="00221B92">
      <w:pPr>
        <w:pStyle w:val="FootnoteText"/>
      </w:pPr>
      <w:r w:rsidRPr="00221B92">
        <w:rPr>
          <w:rStyle w:val="FootnoteReference"/>
        </w:rPr>
        <w:footnoteRef/>
      </w:r>
      <w:r w:rsidRPr="00221B92">
        <w:t xml:space="preserve"> </w:t>
      </w:r>
      <w:r w:rsidRPr="00221B92">
        <w:tab/>
        <w:t xml:space="preserve">In 2019, 23.8 per cent of international applications designated at least one Russian speaking Contracting Party.  Thus, this designation rate is used for the Russian speaking Contracting Parties.  For the purpose of China, </w:t>
      </w:r>
      <w:r w:rsidR="00A92E96">
        <w:br/>
      </w:r>
      <w:r w:rsidRPr="00221B92">
        <w:t>26 per cent, which was the designation rate for Japan in 2019, is used.  Japan was most frequently designated among the current Contracting Parties from the same region, followed by the Republic of Korea (20.4 per cent) and Singapore (16.1 per cent) 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92" w:rsidRDefault="00221B92" w:rsidP="00291E9B">
    <w:pPr>
      <w:pStyle w:val="Header"/>
      <w:tabs>
        <w:tab w:val="clear" w:pos="9072"/>
        <w:tab w:val="right" w:pos="9270"/>
      </w:tabs>
    </w:pPr>
    <w:r>
      <w:tab/>
    </w:r>
    <w:r>
      <w:tab/>
    </w:r>
    <w:r w:rsidRPr="00172326">
      <w:t>H/LD/WG/9/</w:t>
    </w:r>
    <w:r w:rsidRPr="00664212">
      <w:t>4</w:t>
    </w:r>
  </w:p>
  <w:p w:rsidR="00221B92" w:rsidRDefault="00221B92" w:rsidP="00291E9B">
    <w:pPr>
      <w:pStyle w:val="Header"/>
      <w:tabs>
        <w:tab w:val="clear" w:pos="9072"/>
        <w:tab w:val="right" w:pos="9270"/>
      </w:tabs>
      <w:rPr>
        <w:noProof/>
      </w:rPr>
    </w:pPr>
    <w:r>
      <w:tab/>
    </w:r>
    <w:r>
      <w:tab/>
    </w:r>
    <w:proofErr w:type="gramStart"/>
    <w:r>
      <w:t>page</w:t>
    </w:r>
    <w:proofErr w:type="gramEnd"/>
    <w:r>
      <w:t xml:space="preserve"> </w:t>
    </w:r>
    <w:r>
      <w:fldChar w:fldCharType="begin"/>
    </w:r>
    <w:r>
      <w:instrText xml:space="preserve"> PAGE   \* MERGEFORMAT </w:instrText>
    </w:r>
    <w:r>
      <w:fldChar w:fldCharType="separate"/>
    </w:r>
    <w:r w:rsidR="004A1923">
      <w:rPr>
        <w:noProof/>
      </w:rPr>
      <w:t>6</w:t>
    </w:r>
    <w:r>
      <w:rPr>
        <w:noProof/>
      </w:rPr>
      <w:fldChar w:fldCharType="end"/>
    </w:r>
  </w:p>
  <w:p w:rsidR="00221B92" w:rsidRDefault="00221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92" w:rsidRDefault="00221B92" w:rsidP="00456E02">
    <w:pPr>
      <w:pStyle w:val="Header"/>
      <w:jc w:val="right"/>
    </w:pPr>
    <w:r w:rsidRPr="00172326">
      <w:t>H/LD/WG/9/</w:t>
    </w:r>
    <w:r w:rsidRPr="00664212">
      <w:t>4</w:t>
    </w:r>
  </w:p>
  <w:p w:rsidR="00221B92" w:rsidRDefault="00221B92" w:rsidP="00456E02">
    <w:pPr>
      <w:pStyle w:val="Header"/>
      <w:jc w:val="right"/>
    </w:pPr>
    <w:r>
      <w:t>ANNEX I</w:t>
    </w:r>
  </w:p>
  <w:p w:rsidR="00221B92" w:rsidRDefault="00221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92" w:rsidRDefault="00221B92" w:rsidP="00456E02">
    <w:pPr>
      <w:pStyle w:val="Header"/>
      <w:jc w:val="right"/>
    </w:pPr>
    <w:r w:rsidRPr="00172326">
      <w:t>H/LD/WG/9/</w:t>
    </w:r>
    <w:r w:rsidRPr="00664212">
      <w:t>4</w:t>
    </w:r>
  </w:p>
  <w:p w:rsidR="00221B92" w:rsidRPr="00291E9B" w:rsidRDefault="00221B92" w:rsidP="00456E02">
    <w:pPr>
      <w:pStyle w:val="Header"/>
      <w:jc w:val="right"/>
      <w:rPr>
        <w:i/>
      </w:rPr>
    </w:pPr>
    <w:r>
      <w:t xml:space="preserve">Annex II, page </w:t>
    </w:r>
    <w:r>
      <w:fldChar w:fldCharType="begin"/>
    </w:r>
    <w:r>
      <w:instrText xml:space="preserve"> PAGE   \* MERGEFORMAT </w:instrText>
    </w:r>
    <w:r>
      <w:fldChar w:fldCharType="separate"/>
    </w:r>
    <w:r w:rsidR="004A1923">
      <w:rPr>
        <w:noProof/>
      </w:rPr>
      <w:t>7</w:t>
    </w:r>
    <w:r>
      <w:rPr>
        <w:noProof/>
      </w:rPr>
      <w:fldChar w:fldCharType="end"/>
    </w:r>
  </w:p>
  <w:p w:rsidR="00221B92" w:rsidRDefault="00221B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92" w:rsidRDefault="00221B92" w:rsidP="000D5B71">
    <w:pPr>
      <w:pStyle w:val="Header"/>
      <w:jc w:val="right"/>
    </w:pPr>
    <w:r w:rsidRPr="007E510E">
      <w:t>H/LD/WG/9/4</w:t>
    </w:r>
  </w:p>
  <w:p w:rsidR="00221B92" w:rsidRDefault="00221B92" w:rsidP="000D5B71">
    <w:pPr>
      <w:pStyle w:val="Header"/>
      <w:jc w:val="right"/>
    </w:pPr>
    <w:r>
      <w:t>ANNEX II</w:t>
    </w:r>
  </w:p>
  <w:p w:rsidR="00221B92" w:rsidRDefault="00221B92" w:rsidP="00456E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D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B1416"/>
    <w:multiLevelType w:val="hybridMultilevel"/>
    <w:tmpl w:val="65062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862CA"/>
    <w:multiLevelType w:val="multilevel"/>
    <w:tmpl w:val="1A9E7794"/>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4"/>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D29E3"/>
    <w:multiLevelType w:val="multilevel"/>
    <w:tmpl w:val="6986D170"/>
    <w:lvl w:ilvl="0">
      <w:start w:val="29"/>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576"/>
        </w:tabs>
        <w:ind w:left="-1143" w:firstLine="0"/>
      </w:pPr>
      <w:rPr>
        <w:rFonts w:hint="default"/>
      </w:rPr>
    </w:lvl>
    <w:lvl w:ilvl="2">
      <w:start w:val="1"/>
      <w:numFmt w:val="lowerRoman"/>
      <w:lvlText w:val="(%3)"/>
      <w:lvlJc w:val="left"/>
      <w:pPr>
        <w:tabs>
          <w:tab w:val="num" w:pos="-9"/>
        </w:tabs>
        <w:ind w:left="-576" w:firstLine="0"/>
      </w:pPr>
      <w:rPr>
        <w:rFonts w:hint="default"/>
      </w:rPr>
    </w:lvl>
    <w:lvl w:ilvl="3">
      <w:start w:val="1"/>
      <w:numFmt w:val="bullet"/>
      <w:lvlText w:val=""/>
      <w:lvlJc w:val="left"/>
      <w:pPr>
        <w:tabs>
          <w:tab w:val="num" w:pos="558"/>
        </w:tabs>
        <w:ind w:left="-9" w:firstLine="0"/>
      </w:pPr>
      <w:rPr>
        <w:rFonts w:hint="default"/>
      </w:rPr>
    </w:lvl>
    <w:lvl w:ilvl="4">
      <w:start w:val="1"/>
      <w:numFmt w:val="bullet"/>
      <w:lvlText w:val=""/>
      <w:lvlJc w:val="left"/>
      <w:pPr>
        <w:tabs>
          <w:tab w:val="num" w:pos="1125"/>
        </w:tabs>
        <w:ind w:left="558" w:firstLine="0"/>
      </w:pPr>
      <w:rPr>
        <w:rFonts w:hint="default"/>
      </w:rPr>
    </w:lvl>
    <w:lvl w:ilvl="5">
      <w:start w:val="1"/>
      <w:numFmt w:val="bullet"/>
      <w:lvlText w:val=""/>
      <w:lvlJc w:val="left"/>
      <w:pPr>
        <w:tabs>
          <w:tab w:val="num" w:pos="1692"/>
        </w:tabs>
        <w:ind w:left="1125" w:firstLine="0"/>
      </w:pPr>
      <w:rPr>
        <w:rFonts w:hint="default"/>
      </w:rPr>
    </w:lvl>
    <w:lvl w:ilvl="6">
      <w:start w:val="1"/>
      <w:numFmt w:val="bullet"/>
      <w:lvlText w:val=""/>
      <w:lvlJc w:val="left"/>
      <w:pPr>
        <w:tabs>
          <w:tab w:val="num" w:pos="2259"/>
        </w:tabs>
        <w:ind w:left="1692" w:firstLine="0"/>
      </w:pPr>
      <w:rPr>
        <w:rFonts w:hint="default"/>
      </w:rPr>
    </w:lvl>
    <w:lvl w:ilvl="7">
      <w:start w:val="1"/>
      <w:numFmt w:val="bullet"/>
      <w:lvlText w:val=""/>
      <w:lvlJc w:val="left"/>
      <w:pPr>
        <w:tabs>
          <w:tab w:val="num" w:pos="2825"/>
        </w:tabs>
        <w:ind w:left="2259" w:firstLine="0"/>
      </w:pPr>
      <w:rPr>
        <w:rFonts w:hint="default"/>
      </w:rPr>
    </w:lvl>
    <w:lvl w:ilvl="8">
      <w:start w:val="1"/>
      <w:numFmt w:val="bullet"/>
      <w:lvlText w:val=""/>
      <w:lvlJc w:val="left"/>
      <w:pPr>
        <w:tabs>
          <w:tab w:val="num" w:pos="3392"/>
        </w:tabs>
        <w:ind w:left="282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F76D4D"/>
    <w:multiLevelType w:val="hybridMultilevel"/>
    <w:tmpl w:val="A698C5CE"/>
    <w:lvl w:ilvl="0" w:tplc="76B6AFD8">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D5550"/>
    <w:multiLevelType w:val="multilevel"/>
    <w:tmpl w:val="B4FCCE7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9A27B7"/>
    <w:multiLevelType w:val="multilevel"/>
    <w:tmpl w:val="594655A0"/>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3"/>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D6E35"/>
    <w:multiLevelType w:val="hybridMultilevel"/>
    <w:tmpl w:val="7AA4498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A32826"/>
    <w:multiLevelType w:val="multilevel"/>
    <w:tmpl w:val="7C1E232C"/>
    <w:lvl w:ilvl="0">
      <w:start w:val="4"/>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514785"/>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AC2943"/>
    <w:multiLevelType w:val="hybridMultilevel"/>
    <w:tmpl w:val="43A0C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E516502"/>
    <w:multiLevelType w:val="hybridMultilevel"/>
    <w:tmpl w:val="A20E7B0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567371"/>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A15530A"/>
    <w:multiLevelType w:val="hybridMultilevel"/>
    <w:tmpl w:val="81E48966"/>
    <w:lvl w:ilvl="0" w:tplc="7988D5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5"/>
  </w:num>
  <w:num w:numId="5">
    <w:abstractNumId w:val="5"/>
  </w:num>
  <w:num w:numId="6">
    <w:abstractNumId w:val="5"/>
    <w:lvlOverride w:ilvl="0">
      <w:startOverride w:val="1"/>
    </w:lvlOverride>
  </w:num>
  <w:num w:numId="7">
    <w:abstractNumId w:val="18"/>
  </w:num>
  <w:num w:numId="8">
    <w:abstractNumId w:val="13"/>
  </w:num>
  <w:num w:numId="9">
    <w:abstractNumId w:val="12"/>
  </w:num>
  <w:num w:numId="10">
    <w:abstractNumId w:val="2"/>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9"/>
  </w:num>
  <w:num w:numId="17">
    <w:abstractNumId w:val="8"/>
  </w:num>
  <w:num w:numId="18">
    <w:abstractNumId w:val="0"/>
  </w:num>
  <w:num w:numId="19">
    <w:abstractNumId w:val="14"/>
  </w:num>
  <w:num w:numId="20">
    <w:abstractNumId w:val="20"/>
  </w:num>
  <w:num w:numId="21">
    <w:abstractNumId w:val="19"/>
  </w:num>
  <w:num w:numId="22">
    <w:abstractNumId w:val="16"/>
  </w:num>
  <w:num w:numId="23">
    <w:abstractNumId w:val="3"/>
  </w:num>
  <w:num w:numId="24">
    <w:abstractNumId w:val="3"/>
  </w:num>
  <w:num w:numId="25">
    <w:abstractNumId w:val="10"/>
  </w:num>
  <w:num w:numId="26">
    <w:abstractNumId w:val="17"/>
  </w:num>
  <w:num w:numId="27">
    <w:abstractNumId w:val="1"/>
  </w:num>
  <w:num w:numId="28">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TrueTypeFonts/>
  <w:saveSubsetFonts/>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0892"/>
    <w:rsid w:val="000008C3"/>
    <w:rsid w:val="00000F01"/>
    <w:rsid w:val="0000297F"/>
    <w:rsid w:val="00003E5B"/>
    <w:rsid w:val="00004585"/>
    <w:rsid w:val="0001191C"/>
    <w:rsid w:val="00011D22"/>
    <w:rsid w:val="00013855"/>
    <w:rsid w:val="000155F3"/>
    <w:rsid w:val="0002050C"/>
    <w:rsid w:val="00022BB9"/>
    <w:rsid w:val="00022C93"/>
    <w:rsid w:val="00025E1C"/>
    <w:rsid w:val="00030A9F"/>
    <w:rsid w:val="00033AB1"/>
    <w:rsid w:val="00034A79"/>
    <w:rsid w:val="0003519F"/>
    <w:rsid w:val="00036ACF"/>
    <w:rsid w:val="00037AB2"/>
    <w:rsid w:val="000403CF"/>
    <w:rsid w:val="00042B9A"/>
    <w:rsid w:val="00043317"/>
    <w:rsid w:val="00043CAA"/>
    <w:rsid w:val="00045788"/>
    <w:rsid w:val="00045E29"/>
    <w:rsid w:val="0005525C"/>
    <w:rsid w:val="00055277"/>
    <w:rsid w:val="00056816"/>
    <w:rsid w:val="00056C7C"/>
    <w:rsid w:val="0005780E"/>
    <w:rsid w:val="0006136B"/>
    <w:rsid w:val="00063830"/>
    <w:rsid w:val="000642D5"/>
    <w:rsid w:val="000660B4"/>
    <w:rsid w:val="00066203"/>
    <w:rsid w:val="000665EA"/>
    <w:rsid w:val="0006733D"/>
    <w:rsid w:val="000679A0"/>
    <w:rsid w:val="0007084E"/>
    <w:rsid w:val="00070B3C"/>
    <w:rsid w:val="00072C3B"/>
    <w:rsid w:val="00075432"/>
    <w:rsid w:val="0007670B"/>
    <w:rsid w:val="00076E3D"/>
    <w:rsid w:val="00076F68"/>
    <w:rsid w:val="0008034C"/>
    <w:rsid w:val="000819B8"/>
    <w:rsid w:val="00083FBD"/>
    <w:rsid w:val="00087BC2"/>
    <w:rsid w:val="000909BE"/>
    <w:rsid w:val="000912DA"/>
    <w:rsid w:val="00091422"/>
    <w:rsid w:val="000918A2"/>
    <w:rsid w:val="000943D8"/>
    <w:rsid w:val="000968ED"/>
    <w:rsid w:val="00097887"/>
    <w:rsid w:val="000A04BA"/>
    <w:rsid w:val="000A1CC7"/>
    <w:rsid w:val="000A264E"/>
    <w:rsid w:val="000A3D97"/>
    <w:rsid w:val="000A4C81"/>
    <w:rsid w:val="000A60FF"/>
    <w:rsid w:val="000A775B"/>
    <w:rsid w:val="000A7826"/>
    <w:rsid w:val="000A7D3E"/>
    <w:rsid w:val="000B26D1"/>
    <w:rsid w:val="000B2AE2"/>
    <w:rsid w:val="000B37EC"/>
    <w:rsid w:val="000B4D8E"/>
    <w:rsid w:val="000B70A5"/>
    <w:rsid w:val="000C0D51"/>
    <w:rsid w:val="000C40B9"/>
    <w:rsid w:val="000C561F"/>
    <w:rsid w:val="000C6860"/>
    <w:rsid w:val="000C77CA"/>
    <w:rsid w:val="000C7FE1"/>
    <w:rsid w:val="000D1A21"/>
    <w:rsid w:val="000D44AB"/>
    <w:rsid w:val="000D4B60"/>
    <w:rsid w:val="000D5B71"/>
    <w:rsid w:val="000D6624"/>
    <w:rsid w:val="000D665D"/>
    <w:rsid w:val="000E2FFA"/>
    <w:rsid w:val="000E5962"/>
    <w:rsid w:val="000F1C9F"/>
    <w:rsid w:val="000F28BB"/>
    <w:rsid w:val="000F4819"/>
    <w:rsid w:val="000F580A"/>
    <w:rsid w:val="000F5E56"/>
    <w:rsid w:val="000F613A"/>
    <w:rsid w:val="000F779C"/>
    <w:rsid w:val="000F7AFF"/>
    <w:rsid w:val="001008ED"/>
    <w:rsid w:val="001011A3"/>
    <w:rsid w:val="00111874"/>
    <w:rsid w:val="00112BED"/>
    <w:rsid w:val="00112FBE"/>
    <w:rsid w:val="001134A8"/>
    <w:rsid w:val="001155FF"/>
    <w:rsid w:val="0011611C"/>
    <w:rsid w:val="0011763C"/>
    <w:rsid w:val="00123C01"/>
    <w:rsid w:val="001256DB"/>
    <w:rsid w:val="00125A87"/>
    <w:rsid w:val="0012706C"/>
    <w:rsid w:val="00132873"/>
    <w:rsid w:val="00132CFC"/>
    <w:rsid w:val="00132F72"/>
    <w:rsid w:val="0013315E"/>
    <w:rsid w:val="00133B13"/>
    <w:rsid w:val="00133D6C"/>
    <w:rsid w:val="00135F0D"/>
    <w:rsid w:val="001362EE"/>
    <w:rsid w:val="00140C49"/>
    <w:rsid w:val="001416B5"/>
    <w:rsid w:val="001418DA"/>
    <w:rsid w:val="00141DBB"/>
    <w:rsid w:val="00142686"/>
    <w:rsid w:val="001427BD"/>
    <w:rsid w:val="00142F3D"/>
    <w:rsid w:val="0014523F"/>
    <w:rsid w:val="00145848"/>
    <w:rsid w:val="0014585A"/>
    <w:rsid w:val="001459FB"/>
    <w:rsid w:val="001502D6"/>
    <w:rsid w:val="00151AA9"/>
    <w:rsid w:val="001566C8"/>
    <w:rsid w:val="00156E09"/>
    <w:rsid w:val="0016209F"/>
    <w:rsid w:val="00162110"/>
    <w:rsid w:val="00162741"/>
    <w:rsid w:val="001647D5"/>
    <w:rsid w:val="0016520C"/>
    <w:rsid w:val="00166017"/>
    <w:rsid w:val="00166617"/>
    <w:rsid w:val="0016764E"/>
    <w:rsid w:val="0017116C"/>
    <w:rsid w:val="00172326"/>
    <w:rsid w:val="00173012"/>
    <w:rsid w:val="001737FC"/>
    <w:rsid w:val="00174D01"/>
    <w:rsid w:val="001763AA"/>
    <w:rsid w:val="00177CC2"/>
    <w:rsid w:val="001814CD"/>
    <w:rsid w:val="001832A6"/>
    <w:rsid w:val="001853A9"/>
    <w:rsid w:val="001855AB"/>
    <w:rsid w:val="00187708"/>
    <w:rsid w:val="001A0CCA"/>
    <w:rsid w:val="001A3588"/>
    <w:rsid w:val="001A6850"/>
    <w:rsid w:val="001A6B8B"/>
    <w:rsid w:val="001B05DF"/>
    <w:rsid w:val="001C18E7"/>
    <w:rsid w:val="001D056C"/>
    <w:rsid w:val="001D1E05"/>
    <w:rsid w:val="001D212D"/>
    <w:rsid w:val="001D4107"/>
    <w:rsid w:val="001D519E"/>
    <w:rsid w:val="001D52BE"/>
    <w:rsid w:val="001D6646"/>
    <w:rsid w:val="001D749C"/>
    <w:rsid w:val="001E0519"/>
    <w:rsid w:val="001E0999"/>
    <w:rsid w:val="001E1191"/>
    <w:rsid w:val="001E135C"/>
    <w:rsid w:val="001E6A40"/>
    <w:rsid w:val="001E6EE5"/>
    <w:rsid w:val="001E795B"/>
    <w:rsid w:val="001E7D53"/>
    <w:rsid w:val="001F0B8A"/>
    <w:rsid w:val="001F2F52"/>
    <w:rsid w:val="001F6C2F"/>
    <w:rsid w:val="001F7519"/>
    <w:rsid w:val="001F75EF"/>
    <w:rsid w:val="00201F19"/>
    <w:rsid w:val="00203D24"/>
    <w:rsid w:val="00207DAE"/>
    <w:rsid w:val="00211544"/>
    <w:rsid w:val="0021217E"/>
    <w:rsid w:val="00217ED4"/>
    <w:rsid w:val="00221B92"/>
    <w:rsid w:val="00222E5C"/>
    <w:rsid w:val="00222EEA"/>
    <w:rsid w:val="00230088"/>
    <w:rsid w:val="002308ED"/>
    <w:rsid w:val="002313B5"/>
    <w:rsid w:val="00234A90"/>
    <w:rsid w:val="002361FD"/>
    <w:rsid w:val="00237CC9"/>
    <w:rsid w:val="00241EE9"/>
    <w:rsid w:val="002432F7"/>
    <w:rsid w:val="00243430"/>
    <w:rsid w:val="0024397B"/>
    <w:rsid w:val="00251ACB"/>
    <w:rsid w:val="00256ED1"/>
    <w:rsid w:val="002606F8"/>
    <w:rsid w:val="002634C4"/>
    <w:rsid w:val="002635C5"/>
    <w:rsid w:val="00263FDC"/>
    <w:rsid w:val="0026706B"/>
    <w:rsid w:val="00267E9F"/>
    <w:rsid w:val="002704F1"/>
    <w:rsid w:val="00270ED3"/>
    <w:rsid w:val="002732A4"/>
    <w:rsid w:val="002765FC"/>
    <w:rsid w:val="0027715D"/>
    <w:rsid w:val="00283E31"/>
    <w:rsid w:val="00285553"/>
    <w:rsid w:val="0028668A"/>
    <w:rsid w:val="00287074"/>
    <w:rsid w:val="00291E9B"/>
    <w:rsid w:val="002925C4"/>
    <w:rsid w:val="002928D3"/>
    <w:rsid w:val="00292ACA"/>
    <w:rsid w:val="00292F17"/>
    <w:rsid w:val="00294C2E"/>
    <w:rsid w:val="00297517"/>
    <w:rsid w:val="00297806"/>
    <w:rsid w:val="002A0025"/>
    <w:rsid w:val="002A077A"/>
    <w:rsid w:val="002A3678"/>
    <w:rsid w:val="002A3C3C"/>
    <w:rsid w:val="002A74E6"/>
    <w:rsid w:val="002A7FC2"/>
    <w:rsid w:val="002B443A"/>
    <w:rsid w:val="002B4D17"/>
    <w:rsid w:val="002B5869"/>
    <w:rsid w:val="002B7AFC"/>
    <w:rsid w:val="002C01BA"/>
    <w:rsid w:val="002C01CB"/>
    <w:rsid w:val="002C1FA2"/>
    <w:rsid w:val="002C2241"/>
    <w:rsid w:val="002C2885"/>
    <w:rsid w:val="002C429D"/>
    <w:rsid w:val="002C4447"/>
    <w:rsid w:val="002C53CC"/>
    <w:rsid w:val="002C59F0"/>
    <w:rsid w:val="002C7AC3"/>
    <w:rsid w:val="002D2E4A"/>
    <w:rsid w:val="002D343F"/>
    <w:rsid w:val="002D40B5"/>
    <w:rsid w:val="002E0FC0"/>
    <w:rsid w:val="002E2ADC"/>
    <w:rsid w:val="002E2BE4"/>
    <w:rsid w:val="002E2D0F"/>
    <w:rsid w:val="002E380F"/>
    <w:rsid w:val="002F0016"/>
    <w:rsid w:val="002F1FE6"/>
    <w:rsid w:val="002F3B55"/>
    <w:rsid w:val="002F4E68"/>
    <w:rsid w:val="002F716D"/>
    <w:rsid w:val="0030654F"/>
    <w:rsid w:val="00306845"/>
    <w:rsid w:val="003069CB"/>
    <w:rsid w:val="003079EB"/>
    <w:rsid w:val="00311DAC"/>
    <w:rsid w:val="00312F7F"/>
    <w:rsid w:val="00312FCE"/>
    <w:rsid w:val="003148F7"/>
    <w:rsid w:val="003155EF"/>
    <w:rsid w:val="003211FA"/>
    <w:rsid w:val="003217D4"/>
    <w:rsid w:val="003218DB"/>
    <w:rsid w:val="00324C35"/>
    <w:rsid w:val="00326C14"/>
    <w:rsid w:val="00327709"/>
    <w:rsid w:val="0033353D"/>
    <w:rsid w:val="00336B90"/>
    <w:rsid w:val="0033756D"/>
    <w:rsid w:val="00342B2F"/>
    <w:rsid w:val="003436F2"/>
    <w:rsid w:val="003467CB"/>
    <w:rsid w:val="00346DCB"/>
    <w:rsid w:val="00351B20"/>
    <w:rsid w:val="00353D7D"/>
    <w:rsid w:val="00354B85"/>
    <w:rsid w:val="00354FAE"/>
    <w:rsid w:val="003601E2"/>
    <w:rsid w:val="00361450"/>
    <w:rsid w:val="003673CF"/>
    <w:rsid w:val="00372ED7"/>
    <w:rsid w:val="0037410C"/>
    <w:rsid w:val="003758C3"/>
    <w:rsid w:val="00376222"/>
    <w:rsid w:val="00376D37"/>
    <w:rsid w:val="0038329C"/>
    <w:rsid w:val="003845C1"/>
    <w:rsid w:val="00384EF6"/>
    <w:rsid w:val="003861D5"/>
    <w:rsid w:val="003869E9"/>
    <w:rsid w:val="00386F89"/>
    <w:rsid w:val="00387D66"/>
    <w:rsid w:val="003919C3"/>
    <w:rsid w:val="00392573"/>
    <w:rsid w:val="003926E8"/>
    <w:rsid w:val="00392962"/>
    <w:rsid w:val="00392FE0"/>
    <w:rsid w:val="0039441F"/>
    <w:rsid w:val="003961B7"/>
    <w:rsid w:val="00396739"/>
    <w:rsid w:val="003972C0"/>
    <w:rsid w:val="003A189D"/>
    <w:rsid w:val="003A2A5D"/>
    <w:rsid w:val="003A505E"/>
    <w:rsid w:val="003A5793"/>
    <w:rsid w:val="003A6243"/>
    <w:rsid w:val="003A6F89"/>
    <w:rsid w:val="003A74B9"/>
    <w:rsid w:val="003A7876"/>
    <w:rsid w:val="003B38C1"/>
    <w:rsid w:val="003B4B81"/>
    <w:rsid w:val="003C0BA8"/>
    <w:rsid w:val="003C34E9"/>
    <w:rsid w:val="003C46A9"/>
    <w:rsid w:val="003C6B51"/>
    <w:rsid w:val="003C73DA"/>
    <w:rsid w:val="003D083F"/>
    <w:rsid w:val="003D0911"/>
    <w:rsid w:val="003D3D9B"/>
    <w:rsid w:val="003D4895"/>
    <w:rsid w:val="003D566A"/>
    <w:rsid w:val="003E0715"/>
    <w:rsid w:val="003E1341"/>
    <w:rsid w:val="003E340C"/>
    <w:rsid w:val="003E477C"/>
    <w:rsid w:val="003E50AD"/>
    <w:rsid w:val="003E5757"/>
    <w:rsid w:val="003E5E20"/>
    <w:rsid w:val="003F790B"/>
    <w:rsid w:val="0040225F"/>
    <w:rsid w:val="00402CD8"/>
    <w:rsid w:val="00403E96"/>
    <w:rsid w:val="00404417"/>
    <w:rsid w:val="00405916"/>
    <w:rsid w:val="00406A52"/>
    <w:rsid w:val="00410E98"/>
    <w:rsid w:val="00411018"/>
    <w:rsid w:val="00414146"/>
    <w:rsid w:val="00414392"/>
    <w:rsid w:val="00415AD9"/>
    <w:rsid w:val="00415C36"/>
    <w:rsid w:val="00421268"/>
    <w:rsid w:val="00423973"/>
    <w:rsid w:val="00423E3E"/>
    <w:rsid w:val="004243F5"/>
    <w:rsid w:val="0042460A"/>
    <w:rsid w:val="00426BF9"/>
    <w:rsid w:val="00427AF4"/>
    <w:rsid w:val="00430D58"/>
    <w:rsid w:val="00430F9F"/>
    <w:rsid w:val="0043156E"/>
    <w:rsid w:val="00435E97"/>
    <w:rsid w:val="00435ED7"/>
    <w:rsid w:val="004362D2"/>
    <w:rsid w:val="00436377"/>
    <w:rsid w:val="004373C2"/>
    <w:rsid w:val="00437AD8"/>
    <w:rsid w:val="00437C06"/>
    <w:rsid w:val="00443120"/>
    <w:rsid w:val="00444568"/>
    <w:rsid w:val="00444580"/>
    <w:rsid w:val="00444C06"/>
    <w:rsid w:val="004537B6"/>
    <w:rsid w:val="00456E02"/>
    <w:rsid w:val="00457A4F"/>
    <w:rsid w:val="004647DA"/>
    <w:rsid w:val="004657E3"/>
    <w:rsid w:val="0047019B"/>
    <w:rsid w:val="00471BCF"/>
    <w:rsid w:val="00474062"/>
    <w:rsid w:val="00474ABA"/>
    <w:rsid w:val="00475D83"/>
    <w:rsid w:val="00477D6B"/>
    <w:rsid w:val="00483F73"/>
    <w:rsid w:val="00484465"/>
    <w:rsid w:val="00487482"/>
    <w:rsid w:val="00490F99"/>
    <w:rsid w:val="004919F3"/>
    <w:rsid w:val="00492032"/>
    <w:rsid w:val="0049411C"/>
    <w:rsid w:val="0049561B"/>
    <w:rsid w:val="004971C9"/>
    <w:rsid w:val="00497752"/>
    <w:rsid w:val="00497FD3"/>
    <w:rsid w:val="004A04CC"/>
    <w:rsid w:val="004A1923"/>
    <w:rsid w:val="004A1A75"/>
    <w:rsid w:val="004A2F39"/>
    <w:rsid w:val="004A7C3A"/>
    <w:rsid w:val="004B254F"/>
    <w:rsid w:val="004B294B"/>
    <w:rsid w:val="004B2AA0"/>
    <w:rsid w:val="004B420C"/>
    <w:rsid w:val="004C04AE"/>
    <w:rsid w:val="004C0946"/>
    <w:rsid w:val="004C4104"/>
    <w:rsid w:val="004C5B4C"/>
    <w:rsid w:val="004C7ECA"/>
    <w:rsid w:val="004D1215"/>
    <w:rsid w:val="004D385F"/>
    <w:rsid w:val="004D65EA"/>
    <w:rsid w:val="004E1708"/>
    <w:rsid w:val="004E28A6"/>
    <w:rsid w:val="004E380F"/>
    <w:rsid w:val="004E73E5"/>
    <w:rsid w:val="004F0957"/>
    <w:rsid w:val="004F2895"/>
    <w:rsid w:val="004F465E"/>
    <w:rsid w:val="004F46F2"/>
    <w:rsid w:val="004F53F3"/>
    <w:rsid w:val="004F6068"/>
    <w:rsid w:val="004F6240"/>
    <w:rsid w:val="005019FF"/>
    <w:rsid w:val="00504BB1"/>
    <w:rsid w:val="00505691"/>
    <w:rsid w:val="00511390"/>
    <w:rsid w:val="00511FF4"/>
    <w:rsid w:val="00514178"/>
    <w:rsid w:val="00515B76"/>
    <w:rsid w:val="00516D54"/>
    <w:rsid w:val="00517FBC"/>
    <w:rsid w:val="005200DD"/>
    <w:rsid w:val="00520188"/>
    <w:rsid w:val="005250FE"/>
    <w:rsid w:val="005252CC"/>
    <w:rsid w:val="00525AD3"/>
    <w:rsid w:val="0052722C"/>
    <w:rsid w:val="00527F9C"/>
    <w:rsid w:val="0053057A"/>
    <w:rsid w:val="005348BA"/>
    <w:rsid w:val="005360DD"/>
    <w:rsid w:val="00536BD8"/>
    <w:rsid w:val="005422E6"/>
    <w:rsid w:val="00542F78"/>
    <w:rsid w:val="0054695B"/>
    <w:rsid w:val="0055091D"/>
    <w:rsid w:val="0055123A"/>
    <w:rsid w:val="00552228"/>
    <w:rsid w:val="00552761"/>
    <w:rsid w:val="0055290C"/>
    <w:rsid w:val="00553A93"/>
    <w:rsid w:val="00554C55"/>
    <w:rsid w:val="00554C94"/>
    <w:rsid w:val="00555FC4"/>
    <w:rsid w:val="00555FC5"/>
    <w:rsid w:val="00556076"/>
    <w:rsid w:val="00556656"/>
    <w:rsid w:val="00557C9D"/>
    <w:rsid w:val="00560A29"/>
    <w:rsid w:val="00563B0D"/>
    <w:rsid w:val="00563B40"/>
    <w:rsid w:val="00564A7B"/>
    <w:rsid w:val="00564C3A"/>
    <w:rsid w:val="005667F4"/>
    <w:rsid w:val="00567020"/>
    <w:rsid w:val="005672E3"/>
    <w:rsid w:val="00573300"/>
    <w:rsid w:val="00575BD9"/>
    <w:rsid w:val="00577FE1"/>
    <w:rsid w:val="00581876"/>
    <w:rsid w:val="00584163"/>
    <w:rsid w:val="00587726"/>
    <w:rsid w:val="00592E14"/>
    <w:rsid w:val="00593E53"/>
    <w:rsid w:val="00594030"/>
    <w:rsid w:val="005A1683"/>
    <w:rsid w:val="005B19DA"/>
    <w:rsid w:val="005B34EC"/>
    <w:rsid w:val="005B5CA1"/>
    <w:rsid w:val="005B771C"/>
    <w:rsid w:val="005C41F3"/>
    <w:rsid w:val="005C4F91"/>
    <w:rsid w:val="005C6649"/>
    <w:rsid w:val="005D1336"/>
    <w:rsid w:val="005D19C3"/>
    <w:rsid w:val="005D5697"/>
    <w:rsid w:val="005E0C04"/>
    <w:rsid w:val="005E26FE"/>
    <w:rsid w:val="005E43F0"/>
    <w:rsid w:val="005E4442"/>
    <w:rsid w:val="005E44DD"/>
    <w:rsid w:val="005E5EC7"/>
    <w:rsid w:val="005E7885"/>
    <w:rsid w:val="005E7B6C"/>
    <w:rsid w:val="005F35D8"/>
    <w:rsid w:val="005F7A9B"/>
    <w:rsid w:val="00605827"/>
    <w:rsid w:val="00606BDE"/>
    <w:rsid w:val="00607409"/>
    <w:rsid w:val="00607C65"/>
    <w:rsid w:val="00607CD3"/>
    <w:rsid w:val="00610874"/>
    <w:rsid w:val="006130FA"/>
    <w:rsid w:val="006138AF"/>
    <w:rsid w:val="006142AA"/>
    <w:rsid w:val="00617478"/>
    <w:rsid w:val="0062119F"/>
    <w:rsid w:val="00621780"/>
    <w:rsid w:val="00622642"/>
    <w:rsid w:val="00624285"/>
    <w:rsid w:val="0063059E"/>
    <w:rsid w:val="00631277"/>
    <w:rsid w:val="00632D7F"/>
    <w:rsid w:val="0063405E"/>
    <w:rsid w:val="00635015"/>
    <w:rsid w:val="00637936"/>
    <w:rsid w:val="00637F8D"/>
    <w:rsid w:val="00640ACD"/>
    <w:rsid w:val="00642488"/>
    <w:rsid w:val="0064479B"/>
    <w:rsid w:val="00646050"/>
    <w:rsid w:val="00646270"/>
    <w:rsid w:val="006462D9"/>
    <w:rsid w:val="00652385"/>
    <w:rsid w:val="00652660"/>
    <w:rsid w:val="00654010"/>
    <w:rsid w:val="006540FD"/>
    <w:rsid w:val="00654517"/>
    <w:rsid w:val="006550B8"/>
    <w:rsid w:val="00655BE0"/>
    <w:rsid w:val="00655EE0"/>
    <w:rsid w:val="00656457"/>
    <w:rsid w:val="0066138A"/>
    <w:rsid w:val="006624AB"/>
    <w:rsid w:val="00664212"/>
    <w:rsid w:val="006650D0"/>
    <w:rsid w:val="0066593C"/>
    <w:rsid w:val="00667B16"/>
    <w:rsid w:val="006710BB"/>
    <w:rsid w:val="006713CA"/>
    <w:rsid w:val="00674EAE"/>
    <w:rsid w:val="0067514F"/>
    <w:rsid w:val="00676C5C"/>
    <w:rsid w:val="00680ADF"/>
    <w:rsid w:val="00682960"/>
    <w:rsid w:val="00683187"/>
    <w:rsid w:val="00685D23"/>
    <w:rsid w:val="0069039A"/>
    <w:rsid w:val="00690C35"/>
    <w:rsid w:val="00693D82"/>
    <w:rsid w:val="00694289"/>
    <w:rsid w:val="006A409A"/>
    <w:rsid w:val="006A4B3E"/>
    <w:rsid w:val="006A51AA"/>
    <w:rsid w:val="006B29F2"/>
    <w:rsid w:val="006B2BF7"/>
    <w:rsid w:val="006B310D"/>
    <w:rsid w:val="006B3E13"/>
    <w:rsid w:val="006C095A"/>
    <w:rsid w:val="006C5864"/>
    <w:rsid w:val="006C5A62"/>
    <w:rsid w:val="006D5BE7"/>
    <w:rsid w:val="006D6A5F"/>
    <w:rsid w:val="006D78CC"/>
    <w:rsid w:val="006E1B1D"/>
    <w:rsid w:val="006F13D4"/>
    <w:rsid w:val="006F1FFA"/>
    <w:rsid w:val="006F2488"/>
    <w:rsid w:val="006F68E2"/>
    <w:rsid w:val="00702349"/>
    <w:rsid w:val="007025E6"/>
    <w:rsid w:val="00703421"/>
    <w:rsid w:val="0070362D"/>
    <w:rsid w:val="00703C43"/>
    <w:rsid w:val="00704D3F"/>
    <w:rsid w:val="00706CC5"/>
    <w:rsid w:val="00706E96"/>
    <w:rsid w:val="00707ADC"/>
    <w:rsid w:val="007112FC"/>
    <w:rsid w:val="0071294A"/>
    <w:rsid w:val="00712DE6"/>
    <w:rsid w:val="00714C22"/>
    <w:rsid w:val="00720035"/>
    <w:rsid w:val="00720DC2"/>
    <w:rsid w:val="00720EFD"/>
    <w:rsid w:val="00721838"/>
    <w:rsid w:val="007228C6"/>
    <w:rsid w:val="007254DB"/>
    <w:rsid w:val="00727D71"/>
    <w:rsid w:val="00730243"/>
    <w:rsid w:val="00730570"/>
    <w:rsid w:val="00731562"/>
    <w:rsid w:val="007335B8"/>
    <w:rsid w:val="00733600"/>
    <w:rsid w:val="007343CE"/>
    <w:rsid w:val="00737D47"/>
    <w:rsid w:val="00740A0B"/>
    <w:rsid w:val="00741E79"/>
    <w:rsid w:val="00742151"/>
    <w:rsid w:val="00742AB9"/>
    <w:rsid w:val="007431D7"/>
    <w:rsid w:val="007434E1"/>
    <w:rsid w:val="00743803"/>
    <w:rsid w:val="007478F7"/>
    <w:rsid w:val="00753206"/>
    <w:rsid w:val="0075521B"/>
    <w:rsid w:val="007568E2"/>
    <w:rsid w:val="00756D72"/>
    <w:rsid w:val="00761C0A"/>
    <w:rsid w:val="00764308"/>
    <w:rsid w:val="00764870"/>
    <w:rsid w:val="00764940"/>
    <w:rsid w:val="00765019"/>
    <w:rsid w:val="00766F06"/>
    <w:rsid w:val="007706DA"/>
    <w:rsid w:val="0077147B"/>
    <w:rsid w:val="00771FCF"/>
    <w:rsid w:val="007724FC"/>
    <w:rsid w:val="007737AA"/>
    <w:rsid w:val="00773957"/>
    <w:rsid w:val="007763BA"/>
    <w:rsid w:val="00777009"/>
    <w:rsid w:val="00777F2F"/>
    <w:rsid w:val="00780ED6"/>
    <w:rsid w:val="007863F5"/>
    <w:rsid w:val="00786EFB"/>
    <w:rsid w:val="00787F9C"/>
    <w:rsid w:val="00790512"/>
    <w:rsid w:val="007923CC"/>
    <w:rsid w:val="00792BBA"/>
    <w:rsid w:val="007933B9"/>
    <w:rsid w:val="00793A7C"/>
    <w:rsid w:val="0079434F"/>
    <w:rsid w:val="00794AF3"/>
    <w:rsid w:val="007A398A"/>
    <w:rsid w:val="007A3FBF"/>
    <w:rsid w:val="007A4C2A"/>
    <w:rsid w:val="007A5F5F"/>
    <w:rsid w:val="007B0BAD"/>
    <w:rsid w:val="007B1A5C"/>
    <w:rsid w:val="007B1BFF"/>
    <w:rsid w:val="007B4185"/>
    <w:rsid w:val="007B4258"/>
    <w:rsid w:val="007B435D"/>
    <w:rsid w:val="007B448F"/>
    <w:rsid w:val="007B500D"/>
    <w:rsid w:val="007B6179"/>
    <w:rsid w:val="007C01F7"/>
    <w:rsid w:val="007C04E1"/>
    <w:rsid w:val="007C2071"/>
    <w:rsid w:val="007C7DA7"/>
    <w:rsid w:val="007D139C"/>
    <w:rsid w:val="007D1613"/>
    <w:rsid w:val="007D1B48"/>
    <w:rsid w:val="007D4814"/>
    <w:rsid w:val="007D59BD"/>
    <w:rsid w:val="007D7787"/>
    <w:rsid w:val="007D7E7F"/>
    <w:rsid w:val="007E0189"/>
    <w:rsid w:val="007E1097"/>
    <w:rsid w:val="007E32EC"/>
    <w:rsid w:val="007E3C41"/>
    <w:rsid w:val="007E3D6E"/>
    <w:rsid w:val="007E4C0E"/>
    <w:rsid w:val="007E510E"/>
    <w:rsid w:val="007F13D8"/>
    <w:rsid w:val="007F1911"/>
    <w:rsid w:val="007F2022"/>
    <w:rsid w:val="007F5EDA"/>
    <w:rsid w:val="007F7E88"/>
    <w:rsid w:val="00802BD1"/>
    <w:rsid w:val="00803EAC"/>
    <w:rsid w:val="00804446"/>
    <w:rsid w:val="008044C5"/>
    <w:rsid w:val="00805A35"/>
    <w:rsid w:val="00810571"/>
    <w:rsid w:val="00811E66"/>
    <w:rsid w:val="008133FF"/>
    <w:rsid w:val="00813914"/>
    <w:rsid w:val="0081539E"/>
    <w:rsid w:val="00822530"/>
    <w:rsid w:val="008231CA"/>
    <w:rsid w:val="00824B08"/>
    <w:rsid w:val="0082503B"/>
    <w:rsid w:val="008301FB"/>
    <w:rsid w:val="008317E8"/>
    <w:rsid w:val="0083259D"/>
    <w:rsid w:val="00835EE0"/>
    <w:rsid w:val="008379A3"/>
    <w:rsid w:val="008419F0"/>
    <w:rsid w:val="00842C3A"/>
    <w:rsid w:val="00842EE1"/>
    <w:rsid w:val="008436D5"/>
    <w:rsid w:val="00844A71"/>
    <w:rsid w:val="00847CBC"/>
    <w:rsid w:val="00855A90"/>
    <w:rsid w:val="00860155"/>
    <w:rsid w:val="00871EF0"/>
    <w:rsid w:val="00872243"/>
    <w:rsid w:val="00872FA1"/>
    <w:rsid w:val="008743D8"/>
    <w:rsid w:val="008765E4"/>
    <w:rsid w:val="008771BD"/>
    <w:rsid w:val="00882802"/>
    <w:rsid w:val="00883476"/>
    <w:rsid w:val="00883A31"/>
    <w:rsid w:val="00886C48"/>
    <w:rsid w:val="00887200"/>
    <w:rsid w:val="008875DE"/>
    <w:rsid w:val="00891741"/>
    <w:rsid w:val="0089420B"/>
    <w:rsid w:val="008953E2"/>
    <w:rsid w:val="00896907"/>
    <w:rsid w:val="00897CA4"/>
    <w:rsid w:val="008A015A"/>
    <w:rsid w:val="008A134B"/>
    <w:rsid w:val="008A725C"/>
    <w:rsid w:val="008A75FD"/>
    <w:rsid w:val="008B2CC1"/>
    <w:rsid w:val="008B4738"/>
    <w:rsid w:val="008B60B2"/>
    <w:rsid w:val="008B7D37"/>
    <w:rsid w:val="008C0C24"/>
    <w:rsid w:val="008C2F85"/>
    <w:rsid w:val="008C477B"/>
    <w:rsid w:val="008C5FEB"/>
    <w:rsid w:val="008C70AA"/>
    <w:rsid w:val="008D2F93"/>
    <w:rsid w:val="008D5C87"/>
    <w:rsid w:val="008E079A"/>
    <w:rsid w:val="008E137E"/>
    <w:rsid w:val="008E2CF3"/>
    <w:rsid w:val="008E5B08"/>
    <w:rsid w:val="008E614F"/>
    <w:rsid w:val="008F3EE7"/>
    <w:rsid w:val="008F43EF"/>
    <w:rsid w:val="008F45FD"/>
    <w:rsid w:val="008F6958"/>
    <w:rsid w:val="00900B2E"/>
    <w:rsid w:val="009044E4"/>
    <w:rsid w:val="00905135"/>
    <w:rsid w:val="0090731E"/>
    <w:rsid w:val="00914D64"/>
    <w:rsid w:val="00916EE2"/>
    <w:rsid w:val="009172D1"/>
    <w:rsid w:val="00920B48"/>
    <w:rsid w:val="00921638"/>
    <w:rsid w:val="0092172F"/>
    <w:rsid w:val="00922B2A"/>
    <w:rsid w:val="00923B95"/>
    <w:rsid w:val="00924711"/>
    <w:rsid w:val="00924CB1"/>
    <w:rsid w:val="009367D8"/>
    <w:rsid w:val="0093767F"/>
    <w:rsid w:val="00941733"/>
    <w:rsid w:val="00943008"/>
    <w:rsid w:val="00950E75"/>
    <w:rsid w:val="009524C9"/>
    <w:rsid w:val="00953968"/>
    <w:rsid w:val="00954276"/>
    <w:rsid w:val="0095648C"/>
    <w:rsid w:val="0095752D"/>
    <w:rsid w:val="0096262D"/>
    <w:rsid w:val="0096358D"/>
    <w:rsid w:val="00966A22"/>
    <w:rsid w:val="0096722F"/>
    <w:rsid w:val="0097021D"/>
    <w:rsid w:val="00971AFB"/>
    <w:rsid w:val="00971FF3"/>
    <w:rsid w:val="009723B8"/>
    <w:rsid w:val="00973867"/>
    <w:rsid w:val="00974B39"/>
    <w:rsid w:val="00974C06"/>
    <w:rsid w:val="00974D2C"/>
    <w:rsid w:val="00974F7C"/>
    <w:rsid w:val="009755F6"/>
    <w:rsid w:val="00975798"/>
    <w:rsid w:val="009765F7"/>
    <w:rsid w:val="00977BFA"/>
    <w:rsid w:val="00980843"/>
    <w:rsid w:val="00981655"/>
    <w:rsid w:val="009819E8"/>
    <w:rsid w:val="009824BA"/>
    <w:rsid w:val="00982DEF"/>
    <w:rsid w:val="009863FC"/>
    <w:rsid w:val="009902EC"/>
    <w:rsid w:val="00992D32"/>
    <w:rsid w:val="00993337"/>
    <w:rsid w:val="00993E2D"/>
    <w:rsid w:val="00994311"/>
    <w:rsid w:val="009955D6"/>
    <w:rsid w:val="00995834"/>
    <w:rsid w:val="00996196"/>
    <w:rsid w:val="009A4483"/>
    <w:rsid w:val="009A4B10"/>
    <w:rsid w:val="009A4B93"/>
    <w:rsid w:val="009B025F"/>
    <w:rsid w:val="009B3C41"/>
    <w:rsid w:val="009B60E1"/>
    <w:rsid w:val="009B7FDD"/>
    <w:rsid w:val="009C0468"/>
    <w:rsid w:val="009C38E1"/>
    <w:rsid w:val="009C4CCE"/>
    <w:rsid w:val="009C5684"/>
    <w:rsid w:val="009C5735"/>
    <w:rsid w:val="009C6581"/>
    <w:rsid w:val="009E08AF"/>
    <w:rsid w:val="009E2791"/>
    <w:rsid w:val="009E3F6F"/>
    <w:rsid w:val="009E5784"/>
    <w:rsid w:val="009E5E9D"/>
    <w:rsid w:val="009E7324"/>
    <w:rsid w:val="009F33EB"/>
    <w:rsid w:val="009F471A"/>
    <w:rsid w:val="009F499F"/>
    <w:rsid w:val="009F5228"/>
    <w:rsid w:val="009F5A9B"/>
    <w:rsid w:val="00A00F8B"/>
    <w:rsid w:val="00A0347E"/>
    <w:rsid w:val="00A04926"/>
    <w:rsid w:val="00A04C4A"/>
    <w:rsid w:val="00A05B0A"/>
    <w:rsid w:val="00A1185B"/>
    <w:rsid w:val="00A1276A"/>
    <w:rsid w:val="00A16120"/>
    <w:rsid w:val="00A21808"/>
    <w:rsid w:val="00A24CCF"/>
    <w:rsid w:val="00A26029"/>
    <w:rsid w:val="00A26111"/>
    <w:rsid w:val="00A26664"/>
    <w:rsid w:val="00A30A61"/>
    <w:rsid w:val="00A319F3"/>
    <w:rsid w:val="00A34F2B"/>
    <w:rsid w:val="00A35FFC"/>
    <w:rsid w:val="00A36AB3"/>
    <w:rsid w:val="00A36E0E"/>
    <w:rsid w:val="00A37305"/>
    <w:rsid w:val="00A37342"/>
    <w:rsid w:val="00A428C5"/>
    <w:rsid w:val="00A42DAF"/>
    <w:rsid w:val="00A4408D"/>
    <w:rsid w:val="00A458CA"/>
    <w:rsid w:val="00A45BD8"/>
    <w:rsid w:val="00A46894"/>
    <w:rsid w:val="00A47D79"/>
    <w:rsid w:val="00A53031"/>
    <w:rsid w:val="00A555CF"/>
    <w:rsid w:val="00A55989"/>
    <w:rsid w:val="00A66536"/>
    <w:rsid w:val="00A67BA9"/>
    <w:rsid w:val="00A70344"/>
    <w:rsid w:val="00A74224"/>
    <w:rsid w:val="00A759CD"/>
    <w:rsid w:val="00A77773"/>
    <w:rsid w:val="00A836B6"/>
    <w:rsid w:val="00A8430E"/>
    <w:rsid w:val="00A849D8"/>
    <w:rsid w:val="00A869B7"/>
    <w:rsid w:val="00A91757"/>
    <w:rsid w:val="00A92E96"/>
    <w:rsid w:val="00A93167"/>
    <w:rsid w:val="00A94522"/>
    <w:rsid w:val="00A95A35"/>
    <w:rsid w:val="00AA05B2"/>
    <w:rsid w:val="00AA4977"/>
    <w:rsid w:val="00AA5699"/>
    <w:rsid w:val="00AA6E22"/>
    <w:rsid w:val="00AB2645"/>
    <w:rsid w:val="00AB5C3D"/>
    <w:rsid w:val="00AB6323"/>
    <w:rsid w:val="00AC205C"/>
    <w:rsid w:val="00AC337A"/>
    <w:rsid w:val="00AC7EA9"/>
    <w:rsid w:val="00AD056E"/>
    <w:rsid w:val="00AD273D"/>
    <w:rsid w:val="00AD4896"/>
    <w:rsid w:val="00AE24D4"/>
    <w:rsid w:val="00AE280B"/>
    <w:rsid w:val="00AE38DE"/>
    <w:rsid w:val="00AE3EC6"/>
    <w:rsid w:val="00AE5FA0"/>
    <w:rsid w:val="00AE725B"/>
    <w:rsid w:val="00AE739A"/>
    <w:rsid w:val="00AF04DB"/>
    <w:rsid w:val="00AF0A6B"/>
    <w:rsid w:val="00AF3212"/>
    <w:rsid w:val="00AF4786"/>
    <w:rsid w:val="00AF4FD6"/>
    <w:rsid w:val="00AF59F3"/>
    <w:rsid w:val="00AF65D9"/>
    <w:rsid w:val="00B0098F"/>
    <w:rsid w:val="00B05A69"/>
    <w:rsid w:val="00B05E4F"/>
    <w:rsid w:val="00B05F2B"/>
    <w:rsid w:val="00B067AC"/>
    <w:rsid w:val="00B07593"/>
    <w:rsid w:val="00B10143"/>
    <w:rsid w:val="00B123D8"/>
    <w:rsid w:val="00B14292"/>
    <w:rsid w:val="00B14DAF"/>
    <w:rsid w:val="00B22B54"/>
    <w:rsid w:val="00B237ED"/>
    <w:rsid w:val="00B23BBD"/>
    <w:rsid w:val="00B24AC6"/>
    <w:rsid w:val="00B24CBF"/>
    <w:rsid w:val="00B24DE4"/>
    <w:rsid w:val="00B25737"/>
    <w:rsid w:val="00B3252F"/>
    <w:rsid w:val="00B3553E"/>
    <w:rsid w:val="00B36FAA"/>
    <w:rsid w:val="00B410FF"/>
    <w:rsid w:val="00B41515"/>
    <w:rsid w:val="00B430B6"/>
    <w:rsid w:val="00B447CF"/>
    <w:rsid w:val="00B44AB7"/>
    <w:rsid w:val="00B44BD8"/>
    <w:rsid w:val="00B467EA"/>
    <w:rsid w:val="00B47E6D"/>
    <w:rsid w:val="00B521C2"/>
    <w:rsid w:val="00B57984"/>
    <w:rsid w:val="00B61ABD"/>
    <w:rsid w:val="00B62A6D"/>
    <w:rsid w:val="00B63029"/>
    <w:rsid w:val="00B71B3C"/>
    <w:rsid w:val="00B71BAC"/>
    <w:rsid w:val="00B7308E"/>
    <w:rsid w:val="00B75281"/>
    <w:rsid w:val="00B758B6"/>
    <w:rsid w:val="00B7640A"/>
    <w:rsid w:val="00B766E7"/>
    <w:rsid w:val="00B819FD"/>
    <w:rsid w:val="00B85720"/>
    <w:rsid w:val="00B91555"/>
    <w:rsid w:val="00B92F1F"/>
    <w:rsid w:val="00B93475"/>
    <w:rsid w:val="00B93559"/>
    <w:rsid w:val="00B963E6"/>
    <w:rsid w:val="00B9734B"/>
    <w:rsid w:val="00BA03E2"/>
    <w:rsid w:val="00BA0E14"/>
    <w:rsid w:val="00BA30E2"/>
    <w:rsid w:val="00BA489D"/>
    <w:rsid w:val="00BA7E5F"/>
    <w:rsid w:val="00BB4AF9"/>
    <w:rsid w:val="00BB4E71"/>
    <w:rsid w:val="00BB4FDA"/>
    <w:rsid w:val="00BB52D7"/>
    <w:rsid w:val="00BB7F96"/>
    <w:rsid w:val="00BC01A4"/>
    <w:rsid w:val="00BC01B8"/>
    <w:rsid w:val="00BC1421"/>
    <w:rsid w:val="00BC1E34"/>
    <w:rsid w:val="00BC3411"/>
    <w:rsid w:val="00BC39DE"/>
    <w:rsid w:val="00BC39E9"/>
    <w:rsid w:val="00BC3A19"/>
    <w:rsid w:val="00BC74F9"/>
    <w:rsid w:val="00BD043A"/>
    <w:rsid w:val="00BD3661"/>
    <w:rsid w:val="00BD3C64"/>
    <w:rsid w:val="00BD4216"/>
    <w:rsid w:val="00BD6BCD"/>
    <w:rsid w:val="00BD75F2"/>
    <w:rsid w:val="00BE043B"/>
    <w:rsid w:val="00BE26AD"/>
    <w:rsid w:val="00BE6AC1"/>
    <w:rsid w:val="00BE7246"/>
    <w:rsid w:val="00BF3B0A"/>
    <w:rsid w:val="00BF6100"/>
    <w:rsid w:val="00BF628F"/>
    <w:rsid w:val="00C047CF"/>
    <w:rsid w:val="00C04F74"/>
    <w:rsid w:val="00C0534A"/>
    <w:rsid w:val="00C10F8E"/>
    <w:rsid w:val="00C11BFE"/>
    <w:rsid w:val="00C14910"/>
    <w:rsid w:val="00C22D49"/>
    <w:rsid w:val="00C23ECB"/>
    <w:rsid w:val="00C25709"/>
    <w:rsid w:val="00C35D3D"/>
    <w:rsid w:val="00C44389"/>
    <w:rsid w:val="00C45416"/>
    <w:rsid w:val="00C46616"/>
    <w:rsid w:val="00C4733D"/>
    <w:rsid w:val="00C5044D"/>
    <w:rsid w:val="00C505F3"/>
    <w:rsid w:val="00C5068F"/>
    <w:rsid w:val="00C50F5A"/>
    <w:rsid w:val="00C514B3"/>
    <w:rsid w:val="00C5157A"/>
    <w:rsid w:val="00C51AE2"/>
    <w:rsid w:val="00C55EF4"/>
    <w:rsid w:val="00C56A95"/>
    <w:rsid w:val="00C57029"/>
    <w:rsid w:val="00C60953"/>
    <w:rsid w:val="00C60B36"/>
    <w:rsid w:val="00C63614"/>
    <w:rsid w:val="00C660C3"/>
    <w:rsid w:val="00C72B11"/>
    <w:rsid w:val="00C73D69"/>
    <w:rsid w:val="00C76179"/>
    <w:rsid w:val="00C76507"/>
    <w:rsid w:val="00C769CB"/>
    <w:rsid w:val="00C77009"/>
    <w:rsid w:val="00C80923"/>
    <w:rsid w:val="00C81707"/>
    <w:rsid w:val="00C85DDA"/>
    <w:rsid w:val="00C86463"/>
    <w:rsid w:val="00C86D74"/>
    <w:rsid w:val="00C871F1"/>
    <w:rsid w:val="00C87AAE"/>
    <w:rsid w:val="00C90EC0"/>
    <w:rsid w:val="00C93398"/>
    <w:rsid w:val="00C97B1E"/>
    <w:rsid w:val="00CA0817"/>
    <w:rsid w:val="00CA3392"/>
    <w:rsid w:val="00CA3BAA"/>
    <w:rsid w:val="00CA5AC0"/>
    <w:rsid w:val="00CA6567"/>
    <w:rsid w:val="00CA6F81"/>
    <w:rsid w:val="00CA71F2"/>
    <w:rsid w:val="00CB2D98"/>
    <w:rsid w:val="00CB3A8F"/>
    <w:rsid w:val="00CB5BFD"/>
    <w:rsid w:val="00CB68FA"/>
    <w:rsid w:val="00CB69C6"/>
    <w:rsid w:val="00CC0534"/>
    <w:rsid w:val="00CC0B3E"/>
    <w:rsid w:val="00CC42CB"/>
    <w:rsid w:val="00CD04F1"/>
    <w:rsid w:val="00CD265E"/>
    <w:rsid w:val="00CD580A"/>
    <w:rsid w:val="00CD60DE"/>
    <w:rsid w:val="00CD6D61"/>
    <w:rsid w:val="00CE04A8"/>
    <w:rsid w:val="00CE0FB2"/>
    <w:rsid w:val="00CE2C0E"/>
    <w:rsid w:val="00CE4057"/>
    <w:rsid w:val="00CE512E"/>
    <w:rsid w:val="00CE7ABB"/>
    <w:rsid w:val="00CE7C4C"/>
    <w:rsid w:val="00CF0777"/>
    <w:rsid w:val="00CF1971"/>
    <w:rsid w:val="00CF23C6"/>
    <w:rsid w:val="00CF47E9"/>
    <w:rsid w:val="00CF4F22"/>
    <w:rsid w:val="00CF681A"/>
    <w:rsid w:val="00CF75BF"/>
    <w:rsid w:val="00D02535"/>
    <w:rsid w:val="00D04CB0"/>
    <w:rsid w:val="00D06A0E"/>
    <w:rsid w:val="00D07C78"/>
    <w:rsid w:val="00D13052"/>
    <w:rsid w:val="00D13A8D"/>
    <w:rsid w:val="00D13EDB"/>
    <w:rsid w:val="00D14057"/>
    <w:rsid w:val="00D15032"/>
    <w:rsid w:val="00D21FED"/>
    <w:rsid w:val="00D23963"/>
    <w:rsid w:val="00D23DC9"/>
    <w:rsid w:val="00D25D29"/>
    <w:rsid w:val="00D27970"/>
    <w:rsid w:val="00D27EB3"/>
    <w:rsid w:val="00D30767"/>
    <w:rsid w:val="00D32926"/>
    <w:rsid w:val="00D33CFF"/>
    <w:rsid w:val="00D33D61"/>
    <w:rsid w:val="00D347B2"/>
    <w:rsid w:val="00D34E09"/>
    <w:rsid w:val="00D36B48"/>
    <w:rsid w:val="00D438AA"/>
    <w:rsid w:val="00D449F3"/>
    <w:rsid w:val="00D45252"/>
    <w:rsid w:val="00D45E2A"/>
    <w:rsid w:val="00D46030"/>
    <w:rsid w:val="00D469D2"/>
    <w:rsid w:val="00D47D41"/>
    <w:rsid w:val="00D52C02"/>
    <w:rsid w:val="00D543BE"/>
    <w:rsid w:val="00D5496F"/>
    <w:rsid w:val="00D55023"/>
    <w:rsid w:val="00D55406"/>
    <w:rsid w:val="00D56485"/>
    <w:rsid w:val="00D569C4"/>
    <w:rsid w:val="00D56B1B"/>
    <w:rsid w:val="00D578DC"/>
    <w:rsid w:val="00D63BD1"/>
    <w:rsid w:val="00D644E2"/>
    <w:rsid w:val="00D653B0"/>
    <w:rsid w:val="00D67BFA"/>
    <w:rsid w:val="00D71B4D"/>
    <w:rsid w:val="00D723E7"/>
    <w:rsid w:val="00D73127"/>
    <w:rsid w:val="00D7451E"/>
    <w:rsid w:val="00D74A49"/>
    <w:rsid w:val="00D7528A"/>
    <w:rsid w:val="00D807A6"/>
    <w:rsid w:val="00D84B59"/>
    <w:rsid w:val="00D85831"/>
    <w:rsid w:val="00D91B18"/>
    <w:rsid w:val="00D930E8"/>
    <w:rsid w:val="00D93C08"/>
    <w:rsid w:val="00D93D55"/>
    <w:rsid w:val="00D96117"/>
    <w:rsid w:val="00D9628A"/>
    <w:rsid w:val="00D96372"/>
    <w:rsid w:val="00D97415"/>
    <w:rsid w:val="00DA345E"/>
    <w:rsid w:val="00DA4168"/>
    <w:rsid w:val="00DA654B"/>
    <w:rsid w:val="00DA6984"/>
    <w:rsid w:val="00DB3A45"/>
    <w:rsid w:val="00DB3AEA"/>
    <w:rsid w:val="00DC009F"/>
    <w:rsid w:val="00DC0D32"/>
    <w:rsid w:val="00DC2A48"/>
    <w:rsid w:val="00DD252F"/>
    <w:rsid w:val="00DD28F0"/>
    <w:rsid w:val="00DD29D0"/>
    <w:rsid w:val="00DD758B"/>
    <w:rsid w:val="00DD7B7F"/>
    <w:rsid w:val="00DE3D74"/>
    <w:rsid w:val="00DE6CA6"/>
    <w:rsid w:val="00DF291E"/>
    <w:rsid w:val="00DF58BE"/>
    <w:rsid w:val="00DF78FD"/>
    <w:rsid w:val="00E00955"/>
    <w:rsid w:val="00E03158"/>
    <w:rsid w:val="00E05623"/>
    <w:rsid w:val="00E07B56"/>
    <w:rsid w:val="00E103E1"/>
    <w:rsid w:val="00E11F83"/>
    <w:rsid w:val="00E1292E"/>
    <w:rsid w:val="00E13809"/>
    <w:rsid w:val="00E15015"/>
    <w:rsid w:val="00E16197"/>
    <w:rsid w:val="00E163D7"/>
    <w:rsid w:val="00E1740E"/>
    <w:rsid w:val="00E175A7"/>
    <w:rsid w:val="00E205D1"/>
    <w:rsid w:val="00E21411"/>
    <w:rsid w:val="00E21F33"/>
    <w:rsid w:val="00E27D0B"/>
    <w:rsid w:val="00E30E47"/>
    <w:rsid w:val="00E335FE"/>
    <w:rsid w:val="00E33F43"/>
    <w:rsid w:val="00E40CA6"/>
    <w:rsid w:val="00E40E7A"/>
    <w:rsid w:val="00E444CB"/>
    <w:rsid w:val="00E46D7B"/>
    <w:rsid w:val="00E504DD"/>
    <w:rsid w:val="00E50E5A"/>
    <w:rsid w:val="00E5106C"/>
    <w:rsid w:val="00E54CA3"/>
    <w:rsid w:val="00E55FDF"/>
    <w:rsid w:val="00E610A3"/>
    <w:rsid w:val="00E6350D"/>
    <w:rsid w:val="00E63D22"/>
    <w:rsid w:val="00E641FF"/>
    <w:rsid w:val="00E647E7"/>
    <w:rsid w:val="00E64877"/>
    <w:rsid w:val="00E71946"/>
    <w:rsid w:val="00E7402F"/>
    <w:rsid w:val="00E8229D"/>
    <w:rsid w:val="00E822E6"/>
    <w:rsid w:val="00E83EFD"/>
    <w:rsid w:val="00E84A94"/>
    <w:rsid w:val="00E8725C"/>
    <w:rsid w:val="00E94EBA"/>
    <w:rsid w:val="00E97FD9"/>
    <w:rsid w:val="00EA2476"/>
    <w:rsid w:val="00EA2BD6"/>
    <w:rsid w:val="00EA3225"/>
    <w:rsid w:val="00EA3572"/>
    <w:rsid w:val="00EA3878"/>
    <w:rsid w:val="00EA3FF4"/>
    <w:rsid w:val="00EA44AA"/>
    <w:rsid w:val="00EA6A5D"/>
    <w:rsid w:val="00EA7D6E"/>
    <w:rsid w:val="00EA7EE7"/>
    <w:rsid w:val="00EB1ABB"/>
    <w:rsid w:val="00EB2F76"/>
    <w:rsid w:val="00EB6B7B"/>
    <w:rsid w:val="00EC064B"/>
    <w:rsid w:val="00EC2D89"/>
    <w:rsid w:val="00EC35A2"/>
    <w:rsid w:val="00EC4A6B"/>
    <w:rsid w:val="00EC4E49"/>
    <w:rsid w:val="00EC4F4F"/>
    <w:rsid w:val="00EC6099"/>
    <w:rsid w:val="00EC6C8C"/>
    <w:rsid w:val="00EC720B"/>
    <w:rsid w:val="00EC7933"/>
    <w:rsid w:val="00ED34DF"/>
    <w:rsid w:val="00ED4C2E"/>
    <w:rsid w:val="00ED56F7"/>
    <w:rsid w:val="00ED77FB"/>
    <w:rsid w:val="00ED7823"/>
    <w:rsid w:val="00EE0917"/>
    <w:rsid w:val="00EE1020"/>
    <w:rsid w:val="00EE39E4"/>
    <w:rsid w:val="00EE45FA"/>
    <w:rsid w:val="00EE468E"/>
    <w:rsid w:val="00EE488F"/>
    <w:rsid w:val="00EE4D02"/>
    <w:rsid w:val="00EE5045"/>
    <w:rsid w:val="00EF0B5A"/>
    <w:rsid w:val="00EF1007"/>
    <w:rsid w:val="00EF390A"/>
    <w:rsid w:val="00EF7083"/>
    <w:rsid w:val="00F01BBD"/>
    <w:rsid w:val="00F043DE"/>
    <w:rsid w:val="00F07DA8"/>
    <w:rsid w:val="00F1085F"/>
    <w:rsid w:val="00F13824"/>
    <w:rsid w:val="00F14743"/>
    <w:rsid w:val="00F20CEB"/>
    <w:rsid w:val="00F20D31"/>
    <w:rsid w:val="00F21F3B"/>
    <w:rsid w:val="00F230F3"/>
    <w:rsid w:val="00F256B6"/>
    <w:rsid w:val="00F279A7"/>
    <w:rsid w:val="00F27B50"/>
    <w:rsid w:val="00F326F6"/>
    <w:rsid w:val="00F32D06"/>
    <w:rsid w:val="00F348B2"/>
    <w:rsid w:val="00F34C24"/>
    <w:rsid w:val="00F3534D"/>
    <w:rsid w:val="00F3644D"/>
    <w:rsid w:val="00F36B04"/>
    <w:rsid w:val="00F401AE"/>
    <w:rsid w:val="00F411B1"/>
    <w:rsid w:val="00F4235A"/>
    <w:rsid w:val="00F4485A"/>
    <w:rsid w:val="00F456AD"/>
    <w:rsid w:val="00F45F9D"/>
    <w:rsid w:val="00F50FE5"/>
    <w:rsid w:val="00F51C27"/>
    <w:rsid w:val="00F5239D"/>
    <w:rsid w:val="00F53394"/>
    <w:rsid w:val="00F53928"/>
    <w:rsid w:val="00F544FE"/>
    <w:rsid w:val="00F555DB"/>
    <w:rsid w:val="00F61BF9"/>
    <w:rsid w:val="00F6213C"/>
    <w:rsid w:val="00F633FE"/>
    <w:rsid w:val="00F63C31"/>
    <w:rsid w:val="00F65388"/>
    <w:rsid w:val="00F660E1"/>
    <w:rsid w:val="00F66152"/>
    <w:rsid w:val="00F677DE"/>
    <w:rsid w:val="00F67AF5"/>
    <w:rsid w:val="00F7116F"/>
    <w:rsid w:val="00F717FA"/>
    <w:rsid w:val="00F72179"/>
    <w:rsid w:val="00F739CC"/>
    <w:rsid w:val="00F7566D"/>
    <w:rsid w:val="00F8137D"/>
    <w:rsid w:val="00F83B14"/>
    <w:rsid w:val="00F849DD"/>
    <w:rsid w:val="00F874D6"/>
    <w:rsid w:val="00F9094E"/>
    <w:rsid w:val="00F90FBF"/>
    <w:rsid w:val="00F9165B"/>
    <w:rsid w:val="00F9178B"/>
    <w:rsid w:val="00F9308C"/>
    <w:rsid w:val="00F93AB5"/>
    <w:rsid w:val="00F93BB2"/>
    <w:rsid w:val="00F97957"/>
    <w:rsid w:val="00FA0D35"/>
    <w:rsid w:val="00FA189C"/>
    <w:rsid w:val="00FA638B"/>
    <w:rsid w:val="00FA7CBE"/>
    <w:rsid w:val="00FB15CE"/>
    <w:rsid w:val="00FB2AFE"/>
    <w:rsid w:val="00FB5A2E"/>
    <w:rsid w:val="00FC1082"/>
    <w:rsid w:val="00FC2D4B"/>
    <w:rsid w:val="00FC3EAA"/>
    <w:rsid w:val="00FC5526"/>
    <w:rsid w:val="00FC5717"/>
    <w:rsid w:val="00FD24BB"/>
    <w:rsid w:val="00FD5395"/>
    <w:rsid w:val="00FE040C"/>
    <w:rsid w:val="00FE1ACA"/>
    <w:rsid w:val="00FE4EFF"/>
    <w:rsid w:val="00FE633B"/>
    <w:rsid w:val="00FE7362"/>
    <w:rsid w:val="00FE7CE6"/>
    <w:rsid w:val="00FF2DCA"/>
    <w:rsid w:val="00FF5F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AF2C04"/>
  <w15:docId w15:val="{D0175B0B-81A1-449D-BF11-191BD8C0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E0C04"/>
    <w:pPr>
      <w:keepNext/>
      <w:numPr>
        <w:numId w:val="5"/>
      </w:numPr>
      <w:spacing w:before="480" w:after="240"/>
      <w:ind w:left="567" w:hanging="567"/>
      <w:outlineLvl w:val="0"/>
    </w:pPr>
    <w:rPr>
      <w:b/>
      <w:bCs/>
      <w:caps/>
      <w:kern w:val="32"/>
      <w:szCs w:val="32"/>
    </w:rPr>
  </w:style>
  <w:style w:type="paragraph" w:styleId="Heading2">
    <w:name w:val="heading 2"/>
    <w:basedOn w:val="Normal"/>
    <w:next w:val="Normal"/>
    <w:qFormat/>
    <w:rsid w:val="002C7AC3"/>
    <w:pPr>
      <w:keepNext/>
      <w:spacing w:before="480" w:after="240"/>
      <w:outlineLvl w:val="1"/>
    </w:pPr>
    <w:rPr>
      <w:bCs/>
      <w:iCs/>
      <w:caps/>
      <w:szCs w:val="28"/>
    </w:rPr>
  </w:style>
  <w:style w:type="paragraph" w:styleId="Heading3">
    <w:name w:val="heading 3"/>
    <w:basedOn w:val="Normal"/>
    <w:next w:val="Normal"/>
    <w:qFormat/>
    <w:rsid w:val="002C7AC3"/>
    <w:pPr>
      <w:keepNext/>
      <w:spacing w:before="48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9"/>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C505F3"/>
    <w:pPr>
      <w:spacing w:before="480" w:after="240" w:line="240" w:lineRule="exact"/>
      <w:outlineLvl w:val="2"/>
    </w:pPr>
    <w:rPr>
      <w:rFonts w:eastAsia="Times New Roman"/>
      <w:b/>
      <w:bCs/>
      <w:i/>
      <w:sz w:val="20"/>
      <w:lang w:eastAsia="en-US"/>
    </w:rPr>
  </w:style>
  <w:style w:type="table" w:styleId="TableGrid">
    <w:name w:val="Table Grid"/>
    <w:basedOn w:val="TableNormal"/>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86463"/>
    <w:rPr>
      <w:rFonts w:ascii="Arial" w:eastAsia="SimSun" w:hAnsi="Arial" w:cs="Arial"/>
      <w:sz w:val="18"/>
      <w:lang w:val="en-US" w:eastAsia="zh-CN"/>
    </w:rPr>
  </w:style>
  <w:style w:type="character" w:customStyle="1" w:styleId="HeaderChar">
    <w:name w:val="Header Char"/>
    <w:basedOn w:val="DefaultParagraphFont"/>
    <w:link w:val="Header"/>
    <w:uiPriority w:val="99"/>
    <w:rsid w:val="00A26111"/>
    <w:rPr>
      <w:rFonts w:ascii="Arial" w:eastAsia="SimSun" w:hAnsi="Arial" w:cs="Arial"/>
      <w:sz w:val="22"/>
      <w:lang w:val="en-US" w:eastAsia="zh-CN"/>
    </w:rPr>
  </w:style>
  <w:style w:type="character" w:styleId="EndnoteReference">
    <w:name w:val="endnote reference"/>
    <w:basedOn w:val="DefaultParagraphFont"/>
    <w:semiHidden/>
    <w:unhideWhenUsed/>
    <w:rsid w:val="005C41F3"/>
    <w:rPr>
      <w:vertAlign w:val="superscript"/>
    </w:rPr>
  </w:style>
  <w:style w:type="paragraph" w:styleId="Revision">
    <w:name w:val="Revision"/>
    <w:hidden/>
    <w:uiPriority w:val="99"/>
    <w:semiHidden/>
    <w:rsid w:val="00567020"/>
    <w:rPr>
      <w:rFonts w:ascii="Arial" w:eastAsia="SimSun" w:hAnsi="Arial" w:cs="Arial"/>
      <w:sz w:val="22"/>
      <w:lang w:val="en-US" w:eastAsia="zh-CN"/>
    </w:rPr>
  </w:style>
  <w:style w:type="paragraph" w:styleId="BalloonText">
    <w:name w:val="Balloon Text"/>
    <w:basedOn w:val="Normal"/>
    <w:link w:val="BalloonTextChar"/>
    <w:semiHidden/>
    <w:unhideWhenUsed/>
    <w:rsid w:val="00567020"/>
    <w:rPr>
      <w:rFonts w:ascii="Segoe UI" w:hAnsi="Segoe UI" w:cs="Segoe UI"/>
      <w:sz w:val="18"/>
      <w:szCs w:val="18"/>
    </w:rPr>
  </w:style>
  <w:style w:type="character" w:customStyle="1" w:styleId="BalloonTextChar">
    <w:name w:val="Balloon Text Char"/>
    <w:basedOn w:val="DefaultParagraphFont"/>
    <w:link w:val="BalloonText"/>
    <w:semiHidden/>
    <w:rsid w:val="0056702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B443A"/>
    <w:rPr>
      <w:sz w:val="16"/>
      <w:szCs w:val="16"/>
    </w:rPr>
  </w:style>
  <w:style w:type="paragraph" w:styleId="CommentSubject">
    <w:name w:val="annotation subject"/>
    <w:basedOn w:val="CommentText"/>
    <w:next w:val="CommentText"/>
    <w:link w:val="CommentSubjectChar"/>
    <w:semiHidden/>
    <w:unhideWhenUsed/>
    <w:rsid w:val="002B443A"/>
    <w:rPr>
      <w:b/>
      <w:bCs/>
      <w:sz w:val="20"/>
    </w:rPr>
  </w:style>
  <w:style w:type="character" w:customStyle="1" w:styleId="CommentTextChar">
    <w:name w:val="Comment Text Char"/>
    <w:basedOn w:val="DefaultParagraphFont"/>
    <w:link w:val="CommentText"/>
    <w:semiHidden/>
    <w:rsid w:val="002B443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B443A"/>
    <w:rPr>
      <w:rFonts w:ascii="Arial" w:eastAsia="SimSun" w:hAnsi="Arial" w:cs="Arial"/>
      <w:b/>
      <w:bCs/>
      <w:sz w:val="18"/>
      <w:lang w:val="en-US" w:eastAsia="zh-CN"/>
    </w:rPr>
  </w:style>
  <w:style w:type="character" w:customStyle="1" w:styleId="CommentTextChar1">
    <w:name w:val="Comment Text Char1"/>
    <w:basedOn w:val="DefaultParagraphFont"/>
    <w:semiHidden/>
    <w:rsid w:val="00BE26AD"/>
    <w:rPr>
      <w:rFonts w:ascii="Arial" w:eastAsia="SimSun" w:hAnsi="Arial" w:cs="Arial"/>
      <w:sz w:val="18"/>
      <w:lang w:eastAsia="zh-CN"/>
    </w:rPr>
  </w:style>
  <w:style w:type="paragraph" w:styleId="ListBullet">
    <w:name w:val="List Bullet"/>
    <w:basedOn w:val="Normal"/>
    <w:unhideWhenUsed/>
    <w:rsid w:val="00BA0E14"/>
    <w:pPr>
      <w:numPr>
        <w:numId w:val="18"/>
      </w:numPr>
      <w:contextualSpacing/>
    </w:pPr>
  </w:style>
  <w:style w:type="character" w:styleId="Hyperlink">
    <w:name w:val="Hyperlink"/>
    <w:basedOn w:val="DefaultParagraphFont"/>
    <w:unhideWhenUsed/>
    <w:rsid w:val="00690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25F3-E4E5-4016-B18F-3F48F038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5155</Words>
  <Characters>28446</Characters>
  <Application>Microsoft Office Word</Application>
  <DocSecurity>0</DocSecurity>
  <Lines>706</Lines>
  <Paragraphs>367</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subject/>
  <dc:creator>Madrid Legal Division</dc:creator>
  <cp:keywords>FOR OFFICIAL USE ONLY</cp:keywords>
  <dc:description/>
  <cp:lastModifiedBy>MAILLARD Amber</cp:lastModifiedBy>
  <cp:revision>3</cp:revision>
  <cp:lastPrinted>2020-10-16T17:18:00Z</cp:lastPrinted>
  <dcterms:created xsi:type="dcterms:W3CDTF">2020-11-06T10:35:00Z</dcterms:created>
  <dcterms:modified xsi:type="dcterms:W3CDTF">2020-11-06T14:49:00Z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8e945c57-9f50-4833-9948-9f133ab69901</vt:lpwstr>
  </property>
  <property fmtid="{D5CDD505-2E9C-101B-9397-08002B2CF9AE}" pid="3" name="_DocHome">
    <vt:i4>-1521734211</vt:i4>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