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E22B27" w:rsidTr="00B6101C">
        <w:tc>
          <w:tcPr>
            <w:tcW w:w="4843" w:type="dxa"/>
            <w:tcBorders>
              <w:bottom w:val="single" w:sz="4" w:space="0" w:color="auto"/>
            </w:tcBorders>
          </w:tcPr>
          <w:p w:rsidR="001667B6" w:rsidRDefault="001667B6" w:rsidP="009422A7">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Pr="00E22B27" w:rsidRDefault="00772E46" w:rsidP="009422A7">
            <w:pPr>
              <w:bidi/>
              <w:spacing w:after="20"/>
              <w:rPr>
                <w:rFonts w:ascii="Arabic Typesetting" w:hAnsi="Arabic Typesetting" w:cs="Arabic Typesetting"/>
                <w:sz w:val="36"/>
                <w:szCs w:val="36"/>
                <w:rtl/>
              </w:rPr>
            </w:pPr>
            <w:r w:rsidRPr="00E22B27">
              <w:rPr>
                <w:noProof/>
              </w:rPr>
              <w:drawing>
                <wp:inline distT="0" distB="0" distL="0" distR="0" wp14:anchorId="7DE9854A" wp14:editId="02AB67B7">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E22B27" w:rsidRDefault="001667B6" w:rsidP="009422A7">
            <w:pPr>
              <w:bidi/>
              <w:rPr>
                <w:b/>
                <w:bCs/>
                <w:sz w:val="40"/>
                <w:szCs w:val="40"/>
              </w:rPr>
            </w:pPr>
            <w:r w:rsidRPr="00E22B27">
              <w:rPr>
                <w:b/>
                <w:bCs/>
                <w:sz w:val="40"/>
                <w:szCs w:val="40"/>
              </w:rPr>
              <w:t>A</w:t>
            </w:r>
          </w:p>
        </w:tc>
      </w:tr>
      <w:tr w:rsidR="001667B6" w:rsidRPr="00E22B27" w:rsidTr="00B6101C">
        <w:trPr>
          <w:trHeight w:val="333"/>
        </w:trPr>
        <w:tc>
          <w:tcPr>
            <w:tcW w:w="9571" w:type="dxa"/>
            <w:gridSpan w:val="3"/>
            <w:tcBorders>
              <w:top w:val="single" w:sz="4" w:space="0" w:color="auto"/>
            </w:tcBorders>
            <w:vAlign w:val="bottom"/>
          </w:tcPr>
          <w:p w:rsidR="00B6101C" w:rsidRPr="00E22B27" w:rsidRDefault="008A059F" w:rsidP="009422A7">
            <w:pPr>
              <w:pStyle w:val="DocumentCodeAR"/>
              <w:bidi/>
              <w:rPr>
                <w:rtl/>
              </w:rPr>
            </w:pPr>
            <w:r w:rsidRPr="00E22B27">
              <w:t>LI/WG/DEV/</w:t>
            </w:r>
            <w:r w:rsidR="003C1838" w:rsidRPr="00E22B27">
              <w:t>1</w:t>
            </w:r>
            <w:r w:rsidRPr="00E22B27">
              <w:t>0</w:t>
            </w:r>
            <w:r w:rsidR="00187464" w:rsidRPr="00E22B27">
              <w:t>/</w:t>
            </w:r>
            <w:r w:rsidR="003C1838" w:rsidRPr="00E22B27">
              <w:t>4</w:t>
            </w:r>
          </w:p>
        </w:tc>
      </w:tr>
      <w:tr w:rsidR="001667B6" w:rsidRPr="00E22B27" w:rsidTr="00BF164F">
        <w:tc>
          <w:tcPr>
            <w:tcW w:w="9571" w:type="dxa"/>
            <w:gridSpan w:val="3"/>
          </w:tcPr>
          <w:p w:rsidR="001667B6" w:rsidRPr="00E22B27" w:rsidRDefault="00187464" w:rsidP="009422A7">
            <w:pPr>
              <w:pStyle w:val="DocumentLanguageAR"/>
              <w:bidi/>
              <w:rPr>
                <w:rtl/>
              </w:rPr>
            </w:pPr>
            <w:r w:rsidRPr="00E22B27">
              <w:rPr>
                <w:rFonts w:hint="cs"/>
                <w:rtl/>
              </w:rPr>
              <w:t>الأصل: بالإنكليزية</w:t>
            </w:r>
          </w:p>
        </w:tc>
      </w:tr>
      <w:tr w:rsidR="001667B6" w:rsidRPr="00E22B27" w:rsidTr="00BF164F">
        <w:tc>
          <w:tcPr>
            <w:tcW w:w="9571" w:type="dxa"/>
            <w:gridSpan w:val="3"/>
          </w:tcPr>
          <w:p w:rsidR="001667B6" w:rsidRPr="00E22B27" w:rsidRDefault="00B6101C" w:rsidP="009422A7">
            <w:pPr>
              <w:pStyle w:val="DocumentDateAR"/>
              <w:bidi/>
              <w:rPr>
                <w:rtl/>
              </w:rPr>
            </w:pPr>
            <w:r w:rsidRPr="00E22B27">
              <w:rPr>
                <w:rFonts w:hint="cs"/>
                <w:rtl/>
              </w:rPr>
              <w:t xml:space="preserve">التاريخ: </w:t>
            </w:r>
            <w:r w:rsidR="003C1838" w:rsidRPr="00E22B27">
              <w:rPr>
                <w:rFonts w:hint="cs"/>
                <w:rtl/>
              </w:rPr>
              <w:t>15</w:t>
            </w:r>
            <w:r w:rsidRPr="00E22B27">
              <w:rPr>
                <w:rFonts w:hint="cs"/>
                <w:rtl/>
              </w:rPr>
              <w:t xml:space="preserve"> </w:t>
            </w:r>
            <w:r w:rsidR="00187464" w:rsidRPr="00E22B27">
              <w:rPr>
                <w:rFonts w:hint="cs"/>
                <w:rtl/>
              </w:rPr>
              <w:t>سبتمبر</w:t>
            </w:r>
            <w:r w:rsidRPr="00E22B27">
              <w:rPr>
                <w:rFonts w:hint="cs"/>
                <w:rtl/>
              </w:rPr>
              <w:t xml:space="preserve"> </w:t>
            </w:r>
            <w:r w:rsidR="003C1838" w:rsidRPr="00E22B27">
              <w:rPr>
                <w:rFonts w:hint="cs"/>
                <w:rtl/>
              </w:rPr>
              <w:t>2</w:t>
            </w:r>
            <w:r w:rsidR="00190B6D" w:rsidRPr="00E22B27">
              <w:rPr>
                <w:rFonts w:hint="cs"/>
                <w:rtl/>
              </w:rPr>
              <w:t>0</w:t>
            </w:r>
            <w:r w:rsidR="003C1838" w:rsidRPr="00E22B27">
              <w:rPr>
                <w:rFonts w:hint="cs"/>
                <w:rtl/>
              </w:rPr>
              <w:t>14</w:t>
            </w:r>
          </w:p>
        </w:tc>
      </w:tr>
    </w:tbl>
    <w:p w:rsidR="000F5E56" w:rsidRPr="00E22B27" w:rsidRDefault="000F5E56" w:rsidP="009422A7">
      <w:pPr>
        <w:bidi/>
        <w:spacing w:line="360" w:lineRule="exact"/>
        <w:rPr>
          <w:rFonts w:ascii="Arabic Typesetting" w:hAnsi="Arabic Typesetting" w:cs="Arabic Typesetting"/>
          <w:sz w:val="36"/>
          <w:szCs w:val="36"/>
          <w:rtl/>
        </w:rPr>
      </w:pPr>
    </w:p>
    <w:p w:rsidR="001667B6" w:rsidRPr="00E22B27" w:rsidRDefault="001667B6" w:rsidP="009422A7">
      <w:pPr>
        <w:bidi/>
        <w:spacing w:line="360" w:lineRule="exact"/>
        <w:rPr>
          <w:rFonts w:ascii="Arabic Typesetting" w:hAnsi="Arabic Typesetting" w:cs="Arabic Typesetting"/>
          <w:sz w:val="36"/>
          <w:szCs w:val="36"/>
          <w:rtl/>
        </w:rPr>
      </w:pPr>
    </w:p>
    <w:p w:rsidR="00F27305" w:rsidRPr="00E22B27" w:rsidRDefault="00F27305" w:rsidP="009422A7">
      <w:pPr>
        <w:bidi/>
        <w:spacing w:line="360" w:lineRule="exact"/>
        <w:rPr>
          <w:rFonts w:ascii="Arabic Typesetting" w:hAnsi="Arabic Typesetting" w:cs="Arabic Typesetting"/>
          <w:sz w:val="36"/>
          <w:szCs w:val="36"/>
          <w:rtl/>
        </w:rPr>
      </w:pPr>
    </w:p>
    <w:p w:rsidR="001667B6" w:rsidRPr="00E22B27" w:rsidRDefault="008A059F" w:rsidP="009422A7">
      <w:pPr>
        <w:pStyle w:val="MeetingTitleAR"/>
        <w:bidi/>
        <w:ind w:right="550"/>
        <w:rPr>
          <w:rtl/>
          <w:lang w:bidi="ar-EG"/>
        </w:rPr>
      </w:pPr>
      <w:r w:rsidRPr="00E22B27">
        <w:rPr>
          <w:rtl/>
        </w:rPr>
        <w:t>الفريق العامل</w:t>
      </w:r>
      <w:r w:rsidRPr="00E22B27">
        <w:rPr>
          <w:rFonts w:hint="cs"/>
          <w:rtl/>
        </w:rPr>
        <w:t xml:space="preserve"> </w:t>
      </w:r>
      <w:r w:rsidRPr="00E22B27">
        <w:rPr>
          <w:rFonts w:hint="cs"/>
          <w:rtl/>
          <w:lang w:bidi="ar-EG"/>
        </w:rPr>
        <w:t>المعني بتطوير نظام لشبونة</w:t>
      </w:r>
    </w:p>
    <w:p w:rsidR="00AB54AE" w:rsidRPr="00E22B27" w:rsidRDefault="008A059F" w:rsidP="009422A7">
      <w:pPr>
        <w:pStyle w:val="MeetingTitleAR"/>
        <w:bidi/>
        <w:ind w:right="550"/>
        <w:rPr>
          <w:rtl/>
          <w:lang w:bidi="ar-EG"/>
        </w:rPr>
      </w:pPr>
      <w:r w:rsidRPr="00E22B27">
        <w:rPr>
          <w:rFonts w:hint="cs"/>
          <w:rtl/>
          <w:lang w:bidi="ar-EG"/>
        </w:rPr>
        <w:t>(تسميات المنشأ)</w:t>
      </w:r>
    </w:p>
    <w:p w:rsidR="001667B6" w:rsidRPr="00E22B27" w:rsidRDefault="001667B6" w:rsidP="009422A7">
      <w:pPr>
        <w:bidi/>
        <w:spacing w:line="360" w:lineRule="exact"/>
        <w:rPr>
          <w:rFonts w:ascii="Arabic Typesetting" w:hAnsi="Arabic Typesetting" w:cs="Arabic Typesetting"/>
          <w:sz w:val="36"/>
          <w:szCs w:val="36"/>
          <w:rtl/>
        </w:rPr>
      </w:pPr>
    </w:p>
    <w:p w:rsidR="001667B6" w:rsidRPr="00E22B27" w:rsidRDefault="00F27305" w:rsidP="009422A7">
      <w:pPr>
        <w:pStyle w:val="MeetingSessionAR"/>
        <w:bidi/>
        <w:rPr>
          <w:rFonts w:ascii="Cambria Math" w:hAnsi="Cambria Math"/>
          <w:rtl/>
        </w:rPr>
      </w:pPr>
      <w:r w:rsidRPr="00E22B27">
        <w:rPr>
          <w:rFonts w:ascii="Cambria Math" w:hAnsi="Cambria Math"/>
          <w:rtl/>
        </w:rPr>
        <w:t xml:space="preserve">الدورة </w:t>
      </w:r>
      <w:r w:rsidR="008A059F" w:rsidRPr="00E22B27">
        <w:rPr>
          <w:rFonts w:ascii="Cambria Math" w:hAnsi="Cambria Math" w:hint="cs"/>
          <w:rtl/>
        </w:rPr>
        <w:t>العاشرة</w:t>
      </w:r>
    </w:p>
    <w:p w:rsidR="00D61541" w:rsidRPr="00E22B27" w:rsidRDefault="00D61541" w:rsidP="009422A7">
      <w:pPr>
        <w:pStyle w:val="MeetingDatesAR"/>
        <w:bidi/>
        <w:rPr>
          <w:rtl/>
        </w:rPr>
      </w:pPr>
      <w:r w:rsidRPr="00E22B27">
        <w:rPr>
          <w:rFonts w:hint="cs"/>
          <w:rtl/>
        </w:rPr>
        <w:t xml:space="preserve">جنيف، من </w:t>
      </w:r>
      <w:r w:rsidR="003C1838" w:rsidRPr="00E22B27">
        <w:rPr>
          <w:rFonts w:hint="cs"/>
          <w:rtl/>
        </w:rPr>
        <w:t>27</w:t>
      </w:r>
      <w:r w:rsidR="00C742C5" w:rsidRPr="00E22B27">
        <w:rPr>
          <w:rFonts w:hint="cs"/>
          <w:rtl/>
        </w:rPr>
        <w:t xml:space="preserve"> إلى </w:t>
      </w:r>
      <w:r w:rsidR="003C1838" w:rsidRPr="00E22B27">
        <w:rPr>
          <w:rFonts w:hint="cs"/>
          <w:rtl/>
        </w:rPr>
        <w:t>31</w:t>
      </w:r>
      <w:r w:rsidR="00C742C5" w:rsidRPr="00E22B27">
        <w:rPr>
          <w:rFonts w:hint="cs"/>
          <w:rtl/>
        </w:rPr>
        <w:t xml:space="preserve"> </w:t>
      </w:r>
      <w:r w:rsidR="008A059F" w:rsidRPr="00E22B27">
        <w:rPr>
          <w:rFonts w:hint="cs"/>
          <w:rtl/>
        </w:rPr>
        <w:t>أكتوبر</w:t>
      </w:r>
      <w:r w:rsidR="00C742C5" w:rsidRPr="00E22B27">
        <w:rPr>
          <w:rFonts w:hint="cs"/>
          <w:rtl/>
        </w:rPr>
        <w:t xml:space="preserve"> </w:t>
      </w:r>
      <w:r w:rsidR="003C1838" w:rsidRPr="00E22B27">
        <w:rPr>
          <w:rFonts w:hint="cs"/>
          <w:rtl/>
        </w:rPr>
        <w:t>2</w:t>
      </w:r>
      <w:r w:rsidR="00C742C5" w:rsidRPr="00E22B27">
        <w:rPr>
          <w:rFonts w:hint="cs"/>
          <w:rtl/>
        </w:rPr>
        <w:t>0</w:t>
      </w:r>
      <w:r w:rsidR="003C1838" w:rsidRPr="00E22B27">
        <w:rPr>
          <w:rFonts w:hint="cs"/>
          <w:rtl/>
        </w:rPr>
        <w:t>14</w:t>
      </w:r>
    </w:p>
    <w:p w:rsidR="00D61541" w:rsidRPr="00E22B27" w:rsidRDefault="00D61541" w:rsidP="009422A7">
      <w:pPr>
        <w:bidi/>
        <w:spacing w:line="360" w:lineRule="exact"/>
        <w:rPr>
          <w:rFonts w:ascii="Arabic Typesetting" w:hAnsi="Arabic Typesetting" w:cs="Arabic Typesetting"/>
          <w:sz w:val="36"/>
          <w:szCs w:val="36"/>
          <w:rtl/>
        </w:rPr>
      </w:pPr>
    </w:p>
    <w:p w:rsidR="00D61541" w:rsidRPr="00E22B27" w:rsidRDefault="00D61541" w:rsidP="009422A7">
      <w:pPr>
        <w:bidi/>
        <w:spacing w:line="360" w:lineRule="exact"/>
        <w:rPr>
          <w:rFonts w:ascii="Arabic Typesetting" w:hAnsi="Arabic Typesetting" w:cs="Arabic Typesetting"/>
          <w:sz w:val="36"/>
          <w:szCs w:val="36"/>
          <w:rtl/>
        </w:rPr>
      </w:pPr>
    </w:p>
    <w:p w:rsidR="00D61541" w:rsidRPr="00E22B27" w:rsidRDefault="00187464" w:rsidP="009422A7">
      <w:pPr>
        <w:pStyle w:val="DocumentTitleAR"/>
        <w:bidi/>
        <w:rPr>
          <w:rtl/>
        </w:rPr>
      </w:pPr>
      <w:r w:rsidRPr="00E22B27">
        <w:rPr>
          <w:rFonts w:hint="cs"/>
          <w:rtl/>
        </w:rPr>
        <w:t xml:space="preserve">ملاحظات على </w:t>
      </w:r>
      <w:r w:rsidRPr="00E22B27">
        <w:rPr>
          <w:rtl/>
        </w:rPr>
        <w:t>مشروع اتفاق لشبونة المراجَع بشأن تسميات المنشأ والبيانات الجغرافية</w:t>
      </w:r>
    </w:p>
    <w:p w:rsidR="00D61541" w:rsidRPr="00E22B27" w:rsidRDefault="00CD0D5E" w:rsidP="009422A7">
      <w:pPr>
        <w:pStyle w:val="PreparedbyAR"/>
        <w:bidi/>
        <w:rPr>
          <w:rtl/>
        </w:rPr>
      </w:pPr>
      <w:r w:rsidRPr="00E22B27">
        <w:rPr>
          <w:rFonts w:hint="cs"/>
          <w:rtl/>
        </w:rPr>
        <w:t>وثيقة</w:t>
      </w:r>
      <w:r w:rsidRPr="00E22B27">
        <w:rPr>
          <w:rtl/>
        </w:rPr>
        <w:t> </w:t>
      </w:r>
      <w:r w:rsidR="00D61541" w:rsidRPr="00E22B27">
        <w:rPr>
          <w:rFonts w:hint="cs"/>
          <w:rtl/>
        </w:rPr>
        <w:t>من إعداد</w:t>
      </w:r>
      <w:r w:rsidR="00187464" w:rsidRPr="00E22B27">
        <w:rPr>
          <w:rFonts w:hint="cs"/>
          <w:rtl/>
        </w:rPr>
        <w:t xml:space="preserve"> الأمانة</w:t>
      </w:r>
    </w:p>
    <w:p w:rsidR="00D61541" w:rsidRPr="00E22B27" w:rsidRDefault="00187464" w:rsidP="00145204">
      <w:pPr>
        <w:pStyle w:val="NormalParaAR"/>
        <w:rPr>
          <w:rtl/>
        </w:rPr>
      </w:pPr>
      <w:r w:rsidRPr="00E22B27">
        <w:rPr>
          <w:rFonts w:hint="cs"/>
          <w:rtl/>
        </w:rPr>
        <w:t xml:space="preserve">يتضمن المرفق الأول من هذه </w:t>
      </w:r>
      <w:r w:rsidR="00450110" w:rsidRPr="00E22B27">
        <w:rPr>
          <w:rFonts w:hint="cs"/>
          <w:rtl/>
        </w:rPr>
        <w:t>ال</w:t>
      </w:r>
      <w:r w:rsidR="00CD0D5E" w:rsidRPr="00E22B27">
        <w:rPr>
          <w:rFonts w:hint="cs"/>
          <w:rtl/>
        </w:rPr>
        <w:t>وثيقة</w:t>
      </w:r>
      <w:r w:rsidR="00CD0D5E" w:rsidRPr="00E22B27">
        <w:rPr>
          <w:rtl/>
        </w:rPr>
        <w:t> </w:t>
      </w:r>
      <w:r w:rsidRPr="00E22B27">
        <w:rPr>
          <w:rFonts w:hint="cs"/>
          <w:rtl/>
        </w:rPr>
        <w:t xml:space="preserve">ملاحظات </w:t>
      </w:r>
      <w:r w:rsidR="00DD0CCE" w:rsidRPr="00E22B27">
        <w:rPr>
          <w:rFonts w:hint="cs"/>
          <w:rtl/>
        </w:rPr>
        <w:t>على</w:t>
      </w:r>
      <w:r w:rsidRPr="00E22B27">
        <w:rPr>
          <w:rFonts w:hint="cs"/>
          <w:rtl/>
        </w:rPr>
        <w:t xml:space="preserve"> </w:t>
      </w:r>
      <w:r w:rsidRPr="00E22B27">
        <w:rPr>
          <w:rtl/>
        </w:rPr>
        <w:t>مشروع اتفاق لشبونة المراجَع بشأن تسميات المنشأ والبيانات الجغرافية</w:t>
      </w:r>
      <w:r w:rsidRPr="00E22B27">
        <w:rPr>
          <w:rFonts w:hint="cs"/>
          <w:rtl/>
        </w:rPr>
        <w:t xml:space="preserve"> </w:t>
      </w:r>
      <w:r w:rsidR="00295029" w:rsidRPr="00E22B27">
        <w:rPr>
          <w:rFonts w:hint="cs"/>
          <w:rtl/>
        </w:rPr>
        <w:t>كما ورد</w:t>
      </w:r>
      <w:r w:rsidRPr="00E22B27">
        <w:rPr>
          <w:rFonts w:hint="cs"/>
          <w:rtl/>
        </w:rPr>
        <w:t xml:space="preserve"> في </w:t>
      </w:r>
      <w:r w:rsidR="00450110" w:rsidRPr="00E22B27">
        <w:rPr>
          <w:rFonts w:hint="cs"/>
          <w:rtl/>
        </w:rPr>
        <w:t>ال</w:t>
      </w:r>
      <w:r w:rsidR="00CD0D5E" w:rsidRPr="00E22B27">
        <w:rPr>
          <w:rFonts w:hint="cs"/>
          <w:rtl/>
        </w:rPr>
        <w:t>وثيقة</w:t>
      </w:r>
      <w:r w:rsidR="00CD0D5E" w:rsidRPr="00E22B27">
        <w:rPr>
          <w:rtl/>
        </w:rPr>
        <w:t> </w:t>
      </w:r>
      <w:r w:rsidRPr="00E22B27">
        <w:t>LI/WG/DEV/</w:t>
      </w:r>
      <w:r w:rsidR="003C1838" w:rsidRPr="00E22B27">
        <w:t>1</w:t>
      </w:r>
      <w:r w:rsidRPr="00E22B27">
        <w:t>0/</w:t>
      </w:r>
      <w:r w:rsidR="003C1838" w:rsidRPr="00E22B27">
        <w:t>2</w:t>
      </w:r>
      <w:r w:rsidR="003C1838" w:rsidRPr="00E22B27">
        <w:rPr>
          <w:rtl/>
        </w:rPr>
        <w:t>.</w:t>
      </w:r>
      <w:r w:rsidRPr="00E22B27">
        <w:rPr>
          <w:rFonts w:hint="cs"/>
          <w:rtl/>
        </w:rPr>
        <w:t xml:space="preserve"> </w:t>
      </w:r>
      <w:r w:rsidR="00145204">
        <w:rPr>
          <w:rFonts w:hint="cs"/>
          <w:rtl/>
        </w:rPr>
        <w:t>ولم تُدرج أية ملاحظة في الحالات التي بدا فيها أنّ الحكم لا يقتضي أي شرح.</w:t>
      </w:r>
    </w:p>
    <w:p w:rsidR="00CB79E4" w:rsidRDefault="00187464" w:rsidP="009422A7">
      <w:pPr>
        <w:pStyle w:val="EndofDocumentAR"/>
      </w:pPr>
      <w:r w:rsidRPr="00E22B27">
        <w:rPr>
          <w:rFonts w:hint="cs"/>
          <w:rtl/>
        </w:rPr>
        <w:t>[تلي ذلك المرفقات]</w:t>
      </w:r>
    </w:p>
    <w:p w:rsidR="00BD41D3" w:rsidRPr="00BD41D3" w:rsidRDefault="00BD41D3" w:rsidP="00BD41D3">
      <w:pPr>
        <w:pStyle w:val="NormalParaAR"/>
      </w:pPr>
    </w:p>
    <w:p w:rsidR="00187464" w:rsidRPr="00E22B27" w:rsidRDefault="00187464" w:rsidP="009422A7">
      <w:pPr>
        <w:pStyle w:val="NormalParaAR"/>
        <w:rPr>
          <w:rtl/>
        </w:rPr>
        <w:sectPr w:rsidR="00187464" w:rsidRPr="00E22B27" w:rsidSect="00EB7752">
          <w:headerReference w:type="default" r:id="rId10"/>
          <w:pgSz w:w="11907" w:h="16840" w:code="9"/>
          <w:pgMar w:top="567" w:right="1418" w:bottom="1418" w:left="1134" w:header="510" w:footer="1021" w:gutter="0"/>
          <w:cols w:space="720"/>
          <w:titlePg/>
          <w:docGrid w:linePitch="299"/>
        </w:sectPr>
      </w:pPr>
    </w:p>
    <w:p w:rsidR="004B357D" w:rsidRPr="00E22B27" w:rsidRDefault="00187464" w:rsidP="009422A7">
      <w:pPr>
        <w:pStyle w:val="Heading1AR"/>
        <w:spacing w:before="0" w:after="360" w:line="360" w:lineRule="exact"/>
        <w:rPr>
          <w:rtl/>
        </w:rPr>
      </w:pPr>
      <w:r w:rsidRPr="00E22B27">
        <w:rPr>
          <w:rFonts w:hint="cs"/>
          <w:rtl/>
        </w:rPr>
        <w:lastRenderedPageBreak/>
        <w:t>ملاحظات على [</w:t>
      </w:r>
      <w:r w:rsidRPr="00E22B27">
        <w:rPr>
          <w:rtl/>
        </w:rPr>
        <w:t>مشروع اتفاق لشبونة المراجَع بشأن تسميات المنشأ والبيانات الجغرافية</w:t>
      </w:r>
      <w:r w:rsidRPr="00E22B27">
        <w:rPr>
          <w:rFonts w:hint="cs"/>
          <w:rtl/>
        </w:rPr>
        <w:t>]</w:t>
      </w:r>
    </w:p>
    <w:p w:rsidR="00187464" w:rsidRPr="00E22B27" w:rsidRDefault="00187464" w:rsidP="009422A7">
      <w:pPr>
        <w:pStyle w:val="Heading1AR"/>
        <w:spacing w:before="0" w:after="240"/>
        <w:rPr>
          <w:rtl/>
        </w:rPr>
      </w:pPr>
      <w:r w:rsidRPr="00E22B27">
        <w:rPr>
          <w:rFonts w:hint="cs"/>
          <w:rtl/>
        </w:rPr>
        <w:t>قائمة المواد</w:t>
      </w:r>
    </w:p>
    <w:p w:rsidR="00187464" w:rsidRPr="00E22B27" w:rsidRDefault="00187464" w:rsidP="009422A7">
      <w:pPr>
        <w:pStyle w:val="NormalParaAR"/>
        <w:rPr>
          <w:i/>
          <w:iCs/>
          <w:rtl/>
        </w:rPr>
      </w:pPr>
      <w:r w:rsidRPr="00E22B27">
        <w:rPr>
          <w:rFonts w:hint="cs"/>
          <w:rtl/>
        </w:rPr>
        <w:t>[</w:t>
      </w:r>
      <w:r w:rsidRPr="00E22B27">
        <w:rPr>
          <w:rFonts w:hint="cs"/>
          <w:i/>
          <w:iCs/>
          <w:rtl/>
        </w:rPr>
        <w:t>الديباجية</w:t>
      </w:r>
      <w:r w:rsidRPr="00E22B27">
        <w:rPr>
          <w:rFonts w:hint="cs"/>
          <w:rtl/>
        </w:rPr>
        <w:t>]</w:t>
      </w:r>
    </w:p>
    <w:p w:rsidR="00187464" w:rsidRPr="00E22B27" w:rsidRDefault="00187464" w:rsidP="009422A7">
      <w:pPr>
        <w:keepNext/>
        <w:bidi/>
        <w:spacing w:after="240" w:line="360" w:lineRule="exact"/>
        <w:ind w:firstLine="6"/>
        <w:jc w:val="lowKashida"/>
        <w:rPr>
          <w:rFonts w:ascii="Arabic Typesetting" w:hAnsi="Arabic Typesetting" w:cs="Arabic Typesetting"/>
          <w:i/>
          <w:iCs/>
          <w:sz w:val="36"/>
          <w:szCs w:val="36"/>
          <w:rtl/>
        </w:rPr>
      </w:pPr>
      <w:r w:rsidRPr="00E22B27">
        <w:rPr>
          <w:rFonts w:ascii="Arabic Typesetting" w:hAnsi="Arabic Typesetting" w:cs="Arabic Typesetting" w:hint="cs"/>
          <w:i/>
          <w:iCs/>
          <w:sz w:val="36"/>
          <w:szCs w:val="36"/>
          <w:rtl/>
        </w:rPr>
        <w:t>الفصل</w:t>
      </w:r>
      <w:r w:rsidRPr="00E22B27">
        <w:rPr>
          <w:rFonts w:ascii="Arabic Typesetting" w:hAnsi="Arabic Typesetting" w:cs="Arabic Typesetting"/>
          <w:i/>
          <w:iCs/>
          <w:sz w:val="36"/>
          <w:szCs w:val="36"/>
          <w:rtl/>
        </w:rPr>
        <w:t> </w:t>
      </w:r>
      <w:r w:rsidRPr="00E22B27">
        <w:rPr>
          <w:rFonts w:ascii="Arabic Typesetting" w:hAnsi="Arabic Typesetting" w:cs="Arabic Typesetting" w:hint="cs"/>
          <w:i/>
          <w:iCs/>
          <w:sz w:val="36"/>
          <w:szCs w:val="36"/>
          <w:rtl/>
        </w:rPr>
        <w:t>الأول:</w:t>
      </w:r>
      <w:r w:rsidRPr="00E22B27">
        <w:rPr>
          <w:rFonts w:ascii="Arabic Typesetting" w:hAnsi="Arabic Typesetting" w:cs="Arabic Typesetting" w:hint="cs"/>
          <w:i/>
          <w:iCs/>
          <w:sz w:val="36"/>
          <w:szCs w:val="36"/>
          <w:rtl/>
        </w:rPr>
        <w:tab/>
        <w:t>أحكام تمهيدية وعامة</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sz w:val="36"/>
          <w:szCs w:val="36"/>
          <w:rtl/>
          <w:lang w:bidi="ar-EG"/>
        </w:rPr>
        <w:t>ملاحظات على</w:t>
      </w:r>
      <w:r w:rsidR="007C2359" w:rsidRPr="00E22B27">
        <w:rPr>
          <w:rFonts w:ascii="Arabic Typesetting" w:hAnsi="Arabic Typesetting" w:cs="Arabic Typesetting"/>
          <w:sz w:val="36"/>
          <w:szCs w:val="36"/>
          <w:rtl/>
          <w:lang w:bidi="ar-EG"/>
        </w:rPr>
        <w:t xml:space="preserve"> </w:t>
      </w:r>
      <w:r w:rsidR="00450110" w:rsidRPr="00E22B27">
        <w:rPr>
          <w:rFonts w:ascii="Arabic Typesetting" w:hAnsi="Arabic Typesetting" w:cs="Arabic Typesetting"/>
          <w:sz w:val="36"/>
          <w:szCs w:val="36"/>
          <w:rtl/>
          <w:lang w:bidi="ar-EG"/>
        </w:rPr>
        <w:t>المادة </w:t>
      </w:r>
      <w:r w:rsidR="003C1838" w:rsidRPr="00E22B27">
        <w:rPr>
          <w:rFonts w:ascii="Arabic Typesetting" w:hAnsi="Arabic Typesetting" w:cs="Arabic Typesetting"/>
          <w:sz w:val="36"/>
          <w:szCs w:val="36"/>
          <w:rtl/>
        </w:rPr>
        <w:t>1</w:t>
      </w:r>
      <w:r w:rsidRPr="00E22B27">
        <w:rPr>
          <w:rFonts w:ascii="Arabic Typesetting" w:hAnsi="Arabic Typesetting" w:cs="Arabic Typesetting"/>
          <w:sz w:val="36"/>
          <w:szCs w:val="36"/>
          <w:rtl/>
        </w:rPr>
        <w:t>:</w:t>
      </w:r>
      <w:r w:rsidRPr="00E22B27">
        <w:rPr>
          <w:rFonts w:ascii="Arabic Typesetting" w:hAnsi="Arabic Typesetting" w:cs="Arabic Typesetting" w:hint="cs"/>
          <w:sz w:val="36"/>
          <w:szCs w:val="36"/>
          <w:rtl/>
        </w:rPr>
        <w:tab/>
        <w:t>تعابير مختصرة</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sz w:val="36"/>
          <w:szCs w:val="36"/>
          <w:rtl/>
          <w:lang w:bidi="ar-EG"/>
        </w:rPr>
        <w:t>ملاحظات على</w:t>
      </w:r>
      <w:r w:rsidR="007C2359" w:rsidRPr="00E22B27">
        <w:rPr>
          <w:rFonts w:ascii="Arabic Typesetting" w:hAnsi="Arabic Typesetting" w:cs="Arabic Typesetting"/>
          <w:sz w:val="36"/>
          <w:szCs w:val="36"/>
          <w:rtl/>
          <w:lang w:bidi="ar-EG"/>
        </w:rPr>
        <w:t xml:space="preserve"> </w:t>
      </w:r>
      <w:r w:rsidR="00450110" w:rsidRPr="00E22B27">
        <w:rPr>
          <w:rFonts w:ascii="Arabic Typesetting" w:hAnsi="Arabic Typesetting" w:cs="Arabic Typesetting"/>
          <w:sz w:val="36"/>
          <w:szCs w:val="36"/>
          <w:rtl/>
          <w:lang w:bidi="ar-EG"/>
        </w:rPr>
        <w:t>المادة </w:t>
      </w:r>
      <w:r w:rsidR="003C1838" w:rsidRPr="00E22B27">
        <w:rPr>
          <w:rFonts w:ascii="Arabic Typesetting" w:hAnsi="Arabic Typesetting" w:cs="Arabic Typesetting"/>
          <w:sz w:val="36"/>
          <w:szCs w:val="36"/>
          <w:rtl/>
        </w:rPr>
        <w:t>2</w:t>
      </w:r>
      <w:r w:rsidRPr="00E22B27">
        <w:rPr>
          <w:rFonts w:ascii="Arabic Typesetting" w:hAnsi="Arabic Typesetting" w:cs="Arabic Typesetting"/>
          <w:sz w:val="36"/>
          <w:szCs w:val="36"/>
          <w:rtl/>
        </w:rPr>
        <w:t>:</w:t>
      </w:r>
      <w:r w:rsidRPr="00E22B27">
        <w:rPr>
          <w:rFonts w:ascii="Arabic Typesetting" w:hAnsi="Arabic Typesetting" w:cs="Arabic Typesetting"/>
          <w:sz w:val="36"/>
          <w:szCs w:val="36"/>
          <w:rtl/>
        </w:rPr>
        <w:tab/>
      </w:r>
      <w:r w:rsidRPr="00E22B27">
        <w:rPr>
          <w:rFonts w:ascii="Arabic Typesetting" w:hAnsi="Arabic Typesetting" w:cs="Arabic Typesetting" w:hint="cs"/>
          <w:sz w:val="36"/>
          <w:szCs w:val="36"/>
          <w:rtl/>
        </w:rPr>
        <w:t>الموضوع</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sz w:val="36"/>
          <w:szCs w:val="36"/>
          <w:rtl/>
          <w:lang w:bidi="ar-EG"/>
        </w:rPr>
        <w:t>ملاحظات على</w:t>
      </w:r>
      <w:r w:rsidR="007C2359" w:rsidRPr="00E22B27">
        <w:rPr>
          <w:rFonts w:ascii="Arabic Typesetting" w:hAnsi="Arabic Typesetting" w:cs="Arabic Typesetting"/>
          <w:sz w:val="36"/>
          <w:szCs w:val="36"/>
          <w:rtl/>
          <w:lang w:bidi="ar-EG"/>
        </w:rPr>
        <w:t xml:space="preserve"> </w:t>
      </w:r>
      <w:r w:rsidR="00450110" w:rsidRPr="00E22B27">
        <w:rPr>
          <w:rFonts w:ascii="Arabic Typesetting" w:hAnsi="Arabic Typesetting" w:cs="Arabic Typesetting"/>
          <w:sz w:val="36"/>
          <w:szCs w:val="36"/>
          <w:rtl/>
          <w:lang w:bidi="ar-EG"/>
        </w:rPr>
        <w:t>المادة </w:t>
      </w:r>
      <w:r w:rsidR="003C1838" w:rsidRPr="00E22B27">
        <w:rPr>
          <w:rFonts w:ascii="Arabic Typesetting" w:hAnsi="Arabic Typesetting" w:cs="Arabic Typesetting"/>
          <w:sz w:val="36"/>
          <w:szCs w:val="36"/>
          <w:rtl/>
        </w:rPr>
        <w:t>3</w:t>
      </w:r>
      <w:r w:rsidRPr="00E22B27">
        <w:rPr>
          <w:rFonts w:ascii="Arabic Typesetting" w:hAnsi="Arabic Typesetting" w:cs="Arabic Typesetting"/>
          <w:sz w:val="36"/>
          <w:szCs w:val="36"/>
          <w:rtl/>
        </w:rPr>
        <w:t>:</w:t>
      </w:r>
      <w:r w:rsidRPr="00E22B27">
        <w:rPr>
          <w:rFonts w:ascii="Arabic Typesetting" w:hAnsi="Arabic Typesetting" w:cs="Arabic Typesetting"/>
          <w:sz w:val="36"/>
          <w:szCs w:val="36"/>
          <w:rtl/>
        </w:rPr>
        <w:tab/>
      </w:r>
      <w:r w:rsidRPr="00E22B27">
        <w:rPr>
          <w:rFonts w:ascii="Arabic Typesetting" w:hAnsi="Arabic Typesetting" w:cs="Arabic Typesetting" w:hint="cs"/>
          <w:sz w:val="36"/>
          <w:szCs w:val="36"/>
          <w:rtl/>
        </w:rPr>
        <w:t>الإدارة المختصة</w:t>
      </w:r>
    </w:p>
    <w:p w:rsidR="00187464" w:rsidRPr="00E22B27" w:rsidRDefault="00187464" w:rsidP="009422A7">
      <w:pPr>
        <w:bidi/>
        <w:spacing w:after="480" w:line="360" w:lineRule="exact"/>
        <w:ind w:firstLine="6"/>
        <w:rPr>
          <w:rFonts w:ascii="Arabic Typesetting" w:hAnsi="Arabic Typesetting" w:cs="Arabic Typesetting"/>
          <w:sz w:val="36"/>
          <w:szCs w:val="36"/>
          <w:rtl/>
        </w:rPr>
      </w:pPr>
      <w:r w:rsidRPr="00E22B27">
        <w:rPr>
          <w:rFonts w:ascii="Arabic Typesetting" w:hAnsi="Arabic Typesetting" w:cs="Arabic Typesetting"/>
          <w:sz w:val="36"/>
          <w:szCs w:val="36"/>
          <w:rtl/>
          <w:lang w:bidi="ar-EG"/>
        </w:rPr>
        <w:t>ملاحظات على</w:t>
      </w:r>
      <w:r w:rsidR="007C2359" w:rsidRPr="00E22B27">
        <w:rPr>
          <w:rFonts w:ascii="Arabic Typesetting" w:hAnsi="Arabic Typesetting" w:cs="Arabic Typesetting"/>
          <w:sz w:val="36"/>
          <w:szCs w:val="36"/>
          <w:rtl/>
          <w:lang w:bidi="ar-EG"/>
        </w:rPr>
        <w:t xml:space="preserve"> </w:t>
      </w:r>
      <w:r w:rsidR="00450110" w:rsidRPr="00E22B27">
        <w:rPr>
          <w:rFonts w:ascii="Arabic Typesetting" w:hAnsi="Arabic Typesetting" w:cs="Arabic Typesetting"/>
          <w:sz w:val="36"/>
          <w:szCs w:val="36"/>
          <w:rtl/>
          <w:lang w:bidi="ar-EG"/>
        </w:rPr>
        <w:t>المادة </w:t>
      </w:r>
      <w:r w:rsidR="003C1838" w:rsidRPr="00E22B27">
        <w:rPr>
          <w:rFonts w:ascii="Arabic Typesetting" w:hAnsi="Arabic Typesetting" w:cs="Arabic Typesetting"/>
          <w:sz w:val="36"/>
          <w:szCs w:val="36"/>
          <w:rtl/>
        </w:rPr>
        <w:t>4</w:t>
      </w:r>
      <w:r w:rsidRPr="00E22B27">
        <w:rPr>
          <w:rFonts w:ascii="Arabic Typesetting" w:hAnsi="Arabic Typesetting" w:cs="Arabic Typesetting"/>
          <w:sz w:val="36"/>
          <w:szCs w:val="36"/>
          <w:rtl/>
        </w:rPr>
        <w:t>:</w:t>
      </w:r>
      <w:r w:rsidRPr="00E22B27">
        <w:rPr>
          <w:rFonts w:ascii="Arabic Typesetting" w:hAnsi="Arabic Typesetting" w:cs="Arabic Typesetting"/>
          <w:sz w:val="36"/>
          <w:szCs w:val="36"/>
          <w:rtl/>
        </w:rPr>
        <w:tab/>
      </w:r>
      <w:r w:rsidRPr="00E22B27">
        <w:rPr>
          <w:rFonts w:ascii="Arabic Typesetting" w:hAnsi="Arabic Typesetting" w:cs="Arabic Typesetting" w:hint="cs"/>
          <w:sz w:val="36"/>
          <w:szCs w:val="36"/>
          <w:rtl/>
        </w:rPr>
        <w:t>السجل الدولي</w:t>
      </w:r>
    </w:p>
    <w:p w:rsidR="00187464" w:rsidRPr="00E22B27" w:rsidRDefault="00187464" w:rsidP="009422A7">
      <w:pPr>
        <w:keepNext/>
        <w:bidi/>
        <w:spacing w:after="240" w:line="360" w:lineRule="exact"/>
        <w:ind w:firstLine="6"/>
        <w:jc w:val="lowKashida"/>
        <w:rPr>
          <w:rFonts w:ascii="Arabic Typesetting" w:hAnsi="Arabic Typesetting" w:cs="Arabic Typesetting"/>
          <w:i/>
          <w:iCs/>
          <w:sz w:val="36"/>
          <w:szCs w:val="36"/>
          <w:rtl/>
        </w:rPr>
      </w:pPr>
      <w:r w:rsidRPr="00E22B27">
        <w:rPr>
          <w:rFonts w:ascii="Arabic Typesetting" w:hAnsi="Arabic Typesetting" w:cs="Arabic Typesetting" w:hint="cs"/>
          <w:i/>
          <w:iCs/>
          <w:sz w:val="36"/>
          <w:szCs w:val="36"/>
          <w:rtl/>
        </w:rPr>
        <w:t>الفصل</w:t>
      </w:r>
      <w:r w:rsidRPr="00E22B27">
        <w:rPr>
          <w:rFonts w:ascii="Arabic Typesetting" w:hAnsi="Arabic Typesetting" w:cs="Arabic Typesetting"/>
          <w:i/>
          <w:iCs/>
          <w:sz w:val="36"/>
          <w:szCs w:val="36"/>
          <w:rtl/>
        </w:rPr>
        <w:t> </w:t>
      </w:r>
      <w:r w:rsidRPr="00E22B27">
        <w:rPr>
          <w:rFonts w:ascii="Arabic Typesetting" w:hAnsi="Arabic Typesetting" w:cs="Arabic Typesetting" w:hint="cs"/>
          <w:i/>
          <w:iCs/>
          <w:sz w:val="36"/>
          <w:szCs w:val="36"/>
          <w:rtl/>
        </w:rPr>
        <w:t>الثاني:</w:t>
      </w:r>
      <w:r w:rsidRPr="00E22B27">
        <w:rPr>
          <w:rFonts w:ascii="Arabic Typesetting" w:hAnsi="Arabic Typesetting" w:cs="Arabic Typesetting" w:hint="cs"/>
          <w:i/>
          <w:iCs/>
          <w:sz w:val="36"/>
          <w:szCs w:val="36"/>
          <w:rtl/>
        </w:rPr>
        <w:tab/>
        <w:t>الطلب والتسجيل الدولي</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sz w:val="36"/>
          <w:szCs w:val="36"/>
          <w:rtl/>
          <w:lang w:bidi="ar-EG"/>
        </w:rPr>
        <w:t>ملاحظات على</w:t>
      </w:r>
      <w:r w:rsidR="007C2359" w:rsidRPr="00E22B27">
        <w:rPr>
          <w:rFonts w:ascii="Arabic Typesetting" w:hAnsi="Arabic Typesetting" w:cs="Arabic Typesetting"/>
          <w:sz w:val="36"/>
          <w:szCs w:val="36"/>
          <w:rtl/>
          <w:lang w:bidi="ar-EG"/>
        </w:rPr>
        <w:t xml:space="preserve"> </w:t>
      </w:r>
      <w:r w:rsidR="00450110" w:rsidRPr="00E22B27">
        <w:rPr>
          <w:rFonts w:ascii="Arabic Typesetting" w:hAnsi="Arabic Typesetting" w:cs="Arabic Typesetting"/>
          <w:sz w:val="36"/>
          <w:szCs w:val="36"/>
          <w:rtl/>
          <w:lang w:bidi="ar-EG"/>
        </w:rPr>
        <w:t>المادة </w:t>
      </w:r>
      <w:r w:rsidR="003C1838" w:rsidRPr="00E22B27">
        <w:rPr>
          <w:rFonts w:ascii="Arabic Typesetting" w:hAnsi="Arabic Typesetting" w:cs="Arabic Typesetting"/>
          <w:sz w:val="36"/>
          <w:szCs w:val="36"/>
          <w:rtl/>
        </w:rPr>
        <w:t>5</w:t>
      </w:r>
      <w:r w:rsidRPr="00E22B27">
        <w:rPr>
          <w:rFonts w:ascii="Arabic Typesetting" w:hAnsi="Arabic Typesetting" w:cs="Arabic Typesetting"/>
          <w:sz w:val="36"/>
          <w:szCs w:val="36"/>
          <w:rtl/>
        </w:rPr>
        <w:t>:</w:t>
      </w:r>
      <w:r w:rsidRPr="00E22B27">
        <w:rPr>
          <w:rFonts w:ascii="Arabic Typesetting" w:hAnsi="Arabic Typesetting" w:cs="Arabic Typesetting"/>
          <w:sz w:val="36"/>
          <w:szCs w:val="36"/>
          <w:rtl/>
        </w:rPr>
        <w:tab/>
      </w:r>
      <w:r w:rsidRPr="00E22B27">
        <w:rPr>
          <w:rFonts w:ascii="Arabic Typesetting" w:hAnsi="Arabic Typesetting" w:cs="Arabic Typesetting" w:hint="cs"/>
          <w:sz w:val="36"/>
          <w:szCs w:val="36"/>
          <w:rtl/>
        </w:rPr>
        <w:t>الطلب</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sz w:val="36"/>
          <w:szCs w:val="36"/>
          <w:rtl/>
          <w:lang w:bidi="ar-EG"/>
        </w:rPr>
        <w:t>ملاحظات على</w:t>
      </w:r>
      <w:r w:rsidR="007C2359" w:rsidRPr="00E22B27">
        <w:rPr>
          <w:rFonts w:ascii="Arabic Typesetting" w:hAnsi="Arabic Typesetting" w:cs="Arabic Typesetting"/>
          <w:sz w:val="36"/>
          <w:szCs w:val="36"/>
          <w:rtl/>
          <w:lang w:bidi="ar-EG"/>
        </w:rPr>
        <w:t xml:space="preserve"> </w:t>
      </w:r>
      <w:r w:rsidR="00450110" w:rsidRPr="00E22B27">
        <w:rPr>
          <w:rFonts w:ascii="Arabic Typesetting" w:hAnsi="Arabic Typesetting" w:cs="Arabic Typesetting"/>
          <w:sz w:val="36"/>
          <w:szCs w:val="36"/>
          <w:rtl/>
          <w:lang w:bidi="ar-EG"/>
        </w:rPr>
        <w:t>المادة </w:t>
      </w:r>
      <w:r w:rsidR="003C1838" w:rsidRPr="00E22B27">
        <w:rPr>
          <w:rFonts w:ascii="Arabic Typesetting" w:hAnsi="Arabic Typesetting" w:cs="Arabic Typesetting"/>
          <w:sz w:val="36"/>
          <w:szCs w:val="36"/>
          <w:rtl/>
        </w:rPr>
        <w:t>6</w:t>
      </w:r>
      <w:r w:rsidRPr="00E22B27">
        <w:rPr>
          <w:rFonts w:ascii="Arabic Typesetting" w:hAnsi="Arabic Typesetting" w:cs="Arabic Typesetting"/>
          <w:sz w:val="36"/>
          <w:szCs w:val="36"/>
          <w:rtl/>
        </w:rPr>
        <w:t>:</w:t>
      </w:r>
      <w:r w:rsidRPr="00E22B27">
        <w:rPr>
          <w:rFonts w:ascii="Arabic Typesetting" w:hAnsi="Arabic Typesetting" w:cs="Arabic Typesetting"/>
          <w:sz w:val="36"/>
          <w:szCs w:val="36"/>
          <w:rtl/>
        </w:rPr>
        <w:tab/>
      </w:r>
      <w:r w:rsidRPr="00E22B27">
        <w:rPr>
          <w:rFonts w:ascii="Arabic Typesetting" w:hAnsi="Arabic Typesetting" w:cs="Arabic Typesetting"/>
          <w:sz w:val="36"/>
          <w:szCs w:val="36"/>
          <w:rtl/>
          <w:lang w:bidi="ar-EG"/>
        </w:rPr>
        <w:t>التسجيل الدولي</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hint="cs"/>
          <w:sz w:val="36"/>
          <w:szCs w:val="36"/>
          <w:rtl/>
        </w:rPr>
        <w:t>ملاحظات على</w:t>
      </w:r>
      <w:r w:rsidR="007C2359" w:rsidRPr="00E22B27">
        <w:rPr>
          <w:rFonts w:ascii="Arabic Typesetting" w:hAnsi="Arabic Typesetting" w:cs="Arabic Typesetting" w:hint="cs"/>
          <w:sz w:val="36"/>
          <w:szCs w:val="36"/>
          <w:rtl/>
        </w:rPr>
        <w:t xml:space="preserve"> </w:t>
      </w:r>
      <w:r w:rsidR="00450110" w:rsidRPr="00E22B27">
        <w:rPr>
          <w:rFonts w:ascii="Arabic Typesetting" w:hAnsi="Arabic Typesetting" w:cs="Arabic Typesetting" w:hint="cs"/>
          <w:sz w:val="36"/>
          <w:szCs w:val="36"/>
          <w:rtl/>
        </w:rPr>
        <w:t>المادة</w:t>
      </w:r>
      <w:r w:rsidR="00450110" w:rsidRPr="00E22B27">
        <w:rPr>
          <w:rFonts w:ascii="Arabic Typesetting" w:hAnsi="Arabic Typesetting" w:cs="Arabic Typesetting"/>
          <w:sz w:val="36"/>
          <w:szCs w:val="36"/>
          <w:rtl/>
        </w:rPr>
        <w:t> </w:t>
      </w:r>
      <w:r w:rsidR="003C1838" w:rsidRPr="00E22B27">
        <w:rPr>
          <w:rFonts w:ascii="Arabic Typesetting" w:hAnsi="Arabic Typesetting" w:cs="Arabic Typesetting" w:hint="cs"/>
          <w:sz w:val="36"/>
          <w:szCs w:val="36"/>
          <w:rtl/>
        </w:rPr>
        <w:t>7</w:t>
      </w:r>
      <w:r w:rsidRPr="00E22B27">
        <w:rPr>
          <w:rFonts w:ascii="Arabic Typesetting" w:hAnsi="Arabic Typesetting" w:cs="Arabic Typesetting" w:hint="cs"/>
          <w:sz w:val="36"/>
          <w:szCs w:val="36"/>
          <w:rtl/>
        </w:rPr>
        <w:t>:</w:t>
      </w:r>
      <w:r w:rsidRPr="00E22B27">
        <w:rPr>
          <w:rFonts w:ascii="Arabic Typesetting" w:hAnsi="Arabic Typesetting" w:cs="Arabic Typesetting" w:hint="cs"/>
          <w:sz w:val="36"/>
          <w:szCs w:val="36"/>
          <w:rtl/>
        </w:rPr>
        <w:tab/>
        <w:t>الرسوم</w:t>
      </w:r>
    </w:p>
    <w:p w:rsidR="00187464" w:rsidRPr="00E22B27" w:rsidRDefault="00187464" w:rsidP="009422A7">
      <w:pPr>
        <w:bidi/>
        <w:spacing w:after="480" w:line="360" w:lineRule="exact"/>
        <w:ind w:firstLine="6"/>
        <w:rPr>
          <w:rFonts w:ascii="Arabic Typesetting" w:hAnsi="Arabic Typesetting" w:cs="Arabic Typesetting"/>
          <w:sz w:val="36"/>
          <w:szCs w:val="36"/>
          <w:rtl/>
        </w:rPr>
      </w:pPr>
      <w:r w:rsidRPr="00E22B27">
        <w:rPr>
          <w:rFonts w:ascii="Arabic Typesetting" w:hAnsi="Arabic Typesetting" w:cs="Arabic Typesetting" w:hint="cs"/>
          <w:sz w:val="36"/>
          <w:szCs w:val="36"/>
          <w:rtl/>
        </w:rPr>
        <w:t>ملاحظات على</w:t>
      </w:r>
      <w:r w:rsidR="007C2359" w:rsidRPr="00E22B27">
        <w:rPr>
          <w:rFonts w:ascii="Arabic Typesetting" w:hAnsi="Arabic Typesetting" w:cs="Arabic Typesetting" w:hint="cs"/>
          <w:sz w:val="36"/>
          <w:szCs w:val="36"/>
          <w:rtl/>
        </w:rPr>
        <w:t xml:space="preserve"> </w:t>
      </w:r>
      <w:r w:rsidR="00450110" w:rsidRPr="00E22B27">
        <w:rPr>
          <w:rFonts w:ascii="Arabic Typesetting" w:hAnsi="Arabic Typesetting" w:cs="Arabic Typesetting" w:hint="cs"/>
          <w:sz w:val="36"/>
          <w:szCs w:val="36"/>
          <w:rtl/>
        </w:rPr>
        <w:t>المادة</w:t>
      </w:r>
      <w:r w:rsidR="00450110" w:rsidRPr="00E22B27">
        <w:rPr>
          <w:rFonts w:ascii="Arabic Typesetting" w:hAnsi="Arabic Typesetting" w:cs="Arabic Typesetting"/>
          <w:sz w:val="36"/>
          <w:szCs w:val="36"/>
          <w:rtl/>
        </w:rPr>
        <w:t> </w:t>
      </w:r>
      <w:r w:rsidR="003C1838" w:rsidRPr="00E22B27">
        <w:rPr>
          <w:rFonts w:ascii="Arabic Typesetting" w:hAnsi="Arabic Typesetting" w:cs="Arabic Typesetting" w:hint="cs"/>
          <w:sz w:val="36"/>
          <w:szCs w:val="36"/>
          <w:rtl/>
        </w:rPr>
        <w:t>8</w:t>
      </w:r>
      <w:r w:rsidRPr="00E22B27">
        <w:rPr>
          <w:rFonts w:ascii="Arabic Typesetting" w:hAnsi="Arabic Typesetting" w:cs="Arabic Typesetting" w:hint="cs"/>
          <w:sz w:val="36"/>
          <w:szCs w:val="36"/>
          <w:rtl/>
        </w:rPr>
        <w:t>:</w:t>
      </w:r>
      <w:r w:rsidRPr="00E22B27">
        <w:rPr>
          <w:rFonts w:ascii="Arabic Typesetting" w:hAnsi="Arabic Typesetting" w:cs="Arabic Typesetting" w:hint="cs"/>
          <w:sz w:val="36"/>
          <w:szCs w:val="36"/>
          <w:rtl/>
        </w:rPr>
        <w:tab/>
        <w:t>مدة صلاحية التسجيل الدولي</w:t>
      </w:r>
    </w:p>
    <w:p w:rsidR="00187464" w:rsidRPr="00E22B27" w:rsidRDefault="00187464" w:rsidP="009422A7">
      <w:pPr>
        <w:keepNext/>
        <w:bidi/>
        <w:spacing w:after="240" w:line="360" w:lineRule="exact"/>
        <w:ind w:firstLine="6"/>
        <w:jc w:val="lowKashida"/>
        <w:rPr>
          <w:rFonts w:ascii="Arabic Typesetting" w:hAnsi="Arabic Typesetting" w:cs="Arabic Typesetting"/>
          <w:i/>
          <w:iCs/>
          <w:sz w:val="36"/>
          <w:szCs w:val="36"/>
          <w:rtl/>
        </w:rPr>
      </w:pPr>
      <w:r w:rsidRPr="00E22B27">
        <w:rPr>
          <w:rFonts w:ascii="Arabic Typesetting" w:hAnsi="Arabic Typesetting" w:cs="Arabic Typesetting" w:hint="cs"/>
          <w:i/>
          <w:iCs/>
          <w:sz w:val="36"/>
          <w:szCs w:val="36"/>
          <w:rtl/>
        </w:rPr>
        <w:t>الفصل</w:t>
      </w:r>
      <w:r w:rsidRPr="00E22B27">
        <w:rPr>
          <w:rFonts w:ascii="Arabic Typesetting" w:hAnsi="Arabic Typesetting" w:cs="Arabic Typesetting"/>
          <w:i/>
          <w:iCs/>
          <w:sz w:val="36"/>
          <w:szCs w:val="36"/>
          <w:rtl/>
        </w:rPr>
        <w:t> </w:t>
      </w:r>
      <w:r w:rsidRPr="00E22B27">
        <w:rPr>
          <w:rFonts w:ascii="Arabic Typesetting" w:hAnsi="Arabic Typesetting" w:cs="Arabic Typesetting" w:hint="cs"/>
          <w:i/>
          <w:iCs/>
          <w:sz w:val="36"/>
          <w:szCs w:val="36"/>
          <w:rtl/>
        </w:rPr>
        <w:t>الثالث:</w:t>
      </w:r>
      <w:r w:rsidRPr="00E22B27">
        <w:rPr>
          <w:rFonts w:ascii="Arabic Typesetting" w:hAnsi="Arabic Typesetting" w:cs="Arabic Typesetting" w:hint="cs"/>
          <w:i/>
          <w:iCs/>
          <w:sz w:val="36"/>
          <w:szCs w:val="36"/>
          <w:rtl/>
        </w:rPr>
        <w:tab/>
      </w:r>
      <w:r w:rsidRPr="00E22B27">
        <w:rPr>
          <w:rFonts w:ascii="Arabic Typesetting" w:hAnsi="Arabic Typesetting" w:cs="Arabic Typesetting" w:hint="cs"/>
          <w:i/>
          <w:iCs/>
          <w:sz w:val="36"/>
          <w:szCs w:val="36"/>
          <w:rtl/>
        </w:rPr>
        <w:tab/>
        <w:t>الحماية</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sz w:val="36"/>
          <w:szCs w:val="36"/>
          <w:rtl/>
          <w:lang w:bidi="ar-EG"/>
        </w:rPr>
        <w:t>ملاحظات على</w:t>
      </w:r>
      <w:r w:rsidR="007C2359" w:rsidRPr="00E22B27">
        <w:rPr>
          <w:rFonts w:ascii="Arabic Typesetting" w:hAnsi="Arabic Typesetting" w:cs="Arabic Typesetting"/>
          <w:sz w:val="36"/>
          <w:szCs w:val="36"/>
          <w:rtl/>
          <w:lang w:bidi="ar-EG"/>
        </w:rPr>
        <w:t xml:space="preserve"> </w:t>
      </w:r>
      <w:r w:rsidR="00450110" w:rsidRPr="00E22B27">
        <w:rPr>
          <w:rFonts w:ascii="Arabic Typesetting" w:hAnsi="Arabic Typesetting" w:cs="Arabic Typesetting"/>
          <w:sz w:val="36"/>
          <w:szCs w:val="36"/>
          <w:rtl/>
          <w:lang w:bidi="ar-EG"/>
        </w:rPr>
        <w:t>المادة </w:t>
      </w:r>
      <w:r w:rsidR="003C1838" w:rsidRPr="00E22B27">
        <w:rPr>
          <w:rFonts w:ascii="Arabic Typesetting" w:hAnsi="Arabic Typesetting" w:cs="Arabic Typesetting"/>
          <w:sz w:val="36"/>
          <w:szCs w:val="36"/>
          <w:rtl/>
        </w:rPr>
        <w:t>9</w:t>
      </w:r>
      <w:r w:rsidRPr="00E22B27">
        <w:rPr>
          <w:rFonts w:ascii="Arabic Typesetting" w:hAnsi="Arabic Typesetting" w:cs="Arabic Typesetting"/>
          <w:sz w:val="36"/>
          <w:szCs w:val="36"/>
          <w:rtl/>
        </w:rPr>
        <w:t>:</w:t>
      </w:r>
      <w:r w:rsidRPr="00E22B27">
        <w:rPr>
          <w:rFonts w:ascii="Arabic Typesetting" w:hAnsi="Arabic Typesetting" w:cs="Arabic Typesetting"/>
          <w:sz w:val="36"/>
          <w:szCs w:val="36"/>
          <w:rtl/>
        </w:rPr>
        <w:tab/>
      </w:r>
      <w:r w:rsidRPr="00E22B27">
        <w:rPr>
          <w:rFonts w:ascii="Arabic Typesetting" w:hAnsi="Arabic Typesetting" w:cs="Arabic Typesetting" w:hint="cs"/>
          <w:sz w:val="36"/>
          <w:szCs w:val="36"/>
          <w:rtl/>
        </w:rPr>
        <w:t>الالتزام بالحماية</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sz w:val="36"/>
          <w:szCs w:val="36"/>
          <w:rtl/>
          <w:lang w:bidi="ar-EG"/>
        </w:rPr>
        <w:t>ملاحظات على</w:t>
      </w:r>
      <w:r w:rsidR="007C2359" w:rsidRPr="00E22B27">
        <w:rPr>
          <w:rFonts w:ascii="Arabic Typesetting" w:hAnsi="Arabic Typesetting" w:cs="Arabic Typesetting"/>
          <w:sz w:val="36"/>
          <w:szCs w:val="36"/>
          <w:rtl/>
          <w:lang w:bidi="ar-EG"/>
        </w:rPr>
        <w:t xml:space="preserve"> </w:t>
      </w:r>
      <w:r w:rsidR="00450110" w:rsidRPr="00E22B27">
        <w:rPr>
          <w:rFonts w:ascii="Arabic Typesetting" w:hAnsi="Arabic Typesetting" w:cs="Arabic Typesetting"/>
          <w:sz w:val="36"/>
          <w:szCs w:val="36"/>
          <w:rtl/>
          <w:lang w:bidi="ar-EG"/>
        </w:rPr>
        <w:t>المادة </w:t>
      </w:r>
      <w:r w:rsidR="003C1838" w:rsidRPr="00E22B27">
        <w:rPr>
          <w:rFonts w:ascii="Arabic Typesetting" w:hAnsi="Arabic Typesetting" w:cs="Arabic Typesetting"/>
          <w:sz w:val="36"/>
          <w:szCs w:val="36"/>
          <w:rtl/>
        </w:rPr>
        <w:t>1</w:t>
      </w:r>
      <w:r w:rsidRPr="00E22B27">
        <w:rPr>
          <w:rFonts w:ascii="Arabic Typesetting" w:hAnsi="Arabic Typesetting" w:cs="Arabic Typesetting"/>
          <w:sz w:val="36"/>
          <w:szCs w:val="36"/>
          <w:rtl/>
        </w:rPr>
        <w:t>0:</w:t>
      </w:r>
      <w:r w:rsidRPr="00E22B27">
        <w:rPr>
          <w:rFonts w:ascii="Arabic Typesetting" w:hAnsi="Arabic Typesetting" w:cs="Arabic Typesetting"/>
          <w:sz w:val="36"/>
          <w:szCs w:val="36"/>
          <w:rtl/>
        </w:rPr>
        <w:tab/>
      </w:r>
      <w:r w:rsidRPr="00E22B27">
        <w:rPr>
          <w:rFonts w:ascii="Arabic Typesetting" w:hAnsi="Arabic Typesetting" w:cs="Arabic Typesetting" w:hint="cs"/>
          <w:sz w:val="36"/>
          <w:szCs w:val="36"/>
          <w:rtl/>
        </w:rPr>
        <w:t>الحماية بموجب قوانين الأطراف المتعاقدة والصكوك الأخرى</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sz w:val="36"/>
          <w:szCs w:val="36"/>
          <w:rtl/>
          <w:lang w:bidi="ar-EG"/>
        </w:rPr>
        <w:t>ملاحظات على</w:t>
      </w:r>
      <w:r w:rsidR="007C2359" w:rsidRPr="00E22B27">
        <w:rPr>
          <w:rFonts w:ascii="Arabic Typesetting" w:hAnsi="Arabic Typesetting" w:cs="Arabic Typesetting"/>
          <w:sz w:val="36"/>
          <w:szCs w:val="36"/>
          <w:rtl/>
          <w:lang w:bidi="ar-EG"/>
        </w:rPr>
        <w:t xml:space="preserve"> </w:t>
      </w:r>
      <w:r w:rsidR="00450110" w:rsidRPr="00E22B27">
        <w:rPr>
          <w:rFonts w:ascii="Arabic Typesetting" w:hAnsi="Arabic Typesetting" w:cs="Arabic Typesetting"/>
          <w:sz w:val="36"/>
          <w:szCs w:val="36"/>
          <w:rtl/>
          <w:lang w:bidi="ar-EG"/>
        </w:rPr>
        <w:t>المادة </w:t>
      </w:r>
      <w:r w:rsidR="003C1838" w:rsidRPr="00E22B27">
        <w:rPr>
          <w:rFonts w:ascii="Arabic Typesetting" w:hAnsi="Arabic Typesetting" w:cs="Arabic Typesetting" w:hint="cs"/>
          <w:sz w:val="36"/>
          <w:szCs w:val="36"/>
          <w:rtl/>
        </w:rPr>
        <w:t>11</w:t>
      </w:r>
      <w:r w:rsidRPr="00E22B27">
        <w:rPr>
          <w:rFonts w:ascii="Arabic Typesetting" w:hAnsi="Arabic Typesetting" w:cs="Arabic Typesetting"/>
          <w:sz w:val="36"/>
          <w:szCs w:val="36"/>
          <w:rtl/>
        </w:rPr>
        <w:t>:</w:t>
      </w:r>
      <w:r w:rsidRPr="00E22B27">
        <w:rPr>
          <w:rFonts w:ascii="Arabic Typesetting" w:hAnsi="Arabic Typesetting" w:cs="Arabic Typesetting"/>
          <w:sz w:val="36"/>
          <w:szCs w:val="36"/>
          <w:rtl/>
        </w:rPr>
        <w:tab/>
      </w:r>
      <w:r w:rsidRPr="00E22B27">
        <w:rPr>
          <w:rFonts w:ascii="Arabic Typesetting" w:hAnsi="Arabic Typesetting" w:cs="Arabic Typesetting" w:hint="cs"/>
          <w:sz w:val="36"/>
          <w:szCs w:val="36"/>
          <w:rtl/>
        </w:rPr>
        <w:t>الحماية فيما يخص تسميات المنشأ المسجلة والبيانات الجغرافية</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hint="cs"/>
          <w:sz w:val="36"/>
          <w:szCs w:val="36"/>
          <w:rtl/>
        </w:rPr>
        <w:t>ملاحظات على</w:t>
      </w:r>
      <w:r w:rsidR="007C2359" w:rsidRPr="00E22B27">
        <w:rPr>
          <w:rFonts w:ascii="Arabic Typesetting" w:hAnsi="Arabic Typesetting" w:cs="Arabic Typesetting" w:hint="cs"/>
          <w:sz w:val="36"/>
          <w:szCs w:val="36"/>
          <w:rtl/>
        </w:rPr>
        <w:t xml:space="preserve"> </w:t>
      </w:r>
      <w:r w:rsidR="00450110" w:rsidRPr="00E22B27">
        <w:rPr>
          <w:rFonts w:ascii="Arabic Typesetting" w:hAnsi="Arabic Typesetting" w:cs="Arabic Typesetting" w:hint="cs"/>
          <w:sz w:val="36"/>
          <w:szCs w:val="36"/>
          <w:rtl/>
        </w:rPr>
        <w:t>المادة</w:t>
      </w:r>
      <w:r w:rsidR="00450110" w:rsidRPr="00E22B27">
        <w:rPr>
          <w:rFonts w:ascii="Arabic Typesetting" w:hAnsi="Arabic Typesetting" w:cs="Arabic Typesetting"/>
          <w:sz w:val="36"/>
          <w:szCs w:val="36"/>
          <w:rtl/>
        </w:rPr>
        <w:t> </w:t>
      </w:r>
      <w:r w:rsidR="003C1838" w:rsidRPr="00E22B27">
        <w:rPr>
          <w:rFonts w:ascii="Arabic Typesetting" w:hAnsi="Arabic Typesetting" w:cs="Arabic Typesetting" w:hint="cs"/>
          <w:sz w:val="36"/>
          <w:szCs w:val="36"/>
          <w:rtl/>
        </w:rPr>
        <w:t>12</w:t>
      </w:r>
      <w:r w:rsidRPr="00E22B27">
        <w:rPr>
          <w:rFonts w:ascii="Arabic Typesetting" w:hAnsi="Arabic Typesetting" w:cs="Arabic Typesetting" w:hint="cs"/>
          <w:sz w:val="36"/>
          <w:szCs w:val="36"/>
          <w:rtl/>
        </w:rPr>
        <w:t>:</w:t>
      </w:r>
      <w:r w:rsidRPr="00E22B27">
        <w:rPr>
          <w:rFonts w:ascii="Arabic Typesetting" w:hAnsi="Arabic Typesetting" w:cs="Arabic Typesetting" w:hint="cs"/>
          <w:sz w:val="36"/>
          <w:szCs w:val="36"/>
          <w:rtl/>
        </w:rPr>
        <w:tab/>
        <w:t>الحماية من [اكتساب طابع التسمية العامة [التحول إلى تسمية عامة]</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hint="cs"/>
          <w:sz w:val="36"/>
          <w:szCs w:val="36"/>
          <w:rtl/>
        </w:rPr>
        <w:t>ملاحظات على</w:t>
      </w:r>
      <w:r w:rsidR="007C2359" w:rsidRPr="00E22B27">
        <w:rPr>
          <w:rFonts w:ascii="Arabic Typesetting" w:hAnsi="Arabic Typesetting" w:cs="Arabic Typesetting" w:hint="cs"/>
          <w:sz w:val="36"/>
          <w:szCs w:val="36"/>
          <w:rtl/>
        </w:rPr>
        <w:t xml:space="preserve"> </w:t>
      </w:r>
      <w:r w:rsidR="00450110" w:rsidRPr="00E22B27">
        <w:rPr>
          <w:rFonts w:ascii="Arabic Typesetting" w:hAnsi="Arabic Typesetting" w:cs="Arabic Typesetting" w:hint="cs"/>
          <w:sz w:val="36"/>
          <w:szCs w:val="36"/>
          <w:rtl/>
        </w:rPr>
        <w:t>المادة</w:t>
      </w:r>
      <w:r w:rsidR="00450110" w:rsidRPr="00E22B27">
        <w:rPr>
          <w:rFonts w:ascii="Arabic Typesetting" w:hAnsi="Arabic Typesetting" w:cs="Arabic Typesetting"/>
          <w:sz w:val="36"/>
          <w:szCs w:val="36"/>
          <w:rtl/>
        </w:rPr>
        <w:t> </w:t>
      </w:r>
      <w:r w:rsidR="003C1838" w:rsidRPr="00E22B27">
        <w:rPr>
          <w:rFonts w:ascii="Arabic Typesetting" w:hAnsi="Arabic Typesetting" w:cs="Arabic Typesetting" w:hint="cs"/>
          <w:sz w:val="36"/>
          <w:szCs w:val="36"/>
          <w:rtl/>
        </w:rPr>
        <w:t>13</w:t>
      </w:r>
      <w:r w:rsidRPr="00E22B27">
        <w:rPr>
          <w:rFonts w:ascii="Arabic Typesetting" w:hAnsi="Arabic Typesetting" w:cs="Arabic Typesetting" w:hint="cs"/>
          <w:sz w:val="36"/>
          <w:szCs w:val="36"/>
          <w:rtl/>
        </w:rPr>
        <w:t>:</w:t>
      </w:r>
      <w:r w:rsidRPr="00E22B27">
        <w:rPr>
          <w:rFonts w:ascii="Arabic Typesetting" w:hAnsi="Arabic Typesetting" w:cs="Arabic Typesetting" w:hint="cs"/>
          <w:sz w:val="36"/>
          <w:szCs w:val="36"/>
          <w:rtl/>
        </w:rPr>
        <w:tab/>
        <w:t>الضمانات الخاصة بحقوق أخرى</w:t>
      </w:r>
    </w:p>
    <w:p w:rsidR="00187464" w:rsidRPr="00E22B27" w:rsidRDefault="00187464" w:rsidP="009422A7">
      <w:pPr>
        <w:bidi/>
        <w:spacing w:after="480" w:line="360" w:lineRule="exact"/>
        <w:ind w:firstLine="6"/>
        <w:rPr>
          <w:rFonts w:ascii="Arabic Typesetting" w:hAnsi="Arabic Typesetting" w:cs="Arabic Typesetting"/>
          <w:sz w:val="36"/>
          <w:szCs w:val="36"/>
          <w:rtl/>
        </w:rPr>
      </w:pPr>
      <w:r w:rsidRPr="00E22B27">
        <w:rPr>
          <w:rFonts w:ascii="Arabic Typesetting" w:hAnsi="Arabic Typesetting" w:cs="Arabic Typesetting" w:hint="cs"/>
          <w:sz w:val="36"/>
          <w:szCs w:val="36"/>
          <w:rtl/>
        </w:rPr>
        <w:t>ملاحظات على</w:t>
      </w:r>
      <w:r w:rsidR="007C2359" w:rsidRPr="00E22B27">
        <w:rPr>
          <w:rFonts w:ascii="Arabic Typesetting" w:hAnsi="Arabic Typesetting" w:cs="Arabic Typesetting" w:hint="cs"/>
          <w:sz w:val="36"/>
          <w:szCs w:val="36"/>
          <w:rtl/>
        </w:rPr>
        <w:t xml:space="preserve"> </w:t>
      </w:r>
      <w:r w:rsidR="00450110" w:rsidRPr="00E22B27">
        <w:rPr>
          <w:rFonts w:ascii="Arabic Typesetting" w:hAnsi="Arabic Typesetting" w:cs="Arabic Typesetting" w:hint="cs"/>
          <w:sz w:val="36"/>
          <w:szCs w:val="36"/>
          <w:rtl/>
        </w:rPr>
        <w:t>المادة</w:t>
      </w:r>
      <w:r w:rsidR="00450110" w:rsidRPr="00E22B27">
        <w:rPr>
          <w:rFonts w:ascii="Arabic Typesetting" w:hAnsi="Arabic Typesetting" w:cs="Arabic Typesetting"/>
          <w:sz w:val="36"/>
          <w:szCs w:val="36"/>
          <w:rtl/>
        </w:rPr>
        <w:t> </w:t>
      </w:r>
      <w:r w:rsidR="003C1838" w:rsidRPr="00E22B27">
        <w:rPr>
          <w:rFonts w:ascii="Arabic Typesetting" w:hAnsi="Arabic Typesetting" w:cs="Arabic Typesetting" w:hint="cs"/>
          <w:sz w:val="36"/>
          <w:szCs w:val="36"/>
          <w:rtl/>
        </w:rPr>
        <w:t>14</w:t>
      </w:r>
      <w:r w:rsidRPr="00E22B27">
        <w:rPr>
          <w:rFonts w:ascii="Arabic Typesetting" w:hAnsi="Arabic Typesetting" w:cs="Arabic Typesetting" w:hint="cs"/>
          <w:sz w:val="36"/>
          <w:szCs w:val="36"/>
          <w:rtl/>
        </w:rPr>
        <w:t>:</w:t>
      </w:r>
      <w:r w:rsidRPr="00E22B27">
        <w:rPr>
          <w:rFonts w:ascii="Arabic Typesetting" w:hAnsi="Arabic Typesetting" w:cs="Arabic Typesetting" w:hint="cs"/>
          <w:sz w:val="36"/>
          <w:szCs w:val="36"/>
          <w:rtl/>
        </w:rPr>
        <w:tab/>
        <w:t>إجراءات وسبل الإنفاذ</w:t>
      </w:r>
    </w:p>
    <w:p w:rsidR="00187464" w:rsidRPr="00E22B27" w:rsidRDefault="00187464" w:rsidP="009422A7">
      <w:pPr>
        <w:keepNext/>
        <w:bidi/>
        <w:spacing w:after="240" w:line="360" w:lineRule="exact"/>
        <w:ind w:firstLine="6"/>
        <w:jc w:val="lowKashida"/>
        <w:rPr>
          <w:rFonts w:ascii="Arabic Typesetting" w:hAnsi="Arabic Typesetting" w:cs="Arabic Typesetting"/>
          <w:i/>
          <w:iCs/>
          <w:sz w:val="36"/>
          <w:szCs w:val="36"/>
          <w:rtl/>
        </w:rPr>
      </w:pPr>
      <w:r w:rsidRPr="00E22B27">
        <w:rPr>
          <w:rFonts w:ascii="Arabic Typesetting" w:hAnsi="Arabic Typesetting" w:cs="Arabic Typesetting" w:hint="cs"/>
          <w:i/>
          <w:iCs/>
          <w:sz w:val="36"/>
          <w:szCs w:val="36"/>
          <w:rtl/>
        </w:rPr>
        <w:t>الفصل</w:t>
      </w:r>
      <w:r w:rsidRPr="00E22B27">
        <w:rPr>
          <w:rFonts w:ascii="Arabic Typesetting" w:hAnsi="Arabic Typesetting" w:cs="Arabic Typesetting"/>
          <w:i/>
          <w:iCs/>
          <w:sz w:val="36"/>
          <w:szCs w:val="36"/>
          <w:rtl/>
        </w:rPr>
        <w:t> </w:t>
      </w:r>
      <w:r w:rsidRPr="00E22B27">
        <w:rPr>
          <w:rFonts w:ascii="Arabic Typesetting" w:hAnsi="Arabic Typesetting" w:cs="Arabic Typesetting" w:hint="cs"/>
          <w:i/>
          <w:iCs/>
          <w:sz w:val="36"/>
          <w:szCs w:val="36"/>
          <w:rtl/>
        </w:rPr>
        <w:t>الرابع:</w:t>
      </w:r>
      <w:r w:rsidRPr="00E22B27">
        <w:rPr>
          <w:rFonts w:ascii="Arabic Typesetting" w:hAnsi="Arabic Typesetting" w:cs="Arabic Typesetting" w:hint="cs"/>
          <w:i/>
          <w:iCs/>
          <w:sz w:val="36"/>
          <w:szCs w:val="36"/>
          <w:rtl/>
        </w:rPr>
        <w:tab/>
        <w:t>الرفض والإجراءات الأخرى المتعلقة بالتسجيل الدولي</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hint="cs"/>
          <w:sz w:val="36"/>
          <w:szCs w:val="36"/>
          <w:rtl/>
        </w:rPr>
        <w:t>ملاحظات على</w:t>
      </w:r>
      <w:r w:rsidR="007C2359" w:rsidRPr="00E22B27">
        <w:rPr>
          <w:rFonts w:ascii="Arabic Typesetting" w:hAnsi="Arabic Typesetting" w:cs="Arabic Typesetting" w:hint="cs"/>
          <w:sz w:val="36"/>
          <w:szCs w:val="36"/>
          <w:rtl/>
        </w:rPr>
        <w:t xml:space="preserve"> </w:t>
      </w:r>
      <w:r w:rsidR="00450110" w:rsidRPr="00E22B27">
        <w:rPr>
          <w:rFonts w:ascii="Arabic Typesetting" w:hAnsi="Arabic Typesetting" w:cs="Arabic Typesetting" w:hint="cs"/>
          <w:sz w:val="36"/>
          <w:szCs w:val="36"/>
          <w:rtl/>
        </w:rPr>
        <w:t>المادة</w:t>
      </w:r>
      <w:r w:rsidR="00450110" w:rsidRPr="00E22B27">
        <w:rPr>
          <w:rFonts w:ascii="Arabic Typesetting" w:hAnsi="Arabic Typesetting" w:cs="Arabic Typesetting"/>
          <w:sz w:val="36"/>
          <w:szCs w:val="36"/>
          <w:rtl/>
        </w:rPr>
        <w:t> </w:t>
      </w:r>
      <w:r w:rsidR="003C1838" w:rsidRPr="00E22B27">
        <w:rPr>
          <w:rFonts w:ascii="Arabic Typesetting" w:hAnsi="Arabic Typesetting" w:cs="Arabic Typesetting" w:hint="cs"/>
          <w:sz w:val="36"/>
          <w:szCs w:val="36"/>
          <w:rtl/>
        </w:rPr>
        <w:t>15</w:t>
      </w:r>
      <w:r w:rsidRPr="00E22B27">
        <w:rPr>
          <w:rFonts w:ascii="Arabic Typesetting" w:hAnsi="Arabic Typesetting" w:cs="Arabic Typesetting" w:hint="cs"/>
          <w:sz w:val="36"/>
          <w:szCs w:val="36"/>
          <w:rtl/>
        </w:rPr>
        <w:t>:</w:t>
      </w:r>
      <w:r w:rsidRPr="00E22B27">
        <w:rPr>
          <w:rFonts w:ascii="Arabic Typesetting" w:hAnsi="Arabic Typesetting" w:cs="Arabic Typesetting" w:hint="cs"/>
          <w:sz w:val="36"/>
          <w:szCs w:val="36"/>
          <w:rtl/>
        </w:rPr>
        <w:tab/>
        <w:t>الرفض</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sz w:val="36"/>
          <w:szCs w:val="36"/>
          <w:rtl/>
          <w:lang w:bidi="ar-EG"/>
        </w:rPr>
        <w:t>ملاحظات على</w:t>
      </w:r>
      <w:r w:rsidR="007C2359" w:rsidRPr="00E22B27">
        <w:rPr>
          <w:rFonts w:ascii="Arabic Typesetting" w:hAnsi="Arabic Typesetting" w:cs="Arabic Typesetting"/>
          <w:sz w:val="36"/>
          <w:szCs w:val="36"/>
          <w:rtl/>
          <w:lang w:bidi="ar-EG"/>
        </w:rPr>
        <w:t xml:space="preserve"> </w:t>
      </w:r>
      <w:r w:rsidR="00450110" w:rsidRPr="00E22B27">
        <w:rPr>
          <w:rFonts w:ascii="Arabic Typesetting" w:hAnsi="Arabic Typesetting" w:cs="Arabic Typesetting"/>
          <w:sz w:val="36"/>
          <w:szCs w:val="36"/>
          <w:rtl/>
          <w:lang w:bidi="ar-EG"/>
        </w:rPr>
        <w:t>المادة </w:t>
      </w:r>
      <w:r w:rsidR="003C1838" w:rsidRPr="00E22B27">
        <w:rPr>
          <w:rFonts w:ascii="Arabic Typesetting" w:hAnsi="Arabic Typesetting" w:cs="Arabic Typesetting"/>
          <w:sz w:val="36"/>
          <w:szCs w:val="36"/>
          <w:rtl/>
        </w:rPr>
        <w:t>1</w:t>
      </w:r>
      <w:r w:rsidR="003C1838" w:rsidRPr="00E22B27">
        <w:rPr>
          <w:rFonts w:ascii="Arabic Typesetting" w:hAnsi="Arabic Typesetting" w:cs="Arabic Typesetting" w:hint="cs"/>
          <w:sz w:val="36"/>
          <w:szCs w:val="36"/>
          <w:rtl/>
        </w:rPr>
        <w:t>6</w:t>
      </w:r>
      <w:r w:rsidRPr="00E22B27">
        <w:rPr>
          <w:rFonts w:ascii="Arabic Typesetting" w:hAnsi="Arabic Typesetting" w:cs="Arabic Typesetting"/>
          <w:sz w:val="36"/>
          <w:szCs w:val="36"/>
          <w:rtl/>
        </w:rPr>
        <w:t>:</w:t>
      </w:r>
      <w:r w:rsidRPr="00E22B27">
        <w:rPr>
          <w:rFonts w:ascii="Arabic Typesetting" w:hAnsi="Arabic Typesetting" w:cs="Arabic Typesetting"/>
          <w:sz w:val="36"/>
          <w:szCs w:val="36"/>
          <w:rtl/>
        </w:rPr>
        <w:tab/>
      </w:r>
      <w:r w:rsidRPr="00E22B27">
        <w:rPr>
          <w:rFonts w:ascii="Arabic Typesetting" w:hAnsi="Arabic Typesetting" w:cs="Arabic Typesetting" w:hint="cs"/>
          <w:sz w:val="36"/>
          <w:szCs w:val="36"/>
          <w:rtl/>
        </w:rPr>
        <w:t>سحب الرفض</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hint="cs"/>
          <w:sz w:val="36"/>
          <w:szCs w:val="36"/>
          <w:rtl/>
        </w:rPr>
        <w:t>ملاحظات على</w:t>
      </w:r>
      <w:r w:rsidR="007C2359" w:rsidRPr="00E22B27">
        <w:rPr>
          <w:rFonts w:ascii="Arabic Typesetting" w:hAnsi="Arabic Typesetting" w:cs="Arabic Typesetting" w:hint="cs"/>
          <w:sz w:val="36"/>
          <w:szCs w:val="36"/>
          <w:rtl/>
        </w:rPr>
        <w:t xml:space="preserve"> </w:t>
      </w:r>
      <w:r w:rsidR="00450110" w:rsidRPr="00E22B27">
        <w:rPr>
          <w:rFonts w:ascii="Arabic Typesetting" w:hAnsi="Arabic Typesetting" w:cs="Arabic Typesetting" w:hint="cs"/>
          <w:sz w:val="36"/>
          <w:szCs w:val="36"/>
          <w:rtl/>
        </w:rPr>
        <w:t>المادة</w:t>
      </w:r>
      <w:r w:rsidR="00450110" w:rsidRPr="00E22B27">
        <w:rPr>
          <w:rFonts w:ascii="Arabic Typesetting" w:hAnsi="Arabic Typesetting" w:cs="Arabic Typesetting"/>
          <w:sz w:val="36"/>
          <w:szCs w:val="36"/>
          <w:rtl/>
        </w:rPr>
        <w:t> </w:t>
      </w:r>
      <w:r w:rsidR="003C1838" w:rsidRPr="00E22B27">
        <w:rPr>
          <w:rFonts w:ascii="Arabic Typesetting" w:hAnsi="Arabic Typesetting" w:cs="Arabic Typesetting" w:hint="cs"/>
          <w:sz w:val="36"/>
          <w:szCs w:val="36"/>
          <w:rtl/>
        </w:rPr>
        <w:t>17</w:t>
      </w:r>
      <w:r w:rsidRPr="00E22B27">
        <w:rPr>
          <w:rFonts w:ascii="Arabic Typesetting" w:hAnsi="Arabic Typesetting" w:cs="Arabic Typesetting" w:hint="cs"/>
          <w:sz w:val="36"/>
          <w:szCs w:val="36"/>
          <w:rtl/>
        </w:rPr>
        <w:t>:</w:t>
      </w:r>
      <w:r w:rsidRPr="00E22B27">
        <w:rPr>
          <w:rFonts w:ascii="Arabic Typesetting" w:hAnsi="Arabic Typesetting" w:cs="Arabic Typesetting" w:hint="cs"/>
          <w:sz w:val="36"/>
          <w:szCs w:val="36"/>
          <w:rtl/>
        </w:rPr>
        <w:tab/>
        <w:t>الاستخدام السابق</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hint="cs"/>
          <w:sz w:val="36"/>
          <w:szCs w:val="36"/>
          <w:rtl/>
        </w:rPr>
        <w:t>ملاحظات على</w:t>
      </w:r>
      <w:r w:rsidR="007C2359" w:rsidRPr="00E22B27">
        <w:rPr>
          <w:rFonts w:ascii="Arabic Typesetting" w:hAnsi="Arabic Typesetting" w:cs="Arabic Typesetting" w:hint="cs"/>
          <w:sz w:val="36"/>
          <w:szCs w:val="36"/>
          <w:rtl/>
        </w:rPr>
        <w:t xml:space="preserve"> </w:t>
      </w:r>
      <w:r w:rsidR="00450110" w:rsidRPr="00E22B27">
        <w:rPr>
          <w:rFonts w:ascii="Arabic Typesetting" w:hAnsi="Arabic Typesetting" w:cs="Arabic Typesetting" w:hint="cs"/>
          <w:sz w:val="36"/>
          <w:szCs w:val="36"/>
          <w:rtl/>
        </w:rPr>
        <w:t>المادة</w:t>
      </w:r>
      <w:r w:rsidR="00450110" w:rsidRPr="00E22B27">
        <w:rPr>
          <w:rFonts w:ascii="Arabic Typesetting" w:hAnsi="Arabic Typesetting" w:cs="Arabic Typesetting"/>
          <w:sz w:val="36"/>
          <w:szCs w:val="36"/>
          <w:rtl/>
        </w:rPr>
        <w:t> </w:t>
      </w:r>
      <w:r w:rsidR="003C1838" w:rsidRPr="00E22B27">
        <w:rPr>
          <w:rFonts w:ascii="Arabic Typesetting" w:hAnsi="Arabic Typesetting" w:cs="Arabic Typesetting" w:hint="cs"/>
          <w:sz w:val="36"/>
          <w:szCs w:val="36"/>
          <w:rtl/>
        </w:rPr>
        <w:t>18</w:t>
      </w:r>
      <w:r w:rsidRPr="00E22B27">
        <w:rPr>
          <w:rFonts w:ascii="Arabic Typesetting" w:hAnsi="Arabic Typesetting" w:cs="Arabic Typesetting" w:hint="cs"/>
          <w:sz w:val="36"/>
          <w:szCs w:val="36"/>
          <w:rtl/>
        </w:rPr>
        <w:t>:</w:t>
      </w:r>
      <w:r w:rsidRPr="00E22B27">
        <w:rPr>
          <w:rFonts w:ascii="Arabic Typesetting" w:hAnsi="Arabic Typesetting" w:cs="Arabic Typesetting" w:hint="cs"/>
          <w:sz w:val="36"/>
          <w:szCs w:val="36"/>
          <w:rtl/>
        </w:rPr>
        <w:tab/>
        <w:t>إخطار منح الحماية</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hint="cs"/>
          <w:sz w:val="36"/>
          <w:szCs w:val="36"/>
          <w:rtl/>
        </w:rPr>
        <w:t>ملاحظات على</w:t>
      </w:r>
      <w:r w:rsidR="007C2359" w:rsidRPr="00E22B27">
        <w:rPr>
          <w:rFonts w:ascii="Arabic Typesetting" w:hAnsi="Arabic Typesetting" w:cs="Arabic Typesetting" w:hint="cs"/>
          <w:sz w:val="36"/>
          <w:szCs w:val="36"/>
          <w:rtl/>
        </w:rPr>
        <w:t xml:space="preserve"> </w:t>
      </w:r>
      <w:r w:rsidR="00450110" w:rsidRPr="00E22B27">
        <w:rPr>
          <w:rFonts w:ascii="Arabic Typesetting" w:hAnsi="Arabic Typesetting" w:cs="Arabic Typesetting" w:hint="cs"/>
          <w:sz w:val="36"/>
          <w:szCs w:val="36"/>
          <w:rtl/>
        </w:rPr>
        <w:t>المادة</w:t>
      </w:r>
      <w:r w:rsidR="00450110" w:rsidRPr="00E22B27">
        <w:rPr>
          <w:rFonts w:ascii="Arabic Typesetting" w:hAnsi="Arabic Typesetting" w:cs="Arabic Typesetting"/>
          <w:sz w:val="36"/>
          <w:szCs w:val="36"/>
          <w:rtl/>
        </w:rPr>
        <w:t> </w:t>
      </w:r>
      <w:r w:rsidR="003C1838" w:rsidRPr="00E22B27">
        <w:rPr>
          <w:rFonts w:ascii="Arabic Typesetting" w:hAnsi="Arabic Typesetting" w:cs="Arabic Typesetting" w:hint="cs"/>
          <w:sz w:val="36"/>
          <w:szCs w:val="36"/>
          <w:rtl/>
        </w:rPr>
        <w:t>19</w:t>
      </w:r>
      <w:r w:rsidRPr="00E22B27">
        <w:rPr>
          <w:rFonts w:ascii="Arabic Typesetting" w:hAnsi="Arabic Typesetting" w:cs="Arabic Typesetting" w:hint="cs"/>
          <w:sz w:val="36"/>
          <w:szCs w:val="36"/>
          <w:rtl/>
        </w:rPr>
        <w:t>:</w:t>
      </w:r>
      <w:r w:rsidRPr="00E22B27">
        <w:rPr>
          <w:rFonts w:ascii="Arabic Typesetting" w:hAnsi="Arabic Typesetting" w:cs="Arabic Typesetting" w:hint="cs"/>
          <w:sz w:val="36"/>
          <w:szCs w:val="36"/>
          <w:rtl/>
        </w:rPr>
        <w:tab/>
        <w:t>الإبطال</w:t>
      </w:r>
    </w:p>
    <w:p w:rsidR="00187464" w:rsidRPr="00E22B27" w:rsidRDefault="00187464" w:rsidP="009422A7">
      <w:pPr>
        <w:bidi/>
        <w:spacing w:after="480" w:line="360" w:lineRule="exact"/>
        <w:ind w:firstLine="6"/>
        <w:rPr>
          <w:rFonts w:ascii="Arabic Typesetting" w:hAnsi="Arabic Typesetting" w:cs="Arabic Typesetting"/>
          <w:sz w:val="36"/>
          <w:szCs w:val="36"/>
          <w:rtl/>
        </w:rPr>
      </w:pPr>
      <w:r w:rsidRPr="00E22B27">
        <w:rPr>
          <w:rFonts w:ascii="Arabic Typesetting" w:hAnsi="Arabic Typesetting" w:cs="Arabic Typesetting" w:hint="cs"/>
          <w:sz w:val="36"/>
          <w:szCs w:val="36"/>
          <w:rtl/>
          <w:lang w:bidi="ar-EG"/>
        </w:rPr>
        <w:t>ملاحظات على</w:t>
      </w:r>
      <w:r w:rsidR="007C2359" w:rsidRPr="00E22B27">
        <w:rPr>
          <w:rFonts w:ascii="Arabic Typesetting" w:hAnsi="Arabic Typesetting" w:cs="Arabic Typesetting" w:hint="cs"/>
          <w:sz w:val="36"/>
          <w:szCs w:val="36"/>
          <w:rtl/>
          <w:lang w:bidi="ar-EG"/>
        </w:rPr>
        <w:t xml:space="preserve"> </w:t>
      </w:r>
      <w:r w:rsidR="00450110" w:rsidRPr="00E22B27">
        <w:rPr>
          <w:rFonts w:ascii="Arabic Typesetting" w:hAnsi="Arabic Typesetting" w:cs="Arabic Typesetting" w:hint="cs"/>
          <w:sz w:val="36"/>
          <w:szCs w:val="36"/>
          <w:rtl/>
          <w:lang w:bidi="ar-EG"/>
        </w:rPr>
        <w:t>المادة</w:t>
      </w:r>
      <w:r w:rsidR="00450110" w:rsidRPr="00E22B27">
        <w:rPr>
          <w:rFonts w:ascii="Arabic Typesetting" w:hAnsi="Arabic Typesetting" w:cs="Arabic Typesetting"/>
          <w:sz w:val="36"/>
          <w:szCs w:val="36"/>
          <w:rtl/>
          <w:lang w:bidi="ar-EG"/>
        </w:rPr>
        <w:t> </w:t>
      </w:r>
      <w:r w:rsidR="003C1838" w:rsidRPr="00E22B27">
        <w:rPr>
          <w:rFonts w:ascii="Arabic Typesetting" w:hAnsi="Arabic Typesetting" w:cs="Arabic Typesetting" w:hint="cs"/>
          <w:sz w:val="36"/>
          <w:szCs w:val="36"/>
          <w:rtl/>
        </w:rPr>
        <w:t>2</w:t>
      </w:r>
      <w:r w:rsidRPr="00E22B27">
        <w:rPr>
          <w:rFonts w:ascii="Arabic Typesetting" w:hAnsi="Arabic Typesetting" w:cs="Arabic Typesetting" w:hint="cs"/>
          <w:sz w:val="36"/>
          <w:szCs w:val="36"/>
          <w:rtl/>
        </w:rPr>
        <w:t>0:</w:t>
      </w:r>
      <w:r w:rsidRPr="00E22B27">
        <w:rPr>
          <w:rFonts w:ascii="Arabic Typesetting" w:hAnsi="Arabic Typesetting" w:cs="Arabic Typesetting" w:hint="cs"/>
          <w:sz w:val="36"/>
          <w:szCs w:val="36"/>
          <w:rtl/>
        </w:rPr>
        <w:tab/>
        <w:t>التغييرات والتدوينات الأخرى في السجل الدولي</w:t>
      </w:r>
    </w:p>
    <w:p w:rsidR="00187464" w:rsidRPr="00E22B27" w:rsidRDefault="00187464" w:rsidP="009422A7">
      <w:pPr>
        <w:keepNext/>
        <w:bidi/>
        <w:spacing w:after="240" w:line="360" w:lineRule="exact"/>
        <w:ind w:firstLine="6"/>
        <w:jc w:val="lowKashida"/>
        <w:rPr>
          <w:rFonts w:ascii="Arabic Typesetting" w:hAnsi="Arabic Typesetting" w:cs="Arabic Typesetting"/>
          <w:i/>
          <w:iCs/>
          <w:sz w:val="36"/>
          <w:szCs w:val="36"/>
          <w:rtl/>
        </w:rPr>
      </w:pPr>
      <w:r w:rsidRPr="00E22B27">
        <w:rPr>
          <w:rFonts w:ascii="Arabic Typesetting" w:hAnsi="Arabic Typesetting" w:cs="Arabic Typesetting" w:hint="cs"/>
          <w:i/>
          <w:iCs/>
          <w:sz w:val="36"/>
          <w:szCs w:val="36"/>
          <w:rtl/>
        </w:rPr>
        <w:lastRenderedPageBreak/>
        <w:t>الفصل</w:t>
      </w:r>
      <w:r w:rsidRPr="00E22B27">
        <w:rPr>
          <w:rFonts w:ascii="Arabic Typesetting" w:hAnsi="Arabic Typesetting" w:cs="Arabic Typesetting"/>
          <w:i/>
          <w:iCs/>
          <w:sz w:val="36"/>
          <w:szCs w:val="36"/>
          <w:rtl/>
        </w:rPr>
        <w:t> </w:t>
      </w:r>
      <w:r w:rsidRPr="00E22B27">
        <w:rPr>
          <w:rFonts w:ascii="Arabic Typesetting" w:hAnsi="Arabic Typesetting" w:cs="Arabic Typesetting" w:hint="cs"/>
          <w:i/>
          <w:iCs/>
          <w:sz w:val="36"/>
          <w:szCs w:val="36"/>
          <w:rtl/>
        </w:rPr>
        <w:t>الخامس:</w:t>
      </w:r>
      <w:r w:rsidRPr="00E22B27">
        <w:rPr>
          <w:rFonts w:ascii="Arabic Typesetting" w:hAnsi="Arabic Typesetting" w:cs="Arabic Typesetting" w:hint="cs"/>
          <w:i/>
          <w:iCs/>
          <w:sz w:val="36"/>
          <w:szCs w:val="36"/>
          <w:rtl/>
        </w:rPr>
        <w:tab/>
        <w:t>أحكام إدارية</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sz w:val="36"/>
          <w:szCs w:val="36"/>
          <w:rtl/>
          <w:lang w:bidi="ar-EG"/>
        </w:rPr>
        <w:t>ملاحظات على</w:t>
      </w:r>
      <w:r w:rsidR="007C2359" w:rsidRPr="00E22B27">
        <w:rPr>
          <w:rFonts w:ascii="Arabic Typesetting" w:hAnsi="Arabic Typesetting" w:cs="Arabic Typesetting"/>
          <w:sz w:val="36"/>
          <w:szCs w:val="36"/>
          <w:rtl/>
          <w:lang w:bidi="ar-EG"/>
        </w:rPr>
        <w:t xml:space="preserve"> </w:t>
      </w:r>
      <w:r w:rsidR="00450110" w:rsidRPr="00E22B27">
        <w:rPr>
          <w:rFonts w:ascii="Arabic Typesetting" w:hAnsi="Arabic Typesetting" w:cs="Arabic Typesetting"/>
          <w:sz w:val="36"/>
          <w:szCs w:val="36"/>
          <w:rtl/>
          <w:lang w:bidi="ar-EG"/>
        </w:rPr>
        <w:t>المادة </w:t>
      </w:r>
      <w:r w:rsidR="003C1838" w:rsidRPr="00E22B27">
        <w:rPr>
          <w:rFonts w:ascii="Arabic Typesetting" w:hAnsi="Arabic Typesetting" w:cs="Arabic Typesetting" w:hint="cs"/>
          <w:sz w:val="36"/>
          <w:szCs w:val="36"/>
          <w:rtl/>
        </w:rPr>
        <w:t>21</w:t>
      </w:r>
      <w:r w:rsidRPr="00E22B27">
        <w:rPr>
          <w:rFonts w:ascii="Arabic Typesetting" w:hAnsi="Arabic Typesetting" w:cs="Arabic Typesetting"/>
          <w:sz w:val="36"/>
          <w:szCs w:val="36"/>
          <w:rtl/>
        </w:rPr>
        <w:t>:</w:t>
      </w:r>
      <w:r w:rsidRPr="00E22B27">
        <w:rPr>
          <w:rFonts w:ascii="Arabic Typesetting" w:hAnsi="Arabic Typesetting" w:cs="Arabic Typesetting"/>
          <w:sz w:val="36"/>
          <w:szCs w:val="36"/>
          <w:rtl/>
        </w:rPr>
        <w:tab/>
      </w:r>
      <w:r w:rsidRPr="00E22B27">
        <w:rPr>
          <w:rFonts w:ascii="Arabic Typesetting" w:hAnsi="Arabic Typesetting" w:cs="Arabic Typesetting" w:hint="cs"/>
          <w:sz w:val="36"/>
          <w:szCs w:val="36"/>
          <w:rtl/>
        </w:rPr>
        <w:t>أعضاء اتحاد لشبونة</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hint="cs"/>
          <w:sz w:val="36"/>
          <w:szCs w:val="36"/>
          <w:rtl/>
        </w:rPr>
        <w:t>ملاحظات على</w:t>
      </w:r>
      <w:r w:rsidR="007C2359" w:rsidRPr="00E22B27">
        <w:rPr>
          <w:rFonts w:ascii="Arabic Typesetting" w:hAnsi="Arabic Typesetting" w:cs="Arabic Typesetting" w:hint="cs"/>
          <w:sz w:val="36"/>
          <w:szCs w:val="36"/>
          <w:rtl/>
        </w:rPr>
        <w:t xml:space="preserve"> </w:t>
      </w:r>
      <w:r w:rsidR="00450110" w:rsidRPr="00E22B27">
        <w:rPr>
          <w:rFonts w:ascii="Arabic Typesetting" w:hAnsi="Arabic Typesetting" w:cs="Arabic Typesetting" w:hint="cs"/>
          <w:sz w:val="36"/>
          <w:szCs w:val="36"/>
          <w:rtl/>
        </w:rPr>
        <w:t>المادة</w:t>
      </w:r>
      <w:r w:rsidR="00450110" w:rsidRPr="00E22B27">
        <w:rPr>
          <w:rFonts w:ascii="Arabic Typesetting" w:hAnsi="Arabic Typesetting" w:cs="Arabic Typesetting"/>
          <w:sz w:val="36"/>
          <w:szCs w:val="36"/>
          <w:rtl/>
        </w:rPr>
        <w:t> </w:t>
      </w:r>
      <w:r w:rsidR="003C1838" w:rsidRPr="00E22B27">
        <w:rPr>
          <w:rFonts w:ascii="Arabic Typesetting" w:hAnsi="Arabic Typesetting" w:cs="Arabic Typesetting" w:hint="cs"/>
          <w:sz w:val="36"/>
          <w:szCs w:val="36"/>
          <w:rtl/>
        </w:rPr>
        <w:t>22</w:t>
      </w:r>
      <w:r w:rsidRPr="00E22B27">
        <w:rPr>
          <w:rFonts w:ascii="Arabic Typesetting" w:hAnsi="Arabic Typesetting" w:cs="Arabic Typesetting" w:hint="cs"/>
          <w:sz w:val="36"/>
          <w:szCs w:val="36"/>
          <w:rtl/>
        </w:rPr>
        <w:t>:</w:t>
      </w:r>
      <w:r w:rsidRPr="00E22B27">
        <w:rPr>
          <w:rFonts w:ascii="Arabic Typesetting" w:hAnsi="Arabic Typesetting" w:cs="Arabic Typesetting" w:hint="cs"/>
          <w:sz w:val="36"/>
          <w:szCs w:val="36"/>
          <w:rtl/>
        </w:rPr>
        <w:tab/>
        <w:t>الجمعية</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hint="cs"/>
          <w:sz w:val="36"/>
          <w:szCs w:val="36"/>
          <w:rtl/>
        </w:rPr>
        <w:t>ملاحظات على</w:t>
      </w:r>
      <w:r w:rsidR="007C2359" w:rsidRPr="00E22B27">
        <w:rPr>
          <w:rFonts w:ascii="Arabic Typesetting" w:hAnsi="Arabic Typesetting" w:cs="Arabic Typesetting" w:hint="cs"/>
          <w:sz w:val="36"/>
          <w:szCs w:val="36"/>
          <w:rtl/>
        </w:rPr>
        <w:t xml:space="preserve"> </w:t>
      </w:r>
      <w:r w:rsidR="00450110" w:rsidRPr="00E22B27">
        <w:rPr>
          <w:rFonts w:ascii="Arabic Typesetting" w:hAnsi="Arabic Typesetting" w:cs="Arabic Typesetting" w:hint="cs"/>
          <w:sz w:val="36"/>
          <w:szCs w:val="36"/>
          <w:rtl/>
        </w:rPr>
        <w:t>المادة</w:t>
      </w:r>
      <w:r w:rsidR="00450110" w:rsidRPr="00E22B27">
        <w:rPr>
          <w:rFonts w:ascii="Arabic Typesetting" w:hAnsi="Arabic Typesetting" w:cs="Arabic Typesetting"/>
          <w:sz w:val="36"/>
          <w:szCs w:val="36"/>
          <w:rtl/>
        </w:rPr>
        <w:t> </w:t>
      </w:r>
      <w:r w:rsidR="003C1838" w:rsidRPr="00E22B27">
        <w:rPr>
          <w:rFonts w:ascii="Arabic Typesetting" w:hAnsi="Arabic Typesetting" w:cs="Arabic Typesetting" w:hint="cs"/>
          <w:sz w:val="36"/>
          <w:szCs w:val="36"/>
          <w:rtl/>
        </w:rPr>
        <w:t>23</w:t>
      </w:r>
      <w:r w:rsidRPr="00E22B27">
        <w:rPr>
          <w:rFonts w:ascii="Arabic Typesetting" w:hAnsi="Arabic Typesetting" w:cs="Arabic Typesetting" w:hint="cs"/>
          <w:sz w:val="36"/>
          <w:szCs w:val="36"/>
          <w:rtl/>
        </w:rPr>
        <w:t>:</w:t>
      </w:r>
      <w:r w:rsidRPr="00E22B27">
        <w:rPr>
          <w:rFonts w:ascii="Arabic Typesetting" w:hAnsi="Arabic Typesetting" w:cs="Arabic Typesetting" w:hint="cs"/>
          <w:sz w:val="36"/>
          <w:szCs w:val="36"/>
          <w:rtl/>
        </w:rPr>
        <w:tab/>
        <w:t>المكتب الدولي</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hint="cs"/>
          <w:sz w:val="36"/>
          <w:szCs w:val="36"/>
          <w:rtl/>
        </w:rPr>
        <w:t>ملاحظات على</w:t>
      </w:r>
      <w:r w:rsidR="007C2359" w:rsidRPr="00E22B27">
        <w:rPr>
          <w:rFonts w:ascii="Arabic Typesetting" w:hAnsi="Arabic Typesetting" w:cs="Arabic Typesetting" w:hint="cs"/>
          <w:sz w:val="36"/>
          <w:szCs w:val="36"/>
          <w:rtl/>
        </w:rPr>
        <w:t xml:space="preserve"> </w:t>
      </w:r>
      <w:r w:rsidR="00450110" w:rsidRPr="00E22B27">
        <w:rPr>
          <w:rFonts w:ascii="Arabic Typesetting" w:hAnsi="Arabic Typesetting" w:cs="Arabic Typesetting" w:hint="cs"/>
          <w:sz w:val="36"/>
          <w:szCs w:val="36"/>
          <w:rtl/>
        </w:rPr>
        <w:t>المادة</w:t>
      </w:r>
      <w:r w:rsidR="00450110" w:rsidRPr="00E22B27">
        <w:rPr>
          <w:rFonts w:ascii="Arabic Typesetting" w:hAnsi="Arabic Typesetting" w:cs="Arabic Typesetting"/>
          <w:sz w:val="36"/>
          <w:szCs w:val="36"/>
          <w:rtl/>
        </w:rPr>
        <w:t> </w:t>
      </w:r>
      <w:r w:rsidR="003C1838" w:rsidRPr="00E22B27">
        <w:rPr>
          <w:rFonts w:ascii="Arabic Typesetting" w:hAnsi="Arabic Typesetting" w:cs="Arabic Typesetting" w:hint="cs"/>
          <w:sz w:val="36"/>
          <w:szCs w:val="36"/>
          <w:rtl/>
        </w:rPr>
        <w:t>24</w:t>
      </w:r>
      <w:r w:rsidRPr="00E22B27">
        <w:rPr>
          <w:rFonts w:ascii="Arabic Typesetting" w:hAnsi="Arabic Typesetting" w:cs="Arabic Typesetting" w:hint="cs"/>
          <w:sz w:val="36"/>
          <w:szCs w:val="36"/>
          <w:rtl/>
        </w:rPr>
        <w:t>:</w:t>
      </w:r>
      <w:r w:rsidRPr="00E22B27">
        <w:rPr>
          <w:rFonts w:ascii="Arabic Typesetting" w:hAnsi="Arabic Typesetting" w:cs="Arabic Typesetting" w:hint="cs"/>
          <w:sz w:val="36"/>
          <w:szCs w:val="36"/>
          <w:rtl/>
        </w:rPr>
        <w:tab/>
        <w:t>الشؤون المالية</w:t>
      </w:r>
    </w:p>
    <w:p w:rsidR="00187464" w:rsidRPr="00E22B27" w:rsidRDefault="00187464" w:rsidP="009422A7">
      <w:pPr>
        <w:bidi/>
        <w:spacing w:after="480" w:line="360" w:lineRule="exact"/>
        <w:ind w:firstLine="6"/>
        <w:rPr>
          <w:rFonts w:ascii="Arabic Typesetting" w:hAnsi="Arabic Typesetting" w:cs="Arabic Typesetting"/>
          <w:sz w:val="36"/>
          <w:szCs w:val="36"/>
          <w:rtl/>
        </w:rPr>
      </w:pPr>
      <w:r w:rsidRPr="00E22B27">
        <w:rPr>
          <w:rFonts w:ascii="Arabic Typesetting" w:hAnsi="Arabic Typesetting" w:cs="Arabic Typesetting" w:hint="cs"/>
          <w:sz w:val="36"/>
          <w:szCs w:val="36"/>
          <w:rtl/>
        </w:rPr>
        <w:t>ملاحظات على</w:t>
      </w:r>
      <w:r w:rsidR="007C2359" w:rsidRPr="00E22B27">
        <w:rPr>
          <w:rFonts w:ascii="Arabic Typesetting" w:hAnsi="Arabic Typesetting" w:cs="Arabic Typesetting" w:hint="cs"/>
          <w:sz w:val="36"/>
          <w:szCs w:val="36"/>
          <w:rtl/>
        </w:rPr>
        <w:t xml:space="preserve"> </w:t>
      </w:r>
      <w:r w:rsidR="00450110" w:rsidRPr="00E22B27">
        <w:rPr>
          <w:rFonts w:ascii="Arabic Typesetting" w:hAnsi="Arabic Typesetting" w:cs="Arabic Typesetting" w:hint="cs"/>
          <w:sz w:val="36"/>
          <w:szCs w:val="36"/>
          <w:rtl/>
        </w:rPr>
        <w:t>المادة</w:t>
      </w:r>
      <w:r w:rsidR="00450110" w:rsidRPr="00E22B27">
        <w:rPr>
          <w:rFonts w:ascii="Arabic Typesetting" w:hAnsi="Arabic Typesetting" w:cs="Arabic Typesetting"/>
          <w:sz w:val="36"/>
          <w:szCs w:val="36"/>
          <w:rtl/>
        </w:rPr>
        <w:t> </w:t>
      </w:r>
      <w:r w:rsidR="003C1838" w:rsidRPr="00E22B27">
        <w:rPr>
          <w:rFonts w:ascii="Arabic Typesetting" w:hAnsi="Arabic Typesetting" w:cs="Arabic Typesetting" w:hint="cs"/>
          <w:sz w:val="36"/>
          <w:szCs w:val="36"/>
          <w:rtl/>
        </w:rPr>
        <w:t>25</w:t>
      </w:r>
      <w:r w:rsidRPr="00E22B27">
        <w:rPr>
          <w:rFonts w:ascii="Arabic Typesetting" w:hAnsi="Arabic Typesetting" w:cs="Arabic Typesetting" w:hint="cs"/>
          <w:sz w:val="36"/>
          <w:szCs w:val="36"/>
          <w:rtl/>
        </w:rPr>
        <w:t>:</w:t>
      </w:r>
      <w:r w:rsidRPr="00E22B27">
        <w:rPr>
          <w:rFonts w:ascii="Arabic Typesetting" w:hAnsi="Arabic Typesetting" w:cs="Arabic Typesetting" w:hint="cs"/>
          <w:sz w:val="36"/>
          <w:szCs w:val="36"/>
          <w:rtl/>
        </w:rPr>
        <w:tab/>
        <w:t>اللائحة التنفيذية</w:t>
      </w:r>
    </w:p>
    <w:p w:rsidR="00187464" w:rsidRPr="00E22B27" w:rsidRDefault="00187464" w:rsidP="009422A7">
      <w:pPr>
        <w:keepNext/>
        <w:bidi/>
        <w:spacing w:after="240" w:line="360" w:lineRule="exact"/>
        <w:ind w:firstLine="6"/>
        <w:jc w:val="lowKashida"/>
        <w:rPr>
          <w:rFonts w:ascii="Arabic Typesetting" w:hAnsi="Arabic Typesetting" w:cs="Arabic Typesetting"/>
          <w:i/>
          <w:iCs/>
          <w:sz w:val="36"/>
          <w:szCs w:val="36"/>
          <w:rtl/>
        </w:rPr>
      </w:pPr>
      <w:r w:rsidRPr="00E22B27">
        <w:rPr>
          <w:rFonts w:ascii="Arabic Typesetting" w:hAnsi="Arabic Typesetting" w:cs="Arabic Typesetting" w:hint="cs"/>
          <w:i/>
          <w:iCs/>
          <w:sz w:val="36"/>
          <w:szCs w:val="36"/>
          <w:rtl/>
        </w:rPr>
        <w:t>الفصل</w:t>
      </w:r>
      <w:r w:rsidRPr="00E22B27">
        <w:rPr>
          <w:rFonts w:ascii="Arabic Typesetting" w:hAnsi="Arabic Typesetting" w:cs="Arabic Typesetting"/>
          <w:i/>
          <w:iCs/>
          <w:sz w:val="36"/>
          <w:szCs w:val="36"/>
          <w:rtl/>
        </w:rPr>
        <w:t> </w:t>
      </w:r>
      <w:r w:rsidRPr="00E22B27">
        <w:rPr>
          <w:rFonts w:ascii="Arabic Typesetting" w:hAnsi="Arabic Typesetting" w:cs="Arabic Typesetting" w:hint="cs"/>
          <w:i/>
          <w:iCs/>
          <w:sz w:val="36"/>
          <w:szCs w:val="36"/>
          <w:rtl/>
        </w:rPr>
        <w:t>السادس:</w:t>
      </w:r>
      <w:r w:rsidRPr="00E22B27">
        <w:rPr>
          <w:rFonts w:ascii="Arabic Typesetting" w:hAnsi="Arabic Typesetting" w:cs="Arabic Typesetting" w:hint="cs"/>
          <w:i/>
          <w:iCs/>
          <w:sz w:val="36"/>
          <w:szCs w:val="36"/>
          <w:rtl/>
        </w:rPr>
        <w:tab/>
        <w:t>المراجعة والتعديل</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hint="cs"/>
          <w:sz w:val="36"/>
          <w:szCs w:val="36"/>
          <w:rtl/>
        </w:rPr>
        <w:t>ملاحظات على</w:t>
      </w:r>
      <w:r w:rsidR="007C2359" w:rsidRPr="00E22B27">
        <w:rPr>
          <w:rFonts w:ascii="Arabic Typesetting" w:hAnsi="Arabic Typesetting" w:cs="Arabic Typesetting" w:hint="cs"/>
          <w:sz w:val="36"/>
          <w:szCs w:val="36"/>
          <w:rtl/>
        </w:rPr>
        <w:t xml:space="preserve"> </w:t>
      </w:r>
      <w:r w:rsidR="00450110" w:rsidRPr="00E22B27">
        <w:rPr>
          <w:rFonts w:ascii="Arabic Typesetting" w:hAnsi="Arabic Typesetting" w:cs="Arabic Typesetting" w:hint="cs"/>
          <w:sz w:val="36"/>
          <w:szCs w:val="36"/>
          <w:rtl/>
        </w:rPr>
        <w:t>المادة</w:t>
      </w:r>
      <w:r w:rsidR="00450110" w:rsidRPr="00E22B27">
        <w:rPr>
          <w:rFonts w:ascii="Arabic Typesetting" w:hAnsi="Arabic Typesetting" w:cs="Arabic Typesetting"/>
          <w:sz w:val="36"/>
          <w:szCs w:val="36"/>
          <w:rtl/>
        </w:rPr>
        <w:t> </w:t>
      </w:r>
      <w:r w:rsidR="003C1838" w:rsidRPr="00E22B27">
        <w:rPr>
          <w:rFonts w:ascii="Arabic Typesetting" w:hAnsi="Arabic Typesetting" w:cs="Arabic Typesetting" w:hint="cs"/>
          <w:sz w:val="36"/>
          <w:szCs w:val="36"/>
          <w:rtl/>
        </w:rPr>
        <w:t>26</w:t>
      </w:r>
      <w:r w:rsidRPr="00E22B27">
        <w:rPr>
          <w:rFonts w:ascii="Arabic Typesetting" w:hAnsi="Arabic Typesetting" w:cs="Arabic Typesetting" w:hint="cs"/>
          <w:sz w:val="36"/>
          <w:szCs w:val="36"/>
          <w:rtl/>
        </w:rPr>
        <w:t>:</w:t>
      </w:r>
      <w:r w:rsidRPr="00E22B27">
        <w:rPr>
          <w:rFonts w:ascii="Arabic Typesetting" w:hAnsi="Arabic Typesetting" w:cs="Arabic Typesetting" w:hint="cs"/>
          <w:sz w:val="36"/>
          <w:szCs w:val="36"/>
          <w:rtl/>
        </w:rPr>
        <w:tab/>
        <w:t>المراجعة</w:t>
      </w:r>
    </w:p>
    <w:p w:rsidR="00187464" w:rsidRPr="00E22B27" w:rsidRDefault="00187464" w:rsidP="009422A7">
      <w:pPr>
        <w:bidi/>
        <w:spacing w:after="480" w:line="360" w:lineRule="exact"/>
        <w:ind w:firstLine="6"/>
        <w:rPr>
          <w:rFonts w:ascii="Arabic Typesetting" w:hAnsi="Arabic Typesetting" w:cs="Arabic Typesetting"/>
          <w:sz w:val="36"/>
          <w:szCs w:val="36"/>
          <w:rtl/>
        </w:rPr>
      </w:pPr>
      <w:r w:rsidRPr="00E22B27">
        <w:rPr>
          <w:rFonts w:ascii="Arabic Typesetting" w:hAnsi="Arabic Typesetting" w:cs="Arabic Typesetting" w:hint="cs"/>
          <w:sz w:val="36"/>
          <w:szCs w:val="36"/>
          <w:rtl/>
        </w:rPr>
        <w:t>ملاحظات على</w:t>
      </w:r>
      <w:r w:rsidR="007C2359" w:rsidRPr="00E22B27">
        <w:rPr>
          <w:rFonts w:ascii="Arabic Typesetting" w:hAnsi="Arabic Typesetting" w:cs="Arabic Typesetting" w:hint="cs"/>
          <w:sz w:val="36"/>
          <w:szCs w:val="36"/>
          <w:rtl/>
        </w:rPr>
        <w:t xml:space="preserve"> </w:t>
      </w:r>
      <w:r w:rsidR="00450110" w:rsidRPr="00E22B27">
        <w:rPr>
          <w:rFonts w:ascii="Arabic Typesetting" w:hAnsi="Arabic Typesetting" w:cs="Arabic Typesetting" w:hint="cs"/>
          <w:sz w:val="36"/>
          <w:szCs w:val="36"/>
          <w:rtl/>
        </w:rPr>
        <w:t>المادة</w:t>
      </w:r>
      <w:r w:rsidR="00450110" w:rsidRPr="00E22B27">
        <w:rPr>
          <w:rFonts w:ascii="Arabic Typesetting" w:hAnsi="Arabic Typesetting" w:cs="Arabic Typesetting"/>
          <w:sz w:val="36"/>
          <w:szCs w:val="36"/>
          <w:rtl/>
        </w:rPr>
        <w:t> </w:t>
      </w:r>
      <w:r w:rsidR="003C1838" w:rsidRPr="00E22B27">
        <w:rPr>
          <w:rFonts w:ascii="Arabic Typesetting" w:hAnsi="Arabic Typesetting" w:cs="Arabic Typesetting" w:hint="cs"/>
          <w:sz w:val="36"/>
          <w:szCs w:val="36"/>
          <w:rtl/>
        </w:rPr>
        <w:t>27</w:t>
      </w:r>
      <w:r w:rsidRPr="00E22B27">
        <w:rPr>
          <w:rFonts w:ascii="Arabic Typesetting" w:hAnsi="Arabic Typesetting" w:cs="Arabic Typesetting" w:hint="cs"/>
          <w:sz w:val="36"/>
          <w:szCs w:val="36"/>
          <w:rtl/>
        </w:rPr>
        <w:t>:</w:t>
      </w:r>
      <w:r w:rsidRPr="00E22B27">
        <w:rPr>
          <w:rFonts w:ascii="Arabic Typesetting" w:hAnsi="Arabic Typesetting" w:cs="Arabic Typesetting" w:hint="cs"/>
          <w:sz w:val="36"/>
          <w:szCs w:val="36"/>
          <w:rtl/>
        </w:rPr>
        <w:tab/>
      </w:r>
      <w:r w:rsidRPr="00E22B27">
        <w:rPr>
          <w:rFonts w:ascii="Arabic Typesetting" w:hAnsi="Arabic Typesetting" w:cs="Arabic Typesetting"/>
          <w:sz w:val="36"/>
          <w:szCs w:val="36"/>
          <w:rtl/>
          <w:lang w:bidi="ar-EG"/>
        </w:rPr>
        <w:t xml:space="preserve">تعديل بعض </w:t>
      </w:r>
      <w:r w:rsidR="00450110" w:rsidRPr="00E22B27">
        <w:rPr>
          <w:rFonts w:ascii="Arabic Typesetting" w:hAnsi="Arabic Typesetting" w:cs="Arabic Typesetting"/>
          <w:sz w:val="36"/>
          <w:szCs w:val="36"/>
          <w:rtl/>
          <w:lang w:bidi="ar-EG"/>
        </w:rPr>
        <w:t>المواد </w:t>
      </w:r>
      <w:r w:rsidRPr="00E22B27">
        <w:rPr>
          <w:rFonts w:ascii="Arabic Typesetting" w:hAnsi="Arabic Typesetting" w:cs="Arabic Typesetting"/>
          <w:sz w:val="36"/>
          <w:szCs w:val="36"/>
          <w:rtl/>
          <w:lang w:bidi="ar-EG"/>
        </w:rPr>
        <w:t>في الجمعية</w:t>
      </w:r>
    </w:p>
    <w:p w:rsidR="00187464" w:rsidRPr="00E22B27" w:rsidRDefault="00187464" w:rsidP="009422A7">
      <w:pPr>
        <w:keepNext/>
        <w:bidi/>
        <w:spacing w:after="240" w:line="360" w:lineRule="exact"/>
        <w:ind w:firstLine="6"/>
        <w:jc w:val="lowKashida"/>
        <w:rPr>
          <w:rFonts w:ascii="Arabic Typesetting" w:hAnsi="Arabic Typesetting" w:cs="Arabic Typesetting"/>
          <w:i/>
          <w:iCs/>
          <w:sz w:val="36"/>
          <w:szCs w:val="36"/>
          <w:rtl/>
        </w:rPr>
      </w:pPr>
      <w:r w:rsidRPr="00E22B27">
        <w:rPr>
          <w:rFonts w:ascii="Arabic Typesetting" w:hAnsi="Arabic Typesetting" w:cs="Arabic Typesetting" w:hint="cs"/>
          <w:i/>
          <w:iCs/>
          <w:sz w:val="36"/>
          <w:szCs w:val="36"/>
          <w:rtl/>
        </w:rPr>
        <w:t>الفصل</w:t>
      </w:r>
      <w:r w:rsidRPr="00E22B27">
        <w:rPr>
          <w:rFonts w:ascii="Arabic Typesetting" w:hAnsi="Arabic Typesetting" w:cs="Arabic Typesetting"/>
          <w:i/>
          <w:iCs/>
          <w:sz w:val="36"/>
          <w:szCs w:val="36"/>
          <w:rtl/>
        </w:rPr>
        <w:t> </w:t>
      </w:r>
      <w:r w:rsidRPr="00E22B27">
        <w:rPr>
          <w:rFonts w:ascii="Arabic Typesetting" w:hAnsi="Arabic Typesetting" w:cs="Arabic Typesetting" w:hint="cs"/>
          <w:i/>
          <w:iCs/>
          <w:sz w:val="36"/>
          <w:szCs w:val="36"/>
          <w:rtl/>
        </w:rPr>
        <w:t>السابع:</w:t>
      </w:r>
      <w:r w:rsidRPr="00E22B27">
        <w:rPr>
          <w:rFonts w:ascii="Arabic Typesetting" w:hAnsi="Arabic Typesetting" w:cs="Arabic Typesetting" w:hint="cs"/>
          <w:i/>
          <w:iCs/>
          <w:sz w:val="36"/>
          <w:szCs w:val="36"/>
          <w:rtl/>
        </w:rPr>
        <w:tab/>
        <w:t>الأحكام الختامية</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hint="cs"/>
          <w:sz w:val="36"/>
          <w:szCs w:val="36"/>
          <w:rtl/>
        </w:rPr>
        <w:t>ملاحظات على</w:t>
      </w:r>
      <w:r w:rsidR="007C2359" w:rsidRPr="00E22B27">
        <w:rPr>
          <w:rFonts w:ascii="Arabic Typesetting" w:hAnsi="Arabic Typesetting" w:cs="Arabic Typesetting" w:hint="cs"/>
          <w:sz w:val="36"/>
          <w:szCs w:val="36"/>
          <w:rtl/>
        </w:rPr>
        <w:t xml:space="preserve"> </w:t>
      </w:r>
      <w:r w:rsidR="00450110" w:rsidRPr="00E22B27">
        <w:rPr>
          <w:rFonts w:ascii="Arabic Typesetting" w:hAnsi="Arabic Typesetting" w:cs="Arabic Typesetting" w:hint="cs"/>
          <w:sz w:val="36"/>
          <w:szCs w:val="36"/>
          <w:rtl/>
        </w:rPr>
        <w:t>المادة</w:t>
      </w:r>
      <w:r w:rsidR="00450110" w:rsidRPr="00E22B27">
        <w:rPr>
          <w:rFonts w:ascii="Arabic Typesetting" w:hAnsi="Arabic Typesetting" w:cs="Arabic Typesetting"/>
          <w:sz w:val="36"/>
          <w:szCs w:val="36"/>
          <w:rtl/>
        </w:rPr>
        <w:t> </w:t>
      </w:r>
      <w:r w:rsidR="003C1838" w:rsidRPr="00E22B27">
        <w:rPr>
          <w:rFonts w:ascii="Arabic Typesetting" w:hAnsi="Arabic Typesetting" w:cs="Arabic Typesetting" w:hint="cs"/>
          <w:sz w:val="36"/>
          <w:szCs w:val="36"/>
          <w:rtl/>
        </w:rPr>
        <w:t>28</w:t>
      </w:r>
      <w:r w:rsidRPr="00E22B27">
        <w:rPr>
          <w:rFonts w:ascii="Arabic Typesetting" w:hAnsi="Arabic Typesetting" w:cs="Arabic Typesetting" w:hint="cs"/>
          <w:sz w:val="36"/>
          <w:szCs w:val="36"/>
          <w:rtl/>
        </w:rPr>
        <w:t>:</w:t>
      </w:r>
      <w:r w:rsidRPr="00E22B27">
        <w:rPr>
          <w:rFonts w:ascii="Arabic Typesetting" w:hAnsi="Arabic Typesetting" w:cs="Arabic Typesetting" w:hint="cs"/>
          <w:sz w:val="36"/>
          <w:szCs w:val="36"/>
          <w:rtl/>
        </w:rPr>
        <w:tab/>
        <w:t>الانضمام إلى هذه الوثيقة</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hint="cs"/>
          <w:sz w:val="36"/>
          <w:szCs w:val="36"/>
          <w:rtl/>
        </w:rPr>
        <w:t>ملاحظات على</w:t>
      </w:r>
      <w:r w:rsidR="007C2359" w:rsidRPr="00E22B27">
        <w:rPr>
          <w:rFonts w:ascii="Arabic Typesetting" w:hAnsi="Arabic Typesetting" w:cs="Arabic Typesetting" w:hint="cs"/>
          <w:sz w:val="36"/>
          <w:szCs w:val="36"/>
          <w:rtl/>
        </w:rPr>
        <w:t xml:space="preserve"> </w:t>
      </w:r>
      <w:r w:rsidR="00450110" w:rsidRPr="00E22B27">
        <w:rPr>
          <w:rFonts w:ascii="Arabic Typesetting" w:hAnsi="Arabic Typesetting" w:cs="Arabic Typesetting" w:hint="cs"/>
          <w:sz w:val="36"/>
          <w:szCs w:val="36"/>
          <w:rtl/>
        </w:rPr>
        <w:t>المادة</w:t>
      </w:r>
      <w:r w:rsidR="00450110" w:rsidRPr="00E22B27">
        <w:rPr>
          <w:rFonts w:ascii="Arabic Typesetting" w:hAnsi="Arabic Typesetting" w:cs="Arabic Typesetting"/>
          <w:sz w:val="36"/>
          <w:szCs w:val="36"/>
          <w:rtl/>
        </w:rPr>
        <w:t> </w:t>
      </w:r>
      <w:r w:rsidR="003C1838" w:rsidRPr="00E22B27">
        <w:rPr>
          <w:rFonts w:ascii="Arabic Typesetting" w:hAnsi="Arabic Typesetting" w:cs="Arabic Typesetting" w:hint="cs"/>
          <w:sz w:val="36"/>
          <w:szCs w:val="36"/>
          <w:rtl/>
        </w:rPr>
        <w:t>29</w:t>
      </w:r>
      <w:r w:rsidRPr="00E22B27">
        <w:rPr>
          <w:rFonts w:ascii="Arabic Typesetting" w:hAnsi="Arabic Typesetting" w:cs="Arabic Typesetting" w:hint="cs"/>
          <w:sz w:val="36"/>
          <w:szCs w:val="36"/>
          <w:rtl/>
        </w:rPr>
        <w:t>:</w:t>
      </w:r>
      <w:r w:rsidRPr="00E22B27">
        <w:rPr>
          <w:rFonts w:ascii="Arabic Typesetting" w:hAnsi="Arabic Typesetting" w:cs="Arabic Typesetting" w:hint="cs"/>
          <w:sz w:val="36"/>
          <w:szCs w:val="36"/>
          <w:rtl/>
        </w:rPr>
        <w:tab/>
      </w:r>
      <w:r w:rsidRPr="00E22B27">
        <w:rPr>
          <w:rFonts w:ascii="Arabic Typesetting" w:hAnsi="Arabic Typesetting" w:cs="Arabic Typesetting"/>
          <w:sz w:val="36"/>
          <w:szCs w:val="36"/>
          <w:rtl/>
          <w:lang w:bidi="ar-EG"/>
        </w:rPr>
        <w:t>تاريخ نفاذ التصديق والانضمام</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hint="cs"/>
          <w:sz w:val="36"/>
          <w:szCs w:val="36"/>
          <w:rtl/>
        </w:rPr>
        <w:t>ملاحظات على</w:t>
      </w:r>
      <w:r w:rsidR="007C2359" w:rsidRPr="00E22B27">
        <w:rPr>
          <w:rFonts w:ascii="Arabic Typesetting" w:hAnsi="Arabic Typesetting" w:cs="Arabic Typesetting" w:hint="cs"/>
          <w:sz w:val="36"/>
          <w:szCs w:val="36"/>
          <w:rtl/>
        </w:rPr>
        <w:t xml:space="preserve"> </w:t>
      </w:r>
      <w:r w:rsidR="00450110" w:rsidRPr="00E22B27">
        <w:rPr>
          <w:rFonts w:ascii="Arabic Typesetting" w:hAnsi="Arabic Typesetting" w:cs="Arabic Typesetting" w:hint="cs"/>
          <w:sz w:val="36"/>
          <w:szCs w:val="36"/>
          <w:rtl/>
        </w:rPr>
        <w:t>المادة</w:t>
      </w:r>
      <w:r w:rsidR="00450110" w:rsidRPr="00E22B27">
        <w:rPr>
          <w:rFonts w:ascii="Arabic Typesetting" w:hAnsi="Arabic Typesetting" w:cs="Arabic Typesetting"/>
          <w:sz w:val="36"/>
          <w:szCs w:val="36"/>
          <w:rtl/>
        </w:rPr>
        <w:t> </w:t>
      </w:r>
      <w:r w:rsidR="003C1838" w:rsidRPr="00E22B27">
        <w:rPr>
          <w:rFonts w:ascii="Arabic Typesetting" w:hAnsi="Arabic Typesetting" w:cs="Arabic Typesetting" w:hint="cs"/>
          <w:sz w:val="36"/>
          <w:szCs w:val="36"/>
          <w:rtl/>
        </w:rPr>
        <w:t>3</w:t>
      </w:r>
      <w:r w:rsidRPr="00E22B27">
        <w:rPr>
          <w:rFonts w:ascii="Arabic Typesetting" w:hAnsi="Arabic Typesetting" w:cs="Arabic Typesetting" w:hint="cs"/>
          <w:sz w:val="36"/>
          <w:szCs w:val="36"/>
          <w:rtl/>
        </w:rPr>
        <w:t>0:</w:t>
      </w:r>
      <w:r w:rsidRPr="00E22B27">
        <w:rPr>
          <w:rFonts w:ascii="Arabic Typesetting" w:hAnsi="Arabic Typesetting" w:cs="Arabic Typesetting" w:hint="cs"/>
          <w:sz w:val="36"/>
          <w:szCs w:val="36"/>
          <w:rtl/>
        </w:rPr>
        <w:tab/>
        <w:t>ح</w:t>
      </w:r>
      <w:r w:rsidRPr="00E22B27">
        <w:rPr>
          <w:rFonts w:ascii="Arabic Typesetting" w:hAnsi="Arabic Typesetting" w:cs="Arabic Typesetting"/>
          <w:sz w:val="36"/>
          <w:szCs w:val="36"/>
          <w:rtl/>
          <w:lang w:bidi="ar-EG"/>
        </w:rPr>
        <w:t>ظر التحفظات</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hint="cs"/>
          <w:sz w:val="36"/>
          <w:szCs w:val="36"/>
          <w:rtl/>
        </w:rPr>
        <w:t>ملاحظات على</w:t>
      </w:r>
      <w:r w:rsidR="007C2359" w:rsidRPr="00E22B27">
        <w:rPr>
          <w:rFonts w:ascii="Arabic Typesetting" w:hAnsi="Arabic Typesetting" w:cs="Arabic Typesetting" w:hint="cs"/>
          <w:sz w:val="36"/>
          <w:szCs w:val="36"/>
          <w:rtl/>
        </w:rPr>
        <w:t xml:space="preserve"> </w:t>
      </w:r>
      <w:r w:rsidR="00450110" w:rsidRPr="00E22B27">
        <w:rPr>
          <w:rFonts w:ascii="Arabic Typesetting" w:hAnsi="Arabic Typesetting" w:cs="Arabic Typesetting" w:hint="cs"/>
          <w:sz w:val="36"/>
          <w:szCs w:val="36"/>
          <w:rtl/>
        </w:rPr>
        <w:t>المادة</w:t>
      </w:r>
      <w:r w:rsidR="00450110" w:rsidRPr="00E22B27">
        <w:rPr>
          <w:rFonts w:ascii="Arabic Typesetting" w:hAnsi="Arabic Typesetting" w:cs="Arabic Typesetting"/>
          <w:sz w:val="36"/>
          <w:szCs w:val="36"/>
          <w:rtl/>
        </w:rPr>
        <w:t> </w:t>
      </w:r>
      <w:r w:rsidR="003C1838" w:rsidRPr="00E22B27">
        <w:rPr>
          <w:rFonts w:ascii="Arabic Typesetting" w:hAnsi="Arabic Typesetting" w:cs="Arabic Typesetting" w:hint="cs"/>
          <w:sz w:val="36"/>
          <w:szCs w:val="36"/>
          <w:rtl/>
        </w:rPr>
        <w:t>31</w:t>
      </w:r>
      <w:r w:rsidRPr="00E22B27">
        <w:rPr>
          <w:rFonts w:ascii="Arabic Typesetting" w:hAnsi="Arabic Typesetting" w:cs="Arabic Typesetting" w:hint="cs"/>
          <w:sz w:val="36"/>
          <w:szCs w:val="36"/>
          <w:rtl/>
        </w:rPr>
        <w:t>:</w:t>
      </w:r>
      <w:r w:rsidRPr="00E22B27">
        <w:rPr>
          <w:rFonts w:ascii="Arabic Typesetting" w:hAnsi="Arabic Typesetting" w:cs="Arabic Typesetting" w:hint="cs"/>
          <w:sz w:val="36"/>
          <w:szCs w:val="36"/>
          <w:rtl/>
        </w:rPr>
        <w:tab/>
        <w:t>تطبيق اتفاق لشبونة و</w:t>
      </w:r>
      <w:r w:rsidR="00CD0D5E" w:rsidRPr="00E22B27">
        <w:rPr>
          <w:rFonts w:ascii="Arabic Typesetting" w:hAnsi="Arabic Typesetting" w:cs="Arabic Typesetting" w:hint="cs"/>
          <w:sz w:val="36"/>
          <w:szCs w:val="36"/>
          <w:rtl/>
        </w:rPr>
        <w:t>وثيقة</w:t>
      </w:r>
      <w:r w:rsidR="00CD0D5E" w:rsidRPr="00E22B27">
        <w:rPr>
          <w:rFonts w:ascii="Arabic Typesetting" w:hAnsi="Arabic Typesetting" w:cs="Arabic Typesetting"/>
          <w:sz w:val="36"/>
          <w:szCs w:val="36"/>
          <w:rtl/>
        </w:rPr>
        <w:t> </w:t>
      </w:r>
      <w:r w:rsidR="003C1838" w:rsidRPr="00E22B27">
        <w:rPr>
          <w:rFonts w:ascii="Arabic Typesetting" w:hAnsi="Arabic Typesetting" w:cs="Arabic Typesetting" w:hint="cs"/>
          <w:sz w:val="36"/>
          <w:szCs w:val="36"/>
          <w:rtl/>
        </w:rPr>
        <w:t>1967</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hint="cs"/>
          <w:sz w:val="36"/>
          <w:szCs w:val="36"/>
          <w:rtl/>
        </w:rPr>
        <w:t>ملاحظات على</w:t>
      </w:r>
      <w:r w:rsidR="007C2359" w:rsidRPr="00E22B27">
        <w:rPr>
          <w:rFonts w:ascii="Arabic Typesetting" w:hAnsi="Arabic Typesetting" w:cs="Arabic Typesetting" w:hint="cs"/>
          <w:sz w:val="36"/>
          <w:szCs w:val="36"/>
          <w:rtl/>
        </w:rPr>
        <w:t xml:space="preserve"> </w:t>
      </w:r>
      <w:r w:rsidR="00450110" w:rsidRPr="00E22B27">
        <w:rPr>
          <w:rFonts w:ascii="Arabic Typesetting" w:hAnsi="Arabic Typesetting" w:cs="Arabic Typesetting" w:hint="cs"/>
          <w:sz w:val="36"/>
          <w:szCs w:val="36"/>
          <w:rtl/>
        </w:rPr>
        <w:t>المادة</w:t>
      </w:r>
      <w:r w:rsidR="00450110" w:rsidRPr="00E22B27">
        <w:rPr>
          <w:rFonts w:ascii="Arabic Typesetting" w:hAnsi="Arabic Typesetting" w:cs="Arabic Typesetting"/>
          <w:sz w:val="36"/>
          <w:szCs w:val="36"/>
          <w:rtl/>
        </w:rPr>
        <w:t> </w:t>
      </w:r>
      <w:r w:rsidR="003C1838" w:rsidRPr="00E22B27">
        <w:rPr>
          <w:rFonts w:ascii="Arabic Typesetting" w:hAnsi="Arabic Typesetting" w:cs="Arabic Typesetting" w:hint="cs"/>
          <w:sz w:val="36"/>
          <w:szCs w:val="36"/>
          <w:rtl/>
        </w:rPr>
        <w:t>32</w:t>
      </w:r>
      <w:r w:rsidRPr="00E22B27">
        <w:rPr>
          <w:rFonts w:ascii="Arabic Typesetting" w:hAnsi="Arabic Typesetting" w:cs="Arabic Typesetting" w:hint="cs"/>
          <w:sz w:val="36"/>
          <w:szCs w:val="36"/>
          <w:rtl/>
        </w:rPr>
        <w:t>:</w:t>
      </w:r>
      <w:r w:rsidRPr="00E22B27">
        <w:rPr>
          <w:rFonts w:ascii="Arabic Typesetting" w:hAnsi="Arabic Typesetting" w:cs="Arabic Typesetting" w:hint="cs"/>
          <w:sz w:val="36"/>
          <w:szCs w:val="36"/>
          <w:rtl/>
        </w:rPr>
        <w:tab/>
        <w:t>النقض</w:t>
      </w:r>
    </w:p>
    <w:p w:rsidR="00187464" w:rsidRPr="00E22B27" w:rsidRDefault="00187464" w:rsidP="009422A7">
      <w:pPr>
        <w:bidi/>
        <w:spacing w:after="240" w:line="360" w:lineRule="exact"/>
        <w:ind w:firstLine="6"/>
        <w:contextualSpacing/>
        <w:jc w:val="lowKashida"/>
        <w:rPr>
          <w:rFonts w:ascii="Arabic Typesetting" w:hAnsi="Arabic Typesetting" w:cs="Arabic Typesetting"/>
          <w:sz w:val="36"/>
          <w:szCs w:val="36"/>
          <w:rtl/>
        </w:rPr>
      </w:pPr>
      <w:r w:rsidRPr="00E22B27">
        <w:rPr>
          <w:rFonts w:ascii="Arabic Typesetting" w:hAnsi="Arabic Typesetting" w:cs="Arabic Typesetting" w:hint="cs"/>
          <w:sz w:val="36"/>
          <w:szCs w:val="36"/>
          <w:rtl/>
        </w:rPr>
        <w:t>ملاحظات على</w:t>
      </w:r>
      <w:r w:rsidR="007C2359" w:rsidRPr="00E22B27">
        <w:rPr>
          <w:rFonts w:ascii="Arabic Typesetting" w:hAnsi="Arabic Typesetting" w:cs="Arabic Typesetting" w:hint="cs"/>
          <w:sz w:val="36"/>
          <w:szCs w:val="36"/>
          <w:rtl/>
        </w:rPr>
        <w:t xml:space="preserve"> </w:t>
      </w:r>
      <w:r w:rsidR="00450110" w:rsidRPr="00E22B27">
        <w:rPr>
          <w:rFonts w:ascii="Arabic Typesetting" w:hAnsi="Arabic Typesetting" w:cs="Arabic Typesetting" w:hint="cs"/>
          <w:sz w:val="36"/>
          <w:szCs w:val="36"/>
          <w:rtl/>
        </w:rPr>
        <w:t>المادة</w:t>
      </w:r>
      <w:r w:rsidR="00450110" w:rsidRPr="00E22B27">
        <w:rPr>
          <w:rFonts w:ascii="Arabic Typesetting" w:hAnsi="Arabic Typesetting" w:cs="Arabic Typesetting"/>
          <w:sz w:val="36"/>
          <w:szCs w:val="36"/>
          <w:rtl/>
        </w:rPr>
        <w:t> </w:t>
      </w:r>
      <w:r w:rsidR="003C1838" w:rsidRPr="00E22B27">
        <w:rPr>
          <w:rFonts w:ascii="Arabic Typesetting" w:hAnsi="Arabic Typesetting" w:cs="Arabic Typesetting" w:hint="cs"/>
          <w:sz w:val="36"/>
          <w:szCs w:val="36"/>
          <w:rtl/>
        </w:rPr>
        <w:t>33</w:t>
      </w:r>
      <w:r w:rsidRPr="00E22B27">
        <w:rPr>
          <w:rFonts w:ascii="Arabic Typesetting" w:hAnsi="Arabic Typesetting" w:cs="Arabic Typesetting" w:hint="cs"/>
          <w:sz w:val="36"/>
          <w:szCs w:val="36"/>
          <w:rtl/>
        </w:rPr>
        <w:t>:</w:t>
      </w:r>
      <w:r w:rsidRPr="00E22B27">
        <w:rPr>
          <w:rFonts w:ascii="Arabic Typesetting" w:hAnsi="Arabic Typesetting" w:cs="Arabic Typesetting" w:hint="cs"/>
          <w:sz w:val="36"/>
          <w:szCs w:val="36"/>
          <w:rtl/>
        </w:rPr>
        <w:tab/>
        <w:t xml:space="preserve">لغات هذه </w:t>
      </w:r>
      <w:r w:rsidR="00450110" w:rsidRPr="00E22B27">
        <w:rPr>
          <w:rFonts w:ascii="Arabic Typesetting" w:hAnsi="Arabic Typesetting" w:cs="Arabic Typesetting" w:hint="cs"/>
          <w:sz w:val="36"/>
          <w:szCs w:val="36"/>
          <w:rtl/>
        </w:rPr>
        <w:t>ال</w:t>
      </w:r>
      <w:r w:rsidR="00CD0D5E" w:rsidRPr="00E22B27">
        <w:rPr>
          <w:rFonts w:ascii="Arabic Typesetting" w:hAnsi="Arabic Typesetting" w:cs="Arabic Typesetting" w:hint="cs"/>
          <w:sz w:val="36"/>
          <w:szCs w:val="36"/>
          <w:rtl/>
        </w:rPr>
        <w:t>وثيقة</w:t>
      </w:r>
      <w:r w:rsidR="00CD0D5E" w:rsidRPr="00E22B27">
        <w:rPr>
          <w:rFonts w:ascii="Arabic Typesetting" w:hAnsi="Arabic Typesetting" w:cs="Arabic Typesetting"/>
          <w:sz w:val="36"/>
          <w:szCs w:val="36"/>
          <w:rtl/>
        </w:rPr>
        <w:t> </w:t>
      </w:r>
      <w:r w:rsidRPr="00E22B27">
        <w:rPr>
          <w:rFonts w:ascii="Arabic Typesetting" w:hAnsi="Arabic Typesetting" w:cs="Arabic Typesetting" w:hint="cs"/>
          <w:sz w:val="36"/>
          <w:szCs w:val="36"/>
          <w:rtl/>
        </w:rPr>
        <w:t>والتوقيع عليها</w:t>
      </w:r>
    </w:p>
    <w:p w:rsidR="00187464" w:rsidRPr="00E22B27" w:rsidRDefault="00187464" w:rsidP="009422A7">
      <w:pPr>
        <w:bidi/>
        <w:spacing w:after="480" w:line="360" w:lineRule="exact"/>
        <w:ind w:firstLine="6"/>
        <w:rPr>
          <w:rFonts w:ascii="Arabic Typesetting" w:hAnsi="Arabic Typesetting" w:cs="Arabic Typesetting"/>
          <w:sz w:val="36"/>
          <w:szCs w:val="36"/>
          <w:rtl/>
          <w:lang w:bidi="ar-EG"/>
        </w:rPr>
      </w:pPr>
      <w:r w:rsidRPr="00E22B27">
        <w:rPr>
          <w:rFonts w:ascii="Arabic Typesetting" w:hAnsi="Arabic Typesetting" w:cs="Arabic Typesetting" w:hint="cs"/>
          <w:sz w:val="36"/>
          <w:szCs w:val="36"/>
          <w:rtl/>
        </w:rPr>
        <w:t>ملاحظات على</w:t>
      </w:r>
      <w:r w:rsidR="007C2359" w:rsidRPr="00E22B27">
        <w:rPr>
          <w:rFonts w:ascii="Arabic Typesetting" w:hAnsi="Arabic Typesetting" w:cs="Arabic Typesetting" w:hint="cs"/>
          <w:sz w:val="36"/>
          <w:szCs w:val="36"/>
          <w:rtl/>
        </w:rPr>
        <w:t xml:space="preserve"> </w:t>
      </w:r>
      <w:r w:rsidR="00450110" w:rsidRPr="00E22B27">
        <w:rPr>
          <w:rFonts w:ascii="Arabic Typesetting" w:hAnsi="Arabic Typesetting" w:cs="Arabic Typesetting" w:hint="cs"/>
          <w:sz w:val="36"/>
          <w:szCs w:val="36"/>
          <w:rtl/>
        </w:rPr>
        <w:t>المادة</w:t>
      </w:r>
      <w:r w:rsidR="00450110" w:rsidRPr="00E22B27">
        <w:rPr>
          <w:rFonts w:ascii="Arabic Typesetting" w:hAnsi="Arabic Typesetting" w:cs="Arabic Typesetting"/>
          <w:sz w:val="36"/>
          <w:szCs w:val="36"/>
          <w:rtl/>
        </w:rPr>
        <w:t> </w:t>
      </w:r>
      <w:r w:rsidR="003C1838" w:rsidRPr="00E22B27">
        <w:rPr>
          <w:rFonts w:ascii="Arabic Typesetting" w:hAnsi="Arabic Typesetting" w:cs="Arabic Typesetting" w:hint="cs"/>
          <w:sz w:val="36"/>
          <w:szCs w:val="36"/>
          <w:rtl/>
        </w:rPr>
        <w:t>34</w:t>
      </w:r>
      <w:r w:rsidRPr="00E22B27">
        <w:rPr>
          <w:rFonts w:ascii="Arabic Typesetting" w:hAnsi="Arabic Typesetting" w:cs="Arabic Typesetting" w:hint="cs"/>
          <w:sz w:val="36"/>
          <w:szCs w:val="36"/>
          <w:rtl/>
        </w:rPr>
        <w:t>:</w:t>
      </w:r>
      <w:r w:rsidRPr="00E22B27">
        <w:rPr>
          <w:rFonts w:ascii="Arabic Typesetting" w:hAnsi="Arabic Typesetting" w:cs="Arabic Typesetting" w:hint="cs"/>
          <w:sz w:val="36"/>
          <w:szCs w:val="36"/>
          <w:rtl/>
        </w:rPr>
        <w:tab/>
        <w:t xml:space="preserve">أمين </w:t>
      </w:r>
      <w:r w:rsidRPr="00E22B27">
        <w:rPr>
          <w:rFonts w:ascii="Arabic Typesetting" w:hAnsi="Arabic Typesetting" w:cs="Arabic Typesetting" w:hint="cs"/>
          <w:sz w:val="36"/>
          <w:szCs w:val="36"/>
          <w:rtl/>
          <w:lang w:bidi="ar-EG"/>
        </w:rPr>
        <w:t>الإيداع</w:t>
      </w:r>
    </w:p>
    <w:p w:rsidR="00DD0CCE" w:rsidRPr="00E22B27" w:rsidRDefault="00187464" w:rsidP="009422A7">
      <w:pPr>
        <w:pStyle w:val="Heading1AR"/>
        <w:keepNext w:val="0"/>
        <w:spacing w:before="0" w:after="360" w:line="360" w:lineRule="exact"/>
        <w:rPr>
          <w:sz w:val="36"/>
          <w:szCs w:val="36"/>
          <w:rtl/>
          <w:lang w:bidi="ar-EG"/>
        </w:rPr>
      </w:pPr>
      <w:r w:rsidRPr="00E22B27">
        <w:rPr>
          <w:sz w:val="36"/>
          <w:szCs w:val="36"/>
          <w:rtl/>
          <w:lang w:bidi="ar-EG"/>
        </w:rPr>
        <w:br w:type="page"/>
      </w:r>
    </w:p>
    <w:p w:rsidR="00187464" w:rsidRPr="00E22B27" w:rsidRDefault="00187464" w:rsidP="009422A7">
      <w:pPr>
        <w:pStyle w:val="Heading1AR"/>
        <w:spacing w:before="0" w:after="360" w:line="360" w:lineRule="exact"/>
        <w:rPr>
          <w:rtl/>
        </w:rPr>
      </w:pPr>
      <w:r w:rsidRPr="00E22B27">
        <w:rPr>
          <w:rFonts w:hint="cs"/>
          <w:rtl/>
        </w:rPr>
        <w:lastRenderedPageBreak/>
        <w:t>ملاحظات على الديباجية</w:t>
      </w:r>
    </w:p>
    <w:p w:rsidR="00187464" w:rsidRPr="00E22B27" w:rsidRDefault="00187464" w:rsidP="00985F00">
      <w:pPr>
        <w:pStyle w:val="NormalParaAR"/>
        <w:rPr>
          <w:rtl/>
        </w:rPr>
      </w:pPr>
      <w:r w:rsidRPr="00E22B27">
        <w:rPr>
          <w:rFonts w:hint="cs"/>
          <w:rtl/>
        </w:rPr>
        <w:t>د.</w:t>
      </w:r>
      <w:r w:rsidR="003C1838" w:rsidRPr="00E22B27">
        <w:rPr>
          <w:rFonts w:hint="cs"/>
          <w:rtl/>
        </w:rPr>
        <w:t>1</w:t>
      </w:r>
      <w:r w:rsidRPr="00E22B27">
        <w:rPr>
          <w:rFonts w:hint="cs"/>
          <w:rtl/>
        </w:rPr>
        <w:tab/>
      </w:r>
      <w:r w:rsidR="00145204">
        <w:rPr>
          <w:rFonts w:hint="cs"/>
          <w:rtl/>
        </w:rPr>
        <w:t>ترد الديباجية بين قوسين مربعي</w:t>
      </w:r>
      <w:r w:rsidR="00145204">
        <w:rPr>
          <w:rFonts w:hint="cs"/>
          <w:rtl/>
          <w:lang w:val="fr-CH"/>
        </w:rPr>
        <w:t xml:space="preserve">ن، لأنها مسألة عالقة ولم يُحسم في </w:t>
      </w:r>
      <w:r w:rsidR="00797A80" w:rsidRPr="00E22B27">
        <w:rPr>
          <w:rFonts w:hint="cs"/>
          <w:rtl/>
        </w:rPr>
        <w:t xml:space="preserve">ضرورة </w:t>
      </w:r>
      <w:r w:rsidR="00145204">
        <w:rPr>
          <w:rFonts w:hint="cs"/>
          <w:rtl/>
        </w:rPr>
        <w:t>وضع ديباجة ت</w:t>
      </w:r>
      <w:r w:rsidR="00797A80" w:rsidRPr="00E22B27">
        <w:rPr>
          <w:rFonts w:hint="cs"/>
          <w:rtl/>
        </w:rPr>
        <w:t xml:space="preserve">تصدر اتفاق لشبونة المراجَع </w:t>
      </w:r>
      <w:r w:rsidR="00145204">
        <w:rPr>
          <w:rFonts w:hint="cs"/>
          <w:rtl/>
        </w:rPr>
        <w:t>و</w:t>
      </w:r>
      <w:r w:rsidR="00797A80" w:rsidRPr="00E22B27">
        <w:rPr>
          <w:rFonts w:hint="cs"/>
          <w:rtl/>
        </w:rPr>
        <w:t>تشير إلى أهداف مراجعة اتفاق لشبونة.</w:t>
      </w:r>
    </w:p>
    <w:p w:rsidR="00187464" w:rsidRPr="00E22B27" w:rsidRDefault="00187464" w:rsidP="00710B5D">
      <w:pPr>
        <w:pStyle w:val="NormalParaAR"/>
        <w:rPr>
          <w:rtl/>
        </w:rPr>
      </w:pPr>
      <w:r w:rsidRPr="00E22B27">
        <w:rPr>
          <w:rFonts w:hint="cs"/>
          <w:rtl/>
        </w:rPr>
        <w:t>د.</w:t>
      </w:r>
      <w:r w:rsidR="003C1838" w:rsidRPr="00E22B27">
        <w:rPr>
          <w:rFonts w:hint="cs"/>
          <w:rtl/>
        </w:rPr>
        <w:t>2</w:t>
      </w:r>
      <w:r w:rsidRPr="00E22B27">
        <w:rPr>
          <w:rFonts w:hint="cs"/>
          <w:rtl/>
        </w:rPr>
        <w:tab/>
      </w:r>
      <w:r w:rsidR="00797A80" w:rsidRPr="00E22B27">
        <w:rPr>
          <w:rFonts w:hint="cs"/>
          <w:rtl/>
        </w:rPr>
        <w:t>وفقاً للمادة</w:t>
      </w:r>
      <w:r w:rsidR="007C2359" w:rsidRPr="00E22B27">
        <w:rPr>
          <w:rFonts w:hint="eastAsia"/>
          <w:rtl/>
        </w:rPr>
        <w:t> </w:t>
      </w:r>
      <w:r w:rsidR="003C1838" w:rsidRPr="00E22B27">
        <w:rPr>
          <w:rFonts w:hint="cs"/>
          <w:rtl/>
        </w:rPr>
        <w:t>1</w:t>
      </w:r>
      <w:r w:rsidR="00797A80" w:rsidRPr="00E22B27">
        <w:rPr>
          <w:rFonts w:hint="cs"/>
          <w:rtl/>
        </w:rPr>
        <w:t>"</w:t>
      </w:r>
      <w:r w:rsidR="003C1838" w:rsidRPr="00E22B27">
        <w:rPr>
          <w:rFonts w:hint="cs"/>
          <w:rtl/>
        </w:rPr>
        <w:t>14</w:t>
      </w:r>
      <w:r w:rsidR="00797A80" w:rsidRPr="00E22B27">
        <w:rPr>
          <w:rFonts w:hint="cs"/>
          <w:rtl/>
        </w:rPr>
        <w:t xml:space="preserve">"، </w:t>
      </w:r>
      <w:r w:rsidR="00797A80" w:rsidRPr="00E22B27">
        <w:rPr>
          <w:rtl/>
        </w:rPr>
        <w:t xml:space="preserve">تعني عبارة "الطرف المتعاقد" </w:t>
      </w:r>
      <w:r w:rsidR="00797A80" w:rsidRPr="00E22B27">
        <w:rPr>
          <w:rFonts w:hint="cs"/>
          <w:rtl/>
        </w:rPr>
        <w:t>"</w:t>
      </w:r>
      <w:r w:rsidR="00797A80" w:rsidRPr="00E22B27">
        <w:rPr>
          <w:rtl/>
        </w:rPr>
        <w:t xml:space="preserve">كل دولة </w:t>
      </w:r>
      <w:r w:rsidR="00450110" w:rsidRPr="00E22B27">
        <w:rPr>
          <w:rtl/>
        </w:rPr>
        <w:t>أو </w:t>
      </w:r>
      <w:r w:rsidR="00797A80" w:rsidRPr="00E22B27">
        <w:rPr>
          <w:rtl/>
        </w:rPr>
        <w:t>منظمة حكومية دولية تكون طرفاً في هذه الوثيقة</w:t>
      </w:r>
      <w:r w:rsidR="00797A80" w:rsidRPr="00E22B27">
        <w:rPr>
          <w:rFonts w:hint="cs"/>
          <w:rtl/>
        </w:rPr>
        <w:t xml:space="preserve">". ولكن في مشروع الديباجية، تشير هذه العبارة إلى الأطراف التي </w:t>
      </w:r>
      <w:r w:rsidR="00710B5D">
        <w:rPr>
          <w:rFonts w:hint="cs"/>
          <w:rtl/>
        </w:rPr>
        <w:t>تعتمد</w:t>
      </w:r>
      <w:r w:rsidR="00797A80" w:rsidRPr="00E22B27">
        <w:rPr>
          <w:rFonts w:hint="cs"/>
          <w:rtl/>
        </w:rPr>
        <w:t xml:space="preserve"> اتفاق لشبونة المراجَع.</w:t>
      </w:r>
    </w:p>
    <w:p w:rsidR="00187464" w:rsidRPr="00E22B27" w:rsidRDefault="00187464" w:rsidP="009422A7">
      <w:pPr>
        <w:pStyle w:val="Heading1AR"/>
        <w:spacing w:before="0" w:after="360" w:line="360" w:lineRule="exact"/>
        <w:rPr>
          <w:rtl/>
        </w:rPr>
      </w:pPr>
      <w:r w:rsidRPr="00E22B27">
        <w:rPr>
          <w:rtl/>
        </w:rPr>
        <w:t>ملاحظات على</w:t>
      </w:r>
      <w:r w:rsidR="007C2359" w:rsidRPr="00E22B27">
        <w:rPr>
          <w:rtl/>
        </w:rPr>
        <w:t xml:space="preserve"> </w:t>
      </w:r>
      <w:r w:rsidR="00450110" w:rsidRPr="00E22B27">
        <w:rPr>
          <w:rtl/>
        </w:rPr>
        <w:t>المادة </w:t>
      </w:r>
      <w:r w:rsidR="003C1838" w:rsidRPr="00E22B27">
        <w:rPr>
          <w:rtl/>
        </w:rPr>
        <w:t>1</w:t>
      </w:r>
      <w:r w:rsidRPr="00E22B27">
        <w:rPr>
          <w:rtl/>
        </w:rPr>
        <w:t>:</w:t>
      </w:r>
      <w:r w:rsidRPr="00E22B27">
        <w:rPr>
          <w:rFonts w:hint="cs"/>
          <w:rtl/>
        </w:rPr>
        <w:tab/>
        <w:t>تعابير مختصرة</w:t>
      </w:r>
    </w:p>
    <w:p w:rsidR="00797A80" w:rsidRPr="00E22B27" w:rsidRDefault="003C1838" w:rsidP="009422A7">
      <w:pPr>
        <w:pStyle w:val="NormalParaAR"/>
      </w:pPr>
      <w:r w:rsidRPr="00E22B27">
        <w:rPr>
          <w:rtl/>
        </w:rPr>
        <w:t>1.1</w:t>
      </w:r>
      <w:r w:rsidRPr="00E22B27">
        <w:tab/>
      </w:r>
      <w:r w:rsidR="00797A80" w:rsidRPr="00E22B27">
        <w:rPr>
          <w:rFonts w:hint="cs"/>
          <w:rtl/>
        </w:rPr>
        <w:t xml:space="preserve">على غرار </w:t>
      </w:r>
      <w:r w:rsidR="00CD0D5E" w:rsidRPr="00E22B27">
        <w:rPr>
          <w:rtl/>
        </w:rPr>
        <w:t>وثيقة </w:t>
      </w:r>
      <w:r w:rsidR="00797A80" w:rsidRPr="00E22B27">
        <w:rPr>
          <w:rtl/>
        </w:rPr>
        <w:t>جنيف لاتفاق لاهاي</w:t>
      </w:r>
      <w:r w:rsidR="00797A80" w:rsidRPr="00E22B27">
        <w:rPr>
          <w:rFonts w:hint="cs"/>
          <w:rtl/>
        </w:rPr>
        <w:t xml:space="preserve"> </w:t>
      </w:r>
      <w:r w:rsidR="00797A80" w:rsidRPr="00E22B27">
        <w:rPr>
          <w:rtl/>
        </w:rPr>
        <w:t>بشأن التسجيل الدولي للتصاميم الصناعية</w:t>
      </w:r>
      <w:r w:rsidR="00797A80" w:rsidRPr="00E22B27">
        <w:rPr>
          <w:rFonts w:hint="cs"/>
          <w:rtl/>
        </w:rPr>
        <w:t xml:space="preserve"> (المشار إليها فيما يلي باسم "</w:t>
      </w:r>
      <w:r w:rsidR="00CD0D5E" w:rsidRPr="00E22B27">
        <w:rPr>
          <w:rFonts w:hint="cs"/>
          <w:rtl/>
        </w:rPr>
        <w:t>وثيقة</w:t>
      </w:r>
      <w:r w:rsidR="00CD0D5E" w:rsidRPr="00E22B27">
        <w:rPr>
          <w:rtl/>
        </w:rPr>
        <w:t> </w:t>
      </w:r>
      <w:r w:rsidR="00797A80" w:rsidRPr="00E22B27">
        <w:rPr>
          <w:rFonts w:hint="cs"/>
          <w:rtl/>
        </w:rPr>
        <w:t>جنيف")، توضح</w:t>
      </w:r>
      <w:r w:rsidR="007C2359" w:rsidRPr="00E22B27">
        <w:rPr>
          <w:rFonts w:hint="cs"/>
          <w:rtl/>
        </w:rPr>
        <w:t xml:space="preserve"> </w:t>
      </w:r>
      <w:r w:rsidR="00450110" w:rsidRPr="00E22B27">
        <w:rPr>
          <w:rFonts w:hint="cs"/>
          <w:rtl/>
        </w:rPr>
        <w:t>المادة</w:t>
      </w:r>
      <w:r w:rsidR="00450110" w:rsidRPr="00E22B27">
        <w:rPr>
          <w:rtl/>
        </w:rPr>
        <w:t> </w:t>
      </w:r>
      <w:r w:rsidRPr="00E22B27">
        <w:rPr>
          <w:rFonts w:hint="cs"/>
          <w:rtl/>
        </w:rPr>
        <w:t>1</w:t>
      </w:r>
      <w:r w:rsidR="00797A80" w:rsidRPr="00E22B27">
        <w:rPr>
          <w:rFonts w:hint="cs"/>
          <w:rtl/>
        </w:rPr>
        <w:t xml:space="preserve"> عدداً من التعابير المختصرة وتعر</w:t>
      </w:r>
      <w:r w:rsidR="00295029" w:rsidRPr="00E22B27">
        <w:rPr>
          <w:rFonts w:hint="cs"/>
          <w:rtl/>
        </w:rPr>
        <w:t>ِّ</w:t>
      </w:r>
      <w:r w:rsidR="00797A80" w:rsidRPr="00E22B27">
        <w:rPr>
          <w:rFonts w:hint="cs"/>
          <w:rtl/>
        </w:rPr>
        <w:t>ف عدداً من المصطلحات المستخدمة في مشروع اتفاق لشبونة المراجَع. ورغم أن العديد من التعابير المختصرة والتعريفات الواردة في</w:t>
      </w:r>
      <w:r w:rsidR="007C2359" w:rsidRPr="00E22B27">
        <w:rPr>
          <w:rFonts w:hint="cs"/>
          <w:rtl/>
        </w:rPr>
        <w:t xml:space="preserve"> </w:t>
      </w:r>
      <w:r w:rsidR="00450110" w:rsidRPr="00E22B27">
        <w:rPr>
          <w:rFonts w:hint="cs"/>
          <w:rtl/>
        </w:rPr>
        <w:t>المادة</w:t>
      </w:r>
      <w:r w:rsidR="00450110" w:rsidRPr="00E22B27">
        <w:rPr>
          <w:rtl/>
        </w:rPr>
        <w:t> </w:t>
      </w:r>
      <w:r w:rsidRPr="00E22B27">
        <w:rPr>
          <w:rFonts w:hint="cs"/>
          <w:rtl/>
        </w:rPr>
        <w:t>1</w:t>
      </w:r>
      <w:r w:rsidR="00797A80" w:rsidRPr="00E22B27">
        <w:rPr>
          <w:rFonts w:hint="cs"/>
          <w:rtl/>
        </w:rPr>
        <w:t xml:space="preserve"> مشابهة لما ورد في اللائحة التنفيذية لاتفاق لشبونة،</w:t>
      </w:r>
      <w:r w:rsidR="00450110" w:rsidRPr="00E22B27">
        <w:rPr>
          <w:rFonts w:hint="cs"/>
          <w:rtl/>
        </w:rPr>
        <w:t xml:space="preserve"> فقد</w:t>
      </w:r>
      <w:r w:rsidR="007C2359" w:rsidRPr="00E22B27">
        <w:rPr>
          <w:rFonts w:hint="cs"/>
          <w:rtl/>
        </w:rPr>
        <w:t xml:space="preserve"> أُ</w:t>
      </w:r>
      <w:r w:rsidR="00B81967" w:rsidRPr="00E22B27">
        <w:rPr>
          <w:rFonts w:hint="cs"/>
          <w:rtl/>
        </w:rPr>
        <w:t>ضيفت تعابير وتعريفات أخرى عند الاقتضاء على نحو الأحكام الواردة أدناه.</w:t>
      </w:r>
    </w:p>
    <w:p w:rsidR="00797A80" w:rsidRPr="00E22B27" w:rsidRDefault="003C1838" w:rsidP="002D7990">
      <w:pPr>
        <w:pStyle w:val="NormalParaAR"/>
      </w:pPr>
      <w:r w:rsidRPr="00E22B27">
        <w:rPr>
          <w:rtl/>
        </w:rPr>
        <w:t>2.1</w:t>
      </w:r>
      <w:r w:rsidRPr="00E22B27">
        <w:tab/>
      </w:r>
      <w:r w:rsidR="00161873" w:rsidRPr="00E22B27">
        <w:rPr>
          <w:rFonts w:hint="cs"/>
          <w:rtl/>
        </w:rPr>
        <w:t xml:space="preserve">أضيف </w:t>
      </w:r>
      <w:r w:rsidR="00450110" w:rsidRPr="00E22B27">
        <w:rPr>
          <w:rFonts w:hint="cs"/>
          <w:rtl/>
        </w:rPr>
        <w:t>البندان</w:t>
      </w:r>
      <w:r w:rsidR="00450110" w:rsidRPr="00E22B27">
        <w:rPr>
          <w:rtl/>
        </w:rPr>
        <w:t> </w:t>
      </w:r>
      <w:r w:rsidR="00161873" w:rsidRPr="00E22B27">
        <w:rPr>
          <w:rFonts w:hint="cs"/>
          <w:rtl/>
        </w:rPr>
        <w:t>"</w:t>
      </w:r>
      <w:r w:rsidRPr="00E22B27">
        <w:rPr>
          <w:rFonts w:hint="cs"/>
          <w:rtl/>
        </w:rPr>
        <w:t>6</w:t>
      </w:r>
      <w:r w:rsidR="00161873" w:rsidRPr="00E22B27">
        <w:rPr>
          <w:rFonts w:hint="cs"/>
          <w:rtl/>
        </w:rPr>
        <w:t>" و"</w:t>
      </w:r>
      <w:r w:rsidRPr="00E22B27">
        <w:rPr>
          <w:rFonts w:hint="cs"/>
          <w:rtl/>
        </w:rPr>
        <w:t>7</w:t>
      </w:r>
      <w:r w:rsidR="00161873" w:rsidRPr="00E22B27">
        <w:rPr>
          <w:rFonts w:hint="cs"/>
          <w:rtl/>
        </w:rPr>
        <w:t>" إلى قائمة التعابير المختصرة الواردة في</w:t>
      </w:r>
      <w:r w:rsidR="007C2359" w:rsidRPr="00E22B27">
        <w:rPr>
          <w:rFonts w:hint="cs"/>
          <w:rtl/>
        </w:rPr>
        <w:t xml:space="preserve"> </w:t>
      </w:r>
      <w:r w:rsidR="00450110" w:rsidRPr="00E22B27">
        <w:rPr>
          <w:rFonts w:hint="cs"/>
          <w:rtl/>
        </w:rPr>
        <w:t>المادة</w:t>
      </w:r>
      <w:r w:rsidR="00450110" w:rsidRPr="00E22B27">
        <w:rPr>
          <w:rtl/>
        </w:rPr>
        <w:t> </w:t>
      </w:r>
      <w:r w:rsidRPr="00E22B27">
        <w:rPr>
          <w:rFonts w:hint="cs"/>
          <w:rtl/>
        </w:rPr>
        <w:t>1</w:t>
      </w:r>
      <w:r w:rsidR="00161873" w:rsidRPr="00E22B27">
        <w:rPr>
          <w:rFonts w:hint="cs"/>
          <w:rtl/>
        </w:rPr>
        <w:t xml:space="preserve"> نتيجة لمناقشات </w:t>
      </w:r>
      <w:r w:rsidR="007C2359" w:rsidRPr="00E22B27">
        <w:rPr>
          <w:rFonts w:hint="cs"/>
          <w:rtl/>
        </w:rPr>
        <w:t>الدورة التاسعة للفريق العامل</w:t>
      </w:r>
      <w:r w:rsidR="00161873" w:rsidRPr="00E22B27">
        <w:rPr>
          <w:rFonts w:hint="cs"/>
          <w:rtl/>
        </w:rPr>
        <w:t xml:space="preserve">. ومن ثم يمكن استخدام مصطلحي "تسمية المنشأ" و"البيان الجغرافي" </w:t>
      </w:r>
      <w:r w:rsidR="00F646DF" w:rsidRPr="00E22B27">
        <w:rPr>
          <w:rFonts w:hint="cs"/>
          <w:rtl/>
        </w:rPr>
        <w:t>في اتفاق لشبونة المراجَع</w:t>
      </w:r>
      <w:r w:rsidR="007C2359" w:rsidRPr="00E22B27">
        <w:rPr>
          <w:rFonts w:hint="cs"/>
          <w:rtl/>
        </w:rPr>
        <w:t xml:space="preserve"> دون الإخلال بسبل</w:t>
      </w:r>
      <w:r w:rsidR="00F646DF" w:rsidRPr="00E22B27">
        <w:rPr>
          <w:rFonts w:hint="cs"/>
          <w:rtl/>
        </w:rPr>
        <w:t xml:space="preserve"> تناول التشريعات الوطنية </w:t>
      </w:r>
      <w:r w:rsidR="00450110" w:rsidRPr="00E22B27">
        <w:rPr>
          <w:rFonts w:hint="cs"/>
          <w:rtl/>
        </w:rPr>
        <w:t>أو</w:t>
      </w:r>
      <w:r w:rsidR="00450110" w:rsidRPr="00E22B27">
        <w:rPr>
          <w:rtl/>
        </w:rPr>
        <w:t> </w:t>
      </w:r>
      <w:r w:rsidR="00F646DF" w:rsidRPr="00E22B27">
        <w:rPr>
          <w:rFonts w:hint="cs"/>
          <w:rtl/>
        </w:rPr>
        <w:t>الإقليمية في طرف متعاقد للموضوع المعرَّف في</w:t>
      </w:r>
      <w:r w:rsidR="007C2359" w:rsidRPr="00E22B27">
        <w:rPr>
          <w:rFonts w:hint="cs"/>
          <w:rtl/>
        </w:rPr>
        <w:t xml:space="preserve"> </w:t>
      </w:r>
      <w:r w:rsidR="00450110" w:rsidRPr="00E22B27">
        <w:rPr>
          <w:rFonts w:hint="cs"/>
          <w:rtl/>
        </w:rPr>
        <w:t>المادة</w:t>
      </w:r>
      <w:r w:rsidR="00450110" w:rsidRPr="00E22B27">
        <w:rPr>
          <w:rtl/>
        </w:rPr>
        <w:t> </w:t>
      </w:r>
      <w:r w:rsidRPr="00E22B27">
        <w:rPr>
          <w:rFonts w:hint="cs"/>
          <w:rtl/>
        </w:rPr>
        <w:t>2.</w:t>
      </w:r>
      <w:r w:rsidR="00F646DF" w:rsidRPr="00E22B27">
        <w:rPr>
          <w:rFonts w:hint="cs"/>
          <w:rtl/>
        </w:rPr>
        <w:t xml:space="preserve"> إذ </w:t>
      </w:r>
      <w:r w:rsidR="002D7990">
        <w:rPr>
          <w:rFonts w:hint="cs"/>
          <w:rtl/>
        </w:rPr>
        <w:t>لن</w:t>
      </w:r>
      <w:r w:rsidR="00F646DF" w:rsidRPr="00E22B27">
        <w:rPr>
          <w:rFonts w:hint="cs"/>
          <w:rtl/>
        </w:rPr>
        <w:t xml:space="preserve"> </w:t>
      </w:r>
      <w:r w:rsidR="002D7990">
        <w:rPr>
          <w:rFonts w:hint="cs"/>
          <w:rtl/>
        </w:rPr>
        <w:t xml:space="preserve">يلزم </w:t>
      </w:r>
      <w:r w:rsidR="00F646DF" w:rsidRPr="00E22B27">
        <w:rPr>
          <w:rFonts w:hint="cs"/>
          <w:rtl/>
        </w:rPr>
        <w:t>اتفاق لشبونة المراجَع الأطراف المتعاقدة باستخدام المصطلحات ذاتها ولن يقتضي منه</w:t>
      </w:r>
      <w:r w:rsidR="007C2359" w:rsidRPr="00E22B27">
        <w:rPr>
          <w:rFonts w:hint="cs"/>
          <w:rtl/>
        </w:rPr>
        <w:t>ا</w:t>
      </w:r>
      <w:r w:rsidR="00F646DF" w:rsidRPr="00E22B27">
        <w:rPr>
          <w:rFonts w:hint="cs"/>
          <w:rtl/>
        </w:rPr>
        <w:t xml:space="preserve"> تعريف الموضوع على النحو المنصوص عليه في اتفاق لشبونة المراجَع. وكان نهج مماثل قد اتُّبع في المؤتمر الدبلوماسي الذي اعتمد اتفاق لشبونة في</w:t>
      </w:r>
      <w:r w:rsidR="007C2359" w:rsidRPr="00E22B27">
        <w:rPr>
          <w:rFonts w:hint="cs"/>
          <w:rtl/>
        </w:rPr>
        <w:t xml:space="preserve"> عام</w:t>
      </w:r>
      <w:r w:rsidR="007C2359" w:rsidRPr="00E22B27">
        <w:rPr>
          <w:rtl/>
        </w:rPr>
        <w:t> </w:t>
      </w:r>
      <w:r w:rsidRPr="00E22B27">
        <w:rPr>
          <w:rFonts w:hint="cs"/>
          <w:rtl/>
        </w:rPr>
        <w:t>1958.</w:t>
      </w:r>
      <w:r w:rsidR="00F646DF" w:rsidRPr="00E22B27">
        <w:rPr>
          <w:rFonts w:hint="cs"/>
          <w:rtl/>
        </w:rPr>
        <w:t xml:space="preserve"> وتجدر الإشارة في هذا الصدد إلى الصفحة </w:t>
      </w:r>
      <w:r w:rsidRPr="00E22B27">
        <w:rPr>
          <w:rFonts w:hint="cs"/>
          <w:rtl/>
        </w:rPr>
        <w:t>859</w:t>
      </w:r>
      <w:r w:rsidR="00F646DF" w:rsidRPr="00E22B27">
        <w:rPr>
          <w:rFonts w:hint="cs"/>
          <w:rtl/>
        </w:rPr>
        <w:t xml:space="preserve"> من وثائق اتفاق لشبونة (ترجمة غير رس</w:t>
      </w:r>
      <w:r w:rsidR="00E777F1" w:rsidRPr="00E22B27">
        <w:rPr>
          <w:rFonts w:hint="cs"/>
          <w:rtl/>
        </w:rPr>
        <w:t>مية للنص الفرنسي الرسمي) التي تنص</w:t>
      </w:r>
      <w:r w:rsidR="00F646DF" w:rsidRPr="00E22B27">
        <w:rPr>
          <w:rFonts w:hint="cs"/>
          <w:rtl/>
        </w:rPr>
        <w:t xml:space="preserve"> على ما يلي: "</w:t>
      </w:r>
      <w:r w:rsidR="00097FA0" w:rsidRPr="00E22B27">
        <w:rPr>
          <w:rFonts w:hint="cs"/>
          <w:rtl/>
        </w:rPr>
        <w:t xml:space="preserve">إن إدراج تعريف لتسميات المنشأ في الاتفاق ذاته سيتيح الاستناد إلى </w:t>
      </w:r>
      <w:r w:rsidR="00E777F1" w:rsidRPr="00E22B27">
        <w:rPr>
          <w:rFonts w:hint="cs"/>
          <w:rtl/>
        </w:rPr>
        <w:t xml:space="preserve">ذلك التعريف لأغراض التسجيل دون الإخلال بأي تعريف وطني سواء أكان أوسع أم أدق نطاقاً". ومن هذا المنطلق، لن يُطلب من الأطراف المتعاقدة التمييز بين تسميات المنشأ والبيانات الجغرافية في قوانينها الوطنية </w:t>
      </w:r>
      <w:r w:rsidR="00450110" w:rsidRPr="00E22B27">
        <w:rPr>
          <w:rFonts w:hint="cs"/>
          <w:rtl/>
        </w:rPr>
        <w:t>أو</w:t>
      </w:r>
      <w:r w:rsidR="00450110" w:rsidRPr="00E22B27">
        <w:rPr>
          <w:rtl/>
        </w:rPr>
        <w:t> </w:t>
      </w:r>
      <w:r w:rsidR="00E777F1" w:rsidRPr="00E22B27">
        <w:rPr>
          <w:rFonts w:hint="cs"/>
          <w:rtl/>
        </w:rPr>
        <w:t>الإقليمية. ولكن الأطراف المتعاقدة التي لا تطبق هذا التمييز وإنما توفر الحماية على أساس تعريف أوسع يطابق تعريف البيان الجغرافي الوارد في</w:t>
      </w:r>
      <w:r w:rsidR="007C2359" w:rsidRPr="00E22B27">
        <w:rPr>
          <w:rFonts w:hint="cs"/>
          <w:rtl/>
        </w:rPr>
        <w:t xml:space="preserve"> </w:t>
      </w:r>
      <w:r w:rsidR="00450110" w:rsidRPr="00E22B27">
        <w:rPr>
          <w:rFonts w:hint="cs"/>
          <w:rtl/>
        </w:rPr>
        <w:t>المادة</w:t>
      </w:r>
      <w:r w:rsidR="00450110" w:rsidRPr="00E22B27">
        <w:rPr>
          <w:rtl/>
        </w:rPr>
        <w:t> </w:t>
      </w:r>
      <w:r w:rsidRPr="00E22B27">
        <w:rPr>
          <w:rFonts w:hint="cs"/>
          <w:rtl/>
        </w:rPr>
        <w:t>2</w:t>
      </w:r>
      <w:r w:rsidR="00E777F1" w:rsidRPr="00E22B27">
        <w:rPr>
          <w:rFonts w:hint="cs"/>
          <w:rtl/>
        </w:rPr>
        <w:t xml:space="preserve"> ستكون ملزمة بمنح الحماية ذاتها لتسميات المنشأ.</w:t>
      </w:r>
    </w:p>
    <w:p w:rsidR="00E777F1" w:rsidRPr="00E22B27" w:rsidRDefault="003C1838" w:rsidP="009422A7">
      <w:pPr>
        <w:pStyle w:val="NormalParaAR"/>
      </w:pPr>
      <w:r w:rsidRPr="00E22B27">
        <w:rPr>
          <w:rtl/>
        </w:rPr>
        <w:t>3.1</w:t>
      </w:r>
      <w:r w:rsidRPr="00E22B27">
        <w:tab/>
      </w:r>
      <w:r w:rsidR="00FE05E3" w:rsidRPr="00E22B27">
        <w:rPr>
          <w:rFonts w:hint="cs"/>
          <w:rtl/>
        </w:rPr>
        <w:t xml:space="preserve">يخص </w:t>
      </w:r>
      <w:r w:rsidR="00450110" w:rsidRPr="00E22B27">
        <w:rPr>
          <w:rFonts w:hint="cs"/>
          <w:rtl/>
        </w:rPr>
        <w:t>البند</w:t>
      </w:r>
      <w:r w:rsidR="00450110" w:rsidRPr="00E22B27">
        <w:rPr>
          <w:rtl/>
        </w:rPr>
        <w:t> </w:t>
      </w:r>
      <w:r w:rsidR="00FE05E3" w:rsidRPr="00E22B27">
        <w:rPr>
          <w:rFonts w:hint="cs"/>
          <w:rtl/>
        </w:rPr>
        <w:t>"</w:t>
      </w:r>
      <w:r w:rsidRPr="00E22B27">
        <w:rPr>
          <w:rFonts w:hint="cs"/>
          <w:rtl/>
        </w:rPr>
        <w:t>12</w:t>
      </w:r>
      <w:r w:rsidR="00FE05E3" w:rsidRPr="00E22B27">
        <w:rPr>
          <w:rFonts w:hint="cs"/>
          <w:rtl/>
        </w:rPr>
        <w:t xml:space="preserve">" المنطقة الجغرافية التي ينبغي أن تنشأ فيها السلعة </w:t>
      </w:r>
      <w:r w:rsidR="00450110" w:rsidRPr="00E22B27">
        <w:rPr>
          <w:rFonts w:hint="cs"/>
          <w:rtl/>
        </w:rPr>
        <w:t>أو</w:t>
      </w:r>
      <w:r w:rsidR="00450110" w:rsidRPr="00E22B27">
        <w:rPr>
          <w:rtl/>
        </w:rPr>
        <w:t> </w:t>
      </w:r>
      <w:r w:rsidR="00FE05E3" w:rsidRPr="00E22B27">
        <w:rPr>
          <w:rFonts w:hint="cs"/>
          <w:rtl/>
        </w:rPr>
        <w:t xml:space="preserve">السلع التي </w:t>
      </w:r>
      <w:r w:rsidR="00B22A27" w:rsidRPr="00E22B27">
        <w:rPr>
          <w:rFonts w:hint="cs"/>
          <w:rtl/>
        </w:rPr>
        <w:t>تُطلق عليها</w:t>
      </w:r>
      <w:r w:rsidR="00FE05E3" w:rsidRPr="00E22B27">
        <w:rPr>
          <w:rFonts w:hint="cs"/>
          <w:rtl/>
        </w:rPr>
        <w:t xml:space="preserve"> تسمية المنشأ </w:t>
      </w:r>
      <w:r w:rsidR="00450110" w:rsidRPr="00E22B27">
        <w:rPr>
          <w:rFonts w:hint="cs"/>
          <w:rtl/>
        </w:rPr>
        <w:t>أو</w:t>
      </w:r>
      <w:r w:rsidR="00450110" w:rsidRPr="00E22B27">
        <w:rPr>
          <w:rtl/>
        </w:rPr>
        <w:t> </w:t>
      </w:r>
      <w:r w:rsidR="00FE05E3" w:rsidRPr="00E22B27">
        <w:rPr>
          <w:rFonts w:hint="cs"/>
          <w:rtl/>
        </w:rPr>
        <w:t>يحددها البيان الجغرافي وفقاً للمادة </w:t>
      </w:r>
      <w:r w:rsidRPr="00E22B27">
        <w:rPr>
          <w:rFonts w:hint="cs"/>
          <w:rtl/>
        </w:rPr>
        <w:t>2.</w:t>
      </w:r>
    </w:p>
    <w:p w:rsidR="00FE05E3" w:rsidRPr="00E22B27" w:rsidRDefault="003C1838" w:rsidP="009422A7">
      <w:pPr>
        <w:pStyle w:val="NormalParaAR"/>
      </w:pPr>
      <w:r w:rsidRPr="00E22B27">
        <w:rPr>
          <w:rtl/>
        </w:rPr>
        <w:t>4.1</w:t>
      </w:r>
      <w:r w:rsidRPr="00E22B27">
        <w:tab/>
      </w:r>
      <w:r w:rsidR="00450110" w:rsidRPr="00E22B27">
        <w:rPr>
          <w:rFonts w:hint="cs"/>
          <w:rtl/>
        </w:rPr>
        <w:t>البند</w:t>
      </w:r>
      <w:r w:rsidR="00450110" w:rsidRPr="00E22B27">
        <w:rPr>
          <w:rtl/>
        </w:rPr>
        <w:t> </w:t>
      </w:r>
      <w:r w:rsidR="00FE05E3" w:rsidRPr="00E22B27">
        <w:rPr>
          <w:rFonts w:hint="cs"/>
          <w:rtl/>
        </w:rPr>
        <w:t>"</w:t>
      </w:r>
      <w:r w:rsidRPr="00E22B27">
        <w:rPr>
          <w:rFonts w:hint="cs"/>
          <w:rtl/>
        </w:rPr>
        <w:t>13</w:t>
      </w:r>
      <w:r w:rsidR="00FE05E3" w:rsidRPr="00E22B27">
        <w:rPr>
          <w:rFonts w:hint="cs"/>
          <w:rtl/>
        </w:rPr>
        <w:t xml:space="preserve">": يخص سلعة من منطقة منشأ جغرافية تقع في أراضي أكثر من طرف متعاقد </w:t>
      </w:r>
      <w:r w:rsidR="00450110" w:rsidRPr="00E22B27">
        <w:rPr>
          <w:rFonts w:hint="cs"/>
          <w:rtl/>
        </w:rPr>
        <w:t>أو</w:t>
      </w:r>
      <w:r w:rsidR="00450110" w:rsidRPr="00E22B27">
        <w:rPr>
          <w:rtl/>
        </w:rPr>
        <w:t> </w:t>
      </w:r>
      <w:r w:rsidR="00FE05E3" w:rsidRPr="00E22B27">
        <w:rPr>
          <w:rFonts w:hint="cs"/>
          <w:rtl/>
        </w:rPr>
        <w:t>تشملها، ويُشار هنا إلى الجملة الثانية من</w:t>
      </w:r>
      <w:r w:rsidR="007C2359" w:rsidRPr="00E22B27">
        <w:rPr>
          <w:rFonts w:hint="cs"/>
          <w:rtl/>
        </w:rPr>
        <w:t xml:space="preserve"> </w:t>
      </w:r>
      <w:r w:rsidR="00450110" w:rsidRPr="00E22B27">
        <w:rPr>
          <w:rFonts w:hint="cs"/>
          <w:rtl/>
        </w:rPr>
        <w:t>المادة</w:t>
      </w:r>
      <w:r w:rsidR="00450110" w:rsidRPr="00E22B27">
        <w:rPr>
          <w:rtl/>
        </w:rPr>
        <w:t> </w:t>
      </w:r>
      <w:r w:rsidRPr="00E22B27">
        <w:rPr>
          <w:rFonts w:hint="cs"/>
          <w:rtl/>
        </w:rPr>
        <w:t>2</w:t>
      </w:r>
      <w:r w:rsidR="00FE05E3" w:rsidRPr="00E22B27">
        <w:rPr>
          <w:rFonts w:hint="cs"/>
          <w:rtl/>
        </w:rPr>
        <w:t>(</w:t>
      </w:r>
      <w:r w:rsidRPr="00E22B27">
        <w:rPr>
          <w:rFonts w:hint="cs"/>
          <w:rtl/>
        </w:rPr>
        <w:t>2</w:t>
      </w:r>
      <w:r w:rsidR="00FE05E3" w:rsidRPr="00E22B27">
        <w:rPr>
          <w:rFonts w:hint="cs"/>
          <w:rtl/>
        </w:rPr>
        <w:t>).</w:t>
      </w:r>
    </w:p>
    <w:p w:rsidR="00FE05E3" w:rsidRPr="00E22B27" w:rsidRDefault="003C1838" w:rsidP="009422A7">
      <w:pPr>
        <w:pStyle w:val="NormalParaAR"/>
      </w:pPr>
      <w:r w:rsidRPr="00E22B27">
        <w:rPr>
          <w:rtl/>
        </w:rPr>
        <w:t>5.1</w:t>
      </w:r>
      <w:r w:rsidRPr="00E22B27">
        <w:tab/>
      </w:r>
      <w:r w:rsidR="00FE05E3" w:rsidRPr="00E22B27">
        <w:rPr>
          <w:rFonts w:hint="cs"/>
          <w:rtl/>
        </w:rPr>
        <w:t>يعر</w:t>
      </w:r>
      <w:r w:rsidR="00B22A27" w:rsidRPr="00E22B27">
        <w:rPr>
          <w:rFonts w:hint="cs"/>
          <w:rtl/>
        </w:rPr>
        <w:t>ِّ</w:t>
      </w:r>
      <w:r w:rsidR="00FE05E3" w:rsidRPr="00E22B27">
        <w:rPr>
          <w:rFonts w:hint="cs"/>
          <w:rtl/>
        </w:rPr>
        <w:t xml:space="preserve">ف </w:t>
      </w:r>
      <w:r w:rsidR="00450110" w:rsidRPr="00E22B27">
        <w:rPr>
          <w:rFonts w:hint="cs"/>
          <w:rtl/>
        </w:rPr>
        <w:t>البند</w:t>
      </w:r>
      <w:r w:rsidR="00450110" w:rsidRPr="00E22B27">
        <w:rPr>
          <w:rtl/>
        </w:rPr>
        <w:t> </w:t>
      </w:r>
      <w:r w:rsidR="00FE05E3" w:rsidRPr="00E22B27">
        <w:rPr>
          <w:rFonts w:hint="cs"/>
          <w:rtl/>
        </w:rPr>
        <w:t>"</w:t>
      </w:r>
      <w:r w:rsidRPr="00E22B27">
        <w:rPr>
          <w:rFonts w:hint="cs"/>
          <w:rtl/>
        </w:rPr>
        <w:t>14</w:t>
      </w:r>
      <w:r w:rsidR="00FE05E3" w:rsidRPr="00E22B27">
        <w:rPr>
          <w:rFonts w:hint="cs"/>
          <w:rtl/>
        </w:rPr>
        <w:t xml:space="preserve">" عبارة "الطرف المتعاقد" المستخدمة عوضاً عن </w:t>
      </w:r>
      <w:r w:rsidR="009F2F7C" w:rsidRPr="00E22B27">
        <w:rPr>
          <w:rFonts w:hint="cs"/>
          <w:rtl/>
        </w:rPr>
        <w:t>كلمة</w:t>
      </w:r>
      <w:r w:rsidR="00FE05E3" w:rsidRPr="00E22B27">
        <w:rPr>
          <w:rFonts w:hint="cs"/>
          <w:rtl/>
        </w:rPr>
        <w:t xml:space="preserve"> "البلدان" في اتفاق لشبونة و</w:t>
      </w:r>
      <w:r w:rsidR="00CD0D5E" w:rsidRPr="00E22B27">
        <w:rPr>
          <w:rFonts w:hint="cs"/>
          <w:rtl/>
        </w:rPr>
        <w:t>وثيقة</w:t>
      </w:r>
      <w:r w:rsidR="00CD0D5E" w:rsidRPr="00E22B27">
        <w:rPr>
          <w:rtl/>
        </w:rPr>
        <w:t> </w:t>
      </w:r>
      <w:r w:rsidRPr="00E22B27">
        <w:rPr>
          <w:rFonts w:hint="cs"/>
          <w:rtl/>
        </w:rPr>
        <w:t>1967</w:t>
      </w:r>
      <w:r w:rsidR="00FE05E3" w:rsidRPr="00E22B27">
        <w:rPr>
          <w:rFonts w:hint="cs"/>
          <w:rtl/>
        </w:rPr>
        <w:t xml:space="preserve"> نظراً إلى أن اتفاق لشبونة المراجَع يرمي إلى أن يكون مفتوحاً لانضمام الدول والمنظمات الحكومية الدولية.</w:t>
      </w:r>
    </w:p>
    <w:p w:rsidR="00FE05E3" w:rsidRPr="00E22B27" w:rsidRDefault="003C1838" w:rsidP="009422A7">
      <w:pPr>
        <w:pStyle w:val="NormalParaAR"/>
      </w:pPr>
      <w:r w:rsidRPr="00E22B27">
        <w:rPr>
          <w:rtl/>
        </w:rPr>
        <w:t>6.1</w:t>
      </w:r>
      <w:r w:rsidRPr="00E22B27">
        <w:tab/>
      </w:r>
      <w:r w:rsidR="00FE05E3" w:rsidRPr="00E22B27">
        <w:rPr>
          <w:rFonts w:hint="cs"/>
          <w:rtl/>
        </w:rPr>
        <w:t>يعر</w:t>
      </w:r>
      <w:r w:rsidR="00B22A27" w:rsidRPr="00E22B27">
        <w:rPr>
          <w:rFonts w:hint="cs"/>
          <w:rtl/>
        </w:rPr>
        <w:t>ِّ</w:t>
      </w:r>
      <w:r w:rsidR="00FE05E3" w:rsidRPr="00E22B27">
        <w:rPr>
          <w:rFonts w:hint="cs"/>
          <w:rtl/>
        </w:rPr>
        <w:t xml:space="preserve">ف </w:t>
      </w:r>
      <w:r w:rsidR="00450110" w:rsidRPr="00E22B27">
        <w:rPr>
          <w:rFonts w:hint="cs"/>
          <w:rtl/>
        </w:rPr>
        <w:t>البند</w:t>
      </w:r>
      <w:r w:rsidR="00450110" w:rsidRPr="00E22B27">
        <w:rPr>
          <w:rtl/>
        </w:rPr>
        <w:t> </w:t>
      </w:r>
      <w:r w:rsidR="00FE05E3" w:rsidRPr="00E22B27">
        <w:rPr>
          <w:rFonts w:hint="cs"/>
          <w:rtl/>
        </w:rPr>
        <w:t>"</w:t>
      </w:r>
      <w:r w:rsidRPr="00E22B27">
        <w:rPr>
          <w:rFonts w:hint="cs"/>
          <w:rtl/>
        </w:rPr>
        <w:t>15</w:t>
      </w:r>
      <w:r w:rsidR="00FE05E3" w:rsidRPr="00E22B27">
        <w:rPr>
          <w:rFonts w:hint="cs"/>
          <w:rtl/>
        </w:rPr>
        <w:t xml:space="preserve">" عبارة "طرف المنشأ المتعاقد". ويُستخدم مفهوم "طرف المنشأ المتعاقد" لتحديد الأطراف المؤهلة لتسجيل تسمية منشأ </w:t>
      </w:r>
      <w:r w:rsidR="00450110" w:rsidRPr="00E22B27">
        <w:rPr>
          <w:rFonts w:hint="cs"/>
          <w:rtl/>
        </w:rPr>
        <w:t>أو</w:t>
      </w:r>
      <w:r w:rsidR="00450110" w:rsidRPr="00E22B27">
        <w:rPr>
          <w:rtl/>
        </w:rPr>
        <w:t> </w:t>
      </w:r>
      <w:r w:rsidR="00FE05E3" w:rsidRPr="00E22B27">
        <w:rPr>
          <w:rFonts w:hint="cs"/>
          <w:rtl/>
        </w:rPr>
        <w:t>بيان جغرافي بعينه. والعوا</w:t>
      </w:r>
      <w:r w:rsidR="009F2F7C" w:rsidRPr="00E22B27">
        <w:rPr>
          <w:rFonts w:hint="cs"/>
          <w:rtl/>
        </w:rPr>
        <w:t>مل المحددة في هذا الصدد هي: "</w:t>
      </w:r>
      <w:r w:rsidRPr="00E22B27">
        <w:rPr>
          <w:rFonts w:hint="cs"/>
          <w:rtl/>
        </w:rPr>
        <w:t>1</w:t>
      </w:r>
      <w:r w:rsidR="009F2F7C" w:rsidRPr="00E22B27">
        <w:rPr>
          <w:rFonts w:hint="cs"/>
          <w:rtl/>
        </w:rPr>
        <w:t>"</w:t>
      </w:r>
      <w:r w:rsidR="009F2F7C" w:rsidRPr="00E22B27">
        <w:rPr>
          <w:rFonts w:hint="eastAsia"/>
          <w:rtl/>
        </w:rPr>
        <w:t> منطقة المنشأ الجغرافية للسلعة؛ "</w:t>
      </w:r>
      <w:r w:rsidRPr="00E22B27">
        <w:rPr>
          <w:rFonts w:hint="eastAsia"/>
          <w:rtl/>
        </w:rPr>
        <w:t>2</w:t>
      </w:r>
      <w:r w:rsidR="009F2F7C" w:rsidRPr="00E22B27">
        <w:rPr>
          <w:rFonts w:hint="eastAsia"/>
          <w:rtl/>
        </w:rPr>
        <w:t xml:space="preserve">" والتشريع الذي يكفل الحماية لتسمية المنشأ </w:t>
      </w:r>
      <w:r w:rsidR="00450110" w:rsidRPr="00E22B27">
        <w:rPr>
          <w:rFonts w:hint="eastAsia"/>
          <w:rtl/>
        </w:rPr>
        <w:t>أو</w:t>
      </w:r>
      <w:r w:rsidR="00450110" w:rsidRPr="00E22B27">
        <w:rPr>
          <w:rtl/>
        </w:rPr>
        <w:t> </w:t>
      </w:r>
      <w:r w:rsidR="009F2F7C" w:rsidRPr="00E22B27">
        <w:rPr>
          <w:rFonts w:hint="cs"/>
          <w:rtl/>
        </w:rPr>
        <w:t xml:space="preserve">البيان الجغرافي في أراضي الطرف المتعاقد التي تقع في أراضيه منطقة المنشأ الجغرافية </w:t>
      </w:r>
      <w:r w:rsidR="009F2F7C" w:rsidRPr="00E22B27">
        <w:rPr>
          <w:rtl/>
        </w:rPr>
        <w:t>–</w:t>
      </w:r>
      <w:r w:rsidR="009F2F7C" w:rsidRPr="00E22B27">
        <w:rPr>
          <w:rFonts w:hint="cs"/>
          <w:rtl/>
        </w:rPr>
        <w:t xml:space="preserve"> انظر</w:t>
      </w:r>
      <w:r w:rsidR="007C2359" w:rsidRPr="00E22B27">
        <w:rPr>
          <w:rFonts w:hint="cs"/>
          <w:rtl/>
        </w:rPr>
        <w:t xml:space="preserve"> </w:t>
      </w:r>
      <w:r w:rsidR="00450110" w:rsidRPr="00E22B27">
        <w:rPr>
          <w:rFonts w:hint="cs"/>
          <w:rtl/>
        </w:rPr>
        <w:t>المادة</w:t>
      </w:r>
      <w:r w:rsidR="00450110" w:rsidRPr="00E22B27">
        <w:rPr>
          <w:rtl/>
        </w:rPr>
        <w:t> </w:t>
      </w:r>
      <w:r w:rsidRPr="00E22B27">
        <w:rPr>
          <w:rFonts w:hint="cs"/>
          <w:rtl/>
        </w:rPr>
        <w:t>2</w:t>
      </w:r>
      <w:r w:rsidR="009F2F7C" w:rsidRPr="00E22B27">
        <w:rPr>
          <w:rFonts w:hint="cs"/>
          <w:rtl/>
        </w:rPr>
        <w:t>(</w:t>
      </w:r>
      <w:r w:rsidRPr="00E22B27">
        <w:rPr>
          <w:rFonts w:hint="cs"/>
          <w:rtl/>
        </w:rPr>
        <w:t>1</w:t>
      </w:r>
      <w:r w:rsidR="009F2F7C" w:rsidRPr="00E22B27">
        <w:rPr>
          <w:rFonts w:hint="cs"/>
          <w:rtl/>
        </w:rPr>
        <w:t xml:space="preserve">) </w:t>
      </w:r>
      <w:r w:rsidR="009F2F7C" w:rsidRPr="00E22B27">
        <w:rPr>
          <w:rtl/>
        </w:rPr>
        <w:t>–</w:t>
      </w:r>
      <w:r w:rsidR="009F2F7C" w:rsidRPr="00E22B27">
        <w:rPr>
          <w:rFonts w:hint="cs"/>
          <w:rtl/>
        </w:rPr>
        <w:t xml:space="preserve"> والذي يعد كذلك عاملاً هاماً في تحديد الطرف المتعاقد الذي سيُعتبر طرف المنشأ المتعاقد في حالة كان الطرف المتعاقد دولة عضواً في منظمة حكومية دولية.</w:t>
      </w:r>
    </w:p>
    <w:p w:rsidR="009F2F7C" w:rsidRPr="00E22B27" w:rsidRDefault="003C1838" w:rsidP="009422A7">
      <w:pPr>
        <w:pStyle w:val="NormalParaAR"/>
      </w:pPr>
      <w:r w:rsidRPr="00E22B27">
        <w:rPr>
          <w:rtl/>
        </w:rPr>
        <w:lastRenderedPageBreak/>
        <w:t>7.1</w:t>
      </w:r>
      <w:r w:rsidRPr="00E22B27">
        <w:tab/>
      </w:r>
      <w:r w:rsidR="00450110" w:rsidRPr="00E22B27">
        <w:rPr>
          <w:rFonts w:hint="cs"/>
          <w:rtl/>
        </w:rPr>
        <w:t>البند</w:t>
      </w:r>
      <w:r w:rsidR="00450110" w:rsidRPr="00E22B27">
        <w:rPr>
          <w:rtl/>
        </w:rPr>
        <w:t> </w:t>
      </w:r>
      <w:r w:rsidR="009F2F7C" w:rsidRPr="00E22B27">
        <w:rPr>
          <w:rFonts w:hint="cs"/>
          <w:rtl/>
        </w:rPr>
        <w:t>"</w:t>
      </w:r>
      <w:r w:rsidRPr="00E22B27">
        <w:rPr>
          <w:rFonts w:hint="cs"/>
          <w:rtl/>
        </w:rPr>
        <w:t>16</w:t>
      </w:r>
      <w:r w:rsidR="009F2F7C" w:rsidRPr="00E22B27">
        <w:rPr>
          <w:rFonts w:hint="cs"/>
          <w:rtl/>
        </w:rPr>
        <w:t xml:space="preserve">": تنطبق عبارة "الإدارة المختصة" أيضاً على الإدارة التي يعينها بالاشتراك طرفان متعاقدان </w:t>
      </w:r>
      <w:r w:rsidR="00450110" w:rsidRPr="00E22B27">
        <w:rPr>
          <w:rFonts w:hint="cs"/>
          <w:rtl/>
        </w:rPr>
        <w:t>أو</w:t>
      </w:r>
      <w:r w:rsidR="00450110" w:rsidRPr="00E22B27">
        <w:rPr>
          <w:rtl/>
        </w:rPr>
        <w:t> </w:t>
      </w:r>
      <w:r w:rsidR="009F2F7C" w:rsidRPr="00E22B27">
        <w:rPr>
          <w:rFonts w:hint="cs"/>
          <w:rtl/>
        </w:rPr>
        <w:t xml:space="preserve">أكثر يقع في أراضيها جزء من منطقة منشأ جغرافية </w:t>
      </w:r>
      <w:r w:rsidR="009F2F7C" w:rsidRPr="00E22B27">
        <w:rPr>
          <w:rtl/>
        </w:rPr>
        <w:t>–</w:t>
      </w:r>
      <w:r w:rsidR="009F2F7C" w:rsidRPr="00E22B27">
        <w:rPr>
          <w:rFonts w:hint="cs"/>
          <w:rtl/>
        </w:rPr>
        <w:t xml:space="preserve"> انظر</w:t>
      </w:r>
      <w:r w:rsidR="007C2359" w:rsidRPr="00E22B27">
        <w:rPr>
          <w:rFonts w:hint="cs"/>
          <w:rtl/>
        </w:rPr>
        <w:t xml:space="preserve"> </w:t>
      </w:r>
      <w:r w:rsidR="00450110" w:rsidRPr="00E22B27">
        <w:rPr>
          <w:rFonts w:hint="cs"/>
          <w:rtl/>
        </w:rPr>
        <w:t>المادة</w:t>
      </w:r>
      <w:r w:rsidR="00450110" w:rsidRPr="00E22B27">
        <w:rPr>
          <w:rtl/>
        </w:rPr>
        <w:t> </w:t>
      </w:r>
      <w:r w:rsidRPr="00E22B27">
        <w:rPr>
          <w:rFonts w:hint="cs"/>
          <w:rtl/>
        </w:rPr>
        <w:t>5</w:t>
      </w:r>
      <w:r w:rsidR="009F2F7C" w:rsidRPr="00E22B27">
        <w:rPr>
          <w:rFonts w:hint="cs"/>
          <w:rtl/>
        </w:rPr>
        <w:t>(</w:t>
      </w:r>
      <w:r w:rsidRPr="00E22B27">
        <w:rPr>
          <w:rFonts w:hint="cs"/>
          <w:rtl/>
        </w:rPr>
        <w:t>4</w:t>
      </w:r>
      <w:r w:rsidR="009F2F7C" w:rsidRPr="00E22B27">
        <w:rPr>
          <w:rFonts w:hint="cs"/>
          <w:rtl/>
        </w:rPr>
        <w:t xml:space="preserve">) </w:t>
      </w:r>
      <w:r w:rsidR="009F2F7C" w:rsidRPr="00E22B27">
        <w:rPr>
          <w:rtl/>
        </w:rPr>
        <w:t>–</w:t>
      </w:r>
      <w:r w:rsidR="003C5F9C" w:rsidRPr="00E22B27">
        <w:rPr>
          <w:rFonts w:hint="cs"/>
          <w:rtl/>
        </w:rPr>
        <w:t xml:space="preserve"> إذا رسخت</w:t>
      </w:r>
      <w:r w:rsidR="009F2F7C" w:rsidRPr="00E22B27">
        <w:rPr>
          <w:rFonts w:hint="cs"/>
          <w:rtl/>
        </w:rPr>
        <w:t xml:space="preserve"> هذه الأطراف المتعاقدة </w:t>
      </w:r>
      <w:r w:rsidR="003C5F9C" w:rsidRPr="00E22B27">
        <w:rPr>
          <w:rFonts w:hint="cs"/>
          <w:rtl/>
        </w:rPr>
        <w:t xml:space="preserve">بالاشتراك </w:t>
      </w:r>
      <w:r w:rsidR="009F2F7C" w:rsidRPr="00E22B27">
        <w:rPr>
          <w:rFonts w:hint="cs"/>
          <w:rtl/>
        </w:rPr>
        <w:t xml:space="preserve">تسمية منشأ </w:t>
      </w:r>
      <w:r w:rsidR="00450110" w:rsidRPr="00E22B27">
        <w:rPr>
          <w:rFonts w:hint="cs"/>
          <w:rtl/>
        </w:rPr>
        <w:t>أو</w:t>
      </w:r>
      <w:r w:rsidR="00450110" w:rsidRPr="00E22B27">
        <w:rPr>
          <w:rtl/>
        </w:rPr>
        <w:t> </w:t>
      </w:r>
      <w:r w:rsidR="009F2F7C" w:rsidRPr="00E22B27">
        <w:rPr>
          <w:rFonts w:hint="cs"/>
          <w:rtl/>
        </w:rPr>
        <w:t xml:space="preserve">بياناً جغرافياً </w:t>
      </w:r>
      <w:r w:rsidR="003C5F9C" w:rsidRPr="00E22B27">
        <w:rPr>
          <w:rFonts w:hint="cs"/>
          <w:rtl/>
        </w:rPr>
        <w:t>ل</w:t>
      </w:r>
      <w:r w:rsidR="009F2F7C" w:rsidRPr="00E22B27">
        <w:rPr>
          <w:rFonts w:hint="cs"/>
          <w:rtl/>
        </w:rPr>
        <w:t>سلعة نشأت في منطقة منشأ جغرافية عابرة للحدود وفقاً لما ورد في الجملة الثانية من</w:t>
      </w:r>
      <w:r w:rsidR="007C2359" w:rsidRPr="00E22B27">
        <w:rPr>
          <w:rFonts w:hint="cs"/>
          <w:rtl/>
        </w:rPr>
        <w:t xml:space="preserve"> </w:t>
      </w:r>
      <w:r w:rsidR="00450110" w:rsidRPr="00E22B27">
        <w:rPr>
          <w:rFonts w:hint="cs"/>
          <w:rtl/>
        </w:rPr>
        <w:t>المادة</w:t>
      </w:r>
      <w:r w:rsidR="00450110" w:rsidRPr="00E22B27">
        <w:rPr>
          <w:rtl/>
        </w:rPr>
        <w:t> </w:t>
      </w:r>
      <w:r w:rsidRPr="00E22B27">
        <w:rPr>
          <w:rFonts w:hint="cs"/>
          <w:rtl/>
        </w:rPr>
        <w:t>2</w:t>
      </w:r>
      <w:r w:rsidR="009F2F7C" w:rsidRPr="00E22B27">
        <w:rPr>
          <w:rFonts w:hint="cs"/>
          <w:rtl/>
        </w:rPr>
        <w:t>(</w:t>
      </w:r>
      <w:r w:rsidRPr="00E22B27">
        <w:rPr>
          <w:rFonts w:hint="cs"/>
          <w:rtl/>
        </w:rPr>
        <w:t>2</w:t>
      </w:r>
      <w:r w:rsidR="009F2F7C" w:rsidRPr="00E22B27">
        <w:rPr>
          <w:rFonts w:hint="cs"/>
          <w:rtl/>
        </w:rPr>
        <w:t>).</w:t>
      </w:r>
    </w:p>
    <w:p w:rsidR="009F2F7C" w:rsidRPr="00E22B27" w:rsidRDefault="003C1838" w:rsidP="009422A7">
      <w:pPr>
        <w:pStyle w:val="NormalParaAR"/>
      </w:pPr>
      <w:r w:rsidRPr="00E22B27">
        <w:rPr>
          <w:rtl/>
        </w:rPr>
        <w:t>8.1</w:t>
      </w:r>
      <w:r w:rsidRPr="00E22B27">
        <w:tab/>
      </w:r>
      <w:r w:rsidR="009F2F7C" w:rsidRPr="00E22B27">
        <w:rPr>
          <w:rFonts w:hint="cs"/>
          <w:rtl/>
        </w:rPr>
        <w:t xml:space="preserve">يعرف </w:t>
      </w:r>
      <w:r w:rsidR="00450110" w:rsidRPr="00E22B27">
        <w:rPr>
          <w:rFonts w:hint="cs"/>
          <w:rtl/>
        </w:rPr>
        <w:t>البند</w:t>
      </w:r>
      <w:r w:rsidR="00450110" w:rsidRPr="00E22B27">
        <w:rPr>
          <w:rtl/>
        </w:rPr>
        <w:t> </w:t>
      </w:r>
      <w:r w:rsidR="009F2F7C" w:rsidRPr="00E22B27">
        <w:rPr>
          <w:rFonts w:hint="cs"/>
          <w:rtl/>
        </w:rPr>
        <w:t>"</w:t>
      </w:r>
      <w:r w:rsidRPr="00E22B27">
        <w:rPr>
          <w:rFonts w:hint="cs"/>
          <w:rtl/>
        </w:rPr>
        <w:t>17</w:t>
      </w:r>
      <w:r w:rsidR="009F2F7C" w:rsidRPr="00E22B27">
        <w:rPr>
          <w:rFonts w:hint="cs"/>
          <w:rtl/>
        </w:rPr>
        <w:t xml:space="preserve">" كلمة "المستفيدون" رداً على الشواغل التي أُعرب عنها في الجملة الرابعة من </w:t>
      </w:r>
      <w:r w:rsidR="00450110" w:rsidRPr="00E22B27">
        <w:rPr>
          <w:rFonts w:hint="cs"/>
          <w:rtl/>
        </w:rPr>
        <w:t>الفقرة</w:t>
      </w:r>
      <w:r w:rsidR="00450110" w:rsidRPr="00E22B27">
        <w:rPr>
          <w:rtl/>
        </w:rPr>
        <w:t> </w:t>
      </w:r>
      <w:r w:rsidRPr="00E22B27">
        <w:rPr>
          <w:rFonts w:hint="cs"/>
          <w:rtl/>
        </w:rPr>
        <w:t>199</w:t>
      </w:r>
      <w:r w:rsidR="009F2F7C" w:rsidRPr="00E22B27">
        <w:rPr>
          <w:rFonts w:hint="cs"/>
          <w:rtl/>
        </w:rPr>
        <w:t xml:space="preserve"> من تقرير الدورة السادسة للفريق العامل (</w:t>
      </w:r>
      <w:r w:rsidR="009F2F7C" w:rsidRPr="00E22B27">
        <w:t>LI/WG/DEV/</w:t>
      </w:r>
      <w:r w:rsidRPr="00E22B27">
        <w:t>6</w:t>
      </w:r>
      <w:r w:rsidR="009F2F7C" w:rsidRPr="00E22B27">
        <w:t>/</w:t>
      </w:r>
      <w:r w:rsidRPr="00E22B27">
        <w:t>7</w:t>
      </w:r>
      <w:r w:rsidR="009F2F7C" w:rsidRPr="00E22B27">
        <w:rPr>
          <w:rFonts w:hint="cs"/>
          <w:rtl/>
        </w:rPr>
        <w:t>).</w:t>
      </w:r>
    </w:p>
    <w:p w:rsidR="009F2F7C" w:rsidRPr="00E22B27" w:rsidRDefault="003C1838" w:rsidP="009422A7">
      <w:pPr>
        <w:pStyle w:val="NormalParaAR"/>
      </w:pPr>
      <w:r w:rsidRPr="00E22B27">
        <w:rPr>
          <w:rtl/>
        </w:rPr>
        <w:t>9.1</w:t>
      </w:r>
      <w:r w:rsidRPr="00E22B27">
        <w:tab/>
      </w:r>
      <w:r w:rsidR="00450110" w:rsidRPr="00E22B27">
        <w:rPr>
          <w:rFonts w:hint="cs"/>
          <w:rtl/>
        </w:rPr>
        <w:t>البند</w:t>
      </w:r>
      <w:r w:rsidR="00450110" w:rsidRPr="00E22B27">
        <w:rPr>
          <w:rtl/>
        </w:rPr>
        <w:t> </w:t>
      </w:r>
      <w:r w:rsidR="009F2F7C" w:rsidRPr="00E22B27">
        <w:rPr>
          <w:rFonts w:hint="cs"/>
          <w:rtl/>
        </w:rPr>
        <w:t>"</w:t>
      </w:r>
      <w:r w:rsidRPr="00E22B27">
        <w:rPr>
          <w:rFonts w:hint="cs"/>
          <w:rtl/>
        </w:rPr>
        <w:t>18</w:t>
      </w:r>
      <w:r w:rsidR="009F2F7C" w:rsidRPr="00E22B27">
        <w:rPr>
          <w:rFonts w:hint="cs"/>
          <w:rtl/>
        </w:rPr>
        <w:t>": نظراً إلى أن اتفاق لشبونة المراجَع سيكون مفتوحاً لأنواع معينة من المنظمات الحكومية الدولية، فقد وردت معايير انضمام المنظمات الحكومية الدولية في</w:t>
      </w:r>
      <w:r w:rsidR="007C2359" w:rsidRPr="00E22B27">
        <w:rPr>
          <w:rFonts w:hint="cs"/>
          <w:rtl/>
        </w:rPr>
        <w:t xml:space="preserve"> </w:t>
      </w:r>
      <w:r w:rsidR="00450110" w:rsidRPr="00E22B27">
        <w:rPr>
          <w:rFonts w:hint="cs"/>
          <w:rtl/>
        </w:rPr>
        <w:t>المادة</w:t>
      </w:r>
      <w:r w:rsidR="00450110" w:rsidRPr="00E22B27">
        <w:rPr>
          <w:rtl/>
        </w:rPr>
        <w:t> </w:t>
      </w:r>
      <w:r w:rsidRPr="00E22B27">
        <w:rPr>
          <w:rFonts w:hint="cs"/>
          <w:rtl/>
        </w:rPr>
        <w:t>28</w:t>
      </w:r>
      <w:r w:rsidR="009F2F7C" w:rsidRPr="00E22B27">
        <w:rPr>
          <w:rFonts w:hint="cs"/>
          <w:rtl/>
        </w:rPr>
        <w:t>(</w:t>
      </w:r>
      <w:r w:rsidRPr="00E22B27">
        <w:rPr>
          <w:rFonts w:hint="cs"/>
          <w:rtl/>
        </w:rPr>
        <w:t>1</w:t>
      </w:r>
      <w:r w:rsidR="009F2F7C" w:rsidRPr="00E22B27">
        <w:rPr>
          <w:rFonts w:hint="cs"/>
          <w:rtl/>
        </w:rPr>
        <w:t>)"</w:t>
      </w:r>
      <w:r w:rsidRPr="00E22B27">
        <w:rPr>
          <w:rFonts w:hint="cs"/>
          <w:rtl/>
        </w:rPr>
        <w:t>3</w:t>
      </w:r>
      <w:r w:rsidR="009F2F7C" w:rsidRPr="00E22B27">
        <w:rPr>
          <w:rFonts w:hint="cs"/>
          <w:rtl/>
        </w:rPr>
        <w:t>".</w:t>
      </w:r>
    </w:p>
    <w:p w:rsidR="00187464" w:rsidRPr="00E22B27" w:rsidRDefault="00187464" w:rsidP="009422A7">
      <w:pPr>
        <w:pStyle w:val="Heading1AR"/>
        <w:spacing w:before="0" w:after="360" w:line="360" w:lineRule="exact"/>
        <w:rPr>
          <w:rtl/>
        </w:rPr>
      </w:pPr>
      <w:r w:rsidRPr="00E22B27">
        <w:rPr>
          <w:rtl/>
        </w:rPr>
        <w:t>ملاحظات على</w:t>
      </w:r>
      <w:r w:rsidR="007C2359" w:rsidRPr="00E22B27">
        <w:rPr>
          <w:rtl/>
        </w:rPr>
        <w:t xml:space="preserve"> </w:t>
      </w:r>
      <w:r w:rsidR="00450110" w:rsidRPr="00E22B27">
        <w:rPr>
          <w:rtl/>
        </w:rPr>
        <w:t>المادة </w:t>
      </w:r>
      <w:r w:rsidR="003C1838" w:rsidRPr="00E22B27">
        <w:rPr>
          <w:rtl/>
        </w:rPr>
        <w:t>2</w:t>
      </w:r>
      <w:r w:rsidRPr="00E22B27">
        <w:rPr>
          <w:rtl/>
        </w:rPr>
        <w:t>:</w:t>
      </w:r>
      <w:r w:rsidRPr="00E22B27">
        <w:rPr>
          <w:rtl/>
        </w:rPr>
        <w:tab/>
      </w:r>
      <w:r w:rsidRPr="00E22B27">
        <w:rPr>
          <w:rFonts w:hint="cs"/>
          <w:rtl/>
        </w:rPr>
        <w:t>الموضوع</w:t>
      </w:r>
    </w:p>
    <w:p w:rsidR="009F2F7C" w:rsidRPr="00E22B27" w:rsidRDefault="003C1838" w:rsidP="009422A7">
      <w:pPr>
        <w:pStyle w:val="NormalParaAR"/>
      </w:pPr>
      <w:r w:rsidRPr="00E22B27">
        <w:rPr>
          <w:rtl/>
        </w:rPr>
        <w:t>1.2</w:t>
      </w:r>
      <w:r w:rsidRPr="00E22B27">
        <w:tab/>
      </w:r>
      <w:r w:rsidR="009F2F7C" w:rsidRPr="00E22B27">
        <w:rPr>
          <w:rFonts w:hint="cs"/>
          <w:rtl/>
        </w:rPr>
        <w:t xml:space="preserve">إن الموضوع الذي سينطبق عليه اتفاق لشبونة المراجَع، كما ورد في مشروعه، </w:t>
      </w:r>
      <w:r w:rsidR="003C5F9C" w:rsidRPr="00E22B27">
        <w:rPr>
          <w:rFonts w:hint="cs"/>
          <w:rtl/>
        </w:rPr>
        <w:t>لا سيما</w:t>
      </w:r>
      <w:r w:rsidR="009F2F7C" w:rsidRPr="00E22B27">
        <w:rPr>
          <w:rFonts w:hint="cs"/>
          <w:rtl/>
        </w:rPr>
        <w:t xml:space="preserve"> تسميات المنشأ والبيانات الجغرافية، معر</w:t>
      </w:r>
      <w:r w:rsidR="003C5F9C" w:rsidRPr="00E22B27">
        <w:rPr>
          <w:rFonts w:hint="cs"/>
          <w:rtl/>
        </w:rPr>
        <w:t xml:space="preserve">َّف بطرق عدة في </w:t>
      </w:r>
      <w:r w:rsidR="009F2F7C" w:rsidRPr="00E22B27">
        <w:rPr>
          <w:rFonts w:hint="cs"/>
          <w:rtl/>
        </w:rPr>
        <w:t>القوانين الوطنية والإقليمية. وإضافة إلى ذلك، لا تحدد هذه القوانين جميعها الموضوع بعب</w:t>
      </w:r>
      <w:r w:rsidR="00C921A9" w:rsidRPr="00E22B27">
        <w:rPr>
          <w:rFonts w:hint="cs"/>
          <w:rtl/>
        </w:rPr>
        <w:t xml:space="preserve">ارة تسمية منشأ </w:t>
      </w:r>
      <w:r w:rsidR="00450110" w:rsidRPr="00E22B27">
        <w:rPr>
          <w:rFonts w:hint="cs"/>
          <w:rtl/>
        </w:rPr>
        <w:t>أو</w:t>
      </w:r>
      <w:r w:rsidR="00450110" w:rsidRPr="00E22B27">
        <w:rPr>
          <w:rtl/>
        </w:rPr>
        <w:t> </w:t>
      </w:r>
      <w:r w:rsidR="00C921A9" w:rsidRPr="00E22B27">
        <w:rPr>
          <w:rFonts w:hint="cs"/>
          <w:rtl/>
        </w:rPr>
        <w:t>بيان جغرافي. فتضع</w:t>
      </w:r>
      <w:r w:rsidR="007C2359" w:rsidRPr="00E22B27">
        <w:rPr>
          <w:rFonts w:hint="cs"/>
          <w:rtl/>
        </w:rPr>
        <w:t xml:space="preserve"> </w:t>
      </w:r>
      <w:r w:rsidR="00450110" w:rsidRPr="00E22B27">
        <w:rPr>
          <w:rFonts w:hint="cs"/>
          <w:rtl/>
        </w:rPr>
        <w:t>المادة</w:t>
      </w:r>
      <w:r w:rsidR="00450110" w:rsidRPr="00E22B27">
        <w:rPr>
          <w:rtl/>
        </w:rPr>
        <w:t> </w:t>
      </w:r>
      <w:r w:rsidRPr="00E22B27">
        <w:rPr>
          <w:rFonts w:hint="cs"/>
          <w:rtl/>
        </w:rPr>
        <w:t>2</w:t>
      </w:r>
      <w:r w:rsidR="00C921A9" w:rsidRPr="00E22B27">
        <w:rPr>
          <w:rFonts w:hint="cs"/>
          <w:rtl/>
        </w:rPr>
        <w:t>(</w:t>
      </w:r>
      <w:r w:rsidRPr="00E22B27">
        <w:rPr>
          <w:rFonts w:hint="cs"/>
          <w:rtl/>
        </w:rPr>
        <w:t>1</w:t>
      </w:r>
      <w:r w:rsidR="00C921A9" w:rsidRPr="00E22B27">
        <w:rPr>
          <w:rFonts w:hint="cs"/>
          <w:rtl/>
        </w:rPr>
        <w:t>)</w:t>
      </w:r>
      <w:r w:rsidR="003C5F9C" w:rsidRPr="00E22B27">
        <w:rPr>
          <w:rFonts w:hint="cs"/>
          <w:rtl/>
        </w:rPr>
        <w:t>،</w:t>
      </w:r>
      <w:r w:rsidR="00C921A9" w:rsidRPr="00E22B27">
        <w:rPr>
          <w:rFonts w:hint="cs"/>
          <w:rtl/>
        </w:rPr>
        <w:t xml:space="preserve"> لأغراض الاتفاق فقط</w:t>
      </w:r>
      <w:r w:rsidR="003C5F9C" w:rsidRPr="00E22B27">
        <w:rPr>
          <w:rFonts w:hint="cs"/>
          <w:rtl/>
        </w:rPr>
        <w:t>،</w:t>
      </w:r>
      <w:r w:rsidR="00C921A9" w:rsidRPr="00E22B27">
        <w:rPr>
          <w:rFonts w:hint="cs"/>
          <w:rtl/>
        </w:rPr>
        <w:t xml:space="preserve"> قواسم مشتركة لسندات الحماية القائمة على الصعيدين الوطني والإقليمي مع الإقرار بالاختلافات</w:t>
      </w:r>
      <w:r w:rsidR="003C5F9C" w:rsidRPr="00E22B27">
        <w:rPr>
          <w:rFonts w:hint="cs"/>
          <w:rtl/>
        </w:rPr>
        <w:t xml:space="preserve"> القائمة</w:t>
      </w:r>
      <w:r w:rsidR="00C921A9" w:rsidRPr="00E22B27">
        <w:rPr>
          <w:rFonts w:hint="cs"/>
          <w:rtl/>
        </w:rPr>
        <w:t>. ووُضعت أحكام هذه</w:t>
      </w:r>
      <w:r w:rsidR="007C2359" w:rsidRPr="00E22B27">
        <w:rPr>
          <w:rFonts w:hint="cs"/>
          <w:rtl/>
        </w:rPr>
        <w:t xml:space="preserve"> </w:t>
      </w:r>
      <w:r w:rsidR="00450110" w:rsidRPr="00E22B27">
        <w:rPr>
          <w:rFonts w:hint="cs"/>
          <w:rtl/>
        </w:rPr>
        <w:t>المادة</w:t>
      </w:r>
      <w:r w:rsidR="00450110" w:rsidRPr="00E22B27">
        <w:rPr>
          <w:rtl/>
        </w:rPr>
        <w:t> </w:t>
      </w:r>
      <w:r w:rsidR="00C921A9" w:rsidRPr="00E22B27">
        <w:rPr>
          <w:rFonts w:hint="cs"/>
          <w:rtl/>
        </w:rPr>
        <w:t>استناداً إلى التعريفات الواردة في</w:t>
      </w:r>
      <w:r w:rsidR="007C2359" w:rsidRPr="00E22B27">
        <w:rPr>
          <w:rFonts w:hint="cs"/>
          <w:rtl/>
        </w:rPr>
        <w:t xml:space="preserve"> </w:t>
      </w:r>
      <w:r w:rsidR="00450110" w:rsidRPr="00E22B27">
        <w:rPr>
          <w:rFonts w:hint="cs"/>
          <w:rtl/>
        </w:rPr>
        <w:t>المادة</w:t>
      </w:r>
      <w:r w:rsidR="00450110" w:rsidRPr="00E22B27">
        <w:rPr>
          <w:rtl/>
        </w:rPr>
        <w:t> </w:t>
      </w:r>
      <w:r w:rsidRPr="00E22B27">
        <w:rPr>
          <w:rFonts w:hint="cs"/>
          <w:rtl/>
        </w:rPr>
        <w:t>2</w:t>
      </w:r>
      <w:r w:rsidR="00C921A9" w:rsidRPr="00E22B27">
        <w:rPr>
          <w:rFonts w:hint="cs"/>
          <w:rtl/>
        </w:rPr>
        <w:t xml:space="preserve"> من اتفاق لشبونة و</w:t>
      </w:r>
      <w:r w:rsidR="00450110" w:rsidRPr="00E22B27">
        <w:rPr>
          <w:rFonts w:hint="cs"/>
          <w:rtl/>
        </w:rPr>
        <w:t>المادة</w:t>
      </w:r>
      <w:r w:rsidR="00450110" w:rsidRPr="00E22B27">
        <w:rPr>
          <w:rtl/>
        </w:rPr>
        <w:t> </w:t>
      </w:r>
      <w:r w:rsidRPr="00E22B27">
        <w:rPr>
          <w:rFonts w:hint="cs"/>
          <w:rtl/>
        </w:rPr>
        <w:t>1.22</w:t>
      </w:r>
      <w:r w:rsidR="00C921A9" w:rsidRPr="00E22B27">
        <w:rPr>
          <w:rFonts w:hint="cs"/>
          <w:rtl/>
        </w:rPr>
        <w:t xml:space="preserve"> من اتفاق تريبس. أما الشرط المسبق وهو أن تكون "محمية في طرف المنشأ المتعاقد" فيستند إلى</w:t>
      </w:r>
      <w:r w:rsidR="007C2359" w:rsidRPr="00E22B27">
        <w:rPr>
          <w:rFonts w:hint="cs"/>
          <w:rtl/>
        </w:rPr>
        <w:t xml:space="preserve"> </w:t>
      </w:r>
      <w:r w:rsidR="00450110" w:rsidRPr="00E22B27">
        <w:rPr>
          <w:rFonts w:hint="cs"/>
          <w:rtl/>
        </w:rPr>
        <w:t>المادة</w:t>
      </w:r>
      <w:r w:rsidR="00450110" w:rsidRPr="00E22B27">
        <w:rPr>
          <w:rtl/>
        </w:rPr>
        <w:t> </w:t>
      </w:r>
      <w:r w:rsidRPr="00E22B27">
        <w:rPr>
          <w:rFonts w:hint="cs"/>
          <w:rtl/>
        </w:rPr>
        <w:t>1</w:t>
      </w:r>
      <w:r w:rsidR="00C921A9" w:rsidRPr="00E22B27">
        <w:rPr>
          <w:rFonts w:hint="cs"/>
          <w:rtl/>
        </w:rPr>
        <w:t>(</w:t>
      </w:r>
      <w:r w:rsidRPr="00E22B27">
        <w:rPr>
          <w:rFonts w:hint="cs"/>
          <w:rtl/>
        </w:rPr>
        <w:t>2</w:t>
      </w:r>
      <w:r w:rsidR="00C921A9" w:rsidRPr="00E22B27">
        <w:rPr>
          <w:rFonts w:hint="cs"/>
          <w:rtl/>
        </w:rPr>
        <w:t>) من اتفاق لشبونة.</w:t>
      </w:r>
    </w:p>
    <w:p w:rsidR="00C921A9" w:rsidRPr="00E22B27" w:rsidRDefault="003C1838" w:rsidP="009422A7">
      <w:pPr>
        <w:pStyle w:val="NormalParaAR"/>
      </w:pPr>
      <w:r w:rsidRPr="00E22B27">
        <w:rPr>
          <w:rtl/>
        </w:rPr>
        <w:t>2.2</w:t>
      </w:r>
      <w:r w:rsidRPr="00E22B27">
        <w:tab/>
      </w:r>
      <w:r w:rsidR="00C921A9" w:rsidRPr="00E22B27">
        <w:rPr>
          <w:rFonts w:hint="cs"/>
          <w:rtl/>
        </w:rPr>
        <w:t>استُخدمت كلمة "سلعة" في النسخة العربية من مشروع اتفاق لشبونة المراجَع لمواءمة المصطلحات المستخدمة مع مصطلحات اتفاق تريبس.</w:t>
      </w:r>
    </w:p>
    <w:p w:rsidR="00C921A9" w:rsidRPr="00E22B27" w:rsidRDefault="003C1838" w:rsidP="009422A7">
      <w:pPr>
        <w:pStyle w:val="NormalParaAR"/>
      </w:pPr>
      <w:r w:rsidRPr="00E22B27">
        <w:rPr>
          <w:rtl/>
        </w:rPr>
        <w:t>3.2</w:t>
      </w:r>
      <w:r w:rsidRPr="00E22B27">
        <w:tab/>
      </w:r>
      <w:r w:rsidR="00C921A9" w:rsidRPr="00E22B27">
        <w:rPr>
          <w:rFonts w:hint="cs"/>
          <w:rtl/>
        </w:rPr>
        <w:t>تخص عبارتا "</w:t>
      </w:r>
      <w:r w:rsidR="00450110" w:rsidRPr="00E22B27">
        <w:rPr>
          <w:rFonts w:hint="cs"/>
          <w:rtl/>
        </w:rPr>
        <w:t>أو</w:t>
      </w:r>
      <w:r w:rsidR="00450110" w:rsidRPr="00E22B27">
        <w:rPr>
          <w:rtl/>
        </w:rPr>
        <w:t> </w:t>
      </w:r>
      <w:r w:rsidR="00C921A9" w:rsidRPr="00E22B27">
        <w:rPr>
          <w:rFonts w:hint="cs"/>
          <w:rtl/>
        </w:rPr>
        <w:t>أية تسمية أخرى يُعرف أنها تشير إلى تلك المنطقة" و "</w:t>
      </w:r>
      <w:r w:rsidR="00450110" w:rsidRPr="00E22B27">
        <w:rPr>
          <w:rFonts w:hint="cs"/>
          <w:rtl/>
        </w:rPr>
        <w:t>أو</w:t>
      </w:r>
      <w:r w:rsidR="00450110" w:rsidRPr="00E22B27">
        <w:rPr>
          <w:rtl/>
        </w:rPr>
        <w:t> </w:t>
      </w:r>
      <w:r w:rsidR="00C921A9" w:rsidRPr="00E22B27">
        <w:rPr>
          <w:rFonts w:hint="cs"/>
          <w:rtl/>
        </w:rPr>
        <w:t xml:space="preserve">أي بيان آخر </w:t>
      </w:r>
      <w:r w:rsidR="00C921A9" w:rsidRPr="00E22B27">
        <w:rPr>
          <w:rtl/>
        </w:rPr>
        <w:t xml:space="preserve">يُعرف أنه </w:t>
      </w:r>
      <w:r w:rsidR="00C921A9" w:rsidRPr="00E22B27">
        <w:rPr>
          <w:rFonts w:hint="cs"/>
          <w:rtl/>
        </w:rPr>
        <w:t>ي</w:t>
      </w:r>
      <w:r w:rsidR="00C921A9" w:rsidRPr="00E22B27">
        <w:rPr>
          <w:rtl/>
        </w:rPr>
        <w:t>شير إلى تلك المنطقة</w:t>
      </w:r>
      <w:r w:rsidR="00C921A9" w:rsidRPr="00E22B27">
        <w:rPr>
          <w:rFonts w:hint="cs"/>
          <w:rtl/>
        </w:rPr>
        <w:t xml:space="preserve">" تسميات وبيانات غير جغرافية بالمعنى الحقيقي وإنما </w:t>
      </w:r>
      <w:r w:rsidR="00311082" w:rsidRPr="00E22B27">
        <w:rPr>
          <w:rFonts w:hint="cs"/>
          <w:rtl/>
        </w:rPr>
        <w:t>جغرافية مجازاً</w:t>
      </w:r>
      <w:r w:rsidR="00C921A9" w:rsidRPr="00E22B27">
        <w:rPr>
          <w:rFonts w:hint="cs"/>
          <w:rtl/>
        </w:rPr>
        <w:t>.</w:t>
      </w:r>
      <w:r w:rsidR="00311082" w:rsidRPr="00E22B27">
        <w:rPr>
          <w:rFonts w:hint="cs"/>
          <w:rtl/>
        </w:rPr>
        <w:t xml:space="preserve"> وهذا الاحتمال وارد أيضاً في إطار اتفاق لشبونة على نحو ما أكده مجلس اتحاد لشبونة في</w:t>
      </w:r>
      <w:r w:rsidR="007C2359" w:rsidRPr="00E22B27">
        <w:rPr>
          <w:rFonts w:hint="cs"/>
          <w:rtl/>
        </w:rPr>
        <w:t xml:space="preserve"> عام</w:t>
      </w:r>
      <w:r w:rsidR="007C2359" w:rsidRPr="00E22B27">
        <w:rPr>
          <w:rtl/>
        </w:rPr>
        <w:t> </w:t>
      </w:r>
      <w:r w:rsidRPr="00E22B27">
        <w:rPr>
          <w:rFonts w:hint="cs"/>
          <w:rtl/>
        </w:rPr>
        <w:t>197</w:t>
      </w:r>
      <w:r w:rsidR="00311082" w:rsidRPr="00E22B27">
        <w:rPr>
          <w:rFonts w:hint="cs"/>
          <w:rtl/>
        </w:rPr>
        <w:t xml:space="preserve">0 (انظر </w:t>
      </w:r>
      <w:r w:rsidR="00450110" w:rsidRPr="00E22B27">
        <w:rPr>
          <w:rFonts w:hint="cs"/>
          <w:rtl/>
        </w:rPr>
        <w:t>ال</w:t>
      </w:r>
      <w:r w:rsidR="00CD0D5E" w:rsidRPr="00E22B27">
        <w:rPr>
          <w:rFonts w:hint="cs"/>
          <w:rtl/>
        </w:rPr>
        <w:t>وثيقة</w:t>
      </w:r>
      <w:r w:rsidR="00CD0D5E" w:rsidRPr="00E22B27">
        <w:rPr>
          <w:rtl/>
        </w:rPr>
        <w:t> </w:t>
      </w:r>
      <w:r w:rsidR="00311082" w:rsidRPr="00E22B27">
        <w:rPr>
          <w:rFonts w:hint="cs"/>
          <w:rtl/>
        </w:rPr>
        <w:t>المعنونة "مشكلات يثيرها التطبيق العملي لاتفاق لشبونة" (</w:t>
      </w:r>
      <w:r w:rsidR="00450110" w:rsidRPr="00E22B27">
        <w:rPr>
          <w:rFonts w:hint="cs"/>
          <w:rtl/>
        </w:rPr>
        <w:t>ال</w:t>
      </w:r>
      <w:r w:rsidR="00CD0D5E" w:rsidRPr="00E22B27">
        <w:rPr>
          <w:rFonts w:hint="cs"/>
          <w:rtl/>
        </w:rPr>
        <w:t>وثيقة</w:t>
      </w:r>
      <w:r w:rsidR="00CD0D5E" w:rsidRPr="00E22B27">
        <w:rPr>
          <w:rtl/>
        </w:rPr>
        <w:t> </w:t>
      </w:r>
      <w:r w:rsidR="00311082" w:rsidRPr="00E22B27">
        <w:t>AO/V/</w:t>
      </w:r>
      <w:r w:rsidRPr="00E22B27">
        <w:t>5</w:t>
      </w:r>
      <w:r w:rsidR="00311082" w:rsidRPr="00E22B27">
        <w:rPr>
          <w:rFonts w:hint="cs"/>
          <w:rtl/>
        </w:rPr>
        <w:t xml:space="preserve"> الصادرة في يوليو</w:t>
      </w:r>
      <w:r w:rsidR="00DA6717" w:rsidRPr="00E22B27">
        <w:rPr>
          <w:rFonts w:hint="eastAsia"/>
          <w:rtl/>
        </w:rPr>
        <w:t> </w:t>
      </w:r>
      <w:r w:rsidRPr="00E22B27">
        <w:rPr>
          <w:rFonts w:hint="cs"/>
          <w:rtl/>
        </w:rPr>
        <w:t>197</w:t>
      </w:r>
      <w:r w:rsidR="00311082" w:rsidRPr="00E22B27">
        <w:rPr>
          <w:rFonts w:hint="cs"/>
          <w:rtl/>
        </w:rPr>
        <w:t>0) وتقرير الدورة الخامسة لمجلس اتحاد لشبونة (</w:t>
      </w:r>
      <w:r w:rsidR="00450110" w:rsidRPr="00E22B27">
        <w:rPr>
          <w:rFonts w:hint="cs"/>
          <w:rtl/>
        </w:rPr>
        <w:t>ال</w:t>
      </w:r>
      <w:r w:rsidR="00CD0D5E" w:rsidRPr="00E22B27">
        <w:rPr>
          <w:rFonts w:hint="cs"/>
          <w:rtl/>
        </w:rPr>
        <w:t>وثيقة</w:t>
      </w:r>
      <w:r w:rsidR="00CD0D5E" w:rsidRPr="00E22B27">
        <w:rPr>
          <w:rtl/>
        </w:rPr>
        <w:t> </w:t>
      </w:r>
      <w:r w:rsidR="00311082" w:rsidRPr="00E22B27">
        <w:t>AO/V/</w:t>
      </w:r>
      <w:r w:rsidRPr="00E22B27">
        <w:t>8</w:t>
      </w:r>
      <w:r w:rsidR="00311082" w:rsidRPr="00E22B27">
        <w:rPr>
          <w:rFonts w:hint="cs"/>
          <w:rtl/>
        </w:rPr>
        <w:t xml:space="preserve"> الصادرة في سبتمبر</w:t>
      </w:r>
      <w:r w:rsidR="00DA6717" w:rsidRPr="00E22B27">
        <w:rPr>
          <w:rFonts w:hint="eastAsia"/>
          <w:rtl/>
        </w:rPr>
        <w:t> </w:t>
      </w:r>
      <w:r w:rsidRPr="00E22B27">
        <w:rPr>
          <w:rFonts w:hint="cs"/>
          <w:rtl/>
        </w:rPr>
        <w:t>197</w:t>
      </w:r>
      <w:r w:rsidR="00311082" w:rsidRPr="00E22B27">
        <w:rPr>
          <w:rFonts w:hint="cs"/>
          <w:rtl/>
        </w:rPr>
        <w:t>0)).</w:t>
      </w:r>
    </w:p>
    <w:p w:rsidR="00311082" w:rsidRPr="00E22B27" w:rsidRDefault="003C1838" w:rsidP="00594B19">
      <w:pPr>
        <w:pStyle w:val="NormalParaAR"/>
      </w:pPr>
      <w:r w:rsidRPr="00E22B27">
        <w:rPr>
          <w:rtl/>
        </w:rPr>
        <w:t>4.2</w:t>
      </w:r>
      <w:r w:rsidRPr="00E22B27">
        <w:tab/>
      </w:r>
      <w:r w:rsidR="0097597A" w:rsidRPr="00E22B27">
        <w:rPr>
          <w:rFonts w:hint="cs"/>
          <w:rtl/>
        </w:rPr>
        <w:t xml:space="preserve">ثمة هامش </w:t>
      </w:r>
      <w:r w:rsidR="000B5974" w:rsidRPr="00E22B27">
        <w:rPr>
          <w:rFonts w:hint="cs"/>
          <w:rtl/>
        </w:rPr>
        <w:t xml:space="preserve">متاح في الشروط التراكمية </w:t>
      </w:r>
      <w:r w:rsidR="00BE7EEC" w:rsidRPr="00E22B27">
        <w:rPr>
          <w:rFonts w:hint="cs"/>
          <w:rtl/>
        </w:rPr>
        <w:t xml:space="preserve">وهي </w:t>
      </w:r>
      <w:r w:rsidR="0097597A" w:rsidRPr="00E22B27">
        <w:rPr>
          <w:rFonts w:hint="cs"/>
          <w:rtl/>
        </w:rPr>
        <w:t>" العوامل الطبيعية والبشرية" الواردة في تعريف تسمية المنشأ</w:t>
      </w:r>
      <w:r w:rsidR="00BE7EEC" w:rsidRPr="00E22B27">
        <w:rPr>
          <w:rFonts w:hint="cs"/>
          <w:rtl/>
        </w:rPr>
        <w:t>. إذ يجوز تحديد "البيئة الجغرافية" لمنطقة الإنتاج المشار إليها في</w:t>
      </w:r>
      <w:r w:rsidR="007C2359" w:rsidRPr="00E22B27">
        <w:rPr>
          <w:rFonts w:hint="cs"/>
          <w:rtl/>
        </w:rPr>
        <w:t xml:space="preserve"> </w:t>
      </w:r>
      <w:r w:rsidR="00450110" w:rsidRPr="00E22B27">
        <w:rPr>
          <w:rFonts w:hint="cs"/>
          <w:rtl/>
        </w:rPr>
        <w:t>المادة</w:t>
      </w:r>
      <w:r w:rsidR="00450110" w:rsidRPr="00E22B27">
        <w:rPr>
          <w:rtl/>
        </w:rPr>
        <w:t> </w:t>
      </w:r>
      <w:r w:rsidRPr="00E22B27">
        <w:rPr>
          <w:rFonts w:hint="cs"/>
          <w:rtl/>
        </w:rPr>
        <w:t>2</w:t>
      </w:r>
      <w:r w:rsidR="00BE7EEC" w:rsidRPr="00E22B27">
        <w:rPr>
          <w:rFonts w:hint="cs"/>
          <w:rtl/>
        </w:rPr>
        <w:t>(</w:t>
      </w:r>
      <w:r w:rsidRPr="00E22B27">
        <w:rPr>
          <w:rFonts w:hint="cs"/>
          <w:rtl/>
        </w:rPr>
        <w:t>1</w:t>
      </w:r>
      <w:r w:rsidR="00BE7EEC" w:rsidRPr="00E22B27">
        <w:rPr>
          <w:rFonts w:hint="cs"/>
          <w:rtl/>
        </w:rPr>
        <w:t>)"</w:t>
      </w:r>
      <w:r w:rsidRPr="00E22B27">
        <w:rPr>
          <w:rFonts w:hint="cs"/>
          <w:rtl/>
        </w:rPr>
        <w:t>1</w:t>
      </w:r>
      <w:r w:rsidR="00BE7EEC" w:rsidRPr="00E22B27">
        <w:rPr>
          <w:rFonts w:hint="cs"/>
          <w:rtl/>
        </w:rPr>
        <w:t xml:space="preserve">" أساساً من خلال العوامل الطبيعية </w:t>
      </w:r>
      <w:r w:rsidR="00450110" w:rsidRPr="00E22B27">
        <w:rPr>
          <w:rFonts w:hint="cs"/>
          <w:rtl/>
        </w:rPr>
        <w:t>أو</w:t>
      </w:r>
      <w:r w:rsidR="00450110" w:rsidRPr="00E22B27">
        <w:rPr>
          <w:rtl/>
        </w:rPr>
        <w:t> </w:t>
      </w:r>
      <w:r w:rsidR="00BE7EEC" w:rsidRPr="00E22B27">
        <w:rPr>
          <w:rFonts w:hint="cs"/>
          <w:rtl/>
        </w:rPr>
        <w:t xml:space="preserve">أساساً من خلال العوامل البشرية. وتجدر الإشارة في هذا الصدد إلى مناقشات الدورة الرابعة للفريق العامل حيث ذكر عدد من الوفود الحاجة إلى هذه المرونة ولاسيما وفدي إندونيسيا وإيران (جمهورية </w:t>
      </w:r>
      <w:r w:rsidR="00BE7EEC" w:rsidRPr="00E22B27">
        <w:rPr>
          <w:rtl/>
        </w:rPr>
        <w:t>–</w:t>
      </w:r>
      <w:r w:rsidR="00BE7EEC" w:rsidRPr="00E22B27">
        <w:rPr>
          <w:rFonts w:hint="cs"/>
          <w:rtl/>
        </w:rPr>
        <w:t xml:space="preserve"> الإسلامية). وإضافة إلى ذلك، دعا وفد جمهورية مولدوفا الدول الأعضاء في </w:t>
      </w:r>
      <w:r w:rsidR="00710B66" w:rsidRPr="00E22B27">
        <w:rPr>
          <w:rFonts w:hint="cs"/>
          <w:rtl/>
        </w:rPr>
        <w:t xml:space="preserve">اتفاق </w:t>
      </w:r>
      <w:r w:rsidR="00BE7EEC" w:rsidRPr="00E22B27">
        <w:rPr>
          <w:rFonts w:hint="cs"/>
          <w:rtl/>
        </w:rPr>
        <w:t>لشبونة إلى التفكير في حالة تسميات المنشأ العشرين المتعلقة بالمياه المعدنية والمسج</w:t>
      </w:r>
      <w:r w:rsidR="008A7C78" w:rsidRPr="00E22B27">
        <w:rPr>
          <w:rFonts w:hint="cs"/>
          <w:rtl/>
        </w:rPr>
        <w:t>َّ</w:t>
      </w:r>
      <w:r w:rsidR="00BE7EEC" w:rsidRPr="00E22B27">
        <w:rPr>
          <w:rFonts w:hint="cs"/>
          <w:rtl/>
        </w:rPr>
        <w:t>لة في إطار اتفاق لشبونة بغية تحديد المشاركة الفعلية للعامل البشري</w:t>
      </w:r>
      <w:r w:rsidR="008A7C78" w:rsidRPr="00E22B27">
        <w:rPr>
          <w:rFonts w:hint="cs"/>
          <w:rtl/>
        </w:rPr>
        <w:t>، بوجه خاص،</w:t>
      </w:r>
      <w:r w:rsidR="00BE7EEC" w:rsidRPr="00E22B27">
        <w:rPr>
          <w:rFonts w:hint="cs"/>
          <w:rtl/>
        </w:rPr>
        <w:t xml:space="preserve"> في هذا النوع من المنتجات</w:t>
      </w:r>
      <w:r w:rsidR="008A7C78" w:rsidRPr="00E22B27">
        <w:rPr>
          <w:rFonts w:hint="cs"/>
          <w:rtl/>
        </w:rPr>
        <w:t xml:space="preserve"> و</w:t>
      </w:r>
      <w:r w:rsidR="00BE7EEC" w:rsidRPr="00E22B27">
        <w:rPr>
          <w:rFonts w:hint="cs"/>
          <w:rtl/>
        </w:rPr>
        <w:t>أثر العامل البشري</w:t>
      </w:r>
      <w:r w:rsidR="008A7C78" w:rsidRPr="00E22B27">
        <w:rPr>
          <w:rFonts w:hint="cs"/>
          <w:rtl/>
        </w:rPr>
        <w:t>، بوجه عام،</w:t>
      </w:r>
      <w:r w:rsidR="00BE7EEC" w:rsidRPr="00E22B27">
        <w:rPr>
          <w:rFonts w:hint="cs"/>
          <w:rtl/>
        </w:rPr>
        <w:t xml:space="preserve"> في تحديد المزايا الجوهرية لأي من الموارد الطبيعية </w:t>
      </w:r>
      <w:r w:rsidR="00594B19" w:rsidRPr="00E22B27">
        <w:rPr>
          <w:rFonts w:hint="cs"/>
          <w:rtl/>
        </w:rPr>
        <w:t>كا</w:t>
      </w:r>
      <w:r w:rsidR="00BE7EEC" w:rsidRPr="00E22B27">
        <w:rPr>
          <w:rFonts w:hint="cs"/>
          <w:rtl/>
        </w:rPr>
        <w:t xml:space="preserve">لصخور والملح </w:t>
      </w:r>
      <w:r w:rsidR="00450110" w:rsidRPr="00E22B27">
        <w:rPr>
          <w:rFonts w:hint="cs"/>
          <w:rtl/>
        </w:rPr>
        <w:t>أو</w:t>
      </w:r>
      <w:r w:rsidR="00450110" w:rsidRPr="00E22B27">
        <w:rPr>
          <w:rtl/>
        </w:rPr>
        <w:t> </w:t>
      </w:r>
      <w:r w:rsidR="00BE7EEC" w:rsidRPr="00E22B27">
        <w:rPr>
          <w:rFonts w:hint="cs"/>
          <w:rtl/>
        </w:rPr>
        <w:t xml:space="preserve">أي منتج يتأثر أساساً بعوامل طبيعية (انظر بوجه خاص </w:t>
      </w:r>
      <w:r w:rsidR="00EC76B4" w:rsidRPr="00E22B27">
        <w:rPr>
          <w:rFonts w:hint="cs"/>
          <w:rtl/>
        </w:rPr>
        <w:t>الفقرات</w:t>
      </w:r>
      <w:r w:rsidR="00EC76B4" w:rsidRPr="00E22B27">
        <w:rPr>
          <w:rtl/>
        </w:rPr>
        <w:t> </w:t>
      </w:r>
      <w:r w:rsidRPr="00E22B27">
        <w:rPr>
          <w:rFonts w:hint="cs"/>
          <w:rtl/>
        </w:rPr>
        <w:t>72</w:t>
      </w:r>
      <w:r w:rsidR="00BE7EEC" w:rsidRPr="00E22B27">
        <w:rPr>
          <w:rFonts w:hint="cs"/>
          <w:rtl/>
        </w:rPr>
        <w:t xml:space="preserve"> و</w:t>
      </w:r>
      <w:r w:rsidRPr="00E22B27">
        <w:rPr>
          <w:rFonts w:hint="cs"/>
          <w:rtl/>
        </w:rPr>
        <w:t>78</w:t>
      </w:r>
      <w:r w:rsidR="00BE7EEC" w:rsidRPr="00E22B27">
        <w:rPr>
          <w:rFonts w:hint="cs"/>
          <w:rtl/>
        </w:rPr>
        <w:t xml:space="preserve"> و</w:t>
      </w:r>
      <w:r w:rsidRPr="00E22B27">
        <w:rPr>
          <w:rFonts w:hint="cs"/>
          <w:rtl/>
        </w:rPr>
        <w:t>86</w:t>
      </w:r>
      <w:r w:rsidR="00BE7EEC" w:rsidRPr="00E22B27">
        <w:rPr>
          <w:rFonts w:hint="cs"/>
          <w:rtl/>
        </w:rPr>
        <w:t xml:space="preserve"> من تقرير الدورة الرابعة للفريق العامل (</w:t>
      </w:r>
      <w:r w:rsidR="00450110" w:rsidRPr="00E22B27">
        <w:rPr>
          <w:rFonts w:hint="cs"/>
          <w:rtl/>
        </w:rPr>
        <w:t>ال</w:t>
      </w:r>
      <w:r w:rsidR="00CD0D5E" w:rsidRPr="00E22B27">
        <w:rPr>
          <w:rFonts w:hint="cs"/>
          <w:rtl/>
        </w:rPr>
        <w:t>وثيقة</w:t>
      </w:r>
      <w:r w:rsidR="00CD0D5E" w:rsidRPr="00E22B27">
        <w:rPr>
          <w:rtl/>
        </w:rPr>
        <w:t> </w:t>
      </w:r>
      <w:r w:rsidR="00BE7EEC" w:rsidRPr="00E22B27">
        <w:t>LI/WG/DEV/</w:t>
      </w:r>
      <w:r w:rsidRPr="00E22B27">
        <w:t>4</w:t>
      </w:r>
      <w:r w:rsidR="00BE7EEC" w:rsidRPr="00E22B27">
        <w:t>/</w:t>
      </w:r>
      <w:r w:rsidRPr="00E22B27">
        <w:t>7</w:t>
      </w:r>
      <w:r w:rsidR="00BE7EEC" w:rsidRPr="00E22B27">
        <w:rPr>
          <w:rFonts w:hint="cs"/>
          <w:rtl/>
        </w:rPr>
        <w:t>).</w:t>
      </w:r>
    </w:p>
    <w:p w:rsidR="00BE7EEC" w:rsidRPr="00E22B27" w:rsidRDefault="003C1838" w:rsidP="009422A7">
      <w:pPr>
        <w:pStyle w:val="NormalParaAR"/>
      </w:pPr>
      <w:r w:rsidRPr="00E22B27">
        <w:rPr>
          <w:rtl/>
        </w:rPr>
        <w:t>5.2</w:t>
      </w:r>
      <w:r w:rsidRPr="00E22B27">
        <w:tab/>
      </w:r>
      <w:r w:rsidR="00BE7EEC" w:rsidRPr="00E22B27">
        <w:rPr>
          <w:rFonts w:hint="cs"/>
          <w:rtl/>
        </w:rPr>
        <w:t>يتضمن تعريف "بلد المنشأ" الوارد في اتفاق لشبونة الحالي (</w:t>
      </w:r>
      <w:r w:rsidR="00450110" w:rsidRPr="00E22B27">
        <w:rPr>
          <w:rFonts w:hint="cs"/>
          <w:rtl/>
        </w:rPr>
        <w:t>الفقرة</w:t>
      </w:r>
      <w:r w:rsidR="00450110" w:rsidRPr="00E22B27">
        <w:rPr>
          <w:rtl/>
        </w:rPr>
        <w:t> </w:t>
      </w:r>
      <w:r w:rsidR="00BE7EEC" w:rsidRPr="00E22B27">
        <w:rPr>
          <w:rFonts w:hint="cs"/>
          <w:rtl/>
        </w:rPr>
        <w:t>(</w:t>
      </w:r>
      <w:r w:rsidRPr="00E22B27">
        <w:rPr>
          <w:rFonts w:hint="cs"/>
          <w:rtl/>
        </w:rPr>
        <w:t>2</w:t>
      </w:r>
      <w:r w:rsidR="00BE7EEC" w:rsidRPr="00E22B27">
        <w:rPr>
          <w:rFonts w:hint="cs"/>
          <w:rtl/>
        </w:rPr>
        <w:t>) من</w:t>
      </w:r>
      <w:r w:rsidR="007C2359" w:rsidRPr="00E22B27">
        <w:rPr>
          <w:rFonts w:hint="cs"/>
          <w:rtl/>
        </w:rPr>
        <w:t xml:space="preserve"> </w:t>
      </w:r>
      <w:r w:rsidR="00450110" w:rsidRPr="00E22B27">
        <w:rPr>
          <w:rFonts w:hint="cs"/>
          <w:rtl/>
        </w:rPr>
        <w:t>المادة</w:t>
      </w:r>
      <w:r w:rsidR="00450110" w:rsidRPr="00E22B27">
        <w:rPr>
          <w:rtl/>
        </w:rPr>
        <w:t> </w:t>
      </w:r>
      <w:r w:rsidRPr="00E22B27">
        <w:rPr>
          <w:rFonts w:hint="cs"/>
          <w:rtl/>
        </w:rPr>
        <w:t>2</w:t>
      </w:r>
      <w:r w:rsidR="00BE7EEC" w:rsidRPr="00E22B27">
        <w:rPr>
          <w:rFonts w:hint="cs"/>
          <w:rtl/>
        </w:rPr>
        <w:t>) شرط الشهرة. إذ إن آخر جملة من مشروع</w:t>
      </w:r>
      <w:r w:rsidR="007C2359" w:rsidRPr="00E22B27">
        <w:rPr>
          <w:rFonts w:hint="cs"/>
          <w:rtl/>
        </w:rPr>
        <w:t xml:space="preserve"> </w:t>
      </w:r>
      <w:r w:rsidR="00450110" w:rsidRPr="00E22B27">
        <w:rPr>
          <w:rFonts w:hint="cs"/>
          <w:rtl/>
        </w:rPr>
        <w:t>المادة</w:t>
      </w:r>
      <w:r w:rsidR="00450110" w:rsidRPr="00E22B27">
        <w:rPr>
          <w:rtl/>
        </w:rPr>
        <w:t> </w:t>
      </w:r>
      <w:r w:rsidRPr="00E22B27">
        <w:rPr>
          <w:rFonts w:hint="cs"/>
          <w:rtl/>
        </w:rPr>
        <w:t>2</w:t>
      </w:r>
      <w:r w:rsidR="00BE7EEC" w:rsidRPr="00E22B27">
        <w:rPr>
          <w:rFonts w:hint="cs"/>
          <w:rtl/>
        </w:rPr>
        <w:t>(</w:t>
      </w:r>
      <w:r w:rsidRPr="00E22B27">
        <w:rPr>
          <w:rFonts w:hint="cs"/>
          <w:rtl/>
        </w:rPr>
        <w:t>1</w:t>
      </w:r>
      <w:r w:rsidR="00BE7EEC" w:rsidRPr="00E22B27">
        <w:rPr>
          <w:rFonts w:hint="cs"/>
          <w:rtl/>
        </w:rPr>
        <w:t>)"</w:t>
      </w:r>
      <w:r w:rsidRPr="00E22B27">
        <w:rPr>
          <w:rFonts w:hint="cs"/>
          <w:rtl/>
        </w:rPr>
        <w:t>1</w:t>
      </w:r>
      <w:r w:rsidR="00BE7EEC" w:rsidRPr="00E22B27">
        <w:rPr>
          <w:rFonts w:hint="cs"/>
          <w:rtl/>
        </w:rPr>
        <w:t>" وهي "التي أكسبت السلعة شهرتها" تدرج هذا الشرط في تعريف تسمية المنشأ. وتحيل هذه الجملة إلى "التسمية" التي تؤلف تسمية المنشأ وفقاً للتعريف الوارد في</w:t>
      </w:r>
      <w:r w:rsidR="007C2359" w:rsidRPr="00E22B27">
        <w:rPr>
          <w:rFonts w:hint="cs"/>
          <w:rtl/>
        </w:rPr>
        <w:t xml:space="preserve"> </w:t>
      </w:r>
      <w:r w:rsidR="00450110" w:rsidRPr="00E22B27">
        <w:rPr>
          <w:rFonts w:hint="cs"/>
          <w:rtl/>
        </w:rPr>
        <w:t>المادة</w:t>
      </w:r>
      <w:r w:rsidR="00450110" w:rsidRPr="00E22B27">
        <w:rPr>
          <w:rtl/>
        </w:rPr>
        <w:t> </w:t>
      </w:r>
      <w:r w:rsidRPr="00E22B27">
        <w:rPr>
          <w:rFonts w:hint="cs"/>
          <w:rtl/>
        </w:rPr>
        <w:t>2</w:t>
      </w:r>
      <w:r w:rsidR="00BE7EEC" w:rsidRPr="00E22B27">
        <w:rPr>
          <w:rFonts w:hint="cs"/>
          <w:rtl/>
        </w:rPr>
        <w:t>(</w:t>
      </w:r>
      <w:r w:rsidRPr="00E22B27">
        <w:rPr>
          <w:rFonts w:hint="cs"/>
          <w:rtl/>
        </w:rPr>
        <w:t>1</w:t>
      </w:r>
      <w:r w:rsidR="00BE7EEC" w:rsidRPr="00E22B27">
        <w:rPr>
          <w:rFonts w:hint="cs"/>
          <w:rtl/>
        </w:rPr>
        <w:t>)"</w:t>
      </w:r>
      <w:r w:rsidRPr="00E22B27">
        <w:rPr>
          <w:rFonts w:hint="cs"/>
          <w:rtl/>
        </w:rPr>
        <w:t>1</w:t>
      </w:r>
      <w:r w:rsidR="00BE7EEC" w:rsidRPr="00E22B27">
        <w:rPr>
          <w:rFonts w:hint="cs"/>
          <w:rtl/>
        </w:rPr>
        <w:t xml:space="preserve">". وفيما يخص الشواغل التي أعربت عنها بعض الوفود </w:t>
      </w:r>
      <w:r w:rsidR="007844EC" w:rsidRPr="00E22B27">
        <w:rPr>
          <w:rFonts w:hint="cs"/>
          <w:rtl/>
        </w:rPr>
        <w:t xml:space="preserve">بأن هذا التعبير قد يؤدي إلى إيفاد بعثات لتقصي الحقائق، وُضح خلال الدورة التاسعة للفريق العامل أن </w:t>
      </w:r>
      <w:r w:rsidR="007844EC" w:rsidRPr="00E22B27">
        <w:rPr>
          <w:rFonts w:hint="cs"/>
          <w:rtl/>
        </w:rPr>
        <w:lastRenderedPageBreak/>
        <w:t>المكتب الدولي والأطراف المتعاقدة لم توفد قط بعثات لتقصي الحقائق</w:t>
      </w:r>
      <w:r w:rsidR="00320FED" w:rsidRPr="00E22B27">
        <w:rPr>
          <w:rFonts w:hint="cs"/>
          <w:rtl/>
        </w:rPr>
        <w:t xml:space="preserve"> كهذه استناداً إلى هذا النص الم</w:t>
      </w:r>
      <w:r w:rsidR="007844EC" w:rsidRPr="00E22B27">
        <w:rPr>
          <w:rFonts w:hint="cs"/>
          <w:rtl/>
        </w:rPr>
        <w:t>طبق في إطار اتفاق لشبونة الحالي.</w:t>
      </w:r>
    </w:p>
    <w:p w:rsidR="007A5F9F" w:rsidRPr="00E22B27" w:rsidRDefault="003C1838" w:rsidP="009422A7">
      <w:pPr>
        <w:pStyle w:val="NormalParaAR"/>
      </w:pPr>
      <w:r w:rsidRPr="00E22B27">
        <w:rPr>
          <w:rtl/>
        </w:rPr>
        <w:t>6.2</w:t>
      </w:r>
      <w:r w:rsidRPr="00E22B27">
        <w:tab/>
      </w:r>
      <w:r w:rsidR="007844EC" w:rsidRPr="00E22B27">
        <w:rPr>
          <w:rFonts w:hint="cs"/>
          <w:rtl/>
        </w:rPr>
        <w:t xml:space="preserve">اقتُرح في الدورة السابعة للفريق العامل أن يُعتمد بيان تفسيري في المؤتمر الدبلوماسي الذي سيبرم فيه اتفاق لشبونة المراجَع يشير إلى أنه ينبغي اعتبار كلمتي </w:t>
      </w:r>
      <w:r w:rsidR="007844EC" w:rsidRPr="00E22B27">
        <w:rPr>
          <w:rFonts w:hint="cs"/>
          <w:i/>
          <w:iCs/>
          <w:rtl/>
        </w:rPr>
        <w:t>"</w:t>
      </w:r>
      <w:r w:rsidR="007844EC" w:rsidRPr="00E22B27">
        <w:rPr>
          <w:i/>
          <w:iCs/>
        </w:rPr>
        <w:t>notoriété</w:t>
      </w:r>
      <w:r w:rsidR="007844EC" w:rsidRPr="00E22B27">
        <w:rPr>
          <w:rFonts w:hint="cs"/>
          <w:i/>
          <w:iCs/>
          <w:rtl/>
        </w:rPr>
        <w:t>" و"</w:t>
      </w:r>
      <w:r w:rsidR="007844EC" w:rsidRPr="00E22B27">
        <w:rPr>
          <w:i/>
          <w:iCs/>
        </w:rPr>
        <w:t>r</w:t>
      </w:r>
      <w:r w:rsidR="00F57670" w:rsidRPr="00E22B27">
        <w:rPr>
          <w:i/>
          <w:iCs/>
        </w:rPr>
        <w:t>é</w:t>
      </w:r>
      <w:r w:rsidR="007844EC" w:rsidRPr="00E22B27">
        <w:rPr>
          <w:i/>
          <w:iCs/>
        </w:rPr>
        <w:t>putation</w:t>
      </w:r>
      <w:r w:rsidR="007844EC" w:rsidRPr="00E22B27">
        <w:rPr>
          <w:rFonts w:hint="cs"/>
          <w:i/>
          <w:iCs/>
          <w:rtl/>
        </w:rPr>
        <w:t>" في النسخة الفرنسية وكلمتي "</w:t>
      </w:r>
      <w:r w:rsidR="007844EC" w:rsidRPr="00E22B27">
        <w:rPr>
          <w:i/>
          <w:iCs/>
        </w:rPr>
        <w:t>notoriedad</w:t>
      </w:r>
      <w:r w:rsidR="007844EC" w:rsidRPr="00E22B27">
        <w:rPr>
          <w:rFonts w:hint="cs"/>
          <w:i/>
          <w:iCs/>
          <w:rtl/>
        </w:rPr>
        <w:t>" و"</w:t>
      </w:r>
      <w:r w:rsidR="007844EC" w:rsidRPr="00E22B27">
        <w:rPr>
          <w:i/>
          <w:iCs/>
        </w:rPr>
        <w:t>reputación</w:t>
      </w:r>
      <w:r w:rsidR="007844EC" w:rsidRPr="00E22B27">
        <w:rPr>
          <w:rFonts w:hint="cs"/>
          <w:i/>
          <w:iCs/>
          <w:rtl/>
        </w:rPr>
        <w:t>" في النسخة الإسبانية مترادفات لفظية لأغراض اتفاق لشبونة المراجَع.</w:t>
      </w:r>
    </w:p>
    <w:p w:rsidR="007844EC" w:rsidRPr="00E22B27" w:rsidRDefault="003C1838" w:rsidP="009422A7">
      <w:pPr>
        <w:pStyle w:val="NormalParaAR"/>
        <w:rPr>
          <w:rtl/>
        </w:rPr>
      </w:pPr>
      <w:r w:rsidRPr="00E22B27">
        <w:rPr>
          <w:rtl/>
        </w:rPr>
        <w:t>7.2</w:t>
      </w:r>
      <w:r w:rsidRPr="00E22B27">
        <w:rPr>
          <w:rtl/>
        </w:rPr>
        <w:tab/>
      </w:r>
      <w:r w:rsidR="007844EC" w:rsidRPr="00E22B27">
        <w:rPr>
          <w:rFonts w:hint="cs"/>
          <w:rtl/>
        </w:rPr>
        <w:t xml:space="preserve">تلبية للشواغل التي أعربت عنها عدة وفود خلال الدورة الخامسة لفريق لشبونة العامل فيما يخص النطاق الذي يغطيه مفهوم "منطقة المنشأ الجغرافية"، توضح </w:t>
      </w:r>
      <w:r w:rsidR="00450110" w:rsidRPr="00E22B27">
        <w:rPr>
          <w:rFonts w:hint="cs"/>
          <w:rtl/>
        </w:rPr>
        <w:t>الفقرة</w:t>
      </w:r>
      <w:r w:rsidR="00450110" w:rsidRPr="00E22B27">
        <w:rPr>
          <w:rtl/>
        </w:rPr>
        <w:t> </w:t>
      </w:r>
      <w:r w:rsidR="007844EC" w:rsidRPr="00E22B27">
        <w:rPr>
          <w:rFonts w:hint="cs"/>
          <w:rtl/>
        </w:rPr>
        <w:t>(</w:t>
      </w:r>
      <w:r w:rsidRPr="00E22B27">
        <w:rPr>
          <w:rFonts w:hint="cs"/>
          <w:rtl/>
        </w:rPr>
        <w:t>2</w:t>
      </w:r>
      <w:r w:rsidR="007844EC" w:rsidRPr="00E22B27">
        <w:rPr>
          <w:rFonts w:hint="cs"/>
          <w:rtl/>
        </w:rPr>
        <w:t xml:space="preserve">) أن المنطقة الجغرافية المعنية قد تتألف من أراضي الطرف المتعاقد بأكملها </w:t>
      </w:r>
      <w:r w:rsidR="00450110" w:rsidRPr="00E22B27">
        <w:rPr>
          <w:rFonts w:hint="cs"/>
          <w:rtl/>
        </w:rPr>
        <w:t>أو</w:t>
      </w:r>
      <w:r w:rsidR="00450110" w:rsidRPr="00E22B27">
        <w:rPr>
          <w:rtl/>
        </w:rPr>
        <w:t> </w:t>
      </w:r>
      <w:r w:rsidR="007844EC" w:rsidRPr="00E22B27">
        <w:rPr>
          <w:rFonts w:hint="cs"/>
          <w:rtl/>
        </w:rPr>
        <w:t>من م</w:t>
      </w:r>
      <w:r w:rsidR="008A7C78" w:rsidRPr="00E22B27">
        <w:rPr>
          <w:rFonts w:hint="cs"/>
          <w:rtl/>
        </w:rPr>
        <w:t>ن</w:t>
      </w:r>
      <w:r w:rsidR="007844EC" w:rsidRPr="00E22B27">
        <w:rPr>
          <w:rFonts w:hint="cs"/>
          <w:rtl/>
        </w:rPr>
        <w:t xml:space="preserve">طقة </w:t>
      </w:r>
      <w:r w:rsidR="00450110" w:rsidRPr="00E22B27">
        <w:rPr>
          <w:rFonts w:hint="cs"/>
          <w:rtl/>
        </w:rPr>
        <w:t>أو</w:t>
      </w:r>
      <w:r w:rsidR="00450110" w:rsidRPr="00E22B27">
        <w:rPr>
          <w:rtl/>
        </w:rPr>
        <w:t> </w:t>
      </w:r>
      <w:r w:rsidR="007844EC" w:rsidRPr="00E22B27">
        <w:rPr>
          <w:rFonts w:hint="cs"/>
          <w:rtl/>
        </w:rPr>
        <w:t xml:space="preserve">جهة </w:t>
      </w:r>
      <w:r w:rsidR="00450110" w:rsidRPr="00E22B27">
        <w:rPr>
          <w:rFonts w:hint="cs"/>
          <w:rtl/>
        </w:rPr>
        <w:t>أو</w:t>
      </w:r>
      <w:r w:rsidR="00450110" w:rsidRPr="00E22B27">
        <w:rPr>
          <w:rtl/>
        </w:rPr>
        <w:t> </w:t>
      </w:r>
      <w:r w:rsidR="007844EC" w:rsidRPr="00E22B27">
        <w:rPr>
          <w:rFonts w:hint="cs"/>
          <w:rtl/>
        </w:rPr>
        <w:t xml:space="preserve">مكان في هذه الأراضي. وإضافة إلى ذلك، تحدد الجملة الثانية من </w:t>
      </w:r>
      <w:r w:rsidR="00450110" w:rsidRPr="00E22B27">
        <w:rPr>
          <w:rFonts w:hint="cs"/>
          <w:rtl/>
        </w:rPr>
        <w:t>الفقرة</w:t>
      </w:r>
      <w:r w:rsidR="00450110" w:rsidRPr="00E22B27">
        <w:rPr>
          <w:rtl/>
        </w:rPr>
        <w:t> </w:t>
      </w:r>
      <w:r w:rsidR="007844EC" w:rsidRPr="00E22B27">
        <w:rPr>
          <w:rFonts w:hint="cs"/>
          <w:rtl/>
        </w:rPr>
        <w:t>(</w:t>
      </w:r>
      <w:r w:rsidRPr="00E22B27">
        <w:rPr>
          <w:rFonts w:hint="cs"/>
          <w:rtl/>
        </w:rPr>
        <w:t>2</w:t>
      </w:r>
      <w:r w:rsidR="007844EC" w:rsidRPr="00E22B27">
        <w:rPr>
          <w:rFonts w:hint="cs"/>
          <w:rtl/>
        </w:rPr>
        <w:t xml:space="preserve">) أن تسميات المنشأ </w:t>
      </w:r>
      <w:r w:rsidR="00450110" w:rsidRPr="00E22B27">
        <w:rPr>
          <w:rFonts w:hint="cs"/>
          <w:rtl/>
        </w:rPr>
        <w:t>أو</w:t>
      </w:r>
      <w:r w:rsidR="00450110" w:rsidRPr="00E22B27">
        <w:rPr>
          <w:rtl/>
        </w:rPr>
        <w:t> </w:t>
      </w:r>
      <w:r w:rsidR="007844EC" w:rsidRPr="00E22B27">
        <w:rPr>
          <w:rFonts w:hint="cs"/>
          <w:rtl/>
        </w:rPr>
        <w:t xml:space="preserve">البيانات الجغرافية المتعلقة بسلع نشأت في مناطق منشأ عابرة للحدود قد تخضع كذلك لتسجيلات دولية بموجب اتفاق لشبونة المراجَع دون اقتضاء ترسيخ الأطراف المتعاقدة المعنية لتسميات المنشأ </w:t>
      </w:r>
      <w:r w:rsidR="00450110" w:rsidRPr="00E22B27">
        <w:rPr>
          <w:rFonts w:hint="cs"/>
          <w:rtl/>
        </w:rPr>
        <w:t>أو</w:t>
      </w:r>
      <w:r w:rsidR="00450110" w:rsidRPr="00E22B27">
        <w:rPr>
          <w:rtl/>
        </w:rPr>
        <w:t> </w:t>
      </w:r>
      <w:r w:rsidR="007844EC" w:rsidRPr="00E22B27">
        <w:rPr>
          <w:rFonts w:hint="cs"/>
          <w:rtl/>
        </w:rPr>
        <w:t>البيانات الجغرافية هذه بصور</w:t>
      </w:r>
      <w:r w:rsidR="008A7C78" w:rsidRPr="00E22B27">
        <w:rPr>
          <w:rFonts w:hint="cs"/>
          <w:rtl/>
        </w:rPr>
        <w:t>ة مشتركة. وانظر في هذا الصدد</w:t>
      </w:r>
      <w:r w:rsidR="007844EC" w:rsidRPr="00E22B27">
        <w:rPr>
          <w:rFonts w:hint="cs"/>
          <w:rtl/>
        </w:rPr>
        <w:t xml:space="preserve"> الملاحظة </w:t>
      </w:r>
      <w:r w:rsidRPr="00E22B27">
        <w:rPr>
          <w:rFonts w:hint="cs"/>
          <w:rtl/>
        </w:rPr>
        <w:t>4.5.</w:t>
      </w:r>
    </w:p>
    <w:p w:rsidR="00187464" w:rsidRPr="00E22B27" w:rsidRDefault="00187464" w:rsidP="009422A7">
      <w:pPr>
        <w:pStyle w:val="Heading1AR"/>
        <w:spacing w:before="0" w:after="360" w:line="360" w:lineRule="exact"/>
        <w:rPr>
          <w:rtl/>
        </w:rPr>
      </w:pPr>
      <w:r w:rsidRPr="00E22B27">
        <w:rPr>
          <w:rtl/>
        </w:rPr>
        <w:t>ملاحظات على</w:t>
      </w:r>
      <w:r w:rsidR="007C2359" w:rsidRPr="00E22B27">
        <w:rPr>
          <w:rtl/>
        </w:rPr>
        <w:t xml:space="preserve"> </w:t>
      </w:r>
      <w:r w:rsidR="00450110" w:rsidRPr="00E22B27">
        <w:rPr>
          <w:rtl/>
        </w:rPr>
        <w:t>المادة </w:t>
      </w:r>
      <w:r w:rsidR="003C1838" w:rsidRPr="00E22B27">
        <w:rPr>
          <w:rtl/>
        </w:rPr>
        <w:t>3</w:t>
      </w:r>
      <w:r w:rsidRPr="00E22B27">
        <w:rPr>
          <w:rtl/>
        </w:rPr>
        <w:t>:</w:t>
      </w:r>
      <w:r w:rsidRPr="00E22B27">
        <w:rPr>
          <w:rtl/>
        </w:rPr>
        <w:tab/>
      </w:r>
      <w:r w:rsidRPr="00E22B27">
        <w:rPr>
          <w:rFonts w:hint="cs"/>
          <w:rtl/>
        </w:rPr>
        <w:t>الإدارة المختصة</w:t>
      </w:r>
    </w:p>
    <w:p w:rsidR="007844EC" w:rsidRPr="00E22B27" w:rsidRDefault="003C1838" w:rsidP="00320FED">
      <w:pPr>
        <w:pStyle w:val="NormalParaAR"/>
      </w:pPr>
      <w:r w:rsidRPr="00E22B27">
        <w:rPr>
          <w:rtl/>
        </w:rPr>
        <w:t>1.3</w:t>
      </w:r>
      <w:r w:rsidRPr="00E22B27">
        <w:tab/>
      </w:r>
      <w:r w:rsidR="00DD0CCE" w:rsidRPr="00E22B27">
        <w:rPr>
          <w:rFonts w:hint="cs"/>
          <w:rtl/>
        </w:rPr>
        <w:t xml:space="preserve">إذ يختلف اختصاص منح الحقوق </w:t>
      </w:r>
      <w:r w:rsidR="00450110" w:rsidRPr="00E22B27">
        <w:rPr>
          <w:rFonts w:hint="cs"/>
          <w:rtl/>
        </w:rPr>
        <w:t>أو</w:t>
      </w:r>
      <w:r w:rsidR="00450110" w:rsidRPr="00E22B27">
        <w:rPr>
          <w:rtl/>
        </w:rPr>
        <w:t> </w:t>
      </w:r>
      <w:r w:rsidR="00DD0CCE" w:rsidRPr="00E22B27">
        <w:rPr>
          <w:rFonts w:hint="cs"/>
          <w:rtl/>
        </w:rPr>
        <w:t xml:space="preserve">تسجيلها فيما يخص تسميات المنشأ </w:t>
      </w:r>
      <w:r w:rsidR="00450110" w:rsidRPr="00E22B27">
        <w:rPr>
          <w:rFonts w:hint="cs"/>
          <w:rtl/>
        </w:rPr>
        <w:t>أو</w:t>
      </w:r>
      <w:r w:rsidR="00450110" w:rsidRPr="00E22B27">
        <w:rPr>
          <w:rtl/>
        </w:rPr>
        <w:t> </w:t>
      </w:r>
      <w:r w:rsidR="00DD0CCE" w:rsidRPr="00E22B27">
        <w:rPr>
          <w:rFonts w:hint="cs"/>
          <w:rtl/>
        </w:rPr>
        <w:t xml:space="preserve">البيانات الجغرافية باختلاف النظم الوطنية والإقليمية المتعلقة بحمايتها، فمن </w:t>
      </w:r>
      <w:r w:rsidR="008A7C78" w:rsidRPr="00E22B27">
        <w:rPr>
          <w:rFonts w:hint="cs"/>
          <w:rtl/>
        </w:rPr>
        <w:t>الأهمية بمكان</w:t>
      </w:r>
      <w:r w:rsidR="00DD0CCE" w:rsidRPr="00E22B27">
        <w:rPr>
          <w:rFonts w:hint="cs"/>
          <w:rtl/>
        </w:rPr>
        <w:t xml:space="preserve"> لاتفاق لشبونة المراجَع أن يقتضي من كل طرف متعاقد أن يعي</w:t>
      </w:r>
      <w:r w:rsidR="008A7C78" w:rsidRPr="00E22B27">
        <w:rPr>
          <w:rFonts w:hint="cs"/>
          <w:rtl/>
        </w:rPr>
        <w:t>ِّ</w:t>
      </w:r>
      <w:r w:rsidR="00DD0CCE" w:rsidRPr="00E22B27">
        <w:rPr>
          <w:rFonts w:hint="cs"/>
          <w:rtl/>
        </w:rPr>
        <w:t xml:space="preserve">ن جهة مسؤولة عن إدارة الاتفاق في أراضيه وعن </w:t>
      </w:r>
      <w:r w:rsidR="00320FED" w:rsidRPr="00E22B27">
        <w:rPr>
          <w:rFonts w:hint="cs"/>
          <w:rtl/>
        </w:rPr>
        <w:t>التواصل</w:t>
      </w:r>
      <w:r w:rsidR="00DD0CCE" w:rsidRPr="00E22B27">
        <w:rPr>
          <w:rFonts w:hint="cs"/>
          <w:rtl/>
        </w:rPr>
        <w:t xml:space="preserve"> مع المكتب الدولي بموجب إجراءات اتفاق لشبونة المراجَع ولائحته التنفيذية. فإن القاعدة </w:t>
      </w:r>
      <w:r w:rsidRPr="00E22B27">
        <w:rPr>
          <w:rFonts w:hint="cs"/>
          <w:rtl/>
        </w:rPr>
        <w:t>4</w:t>
      </w:r>
      <w:r w:rsidR="00DD0CCE" w:rsidRPr="00E22B27">
        <w:rPr>
          <w:rFonts w:hint="cs"/>
          <w:rtl/>
        </w:rPr>
        <w:t xml:space="preserve"> من مشروع اللائحة التنفيذية س</w:t>
      </w:r>
      <w:r w:rsidR="008A7C78" w:rsidRPr="00E22B27">
        <w:rPr>
          <w:rFonts w:hint="cs"/>
          <w:rtl/>
        </w:rPr>
        <w:t>ت</w:t>
      </w:r>
      <w:r w:rsidR="00DD0CCE" w:rsidRPr="00E22B27">
        <w:rPr>
          <w:rFonts w:hint="cs"/>
          <w:rtl/>
        </w:rPr>
        <w:t>قتضي من كل طرف متعاقد أن يعلن اسم الجهة المعينة وتفاصيل الاتصال بها لدى انضمامه إلى اتفاق لشبونة المراجَع.</w:t>
      </w:r>
    </w:p>
    <w:p w:rsidR="00DD0CCE" w:rsidRPr="00E22B27" w:rsidRDefault="003C1838" w:rsidP="009422A7">
      <w:pPr>
        <w:pStyle w:val="NormalParaAR"/>
      </w:pPr>
      <w:r w:rsidRPr="00E22B27">
        <w:rPr>
          <w:rtl/>
        </w:rPr>
        <w:t>2.3</w:t>
      </w:r>
      <w:r w:rsidRPr="00E22B27">
        <w:tab/>
      </w:r>
      <w:r w:rsidR="00DD0CCE" w:rsidRPr="00E22B27">
        <w:rPr>
          <w:rFonts w:hint="cs"/>
          <w:rtl/>
        </w:rPr>
        <w:t>رغم أنه يُحبذ أن يعي</w:t>
      </w:r>
      <w:r w:rsidR="008A7C78" w:rsidRPr="00E22B27">
        <w:rPr>
          <w:rFonts w:hint="cs"/>
          <w:rtl/>
        </w:rPr>
        <w:t>ِّ</w:t>
      </w:r>
      <w:r w:rsidR="00DD0CCE" w:rsidRPr="00E22B27">
        <w:rPr>
          <w:rFonts w:hint="cs"/>
          <w:rtl/>
        </w:rPr>
        <w:t>ن كل طرف متعاقد إدارة مختصة واحدة، فقد يكون مبرراً أن يعي</w:t>
      </w:r>
      <w:r w:rsidR="008A7C78" w:rsidRPr="00E22B27">
        <w:rPr>
          <w:rFonts w:hint="cs"/>
          <w:rtl/>
        </w:rPr>
        <w:t>ِّ</w:t>
      </w:r>
      <w:r w:rsidR="00DD0CCE" w:rsidRPr="00E22B27">
        <w:rPr>
          <w:rFonts w:hint="cs"/>
          <w:rtl/>
        </w:rPr>
        <w:t xml:space="preserve">ن طرف متعاقد أكثر من إدارة على النحو المشار إليه في الملاحظات على القاعدة </w:t>
      </w:r>
      <w:r w:rsidRPr="00E22B27">
        <w:rPr>
          <w:rFonts w:hint="cs"/>
          <w:rtl/>
        </w:rPr>
        <w:t>4</w:t>
      </w:r>
      <w:r w:rsidR="00DD0CCE" w:rsidRPr="00E22B27">
        <w:rPr>
          <w:rFonts w:hint="cs"/>
          <w:rtl/>
        </w:rPr>
        <w:t>(</w:t>
      </w:r>
      <w:r w:rsidRPr="00E22B27">
        <w:rPr>
          <w:rFonts w:hint="cs"/>
          <w:rtl/>
        </w:rPr>
        <w:t>2</w:t>
      </w:r>
      <w:r w:rsidR="00DD0CCE" w:rsidRPr="00E22B27">
        <w:rPr>
          <w:rFonts w:hint="cs"/>
          <w:rtl/>
        </w:rPr>
        <w:t xml:space="preserve">). وفي هذه الحالة، قد يواجه المكتب الدولي صعوبات في تحديد الإدارة المختصة التي ينبغي </w:t>
      </w:r>
      <w:r w:rsidR="008A7C78" w:rsidRPr="00E22B27">
        <w:rPr>
          <w:rFonts w:hint="cs"/>
          <w:rtl/>
        </w:rPr>
        <w:t>إبلاغها بإخطار ما. ومن ثم ستقتضي</w:t>
      </w:r>
      <w:r w:rsidR="00DD0CCE" w:rsidRPr="00E22B27">
        <w:rPr>
          <w:rFonts w:hint="cs"/>
          <w:rtl/>
        </w:rPr>
        <w:t xml:space="preserve"> القاعدة </w:t>
      </w:r>
      <w:r w:rsidRPr="00E22B27">
        <w:rPr>
          <w:rFonts w:hint="cs"/>
          <w:rtl/>
        </w:rPr>
        <w:t>4</w:t>
      </w:r>
      <w:r w:rsidR="00DD0CCE" w:rsidRPr="00E22B27">
        <w:rPr>
          <w:rFonts w:hint="cs"/>
          <w:rtl/>
        </w:rPr>
        <w:t>(</w:t>
      </w:r>
      <w:r w:rsidRPr="00E22B27">
        <w:rPr>
          <w:rFonts w:hint="cs"/>
          <w:rtl/>
        </w:rPr>
        <w:t>2</w:t>
      </w:r>
      <w:r w:rsidR="00DD0CCE" w:rsidRPr="00E22B27">
        <w:rPr>
          <w:rFonts w:hint="cs"/>
          <w:rtl/>
        </w:rPr>
        <w:t>) من الطرف المتعاقد أن يقدم تعليمات واضحة في هذا الصدد. وإذا انعدم الوضوح، اضطر المكتب الدولي لإرسال إخطاراته إلى جميع الإدارات المختصة التي عينها الطرف المتعاقد فيرجع إلى تلك الإدارات تحديد الإدارة المسؤولة عن كل إخطار. ومن المنطلق ذاته، سيضطر المكتب الدولي لقبول أي طلب من الطرف المتعاقد المذكور بغض النظر عن الإدارة المختصة التي تقدمه.</w:t>
      </w:r>
    </w:p>
    <w:p w:rsidR="00DD0CCE" w:rsidRPr="00E22B27" w:rsidRDefault="003C1838" w:rsidP="00320FED">
      <w:pPr>
        <w:pStyle w:val="NormalParaAR"/>
        <w:rPr>
          <w:rtl/>
        </w:rPr>
      </w:pPr>
      <w:r w:rsidRPr="00E22B27">
        <w:rPr>
          <w:rtl/>
        </w:rPr>
        <w:t>3.3</w:t>
      </w:r>
      <w:r w:rsidRPr="00E22B27">
        <w:rPr>
          <w:rtl/>
        </w:rPr>
        <w:tab/>
      </w:r>
      <w:r w:rsidR="00DD0CCE" w:rsidRPr="00E22B27">
        <w:rPr>
          <w:rFonts w:hint="cs"/>
          <w:rtl/>
        </w:rPr>
        <w:t>متابعة ل</w:t>
      </w:r>
      <w:r w:rsidR="00320FED" w:rsidRPr="00E22B27">
        <w:rPr>
          <w:rFonts w:hint="cs"/>
          <w:rtl/>
        </w:rPr>
        <w:t>مناقشات</w:t>
      </w:r>
      <w:r w:rsidR="00DD0CCE" w:rsidRPr="00E22B27">
        <w:rPr>
          <w:rFonts w:hint="cs"/>
          <w:rtl/>
        </w:rPr>
        <w:t xml:space="preserve"> الدورة السابعة للفريق العامل، أُضيفت جملة ثانية إلى القاعدة </w:t>
      </w:r>
      <w:r w:rsidRPr="00E22B27">
        <w:rPr>
          <w:rFonts w:hint="cs"/>
          <w:rtl/>
        </w:rPr>
        <w:t>4</w:t>
      </w:r>
      <w:r w:rsidR="00DD0CCE" w:rsidRPr="00E22B27">
        <w:rPr>
          <w:rFonts w:hint="cs"/>
          <w:rtl/>
        </w:rPr>
        <w:t>(</w:t>
      </w:r>
      <w:r w:rsidRPr="00E22B27">
        <w:rPr>
          <w:rFonts w:hint="cs"/>
          <w:rtl/>
        </w:rPr>
        <w:t>1</w:t>
      </w:r>
      <w:r w:rsidR="00DD0CCE" w:rsidRPr="00E22B27">
        <w:rPr>
          <w:rFonts w:hint="cs"/>
          <w:rtl/>
        </w:rPr>
        <w:t>) تعزيزاً للشفافية اللازمة المتعلقة بإجراءات الإنفاذ المنطبقة في طرف متعاقد من حيث تسميات المنشأ والبيانات الجغرافية.</w:t>
      </w:r>
    </w:p>
    <w:p w:rsidR="00187464" w:rsidRPr="00E22B27" w:rsidRDefault="00187464" w:rsidP="009422A7">
      <w:pPr>
        <w:pStyle w:val="Heading1AR"/>
        <w:spacing w:before="0" w:after="360" w:line="360" w:lineRule="exact"/>
        <w:rPr>
          <w:rtl/>
        </w:rPr>
      </w:pPr>
      <w:r w:rsidRPr="00E22B27">
        <w:rPr>
          <w:rtl/>
        </w:rPr>
        <w:t>ملاحظات على</w:t>
      </w:r>
      <w:r w:rsidR="007C2359" w:rsidRPr="00E22B27">
        <w:rPr>
          <w:rtl/>
        </w:rPr>
        <w:t xml:space="preserve"> </w:t>
      </w:r>
      <w:r w:rsidR="00450110" w:rsidRPr="00E22B27">
        <w:rPr>
          <w:rtl/>
        </w:rPr>
        <w:t>المادة </w:t>
      </w:r>
      <w:r w:rsidR="003C1838" w:rsidRPr="00E22B27">
        <w:rPr>
          <w:rtl/>
        </w:rPr>
        <w:t>4</w:t>
      </w:r>
      <w:r w:rsidRPr="00E22B27">
        <w:rPr>
          <w:rtl/>
        </w:rPr>
        <w:t>:</w:t>
      </w:r>
      <w:r w:rsidRPr="00E22B27">
        <w:rPr>
          <w:rtl/>
        </w:rPr>
        <w:tab/>
      </w:r>
      <w:r w:rsidRPr="00E22B27">
        <w:rPr>
          <w:rFonts w:hint="cs"/>
          <w:rtl/>
        </w:rPr>
        <w:t>السجل الدولي</w:t>
      </w:r>
    </w:p>
    <w:p w:rsidR="00F57670" w:rsidRPr="00E22B27" w:rsidRDefault="003C1838" w:rsidP="009422A7">
      <w:pPr>
        <w:pStyle w:val="NormalParaAR"/>
      </w:pPr>
      <w:r w:rsidRPr="00E22B27">
        <w:rPr>
          <w:rtl/>
        </w:rPr>
        <w:t>1.4</w:t>
      </w:r>
      <w:r w:rsidRPr="00E22B27">
        <w:tab/>
      </w:r>
      <w:r w:rsidR="0039345A" w:rsidRPr="00E22B27">
        <w:rPr>
          <w:rFonts w:hint="cs"/>
          <w:rtl/>
        </w:rPr>
        <w:t xml:space="preserve">توضح </w:t>
      </w:r>
      <w:r w:rsidR="00450110" w:rsidRPr="00E22B27">
        <w:rPr>
          <w:rFonts w:hint="cs"/>
          <w:rtl/>
        </w:rPr>
        <w:t>المادة</w:t>
      </w:r>
      <w:r w:rsidR="00450110" w:rsidRPr="00E22B27">
        <w:rPr>
          <w:rtl/>
        </w:rPr>
        <w:t> </w:t>
      </w:r>
      <w:r w:rsidRPr="00E22B27">
        <w:rPr>
          <w:rFonts w:hint="cs"/>
          <w:rtl/>
        </w:rPr>
        <w:t>4</w:t>
      </w:r>
      <w:r w:rsidR="0039345A" w:rsidRPr="00E22B27">
        <w:rPr>
          <w:rFonts w:hint="cs"/>
          <w:rtl/>
        </w:rPr>
        <w:t xml:space="preserve"> أن السجل الدولي لاتفاق لشبونة المراجَع الذي سيحتفظ به المكتب الدولي لن يشمل التسجيلات بموجب اتفاق لشبونة المراجَع فحسب وإنما سيشمل كذلك التسجيلات بموجب اتفاق لشبونة </w:t>
      </w:r>
      <w:r w:rsidR="00450110" w:rsidRPr="00E22B27">
        <w:rPr>
          <w:rFonts w:hint="cs"/>
          <w:rtl/>
        </w:rPr>
        <w:t>أو</w:t>
      </w:r>
      <w:r w:rsidR="00450110" w:rsidRPr="00E22B27">
        <w:rPr>
          <w:rtl/>
        </w:rPr>
        <w:t> </w:t>
      </w:r>
      <w:r w:rsidR="00CD0D5E" w:rsidRPr="00E22B27">
        <w:rPr>
          <w:rFonts w:hint="cs"/>
          <w:rtl/>
        </w:rPr>
        <w:t>وثيقة</w:t>
      </w:r>
      <w:r w:rsidR="00CD0D5E" w:rsidRPr="00E22B27">
        <w:rPr>
          <w:rtl/>
        </w:rPr>
        <w:t> </w:t>
      </w:r>
      <w:r w:rsidRPr="00E22B27">
        <w:rPr>
          <w:rFonts w:hint="cs"/>
          <w:rtl/>
        </w:rPr>
        <w:t>1967.</w:t>
      </w:r>
      <w:r w:rsidR="0039345A" w:rsidRPr="00E22B27">
        <w:rPr>
          <w:rFonts w:hint="cs"/>
          <w:rtl/>
        </w:rPr>
        <w:t xml:space="preserve"> ويرد في القاعدة </w:t>
      </w:r>
      <w:r w:rsidRPr="00E22B27">
        <w:rPr>
          <w:rFonts w:hint="cs"/>
          <w:rtl/>
        </w:rPr>
        <w:t>7</w:t>
      </w:r>
      <w:r w:rsidR="0039345A" w:rsidRPr="00E22B27">
        <w:rPr>
          <w:rFonts w:hint="cs"/>
          <w:rtl/>
        </w:rPr>
        <w:t xml:space="preserve"> المزيد من التفاصيل في هذا الشأن.</w:t>
      </w:r>
    </w:p>
    <w:p w:rsidR="00710B66" w:rsidRPr="00E22B27" w:rsidRDefault="003C1838" w:rsidP="00E22B27">
      <w:pPr>
        <w:pStyle w:val="NormalParaAR"/>
        <w:rPr>
          <w:rtl/>
        </w:rPr>
      </w:pPr>
      <w:r w:rsidRPr="00E22B27">
        <w:rPr>
          <w:rtl/>
        </w:rPr>
        <w:t>2.4</w:t>
      </w:r>
      <w:r w:rsidRPr="00E22B27">
        <w:rPr>
          <w:rtl/>
        </w:rPr>
        <w:tab/>
      </w:r>
      <w:r w:rsidR="0039345A" w:rsidRPr="00E22B27">
        <w:rPr>
          <w:rFonts w:hint="cs"/>
          <w:rtl/>
        </w:rPr>
        <w:t>كما وُضح في الدورة التاسعة للفريق العامل، ستأتي فترة تكون فيها بعض الأطراف المتعاقدة منضمة فقط إ</w:t>
      </w:r>
      <w:r w:rsidR="00F450C6" w:rsidRPr="00E22B27">
        <w:rPr>
          <w:rFonts w:hint="cs"/>
          <w:rtl/>
        </w:rPr>
        <w:t xml:space="preserve">لى اتفاق لشبونة المراجَع بينما </w:t>
      </w:r>
      <w:r w:rsidR="0039345A" w:rsidRPr="00E22B27">
        <w:rPr>
          <w:rFonts w:hint="cs"/>
          <w:rtl/>
        </w:rPr>
        <w:t>يكون بعض آخر طرفاً في اتفاق لشبونة الحالي وفئة ثالثة طرفاً في كليهما.</w:t>
      </w:r>
      <w:r w:rsidR="00F450C6" w:rsidRPr="00E22B27">
        <w:rPr>
          <w:rFonts w:hint="cs"/>
          <w:rtl/>
        </w:rPr>
        <w:t xml:space="preserve"> وفي</w:t>
      </w:r>
      <w:r w:rsidR="00320FED" w:rsidRPr="00E22B27">
        <w:rPr>
          <w:rFonts w:hint="cs"/>
          <w:rtl/>
        </w:rPr>
        <w:t>ما يخص الإشارة إلى</w:t>
      </w:r>
      <w:r w:rsidR="00F450C6" w:rsidRPr="00E22B27">
        <w:rPr>
          <w:rFonts w:hint="cs"/>
          <w:rtl/>
        </w:rPr>
        <w:t xml:space="preserve"> </w:t>
      </w:r>
      <w:r w:rsidR="00CD0D5E" w:rsidRPr="00E22B27">
        <w:rPr>
          <w:rFonts w:hint="cs"/>
          <w:rtl/>
        </w:rPr>
        <w:t>وثيقة</w:t>
      </w:r>
      <w:r w:rsidR="00CD0D5E" w:rsidRPr="00E22B27">
        <w:rPr>
          <w:rtl/>
        </w:rPr>
        <w:t> </w:t>
      </w:r>
      <w:r w:rsidRPr="00E22B27">
        <w:rPr>
          <w:rFonts w:hint="cs"/>
          <w:rtl/>
        </w:rPr>
        <w:t>1967</w:t>
      </w:r>
      <w:r w:rsidR="00F450C6" w:rsidRPr="00E22B27">
        <w:rPr>
          <w:rFonts w:hint="cs"/>
          <w:rtl/>
        </w:rPr>
        <w:t>، تجدر الإشارة إلى أنه ينبغي اعتبار اتفاق لشبونة الحالي، بصيغته المعتمدة في</w:t>
      </w:r>
      <w:r w:rsidR="00F450C6" w:rsidRPr="00E22B27">
        <w:rPr>
          <w:rFonts w:hint="eastAsia"/>
          <w:rtl/>
        </w:rPr>
        <w:t> </w:t>
      </w:r>
      <w:r w:rsidRPr="00E22B27">
        <w:rPr>
          <w:rFonts w:hint="cs"/>
          <w:rtl/>
        </w:rPr>
        <w:t>1958</w:t>
      </w:r>
      <w:r w:rsidR="00F450C6" w:rsidRPr="00E22B27">
        <w:rPr>
          <w:rFonts w:hint="cs"/>
          <w:rtl/>
        </w:rPr>
        <w:t>، و</w:t>
      </w:r>
      <w:r w:rsidR="00CD0D5E" w:rsidRPr="00E22B27">
        <w:rPr>
          <w:rFonts w:hint="cs"/>
          <w:rtl/>
        </w:rPr>
        <w:t>وثيقة</w:t>
      </w:r>
      <w:r w:rsidR="00CD0D5E" w:rsidRPr="00E22B27">
        <w:rPr>
          <w:rtl/>
        </w:rPr>
        <w:t> </w:t>
      </w:r>
      <w:r w:rsidRPr="00E22B27">
        <w:rPr>
          <w:rFonts w:hint="eastAsia"/>
          <w:rtl/>
        </w:rPr>
        <w:t>1967</w:t>
      </w:r>
      <w:r w:rsidR="00F450C6" w:rsidRPr="00E22B27">
        <w:rPr>
          <w:rFonts w:hint="eastAsia"/>
          <w:rtl/>
        </w:rPr>
        <w:t xml:space="preserve"> كي</w:t>
      </w:r>
      <w:r w:rsidR="00E22B27">
        <w:rPr>
          <w:rFonts w:hint="cs"/>
          <w:rtl/>
        </w:rPr>
        <w:t>ا</w:t>
      </w:r>
      <w:r w:rsidR="00F450C6" w:rsidRPr="00E22B27">
        <w:rPr>
          <w:rFonts w:hint="eastAsia"/>
          <w:rtl/>
        </w:rPr>
        <w:t xml:space="preserve">ناً واحداً </w:t>
      </w:r>
      <w:r w:rsidR="00F450C6" w:rsidRPr="00E22B27">
        <w:rPr>
          <w:rFonts w:hint="eastAsia"/>
          <w:rtl/>
        </w:rPr>
        <w:lastRenderedPageBreak/>
        <w:t xml:space="preserve">وفقاً للمادة </w:t>
      </w:r>
      <w:r w:rsidRPr="00E22B27">
        <w:rPr>
          <w:rFonts w:hint="eastAsia"/>
          <w:rtl/>
        </w:rPr>
        <w:t>16</w:t>
      </w:r>
      <w:r w:rsidR="00F450C6" w:rsidRPr="00E22B27">
        <w:rPr>
          <w:rFonts w:hint="eastAsia"/>
          <w:rtl/>
        </w:rPr>
        <w:t>(</w:t>
      </w:r>
      <w:r w:rsidRPr="00E22B27">
        <w:rPr>
          <w:rFonts w:hint="eastAsia"/>
          <w:rtl/>
        </w:rPr>
        <w:t>1</w:t>
      </w:r>
      <w:r w:rsidR="00F450C6" w:rsidRPr="00E22B27">
        <w:rPr>
          <w:rFonts w:hint="eastAsia"/>
          <w:rtl/>
        </w:rPr>
        <w:t xml:space="preserve">)(ب) من </w:t>
      </w:r>
      <w:r w:rsidR="00CD0D5E" w:rsidRPr="00E22B27">
        <w:rPr>
          <w:rFonts w:hint="eastAsia"/>
          <w:rtl/>
        </w:rPr>
        <w:t>وثيقة</w:t>
      </w:r>
      <w:r w:rsidR="00CD0D5E" w:rsidRPr="00E22B27">
        <w:rPr>
          <w:rtl/>
        </w:rPr>
        <w:t> </w:t>
      </w:r>
      <w:r w:rsidRPr="00E22B27">
        <w:rPr>
          <w:rFonts w:hint="eastAsia"/>
          <w:rtl/>
        </w:rPr>
        <w:t>1967</w:t>
      </w:r>
      <w:r w:rsidR="00F450C6" w:rsidRPr="00E22B27">
        <w:rPr>
          <w:rFonts w:hint="eastAsia"/>
          <w:rtl/>
        </w:rPr>
        <w:t xml:space="preserve"> نظراً إلى أن دولة عضو واحدة في </w:t>
      </w:r>
      <w:r w:rsidR="00710B66" w:rsidRPr="00E22B27">
        <w:rPr>
          <w:rFonts w:hint="cs"/>
          <w:rtl/>
        </w:rPr>
        <w:t xml:space="preserve">اتفاق </w:t>
      </w:r>
      <w:r w:rsidR="00F450C6" w:rsidRPr="00E22B27">
        <w:rPr>
          <w:rFonts w:hint="eastAsia"/>
          <w:rtl/>
        </w:rPr>
        <w:t>لشبونة طرفاً</w:t>
      </w:r>
      <w:r w:rsidR="00F450C6" w:rsidRPr="00E22B27">
        <w:rPr>
          <w:rFonts w:hint="cs"/>
          <w:rtl/>
        </w:rPr>
        <w:t xml:space="preserve"> في اتفاق لشبونة الحالي، بصيغته المعتمدة في </w:t>
      </w:r>
      <w:r w:rsidRPr="00E22B27">
        <w:rPr>
          <w:rFonts w:hint="cs"/>
          <w:rtl/>
        </w:rPr>
        <w:t>1968</w:t>
      </w:r>
      <w:r w:rsidR="00F450C6" w:rsidRPr="00E22B27">
        <w:rPr>
          <w:rFonts w:hint="cs"/>
          <w:rtl/>
        </w:rPr>
        <w:t xml:space="preserve">، دون أن تكون طرفاً في </w:t>
      </w:r>
      <w:r w:rsidR="00CD0D5E" w:rsidRPr="00E22B27">
        <w:rPr>
          <w:rFonts w:hint="cs"/>
          <w:rtl/>
        </w:rPr>
        <w:t>وثيقة</w:t>
      </w:r>
      <w:r w:rsidR="00CD0D5E" w:rsidRPr="00E22B27">
        <w:rPr>
          <w:rtl/>
        </w:rPr>
        <w:t> </w:t>
      </w:r>
      <w:r w:rsidRPr="00E22B27">
        <w:rPr>
          <w:rFonts w:hint="cs"/>
          <w:rtl/>
        </w:rPr>
        <w:t>1967</w:t>
      </w:r>
      <w:r w:rsidR="00F450C6" w:rsidRPr="00E22B27">
        <w:rPr>
          <w:rFonts w:hint="cs"/>
          <w:rtl/>
        </w:rPr>
        <w:t xml:space="preserve"> بينما انضمت جميع الدول الأعضاء </w:t>
      </w:r>
      <w:r w:rsidR="00710B66" w:rsidRPr="00E22B27">
        <w:rPr>
          <w:rFonts w:hint="cs"/>
          <w:rtl/>
        </w:rPr>
        <w:t xml:space="preserve">الأخرى </w:t>
      </w:r>
      <w:r w:rsidR="00F450C6" w:rsidRPr="00E22B27">
        <w:rPr>
          <w:rFonts w:hint="cs"/>
          <w:rtl/>
        </w:rPr>
        <w:t xml:space="preserve">في </w:t>
      </w:r>
      <w:r w:rsidR="00710B66" w:rsidRPr="00E22B27">
        <w:rPr>
          <w:rFonts w:hint="cs"/>
          <w:rtl/>
        </w:rPr>
        <w:t xml:space="preserve">اتفاق </w:t>
      </w:r>
      <w:r w:rsidR="00F450C6" w:rsidRPr="00E22B27">
        <w:rPr>
          <w:rFonts w:hint="cs"/>
          <w:rtl/>
        </w:rPr>
        <w:t>لشبونة</w:t>
      </w:r>
      <w:r w:rsidR="00710B66" w:rsidRPr="00E22B27">
        <w:rPr>
          <w:rFonts w:hint="cs"/>
          <w:rtl/>
        </w:rPr>
        <w:t xml:space="preserve"> إلى </w:t>
      </w:r>
      <w:r w:rsidR="00CD0D5E" w:rsidRPr="00E22B27">
        <w:rPr>
          <w:rFonts w:hint="cs"/>
          <w:rtl/>
        </w:rPr>
        <w:t>وثيقة</w:t>
      </w:r>
      <w:r w:rsidR="00CD0D5E" w:rsidRPr="00E22B27">
        <w:rPr>
          <w:rtl/>
        </w:rPr>
        <w:t> </w:t>
      </w:r>
      <w:r w:rsidRPr="00E22B27">
        <w:rPr>
          <w:rFonts w:hint="cs"/>
          <w:rtl/>
        </w:rPr>
        <w:t>1967.</w:t>
      </w:r>
    </w:p>
    <w:p w:rsidR="00187464" w:rsidRPr="00E22B27" w:rsidRDefault="00187464" w:rsidP="009422A7">
      <w:pPr>
        <w:pStyle w:val="Heading1AR"/>
        <w:spacing w:before="0" w:after="360" w:line="360" w:lineRule="exact"/>
        <w:rPr>
          <w:rtl/>
        </w:rPr>
      </w:pPr>
      <w:r w:rsidRPr="00E22B27">
        <w:rPr>
          <w:rtl/>
        </w:rPr>
        <w:t>ملاحظات على</w:t>
      </w:r>
      <w:r w:rsidR="007C2359" w:rsidRPr="00E22B27">
        <w:rPr>
          <w:rtl/>
        </w:rPr>
        <w:t xml:space="preserve"> </w:t>
      </w:r>
      <w:r w:rsidR="00450110" w:rsidRPr="00E22B27">
        <w:rPr>
          <w:rtl/>
        </w:rPr>
        <w:t>المادة </w:t>
      </w:r>
      <w:r w:rsidR="003C1838" w:rsidRPr="00E22B27">
        <w:rPr>
          <w:rtl/>
        </w:rPr>
        <w:t>5</w:t>
      </w:r>
      <w:r w:rsidRPr="00E22B27">
        <w:rPr>
          <w:rtl/>
        </w:rPr>
        <w:t>:</w:t>
      </w:r>
      <w:r w:rsidRPr="00E22B27">
        <w:rPr>
          <w:rtl/>
        </w:rPr>
        <w:tab/>
      </w:r>
      <w:r w:rsidRPr="00E22B27">
        <w:rPr>
          <w:rFonts w:hint="cs"/>
          <w:rtl/>
        </w:rPr>
        <w:t>الطلب</w:t>
      </w:r>
    </w:p>
    <w:p w:rsidR="00710B66" w:rsidRPr="00E22B27" w:rsidRDefault="003C1838" w:rsidP="00E22B27">
      <w:pPr>
        <w:pStyle w:val="NormalParaAR"/>
      </w:pPr>
      <w:r w:rsidRPr="00E22B27">
        <w:rPr>
          <w:rtl/>
        </w:rPr>
        <w:t>1.5</w:t>
      </w:r>
      <w:r w:rsidRPr="00E22B27">
        <w:tab/>
      </w:r>
      <w:r w:rsidR="00710B66" w:rsidRPr="00E22B27">
        <w:rPr>
          <w:rFonts w:hint="cs"/>
          <w:rtl/>
        </w:rPr>
        <w:t xml:space="preserve">تحدد </w:t>
      </w:r>
      <w:r w:rsidR="00450110" w:rsidRPr="00E22B27">
        <w:rPr>
          <w:rFonts w:hint="cs"/>
          <w:rtl/>
        </w:rPr>
        <w:t>المادتان</w:t>
      </w:r>
      <w:r w:rsidR="00450110" w:rsidRPr="00E22B27">
        <w:rPr>
          <w:rtl/>
        </w:rPr>
        <w:t> </w:t>
      </w:r>
      <w:r w:rsidRPr="00E22B27">
        <w:rPr>
          <w:rFonts w:hint="cs"/>
          <w:rtl/>
        </w:rPr>
        <w:t>5</w:t>
      </w:r>
      <w:r w:rsidR="00710B66" w:rsidRPr="00E22B27">
        <w:rPr>
          <w:rFonts w:hint="cs"/>
          <w:rtl/>
        </w:rPr>
        <w:t>(</w:t>
      </w:r>
      <w:r w:rsidRPr="00E22B27">
        <w:rPr>
          <w:rFonts w:hint="cs"/>
          <w:rtl/>
        </w:rPr>
        <w:t>2</w:t>
      </w:r>
      <w:r w:rsidR="00710B66" w:rsidRPr="00E22B27">
        <w:rPr>
          <w:rFonts w:hint="cs"/>
          <w:rtl/>
        </w:rPr>
        <w:t>) و</w:t>
      </w:r>
      <w:r w:rsidRPr="00E22B27">
        <w:rPr>
          <w:rFonts w:hint="cs"/>
          <w:rtl/>
        </w:rPr>
        <w:t>5</w:t>
      </w:r>
      <w:r w:rsidR="00710B66" w:rsidRPr="00E22B27">
        <w:rPr>
          <w:rFonts w:hint="cs"/>
          <w:rtl/>
        </w:rPr>
        <w:t>(</w:t>
      </w:r>
      <w:r w:rsidRPr="00E22B27">
        <w:rPr>
          <w:rFonts w:hint="cs"/>
          <w:rtl/>
        </w:rPr>
        <w:t>3</w:t>
      </w:r>
      <w:r w:rsidR="00710B66" w:rsidRPr="00E22B27">
        <w:rPr>
          <w:rFonts w:hint="cs"/>
          <w:rtl/>
        </w:rPr>
        <w:t xml:space="preserve">) أنه يجب تقديم الطلبات الدولية إلى المكتب الدولي وإيداعها باسم المستفيدين من تسمية المنشأ </w:t>
      </w:r>
      <w:r w:rsidR="00450110" w:rsidRPr="00E22B27">
        <w:rPr>
          <w:rFonts w:hint="cs"/>
          <w:rtl/>
        </w:rPr>
        <w:t>أو</w:t>
      </w:r>
      <w:r w:rsidR="00450110" w:rsidRPr="00E22B27">
        <w:rPr>
          <w:rtl/>
        </w:rPr>
        <w:t> </w:t>
      </w:r>
      <w:r w:rsidR="00710B66" w:rsidRPr="00E22B27">
        <w:rPr>
          <w:rFonts w:hint="cs"/>
          <w:rtl/>
        </w:rPr>
        <w:t xml:space="preserve">البيان الجغرافي </w:t>
      </w:r>
      <w:r w:rsidR="00E22B27">
        <w:rPr>
          <w:rFonts w:hint="cs"/>
          <w:rtl/>
        </w:rPr>
        <w:t>وفقاً للتعريف</w:t>
      </w:r>
      <w:r w:rsidR="00710B66" w:rsidRPr="00E22B27">
        <w:rPr>
          <w:rFonts w:hint="cs"/>
          <w:rtl/>
        </w:rPr>
        <w:t xml:space="preserve"> الوراد في </w:t>
      </w:r>
      <w:r w:rsidR="00450110" w:rsidRPr="00E22B27">
        <w:rPr>
          <w:rFonts w:hint="cs"/>
          <w:rtl/>
        </w:rPr>
        <w:t>المادة</w:t>
      </w:r>
      <w:r w:rsidR="00450110" w:rsidRPr="00E22B27">
        <w:rPr>
          <w:rtl/>
        </w:rPr>
        <w:t> </w:t>
      </w:r>
      <w:r w:rsidRPr="00E22B27">
        <w:rPr>
          <w:rFonts w:hint="cs"/>
          <w:rtl/>
        </w:rPr>
        <w:t>1</w:t>
      </w:r>
      <w:r w:rsidR="00710B66" w:rsidRPr="00E22B27">
        <w:rPr>
          <w:rFonts w:hint="cs"/>
          <w:rtl/>
        </w:rPr>
        <w:t>"</w:t>
      </w:r>
      <w:r w:rsidRPr="00E22B27">
        <w:rPr>
          <w:rFonts w:hint="cs"/>
          <w:rtl/>
        </w:rPr>
        <w:t>17</w:t>
      </w:r>
      <w:r w:rsidR="00710B66" w:rsidRPr="00E22B27">
        <w:rPr>
          <w:rFonts w:hint="cs"/>
          <w:rtl/>
        </w:rPr>
        <w:t xml:space="preserve">". وفيما يخص الحق في تقديم طلب دولي، يُشار إلى الملاحظة </w:t>
      </w:r>
      <w:r w:rsidRPr="00E22B27">
        <w:rPr>
          <w:rFonts w:hint="cs"/>
          <w:rtl/>
        </w:rPr>
        <w:t>6.1.</w:t>
      </w:r>
      <w:r w:rsidR="00710B66" w:rsidRPr="00E22B27">
        <w:rPr>
          <w:rFonts w:hint="cs"/>
          <w:rtl/>
        </w:rPr>
        <w:t xml:space="preserve"> وإضافة إلى ذلك وفي ضوء مناقشات الدورة التاسعة للفريق العامل بشأن مسألة الحق في إيداع طلب بموجب </w:t>
      </w:r>
      <w:r w:rsidR="00450110" w:rsidRPr="00E22B27">
        <w:rPr>
          <w:rFonts w:hint="cs"/>
          <w:rtl/>
        </w:rPr>
        <w:t>المادة</w:t>
      </w:r>
      <w:r w:rsidR="00450110" w:rsidRPr="00E22B27">
        <w:rPr>
          <w:rtl/>
        </w:rPr>
        <w:t> </w:t>
      </w:r>
      <w:r w:rsidRPr="00E22B27">
        <w:rPr>
          <w:rFonts w:hint="cs"/>
          <w:rtl/>
        </w:rPr>
        <w:t>5</w:t>
      </w:r>
      <w:r w:rsidR="00710B66" w:rsidRPr="00E22B27">
        <w:rPr>
          <w:rFonts w:hint="cs"/>
          <w:rtl/>
        </w:rPr>
        <w:t>(</w:t>
      </w:r>
      <w:r w:rsidRPr="00E22B27">
        <w:rPr>
          <w:rFonts w:hint="cs"/>
          <w:rtl/>
        </w:rPr>
        <w:t>2</w:t>
      </w:r>
      <w:r w:rsidR="00710B66" w:rsidRPr="00E22B27">
        <w:rPr>
          <w:rFonts w:hint="cs"/>
          <w:rtl/>
        </w:rPr>
        <w:t xml:space="preserve">)، قد تتطلب القاعدتان </w:t>
      </w:r>
      <w:r w:rsidRPr="00E22B27">
        <w:rPr>
          <w:rFonts w:hint="cs"/>
          <w:rtl/>
        </w:rPr>
        <w:t>5</w:t>
      </w:r>
      <w:r w:rsidR="00710B66" w:rsidRPr="00E22B27">
        <w:rPr>
          <w:rFonts w:hint="cs"/>
          <w:rtl/>
        </w:rPr>
        <w:t xml:space="preserve"> و</w:t>
      </w:r>
      <w:r w:rsidRPr="00E22B27">
        <w:rPr>
          <w:rFonts w:hint="cs"/>
          <w:rtl/>
        </w:rPr>
        <w:t>7</w:t>
      </w:r>
      <w:r w:rsidR="00710B66" w:rsidRPr="00E22B27">
        <w:rPr>
          <w:rFonts w:hint="cs"/>
          <w:rtl/>
        </w:rPr>
        <w:t xml:space="preserve"> من مشروع الل</w:t>
      </w:r>
      <w:r w:rsidR="006A3B85" w:rsidRPr="00E22B27">
        <w:rPr>
          <w:rFonts w:hint="cs"/>
          <w:rtl/>
        </w:rPr>
        <w:t>ائحة التنفيذية تعديلاً بحيث تنص</w:t>
      </w:r>
      <w:r w:rsidR="00E22B27">
        <w:rPr>
          <w:rFonts w:hint="cs"/>
          <w:rtl/>
        </w:rPr>
        <w:t>ا</w:t>
      </w:r>
      <w:r w:rsidR="006A3B85" w:rsidRPr="00E22B27">
        <w:rPr>
          <w:rFonts w:hint="cs"/>
          <w:rtl/>
        </w:rPr>
        <w:t xml:space="preserve"> على</w:t>
      </w:r>
      <w:r w:rsidR="00710B66" w:rsidRPr="00E22B27">
        <w:rPr>
          <w:rFonts w:hint="cs"/>
          <w:rtl/>
        </w:rPr>
        <w:t xml:space="preserve"> أن المستفيدين سي</w:t>
      </w:r>
      <w:r w:rsidR="006A3B85" w:rsidRPr="00E22B27">
        <w:rPr>
          <w:rFonts w:hint="cs"/>
          <w:rtl/>
        </w:rPr>
        <w:t>دو</w:t>
      </w:r>
      <w:r w:rsidR="00E22B27">
        <w:rPr>
          <w:rFonts w:hint="cs"/>
          <w:rtl/>
        </w:rPr>
        <w:t>َّ</w:t>
      </w:r>
      <w:r w:rsidR="006A3B85" w:rsidRPr="00E22B27">
        <w:rPr>
          <w:rFonts w:hint="cs"/>
          <w:rtl/>
        </w:rPr>
        <w:t xml:space="preserve">نوا بصفتهم </w:t>
      </w:r>
      <w:r w:rsidR="00710B66" w:rsidRPr="00E22B27">
        <w:rPr>
          <w:rFonts w:hint="cs"/>
          <w:rtl/>
        </w:rPr>
        <w:t xml:space="preserve">أصحاب التسجيل الدولي إما بحقهم الشخصي كملاك لتسمية المنشأ </w:t>
      </w:r>
      <w:r w:rsidR="00450110" w:rsidRPr="00E22B27">
        <w:rPr>
          <w:rFonts w:hint="cs"/>
          <w:rtl/>
        </w:rPr>
        <w:t>أو</w:t>
      </w:r>
      <w:r w:rsidR="00450110" w:rsidRPr="00E22B27">
        <w:rPr>
          <w:rtl/>
        </w:rPr>
        <w:t> </w:t>
      </w:r>
      <w:r w:rsidR="00710B66" w:rsidRPr="00E22B27">
        <w:rPr>
          <w:rFonts w:hint="cs"/>
          <w:rtl/>
        </w:rPr>
        <w:t xml:space="preserve">البيان الجغرافي في طرف المنشأ المتعاقد </w:t>
      </w:r>
      <w:r w:rsidR="00450110" w:rsidRPr="00E22B27">
        <w:rPr>
          <w:rFonts w:hint="cs"/>
          <w:rtl/>
        </w:rPr>
        <w:t>أو</w:t>
      </w:r>
      <w:r w:rsidR="00450110" w:rsidRPr="00E22B27">
        <w:rPr>
          <w:rtl/>
        </w:rPr>
        <w:t> </w:t>
      </w:r>
      <w:r w:rsidR="00710B66" w:rsidRPr="00E22B27">
        <w:rPr>
          <w:rFonts w:hint="cs"/>
          <w:rtl/>
        </w:rPr>
        <w:t>على أساس حق مستمد من المالك في طرف المنشأ المتعاقد.</w:t>
      </w:r>
    </w:p>
    <w:p w:rsidR="006A3B85" w:rsidRPr="00E22B27" w:rsidRDefault="003C1838" w:rsidP="00E22B27">
      <w:pPr>
        <w:pStyle w:val="NormalParaAR"/>
      </w:pPr>
      <w:r w:rsidRPr="00E22B27">
        <w:rPr>
          <w:rtl/>
        </w:rPr>
        <w:t>2.5</w:t>
      </w:r>
      <w:r w:rsidRPr="00E22B27">
        <w:tab/>
      </w:r>
      <w:r w:rsidR="006A3B85" w:rsidRPr="00E22B27">
        <w:rPr>
          <w:rFonts w:hint="cs"/>
          <w:rtl/>
        </w:rPr>
        <w:t xml:space="preserve">انبثق نص </w:t>
      </w:r>
      <w:r w:rsidR="00450110" w:rsidRPr="00E22B27">
        <w:rPr>
          <w:rFonts w:hint="cs"/>
          <w:rtl/>
        </w:rPr>
        <w:t>المادة</w:t>
      </w:r>
      <w:r w:rsidR="00450110" w:rsidRPr="00E22B27">
        <w:rPr>
          <w:rtl/>
        </w:rPr>
        <w:t> </w:t>
      </w:r>
      <w:r w:rsidRPr="00E22B27">
        <w:rPr>
          <w:rFonts w:hint="cs"/>
          <w:rtl/>
        </w:rPr>
        <w:t>5</w:t>
      </w:r>
      <w:r w:rsidR="006A3B85" w:rsidRPr="00E22B27">
        <w:rPr>
          <w:rFonts w:hint="cs"/>
          <w:rtl/>
        </w:rPr>
        <w:t>(</w:t>
      </w:r>
      <w:r w:rsidRPr="00E22B27">
        <w:rPr>
          <w:rFonts w:hint="cs"/>
          <w:rtl/>
        </w:rPr>
        <w:t>2</w:t>
      </w:r>
      <w:r w:rsidR="006A3B85" w:rsidRPr="00E22B27">
        <w:rPr>
          <w:rFonts w:hint="cs"/>
          <w:rtl/>
        </w:rPr>
        <w:t>)"</w:t>
      </w:r>
      <w:r w:rsidRPr="00E22B27">
        <w:rPr>
          <w:rFonts w:hint="cs"/>
          <w:rtl/>
        </w:rPr>
        <w:t>2</w:t>
      </w:r>
      <w:r w:rsidR="006A3B85" w:rsidRPr="00E22B27">
        <w:rPr>
          <w:rFonts w:hint="cs"/>
          <w:rtl/>
        </w:rPr>
        <w:t xml:space="preserve">" عن المناقشات التي دارت </w:t>
      </w:r>
      <w:r w:rsidR="00E22B27">
        <w:rPr>
          <w:rFonts w:hint="cs"/>
          <w:rtl/>
        </w:rPr>
        <w:t>خلال</w:t>
      </w:r>
      <w:r w:rsidR="006A3B85" w:rsidRPr="00E22B27">
        <w:rPr>
          <w:rFonts w:hint="cs"/>
          <w:rtl/>
        </w:rPr>
        <w:t xml:space="preserve"> الدورتين الخامسة والسادسة للفريق العامل</w:t>
      </w:r>
      <w:r w:rsidR="006A3B85" w:rsidRPr="00E22B27">
        <w:rPr>
          <w:rStyle w:val="FootnoteReference"/>
          <w:rtl/>
        </w:rPr>
        <w:footnoteReference w:id="1"/>
      </w:r>
      <w:r w:rsidR="006A3B85" w:rsidRPr="00E22B27">
        <w:rPr>
          <w:rFonts w:hint="cs"/>
          <w:rtl/>
        </w:rPr>
        <w:t>. وأسفر عن مناقشات الدورة السابعة للفريق العا</w:t>
      </w:r>
      <w:r w:rsidR="00E22B27">
        <w:rPr>
          <w:rFonts w:hint="cs"/>
          <w:rtl/>
        </w:rPr>
        <w:t>مل</w:t>
      </w:r>
      <w:r w:rsidR="006A3B85" w:rsidRPr="00E22B27">
        <w:rPr>
          <w:rFonts w:hint="cs"/>
          <w:rtl/>
        </w:rPr>
        <w:t xml:space="preserve"> عدم تعريف عبارة "الكيان القانوني" في اتفاق لشبونة المراجَع. ومع ذلك، ينبغي فهم العبارة بمعناها الواسع </w:t>
      </w:r>
      <w:r w:rsidR="004C17BC" w:rsidRPr="00E22B27">
        <w:rPr>
          <w:rFonts w:hint="cs"/>
          <w:rtl/>
        </w:rPr>
        <w:t xml:space="preserve">الذي يشمل على كل </w:t>
      </w:r>
      <w:r w:rsidR="00E22B27">
        <w:rPr>
          <w:rFonts w:hint="cs"/>
          <w:rtl/>
        </w:rPr>
        <w:t>أ</w:t>
      </w:r>
      <w:r w:rsidR="004C17BC" w:rsidRPr="00E22B27">
        <w:rPr>
          <w:rFonts w:hint="cs"/>
          <w:rtl/>
        </w:rPr>
        <w:t xml:space="preserve">ية كيانات قانونية لها تتمتع بالأسس القانونية لتأكيد حقوق فيما يخص تسمية منشأ </w:t>
      </w:r>
      <w:r w:rsidR="00450110" w:rsidRPr="00E22B27">
        <w:rPr>
          <w:rFonts w:hint="cs"/>
          <w:rtl/>
        </w:rPr>
        <w:t>أو</w:t>
      </w:r>
      <w:r w:rsidR="00450110" w:rsidRPr="00E22B27">
        <w:rPr>
          <w:rtl/>
        </w:rPr>
        <w:t> </w:t>
      </w:r>
      <w:r w:rsidR="004C17BC" w:rsidRPr="00E22B27">
        <w:rPr>
          <w:rFonts w:hint="cs"/>
          <w:rtl/>
        </w:rPr>
        <w:t xml:space="preserve">بيان جغرافي بعينه مثل الاتحادات والجمعيات التي تمثل أصحاب الحق في استخدام تسمية المنشأ </w:t>
      </w:r>
      <w:r w:rsidR="00450110" w:rsidRPr="00E22B27">
        <w:rPr>
          <w:rFonts w:hint="cs"/>
          <w:rtl/>
        </w:rPr>
        <w:t>أو</w:t>
      </w:r>
      <w:r w:rsidR="00450110" w:rsidRPr="00E22B27">
        <w:rPr>
          <w:rtl/>
        </w:rPr>
        <w:t> </w:t>
      </w:r>
      <w:r w:rsidR="004C17BC" w:rsidRPr="00E22B27">
        <w:rPr>
          <w:rFonts w:hint="cs"/>
          <w:rtl/>
        </w:rPr>
        <w:t>البيان الجغرافي. وترمي الجملة "</w:t>
      </w:r>
      <w:r w:rsidR="00450110" w:rsidRPr="00E22B27">
        <w:rPr>
          <w:rFonts w:hint="cs"/>
          <w:rtl/>
        </w:rPr>
        <w:t>أو</w:t>
      </w:r>
      <w:r w:rsidR="00450110" w:rsidRPr="00E22B27">
        <w:rPr>
          <w:rtl/>
        </w:rPr>
        <w:t> </w:t>
      </w:r>
      <w:r w:rsidR="004C17BC" w:rsidRPr="00E22B27">
        <w:rPr>
          <w:rFonts w:hint="cs"/>
          <w:rtl/>
        </w:rPr>
        <w:t xml:space="preserve">حقوق أخرى تتصل بتسمية المنشأ </w:t>
      </w:r>
      <w:r w:rsidR="00450110" w:rsidRPr="00E22B27">
        <w:rPr>
          <w:rFonts w:hint="cs"/>
          <w:rtl/>
        </w:rPr>
        <w:t>أو</w:t>
      </w:r>
      <w:r w:rsidR="00450110" w:rsidRPr="00E22B27">
        <w:rPr>
          <w:rtl/>
        </w:rPr>
        <w:t> </w:t>
      </w:r>
      <w:r w:rsidR="004C17BC" w:rsidRPr="00E22B27">
        <w:rPr>
          <w:rFonts w:hint="cs"/>
          <w:rtl/>
        </w:rPr>
        <w:t xml:space="preserve">البيان الجغرافي" إلى توضيح أن عبارة "كيان قانوني" تشمل كذلك ملاك علامات تصديق </w:t>
      </w:r>
      <w:r w:rsidR="00450110" w:rsidRPr="00E22B27">
        <w:rPr>
          <w:rFonts w:hint="cs"/>
          <w:rtl/>
        </w:rPr>
        <w:t>أو</w:t>
      </w:r>
      <w:r w:rsidR="00450110" w:rsidRPr="00E22B27">
        <w:rPr>
          <w:rtl/>
        </w:rPr>
        <w:t> </w:t>
      </w:r>
      <w:r w:rsidR="004C17BC" w:rsidRPr="00E22B27">
        <w:rPr>
          <w:rFonts w:hint="cs"/>
          <w:rtl/>
        </w:rPr>
        <w:t>علامات جماعية.</w:t>
      </w:r>
    </w:p>
    <w:p w:rsidR="004C17BC" w:rsidRPr="00E22B27" w:rsidRDefault="003C1838" w:rsidP="00E22B27">
      <w:pPr>
        <w:pStyle w:val="NormalParaAR"/>
      </w:pPr>
      <w:r w:rsidRPr="00E22B27">
        <w:rPr>
          <w:rtl/>
        </w:rPr>
        <w:t>3.5</w:t>
      </w:r>
      <w:r w:rsidRPr="00E22B27">
        <w:tab/>
      </w:r>
      <w:r w:rsidR="00450110" w:rsidRPr="00E22B27">
        <w:rPr>
          <w:rFonts w:hint="cs"/>
          <w:rtl/>
        </w:rPr>
        <w:t>المادة</w:t>
      </w:r>
      <w:r w:rsidR="00450110" w:rsidRPr="00E22B27">
        <w:rPr>
          <w:rtl/>
        </w:rPr>
        <w:t> </w:t>
      </w:r>
      <w:r w:rsidRPr="00E22B27">
        <w:rPr>
          <w:rFonts w:hint="cs"/>
          <w:rtl/>
        </w:rPr>
        <w:t>5</w:t>
      </w:r>
      <w:r w:rsidR="004C17BC" w:rsidRPr="00E22B27">
        <w:rPr>
          <w:rFonts w:hint="cs"/>
          <w:rtl/>
        </w:rPr>
        <w:t>(</w:t>
      </w:r>
      <w:r w:rsidRPr="00E22B27">
        <w:rPr>
          <w:rFonts w:hint="cs"/>
          <w:rtl/>
        </w:rPr>
        <w:t>3</w:t>
      </w:r>
      <w:r w:rsidR="004C17BC" w:rsidRPr="00E22B27">
        <w:rPr>
          <w:rFonts w:hint="cs"/>
          <w:rtl/>
        </w:rPr>
        <w:t xml:space="preserve">) مادة خيارية. فهي تتيح للأطراف المتعاقدة، الراغبة في ذلك، أن تأذن للمستفيدين، وفقاً </w:t>
      </w:r>
      <w:r w:rsidR="00E22B27">
        <w:rPr>
          <w:rFonts w:hint="cs"/>
          <w:rtl/>
        </w:rPr>
        <w:t>للتعريف الوارد</w:t>
      </w:r>
      <w:r w:rsidR="004C17BC" w:rsidRPr="00E22B27">
        <w:rPr>
          <w:rFonts w:hint="cs"/>
          <w:rtl/>
        </w:rPr>
        <w:t xml:space="preserve"> في </w:t>
      </w:r>
      <w:r w:rsidR="00450110" w:rsidRPr="00E22B27">
        <w:rPr>
          <w:rFonts w:hint="cs"/>
          <w:rtl/>
        </w:rPr>
        <w:t>المادة</w:t>
      </w:r>
      <w:r w:rsidR="00450110" w:rsidRPr="00E22B27">
        <w:rPr>
          <w:rtl/>
        </w:rPr>
        <w:t> </w:t>
      </w:r>
      <w:r w:rsidRPr="00E22B27">
        <w:rPr>
          <w:rFonts w:hint="cs"/>
          <w:rtl/>
        </w:rPr>
        <w:t>1</w:t>
      </w:r>
      <w:r w:rsidR="004C17BC" w:rsidRPr="00E22B27">
        <w:rPr>
          <w:rFonts w:hint="cs"/>
          <w:rtl/>
        </w:rPr>
        <w:t>"</w:t>
      </w:r>
      <w:r w:rsidRPr="00E22B27">
        <w:rPr>
          <w:rFonts w:hint="cs"/>
          <w:rtl/>
        </w:rPr>
        <w:t>17</w:t>
      </w:r>
      <w:r w:rsidR="004C17BC" w:rsidRPr="00E22B27">
        <w:rPr>
          <w:rFonts w:hint="cs"/>
          <w:rtl/>
        </w:rPr>
        <w:t xml:space="preserve">" </w:t>
      </w:r>
      <w:r w:rsidR="00450110" w:rsidRPr="00E22B27">
        <w:rPr>
          <w:rFonts w:hint="cs"/>
          <w:rtl/>
        </w:rPr>
        <w:t>أو</w:t>
      </w:r>
      <w:r w:rsidR="00450110" w:rsidRPr="00E22B27">
        <w:rPr>
          <w:rtl/>
        </w:rPr>
        <w:t> </w:t>
      </w:r>
      <w:r w:rsidR="004C17BC" w:rsidRPr="00E22B27">
        <w:rPr>
          <w:rFonts w:hint="cs"/>
          <w:rtl/>
        </w:rPr>
        <w:t xml:space="preserve">لكيان قانوني وفقاً لما ورد في </w:t>
      </w:r>
      <w:r w:rsidR="00450110" w:rsidRPr="00E22B27">
        <w:rPr>
          <w:rFonts w:hint="cs"/>
          <w:rtl/>
        </w:rPr>
        <w:t>المادة</w:t>
      </w:r>
      <w:r w:rsidR="00450110" w:rsidRPr="00E22B27">
        <w:rPr>
          <w:rtl/>
        </w:rPr>
        <w:t> </w:t>
      </w:r>
      <w:r w:rsidRPr="00E22B27">
        <w:rPr>
          <w:rFonts w:hint="cs"/>
          <w:rtl/>
        </w:rPr>
        <w:t>5</w:t>
      </w:r>
      <w:r w:rsidR="004C17BC" w:rsidRPr="00E22B27">
        <w:rPr>
          <w:rFonts w:hint="cs"/>
          <w:rtl/>
        </w:rPr>
        <w:t>(</w:t>
      </w:r>
      <w:r w:rsidRPr="00E22B27">
        <w:rPr>
          <w:rFonts w:hint="cs"/>
          <w:rtl/>
        </w:rPr>
        <w:t>2</w:t>
      </w:r>
      <w:r w:rsidR="004C17BC" w:rsidRPr="00E22B27">
        <w:rPr>
          <w:rFonts w:hint="cs"/>
          <w:rtl/>
        </w:rPr>
        <w:t>)"</w:t>
      </w:r>
      <w:r w:rsidRPr="00E22B27">
        <w:rPr>
          <w:rFonts w:hint="cs"/>
          <w:rtl/>
        </w:rPr>
        <w:t>2</w:t>
      </w:r>
      <w:r w:rsidR="004C17BC" w:rsidRPr="00E22B27">
        <w:rPr>
          <w:rFonts w:hint="cs"/>
          <w:rtl/>
        </w:rPr>
        <w:t>" بتقديم الطلبات الدولية مباشرة إلى المكتب الدولي بدلا</w:t>
      </w:r>
      <w:r w:rsidR="002A72BD" w:rsidRPr="00E22B27">
        <w:rPr>
          <w:rFonts w:hint="cs"/>
          <w:rtl/>
        </w:rPr>
        <w:t xml:space="preserve">ً من </w:t>
      </w:r>
      <w:r w:rsidR="00E22B27">
        <w:rPr>
          <w:rFonts w:hint="cs"/>
          <w:rtl/>
        </w:rPr>
        <w:t>تقديمها إلى</w:t>
      </w:r>
      <w:r w:rsidR="002A72BD" w:rsidRPr="00E22B27">
        <w:rPr>
          <w:rFonts w:hint="cs"/>
          <w:rtl/>
        </w:rPr>
        <w:t xml:space="preserve"> الإدارة المختصة.</w:t>
      </w:r>
      <w:r w:rsidR="003D3A02" w:rsidRPr="00E22B27">
        <w:rPr>
          <w:rFonts w:hint="cs"/>
          <w:rtl/>
        </w:rPr>
        <w:t xml:space="preserve"> وأُدرج هذا الخيار في ضوء ما خلص إليه رئيس الفريق العامل والوارد في الجملة الأخيرة من </w:t>
      </w:r>
      <w:r w:rsidR="00450110" w:rsidRPr="00E22B27">
        <w:rPr>
          <w:rFonts w:hint="cs"/>
          <w:rtl/>
        </w:rPr>
        <w:t>الفقرة</w:t>
      </w:r>
      <w:r w:rsidR="00450110" w:rsidRPr="00E22B27">
        <w:rPr>
          <w:rtl/>
        </w:rPr>
        <w:t> </w:t>
      </w:r>
      <w:r w:rsidRPr="00E22B27">
        <w:rPr>
          <w:rFonts w:hint="cs"/>
          <w:rtl/>
        </w:rPr>
        <w:t>176</w:t>
      </w:r>
      <w:r w:rsidR="003D3A02" w:rsidRPr="00E22B27">
        <w:rPr>
          <w:rFonts w:hint="cs"/>
          <w:rtl/>
        </w:rPr>
        <w:t xml:space="preserve"> من تقرير الدورة الثانية للفريق العامل (</w:t>
      </w:r>
      <w:r w:rsidR="00450110" w:rsidRPr="00E22B27">
        <w:rPr>
          <w:rFonts w:hint="cs"/>
          <w:rtl/>
        </w:rPr>
        <w:t>ال</w:t>
      </w:r>
      <w:r w:rsidR="00CD0D5E" w:rsidRPr="00E22B27">
        <w:rPr>
          <w:rFonts w:hint="cs"/>
          <w:rtl/>
        </w:rPr>
        <w:t>وثيقة</w:t>
      </w:r>
      <w:r w:rsidR="00CD0D5E" w:rsidRPr="00E22B27">
        <w:rPr>
          <w:rtl/>
        </w:rPr>
        <w:t> </w:t>
      </w:r>
      <w:r w:rsidR="003D3A02" w:rsidRPr="00E22B27">
        <w:t>LI/WG/DEV/</w:t>
      </w:r>
      <w:r w:rsidRPr="00E22B27">
        <w:t>2</w:t>
      </w:r>
      <w:r w:rsidR="003D3A02" w:rsidRPr="00E22B27">
        <w:t>/</w:t>
      </w:r>
      <w:r w:rsidRPr="00E22B27">
        <w:t>5</w:t>
      </w:r>
      <w:r w:rsidR="003D3A02" w:rsidRPr="00E22B27">
        <w:rPr>
          <w:rFonts w:hint="cs"/>
          <w:rtl/>
        </w:rPr>
        <w:t xml:space="preserve">) والمتعلق باقتراح قُدم استجابة لاستقصاء بشأن نظام لشبونة. وفي ضوء التعليقات المختلفة التي أبديت خلال الدورات الثالثة والرابعة والخامسة للفريق العامل فيما يخص شرط الدليل على الحماية في طرف المنشأ المتعاقد، قد يقتضي النص الحالي أن تخضع هذه الطلبات الدولية المباشرة لأحكام اللائحة التنفيذية من حيث العناصر الإلزامية والخيارية. ومتابعة لمناقشات الدورة السابعة للفريق العامل، أضيفت </w:t>
      </w:r>
      <w:r w:rsidR="00450110" w:rsidRPr="00E22B27">
        <w:rPr>
          <w:rFonts w:hint="cs"/>
          <w:rtl/>
        </w:rPr>
        <w:t>الفقرة</w:t>
      </w:r>
      <w:r w:rsidR="00450110" w:rsidRPr="00E22B27">
        <w:rPr>
          <w:rtl/>
        </w:rPr>
        <w:t> </w:t>
      </w:r>
      <w:r w:rsidR="003D3A02" w:rsidRPr="00E22B27">
        <w:rPr>
          <w:rFonts w:hint="cs"/>
          <w:rtl/>
        </w:rPr>
        <w:t>(</w:t>
      </w:r>
      <w:r w:rsidRPr="00E22B27">
        <w:rPr>
          <w:rFonts w:hint="cs"/>
          <w:rtl/>
        </w:rPr>
        <w:t>3</w:t>
      </w:r>
      <w:r w:rsidR="003D3A02" w:rsidRPr="00E22B27">
        <w:rPr>
          <w:rFonts w:hint="cs"/>
          <w:rtl/>
        </w:rPr>
        <w:t xml:space="preserve">)(ب) مما جعل تطبيق </w:t>
      </w:r>
      <w:r w:rsidR="00450110" w:rsidRPr="00E22B27">
        <w:rPr>
          <w:rFonts w:hint="cs"/>
          <w:rtl/>
        </w:rPr>
        <w:t>الفقرة</w:t>
      </w:r>
      <w:r w:rsidR="00450110" w:rsidRPr="00E22B27">
        <w:rPr>
          <w:rtl/>
        </w:rPr>
        <w:t> </w:t>
      </w:r>
      <w:r w:rsidR="003D3A02" w:rsidRPr="00E22B27">
        <w:rPr>
          <w:rFonts w:hint="cs"/>
          <w:rtl/>
        </w:rPr>
        <w:t>(</w:t>
      </w:r>
      <w:r w:rsidRPr="00E22B27">
        <w:rPr>
          <w:rFonts w:hint="cs"/>
          <w:rtl/>
        </w:rPr>
        <w:t>3</w:t>
      </w:r>
      <w:r w:rsidR="003D3A02" w:rsidRPr="00E22B27">
        <w:rPr>
          <w:rFonts w:hint="cs"/>
          <w:rtl/>
        </w:rPr>
        <w:t xml:space="preserve">)(أ) رهن إيداع طرف متعاقد إعلاناً يذكر فيه أنه يأذن بالطلبات المباشرة التي يقدمها المستفيدون وفقاً للتعريف الوارد في </w:t>
      </w:r>
      <w:r w:rsidR="00450110" w:rsidRPr="00E22B27">
        <w:rPr>
          <w:rFonts w:hint="cs"/>
          <w:rtl/>
        </w:rPr>
        <w:t>المادة</w:t>
      </w:r>
      <w:r w:rsidR="00450110" w:rsidRPr="00E22B27">
        <w:rPr>
          <w:rtl/>
        </w:rPr>
        <w:t> </w:t>
      </w:r>
      <w:r w:rsidRPr="00E22B27">
        <w:rPr>
          <w:rFonts w:hint="cs"/>
          <w:rtl/>
        </w:rPr>
        <w:t>1</w:t>
      </w:r>
      <w:r w:rsidR="003D3A02" w:rsidRPr="00E22B27">
        <w:rPr>
          <w:rFonts w:hint="cs"/>
          <w:rtl/>
        </w:rPr>
        <w:t>"</w:t>
      </w:r>
      <w:r w:rsidRPr="00E22B27">
        <w:rPr>
          <w:rFonts w:hint="cs"/>
          <w:rtl/>
        </w:rPr>
        <w:t>17</w:t>
      </w:r>
      <w:r w:rsidR="003D3A02" w:rsidRPr="00E22B27">
        <w:rPr>
          <w:rFonts w:hint="cs"/>
          <w:rtl/>
        </w:rPr>
        <w:t xml:space="preserve">" </w:t>
      </w:r>
      <w:r w:rsidR="00450110" w:rsidRPr="00E22B27">
        <w:rPr>
          <w:rFonts w:hint="cs"/>
          <w:rtl/>
        </w:rPr>
        <w:t>أو</w:t>
      </w:r>
      <w:r w:rsidR="00450110" w:rsidRPr="00E22B27">
        <w:rPr>
          <w:rtl/>
        </w:rPr>
        <w:t> </w:t>
      </w:r>
      <w:r w:rsidR="00832322" w:rsidRPr="00E22B27">
        <w:rPr>
          <w:rFonts w:hint="cs"/>
          <w:rtl/>
        </w:rPr>
        <w:t xml:space="preserve">كيان قانوني وفقاً للتعريف الوارد في </w:t>
      </w:r>
      <w:r w:rsidR="00450110" w:rsidRPr="00E22B27">
        <w:rPr>
          <w:rFonts w:hint="cs"/>
          <w:rtl/>
        </w:rPr>
        <w:t>المادة</w:t>
      </w:r>
      <w:r w:rsidR="00450110" w:rsidRPr="00E22B27">
        <w:rPr>
          <w:rtl/>
        </w:rPr>
        <w:t> </w:t>
      </w:r>
      <w:r w:rsidRPr="00E22B27">
        <w:rPr>
          <w:rFonts w:hint="cs"/>
          <w:rtl/>
        </w:rPr>
        <w:t>5</w:t>
      </w:r>
      <w:r w:rsidR="00832322" w:rsidRPr="00E22B27">
        <w:rPr>
          <w:rFonts w:hint="cs"/>
          <w:rtl/>
        </w:rPr>
        <w:t>(</w:t>
      </w:r>
      <w:r w:rsidRPr="00E22B27">
        <w:rPr>
          <w:rFonts w:hint="cs"/>
          <w:rtl/>
        </w:rPr>
        <w:t>2</w:t>
      </w:r>
      <w:r w:rsidR="00832322" w:rsidRPr="00E22B27">
        <w:rPr>
          <w:rFonts w:hint="cs"/>
          <w:rtl/>
        </w:rPr>
        <w:t>)"</w:t>
      </w:r>
      <w:r w:rsidRPr="00E22B27">
        <w:rPr>
          <w:rFonts w:hint="cs"/>
          <w:rtl/>
        </w:rPr>
        <w:t>2</w:t>
      </w:r>
      <w:r w:rsidR="00832322" w:rsidRPr="00E22B27">
        <w:rPr>
          <w:rFonts w:hint="cs"/>
          <w:rtl/>
        </w:rPr>
        <w:t>".</w:t>
      </w:r>
    </w:p>
    <w:p w:rsidR="00832322" w:rsidRPr="00E22B27" w:rsidRDefault="003C1838" w:rsidP="00E22B27">
      <w:pPr>
        <w:pStyle w:val="NormalParaAR"/>
      </w:pPr>
      <w:r w:rsidRPr="00E22B27">
        <w:rPr>
          <w:rtl/>
        </w:rPr>
        <w:t>4.5</w:t>
      </w:r>
      <w:r w:rsidRPr="00E22B27">
        <w:tab/>
      </w:r>
      <w:r w:rsidR="00450110" w:rsidRPr="00E22B27">
        <w:rPr>
          <w:rFonts w:hint="cs"/>
          <w:rtl/>
        </w:rPr>
        <w:t>المادة</w:t>
      </w:r>
      <w:r w:rsidR="00450110" w:rsidRPr="00E22B27">
        <w:rPr>
          <w:rtl/>
        </w:rPr>
        <w:t> </w:t>
      </w:r>
      <w:r w:rsidRPr="00E22B27">
        <w:rPr>
          <w:rFonts w:hint="cs"/>
          <w:rtl/>
        </w:rPr>
        <w:t>5</w:t>
      </w:r>
      <w:r w:rsidR="00832322" w:rsidRPr="00E22B27">
        <w:rPr>
          <w:rFonts w:hint="cs"/>
          <w:rtl/>
        </w:rPr>
        <w:t>(</w:t>
      </w:r>
      <w:r w:rsidRPr="00E22B27">
        <w:rPr>
          <w:rFonts w:hint="cs"/>
          <w:rtl/>
        </w:rPr>
        <w:t>4</w:t>
      </w:r>
      <w:r w:rsidR="00832322" w:rsidRPr="00E22B27">
        <w:rPr>
          <w:rFonts w:hint="cs"/>
          <w:rtl/>
        </w:rPr>
        <w:t xml:space="preserve">) مادة خيارية أيضاً. ويظهر نص </w:t>
      </w:r>
      <w:r w:rsidR="00450110" w:rsidRPr="00E22B27">
        <w:rPr>
          <w:rFonts w:hint="cs"/>
          <w:rtl/>
        </w:rPr>
        <w:t>المادة</w:t>
      </w:r>
      <w:r w:rsidR="00450110" w:rsidRPr="00E22B27">
        <w:rPr>
          <w:rtl/>
        </w:rPr>
        <w:t> </w:t>
      </w:r>
      <w:r w:rsidR="00832322" w:rsidRPr="00E22B27">
        <w:rPr>
          <w:rFonts w:hint="cs"/>
          <w:rtl/>
        </w:rPr>
        <w:t xml:space="preserve">بين قوسين مربعين إذ إن مسألة إدراج نص يتناول تحديداً تسميات المنشأ والبيانات الجغرافية الناشئة في مناطق جغرافية عابرة للحدود مسألة لا تزال قيد النقاش. وفي إطار اتفاق لشبونة الحالي، سجلت أطراف متعاقدة تسميات منشأ فيما يخص سلع نشأت في جزء من منطقة جغرافية عابرة للحدود تقع في أراضيها. ومن شأن </w:t>
      </w:r>
      <w:r w:rsidR="00450110" w:rsidRPr="00E22B27">
        <w:rPr>
          <w:rFonts w:hint="cs"/>
          <w:rtl/>
        </w:rPr>
        <w:t>المادة</w:t>
      </w:r>
      <w:r w:rsidR="00450110" w:rsidRPr="00E22B27">
        <w:rPr>
          <w:rtl/>
        </w:rPr>
        <w:t> </w:t>
      </w:r>
      <w:r w:rsidRPr="00E22B27">
        <w:rPr>
          <w:rFonts w:hint="cs"/>
          <w:rtl/>
        </w:rPr>
        <w:t>5</w:t>
      </w:r>
      <w:r w:rsidR="00832322" w:rsidRPr="00E22B27">
        <w:rPr>
          <w:rFonts w:hint="cs"/>
          <w:rtl/>
        </w:rPr>
        <w:t>(</w:t>
      </w:r>
      <w:r w:rsidRPr="00E22B27">
        <w:rPr>
          <w:rFonts w:hint="cs"/>
          <w:rtl/>
        </w:rPr>
        <w:t>4</w:t>
      </w:r>
      <w:r w:rsidR="00832322" w:rsidRPr="00E22B27">
        <w:rPr>
          <w:rFonts w:hint="cs"/>
          <w:rtl/>
        </w:rPr>
        <w:t xml:space="preserve">) أن توضح أن نظام لشبونة يتيح كذلك التسجيل الدولي لتسمية منشأ </w:t>
      </w:r>
      <w:r w:rsidR="00450110" w:rsidRPr="00E22B27">
        <w:rPr>
          <w:rFonts w:hint="cs"/>
          <w:rtl/>
        </w:rPr>
        <w:t>أو</w:t>
      </w:r>
      <w:r w:rsidR="00450110" w:rsidRPr="00E22B27">
        <w:rPr>
          <w:rtl/>
        </w:rPr>
        <w:t> </w:t>
      </w:r>
      <w:r w:rsidR="00832322" w:rsidRPr="00E22B27">
        <w:rPr>
          <w:rFonts w:hint="cs"/>
          <w:rtl/>
        </w:rPr>
        <w:t xml:space="preserve">بيان جغرافي فيما يخص سلع نشأت في المنطقة الجغرافية العابرة للحدود بأكملها إذا رسخت الأطراف المتعاقدة المعنية تسمية المنشأ </w:t>
      </w:r>
      <w:r w:rsidR="00450110" w:rsidRPr="00E22B27">
        <w:rPr>
          <w:rFonts w:hint="cs"/>
          <w:rtl/>
        </w:rPr>
        <w:t>أو</w:t>
      </w:r>
      <w:r w:rsidR="00450110" w:rsidRPr="00E22B27">
        <w:rPr>
          <w:rtl/>
        </w:rPr>
        <w:t> </w:t>
      </w:r>
      <w:r w:rsidR="00832322" w:rsidRPr="00E22B27">
        <w:rPr>
          <w:rFonts w:hint="cs"/>
          <w:rtl/>
        </w:rPr>
        <w:t xml:space="preserve">البيان الجغرافي بصورة مشتركة. ويتعين عليها في هذه الحالة تعيين إدارة مختصة مشتركة لتسمية المنشأ المعنية </w:t>
      </w:r>
      <w:r w:rsidR="00450110" w:rsidRPr="00E22B27">
        <w:rPr>
          <w:rFonts w:hint="cs"/>
          <w:rtl/>
        </w:rPr>
        <w:t>أو</w:t>
      </w:r>
      <w:r w:rsidR="00450110" w:rsidRPr="00E22B27">
        <w:rPr>
          <w:rtl/>
        </w:rPr>
        <w:t> </w:t>
      </w:r>
      <w:r w:rsidR="00832322" w:rsidRPr="00E22B27">
        <w:rPr>
          <w:rFonts w:hint="cs"/>
          <w:rtl/>
        </w:rPr>
        <w:t xml:space="preserve">البيان الجغرافي المعني. ولا ريب في أن الأطراف المتعاقدة المجاورة لن تُلزم بترسيخ تسميات المنشأ </w:t>
      </w:r>
      <w:r w:rsidR="00450110" w:rsidRPr="00E22B27">
        <w:rPr>
          <w:rFonts w:hint="cs"/>
          <w:rtl/>
        </w:rPr>
        <w:t>أو</w:t>
      </w:r>
      <w:r w:rsidR="00450110" w:rsidRPr="00E22B27">
        <w:rPr>
          <w:rtl/>
        </w:rPr>
        <w:t> </w:t>
      </w:r>
      <w:r w:rsidR="00832322" w:rsidRPr="00E22B27">
        <w:rPr>
          <w:rFonts w:hint="cs"/>
          <w:rtl/>
        </w:rPr>
        <w:t xml:space="preserve">البيانات الجغرافية هذه بصورة مشتركة. وإنما قد يرجح كل طرف متعاقد إيداع طلب فردي مستقل يخص جزء المنطقة العابرة للحدود الواقع في أراضيه لا </w:t>
      </w:r>
      <w:r w:rsidR="00832322" w:rsidRPr="00E22B27">
        <w:rPr>
          <w:rFonts w:hint="cs"/>
          <w:rtl/>
        </w:rPr>
        <w:lastRenderedPageBreak/>
        <w:t xml:space="preserve">المنطقة العابرة للحدود بأكملها. وينطبق الأمر ذاته على الطلبات المباشرة التي يقدمها المستفيدون وفقاً للتعريف الوارد في </w:t>
      </w:r>
      <w:r w:rsidR="00450110" w:rsidRPr="00E22B27">
        <w:rPr>
          <w:rFonts w:hint="cs"/>
          <w:rtl/>
        </w:rPr>
        <w:t>المادة</w:t>
      </w:r>
      <w:r w:rsidR="00450110" w:rsidRPr="00E22B27">
        <w:rPr>
          <w:rtl/>
        </w:rPr>
        <w:t> </w:t>
      </w:r>
      <w:r w:rsidRPr="00E22B27">
        <w:rPr>
          <w:rFonts w:hint="cs"/>
          <w:rtl/>
        </w:rPr>
        <w:t>1</w:t>
      </w:r>
      <w:r w:rsidR="00832322" w:rsidRPr="00E22B27">
        <w:rPr>
          <w:rFonts w:hint="cs"/>
          <w:rtl/>
        </w:rPr>
        <w:t>"</w:t>
      </w:r>
      <w:r w:rsidRPr="00E22B27">
        <w:rPr>
          <w:rFonts w:hint="cs"/>
          <w:rtl/>
        </w:rPr>
        <w:t>17</w:t>
      </w:r>
      <w:r w:rsidR="00832322" w:rsidRPr="00E22B27">
        <w:rPr>
          <w:rFonts w:hint="cs"/>
          <w:rtl/>
        </w:rPr>
        <w:t xml:space="preserve">" </w:t>
      </w:r>
      <w:r w:rsidR="00450110" w:rsidRPr="00E22B27">
        <w:rPr>
          <w:rFonts w:hint="cs"/>
          <w:rtl/>
        </w:rPr>
        <w:t>أو</w:t>
      </w:r>
      <w:r w:rsidR="00450110" w:rsidRPr="00E22B27">
        <w:rPr>
          <w:rtl/>
        </w:rPr>
        <w:t> </w:t>
      </w:r>
      <w:r w:rsidR="00832322" w:rsidRPr="00E22B27">
        <w:rPr>
          <w:rFonts w:hint="cs"/>
          <w:rtl/>
        </w:rPr>
        <w:t xml:space="preserve">كيان قانوني وفقاً لما ورد في </w:t>
      </w:r>
      <w:r w:rsidR="00450110" w:rsidRPr="00E22B27">
        <w:rPr>
          <w:rFonts w:hint="cs"/>
          <w:rtl/>
        </w:rPr>
        <w:t>المادة</w:t>
      </w:r>
      <w:r w:rsidR="00450110" w:rsidRPr="00E22B27">
        <w:rPr>
          <w:rtl/>
        </w:rPr>
        <w:t> </w:t>
      </w:r>
      <w:r w:rsidRPr="00E22B27">
        <w:rPr>
          <w:rFonts w:hint="cs"/>
          <w:rtl/>
        </w:rPr>
        <w:t>5</w:t>
      </w:r>
      <w:r w:rsidR="00832322" w:rsidRPr="00E22B27">
        <w:rPr>
          <w:rFonts w:hint="cs"/>
          <w:rtl/>
        </w:rPr>
        <w:t>(</w:t>
      </w:r>
      <w:r w:rsidRPr="00E22B27">
        <w:rPr>
          <w:rFonts w:hint="cs"/>
          <w:rtl/>
        </w:rPr>
        <w:t>2</w:t>
      </w:r>
      <w:r w:rsidR="00832322" w:rsidRPr="00E22B27">
        <w:rPr>
          <w:rFonts w:hint="cs"/>
          <w:rtl/>
        </w:rPr>
        <w:t>)"</w:t>
      </w:r>
      <w:r w:rsidRPr="00E22B27">
        <w:rPr>
          <w:rFonts w:hint="cs"/>
          <w:rtl/>
        </w:rPr>
        <w:t>2</w:t>
      </w:r>
      <w:r w:rsidR="00832322" w:rsidRPr="00E22B27">
        <w:rPr>
          <w:rFonts w:hint="cs"/>
          <w:rtl/>
        </w:rPr>
        <w:t>".</w:t>
      </w:r>
      <w:r w:rsidR="00C0734C" w:rsidRPr="00E22B27">
        <w:rPr>
          <w:rFonts w:hint="cs"/>
          <w:rtl/>
        </w:rPr>
        <w:t xml:space="preserve"> إذ</w:t>
      </w:r>
      <w:r w:rsidR="00832322" w:rsidRPr="00E22B27">
        <w:rPr>
          <w:rFonts w:hint="cs"/>
          <w:rtl/>
        </w:rPr>
        <w:t xml:space="preserve"> </w:t>
      </w:r>
      <w:r w:rsidR="00C0734C" w:rsidRPr="00E22B27">
        <w:rPr>
          <w:rFonts w:hint="cs"/>
          <w:rtl/>
        </w:rPr>
        <w:t xml:space="preserve">لا يمكن للمستفيدين وفقاً للتعريف الوارد في </w:t>
      </w:r>
      <w:r w:rsidR="00450110" w:rsidRPr="00E22B27">
        <w:rPr>
          <w:rFonts w:hint="cs"/>
          <w:rtl/>
        </w:rPr>
        <w:t>المادة</w:t>
      </w:r>
      <w:r w:rsidR="00450110" w:rsidRPr="00E22B27">
        <w:rPr>
          <w:rtl/>
        </w:rPr>
        <w:t> </w:t>
      </w:r>
      <w:r w:rsidRPr="00E22B27">
        <w:rPr>
          <w:rFonts w:hint="cs"/>
          <w:rtl/>
        </w:rPr>
        <w:t>1</w:t>
      </w:r>
      <w:r w:rsidR="00C0734C" w:rsidRPr="00E22B27">
        <w:rPr>
          <w:rFonts w:hint="cs"/>
          <w:rtl/>
        </w:rPr>
        <w:t>"</w:t>
      </w:r>
      <w:r w:rsidRPr="00E22B27">
        <w:rPr>
          <w:rFonts w:hint="cs"/>
          <w:rtl/>
        </w:rPr>
        <w:t>17</w:t>
      </w:r>
      <w:r w:rsidR="00C0734C" w:rsidRPr="00E22B27">
        <w:rPr>
          <w:rFonts w:hint="cs"/>
          <w:rtl/>
        </w:rPr>
        <w:t xml:space="preserve">" </w:t>
      </w:r>
      <w:r w:rsidR="00450110" w:rsidRPr="00E22B27">
        <w:rPr>
          <w:rFonts w:hint="cs"/>
          <w:rtl/>
        </w:rPr>
        <w:t>أو</w:t>
      </w:r>
      <w:r w:rsidR="00450110" w:rsidRPr="00E22B27">
        <w:rPr>
          <w:rtl/>
        </w:rPr>
        <w:t> </w:t>
      </w:r>
      <w:r w:rsidR="00C0734C" w:rsidRPr="00E22B27">
        <w:rPr>
          <w:rFonts w:hint="cs"/>
          <w:rtl/>
        </w:rPr>
        <w:t xml:space="preserve">لكيان قانوني وفقاً لما ورد في </w:t>
      </w:r>
      <w:r w:rsidR="00450110" w:rsidRPr="00E22B27">
        <w:rPr>
          <w:rFonts w:hint="cs"/>
          <w:rtl/>
        </w:rPr>
        <w:t>المادة</w:t>
      </w:r>
      <w:r w:rsidR="00450110" w:rsidRPr="00E22B27">
        <w:rPr>
          <w:rtl/>
        </w:rPr>
        <w:t> </w:t>
      </w:r>
      <w:r w:rsidRPr="00E22B27">
        <w:rPr>
          <w:rFonts w:hint="cs"/>
          <w:rtl/>
        </w:rPr>
        <w:t>5</w:t>
      </w:r>
      <w:r w:rsidR="00C0734C" w:rsidRPr="00E22B27">
        <w:rPr>
          <w:rFonts w:hint="cs"/>
          <w:rtl/>
        </w:rPr>
        <w:t>(</w:t>
      </w:r>
      <w:r w:rsidRPr="00E22B27">
        <w:rPr>
          <w:rFonts w:hint="cs"/>
          <w:rtl/>
        </w:rPr>
        <w:t>2</w:t>
      </w:r>
      <w:r w:rsidR="00C0734C" w:rsidRPr="00E22B27">
        <w:rPr>
          <w:rFonts w:hint="cs"/>
          <w:rtl/>
        </w:rPr>
        <w:t>)"</w:t>
      </w:r>
      <w:r w:rsidRPr="00E22B27">
        <w:rPr>
          <w:rFonts w:hint="cs"/>
          <w:rtl/>
        </w:rPr>
        <w:t>2</w:t>
      </w:r>
      <w:r w:rsidR="00C0734C" w:rsidRPr="00E22B27">
        <w:rPr>
          <w:rFonts w:hint="cs"/>
          <w:rtl/>
        </w:rPr>
        <w:t xml:space="preserve">" أن يقدموا طلبات مباشرة بموجب </w:t>
      </w:r>
      <w:r w:rsidR="00450110" w:rsidRPr="00E22B27">
        <w:rPr>
          <w:rFonts w:hint="cs"/>
          <w:rtl/>
        </w:rPr>
        <w:t>المادة</w:t>
      </w:r>
      <w:r w:rsidR="00450110" w:rsidRPr="00E22B27">
        <w:rPr>
          <w:rtl/>
        </w:rPr>
        <w:t> </w:t>
      </w:r>
      <w:r w:rsidRPr="00E22B27">
        <w:rPr>
          <w:rFonts w:hint="cs"/>
          <w:rtl/>
        </w:rPr>
        <w:t>5</w:t>
      </w:r>
      <w:r w:rsidR="00C0734C" w:rsidRPr="00E22B27">
        <w:rPr>
          <w:rFonts w:hint="cs"/>
          <w:rtl/>
        </w:rPr>
        <w:t>(</w:t>
      </w:r>
      <w:r w:rsidRPr="00E22B27">
        <w:rPr>
          <w:rFonts w:hint="cs"/>
          <w:rtl/>
        </w:rPr>
        <w:t>4</w:t>
      </w:r>
      <w:r w:rsidR="00C0734C" w:rsidRPr="00E22B27">
        <w:rPr>
          <w:rFonts w:hint="cs"/>
          <w:rtl/>
        </w:rPr>
        <w:t xml:space="preserve">)(ب) إلا إذا أودع كلا الطرفان المتعاقدان الإعلان المشار إليه في </w:t>
      </w:r>
      <w:r w:rsidR="00450110" w:rsidRPr="00E22B27">
        <w:rPr>
          <w:rFonts w:hint="cs"/>
          <w:rtl/>
        </w:rPr>
        <w:t>المادة</w:t>
      </w:r>
      <w:r w:rsidR="00450110" w:rsidRPr="00E22B27">
        <w:rPr>
          <w:rtl/>
        </w:rPr>
        <w:t> </w:t>
      </w:r>
      <w:r w:rsidRPr="00E22B27">
        <w:rPr>
          <w:rFonts w:hint="cs"/>
          <w:rtl/>
        </w:rPr>
        <w:t>5</w:t>
      </w:r>
      <w:r w:rsidR="00C0734C" w:rsidRPr="00E22B27">
        <w:rPr>
          <w:rFonts w:hint="cs"/>
          <w:rtl/>
        </w:rPr>
        <w:t>(</w:t>
      </w:r>
      <w:r w:rsidRPr="00E22B27">
        <w:rPr>
          <w:rFonts w:hint="cs"/>
          <w:rtl/>
        </w:rPr>
        <w:t>3</w:t>
      </w:r>
      <w:r w:rsidR="00C0734C" w:rsidRPr="00E22B27">
        <w:rPr>
          <w:rFonts w:hint="cs"/>
          <w:rtl/>
        </w:rPr>
        <w:t xml:space="preserve">)(ب). </w:t>
      </w:r>
      <w:r w:rsidR="00E22B27">
        <w:rPr>
          <w:rFonts w:hint="cs"/>
          <w:rtl/>
        </w:rPr>
        <w:t xml:space="preserve">إذ </w:t>
      </w:r>
      <w:r w:rsidR="00C0734C" w:rsidRPr="00E22B27">
        <w:rPr>
          <w:rFonts w:hint="cs"/>
          <w:rtl/>
        </w:rPr>
        <w:t xml:space="preserve">إن </w:t>
      </w:r>
      <w:r w:rsidR="00450110" w:rsidRPr="00E22B27">
        <w:rPr>
          <w:rFonts w:hint="cs"/>
          <w:rtl/>
        </w:rPr>
        <w:t>المادة</w:t>
      </w:r>
      <w:r w:rsidR="00450110" w:rsidRPr="00E22B27">
        <w:rPr>
          <w:rtl/>
        </w:rPr>
        <w:t> </w:t>
      </w:r>
      <w:r w:rsidRPr="00E22B27">
        <w:rPr>
          <w:rFonts w:hint="cs"/>
          <w:rtl/>
        </w:rPr>
        <w:t>5</w:t>
      </w:r>
      <w:r w:rsidR="00C0734C" w:rsidRPr="00E22B27">
        <w:rPr>
          <w:rFonts w:hint="cs"/>
          <w:rtl/>
        </w:rPr>
        <w:t>(</w:t>
      </w:r>
      <w:r w:rsidRPr="00E22B27">
        <w:rPr>
          <w:rFonts w:hint="cs"/>
          <w:rtl/>
        </w:rPr>
        <w:t>4</w:t>
      </w:r>
      <w:r w:rsidR="00C0734C" w:rsidRPr="00E22B27">
        <w:rPr>
          <w:rFonts w:hint="cs"/>
          <w:rtl/>
        </w:rPr>
        <w:t xml:space="preserve">) لا تخص إلا الحالة الاستثنائية التي يرسخ فيها طرفان متعاقدان مجاوران تسمية منشأ </w:t>
      </w:r>
      <w:r w:rsidR="00450110" w:rsidRPr="00E22B27">
        <w:rPr>
          <w:rFonts w:hint="cs"/>
          <w:rtl/>
        </w:rPr>
        <w:t>أو</w:t>
      </w:r>
      <w:r w:rsidR="00450110" w:rsidRPr="00E22B27">
        <w:rPr>
          <w:rtl/>
        </w:rPr>
        <w:t> </w:t>
      </w:r>
      <w:r w:rsidR="00C0734C" w:rsidRPr="00E22B27">
        <w:rPr>
          <w:rFonts w:hint="cs"/>
          <w:rtl/>
        </w:rPr>
        <w:t xml:space="preserve">بياناً جغرافياً بصورة مشتركة وستقضي </w:t>
      </w:r>
      <w:r w:rsidR="00E22B27">
        <w:rPr>
          <w:rFonts w:hint="cs"/>
          <w:rtl/>
        </w:rPr>
        <w:t>منهم</w:t>
      </w:r>
      <w:r w:rsidR="00C0734C" w:rsidRPr="00E22B27">
        <w:rPr>
          <w:rFonts w:hint="cs"/>
          <w:rtl/>
        </w:rPr>
        <w:t xml:space="preserve"> تعيين إدارة مختصة مشتركة لتسمية المنشأ </w:t>
      </w:r>
      <w:r w:rsidR="00450110" w:rsidRPr="00E22B27">
        <w:rPr>
          <w:rFonts w:hint="cs"/>
          <w:rtl/>
        </w:rPr>
        <w:t>أو</w:t>
      </w:r>
      <w:r w:rsidR="00450110" w:rsidRPr="00E22B27">
        <w:rPr>
          <w:rtl/>
        </w:rPr>
        <w:t> </w:t>
      </w:r>
      <w:r w:rsidR="00C0734C" w:rsidRPr="00E22B27">
        <w:rPr>
          <w:rFonts w:hint="cs"/>
          <w:rtl/>
        </w:rPr>
        <w:t>البيان الجغرافي المعني.</w:t>
      </w:r>
    </w:p>
    <w:p w:rsidR="00C0734C" w:rsidRPr="00E22B27" w:rsidRDefault="003C1838" w:rsidP="009422A7">
      <w:pPr>
        <w:pStyle w:val="NormalParaAR"/>
      </w:pPr>
      <w:r w:rsidRPr="00E22B27">
        <w:rPr>
          <w:rtl/>
        </w:rPr>
        <w:t>5.5</w:t>
      </w:r>
      <w:r w:rsidRPr="00E22B27">
        <w:tab/>
      </w:r>
      <w:r w:rsidR="00C0734C" w:rsidRPr="00E22B27">
        <w:rPr>
          <w:rFonts w:hint="cs"/>
          <w:rtl/>
        </w:rPr>
        <w:t xml:space="preserve">تميز </w:t>
      </w:r>
      <w:r w:rsidR="00450110" w:rsidRPr="00E22B27">
        <w:rPr>
          <w:rFonts w:hint="cs"/>
          <w:rtl/>
        </w:rPr>
        <w:t>المادة</w:t>
      </w:r>
      <w:r w:rsidR="00450110" w:rsidRPr="00E22B27">
        <w:rPr>
          <w:rtl/>
        </w:rPr>
        <w:t> </w:t>
      </w:r>
      <w:r w:rsidRPr="00E22B27">
        <w:rPr>
          <w:rFonts w:hint="cs"/>
          <w:rtl/>
        </w:rPr>
        <w:t>5</w:t>
      </w:r>
      <w:r w:rsidR="00C0734C" w:rsidRPr="00E22B27">
        <w:rPr>
          <w:rFonts w:hint="cs"/>
          <w:rtl/>
        </w:rPr>
        <w:t>(</w:t>
      </w:r>
      <w:r w:rsidRPr="00E22B27">
        <w:rPr>
          <w:rFonts w:hint="cs"/>
          <w:rtl/>
        </w:rPr>
        <w:t>5</w:t>
      </w:r>
      <w:r w:rsidR="00C0734C" w:rsidRPr="00E22B27">
        <w:rPr>
          <w:rFonts w:hint="cs"/>
          <w:rtl/>
        </w:rPr>
        <w:t xml:space="preserve">) بين نوعين من العناصر الإلزامية فيما يخص الطلبات الدولية وهما العناصر اللازمة ليحصل الطلب على تاريخ إيداع (انظر </w:t>
      </w:r>
      <w:r w:rsidR="00450110" w:rsidRPr="00E22B27">
        <w:rPr>
          <w:rFonts w:hint="cs"/>
          <w:rtl/>
        </w:rPr>
        <w:t>المادة</w:t>
      </w:r>
      <w:r w:rsidR="00450110" w:rsidRPr="00E22B27">
        <w:rPr>
          <w:rtl/>
        </w:rPr>
        <w:t> </w:t>
      </w:r>
      <w:r w:rsidRPr="00E22B27">
        <w:rPr>
          <w:rFonts w:hint="cs"/>
          <w:rtl/>
        </w:rPr>
        <w:t>6</w:t>
      </w:r>
      <w:r w:rsidR="00C0734C" w:rsidRPr="00E22B27">
        <w:rPr>
          <w:rFonts w:hint="cs"/>
          <w:rtl/>
        </w:rPr>
        <w:t>(</w:t>
      </w:r>
      <w:r w:rsidRPr="00E22B27">
        <w:rPr>
          <w:rFonts w:hint="cs"/>
          <w:rtl/>
        </w:rPr>
        <w:t>3</w:t>
      </w:r>
      <w:r w:rsidR="00C0734C" w:rsidRPr="00E22B27">
        <w:rPr>
          <w:rFonts w:hint="cs"/>
          <w:rtl/>
        </w:rPr>
        <w:t xml:space="preserve">)) والشروط الإلزامية الأخرى (انظر القاعدة </w:t>
      </w:r>
      <w:r w:rsidRPr="00E22B27">
        <w:rPr>
          <w:rFonts w:hint="cs"/>
          <w:rtl/>
        </w:rPr>
        <w:t>5</w:t>
      </w:r>
      <w:r w:rsidR="00C0734C" w:rsidRPr="00E22B27">
        <w:rPr>
          <w:rFonts w:hint="cs"/>
          <w:rtl/>
        </w:rPr>
        <w:t>(</w:t>
      </w:r>
      <w:r w:rsidRPr="00E22B27">
        <w:rPr>
          <w:rFonts w:hint="cs"/>
          <w:rtl/>
        </w:rPr>
        <w:t>2</w:t>
      </w:r>
      <w:r w:rsidR="00C0734C" w:rsidRPr="00E22B27">
        <w:rPr>
          <w:rFonts w:hint="cs"/>
          <w:rtl/>
        </w:rPr>
        <w:t>)).</w:t>
      </w:r>
    </w:p>
    <w:p w:rsidR="00187464" w:rsidRPr="00E22B27" w:rsidRDefault="00187464" w:rsidP="009422A7">
      <w:pPr>
        <w:pStyle w:val="Heading1AR"/>
        <w:spacing w:before="0" w:after="360" w:line="360" w:lineRule="exact"/>
      </w:pPr>
      <w:r w:rsidRPr="00E22B27">
        <w:rPr>
          <w:rtl/>
        </w:rPr>
        <w:t>ملاحظات على</w:t>
      </w:r>
      <w:r w:rsidR="007C2359" w:rsidRPr="00E22B27">
        <w:rPr>
          <w:rtl/>
        </w:rPr>
        <w:t xml:space="preserve"> </w:t>
      </w:r>
      <w:r w:rsidR="00450110" w:rsidRPr="00E22B27">
        <w:rPr>
          <w:rtl/>
        </w:rPr>
        <w:t>المادة </w:t>
      </w:r>
      <w:r w:rsidR="003C1838" w:rsidRPr="00E22B27">
        <w:rPr>
          <w:rtl/>
        </w:rPr>
        <w:t>6</w:t>
      </w:r>
      <w:r w:rsidRPr="00E22B27">
        <w:rPr>
          <w:rtl/>
        </w:rPr>
        <w:t>:</w:t>
      </w:r>
      <w:r w:rsidRPr="00E22B27">
        <w:rPr>
          <w:rtl/>
        </w:rPr>
        <w:tab/>
        <w:t>التسجيل الدولي</w:t>
      </w:r>
    </w:p>
    <w:p w:rsidR="006417E8" w:rsidRPr="00E22B27" w:rsidRDefault="003C1838" w:rsidP="00E22B27">
      <w:pPr>
        <w:pStyle w:val="NormalParaAR"/>
      </w:pPr>
      <w:r w:rsidRPr="00E22B27">
        <w:rPr>
          <w:rtl/>
        </w:rPr>
        <w:t>1.</w:t>
      </w:r>
      <w:r w:rsidR="00E22B27">
        <w:rPr>
          <w:rFonts w:hint="cs"/>
          <w:rtl/>
        </w:rPr>
        <w:t>6</w:t>
      </w:r>
      <w:r w:rsidRPr="00E22B27">
        <w:tab/>
      </w:r>
      <w:r w:rsidR="00957852" w:rsidRPr="00E22B27">
        <w:rPr>
          <w:rFonts w:hint="cs"/>
          <w:rtl/>
        </w:rPr>
        <w:t xml:space="preserve">تقوم أحكام </w:t>
      </w:r>
      <w:r w:rsidR="00450110" w:rsidRPr="00E22B27">
        <w:rPr>
          <w:rFonts w:hint="cs"/>
          <w:rtl/>
        </w:rPr>
        <w:t>المادة</w:t>
      </w:r>
      <w:r w:rsidR="00450110" w:rsidRPr="00E22B27">
        <w:rPr>
          <w:rtl/>
        </w:rPr>
        <w:t> </w:t>
      </w:r>
      <w:r w:rsidRPr="00E22B27">
        <w:rPr>
          <w:rFonts w:hint="cs"/>
          <w:rtl/>
        </w:rPr>
        <w:t>6</w:t>
      </w:r>
      <w:r w:rsidR="00957852" w:rsidRPr="00E22B27">
        <w:rPr>
          <w:rFonts w:hint="cs"/>
          <w:rtl/>
        </w:rPr>
        <w:t xml:space="preserve"> على مبدأ </w:t>
      </w:r>
      <w:r w:rsidR="00EC7015" w:rsidRPr="00E22B27">
        <w:rPr>
          <w:rFonts w:hint="cs"/>
          <w:rtl/>
        </w:rPr>
        <w:t>استيفاء</w:t>
      </w:r>
      <w:r w:rsidR="00957852" w:rsidRPr="00E22B27">
        <w:rPr>
          <w:rFonts w:hint="cs"/>
          <w:rtl/>
        </w:rPr>
        <w:t xml:space="preserve"> تسمية </w:t>
      </w:r>
      <w:r w:rsidR="00EC7015" w:rsidRPr="00E22B27">
        <w:rPr>
          <w:rFonts w:hint="cs"/>
          <w:rtl/>
        </w:rPr>
        <w:t>ال</w:t>
      </w:r>
      <w:r w:rsidR="00957852" w:rsidRPr="00E22B27">
        <w:rPr>
          <w:rFonts w:hint="cs"/>
          <w:rtl/>
        </w:rPr>
        <w:t xml:space="preserve">منشأ </w:t>
      </w:r>
      <w:r w:rsidR="00450110" w:rsidRPr="00E22B27">
        <w:rPr>
          <w:rFonts w:hint="cs"/>
          <w:rtl/>
        </w:rPr>
        <w:t>أو</w:t>
      </w:r>
      <w:r w:rsidR="00450110" w:rsidRPr="00E22B27">
        <w:rPr>
          <w:rtl/>
        </w:rPr>
        <w:t> </w:t>
      </w:r>
      <w:r w:rsidR="00EC7015" w:rsidRPr="00E22B27">
        <w:rPr>
          <w:rFonts w:hint="cs"/>
          <w:rtl/>
        </w:rPr>
        <w:t>ال</w:t>
      </w:r>
      <w:r w:rsidR="00957852" w:rsidRPr="00E22B27">
        <w:rPr>
          <w:rFonts w:hint="cs"/>
          <w:rtl/>
        </w:rPr>
        <w:t xml:space="preserve">بيان </w:t>
      </w:r>
      <w:r w:rsidR="00EC7015" w:rsidRPr="00E22B27">
        <w:rPr>
          <w:rFonts w:hint="cs"/>
          <w:rtl/>
        </w:rPr>
        <w:t>ال</w:t>
      </w:r>
      <w:r w:rsidR="00957852" w:rsidRPr="00E22B27">
        <w:rPr>
          <w:rFonts w:hint="cs"/>
          <w:rtl/>
        </w:rPr>
        <w:t xml:space="preserve">جغرافي </w:t>
      </w:r>
      <w:r w:rsidR="00EC7015" w:rsidRPr="00E22B27">
        <w:rPr>
          <w:rFonts w:hint="cs"/>
          <w:rtl/>
        </w:rPr>
        <w:t>ال</w:t>
      </w:r>
      <w:r w:rsidR="00957852" w:rsidRPr="00E22B27">
        <w:rPr>
          <w:rFonts w:hint="cs"/>
          <w:rtl/>
        </w:rPr>
        <w:t xml:space="preserve">مسجل دولياً شروط التعريف الوارد في </w:t>
      </w:r>
      <w:r w:rsidR="00450110" w:rsidRPr="00E22B27">
        <w:rPr>
          <w:rFonts w:hint="cs"/>
          <w:rtl/>
        </w:rPr>
        <w:t>المادة</w:t>
      </w:r>
      <w:r w:rsidR="00450110" w:rsidRPr="00E22B27">
        <w:rPr>
          <w:rtl/>
        </w:rPr>
        <w:t> </w:t>
      </w:r>
      <w:r w:rsidRPr="00E22B27">
        <w:rPr>
          <w:rFonts w:hint="cs"/>
          <w:rtl/>
        </w:rPr>
        <w:t>2</w:t>
      </w:r>
      <w:r w:rsidR="00957852" w:rsidRPr="00E22B27">
        <w:rPr>
          <w:rFonts w:hint="cs"/>
          <w:rtl/>
        </w:rPr>
        <w:t>(</w:t>
      </w:r>
      <w:r w:rsidRPr="00E22B27">
        <w:rPr>
          <w:rFonts w:hint="cs"/>
          <w:rtl/>
        </w:rPr>
        <w:t>1</w:t>
      </w:r>
      <w:r w:rsidR="00957852" w:rsidRPr="00E22B27">
        <w:rPr>
          <w:rFonts w:hint="cs"/>
          <w:rtl/>
        </w:rPr>
        <w:t>)</w:t>
      </w:r>
      <w:r w:rsidR="00EC7015" w:rsidRPr="00E22B27">
        <w:rPr>
          <w:rFonts w:hint="cs"/>
          <w:rtl/>
        </w:rPr>
        <w:t xml:space="preserve"> على الأقل</w:t>
      </w:r>
      <w:r w:rsidR="00957852" w:rsidRPr="00E22B27">
        <w:rPr>
          <w:rFonts w:hint="cs"/>
          <w:rtl/>
        </w:rPr>
        <w:t xml:space="preserve"> </w:t>
      </w:r>
      <w:r w:rsidR="00EC7015" w:rsidRPr="00E22B27">
        <w:rPr>
          <w:rFonts w:hint="cs"/>
          <w:rtl/>
        </w:rPr>
        <w:t>ليصبحا قابلان للحماية في</w:t>
      </w:r>
      <w:r w:rsidR="00957852" w:rsidRPr="00E22B27">
        <w:rPr>
          <w:rFonts w:hint="cs"/>
          <w:rtl/>
        </w:rPr>
        <w:t xml:space="preserve"> جميع الأطراف المتعاقدة.</w:t>
      </w:r>
    </w:p>
    <w:p w:rsidR="00187464" w:rsidRPr="00E22B27" w:rsidRDefault="00187464" w:rsidP="009422A7">
      <w:pPr>
        <w:pStyle w:val="Heading1AR"/>
        <w:spacing w:before="0" w:after="360" w:line="360" w:lineRule="exact"/>
      </w:pPr>
      <w:r w:rsidRPr="00E22B27">
        <w:rPr>
          <w:rFonts w:hint="cs"/>
          <w:rtl/>
        </w:rPr>
        <w:t>ملاحظات على</w:t>
      </w:r>
      <w:r w:rsidR="007C2359" w:rsidRPr="00E22B27">
        <w:rPr>
          <w:rFonts w:hint="cs"/>
          <w:rtl/>
        </w:rPr>
        <w:t xml:space="preserve"> </w:t>
      </w:r>
      <w:r w:rsidR="00450110" w:rsidRPr="00E22B27">
        <w:rPr>
          <w:rFonts w:hint="cs"/>
          <w:rtl/>
        </w:rPr>
        <w:t>المادة</w:t>
      </w:r>
      <w:r w:rsidR="00450110" w:rsidRPr="00E22B27">
        <w:rPr>
          <w:rtl/>
        </w:rPr>
        <w:t> </w:t>
      </w:r>
      <w:r w:rsidR="003C1838" w:rsidRPr="00E22B27">
        <w:rPr>
          <w:rFonts w:hint="cs"/>
          <w:rtl/>
        </w:rPr>
        <w:t>7</w:t>
      </w:r>
      <w:r w:rsidRPr="00E22B27">
        <w:rPr>
          <w:rFonts w:hint="cs"/>
          <w:rtl/>
        </w:rPr>
        <w:t>:</w:t>
      </w:r>
      <w:r w:rsidRPr="00E22B27">
        <w:rPr>
          <w:rFonts w:hint="cs"/>
          <w:rtl/>
        </w:rPr>
        <w:tab/>
        <w:t>الرسوم</w:t>
      </w:r>
    </w:p>
    <w:p w:rsidR="006417E8" w:rsidRPr="00E22B27" w:rsidRDefault="003C1838" w:rsidP="009422A7">
      <w:pPr>
        <w:pStyle w:val="NormalParaAR"/>
      </w:pPr>
      <w:r w:rsidRPr="00E22B27">
        <w:rPr>
          <w:rtl/>
        </w:rPr>
        <w:t>1.7</w:t>
      </w:r>
      <w:r w:rsidRPr="00E22B27">
        <w:tab/>
      </w:r>
      <w:r w:rsidR="00EC7015" w:rsidRPr="00E22B27">
        <w:rPr>
          <w:rFonts w:hint="cs"/>
          <w:rtl/>
        </w:rPr>
        <w:t xml:space="preserve">سعياً إلى إضفاء أكبر قدر ممكن من الشمولية على الفصل الثاني الخاص بالطلب والتسجيل الدولي، أُدرجت مادة مستقلة بشأن رسم التسجيل والرسوم الأخرى المستحقة وهي </w:t>
      </w:r>
      <w:r w:rsidR="00450110" w:rsidRPr="00E22B27">
        <w:rPr>
          <w:rFonts w:hint="cs"/>
          <w:rtl/>
        </w:rPr>
        <w:t>المادة</w:t>
      </w:r>
      <w:r w:rsidR="00450110" w:rsidRPr="00E22B27">
        <w:rPr>
          <w:rtl/>
        </w:rPr>
        <w:t> </w:t>
      </w:r>
      <w:r w:rsidRPr="00E22B27">
        <w:rPr>
          <w:rFonts w:hint="cs"/>
          <w:rtl/>
        </w:rPr>
        <w:t>7.</w:t>
      </w:r>
      <w:r w:rsidR="00EC7015" w:rsidRPr="00E22B27">
        <w:rPr>
          <w:rFonts w:hint="cs"/>
          <w:rtl/>
        </w:rPr>
        <w:t xml:space="preserve"> وفيما يتعلق بمبلغ هذه الرسوم، يشار إلى القاعدة </w:t>
      </w:r>
      <w:r w:rsidRPr="00E22B27">
        <w:rPr>
          <w:rFonts w:hint="cs"/>
          <w:rtl/>
        </w:rPr>
        <w:t>8</w:t>
      </w:r>
      <w:r w:rsidR="00EC7015" w:rsidRPr="00E22B27">
        <w:rPr>
          <w:rFonts w:hint="cs"/>
          <w:rtl/>
        </w:rPr>
        <w:t xml:space="preserve"> إضافة إلى </w:t>
      </w:r>
      <w:r w:rsidR="00450110" w:rsidRPr="00E22B27">
        <w:rPr>
          <w:rFonts w:hint="cs"/>
          <w:rtl/>
        </w:rPr>
        <w:t>المادة</w:t>
      </w:r>
      <w:r w:rsidR="00450110" w:rsidRPr="00E22B27">
        <w:rPr>
          <w:rtl/>
        </w:rPr>
        <w:t> </w:t>
      </w:r>
      <w:r w:rsidRPr="00E22B27">
        <w:rPr>
          <w:rFonts w:hint="cs"/>
          <w:rtl/>
        </w:rPr>
        <w:t>24</w:t>
      </w:r>
      <w:r w:rsidR="00EC7015" w:rsidRPr="00E22B27">
        <w:rPr>
          <w:rFonts w:hint="cs"/>
          <w:rtl/>
        </w:rPr>
        <w:t>(</w:t>
      </w:r>
      <w:r w:rsidRPr="00E22B27">
        <w:rPr>
          <w:rFonts w:hint="cs"/>
          <w:rtl/>
        </w:rPr>
        <w:t>4</w:t>
      </w:r>
      <w:r w:rsidR="00EC7015" w:rsidRPr="00E22B27">
        <w:rPr>
          <w:rFonts w:hint="cs"/>
          <w:rtl/>
        </w:rPr>
        <w:t>)(أ).</w:t>
      </w:r>
    </w:p>
    <w:p w:rsidR="00F45410" w:rsidRPr="00E22B27" w:rsidRDefault="003C1838" w:rsidP="004900B1">
      <w:pPr>
        <w:pStyle w:val="NormalParaAR"/>
      </w:pPr>
      <w:r w:rsidRPr="00E22B27">
        <w:rPr>
          <w:rtl/>
        </w:rPr>
        <w:t>2.7</w:t>
      </w:r>
      <w:r w:rsidRPr="00E22B27">
        <w:tab/>
      </w:r>
      <w:r w:rsidR="00F45410" w:rsidRPr="00E22B27">
        <w:rPr>
          <w:rFonts w:hint="cs"/>
          <w:rtl/>
        </w:rPr>
        <w:t xml:space="preserve">تجدر الإشارة فيما يخص </w:t>
      </w:r>
      <w:r w:rsidR="00450110" w:rsidRPr="00E22B27">
        <w:rPr>
          <w:rFonts w:hint="cs"/>
          <w:rtl/>
        </w:rPr>
        <w:t>المادة</w:t>
      </w:r>
      <w:r w:rsidR="00450110" w:rsidRPr="00E22B27">
        <w:rPr>
          <w:rtl/>
        </w:rPr>
        <w:t> </w:t>
      </w:r>
      <w:r w:rsidRPr="00E22B27">
        <w:rPr>
          <w:rFonts w:hint="cs"/>
          <w:rtl/>
        </w:rPr>
        <w:t>7</w:t>
      </w:r>
      <w:r w:rsidR="00F45410" w:rsidRPr="00E22B27">
        <w:rPr>
          <w:rFonts w:hint="cs"/>
          <w:rtl/>
        </w:rPr>
        <w:t>(</w:t>
      </w:r>
      <w:r w:rsidRPr="00E22B27">
        <w:rPr>
          <w:rFonts w:hint="cs"/>
          <w:rtl/>
        </w:rPr>
        <w:t>3</w:t>
      </w:r>
      <w:r w:rsidR="00F45410" w:rsidRPr="00E22B27">
        <w:rPr>
          <w:rFonts w:hint="cs"/>
          <w:rtl/>
        </w:rPr>
        <w:t xml:space="preserve">) إلى أن عدد البيانات الجغرافية وتسميات المنشأ الموجودة محدود نظراً إلى اعتمادهما على معرفات مناطق جغرافية. </w:t>
      </w:r>
      <w:r w:rsidR="00F45410" w:rsidRPr="00E22B27">
        <w:rPr>
          <w:rtl/>
        </w:rPr>
        <w:t xml:space="preserve">وعلى </w:t>
      </w:r>
      <w:r w:rsidR="00F45410" w:rsidRPr="00E22B27">
        <w:rPr>
          <w:rFonts w:hint="cs"/>
          <w:rtl/>
        </w:rPr>
        <w:t>كلٍ</w:t>
      </w:r>
      <w:r w:rsidR="00F45410" w:rsidRPr="00E22B27">
        <w:rPr>
          <w:rtl/>
        </w:rPr>
        <w:t xml:space="preserve"> وبخلاف الوضع في أنظمة التسجيل الأخرى فيما يتعلق بحقوق الملكية الفكرية، لن يكون هناك تدفق مستمر وكبير للطلبات الجديدة المتعلقة بالبيانات الجغرافية وتسميات المنشأ.</w:t>
      </w:r>
      <w:r w:rsidR="00F45410" w:rsidRPr="00E22B27">
        <w:rPr>
          <w:rFonts w:hint="cs"/>
          <w:rtl/>
        </w:rPr>
        <w:t xml:space="preserve"> ومن ثم، تصبح الأحكام ضرورية لمعالجة أي نقص قد يعتري نظام اتحاد لشبونة طالما أن عضوية اتفاق لشبونة المراج</w:t>
      </w:r>
      <w:r w:rsidR="00077AA6" w:rsidRPr="00E22B27">
        <w:rPr>
          <w:rFonts w:hint="cs"/>
          <w:rtl/>
        </w:rPr>
        <w:t>َ</w:t>
      </w:r>
      <w:r w:rsidR="00F45410" w:rsidRPr="00E22B27">
        <w:rPr>
          <w:rFonts w:hint="cs"/>
          <w:rtl/>
        </w:rPr>
        <w:t xml:space="preserve">ع لا تشمل جميع الدول الأعضاء في الويبو. وينص اتفاق لشبونة الحالي في مادتيه </w:t>
      </w:r>
      <w:r w:rsidRPr="00E22B27">
        <w:rPr>
          <w:rFonts w:hint="cs"/>
          <w:rtl/>
        </w:rPr>
        <w:t>11</w:t>
      </w:r>
      <w:r w:rsidR="00F45410" w:rsidRPr="00E22B27">
        <w:rPr>
          <w:rFonts w:hint="cs"/>
          <w:rtl/>
        </w:rPr>
        <w:t>(</w:t>
      </w:r>
      <w:r w:rsidRPr="00E22B27">
        <w:rPr>
          <w:rFonts w:hint="cs"/>
          <w:rtl/>
        </w:rPr>
        <w:t>3</w:t>
      </w:r>
      <w:r w:rsidR="00F45410" w:rsidRPr="00E22B27">
        <w:rPr>
          <w:rFonts w:hint="cs"/>
          <w:rtl/>
        </w:rPr>
        <w:t>)"</w:t>
      </w:r>
      <w:r w:rsidRPr="00E22B27">
        <w:rPr>
          <w:rFonts w:hint="cs"/>
          <w:rtl/>
        </w:rPr>
        <w:t>5</w:t>
      </w:r>
      <w:r w:rsidR="00F45410" w:rsidRPr="00E22B27">
        <w:rPr>
          <w:rFonts w:hint="cs"/>
          <w:rtl/>
        </w:rPr>
        <w:t>" و</w:t>
      </w:r>
      <w:r w:rsidRPr="00E22B27">
        <w:rPr>
          <w:rFonts w:hint="cs"/>
          <w:rtl/>
        </w:rPr>
        <w:t>11</w:t>
      </w:r>
      <w:r w:rsidR="00F45410" w:rsidRPr="00E22B27">
        <w:rPr>
          <w:rFonts w:hint="cs"/>
          <w:rtl/>
        </w:rPr>
        <w:t>(</w:t>
      </w:r>
      <w:r w:rsidRPr="00E22B27">
        <w:rPr>
          <w:rFonts w:hint="cs"/>
          <w:rtl/>
        </w:rPr>
        <w:t>4</w:t>
      </w:r>
      <w:r w:rsidR="00F45410" w:rsidRPr="00E22B27">
        <w:rPr>
          <w:rFonts w:hint="cs"/>
          <w:rtl/>
        </w:rPr>
        <w:t xml:space="preserve">)(ب) على أن </w:t>
      </w:r>
      <w:r w:rsidR="00077AA6" w:rsidRPr="00E22B27">
        <w:rPr>
          <w:rFonts w:hint="cs"/>
          <w:rtl/>
        </w:rPr>
        <w:t xml:space="preserve">تكون الرسوم </w:t>
      </w:r>
      <w:r w:rsidR="00077AA6" w:rsidRPr="00E22B27">
        <w:rPr>
          <w:rtl/>
        </w:rPr>
        <w:t>كافية في الظروف الاعتيادية لتغطية المصروفات التي يتحملها المكتب الدولي من أجل تسيير أعمال دائرة التسجيل الدولي</w:t>
      </w:r>
      <w:r w:rsidR="00077AA6" w:rsidRPr="00E22B27">
        <w:rPr>
          <w:rFonts w:hint="cs"/>
          <w:rtl/>
        </w:rPr>
        <w:t xml:space="preserve"> لاتفاق لشبونة، وأنه ينبغي للدول الأعضاء في نظام لشبونة أن تدفع مساهمات في حالة وجود عجز. وترد هذه الأحكام أيضاً في </w:t>
      </w:r>
      <w:r w:rsidR="00450110" w:rsidRPr="00E22B27">
        <w:rPr>
          <w:rFonts w:hint="cs"/>
          <w:rtl/>
        </w:rPr>
        <w:t>المادتين</w:t>
      </w:r>
      <w:r w:rsidR="00450110" w:rsidRPr="00E22B27">
        <w:rPr>
          <w:rtl/>
        </w:rPr>
        <w:t> </w:t>
      </w:r>
      <w:r w:rsidRPr="00E22B27">
        <w:rPr>
          <w:rFonts w:hint="cs"/>
          <w:rtl/>
        </w:rPr>
        <w:t>24</w:t>
      </w:r>
      <w:r w:rsidR="00077AA6" w:rsidRPr="00E22B27">
        <w:rPr>
          <w:rFonts w:hint="cs"/>
          <w:rtl/>
        </w:rPr>
        <w:t>(</w:t>
      </w:r>
      <w:r w:rsidRPr="00E22B27">
        <w:rPr>
          <w:rFonts w:hint="cs"/>
          <w:rtl/>
        </w:rPr>
        <w:t>3</w:t>
      </w:r>
      <w:r w:rsidR="00077AA6" w:rsidRPr="00E22B27">
        <w:rPr>
          <w:rFonts w:hint="cs"/>
          <w:rtl/>
        </w:rPr>
        <w:t>)"</w:t>
      </w:r>
      <w:r w:rsidRPr="00E22B27">
        <w:rPr>
          <w:rFonts w:hint="cs"/>
          <w:rtl/>
        </w:rPr>
        <w:t>6</w:t>
      </w:r>
      <w:r w:rsidR="00077AA6" w:rsidRPr="00E22B27">
        <w:rPr>
          <w:rFonts w:hint="cs"/>
          <w:rtl/>
        </w:rPr>
        <w:t>" و</w:t>
      </w:r>
      <w:r w:rsidRPr="00E22B27">
        <w:rPr>
          <w:rFonts w:hint="cs"/>
          <w:rtl/>
        </w:rPr>
        <w:t>24</w:t>
      </w:r>
      <w:r w:rsidR="00077AA6" w:rsidRPr="00E22B27">
        <w:rPr>
          <w:rFonts w:hint="cs"/>
          <w:rtl/>
        </w:rPr>
        <w:t>(</w:t>
      </w:r>
      <w:r w:rsidRPr="00E22B27">
        <w:rPr>
          <w:rFonts w:hint="cs"/>
          <w:rtl/>
        </w:rPr>
        <w:t>4</w:t>
      </w:r>
      <w:r w:rsidR="00077AA6" w:rsidRPr="00E22B27">
        <w:rPr>
          <w:rFonts w:hint="cs"/>
          <w:rtl/>
        </w:rPr>
        <w:t xml:space="preserve">)(أ) من مشروع اتفاق لشبونة المراجَع. ولكن يرد نهج بديل في </w:t>
      </w:r>
      <w:r w:rsidR="00450110" w:rsidRPr="00E22B27">
        <w:rPr>
          <w:rFonts w:hint="cs"/>
          <w:rtl/>
        </w:rPr>
        <w:t>المادة</w:t>
      </w:r>
      <w:r w:rsidR="00450110" w:rsidRPr="00E22B27">
        <w:rPr>
          <w:rtl/>
        </w:rPr>
        <w:t> </w:t>
      </w:r>
      <w:r w:rsidRPr="00E22B27">
        <w:rPr>
          <w:rFonts w:hint="cs"/>
          <w:rtl/>
        </w:rPr>
        <w:t>7</w:t>
      </w:r>
      <w:r w:rsidR="00077AA6" w:rsidRPr="00E22B27">
        <w:rPr>
          <w:rFonts w:hint="cs"/>
          <w:rtl/>
        </w:rPr>
        <w:t>(</w:t>
      </w:r>
      <w:r w:rsidRPr="00E22B27">
        <w:rPr>
          <w:rFonts w:hint="cs"/>
          <w:rtl/>
        </w:rPr>
        <w:t>3</w:t>
      </w:r>
      <w:r w:rsidR="00077AA6" w:rsidRPr="00E22B27">
        <w:rPr>
          <w:rFonts w:hint="cs"/>
          <w:rtl/>
        </w:rPr>
        <w:t>) يفيد بأن تواجه الجمعية أي عجز من خلال وضع رسم محافظة مخصص ومستحق على كل تسجيل دولي.</w:t>
      </w:r>
    </w:p>
    <w:p w:rsidR="00077AA6" w:rsidRPr="00E22B27" w:rsidRDefault="003C1838" w:rsidP="009422A7">
      <w:pPr>
        <w:pStyle w:val="NormalParaAR"/>
        <w:rPr>
          <w:rtl/>
        </w:rPr>
      </w:pPr>
      <w:r w:rsidRPr="00E22B27">
        <w:rPr>
          <w:rtl/>
        </w:rPr>
        <w:t>3.7</w:t>
      </w:r>
      <w:r w:rsidRPr="00E22B27">
        <w:rPr>
          <w:rtl/>
        </w:rPr>
        <w:tab/>
      </w:r>
      <w:r w:rsidR="00077AA6" w:rsidRPr="00E22B27">
        <w:rPr>
          <w:rFonts w:hint="cs"/>
          <w:rtl/>
        </w:rPr>
        <w:t>تلبية للآراء التي أبدتها عدة وفود في الدورتين الخامسة والسادسة للفريق العامل (</w:t>
      </w:r>
      <w:r w:rsidR="00EC76B4" w:rsidRPr="00E22B27">
        <w:rPr>
          <w:rFonts w:hint="cs"/>
          <w:rtl/>
        </w:rPr>
        <w:t>الفقرات</w:t>
      </w:r>
      <w:r w:rsidR="00EC76B4" w:rsidRPr="00E22B27">
        <w:rPr>
          <w:rtl/>
        </w:rPr>
        <w:t> </w:t>
      </w:r>
      <w:r w:rsidRPr="00E22B27">
        <w:rPr>
          <w:rFonts w:hint="cs"/>
          <w:rtl/>
        </w:rPr>
        <w:t>2</w:t>
      </w:r>
      <w:r w:rsidR="00077AA6" w:rsidRPr="00E22B27">
        <w:rPr>
          <w:rFonts w:hint="cs"/>
          <w:rtl/>
        </w:rPr>
        <w:t>0</w:t>
      </w:r>
      <w:r w:rsidRPr="00E22B27">
        <w:rPr>
          <w:rFonts w:hint="cs"/>
          <w:rtl/>
        </w:rPr>
        <w:t>7</w:t>
      </w:r>
      <w:r w:rsidR="0077628C">
        <w:rPr>
          <w:rFonts w:hint="cs"/>
          <w:rtl/>
        </w:rPr>
        <w:noBreakHyphen/>
      </w:r>
      <w:r w:rsidRPr="00E22B27">
        <w:rPr>
          <w:rFonts w:hint="cs"/>
          <w:rtl/>
        </w:rPr>
        <w:t>2</w:t>
      </w:r>
      <w:r w:rsidR="00077AA6" w:rsidRPr="00E22B27">
        <w:rPr>
          <w:rFonts w:hint="cs"/>
          <w:rtl/>
        </w:rPr>
        <w:t>0</w:t>
      </w:r>
      <w:r w:rsidRPr="00E22B27">
        <w:rPr>
          <w:rFonts w:hint="cs"/>
          <w:rtl/>
        </w:rPr>
        <w:t>9</w:t>
      </w:r>
      <w:r w:rsidR="00077AA6" w:rsidRPr="00E22B27">
        <w:rPr>
          <w:rFonts w:hint="cs"/>
          <w:rtl/>
        </w:rPr>
        <w:t xml:space="preserve"> من </w:t>
      </w:r>
      <w:r w:rsidR="00450110" w:rsidRPr="00E22B27">
        <w:rPr>
          <w:rFonts w:hint="cs"/>
          <w:rtl/>
        </w:rPr>
        <w:t>ال</w:t>
      </w:r>
      <w:r w:rsidR="00CD0D5E" w:rsidRPr="00E22B27">
        <w:rPr>
          <w:rFonts w:hint="cs"/>
          <w:rtl/>
        </w:rPr>
        <w:t>وثيقة</w:t>
      </w:r>
      <w:r w:rsidR="00CD0D5E" w:rsidRPr="00E22B27">
        <w:rPr>
          <w:rtl/>
        </w:rPr>
        <w:t> </w:t>
      </w:r>
      <w:r w:rsidR="00077AA6" w:rsidRPr="00E22B27">
        <w:t>LI/WG/DEV/</w:t>
      </w:r>
      <w:r w:rsidRPr="00E22B27">
        <w:t>5</w:t>
      </w:r>
      <w:r w:rsidR="00077AA6" w:rsidRPr="00E22B27">
        <w:t>/</w:t>
      </w:r>
      <w:r w:rsidRPr="00E22B27">
        <w:t>7</w:t>
      </w:r>
      <w:r w:rsidR="00077AA6" w:rsidRPr="00E22B27">
        <w:rPr>
          <w:rFonts w:hint="cs"/>
          <w:rtl/>
        </w:rPr>
        <w:t xml:space="preserve"> و</w:t>
      </w:r>
      <w:r w:rsidR="00EC76B4" w:rsidRPr="00E22B27">
        <w:rPr>
          <w:rFonts w:hint="cs"/>
          <w:rtl/>
        </w:rPr>
        <w:t>الفقرات</w:t>
      </w:r>
      <w:r w:rsidR="00EC76B4" w:rsidRPr="00E22B27">
        <w:rPr>
          <w:rtl/>
        </w:rPr>
        <w:t> </w:t>
      </w:r>
      <w:r w:rsidRPr="00E22B27">
        <w:rPr>
          <w:rFonts w:hint="cs"/>
          <w:rtl/>
        </w:rPr>
        <w:t>2</w:t>
      </w:r>
      <w:r w:rsidR="00077AA6" w:rsidRPr="00E22B27">
        <w:rPr>
          <w:rFonts w:hint="cs"/>
          <w:rtl/>
        </w:rPr>
        <w:t>00 و</w:t>
      </w:r>
      <w:r w:rsidRPr="00E22B27">
        <w:rPr>
          <w:rFonts w:hint="cs"/>
          <w:rtl/>
        </w:rPr>
        <w:t>213</w:t>
      </w:r>
      <w:r w:rsidR="0077628C">
        <w:rPr>
          <w:rFonts w:hint="cs"/>
          <w:rtl/>
        </w:rPr>
        <w:noBreakHyphen/>
      </w:r>
      <w:r w:rsidRPr="00E22B27">
        <w:rPr>
          <w:rFonts w:hint="cs"/>
          <w:rtl/>
        </w:rPr>
        <w:t>217</w:t>
      </w:r>
      <w:r w:rsidR="00077AA6" w:rsidRPr="00E22B27">
        <w:rPr>
          <w:rFonts w:hint="cs"/>
          <w:rtl/>
        </w:rPr>
        <w:t xml:space="preserve"> و</w:t>
      </w:r>
      <w:r w:rsidRPr="00E22B27">
        <w:rPr>
          <w:rFonts w:hint="cs"/>
          <w:rtl/>
        </w:rPr>
        <w:t>221</w:t>
      </w:r>
      <w:r w:rsidR="0077628C">
        <w:rPr>
          <w:rFonts w:hint="cs"/>
          <w:rtl/>
        </w:rPr>
        <w:noBreakHyphen/>
      </w:r>
      <w:r w:rsidRPr="00E22B27">
        <w:rPr>
          <w:rFonts w:hint="cs"/>
          <w:rtl/>
        </w:rPr>
        <w:t>226</w:t>
      </w:r>
      <w:r w:rsidR="00077AA6" w:rsidRPr="00E22B27">
        <w:rPr>
          <w:rFonts w:hint="cs"/>
          <w:rtl/>
        </w:rPr>
        <w:t xml:space="preserve"> من </w:t>
      </w:r>
      <w:r w:rsidR="00450110" w:rsidRPr="00E22B27">
        <w:rPr>
          <w:rFonts w:hint="cs"/>
          <w:rtl/>
        </w:rPr>
        <w:t>ال</w:t>
      </w:r>
      <w:r w:rsidR="00CD0D5E" w:rsidRPr="00E22B27">
        <w:rPr>
          <w:rFonts w:hint="cs"/>
          <w:rtl/>
        </w:rPr>
        <w:t>وثيقة</w:t>
      </w:r>
      <w:r w:rsidR="00CD0D5E" w:rsidRPr="00E22B27">
        <w:rPr>
          <w:rtl/>
        </w:rPr>
        <w:t> </w:t>
      </w:r>
      <w:r w:rsidR="00077AA6" w:rsidRPr="00E22B27">
        <w:t>LI/WG/DEV/</w:t>
      </w:r>
      <w:r w:rsidRPr="00E22B27">
        <w:t>6</w:t>
      </w:r>
      <w:r w:rsidR="00077AA6" w:rsidRPr="00E22B27">
        <w:t>/</w:t>
      </w:r>
      <w:r w:rsidRPr="00E22B27">
        <w:t>7</w:t>
      </w:r>
      <w:r w:rsidR="00077AA6" w:rsidRPr="00E22B27">
        <w:rPr>
          <w:rFonts w:hint="cs"/>
          <w:rtl/>
        </w:rPr>
        <w:t xml:space="preserve">)، تنص </w:t>
      </w:r>
      <w:r w:rsidR="00450110" w:rsidRPr="00E22B27">
        <w:rPr>
          <w:rFonts w:hint="cs"/>
          <w:rtl/>
        </w:rPr>
        <w:t>المادة</w:t>
      </w:r>
      <w:r w:rsidR="00450110" w:rsidRPr="00E22B27">
        <w:rPr>
          <w:rtl/>
        </w:rPr>
        <w:t> </w:t>
      </w:r>
      <w:r w:rsidRPr="00E22B27">
        <w:rPr>
          <w:rFonts w:hint="cs"/>
          <w:rtl/>
        </w:rPr>
        <w:t>7</w:t>
      </w:r>
      <w:r w:rsidR="00077AA6" w:rsidRPr="00E22B27">
        <w:rPr>
          <w:rFonts w:hint="cs"/>
          <w:rtl/>
        </w:rPr>
        <w:t>(</w:t>
      </w:r>
      <w:r w:rsidRPr="00E22B27">
        <w:rPr>
          <w:rFonts w:hint="cs"/>
          <w:rtl/>
        </w:rPr>
        <w:t>4</w:t>
      </w:r>
      <w:r w:rsidR="00077AA6" w:rsidRPr="00E22B27">
        <w:rPr>
          <w:rFonts w:hint="cs"/>
          <w:rtl/>
        </w:rPr>
        <w:t xml:space="preserve">) على تطبيق رسوم مخفضة </w:t>
      </w:r>
      <w:r w:rsidR="00077AA6" w:rsidRPr="00E22B27">
        <w:rPr>
          <w:rtl/>
        </w:rPr>
        <w:t xml:space="preserve">فيما يتعلق ببعض التسجيلات الدولية </w:t>
      </w:r>
      <w:r w:rsidR="00D15D88" w:rsidRPr="00E22B27">
        <w:rPr>
          <w:rtl/>
        </w:rPr>
        <w:t>ولا سيم</w:t>
      </w:r>
      <w:r w:rsidR="00D15D88" w:rsidRPr="00E22B27">
        <w:rPr>
          <w:rFonts w:hint="cs"/>
          <w:rtl/>
        </w:rPr>
        <w:t>ا فيما يخص البلدان</w:t>
      </w:r>
      <w:r w:rsidR="00077AA6" w:rsidRPr="00E22B27">
        <w:rPr>
          <w:rFonts w:hint="cs"/>
          <w:rtl/>
        </w:rPr>
        <w:t xml:space="preserve"> </w:t>
      </w:r>
      <w:r w:rsidR="00D15D88" w:rsidRPr="00E22B27">
        <w:rPr>
          <w:rFonts w:hint="cs"/>
          <w:rtl/>
        </w:rPr>
        <w:t>ال</w:t>
      </w:r>
      <w:r w:rsidR="00077AA6" w:rsidRPr="00E22B27">
        <w:rPr>
          <w:rFonts w:hint="cs"/>
          <w:rtl/>
        </w:rPr>
        <w:t xml:space="preserve">نامية </w:t>
      </w:r>
      <w:r w:rsidR="00450110" w:rsidRPr="00E22B27">
        <w:rPr>
          <w:rFonts w:hint="cs"/>
          <w:rtl/>
        </w:rPr>
        <w:t>أو</w:t>
      </w:r>
      <w:r w:rsidR="00450110" w:rsidRPr="00E22B27">
        <w:rPr>
          <w:rtl/>
        </w:rPr>
        <w:t> </w:t>
      </w:r>
      <w:r w:rsidR="00077AA6" w:rsidRPr="00E22B27">
        <w:rPr>
          <w:rFonts w:hint="cs"/>
          <w:rtl/>
        </w:rPr>
        <w:t>البلدان الأقل</w:t>
      </w:r>
      <w:r w:rsidR="00D15D88" w:rsidRPr="00E22B27">
        <w:rPr>
          <w:rFonts w:hint="cs"/>
          <w:rtl/>
        </w:rPr>
        <w:t xml:space="preserve"> </w:t>
      </w:r>
      <w:r w:rsidR="00077AA6" w:rsidRPr="00E22B27">
        <w:rPr>
          <w:rFonts w:hint="cs"/>
          <w:rtl/>
        </w:rPr>
        <w:t>نمواً.</w:t>
      </w:r>
      <w:r w:rsidR="00D15D88" w:rsidRPr="00E22B27">
        <w:rPr>
          <w:rFonts w:hint="cs"/>
          <w:rtl/>
        </w:rPr>
        <w:t xml:space="preserve"> وتوضع هذه الرسوم المخفضة بموجب قرار تصدره الجمعية بتعديل القاعدة </w:t>
      </w:r>
      <w:r w:rsidRPr="00E22B27">
        <w:rPr>
          <w:rFonts w:hint="cs"/>
          <w:rtl/>
        </w:rPr>
        <w:t>8.</w:t>
      </w:r>
    </w:p>
    <w:p w:rsidR="00077AA6" w:rsidRPr="00E22B27" w:rsidRDefault="003C1838" w:rsidP="00AB2ABC">
      <w:pPr>
        <w:pStyle w:val="NormalParaAR"/>
      </w:pPr>
      <w:r w:rsidRPr="00E22B27">
        <w:rPr>
          <w:rtl/>
        </w:rPr>
        <w:t>4.7</w:t>
      </w:r>
      <w:r w:rsidRPr="00E22B27">
        <w:tab/>
      </w:r>
      <w:r w:rsidR="00295E8F" w:rsidRPr="00E22B27">
        <w:rPr>
          <w:rFonts w:hint="cs"/>
          <w:rtl/>
        </w:rPr>
        <w:t xml:space="preserve">نجمت أحكام </w:t>
      </w:r>
      <w:r w:rsidR="00450110" w:rsidRPr="00E22B27">
        <w:rPr>
          <w:rFonts w:hint="cs"/>
          <w:rtl/>
        </w:rPr>
        <w:t>المادتين</w:t>
      </w:r>
      <w:r w:rsidR="00450110" w:rsidRPr="00E22B27">
        <w:rPr>
          <w:rtl/>
        </w:rPr>
        <w:t> </w:t>
      </w:r>
      <w:r w:rsidRPr="00E22B27">
        <w:rPr>
          <w:rFonts w:hint="cs"/>
          <w:rtl/>
        </w:rPr>
        <w:t>7</w:t>
      </w:r>
      <w:r w:rsidR="00295E8F" w:rsidRPr="00E22B27">
        <w:rPr>
          <w:rFonts w:hint="cs"/>
          <w:rtl/>
        </w:rPr>
        <w:t>(</w:t>
      </w:r>
      <w:r w:rsidRPr="00E22B27">
        <w:rPr>
          <w:rFonts w:hint="cs"/>
          <w:rtl/>
        </w:rPr>
        <w:t>5</w:t>
      </w:r>
      <w:r w:rsidR="00295E8F" w:rsidRPr="00E22B27">
        <w:rPr>
          <w:rFonts w:hint="cs"/>
          <w:rtl/>
        </w:rPr>
        <w:t>) و(</w:t>
      </w:r>
      <w:r w:rsidRPr="00E22B27">
        <w:rPr>
          <w:rFonts w:hint="cs"/>
          <w:rtl/>
        </w:rPr>
        <w:t>6</w:t>
      </w:r>
      <w:r w:rsidR="00295E8F" w:rsidRPr="00E22B27">
        <w:rPr>
          <w:rFonts w:hint="cs"/>
          <w:rtl/>
        </w:rPr>
        <w:t xml:space="preserve">) عن مناقشات الدورتين الثامنة والتاسعة للفريق العامل. ففي الدورة الثامنة، اقترح وفد الاتحاد الروسي أن يتيح اتفاق لشبونة المراجَع للأطراف المتعاقدة </w:t>
      </w:r>
      <w:r w:rsidR="00D508E6" w:rsidRPr="00E22B27">
        <w:rPr>
          <w:rFonts w:hint="cs"/>
          <w:rtl/>
        </w:rPr>
        <w:t>اشتراط</w:t>
      </w:r>
      <w:r w:rsidR="00295E8F" w:rsidRPr="00E22B27">
        <w:rPr>
          <w:rFonts w:hint="cs"/>
          <w:rtl/>
        </w:rPr>
        <w:t xml:space="preserve"> تسديد رسم لتغ</w:t>
      </w:r>
      <w:r w:rsidR="00D508E6" w:rsidRPr="00E22B27">
        <w:rPr>
          <w:rFonts w:hint="cs"/>
          <w:rtl/>
        </w:rPr>
        <w:t xml:space="preserve">طية تكلفة فحص التسجيلات الدولية التي تبلغ إدارته المختصة ("رسم فردي"). وعقب المناقشات حول هذا الاقتراح المبينة في </w:t>
      </w:r>
      <w:r w:rsidR="00EC76B4" w:rsidRPr="00E22B27">
        <w:rPr>
          <w:rFonts w:hint="cs"/>
          <w:rtl/>
        </w:rPr>
        <w:t>الفقرات</w:t>
      </w:r>
      <w:r w:rsidR="00EC76B4" w:rsidRPr="00E22B27">
        <w:rPr>
          <w:rtl/>
        </w:rPr>
        <w:t> </w:t>
      </w:r>
      <w:r w:rsidR="00D508E6" w:rsidRPr="00E22B27">
        <w:rPr>
          <w:rFonts w:hint="cs"/>
          <w:rtl/>
        </w:rPr>
        <w:t xml:space="preserve">من </w:t>
      </w:r>
      <w:r w:rsidRPr="00E22B27">
        <w:rPr>
          <w:rFonts w:hint="cs"/>
          <w:rtl/>
        </w:rPr>
        <w:t>85</w:t>
      </w:r>
      <w:r w:rsidR="00D508E6" w:rsidRPr="00E22B27">
        <w:rPr>
          <w:rFonts w:hint="cs"/>
          <w:rtl/>
        </w:rPr>
        <w:t xml:space="preserve"> إلى </w:t>
      </w:r>
      <w:r w:rsidRPr="00E22B27">
        <w:rPr>
          <w:rFonts w:hint="cs"/>
          <w:rtl/>
        </w:rPr>
        <w:t>113</w:t>
      </w:r>
      <w:r w:rsidR="00D508E6" w:rsidRPr="00E22B27">
        <w:rPr>
          <w:rFonts w:hint="cs"/>
          <w:rtl/>
        </w:rPr>
        <w:t xml:space="preserve"> من </w:t>
      </w:r>
      <w:r w:rsidR="00450110" w:rsidRPr="00E22B27">
        <w:rPr>
          <w:rFonts w:hint="cs"/>
          <w:rtl/>
        </w:rPr>
        <w:t>ال</w:t>
      </w:r>
      <w:r w:rsidR="00CD0D5E" w:rsidRPr="00E22B27">
        <w:rPr>
          <w:rFonts w:hint="cs"/>
          <w:rtl/>
        </w:rPr>
        <w:t>وثيقة</w:t>
      </w:r>
      <w:r w:rsidR="00CD0D5E" w:rsidRPr="00E22B27">
        <w:rPr>
          <w:rtl/>
        </w:rPr>
        <w:t> </w:t>
      </w:r>
      <w:r w:rsidR="00D508E6" w:rsidRPr="00E22B27">
        <w:t>LI/WG/DEV/</w:t>
      </w:r>
      <w:r w:rsidRPr="00E22B27">
        <w:t>8</w:t>
      </w:r>
      <w:r w:rsidR="00D508E6" w:rsidRPr="00E22B27">
        <w:t>/</w:t>
      </w:r>
      <w:r w:rsidRPr="00E22B27">
        <w:t>7</w:t>
      </w:r>
      <w:r w:rsidR="00D508E6" w:rsidRPr="00E22B27">
        <w:t> Prov.</w:t>
      </w:r>
      <w:r w:rsidR="007957BA" w:rsidRPr="00E22B27">
        <w:rPr>
          <w:rFonts w:hint="cs"/>
          <w:rtl/>
        </w:rPr>
        <w:t xml:space="preserve">، أُدرجت هذه الإمكانية للأطراف المتعاقدة في مشروع اتفاق لشبونة المراجَع إضافة إلى خيار تخلي مقدم الطلب عن الحماية في طرف متعاقد </w:t>
      </w:r>
      <w:r w:rsidR="00450110" w:rsidRPr="00E22B27">
        <w:rPr>
          <w:rFonts w:hint="cs"/>
          <w:rtl/>
        </w:rPr>
        <w:t>أو</w:t>
      </w:r>
      <w:r w:rsidR="00450110" w:rsidRPr="00E22B27">
        <w:rPr>
          <w:rtl/>
        </w:rPr>
        <w:t> </w:t>
      </w:r>
      <w:r w:rsidR="007957BA" w:rsidRPr="00E22B27">
        <w:rPr>
          <w:rFonts w:hint="cs"/>
          <w:rtl/>
        </w:rPr>
        <w:t xml:space="preserve">أكثر من خلال عدم تسديد الرسم </w:t>
      </w:r>
      <w:r w:rsidR="007957BA" w:rsidRPr="00E22B27">
        <w:rPr>
          <w:rFonts w:hint="cs"/>
          <w:rtl/>
        </w:rPr>
        <w:lastRenderedPageBreak/>
        <w:t xml:space="preserve">الفردي. </w:t>
      </w:r>
      <w:r w:rsidR="00CB782B" w:rsidRPr="00E22B27">
        <w:rPr>
          <w:rFonts w:hint="cs"/>
          <w:rtl/>
        </w:rPr>
        <w:t xml:space="preserve">واستُحدث هذا الرسم الفردي مراعاةً للبلدان </w:t>
      </w:r>
      <w:r w:rsidR="00450110" w:rsidRPr="00E22B27">
        <w:rPr>
          <w:rFonts w:hint="cs"/>
          <w:rtl/>
        </w:rPr>
        <w:t>أو</w:t>
      </w:r>
      <w:r w:rsidR="00450110" w:rsidRPr="00E22B27">
        <w:rPr>
          <w:rtl/>
        </w:rPr>
        <w:t> </w:t>
      </w:r>
      <w:r w:rsidR="00CB782B" w:rsidRPr="00E22B27">
        <w:rPr>
          <w:rFonts w:hint="cs"/>
          <w:rtl/>
        </w:rPr>
        <w:t xml:space="preserve">المنظمات الحكومية الدولية التي يقتضي فيها القانون من المودعين وأصحاب الحقوق تسديد رسم لقاء ما سيجريه الكيان المختص من عمل على الصعيد الوطني </w:t>
      </w:r>
      <w:r w:rsidR="00450110" w:rsidRPr="00E22B27">
        <w:rPr>
          <w:rFonts w:hint="cs"/>
          <w:rtl/>
        </w:rPr>
        <w:t>أو</w:t>
      </w:r>
      <w:r w:rsidR="00450110" w:rsidRPr="00E22B27">
        <w:rPr>
          <w:rtl/>
        </w:rPr>
        <w:t> </w:t>
      </w:r>
      <w:r w:rsidR="00CB782B" w:rsidRPr="00E22B27">
        <w:rPr>
          <w:rFonts w:hint="cs"/>
          <w:rtl/>
        </w:rPr>
        <w:t xml:space="preserve">الإقليمي. وإضافة إلى ذلك ورغم إمكانية وضع هذه الرسوم فيما يخص التسجيلات الدولية في إطار اتفاق لشبونة المراجَع، فإن اكتساب حقوق حماية تسمية منشأ </w:t>
      </w:r>
      <w:r w:rsidR="00450110" w:rsidRPr="00E22B27">
        <w:rPr>
          <w:rFonts w:hint="cs"/>
          <w:rtl/>
        </w:rPr>
        <w:t>أو</w:t>
      </w:r>
      <w:r w:rsidR="00450110" w:rsidRPr="00E22B27">
        <w:rPr>
          <w:rtl/>
        </w:rPr>
        <w:t> </w:t>
      </w:r>
      <w:r w:rsidR="00CB782B" w:rsidRPr="00E22B27">
        <w:rPr>
          <w:rFonts w:hint="cs"/>
          <w:rtl/>
        </w:rPr>
        <w:t xml:space="preserve">بيان جغرافي في بلد يشترط تسديد الرسم سيكون أرخص وأسرع بموجب إجراء التسجيل الدولي لاتفاق لشبونة المراجَع مقارنة بالإجراء الوطني. وفضلاً عن ذلك وعقب مناقشات الدورة التاسعة للفريق العامل، استُحدثت إمكانية </w:t>
      </w:r>
      <w:r w:rsidR="00AB2ABC">
        <w:rPr>
          <w:rFonts w:hint="cs"/>
          <w:rtl/>
        </w:rPr>
        <w:t xml:space="preserve">فرض </w:t>
      </w:r>
      <w:r w:rsidR="00CB782B" w:rsidRPr="00E22B27">
        <w:rPr>
          <w:rFonts w:hint="cs"/>
          <w:rtl/>
        </w:rPr>
        <w:t>رسم فردي إضافي ب</w:t>
      </w:r>
      <w:r w:rsidR="00AB2ABC">
        <w:rPr>
          <w:rFonts w:hint="cs"/>
          <w:rtl/>
        </w:rPr>
        <w:t xml:space="preserve">فضل </w:t>
      </w:r>
      <w:r w:rsidR="00CB782B" w:rsidRPr="00E22B27">
        <w:rPr>
          <w:rFonts w:hint="cs"/>
          <w:rtl/>
        </w:rPr>
        <w:t xml:space="preserve">مبادرة من وفد الولايات المتحدة الأمريكية مما أتاح للأطراف المتعاقدة اشتراط هذا الرسم أيضاً استناداً إلى متطلبات المحافظة </w:t>
      </w:r>
      <w:r w:rsidR="00450110" w:rsidRPr="00E22B27">
        <w:rPr>
          <w:rFonts w:hint="cs"/>
          <w:rtl/>
        </w:rPr>
        <w:t>أو</w:t>
      </w:r>
      <w:r w:rsidR="00450110" w:rsidRPr="00E22B27">
        <w:rPr>
          <w:rtl/>
        </w:rPr>
        <w:t> </w:t>
      </w:r>
      <w:r w:rsidR="00CB782B" w:rsidRPr="00E22B27">
        <w:rPr>
          <w:rFonts w:hint="cs"/>
          <w:rtl/>
        </w:rPr>
        <w:t>التجديد.</w:t>
      </w:r>
    </w:p>
    <w:p w:rsidR="00CB782B" w:rsidRPr="00E22B27" w:rsidRDefault="003C1838" w:rsidP="009422A7">
      <w:pPr>
        <w:pStyle w:val="NormalParaAR"/>
      </w:pPr>
      <w:r w:rsidRPr="00E22B27">
        <w:rPr>
          <w:rtl/>
        </w:rPr>
        <w:t>5.7</w:t>
      </w:r>
      <w:r w:rsidRPr="00E22B27">
        <w:tab/>
      </w:r>
      <w:r w:rsidR="00CB782B" w:rsidRPr="00E22B27">
        <w:rPr>
          <w:rFonts w:hint="cs"/>
          <w:rtl/>
        </w:rPr>
        <w:t xml:space="preserve">كما ورد في مناقشات الدورة التاسعة للفريق العامل، يمكن استحداث نظام رسم فردي دون إلزام مقدم الطلب بتعيين الأطراف المتعاقدة التي يطلب فيها الحماية. وإنما يكفي </w:t>
      </w:r>
      <w:r w:rsidR="00D13CA2" w:rsidRPr="00E22B27">
        <w:rPr>
          <w:rFonts w:hint="cs"/>
          <w:rtl/>
        </w:rPr>
        <w:t xml:space="preserve">اشتراط أن عدم تسديد رسم فردي سيؤدي إلى التخلي عن الحماية بموجب القاعدة </w:t>
      </w:r>
      <w:r w:rsidRPr="00E22B27">
        <w:rPr>
          <w:rFonts w:hint="cs"/>
          <w:rtl/>
        </w:rPr>
        <w:t>16</w:t>
      </w:r>
      <w:r w:rsidR="00D13CA2" w:rsidRPr="00E22B27">
        <w:rPr>
          <w:rFonts w:hint="cs"/>
          <w:rtl/>
        </w:rPr>
        <w:t xml:space="preserve"> فيما يتعلق بالطرف المتعاقد الطالب للرسم. ومن ثم سيكون لمقدم الطلب الخيار في التخلي عن الحماية في أحد الأطراف المتعاقدة</w:t>
      </w:r>
      <w:r w:rsidR="00747088" w:rsidRPr="00E22B27">
        <w:rPr>
          <w:rFonts w:hint="cs"/>
          <w:rtl/>
        </w:rPr>
        <w:t xml:space="preserve"> التي تشترط رسم فردي</w:t>
      </w:r>
      <w:r w:rsidR="00C847B2" w:rsidRPr="00E22B27">
        <w:rPr>
          <w:rFonts w:hint="cs"/>
          <w:rtl/>
        </w:rPr>
        <w:t xml:space="preserve"> </w:t>
      </w:r>
      <w:r w:rsidR="00450110" w:rsidRPr="00E22B27">
        <w:rPr>
          <w:rFonts w:hint="cs"/>
          <w:rtl/>
        </w:rPr>
        <w:t>أو</w:t>
      </w:r>
      <w:r w:rsidR="00450110" w:rsidRPr="00E22B27">
        <w:rPr>
          <w:rtl/>
        </w:rPr>
        <w:t> </w:t>
      </w:r>
      <w:r w:rsidR="00D13CA2" w:rsidRPr="00E22B27">
        <w:rPr>
          <w:rFonts w:hint="cs"/>
          <w:rtl/>
        </w:rPr>
        <w:t xml:space="preserve">بعضها </w:t>
      </w:r>
      <w:r w:rsidR="00450110" w:rsidRPr="00E22B27">
        <w:rPr>
          <w:rFonts w:hint="cs"/>
          <w:rtl/>
        </w:rPr>
        <w:t>أو</w:t>
      </w:r>
      <w:r w:rsidR="00450110" w:rsidRPr="00E22B27">
        <w:rPr>
          <w:rtl/>
        </w:rPr>
        <w:t> </w:t>
      </w:r>
      <w:r w:rsidR="00D13CA2" w:rsidRPr="00E22B27">
        <w:rPr>
          <w:rFonts w:hint="cs"/>
          <w:rtl/>
        </w:rPr>
        <w:t>كلها</w:t>
      </w:r>
      <w:r w:rsidR="00747088" w:rsidRPr="00E22B27">
        <w:rPr>
          <w:rFonts w:hint="cs"/>
          <w:rtl/>
        </w:rPr>
        <w:t xml:space="preserve"> بمجرد عدم تسديد الرسم الفردي </w:t>
      </w:r>
      <w:r w:rsidR="00450110" w:rsidRPr="00E22B27">
        <w:rPr>
          <w:rFonts w:hint="cs"/>
          <w:rtl/>
        </w:rPr>
        <w:t>أو</w:t>
      </w:r>
      <w:r w:rsidR="00450110" w:rsidRPr="00E22B27">
        <w:rPr>
          <w:rtl/>
        </w:rPr>
        <w:t> </w:t>
      </w:r>
      <w:r w:rsidR="00747088" w:rsidRPr="00E22B27">
        <w:rPr>
          <w:rFonts w:hint="cs"/>
          <w:rtl/>
        </w:rPr>
        <w:t xml:space="preserve">الرسوم المعنية. ويمكن كذلك سحب هذا التخلي بموجب القاعدة </w:t>
      </w:r>
      <w:r w:rsidRPr="00E22B27">
        <w:rPr>
          <w:rFonts w:hint="cs"/>
          <w:rtl/>
        </w:rPr>
        <w:t>16</w:t>
      </w:r>
      <w:r w:rsidR="00747088" w:rsidRPr="00E22B27">
        <w:rPr>
          <w:rFonts w:hint="cs"/>
          <w:rtl/>
        </w:rPr>
        <w:t xml:space="preserve"> على أن يُسدد الرسم الفردي إضافة إلى رسم تغيير تدوين التسجيل الدولي في السجل الدولي. وبموجب القاعدة </w:t>
      </w:r>
      <w:r w:rsidRPr="00E22B27">
        <w:rPr>
          <w:rFonts w:hint="cs"/>
          <w:rtl/>
        </w:rPr>
        <w:t>16</w:t>
      </w:r>
      <w:r w:rsidR="00747088" w:rsidRPr="00E22B27">
        <w:rPr>
          <w:rFonts w:hint="cs"/>
          <w:rtl/>
        </w:rPr>
        <w:t>(</w:t>
      </w:r>
      <w:r w:rsidRPr="00E22B27">
        <w:rPr>
          <w:rFonts w:hint="cs"/>
          <w:rtl/>
        </w:rPr>
        <w:t>4</w:t>
      </w:r>
      <w:r w:rsidR="00747088" w:rsidRPr="00E22B27">
        <w:rPr>
          <w:rFonts w:hint="cs"/>
          <w:rtl/>
        </w:rPr>
        <w:t>)</w:t>
      </w:r>
      <w:r w:rsidR="00AB2ABC">
        <w:rPr>
          <w:rFonts w:hint="cs"/>
          <w:rtl/>
        </w:rPr>
        <w:t>،</w:t>
      </w:r>
      <w:r w:rsidR="00747088" w:rsidRPr="00E22B27">
        <w:rPr>
          <w:rFonts w:hint="cs"/>
          <w:rtl/>
        </w:rPr>
        <w:t xml:space="preserve"> تبدأ مهلة رفض طرف متعاقد حماية تسمية المنشأ </w:t>
      </w:r>
      <w:r w:rsidR="00450110" w:rsidRPr="00E22B27">
        <w:rPr>
          <w:rFonts w:hint="cs"/>
          <w:rtl/>
        </w:rPr>
        <w:t>أو</w:t>
      </w:r>
      <w:r w:rsidR="00450110" w:rsidRPr="00E22B27">
        <w:rPr>
          <w:rtl/>
        </w:rPr>
        <w:t> </w:t>
      </w:r>
      <w:r w:rsidR="00747088" w:rsidRPr="00E22B27">
        <w:rPr>
          <w:rFonts w:hint="cs"/>
          <w:rtl/>
        </w:rPr>
        <w:t>البيان الجغرافي المعني بطبيعة الحال اعتباراً من تاريخ تلقيه الإخطار بسحب التخلي.</w:t>
      </w:r>
    </w:p>
    <w:p w:rsidR="00747088" w:rsidRPr="00E22B27" w:rsidRDefault="003C1838" w:rsidP="009422A7">
      <w:pPr>
        <w:pStyle w:val="NormalParaAR"/>
      </w:pPr>
      <w:r w:rsidRPr="00E22B27">
        <w:rPr>
          <w:rtl/>
        </w:rPr>
        <w:t>6.7</w:t>
      </w:r>
      <w:r w:rsidRPr="00E22B27">
        <w:tab/>
      </w:r>
      <w:r w:rsidR="00747088" w:rsidRPr="00E22B27">
        <w:rPr>
          <w:rFonts w:hint="cs"/>
          <w:rtl/>
        </w:rPr>
        <w:t xml:space="preserve">ينطبق الأمر ذاته بموجب </w:t>
      </w:r>
      <w:r w:rsidR="00450110" w:rsidRPr="00E22B27">
        <w:rPr>
          <w:rFonts w:hint="cs"/>
          <w:rtl/>
        </w:rPr>
        <w:t>المادة</w:t>
      </w:r>
      <w:r w:rsidR="00450110" w:rsidRPr="00E22B27">
        <w:rPr>
          <w:rtl/>
        </w:rPr>
        <w:t> </w:t>
      </w:r>
      <w:r w:rsidRPr="00E22B27">
        <w:rPr>
          <w:rFonts w:hint="cs"/>
          <w:rtl/>
        </w:rPr>
        <w:t>29</w:t>
      </w:r>
      <w:r w:rsidR="00747088" w:rsidRPr="00E22B27">
        <w:rPr>
          <w:rFonts w:hint="cs"/>
          <w:rtl/>
        </w:rPr>
        <w:t>(</w:t>
      </w:r>
      <w:r w:rsidRPr="00E22B27">
        <w:rPr>
          <w:rFonts w:hint="cs"/>
          <w:rtl/>
        </w:rPr>
        <w:t>4</w:t>
      </w:r>
      <w:r w:rsidR="00747088" w:rsidRPr="00E22B27">
        <w:rPr>
          <w:rFonts w:hint="cs"/>
          <w:rtl/>
        </w:rPr>
        <w:t xml:space="preserve">) المتعلقة بالأطراف المتعاقدة الحديثة الانضمام. فإن جميع التسجيلات الدولية النافذة في إطار نظام لشبونة وقت الانضمام تكون مبدئياً مشمولة بحماية طرف متعاقد حديث الانضمام باستثناء الأطراف التي تخطر برفضها الحماية بموجب </w:t>
      </w:r>
      <w:r w:rsidR="00450110" w:rsidRPr="00E22B27">
        <w:rPr>
          <w:rFonts w:hint="cs"/>
          <w:rtl/>
        </w:rPr>
        <w:t>المادة</w:t>
      </w:r>
      <w:r w:rsidR="00450110" w:rsidRPr="00E22B27">
        <w:rPr>
          <w:rtl/>
        </w:rPr>
        <w:t> </w:t>
      </w:r>
      <w:r w:rsidRPr="00E22B27">
        <w:rPr>
          <w:rFonts w:hint="cs"/>
          <w:rtl/>
        </w:rPr>
        <w:t>29</w:t>
      </w:r>
      <w:r w:rsidR="00747088" w:rsidRPr="00E22B27">
        <w:rPr>
          <w:rFonts w:hint="cs"/>
          <w:rtl/>
        </w:rPr>
        <w:t>(</w:t>
      </w:r>
      <w:r w:rsidRPr="00E22B27">
        <w:rPr>
          <w:rFonts w:hint="cs"/>
          <w:rtl/>
        </w:rPr>
        <w:t>4</w:t>
      </w:r>
      <w:r w:rsidR="00747088" w:rsidRPr="00E22B27">
        <w:rPr>
          <w:rFonts w:hint="cs"/>
          <w:rtl/>
        </w:rPr>
        <w:t xml:space="preserve">) خلال المهلة المنطبقة والمحددة في الإخطار الذي ستتلقاه من المكتب الدولي </w:t>
      </w:r>
      <w:r w:rsidR="00450110" w:rsidRPr="00E22B27">
        <w:rPr>
          <w:rFonts w:hint="cs"/>
          <w:rtl/>
        </w:rPr>
        <w:t>أو</w:t>
      </w:r>
      <w:r w:rsidR="00450110" w:rsidRPr="00E22B27">
        <w:rPr>
          <w:rtl/>
        </w:rPr>
        <w:t> </w:t>
      </w:r>
      <w:r w:rsidR="00747088" w:rsidRPr="00E22B27">
        <w:rPr>
          <w:rFonts w:hint="cs"/>
          <w:rtl/>
        </w:rPr>
        <w:t>في حالة عدم تسديد الرسم الفردي الذي يجوز للطرف المتعاقد الحديث الانضمام طلبه.</w:t>
      </w:r>
    </w:p>
    <w:p w:rsidR="00747088" w:rsidRPr="00E22B27" w:rsidRDefault="003C1838" w:rsidP="00AB2ABC">
      <w:pPr>
        <w:pStyle w:val="NormalParaAR"/>
      </w:pPr>
      <w:r w:rsidRPr="00E22B27">
        <w:rPr>
          <w:rtl/>
        </w:rPr>
        <w:t>7.7</w:t>
      </w:r>
      <w:r w:rsidRPr="00E22B27">
        <w:tab/>
      </w:r>
      <w:r w:rsidR="00747088" w:rsidRPr="00E22B27">
        <w:rPr>
          <w:rFonts w:hint="cs"/>
          <w:rtl/>
        </w:rPr>
        <w:t>في الدورة التاسعة للفريق العامل، اقترح وفد الاتحاد الأوروبي أن ترجع إمكانية استحداث رسوم فردية</w:t>
      </w:r>
      <w:r w:rsidR="00E22B27" w:rsidRPr="00E22B27">
        <w:rPr>
          <w:rFonts w:hint="cs"/>
          <w:rtl/>
        </w:rPr>
        <w:t xml:space="preserve"> إلى </w:t>
      </w:r>
      <w:r w:rsidR="00747088" w:rsidRPr="00E22B27">
        <w:rPr>
          <w:rFonts w:hint="cs"/>
          <w:rtl/>
        </w:rPr>
        <w:t xml:space="preserve">الجمعية. ونظراً إلى انعدام توافق الآراء في الفريق العامل، يشير نص </w:t>
      </w:r>
      <w:r w:rsidR="00450110" w:rsidRPr="00E22B27">
        <w:rPr>
          <w:rFonts w:hint="cs"/>
          <w:rtl/>
        </w:rPr>
        <w:t>المادة</w:t>
      </w:r>
      <w:r w:rsidR="00450110" w:rsidRPr="00E22B27">
        <w:rPr>
          <w:rtl/>
        </w:rPr>
        <w:t> </w:t>
      </w:r>
      <w:r w:rsidRPr="00E22B27">
        <w:rPr>
          <w:rFonts w:hint="cs"/>
          <w:rtl/>
        </w:rPr>
        <w:t>7</w:t>
      </w:r>
      <w:r w:rsidR="00747088" w:rsidRPr="00E22B27">
        <w:rPr>
          <w:rFonts w:hint="cs"/>
          <w:rtl/>
        </w:rPr>
        <w:t>(</w:t>
      </w:r>
      <w:r w:rsidRPr="00E22B27">
        <w:rPr>
          <w:rFonts w:hint="cs"/>
          <w:rtl/>
        </w:rPr>
        <w:t>5</w:t>
      </w:r>
      <w:r w:rsidR="00747088" w:rsidRPr="00E22B27">
        <w:rPr>
          <w:rFonts w:hint="cs"/>
          <w:rtl/>
        </w:rPr>
        <w:t>) إلى الخيارين التاليين: اقتراح وفد الاتحاد الروسي المدمج مع اقتراح وفد الولايات المتحدة الأمريكية (الخيار ألف)؛ واقتراح وفد الاتحاد الأوروبي (الخيار باء).</w:t>
      </w:r>
    </w:p>
    <w:p w:rsidR="00747088" w:rsidRPr="00E22B27" w:rsidRDefault="003C1838" w:rsidP="00AB2ABC">
      <w:pPr>
        <w:pStyle w:val="NormalParaAR"/>
        <w:rPr>
          <w:rtl/>
        </w:rPr>
      </w:pPr>
      <w:r w:rsidRPr="00E22B27">
        <w:rPr>
          <w:rtl/>
        </w:rPr>
        <w:t>8.7</w:t>
      </w:r>
      <w:r w:rsidRPr="00E22B27">
        <w:rPr>
          <w:rtl/>
        </w:rPr>
        <w:tab/>
      </w:r>
      <w:r w:rsidR="00747088" w:rsidRPr="00E22B27">
        <w:rPr>
          <w:rFonts w:hint="cs"/>
          <w:rtl/>
        </w:rPr>
        <w:t xml:space="preserve">على سبيل المقارنة، ترد في المرفق الثاني إحصاءات تخص الرسوم المحصلة في إطار </w:t>
      </w:r>
      <w:r w:rsidR="00747088" w:rsidRPr="00E22B27">
        <w:rPr>
          <w:rtl/>
        </w:rPr>
        <w:t>نظام مدريد للتسجيل الدولي للعلامات</w:t>
      </w:r>
      <w:r w:rsidR="00747088" w:rsidRPr="00E22B27">
        <w:rPr>
          <w:rFonts w:hint="cs"/>
          <w:rtl/>
        </w:rPr>
        <w:t xml:space="preserve"> على نحو ما ترد في القسم باء </w:t>
      </w:r>
      <w:r w:rsidR="00747088" w:rsidRPr="00E22B27">
        <w:rPr>
          <w:rtl/>
        </w:rPr>
        <w:t>–</w:t>
      </w:r>
      <w:r w:rsidR="00747088" w:rsidRPr="00E22B27">
        <w:rPr>
          <w:rFonts w:hint="cs"/>
          <w:rtl/>
        </w:rPr>
        <w:t xml:space="preserve"> </w:t>
      </w:r>
      <w:r w:rsidRPr="00E22B27">
        <w:rPr>
          <w:rFonts w:hint="cs"/>
          <w:rtl/>
        </w:rPr>
        <w:t>3</w:t>
      </w:r>
      <w:r w:rsidR="00747088" w:rsidRPr="00E22B27">
        <w:rPr>
          <w:rFonts w:hint="cs"/>
          <w:rtl/>
        </w:rPr>
        <w:t xml:space="preserve"> من الاستعراض السنوي لنظام مدريد لعام </w:t>
      </w:r>
      <w:r w:rsidRPr="00E22B27">
        <w:rPr>
          <w:rFonts w:hint="cs"/>
          <w:rtl/>
        </w:rPr>
        <w:t>2</w:t>
      </w:r>
      <w:r w:rsidR="00747088" w:rsidRPr="00E22B27">
        <w:rPr>
          <w:rFonts w:hint="cs"/>
          <w:rtl/>
        </w:rPr>
        <w:t>0</w:t>
      </w:r>
      <w:r w:rsidRPr="00E22B27">
        <w:rPr>
          <w:rFonts w:hint="cs"/>
          <w:rtl/>
        </w:rPr>
        <w:t>13</w:t>
      </w:r>
      <w:r w:rsidR="00AB2ABC">
        <w:rPr>
          <w:rFonts w:hint="cs"/>
          <w:rtl/>
        </w:rPr>
        <w:t>، منشور الويبو رقم</w:t>
      </w:r>
      <w:r w:rsidR="00AB2ABC">
        <w:rPr>
          <w:rFonts w:hint="eastAsia"/>
          <w:rtl/>
        </w:rPr>
        <w:t> </w:t>
      </w:r>
      <w:r w:rsidR="00AB2ABC">
        <w:t>940E/14</w:t>
      </w:r>
      <w:r w:rsidRPr="00E22B27">
        <w:rPr>
          <w:rtl/>
        </w:rPr>
        <w:t>.</w:t>
      </w:r>
      <w:r w:rsidR="00747088" w:rsidRPr="00E22B27">
        <w:rPr>
          <w:rFonts w:hint="cs"/>
          <w:rtl/>
        </w:rPr>
        <w:t xml:space="preserve"> وترد في المرفق الثالث معلومات عن النطاق الجغرافي للت</w:t>
      </w:r>
      <w:r w:rsidR="00F01ED7" w:rsidRPr="00E22B27">
        <w:rPr>
          <w:rFonts w:hint="cs"/>
          <w:rtl/>
        </w:rPr>
        <w:t xml:space="preserve">عيينات ومتوسط عددها في التسجيلات الدولية بموجب نظام مدريد على النحو الوارد في القسم ألف </w:t>
      </w:r>
      <w:r w:rsidR="00F01ED7" w:rsidRPr="00E22B27">
        <w:rPr>
          <w:rtl/>
        </w:rPr>
        <w:t>–</w:t>
      </w:r>
      <w:r w:rsidR="00F01ED7" w:rsidRPr="00E22B27">
        <w:rPr>
          <w:rFonts w:hint="cs"/>
          <w:rtl/>
        </w:rPr>
        <w:t xml:space="preserve"> </w:t>
      </w:r>
      <w:r w:rsidRPr="00E22B27">
        <w:rPr>
          <w:rFonts w:hint="cs"/>
          <w:rtl/>
        </w:rPr>
        <w:t>3</w:t>
      </w:r>
      <w:r w:rsidR="00F01ED7" w:rsidRPr="00E22B27">
        <w:rPr>
          <w:rFonts w:hint="cs"/>
          <w:rtl/>
        </w:rPr>
        <w:t xml:space="preserve"> من الاستعراض السنوي لنظام مدريد لعام </w:t>
      </w:r>
      <w:r w:rsidRPr="00E22B27">
        <w:rPr>
          <w:rFonts w:hint="cs"/>
          <w:rtl/>
        </w:rPr>
        <w:t>2</w:t>
      </w:r>
      <w:r w:rsidR="00F01ED7" w:rsidRPr="00E22B27">
        <w:rPr>
          <w:rFonts w:hint="cs"/>
          <w:rtl/>
        </w:rPr>
        <w:t>0</w:t>
      </w:r>
      <w:r w:rsidRPr="00E22B27">
        <w:rPr>
          <w:rFonts w:hint="cs"/>
          <w:rtl/>
        </w:rPr>
        <w:t>13.</w:t>
      </w:r>
      <w:r w:rsidR="00F01ED7" w:rsidRPr="00E22B27">
        <w:rPr>
          <w:rFonts w:hint="cs"/>
          <w:rtl/>
        </w:rPr>
        <w:t xml:space="preserve"> ويرد في المرفق الرابع جدول الرسوم الحالي لنظام مدريد. وأخيراً ترد في المرفق الخامس معلومات عن الرسوم الفردية المطبقة حالياً في إطار نظام مدريد.</w:t>
      </w:r>
    </w:p>
    <w:p w:rsidR="00187464" w:rsidRPr="00E22B27" w:rsidRDefault="00187464" w:rsidP="009422A7">
      <w:pPr>
        <w:pStyle w:val="Heading1AR"/>
        <w:spacing w:before="0" w:after="360" w:line="360" w:lineRule="exact"/>
        <w:rPr>
          <w:rtl/>
        </w:rPr>
      </w:pPr>
      <w:r w:rsidRPr="00E22B27">
        <w:rPr>
          <w:rFonts w:hint="cs"/>
          <w:rtl/>
        </w:rPr>
        <w:t>ملاحظات على</w:t>
      </w:r>
      <w:r w:rsidR="007C2359" w:rsidRPr="00E22B27">
        <w:rPr>
          <w:rFonts w:hint="cs"/>
          <w:rtl/>
        </w:rPr>
        <w:t xml:space="preserve"> </w:t>
      </w:r>
      <w:r w:rsidR="00450110" w:rsidRPr="00E22B27">
        <w:rPr>
          <w:rFonts w:hint="cs"/>
          <w:rtl/>
        </w:rPr>
        <w:t>المادة</w:t>
      </w:r>
      <w:r w:rsidR="00450110" w:rsidRPr="00E22B27">
        <w:rPr>
          <w:rtl/>
        </w:rPr>
        <w:t> </w:t>
      </w:r>
      <w:r w:rsidR="003C1838" w:rsidRPr="00E22B27">
        <w:rPr>
          <w:rFonts w:hint="cs"/>
          <w:rtl/>
        </w:rPr>
        <w:t>8</w:t>
      </w:r>
      <w:r w:rsidRPr="00E22B27">
        <w:rPr>
          <w:rFonts w:hint="cs"/>
          <w:rtl/>
        </w:rPr>
        <w:t>:</w:t>
      </w:r>
      <w:r w:rsidRPr="00E22B27">
        <w:rPr>
          <w:rFonts w:hint="cs"/>
          <w:rtl/>
        </w:rPr>
        <w:tab/>
        <w:t>مدة صلاحية التسجيل الدولي</w:t>
      </w:r>
    </w:p>
    <w:p w:rsidR="006417E8" w:rsidRPr="00E22B27" w:rsidRDefault="003C1838" w:rsidP="009422A7">
      <w:pPr>
        <w:pStyle w:val="NormalParaAR"/>
      </w:pPr>
      <w:r w:rsidRPr="00E22B27">
        <w:rPr>
          <w:rtl/>
        </w:rPr>
        <w:t>1.8</w:t>
      </w:r>
      <w:r w:rsidRPr="00E22B27">
        <w:tab/>
      </w:r>
      <w:r w:rsidR="00F01ED7" w:rsidRPr="00E22B27">
        <w:rPr>
          <w:rFonts w:hint="cs"/>
          <w:rtl/>
        </w:rPr>
        <w:t xml:space="preserve">تحدد </w:t>
      </w:r>
      <w:r w:rsidR="00450110" w:rsidRPr="00E22B27">
        <w:rPr>
          <w:rFonts w:hint="cs"/>
          <w:rtl/>
        </w:rPr>
        <w:t>المادة</w:t>
      </w:r>
      <w:r w:rsidR="00450110" w:rsidRPr="00E22B27">
        <w:rPr>
          <w:rtl/>
        </w:rPr>
        <w:t> </w:t>
      </w:r>
      <w:r w:rsidRPr="00E22B27">
        <w:rPr>
          <w:rFonts w:hint="cs"/>
          <w:rtl/>
        </w:rPr>
        <w:t>2</w:t>
      </w:r>
      <w:r w:rsidR="00F01ED7" w:rsidRPr="00E22B27">
        <w:rPr>
          <w:rFonts w:hint="cs"/>
          <w:rtl/>
        </w:rPr>
        <w:t>(</w:t>
      </w:r>
      <w:r w:rsidRPr="00E22B27">
        <w:rPr>
          <w:rFonts w:hint="cs"/>
          <w:rtl/>
        </w:rPr>
        <w:t>1</w:t>
      </w:r>
      <w:r w:rsidR="00F01ED7" w:rsidRPr="00E22B27">
        <w:rPr>
          <w:rFonts w:hint="cs"/>
          <w:rtl/>
        </w:rPr>
        <w:t xml:space="preserve">) جملة أمور منها أن التسجيلات الدولية بموجب اتفاق لشبونة المراجَع ترتهن بحماية تسمية المنشأ </w:t>
      </w:r>
      <w:r w:rsidR="00450110" w:rsidRPr="00E22B27">
        <w:rPr>
          <w:rFonts w:hint="cs"/>
          <w:rtl/>
        </w:rPr>
        <w:t>أو</w:t>
      </w:r>
      <w:r w:rsidR="00450110" w:rsidRPr="00E22B27">
        <w:rPr>
          <w:rtl/>
        </w:rPr>
        <w:t> </w:t>
      </w:r>
      <w:r w:rsidR="00F01ED7" w:rsidRPr="00E22B27">
        <w:rPr>
          <w:rFonts w:hint="cs"/>
          <w:rtl/>
        </w:rPr>
        <w:t xml:space="preserve">البيان الجغرافي في طرف المنشأ المتعاقد الخاص بهما. وفي الدورتين السابعة والثامنة للفريق العامل، نوقشت إمكانية استحداث رسوم تجديد. ونتيجة لذلك، يقترح المشروع الحالي لاتفاق لشبونة المراجَع في </w:t>
      </w:r>
      <w:r w:rsidR="00450110" w:rsidRPr="00E22B27">
        <w:rPr>
          <w:rFonts w:hint="cs"/>
          <w:rtl/>
        </w:rPr>
        <w:t>المادة</w:t>
      </w:r>
      <w:r w:rsidR="00450110" w:rsidRPr="00E22B27">
        <w:rPr>
          <w:rtl/>
        </w:rPr>
        <w:t> </w:t>
      </w:r>
      <w:r w:rsidRPr="00E22B27">
        <w:rPr>
          <w:rFonts w:hint="cs"/>
          <w:rtl/>
        </w:rPr>
        <w:t>7</w:t>
      </w:r>
      <w:r w:rsidR="00F01ED7" w:rsidRPr="00E22B27">
        <w:rPr>
          <w:rFonts w:hint="cs"/>
          <w:rtl/>
        </w:rPr>
        <w:t>(</w:t>
      </w:r>
      <w:r w:rsidRPr="00E22B27">
        <w:rPr>
          <w:rFonts w:hint="cs"/>
          <w:rtl/>
        </w:rPr>
        <w:t>3</w:t>
      </w:r>
      <w:r w:rsidR="00F01ED7" w:rsidRPr="00E22B27">
        <w:rPr>
          <w:rFonts w:hint="cs"/>
          <w:rtl/>
        </w:rPr>
        <w:t xml:space="preserve">) أنه يجوز للجمعية وضع رسوم محافظة مخصصة في حال واجه اتحاد لشبونة عجزاً. وللمزيد من التفاصيل انظر الملاحظات على </w:t>
      </w:r>
      <w:r w:rsidR="00450110" w:rsidRPr="00E22B27">
        <w:rPr>
          <w:rFonts w:hint="cs"/>
          <w:rtl/>
        </w:rPr>
        <w:t>المادة</w:t>
      </w:r>
      <w:r w:rsidR="00450110" w:rsidRPr="00E22B27">
        <w:rPr>
          <w:rtl/>
        </w:rPr>
        <w:t> </w:t>
      </w:r>
      <w:r w:rsidRPr="00E22B27">
        <w:rPr>
          <w:rFonts w:hint="cs"/>
          <w:rtl/>
        </w:rPr>
        <w:t>7</w:t>
      </w:r>
      <w:r w:rsidR="00F01ED7" w:rsidRPr="00E22B27">
        <w:rPr>
          <w:rFonts w:hint="cs"/>
          <w:rtl/>
        </w:rPr>
        <w:t xml:space="preserve"> والقاعدة </w:t>
      </w:r>
      <w:r w:rsidRPr="00E22B27">
        <w:rPr>
          <w:rFonts w:hint="cs"/>
          <w:rtl/>
        </w:rPr>
        <w:t>8.</w:t>
      </w:r>
    </w:p>
    <w:p w:rsidR="00F01ED7" w:rsidRPr="00E22B27" w:rsidRDefault="003C1838" w:rsidP="000F16CE">
      <w:pPr>
        <w:pStyle w:val="NormalParaAR"/>
        <w:rPr>
          <w:rtl/>
        </w:rPr>
      </w:pPr>
      <w:r w:rsidRPr="00E22B27">
        <w:rPr>
          <w:rtl/>
        </w:rPr>
        <w:t>2.8</w:t>
      </w:r>
      <w:r w:rsidRPr="00E22B27">
        <w:rPr>
          <w:rtl/>
        </w:rPr>
        <w:tab/>
      </w:r>
      <w:r w:rsidR="00F01ED7" w:rsidRPr="00E22B27">
        <w:rPr>
          <w:rFonts w:hint="cs"/>
          <w:rtl/>
        </w:rPr>
        <w:t>حُددت ثلاث إمكانيات للإلغاء. وتشير الإمكانية الأولى (</w:t>
      </w:r>
      <w:r w:rsidR="00450110" w:rsidRPr="00E22B27">
        <w:rPr>
          <w:rFonts w:hint="cs"/>
          <w:rtl/>
        </w:rPr>
        <w:t>الفقرة</w:t>
      </w:r>
      <w:r w:rsidR="00450110" w:rsidRPr="00E22B27">
        <w:rPr>
          <w:rtl/>
        </w:rPr>
        <w:t> </w:t>
      </w:r>
      <w:r w:rsidR="00F01ED7" w:rsidRPr="00E22B27">
        <w:rPr>
          <w:rFonts w:hint="cs"/>
          <w:rtl/>
        </w:rPr>
        <w:t>(</w:t>
      </w:r>
      <w:r w:rsidRPr="00E22B27">
        <w:rPr>
          <w:rFonts w:hint="cs"/>
          <w:rtl/>
        </w:rPr>
        <w:t>2</w:t>
      </w:r>
      <w:r w:rsidR="00F01ED7" w:rsidRPr="00E22B27">
        <w:rPr>
          <w:rFonts w:hint="cs"/>
          <w:rtl/>
        </w:rPr>
        <w:t xml:space="preserve">)(أ)) إلى طلب إلغاء يجوز أن تقدمه الإدارة المختصة في طرف المنشأ المتعاقد </w:t>
      </w:r>
      <w:r w:rsidR="00450110" w:rsidRPr="00E22B27">
        <w:rPr>
          <w:rFonts w:hint="cs"/>
          <w:rtl/>
        </w:rPr>
        <w:t>أو</w:t>
      </w:r>
      <w:r w:rsidR="00450110" w:rsidRPr="00E22B27">
        <w:rPr>
          <w:rtl/>
        </w:rPr>
        <w:t> </w:t>
      </w:r>
      <w:r w:rsidR="00F01ED7" w:rsidRPr="00E22B27">
        <w:rPr>
          <w:rFonts w:hint="cs"/>
          <w:rtl/>
        </w:rPr>
        <w:t xml:space="preserve">في حالة </w:t>
      </w:r>
      <w:r w:rsidR="00450110" w:rsidRPr="00E22B27">
        <w:rPr>
          <w:rFonts w:hint="cs"/>
          <w:rtl/>
        </w:rPr>
        <w:t>المادة</w:t>
      </w:r>
      <w:r w:rsidR="00450110" w:rsidRPr="00E22B27">
        <w:rPr>
          <w:rtl/>
        </w:rPr>
        <w:t> </w:t>
      </w:r>
      <w:r w:rsidRPr="00E22B27">
        <w:rPr>
          <w:rFonts w:hint="cs"/>
          <w:rtl/>
        </w:rPr>
        <w:t>5</w:t>
      </w:r>
      <w:r w:rsidR="00F01ED7" w:rsidRPr="00E22B27">
        <w:rPr>
          <w:rFonts w:hint="cs"/>
          <w:rtl/>
        </w:rPr>
        <w:t>(</w:t>
      </w:r>
      <w:r w:rsidRPr="00E22B27">
        <w:rPr>
          <w:rFonts w:hint="cs"/>
          <w:rtl/>
        </w:rPr>
        <w:t>3</w:t>
      </w:r>
      <w:r w:rsidR="00F01ED7" w:rsidRPr="00E22B27">
        <w:rPr>
          <w:rFonts w:hint="cs"/>
          <w:rtl/>
        </w:rPr>
        <w:t xml:space="preserve">) المستفيدون </w:t>
      </w:r>
      <w:r w:rsidR="00450110" w:rsidRPr="00E22B27">
        <w:rPr>
          <w:rFonts w:hint="cs"/>
          <w:rtl/>
        </w:rPr>
        <w:t>أو</w:t>
      </w:r>
      <w:r w:rsidR="00450110" w:rsidRPr="00E22B27">
        <w:rPr>
          <w:rtl/>
        </w:rPr>
        <w:t> </w:t>
      </w:r>
      <w:r w:rsidR="00F01ED7" w:rsidRPr="00E22B27">
        <w:rPr>
          <w:rFonts w:hint="cs"/>
          <w:rtl/>
        </w:rPr>
        <w:t xml:space="preserve">الكيان القانوني المشار إليه في </w:t>
      </w:r>
      <w:r w:rsidR="00450110" w:rsidRPr="00E22B27">
        <w:rPr>
          <w:rFonts w:hint="cs"/>
          <w:rtl/>
        </w:rPr>
        <w:t>المادة</w:t>
      </w:r>
      <w:r w:rsidR="00450110" w:rsidRPr="00E22B27">
        <w:rPr>
          <w:rtl/>
        </w:rPr>
        <w:t> </w:t>
      </w:r>
      <w:r w:rsidRPr="00E22B27">
        <w:rPr>
          <w:rFonts w:hint="cs"/>
          <w:rtl/>
        </w:rPr>
        <w:t>5</w:t>
      </w:r>
      <w:r w:rsidR="00F01ED7" w:rsidRPr="00E22B27">
        <w:rPr>
          <w:rFonts w:hint="cs"/>
          <w:rtl/>
        </w:rPr>
        <w:t>(</w:t>
      </w:r>
      <w:r w:rsidRPr="00E22B27">
        <w:rPr>
          <w:rFonts w:hint="cs"/>
          <w:rtl/>
        </w:rPr>
        <w:t>2</w:t>
      </w:r>
      <w:r w:rsidR="00F01ED7" w:rsidRPr="00E22B27">
        <w:rPr>
          <w:rFonts w:hint="cs"/>
          <w:rtl/>
        </w:rPr>
        <w:t>)"</w:t>
      </w:r>
      <w:r w:rsidRPr="00E22B27">
        <w:rPr>
          <w:rFonts w:hint="cs"/>
          <w:rtl/>
        </w:rPr>
        <w:t>2</w:t>
      </w:r>
      <w:r w:rsidR="00F01ED7" w:rsidRPr="00E22B27">
        <w:rPr>
          <w:rFonts w:hint="cs"/>
          <w:rtl/>
        </w:rPr>
        <w:t xml:space="preserve">" </w:t>
      </w:r>
      <w:r w:rsidR="00450110" w:rsidRPr="00E22B27">
        <w:rPr>
          <w:rFonts w:hint="cs"/>
          <w:rtl/>
        </w:rPr>
        <w:lastRenderedPageBreak/>
        <w:t>أو</w:t>
      </w:r>
      <w:r w:rsidR="00450110" w:rsidRPr="00E22B27">
        <w:rPr>
          <w:rtl/>
        </w:rPr>
        <w:t> </w:t>
      </w:r>
      <w:r w:rsidR="00F01ED7" w:rsidRPr="00E22B27">
        <w:rPr>
          <w:rFonts w:hint="cs"/>
          <w:rtl/>
        </w:rPr>
        <w:t>الإدارة المختصة في طرف المنشأ المتعاقد في أي وقت إلى المكتب الدولي. أما الإمكانية الثانية (</w:t>
      </w:r>
      <w:r w:rsidR="00450110" w:rsidRPr="00E22B27">
        <w:rPr>
          <w:rFonts w:hint="cs"/>
          <w:rtl/>
        </w:rPr>
        <w:t>الفقرة</w:t>
      </w:r>
      <w:r w:rsidR="00450110" w:rsidRPr="00E22B27">
        <w:rPr>
          <w:rtl/>
        </w:rPr>
        <w:t> </w:t>
      </w:r>
      <w:r w:rsidR="00F01ED7" w:rsidRPr="00E22B27">
        <w:rPr>
          <w:rFonts w:hint="cs"/>
          <w:rtl/>
        </w:rPr>
        <w:t>(</w:t>
      </w:r>
      <w:r w:rsidRPr="00E22B27">
        <w:rPr>
          <w:rFonts w:hint="cs"/>
          <w:rtl/>
        </w:rPr>
        <w:t>2</w:t>
      </w:r>
      <w:r w:rsidR="00F01ED7" w:rsidRPr="00E22B27">
        <w:rPr>
          <w:rFonts w:hint="cs"/>
          <w:rtl/>
        </w:rPr>
        <w:t xml:space="preserve">)(ب)) فتخص حالة سقوط الحماية عن تسمية المنشأ المسجلة </w:t>
      </w:r>
      <w:r w:rsidR="00450110" w:rsidRPr="00E22B27">
        <w:rPr>
          <w:rFonts w:hint="cs"/>
          <w:rtl/>
        </w:rPr>
        <w:t>أو</w:t>
      </w:r>
      <w:r w:rsidR="00450110" w:rsidRPr="00E22B27">
        <w:rPr>
          <w:rtl/>
        </w:rPr>
        <w:t> </w:t>
      </w:r>
      <w:r w:rsidR="00F01ED7" w:rsidRPr="00E22B27">
        <w:rPr>
          <w:rFonts w:hint="cs"/>
          <w:rtl/>
        </w:rPr>
        <w:t>البيان الجغرافي المسجل في طرف المنشأ المتعاقد والتي ستضطر إدارته المختصة عندئذ طلب إلغاء التسجيل الدولي. وأما الإمكانية الثالثة (</w:t>
      </w:r>
      <w:r w:rsidR="00450110" w:rsidRPr="00E22B27">
        <w:rPr>
          <w:rFonts w:hint="cs"/>
          <w:rtl/>
        </w:rPr>
        <w:t>الفقرة</w:t>
      </w:r>
      <w:r w:rsidR="00450110" w:rsidRPr="00E22B27">
        <w:rPr>
          <w:rtl/>
        </w:rPr>
        <w:t> </w:t>
      </w:r>
      <w:r w:rsidR="00F01ED7" w:rsidRPr="00E22B27">
        <w:rPr>
          <w:rFonts w:hint="cs"/>
          <w:rtl/>
        </w:rPr>
        <w:t>(</w:t>
      </w:r>
      <w:r w:rsidRPr="00E22B27">
        <w:rPr>
          <w:rFonts w:hint="cs"/>
          <w:rtl/>
        </w:rPr>
        <w:t>3</w:t>
      </w:r>
      <w:r w:rsidR="00F01ED7" w:rsidRPr="00E22B27">
        <w:rPr>
          <w:rFonts w:hint="cs"/>
          <w:rtl/>
        </w:rPr>
        <w:t xml:space="preserve">)) فقد تحدث إذا وضعت الجمعية رسم محافظة مخصصاً بموجب </w:t>
      </w:r>
      <w:r w:rsidR="00450110" w:rsidRPr="00E22B27">
        <w:rPr>
          <w:rFonts w:hint="cs"/>
          <w:rtl/>
        </w:rPr>
        <w:t>المادة</w:t>
      </w:r>
      <w:r w:rsidR="00450110" w:rsidRPr="00E22B27">
        <w:rPr>
          <w:rtl/>
        </w:rPr>
        <w:t> </w:t>
      </w:r>
      <w:r w:rsidRPr="00E22B27">
        <w:rPr>
          <w:rFonts w:hint="cs"/>
          <w:rtl/>
        </w:rPr>
        <w:t>7</w:t>
      </w:r>
      <w:r w:rsidR="00F01ED7" w:rsidRPr="00E22B27">
        <w:rPr>
          <w:rFonts w:hint="cs"/>
          <w:rtl/>
        </w:rPr>
        <w:t>(</w:t>
      </w:r>
      <w:r w:rsidRPr="00E22B27">
        <w:rPr>
          <w:rFonts w:hint="cs"/>
          <w:rtl/>
        </w:rPr>
        <w:t>3</w:t>
      </w:r>
      <w:r w:rsidR="00F01ED7" w:rsidRPr="00E22B27">
        <w:rPr>
          <w:rFonts w:hint="cs"/>
          <w:rtl/>
        </w:rPr>
        <w:t>) ولم يُسدد هذا الرسم.</w:t>
      </w:r>
    </w:p>
    <w:p w:rsidR="00187464" w:rsidRPr="00E22B27" w:rsidRDefault="00187464" w:rsidP="009422A7">
      <w:pPr>
        <w:pStyle w:val="Heading1AR"/>
        <w:spacing w:before="0" w:after="360" w:line="360" w:lineRule="exact"/>
        <w:rPr>
          <w:rtl/>
        </w:rPr>
      </w:pPr>
      <w:r w:rsidRPr="00E22B27">
        <w:rPr>
          <w:rtl/>
        </w:rPr>
        <w:t>ملاحظات على</w:t>
      </w:r>
      <w:r w:rsidR="007C2359" w:rsidRPr="00E22B27">
        <w:rPr>
          <w:rtl/>
        </w:rPr>
        <w:t xml:space="preserve"> </w:t>
      </w:r>
      <w:r w:rsidR="00450110" w:rsidRPr="00E22B27">
        <w:rPr>
          <w:rtl/>
        </w:rPr>
        <w:t>المادة </w:t>
      </w:r>
      <w:r w:rsidR="003C1838" w:rsidRPr="00E22B27">
        <w:rPr>
          <w:rtl/>
        </w:rPr>
        <w:t>9</w:t>
      </w:r>
      <w:r w:rsidRPr="00E22B27">
        <w:rPr>
          <w:rtl/>
        </w:rPr>
        <w:t>:</w:t>
      </w:r>
      <w:r w:rsidRPr="00E22B27">
        <w:rPr>
          <w:rtl/>
        </w:rPr>
        <w:tab/>
      </w:r>
      <w:r w:rsidRPr="00E22B27">
        <w:rPr>
          <w:rFonts w:hint="cs"/>
          <w:rtl/>
        </w:rPr>
        <w:t>الالتزام بالحماية</w:t>
      </w:r>
    </w:p>
    <w:p w:rsidR="003272A9" w:rsidRPr="00E22B27" w:rsidRDefault="003C1838" w:rsidP="009422A7">
      <w:pPr>
        <w:pStyle w:val="NormalParaAR"/>
      </w:pPr>
      <w:r w:rsidRPr="00E22B27">
        <w:rPr>
          <w:rtl/>
        </w:rPr>
        <w:t>1.9</w:t>
      </w:r>
      <w:r w:rsidRPr="00E22B27">
        <w:tab/>
      </w:r>
      <w:r w:rsidR="003272A9" w:rsidRPr="00E22B27">
        <w:rPr>
          <w:rFonts w:hint="cs"/>
          <w:rtl/>
        </w:rPr>
        <w:t xml:space="preserve">نقطة انطلاق </w:t>
      </w:r>
      <w:r w:rsidR="00450110" w:rsidRPr="00E22B27">
        <w:rPr>
          <w:rFonts w:hint="cs"/>
          <w:rtl/>
        </w:rPr>
        <w:t>المادة</w:t>
      </w:r>
      <w:r w:rsidR="00450110" w:rsidRPr="00E22B27">
        <w:rPr>
          <w:rtl/>
        </w:rPr>
        <w:t> </w:t>
      </w:r>
      <w:r w:rsidRPr="00E22B27">
        <w:rPr>
          <w:rFonts w:hint="cs"/>
          <w:rtl/>
        </w:rPr>
        <w:t>9</w:t>
      </w:r>
      <w:r w:rsidR="003272A9" w:rsidRPr="00E22B27">
        <w:rPr>
          <w:rFonts w:hint="cs"/>
          <w:rtl/>
        </w:rPr>
        <w:t>(</w:t>
      </w:r>
      <w:r w:rsidRPr="00E22B27">
        <w:rPr>
          <w:rFonts w:hint="cs"/>
          <w:rtl/>
        </w:rPr>
        <w:t>1</w:t>
      </w:r>
      <w:r w:rsidR="003272A9" w:rsidRPr="00E22B27">
        <w:rPr>
          <w:rFonts w:hint="cs"/>
          <w:rtl/>
        </w:rPr>
        <w:t xml:space="preserve">) هي اتفاق لشبونة الحالي الذي ينص في </w:t>
      </w:r>
      <w:r w:rsidR="00450110" w:rsidRPr="00E22B27">
        <w:rPr>
          <w:rFonts w:hint="cs"/>
          <w:rtl/>
        </w:rPr>
        <w:t>المادة</w:t>
      </w:r>
      <w:r w:rsidR="00450110" w:rsidRPr="00E22B27">
        <w:rPr>
          <w:rtl/>
        </w:rPr>
        <w:t> </w:t>
      </w:r>
      <w:r w:rsidRPr="00E22B27">
        <w:rPr>
          <w:rFonts w:hint="cs"/>
          <w:rtl/>
        </w:rPr>
        <w:t>1</w:t>
      </w:r>
      <w:r w:rsidR="003272A9" w:rsidRPr="00E22B27">
        <w:rPr>
          <w:rFonts w:hint="cs"/>
          <w:rtl/>
        </w:rPr>
        <w:t>(</w:t>
      </w:r>
      <w:r w:rsidRPr="00E22B27">
        <w:rPr>
          <w:rFonts w:hint="cs"/>
          <w:rtl/>
        </w:rPr>
        <w:t>2</w:t>
      </w:r>
      <w:r w:rsidR="003272A9" w:rsidRPr="00E22B27">
        <w:rPr>
          <w:rFonts w:hint="cs"/>
          <w:rtl/>
        </w:rPr>
        <w:t xml:space="preserve">) على أن الدول الأعضاء في لشبونة </w:t>
      </w:r>
      <w:r w:rsidR="003272A9" w:rsidRPr="00E22B27">
        <w:rPr>
          <w:rtl/>
        </w:rPr>
        <w:t>تتعهد</w:t>
      </w:r>
      <w:r w:rsidR="003272A9" w:rsidRPr="00E22B27">
        <w:rPr>
          <w:rFonts w:hint="cs"/>
          <w:rtl/>
        </w:rPr>
        <w:t xml:space="preserve">، </w:t>
      </w:r>
      <w:r w:rsidR="003272A9" w:rsidRPr="00E22B27">
        <w:rPr>
          <w:rtl/>
        </w:rPr>
        <w:t>طبقا</w:t>
      </w:r>
      <w:r w:rsidR="003272A9" w:rsidRPr="00E22B27">
        <w:rPr>
          <w:rFonts w:hint="cs"/>
          <w:rtl/>
        </w:rPr>
        <w:t>ً</w:t>
      </w:r>
      <w:r w:rsidR="003272A9" w:rsidRPr="00E22B27">
        <w:rPr>
          <w:rtl/>
        </w:rPr>
        <w:t xml:space="preserve"> لنصوص هذا الاتفاق، بأن تسهر داخل أراضيها على حماية تسميات المنشأ الخاصة </w:t>
      </w:r>
      <w:r w:rsidR="003272A9" w:rsidRPr="00E22B27">
        <w:rPr>
          <w:rFonts w:hint="cs"/>
          <w:rtl/>
        </w:rPr>
        <w:t>بالأطراف المتعاقدة الأخرى. وتقتضي الأحكام المناظرة من بروتوكول مدريد و</w:t>
      </w:r>
      <w:r w:rsidR="00CD0D5E" w:rsidRPr="00E22B27">
        <w:rPr>
          <w:rFonts w:hint="cs"/>
          <w:rtl/>
        </w:rPr>
        <w:t>وثيقة</w:t>
      </w:r>
      <w:r w:rsidR="00CD0D5E" w:rsidRPr="00E22B27">
        <w:rPr>
          <w:rtl/>
        </w:rPr>
        <w:t> </w:t>
      </w:r>
      <w:r w:rsidR="003272A9" w:rsidRPr="00E22B27">
        <w:rPr>
          <w:rFonts w:hint="cs"/>
          <w:rtl/>
        </w:rPr>
        <w:t>جنيف لاتفاق لاهاي أن تكون التسجيلات الدولي</w:t>
      </w:r>
      <w:r w:rsidR="000F16CE">
        <w:rPr>
          <w:rFonts w:hint="cs"/>
          <w:rtl/>
        </w:rPr>
        <w:t>ة مكفولة بالحماية ذاتها التي تك</w:t>
      </w:r>
      <w:r w:rsidR="003272A9" w:rsidRPr="00E22B27">
        <w:rPr>
          <w:rFonts w:hint="cs"/>
          <w:rtl/>
        </w:rPr>
        <w:t>ف</w:t>
      </w:r>
      <w:r w:rsidR="000F16CE">
        <w:rPr>
          <w:rFonts w:hint="cs"/>
          <w:rtl/>
        </w:rPr>
        <w:t>ل</w:t>
      </w:r>
      <w:r w:rsidR="003272A9" w:rsidRPr="00E22B27">
        <w:rPr>
          <w:rFonts w:hint="cs"/>
          <w:rtl/>
        </w:rPr>
        <w:t xml:space="preserve">ها الأطراف المتعاقدة لتسجيلات العلامات التجارية الوطنية </w:t>
      </w:r>
      <w:r w:rsidR="00450110" w:rsidRPr="00E22B27">
        <w:rPr>
          <w:rFonts w:hint="cs"/>
          <w:rtl/>
        </w:rPr>
        <w:t>أو</w:t>
      </w:r>
      <w:r w:rsidR="00450110" w:rsidRPr="00E22B27">
        <w:rPr>
          <w:rtl/>
        </w:rPr>
        <w:t> </w:t>
      </w:r>
      <w:r w:rsidR="003272A9" w:rsidRPr="00E22B27">
        <w:rPr>
          <w:rFonts w:hint="cs"/>
          <w:rtl/>
        </w:rPr>
        <w:t xml:space="preserve">التصاميم الصناعية. وبالمثل يرمي المشروع الحالي للمادة </w:t>
      </w:r>
      <w:r w:rsidRPr="00E22B27">
        <w:rPr>
          <w:rFonts w:hint="cs"/>
          <w:rtl/>
        </w:rPr>
        <w:t>9</w:t>
      </w:r>
      <w:r w:rsidR="003272A9" w:rsidRPr="00E22B27">
        <w:rPr>
          <w:rFonts w:hint="cs"/>
          <w:rtl/>
        </w:rPr>
        <w:t>(</w:t>
      </w:r>
      <w:r w:rsidRPr="00E22B27">
        <w:rPr>
          <w:rFonts w:hint="cs"/>
          <w:rtl/>
        </w:rPr>
        <w:t>1</w:t>
      </w:r>
      <w:r w:rsidR="003272A9" w:rsidRPr="00E22B27">
        <w:rPr>
          <w:rFonts w:hint="cs"/>
          <w:rtl/>
        </w:rPr>
        <w:t xml:space="preserve">) إلى بيان الأنواع المختلفة لنظم حماية البيانات الجغرافية وتسميات المنشأ في شتى أنحاء العالم إذ ينص على ما يلي: "يكفل كل طرف متعاقد الحماية لتسميات المنشأ المسجلة والبيانات الجغرافية المسجلة في أراضيه، في نطاق نظامه وممارساته القانونيين". وصيغ هذا النص استناداً إلى </w:t>
      </w:r>
      <w:r w:rsidR="00450110" w:rsidRPr="00E22B27">
        <w:rPr>
          <w:rFonts w:hint="cs"/>
          <w:rtl/>
        </w:rPr>
        <w:t>المادة</w:t>
      </w:r>
      <w:r w:rsidR="00450110" w:rsidRPr="00E22B27">
        <w:rPr>
          <w:rtl/>
        </w:rPr>
        <w:t> </w:t>
      </w:r>
      <w:r w:rsidRPr="00E22B27">
        <w:rPr>
          <w:rFonts w:hint="cs"/>
          <w:rtl/>
        </w:rPr>
        <w:t>1</w:t>
      </w:r>
      <w:r w:rsidR="003272A9" w:rsidRPr="00E22B27">
        <w:rPr>
          <w:rFonts w:hint="cs"/>
          <w:rtl/>
        </w:rPr>
        <w:t xml:space="preserve"> من اتفاق تريبس.</w:t>
      </w:r>
    </w:p>
    <w:p w:rsidR="003272A9" w:rsidRPr="00E22B27" w:rsidRDefault="003C1838" w:rsidP="000F16CE">
      <w:pPr>
        <w:pStyle w:val="NormalParaAR"/>
      </w:pPr>
      <w:r w:rsidRPr="00E22B27">
        <w:rPr>
          <w:rtl/>
        </w:rPr>
        <w:t>2.9</w:t>
      </w:r>
      <w:r w:rsidRPr="00E22B27">
        <w:tab/>
      </w:r>
      <w:r w:rsidR="003272A9" w:rsidRPr="00E22B27">
        <w:rPr>
          <w:rFonts w:hint="cs"/>
          <w:rtl/>
        </w:rPr>
        <w:t xml:space="preserve">تقر </w:t>
      </w:r>
      <w:r w:rsidR="00450110" w:rsidRPr="00E22B27">
        <w:rPr>
          <w:rFonts w:hint="cs"/>
          <w:rtl/>
        </w:rPr>
        <w:t>المادة</w:t>
      </w:r>
      <w:r w:rsidR="00450110" w:rsidRPr="00E22B27">
        <w:rPr>
          <w:rtl/>
        </w:rPr>
        <w:t> </w:t>
      </w:r>
      <w:r w:rsidRPr="00E22B27">
        <w:rPr>
          <w:rFonts w:hint="cs"/>
          <w:rtl/>
        </w:rPr>
        <w:t>9</w:t>
      </w:r>
      <w:r w:rsidR="003272A9" w:rsidRPr="00E22B27">
        <w:rPr>
          <w:rFonts w:hint="cs"/>
          <w:rtl/>
        </w:rPr>
        <w:t>(</w:t>
      </w:r>
      <w:r w:rsidRPr="00E22B27">
        <w:rPr>
          <w:rFonts w:hint="cs"/>
          <w:rtl/>
        </w:rPr>
        <w:t>1</w:t>
      </w:r>
      <w:r w:rsidR="003272A9" w:rsidRPr="00E22B27">
        <w:rPr>
          <w:rFonts w:hint="cs"/>
          <w:rtl/>
        </w:rPr>
        <w:t xml:space="preserve">) أيضاً بأنه هناك بلدان لا تميز بين تسميات المنشأ والبيانات الجغرافية. ومما لا خلاف عليه في الفريق العامل منذ دورته الثانية </w:t>
      </w:r>
      <w:r w:rsidR="000F16CE">
        <w:rPr>
          <w:rFonts w:hint="cs"/>
          <w:rtl/>
        </w:rPr>
        <w:t>أ</w:t>
      </w:r>
      <w:r w:rsidR="003272A9" w:rsidRPr="00E22B27">
        <w:rPr>
          <w:rFonts w:hint="cs"/>
          <w:rtl/>
        </w:rPr>
        <w:t xml:space="preserve">ن تفاق لشبونة المراجَع لن يلزم الأطراف المتعاقدة بإجراء هذا التمييز طالما كفلت الحماية ذاتها لتسميات المنشأ التي تستوفي تعريف البيان الجغرافي في إطار قانونها الوطني. وهذا الاتفاق مشار إليه في </w:t>
      </w:r>
      <w:r w:rsidR="00450110" w:rsidRPr="00E22B27">
        <w:rPr>
          <w:rFonts w:hint="cs"/>
          <w:rtl/>
        </w:rPr>
        <w:t>الفقرتين</w:t>
      </w:r>
      <w:r w:rsidR="00450110" w:rsidRPr="00E22B27">
        <w:rPr>
          <w:rtl/>
        </w:rPr>
        <w:t> </w:t>
      </w:r>
      <w:r w:rsidRPr="00E22B27">
        <w:rPr>
          <w:rFonts w:hint="cs"/>
          <w:rtl/>
        </w:rPr>
        <w:t>7</w:t>
      </w:r>
      <w:r w:rsidR="003272A9" w:rsidRPr="00E22B27">
        <w:rPr>
          <w:rFonts w:hint="cs"/>
          <w:rtl/>
        </w:rPr>
        <w:t xml:space="preserve"> و</w:t>
      </w:r>
      <w:r w:rsidRPr="00E22B27">
        <w:rPr>
          <w:rFonts w:hint="cs"/>
          <w:rtl/>
        </w:rPr>
        <w:t>8</w:t>
      </w:r>
      <w:r w:rsidR="003272A9" w:rsidRPr="00E22B27">
        <w:rPr>
          <w:rFonts w:hint="cs"/>
          <w:rtl/>
        </w:rPr>
        <w:t xml:space="preserve"> من </w:t>
      </w:r>
      <w:r w:rsidR="00450110" w:rsidRPr="00E22B27">
        <w:rPr>
          <w:rFonts w:hint="cs"/>
          <w:rtl/>
        </w:rPr>
        <w:t>ال</w:t>
      </w:r>
      <w:r w:rsidR="00CD0D5E" w:rsidRPr="00E22B27">
        <w:rPr>
          <w:rFonts w:hint="cs"/>
          <w:rtl/>
        </w:rPr>
        <w:t>وثيقة</w:t>
      </w:r>
      <w:r w:rsidR="00CD0D5E" w:rsidRPr="00E22B27">
        <w:rPr>
          <w:rtl/>
        </w:rPr>
        <w:t> </w:t>
      </w:r>
      <w:r w:rsidR="003272A9" w:rsidRPr="00E22B27">
        <w:t>LI/WG/DEV/</w:t>
      </w:r>
      <w:r w:rsidRPr="00E22B27">
        <w:t>2</w:t>
      </w:r>
      <w:r w:rsidR="003272A9" w:rsidRPr="00E22B27">
        <w:t>/</w:t>
      </w:r>
      <w:r w:rsidRPr="00E22B27">
        <w:t>2</w:t>
      </w:r>
      <w:r w:rsidR="003272A9" w:rsidRPr="00E22B27">
        <w:rPr>
          <w:rFonts w:hint="cs"/>
          <w:rtl/>
        </w:rPr>
        <w:t xml:space="preserve"> و</w:t>
      </w:r>
      <w:r w:rsidR="00450110" w:rsidRPr="00E22B27">
        <w:rPr>
          <w:rFonts w:hint="cs"/>
          <w:rtl/>
        </w:rPr>
        <w:t>الفقرتين</w:t>
      </w:r>
      <w:r w:rsidR="00450110" w:rsidRPr="00E22B27">
        <w:rPr>
          <w:rtl/>
        </w:rPr>
        <w:t> </w:t>
      </w:r>
      <w:r w:rsidRPr="00E22B27">
        <w:rPr>
          <w:rFonts w:hint="cs"/>
          <w:rtl/>
        </w:rPr>
        <w:t>79</w:t>
      </w:r>
      <w:r w:rsidR="003272A9" w:rsidRPr="00E22B27">
        <w:rPr>
          <w:rFonts w:hint="cs"/>
          <w:rtl/>
        </w:rPr>
        <w:t xml:space="preserve"> و</w:t>
      </w:r>
      <w:r w:rsidRPr="00E22B27">
        <w:rPr>
          <w:rFonts w:hint="cs"/>
          <w:rtl/>
        </w:rPr>
        <w:t>8</w:t>
      </w:r>
      <w:r w:rsidR="003272A9" w:rsidRPr="00E22B27">
        <w:rPr>
          <w:rFonts w:hint="cs"/>
          <w:rtl/>
        </w:rPr>
        <w:t xml:space="preserve">0 من </w:t>
      </w:r>
      <w:r w:rsidR="00450110" w:rsidRPr="00E22B27">
        <w:rPr>
          <w:rFonts w:hint="cs"/>
          <w:rtl/>
        </w:rPr>
        <w:t>ال</w:t>
      </w:r>
      <w:r w:rsidR="00CD0D5E" w:rsidRPr="00E22B27">
        <w:rPr>
          <w:rFonts w:hint="cs"/>
          <w:rtl/>
        </w:rPr>
        <w:t>وثيقة</w:t>
      </w:r>
      <w:r w:rsidR="00CD0D5E" w:rsidRPr="00E22B27">
        <w:rPr>
          <w:rtl/>
        </w:rPr>
        <w:t> </w:t>
      </w:r>
      <w:r w:rsidR="003272A9" w:rsidRPr="00E22B27">
        <w:t>LI/WG/DEV/</w:t>
      </w:r>
      <w:r w:rsidRPr="00E22B27">
        <w:t>2</w:t>
      </w:r>
      <w:r w:rsidR="003272A9" w:rsidRPr="00E22B27">
        <w:t>/</w:t>
      </w:r>
      <w:r w:rsidRPr="00E22B27">
        <w:t>5</w:t>
      </w:r>
      <w:r w:rsidR="003272A9" w:rsidRPr="00E22B27">
        <w:rPr>
          <w:rFonts w:hint="cs"/>
          <w:rtl/>
        </w:rPr>
        <w:t xml:space="preserve"> و</w:t>
      </w:r>
      <w:r w:rsidR="00450110" w:rsidRPr="00E22B27">
        <w:rPr>
          <w:rFonts w:hint="cs"/>
          <w:rtl/>
        </w:rPr>
        <w:t>الفقرة</w:t>
      </w:r>
      <w:r w:rsidR="00450110" w:rsidRPr="00E22B27">
        <w:rPr>
          <w:rtl/>
        </w:rPr>
        <w:t> </w:t>
      </w:r>
      <w:r w:rsidRPr="00E22B27">
        <w:rPr>
          <w:rFonts w:hint="cs"/>
          <w:rtl/>
        </w:rPr>
        <w:t>56</w:t>
      </w:r>
      <w:r w:rsidR="003272A9" w:rsidRPr="00E22B27">
        <w:rPr>
          <w:rFonts w:hint="cs"/>
          <w:rtl/>
        </w:rPr>
        <w:t xml:space="preserve"> من </w:t>
      </w:r>
      <w:r w:rsidR="00450110" w:rsidRPr="00E22B27">
        <w:rPr>
          <w:rFonts w:hint="cs"/>
          <w:rtl/>
        </w:rPr>
        <w:t>ال</w:t>
      </w:r>
      <w:r w:rsidR="00CD0D5E" w:rsidRPr="00E22B27">
        <w:rPr>
          <w:rFonts w:hint="cs"/>
          <w:rtl/>
        </w:rPr>
        <w:t>وثيقة</w:t>
      </w:r>
      <w:r w:rsidR="00CD0D5E" w:rsidRPr="00E22B27">
        <w:rPr>
          <w:rtl/>
        </w:rPr>
        <w:t> </w:t>
      </w:r>
      <w:r w:rsidR="003272A9" w:rsidRPr="00E22B27">
        <w:t>LI/WG/DEV/</w:t>
      </w:r>
      <w:r w:rsidRPr="00E22B27">
        <w:t>3</w:t>
      </w:r>
      <w:r w:rsidR="003272A9" w:rsidRPr="00E22B27">
        <w:t>/</w:t>
      </w:r>
      <w:r w:rsidRPr="00E22B27">
        <w:t>4</w:t>
      </w:r>
      <w:r w:rsidRPr="00E22B27">
        <w:rPr>
          <w:rtl/>
        </w:rPr>
        <w:t>.</w:t>
      </w:r>
    </w:p>
    <w:p w:rsidR="003272A9" w:rsidRPr="00E22B27" w:rsidRDefault="003C1838" w:rsidP="009422A7">
      <w:pPr>
        <w:pStyle w:val="NormalParaAR"/>
      </w:pPr>
      <w:r w:rsidRPr="00E22B27">
        <w:rPr>
          <w:rtl/>
        </w:rPr>
        <w:t>3.9</w:t>
      </w:r>
      <w:r w:rsidRPr="00E22B27">
        <w:tab/>
      </w:r>
      <w:r w:rsidR="009E171F" w:rsidRPr="00E22B27">
        <w:rPr>
          <w:rFonts w:hint="cs"/>
          <w:rtl/>
        </w:rPr>
        <w:t xml:space="preserve">يبدو أن إحدى نتائج عبارة "في إطار نظامه وممارساته القانونيين ولكن وفقاً لأحكام هذه الوثيقة" </w:t>
      </w:r>
      <w:r w:rsidR="000F16CE">
        <w:rPr>
          <w:rFonts w:hint="cs"/>
          <w:rtl/>
        </w:rPr>
        <w:t xml:space="preserve">هي </w:t>
      </w:r>
      <w:r w:rsidR="009E171F" w:rsidRPr="00E22B27">
        <w:rPr>
          <w:rFonts w:hint="cs"/>
          <w:rtl/>
        </w:rPr>
        <w:t xml:space="preserve">أن القانون الوطني </w:t>
      </w:r>
      <w:r w:rsidR="00450110" w:rsidRPr="00E22B27">
        <w:rPr>
          <w:rFonts w:hint="cs"/>
          <w:rtl/>
        </w:rPr>
        <w:t>أو</w:t>
      </w:r>
      <w:r w:rsidR="00450110" w:rsidRPr="00E22B27">
        <w:rPr>
          <w:rtl/>
        </w:rPr>
        <w:t> </w:t>
      </w:r>
      <w:r w:rsidR="009E171F" w:rsidRPr="00E22B27">
        <w:rPr>
          <w:rFonts w:hint="cs"/>
          <w:rtl/>
        </w:rPr>
        <w:t xml:space="preserve">الإقليمي للطرف المتعاقد سيحدد إذا أمكن تقييد إنفاذ الحقوق المتعلقة ببيان جغرافي </w:t>
      </w:r>
      <w:r w:rsidR="00450110" w:rsidRPr="00E22B27">
        <w:rPr>
          <w:rFonts w:hint="cs"/>
          <w:rtl/>
        </w:rPr>
        <w:t>أو</w:t>
      </w:r>
      <w:r w:rsidR="00450110" w:rsidRPr="00E22B27">
        <w:rPr>
          <w:rtl/>
        </w:rPr>
        <w:t> </w:t>
      </w:r>
      <w:r w:rsidR="009E171F" w:rsidRPr="00E22B27">
        <w:rPr>
          <w:rFonts w:hint="cs"/>
          <w:rtl/>
        </w:rPr>
        <w:t>تسمية منشأ وإلى أي مدى يمكن تطبيق هذا التقييد بسبب قبولها.</w:t>
      </w:r>
    </w:p>
    <w:p w:rsidR="009E171F" w:rsidRPr="00E22B27" w:rsidRDefault="003C1838" w:rsidP="009422A7">
      <w:pPr>
        <w:pStyle w:val="NormalParaAR"/>
        <w:rPr>
          <w:rtl/>
        </w:rPr>
      </w:pPr>
      <w:r w:rsidRPr="00E22B27">
        <w:rPr>
          <w:rtl/>
        </w:rPr>
        <w:t>4.9</w:t>
      </w:r>
      <w:r w:rsidRPr="00E22B27">
        <w:rPr>
          <w:rtl/>
        </w:rPr>
        <w:tab/>
      </w:r>
      <w:r w:rsidR="009E171F" w:rsidRPr="00E22B27">
        <w:rPr>
          <w:rFonts w:hint="cs"/>
          <w:rtl/>
        </w:rPr>
        <w:t xml:space="preserve">صيغت </w:t>
      </w:r>
      <w:r w:rsidR="00450110" w:rsidRPr="00E22B27">
        <w:rPr>
          <w:rFonts w:hint="cs"/>
          <w:rtl/>
        </w:rPr>
        <w:t>المادة</w:t>
      </w:r>
      <w:r w:rsidR="00450110" w:rsidRPr="00E22B27">
        <w:rPr>
          <w:rtl/>
        </w:rPr>
        <w:t> </w:t>
      </w:r>
      <w:r w:rsidRPr="00E22B27">
        <w:rPr>
          <w:rFonts w:hint="cs"/>
          <w:rtl/>
        </w:rPr>
        <w:t>9</w:t>
      </w:r>
      <w:r w:rsidR="009E171F" w:rsidRPr="00E22B27">
        <w:rPr>
          <w:rFonts w:hint="cs"/>
          <w:rtl/>
        </w:rPr>
        <w:t>(</w:t>
      </w:r>
      <w:r w:rsidRPr="00E22B27">
        <w:rPr>
          <w:rFonts w:hint="cs"/>
          <w:rtl/>
        </w:rPr>
        <w:t>2</w:t>
      </w:r>
      <w:r w:rsidR="009E171F" w:rsidRPr="00E22B27">
        <w:rPr>
          <w:rFonts w:hint="cs"/>
          <w:rtl/>
        </w:rPr>
        <w:t xml:space="preserve">) استناداً إلى القاعدة </w:t>
      </w:r>
      <w:r w:rsidRPr="00E22B27">
        <w:rPr>
          <w:rFonts w:hint="cs"/>
          <w:rtl/>
        </w:rPr>
        <w:t>8</w:t>
      </w:r>
      <w:r w:rsidR="009E171F" w:rsidRPr="00E22B27">
        <w:rPr>
          <w:rFonts w:hint="cs"/>
          <w:rtl/>
        </w:rPr>
        <w:t>(</w:t>
      </w:r>
      <w:r w:rsidRPr="00E22B27">
        <w:rPr>
          <w:rFonts w:hint="cs"/>
          <w:rtl/>
        </w:rPr>
        <w:t>3</w:t>
      </w:r>
      <w:r w:rsidR="009E171F" w:rsidRPr="00E22B27">
        <w:rPr>
          <w:rFonts w:hint="cs"/>
          <w:rtl/>
        </w:rPr>
        <w:t>) من اللائحة التنفيذية لاتفاق لشبونة الحالي.</w:t>
      </w:r>
    </w:p>
    <w:p w:rsidR="00187464" w:rsidRPr="00E22B27" w:rsidRDefault="00187464" w:rsidP="009422A7">
      <w:pPr>
        <w:pStyle w:val="Heading1AR"/>
        <w:spacing w:before="0" w:after="360" w:line="360" w:lineRule="exact"/>
        <w:rPr>
          <w:rtl/>
        </w:rPr>
      </w:pPr>
      <w:r w:rsidRPr="00E22B27">
        <w:rPr>
          <w:rtl/>
        </w:rPr>
        <w:t>ملاحظات على</w:t>
      </w:r>
      <w:r w:rsidR="007C2359" w:rsidRPr="00E22B27">
        <w:rPr>
          <w:rtl/>
        </w:rPr>
        <w:t xml:space="preserve"> </w:t>
      </w:r>
      <w:r w:rsidR="00450110" w:rsidRPr="00E22B27">
        <w:rPr>
          <w:rtl/>
        </w:rPr>
        <w:t>المادة </w:t>
      </w:r>
      <w:r w:rsidR="003C1838" w:rsidRPr="00E22B27">
        <w:rPr>
          <w:rtl/>
        </w:rPr>
        <w:t>1</w:t>
      </w:r>
      <w:r w:rsidRPr="00E22B27">
        <w:rPr>
          <w:rtl/>
        </w:rPr>
        <w:t>0:</w:t>
      </w:r>
      <w:r w:rsidRPr="00E22B27">
        <w:rPr>
          <w:rtl/>
        </w:rPr>
        <w:tab/>
      </w:r>
      <w:r w:rsidRPr="00E22B27">
        <w:rPr>
          <w:rFonts w:hint="cs"/>
          <w:rtl/>
        </w:rPr>
        <w:t>الحماية بموجب قوانين الأطراف المتعاقدة والصكوك الأخرى</w:t>
      </w:r>
    </w:p>
    <w:p w:rsidR="00F01ED7" w:rsidRPr="00E22B27" w:rsidRDefault="003C1838" w:rsidP="009422A7">
      <w:pPr>
        <w:pStyle w:val="NormalParaAR"/>
        <w:rPr>
          <w:rtl/>
        </w:rPr>
      </w:pPr>
      <w:r w:rsidRPr="00E22B27">
        <w:rPr>
          <w:rFonts w:hint="cs"/>
          <w:rtl/>
        </w:rPr>
        <w:t>1.10</w:t>
      </w:r>
      <w:r w:rsidRPr="00E22B27">
        <w:rPr>
          <w:rFonts w:hint="cs"/>
          <w:rtl/>
        </w:rPr>
        <w:tab/>
        <w:t xml:space="preserve">تترك </w:t>
      </w:r>
      <w:r w:rsidR="00450110" w:rsidRPr="00E22B27">
        <w:rPr>
          <w:rFonts w:hint="cs"/>
          <w:rtl/>
        </w:rPr>
        <w:t>الفقرة</w:t>
      </w:r>
      <w:r w:rsidR="00450110" w:rsidRPr="00E22B27">
        <w:rPr>
          <w:rtl/>
        </w:rPr>
        <w:t> </w:t>
      </w:r>
      <w:r w:rsidRPr="00E22B27">
        <w:rPr>
          <w:rFonts w:hint="cs"/>
          <w:rtl/>
        </w:rPr>
        <w:t xml:space="preserve">1 للأطراف المتعاقدة الحرية في </w:t>
      </w:r>
      <w:r w:rsidR="00EC76B4" w:rsidRPr="00E22B27">
        <w:rPr>
          <w:rFonts w:hint="cs"/>
          <w:rtl/>
        </w:rPr>
        <w:t xml:space="preserve">شكل الحماية القانونية التي تكفل بموجبها الحماية في إطار اتفاق لشبونة المراجَع لتسميات المنشأ </w:t>
      </w:r>
      <w:r w:rsidR="00450110" w:rsidRPr="00E22B27">
        <w:rPr>
          <w:rFonts w:hint="cs"/>
          <w:rtl/>
        </w:rPr>
        <w:t>أو</w:t>
      </w:r>
      <w:r w:rsidR="00450110" w:rsidRPr="00E22B27">
        <w:rPr>
          <w:rtl/>
        </w:rPr>
        <w:t> </w:t>
      </w:r>
      <w:r w:rsidR="00EC76B4" w:rsidRPr="00E22B27">
        <w:rPr>
          <w:rFonts w:hint="cs"/>
          <w:rtl/>
        </w:rPr>
        <w:t xml:space="preserve">البيانات الجغرافية المسجلة. وإضافة إلى شكل الحماية، تتمتع الأطراف المتعاقدة بالحرية في تحديد اسم سند الحماية الممنوح بموجب نظامها القانوني الخاص </w:t>
      </w:r>
      <w:r w:rsidR="00EC76B4" w:rsidRPr="00E22B27">
        <w:rPr>
          <w:rtl/>
        </w:rPr>
        <w:t>–</w:t>
      </w:r>
      <w:r w:rsidR="00EC76B4" w:rsidRPr="00E22B27">
        <w:rPr>
          <w:rFonts w:hint="cs"/>
          <w:rtl/>
        </w:rPr>
        <w:t xml:space="preserve"> إذ تستعيض اللغة الإنجليزية عن مصطلح "</w:t>
      </w:r>
      <w:r w:rsidR="00EC76B4" w:rsidRPr="00E22B27">
        <w:t>appellation d’origine</w:t>
      </w:r>
      <w:r w:rsidR="00EC76B4" w:rsidRPr="00E22B27">
        <w:rPr>
          <w:rFonts w:hint="cs"/>
          <w:rtl/>
        </w:rPr>
        <w:t>" (تسمية المنشأ) الوارد في القانون الأوروبي بمصطلح "</w:t>
      </w:r>
      <w:r w:rsidR="00EC76B4" w:rsidRPr="00E22B27">
        <w:t>designation of origin</w:t>
      </w:r>
      <w:r w:rsidR="00EC76B4" w:rsidRPr="00E22B27">
        <w:rPr>
          <w:rFonts w:hint="cs"/>
          <w:rtl/>
        </w:rPr>
        <w:t xml:space="preserve">" (مسمى المنشأ). ويخص مثال آخر الصين التي تتيح بموجب قانون العلامات التجارية فيها تسجيل البيانات الجغرافية بوصفها علامات تصديق استناداً إلى تعريف يشمل عناصر مستمدة من </w:t>
      </w:r>
      <w:r w:rsidR="00450110" w:rsidRPr="00E22B27">
        <w:rPr>
          <w:rFonts w:hint="cs"/>
          <w:rtl/>
        </w:rPr>
        <w:t>المادة</w:t>
      </w:r>
      <w:r w:rsidR="00450110" w:rsidRPr="00E22B27">
        <w:rPr>
          <w:rtl/>
        </w:rPr>
        <w:t> </w:t>
      </w:r>
      <w:r w:rsidR="00EC76B4" w:rsidRPr="00E22B27">
        <w:rPr>
          <w:rFonts w:hint="cs"/>
          <w:rtl/>
        </w:rPr>
        <w:t>2(1)"1" و2(1)"2" من مشروع اتفاق لشبونة المراجَع.</w:t>
      </w:r>
    </w:p>
    <w:p w:rsidR="00EC76B4" w:rsidRPr="00E22B27" w:rsidRDefault="00EC76B4" w:rsidP="009422A7">
      <w:pPr>
        <w:pStyle w:val="NormalParaAR"/>
        <w:rPr>
          <w:rtl/>
        </w:rPr>
      </w:pPr>
      <w:r w:rsidRPr="00E22B27">
        <w:rPr>
          <w:rFonts w:hint="cs"/>
          <w:rtl/>
        </w:rPr>
        <w:t>2.10</w:t>
      </w:r>
      <w:r w:rsidRPr="00E22B27">
        <w:rPr>
          <w:rFonts w:hint="cs"/>
          <w:rtl/>
        </w:rPr>
        <w:tab/>
        <w:t>يُشار كذلك في هذا الصدد إلى الملاحظتين 2.1 و2.9.</w:t>
      </w:r>
    </w:p>
    <w:p w:rsidR="00597AD6" w:rsidRPr="00E22B27" w:rsidRDefault="00597AD6" w:rsidP="00925F8B">
      <w:pPr>
        <w:pStyle w:val="NormalParaAR"/>
        <w:rPr>
          <w:rtl/>
        </w:rPr>
      </w:pPr>
      <w:r w:rsidRPr="00E22B27">
        <w:rPr>
          <w:rtl/>
        </w:rPr>
        <w:t>3.10</w:t>
      </w:r>
      <w:r w:rsidRPr="00E22B27">
        <w:rPr>
          <w:rtl/>
        </w:rPr>
        <w:tab/>
        <w:t xml:space="preserve">تضع أحكام </w:t>
      </w:r>
      <w:r w:rsidR="00450110" w:rsidRPr="00E22B27">
        <w:rPr>
          <w:rtl/>
        </w:rPr>
        <w:t>الفقرة </w:t>
      </w:r>
      <w:r w:rsidRPr="00E22B27">
        <w:rPr>
          <w:rtl/>
        </w:rPr>
        <w:t xml:space="preserve">(2) بند </w:t>
      </w:r>
      <w:r w:rsidR="00925F8B">
        <w:rPr>
          <w:rFonts w:hint="cs"/>
          <w:rtl/>
        </w:rPr>
        <w:t>صون</w:t>
      </w:r>
      <w:r w:rsidRPr="00E22B27">
        <w:rPr>
          <w:rtl/>
        </w:rPr>
        <w:t xml:space="preserve"> فيما يخص أشكال الحماية الأخرى التي قد تكون متاحة في طرف متعاقد والمختلفة عن الحماية الممنوحة بموجب اتفاق لشبونة المراجَع. وكما ورد في </w:t>
      </w:r>
      <w:r w:rsidR="00450110" w:rsidRPr="00E22B27">
        <w:rPr>
          <w:rtl/>
        </w:rPr>
        <w:t>المادة </w:t>
      </w:r>
      <w:r w:rsidRPr="00E22B27">
        <w:rPr>
          <w:rtl/>
        </w:rPr>
        <w:t xml:space="preserve">15(2)، يتعين على الطرف المتعاقد، الذي أصدر رفضاً بموجب </w:t>
      </w:r>
      <w:r w:rsidR="00450110" w:rsidRPr="00E22B27">
        <w:rPr>
          <w:rtl/>
        </w:rPr>
        <w:t>المادة </w:t>
      </w:r>
      <w:r w:rsidRPr="00E22B27">
        <w:rPr>
          <w:rtl/>
        </w:rPr>
        <w:t xml:space="preserve">15 فيما يتعلق بتسمية منشأ مسجلة لأنه يرى أن التسمية عجزت عن تلبية تعريف تسمية المنشأ، أن يكفل </w:t>
      </w:r>
      <w:r w:rsidRPr="00E22B27">
        <w:rPr>
          <w:rtl/>
        </w:rPr>
        <w:lastRenderedPageBreak/>
        <w:t xml:space="preserve">الحماية للتسمية بوصفها بياناً جغرافياً إذا لبت تعريف البيان الجغرافي. ويشار أيضاً إلى </w:t>
      </w:r>
      <w:r w:rsidR="00450110" w:rsidRPr="00E22B27">
        <w:rPr>
          <w:rtl/>
        </w:rPr>
        <w:t>المادة </w:t>
      </w:r>
      <w:r w:rsidRPr="00E22B27">
        <w:rPr>
          <w:rtl/>
        </w:rPr>
        <w:t xml:space="preserve">19(4) في هذا الصدد. ويبدو أن عبارة "لن تؤثر [...] بأي شكل من الأشكال" تشير إلى ذلك الجانب بصورة أنسب من عبارة "الممنوحة سابقاً" الواردة في </w:t>
      </w:r>
      <w:r w:rsidR="00450110" w:rsidRPr="00E22B27">
        <w:rPr>
          <w:rtl/>
        </w:rPr>
        <w:t>المادة </w:t>
      </w:r>
      <w:r w:rsidRPr="00E22B27">
        <w:rPr>
          <w:rtl/>
        </w:rPr>
        <w:t>4 من اتفاق لشبونة الحالي والتي يمكن تفسيرها بأن الحماية كانت متاحة في البلد المعني بموجب اتفاق ثنائي سابق مثلاً.</w:t>
      </w:r>
    </w:p>
    <w:p w:rsidR="00597AD6" w:rsidRPr="00E22B27" w:rsidRDefault="00597AD6" w:rsidP="009422A7">
      <w:pPr>
        <w:pStyle w:val="NormalParaAR"/>
        <w:rPr>
          <w:rtl/>
        </w:rPr>
      </w:pPr>
      <w:r w:rsidRPr="00E22B27">
        <w:rPr>
          <w:rFonts w:hint="cs"/>
          <w:rtl/>
        </w:rPr>
        <w:t>4.10</w:t>
      </w:r>
      <w:r w:rsidRPr="00E22B27">
        <w:rPr>
          <w:rFonts w:hint="cs"/>
          <w:rtl/>
        </w:rPr>
        <w:tab/>
      </w:r>
      <w:r w:rsidRPr="00E22B27">
        <w:rPr>
          <w:rtl/>
        </w:rPr>
        <w:t xml:space="preserve">تؤكد أحكام </w:t>
      </w:r>
      <w:r w:rsidR="00450110" w:rsidRPr="00E22B27">
        <w:rPr>
          <w:rtl/>
        </w:rPr>
        <w:t>الفقرة </w:t>
      </w:r>
      <w:r w:rsidRPr="00E22B27">
        <w:rPr>
          <w:rtl/>
        </w:rPr>
        <w:t xml:space="preserve">(2)، في الوقت ذاته، أن اتفاق لشبونة المراجَع الذي ينص على مستوى الحماية الواجب منحها لتسميات المنشأ والبيانات الجغرافية، لن يكون في حد ذاته عقبة أمام إمكانية منح الأطراف المتعاقدة حماية أوسع بموجب اتفاق لشبونة المراجَع. ولا ريب في أنه لا ينبغي لهذه الحماية الأخرى أن تقلل من التمتع بالحقوق التي يكفلها اتفاق لشبونة المراجَع </w:t>
      </w:r>
      <w:r w:rsidR="00450110" w:rsidRPr="00E22B27">
        <w:rPr>
          <w:rtl/>
        </w:rPr>
        <w:t>أو </w:t>
      </w:r>
      <w:r w:rsidR="00925F8B">
        <w:rPr>
          <w:rFonts w:hint="cs"/>
          <w:rtl/>
        </w:rPr>
        <w:t xml:space="preserve">أن </w:t>
      </w:r>
      <w:r w:rsidRPr="00E22B27">
        <w:rPr>
          <w:rtl/>
        </w:rPr>
        <w:t>تتداخل معها.</w:t>
      </w:r>
    </w:p>
    <w:p w:rsidR="00187464" w:rsidRPr="00E22B27" w:rsidRDefault="00187464" w:rsidP="009422A7">
      <w:pPr>
        <w:pStyle w:val="Heading1AR"/>
        <w:spacing w:before="0" w:after="360" w:line="360" w:lineRule="exact"/>
        <w:rPr>
          <w:rtl/>
        </w:rPr>
      </w:pPr>
      <w:r w:rsidRPr="00E22B27">
        <w:rPr>
          <w:rtl/>
        </w:rPr>
        <w:t>ملاحظات على</w:t>
      </w:r>
      <w:r w:rsidR="007C2359" w:rsidRPr="00E22B27">
        <w:rPr>
          <w:rtl/>
        </w:rPr>
        <w:t xml:space="preserve"> </w:t>
      </w:r>
      <w:r w:rsidR="00450110" w:rsidRPr="00E22B27">
        <w:rPr>
          <w:rtl/>
        </w:rPr>
        <w:t>المادة </w:t>
      </w:r>
      <w:r w:rsidR="003C1838" w:rsidRPr="00E22B27">
        <w:rPr>
          <w:rFonts w:hint="cs"/>
          <w:rtl/>
        </w:rPr>
        <w:t>11</w:t>
      </w:r>
      <w:r w:rsidRPr="00E22B27">
        <w:rPr>
          <w:rtl/>
        </w:rPr>
        <w:t>:</w:t>
      </w:r>
      <w:r w:rsidRPr="00E22B27">
        <w:rPr>
          <w:rtl/>
        </w:rPr>
        <w:tab/>
      </w:r>
      <w:r w:rsidRPr="00E22B27">
        <w:rPr>
          <w:rFonts w:hint="cs"/>
          <w:rtl/>
        </w:rPr>
        <w:t>الحماية فيما يخص تسميات المنشأ المسجلة والبيانات الجغرافية</w:t>
      </w:r>
    </w:p>
    <w:p w:rsidR="005F1323" w:rsidRPr="00E22B27" w:rsidRDefault="005F1323" w:rsidP="00925F8B">
      <w:pPr>
        <w:pStyle w:val="NormalParaAR"/>
        <w:rPr>
          <w:rtl/>
        </w:rPr>
      </w:pPr>
      <w:r w:rsidRPr="00E22B27">
        <w:rPr>
          <w:rtl/>
        </w:rPr>
        <w:t>1.11</w:t>
      </w:r>
      <w:r w:rsidRPr="00E22B27">
        <w:rPr>
          <w:rtl/>
        </w:rPr>
        <w:tab/>
        <w:t>وافق الفريق العامل، في دورته السادسة، على النهج الأساسي المتعلق ب</w:t>
      </w:r>
      <w:r w:rsidR="00450110" w:rsidRPr="00E22B27">
        <w:rPr>
          <w:rtl/>
        </w:rPr>
        <w:t>المادتين </w:t>
      </w:r>
      <w:r w:rsidRPr="00E22B27">
        <w:rPr>
          <w:rtl/>
        </w:rPr>
        <w:t xml:space="preserve">11 و12. وفي الدورات السابعة والثامنة والتاسعة للفريق العامل، تواصل تنقيح النص. وفي الدورة الثامنة للفريق العامل، أصبح من الواضح أن </w:t>
      </w:r>
      <w:r w:rsidR="00450110" w:rsidRPr="00E22B27">
        <w:rPr>
          <w:rtl/>
        </w:rPr>
        <w:t>البند </w:t>
      </w:r>
      <w:r w:rsidRPr="00E22B27">
        <w:rPr>
          <w:rtl/>
        </w:rPr>
        <w:t xml:space="preserve">"2" </w:t>
      </w:r>
      <w:r w:rsidR="0077628C">
        <w:rPr>
          <w:rFonts w:hint="cs"/>
          <w:rtl/>
        </w:rPr>
        <w:noBreakHyphen/>
      </w:r>
      <w:r w:rsidRPr="00E22B27">
        <w:rPr>
          <w:rtl/>
        </w:rPr>
        <w:t xml:space="preserve"> المستند إلى نص </w:t>
      </w:r>
      <w:r w:rsidR="00450110" w:rsidRPr="00E22B27">
        <w:rPr>
          <w:rtl/>
        </w:rPr>
        <w:t>المادة </w:t>
      </w:r>
      <w:r w:rsidRPr="00E22B27">
        <w:rPr>
          <w:rtl/>
        </w:rPr>
        <w:t xml:space="preserve">3 من اتفاق لشبونة الحالي </w:t>
      </w:r>
      <w:r w:rsidR="0077628C">
        <w:rPr>
          <w:rFonts w:hint="cs"/>
          <w:rtl/>
        </w:rPr>
        <w:noBreakHyphen/>
      </w:r>
      <w:r w:rsidRPr="00E22B27">
        <w:rPr>
          <w:rtl/>
        </w:rPr>
        <w:t xml:space="preserve"> فضلاً عن </w:t>
      </w:r>
      <w:r w:rsidR="00450110" w:rsidRPr="00E22B27">
        <w:rPr>
          <w:rtl/>
        </w:rPr>
        <w:t>البند </w:t>
      </w:r>
      <w:r w:rsidRPr="00E22B27">
        <w:rPr>
          <w:rtl/>
        </w:rPr>
        <w:t xml:space="preserve">"3" من </w:t>
      </w:r>
      <w:r w:rsidR="00450110" w:rsidRPr="00E22B27">
        <w:rPr>
          <w:rtl/>
        </w:rPr>
        <w:t>المادة </w:t>
      </w:r>
      <w:r w:rsidRPr="00E22B27">
        <w:rPr>
          <w:rtl/>
        </w:rPr>
        <w:t xml:space="preserve">11(1)(أ) يثيران إشكالية لعدد من البلدان غير الأطراف في اتفاق لشبونة </w:t>
      </w:r>
      <w:r w:rsidR="00450110" w:rsidRPr="00E22B27">
        <w:rPr>
          <w:rtl/>
        </w:rPr>
        <w:t>أو </w:t>
      </w:r>
      <w:r w:rsidR="00CD0D5E" w:rsidRPr="00E22B27">
        <w:rPr>
          <w:rtl/>
        </w:rPr>
        <w:t>وثيقة </w:t>
      </w:r>
      <w:r w:rsidRPr="00E22B27">
        <w:rPr>
          <w:rtl/>
        </w:rPr>
        <w:t xml:space="preserve">1967 نظراً إلى أن المصطلحات المستخدمة في هذين </w:t>
      </w:r>
      <w:r w:rsidR="00450110" w:rsidRPr="00E22B27">
        <w:rPr>
          <w:rtl/>
        </w:rPr>
        <w:t>البندين </w:t>
      </w:r>
      <w:r w:rsidRPr="00E22B27">
        <w:rPr>
          <w:rtl/>
        </w:rPr>
        <w:t xml:space="preserve">غريبة عن الإطار القانوني لهذه البلدان. ومع ذلك تولي الدول الأعضاء في نظام لشبونة الحالي أهمية كبيرة للمصطلحات المستخدمة في هذين البندين. ونوقش حل لهذه المسألة خلال الدورة التاسعة للفريق </w:t>
      </w:r>
      <w:r w:rsidR="00925F8B">
        <w:rPr>
          <w:rFonts w:hint="cs"/>
          <w:rtl/>
        </w:rPr>
        <w:t xml:space="preserve">العامل </w:t>
      </w:r>
      <w:r w:rsidRPr="00E22B27">
        <w:rPr>
          <w:rtl/>
        </w:rPr>
        <w:t xml:space="preserve">على النحو الوارد في </w:t>
      </w:r>
      <w:r w:rsidR="00450110" w:rsidRPr="00E22B27">
        <w:rPr>
          <w:rtl/>
        </w:rPr>
        <w:t>المادة </w:t>
      </w:r>
      <w:r w:rsidRPr="00E22B27">
        <w:rPr>
          <w:rtl/>
        </w:rPr>
        <w:t>11(3) من الوثيق</w:t>
      </w:r>
      <w:r w:rsidR="00925F8B">
        <w:rPr>
          <w:rFonts w:hint="cs"/>
          <w:rtl/>
        </w:rPr>
        <w:t>ة </w:t>
      </w:r>
      <w:r w:rsidRPr="00E22B27">
        <w:t>LI/WG/DEV/9/2</w:t>
      </w:r>
      <w:r w:rsidR="00C847B2" w:rsidRPr="00E22B27">
        <w:rPr>
          <w:rtl/>
        </w:rPr>
        <w:t xml:space="preserve"> </w:t>
      </w:r>
      <w:r w:rsidRPr="00E22B27">
        <w:rPr>
          <w:rtl/>
        </w:rPr>
        <w:t xml:space="preserve">والمستندة صيغتها إلى </w:t>
      </w:r>
      <w:r w:rsidR="00450110" w:rsidRPr="00E22B27">
        <w:rPr>
          <w:rtl/>
        </w:rPr>
        <w:t>المادة </w:t>
      </w:r>
      <w:r w:rsidRPr="00E22B27">
        <w:rPr>
          <w:rtl/>
        </w:rPr>
        <w:t xml:space="preserve">3.16 من اتفاق تريبس مع تكييفها لتخص البيانات الجغرافية وتسميات المنشأ. ونتيجة لذلك، تعرض </w:t>
      </w:r>
      <w:r w:rsidR="00450110" w:rsidRPr="00E22B27">
        <w:rPr>
          <w:rtl/>
        </w:rPr>
        <w:t>المادة </w:t>
      </w:r>
      <w:r w:rsidRPr="00E22B27">
        <w:rPr>
          <w:rtl/>
        </w:rPr>
        <w:t xml:space="preserve">11 الآن خيارات مختلفة لحل هذه المسألة. ومن بين هذه الخيارات، نصان مقترحان مقدمان فيما يخص </w:t>
      </w:r>
      <w:r w:rsidR="00450110" w:rsidRPr="00E22B27">
        <w:rPr>
          <w:rtl/>
        </w:rPr>
        <w:t>المادة </w:t>
      </w:r>
      <w:r w:rsidRPr="00E22B27">
        <w:rPr>
          <w:rtl/>
        </w:rPr>
        <w:t xml:space="preserve">11(1)(أ)"2" و"3". ويشير الخيار ألف في تلك </w:t>
      </w:r>
      <w:r w:rsidR="00450110" w:rsidRPr="00E22B27">
        <w:rPr>
          <w:rtl/>
        </w:rPr>
        <w:t>الفقرة </w:t>
      </w:r>
      <w:r w:rsidRPr="00E22B27">
        <w:rPr>
          <w:rtl/>
        </w:rPr>
        <w:t xml:space="preserve">الفرعية إلى نص البندين"2" و"3"، كما يردان في </w:t>
      </w:r>
      <w:r w:rsidR="00450110" w:rsidRPr="00E22B27">
        <w:rPr>
          <w:rtl/>
        </w:rPr>
        <w:t>ال</w:t>
      </w:r>
      <w:r w:rsidR="00CD0D5E" w:rsidRPr="00E22B27">
        <w:rPr>
          <w:rtl/>
        </w:rPr>
        <w:t>وثيقة </w:t>
      </w:r>
      <w:r w:rsidRPr="00E22B27">
        <w:t>LI/WG/DEV/9/2</w:t>
      </w:r>
      <w:r w:rsidRPr="00E22B27">
        <w:rPr>
          <w:rtl/>
        </w:rPr>
        <w:t xml:space="preserve">، بينما يقترح الخيار باء الاستعاضة عنهما ببند واحد ينتهج صيغة </w:t>
      </w:r>
      <w:r w:rsidR="00450110" w:rsidRPr="00E22B27">
        <w:rPr>
          <w:rtl/>
        </w:rPr>
        <w:t>المادة </w:t>
      </w:r>
      <w:r w:rsidRPr="00E22B27">
        <w:rPr>
          <w:rtl/>
        </w:rPr>
        <w:t xml:space="preserve">3.16 من اتفاق تريبس. فإن غلب الخيار باء انعدمت حاجة </w:t>
      </w:r>
      <w:r w:rsidR="00450110" w:rsidRPr="00E22B27">
        <w:rPr>
          <w:rtl/>
        </w:rPr>
        <w:t>المادة </w:t>
      </w:r>
      <w:r w:rsidRPr="00E22B27">
        <w:rPr>
          <w:rtl/>
        </w:rPr>
        <w:t xml:space="preserve">11(3)، باستثناء الخيار دال الوارد في هذا الحكم إذ من شأن هذا الخيار أن يتيح بديلاً للأطراف المتعاقدة يكون أساسه إعلان يخص </w:t>
      </w:r>
      <w:r w:rsidR="00450110" w:rsidRPr="00E22B27">
        <w:rPr>
          <w:rtl/>
        </w:rPr>
        <w:t>المادة </w:t>
      </w:r>
      <w:r w:rsidRPr="00E22B27">
        <w:rPr>
          <w:rtl/>
        </w:rPr>
        <w:t xml:space="preserve">11(1)(أ)"1". أما الخيار جيم من </w:t>
      </w:r>
      <w:r w:rsidR="00450110" w:rsidRPr="00E22B27">
        <w:rPr>
          <w:rtl/>
        </w:rPr>
        <w:t>المادة </w:t>
      </w:r>
      <w:r w:rsidRPr="00E22B27">
        <w:rPr>
          <w:rtl/>
        </w:rPr>
        <w:t xml:space="preserve">11(3) فيخص نصاً مستنداً إلى </w:t>
      </w:r>
      <w:r w:rsidR="00450110" w:rsidRPr="00E22B27">
        <w:rPr>
          <w:rtl/>
        </w:rPr>
        <w:t>المادة </w:t>
      </w:r>
      <w:r w:rsidRPr="00E22B27">
        <w:rPr>
          <w:rtl/>
        </w:rPr>
        <w:t>3.16 من اتفاق تريبس و</w:t>
      </w:r>
      <w:r w:rsidR="00450110" w:rsidRPr="00E22B27">
        <w:rPr>
          <w:rtl/>
        </w:rPr>
        <w:t>المادة </w:t>
      </w:r>
      <w:r w:rsidRPr="00E22B27">
        <w:rPr>
          <w:rtl/>
        </w:rPr>
        <w:t>4(1)(ب) من توصية الويبو المشتركة بشأن الأحكام المتعلقة بحماية العلامات المشهورة.</w:t>
      </w:r>
    </w:p>
    <w:p w:rsidR="005F1323" w:rsidRPr="00E22B27" w:rsidRDefault="005F1323" w:rsidP="00925F8B">
      <w:pPr>
        <w:pStyle w:val="NormalParaAR"/>
        <w:rPr>
          <w:rtl/>
        </w:rPr>
      </w:pPr>
      <w:r w:rsidRPr="00E22B27">
        <w:rPr>
          <w:rtl/>
        </w:rPr>
        <w:t>2.11</w:t>
      </w:r>
      <w:r w:rsidRPr="00E22B27">
        <w:rPr>
          <w:rtl/>
        </w:rPr>
        <w:tab/>
        <w:t xml:space="preserve">ويوضح الجزء الأخير من </w:t>
      </w:r>
      <w:r w:rsidR="00450110" w:rsidRPr="00E22B27">
        <w:rPr>
          <w:rtl/>
        </w:rPr>
        <w:t>المادة </w:t>
      </w:r>
      <w:r w:rsidRPr="00E22B27">
        <w:rPr>
          <w:rtl/>
        </w:rPr>
        <w:t xml:space="preserve">11(1)(أ) جملة أمور منها أنه عندما لا ترد تسمية المنشأ </w:t>
      </w:r>
      <w:r w:rsidR="00450110" w:rsidRPr="00E22B27">
        <w:rPr>
          <w:rtl/>
        </w:rPr>
        <w:t>أو </w:t>
      </w:r>
      <w:r w:rsidRPr="00E22B27">
        <w:rPr>
          <w:rtl/>
        </w:rPr>
        <w:t xml:space="preserve">البيانات الجغرافية المسجلة بالطريقة ذاتها تماماً، تغطي أحكام </w:t>
      </w:r>
      <w:r w:rsidR="00450110" w:rsidRPr="00E22B27">
        <w:rPr>
          <w:rtl/>
        </w:rPr>
        <w:t>المادة </w:t>
      </w:r>
      <w:r w:rsidRPr="00E22B27">
        <w:rPr>
          <w:rtl/>
        </w:rPr>
        <w:t xml:space="preserve">11(1)(أ) هذا الاستخدام أيضاً إذا كانت الاختلافات طفيفة. وتوضح حاشية </w:t>
      </w:r>
      <w:r w:rsidR="00450110" w:rsidRPr="00E22B27">
        <w:rPr>
          <w:rtl/>
        </w:rPr>
        <w:t>المادة </w:t>
      </w:r>
      <w:r w:rsidRPr="00E22B27">
        <w:rPr>
          <w:rtl/>
        </w:rPr>
        <w:t xml:space="preserve">11(1)(أ) أنه إذا كانت حماية تسمية منشأ مسجلة معينة </w:t>
      </w:r>
      <w:r w:rsidR="00450110" w:rsidRPr="00E22B27">
        <w:rPr>
          <w:rtl/>
        </w:rPr>
        <w:t>أو </w:t>
      </w:r>
      <w:r w:rsidRPr="00E22B27">
        <w:rPr>
          <w:rtl/>
        </w:rPr>
        <w:t>بيان جغرافي مسجل معين تخضع لاستثناء في طرف المنشأ المتعاقد، يجوز كذلك للأطراف المتعاقدة الأخرى تطبيق هذا الاستثناء.</w:t>
      </w:r>
    </w:p>
    <w:p w:rsidR="005F1323" w:rsidRPr="00E22B27" w:rsidRDefault="005F1323" w:rsidP="009422A7">
      <w:pPr>
        <w:pStyle w:val="NormalParaAR"/>
        <w:rPr>
          <w:rtl/>
        </w:rPr>
      </w:pPr>
      <w:r w:rsidRPr="00E22B27">
        <w:rPr>
          <w:rtl/>
        </w:rPr>
        <w:t>3.11</w:t>
      </w:r>
      <w:r w:rsidRPr="00E22B27">
        <w:rPr>
          <w:rtl/>
        </w:rPr>
        <w:tab/>
        <w:t xml:space="preserve">الغرض من </w:t>
      </w:r>
      <w:r w:rsidR="00450110" w:rsidRPr="00E22B27">
        <w:rPr>
          <w:rtl/>
        </w:rPr>
        <w:t>المادة </w:t>
      </w:r>
      <w:r w:rsidRPr="00E22B27">
        <w:rPr>
          <w:rtl/>
        </w:rPr>
        <w:t xml:space="preserve">11(2) هو منع أي شخص غير مسموح له باستخدام تسمية المنشأ المسجلة </w:t>
      </w:r>
      <w:r w:rsidR="00450110" w:rsidRPr="00E22B27">
        <w:rPr>
          <w:rtl/>
        </w:rPr>
        <w:t>أو </w:t>
      </w:r>
      <w:r w:rsidRPr="00E22B27">
        <w:rPr>
          <w:rtl/>
        </w:rPr>
        <w:t xml:space="preserve">البيان الجغرافي المسجل من تسجيل العلامات التجارية التي تتألف من تسمية منشأ مسجلة </w:t>
      </w:r>
      <w:r w:rsidR="00450110" w:rsidRPr="00E22B27">
        <w:rPr>
          <w:rtl/>
        </w:rPr>
        <w:t>أو </w:t>
      </w:r>
      <w:r w:rsidRPr="00E22B27">
        <w:rPr>
          <w:rtl/>
        </w:rPr>
        <w:t xml:space="preserve">بيان جغرافي مسجل </w:t>
      </w:r>
      <w:r w:rsidR="00450110" w:rsidRPr="00E22B27">
        <w:rPr>
          <w:rtl/>
        </w:rPr>
        <w:t>أو </w:t>
      </w:r>
      <w:r w:rsidRPr="00E22B27">
        <w:rPr>
          <w:rtl/>
        </w:rPr>
        <w:t xml:space="preserve">تحتوي على أي منهما. وينبغي فهم عبارة "العلامة التجارية" بأوسع معنى ممكن بحيث يشمل أيضاً العلامات الجماعية وعلامات التصديق. ولكن إذا كان الشخص مسموحاً له باستخدام تسمية المنشأ المسجلة </w:t>
      </w:r>
      <w:r w:rsidR="00450110" w:rsidRPr="00E22B27">
        <w:rPr>
          <w:rtl/>
        </w:rPr>
        <w:t>أو </w:t>
      </w:r>
      <w:r w:rsidRPr="00E22B27">
        <w:rPr>
          <w:rtl/>
        </w:rPr>
        <w:t xml:space="preserve">البيان الجغرافي تسجيلات العلامات التجارية التي تحتوي على تسمية منشأ مسجلة </w:t>
      </w:r>
      <w:r w:rsidR="00450110" w:rsidRPr="00E22B27">
        <w:rPr>
          <w:rtl/>
        </w:rPr>
        <w:t>أو </w:t>
      </w:r>
      <w:r w:rsidRPr="00E22B27">
        <w:rPr>
          <w:rtl/>
        </w:rPr>
        <w:t xml:space="preserve">بيان جغرافي مسجل، كانت هذه التسجيلات للعلامات التجارية التي تحتوي على تسمية منشأ مسجلة </w:t>
      </w:r>
      <w:r w:rsidR="00450110" w:rsidRPr="00E22B27">
        <w:rPr>
          <w:rtl/>
        </w:rPr>
        <w:t>أو </w:t>
      </w:r>
      <w:r w:rsidRPr="00E22B27">
        <w:rPr>
          <w:rtl/>
        </w:rPr>
        <w:t xml:space="preserve">البيان الجغرافي المسجل مقبولة ما لم يقم الشخص المعني بذلك بطريقة تتعارض مع أي من أحكام </w:t>
      </w:r>
      <w:r w:rsidR="00450110" w:rsidRPr="00E22B27">
        <w:rPr>
          <w:rtl/>
        </w:rPr>
        <w:t>المادة </w:t>
      </w:r>
      <w:r w:rsidRPr="00E22B27">
        <w:rPr>
          <w:rtl/>
        </w:rPr>
        <w:t xml:space="preserve">11(1). وفي الأطراف المتعاقدة التي تحمي تسميات المنشأ والبيانات الجغرافية المسجلة من خلال تشريعات العلامات التجارية، تُدرج تسمية المنشأ المسجلة </w:t>
      </w:r>
      <w:r w:rsidR="00450110" w:rsidRPr="00E22B27">
        <w:rPr>
          <w:rtl/>
        </w:rPr>
        <w:t>أو </w:t>
      </w:r>
      <w:r w:rsidRPr="00E22B27">
        <w:rPr>
          <w:rtl/>
        </w:rPr>
        <w:t xml:space="preserve">البيان الجغرافي المسجل بحكم التعريف في علامة تجارية. وإضافة إلى ذلك، يجوز لأصحاب الحق في </w:t>
      </w:r>
      <w:r w:rsidRPr="00E22B27">
        <w:rPr>
          <w:rtl/>
        </w:rPr>
        <w:lastRenderedPageBreak/>
        <w:t xml:space="preserve">استخدام تسمية منشأ مسجلة </w:t>
      </w:r>
      <w:r w:rsidR="00450110" w:rsidRPr="00E22B27">
        <w:rPr>
          <w:rtl/>
        </w:rPr>
        <w:t>أو </w:t>
      </w:r>
      <w:r w:rsidRPr="00E22B27">
        <w:rPr>
          <w:rtl/>
        </w:rPr>
        <w:t xml:space="preserve">بيان جغرافي مسجل امتلاك علامة تجارية تحتوي على تسمية المنشأ المسجلة </w:t>
      </w:r>
      <w:r w:rsidR="00450110" w:rsidRPr="00E22B27">
        <w:rPr>
          <w:rtl/>
        </w:rPr>
        <w:t>أو </w:t>
      </w:r>
      <w:r w:rsidRPr="00E22B27">
        <w:rPr>
          <w:rtl/>
        </w:rPr>
        <w:t>البيان الجغرافي المسجل كجزء من العلامة التجارية.</w:t>
      </w:r>
    </w:p>
    <w:p w:rsidR="005F1323" w:rsidRPr="00E22B27" w:rsidRDefault="005F1323" w:rsidP="009422A7">
      <w:pPr>
        <w:pStyle w:val="NormalParaAR"/>
        <w:rPr>
          <w:rtl/>
        </w:rPr>
      </w:pPr>
      <w:r w:rsidRPr="00E22B27">
        <w:rPr>
          <w:rtl/>
        </w:rPr>
        <w:t>4.11</w:t>
      </w:r>
      <w:r w:rsidRPr="00E22B27">
        <w:rPr>
          <w:rtl/>
        </w:rPr>
        <w:tab/>
        <w:t xml:space="preserve">لن تخل </w:t>
      </w:r>
      <w:r w:rsidR="00450110" w:rsidRPr="00E22B27">
        <w:rPr>
          <w:rtl/>
        </w:rPr>
        <w:t>المادة </w:t>
      </w:r>
      <w:r w:rsidRPr="00E22B27">
        <w:rPr>
          <w:rtl/>
        </w:rPr>
        <w:t xml:space="preserve">11(2) بأحكام </w:t>
      </w:r>
      <w:r w:rsidR="00450110" w:rsidRPr="00E22B27">
        <w:rPr>
          <w:rtl/>
        </w:rPr>
        <w:t>المادة </w:t>
      </w:r>
      <w:r w:rsidRPr="00E22B27">
        <w:rPr>
          <w:rtl/>
        </w:rPr>
        <w:t xml:space="preserve">13(1) التي تتناول قضية حقوق العلامات التجارية السابقة. وسعياً إلى الإشارة على نحو أفضل إلى مبدأ الأولوية المحدد في كلمة "سابقة" في </w:t>
      </w:r>
      <w:r w:rsidR="00450110" w:rsidRPr="00E22B27">
        <w:rPr>
          <w:rtl/>
        </w:rPr>
        <w:t>المادة </w:t>
      </w:r>
      <w:r w:rsidRPr="00E22B27">
        <w:rPr>
          <w:rtl/>
        </w:rPr>
        <w:t xml:space="preserve">13(1)، أُدرجت كلمة "لاحقة" في </w:t>
      </w:r>
      <w:r w:rsidR="00450110" w:rsidRPr="00E22B27">
        <w:rPr>
          <w:rtl/>
        </w:rPr>
        <w:t>المادة </w:t>
      </w:r>
      <w:r w:rsidRPr="00E22B27">
        <w:rPr>
          <w:rtl/>
        </w:rPr>
        <w:t>11(2) متابعة لمناقشات الدورة التاسعة للفريق العامل.</w:t>
      </w:r>
    </w:p>
    <w:p w:rsidR="00F01ED7" w:rsidRPr="00E22B27" w:rsidRDefault="00925F8B" w:rsidP="009422A7">
      <w:pPr>
        <w:pStyle w:val="NormalParaAR"/>
        <w:rPr>
          <w:rtl/>
        </w:rPr>
      </w:pPr>
      <w:r>
        <w:rPr>
          <w:rtl/>
        </w:rPr>
        <w:t>5.11</w:t>
      </w:r>
      <w:r>
        <w:rPr>
          <w:rtl/>
        </w:rPr>
        <w:tab/>
      </w:r>
      <w:r w:rsidR="005F1323" w:rsidRPr="00E22B27">
        <w:rPr>
          <w:rtl/>
        </w:rPr>
        <w:t xml:space="preserve">عقب مناقشات الدورة السابعة للفريق العامل، لم تعد </w:t>
      </w:r>
      <w:r w:rsidR="00450110" w:rsidRPr="00E22B27">
        <w:rPr>
          <w:rtl/>
        </w:rPr>
        <w:t>المادة </w:t>
      </w:r>
      <w:r w:rsidR="005F1323" w:rsidRPr="00E22B27">
        <w:rPr>
          <w:rtl/>
        </w:rPr>
        <w:t xml:space="preserve">11 تحتوي أحكاماً تتناول صراحة مسألة تسميات المنشأ والبيانات الجغرافية المتجانسة اللفظ. وتوضح حاشية </w:t>
      </w:r>
      <w:r w:rsidR="00450110" w:rsidRPr="00E22B27">
        <w:rPr>
          <w:rtl/>
        </w:rPr>
        <w:t>المادة </w:t>
      </w:r>
      <w:r w:rsidR="005F1323" w:rsidRPr="00E22B27">
        <w:rPr>
          <w:rtl/>
        </w:rPr>
        <w:t>11 الممارسة القائمة في إطار اتفاق لشبونة و</w:t>
      </w:r>
      <w:r w:rsidR="00CD0D5E" w:rsidRPr="00E22B27">
        <w:rPr>
          <w:rtl/>
        </w:rPr>
        <w:t>وثيقة </w:t>
      </w:r>
      <w:r w:rsidR="005F1323" w:rsidRPr="00E22B27">
        <w:rPr>
          <w:rtl/>
        </w:rPr>
        <w:t>1967 بالنسبة إلى تسميات المنشأ موضوع الطلب والتي صدف وأن احتوت على مصطلح يرد أيضاً في تسمية منشأ أخرى.</w:t>
      </w:r>
    </w:p>
    <w:p w:rsidR="00187464" w:rsidRPr="00E22B27" w:rsidRDefault="00187464" w:rsidP="009422A7">
      <w:pPr>
        <w:pStyle w:val="Heading1AR"/>
        <w:spacing w:before="0" w:after="360" w:line="360" w:lineRule="exact"/>
        <w:rPr>
          <w:rtl/>
        </w:rPr>
      </w:pPr>
      <w:r w:rsidRPr="00E22B27">
        <w:rPr>
          <w:rFonts w:hint="cs"/>
          <w:rtl/>
        </w:rPr>
        <w:t>ملاحظات على</w:t>
      </w:r>
      <w:r w:rsidR="007C2359" w:rsidRPr="00E22B27">
        <w:rPr>
          <w:rFonts w:hint="cs"/>
          <w:rtl/>
        </w:rPr>
        <w:t xml:space="preserve"> </w:t>
      </w:r>
      <w:r w:rsidR="00450110" w:rsidRPr="00E22B27">
        <w:rPr>
          <w:rFonts w:hint="cs"/>
          <w:rtl/>
        </w:rPr>
        <w:t>المادة</w:t>
      </w:r>
      <w:r w:rsidR="00450110" w:rsidRPr="00E22B27">
        <w:rPr>
          <w:rtl/>
        </w:rPr>
        <w:t> </w:t>
      </w:r>
      <w:r w:rsidR="003C1838" w:rsidRPr="00E22B27">
        <w:rPr>
          <w:rFonts w:hint="cs"/>
          <w:rtl/>
        </w:rPr>
        <w:t>12</w:t>
      </w:r>
      <w:r w:rsidRPr="00E22B27">
        <w:rPr>
          <w:rFonts w:hint="cs"/>
          <w:rtl/>
        </w:rPr>
        <w:t>:</w:t>
      </w:r>
      <w:r w:rsidRPr="00E22B27">
        <w:rPr>
          <w:rFonts w:hint="cs"/>
          <w:rtl/>
        </w:rPr>
        <w:tab/>
        <w:t>الحماية من [اكتساب طابع التسمية العامة [التحول إلى تسمية عامة]</w:t>
      </w:r>
    </w:p>
    <w:p w:rsidR="0082081B" w:rsidRPr="00E22B27" w:rsidRDefault="0082081B" w:rsidP="00925F8B">
      <w:pPr>
        <w:pStyle w:val="NormalParaAR"/>
        <w:rPr>
          <w:rtl/>
        </w:rPr>
      </w:pPr>
      <w:r w:rsidRPr="00E22B27">
        <w:rPr>
          <w:rtl/>
        </w:rPr>
        <w:t>1.12</w:t>
      </w:r>
      <w:r w:rsidRPr="00E22B27">
        <w:rPr>
          <w:rtl/>
        </w:rPr>
        <w:tab/>
        <w:t>وافق الفريق العامل، في دورته السادسة، على النهج الأساسي فيما يتعلق ب</w:t>
      </w:r>
      <w:r w:rsidR="00450110" w:rsidRPr="00E22B27">
        <w:rPr>
          <w:rtl/>
        </w:rPr>
        <w:t>المادتين </w:t>
      </w:r>
      <w:r w:rsidRPr="00E22B27">
        <w:rPr>
          <w:rtl/>
        </w:rPr>
        <w:t xml:space="preserve">11 و12. ويشير القوسين المربعين حول كلمة "[اعتبار]" إلى اختلاف في الرأي حول استخدام نص </w:t>
      </w:r>
      <w:r w:rsidR="00450110" w:rsidRPr="00E22B27">
        <w:rPr>
          <w:rtl/>
        </w:rPr>
        <w:t>المادة </w:t>
      </w:r>
      <w:r w:rsidRPr="00E22B27">
        <w:rPr>
          <w:rtl/>
        </w:rPr>
        <w:t>6 من اتفاق لشبونة الحالي أم استخدام نص أكثر وضوحاً.</w:t>
      </w:r>
    </w:p>
    <w:p w:rsidR="0082081B" w:rsidRPr="00E22B27" w:rsidRDefault="0082081B" w:rsidP="009422A7">
      <w:pPr>
        <w:pStyle w:val="NormalParaAR"/>
        <w:rPr>
          <w:rtl/>
        </w:rPr>
      </w:pPr>
      <w:r w:rsidRPr="00E22B27">
        <w:rPr>
          <w:rtl/>
        </w:rPr>
        <w:t>2.12</w:t>
      </w:r>
      <w:r w:rsidRPr="00E22B27">
        <w:rPr>
          <w:rtl/>
        </w:rPr>
        <w:tab/>
        <w:t xml:space="preserve">ينبغي اعتبار موقف أي شخص كان يستخدم تسمية تؤلف تسمية منشأ </w:t>
      </w:r>
      <w:r w:rsidR="00450110" w:rsidRPr="00E22B27">
        <w:rPr>
          <w:rtl/>
        </w:rPr>
        <w:t>أو </w:t>
      </w:r>
      <w:r w:rsidRPr="00E22B27">
        <w:rPr>
          <w:rtl/>
        </w:rPr>
        <w:t xml:space="preserve">بياناً جغرافياً قبل التاريخ الذي أصبح فيه التسجيل الدولي نافذاً في الطرف المتعاقد محفوظاً بموجب </w:t>
      </w:r>
      <w:r w:rsidR="00450110" w:rsidRPr="00E22B27">
        <w:rPr>
          <w:rtl/>
        </w:rPr>
        <w:t>المادة </w:t>
      </w:r>
      <w:r w:rsidRPr="00E22B27">
        <w:rPr>
          <w:rtl/>
        </w:rPr>
        <w:t xml:space="preserve">15(3). ومن هذا المنطلق، توضح حاشية </w:t>
      </w:r>
      <w:r w:rsidR="00450110" w:rsidRPr="00E22B27">
        <w:rPr>
          <w:rtl/>
        </w:rPr>
        <w:t>المادة </w:t>
      </w:r>
      <w:r w:rsidRPr="00E22B27">
        <w:rPr>
          <w:rtl/>
        </w:rPr>
        <w:t xml:space="preserve">12 توضيحاً تاماً أن النص لا يتناول إلا الاستخدام العام الذي بدأ بعد دخول حماية تسمية المنشأ مسجلة </w:t>
      </w:r>
      <w:r w:rsidR="00450110" w:rsidRPr="00E22B27">
        <w:rPr>
          <w:rtl/>
        </w:rPr>
        <w:t>أو </w:t>
      </w:r>
      <w:r w:rsidRPr="00E22B27">
        <w:rPr>
          <w:rtl/>
        </w:rPr>
        <w:t xml:space="preserve">البيان الجغرافي المسجل حيز النفاذ في طرف متعاقد بعينه. ويظهر مصطلح "الطابع العام" كذلك في </w:t>
      </w:r>
      <w:r w:rsidR="00450110" w:rsidRPr="00E22B27">
        <w:rPr>
          <w:rtl/>
        </w:rPr>
        <w:t>المادة </w:t>
      </w:r>
      <w:r w:rsidRPr="00E22B27">
        <w:rPr>
          <w:rtl/>
        </w:rPr>
        <w:t xml:space="preserve">4 من اتفاق مدريد بشأن بيانات المصدر. ومصطلح "عام" معرف في الحاشية مع مراعاة أحكام </w:t>
      </w:r>
      <w:r w:rsidR="00450110" w:rsidRPr="00E22B27">
        <w:rPr>
          <w:rtl/>
        </w:rPr>
        <w:t>المادة </w:t>
      </w:r>
      <w:r w:rsidRPr="00E22B27">
        <w:rPr>
          <w:rtl/>
        </w:rPr>
        <w:t>6.24 من اتفاق تريبس.</w:t>
      </w:r>
    </w:p>
    <w:p w:rsidR="0082081B" w:rsidRPr="00E22B27" w:rsidRDefault="0082081B" w:rsidP="00925F8B">
      <w:pPr>
        <w:pStyle w:val="NormalParaAR"/>
        <w:rPr>
          <w:rtl/>
        </w:rPr>
      </w:pPr>
      <w:r w:rsidRPr="00E22B27">
        <w:rPr>
          <w:rtl/>
        </w:rPr>
        <w:t>3.12</w:t>
      </w:r>
      <w:r w:rsidRPr="00E22B27">
        <w:rPr>
          <w:rtl/>
        </w:rPr>
        <w:tab/>
        <w:t xml:space="preserve">وأُكد في الدورة الثامنة للفريق العامل أن </w:t>
      </w:r>
      <w:r w:rsidR="00450110" w:rsidRPr="00E22B27">
        <w:rPr>
          <w:rtl/>
        </w:rPr>
        <w:t>المادة </w:t>
      </w:r>
      <w:r w:rsidRPr="00E22B27">
        <w:rPr>
          <w:rtl/>
        </w:rPr>
        <w:t xml:space="preserve">12 تثير إشكالية لعدد من البلدان. فإذا تم الحفاظ على نصها، فسيحتاج عدد من البلدان </w:t>
      </w:r>
      <w:r w:rsidR="00925F8B">
        <w:rPr>
          <w:rFonts w:hint="cs"/>
          <w:rtl/>
        </w:rPr>
        <w:t xml:space="preserve">إلى </w:t>
      </w:r>
      <w:r w:rsidRPr="00E22B27">
        <w:rPr>
          <w:rtl/>
        </w:rPr>
        <w:t xml:space="preserve">بديل مماثل للمادة 11(3) </w:t>
      </w:r>
      <w:r w:rsidR="00450110" w:rsidRPr="00E22B27">
        <w:rPr>
          <w:rtl/>
        </w:rPr>
        <w:t>أو </w:t>
      </w:r>
      <w:r w:rsidRPr="00E22B27">
        <w:rPr>
          <w:rtl/>
        </w:rPr>
        <w:t xml:space="preserve">خيار إبداء تحفظ بموجب </w:t>
      </w:r>
      <w:r w:rsidR="00925F8B">
        <w:rPr>
          <w:rtl/>
        </w:rPr>
        <w:t>الماد</w:t>
      </w:r>
      <w:r w:rsidR="00925F8B">
        <w:rPr>
          <w:rFonts w:hint="cs"/>
          <w:rtl/>
        </w:rPr>
        <w:t>ة</w:t>
      </w:r>
      <w:r w:rsidR="00925F8B">
        <w:rPr>
          <w:rFonts w:hint="eastAsia"/>
          <w:rtl/>
        </w:rPr>
        <w:t> 30.</w:t>
      </w:r>
    </w:p>
    <w:p w:rsidR="0082081B" w:rsidRPr="00E22B27" w:rsidRDefault="0082081B" w:rsidP="009422A7">
      <w:pPr>
        <w:pStyle w:val="NormalParaAR"/>
        <w:rPr>
          <w:rtl/>
        </w:rPr>
      </w:pPr>
      <w:r w:rsidRPr="00E22B27">
        <w:rPr>
          <w:rtl/>
        </w:rPr>
        <w:t>4.12</w:t>
      </w:r>
      <w:r w:rsidRPr="00E22B27">
        <w:rPr>
          <w:rtl/>
        </w:rPr>
        <w:tab/>
        <w:t xml:space="preserve">تشير العبارة الواردة بين قوسين مربعين في نهاية </w:t>
      </w:r>
      <w:r w:rsidR="00450110" w:rsidRPr="00E22B27">
        <w:rPr>
          <w:rtl/>
        </w:rPr>
        <w:t>المادة </w:t>
      </w:r>
      <w:r w:rsidRPr="00E22B27">
        <w:rPr>
          <w:rtl/>
        </w:rPr>
        <w:t>12 إلى الشواغل التي أثارتها بعض الوفود في الدورة التاسعة للفريق العامل بأن اكتساب مصطلح ما صفة عامة سيرتهن بالوضع الفعلي في السوق بموجب نظم الحماية القائمة على العلامات التجارية والخاصة بالمؤشرات الجغرافية.</w:t>
      </w:r>
    </w:p>
    <w:p w:rsidR="00F01ED7" w:rsidRPr="00E22B27" w:rsidRDefault="0082081B" w:rsidP="00925F8B">
      <w:pPr>
        <w:pStyle w:val="NormalParaAR"/>
        <w:rPr>
          <w:rtl/>
        </w:rPr>
      </w:pPr>
      <w:r w:rsidRPr="00E22B27">
        <w:rPr>
          <w:rtl/>
        </w:rPr>
        <w:t>5.12</w:t>
      </w:r>
      <w:r w:rsidRPr="00E22B27">
        <w:rPr>
          <w:rtl/>
        </w:rPr>
        <w:tab/>
        <w:t xml:space="preserve">ترد عبارتا "المسمى المؤلف" و"البيان المؤلف" بين قوسين مربعين متابعة لمناقشات الدورة التاسعة للفريق العامل. </w:t>
      </w:r>
      <w:r w:rsidR="00925F8B">
        <w:rPr>
          <w:rFonts w:hint="cs"/>
          <w:rtl/>
        </w:rPr>
        <w:t>والتساؤل يخص</w:t>
      </w:r>
      <w:r w:rsidRPr="00E22B27">
        <w:rPr>
          <w:rtl/>
        </w:rPr>
        <w:t xml:space="preserve"> إمكانية </w:t>
      </w:r>
      <w:r w:rsidR="00925F8B">
        <w:rPr>
          <w:rFonts w:hint="cs"/>
          <w:rtl/>
        </w:rPr>
        <w:t>حذف</w:t>
      </w:r>
      <w:r w:rsidRPr="00E22B27">
        <w:rPr>
          <w:rtl/>
        </w:rPr>
        <w:t xml:space="preserve"> هاتين العبارتين لانعدام ضرورتهما </w:t>
      </w:r>
      <w:r w:rsidR="00450110" w:rsidRPr="00E22B27">
        <w:rPr>
          <w:rtl/>
        </w:rPr>
        <w:t>أو </w:t>
      </w:r>
      <w:r w:rsidRPr="00E22B27">
        <w:rPr>
          <w:rtl/>
        </w:rPr>
        <w:t xml:space="preserve">الإبقاء عليهما بوصفهما إشارة إلى الاستخدام الفعلي لهذا المسمى </w:t>
      </w:r>
      <w:r w:rsidR="00450110" w:rsidRPr="00E22B27">
        <w:rPr>
          <w:rtl/>
        </w:rPr>
        <w:t>أو </w:t>
      </w:r>
      <w:r w:rsidRPr="00E22B27">
        <w:rPr>
          <w:rtl/>
        </w:rPr>
        <w:t xml:space="preserve">البيان. وعلى سبيل المقارنة، لا تذكر </w:t>
      </w:r>
      <w:r w:rsidR="00450110" w:rsidRPr="00E22B27">
        <w:rPr>
          <w:rtl/>
        </w:rPr>
        <w:t>المادة </w:t>
      </w:r>
      <w:r w:rsidRPr="00E22B27">
        <w:rPr>
          <w:rtl/>
        </w:rPr>
        <w:t>6 من اتفاق لشبونة الحالي "تسمية المنشأ" وإنما "تسمية".</w:t>
      </w:r>
    </w:p>
    <w:p w:rsidR="00187464" w:rsidRPr="00E22B27" w:rsidRDefault="00187464" w:rsidP="009422A7">
      <w:pPr>
        <w:pStyle w:val="Heading1AR"/>
        <w:spacing w:before="0" w:after="360" w:line="360" w:lineRule="exact"/>
        <w:rPr>
          <w:rtl/>
        </w:rPr>
      </w:pPr>
      <w:r w:rsidRPr="00E22B27">
        <w:rPr>
          <w:rFonts w:hint="cs"/>
          <w:rtl/>
        </w:rPr>
        <w:t>ملاحظات على</w:t>
      </w:r>
      <w:r w:rsidR="007C2359" w:rsidRPr="00E22B27">
        <w:rPr>
          <w:rFonts w:hint="cs"/>
          <w:rtl/>
        </w:rPr>
        <w:t xml:space="preserve"> </w:t>
      </w:r>
      <w:r w:rsidR="00450110" w:rsidRPr="00E22B27">
        <w:rPr>
          <w:rFonts w:hint="cs"/>
          <w:rtl/>
        </w:rPr>
        <w:t>المادة</w:t>
      </w:r>
      <w:r w:rsidR="00450110" w:rsidRPr="00E22B27">
        <w:rPr>
          <w:rtl/>
        </w:rPr>
        <w:t> </w:t>
      </w:r>
      <w:r w:rsidR="003C1838" w:rsidRPr="00E22B27">
        <w:rPr>
          <w:rFonts w:hint="cs"/>
          <w:rtl/>
        </w:rPr>
        <w:t>13</w:t>
      </w:r>
      <w:r w:rsidRPr="00E22B27">
        <w:rPr>
          <w:rFonts w:hint="cs"/>
          <w:rtl/>
        </w:rPr>
        <w:t>:</w:t>
      </w:r>
      <w:r w:rsidRPr="00E22B27">
        <w:rPr>
          <w:rFonts w:hint="cs"/>
          <w:rtl/>
        </w:rPr>
        <w:tab/>
        <w:t>الضمانات الخاصة بحقوق أخرى</w:t>
      </w:r>
    </w:p>
    <w:p w:rsidR="000B6B34" w:rsidRPr="00E22B27" w:rsidRDefault="000B6B34" w:rsidP="009422A7">
      <w:pPr>
        <w:pStyle w:val="NormalParaAR"/>
        <w:rPr>
          <w:rtl/>
        </w:rPr>
      </w:pPr>
      <w:r w:rsidRPr="00E22B27">
        <w:rPr>
          <w:rFonts w:hint="cs"/>
          <w:rtl/>
        </w:rPr>
        <w:t>1.13</w:t>
      </w:r>
      <w:r w:rsidRPr="00E22B27">
        <w:rPr>
          <w:rFonts w:hint="cs"/>
          <w:rtl/>
        </w:rPr>
        <w:tab/>
        <w:t xml:space="preserve">في ضوء مناقشات الدورة السادسة للفريق العامل، لم تعد </w:t>
      </w:r>
      <w:r w:rsidR="00450110" w:rsidRPr="00E22B27">
        <w:rPr>
          <w:rFonts w:hint="cs"/>
          <w:rtl/>
        </w:rPr>
        <w:t>المادة</w:t>
      </w:r>
      <w:r w:rsidR="00450110" w:rsidRPr="00E22B27">
        <w:rPr>
          <w:rtl/>
        </w:rPr>
        <w:t> </w:t>
      </w:r>
      <w:r w:rsidRPr="00E22B27">
        <w:rPr>
          <w:rFonts w:hint="cs"/>
          <w:rtl/>
        </w:rPr>
        <w:t>13 تتضمن الأحكام المعنية من اتفاق تريبس بالإحالة إليها وإنما تحدد سبل تطبيق أحكام اتفاق تريبس الخاصة بحقوق العلامات التجارية السابقة والحقوق المشروعة الأخرى في إطار اتفاق لشبونة المراجَع.</w:t>
      </w:r>
    </w:p>
    <w:p w:rsidR="000B6B34" w:rsidRPr="00E22B27" w:rsidRDefault="000B6B34" w:rsidP="002160BD">
      <w:pPr>
        <w:pStyle w:val="NormalParaAR"/>
        <w:rPr>
          <w:rtl/>
        </w:rPr>
      </w:pPr>
      <w:r w:rsidRPr="00E22B27">
        <w:rPr>
          <w:rFonts w:hint="cs"/>
          <w:rtl/>
        </w:rPr>
        <w:t>2.13</w:t>
      </w:r>
      <w:r w:rsidRPr="00E22B27">
        <w:rPr>
          <w:rFonts w:hint="cs"/>
          <w:rtl/>
        </w:rPr>
        <w:tab/>
        <w:t xml:space="preserve">عقب مناقشة </w:t>
      </w:r>
      <w:r w:rsidR="00450110" w:rsidRPr="00E22B27">
        <w:rPr>
          <w:rFonts w:hint="cs"/>
          <w:rtl/>
        </w:rPr>
        <w:t>المادة</w:t>
      </w:r>
      <w:r w:rsidR="00450110" w:rsidRPr="00E22B27">
        <w:rPr>
          <w:rtl/>
        </w:rPr>
        <w:t> </w:t>
      </w:r>
      <w:r w:rsidRPr="00E22B27">
        <w:rPr>
          <w:rFonts w:hint="cs"/>
          <w:rtl/>
        </w:rPr>
        <w:t xml:space="preserve">13(1) في الدورة التاسعة للفريق العامل، يقدَّم النص الآن على أساس خيارين، أي </w:t>
      </w:r>
      <w:r w:rsidR="00450110" w:rsidRPr="00E22B27">
        <w:rPr>
          <w:rFonts w:hint="cs"/>
          <w:rtl/>
        </w:rPr>
        <w:t>المادة</w:t>
      </w:r>
      <w:r w:rsidR="00450110" w:rsidRPr="00E22B27">
        <w:rPr>
          <w:rtl/>
        </w:rPr>
        <w:t> </w:t>
      </w:r>
      <w:r w:rsidRPr="00E22B27">
        <w:rPr>
          <w:rFonts w:hint="cs"/>
          <w:rtl/>
        </w:rPr>
        <w:t xml:space="preserve">13(1) كما ترد في </w:t>
      </w:r>
      <w:r w:rsidR="00450110" w:rsidRPr="00E22B27">
        <w:rPr>
          <w:rFonts w:hint="cs"/>
          <w:rtl/>
        </w:rPr>
        <w:t>ال</w:t>
      </w:r>
      <w:r w:rsidR="00CD0D5E" w:rsidRPr="00E22B27">
        <w:rPr>
          <w:rFonts w:hint="cs"/>
          <w:rtl/>
        </w:rPr>
        <w:t>وثيقة</w:t>
      </w:r>
      <w:r w:rsidR="00CD0D5E" w:rsidRPr="00E22B27">
        <w:rPr>
          <w:rtl/>
        </w:rPr>
        <w:t> </w:t>
      </w:r>
      <w:r w:rsidRPr="00E22B27">
        <w:t>LI/WG/DEV/8/2</w:t>
      </w:r>
      <w:r w:rsidRPr="00E22B27">
        <w:rPr>
          <w:rFonts w:hint="cs"/>
          <w:rtl/>
        </w:rPr>
        <w:t xml:space="preserve"> (الخيار ألف) والنص الذي اقترحه وفد الولايات المتحدة الأمريكية </w:t>
      </w:r>
      <w:r w:rsidRPr="00E22B27">
        <w:rPr>
          <w:rFonts w:hint="cs"/>
          <w:rtl/>
        </w:rPr>
        <w:lastRenderedPageBreak/>
        <w:t xml:space="preserve">في الدورة الثامنة للفريق العامل (الخيار باء). ويجمع نص الخيار ألف بين عناصر من </w:t>
      </w:r>
      <w:r w:rsidR="00450110" w:rsidRPr="00E22B27">
        <w:rPr>
          <w:rFonts w:hint="cs"/>
          <w:rtl/>
        </w:rPr>
        <w:t>المادتين</w:t>
      </w:r>
      <w:r w:rsidR="00450110" w:rsidRPr="00E22B27">
        <w:rPr>
          <w:rtl/>
        </w:rPr>
        <w:t> </w:t>
      </w:r>
      <w:r w:rsidRPr="00E22B27">
        <w:rPr>
          <w:rFonts w:hint="cs"/>
          <w:rtl/>
        </w:rPr>
        <w:t xml:space="preserve">17 و5.24 من اتفاق تريبس. أما نص الخيار باء فيستند إلى </w:t>
      </w:r>
      <w:r w:rsidR="00450110" w:rsidRPr="00E22B27">
        <w:rPr>
          <w:rFonts w:hint="cs"/>
          <w:rtl/>
        </w:rPr>
        <w:t>المادة</w:t>
      </w:r>
      <w:r w:rsidR="00450110" w:rsidRPr="00E22B27">
        <w:rPr>
          <w:rtl/>
        </w:rPr>
        <w:t> </w:t>
      </w:r>
      <w:r w:rsidRPr="00E22B27">
        <w:rPr>
          <w:rFonts w:hint="cs"/>
          <w:rtl/>
        </w:rPr>
        <w:t>17 من اتفاق تريبس فقط.</w:t>
      </w:r>
      <w:r w:rsidRPr="00E22B27">
        <w:t xml:space="preserve"> </w:t>
      </w:r>
      <w:r w:rsidRPr="00E22B27">
        <w:rPr>
          <w:rFonts w:hint="cs"/>
          <w:rtl/>
        </w:rPr>
        <w:t>ووفقاً لتقارير لجنة منظمة التجارة العالمية بشأن النزاعات التي أثارتها أستراليا فالولايات المتحدة الأمريكية على التوالي ضد الاتحاد الأوروبي بشأن لائحة المفوضية الأوروبية رقم</w:t>
      </w:r>
      <w:r w:rsidR="002160BD">
        <w:rPr>
          <w:rFonts w:hint="eastAsia"/>
          <w:rtl/>
        </w:rPr>
        <w:t> </w:t>
      </w:r>
      <w:r w:rsidRPr="00E22B27">
        <w:rPr>
          <w:rFonts w:hint="cs"/>
          <w:rtl/>
        </w:rPr>
        <w:t xml:space="preserve">2081/92، فإن تزامن الأحكام في إطار هذه اللائحة فيما يخص تسميات المنشأ والبيانات الجغرافية المحمية من جهة والعلامات التجارية السابقة من جهة أخرى يمكن اعتبارها استثناءات محدودة في إطار </w:t>
      </w:r>
      <w:r w:rsidR="00450110" w:rsidRPr="00E22B27">
        <w:rPr>
          <w:rFonts w:hint="cs"/>
          <w:rtl/>
        </w:rPr>
        <w:t>المادة</w:t>
      </w:r>
      <w:r w:rsidR="00450110" w:rsidRPr="00E22B27">
        <w:rPr>
          <w:rtl/>
        </w:rPr>
        <w:t> </w:t>
      </w:r>
      <w:r w:rsidRPr="00E22B27">
        <w:rPr>
          <w:rFonts w:hint="cs"/>
          <w:rtl/>
        </w:rPr>
        <w:t xml:space="preserve">17 من اتفاق تريبس تتيح فرض استثناءات محدودة على الحقوق التي تمنحها علامة تجارية مثل الاستخدام المنصف للمصطلحات الوصفية على أن تراعي هذه الاستثناءات المصالح المشروعة لصاحب العلامة التجارية والأطراف الأخرى. ويبدو أنه في حالات النزاعات، على النحو المشار إليه في مقدمة </w:t>
      </w:r>
      <w:r w:rsidR="00450110" w:rsidRPr="00E22B27">
        <w:rPr>
          <w:rFonts w:hint="cs"/>
          <w:rtl/>
        </w:rPr>
        <w:t>المادة</w:t>
      </w:r>
      <w:r w:rsidR="00450110" w:rsidRPr="00E22B27">
        <w:rPr>
          <w:rtl/>
        </w:rPr>
        <w:t> </w:t>
      </w:r>
      <w:r w:rsidRPr="00E22B27">
        <w:rPr>
          <w:rFonts w:hint="cs"/>
          <w:rtl/>
        </w:rPr>
        <w:t xml:space="preserve">13(1)، يجوز للطرف المتعاقد المعني أن يقرر غلبة العلامة التجارية السابقة </w:t>
      </w:r>
      <w:r w:rsidR="00450110" w:rsidRPr="00E22B27">
        <w:rPr>
          <w:rFonts w:hint="cs"/>
          <w:rtl/>
        </w:rPr>
        <w:t>أو</w:t>
      </w:r>
      <w:r w:rsidR="00450110" w:rsidRPr="00E22B27">
        <w:rPr>
          <w:rtl/>
        </w:rPr>
        <w:t> </w:t>
      </w:r>
      <w:r w:rsidRPr="00E22B27">
        <w:rPr>
          <w:rFonts w:hint="cs"/>
          <w:rtl/>
        </w:rPr>
        <w:t xml:space="preserve">تزامن العلامة التجارية السابقة وتسمية المنشأ المسجلة </w:t>
      </w:r>
      <w:r w:rsidR="00450110" w:rsidRPr="00E22B27">
        <w:rPr>
          <w:rFonts w:hint="cs"/>
          <w:rtl/>
        </w:rPr>
        <w:t>أو</w:t>
      </w:r>
      <w:r w:rsidR="00450110" w:rsidRPr="00E22B27">
        <w:rPr>
          <w:rtl/>
        </w:rPr>
        <w:t> </w:t>
      </w:r>
      <w:r w:rsidRPr="00E22B27">
        <w:rPr>
          <w:rFonts w:hint="cs"/>
          <w:rtl/>
        </w:rPr>
        <w:t xml:space="preserve">البيان الجغرافي المسجل طالما روعيت المصالح المشروعة لصاحب العلامة التجارية السابقة فضلاً عن مصالح الأطراف المعنية التي تمتلك حقوقاً فيما يتعلق بتسمية المنشأ المسجلة </w:t>
      </w:r>
      <w:r w:rsidR="00450110" w:rsidRPr="00E22B27">
        <w:rPr>
          <w:rFonts w:hint="cs"/>
          <w:rtl/>
        </w:rPr>
        <w:t>أو</w:t>
      </w:r>
      <w:r w:rsidR="00450110" w:rsidRPr="00E22B27">
        <w:rPr>
          <w:rtl/>
        </w:rPr>
        <w:t> </w:t>
      </w:r>
      <w:r w:rsidRPr="00E22B27">
        <w:rPr>
          <w:rFonts w:hint="cs"/>
          <w:rtl/>
        </w:rPr>
        <w:t>البيان الجغرافي ومصالح الأطراف الأخرى.</w:t>
      </w:r>
    </w:p>
    <w:p w:rsidR="000B6B34" w:rsidRPr="00E22B27" w:rsidRDefault="000B6B34" w:rsidP="009422A7">
      <w:pPr>
        <w:pStyle w:val="NormalParaAR"/>
        <w:rPr>
          <w:rtl/>
        </w:rPr>
      </w:pPr>
      <w:r w:rsidRPr="00E22B27">
        <w:rPr>
          <w:rFonts w:hint="cs"/>
          <w:rtl/>
        </w:rPr>
        <w:t>3.13</w:t>
      </w:r>
      <w:r w:rsidRPr="00E22B27">
        <w:rPr>
          <w:rFonts w:hint="cs"/>
          <w:rtl/>
        </w:rPr>
        <w:tab/>
        <w:t xml:space="preserve">العبارة الواردة في بداية </w:t>
      </w:r>
      <w:r w:rsidR="00450110" w:rsidRPr="00E22B27">
        <w:rPr>
          <w:rFonts w:hint="cs"/>
          <w:rtl/>
        </w:rPr>
        <w:t>المادة</w:t>
      </w:r>
      <w:r w:rsidR="00450110" w:rsidRPr="00E22B27">
        <w:rPr>
          <w:rtl/>
        </w:rPr>
        <w:t> </w:t>
      </w:r>
      <w:r w:rsidRPr="00E22B27">
        <w:rPr>
          <w:rFonts w:hint="cs"/>
          <w:rtl/>
        </w:rPr>
        <w:t>13(1)، وهي "</w:t>
      </w:r>
      <w:r w:rsidRPr="00E22B27">
        <w:rPr>
          <w:rtl/>
        </w:rPr>
        <w:t xml:space="preserve">دون الإخلال بأحكام </w:t>
      </w:r>
      <w:r w:rsidR="00450110" w:rsidRPr="00E22B27">
        <w:rPr>
          <w:rtl/>
        </w:rPr>
        <w:t>المادتين </w:t>
      </w:r>
      <w:r w:rsidRPr="00E22B27">
        <w:rPr>
          <w:rtl/>
        </w:rPr>
        <w:t>15 و</w:t>
      </w:r>
      <w:r w:rsidRPr="00E22B27">
        <w:rPr>
          <w:rFonts w:hint="cs"/>
          <w:rtl/>
        </w:rPr>
        <w:t xml:space="preserve">19"، توضح أن </w:t>
      </w:r>
      <w:r w:rsidR="00450110" w:rsidRPr="00E22B27">
        <w:rPr>
          <w:rFonts w:hint="cs"/>
          <w:rtl/>
        </w:rPr>
        <w:t>المادة</w:t>
      </w:r>
      <w:r w:rsidR="00450110" w:rsidRPr="00E22B27">
        <w:rPr>
          <w:rtl/>
        </w:rPr>
        <w:t> </w:t>
      </w:r>
      <w:r w:rsidRPr="00E22B27">
        <w:rPr>
          <w:rFonts w:hint="cs"/>
          <w:rtl/>
        </w:rPr>
        <w:t>13(1) تنطبق إذا لم يقدم طرف متعاقد إعلان رفض على أساس وجود علامة تجارية سابقة وطالما أنه لم يبطل آثار التسجيل الدولي على أساس العلامة التجارية السابقة.</w:t>
      </w:r>
    </w:p>
    <w:p w:rsidR="000B6B34" w:rsidRPr="00E22B27" w:rsidRDefault="000B6B34" w:rsidP="002160BD">
      <w:pPr>
        <w:pStyle w:val="NormalParaAR"/>
        <w:rPr>
          <w:rtl/>
        </w:rPr>
      </w:pPr>
      <w:r w:rsidRPr="00E22B27">
        <w:rPr>
          <w:rFonts w:hint="cs"/>
          <w:rtl/>
        </w:rPr>
        <w:t>4.13</w:t>
      </w:r>
      <w:r w:rsidRPr="00E22B27">
        <w:rPr>
          <w:rFonts w:hint="cs"/>
          <w:rtl/>
        </w:rPr>
        <w:tab/>
      </w:r>
      <w:r w:rsidR="002160BD">
        <w:rPr>
          <w:rFonts w:hint="cs"/>
          <w:rtl/>
        </w:rPr>
        <w:t>تشير مقدمة</w:t>
      </w:r>
      <w:r w:rsidRPr="00E22B27">
        <w:rPr>
          <w:rFonts w:hint="cs"/>
          <w:rtl/>
        </w:rPr>
        <w:t xml:space="preserve"> </w:t>
      </w:r>
      <w:r w:rsidR="00450110" w:rsidRPr="00E22B27">
        <w:rPr>
          <w:rFonts w:hint="cs"/>
          <w:rtl/>
        </w:rPr>
        <w:t>المادة</w:t>
      </w:r>
      <w:r w:rsidR="00450110" w:rsidRPr="00E22B27">
        <w:rPr>
          <w:rtl/>
        </w:rPr>
        <w:t> </w:t>
      </w:r>
      <w:r w:rsidRPr="00E22B27">
        <w:rPr>
          <w:rFonts w:hint="cs"/>
          <w:rtl/>
        </w:rPr>
        <w:t xml:space="preserve">13(1) إلى العلامات التجارية التي التُمست </w:t>
      </w:r>
      <w:r w:rsidR="00450110" w:rsidRPr="00E22B27">
        <w:rPr>
          <w:rFonts w:hint="cs"/>
          <w:rtl/>
        </w:rPr>
        <w:t>أو</w:t>
      </w:r>
      <w:r w:rsidR="00450110" w:rsidRPr="00E22B27">
        <w:rPr>
          <w:rtl/>
        </w:rPr>
        <w:t> </w:t>
      </w:r>
      <w:r w:rsidRPr="00E22B27">
        <w:rPr>
          <w:rFonts w:hint="cs"/>
          <w:rtl/>
        </w:rPr>
        <w:t>سُجلت فضلاً عن حقوق العلامات التجارية المكتسبة بالاستخدام. ولا ترمي الإشارة إلى حقوق العلامات التجارية المكتسبة باستخدام إلى إيجاد التزام من أي نوع للأطراف المتعاقدة بأن تنص على إمكانية اكتساب حقوق العلامة التجارية بمجرد الاستخدام ولكن إذا أمكن اكتساب حقوق العلامة التجارية بالاستخدام في طرف متعاقد ستتمتع هذه الحقوق أيضاً بالضمانات الخاصة بحقوق العلامات التجارية السابقة على النحو المحدد في نص المادة.</w:t>
      </w:r>
    </w:p>
    <w:p w:rsidR="000B6B34" w:rsidRPr="00E22B27" w:rsidRDefault="000B6B34" w:rsidP="009422A7">
      <w:pPr>
        <w:pStyle w:val="NormalParaAR"/>
        <w:rPr>
          <w:rtl/>
        </w:rPr>
      </w:pPr>
      <w:r w:rsidRPr="00E22B27">
        <w:rPr>
          <w:rFonts w:hint="cs"/>
          <w:rtl/>
        </w:rPr>
        <w:t>5.13</w:t>
      </w:r>
      <w:r w:rsidRPr="00E22B27">
        <w:rPr>
          <w:rFonts w:hint="cs"/>
          <w:rtl/>
        </w:rPr>
        <w:tab/>
        <w:t xml:space="preserve">واقع أن </w:t>
      </w:r>
      <w:r w:rsidR="00450110" w:rsidRPr="00E22B27">
        <w:rPr>
          <w:rFonts w:hint="cs"/>
          <w:rtl/>
        </w:rPr>
        <w:t>المادة</w:t>
      </w:r>
      <w:r w:rsidR="00450110" w:rsidRPr="00E22B27">
        <w:rPr>
          <w:rtl/>
        </w:rPr>
        <w:t> </w:t>
      </w:r>
      <w:r w:rsidRPr="00E22B27">
        <w:rPr>
          <w:rFonts w:hint="cs"/>
          <w:rtl/>
        </w:rPr>
        <w:t xml:space="preserve">13 لم تعد تذكر الإمكانية لأصحاب حقوق العلامات التجارية وأصحاب الحق في استخدام تسمية منشأ في التفاوض على طرائق إنهاء محتمل للاستخدام بموجب علامة تجارية سابقة، على النحو الوارد في </w:t>
      </w:r>
      <w:r w:rsidR="00450110" w:rsidRPr="00E22B27">
        <w:rPr>
          <w:rFonts w:hint="cs"/>
          <w:rtl/>
        </w:rPr>
        <w:t>المادة</w:t>
      </w:r>
      <w:r w:rsidR="00450110" w:rsidRPr="00E22B27">
        <w:rPr>
          <w:rtl/>
        </w:rPr>
        <w:t> </w:t>
      </w:r>
      <w:r w:rsidRPr="00E22B27">
        <w:rPr>
          <w:rFonts w:hint="cs"/>
          <w:rtl/>
        </w:rPr>
        <w:t xml:space="preserve">12 من </w:t>
      </w:r>
      <w:r w:rsidR="00450110" w:rsidRPr="00E22B27">
        <w:rPr>
          <w:rFonts w:hint="cs"/>
          <w:rtl/>
        </w:rPr>
        <w:t>ال</w:t>
      </w:r>
      <w:r w:rsidR="00CD0D5E" w:rsidRPr="00E22B27">
        <w:rPr>
          <w:rFonts w:hint="cs"/>
          <w:rtl/>
        </w:rPr>
        <w:t>وثيقة</w:t>
      </w:r>
      <w:r w:rsidR="00CD0D5E" w:rsidRPr="00E22B27">
        <w:rPr>
          <w:rtl/>
        </w:rPr>
        <w:t> </w:t>
      </w:r>
      <w:r w:rsidRPr="00E22B27">
        <w:t>LI/WG/DEV/4/2</w:t>
      </w:r>
      <w:r w:rsidRPr="00E22B27">
        <w:rPr>
          <w:rFonts w:hint="cs"/>
          <w:rtl/>
        </w:rPr>
        <w:t xml:space="preserve">، لا يشير إلى أن هذه الإمكانية لن ترد في إطار </w:t>
      </w:r>
      <w:r w:rsidR="00450110" w:rsidRPr="00E22B27">
        <w:rPr>
          <w:rFonts w:hint="cs"/>
          <w:rtl/>
        </w:rPr>
        <w:t>المادة</w:t>
      </w:r>
      <w:r w:rsidR="00450110" w:rsidRPr="00E22B27">
        <w:rPr>
          <w:rtl/>
        </w:rPr>
        <w:t> </w:t>
      </w:r>
      <w:r w:rsidRPr="00E22B27">
        <w:rPr>
          <w:rFonts w:hint="cs"/>
          <w:rtl/>
        </w:rPr>
        <w:t>13 من هذا المشروع. وإنما حُذفت الجملة بسبب التعليقات التي أبديت خلال الدورة الرابعة للفريق العامل بأن وجود هذه الإمكانية واضح ومن ثم تنعدم ضرورة تحديدها في اتفاق لشبونة المراجَع.</w:t>
      </w:r>
    </w:p>
    <w:p w:rsidR="000B6B34" w:rsidRPr="00E22B27" w:rsidRDefault="000B6B34" w:rsidP="009422A7">
      <w:pPr>
        <w:pStyle w:val="NormalParaAR"/>
        <w:rPr>
          <w:rtl/>
        </w:rPr>
      </w:pPr>
      <w:r w:rsidRPr="00E22B27">
        <w:rPr>
          <w:rFonts w:hint="cs"/>
          <w:rtl/>
        </w:rPr>
        <w:t>6.13</w:t>
      </w:r>
      <w:r w:rsidRPr="00E22B27">
        <w:rPr>
          <w:rFonts w:hint="cs"/>
          <w:rtl/>
        </w:rPr>
        <w:tab/>
        <w:t xml:space="preserve">تتناول </w:t>
      </w:r>
      <w:r w:rsidR="00450110" w:rsidRPr="00E22B27">
        <w:rPr>
          <w:rFonts w:hint="cs"/>
          <w:rtl/>
        </w:rPr>
        <w:t>المادة</w:t>
      </w:r>
      <w:r w:rsidR="00450110" w:rsidRPr="00E22B27">
        <w:rPr>
          <w:rtl/>
        </w:rPr>
        <w:t> </w:t>
      </w:r>
      <w:r w:rsidRPr="00E22B27">
        <w:rPr>
          <w:rFonts w:hint="cs"/>
          <w:rtl/>
        </w:rPr>
        <w:t xml:space="preserve">13(2) حالة تسميات المنشأ والبيانات الجغرافية التي تحتوي على مسميات </w:t>
      </w:r>
      <w:r w:rsidR="00450110" w:rsidRPr="00E22B27">
        <w:rPr>
          <w:rFonts w:hint="cs"/>
          <w:rtl/>
        </w:rPr>
        <w:t>أو</w:t>
      </w:r>
      <w:r w:rsidR="00450110" w:rsidRPr="00E22B27">
        <w:rPr>
          <w:rtl/>
        </w:rPr>
        <w:t> </w:t>
      </w:r>
      <w:r w:rsidRPr="00E22B27">
        <w:rPr>
          <w:rFonts w:hint="cs"/>
          <w:rtl/>
        </w:rPr>
        <w:t xml:space="preserve">بيانات متداخلة كتسميات المنشأ </w:t>
      </w:r>
      <w:r w:rsidRPr="00E22B27">
        <w:rPr>
          <w:rFonts w:hint="cs"/>
          <w:i/>
          <w:iCs/>
          <w:rtl/>
        </w:rPr>
        <w:t>"بورتو"</w:t>
      </w:r>
      <w:r w:rsidRPr="00E22B27">
        <w:rPr>
          <w:rFonts w:hint="cs"/>
          <w:rtl/>
        </w:rPr>
        <w:t xml:space="preserve"> لنبيذ غني (نبيذ عنبري) من بورتو بالبرتغال و"بورتو فيشيو" للنبيذ المنتج في بورتو فيشيو بجزيرة كورسيكا الفرنسية.</w:t>
      </w:r>
    </w:p>
    <w:p w:rsidR="000B6B34" w:rsidRPr="00E22B27" w:rsidRDefault="000B6B34" w:rsidP="009422A7">
      <w:pPr>
        <w:pStyle w:val="NormalParaAR"/>
        <w:rPr>
          <w:rtl/>
        </w:rPr>
      </w:pPr>
      <w:r w:rsidRPr="00E22B27">
        <w:rPr>
          <w:rFonts w:hint="cs"/>
          <w:rtl/>
        </w:rPr>
        <w:t>7.13</w:t>
      </w:r>
      <w:r w:rsidRPr="00E22B27">
        <w:rPr>
          <w:rFonts w:hint="cs"/>
          <w:rtl/>
        </w:rPr>
        <w:tab/>
        <w:t xml:space="preserve">تستند </w:t>
      </w:r>
      <w:r w:rsidR="00450110" w:rsidRPr="00E22B27">
        <w:rPr>
          <w:rFonts w:hint="cs"/>
          <w:rtl/>
        </w:rPr>
        <w:t>المادة</w:t>
      </w:r>
      <w:r w:rsidR="00450110" w:rsidRPr="00E22B27">
        <w:rPr>
          <w:rtl/>
        </w:rPr>
        <w:t> </w:t>
      </w:r>
      <w:r w:rsidRPr="00E22B27">
        <w:rPr>
          <w:rFonts w:hint="cs"/>
          <w:rtl/>
        </w:rPr>
        <w:t xml:space="preserve">13(3) إلى </w:t>
      </w:r>
      <w:r w:rsidR="00450110" w:rsidRPr="00E22B27">
        <w:rPr>
          <w:rFonts w:hint="cs"/>
          <w:rtl/>
        </w:rPr>
        <w:t>المادة</w:t>
      </w:r>
      <w:r w:rsidR="00450110" w:rsidRPr="00E22B27">
        <w:rPr>
          <w:rtl/>
        </w:rPr>
        <w:t> </w:t>
      </w:r>
      <w:r w:rsidRPr="00E22B27">
        <w:rPr>
          <w:rFonts w:hint="cs"/>
          <w:rtl/>
        </w:rPr>
        <w:t>8.24 من اتفاق تريبس: "</w:t>
      </w:r>
      <w:r w:rsidRPr="00E22B27">
        <w:rPr>
          <w:rtl/>
        </w:rPr>
        <w:t xml:space="preserve">لا تخل أحكام هذه </w:t>
      </w:r>
      <w:r w:rsidR="00450110" w:rsidRPr="00E22B27">
        <w:rPr>
          <w:rtl/>
        </w:rPr>
        <w:t>ال</w:t>
      </w:r>
      <w:r w:rsidR="00CD0D5E" w:rsidRPr="00E22B27">
        <w:rPr>
          <w:rtl/>
        </w:rPr>
        <w:t>وثيقة </w:t>
      </w:r>
      <w:r w:rsidRPr="00E22B27">
        <w:rPr>
          <w:rtl/>
        </w:rPr>
        <w:t xml:space="preserve">بحق أي شخص في استخدام اسمه الشخصي </w:t>
      </w:r>
      <w:r w:rsidR="00450110" w:rsidRPr="00E22B27">
        <w:rPr>
          <w:rtl/>
        </w:rPr>
        <w:t>أو </w:t>
      </w:r>
      <w:r w:rsidRPr="00E22B27">
        <w:rPr>
          <w:rtl/>
        </w:rPr>
        <w:t>اسم أسلافه في مزاولة نشاطه التجاري إلا إذا استُخدم هذا الاسم بصورة تضلل الجمهور</w:t>
      </w:r>
      <w:r w:rsidRPr="00E22B27">
        <w:rPr>
          <w:rFonts w:hint="cs"/>
          <w:rtl/>
        </w:rPr>
        <w:t>"</w:t>
      </w:r>
      <w:r w:rsidRPr="00E22B27">
        <w:rPr>
          <w:rtl/>
        </w:rPr>
        <w:t>.</w:t>
      </w:r>
    </w:p>
    <w:p w:rsidR="000B6B34" w:rsidRPr="00E22B27" w:rsidRDefault="000B6B34" w:rsidP="002160BD">
      <w:pPr>
        <w:pStyle w:val="NormalParaAR"/>
        <w:rPr>
          <w:rtl/>
        </w:rPr>
      </w:pPr>
      <w:r w:rsidRPr="00E22B27">
        <w:rPr>
          <w:rFonts w:hint="cs"/>
          <w:rtl/>
        </w:rPr>
        <w:t>8.13</w:t>
      </w:r>
      <w:r w:rsidRPr="00E22B27">
        <w:rPr>
          <w:rFonts w:hint="cs"/>
          <w:rtl/>
        </w:rPr>
        <w:tab/>
        <w:t xml:space="preserve">لا تصون </w:t>
      </w:r>
      <w:r w:rsidR="00450110" w:rsidRPr="00E22B27">
        <w:rPr>
          <w:rFonts w:hint="cs"/>
          <w:rtl/>
        </w:rPr>
        <w:t>المادة</w:t>
      </w:r>
      <w:r w:rsidR="00450110" w:rsidRPr="00E22B27">
        <w:rPr>
          <w:rtl/>
        </w:rPr>
        <w:t> </w:t>
      </w:r>
      <w:r w:rsidRPr="00E22B27">
        <w:rPr>
          <w:rFonts w:hint="cs"/>
          <w:rtl/>
        </w:rPr>
        <w:t xml:space="preserve">13(4) جميع الحقوق السابقة وإنما تقتصر على مسميات الأصناف النباتية والسلالات الحيوانية. ويمكن مع ذلك صون حقوق أخرى إن استُخدمت اساساً للرفض بموجب </w:t>
      </w:r>
      <w:r w:rsidR="00450110" w:rsidRPr="00E22B27">
        <w:rPr>
          <w:rFonts w:hint="cs"/>
          <w:rtl/>
        </w:rPr>
        <w:t>المادة</w:t>
      </w:r>
      <w:r w:rsidR="00450110" w:rsidRPr="00E22B27">
        <w:rPr>
          <w:rtl/>
        </w:rPr>
        <w:t> </w:t>
      </w:r>
      <w:r w:rsidRPr="00E22B27">
        <w:rPr>
          <w:rFonts w:hint="cs"/>
          <w:rtl/>
        </w:rPr>
        <w:t xml:space="preserve">15. ويرتهن استخدامها أساساً للإبطال بموجب </w:t>
      </w:r>
      <w:r w:rsidR="00450110" w:rsidRPr="00E22B27">
        <w:rPr>
          <w:rFonts w:hint="cs"/>
          <w:rtl/>
        </w:rPr>
        <w:t>المادة</w:t>
      </w:r>
      <w:r w:rsidR="00450110" w:rsidRPr="00E22B27">
        <w:rPr>
          <w:rtl/>
        </w:rPr>
        <w:t> </w:t>
      </w:r>
      <w:r w:rsidRPr="00E22B27">
        <w:rPr>
          <w:rFonts w:hint="cs"/>
          <w:rtl/>
        </w:rPr>
        <w:t xml:space="preserve">19 </w:t>
      </w:r>
      <w:r w:rsidR="002160BD">
        <w:rPr>
          <w:rFonts w:hint="cs"/>
          <w:rtl/>
        </w:rPr>
        <w:t xml:space="preserve">بنتيجة مناقشات أخرى </w:t>
      </w:r>
      <w:r w:rsidRPr="00E22B27">
        <w:rPr>
          <w:rFonts w:hint="cs"/>
          <w:rtl/>
        </w:rPr>
        <w:t xml:space="preserve">حول </w:t>
      </w:r>
      <w:r w:rsidR="00450110" w:rsidRPr="00E22B27">
        <w:rPr>
          <w:rFonts w:hint="cs"/>
          <w:rtl/>
        </w:rPr>
        <w:t>المادة</w:t>
      </w:r>
      <w:r w:rsidR="00450110" w:rsidRPr="00E22B27">
        <w:rPr>
          <w:rtl/>
        </w:rPr>
        <w:t> </w:t>
      </w:r>
      <w:r w:rsidRPr="00E22B27">
        <w:rPr>
          <w:rFonts w:hint="cs"/>
          <w:rtl/>
        </w:rPr>
        <w:t xml:space="preserve">19(1). وفي غياب الرفض، يجوز للطرف المتعاقد أن يقرر بموجب </w:t>
      </w:r>
      <w:r w:rsidR="00450110" w:rsidRPr="00E22B27">
        <w:rPr>
          <w:rFonts w:hint="cs"/>
          <w:rtl/>
        </w:rPr>
        <w:t>المادة</w:t>
      </w:r>
      <w:r w:rsidR="00450110" w:rsidRPr="00E22B27">
        <w:rPr>
          <w:rtl/>
        </w:rPr>
        <w:t> </w:t>
      </w:r>
      <w:r w:rsidRPr="00E22B27">
        <w:rPr>
          <w:rFonts w:hint="cs"/>
          <w:rtl/>
        </w:rPr>
        <w:t>17(1) تطبيق فترة انتقالية قبل وجوب توقف الاستخدام بموجب هذا الحق الآخر. للمزيد من التفاصيل انظر الملاحظة 2.17.</w:t>
      </w:r>
    </w:p>
    <w:p w:rsidR="00187464" w:rsidRPr="00E22B27" w:rsidRDefault="00187464" w:rsidP="009422A7">
      <w:pPr>
        <w:pStyle w:val="Heading1AR"/>
        <w:spacing w:before="0" w:after="360" w:line="360" w:lineRule="exact"/>
        <w:rPr>
          <w:rtl/>
        </w:rPr>
      </w:pPr>
      <w:r w:rsidRPr="00E22B27">
        <w:rPr>
          <w:rFonts w:hint="cs"/>
          <w:rtl/>
        </w:rPr>
        <w:lastRenderedPageBreak/>
        <w:t>ملاحظات على</w:t>
      </w:r>
      <w:r w:rsidR="007C2359" w:rsidRPr="00E22B27">
        <w:rPr>
          <w:rFonts w:hint="cs"/>
          <w:rtl/>
        </w:rPr>
        <w:t xml:space="preserve"> </w:t>
      </w:r>
      <w:r w:rsidR="00450110" w:rsidRPr="00E22B27">
        <w:rPr>
          <w:rFonts w:hint="cs"/>
          <w:rtl/>
        </w:rPr>
        <w:t>المادة</w:t>
      </w:r>
      <w:r w:rsidR="00450110" w:rsidRPr="00E22B27">
        <w:rPr>
          <w:rtl/>
        </w:rPr>
        <w:t> </w:t>
      </w:r>
      <w:r w:rsidR="003C1838" w:rsidRPr="00E22B27">
        <w:rPr>
          <w:rFonts w:hint="cs"/>
          <w:rtl/>
        </w:rPr>
        <w:t>14</w:t>
      </w:r>
      <w:r w:rsidRPr="00E22B27">
        <w:rPr>
          <w:rFonts w:hint="cs"/>
          <w:rtl/>
        </w:rPr>
        <w:t>:</w:t>
      </w:r>
      <w:r w:rsidRPr="00E22B27">
        <w:rPr>
          <w:rFonts w:hint="cs"/>
          <w:rtl/>
        </w:rPr>
        <w:tab/>
        <w:t>إجراءات وسبل الإنفاذ</w:t>
      </w:r>
    </w:p>
    <w:p w:rsidR="007F6899" w:rsidRPr="00E22B27" w:rsidRDefault="007F6899" w:rsidP="009422A7">
      <w:pPr>
        <w:pStyle w:val="NormalParaAR"/>
        <w:rPr>
          <w:rtl/>
        </w:rPr>
      </w:pPr>
      <w:r w:rsidRPr="00E22B27">
        <w:rPr>
          <w:rFonts w:hint="cs"/>
          <w:rtl/>
        </w:rPr>
        <w:t>1.14</w:t>
      </w:r>
      <w:r w:rsidRPr="00E22B27">
        <w:rPr>
          <w:rFonts w:hint="cs"/>
          <w:rtl/>
        </w:rPr>
        <w:tab/>
        <w:t xml:space="preserve">تستند </w:t>
      </w:r>
      <w:r w:rsidR="00450110" w:rsidRPr="00E22B27">
        <w:rPr>
          <w:rFonts w:hint="cs"/>
          <w:rtl/>
        </w:rPr>
        <w:t>المادة</w:t>
      </w:r>
      <w:r w:rsidR="00450110" w:rsidRPr="00E22B27">
        <w:rPr>
          <w:rtl/>
        </w:rPr>
        <w:t> </w:t>
      </w:r>
      <w:r w:rsidRPr="00E22B27">
        <w:rPr>
          <w:rFonts w:hint="cs"/>
          <w:rtl/>
        </w:rPr>
        <w:t xml:space="preserve">14 إلى أحكام </w:t>
      </w:r>
      <w:r w:rsidR="00450110" w:rsidRPr="00E22B27">
        <w:rPr>
          <w:rFonts w:hint="cs"/>
          <w:rtl/>
        </w:rPr>
        <w:t>المادة</w:t>
      </w:r>
      <w:r w:rsidR="00450110" w:rsidRPr="00E22B27">
        <w:rPr>
          <w:rtl/>
        </w:rPr>
        <w:t> </w:t>
      </w:r>
      <w:r w:rsidRPr="00E22B27">
        <w:rPr>
          <w:rFonts w:hint="cs"/>
          <w:rtl/>
        </w:rPr>
        <w:t>8 من اتفاق لشبونة و</w:t>
      </w:r>
      <w:r w:rsidR="00CD0D5E" w:rsidRPr="00E22B27">
        <w:rPr>
          <w:rFonts w:hint="cs"/>
          <w:rtl/>
        </w:rPr>
        <w:t>وثيقة</w:t>
      </w:r>
      <w:r w:rsidR="00CD0D5E" w:rsidRPr="00E22B27">
        <w:rPr>
          <w:rtl/>
        </w:rPr>
        <w:t> </w:t>
      </w:r>
      <w:r w:rsidRPr="00E22B27">
        <w:rPr>
          <w:rFonts w:hint="cs"/>
          <w:rtl/>
        </w:rPr>
        <w:t xml:space="preserve">1967. وأُعيدت صياغة هذه </w:t>
      </w:r>
      <w:r w:rsidR="00450110" w:rsidRPr="00E22B27">
        <w:rPr>
          <w:rFonts w:hint="cs"/>
          <w:rtl/>
        </w:rPr>
        <w:t>المادة</w:t>
      </w:r>
      <w:r w:rsidR="00450110" w:rsidRPr="00E22B27">
        <w:rPr>
          <w:rtl/>
        </w:rPr>
        <w:t> </w:t>
      </w:r>
      <w:r w:rsidRPr="00E22B27">
        <w:rPr>
          <w:rFonts w:hint="cs"/>
          <w:rtl/>
        </w:rPr>
        <w:t xml:space="preserve">لمراعاة الشواغل التي أعربت عنها بعض الوفود في الدورة السادسة للفريق العامل (لاسيما </w:t>
      </w:r>
      <w:r w:rsidR="00450110" w:rsidRPr="00E22B27">
        <w:rPr>
          <w:rFonts w:hint="cs"/>
          <w:rtl/>
        </w:rPr>
        <w:t>الفقرتين</w:t>
      </w:r>
      <w:r w:rsidR="00450110" w:rsidRPr="00E22B27">
        <w:rPr>
          <w:rtl/>
        </w:rPr>
        <w:t> </w:t>
      </w:r>
      <w:r w:rsidRPr="00E22B27">
        <w:rPr>
          <w:rFonts w:hint="cs"/>
          <w:rtl/>
        </w:rPr>
        <w:t xml:space="preserve">97 و163 من التقرير الوارد في </w:t>
      </w:r>
      <w:r w:rsidR="00450110" w:rsidRPr="00E22B27">
        <w:rPr>
          <w:rFonts w:hint="cs"/>
          <w:rtl/>
        </w:rPr>
        <w:t>ال</w:t>
      </w:r>
      <w:r w:rsidR="00CD0D5E" w:rsidRPr="00E22B27">
        <w:rPr>
          <w:rFonts w:hint="cs"/>
          <w:rtl/>
        </w:rPr>
        <w:t>وثيقة</w:t>
      </w:r>
      <w:r w:rsidR="00CD0D5E" w:rsidRPr="00E22B27">
        <w:rPr>
          <w:rtl/>
        </w:rPr>
        <w:t> </w:t>
      </w:r>
      <w:r w:rsidRPr="00E22B27">
        <w:t>LI/WG/DEV/6/7</w:t>
      </w:r>
      <w:r w:rsidRPr="00E22B27">
        <w:rPr>
          <w:rFonts w:hint="cs"/>
          <w:rtl/>
        </w:rPr>
        <w:t xml:space="preserve">). ونتيجة لذلك، ستقتضي </w:t>
      </w:r>
      <w:r w:rsidR="00450110" w:rsidRPr="00E22B27">
        <w:rPr>
          <w:rFonts w:hint="cs"/>
          <w:rtl/>
        </w:rPr>
        <w:t>المادة</w:t>
      </w:r>
      <w:r w:rsidR="00450110" w:rsidRPr="00E22B27">
        <w:rPr>
          <w:rtl/>
        </w:rPr>
        <w:t> </w:t>
      </w:r>
      <w:r w:rsidRPr="00E22B27">
        <w:rPr>
          <w:rFonts w:hint="cs"/>
          <w:rtl/>
        </w:rPr>
        <w:t xml:space="preserve">ببساطة من التشريع الوطني </w:t>
      </w:r>
      <w:r w:rsidR="00450110" w:rsidRPr="00E22B27">
        <w:rPr>
          <w:rFonts w:hint="cs"/>
          <w:rtl/>
        </w:rPr>
        <w:t>أو</w:t>
      </w:r>
      <w:r w:rsidR="00450110" w:rsidRPr="00E22B27">
        <w:rPr>
          <w:rtl/>
        </w:rPr>
        <w:t> </w:t>
      </w:r>
      <w:r w:rsidRPr="00E22B27">
        <w:rPr>
          <w:rFonts w:hint="cs"/>
          <w:rtl/>
        </w:rPr>
        <w:t>الإقليمي أن يوفر ويتيح سبل وإجراءات قانونية فعالة لحماية وإنفاذ تسميات المنشأ المسجلة والبيانات الجغرافية المسجلة. ولا تستثني كلمة "قانونية" تطبيق تدابير إدارية.</w:t>
      </w:r>
    </w:p>
    <w:p w:rsidR="00187464" w:rsidRPr="00E22B27" w:rsidRDefault="00187464" w:rsidP="009422A7">
      <w:pPr>
        <w:pStyle w:val="Heading1AR"/>
        <w:spacing w:before="0" w:after="360" w:line="360" w:lineRule="exact"/>
        <w:rPr>
          <w:rtl/>
        </w:rPr>
      </w:pPr>
      <w:r w:rsidRPr="00E22B27">
        <w:rPr>
          <w:rFonts w:hint="cs"/>
          <w:rtl/>
        </w:rPr>
        <w:t>ملاحظات على</w:t>
      </w:r>
      <w:r w:rsidR="007C2359" w:rsidRPr="00E22B27">
        <w:rPr>
          <w:rFonts w:hint="cs"/>
          <w:rtl/>
        </w:rPr>
        <w:t xml:space="preserve"> </w:t>
      </w:r>
      <w:r w:rsidR="00450110" w:rsidRPr="00E22B27">
        <w:rPr>
          <w:rFonts w:hint="cs"/>
          <w:rtl/>
        </w:rPr>
        <w:t>المادة</w:t>
      </w:r>
      <w:r w:rsidR="00450110" w:rsidRPr="00E22B27">
        <w:rPr>
          <w:rtl/>
        </w:rPr>
        <w:t> </w:t>
      </w:r>
      <w:r w:rsidR="003C1838" w:rsidRPr="00E22B27">
        <w:rPr>
          <w:rFonts w:hint="cs"/>
          <w:rtl/>
        </w:rPr>
        <w:t>15</w:t>
      </w:r>
      <w:r w:rsidRPr="00E22B27">
        <w:rPr>
          <w:rFonts w:hint="cs"/>
          <w:rtl/>
        </w:rPr>
        <w:t>:</w:t>
      </w:r>
      <w:r w:rsidRPr="00E22B27">
        <w:rPr>
          <w:rFonts w:hint="cs"/>
          <w:rtl/>
        </w:rPr>
        <w:tab/>
        <w:t>الرفض</w:t>
      </w:r>
    </w:p>
    <w:p w:rsidR="00ED2F21" w:rsidRPr="00E22B27" w:rsidRDefault="00ED2F21" w:rsidP="002160BD">
      <w:pPr>
        <w:pStyle w:val="NormalParaAR"/>
        <w:rPr>
          <w:rtl/>
        </w:rPr>
      </w:pPr>
      <w:r w:rsidRPr="00E22B27">
        <w:rPr>
          <w:rFonts w:hint="cs"/>
          <w:rtl/>
        </w:rPr>
        <w:t>1.15</w:t>
      </w:r>
      <w:r w:rsidRPr="00E22B27">
        <w:rPr>
          <w:rFonts w:hint="cs"/>
          <w:rtl/>
        </w:rPr>
        <w:tab/>
        <w:t xml:space="preserve">تتعلق </w:t>
      </w:r>
      <w:r w:rsidR="00450110" w:rsidRPr="00E22B27">
        <w:rPr>
          <w:rFonts w:hint="cs"/>
          <w:rtl/>
        </w:rPr>
        <w:t>المادة</w:t>
      </w:r>
      <w:r w:rsidR="00450110" w:rsidRPr="00E22B27">
        <w:rPr>
          <w:rtl/>
        </w:rPr>
        <w:t> </w:t>
      </w:r>
      <w:r w:rsidRPr="00E22B27">
        <w:rPr>
          <w:rFonts w:hint="cs"/>
          <w:rtl/>
        </w:rPr>
        <w:t xml:space="preserve">15 بإجراء إصدار الرفض بعد تلقي إخطار بتسجيل دولي. وكما اقتُرح خلال الدورة الرابعة للفريق العامل، لم تحدد مهل في الاتفاق وإنما في اللائحة التنفيذية بحيث يتسنى لجمعية الاتحاد الخاص اعتماد التعديلات دون الحاجة إلى مؤتمر دبلوماسي الذي سيكون ضرورياً إذا حُددت المهل في اتفاق لشبونة المراجَع نفسه. وتستند </w:t>
      </w:r>
      <w:r w:rsidR="00450110" w:rsidRPr="00E22B27">
        <w:rPr>
          <w:rFonts w:hint="cs"/>
          <w:rtl/>
        </w:rPr>
        <w:t>المادة</w:t>
      </w:r>
      <w:r w:rsidR="00450110" w:rsidRPr="00E22B27">
        <w:rPr>
          <w:rtl/>
        </w:rPr>
        <w:t> </w:t>
      </w:r>
      <w:r w:rsidRPr="00E22B27">
        <w:rPr>
          <w:rFonts w:hint="cs"/>
          <w:rtl/>
        </w:rPr>
        <w:t xml:space="preserve">إلى مشروع </w:t>
      </w:r>
      <w:r w:rsidR="002160BD">
        <w:rPr>
          <w:rFonts w:hint="cs"/>
          <w:rtl/>
        </w:rPr>
        <w:t>النص</w:t>
      </w:r>
      <w:r w:rsidR="00450110" w:rsidRPr="00E22B27">
        <w:rPr>
          <w:rtl/>
        </w:rPr>
        <w:t> </w:t>
      </w:r>
      <w:r w:rsidRPr="00E22B27">
        <w:rPr>
          <w:rFonts w:hint="cs"/>
          <w:rtl/>
        </w:rPr>
        <w:t xml:space="preserve">زاي كما ورد في </w:t>
      </w:r>
      <w:r w:rsidR="00450110" w:rsidRPr="00E22B27">
        <w:rPr>
          <w:rFonts w:hint="cs"/>
          <w:rtl/>
        </w:rPr>
        <w:t>ال</w:t>
      </w:r>
      <w:r w:rsidR="00CD0D5E" w:rsidRPr="00E22B27">
        <w:rPr>
          <w:rFonts w:hint="cs"/>
          <w:rtl/>
        </w:rPr>
        <w:t>وثيقة</w:t>
      </w:r>
      <w:r w:rsidR="00CD0D5E" w:rsidRPr="00E22B27">
        <w:rPr>
          <w:rtl/>
        </w:rPr>
        <w:t> </w:t>
      </w:r>
      <w:r w:rsidRPr="00E22B27">
        <w:t>LI/WG/DEV/3/2</w:t>
      </w:r>
      <w:r w:rsidRPr="00E22B27">
        <w:rPr>
          <w:rFonts w:hint="cs"/>
          <w:rtl/>
        </w:rPr>
        <w:t xml:space="preserve"> وهي صيغة جديدة من </w:t>
      </w:r>
      <w:r w:rsidR="00450110" w:rsidRPr="00E22B27">
        <w:rPr>
          <w:rFonts w:hint="cs"/>
          <w:rtl/>
        </w:rPr>
        <w:t>المادة</w:t>
      </w:r>
      <w:r w:rsidR="00450110" w:rsidRPr="00E22B27">
        <w:rPr>
          <w:rtl/>
        </w:rPr>
        <w:t> </w:t>
      </w:r>
      <w:r w:rsidRPr="00E22B27">
        <w:rPr>
          <w:rFonts w:hint="cs"/>
          <w:rtl/>
        </w:rPr>
        <w:t>5(3) من اتفاق لشبونة الحالي.</w:t>
      </w:r>
    </w:p>
    <w:p w:rsidR="00ED2F21" w:rsidRPr="00E22B27" w:rsidRDefault="00ED2F21" w:rsidP="009422A7">
      <w:pPr>
        <w:pStyle w:val="NormalParaAR"/>
        <w:rPr>
          <w:rtl/>
        </w:rPr>
      </w:pPr>
      <w:r w:rsidRPr="00E22B27">
        <w:rPr>
          <w:rFonts w:hint="cs"/>
          <w:rtl/>
        </w:rPr>
        <w:t>2.15</w:t>
      </w:r>
      <w:r w:rsidRPr="00E22B27">
        <w:rPr>
          <w:rFonts w:hint="cs"/>
          <w:rtl/>
        </w:rPr>
        <w:tab/>
        <w:t>فيما يتعلق ب</w:t>
      </w:r>
      <w:r w:rsidR="00450110" w:rsidRPr="00E22B27">
        <w:rPr>
          <w:rFonts w:hint="cs"/>
          <w:rtl/>
        </w:rPr>
        <w:t>المادة</w:t>
      </w:r>
      <w:r w:rsidR="00450110" w:rsidRPr="00E22B27">
        <w:rPr>
          <w:rtl/>
        </w:rPr>
        <w:t> </w:t>
      </w:r>
      <w:r w:rsidRPr="00E22B27">
        <w:rPr>
          <w:rFonts w:hint="cs"/>
          <w:rtl/>
        </w:rPr>
        <w:t>15(2)، يرجى الرجوع إلى الملاحظة 3.10.</w:t>
      </w:r>
    </w:p>
    <w:p w:rsidR="00ED2F21" w:rsidRPr="00E22B27" w:rsidRDefault="00ED2F21" w:rsidP="009422A7">
      <w:pPr>
        <w:pStyle w:val="NormalParaAR"/>
        <w:rPr>
          <w:rtl/>
        </w:rPr>
      </w:pPr>
      <w:r w:rsidRPr="00E22B27">
        <w:rPr>
          <w:rFonts w:hint="cs"/>
          <w:rtl/>
        </w:rPr>
        <w:t>3.15</w:t>
      </w:r>
      <w:r w:rsidRPr="00E22B27">
        <w:rPr>
          <w:rFonts w:hint="cs"/>
          <w:rtl/>
        </w:rPr>
        <w:tab/>
        <w:t xml:space="preserve">تستحدث </w:t>
      </w:r>
      <w:r w:rsidR="00450110" w:rsidRPr="00E22B27">
        <w:rPr>
          <w:rFonts w:hint="cs"/>
          <w:rtl/>
        </w:rPr>
        <w:t>المادة</w:t>
      </w:r>
      <w:r w:rsidR="00450110" w:rsidRPr="00E22B27">
        <w:rPr>
          <w:rtl/>
        </w:rPr>
        <w:t> </w:t>
      </w:r>
      <w:r w:rsidRPr="00E22B27">
        <w:rPr>
          <w:rFonts w:hint="cs"/>
          <w:rtl/>
        </w:rPr>
        <w:t xml:space="preserve">15(3) إلزاماً للأطراف المتعاقدة بوضع إجراءات تمكن الأطراف المعنية من تقديم الأسباب الممكنة للرفض إلى الإدارة المختصة وأن تطلب منها الإخطار بالرفض بموجب </w:t>
      </w:r>
      <w:r w:rsidR="00450110" w:rsidRPr="00E22B27">
        <w:rPr>
          <w:rFonts w:hint="cs"/>
          <w:rtl/>
        </w:rPr>
        <w:t>المادة</w:t>
      </w:r>
      <w:r w:rsidR="00450110" w:rsidRPr="00E22B27">
        <w:rPr>
          <w:rtl/>
        </w:rPr>
        <w:t> </w:t>
      </w:r>
      <w:r w:rsidRPr="00E22B27">
        <w:rPr>
          <w:rFonts w:hint="cs"/>
          <w:rtl/>
        </w:rPr>
        <w:t>15(1). وقد يستند الرفض إلى أي سبب في إطار نظام لشبونة الحالي (انظر الملاحظة 1.16).</w:t>
      </w:r>
    </w:p>
    <w:p w:rsidR="00ED2F21" w:rsidRPr="00E22B27" w:rsidRDefault="00ED2F21" w:rsidP="009422A7">
      <w:pPr>
        <w:pStyle w:val="NormalParaAR"/>
        <w:rPr>
          <w:rtl/>
        </w:rPr>
      </w:pPr>
      <w:r w:rsidRPr="00E22B27">
        <w:rPr>
          <w:rFonts w:hint="cs"/>
          <w:rtl/>
        </w:rPr>
        <w:t>4.15</w:t>
      </w:r>
      <w:r w:rsidRPr="00E22B27">
        <w:rPr>
          <w:rFonts w:hint="cs"/>
          <w:rtl/>
        </w:rPr>
        <w:tab/>
        <w:t>فيما يتعلق ب</w:t>
      </w:r>
      <w:r w:rsidR="00450110" w:rsidRPr="00E22B27">
        <w:rPr>
          <w:rFonts w:hint="cs"/>
          <w:rtl/>
        </w:rPr>
        <w:t>المادة</w:t>
      </w:r>
      <w:r w:rsidR="00450110" w:rsidRPr="00E22B27">
        <w:rPr>
          <w:rtl/>
        </w:rPr>
        <w:t> </w:t>
      </w:r>
      <w:r w:rsidRPr="00E22B27">
        <w:rPr>
          <w:rFonts w:hint="cs"/>
          <w:rtl/>
        </w:rPr>
        <w:t>15(5)، يجوز للأطراف المعنية التي تتأثر برفض اللجوء</w:t>
      </w:r>
      <w:r w:rsidR="002160BD">
        <w:rPr>
          <w:rFonts w:hint="cs"/>
          <w:rtl/>
        </w:rPr>
        <w:t>، كبديل،</w:t>
      </w:r>
      <w:r w:rsidRPr="00E22B27">
        <w:rPr>
          <w:rFonts w:hint="cs"/>
          <w:rtl/>
        </w:rPr>
        <w:t xml:space="preserve"> إلى التحكيم </w:t>
      </w:r>
      <w:r w:rsidR="00450110" w:rsidRPr="00E22B27">
        <w:rPr>
          <w:rFonts w:hint="cs"/>
          <w:rtl/>
        </w:rPr>
        <w:t>أو</w:t>
      </w:r>
      <w:r w:rsidR="00450110" w:rsidRPr="00E22B27">
        <w:rPr>
          <w:rtl/>
        </w:rPr>
        <w:t> </w:t>
      </w:r>
      <w:r w:rsidRPr="00E22B27">
        <w:rPr>
          <w:rFonts w:hint="cs"/>
          <w:rtl/>
        </w:rPr>
        <w:t>الوساطة.</w:t>
      </w:r>
    </w:p>
    <w:p w:rsidR="00187464" w:rsidRPr="00E22B27" w:rsidRDefault="00187464" w:rsidP="009422A7">
      <w:pPr>
        <w:pStyle w:val="Heading1AR"/>
        <w:spacing w:before="0" w:after="360" w:line="360" w:lineRule="exact"/>
        <w:rPr>
          <w:rtl/>
        </w:rPr>
      </w:pPr>
      <w:r w:rsidRPr="00E22B27">
        <w:rPr>
          <w:rtl/>
        </w:rPr>
        <w:t>ملاحظات على</w:t>
      </w:r>
      <w:r w:rsidR="007C2359" w:rsidRPr="00E22B27">
        <w:rPr>
          <w:rtl/>
        </w:rPr>
        <w:t xml:space="preserve"> </w:t>
      </w:r>
      <w:r w:rsidR="00450110" w:rsidRPr="00E22B27">
        <w:rPr>
          <w:rtl/>
        </w:rPr>
        <w:t>المادة </w:t>
      </w:r>
      <w:r w:rsidR="003C1838" w:rsidRPr="00E22B27">
        <w:rPr>
          <w:rtl/>
        </w:rPr>
        <w:t>1</w:t>
      </w:r>
      <w:r w:rsidR="003C1838" w:rsidRPr="00E22B27">
        <w:rPr>
          <w:rFonts w:hint="cs"/>
          <w:rtl/>
        </w:rPr>
        <w:t>6</w:t>
      </w:r>
      <w:r w:rsidRPr="00E22B27">
        <w:rPr>
          <w:rtl/>
        </w:rPr>
        <w:t>:</w:t>
      </w:r>
      <w:r w:rsidRPr="00E22B27">
        <w:rPr>
          <w:rtl/>
        </w:rPr>
        <w:tab/>
      </w:r>
      <w:r w:rsidRPr="00E22B27">
        <w:rPr>
          <w:rFonts w:hint="cs"/>
          <w:rtl/>
        </w:rPr>
        <w:t>سحب الرفض</w:t>
      </w:r>
    </w:p>
    <w:p w:rsidR="0077792A" w:rsidRPr="00E22B27" w:rsidRDefault="0077792A" w:rsidP="00EB5A54">
      <w:pPr>
        <w:pStyle w:val="NormalParaAR"/>
        <w:rPr>
          <w:rtl/>
        </w:rPr>
      </w:pPr>
      <w:r w:rsidRPr="00E22B27">
        <w:rPr>
          <w:rFonts w:hint="cs"/>
          <w:rtl/>
        </w:rPr>
        <w:t>1.16</w:t>
      </w:r>
      <w:r w:rsidRPr="00E22B27">
        <w:rPr>
          <w:rFonts w:hint="cs"/>
          <w:rtl/>
        </w:rPr>
        <w:tab/>
        <w:t xml:space="preserve">إمكانية التفاوض على سحب رفض مذكورة صراحة في </w:t>
      </w:r>
      <w:r w:rsidR="00450110" w:rsidRPr="00E22B27">
        <w:rPr>
          <w:rFonts w:hint="cs"/>
          <w:rtl/>
        </w:rPr>
        <w:t>المادة</w:t>
      </w:r>
      <w:r w:rsidR="00450110" w:rsidRPr="00E22B27">
        <w:rPr>
          <w:rtl/>
        </w:rPr>
        <w:t> </w:t>
      </w:r>
      <w:r w:rsidRPr="00E22B27">
        <w:rPr>
          <w:rFonts w:hint="cs"/>
          <w:rtl/>
        </w:rPr>
        <w:t xml:space="preserve">16(2). ونجم نص </w:t>
      </w:r>
      <w:r w:rsidR="00450110" w:rsidRPr="00E22B27">
        <w:rPr>
          <w:rFonts w:hint="cs"/>
          <w:rtl/>
        </w:rPr>
        <w:t>المادة</w:t>
      </w:r>
      <w:r w:rsidR="00450110" w:rsidRPr="00E22B27">
        <w:rPr>
          <w:rtl/>
        </w:rPr>
        <w:t> </w:t>
      </w:r>
      <w:r w:rsidRPr="00E22B27">
        <w:rPr>
          <w:rFonts w:hint="cs"/>
          <w:rtl/>
        </w:rPr>
        <w:t xml:space="preserve">عن مناقشات الدورة التاسعة للفريق العامل. وكما ذُكر في أعمال المؤتمر الدبلوماسي لعام 1958 حيث أُبرم اتفاق لشبونة فإن "الإجراء المزمع يتيح للبلدان التي تتلقى إخطاراً بتسمية منشأ من المكتب الدولي إمكانية الاعتراض على أي وضع قائم بحكم الواقع </w:t>
      </w:r>
      <w:r w:rsidR="00450110" w:rsidRPr="00E22B27">
        <w:rPr>
          <w:rFonts w:hint="cs"/>
          <w:rtl/>
        </w:rPr>
        <w:t>أو</w:t>
      </w:r>
      <w:r w:rsidR="00450110" w:rsidRPr="00E22B27">
        <w:rPr>
          <w:rtl/>
        </w:rPr>
        <w:t> </w:t>
      </w:r>
      <w:r w:rsidRPr="00E22B27">
        <w:rPr>
          <w:rFonts w:hint="cs"/>
          <w:rtl/>
        </w:rPr>
        <w:t xml:space="preserve">بحكم القانون يحول دون منح الحماية في كامل أراضي الاتحاد المقيد </w:t>
      </w:r>
      <w:r w:rsidR="00450110" w:rsidRPr="00E22B27">
        <w:rPr>
          <w:rFonts w:hint="cs"/>
          <w:rtl/>
        </w:rPr>
        <w:t>أو</w:t>
      </w:r>
      <w:r w:rsidR="00450110" w:rsidRPr="00E22B27">
        <w:rPr>
          <w:rtl/>
        </w:rPr>
        <w:t> </w:t>
      </w:r>
      <w:r w:rsidRPr="00E22B27">
        <w:rPr>
          <w:rFonts w:hint="cs"/>
          <w:rtl/>
        </w:rPr>
        <w:t xml:space="preserve">في جزء منها. ومهلة السنة من وقت استلام الإخطار كافية تماماً لإتاحة إبداء هذا الاعتراض. </w:t>
      </w:r>
      <w:r w:rsidRPr="00E22B27">
        <w:rPr>
          <w:rFonts w:hint="cs"/>
          <w:u w:val="single"/>
          <w:rtl/>
        </w:rPr>
        <w:t xml:space="preserve">ويجب أن يكون الرفض مشفوعاً بالأسباب التي استند إليها البلد في عدم منح الحماية. وتؤلف هذه الأسباب أساساً محتملاً للمناقشات </w:t>
      </w:r>
      <w:r w:rsidR="00EB5A54">
        <w:rPr>
          <w:rFonts w:hint="cs"/>
          <w:u w:val="single"/>
          <w:rtl/>
        </w:rPr>
        <w:t>الرامية إلى تحقيق ال</w:t>
      </w:r>
      <w:r w:rsidRPr="00E22B27">
        <w:rPr>
          <w:rFonts w:hint="cs"/>
          <w:u w:val="single"/>
          <w:rtl/>
        </w:rPr>
        <w:t>تفاهم</w:t>
      </w:r>
      <w:r w:rsidRPr="00E22B27">
        <w:rPr>
          <w:rFonts w:hint="cs"/>
          <w:rtl/>
        </w:rPr>
        <w:t>".</w:t>
      </w:r>
      <w:r w:rsidRPr="00E22B27">
        <w:rPr>
          <w:rStyle w:val="FootnoteReference"/>
          <w:rtl/>
        </w:rPr>
        <w:footnoteReference w:id="2"/>
      </w:r>
    </w:p>
    <w:p w:rsidR="0077792A" w:rsidRPr="00E22B27" w:rsidRDefault="0077792A" w:rsidP="009422A7">
      <w:pPr>
        <w:pStyle w:val="NormalParaAR"/>
        <w:rPr>
          <w:rtl/>
        </w:rPr>
      </w:pPr>
      <w:r w:rsidRPr="00E22B27">
        <w:rPr>
          <w:rFonts w:hint="cs"/>
          <w:rtl/>
        </w:rPr>
        <w:t>2.16</w:t>
      </w:r>
      <w:r w:rsidRPr="00E22B27">
        <w:rPr>
          <w:rFonts w:hint="cs"/>
          <w:rtl/>
        </w:rPr>
        <w:tab/>
        <w:t xml:space="preserve">يشير مصطلح "الأطراف المعنية" إلى الأفراد ذاتهم المشار إليهم في </w:t>
      </w:r>
      <w:r w:rsidR="00450110" w:rsidRPr="00E22B27">
        <w:rPr>
          <w:rFonts w:hint="cs"/>
          <w:rtl/>
        </w:rPr>
        <w:t>المادة</w:t>
      </w:r>
      <w:r w:rsidR="00450110" w:rsidRPr="00E22B27">
        <w:rPr>
          <w:rtl/>
        </w:rPr>
        <w:t> </w:t>
      </w:r>
      <w:r w:rsidRPr="00E22B27">
        <w:rPr>
          <w:rFonts w:hint="cs"/>
          <w:rtl/>
        </w:rPr>
        <w:t xml:space="preserve">15(5). ويرد المصطلح أيضاً في </w:t>
      </w:r>
      <w:r w:rsidR="00450110" w:rsidRPr="00E22B27">
        <w:rPr>
          <w:rFonts w:hint="cs"/>
          <w:rtl/>
        </w:rPr>
        <w:t>المادتين</w:t>
      </w:r>
      <w:r w:rsidR="00450110" w:rsidRPr="00E22B27">
        <w:rPr>
          <w:rtl/>
        </w:rPr>
        <w:t> </w:t>
      </w:r>
      <w:r w:rsidRPr="00E22B27">
        <w:rPr>
          <w:rFonts w:hint="cs"/>
          <w:rtl/>
        </w:rPr>
        <w:t>22 و23 من اتفاق تريبس.</w:t>
      </w:r>
    </w:p>
    <w:p w:rsidR="0077792A" w:rsidRPr="00E22B27" w:rsidRDefault="0077792A" w:rsidP="00EB5A54">
      <w:pPr>
        <w:pStyle w:val="NormalParaAR"/>
        <w:rPr>
          <w:rtl/>
        </w:rPr>
      </w:pPr>
      <w:r w:rsidRPr="00E22B27">
        <w:rPr>
          <w:rFonts w:hint="cs"/>
          <w:rtl/>
        </w:rPr>
        <w:t>3.16</w:t>
      </w:r>
      <w:r w:rsidRPr="00E22B27">
        <w:rPr>
          <w:rFonts w:hint="cs"/>
          <w:rtl/>
        </w:rPr>
        <w:tab/>
        <w:t xml:space="preserve">يشار أيضاً إلى </w:t>
      </w:r>
      <w:r w:rsidR="00450110" w:rsidRPr="00E22B27">
        <w:rPr>
          <w:rFonts w:hint="cs"/>
          <w:rtl/>
        </w:rPr>
        <w:t>المادة</w:t>
      </w:r>
      <w:r w:rsidR="00450110" w:rsidRPr="00E22B27">
        <w:rPr>
          <w:rtl/>
        </w:rPr>
        <w:t> </w:t>
      </w:r>
      <w:r w:rsidRPr="00E22B27">
        <w:rPr>
          <w:rFonts w:hint="cs"/>
          <w:rtl/>
        </w:rPr>
        <w:t xml:space="preserve">1.24 من اتفاق تريبس التي تنص على أن أعضاء منظمة التجارة العالمية وافقوا على الدخول في مفاوضات ترمي إلى زيادة حماية بيانات جغرافية فردية بموجب </w:t>
      </w:r>
      <w:r w:rsidR="00450110" w:rsidRPr="00E22B27">
        <w:rPr>
          <w:rFonts w:hint="cs"/>
          <w:rtl/>
        </w:rPr>
        <w:t>المادة</w:t>
      </w:r>
      <w:r w:rsidR="00450110" w:rsidRPr="00E22B27">
        <w:rPr>
          <w:rtl/>
        </w:rPr>
        <w:t> </w:t>
      </w:r>
      <w:r w:rsidRPr="00E22B27">
        <w:rPr>
          <w:rFonts w:hint="cs"/>
          <w:rtl/>
        </w:rPr>
        <w:t xml:space="preserve">23 وأن الأحكام الاستثنائية للمواد 4.24 إلى 8.24 لن يستخدمها أي عضو في منظمة التجارة العالمية لرفض إجراء مفاوضات </w:t>
      </w:r>
      <w:r w:rsidR="00450110" w:rsidRPr="00E22B27">
        <w:rPr>
          <w:rFonts w:hint="cs"/>
          <w:rtl/>
        </w:rPr>
        <w:t>أو</w:t>
      </w:r>
      <w:r w:rsidR="00450110" w:rsidRPr="00E22B27">
        <w:rPr>
          <w:rtl/>
        </w:rPr>
        <w:t> </w:t>
      </w:r>
      <w:r w:rsidRPr="00E22B27">
        <w:rPr>
          <w:rFonts w:hint="cs"/>
          <w:rtl/>
        </w:rPr>
        <w:t xml:space="preserve">لإبرام اتفاقات ثنائية </w:t>
      </w:r>
      <w:r w:rsidR="00450110" w:rsidRPr="00E22B27">
        <w:rPr>
          <w:rFonts w:hint="cs"/>
          <w:rtl/>
        </w:rPr>
        <w:t>أو</w:t>
      </w:r>
      <w:r w:rsidR="00450110" w:rsidRPr="00E22B27">
        <w:rPr>
          <w:rtl/>
        </w:rPr>
        <w:t> </w:t>
      </w:r>
      <w:r w:rsidRPr="00E22B27">
        <w:rPr>
          <w:rFonts w:hint="cs"/>
          <w:rtl/>
        </w:rPr>
        <w:t>متعددة الأطراف. وفي سياق هذه المفاوضات، سيكون أعضاء منظمة التجارة العالمية على استعداد للنظر في التطبيق المتواصل لهذه الأحكام على بيانات جغرافية فردية يكون استخدامها موضع هذه المفاوضات.</w:t>
      </w:r>
    </w:p>
    <w:p w:rsidR="00187464" w:rsidRPr="00E22B27" w:rsidRDefault="00187464" w:rsidP="009422A7">
      <w:pPr>
        <w:pStyle w:val="Heading1AR"/>
        <w:spacing w:before="0" w:after="360" w:line="360" w:lineRule="exact"/>
        <w:rPr>
          <w:rtl/>
        </w:rPr>
      </w:pPr>
      <w:r w:rsidRPr="00E22B27">
        <w:rPr>
          <w:rFonts w:hint="cs"/>
          <w:rtl/>
        </w:rPr>
        <w:lastRenderedPageBreak/>
        <w:t>ملاحظات على</w:t>
      </w:r>
      <w:r w:rsidR="007C2359" w:rsidRPr="00E22B27">
        <w:rPr>
          <w:rFonts w:hint="cs"/>
          <w:rtl/>
        </w:rPr>
        <w:t xml:space="preserve"> </w:t>
      </w:r>
      <w:r w:rsidR="00450110" w:rsidRPr="00E22B27">
        <w:rPr>
          <w:rFonts w:hint="cs"/>
          <w:rtl/>
        </w:rPr>
        <w:t>المادة</w:t>
      </w:r>
      <w:r w:rsidR="00450110" w:rsidRPr="00E22B27">
        <w:rPr>
          <w:rtl/>
        </w:rPr>
        <w:t> </w:t>
      </w:r>
      <w:r w:rsidR="003C1838" w:rsidRPr="00E22B27">
        <w:rPr>
          <w:rFonts w:hint="cs"/>
          <w:rtl/>
        </w:rPr>
        <w:t>17</w:t>
      </w:r>
      <w:r w:rsidRPr="00E22B27">
        <w:rPr>
          <w:rFonts w:hint="cs"/>
          <w:rtl/>
        </w:rPr>
        <w:t>:</w:t>
      </w:r>
      <w:r w:rsidRPr="00E22B27">
        <w:rPr>
          <w:rFonts w:hint="cs"/>
          <w:rtl/>
        </w:rPr>
        <w:tab/>
        <w:t>الاستخدام السابق</w:t>
      </w:r>
    </w:p>
    <w:p w:rsidR="00C847B2" w:rsidRPr="00E22B27" w:rsidRDefault="00C847B2" w:rsidP="009422A7">
      <w:pPr>
        <w:pStyle w:val="NormalParaAR"/>
        <w:rPr>
          <w:rtl/>
        </w:rPr>
      </w:pPr>
      <w:r w:rsidRPr="00E22B27">
        <w:rPr>
          <w:rFonts w:hint="cs"/>
          <w:rtl/>
        </w:rPr>
        <w:t>1.17</w:t>
      </w:r>
      <w:r w:rsidRPr="00E22B27">
        <w:rPr>
          <w:rFonts w:hint="cs"/>
          <w:rtl/>
        </w:rPr>
        <w:tab/>
        <w:t xml:space="preserve">توضح </w:t>
      </w:r>
      <w:r w:rsidR="00450110" w:rsidRPr="00E22B27">
        <w:rPr>
          <w:rFonts w:hint="cs"/>
          <w:rtl/>
        </w:rPr>
        <w:t>المادة</w:t>
      </w:r>
      <w:r w:rsidR="00450110" w:rsidRPr="00E22B27">
        <w:rPr>
          <w:rtl/>
        </w:rPr>
        <w:t> </w:t>
      </w:r>
      <w:r w:rsidRPr="00E22B27">
        <w:rPr>
          <w:rFonts w:hint="cs"/>
          <w:rtl/>
        </w:rPr>
        <w:t xml:space="preserve">17(1) من مشروع اتفاق لشبونة المراجَع أن أحكام </w:t>
      </w:r>
      <w:r w:rsidR="00450110" w:rsidRPr="00E22B27">
        <w:rPr>
          <w:rFonts w:hint="cs"/>
          <w:rtl/>
        </w:rPr>
        <w:t>المادة</w:t>
      </w:r>
      <w:r w:rsidR="00450110" w:rsidRPr="00E22B27">
        <w:rPr>
          <w:rtl/>
        </w:rPr>
        <w:t> </w:t>
      </w:r>
      <w:r w:rsidRPr="00E22B27">
        <w:rPr>
          <w:rFonts w:hint="cs"/>
          <w:rtl/>
        </w:rPr>
        <w:t xml:space="preserve">5(6) من اتفاق لشبونة الحالي لن تنطبق على الاستخدام بموجب أي من الحقوق المكفولة بموجب </w:t>
      </w:r>
      <w:r w:rsidR="00450110" w:rsidRPr="00E22B27">
        <w:rPr>
          <w:rFonts w:hint="cs"/>
          <w:rtl/>
        </w:rPr>
        <w:t>المادة</w:t>
      </w:r>
      <w:r w:rsidR="00450110" w:rsidRPr="00E22B27">
        <w:rPr>
          <w:rtl/>
        </w:rPr>
        <w:t> </w:t>
      </w:r>
      <w:r w:rsidRPr="00E22B27">
        <w:rPr>
          <w:rFonts w:hint="cs"/>
          <w:rtl/>
        </w:rPr>
        <w:t xml:space="preserve">13. ولن تخل </w:t>
      </w:r>
      <w:r w:rsidR="00450110" w:rsidRPr="00E22B27">
        <w:rPr>
          <w:rFonts w:hint="cs"/>
          <w:rtl/>
        </w:rPr>
        <w:t>المادة</w:t>
      </w:r>
      <w:r w:rsidR="00450110" w:rsidRPr="00E22B27">
        <w:rPr>
          <w:rtl/>
        </w:rPr>
        <w:t> </w:t>
      </w:r>
      <w:r w:rsidRPr="00E22B27">
        <w:rPr>
          <w:rFonts w:hint="cs"/>
          <w:rtl/>
        </w:rPr>
        <w:t xml:space="preserve">17(1) أيضاً بحق طرف متعاقد في تطبيق الاستثناء المنصوص عليه في حاشية </w:t>
      </w:r>
      <w:r w:rsidR="00450110" w:rsidRPr="00E22B27">
        <w:rPr>
          <w:rFonts w:hint="cs"/>
          <w:rtl/>
        </w:rPr>
        <w:t>المادة</w:t>
      </w:r>
      <w:r w:rsidR="00450110" w:rsidRPr="00E22B27">
        <w:rPr>
          <w:rtl/>
        </w:rPr>
        <w:t> </w:t>
      </w:r>
      <w:r w:rsidRPr="00E22B27">
        <w:rPr>
          <w:rFonts w:hint="cs"/>
          <w:rtl/>
        </w:rPr>
        <w:t xml:space="preserve">11(1)(أ). وتحدد حاشية </w:t>
      </w:r>
      <w:r w:rsidR="00450110" w:rsidRPr="00E22B27">
        <w:rPr>
          <w:rFonts w:hint="cs"/>
          <w:rtl/>
        </w:rPr>
        <w:t>المادة</w:t>
      </w:r>
      <w:r w:rsidR="00450110" w:rsidRPr="00E22B27">
        <w:rPr>
          <w:rtl/>
        </w:rPr>
        <w:t> </w:t>
      </w:r>
      <w:r w:rsidRPr="00E22B27">
        <w:rPr>
          <w:rFonts w:hint="cs"/>
          <w:rtl/>
        </w:rPr>
        <w:t xml:space="preserve">12 ما يُعتبر "تسمية </w:t>
      </w:r>
      <w:r w:rsidR="00450110" w:rsidRPr="00E22B27">
        <w:rPr>
          <w:rFonts w:hint="cs"/>
          <w:rtl/>
        </w:rPr>
        <w:t>أو</w:t>
      </w:r>
      <w:r w:rsidR="00450110" w:rsidRPr="00E22B27">
        <w:rPr>
          <w:rtl/>
        </w:rPr>
        <w:t> </w:t>
      </w:r>
      <w:r w:rsidRPr="00E22B27">
        <w:rPr>
          <w:rFonts w:hint="cs"/>
          <w:rtl/>
        </w:rPr>
        <w:t>مسمى عام".</w:t>
      </w:r>
    </w:p>
    <w:p w:rsidR="00C847B2" w:rsidRPr="00E22B27" w:rsidRDefault="00C847B2" w:rsidP="00EB5A54">
      <w:pPr>
        <w:pStyle w:val="NormalParaAR"/>
        <w:rPr>
          <w:rtl/>
        </w:rPr>
      </w:pPr>
      <w:r w:rsidRPr="00E22B27">
        <w:rPr>
          <w:rFonts w:hint="cs"/>
          <w:rtl/>
        </w:rPr>
        <w:t>2.17</w:t>
      </w:r>
      <w:r w:rsidRPr="00E22B27">
        <w:rPr>
          <w:rFonts w:hint="cs"/>
          <w:rtl/>
        </w:rPr>
        <w:tab/>
        <w:t xml:space="preserve">بموجب </w:t>
      </w:r>
      <w:r w:rsidR="00450110" w:rsidRPr="00E22B27">
        <w:rPr>
          <w:rFonts w:hint="cs"/>
          <w:rtl/>
        </w:rPr>
        <w:t>المادة</w:t>
      </w:r>
      <w:r w:rsidR="00450110" w:rsidRPr="00E22B27">
        <w:rPr>
          <w:rtl/>
        </w:rPr>
        <w:t> </w:t>
      </w:r>
      <w:r w:rsidRPr="00E22B27">
        <w:rPr>
          <w:rFonts w:hint="cs"/>
          <w:rtl/>
        </w:rPr>
        <w:t xml:space="preserve">4.24 من اتفاق تريبس، لا يُطلب من أعضاء منظمة التجارة العالمية منع استخدام عضو آخر في المنظمة لبيان جغرافي بعينه بصورة مستمرة ومشابهة لتحديد النبيذ </w:t>
      </w:r>
      <w:r w:rsidR="00450110" w:rsidRPr="00E22B27">
        <w:rPr>
          <w:rFonts w:hint="cs"/>
          <w:rtl/>
        </w:rPr>
        <w:t>أو</w:t>
      </w:r>
      <w:r w:rsidR="00450110" w:rsidRPr="00E22B27">
        <w:rPr>
          <w:rtl/>
        </w:rPr>
        <w:t> </w:t>
      </w:r>
      <w:r w:rsidRPr="00E22B27">
        <w:rPr>
          <w:rFonts w:hint="cs"/>
          <w:rtl/>
        </w:rPr>
        <w:t xml:space="preserve">الكحوليات المتصلة بسلع </w:t>
      </w:r>
      <w:r w:rsidR="00450110" w:rsidRPr="00E22B27">
        <w:rPr>
          <w:rFonts w:hint="cs"/>
          <w:rtl/>
        </w:rPr>
        <w:t>أو</w:t>
      </w:r>
      <w:r w:rsidR="00450110" w:rsidRPr="00E22B27">
        <w:rPr>
          <w:rtl/>
        </w:rPr>
        <w:t> </w:t>
      </w:r>
      <w:r w:rsidR="00EB5A54">
        <w:rPr>
          <w:rFonts w:hint="cs"/>
          <w:rtl/>
        </w:rPr>
        <w:t>خدمات يقدمها أي من مواطنيه</w:t>
      </w:r>
      <w:r w:rsidRPr="00E22B27">
        <w:rPr>
          <w:rFonts w:hint="cs"/>
          <w:rtl/>
        </w:rPr>
        <w:t xml:space="preserve"> </w:t>
      </w:r>
      <w:r w:rsidR="00450110" w:rsidRPr="00E22B27">
        <w:rPr>
          <w:rFonts w:hint="cs"/>
          <w:rtl/>
        </w:rPr>
        <w:t>أو</w:t>
      </w:r>
      <w:r w:rsidR="00450110" w:rsidRPr="00E22B27">
        <w:rPr>
          <w:rtl/>
        </w:rPr>
        <w:t> </w:t>
      </w:r>
      <w:r w:rsidRPr="00E22B27">
        <w:rPr>
          <w:rFonts w:hint="cs"/>
          <w:rtl/>
        </w:rPr>
        <w:t xml:space="preserve">المقيمين فيه الذين استخدموا هذا البيان الجغرافي بصورة متواصلة فيما يخص السلع </w:t>
      </w:r>
      <w:r w:rsidR="00450110" w:rsidRPr="00E22B27">
        <w:rPr>
          <w:rFonts w:hint="cs"/>
          <w:rtl/>
        </w:rPr>
        <w:t>أو</w:t>
      </w:r>
      <w:r w:rsidR="00450110" w:rsidRPr="00E22B27">
        <w:rPr>
          <w:rtl/>
        </w:rPr>
        <w:t> </w:t>
      </w:r>
      <w:r w:rsidRPr="00E22B27">
        <w:rPr>
          <w:rFonts w:hint="cs"/>
          <w:rtl/>
        </w:rPr>
        <w:t xml:space="preserve">الخدمات ذاتها </w:t>
      </w:r>
      <w:r w:rsidR="00450110" w:rsidRPr="00E22B27">
        <w:rPr>
          <w:rFonts w:hint="cs"/>
          <w:rtl/>
        </w:rPr>
        <w:t>أو</w:t>
      </w:r>
      <w:r w:rsidR="00450110" w:rsidRPr="00E22B27">
        <w:rPr>
          <w:rtl/>
        </w:rPr>
        <w:t> </w:t>
      </w:r>
      <w:r w:rsidRPr="00E22B27">
        <w:rPr>
          <w:rFonts w:hint="cs"/>
          <w:rtl/>
        </w:rPr>
        <w:t xml:space="preserve">سلع </w:t>
      </w:r>
      <w:r w:rsidR="00450110" w:rsidRPr="00E22B27">
        <w:rPr>
          <w:rFonts w:hint="cs"/>
          <w:rtl/>
        </w:rPr>
        <w:t>أو</w:t>
      </w:r>
      <w:r w:rsidR="00450110" w:rsidRPr="00E22B27">
        <w:rPr>
          <w:rtl/>
        </w:rPr>
        <w:t> </w:t>
      </w:r>
      <w:r w:rsidRPr="00E22B27">
        <w:rPr>
          <w:rFonts w:hint="cs"/>
          <w:rtl/>
        </w:rPr>
        <w:t xml:space="preserve">خدمات متصلة بها في أراضي ذلك العضو </w:t>
      </w:r>
      <w:r w:rsidRPr="00E22B27">
        <w:rPr>
          <w:rFonts w:hint="cs"/>
          <w:i/>
          <w:iCs/>
          <w:rtl/>
        </w:rPr>
        <w:t>(أ)</w:t>
      </w:r>
      <w:r w:rsidRPr="00E22B27">
        <w:rPr>
          <w:rFonts w:hint="cs"/>
          <w:rtl/>
        </w:rPr>
        <w:t xml:space="preserve"> إما لمدة لا تقل عن 10 سنوات قبل 15 أبريل 1994 </w:t>
      </w:r>
      <w:r w:rsidRPr="00E22B27">
        <w:rPr>
          <w:rFonts w:hint="cs"/>
          <w:i/>
          <w:iCs/>
          <w:rtl/>
        </w:rPr>
        <w:t>(ب)</w:t>
      </w:r>
      <w:r w:rsidR="00EB5A54">
        <w:rPr>
          <w:rFonts w:hint="eastAsia"/>
          <w:i/>
          <w:iCs/>
          <w:rtl/>
        </w:rPr>
        <w:t> </w:t>
      </w:r>
      <w:r w:rsidR="00EB5A54" w:rsidRPr="00E22B27">
        <w:rPr>
          <w:rFonts w:hint="cs"/>
          <w:rtl/>
        </w:rPr>
        <w:t>أو</w:t>
      </w:r>
      <w:r w:rsidR="00EB5A54" w:rsidRPr="00E22B27">
        <w:rPr>
          <w:rtl/>
        </w:rPr>
        <w:t> </w:t>
      </w:r>
      <w:r w:rsidRPr="00E22B27">
        <w:rPr>
          <w:rFonts w:hint="cs"/>
          <w:rtl/>
        </w:rPr>
        <w:t xml:space="preserve">بحسن نية قبل ذلك التاريخ. وبموجب اتفاق لشبونة المراجَع، يمكن تحقيق الأثر ذاته إذا أخطر الطرف المتعاقد المعني برفض وفقاً للمادة 15 نتيجة للإجراء الذي وضعه الطرف المتعاقد مثلاً بموجب </w:t>
      </w:r>
      <w:r w:rsidR="00450110" w:rsidRPr="00E22B27">
        <w:rPr>
          <w:rFonts w:hint="cs"/>
          <w:rtl/>
        </w:rPr>
        <w:t>المادة</w:t>
      </w:r>
      <w:r w:rsidR="00450110" w:rsidRPr="00E22B27">
        <w:rPr>
          <w:rtl/>
        </w:rPr>
        <w:t> </w:t>
      </w:r>
      <w:r w:rsidRPr="00E22B27">
        <w:rPr>
          <w:rFonts w:hint="cs"/>
          <w:rtl/>
        </w:rPr>
        <w:t xml:space="preserve">15(3) والذي يتيح للأطراف المعنية تقديم طلبات في هذا الشأن. ويمكن اللجوء إلى أي استخدام سابق كأساس للرفض، ولكن إذا لم يُستند إلى استخدام سابق غير الاستخدام المشار إليه في الملاحظة 1.17 كأساس للرفض، انطبقت أحكام </w:t>
      </w:r>
      <w:r w:rsidR="00EB5A54">
        <w:rPr>
          <w:rFonts w:hint="cs"/>
          <w:rtl/>
        </w:rPr>
        <w:t>الإنهاء</w:t>
      </w:r>
      <w:r w:rsidRPr="00E22B27">
        <w:rPr>
          <w:rFonts w:hint="cs"/>
          <w:rtl/>
        </w:rPr>
        <w:t xml:space="preserve"> التدريجي الواردة في </w:t>
      </w:r>
      <w:r w:rsidR="00450110" w:rsidRPr="00E22B27">
        <w:rPr>
          <w:rFonts w:hint="cs"/>
          <w:rtl/>
        </w:rPr>
        <w:t>المادة</w:t>
      </w:r>
      <w:r w:rsidR="00450110" w:rsidRPr="00E22B27">
        <w:rPr>
          <w:rtl/>
        </w:rPr>
        <w:t> </w:t>
      </w:r>
      <w:r w:rsidRPr="00E22B27">
        <w:rPr>
          <w:rFonts w:hint="cs"/>
          <w:rtl/>
        </w:rPr>
        <w:t xml:space="preserve">17(1). وستكون الإمكانية للطرف المتعاقد بأن يلجأ إلى هذا الاستخدام السابق كسبب لإبطال آثار التسجيل الدولي في أراضيه رهناً بنتائج المناقشات حول </w:t>
      </w:r>
      <w:r w:rsidR="00450110" w:rsidRPr="00E22B27">
        <w:rPr>
          <w:rFonts w:hint="cs"/>
          <w:rtl/>
        </w:rPr>
        <w:t>المادة</w:t>
      </w:r>
      <w:r w:rsidR="00450110" w:rsidRPr="00E22B27">
        <w:rPr>
          <w:rtl/>
        </w:rPr>
        <w:t> </w:t>
      </w:r>
      <w:r w:rsidRPr="00E22B27">
        <w:rPr>
          <w:rFonts w:hint="cs"/>
          <w:rtl/>
        </w:rPr>
        <w:t xml:space="preserve">19. وفي إطار الخيار ألف من </w:t>
      </w:r>
      <w:r w:rsidR="00450110" w:rsidRPr="00E22B27">
        <w:rPr>
          <w:rFonts w:hint="cs"/>
          <w:rtl/>
        </w:rPr>
        <w:t>المادة</w:t>
      </w:r>
      <w:r w:rsidR="00450110" w:rsidRPr="00E22B27">
        <w:rPr>
          <w:rtl/>
        </w:rPr>
        <w:t> </w:t>
      </w:r>
      <w:r w:rsidRPr="00E22B27">
        <w:rPr>
          <w:rFonts w:hint="cs"/>
          <w:rtl/>
        </w:rPr>
        <w:t xml:space="preserve">19(1)، قد يؤدي الشروع في إجراءات إبطال على أساس استخدام سابق، على النحو المشار إليه في </w:t>
      </w:r>
      <w:r w:rsidR="00450110" w:rsidRPr="00E22B27">
        <w:rPr>
          <w:rFonts w:hint="cs"/>
          <w:rtl/>
        </w:rPr>
        <w:t>المادة</w:t>
      </w:r>
      <w:r w:rsidR="00450110" w:rsidRPr="00E22B27">
        <w:rPr>
          <w:rtl/>
        </w:rPr>
        <w:t> </w:t>
      </w:r>
      <w:r w:rsidRPr="00E22B27">
        <w:rPr>
          <w:rFonts w:hint="cs"/>
          <w:rtl/>
        </w:rPr>
        <w:t xml:space="preserve">17(1)، غالباً إلى تعليق تطبيق أي فترة </w:t>
      </w:r>
      <w:r w:rsidR="00EB5A54">
        <w:rPr>
          <w:rFonts w:hint="cs"/>
          <w:rtl/>
        </w:rPr>
        <w:t>إنهاء</w:t>
      </w:r>
      <w:r w:rsidRPr="00E22B27">
        <w:rPr>
          <w:rFonts w:hint="cs"/>
          <w:rtl/>
        </w:rPr>
        <w:t xml:space="preserve"> تدريجي لمدة إجراءات الإبطال.</w:t>
      </w:r>
    </w:p>
    <w:p w:rsidR="00C847B2" w:rsidRPr="00E22B27" w:rsidRDefault="00C847B2" w:rsidP="009422A7">
      <w:pPr>
        <w:pStyle w:val="NormalParaAR"/>
        <w:rPr>
          <w:rtl/>
        </w:rPr>
      </w:pPr>
      <w:r w:rsidRPr="00E22B27">
        <w:rPr>
          <w:rFonts w:hint="cs"/>
          <w:rtl/>
        </w:rPr>
        <w:t>3.17</w:t>
      </w:r>
      <w:r w:rsidRPr="00E22B27">
        <w:rPr>
          <w:rFonts w:hint="cs"/>
          <w:rtl/>
        </w:rPr>
        <w:tab/>
        <w:t>كما اقتُرح خلال الدورة الرابعة للفريق العامل، حُددت مهل في اللائحة التنفيذية بحيث يتسنى لجمعية الاتحاد الخاص اعتماد التعديلات دون الحاجة إلى مؤتمر دبلوماسي الذي سيكون ضرورياً إذا حُددت المهل في اتفاق لشبونة المراجَع نفسه.</w:t>
      </w:r>
    </w:p>
    <w:p w:rsidR="00C847B2" w:rsidRPr="00E22B27" w:rsidRDefault="00C847B2" w:rsidP="009422A7">
      <w:pPr>
        <w:pStyle w:val="NormalParaAR"/>
        <w:rPr>
          <w:rtl/>
        </w:rPr>
      </w:pPr>
      <w:r w:rsidRPr="00E22B27">
        <w:rPr>
          <w:rFonts w:hint="cs"/>
          <w:rtl/>
        </w:rPr>
        <w:t>4.17</w:t>
      </w:r>
      <w:r w:rsidRPr="00E22B27">
        <w:rPr>
          <w:rFonts w:hint="cs"/>
          <w:rtl/>
        </w:rPr>
        <w:tab/>
        <w:t xml:space="preserve">يجوز أيضاً تطبيق مهلة محددة لإنهاء الاستخدام السابق في حال سُحب رفض </w:t>
      </w:r>
      <w:r w:rsidR="00450110" w:rsidRPr="00E22B27">
        <w:rPr>
          <w:rFonts w:hint="cs"/>
          <w:rtl/>
        </w:rPr>
        <w:t>أو</w:t>
      </w:r>
      <w:r w:rsidR="00450110" w:rsidRPr="00E22B27">
        <w:rPr>
          <w:rtl/>
        </w:rPr>
        <w:t> </w:t>
      </w:r>
      <w:r w:rsidRPr="00E22B27">
        <w:rPr>
          <w:rFonts w:hint="cs"/>
          <w:rtl/>
        </w:rPr>
        <w:t>أُخطر بإعلان منح حماية بعد رفض.</w:t>
      </w:r>
    </w:p>
    <w:p w:rsidR="00C847B2" w:rsidRPr="00E22B27" w:rsidRDefault="00C847B2" w:rsidP="009422A7">
      <w:pPr>
        <w:pStyle w:val="NormalParaAR"/>
        <w:rPr>
          <w:rtl/>
        </w:rPr>
      </w:pPr>
      <w:r w:rsidRPr="00E22B27">
        <w:rPr>
          <w:rFonts w:hint="cs"/>
          <w:rtl/>
        </w:rPr>
        <w:t>5.17</w:t>
      </w:r>
      <w:r w:rsidRPr="00E22B27">
        <w:rPr>
          <w:rFonts w:hint="cs"/>
          <w:rtl/>
        </w:rPr>
        <w:tab/>
        <w:t xml:space="preserve">نظراً إلى الضمانات الواردة في </w:t>
      </w:r>
      <w:r w:rsidR="00450110" w:rsidRPr="00E22B27">
        <w:rPr>
          <w:rFonts w:hint="cs"/>
          <w:rtl/>
        </w:rPr>
        <w:t>المادة</w:t>
      </w:r>
      <w:r w:rsidR="00450110" w:rsidRPr="00E22B27">
        <w:rPr>
          <w:rtl/>
        </w:rPr>
        <w:t> </w:t>
      </w:r>
      <w:r w:rsidRPr="00E22B27">
        <w:rPr>
          <w:rFonts w:hint="cs"/>
          <w:rtl/>
        </w:rPr>
        <w:t xml:space="preserve">13 فيما يتعلق بالحقوق السابقة التي تتناولها هذه المادة، لن يتضمن اتفاق لشبونة المراجَع فترات إنهاء تدريجي للاستخدامات السابقة بموجب هذه الحقوق إلا بقدر ما تكون هذه الحقوق السابقة تتضمن تسمية منشأ مسجلة </w:t>
      </w:r>
      <w:r w:rsidR="00450110" w:rsidRPr="00E22B27">
        <w:rPr>
          <w:rFonts w:hint="cs"/>
          <w:rtl/>
        </w:rPr>
        <w:t>أو</w:t>
      </w:r>
      <w:r w:rsidR="00450110" w:rsidRPr="00E22B27">
        <w:rPr>
          <w:rtl/>
        </w:rPr>
        <w:t> </w:t>
      </w:r>
      <w:r w:rsidRPr="00E22B27">
        <w:rPr>
          <w:rFonts w:hint="cs"/>
          <w:rtl/>
        </w:rPr>
        <w:t xml:space="preserve">بياناً جغرافياً مسجلاً كمسمى </w:t>
      </w:r>
      <w:r w:rsidR="00450110" w:rsidRPr="00E22B27">
        <w:rPr>
          <w:rFonts w:hint="cs"/>
          <w:rtl/>
        </w:rPr>
        <w:t>أو</w:t>
      </w:r>
      <w:r w:rsidR="00450110" w:rsidRPr="00E22B27">
        <w:rPr>
          <w:rtl/>
        </w:rPr>
        <w:t> </w:t>
      </w:r>
      <w:r w:rsidRPr="00E22B27">
        <w:rPr>
          <w:rFonts w:hint="cs"/>
          <w:rtl/>
        </w:rPr>
        <w:t xml:space="preserve">بيان عام، وإذا لم تمتد الحقوق السابقة بوضوح إلى هذا المسمى </w:t>
      </w:r>
      <w:r w:rsidR="00450110" w:rsidRPr="00E22B27">
        <w:rPr>
          <w:rFonts w:hint="cs"/>
          <w:rtl/>
        </w:rPr>
        <w:t>أو</w:t>
      </w:r>
      <w:r w:rsidR="00450110" w:rsidRPr="00E22B27">
        <w:rPr>
          <w:rtl/>
        </w:rPr>
        <w:t> </w:t>
      </w:r>
      <w:r w:rsidRPr="00E22B27">
        <w:rPr>
          <w:rFonts w:hint="cs"/>
          <w:rtl/>
        </w:rPr>
        <w:t xml:space="preserve">البيان على النحو المحدد في حاشية </w:t>
      </w:r>
      <w:r w:rsidR="00450110" w:rsidRPr="00E22B27">
        <w:rPr>
          <w:rFonts w:hint="cs"/>
          <w:rtl/>
        </w:rPr>
        <w:t>المادة</w:t>
      </w:r>
      <w:r w:rsidR="00450110" w:rsidRPr="00E22B27">
        <w:rPr>
          <w:rtl/>
        </w:rPr>
        <w:t> </w:t>
      </w:r>
      <w:r w:rsidRPr="00E22B27">
        <w:rPr>
          <w:rFonts w:hint="cs"/>
          <w:rtl/>
        </w:rPr>
        <w:t xml:space="preserve">17. والقوسين المربعين مناظران للأقواس المربعة في </w:t>
      </w:r>
      <w:r w:rsidR="00450110" w:rsidRPr="00E22B27">
        <w:rPr>
          <w:rFonts w:hint="cs"/>
          <w:rtl/>
        </w:rPr>
        <w:t>المادة</w:t>
      </w:r>
      <w:r w:rsidR="00450110" w:rsidRPr="00E22B27">
        <w:rPr>
          <w:rtl/>
        </w:rPr>
        <w:t> </w:t>
      </w:r>
      <w:r w:rsidRPr="00E22B27">
        <w:rPr>
          <w:rFonts w:hint="cs"/>
          <w:rtl/>
        </w:rPr>
        <w:t>13(2) إلى (4).</w:t>
      </w:r>
    </w:p>
    <w:p w:rsidR="00C847B2" w:rsidRPr="00E22B27" w:rsidRDefault="00C847B2" w:rsidP="009422A7">
      <w:pPr>
        <w:pStyle w:val="NormalParaAR"/>
        <w:rPr>
          <w:rtl/>
        </w:rPr>
      </w:pPr>
      <w:r w:rsidRPr="00E22B27">
        <w:rPr>
          <w:rFonts w:hint="cs"/>
          <w:rtl/>
        </w:rPr>
        <w:t>6.17</w:t>
      </w:r>
      <w:r w:rsidRPr="00E22B27">
        <w:rPr>
          <w:rFonts w:hint="cs"/>
          <w:rtl/>
        </w:rPr>
        <w:tab/>
        <w:t xml:space="preserve">توضح </w:t>
      </w:r>
      <w:r w:rsidR="00450110" w:rsidRPr="00E22B27">
        <w:rPr>
          <w:rFonts w:hint="cs"/>
          <w:rtl/>
        </w:rPr>
        <w:t>المادة</w:t>
      </w:r>
      <w:r w:rsidR="00450110" w:rsidRPr="00E22B27">
        <w:rPr>
          <w:rtl/>
        </w:rPr>
        <w:t> </w:t>
      </w:r>
      <w:r w:rsidRPr="00E22B27">
        <w:rPr>
          <w:rFonts w:hint="cs"/>
          <w:rtl/>
        </w:rPr>
        <w:t xml:space="preserve">17(2) أن سحب رفض مستند إلى استخدام بموجب علامة تجارية سابقة </w:t>
      </w:r>
      <w:r w:rsidR="00450110" w:rsidRPr="00E22B27">
        <w:rPr>
          <w:rFonts w:hint="cs"/>
          <w:rtl/>
        </w:rPr>
        <w:t>أو</w:t>
      </w:r>
      <w:r w:rsidR="00450110" w:rsidRPr="00E22B27">
        <w:rPr>
          <w:rtl/>
        </w:rPr>
        <w:t> </w:t>
      </w:r>
      <w:r w:rsidRPr="00E22B27">
        <w:rPr>
          <w:rFonts w:hint="cs"/>
          <w:rtl/>
        </w:rPr>
        <w:t xml:space="preserve">حق آخر تتناوله </w:t>
      </w:r>
      <w:r w:rsidR="00450110" w:rsidRPr="00E22B27">
        <w:rPr>
          <w:rFonts w:hint="cs"/>
          <w:rtl/>
        </w:rPr>
        <w:t>المادة</w:t>
      </w:r>
      <w:r w:rsidR="00450110" w:rsidRPr="00E22B27">
        <w:rPr>
          <w:rtl/>
        </w:rPr>
        <w:t> </w:t>
      </w:r>
      <w:r w:rsidRPr="00E22B27">
        <w:rPr>
          <w:rFonts w:hint="cs"/>
          <w:rtl/>
        </w:rPr>
        <w:t xml:space="preserve">13 لا يعني أن </w:t>
      </w:r>
      <w:r w:rsidR="00450110" w:rsidRPr="00E22B27">
        <w:rPr>
          <w:rFonts w:hint="cs"/>
          <w:rtl/>
        </w:rPr>
        <w:t>المادة</w:t>
      </w:r>
      <w:r w:rsidR="00450110" w:rsidRPr="00E22B27">
        <w:rPr>
          <w:rtl/>
        </w:rPr>
        <w:t> </w:t>
      </w:r>
      <w:r w:rsidRPr="00E22B27">
        <w:rPr>
          <w:rFonts w:hint="cs"/>
          <w:rtl/>
        </w:rPr>
        <w:t xml:space="preserve">13 لن تطبق. وتوضح </w:t>
      </w:r>
      <w:r w:rsidR="00450110" w:rsidRPr="00E22B27">
        <w:rPr>
          <w:rFonts w:hint="cs"/>
          <w:rtl/>
        </w:rPr>
        <w:t>المادة</w:t>
      </w:r>
      <w:r w:rsidR="00450110" w:rsidRPr="00E22B27">
        <w:rPr>
          <w:rtl/>
        </w:rPr>
        <w:t> </w:t>
      </w:r>
      <w:r w:rsidRPr="00E22B27">
        <w:rPr>
          <w:rFonts w:hint="cs"/>
          <w:rtl/>
        </w:rPr>
        <w:t xml:space="preserve">في الوقت ذاته أن سحب هذا الرفض بسبب إلغاء العلامة التجارية السابقة </w:t>
      </w:r>
      <w:r w:rsidR="00450110" w:rsidRPr="00E22B27">
        <w:rPr>
          <w:rFonts w:hint="cs"/>
          <w:rtl/>
        </w:rPr>
        <w:t>أو</w:t>
      </w:r>
      <w:r w:rsidR="00450110" w:rsidRPr="00E22B27">
        <w:rPr>
          <w:rtl/>
        </w:rPr>
        <w:t> </w:t>
      </w:r>
      <w:r w:rsidRPr="00E22B27">
        <w:rPr>
          <w:rFonts w:hint="cs"/>
          <w:rtl/>
        </w:rPr>
        <w:t xml:space="preserve">أي حق آخر سابق </w:t>
      </w:r>
      <w:r w:rsidR="00450110" w:rsidRPr="00E22B27">
        <w:rPr>
          <w:rFonts w:hint="cs"/>
          <w:rtl/>
        </w:rPr>
        <w:t>أو</w:t>
      </w:r>
      <w:r w:rsidR="00450110" w:rsidRPr="00E22B27">
        <w:rPr>
          <w:rtl/>
        </w:rPr>
        <w:t> </w:t>
      </w:r>
      <w:r w:rsidRPr="00E22B27">
        <w:rPr>
          <w:rFonts w:hint="cs"/>
          <w:rtl/>
        </w:rPr>
        <w:t xml:space="preserve">سحبهما </w:t>
      </w:r>
      <w:r w:rsidR="00450110" w:rsidRPr="00E22B27">
        <w:rPr>
          <w:rFonts w:hint="cs"/>
          <w:rtl/>
        </w:rPr>
        <w:t>أو</w:t>
      </w:r>
      <w:r w:rsidR="00450110" w:rsidRPr="00E22B27">
        <w:rPr>
          <w:rtl/>
        </w:rPr>
        <w:t> </w:t>
      </w:r>
      <w:r w:rsidRPr="00E22B27">
        <w:rPr>
          <w:rFonts w:hint="cs"/>
          <w:rtl/>
        </w:rPr>
        <w:t xml:space="preserve">عدم تجديدهما </w:t>
      </w:r>
      <w:r w:rsidR="00450110" w:rsidRPr="00E22B27">
        <w:rPr>
          <w:rFonts w:hint="cs"/>
          <w:rtl/>
        </w:rPr>
        <w:t>أو</w:t>
      </w:r>
      <w:r w:rsidR="00450110" w:rsidRPr="00E22B27">
        <w:rPr>
          <w:rtl/>
        </w:rPr>
        <w:t> </w:t>
      </w:r>
      <w:r w:rsidRPr="00E22B27">
        <w:rPr>
          <w:rFonts w:hint="cs"/>
          <w:rtl/>
        </w:rPr>
        <w:t xml:space="preserve">إبطالهما يجعل </w:t>
      </w:r>
      <w:r w:rsidR="00450110" w:rsidRPr="00E22B27">
        <w:rPr>
          <w:rFonts w:hint="cs"/>
          <w:rtl/>
        </w:rPr>
        <w:t>المادة</w:t>
      </w:r>
      <w:r w:rsidR="00450110" w:rsidRPr="00E22B27">
        <w:rPr>
          <w:rtl/>
        </w:rPr>
        <w:t> </w:t>
      </w:r>
      <w:r w:rsidRPr="00E22B27">
        <w:rPr>
          <w:rFonts w:hint="cs"/>
          <w:rtl/>
        </w:rPr>
        <w:t xml:space="preserve">13 غير منطبقة. ولا تنطبق </w:t>
      </w:r>
      <w:r w:rsidR="00450110" w:rsidRPr="00E22B27">
        <w:rPr>
          <w:rFonts w:hint="cs"/>
          <w:rtl/>
        </w:rPr>
        <w:t>المادة</w:t>
      </w:r>
      <w:r w:rsidR="00450110" w:rsidRPr="00E22B27">
        <w:rPr>
          <w:rtl/>
        </w:rPr>
        <w:t> </w:t>
      </w:r>
      <w:r w:rsidRPr="00E22B27">
        <w:rPr>
          <w:rFonts w:hint="cs"/>
          <w:rtl/>
        </w:rPr>
        <w:t xml:space="preserve">17(2) إلا بالنسبة إلى حالات التزامن المسموح بها بموجب قانون طرف متعاقد. فإذا لم يسمح طرف متعاقد بالتزامن، يمكنه إصدار إعلان رفض بموجب </w:t>
      </w:r>
      <w:r w:rsidR="00450110" w:rsidRPr="00E22B27">
        <w:rPr>
          <w:rFonts w:hint="cs"/>
          <w:rtl/>
        </w:rPr>
        <w:t>المادة</w:t>
      </w:r>
      <w:r w:rsidR="00450110" w:rsidRPr="00E22B27">
        <w:rPr>
          <w:rtl/>
        </w:rPr>
        <w:t> </w:t>
      </w:r>
      <w:r w:rsidRPr="00E22B27">
        <w:rPr>
          <w:rFonts w:hint="cs"/>
          <w:rtl/>
        </w:rPr>
        <w:t xml:space="preserve">15 </w:t>
      </w:r>
      <w:r w:rsidR="00450110" w:rsidRPr="00E22B27">
        <w:rPr>
          <w:rFonts w:hint="cs"/>
          <w:rtl/>
        </w:rPr>
        <w:t>أو</w:t>
      </w:r>
      <w:r w:rsidR="00450110" w:rsidRPr="00E22B27">
        <w:rPr>
          <w:rtl/>
        </w:rPr>
        <w:t> </w:t>
      </w:r>
      <w:r w:rsidRPr="00E22B27">
        <w:rPr>
          <w:rFonts w:hint="cs"/>
          <w:rtl/>
        </w:rPr>
        <w:t xml:space="preserve">إبطال آثار التسجيل الدولي في أراضيه بموجب </w:t>
      </w:r>
      <w:r w:rsidR="00450110" w:rsidRPr="00E22B27">
        <w:rPr>
          <w:rFonts w:hint="cs"/>
          <w:rtl/>
        </w:rPr>
        <w:t>المادة</w:t>
      </w:r>
      <w:r w:rsidR="00450110" w:rsidRPr="00E22B27">
        <w:rPr>
          <w:rtl/>
        </w:rPr>
        <w:t> </w:t>
      </w:r>
      <w:r w:rsidRPr="00E22B27">
        <w:rPr>
          <w:rFonts w:hint="cs"/>
          <w:rtl/>
        </w:rPr>
        <w:t xml:space="preserve">19. وفي طرف متعاقد يتيح التزامن، تُنشأ حالة تزامن عقب سحب رفض إلا إذا كان السحب نتيجة لإلغاء العلامة التجارية السابقة </w:t>
      </w:r>
      <w:r w:rsidR="00450110" w:rsidRPr="00E22B27">
        <w:rPr>
          <w:rFonts w:hint="cs"/>
          <w:rtl/>
        </w:rPr>
        <w:t>أو</w:t>
      </w:r>
      <w:r w:rsidR="00450110" w:rsidRPr="00E22B27">
        <w:rPr>
          <w:rtl/>
        </w:rPr>
        <w:t> </w:t>
      </w:r>
      <w:r w:rsidRPr="00E22B27">
        <w:rPr>
          <w:rFonts w:hint="cs"/>
          <w:rtl/>
        </w:rPr>
        <w:t xml:space="preserve">أي حق آخر مشار إليه في </w:t>
      </w:r>
      <w:r w:rsidR="00450110" w:rsidRPr="00E22B27">
        <w:rPr>
          <w:rFonts w:hint="cs"/>
          <w:rtl/>
        </w:rPr>
        <w:t>المادة</w:t>
      </w:r>
      <w:r w:rsidR="00450110" w:rsidRPr="00E22B27">
        <w:rPr>
          <w:rtl/>
        </w:rPr>
        <w:t> </w:t>
      </w:r>
      <w:r w:rsidRPr="00E22B27">
        <w:rPr>
          <w:rFonts w:hint="cs"/>
          <w:rtl/>
        </w:rPr>
        <w:t xml:space="preserve">13 </w:t>
      </w:r>
      <w:r w:rsidR="00450110" w:rsidRPr="00E22B27">
        <w:rPr>
          <w:rFonts w:hint="cs"/>
          <w:rtl/>
        </w:rPr>
        <w:t>أو</w:t>
      </w:r>
      <w:r w:rsidR="00450110" w:rsidRPr="00E22B27">
        <w:rPr>
          <w:rtl/>
        </w:rPr>
        <w:t> </w:t>
      </w:r>
      <w:r w:rsidRPr="00E22B27">
        <w:rPr>
          <w:rFonts w:hint="cs"/>
          <w:rtl/>
        </w:rPr>
        <w:t xml:space="preserve">سحبهما </w:t>
      </w:r>
      <w:r w:rsidR="00450110" w:rsidRPr="00E22B27">
        <w:rPr>
          <w:rFonts w:hint="cs"/>
          <w:rtl/>
        </w:rPr>
        <w:t>أو</w:t>
      </w:r>
      <w:r w:rsidR="00450110" w:rsidRPr="00E22B27">
        <w:rPr>
          <w:rtl/>
        </w:rPr>
        <w:t> </w:t>
      </w:r>
      <w:r w:rsidRPr="00E22B27">
        <w:rPr>
          <w:rFonts w:hint="cs"/>
          <w:rtl/>
        </w:rPr>
        <w:t xml:space="preserve">عدم تجديدهما </w:t>
      </w:r>
      <w:r w:rsidR="00450110" w:rsidRPr="00E22B27">
        <w:rPr>
          <w:rFonts w:hint="cs"/>
          <w:rtl/>
        </w:rPr>
        <w:t>أو</w:t>
      </w:r>
      <w:r w:rsidR="00450110" w:rsidRPr="00E22B27">
        <w:rPr>
          <w:rtl/>
        </w:rPr>
        <w:t> </w:t>
      </w:r>
      <w:r w:rsidRPr="00E22B27">
        <w:rPr>
          <w:rFonts w:hint="cs"/>
          <w:rtl/>
        </w:rPr>
        <w:t>إبطالهما.</w:t>
      </w:r>
    </w:p>
    <w:p w:rsidR="00187464" w:rsidRPr="00E22B27" w:rsidRDefault="00187464" w:rsidP="009422A7">
      <w:pPr>
        <w:pStyle w:val="Heading1AR"/>
        <w:spacing w:before="0" w:after="360" w:line="360" w:lineRule="exact"/>
        <w:rPr>
          <w:rtl/>
        </w:rPr>
      </w:pPr>
      <w:r w:rsidRPr="00E22B27">
        <w:rPr>
          <w:rFonts w:hint="cs"/>
          <w:rtl/>
        </w:rPr>
        <w:t>ملاحظات على</w:t>
      </w:r>
      <w:r w:rsidR="007C2359" w:rsidRPr="00E22B27">
        <w:rPr>
          <w:rFonts w:hint="cs"/>
          <w:rtl/>
        </w:rPr>
        <w:t xml:space="preserve"> </w:t>
      </w:r>
      <w:r w:rsidR="00450110" w:rsidRPr="00E22B27">
        <w:rPr>
          <w:rFonts w:hint="cs"/>
          <w:rtl/>
        </w:rPr>
        <w:t>المادة</w:t>
      </w:r>
      <w:r w:rsidR="00450110" w:rsidRPr="00E22B27">
        <w:rPr>
          <w:rtl/>
        </w:rPr>
        <w:t> </w:t>
      </w:r>
      <w:r w:rsidR="003C1838" w:rsidRPr="00E22B27">
        <w:rPr>
          <w:rFonts w:hint="cs"/>
          <w:rtl/>
        </w:rPr>
        <w:t>18</w:t>
      </w:r>
      <w:r w:rsidRPr="00E22B27">
        <w:rPr>
          <w:rFonts w:hint="cs"/>
          <w:rtl/>
        </w:rPr>
        <w:t>:</w:t>
      </w:r>
      <w:r w:rsidRPr="00E22B27">
        <w:rPr>
          <w:rFonts w:hint="cs"/>
          <w:rtl/>
        </w:rPr>
        <w:tab/>
        <w:t>إخطار منح الحماية</w:t>
      </w:r>
    </w:p>
    <w:p w:rsidR="00E6747F" w:rsidRPr="00E22B27" w:rsidRDefault="009C4A44" w:rsidP="00EB5A54">
      <w:pPr>
        <w:pStyle w:val="NormalParaAR"/>
        <w:rPr>
          <w:rtl/>
        </w:rPr>
      </w:pPr>
      <w:r w:rsidRPr="00E22B27">
        <w:rPr>
          <w:rFonts w:hint="cs"/>
          <w:rtl/>
        </w:rPr>
        <w:t>1.18</w:t>
      </w:r>
      <w:r w:rsidRPr="00E22B27">
        <w:rPr>
          <w:rFonts w:hint="cs"/>
          <w:rtl/>
        </w:rPr>
        <w:tab/>
        <w:t xml:space="preserve">تتعلق </w:t>
      </w:r>
      <w:r w:rsidR="00450110" w:rsidRPr="00E22B27">
        <w:rPr>
          <w:rFonts w:hint="cs"/>
          <w:rtl/>
        </w:rPr>
        <w:t>المادة</w:t>
      </w:r>
      <w:r w:rsidR="00450110" w:rsidRPr="00E22B27">
        <w:rPr>
          <w:rtl/>
        </w:rPr>
        <w:t> </w:t>
      </w:r>
      <w:r w:rsidRPr="00E22B27">
        <w:rPr>
          <w:rFonts w:hint="cs"/>
          <w:rtl/>
        </w:rPr>
        <w:t xml:space="preserve">18 بإخطار منح الحماية فيما يخص تسمية منشأ مسجلة </w:t>
      </w:r>
      <w:r w:rsidR="00450110" w:rsidRPr="00E22B27">
        <w:rPr>
          <w:rFonts w:hint="cs"/>
          <w:rtl/>
        </w:rPr>
        <w:t>أو</w:t>
      </w:r>
      <w:r w:rsidR="00450110" w:rsidRPr="00E22B27">
        <w:rPr>
          <w:rtl/>
        </w:rPr>
        <w:t> </w:t>
      </w:r>
      <w:r w:rsidRPr="00E22B27">
        <w:rPr>
          <w:rFonts w:hint="cs"/>
          <w:rtl/>
        </w:rPr>
        <w:t xml:space="preserve">بيان جغرافي مسجل ثم نشر المكتب الدولي له. ويمكن تقديم هذا الإخطار خلال فترة سنة واحدة من استلام الإخطار بالتسجيل الدولي </w:t>
      </w:r>
      <w:r w:rsidRPr="00E22B27">
        <w:rPr>
          <w:rtl/>
        </w:rPr>
        <w:t>–</w:t>
      </w:r>
      <w:r w:rsidRPr="00E22B27">
        <w:rPr>
          <w:rFonts w:hint="cs"/>
          <w:rtl/>
        </w:rPr>
        <w:t xml:space="preserve"> إن اتضح خلال تلك الفترة عدم صدور أي رفض</w:t>
      </w:r>
      <w:r w:rsidR="0077628C">
        <w:rPr>
          <w:rFonts w:hint="cs"/>
          <w:rtl/>
        </w:rPr>
        <w:noBreakHyphen/>
      </w:r>
      <w:r w:rsidRPr="00E22B27">
        <w:rPr>
          <w:rFonts w:hint="cs"/>
          <w:rtl/>
        </w:rPr>
        <w:t xml:space="preserve"> </w:t>
      </w:r>
      <w:r w:rsidR="00450110" w:rsidRPr="00E22B27">
        <w:rPr>
          <w:rFonts w:hint="cs"/>
          <w:rtl/>
        </w:rPr>
        <w:t>أو</w:t>
      </w:r>
      <w:r w:rsidR="00450110" w:rsidRPr="00E22B27">
        <w:rPr>
          <w:rtl/>
        </w:rPr>
        <w:t> </w:t>
      </w:r>
      <w:r w:rsidRPr="00E22B27">
        <w:rPr>
          <w:rFonts w:hint="cs"/>
          <w:rtl/>
        </w:rPr>
        <w:t xml:space="preserve">عقب رفض؛ إذا اتُخذ قرار بسحب الرفض يمكن الإخطار بإعلان منح حماية عوضاً عن سحب </w:t>
      </w:r>
      <w:r w:rsidRPr="00E22B27">
        <w:rPr>
          <w:rFonts w:hint="cs"/>
          <w:rtl/>
        </w:rPr>
        <w:lastRenderedPageBreak/>
        <w:t>الرفض. والإجراءات محددة في مشروع اللائحة استناداً إلى القاعدة 11</w:t>
      </w:r>
      <w:r w:rsidR="00EB5A54" w:rsidRPr="00EB5A54">
        <w:rPr>
          <w:rFonts w:hint="cs"/>
          <w:vertAlign w:val="superscript"/>
          <w:rtl/>
        </w:rPr>
        <w:t>(ثانياً)</w:t>
      </w:r>
      <w:r w:rsidRPr="00E22B27">
        <w:rPr>
          <w:rFonts w:hint="cs"/>
          <w:rtl/>
        </w:rPr>
        <w:t xml:space="preserve"> من اللائحة التنفيذية لاتفاق لشبونة الحالي التي أُدرجت عقب تعديل للائحة التنفيذية دخل حيز النفاذ في الأول من يناير 2010.</w:t>
      </w:r>
    </w:p>
    <w:p w:rsidR="00187464" w:rsidRPr="00E22B27" w:rsidRDefault="00187464" w:rsidP="009422A7">
      <w:pPr>
        <w:pStyle w:val="Heading1AR"/>
        <w:spacing w:before="0" w:after="360" w:line="360" w:lineRule="exact"/>
        <w:rPr>
          <w:rtl/>
        </w:rPr>
      </w:pPr>
      <w:r w:rsidRPr="00E22B27">
        <w:rPr>
          <w:rFonts w:hint="cs"/>
          <w:rtl/>
        </w:rPr>
        <w:t>ملاحظات على</w:t>
      </w:r>
      <w:r w:rsidR="007C2359" w:rsidRPr="00E22B27">
        <w:rPr>
          <w:rFonts w:hint="cs"/>
          <w:rtl/>
        </w:rPr>
        <w:t xml:space="preserve"> </w:t>
      </w:r>
      <w:r w:rsidR="00450110" w:rsidRPr="00E22B27">
        <w:rPr>
          <w:rFonts w:hint="cs"/>
          <w:rtl/>
        </w:rPr>
        <w:t>المادة</w:t>
      </w:r>
      <w:r w:rsidR="00450110" w:rsidRPr="00E22B27">
        <w:rPr>
          <w:rtl/>
        </w:rPr>
        <w:t> </w:t>
      </w:r>
      <w:r w:rsidR="003C1838" w:rsidRPr="00E22B27">
        <w:rPr>
          <w:rFonts w:hint="cs"/>
          <w:rtl/>
        </w:rPr>
        <w:t>19</w:t>
      </w:r>
      <w:r w:rsidRPr="00E22B27">
        <w:rPr>
          <w:rFonts w:hint="cs"/>
          <w:rtl/>
        </w:rPr>
        <w:t>:</w:t>
      </w:r>
      <w:r w:rsidRPr="00E22B27">
        <w:rPr>
          <w:rFonts w:hint="cs"/>
          <w:rtl/>
        </w:rPr>
        <w:tab/>
        <w:t>الإبطال</w:t>
      </w:r>
    </w:p>
    <w:p w:rsidR="00594B95" w:rsidRPr="00E22B27" w:rsidRDefault="00594B95" w:rsidP="00EB5A54">
      <w:pPr>
        <w:pStyle w:val="NormalParaAR"/>
        <w:rPr>
          <w:rtl/>
        </w:rPr>
      </w:pPr>
      <w:r w:rsidRPr="00E22B27">
        <w:rPr>
          <w:rFonts w:hint="cs"/>
          <w:rtl/>
        </w:rPr>
        <w:t>1.19</w:t>
      </w:r>
      <w:r w:rsidRPr="00E22B27">
        <w:rPr>
          <w:rFonts w:hint="cs"/>
          <w:rtl/>
        </w:rPr>
        <w:tab/>
        <w:t xml:space="preserve">تتناول </w:t>
      </w:r>
      <w:r w:rsidR="00450110" w:rsidRPr="00E22B27">
        <w:rPr>
          <w:rFonts w:hint="cs"/>
          <w:rtl/>
        </w:rPr>
        <w:t>المادة</w:t>
      </w:r>
      <w:r w:rsidR="00450110" w:rsidRPr="00E22B27">
        <w:rPr>
          <w:rtl/>
        </w:rPr>
        <w:t> </w:t>
      </w:r>
      <w:r w:rsidRPr="00E22B27">
        <w:rPr>
          <w:rFonts w:hint="cs"/>
          <w:rtl/>
        </w:rPr>
        <w:t xml:space="preserve">19 إمكانية إبطال الآثار المترتبة على تسجيل دولي في طرف متعاقد بعينه. وفي ضوء المناقشة في الدورتين الثامنة والتاسعة للفريق العامل، تقدم </w:t>
      </w:r>
      <w:r w:rsidR="00450110" w:rsidRPr="00E22B27">
        <w:rPr>
          <w:rFonts w:hint="cs"/>
          <w:rtl/>
        </w:rPr>
        <w:t>المادة</w:t>
      </w:r>
      <w:r w:rsidR="00450110" w:rsidRPr="00E22B27">
        <w:rPr>
          <w:rtl/>
        </w:rPr>
        <w:t> </w:t>
      </w:r>
      <w:r w:rsidRPr="00E22B27">
        <w:rPr>
          <w:rFonts w:hint="cs"/>
          <w:rtl/>
        </w:rPr>
        <w:t>19(1) خيارين. ففي إطار الخيار ألف، لا تنطبق أية قيود</w:t>
      </w:r>
      <w:r w:rsidR="00EB5A54">
        <w:rPr>
          <w:rFonts w:hint="cs"/>
          <w:rtl/>
        </w:rPr>
        <w:t xml:space="preserve"> على</w:t>
      </w:r>
      <w:r w:rsidRPr="00E22B27">
        <w:rPr>
          <w:rFonts w:hint="cs"/>
          <w:rtl/>
        </w:rPr>
        <w:t xml:space="preserve"> الأسباب التي قد تستخدم أساساً لإعلان الإبطال على أساس حق سابق على النحو المشار إليه في </w:t>
      </w:r>
      <w:r w:rsidR="00450110" w:rsidRPr="00E22B27">
        <w:rPr>
          <w:rFonts w:hint="cs"/>
          <w:rtl/>
        </w:rPr>
        <w:t>المادة</w:t>
      </w:r>
      <w:r w:rsidR="00450110" w:rsidRPr="00E22B27">
        <w:rPr>
          <w:rtl/>
        </w:rPr>
        <w:t> </w:t>
      </w:r>
      <w:r w:rsidRPr="00E22B27">
        <w:rPr>
          <w:rFonts w:hint="cs"/>
          <w:rtl/>
        </w:rPr>
        <w:t xml:space="preserve">13. ومن هذا المنطلق ترد في الحاشية قائمة غير حصرية </w:t>
      </w:r>
      <w:r w:rsidR="00EB5A54">
        <w:rPr>
          <w:rFonts w:hint="cs"/>
          <w:rtl/>
        </w:rPr>
        <w:t>ب</w:t>
      </w:r>
      <w:r w:rsidRPr="00E22B27">
        <w:rPr>
          <w:rFonts w:hint="cs"/>
          <w:rtl/>
        </w:rPr>
        <w:t>أسباب الإ</w:t>
      </w:r>
      <w:r w:rsidR="00EB5A54">
        <w:rPr>
          <w:rFonts w:hint="cs"/>
          <w:rtl/>
        </w:rPr>
        <w:t>بطال المحتملة. أما الخيار باء ف</w:t>
      </w:r>
      <w:r w:rsidRPr="00E22B27">
        <w:rPr>
          <w:rFonts w:hint="cs"/>
          <w:rtl/>
        </w:rPr>
        <w:t xml:space="preserve">يحدد أسباب الإبطال بالوضعين التاليين: (1) وجود حق سابق وفقاً لما ورد في </w:t>
      </w:r>
      <w:r w:rsidR="00450110" w:rsidRPr="00E22B27">
        <w:rPr>
          <w:rFonts w:hint="cs"/>
          <w:rtl/>
        </w:rPr>
        <w:t>المادة</w:t>
      </w:r>
      <w:r w:rsidR="00450110" w:rsidRPr="00E22B27">
        <w:rPr>
          <w:rtl/>
        </w:rPr>
        <w:t> </w:t>
      </w:r>
      <w:r w:rsidRPr="00E22B27">
        <w:rPr>
          <w:rFonts w:hint="cs"/>
          <w:rtl/>
        </w:rPr>
        <w:t xml:space="preserve">13؛ (2) وعدم الامتثال للتعريف. وفي حالة انقضاء مدة الحماية في طرف المنشأ المتعاقد، تلزم </w:t>
      </w:r>
      <w:r w:rsidR="00450110" w:rsidRPr="00E22B27">
        <w:rPr>
          <w:rFonts w:hint="cs"/>
          <w:rtl/>
        </w:rPr>
        <w:t>المادة</w:t>
      </w:r>
      <w:r w:rsidR="00450110" w:rsidRPr="00E22B27">
        <w:rPr>
          <w:rtl/>
        </w:rPr>
        <w:t> </w:t>
      </w:r>
      <w:r w:rsidRPr="00E22B27">
        <w:rPr>
          <w:rFonts w:hint="cs"/>
          <w:rtl/>
        </w:rPr>
        <w:t>8(2)(ب) طرف المنشأ المتعاقد بطلب إلغاء التسجيل الدولي.</w:t>
      </w:r>
    </w:p>
    <w:p w:rsidR="00594B95" w:rsidRPr="00E22B27" w:rsidRDefault="00594B95" w:rsidP="00EB5A54">
      <w:pPr>
        <w:pStyle w:val="NormalParaAR"/>
        <w:rPr>
          <w:rtl/>
        </w:rPr>
      </w:pPr>
      <w:r w:rsidRPr="00E22B27">
        <w:rPr>
          <w:rFonts w:hint="cs"/>
          <w:rtl/>
        </w:rPr>
        <w:t>2.19</w:t>
      </w:r>
      <w:r w:rsidRPr="00E22B27">
        <w:rPr>
          <w:rFonts w:hint="cs"/>
          <w:rtl/>
        </w:rPr>
        <w:tab/>
      </w:r>
      <w:r w:rsidR="00450110" w:rsidRPr="00E22B27">
        <w:rPr>
          <w:rFonts w:hint="cs"/>
          <w:rtl/>
        </w:rPr>
        <w:t>المادة</w:t>
      </w:r>
      <w:r w:rsidR="00450110" w:rsidRPr="00E22B27">
        <w:rPr>
          <w:rtl/>
        </w:rPr>
        <w:t> </w:t>
      </w:r>
      <w:r w:rsidRPr="00E22B27">
        <w:rPr>
          <w:rFonts w:hint="cs"/>
          <w:rtl/>
        </w:rPr>
        <w:t>5(6) من بروتوكول مدريد و</w:t>
      </w:r>
      <w:r w:rsidR="00450110" w:rsidRPr="00E22B27">
        <w:rPr>
          <w:rFonts w:hint="cs"/>
          <w:rtl/>
        </w:rPr>
        <w:t>المادة</w:t>
      </w:r>
      <w:r w:rsidR="00450110" w:rsidRPr="00E22B27">
        <w:rPr>
          <w:rtl/>
        </w:rPr>
        <w:t> </w:t>
      </w:r>
      <w:r w:rsidRPr="00E22B27">
        <w:rPr>
          <w:rFonts w:hint="cs"/>
          <w:rtl/>
        </w:rPr>
        <w:t xml:space="preserve">15(1) من </w:t>
      </w:r>
      <w:r w:rsidR="00CD0D5E" w:rsidRPr="00E22B27">
        <w:rPr>
          <w:rFonts w:hint="cs"/>
          <w:rtl/>
        </w:rPr>
        <w:t>وثيقة</w:t>
      </w:r>
      <w:r w:rsidR="00CD0D5E" w:rsidRPr="00E22B27">
        <w:rPr>
          <w:rtl/>
        </w:rPr>
        <w:t> </w:t>
      </w:r>
      <w:r w:rsidRPr="00E22B27">
        <w:rPr>
          <w:rFonts w:hint="cs"/>
          <w:rtl/>
        </w:rPr>
        <w:t xml:space="preserve">جنيف لاتفاق لاهاي تنصان على أنه قبل النطق بإبطال يجب أن تكون قد أتيحت الفرصة لصاحب التسجيل الدولي كي يدافع عن حقوقه. ولا يتضمن اتفاق لشبونة الحالي أي نص من هذا النوع. ولكن لا يعني ذلك أن الدولة العضو في لشبونة تُمنع من إبطال آثار التسجيل الدولي بموجب اتفاق لشبونة. وإنما أقرت جمعية اتحاد لشبونة أن هذه إبطال قد يحدث وأدخلت </w:t>
      </w:r>
      <w:r w:rsidR="00450110" w:rsidRPr="00E22B27">
        <w:rPr>
          <w:rFonts w:hint="cs"/>
          <w:rtl/>
        </w:rPr>
        <w:t>المادة</w:t>
      </w:r>
      <w:r w:rsidR="00450110" w:rsidRPr="00E22B27">
        <w:rPr>
          <w:rtl/>
        </w:rPr>
        <w:t> </w:t>
      </w:r>
      <w:r w:rsidRPr="00E22B27">
        <w:rPr>
          <w:rFonts w:hint="cs"/>
          <w:rtl/>
        </w:rPr>
        <w:t>16 في اللائحة التنفيذية لاتفاق لشبونة على أن تصبح نافذ</w:t>
      </w:r>
      <w:r w:rsidR="00EB5A54">
        <w:rPr>
          <w:rFonts w:hint="cs"/>
          <w:rtl/>
        </w:rPr>
        <w:t>ة</w:t>
      </w:r>
      <w:r w:rsidRPr="00E22B27">
        <w:rPr>
          <w:rFonts w:hint="cs"/>
          <w:rtl/>
        </w:rPr>
        <w:t xml:space="preserve"> اعتباراً من الأول من أبريل 2002 وهي مادة تقتضي من الإدارة المختصة أن تخطر المكتب الدولي بأي إبطال كهذا عندما لا يصبح الإبطال قابل للطعن في الدولة العضو المعنية في نظام لشبونة كي يُدون في السجل الدولي. وستؤكد </w:t>
      </w:r>
      <w:r w:rsidR="00450110" w:rsidRPr="00E22B27">
        <w:rPr>
          <w:rFonts w:hint="cs"/>
          <w:rtl/>
        </w:rPr>
        <w:t>المادة</w:t>
      </w:r>
      <w:r w:rsidR="00450110" w:rsidRPr="00E22B27">
        <w:rPr>
          <w:rtl/>
        </w:rPr>
        <w:t> </w:t>
      </w:r>
      <w:r w:rsidRPr="00E22B27">
        <w:rPr>
          <w:rFonts w:hint="cs"/>
          <w:rtl/>
        </w:rPr>
        <w:t>19(1) من مشروع اتفاق لشبونة المراجَع أن آثار التسجيل الدولي في إطار نظام لشبونة في طرف متعاقد بعينه يمكن أن يبطلها ذلك الطرف المتعاقد؛ و</w:t>
      </w:r>
      <w:r w:rsidR="00450110" w:rsidRPr="00E22B27">
        <w:rPr>
          <w:rFonts w:hint="cs"/>
          <w:rtl/>
        </w:rPr>
        <w:t>المادة</w:t>
      </w:r>
      <w:r w:rsidR="00450110" w:rsidRPr="00E22B27">
        <w:rPr>
          <w:rtl/>
        </w:rPr>
        <w:t> </w:t>
      </w:r>
      <w:r w:rsidRPr="00E22B27">
        <w:rPr>
          <w:rFonts w:hint="cs"/>
          <w:rtl/>
        </w:rPr>
        <w:t>19(2) ستدرج نصاً مشابهاً لما ورد في بروتوكول مدريد و</w:t>
      </w:r>
      <w:r w:rsidR="00CD0D5E" w:rsidRPr="00E22B27">
        <w:rPr>
          <w:rFonts w:hint="cs"/>
          <w:rtl/>
        </w:rPr>
        <w:t>وثيقة</w:t>
      </w:r>
      <w:r w:rsidR="00CD0D5E" w:rsidRPr="00E22B27">
        <w:rPr>
          <w:rtl/>
        </w:rPr>
        <w:t> </w:t>
      </w:r>
      <w:r w:rsidRPr="00E22B27">
        <w:rPr>
          <w:rFonts w:hint="cs"/>
          <w:rtl/>
        </w:rPr>
        <w:t>جنيف لاتفاق لاهاي، على النحو المشار إليه أعلاه.</w:t>
      </w:r>
      <w:r w:rsidR="00450110" w:rsidRPr="00E22B27">
        <w:rPr>
          <w:rFonts w:hint="cs"/>
          <w:rtl/>
        </w:rPr>
        <w:t xml:space="preserve"> </w:t>
      </w:r>
      <w:r w:rsidRPr="00E22B27">
        <w:rPr>
          <w:rFonts w:hint="cs"/>
          <w:rtl/>
        </w:rPr>
        <w:t xml:space="preserve">وعقب مناقشات الدورة التاسعة للفريق العامل، صيغت </w:t>
      </w:r>
      <w:r w:rsidR="00450110" w:rsidRPr="00E22B27">
        <w:rPr>
          <w:rFonts w:hint="cs"/>
          <w:rtl/>
        </w:rPr>
        <w:t>المادة</w:t>
      </w:r>
      <w:r w:rsidR="00450110" w:rsidRPr="00E22B27">
        <w:rPr>
          <w:rtl/>
        </w:rPr>
        <w:t> </w:t>
      </w:r>
      <w:r w:rsidRPr="00E22B27">
        <w:rPr>
          <w:rFonts w:hint="cs"/>
          <w:rtl/>
        </w:rPr>
        <w:t xml:space="preserve">19(2) بصورة إيجابية. ومع ذلك، فإن نموذج الأحكام المناظرة في مدريد ولاهاي يثير مسألة الجهة التي ينبغي إتاحتها الفرصة للدفاع عن حقوقها إذ إن التسجيلات الدولية في إطار نظام لشبونة لا تشير إلى صاحب التسجيل الدولي </w:t>
      </w:r>
      <w:r w:rsidRPr="00E22B27">
        <w:rPr>
          <w:rtl/>
        </w:rPr>
        <w:t>–</w:t>
      </w:r>
      <w:r w:rsidRPr="00E22B27">
        <w:rPr>
          <w:rFonts w:hint="cs"/>
          <w:rtl/>
        </w:rPr>
        <w:t xml:space="preserve"> وإنما تشير فقط إلى صاحب (أصحاب) الحق في استخدام تسميات المنشأ </w:t>
      </w:r>
      <w:r w:rsidR="00450110" w:rsidRPr="00E22B27">
        <w:rPr>
          <w:rFonts w:hint="cs"/>
          <w:rtl/>
        </w:rPr>
        <w:t>أو</w:t>
      </w:r>
      <w:r w:rsidR="00450110" w:rsidRPr="00E22B27">
        <w:rPr>
          <w:rtl/>
        </w:rPr>
        <w:t> </w:t>
      </w:r>
      <w:r w:rsidRPr="00E22B27">
        <w:rPr>
          <w:rFonts w:hint="cs"/>
          <w:rtl/>
        </w:rPr>
        <w:t xml:space="preserve">البيانات الجغرافية موضوع التسجيل الدولي. ويتيح المشروع الحالي للمادة 19(2) هذه الفرصة للأشخاص الطبيعيين والمعنويين الذين يمكن رفع الطلبات باسمهم، على النحو المحدد في </w:t>
      </w:r>
      <w:r w:rsidR="00450110" w:rsidRPr="00E22B27">
        <w:rPr>
          <w:rFonts w:hint="cs"/>
          <w:rtl/>
        </w:rPr>
        <w:t>المادة</w:t>
      </w:r>
      <w:r w:rsidR="00450110" w:rsidRPr="00E22B27">
        <w:rPr>
          <w:rtl/>
        </w:rPr>
        <w:t> </w:t>
      </w:r>
      <w:r w:rsidRPr="00E22B27">
        <w:rPr>
          <w:rFonts w:hint="cs"/>
          <w:rtl/>
        </w:rPr>
        <w:t xml:space="preserve">5(2)، سواء دونوا أم لم يدونوا في السجل الدولي باعتبارهم صاحب (أصحاب) الحق في استخدام تسمية المنشأ </w:t>
      </w:r>
      <w:r w:rsidR="00450110" w:rsidRPr="00E22B27">
        <w:rPr>
          <w:rFonts w:hint="cs"/>
          <w:rtl/>
        </w:rPr>
        <w:t>أو</w:t>
      </w:r>
      <w:r w:rsidR="00450110" w:rsidRPr="00E22B27">
        <w:rPr>
          <w:rtl/>
        </w:rPr>
        <w:t> </w:t>
      </w:r>
      <w:r w:rsidRPr="00E22B27">
        <w:rPr>
          <w:rFonts w:hint="cs"/>
          <w:rtl/>
        </w:rPr>
        <w:t xml:space="preserve">البيان الجغرافي. وقد يتطلب النص التنقيح في ضوء نتائج هذه القضية المعلقة والواردة في </w:t>
      </w:r>
      <w:r w:rsidR="00450110" w:rsidRPr="00E22B27">
        <w:rPr>
          <w:rFonts w:hint="cs"/>
          <w:rtl/>
        </w:rPr>
        <w:t>البند</w:t>
      </w:r>
      <w:r w:rsidR="00450110" w:rsidRPr="00E22B27">
        <w:rPr>
          <w:rtl/>
        </w:rPr>
        <w:t> </w:t>
      </w:r>
      <w:r w:rsidRPr="00E22B27">
        <w:rPr>
          <w:rFonts w:hint="cs"/>
          <w:rtl/>
        </w:rPr>
        <w:t xml:space="preserve">"4" من </w:t>
      </w:r>
      <w:r w:rsidR="00450110" w:rsidRPr="00E22B27">
        <w:rPr>
          <w:rFonts w:hint="cs"/>
          <w:rtl/>
        </w:rPr>
        <w:t>الفقرة</w:t>
      </w:r>
      <w:r w:rsidR="00450110" w:rsidRPr="00E22B27">
        <w:rPr>
          <w:rtl/>
        </w:rPr>
        <w:t> </w:t>
      </w:r>
      <w:r w:rsidRPr="00E22B27">
        <w:rPr>
          <w:rFonts w:hint="cs"/>
          <w:rtl/>
        </w:rPr>
        <w:t xml:space="preserve">5 من </w:t>
      </w:r>
      <w:r w:rsidR="00450110" w:rsidRPr="00E22B27">
        <w:rPr>
          <w:rFonts w:hint="cs"/>
          <w:rtl/>
        </w:rPr>
        <w:t>ال</w:t>
      </w:r>
      <w:r w:rsidR="00CD0D5E" w:rsidRPr="00E22B27">
        <w:rPr>
          <w:rFonts w:hint="cs"/>
          <w:rtl/>
        </w:rPr>
        <w:t>وثيقة</w:t>
      </w:r>
      <w:r w:rsidR="00CD0D5E" w:rsidRPr="00E22B27">
        <w:rPr>
          <w:rtl/>
        </w:rPr>
        <w:t> </w:t>
      </w:r>
      <w:r w:rsidRPr="00E22B27">
        <w:t>LI/WG/DEV/10/2</w:t>
      </w:r>
      <w:r w:rsidRPr="00E22B27">
        <w:rPr>
          <w:rFonts w:hint="cs"/>
          <w:rtl/>
        </w:rPr>
        <w:t>.</w:t>
      </w:r>
    </w:p>
    <w:p w:rsidR="00594B95" w:rsidRPr="00E22B27" w:rsidRDefault="00594B95" w:rsidP="009422A7">
      <w:pPr>
        <w:pStyle w:val="NormalParaAR"/>
        <w:rPr>
          <w:rtl/>
        </w:rPr>
      </w:pPr>
      <w:r w:rsidRPr="00E22B27">
        <w:rPr>
          <w:rFonts w:hint="cs"/>
          <w:rtl/>
        </w:rPr>
        <w:t>3.19</w:t>
      </w:r>
      <w:r w:rsidRPr="00E22B27">
        <w:rPr>
          <w:rFonts w:hint="cs"/>
          <w:rtl/>
        </w:rPr>
        <w:tab/>
        <w:t>فيما يتعلق ب</w:t>
      </w:r>
      <w:r w:rsidR="00450110" w:rsidRPr="00E22B27">
        <w:rPr>
          <w:rFonts w:hint="cs"/>
          <w:rtl/>
        </w:rPr>
        <w:t>المادة</w:t>
      </w:r>
      <w:r w:rsidR="00450110" w:rsidRPr="00E22B27">
        <w:rPr>
          <w:rtl/>
        </w:rPr>
        <w:t> </w:t>
      </w:r>
      <w:r w:rsidRPr="00E22B27">
        <w:rPr>
          <w:rFonts w:hint="cs"/>
          <w:rtl/>
        </w:rPr>
        <w:t>19(4)، تجدر الإشارة إلى الملاحظة 3.10.</w:t>
      </w:r>
    </w:p>
    <w:p w:rsidR="00187464" w:rsidRPr="00E22B27" w:rsidRDefault="00187464" w:rsidP="009422A7">
      <w:pPr>
        <w:pStyle w:val="Heading1AR"/>
        <w:spacing w:before="0" w:after="360" w:line="360" w:lineRule="exact"/>
        <w:rPr>
          <w:rtl/>
        </w:rPr>
      </w:pPr>
      <w:r w:rsidRPr="00E22B27">
        <w:rPr>
          <w:rFonts w:hint="cs"/>
          <w:rtl/>
        </w:rPr>
        <w:t>ملاحظات على</w:t>
      </w:r>
      <w:r w:rsidR="007C2359" w:rsidRPr="00E22B27">
        <w:rPr>
          <w:rFonts w:hint="cs"/>
          <w:rtl/>
        </w:rPr>
        <w:t xml:space="preserve"> </w:t>
      </w:r>
      <w:r w:rsidR="00450110" w:rsidRPr="00E22B27">
        <w:rPr>
          <w:rFonts w:hint="cs"/>
          <w:rtl/>
        </w:rPr>
        <w:t>المادة</w:t>
      </w:r>
      <w:r w:rsidR="00450110" w:rsidRPr="00E22B27">
        <w:rPr>
          <w:rtl/>
        </w:rPr>
        <w:t> </w:t>
      </w:r>
      <w:r w:rsidR="003C1838" w:rsidRPr="00E22B27">
        <w:rPr>
          <w:rFonts w:hint="cs"/>
          <w:rtl/>
        </w:rPr>
        <w:t>2</w:t>
      </w:r>
      <w:r w:rsidRPr="00E22B27">
        <w:rPr>
          <w:rFonts w:hint="cs"/>
          <w:rtl/>
        </w:rPr>
        <w:t>0:</w:t>
      </w:r>
      <w:r w:rsidRPr="00E22B27">
        <w:rPr>
          <w:rFonts w:hint="cs"/>
          <w:rtl/>
        </w:rPr>
        <w:tab/>
        <w:t>التغييرات والتدوينات الأخرى في السجل الدولي</w:t>
      </w:r>
    </w:p>
    <w:p w:rsidR="00594B95" w:rsidRPr="00E22B27" w:rsidRDefault="00594B95" w:rsidP="009422A7">
      <w:pPr>
        <w:pStyle w:val="NormalParaAR"/>
        <w:rPr>
          <w:rtl/>
        </w:rPr>
      </w:pPr>
      <w:r w:rsidRPr="00E22B27">
        <w:rPr>
          <w:rFonts w:hint="cs"/>
          <w:rtl/>
        </w:rPr>
        <w:t>1.20</w:t>
      </w:r>
      <w:r w:rsidRPr="00E22B27">
        <w:rPr>
          <w:rFonts w:hint="cs"/>
          <w:rtl/>
        </w:rPr>
        <w:tab/>
        <w:t>أدرج نص محدد لمعالجة مسألة التغييرات في التسجيلات الدولية والتدوينات الأخرى في السجل الدولي في مشروع اتفاق لشبونة المراجَع.</w:t>
      </w:r>
    </w:p>
    <w:p w:rsidR="00187464" w:rsidRPr="00E22B27" w:rsidRDefault="00187464" w:rsidP="009422A7">
      <w:pPr>
        <w:pStyle w:val="Heading1AR"/>
        <w:spacing w:before="0" w:after="360" w:line="360" w:lineRule="exact"/>
        <w:rPr>
          <w:rtl/>
        </w:rPr>
      </w:pPr>
      <w:r w:rsidRPr="00E22B27">
        <w:rPr>
          <w:rtl/>
        </w:rPr>
        <w:t>ملاحظات على</w:t>
      </w:r>
      <w:r w:rsidR="007C2359" w:rsidRPr="00E22B27">
        <w:rPr>
          <w:rtl/>
        </w:rPr>
        <w:t xml:space="preserve"> </w:t>
      </w:r>
      <w:r w:rsidR="00450110" w:rsidRPr="00E22B27">
        <w:rPr>
          <w:rtl/>
        </w:rPr>
        <w:t>المادة </w:t>
      </w:r>
      <w:r w:rsidR="003C1838" w:rsidRPr="00E22B27">
        <w:rPr>
          <w:rFonts w:hint="cs"/>
          <w:rtl/>
        </w:rPr>
        <w:t>21</w:t>
      </w:r>
      <w:r w:rsidRPr="00E22B27">
        <w:rPr>
          <w:rtl/>
        </w:rPr>
        <w:t>:</w:t>
      </w:r>
      <w:r w:rsidRPr="00E22B27">
        <w:rPr>
          <w:rtl/>
        </w:rPr>
        <w:tab/>
      </w:r>
      <w:r w:rsidRPr="00E22B27">
        <w:rPr>
          <w:rFonts w:hint="cs"/>
          <w:rtl/>
        </w:rPr>
        <w:t>أعضاء اتحاد لشبونة</w:t>
      </w:r>
    </w:p>
    <w:p w:rsidR="00594B95" w:rsidRPr="00E22B27" w:rsidRDefault="00594B95" w:rsidP="009422A7">
      <w:pPr>
        <w:pStyle w:val="NormalParaAR"/>
        <w:rPr>
          <w:rtl/>
        </w:rPr>
      </w:pPr>
      <w:r w:rsidRPr="00E22B27">
        <w:rPr>
          <w:rFonts w:hint="cs"/>
          <w:rtl/>
        </w:rPr>
        <w:t>1.21</w:t>
      </w:r>
      <w:r w:rsidRPr="00E22B27">
        <w:rPr>
          <w:rFonts w:hint="cs"/>
          <w:rtl/>
        </w:rPr>
        <w:tab/>
        <w:t xml:space="preserve">توضح هذه </w:t>
      </w:r>
      <w:r w:rsidR="00450110" w:rsidRPr="00E22B27">
        <w:rPr>
          <w:rFonts w:hint="cs"/>
          <w:rtl/>
        </w:rPr>
        <w:t>المادة</w:t>
      </w:r>
      <w:r w:rsidR="00450110" w:rsidRPr="00E22B27">
        <w:rPr>
          <w:rtl/>
        </w:rPr>
        <w:t> </w:t>
      </w:r>
      <w:r w:rsidRPr="00E22B27">
        <w:rPr>
          <w:rFonts w:hint="cs"/>
          <w:rtl/>
        </w:rPr>
        <w:t>أن الأطراف المتعاقدة في اتفاق لشبونة المراجَع ستكون أعضاء في الجمعية ذاتها الخاصة بالدول الأطراف في اتفاق لشبونة.</w:t>
      </w:r>
    </w:p>
    <w:p w:rsidR="00187464" w:rsidRPr="00E22B27" w:rsidRDefault="00187464" w:rsidP="009422A7">
      <w:pPr>
        <w:pStyle w:val="Heading1AR"/>
        <w:spacing w:before="0" w:after="360" w:line="360" w:lineRule="exact"/>
        <w:rPr>
          <w:rtl/>
        </w:rPr>
      </w:pPr>
      <w:r w:rsidRPr="00E22B27">
        <w:rPr>
          <w:rFonts w:hint="cs"/>
          <w:rtl/>
        </w:rPr>
        <w:lastRenderedPageBreak/>
        <w:t>ملاحظات على</w:t>
      </w:r>
      <w:r w:rsidR="007C2359" w:rsidRPr="00E22B27">
        <w:rPr>
          <w:rFonts w:hint="cs"/>
          <w:rtl/>
        </w:rPr>
        <w:t xml:space="preserve"> </w:t>
      </w:r>
      <w:r w:rsidR="00450110" w:rsidRPr="00E22B27">
        <w:rPr>
          <w:rFonts w:hint="cs"/>
          <w:rtl/>
        </w:rPr>
        <w:t>المادة</w:t>
      </w:r>
      <w:r w:rsidR="00450110" w:rsidRPr="00E22B27">
        <w:rPr>
          <w:rtl/>
        </w:rPr>
        <w:t> </w:t>
      </w:r>
      <w:r w:rsidR="003C1838" w:rsidRPr="00E22B27">
        <w:rPr>
          <w:rFonts w:hint="cs"/>
          <w:rtl/>
        </w:rPr>
        <w:t>22</w:t>
      </w:r>
      <w:r w:rsidRPr="00E22B27">
        <w:rPr>
          <w:rFonts w:hint="cs"/>
          <w:rtl/>
        </w:rPr>
        <w:t>:</w:t>
      </w:r>
      <w:r w:rsidRPr="00E22B27">
        <w:rPr>
          <w:rFonts w:hint="cs"/>
          <w:rtl/>
        </w:rPr>
        <w:tab/>
        <w:t>الجمعية</w:t>
      </w:r>
    </w:p>
    <w:p w:rsidR="00FF0AA7" w:rsidRPr="00E22B27" w:rsidRDefault="00FF0AA7" w:rsidP="009422A7">
      <w:pPr>
        <w:pStyle w:val="NormalParaAR"/>
        <w:rPr>
          <w:rtl/>
        </w:rPr>
      </w:pPr>
      <w:r w:rsidRPr="00E22B27">
        <w:rPr>
          <w:rFonts w:hint="cs"/>
          <w:rtl/>
        </w:rPr>
        <w:t>1.22</w:t>
      </w:r>
      <w:r w:rsidRPr="00E22B27">
        <w:rPr>
          <w:rFonts w:hint="cs"/>
          <w:rtl/>
        </w:rPr>
        <w:tab/>
        <w:t xml:space="preserve">تقوم أحكام </w:t>
      </w:r>
      <w:r w:rsidR="00450110" w:rsidRPr="00E22B27">
        <w:rPr>
          <w:rFonts w:hint="cs"/>
          <w:rtl/>
        </w:rPr>
        <w:t>المادة</w:t>
      </w:r>
      <w:r w:rsidR="00450110" w:rsidRPr="00E22B27">
        <w:rPr>
          <w:rtl/>
        </w:rPr>
        <w:t> </w:t>
      </w:r>
      <w:r w:rsidRPr="00E22B27">
        <w:rPr>
          <w:rFonts w:hint="cs"/>
          <w:rtl/>
        </w:rPr>
        <w:t xml:space="preserve">22، إلى حد بعيد، على أحكام </w:t>
      </w:r>
      <w:r w:rsidR="00450110" w:rsidRPr="00E22B27">
        <w:rPr>
          <w:rFonts w:hint="cs"/>
          <w:rtl/>
        </w:rPr>
        <w:t>المادة</w:t>
      </w:r>
      <w:r w:rsidR="00450110" w:rsidRPr="00E22B27">
        <w:rPr>
          <w:rtl/>
        </w:rPr>
        <w:t> </w:t>
      </w:r>
      <w:r w:rsidRPr="00E22B27">
        <w:rPr>
          <w:rFonts w:hint="cs"/>
          <w:rtl/>
        </w:rPr>
        <w:t xml:space="preserve">9 من </w:t>
      </w:r>
      <w:r w:rsidR="00CD0D5E" w:rsidRPr="00E22B27">
        <w:rPr>
          <w:rFonts w:hint="cs"/>
          <w:rtl/>
        </w:rPr>
        <w:t>وثيقة</w:t>
      </w:r>
      <w:r w:rsidR="00CD0D5E" w:rsidRPr="00E22B27">
        <w:rPr>
          <w:rtl/>
        </w:rPr>
        <w:t> </w:t>
      </w:r>
      <w:r w:rsidRPr="00E22B27">
        <w:rPr>
          <w:rFonts w:hint="cs"/>
          <w:rtl/>
        </w:rPr>
        <w:t xml:space="preserve">1967. ومع ذلك وعند الضرورة كما في حالة حقوق تصويت المنظمات الحكومية الدولية، استُكملت هذه الأحكام بأحكام </w:t>
      </w:r>
      <w:r w:rsidR="00450110" w:rsidRPr="00E22B27">
        <w:rPr>
          <w:rFonts w:hint="cs"/>
          <w:rtl/>
        </w:rPr>
        <w:t>المادة</w:t>
      </w:r>
      <w:r w:rsidR="00450110" w:rsidRPr="00E22B27">
        <w:rPr>
          <w:rtl/>
        </w:rPr>
        <w:t> </w:t>
      </w:r>
      <w:r w:rsidRPr="00E22B27">
        <w:rPr>
          <w:rFonts w:hint="cs"/>
          <w:rtl/>
        </w:rPr>
        <w:t xml:space="preserve">21 من </w:t>
      </w:r>
      <w:r w:rsidR="00CD0D5E" w:rsidRPr="00E22B27">
        <w:rPr>
          <w:rFonts w:hint="cs"/>
          <w:rtl/>
        </w:rPr>
        <w:t>وثيقة</w:t>
      </w:r>
      <w:r w:rsidR="00CD0D5E" w:rsidRPr="00E22B27">
        <w:rPr>
          <w:rtl/>
        </w:rPr>
        <w:t> </w:t>
      </w:r>
      <w:r w:rsidRPr="00E22B27">
        <w:rPr>
          <w:rFonts w:hint="cs"/>
          <w:rtl/>
        </w:rPr>
        <w:t>جنيف.</w:t>
      </w:r>
    </w:p>
    <w:p w:rsidR="00FF0AA7" w:rsidRPr="00E22B27" w:rsidRDefault="00FF0AA7" w:rsidP="009422A7">
      <w:pPr>
        <w:pStyle w:val="NormalParaAR"/>
        <w:rPr>
          <w:rtl/>
        </w:rPr>
      </w:pPr>
      <w:r w:rsidRPr="00E22B27">
        <w:rPr>
          <w:rFonts w:hint="cs"/>
          <w:rtl/>
        </w:rPr>
        <w:t>2.22</w:t>
      </w:r>
      <w:r w:rsidRPr="00E22B27">
        <w:rPr>
          <w:rFonts w:hint="cs"/>
          <w:rtl/>
        </w:rPr>
        <w:tab/>
        <w:t>فيما يتعلق ب</w:t>
      </w:r>
      <w:r w:rsidR="00450110" w:rsidRPr="00E22B27">
        <w:rPr>
          <w:rFonts w:hint="cs"/>
          <w:rtl/>
        </w:rPr>
        <w:t>المادة</w:t>
      </w:r>
      <w:r w:rsidR="00450110" w:rsidRPr="00E22B27">
        <w:rPr>
          <w:rtl/>
        </w:rPr>
        <w:t> </w:t>
      </w:r>
      <w:r w:rsidRPr="00E22B27">
        <w:rPr>
          <w:rFonts w:hint="cs"/>
          <w:rtl/>
        </w:rPr>
        <w:t xml:space="preserve">22(2)(ب)، يشار إلى دليل </w:t>
      </w:r>
      <w:r w:rsidR="00FC05C8">
        <w:rPr>
          <w:rFonts w:hint="cs"/>
          <w:rtl/>
        </w:rPr>
        <w:t>اتفاقية باريس</w:t>
      </w:r>
      <w:r w:rsidRPr="00E22B27">
        <w:rPr>
          <w:rFonts w:hint="cs"/>
          <w:rtl/>
        </w:rPr>
        <w:t xml:space="preserve"> الذي أعده الدكتور </w:t>
      </w:r>
      <w:r w:rsidRPr="00E22B27">
        <w:rPr>
          <w:rtl/>
        </w:rPr>
        <w:t>جورج بودنهاوسن</w:t>
      </w:r>
      <w:r w:rsidRPr="00E22B27">
        <w:rPr>
          <w:rFonts w:hint="cs"/>
          <w:rtl/>
        </w:rPr>
        <w:t xml:space="preserve"> وتحديداً إلى الملاحظة "(ن)" على </w:t>
      </w:r>
      <w:r w:rsidR="00450110" w:rsidRPr="00E22B27">
        <w:rPr>
          <w:rFonts w:hint="cs"/>
          <w:rtl/>
        </w:rPr>
        <w:t>المادة</w:t>
      </w:r>
      <w:r w:rsidR="00450110" w:rsidRPr="00E22B27">
        <w:rPr>
          <w:rtl/>
        </w:rPr>
        <w:t> </w:t>
      </w:r>
      <w:r w:rsidRPr="00E22B27">
        <w:rPr>
          <w:rFonts w:hint="cs"/>
          <w:rtl/>
        </w:rPr>
        <w:t xml:space="preserve">13(2)(ب) من </w:t>
      </w:r>
      <w:r w:rsidR="00FC05C8">
        <w:rPr>
          <w:rFonts w:hint="cs"/>
          <w:rtl/>
        </w:rPr>
        <w:t>اتفاقية باريس</w:t>
      </w:r>
      <w:r w:rsidRPr="00E22B27">
        <w:rPr>
          <w:rFonts w:hint="cs"/>
          <w:rtl/>
        </w:rPr>
        <w:t xml:space="preserve"> والملاحظة "(د)" على </w:t>
      </w:r>
      <w:r w:rsidR="00450110" w:rsidRPr="00E22B27">
        <w:rPr>
          <w:rFonts w:hint="cs"/>
          <w:rtl/>
        </w:rPr>
        <w:t>المادة</w:t>
      </w:r>
      <w:r w:rsidR="00450110" w:rsidRPr="00E22B27">
        <w:rPr>
          <w:rtl/>
        </w:rPr>
        <w:t> </w:t>
      </w:r>
      <w:r w:rsidRPr="00E22B27">
        <w:rPr>
          <w:rFonts w:hint="cs"/>
          <w:rtl/>
        </w:rPr>
        <w:t xml:space="preserve">16(1)(ب) من </w:t>
      </w:r>
      <w:r w:rsidR="00FC05C8">
        <w:rPr>
          <w:rFonts w:hint="cs"/>
          <w:rtl/>
        </w:rPr>
        <w:t>اتفاقية باريس</w:t>
      </w:r>
      <w:r w:rsidRPr="00E22B27">
        <w:rPr>
          <w:rFonts w:hint="cs"/>
          <w:rtl/>
        </w:rPr>
        <w:t>.</w:t>
      </w:r>
    </w:p>
    <w:p w:rsidR="00FF0AA7" w:rsidRPr="00E22B27" w:rsidRDefault="00FF0AA7" w:rsidP="009422A7">
      <w:pPr>
        <w:pStyle w:val="NormalParaAR"/>
        <w:rPr>
          <w:rtl/>
        </w:rPr>
      </w:pPr>
      <w:r w:rsidRPr="00E22B27">
        <w:rPr>
          <w:rFonts w:hint="cs"/>
          <w:rtl/>
        </w:rPr>
        <w:t>3.22</w:t>
      </w:r>
      <w:r w:rsidRPr="00E22B27">
        <w:rPr>
          <w:rFonts w:hint="cs"/>
          <w:rtl/>
        </w:rPr>
        <w:tab/>
        <w:t xml:space="preserve">فيما يتعلق بالمنظمات الحكومية الدولية، يتعين قراءة </w:t>
      </w:r>
      <w:r w:rsidR="00450110" w:rsidRPr="00E22B27">
        <w:rPr>
          <w:rFonts w:hint="cs"/>
          <w:rtl/>
        </w:rPr>
        <w:t>المادة</w:t>
      </w:r>
      <w:r w:rsidR="00450110" w:rsidRPr="00E22B27">
        <w:rPr>
          <w:rtl/>
        </w:rPr>
        <w:t> </w:t>
      </w:r>
      <w:r w:rsidRPr="00E22B27">
        <w:rPr>
          <w:rFonts w:hint="cs"/>
          <w:rtl/>
        </w:rPr>
        <w:t xml:space="preserve">22(3)(أ) بالاقتران مع </w:t>
      </w:r>
      <w:r w:rsidR="00450110" w:rsidRPr="00E22B27">
        <w:rPr>
          <w:rFonts w:hint="cs"/>
          <w:rtl/>
        </w:rPr>
        <w:t>المادة</w:t>
      </w:r>
      <w:r w:rsidR="00450110" w:rsidRPr="00E22B27">
        <w:rPr>
          <w:rtl/>
        </w:rPr>
        <w:t> </w:t>
      </w:r>
      <w:r w:rsidRPr="00E22B27">
        <w:rPr>
          <w:rFonts w:hint="cs"/>
          <w:rtl/>
        </w:rPr>
        <w:t>22(4)(ب)"2".</w:t>
      </w:r>
    </w:p>
    <w:p w:rsidR="00187464" w:rsidRPr="00E22B27" w:rsidRDefault="00187464" w:rsidP="009422A7">
      <w:pPr>
        <w:pStyle w:val="Heading1AR"/>
        <w:spacing w:before="0" w:after="360" w:line="360" w:lineRule="exact"/>
        <w:rPr>
          <w:rtl/>
        </w:rPr>
      </w:pPr>
      <w:r w:rsidRPr="00E22B27">
        <w:rPr>
          <w:rFonts w:hint="cs"/>
          <w:rtl/>
        </w:rPr>
        <w:t>ملاحظات على</w:t>
      </w:r>
      <w:r w:rsidR="007C2359" w:rsidRPr="00E22B27">
        <w:rPr>
          <w:rFonts w:hint="cs"/>
          <w:rtl/>
        </w:rPr>
        <w:t xml:space="preserve"> </w:t>
      </w:r>
      <w:r w:rsidR="00450110" w:rsidRPr="00E22B27">
        <w:rPr>
          <w:rFonts w:hint="cs"/>
          <w:rtl/>
        </w:rPr>
        <w:t>المادة</w:t>
      </w:r>
      <w:r w:rsidR="00450110" w:rsidRPr="00E22B27">
        <w:rPr>
          <w:rtl/>
        </w:rPr>
        <w:t> </w:t>
      </w:r>
      <w:r w:rsidR="003C1838" w:rsidRPr="00E22B27">
        <w:rPr>
          <w:rFonts w:hint="cs"/>
          <w:rtl/>
        </w:rPr>
        <w:t>23</w:t>
      </w:r>
      <w:r w:rsidRPr="00E22B27">
        <w:rPr>
          <w:rFonts w:hint="cs"/>
          <w:rtl/>
        </w:rPr>
        <w:t>:</w:t>
      </w:r>
      <w:r w:rsidRPr="00E22B27">
        <w:rPr>
          <w:rFonts w:hint="cs"/>
          <w:rtl/>
        </w:rPr>
        <w:tab/>
        <w:t>المكتب الدولي</w:t>
      </w:r>
    </w:p>
    <w:p w:rsidR="00FF0AA7" w:rsidRPr="00E22B27" w:rsidRDefault="00FF0AA7" w:rsidP="009422A7">
      <w:pPr>
        <w:pStyle w:val="NormalParaAR"/>
        <w:rPr>
          <w:rtl/>
        </w:rPr>
      </w:pPr>
      <w:r w:rsidRPr="00E22B27">
        <w:rPr>
          <w:rFonts w:hint="cs"/>
          <w:rtl/>
        </w:rPr>
        <w:t>1.23</w:t>
      </w:r>
      <w:r w:rsidRPr="00E22B27">
        <w:rPr>
          <w:rFonts w:hint="cs"/>
          <w:rtl/>
        </w:rPr>
        <w:tab/>
        <w:t xml:space="preserve">تقتبس أحكام هذه </w:t>
      </w:r>
      <w:r w:rsidR="00450110" w:rsidRPr="00E22B27">
        <w:rPr>
          <w:rFonts w:hint="cs"/>
          <w:rtl/>
        </w:rPr>
        <w:t>المادة</w:t>
      </w:r>
      <w:r w:rsidR="00450110" w:rsidRPr="00E22B27">
        <w:rPr>
          <w:rtl/>
        </w:rPr>
        <w:t> </w:t>
      </w:r>
      <w:r w:rsidRPr="00E22B27">
        <w:rPr>
          <w:rFonts w:hint="cs"/>
          <w:rtl/>
        </w:rPr>
        <w:t xml:space="preserve">إلى حد بعيد أحكام </w:t>
      </w:r>
      <w:r w:rsidR="00450110" w:rsidRPr="00E22B27">
        <w:rPr>
          <w:rFonts w:hint="cs"/>
          <w:rtl/>
        </w:rPr>
        <w:t>المادة</w:t>
      </w:r>
      <w:r w:rsidR="00450110" w:rsidRPr="00E22B27">
        <w:rPr>
          <w:rtl/>
        </w:rPr>
        <w:t> </w:t>
      </w:r>
      <w:r w:rsidRPr="00E22B27">
        <w:rPr>
          <w:rFonts w:hint="cs"/>
          <w:rtl/>
        </w:rPr>
        <w:t xml:space="preserve">10 من </w:t>
      </w:r>
      <w:r w:rsidR="00CD0D5E" w:rsidRPr="00E22B27">
        <w:rPr>
          <w:rFonts w:hint="cs"/>
          <w:rtl/>
        </w:rPr>
        <w:t>وثيقة</w:t>
      </w:r>
      <w:r w:rsidR="00CD0D5E" w:rsidRPr="00E22B27">
        <w:rPr>
          <w:rtl/>
        </w:rPr>
        <w:t> </w:t>
      </w:r>
      <w:r w:rsidRPr="00E22B27">
        <w:rPr>
          <w:rFonts w:hint="cs"/>
          <w:rtl/>
        </w:rPr>
        <w:t>1967.</w:t>
      </w:r>
    </w:p>
    <w:p w:rsidR="00187464" w:rsidRPr="00E22B27" w:rsidRDefault="00187464" w:rsidP="009422A7">
      <w:pPr>
        <w:pStyle w:val="Heading1AR"/>
        <w:spacing w:before="0" w:after="360" w:line="360" w:lineRule="exact"/>
        <w:rPr>
          <w:rtl/>
        </w:rPr>
      </w:pPr>
      <w:r w:rsidRPr="00E22B27">
        <w:rPr>
          <w:rFonts w:hint="cs"/>
          <w:rtl/>
        </w:rPr>
        <w:t>ملاحظات على</w:t>
      </w:r>
      <w:r w:rsidR="007C2359" w:rsidRPr="00E22B27">
        <w:rPr>
          <w:rFonts w:hint="cs"/>
          <w:rtl/>
        </w:rPr>
        <w:t xml:space="preserve"> </w:t>
      </w:r>
      <w:r w:rsidR="00450110" w:rsidRPr="00E22B27">
        <w:rPr>
          <w:rFonts w:hint="cs"/>
          <w:rtl/>
        </w:rPr>
        <w:t>المادة</w:t>
      </w:r>
      <w:r w:rsidR="00450110" w:rsidRPr="00E22B27">
        <w:rPr>
          <w:rtl/>
        </w:rPr>
        <w:t> </w:t>
      </w:r>
      <w:r w:rsidR="003C1838" w:rsidRPr="00E22B27">
        <w:rPr>
          <w:rFonts w:hint="cs"/>
          <w:rtl/>
        </w:rPr>
        <w:t>24</w:t>
      </w:r>
      <w:r w:rsidRPr="00E22B27">
        <w:rPr>
          <w:rFonts w:hint="cs"/>
          <w:rtl/>
        </w:rPr>
        <w:t>:</w:t>
      </w:r>
      <w:r w:rsidRPr="00E22B27">
        <w:rPr>
          <w:rFonts w:hint="cs"/>
          <w:rtl/>
        </w:rPr>
        <w:tab/>
        <w:t>الشؤون المالية</w:t>
      </w:r>
    </w:p>
    <w:p w:rsidR="00FF0AA7" w:rsidRPr="00E22B27" w:rsidRDefault="00FF0AA7" w:rsidP="009422A7">
      <w:pPr>
        <w:pStyle w:val="NormalParaAR"/>
        <w:rPr>
          <w:rtl/>
        </w:rPr>
      </w:pPr>
      <w:r w:rsidRPr="00E22B27">
        <w:rPr>
          <w:rFonts w:hint="cs"/>
          <w:rtl/>
        </w:rPr>
        <w:t>1.24</w:t>
      </w:r>
      <w:r w:rsidRPr="00E22B27">
        <w:rPr>
          <w:rFonts w:hint="cs"/>
          <w:rtl/>
        </w:rPr>
        <w:tab/>
        <w:t xml:space="preserve">تستند أحكام هذه </w:t>
      </w:r>
      <w:r w:rsidR="00450110" w:rsidRPr="00E22B27">
        <w:rPr>
          <w:rFonts w:hint="cs"/>
          <w:rtl/>
        </w:rPr>
        <w:t>المادة</w:t>
      </w:r>
      <w:r w:rsidR="00450110" w:rsidRPr="00E22B27">
        <w:rPr>
          <w:rtl/>
        </w:rPr>
        <w:t> </w:t>
      </w:r>
      <w:r w:rsidRPr="00E22B27">
        <w:rPr>
          <w:rFonts w:hint="cs"/>
          <w:rtl/>
        </w:rPr>
        <w:t xml:space="preserve">إلى الأحكام الواردة في </w:t>
      </w:r>
      <w:r w:rsidR="00CD0D5E" w:rsidRPr="00E22B27">
        <w:rPr>
          <w:rFonts w:hint="cs"/>
          <w:rtl/>
        </w:rPr>
        <w:t>وثيقة</w:t>
      </w:r>
      <w:r w:rsidR="00CD0D5E" w:rsidRPr="00E22B27">
        <w:rPr>
          <w:rtl/>
        </w:rPr>
        <w:t> </w:t>
      </w:r>
      <w:r w:rsidRPr="00E22B27">
        <w:rPr>
          <w:rFonts w:hint="cs"/>
          <w:rtl/>
        </w:rPr>
        <w:t>جنيف. ويشار في هذا الصدد إلى الملاحظتين 1.7 و2.7.</w:t>
      </w:r>
    </w:p>
    <w:p w:rsidR="00187464" w:rsidRPr="00E22B27" w:rsidRDefault="00187464" w:rsidP="009422A7">
      <w:pPr>
        <w:pStyle w:val="Heading1AR"/>
        <w:spacing w:before="0" w:after="360" w:line="360" w:lineRule="exact"/>
        <w:rPr>
          <w:rtl/>
        </w:rPr>
      </w:pPr>
      <w:r w:rsidRPr="00E22B27">
        <w:rPr>
          <w:rFonts w:hint="cs"/>
          <w:rtl/>
        </w:rPr>
        <w:t>ملاحظات على</w:t>
      </w:r>
      <w:r w:rsidR="007C2359" w:rsidRPr="00E22B27">
        <w:rPr>
          <w:rFonts w:hint="cs"/>
          <w:rtl/>
        </w:rPr>
        <w:t xml:space="preserve"> </w:t>
      </w:r>
      <w:r w:rsidR="00450110" w:rsidRPr="00E22B27">
        <w:rPr>
          <w:rFonts w:hint="cs"/>
          <w:rtl/>
        </w:rPr>
        <w:t>المادة</w:t>
      </w:r>
      <w:r w:rsidR="00450110" w:rsidRPr="00E22B27">
        <w:rPr>
          <w:rtl/>
        </w:rPr>
        <w:t> </w:t>
      </w:r>
      <w:r w:rsidR="003C1838" w:rsidRPr="00E22B27">
        <w:rPr>
          <w:rFonts w:hint="cs"/>
          <w:rtl/>
        </w:rPr>
        <w:t>25</w:t>
      </w:r>
      <w:r w:rsidRPr="00E22B27">
        <w:rPr>
          <w:rFonts w:hint="cs"/>
          <w:rtl/>
        </w:rPr>
        <w:t>:</w:t>
      </w:r>
      <w:r w:rsidRPr="00E22B27">
        <w:rPr>
          <w:rFonts w:hint="cs"/>
          <w:rtl/>
        </w:rPr>
        <w:tab/>
        <w:t>اللائحة التنفيذية</w:t>
      </w:r>
    </w:p>
    <w:p w:rsidR="00FF0AA7" w:rsidRPr="00E22B27" w:rsidRDefault="00FF0AA7" w:rsidP="009422A7">
      <w:pPr>
        <w:pStyle w:val="NormalParaAR"/>
        <w:rPr>
          <w:rtl/>
        </w:rPr>
      </w:pPr>
      <w:r w:rsidRPr="00E22B27">
        <w:rPr>
          <w:rFonts w:hint="cs"/>
          <w:rtl/>
        </w:rPr>
        <w:t>1.25</w:t>
      </w:r>
      <w:r w:rsidRPr="00E22B27">
        <w:rPr>
          <w:rFonts w:hint="cs"/>
          <w:rtl/>
        </w:rPr>
        <w:tab/>
        <w:t xml:space="preserve">تشير هذه </w:t>
      </w:r>
      <w:r w:rsidR="00450110" w:rsidRPr="00E22B27">
        <w:rPr>
          <w:rFonts w:hint="cs"/>
          <w:rtl/>
        </w:rPr>
        <w:t>المادة</w:t>
      </w:r>
      <w:r w:rsidR="00450110" w:rsidRPr="00E22B27">
        <w:rPr>
          <w:rtl/>
        </w:rPr>
        <w:t> </w:t>
      </w:r>
      <w:r w:rsidRPr="00E22B27">
        <w:rPr>
          <w:rFonts w:hint="cs"/>
          <w:rtl/>
        </w:rPr>
        <w:t>صراحة إلى اللائحة التنفيذية وتحدد إجراء تعديل بعض أحكام اللائحة.</w:t>
      </w:r>
    </w:p>
    <w:p w:rsidR="00FF0AA7" w:rsidRPr="00E22B27" w:rsidRDefault="00FF0AA7" w:rsidP="009422A7">
      <w:pPr>
        <w:pStyle w:val="NormalParaAR"/>
        <w:rPr>
          <w:rtl/>
        </w:rPr>
      </w:pPr>
      <w:r w:rsidRPr="00E22B27">
        <w:rPr>
          <w:rFonts w:hint="cs"/>
          <w:rtl/>
        </w:rPr>
        <w:t>2.25</w:t>
      </w:r>
      <w:r w:rsidRPr="00E22B27">
        <w:rPr>
          <w:rFonts w:hint="cs"/>
          <w:rtl/>
        </w:rPr>
        <w:tab/>
        <w:t xml:space="preserve">صيغت </w:t>
      </w:r>
      <w:r w:rsidR="00450110" w:rsidRPr="00E22B27">
        <w:rPr>
          <w:rFonts w:hint="cs"/>
          <w:rtl/>
        </w:rPr>
        <w:t>الفقرة</w:t>
      </w:r>
      <w:r w:rsidR="00450110" w:rsidRPr="00E22B27">
        <w:rPr>
          <w:rtl/>
        </w:rPr>
        <w:t> </w:t>
      </w:r>
      <w:r w:rsidRPr="00E22B27">
        <w:rPr>
          <w:rFonts w:hint="cs"/>
          <w:rtl/>
        </w:rPr>
        <w:t>(2) بما يتماشى مع الأحكام المناظرة من معاهدة سنغافورة ومعاهدة التعاون بشأن البراءات اللتين تتطلبان النصاب ذاته وهو أغلبية الثلاثة أرباع.</w:t>
      </w:r>
    </w:p>
    <w:p w:rsidR="00FF0AA7" w:rsidRPr="00E22B27" w:rsidRDefault="00FF0AA7" w:rsidP="009422A7">
      <w:pPr>
        <w:pStyle w:val="NormalParaAR"/>
        <w:rPr>
          <w:rtl/>
        </w:rPr>
      </w:pPr>
      <w:r w:rsidRPr="00E22B27">
        <w:rPr>
          <w:rFonts w:hint="cs"/>
          <w:rtl/>
        </w:rPr>
        <w:t>3.25</w:t>
      </w:r>
      <w:r w:rsidRPr="00E22B27">
        <w:rPr>
          <w:rFonts w:hint="cs"/>
          <w:rtl/>
        </w:rPr>
        <w:tab/>
        <w:t xml:space="preserve">ترسخ </w:t>
      </w:r>
      <w:r w:rsidR="00450110" w:rsidRPr="00E22B27">
        <w:rPr>
          <w:rFonts w:hint="cs"/>
          <w:rtl/>
        </w:rPr>
        <w:t>الفقرة</w:t>
      </w:r>
      <w:r w:rsidR="00450110" w:rsidRPr="00E22B27">
        <w:rPr>
          <w:rtl/>
        </w:rPr>
        <w:t> </w:t>
      </w:r>
      <w:r w:rsidRPr="00E22B27">
        <w:rPr>
          <w:rFonts w:hint="cs"/>
          <w:rtl/>
        </w:rPr>
        <w:t>(3) غلبة الأحكام الواردة في اتفاق لشبونة المراجَع على الأحكام الواردة في اللائحة بحيث تغلب أحكام اتفاق لشبونة المراجَع على أحكام اللائحة في حال نشوب نزاع بين مجموعتي الأحكام.</w:t>
      </w:r>
    </w:p>
    <w:p w:rsidR="00187464" w:rsidRPr="00E22B27" w:rsidRDefault="00187464" w:rsidP="009422A7">
      <w:pPr>
        <w:pStyle w:val="Heading1AR"/>
        <w:spacing w:before="0" w:after="360" w:line="360" w:lineRule="exact"/>
        <w:rPr>
          <w:rtl/>
        </w:rPr>
      </w:pPr>
      <w:r w:rsidRPr="00E22B27">
        <w:rPr>
          <w:rFonts w:hint="cs"/>
          <w:rtl/>
        </w:rPr>
        <w:t>ملاحظات على</w:t>
      </w:r>
      <w:r w:rsidR="007C2359" w:rsidRPr="00E22B27">
        <w:rPr>
          <w:rFonts w:hint="cs"/>
          <w:rtl/>
        </w:rPr>
        <w:t xml:space="preserve"> </w:t>
      </w:r>
      <w:r w:rsidR="00450110" w:rsidRPr="00E22B27">
        <w:rPr>
          <w:rFonts w:hint="cs"/>
          <w:rtl/>
        </w:rPr>
        <w:t>المادة</w:t>
      </w:r>
      <w:r w:rsidR="00450110" w:rsidRPr="00E22B27">
        <w:rPr>
          <w:rtl/>
        </w:rPr>
        <w:t> </w:t>
      </w:r>
      <w:r w:rsidR="003C1838" w:rsidRPr="00E22B27">
        <w:rPr>
          <w:rFonts w:hint="cs"/>
          <w:rtl/>
        </w:rPr>
        <w:t>26</w:t>
      </w:r>
      <w:r w:rsidRPr="00E22B27">
        <w:rPr>
          <w:rFonts w:hint="cs"/>
          <w:rtl/>
        </w:rPr>
        <w:t>:</w:t>
      </w:r>
      <w:r w:rsidRPr="00E22B27">
        <w:rPr>
          <w:rFonts w:hint="cs"/>
          <w:rtl/>
        </w:rPr>
        <w:tab/>
        <w:t>المراجعة</w:t>
      </w:r>
    </w:p>
    <w:p w:rsidR="00FF0AA7" w:rsidRPr="00E22B27" w:rsidRDefault="00FF0AA7" w:rsidP="00FC05C8">
      <w:pPr>
        <w:pStyle w:val="NormalParaAR"/>
        <w:rPr>
          <w:rtl/>
        </w:rPr>
      </w:pPr>
      <w:r w:rsidRPr="00E22B27">
        <w:rPr>
          <w:rFonts w:hint="cs"/>
          <w:rtl/>
        </w:rPr>
        <w:t>1.26</w:t>
      </w:r>
      <w:r w:rsidRPr="00E22B27">
        <w:rPr>
          <w:rFonts w:hint="cs"/>
          <w:rtl/>
        </w:rPr>
        <w:tab/>
        <w:t>هذا الحكم</w:t>
      </w:r>
      <w:r w:rsidR="00FC05C8">
        <w:rPr>
          <w:rFonts w:hint="cs"/>
          <w:rtl/>
        </w:rPr>
        <w:t>،</w:t>
      </w:r>
      <w:r w:rsidRPr="00E22B27">
        <w:rPr>
          <w:rFonts w:hint="cs"/>
          <w:rtl/>
        </w:rPr>
        <w:t xml:space="preserve"> الذي يؤكد القاعدة </w:t>
      </w:r>
      <w:r w:rsidR="00FC05C8">
        <w:rPr>
          <w:rFonts w:hint="cs"/>
          <w:rtl/>
        </w:rPr>
        <w:t>المعتادة</w:t>
      </w:r>
      <w:r w:rsidRPr="00E22B27">
        <w:rPr>
          <w:rFonts w:hint="cs"/>
          <w:rtl/>
        </w:rPr>
        <w:t xml:space="preserve"> بأنه يجوز تنقيح معاهدة من خلال عقد مؤتمر للأطراف المتعاقدة، قد صيغ على غرار الأحكام الواردة في معاهدة سنغافورة و</w:t>
      </w:r>
      <w:r w:rsidR="00CD0D5E" w:rsidRPr="00E22B27">
        <w:rPr>
          <w:rFonts w:hint="cs"/>
          <w:rtl/>
        </w:rPr>
        <w:t>وثيقة</w:t>
      </w:r>
      <w:r w:rsidR="00CD0D5E" w:rsidRPr="00E22B27">
        <w:rPr>
          <w:rtl/>
        </w:rPr>
        <w:t> </w:t>
      </w:r>
      <w:r w:rsidRPr="00E22B27">
        <w:rPr>
          <w:rFonts w:hint="cs"/>
          <w:rtl/>
        </w:rPr>
        <w:t>جنيف.</w:t>
      </w:r>
    </w:p>
    <w:p w:rsidR="00187464" w:rsidRPr="00E22B27" w:rsidRDefault="00187464" w:rsidP="009422A7">
      <w:pPr>
        <w:pStyle w:val="Heading1AR"/>
        <w:spacing w:before="0" w:after="360" w:line="360" w:lineRule="exact"/>
        <w:rPr>
          <w:rtl/>
        </w:rPr>
      </w:pPr>
      <w:r w:rsidRPr="00E22B27">
        <w:rPr>
          <w:rFonts w:hint="cs"/>
          <w:rtl/>
        </w:rPr>
        <w:t>ملاحظات على</w:t>
      </w:r>
      <w:r w:rsidR="007C2359" w:rsidRPr="00E22B27">
        <w:rPr>
          <w:rFonts w:hint="cs"/>
          <w:rtl/>
        </w:rPr>
        <w:t xml:space="preserve"> </w:t>
      </w:r>
      <w:r w:rsidR="00450110" w:rsidRPr="00E22B27">
        <w:rPr>
          <w:rFonts w:hint="cs"/>
          <w:rtl/>
        </w:rPr>
        <w:t>المادة</w:t>
      </w:r>
      <w:r w:rsidR="00450110" w:rsidRPr="00E22B27">
        <w:rPr>
          <w:rtl/>
        </w:rPr>
        <w:t> </w:t>
      </w:r>
      <w:r w:rsidR="003C1838" w:rsidRPr="00E22B27">
        <w:rPr>
          <w:rFonts w:hint="cs"/>
          <w:rtl/>
        </w:rPr>
        <w:t>27</w:t>
      </w:r>
      <w:r w:rsidRPr="00E22B27">
        <w:rPr>
          <w:rFonts w:hint="cs"/>
          <w:rtl/>
        </w:rPr>
        <w:t>:</w:t>
      </w:r>
      <w:r w:rsidRPr="00E22B27">
        <w:rPr>
          <w:rFonts w:hint="cs"/>
          <w:rtl/>
        </w:rPr>
        <w:tab/>
      </w:r>
      <w:r w:rsidRPr="00E22B27">
        <w:rPr>
          <w:rtl/>
        </w:rPr>
        <w:t xml:space="preserve">تعديل بعض </w:t>
      </w:r>
      <w:r w:rsidR="00450110" w:rsidRPr="00E22B27">
        <w:rPr>
          <w:rtl/>
        </w:rPr>
        <w:t>المواد </w:t>
      </w:r>
      <w:r w:rsidRPr="00E22B27">
        <w:rPr>
          <w:rtl/>
        </w:rPr>
        <w:t>في الجمعية</w:t>
      </w:r>
    </w:p>
    <w:p w:rsidR="00FF0AA7" w:rsidRPr="00E22B27" w:rsidRDefault="00FF0AA7" w:rsidP="00FC05C8">
      <w:pPr>
        <w:pStyle w:val="NormalParaAR"/>
        <w:rPr>
          <w:rtl/>
        </w:rPr>
      </w:pPr>
      <w:r w:rsidRPr="00E22B27">
        <w:rPr>
          <w:rFonts w:hint="cs"/>
          <w:rtl/>
        </w:rPr>
        <w:t>1.27</w:t>
      </w:r>
      <w:r w:rsidRPr="00E22B27">
        <w:rPr>
          <w:rFonts w:hint="cs"/>
          <w:rtl/>
        </w:rPr>
        <w:tab/>
        <w:t xml:space="preserve">أحكام هذه </w:t>
      </w:r>
      <w:r w:rsidR="00450110" w:rsidRPr="00E22B27">
        <w:rPr>
          <w:rFonts w:hint="cs"/>
          <w:rtl/>
        </w:rPr>
        <w:t>المادة</w:t>
      </w:r>
      <w:r w:rsidR="00450110" w:rsidRPr="00E22B27">
        <w:rPr>
          <w:rtl/>
        </w:rPr>
        <w:t> </w:t>
      </w:r>
      <w:r w:rsidRPr="00E22B27">
        <w:rPr>
          <w:rFonts w:hint="cs"/>
          <w:rtl/>
        </w:rPr>
        <w:t xml:space="preserve">مستمدة إلى حد بعيد من الأحكام الواردة في </w:t>
      </w:r>
      <w:r w:rsidR="00CD0D5E" w:rsidRPr="00E22B27">
        <w:rPr>
          <w:rFonts w:hint="cs"/>
          <w:rtl/>
        </w:rPr>
        <w:t>وثيقة</w:t>
      </w:r>
      <w:r w:rsidR="00CD0D5E" w:rsidRPr="00E22B27">
        <w:rPr>
          <w:rtl/>
        </w:rPr>
        <w:t> </w:t>
      </w:r>
      <w:r w:rsidRPr="00E22B27">
        <w:rPr>
          <w:rFonts w:hint="cs"/>
          <w:rtl/>
        </w:rPr>
        <w:t>جنيف.</w:t>
      </w:r>
    </w:p>
    <w:p w:rsidR="00187464" w:rsidRPr="00E22B27" w:rsidRDefault="00187464" w:rsidP="009422A7">
      <w:pPr>
        <w:pStyle w:val="Heading1AR"/>
        <w:spacing w:before="0" w:after="360" w:line="360" w:lineRule="exact"/>
        <w:rPr>
          <w:rtl/>
        </w:rPr>
      </w:pPr>
      <w:r w:rsidRPr="00E22B27">
        <w:rPr>
          <w:rFonts w:hint="cs"/>
          <w:rtl/>
        </w:rPr>
        <w:t>ملاحظات على</w:t>
      </w:r>
      <w:r w:rsidR="007C2359" w:rsidRPr="00E22B27">
        <w:rPr>
          <w:rFonts w:hint="cs"/>
          <w:rtl/>
        </w:rPr>
        <w:t xml:space="preserve"> </w:t>
      </w:r>
      <w:r w:rsidR="00450110" w:rsidRPr="00E22B27">
        <w:rPr>
          <w:rFonts w:hint="cs"/>
          <w:rtl/>
        </w:rPr>
        <w:t>المادة</w:t>
      </w:r>
      <w:r w:rsidR="00450110" w:rsidRPr="00E22B27">
        <w:rPr>
          <w:rtl/>
        </w:rPr>
        <w:t> </w:t>
      </w:r>
      <w:r w:rsidR="003C1838" w:rsidRPr="00E22B27">
        <w:rPr>
          <w:rFonts w:hint="cs"/>
          <w:rtl/>
        </w:rPr>
        <w:t>28</w:t>
      </w:r>
      <w:r w:rsidRPr="00E22B27">
        <w:rPr>
          <w:rFonts w:hint="cs"/>
          <w:rtl/>
        </w:rPr>
        <w:t>:</w:t>
      </w:r>
      <w:r w:rsidRPr="00E22B27">
        <w:rPr>
          <w:rFonts w:hint="cs"/>
          <w:rtl/>
        </w:rPr>
        <w:tab/>
        <w:t>الانضمام إلى هذه الوثيقة</w:t>
      </w:r>
    </w:p>
    <w:p w:rsidR="00B25164" w:rsidRPr="00E22B27" w:rsidRDefault="00B25164" w:rsidP="009422A7">
      <w:pPr>
        <w:pStyle w:val="NormalParaAR"/>
        <w:rPr>
          <w:rtl/>
        </w:rPr>
      </w:pPr>
      <w:r w:rsidRPr="00E22B27">
        <w:rPr>
          <w:rFonts w:hint="cs"/>
          <w:rtl/>
        </w:rPr>
        <w:t>1.28</w:t>
      </w:r>
      <w:r w:rsidRPr="00E22B27">
        <w:rPr>
          <w:rFonts w:hint="cs"/>
          <w:rtl/>
        </w:rPr>
        <w:tab/>
        <w:t xml:space="preserve">صيغت أحكام هذه </w:t>
      </w:r>
      <w:r w:rsidR="00450110" w:rsidRPr="00E22B27">
        <w:rPr>
          <w:rFonts w:hint="cs"/>
          <w:rtl/>
        </w:rPr>
        <w:t>المادة</w:t>
      </w:r>
      <w:r w:rsidR="00450110" w:rsidRPr="00E22B27">
        <w:rPr>
          <w:rtl/>
        </w:rPr>
        <w:t> </w:t>
      </w:r>
      <w:r w:rsidRPr="00E22B27">
        <w:rPr>
          <w:rFonts w:hint="cs"/>
          <w:rtl/>
        </w:rPr>
        <w:t xml:space="preserve">على غرار </w:t>
      </w:r>
      <w:r w:rsidR="00450110" w:rsidRPr="00E22B27">
        <w:rPr>
          <w:rFonts w:hint="cs"/>
          <w:rtl/>
        </w:rPr>
        <w:t>المادة</w:t>
      </w:r>
      <w:r w:rsidR="00450110" w:rsidRPr="00E22B27">
        <w:rPr>
          <w:rtl/>
        </w:rPr>
        <w:t> </w:t>
      </w:r>
      <w:r w:rsidRPr="00E22B27">
        <w:rPr>
          <w:rFonts w:hint="cs"/>
          <w:rtl/>
        </w:rPr>
        <w:t xml:space="preserve">27 من </w:t>
      </w:r>
      <w:r w:rsidR="00CD0D5E" w:rsidRPr="00E22B27">
        <w:rPr>
          <w:rFonts w:hint="cs"/>
          <w:rtl/>
        </w:rPr>
        <w:t>وثيقة</w:t>
      </w:r>
      <w:r w:rsidR="00CD0D5E" w:rsidRPr="00E22B27">
        <w:rPr>
          <w:rtl/>
        </w:rPr>
        <w:t> </w:t>
      </w:r>
      <w:r w:rsidRPr="00E22B27">
        <w:rPr>
          <w:rFonts w:hint="cs"/>
          <w:rtl/>
        </w:rPr>
        <w:t xml:space="preserve">جنيف، وكُيفت بحيث تشير إلى معايير انضمام المنظمات الحكومية الدولية التي يبدو أنها تراعي استنتاجات الفريق العامل المعني بالدراسة الواردة في </w:t>
      </w:r>
      <w:r w:rsidR="00450110" w:rsidRPr="00E22B27">
        <w:rPr>
          <w:rFonts w:hint="cs"/>
          <w:rtl/>
        </w:rPr>
        <w:t>ال</w:t>
      </w:r>
      <w:r w:rsidR="00CD0D5E" w:rsidRPr="00E22B27">
        <w:rPr>
          <w:rFonts w:hint="cs"/>
          <w:rtl/>
        </w:rPr>
        <w:t>وثيقة</w:t>
      </w:r>
      <w:r w:rsidR="00CD0D5E" w:rsidRPr="00E22B27">
        <w:rPr>
          <w:rtl/>
        </w:rPr>
        <w:t> </w:t>
      </w:r>
      <w:r w:rsidRPr="00E22B27">
        <w:t>LI/WG/DEV/2/3</w:t>
      </w:r>
      <w:r w:rsidRPr="00E22B27">
        <w:rPr>
          <w:rFonts w:hint="cs"/>
          <w:rtl/>
        </w:rPr>
        <w:t xml:space="preserve"> والتي نوقشت في الدورة الثانية للفريق العامل.</w:t>
      </w:r>
    </w:p>
    <w:p w:rsidR="00B25164" w:rsidRPr="00E22B27" w:rsidRDefault="00B25164" w:rsidP="009422A7">
      <w:pPr>
        <w:pStyle w:val="NormalParaAR"/>
        <w:rPr>
          <w:rtl/>
        </w:rPr>
      </w:pPr>
      <w:r w:rsidRPr="00E22B27">
        <w:rPr>
          <w:rFonts w:hint="cs"/>
          <w:rtl/>
        </w:rPr>
        <w:lastRenderedPageBreak/>
        <w:t>2.28</w:t>
      </w:r>
      <w:r w:rsidRPr="00E22B27">
        <w:rPr>
          <w:rFonts w:hint="cs"/>
          <w:rtl/>
        </w:rPr>
        <w:tab/>
        <w:t xml:space="preserve">بعد توضيح أن الانضمام إلى اتفاق لشبونة المراجَع لا يقتصر على الدول الأطراف في </w:t>
      </w:r>
      <w:r w:rsidR="00FC05C8">
        <w:rPr>
          <w:rFonts w:hint="cs"/>
          <w:rtl/>
        </w:rPr>
        <w:t>اتفاقية باريس</w:t>
      </w:r>
      <w:r w:rsidRPr="00E22B27">
        <w:rPr>
          <w:rFonts w:hint="cs"/>
          <w:rtl/>
        </w:rPr>
        <w:t xml:space="preserve">، تضع الفقرة(1)"2" معايير انضمام الدول غير الأطراف في </w:t>
      </w:r>
      <w:r w:rsidR="00FC05C8">
        <w:rPr>
          <w:rFonts w:hint="cs"/>
          <w:rtl/>
        </w:rPr>
        <w:t>اتفاقية باريس</w:t>
      </w:r>
      <w:r w:rsidRPr="00E22B27">
        <w:rPr>
          <w:rFonts w:hint="cs"/>
          <w:rtl/>
        </w:rPr>
        <w:t>.</w:t>
      </w:r>
    </w:p>
    <w:p w:rsidR="00B25164" w:rsidRPr="00E22B27" w:rsidRDefault="00B25164" w:rsidP="00FC05C8">
      <w:pPr>
        <w:pStyle w:val="NormalParaAR"/>
        <w:rPr>
          <w:rtl/>
        </w:rPr>
      </w:pPr>
      <w:r w:rsidRPr="00E22B27">
        <w:rPr>
          <w:rFonts w:hint="cs"/>
          <w:rtl/>
        </w:rPr>
        <w:t>3.28</w:t>
      </w:r>
      <w:r w:rsidRPr="00E22B27">
        <w:rPr>
          <w:rFonts w:hint="cs"/>
          <w:rtl/>
        </w:rPr>
        <w:tab/>
        <w:t xml:space="preserve">ينبغي قراءة الجملة الأخيرة من الفقرة(3)(ب) بالاقتران مع </w:t>
      </w:r>
      <w:r w:rsidR="00450110" w:rsidRPr="00E22B27">
        <w:rPr>
          <w:rFonts w:hint="cs"/>
          <w:rtl/>
        </w:rPr>
        <w:t>المادة</w:t>
      </w:r>
      <w:r w:rsidR="00450110" w:rsidRPr="00E22B27">
        <w:rPr>
          <w:rtl/>
        </w:rPr>
        <w:t> </w:t>
      </w:r>
      <w:r w:rsidRPr="00E22B27">
        <w:rPr>
          <w:rFonts w:hint="cs"/>
          <w:rtl/>
        </w:rPr>
        <w:t xml:space="preserve">31 وستتيح لدولة عضو في اتفاق لشبونة </w:t>
      </w:r>
      <w:r w:rsidR="00450110" w:rsidRPr="00E22B27">
        <w:rPr>
          <w:rFonts w:hint="cs"/>
          <w:rtl/>
        </w:rPr>
        <w:t>أو</w:t>
      </w:r>
      <w:r w:rsidR="00450110" w:rsidRPr="00E22B27">
        <w:rPr>
          <w:rtl/>
        </w:rPr>
        <w:t> </w:t>
      </w:r>
      <w:r w:rsidR="00CD0D5E" w:rsidRPr="00E22B27">
        <w:rPr>
          <w:rFonts w:hint="cs"/>
          <w:rtl/>
        </w:rPr>
        <w:t>وثيقة</w:t>
      </w:r>
      <w:r w:rsidR="00CD0D5E" w:rsidRPr="00E22B27">
        <w:rPr>
          <w:rtl/>
        </w:rPr>
        <w:t> </w:t>
      </w:r>
      <w:r w:rsidRPr="00E22B27">
        <w:rPr>
          <w:rFonts w:hint="cs"/>
          <w:rtl/>
        </w:rPr>
        <w:t xml:space="preserve">1967 تكون دولة عضو في منظمة حكومية دولية أن تطبق اتفاق لشبونة المراجَع عوضاً عن اتفاق لشبونة </w:t>
      </w:r>
      <w:r w:rsidR="00450110" w:rsidRPr="00E22B27">
        <w:rPr>
          <w:rFonts w:hint="cs"/>
          <w:rtl/>
        </w:rPr>
        <w:t>أو</w:t>
      </w:r>
      <w:r w:rsidR="00450110" w:rsidRPr="00E22B27">
        <w:rPr>
          <w:rtl/>
        </w:rPr>
        <w:t> </w:t>
      </w:r>
      <w:r w:rsidR="00CD0D5E" w:rsidRPr="00E22B27">
        <w:rPr>
          <w:rFonts w:hint="cs"/>
          <w:rtl/>
        </w:rPr>
        <w:t>وثيقة</w:t>
      </w:r>
      <w:r w:rsidR="00CD0D5E" w:rsidRPr="00E22B27">
        <w:rPr>
          <w:rtl/>
        </w:rPr>
        <w:t> </w:t>
      </w:r>
      <w:r w:rsidRPr="00E22B27">
        <w:rPr>
          <w:rFonts w:hint="cs"/>
          <w:rtl/>
        </w:rPr>
        <w:t>1967 قبل انضمام المنظمة الحكومية الدولية.</w:t>
      </w:r>
    </w:p>
    <w:p w:rsidR="00187464" w:rsidRPr="00E22B27" w:rsidRDefault="00187464" w:rsidP="009422A7">
      <w:pPr>
        <w:pStyle w:val="Heading1AR"/>
        <w:spacing w:before="0" w:after="360" w:line="360" w:lineRule="exact"/>
        <w:rPr>
          <w:rtl/>
        </w:rPr>
      </w:pPr>
      <w:r w:rsidRPr="00E22B27">
        <w:rPr>
          <w:rFonts w:hint="cs"/>
          <w:rtl/>
        </w:rPr>
        <w:t>ملاحظات على</w:t>
      </w:r>
      <w:r w:rsidR="007C2359" w:rsidRPr="00E22B27">
        <w:rPr>
          <w:rFonts w:hint="cs"/>
          <w:rtl/>
        </w:rPr>
        <w:t xml:space="preserve"> </w:t>
      </w:r>
      <w:r w:rsidR="00450110" w:rsidRPr="00E22B27">
        <w:rPr>
          <w:rFonts w:hint="cs"/>
          <w:rtl/>
        </w:rPr>
        <w:t>المادة</w:t>
      </w:r>
      <w:r w:rsidR="00450110" w:rsidRPr="00E22B27">
        <w:rPr>
          <w:rtl/>
        </w:rPr>
        <w:t> </w:t>
      </w:r>
      <w:r w:rsidR="003C1838" w:rsidRPr="00E22B27">
        <w:rPr>
          <w:rFonts w:hint="cs"/>
          <w:rtl/>
        </w:rPr>
        <w:t>29</w:t>
      </w:r>
      <w:r w:rsidRPr="00E22B27">
        <w:rPr>
          <w:rFonts w:hint="cs"/>
          <w:rtl/>
        </w:rPr>
        <w:t>:</w:t>
      </w:r>
      <w:r w:rsidRPr="00E22B27">
        <w:rPr>
          <w:rFonts w:hint="cs"/>
          <w:rtl/>
        </w:rPr>
        <w:tab/>
      </w:r>
      <w:r w:rsidRPr="00E22B27">
        <w:rPr>
          <w:rtl/>
        </w:rPr>
        <w:t>تاريخ نفاذ التصديق والانضمام</w:t>
      </w:r>
    </w:p>
    <w:p w:rsidR="00B25164" w:rsidRPr="00E22B27" w:rsidRDefault="00B25164" w:rsidP="00FC05C8">
      <w:pPr>
        <w:pStyle w:val="NormalParaAR"/>
        <w:rPr>
          <w:rtl/>
        </w:rPr>
      </w:pPr>
      <w:r w:rsidRPr="00E22B27">
        <w:rPr>
          <w:rFonts w:hint="cs"/>
          <w:rtl/>
        </w:rPr>
        <w:t>1.29</w:t>
      </w:r>
      <w:r w:rsidRPr="00E22B27">
        <w:rPr>
          <w:rFonts w:hint="cs"/>
          <w:rtl/>
        </w:rPr>
        <w:tab/>
        <w:t xml:space="preserve">صيغ نص هذه </w:t>
      </w:r>
      <w:r w:rsidR="00450110" w:rsidRPr="00E22B27">
        <w:rPr>
          <w:rFonts w:hint="cs"/>
          <w:rtl/>
        </w:rPr>
        <w:t>المادة</w:t>
      </w:r>
      <w:r w:rsidR="00450110" w:rsidRPr="00E22B27">
        <w:rPr>
          <w:rtl/>
        </w:rPr>
        <w:t> </w:t>
      </w:r>
      <w:r w:rsidRPr="00E22B27">
        <w:rPr>
          <w:rFonts w:hint="cs"/>
          <w:rtl/>
        </w:rPr>
        <w:t xml:space="preserve">بما يتماشى مع نص </w:t>
      </w:r>
      <w:r w:rsidR="00450110" w:rsidRPr="00E22B27">
        <w:rPr>
          <w:rFonts w:hint="cs"/>
          <w:rtl/>
        </w:rPr>
        <w:t>المادة</w:t>
      </w:r>
      <w:r w:rsidR="00450110" w:rsidRPr="00E22B27">
        <w:rPr>
          <w:rtl/>
        </w:rPr>
        <w:t> </w:t>
      </w:r>
      <w:r w:rsidRPr="00E22B27">
        <w:rPr>
          <w:rFonts w:hint="cs"/>
          <w:rtl/>
        </w:rPr>
        <w:t xml:space="preserve">28 من </w:t>
      </w:r>
      <w:r w:rsidR="00CD0D5E" w:rsidRPr="00E22B27">
        <w:rPr>
          <w:rFonts w:hint="cs"/>
          <w:rtl/>
        </w:rPr>
        <w:t>وثيقة</w:t>
      </w:r>
      <w:r w:rsidR="00CD0D5E" w:rsidRPr="00E22B27">
        <w:rPr>
          <w:rtl/>
        </w:rPr>
        <w:t> </w:t>
      </w:r>
      <w:r w:rsidRPr="00E22B27">
        <w:rPr>
          <w:rFonts w:hint="cs"/>
          <w:rtl/>
        </w:rPr>
        <w:t>جنيف ليشير إلى وا</w:t>
      </w:r>
      <w:r w:rsidR="00FC05C8">
        <w:rPr>
          <w:rFonts w:hint="cs"/>
          <w:rtl/>
        </w:rPr>
        <w:t>ق</w:t>
      </w:r>
      <w:r w:rsidRPr="00E22B27">
        <w:rPr>
          <w:rFonts w:hint="cs"/>
          <w:rtl/>
        </w:rPr>
        <w:t xml:space="preserve">ع أن كل من الدول والمنظمات الحكومية الدولية يجوز لها الانضمام إلى </w:t>
      </w:r>
      <w:r w:rsidR="00450110" w:rsidRPr="00E22B27">
        <w:rPr>
          <w:rFonts w:hint="cs"/>
          <w:rtl/>
        </w:rPr>
        <w:t>ال</w:t>
      </w:r>
      <w:r w:rsidR="00CD0D5E" w:rsidRPr="00E22B27">
        <w:rPr>
          <w:rFonts w:hint="cs"/>
          <w:rtl/>
        </w:rPr>
        <w:t>وثيقة</w:t>
      </w:r>
      <w:r w:rsidR="00CD0D5E" w:rsidRPr="00E22B27">
        <w:rPr>
          <w:rtl/>
        </w:rPr>
        <w:t> </w:t>
      </w:r>
      <w:r w:rsidRPr="00E22B27">
        <w:rPr>
          <w:rFonts w:hint="cs"/>
          <w:rtl/>
        </w:rPr>
        <w:t>الجديدة.</w:t>
      </w:r>
    </w:p>
    <w:p w:rsidR="00B25164" w:rsidRPr="00E22B27" w:rsidRDefault="00B25164" w:rsidP="00FC05C8">
      <w:pPr>
        <w:pStyle w:val="NormalParaAR"/>
        <w:rPr>
          <w:rtl/>
        </w:rPr>
      </w:pPr>
      <w:r w:rsidRPr="00E22B27">
        <w:rPr>
          <w:rFonts w:hint="cs"/>
          <w:rtl/>
        </w:rPr>
        <w:t>2.29</w:t>
      </w:r>
      <w:r w:rsidRPr="00E22B27">
        <w:rPr>
          <w:rFonts w:hint="cs"/>
          <w:rtl/>
        </w:rPr>
        <w:tab/>
        <w:t xml:space="preserve">صيغت الجملة الأولى من </w:t>
      </w:r>
      <w:r w:rsidR="00450110" w:rsidRPr="00E22B27">
        <w:rPr>
          <w:rFonts w:hint="cs"/>
          <w:rtl/>
        </w:rPr>
        <w:t>الفقرة</w:t>
      </w:r>
      <w:r w:rsidR="00450110" w:rsidRPr="00E22B27">
        <w:rPr>
          <w:rtl/>
        </w:rPr>
        <w:t> </w:t>
      </w:r>
      <w:r w:rsidRPr="00E22B27">
        <w:rPr>
          <w:rFonts w:hint="cs"/>
          <w:rtl/>
        </w:rPr>
        <w:t xml:space="preserve">(4)، التي تتناول آثار الانضمام، على غرار </w:t>
      </w:r>
      <w:r w:rsidR="00450110" w:rsidRPr="00E22B27">
        <w:rPr>
          <w:rFonts w:hint="cs"/>
          <w:rtl/>
        </w:rPr>
        <w:t>المادة</w:t>
      </w:r>
      <w:r w:rsidR="00450110" w:rsidRPr="00E22B27">
        <w:rPr>
          <w:rtl/>
        </w:rPr>
        <w:t> </w:t>
      </w:r>
      <w:r w:rsidRPr="00E22B27">
        <w:rPr>
          <w:rFonts w:hint="cs"/>
          <w:rtl/>
        </w:rPr>
        <w:t xml:space="preserve">14(2)(ب) و(ج) من </w:t>
      </w:r>
      <w:r w:rsidR="00CD0D5E" w:rsidRPr="00E22B27">
        <w:rPr>
          <w:rFonts w:hint="cs"/>
          <w:rtl/>
        </w:rPr>
        <w:t>وثيقة</w:t>
      </w:r>
      <w:r w:rsidR="00CD0D5E" w:rsidRPr="00E22B27">
        <w:rPr>
          <w:rtl/>
        </w:rPr>
        <w:t> </w:t>
      </w:r>
      <w:r w:rsidRPr="00E22B27">
        <w:rPr>
          <w:rFonts w:hint="cs"/>
          <w:rtl/>
        </w:rPr>
        <w:t xml:space="preserve">1967. وأدرجت إمكانية لتمديد المهل المشار إليها في </w:t>
      </w:r>
      <w:r w:rsidR="00450110" w:rsidRPr="00E22B27">
        <w:rPr>
          <w:rFonts w:hint="cs"/>
          <w:rtl/>
        </w:rPr>
        <w:t>المادة</w:t>
      </w:r>
      <w:r w:rsidR="00450110" w:rsidRPr="00E22B27">
        <w:rPr>
          <w:rtl/>
        </w:rPr>
        <w:t> </w:t>
      </w:r>
      <w:r w:rsidRPr="00E22B27">
        <w:rPr>
          <w:rFonts w:hint="cs"/>
          <w:rtl/>
        </w:rPr>
        <w:t>15(1) و</w:t>
      </w:r>
      <w:r w:rsidR="00450110" w:rsidRPr="00E22B27">
        <w:rPr>
          <w:rFonts w:hint="cs"/>
          <w:rtl/>
        </w:rPr>
        <w:t>المادة</w:t>
      </w:r>
      <w:r w:rsidR="00450110" w:rsidRPr="00E22B27">
        <w:rPr>
          <w:rtl/>
        </w:rPr>
        <w:t> </w:t>
      </w:r>
      <w:r w:rsidRPr="00E22B27">
        <w:rPr>
          <w:rFonts w:hint="cs"/>
          <w:rtl/>
        </w:rPr>
        <w:t xml:space="preserve">17 من مشروع اتفاق لشبونة المراجَع في الجزء الأخير من </w:t>
      </w:r>
      <w:r w:rsidR="00450110" w:rsidRPr="00E22B27">
        <w:rPr>
          <w:rFonts w:hint="cs"/>
          <w:rtl/>
        </w:rPr>
        <w:t>الفقرة</w:t>
      </w:r>
      <w:r w:rsidR="00450110" w:rsidRPr="00E22B27">
        <w:rPr>
          <w:rtl/>
        </w:rPr>
        <w:t> </w:t>
      </w:r>
      <w:r w:rsidRPr="00E22B27">
        <w:rPr>
          <w:rFonts w:hint="cs"/>
          <w:rtl/>
        </w:rPr>
        <w:t xml:space="preserve">(4) في ضوء الاقتراحات المقدمة </w:t>
      </w:r>
      <w:r w:rsidR="00FC05C8">
        <w:rPr>
          <w:rFonts w:hint="cs"/>
          <w:rtl/>
        </w:rPr>
        <w:t>رداً</w:t>
      </w:r>
      <w:r w:rsidRPr="00E22B27">
        <w:rPr>
          <w:rFonts w:hint="cs"/>
          <w:rtl/>
        </w:rPr>
        <w:t xml:space="preserve"> على استقصاء بشأن نظام لشبونة وفي ضوء مناقشات الدورة الثانية للفريق العامل.</w:t>
      </w:r>
    </w:p>
    <w:p w:rsidR="00B25164" w:rsidRPr="00E22B27" w:rsidRDefault="00B25164" w:rsidP="009422A7">
      <w:pPr>
        <w:pStyle w:val="NormalParaAR"/>
        <w:rPr>
          <w:rtl/>
        </w:rPr>
      </w:pPr>
      <w:r w:rsidRPr="00E22B27">
        <w:rPr>
          <w:rFonts w:hint="cs"/>
          <w:rtl/>
        </w:rPr>
        <w:t>3.29</w:t>
      </w:r>
      <w:r w:rsidRPr="00E22B27">
        <w:rPr>
          <w:rFonts w:hint="cs"/>
          <w:rtl/>
        </w:rPr>
        <w:tab/>
        <w:t xml:space="preserve">فيما يتعلق بالإحالة إلى </w:t>
      </w:r>
      <w:r w:rsidR="00450110" w:rsidRPr="00E22B27">
        <w:rPr>
          <w:rFonts w:hint="cs"/>
          <w:rtl/>
        </w:rPr>
        <w:t>المادة</w:t>
      </w:r>
      <w:r w:rsidR="00450110" w:rsidRPr="00E22B27">
        <w:rPr>
          <w:rtl/>
        </w:rPr>
        <w:t> </w:t>
      </w:r>
      <w:r w:rsidRPr="00E22B27">
        <w:rPr>
          <w:rFonts w:hint="cs"/>
          <w:rtl/>
        </w:rPr>
        <w:t>7 (5) و(6) المؤطرة بقوسين مربعين، انظر الملاحظة 6.7.</w:t>
      </w:r>
    </w:p>
    <w:p w:rsidR="00187464" w:rsidRPr="00E22B27" w:rsidRDefault="00187464" w:rsidP="009422A7">
      <w:pPr>
        <w:pStyle w:val="Heading1AR"/>
        <w:spacing w:before="0" w:after="360" w:line="360" w:lineRule="exact"/>
        <w:rPr>
          <w:rtl/>
        </w:rPr>
      </w:pPr>
      <w:r w:rsidRPr="00E22B27">
        <w:rPr>
          <w:rFonts w:hint="cs"/>
          <w:rtl/>
        </w:rPr>
        <w:t>ملاحظات على</w:t>
      </w:r>
      <w:r w:rsidR="007C2359" w:rsidRPr="00E22B27">
        <w:rPr>
          <w:rFonts w:hint="cs"/>
          <w:rtl/>
        </w:rPr>
        <w:t xml:space="preserve"> </w:t>
      </w:r>
      <w:r w:rsidR="00450110" w:rsidRPr="00E22B27">
        <w:rPr>
          <w:rFonts w:hint="cs"/>
          <w:rtl/>
        </w:rPr>
        <w:t>المادة</w:t>
      </w:r>
      <w:r w:rsidR="00450110" w:rsidRPr="00E22B27">
        <w:rPr>
          <w:rtl/>
        </w:rPr>
        <w:t> </w:t>
      </w:r>
      <w:r w:rsidR="003C1838" w:rsidRPr="00E22B27">
        <w:rPr>
          <w:rFonts w:hint="cs"/>
          <w:rtl/>
        </w:rPr>
        <w:t>3</w:t>
      </w:r>
      <w:r w:rsidRPr="00E22B27">
        <w:rPr>
          <w:rFonts w:hint="cs"/>
          <w:rtl/>
        </w:rPr>
        <w:t>0:</w:t>
      </w:r>
      <w:r w:rsidRPr="00E22B27">
        <w:rPr>
          <w:rFonts w:hint="cs"/>
          <w:rtl/>
        </w:rPr>
        <w:tab/>
        <w:t>ح</w:t>
      </w:r>
      <w:r w:rsidRPr="00E22B27">
        <w:rPr>
          <w:rtl/>
        </w:rPr>
        <w:t>ظر التحفظات</w:t>
      </w:r>
    </w:p>
    <w:p w:rsidR="00E6747F" w:rsidRPr="00E22B27" w:rsidRDefault="00B25164" w:rsidP="00FC05C8">
      <w:pPr>
        <w:pStyle w:val="NormalParaAR"/>
        <w:rPr>
          <w:rtl/>
        </w:rPr>
      </w:pPr>
      <w:r w:rsidRPr="00E22B27">
        <w:rPr>
          <w:rFonts w:hint="cs"/>
          <w:rtl/>
        </w:rPr>
        <w:t>1.30</w:t>
      </w:r>
      <w:r w:rsidRPr="00E22B27">
        <w:rPr>
          <w:rFonts w:hint="cs"/>
          <w:rtl/>
        </w:rPr>
        <w:tab/>
        <w:t xml:space="preserve">هذه </w:t>
      </w:r>
      <w:r w:rsidR="00450110" w:rsidRPr="00E22B27">
        <w:rPr>
          <w:rFonts w:hint="cs"/>
          <w:rtl/>
        </w:rPr>
        <w:t>المادة</w:t>
      </w:r>
      <w:r w:rsidR="00FC05C8">
        <w:rPr>
          <w:rFonts w:hint="cs"/>
          <w:rtl/>
        </w:rPr>
        <w:t xml:space="preserve">، </w:t>
      </w:r>
      <w:r w:rsidRPr="00E22B27">
        <w:rPr>
          <w:rFonts w:hint="cs"/>
          <w:rtl/>
        </w:rPr>
        <w:t xml:space="preserve">التي تستثني أي تحفظ على اتفاق لشبونة المراجَع، تشبه نص </w:t>
      </w:r>
      <w:r w:rsidR="00450110" w:rsidRPr="00E22B27">
        <w:rPr>
          <w:rFonts w:hint="cs"/>
          <w:rtl/>
        </w:rPr>
        <w:t>المادة</w:t>
      </w:r>
      <w:r w:rsidR="00450110" w:rsidRPr="00E22B27">
        <w:rPr>
          <w:rtl/>
        </w:rPr>
        <w:t> </w:t>
      </w:r>
      <w:r w:rsidRPr="00E22B27">
        <w:rPr>
          <w:rFonts w:hint="cs"/>
          <w:rtl/>
        </w:rPr>
        <w:t xml:space="preserve">29 من </w:t>
      </w:r>
      <w:r w:rsidR="00CD0D5E" w:rsidRPr="00E22B27">
        <w:rPr>
          <w:rFonts w:hint="cs"/>
          <w:rtl/>
        </w:rPr>
        <w:t>وثيقة</w:t>
      </w:r>
      <w:r w:rsidR="00CD0D5E" w:rsidRPr="00E22B27">
        <w:rPr>
          <w:rtl/>
        </w:rPr>
        <w:t> </w:t>
      </w:r>
      <w:r w:rsidRPr="00E22B27">
        <w:rPr>
          <w:rFonts w:hint="cs"/>
          <w:rtl/>
        </w:rPr>
        <w:t>جنيف.</w:t>
      </w:r>
    </w:p>
    <w:p w:rsidR="00187464" w:rsidRPr="00E22B27" w:rsidRDefault="00187464" w:rsidP="009422A7">
      <w:pPr>
        <w:pStyle w:val="Heading1AR"/>
        <w:spacing w:before="0" w:after="360" w:line="360" w:lineRule="exact"/>
        <w:rPr>
          <w:rtl/>
        </w:rPr>
      </w:pPr>
      <w:r w:rsidRPr="00E22B27">
        <w:rPr>
          <w:rFonts w:hint="cs"/>
          <w:rtl/>
        </w:rPr>
        <w:t>ملاحظات على</w:t>
      </w:r>
      <w:r w:rsidR="007C2359" w:rsidRPr="00E22B27">
        <w:rPr>
          <w:rFonts w:hint="cs"/>
          <w:rtl/>
        </w:rPr>
        <w:t xml:space="preserve"> </w:t>
      </w:r>
      <w:r w:rsidR="00450110" w:rsidRPr="00E22B27">
        <w:rPr>
          <w:rFonts w:hint="cs"/>
          <w:rtl/>
        </w:rPr>
        <w:t>المادة</w:t>
      </w:r>
      <w:r w:rsidR="00450110" w:rsidRPr="00E22B27">
        <w:rPr>
          <w:rtl/>
        </w:rPr>
        <w:t> </w:t>
      </w:r>
      <w:r w:rsidR="003C1838" w:rsidRPr="00E22B27">
        <w:rPr>
          <w:rFonts w:hint="cs"/>
          <w:rtl/>
        </w:rPr>
        <w:t>31</w:t>
      </w:r>
      <w:r w:rsidRPr="00E22B27">
        <w:rPr>
          <w:rFonts w:hint="cs"/>
          <w:rtl/>
        </w:rPr>
        <w:t>:</w:t>
      </w:r>
      <w:r w:rsidRPr="00E22B27">
        <w:rPr>
          <w:rFonts w:hint="cs"/>
          <w:rtl/>
        </w:rPr>
        <w:tab/>
        <w:t>تطبيق اتفاق لشبونة و</w:t>
      </w:r>
      <w:r w:rsidR="00CD0D5E" w:rsidRPr="00E22B27">
        <w:rPr>
          <w:rFonts w:hint="cs"/>
          <w:rtl/>
        </w:rPr>
        <w:t>وثيقة</w:t>
      </w:r>
      <w:r w:rsidR="00CD0D5E" w:rsidRPr="00E22B27">
        <w:rPr>
          <w:rtl/>
        </w:rPr>
        <w:t> </w:t>
      </w:r>
      <w:r w:rsidR="003C1838" w:rsidRPr="00E22B27">
        <w:rPr>
          <w:rFonts w:hint="cs"/>
          <w:rtl/>
        </w:rPr>
        <w:t>1967</w:t>
      </w:r>
    </w:p>
    <w:p w:rsidR="00B25164" w:rsidRPr="00E22B27" w:rsidRDefault="00B25164" w:rsidP="009422A7">
      <w:pPr>
        <w:pStyle w:val="NormalParaAR"/>
        <w:rPr>
          <w:rtl/>
        </w:rPr>
      </w:pPr>
      <w:r w:rsidRPr="00E22B27">
        <w:rPr>
          <w:rFonts w:hint="cs"/>
          <w:rtl/>
        </w:rPr>
        <w:t>1.31</w:t>
      </w:r>
      <w:r w:rsidRPr="00E22B27">
        <w:rPr>
          <w:rFonts w:hint="cs"/>
          <w:rtl/>
        </w:rPr>
        <w:tab/>
        <w:t xml:space="preserve">تتناول </w:t>
      </w:r>
      <w:r w:rsidR="00450110" w:rsidRPr="00E22B27">
        <w:rPr>
          <w:rFonts w:hint="cs"/>
          <w:rtl/>
        </w:rPr>
        <w:t>الفقرة</w:t>
      </w:r>
      <w:r w:rsidR="00450110" w:rsidRPr="00E22B27">
        <w:rPr>
          <w:rtl/>
        </w:rPr>
        <w:t> </w:t>
      </w:r>
      <w:r w:rsidRPr="00E22B27">
        <w:rPr>
          <w:rFonts w:hint="cs"/>
          <w:rtl/>
        </w:rPr>
        <w:t xml:space="preserve">(1) العلاقات بين الدول الأطراف في اتفاق لشبونة المراجع واتفاق لشبونة </w:t>
      </w:r>
      <w:r w:rsidR="00450110" w:rsidRPr="00E22B27">
        <w:rPr>
          <w:rFonts w:hint="cs"/>
          <w:rtl/>
        </w:rPr>
        <w:t>أو</w:t>
      </w:r>
      <w:r w:rsidR="00450110" w:rsidRPr="00E22B27">
        <w:rPr>
          <w:rtl/>
        </w:rPr>
        <w:t> </w:t>
      </w:r>
      <w:r w:rsidR="00CD0D5E" w:rsidRPr="00E22B27">
        <w:rPr>
          <w:rFonts w:hint="cs"/>
          <w:rtl/>
        </w:rPr>
        <w:t>وثيقة</w:t>
      </w:r>
      <w:r w:rsidR="00CD0D5E" w:rsidRPr="00E22B27">
        <w:rPr>
          <w:rtl/>
        </w:rPr>
        <w:t> </w:t>
      </w:r>
      <w:r w:rsidRPr="00E22B27">
        <w:rPr>
          <w:rFonts w:hint="cs"/>
          <w:rtl/>
        </w:rPr>
        <w:t xml:space="preserve">1967 كليهما. والمبدأ المنصوص عليه هو أن اتفاق لشبونة المراجَع وحده سينطبق على العلاقات بين تلك الدول. ومن ثم وفيما يخص الأشخاص الذين استمدوا حقهم في إيداع طلب دولي من دولة ملزمة باتفاق لشبونة المراجَع واتفاق لشبونة </w:t>
      </w:r>
      <w:r w:rsidR="00450110" w:rsidRPr="00E22B27">
        <w:rPr>
          <w:rFonts w:hint="cs"/>
          <w:rtl/>
        </w:rPr>
        <w:t>أو</w:t>
      </w:r>
      <w:r w:rsidR="00450110" w:rsidRPr="00E22B27">
        <w:rPr>
          <w:rtl/>
        </w:rPr>
        <w:t> </w:t>
      </w:r>
      <w:r w:rsidR="00CD0D5E" w:rsidRPr="00E22B27">
        <w:rPr>
          <w:rFonts w:hint="cs"/>
          <w:rtl/>
        </w:rPr>
        <w:t>وثيقة</w:t>
      </w:r>
      <w:r w:rsidR="00CD0D5E" w:rsidRPr="00E22B27">
        <w:rPr>
          <w:rtl/>
        </w:rPr>
        <w:t> </w:t>
      </w:r>
      <w:r w:rsidRPr="00E22B27">
        <w:rPr>
          <w:rFonts w:hint="cs"/>
          <w:rtl/>
        </w:rPr>
        <w:t xml:space="preserve">1967 والذين يرغبون في الحصول على حماية في دول أطراف أخرى في اتفاق لشبونة المراجَع واتفاق لشبونة </w:t>
      </w:r>
      <w:r w:rsidR="00450110" w:rsidRPr="00E22B27">
        <w:rPr>
          <w:rFonts w:hint="cs"/>
          <w:rtl/>
        </w:rPr>
        <w:t>أو</w:t>
      </w:r>
      <w:r w:rsidR="00450110" w:rsidRPr="00E22B27">
        <w:rPr>
          <w:rtl/>
        </w:rPr>
        <w:t> </w:t>
      </w:r>
      <w:r w:rsidR="00CD0D5E" w:rsidRPr="00E22B27">
        <w:rPr>
          <w:rFonts w:hint="cs"/>
          <w:rtl/>
        </w:rPr>
        <w:t>وثيقة</w:t>
      </w:r>
      <w:r w:rsidR="00CD0D5E" w:rsidRPr="00E22B27">
        <w:rPr>
          <w:rtl/>
        </w:rPr>
        <w:t> </w:t>
      </w:r>
      <w:r w:rsidRPr="00E22B27">
        <w:rPr>
          <w:rFonts w:hint="cs"/>
          <w:rtl/>
        </w:rPr>
        <w:t>1967، عند الحاجة، لا تنطبق إلا أحكام اتفاق لشبونة المراجَع.</w:t>
      </w:r>
    </w:p>
    <w:p w:rsidR="00B25164" w:rsidRPr="00E22B27" w:rsidRDefault="00B25164" w:rsidP="009422A7">
      <w:pPr>
        <w:pStyle w:val="NormalParaAR"/>
        <w:rPr>
          <w:rtl/>
        </w:rPr>
      </w:pPr>
      <w:r w:rsidRPr="00E22B27">
        <w:rPr>
          <w:rFonts w:hint="cs"/>
          <w:rtl/>
        </w:rPr>
        <w:t>2.31</w:t>
      </w:r>
      <w:r w:rsidRPr="00E22B27">
        <w:rPr>
          <w:rFonts w:hint="cs"/>
          <w:rtl/>
        </w:rPr>
        <w:tab/>
        <w:t xml:space="preserve">تتناول </w:t>
      </w:r>
      <w:r w:rsidR="00450110" w:rsidRPr="00E22B27">
        <w:rPr>
          <w:rFonts w:hint="cs"/>
          <w:rtl/>
        </w:rPr>
        <w:t>الفقرة</w:t>
      </w:r>
      <w:r w:rsidR="00450110" w:rsidRPr="00E22B27">
        <w:rPr>
          <w:rtl/>
        </w:rPr>
        <w:t> </w:t>
      </w:r>
      <w:r w:rsidRPr="00E22B27">
        <w:rPr>
          <w:rFonts w:hint="cs"/>
          <w:rtl/>
        </w:rPr>
        <w:t xml:space="preserve">(2) العلاقات بين الدول الأطراف في اتفاق لشبونة المراجَع واتفاق لشبونة </w:t>
      </w:r>
      <w:r w:rsidR="00450110" w:rsidRPr="00E22B27">
        <w:rPr>
          <w:rFonts w:hint="cs"/>
          <w:rtl/>
        </w:rPr>
        <w:t>أو</w:t>
      </w:r>
      <w:r w:rsidR="00450110" w:rsidRPr="00E22B27">
        <w:rPr>
          <w:rtl/>
        </w:rPr>
        <w:t> </w:t>
      </w:r>
      <w:r w:rsidR="00CD0D5E" w:rsidRPr="00E22B27">
        <w:rPr>
          <w:rFonts w:hint="cs"/>
          <w:rtl/>
        </w:rPr>
        <w:t>وثيقة</w:t>
      </w:r>
      <w:r w:rsidR="00CD0D5E" w:rsidRPr="00E22B27">
        <w:rPr>
          <w:rtl/>
        </w:rPr>
        <w:t> </w:t>
      </w:r>
      <w:r w:rsidRPr="00E22B27">
        <w:rPr>
          <w:rFonts w:hint="cs"/>
          <w:rtl/>
        </w:rPr>
        <w:t xml:space="preserve">1967، من جهة، وبين الدول الأطراف في اتفاق لشبونة </w:t>
      </w:r>
      <w:r w:rsidR="00450110" w:rsidRPr="00E22B27">
        <w:rPr>
          <w:rFonts w:hint="cs"/>
          <w:rtl/>
        </w:rPr>
        <w:t>أو</w:t>
      </w:r>
      <w:r w:rsidR="00450110" w:rsidRPr="00E22B27">
        <w:rPr>
          <w:rtl/>
        </w:rPr>
        <w:t> </w:t>
      </w:r>
      <w:r w:rsidR="00CD0D5E" w:rsidRPr="00E22B27">
        <w:rPr>
          <w:rFonts w:hint="cs"/>
          <w:rtl/>
        </w:rPr>
        <w:t>وثيقة</w:t>
      </w:r>
      <w:r w:rsidR="00CD0D5E" w:rsidRPr="00E22B27">
        <w:rPr>
          <w:rtl/>
        </w:rPr>
        <w:t> </w:t>
      </w:r>
      <w:r w:rsidRPr="00E22B27">
        <w:rPr>
          <w:rFonts w:hint="cs"/>
          <w:rtl/>
        </w:rPr>
        <w:t>1967 فقط دون أن تكون في الوقت ذاته أطرافاً في اتفاق لشبونة المراجَع، من جهة أخرى.</w:t>
      </w:r>
    </w:p>
    <w:p w:rsidR="00B25164" w:rsidRPr="00E22B27" w:rsidRDefault="00B25164" w:rsidP="009422A7">
      <w:pPr>
        <w:pStyle w:val="NormalParaAR"/>
        <w:rPr>
          <w:rtl/>
        </w:rPr>
      </w:pPr>
      <w:r w:rsidRPr="00E22B27">
        <w:rPr>
          <w:rFonts w:hint="cs"/>
          <w:rtl/>
        </w:rPr>
        <w:t>3.31</w:t>
      </w:r>
      <w:r w:rsidRPr="00E22B27">
        <w:rPr>
          <w:rFonts w:hint="cs"/>
          <w:rtl/>
        </w:rPr>
        <w:tab/>
        <w:t>تجدر الإشارة أيضاً إلى الملاحظة 3.28.</w:t>
      </w:r>
    </w:p>
    <w:p w:rsidR="00187464" w:rsidRPr="00E22B27" w:rsidRDefault="00187464" w:rsidP="009422A7">
      <w:pPr>
        <w:pStyle w:val="Heading1AR"/>
        <w:spacing w:before="0" w:after="360" w:line="360" w:lineRule="exact"/>
        <w:rPr>
          <w:rtl/>
        </w:rPr>
      </w:pPr>
      <w:r w:rsidRPr="00E22B27">
        <w:rPr>
          <w:rFonts w:hint="cs"/>
          <w:rtl/>
        </w:rPr>
        <w:t>ملاحظات على</w:t>
      </w:r>
      <w:r w:rsidR="007C2359" w:rsidRPr="00E22B27">
        <w:rPr>
          <w:rFonts w:hint="cs"/>
          <w:rtl/>
        </w:rPr>
        <w:t xml:space="preserve"> </w:t>
      </w:r>
      <w:r w:rsidR="00450110" w:rsidRPr="00E22B27">
        <w:rPr>
          <w:rFonts w:hint="cs"/>
          <w:rtl/>
        </w:rPr>
        <w:t>المادة</w:t>
      </w:r>
      <w:r w:rsidR="00450110" w:rsidRPr="00E22B27">
        <w:rPr>
          <w:rtl/>
        </w:rPr>
        <w:t> </w:t>
      </w:r>
      <w:r w:rsidR="003C1838" w:rsidRPr="00E22B27">
        <w:rPr>
          <w:rFonts w:hint="cs"/>
          <w:rtl/>
        </w:rPr>
        <w:t>32</w:t>
      </w:r>
      <w:r w:rsidRPr="00E22B27">
        <w:rPr>
          <w:rFonts w:hint="cs"/>
          <w:rtl/>
        </w:rPr>
        <w:t>:</w:t>
      </w:r>
      <w:r w:rsidRPr="00E22B27">
        <w:rPr>
          <w:rFonts w:hint="cs"/>
          <w:rtl/>
        </w:rPr>
        <w:tab/>
        <w:t>النقض</w:t>
      </w:r>
    </w:p>
    <w:p w:rsidR="00C11AE3" w:rsidRPr="00E22B27" w:rsidRDefault="00C11AE3" w:rsidP="00FC05C8">
      <w:pPr>
        <w:pStyle w:val="NormalParaAR"/>
        <w:rPr>
          <w:rtl/>
        </w:rPr>
      </w:pPr>
      <w:r w:rsidRPr="00E22B27">
        <w:rPr>
          <w:rFonts w:hint="cs"/>
          <w:rtl/>
        </w:rPr>
        <w:t>1.32</w:t>
      </w:r>
      <w:r w:rsidRPr="00E22B27">
        <w:rPr>
          <w:rFonts w:hint="cs"/>
          <w:rtl/>
        </w:rPr>
        <w:tab/>
        <w:t xml:space="preserve">هذه </w:t>
      </w:r>
      <w:r w:rsidR="00450110" w:rsidRPr="00E22B27">
        <w:rPr>
          <w:rFonts w:hint="cs"/>
          <w:rtl/>
        </w:rPr>
        <w:t>المادة</w:t>
      </w:r>
      <w:r w:rsidR="00450110" w:rsidRPr="00E22B27">
        <w:rPr>
          <w:rtl/>
        </w:rPr>
        <w:t> </w:t>
      </w:r>
      <w:r w:rsidRPr="00E22B27">
        <w:rPr>
          <w:rFonts w:hint="cs"/>
          <w:rtl/>
        </w:rPr>
        <w:t xml:space="preserve">مادة اعتيادية. وتمكيناً لمن نظموا أنشطتهم بوصفها وظيفة لانضمام طرف متعاقد في اتفاق لشبونة المراجَع لتنفيذ التعديلات اللازمة في حال نقض الطرف المتعاقد اتفاق لشبونة المراجَع، تنص </w:t>
      </w:r>
      <w:r w:rsidR="00450110" w:rsidRPr="00E22B27">
        <w:rPr>
          <w:rFonts w:hint="cs"/>
          <w:rtl/>
        </w:rPr>
        <w:t>الفقرة</w:t>
      </w:r>
      <w:r w:rsidR="00450110" w:rsidRPr="00E22B27">
        <w:rPr>
          <w:rtl/>
        </w:rPr>
        <w:t> </w:t>
      </w:r>
      <w:r w:rsidRPr="00E22B27">
        <w:rPr>
          <w:rFonts w:hint="cs"/>
          <w:rtl/>
        </w:rPr>
        <w:t xml:space="preserve">(2) على مهلة مدتها سنة واحدة على الأقل كي يصبح النقض نافذاً. وإضافة إلى ذلك، تضمن </w:t>
      </w:r>
      <w:r w:rsidR="00450110" w:rsidRPr="00E22B27">
        <w:rPr>
          <w:rFonts w:hint="cs"/>
          <w:rtl/>
        </w:rPr>
        <w:t>الفقرة</w:t>
      </w:r>
      <w:r w:rsidR="00450110" w:rsidRPr="00E22B27">
        <w:rPr>
          <w:rtl/>
        </w:rPr>
        <w:t> </w:t>
      </w:r>
      <w:r w:rsidRPr="00E22B27">
        <w:rPr>
          <w:rFonts w:hint="cs"/>
          <w:rtl/>
        </w:rPr>
        <w:t xml:space="preserve">(2) أن يتواصل تطبيق اتفاق لشبونة المراجَع على أي </w:t>
      </w:r>
      <w:r w:rsidRPr="00E22B27">
        <w:rPr>
          <w:rFonts w:hint="cs"/>
          <w:rtl/>
        </w:rPr>
        <w:lastRenderedPageBreak/>
        <w:t>طلب دولي معلق وعلى أي تسجيل دولي نافذ فيما يخص الطرف المتعاقد الذي نقض اتفاق لشبونة المراجَع وقت نفاذ النقض.</w:t>
      </w:r>
    </w:p>
    <w:p w:rsidR="00187464" w:rsidRPr="00E22B27" w:rsidRDefault="00187464" w:rsidP="009422A7">
      <w:pPr>
        <w:pStyle w:val="Heading1AR"/>
        <w:spacing w:before="0" w:after="360" w:line="360" w:lineRule="exact"/>
        <w:rPr>
          <w:rtl/>
        </w:rPr>
      </w:pPr>
      <w:r w:rsidRPr="00E22B27">
        <w:rPr>
          <w:rFonts w:hint="cs"/>
          <w:rtl/>
        </w:rPr>
        <w:t>ملاحظات على</w:t>
      </w:r>
      <w:r w:rsidR="007C2359" w:rsidRPr="00E22B27">
        <w:rPr>
          <w:rFonts w:hint="cs"/>
          <w:rtl/>
        </w:rPr>
        <w:t xml:space="preserve"> </w:t>
      </w:r>
      <w:r w:rsidR="00450110" w:rsidRPr="00E22B27">
        <w:rPr>
          <w:rFonts w:hint="cs"/>
          <w:rtl/>
        </w:rPr>
        <w:t>المادة</w:t>
      </w:r>
      <w:r w:rsidR="00450110" w:rsidRPr="00E22B27">
        <w:rPr>
          <w:rtl/>
        </w:rPr>
        <w:t> </w:t>
      </w:r>
      <w:r w:rsidR="003C1838" w:rsidRPr="00E22B27">
        <w:rPr>
          <w:rFonts w:hint="cs"/>
          <w:rtl/>
        </w:rPr>
        <w:t>33</w:t>
      </w:r>
      <w:r w:rsidRPr="00E22B27">
        <w:rPr>
          <w:rFonts w:hint="cs"/>
          <w:rtl/>
        </w:rPr>
        <w:t>:</w:t>
      </w:r>
      <w:r w:rsidRPr="00E22B27">
        <w:rPr>
          <w:rFonts w:hint="cs"/>
          <w:rtl/>
        </w:rPr>
        <w:tab/>
        <w:t xml:space="preserve">لغات هذه </w:t>
      </w:r>
      <w:r w:rsidR="00450110" w:rsidRPr="00E22B27">
        <w:rPr>
          <w:rFonts w:hint="cs"/>
          <w:rtl/>
        </w:rPr>
        <w:t>ال</w:t>
      </w:r>
      <w:r w:rsidR="00CD0D5E" w:rsidRPr="00E22B27">
        <w:rPr>
          <w:rFonts w:hint="cs"/>
          <w:rtl/>
        </w:rPr>
        <w:t>وثيقة</w:t>
      </w:r>
      <w:r w:rsidR="00CD0D5E" w:rsidRPr="00E22B27">
        <w:rPr>
          <w:rtl/>
        </w:rPr>
        <w:t> </w:t>
      </w:r>
      <w:r w:rsidRPr="00E22B27">
        <w:rPr>
          <w:rFonts w:hint="cs"/>
          <w:rtl/>
        </w:rPr>
        <w:t>والتوقيع عليها</w:t>
      </w:r>
    </w:p>
    <w:p w:rsidR="00C11AE3" w:rsidRPr="00E22B27" w:rsidRDefault="00C11AE3" w:rsidP="00FC05C8">
      <w:pPr>
        <w:pStyle w:val="NormalParaAR"/>
        <w:rPr>
          <w:rtl/>
        </w:rPr>
      </w:pPr>
      <w:r w:rsidRPr="00E22B27">
        <w:rPr>
          <w:rFonts w:hint="cs"/>
          <w:rtl/>
        </w:rPr>
        <w:t>1.33</w:t>
      </w:r>
      <w:r w:rsidRPr="00E22B27">
        <w:rPr>
          <w:rFonts w:hint="cs"/>
          <w:rtl/>
        </w:rPr>
        <w:tab/>
        <w:t xml:space="preserve"> تنص </w:t>
      </w:r>
      <w:r w:rsidR="00450110" w:rsidRPr="00E22B27">
        <w:rPr>
          <w:rFonts w:hint="cs"/>
          <w:rtl/>
        </w:rPr>
        <w:t>المادة</w:t>
      </w:r>
      <w:r w:rsidR="00450110" w:rsidRPr="00E22B27">
        <w:rPr>
          <w:rtl/>
        </w:rPr>
        <w:t> </w:t>
      </w:r>
      <w:r w:rsidRPr="00E22B27">
        <w:rPr>
          <w:rFonts w:hint="cs"/>
          <w:rtl/>
        </w:rPr>
        <w:t xml:space="preserve">33 بوجه خاص على أن يوقع اتفاق لشبونة المراجَع في نسخة أصلية باللغات الرسمية الست للأمم المتحدة </w:t>
      </w:r>
      <w:r w:rsidR="00FC05C8">
        <w:rPr>
          <w:rFonts w:hint="cs"/>
          <w:rtl/>
        </w:rPr>
        <w:t>وتعتبر كل النصوص متساوية في الحجية</w:t>
      </w:r>
      <w:r w:rsidRPr="00E22B27">
        <w:rPr>
          <w:rFonts w:hint="cs"/>
          <w:rtl/>
        </w:rPr>
        <w:t>.</w:t>
      </w:r>
    </w:p>
    <w:p w:rsidR="002F77FC" w:rsidRPr="00E22B27" w:rsidRDefault="00187464" w:rsidP="009422A7">
      <w:pPr>
        <w:pStyle w:val="Heading1AR"/>
        <w:spacing w:before="0" w:after="360" w:line="360" w:lineRule="exact"/>
        <w:rPr>
          <w:rtl/>
        </w:rPr>
      </w:pPr>
      <w:r w:rsidRPr="00E22B27">
        <w:rPr>
          <w:rFonts w:hint="cs"/>
          <w:rtl/>
        </w:rPr>
        <w:t>ملاحظات على</w:t>
      </w:r>
      <w:r w:rsidR="007C2359" w:rsidRPr="00E22B27">
        <w:rPr>
          <w:rFonts w:hint="cs"/>
          <w:rtl/>
        </w:rPr>
        <w:t xml:space="preserve"> </w:t>
      </w:r>
      <w:r w:rsidR="00450110" w:rsidRPr="00E22B27">
        <w:rPr>
          <w:rFonts w:hint="cs"/>
          <w:rtl/>
        </w:rPr>
        <w:t>المادة</w:t>
      </w:r>
      <w:r w:rsidR="00450110" w:rsidRPr="00E22B27">
        <w:rPr>
          <w:rtl/>
        </w:rPr>
        <w:t> </w:t>
      </w:r>
      <w:r w:rsidR="003C1838" w:rsidRPr="00E22B27">
        <w:rPr>
          <w:rFonts w:hint="cs"/>
          <w:rtl/>
        </w:rPr>
        <w:t>34</w:t>
      </w:r>
      <w:r w:rsidRPr="00E22B27">
        <w:rPr>
          <w:rFonts w:hint="cs"/>
          <w:rtl/>
        </w:rPr>
        <w:t>:</w:t>
      </w:r>
      <w:r w:rsidRPr="00E22B27">
        <w:rPr>
          <w:rFonts w:hint="cs"/>
          <w:rtl/>
        </w:rPr>
        <w:tab/>
        <w:t>أمين الإيداع</w:t>
      </w:r>
    </w:p>
    <w:p w:rsidR="003C1838" w:rsidRPr="00E22B27" w:rsidRDefault="00C11AE3" w:rsidP="00FC05C8">
      <w:pPr>
        <w:pStyle w:val="NormalParaAR"/>
        <w:rPr>
          <w:rtl/>
        </w:rPr>
      </w:pPr>
      <w:r w:rsidRPr="00E22B27">
        <w:rPr>
          <w:rFonts w:hint="cs"/>
          <w:rtl/>
        </w:rPr>
        <w:t>1.34</w:t>
      </w:r>
      <w:r w:rsidRPr="00E22B27">
        <w:rPr>
          <w:rFonts w:hint="cs"/>
          <w:rtl/>
        </w:rPr>
        <w:tab/>
        <w:t xml:space="preserve">تنص </w:t>
      </w:r>
      <w:r w:rsidR="00450110" w:rsidRPr="00E22B27">
        <w:rPr>
          <w:rFonts w:hint="cs"/>
          <w:rtl/>
        </w:rPr>
        <w:t>المادة</w:t>
      </w:r>
      <w:r w:rsidR="00450110" w:rsidRPr="00E22B27">
        <w:rPr>
          <w:rtl/>
        </w:rPr>
        <w:t> </w:t>
      </w:r>
      <w:r w:rsidRPr="00E22B27">
        <w:rPr>
          <w:rFonts w:hint="cs"/>
          <w:rtl/>
        </w:rPr>
        <w:t>34 على أن المدير العام أمين إيداع اتفاق لشبونة المراجَع. وطبيعة واجبات أمين إيداع معاهدة معر</w:t>
      </w:r>
      <w:r w:rsidR="00FC05C8">
        <w:rPr>
          <w:rFonts w:hint="cs"/>
          <w:rtl/>
        </w:rPr>
        <w:t>َّ</w:t>
      </w:r>
      <w:r w:rsidRPr="00E22B27">
        <w:rPr>
          <w:rFonts w:hint="cs"/>
          <w:rtl/>
        </w:rPr>
        <w:t xml:space="preserve">فة، وترد قائمة بهذه الواجبات في </w:t>
      </w:r>
      <w:r w:rsidR="00450110" w:rsidRPr="00E22B27">
        <w:rPr>
          <w:rFonts w:hint="cs"/>
          <w:rtl/>
        </w:rPr>
        <w:t>المادتين</w:t>
      </w:r>
      <w:r w:rsidR="00450110" w:rsidRPr="00E22B27">
        <w:rPr>
          <w:rtl/>
        </w:rPr>
        <w:t> </w:t>
      </w:r>
      <w:r w:rsidRPr="00E22B27">
        <w:rPr>
          <w:rFonts w:hint="cs"/>
          <w:rtl/>
        </w:rPr>
        <w:t>76 و77 من اتفاق فيينا بشأن قانون المعاهدات. و</w:t>
      </w:r>
      <w:r w:rsidR="00FC05C8">
        <w:rPr>
          <w:rFonts w:hint="cs"/>
          <w:rtl/>
        </w:rPr>
        <w:t xml:space="preserve">تكمن </w:t>
      </w:r>
      <w:r w:rsidRPr="00E22B27">
        <w:rPr>
          <w:rFonts w:hint="cs"/>
          <w:rtl/>
        </w:rPr>
        <w:t xml:space="preserve">هذه الواجبات بوجه خاص في الحفاظ على النص الأصلي لاتفاق لشبونة المراجَع ووضع نسخ مصدق عليها من النص الأصلي وتلقي وثائق التصديق </w:t>
      </w:r>
      <w:r w:rsidR="00450110" w:rsidRPr="00E22B27">
        <w:rPr>
          <w:rFonts w:hint="cs"/>
          <w:rtl/>
        </w:rPr>
        <w:t>أو</w:t>
      </w:r>
      <w:r w:rsidR="00450110" w:rsidRPr="00E22B27">
        <w:rPr>
          <w:rtl/>
        </w:rPr>
        <w:t> </w:t>
      </w:r>
      <w:r w:rsidRPr="00E22B27">
        <w:rPr>
          <w:rFonts w:hint="cs"/>
          <w:rtl/>
        </w:rPr>
        <w:t>الانضمام المودعة.</w:t>
      </w:r>
    </w:p>
    <w:p w:rsidR="00C11AE3" w:rsidRPr="00E22B27" w:rsidRDefault="00C11AE3" w:rsidP="009422A7">
      <w:pPr>
        <w:pStyle w:val="EndofDocumentAR"/>
        <w:rPr>
          <w:rtl/>
        </w:rPr>
      </w:pPr>
      <w:r w:rsidRPr="00E22B27">
        <w:rPr>
          <w:rFonts w:hint="cs"/>
          <w:rtl/>
        </w:rPr>
        <w:t>[نهاية المرفق الأول؛ يلي ذلك المرفق الثاني]</w:t>
      </w:r>
    </w:p>
    <w:p w:rsidR="003C1838" w:rsidRPr="00E22B27" w:rsidRDefault="003C1838" w:rsidP="009422A7">
      <w:pPr>
        <w:pStyle w:val="EndofDocumentAR"/>
      </w:pPr>
    </w:p>
    <w:p w:rsidR="003C1838" w:rsidRPr="00E22B27" w:rsidRDefault="003C1838" w:rsidP="009422A7">
      <w:pPr>
        <w:bidi/>
        <w:sectPr w:rsidR="003C1838" w:rsidRPr="00E22B27" w:rsidSect="002C1826">
          <w:headerReference w:type="default" r:id="rId11"/>
          <w:headerReference w:type="first" r:id="rId12"/>
          <w:endnotePr>
            <w:numFmt w:val="decimal"/>
          </w:endnotePr>
          <w:pgSz w:w="11907" w:h="16840"/>
          <w:pgMar w:top="567" w:right="1134" w:bottom="1418" w:left="1418" w:header="510" w:footer="1021" w:gutter="0"/>
          <w:pgNumType w:start="1"/>
          <w:cols w:space="720"/>
          <w:titlePg/>
          <w:docGrid w:linePitch="299"/>
        </w:sectPr>
      </w:pPr>
    </w:p>
    <w:p w:rsidR="003D49F4" w:rsidRPr="00E22B27" w:rsidRDefault="003D49F4" w:rsidP="009422A7">
      <w:pPr>
        <w:pStyle w:val="Heading1AR"/>
        <w:spacing w:before="0" w:after="360" w:line="360" w:lineRule="exact"/>
      </w:pPr>
      <w:r w:rsidRPr="00E22B27">
        <w:rPr>
          <w:rtl/>
        </w:rPr>
        <w:lastRenderedPageBreak/>
        <w:t>القسم باء – 3 من الاستعراض السنوي لنظام مدريد لعام 2014</w:t>
      </w:r>
    </w:p>
    <w:p w:rsidR="001A7B2A" w:rsidRPr="00E22B27" w:rsidRDefault="001A7B2A" w:rsidP="009422A7">
      <w:pPr>
        <w:pStyle w:val="NormalParaAR"/>
        <w:keepNext/>
        <w:rPr>
          <w:rtl/>
        </w:rPr>
      </w:pPr>
      <w:r w:rsidRPr="00E22B27">
        <w:rPr>
          <w:rtl/>
        </w:rPr>
        <w:t xml:space="preserve">باء </w:t>
      </w:r>
      <w:r w:rsidR="0077628C">
        <w:rPr>
          <w:rtl/>
        </w:rPr>
        <w:noBreakHyphen/>
      </w:r>
      <w:r w:rsidRPr="00E22B27">
        <w:rPr>
          <w:rtl/>
        </w:rPr>
        <w:t>3 الإيرادات والرسوم</w:t>
      </w:r>
    </w:p>
    <w:p w:rsidR="003D49F4" w:rsidRPr="00E22B27" w:rsidRDefault="001A7B2A" w:rsidP="009422A7">
      <w:pPr>
        <w:pStyle w:val="NormalParaAR"/>
        <w:keepNext/>
        <w:rPr>
          <w:u w:val="single"/>
          <w:rtl/>
        </w:rPr>
      </w:pPr>
      <w:r w:rsidRPr="00E22B27">
        <w:rPr>
          <w:u w:val="single"/>
          <w:rtl/>
        </w:rPr>
        <w:t xml:space="preserve">باء </w:t>
      </w:r>
      <w:r w:rsidR="0077628C">
        <w:rPr>
          <w:u w:val="single"/>
          <w:rtl/>
        </w:rPr>
        <w:noBreakHyphen/>
      </w:r>
      <w:r w:rsidRPr="00E22B27">
        <w:rPr>
          <w:u w:val="single"/>
          <w:rtl/>
        </w:rPr>
        <w:t xml:space="preserve">3 </w:t>
      </w:r>
      <w:r w:rsidR="0077628C">
        <w:rPr>
          <w:u w:val="single"/>
          <w:rtl/>
        </w:rPr>
        <w:noBreakHyphen/>
      </w:r>
      <w:r w:rsidRPr="00E22B27">
        <w:rPr>
          <w:u w:val="single"/>
          <w:rtl/>
        </w:rPr>
        <w:t>1 مجموع الإيرادات التي جمعها المكتب الدولي</w:t>
      </w:r>
    </w:p>
    <w:p w:rsidR="00F661A2" w:rsidRPr="00E22B27" w:rsidRDefault="00F661A2" w:rsidP="009422A7">
      <w:pPr>
        <w:pStyle w:val="NormalParaAR"/>
        <w:rPr>
          <w:rtl/>
        </w:rPr>
      </w:pPr>
      <w:r w:rsidRPr="00E22B27">
        <w:rPr>
          <w:rtl/>
        </w:rPr>
        <w:t>يحص</w:t>
      </w:r>
      <w:r w:rsidR="003B43F2">
        <w:rPr>
          <w:rFonts w:hint="cs"/>
          <w:rtl/>
        </w:rPr>
        <w:t>ِّ</w:t>
      </w:r>
      <w:r w:rsidRPr="00E22B27">
        <w:rPr>
          <w:rtl/>
        </w:rPr>
        <w:t xml:space="preserve">ل المكتب الدولي رسوماً بالفرنك السويسري للخدمات المتعلقة بطلب العلامات وتسجيلها وتجديدها. ويبين </w:t>
      </w:r>
      <w:r w:rsidR="004B3649" w:rsidRPr="00E22B27">
        <w:rPr>
          <w:rtl/>
        </w:rPr>
        <w:t>الشكل</w:t>
      </w:r>
      <w:r w:rsidR="003B43F2">
        <w:rPr>
          <w:rtl/>
        </w:rPr>
        <w:t xml:space="preserve"> </w:t>
      </w:r>
      <w:r w:rsidR="002C5A34">
        <w:rPr>
          <w:rtl/>
        </w:rPr>
        <w:t xml:space="preserve">باء </w:t>
      </w:r>
      <w:r w:rsidR="0077628C">
        <w:rPr>
          <w:rtl/>
        </w:rPr>
        <w:noBreakHyphen/>
      </w:r>
      <w:r w:rsidR="002C5A34">
        <w:rPr>
          <w:rtl/>
        </w:rPr>
        <w:t xml:space="preserve"> 3 </w:t>
      </w:r>
      <w:r w:rsidR="0077628C">
        <w:rPr>
          <w:rtl/>
        </w:rPr>
        <w:noBreakHyphen/>
      </w:r>
      <w:r w:rsidR="002C5A34">
        <w:rPr>
          <w:rtl/>
        </w:rPr>
        <w:t xml:space="preserve"> 1</w:t>
      </w:r>
      <w:r w:rsidR="003B43F2">
        <w:rPr>
          <w:rtl/>
        </w:rPr>
        <w:t xml:space="preserve"> </w:t>
      </w:r>
      <w:r w:rsidRPr="00E22B27">
        <w:rPr>
          <w:rtl/>
        </w:rPr>
        <w:t xml:space="preserve">مجموع إيرادات نظام مدريد بين عامي 2001 و2013. فقد وصل مجموع الإيرادات التي جمعها المكتب الدولي في عام 2013 إلى 169 55 مليون فرنك سويسري، أي بزيادة قدرها 4.6% مقارنة بعام 2012. وسجل مبلغ إيرادات النظام زيادة في جميع السنوات المبينة إلا عامي 2002 و 2009، عندما انخفضت الإيرادات بنسبة 7% و8.2% على التوالي. ويشير ذلك إلى انخفاض عدد الطلبات الدولية المودعة في هذين العامين (انظر الشكل ألف – 1 </w:t>
      </w:r>
      <w:r w:rsidR="0077628C">
        <w:rPr>
          <w:rtl/>
        </w:rPr>
        <w:noBreakHyphen/>
      </w:r>
      <w:r w:rsidRPr="00E22B27">
        <w:rPr>
          <w:rtl/>
        </w:rPr>
        <w:t>1). وسُجل أعلى معدل نمو في عام 2005 (+23.8%) و2006 (+27.9%) ويُعزى ذلك جزئياً إلى توسع عضوية نظام مدريد. إذ انضمت مثلاً جمهورية كوريا والولايات المتحدة إلى نظام مدريد في عام 2003.</w:t>
      </w:r>
    </w:p>
    <w:p w:rsidR="001A7B2A" w:rsidRPr="00E22B27" w:rsidRDefault="004B3649" w:rsidP="009422A7">
      <w:pPr>
        <w:pStyle w:val="NormalParaAR"/>
        <w:keepNext/>
        <w:rPr>
          <w:i/>
          <w:iCs/>
          <w:rtl/>
        </w:rPr>
      </w:pPr>
      <w:r w:rsidRPr="00E22B27">
        <w:rPr>
          <w:i/>
          <w:iCs/>
          <w:rtl/>
        </w:rPr>
        <w:t>الشكل</w:t>
      </w:r>
      <w:r w:rsidR="003B43F2">
        <w:rPr>
          <w:i/>
          <w:iCs/>
          <w:rtl/>
        </w:rPr>
        <w:t xml:space="preserve"> </w:t>
      </w:r>
      <w:r w:rsidR="002C5A34">
        <w:rPr>
          <w:i/>
          <w:iCs/>
          <w:rtl/>
        </w:rPr>
        <w:t xml:space="preserve">باء </w:t>
      </w:r>
      <w:r w:rsidR="0077628C">
        <w:rPr>
          <w:i/>
          <w:iCs/>
          <w:rtl/>
        </w:rPr>
        <w:noBreakHyphen/>
      </w:r>
      <w:r w:rsidR="002C5A34">
        <w:rPr>
          <w:i/>
          <w:iCs/>
          <w:rtl/>
        </w:rPr>
        <w:t xml:space="preserve"> 3 </w:t>
      </w:r>
      <w:r w:rsidR="0077628C">
        <w:rPr>
          <w:i/>
          <w:iCs/>
          <w:rtl/>
        </w:rPr>
        <w:noBreakHyphen/>
      </w:r>
      <w:r w:rsidR="002C5A34">
        <w:rPr>
          <w:i/>
          <w:iCs/>
          <w:rtl/>
        </w:rPr>
        <w:t xml:space="preserve"> 1</w:t>
      </w:r>
      <w:r w:rsidR="003B43F2">
        <w:rPr>
          <w:i/>
          <w:iCs/>
          <w:rtl/>
        </w:rPr>
        <w:tab/>
      </w:r>
      <w:r w:rsidR="00F661A2" w:rsidRPr="00E22B27">
        <w:rPr>
          <w:i/>
          <w:iCs/>
          <w:rtl/>
        </w:rPr>
        <w:t>مجموع الإيرادات التي جمعها المكتب الدولي</w:t>
      </w:r>
    </w:p>
    <w:tbl>
      <w:tblPr>
        <w:tblW w:w="0" w:type="auto"/>
        <w:jc w:val="center"/>
        <w:tblLayout w:type="fixed"/>
        <w:tblLook w:val="01E0" w:firstRow="1" w:lastRow="1" w:firstColumn="1" w:lastColumn="1" w:noHBand="0" w:noVBand="0"/>
      </w:tblPr>
      <w:tblGrid>
        <w:gridCol w:w="9287"/>
      </w:tblGrid>
      <w:tr w:rsidR="003C1838" w:rsidRPr="00E22B27" w:rsidTr="004B3649">
        <w:trPr>
          <w:jc w:val="center"/>
        </w:trPr>
        <w:tc>
          <w:tcPr>
            <w:tcW w:w="9287" w:type="dxa"/>
            <w:tcBorders>
              <w:top w:val="single" w:sz="4" w:space="0" w:color="auto"/>
              <w:left w:val="single" w:sz="4" w:space="0" w:color="auto"/>
              <w:bottom w:val="single" w:sz="4" w:space="0" w:color="auto"/>
              <w:right w:val="single" w:sz="4" w:space="0" w:color="auto"/>
            </w:tcBorders>
            <w:hideMark/>
          </w:tcPr>
          <w:p w:rsidR="003C1838" w:rsidRPr="00E22B27" w:rsidRDefault="00F661A2" w:rsidP="009422A7">
            <w:pPr>
              <w:bidi/>
              <w:jc w:val="center"/>
              <w:rPr>
                <w:rFonts w:eastAsia="SimSun"/>
                <w:lang w:eastAsia="zh-CN"/>
              </w:rPr>
            </w:pPr>
            <w:r w:rsidRPr="00E22B27">
              <w:rPr>
                <w:rFonts w:eastAsia="SimSun"/>
                <w:noProof/>
              </w:rPr>
              <w:drawing>
                <wp:inline distT="0" distB="0" distL="0" distR="0" wp14:anchorId="5E216437" wp14:editId="420E8153">
                  <wp:extent cx="5747385" cy="2190750"/>
                  <wp:effectExtent l="0" t="0" r="5715" b="0"/>
                  <wp:docPr id="13" name="Picture 13" descr="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7385" cy="2190750"/>
                          </a:xfrm>
                          <a:prstGeom prst="rect">
                            <a:avLst/>
                          </a:prstGeom>
                          <a:noFill/>
                          <a:ln>
                            <a:noFill/>
                          </a:ln>
                        </pic:spPr>
                      </pic:pic>
                    </a:graphicData>
                  </a:graphic>
                </wp:inline>
              </w:drawing>
            </w:r>
          </w:p>
        </w:tc>
      </w:tr>
    </w:tbl>
    <w:p w:rsidR="00F661A2" w:rsidRPr="00E22B27" w:rsidRDefault="00F661A2" w:rsidP="009422A7">
      <w:pPr>
        <w:pStyle w:val="NormalParaAR"/>
        <w:rPr>
          <w:rtl/>
        </w:rPr>
      </w:pPr>
      <w:r w:rsidRPr="00E22B27">
        <w:rPr>
          <w:rFonts w:hint="cs"/>
          <w:rtl/>
        </w:rPr>
        <w:t xml:space="preserve">المصدر: </w:t>
      </w:r>
      <w:r w:rsidRPr="00E22B27">
        <w:rPr>
          <w:rtl/>
        </w:rPr>
        <w:t>قاعدة بيانات إحصاءات الويبو</w:t>
      </w:r>
      <w:r w:rsidRPr="00E22B27">
        <w:rPr>
          <w:rFonts w:hint="cs"/>
          <w:rtl/>
        </w:rPr>
        <w:t>، مارس 2014</w:t>
      </w:r>
    </w:p>
    <w:p w:rsidR="00F661A2" w:rsidRPr="00E22B27" w:rsidRDefault="00F661A2" w:rsidP="009422A7">
      <w:pPr>
        <w:pStyle w:val="NormalParaAR"/>
        <w:keepNext/>
        <w:rPr>
          <w:u w:val="single"/>
          <w:rtl/>
        </w:rPr>
      </w:pPr>
      <w:r w:rsidRPr="00E22B27">
        <w:rPr>
          <w:rFonts w:hint="cs"/>
          <w:u w:val="single"/>
          <w:rtl/>
        </w:rPr>
        <w:t xml:space="preserve">باء </w:t>
      </w:r>
      <w:r w:rsidRPr="00E22B27">
        <w:rPr>
          <w:u w:val="single"/>
          <w:rtl/>
        </w:rPr>
        <w:t>–</w:t>
      </w:r>
      <w:r w:rsidRPr="00E22B27">
        <w:rPr>
          <w:rFonts w:hint="cs"/>
          <w:u w:val="single"/>
          <w:rtl/>
        </w:rPr>
        <w:t xml:space="preserve"> 3 </w:t>
      </w:r>
      <w:r w:rsidRPr="00E22B27">
        <w:rPr>
          <w:u w:val="single"/>
          <w:rtl/>
        </w:rPr>
        <w:t>–</w:t>
      </w:r>
      <w:r w:rsidRPr="00E22B27">
        <w:rPr>
          <w:rFonts w:hint="cs"/>
          <w:u w:val="single"/>
          <w:rtl/>
        </w:rPr>
        <w:t xml:space="preserve"> 2</w:t>
      </w:r>
      <w:r w:rsidRPr="00E22B27">
        <w:rPr>
          <w:rFonts w:hint="cs"/>
          <w:u w:val="single"/>
          <w:rtl/>
        </w:rPr>
        <w:tab/>
        <w:t>الرسوم التي وزعها المكتب الدولي على أعضاء نظام مدريد</w:t>
      </w:r>
    </w:p>
    <w:p w:rsidR="00E917B1" w:rsidRPr="00E22B27" w:rsidRDefault="00E917B1" w:rsidP="003B43F2">
      <w:pPr>
        <w:pStyle w:val="NormalParaAR"/>
        <w:rPr>
          <w:rtl/>
        </w:rPr>
      </w:pPr>
      <w:r w:rsidRPr="00E22B27">
        <w:rPr>
          <w:rFonts w:hint="cs"/>
          <w:rtl/>
        </w:rPr>
        <w:t>يحصِّل المكتب الدولي رسوماً يوزعها على أعضاء نظام مدريد. ووزع المكتب الدولي، في عام 2013، نحو 172.4 مليون فرنك سويسري على جميع الأعضاء المعينين.</w:t>
      </w:r>
      <w:r w:rsidRPr="00E22B27">
        <w:rPr>
          <w:rStyle w:val="FootnoteReference"/>
          <w:rtl/>
        </w:rPr>
        <w:footnoteReference w:id="3"/>
      </w:r>
      <w:r w:rsidRPr="00E22B27">
        <w:rPr>
          <w:rFonts w:hint="cs"/>
          <w:rtl/>
        </w:rPr>
        <w:t xml:space="preserve"> فحصل الاتحاد الأوروبي (عبر المكتب المعني بالتنسيق في السوق الداخلية) على الحصة الأكبر من هذا المبلغ (12.7%) ويليه اليابان (8.6%) فالولايات المتحدة (7.3%) فأستراليا (6.5%) فالصين (4.0%). وحصل الأعضاء الخمسة الأكثر تعييناً في نظام مدريد </w:t>
      </w:r>
      <w:r w:rsidRPr="00E22B27">
        <w:rPr>
          <w:rtl/>
        </w:rPr>
        <w:t>–</w:t>
      </w:r>
      <w:r w:rsidRPr="00E22B27">
        <w:rPr>
          <w:rFonts w:hint="cs"/>
          <w:rtl/>
        </w:rPr>
        <w:t xml:space="preserve"> من حيث توزيع الرسوم عليها </w:t>
      </w:r>
      <w:r w:rsidRPr="00E22B27">
        <w:rPr>
          <w:rtl/>
        </w:rPr>
        <w:t>–</w:t>
      </w:r>
      <w:r w:rsidRPr="00E22B27">
        <w:rPr>
          <w:rFonts w:hint="cs"/>
          <w:rtl/>
        </w:rPr>
        <w:t xml:space="preserve"> على نحو 40% من مجموع عام 2013 وهي حصة مماثلة لحصتهم الإجمالية في العام السابق. ولم تتغير حصص غالبية أعضاء نظام مدريد المدرجين في القائمة بين عامي 2013 و2012 وإن شهد الاتحاد الأوروبي أكبر تغير إذ سجل انخفاضاً طفيفاً (</w:t>
      </w:r>
      <w:r w:rsidR="0077628C">
        <w:rPr>
          <w:rFonts w:hint="cs"/>
          <w:rtl/>
        </w:rPr>
        <w:noBreakHyphen/>
      </w:r>
      <w:r w:rsidRPr="00E22B27">
        <w:rPr>
          <w:rFonts w:hint="cs"/>
          <w:rtl/>
        </w:rPr>
        <w:t xml:space="preserve">0.8 نقطة مئوية) بينما سجلت أستراليا زيادة طفيفة (+0.6 نقطة مئوية). وحصل جميع أعضاء مدريد المذكورين على إيرادات أكبر من الرسوم التي حصَّلها المكتب الدولي في 2013 مقارنة بعام 2012 باستثناء تركيا التي حصلت على 4.0 ملايين فرنك سويسري أي 000 70 فرنك سويسري أقل </w:t>
      </w:r>
      <w:r w:rsidR="003B43F2">
        <w:rPr>
          <w:rFonts w:hint="cs"/>
          <w:rtl/>
        </w:rPr>
        <w:t>م</w:t>
      </w:r>
      <w:r w:rsidRPr="00E22B27">
        <w:rPr>
          <w:rFonts w:hint="cs"/>
          <w:rtl/>
        </w:rPr>
        <w:t>ن العام السابق.</w:t>
      </w:r>
    </w:p>
    <w:p w:rsidR="00E917B1" w:rsidRPr="00E22B27" w:rsidRDefault="00E917B1" w:rsidP="002C5A34">
      <w:pPr>
        <w:pStyle w:val="NormalParaAR"/>
        <w:keepNext/>
        <w:rPr>
          <w:i/>
          <w:iCs/>
          <w:rtl/>
        </w:rPr>
      </w:pPr>
      <w:r w:rsidRPr="00E22B27">
        <w:rPr>
          <w:rFonts w:hint="cs"/>
          <w:i/>
          <w:iCs/>
          <w:rtl/>
        </w:rPr>
        <w:lastRenderedPageBreak/>
        <w:t>الجدول</w:t>
      </w:r>
      <w:r w:rsidR="003B43F2">
        <w:rPr>
          <w:rFonts w:hint="cs"/>
          <w:i/>
          <w:iCs/>
          <w:rtl/>
        </w:rPr>
        <w:t xml:space="preserve"> </w:t>
      </w:r>
      <w:r w:rsidR="002C5A34">
        <w:rPr>
          <w:i/>
          <w:iCs/>
          <w:rtl/>
        </w:rPr>
        <w:t xml:space="preserve">باء </w:t>
      </w:r>
      <w:r w:rsidR="0077628C">
        <w:rPr>
          <w:i/>
          <w:iCs/>
          <w:rtl/>
        </w:rPr>
        <w:noBreakHyphen/>
      </w:r>
      <w:r w:rsidR="002C5A34">
        <w:rPr>
          <w:i/>
          <w:iCs/>
          <w:rtl/>
        </w:rPr>
        <w:t xml:space="preserve"> 3 </w:t>
      </w:r>
      <w:r w:rsidR="0077628C">
        <w:rPr>
          <w:i/>
          <w:iCs/>
          <w:rtl/>
        </w:rPr>
        <w:noBreakHyphen/>
      </w:r>
      <w:r w:rsidR="002C5A34">
        <w:rPr>
          <w:i/>
          <w:iCs/>
          <w:rtl/>
        </w:rPr>
        <w:t xml:space="preserve"> 2</w:t>
      </w:r>
      <w:r w:rsidRPr="00E22B27">
        <w:rPr>
          <w:i/>
          <w:iCs/>
        </w:rPr>
        <w:tab/>
      </w:r>
      <w:r w:rsidRPr="00E22B27">
        <w:rPr>
          <w:rFonts w:hint="cs"/>
          <w:i/>
          <w:iCs/>
          <w:rtl/>
        </w:rPr>
        <w:t>الرسوم التي وزعها المكتب الدولي على أعضاء نظام مدريد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7"/>
      </w:tblGrid>
      <w:tr w:rsidR="003C1838" w:rsidRPr="00E22B27" w:rsidTr="004B3649">
        <w:trPr>
          <w:jc w:val="center"/>
        </w:trPr>
        <w:tc>
          <w:tcPr>
            <w:tcW w:w="9287" w:type="dxa"/>
            <w:tcBorders>
              <w:top w:val="single" w:sz="4" w:space="0" w:color="auto"/>
              <w:left w:val="single" w:sz="4" w:space="0" w:color="auto"/>
              <w:bottom w:val="single" w:sz="4" w:space="0" w:color="auto"/>
              <w:right w:val="single" w:sz="4" w:space="0" w:color="auto"/>
            </w:tcBorders>
            <w:hideMark/>
          </w:tcPr>
          <w:p w:rsidR="003C1838" w:rsidRPr="00E22B27" w:rsidRDefault="003C1838" w:rsidP="009422A7">
            <w:pPr>
              <w:bidi/>
              <w:jc w:val="center"/>
              <w:rPr>
                <w:rFonts w:eastAsia="SimSun"/>
                <w:b/>
                <w:sz w:val="20"/>
                <w:lang w:eastAsia="zh-CN"/>
              </w:rPr>
            </w:pPr>
            <w:r w:rsidRPr="00E22B27">
              <w:rPr>
                <w:b/>
                <w:noProof/>
                <w:sz w:val="20"/>
              </w:rPr>
              <w:drawing>
                <wp:inline distT="0" distB="0" distL="0" distR="0" wp14:anchorId="418423D8" wp14:editId="055FF562">
                  <wp:extent cx="5753735" cy="4114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735" cy="4114800"/>
                          </a:xfrm>
                          <a:prstGeom prst="rect">
                            <a:avLst/>
                          </a:prstGeom>
                          <a:noFill/>
                          <a:ln>
                            <a:noFill/>
                          </a:ln>
                        </pic:spPr>
                      </pic:pic>
                    </a:graphicData>
                  </a:graphic>
                </wp:inline>
              </w:drawing>
            </w:r>
          </w:p>
        </w:tc>
      </w:tr>
    </w:tbl>
    <w:p w:rsidR="00E917B1" w:rsidRPr="00E22B27" w:rsidRDefault="00E917B1" w:rsidP="003B43F2">
      <w:pPr>
        <w:pStyle w:val="NormalParaAR"/>
        <w:rPr>
          <w:rtl/>
        </w:rPr>
      </w:pPr>
      <w:r w:rsidRPr="00E22B27">
        <w:rPr>
          <w:rFonts w:hint="cs"/>
          <w:rtl/>
        </w:rPr>
        <w:t>ملحوظة:</w:t>
      </w:r>
      <w:r w:rsidRPr="00E22B27">
        <w:rPr>
          <w:rFonts w:hint="cs"/>
          <w:rtl/>
        </w:rPr>
        <w:tab/>
        <w:t xml:space="preserve">*الرسوم الموزعة على الاتحاد الأوروبي هي الرسوم الموزعة على المكتب المعني بالتنسيق في السوق </w:t>
      </w:r>
      <w:r w:rsidR="003B43F2">
        <w:rPr>
          <w:rFonts w:hint="cs"/>
          <w:rtl/>
        </w:rPr>
        <w:t xml:space="preserve">الداخلية والتابع له وليس إجمالي </w:t>
      </w:r>
      <w:r w:rsidRPr="00E22B27">
        <w:rPr>
          <w:rFonts w:hint="cs"/>
          <w:rtl/>
        </w:rPr>
        <w:t>الرسوم الموزعة على مكاتب الملكية الفكرية الفردية لكل من بلدان الاتحاد الأوروبي.</w:t>
      </w:r>
    </w:p>
    <w:p w:rsidR="00E917B1" w:rsidRPr="00E22B27" w:rsidRDefault="00E917B1" w:rsidP="009422A7">
      <w:pPr>
        <w:pStyle w:val="NormalParaAR"/>
        <w:rPr>
          <w:rtl/>
        </w:rPr>
      </w:pPr>
      <w:r w:rsidRPr="00E22B27">
        <w:rPr>
          <w:rFonts w:hint="cs"/>
          <w:rtl/>
        </w:rPr>
        <w:t xml:space="preserve">المصدر: </w:t>
      </w:r>
      <w:r w:rsidRPr="00E22B27">
        <w:rPr>
          <w:rtl/>
        </w:rPr>
        <w:t>قاعدة بيانات إحصاءات الويبو</w:t>
      </w:r>
      <w:r w:rsidRPr="00E22B27">
        <w:rPr>
          <w:rFonts w:hint="cs"/>
          <w:rtl/>
        </w:rPr>
        <w:t>، مارس 2014</w:t>
      </w:r>
    </w:p>
    <w:p w:rsidR="00E917B1" w:rsidRPr="00E22B27" w:rsidRDefault="00E917B1" w:rsidP="009422A7">
      <w:pPr>
        <w:pStyle w:val="NormalParaAR"/>
        <w:keepNext/>
        <w:rPr>
          <w:u w:val="single"/>
          <w:rtl/>
        </w:rPr>
      </w:pPr>
      <w:r w:rsidRPr="00E22B27">
        <w:rPr>
          <w:rFonts w:hint="cs"/>
          <w:u w:val="single"/>
          <w:rtl/>
        </w:rPr>
        <w:t xml:space="preserve">باء </w:t>
      </w:r>
      <w:r w:rsidRPr="00E22B27">
        <w:rPr>
          <w:u w:val="single"/>
          <w:rtl/>
        </w:rPr>
        <w:t>–</w:t>
      </w:r>
      <w:r w:rsidRPr="00E22B27">
        <w:rPr>
          <w:rFonts w:hint="cs"/>
          <w:u w:val="single"/>
          <w:rtl/>
        </w:rPr>
        <w:t xml:space="preserve"> 3 </w:t>
      </w:r>
      <w:r w:rsidR="0077628C">
        <w:rPr>
          <w:rFonts w:hint="cs"/>
          <w:u w:val="single"/>
          <w:rtl/>
        </w:rPr>
        <w:noBreakHyphen/>
      </w:r>
      <w:r w:rsidRPr="00E22B27">
        <w:rPr>
          <w:rFonts w:hint="cs"/>
          <w:u w:val="single"/>
          <w:rtl/>
        </w:rPr>
        <w:t>3</w:t>
      </w:r>
      <w:r w:rsidRPr="00E22B27">
        <w:rPr>
          <w:rFonts w:hint="cs"/>
          <w:u w:val="single"/>
          <w:rtl/>
        </w:rPr>
        <w:tab/>
        <w:t>رسوم كل تسجيل دولي</w:t>
      </w:r>
    </w:p>
    <w:p w:rsidR="00E917B1" w:rsidRPr="00E22B27" w:rsidRDefault="00E917B1" w:rsidP="009422A7">
      <w:pPr>
        <w:pStyle w:val="NormalParaAR"/>
        <w:rPr>
          <w:rtl/>
        </w:rPr>
      </w:pPr>
      <w:r w:rsidRPr="00E22B27">
        <w:rPr>
          <w:rFonts w:hint="cs"/>
          <w:rtl/>
        </w:rPr>
        <w:t xml:space="preserve">يُحدد مجموع رسوم </w:t>
      </w:r>
      <w:r w:rsidR="003B43F2">
        <w:rPr>
          <w:rFonts w:hint="cs"/>
          <w:rtl/>
        </w:rPr>
        <w:t xml:space="preserve">أي </w:t>
      </w:r>
      <w:r w:rsidRPr="00E22B27">
        <w:rPr>
          <w:rFonts w:hint="cs"/>
          <w:rtl/>
        </w:rPr>
        <w:t>طلب دولي بعدد من العوامل منها عدد أعضاء نظام مدريد والأعضاء المحددين المعينين، وإن كانت العلامة بالألوان أم باللونين الأبيض والأسود، وعدد فئات السلع والخدمات المطلوب حمايتها وغيرها من العوامل</w:t>
      </w:r>
      <w:r w:rsidRPr="00E22B27">
        <w:rPr>
          <w:rStyle w:val="FootnoteReference"/>
          <w:rtl/>
        </w:rPr>
        <w:footnoteReference w:id="4"/>
      </w:r>
      <w:r w:rsidRPr="00E22B27">
        <w:rPr>
          <w:rFonts w:hint="cs"/>
          <w:rtl/>
        </w:rPr>
        <w:t xml:space="preserve">. </w:t>
      </w:r>
      <w:r w:rsidR="002C1826" w:rsidRPr="00E22B27">
        <w:rPr>
          <w:rFonts w:hint="cs"/>
          <w:rtl/>
        </w:rPr>
        <w:t>وانخفض متوسط الرسوم المسددة عن كل تسجيل جديد من ذروته التي بلغت 734 3 فرنك سويسري في 2008 إلى 039 3 فرنك</w:t>
      </w:r>
      <w:r w:rsidR="003B43F2">
        <w:rPr>
          <w:rFonts w:hint="cs"/>
          <w:rtl/>
        </w:rPr>
        <w:t>اً</w:t>
      </w:r>
      <w:r w:rsidR="002C1826" w:rsidRPr="00E22B27">
        <w:rPr>
          <w:rFonts w:hint="cs"/>
          <w:rtl/>
        </w:rPr>
        <w:t xml:space="preserve"> سويسري</w:t>
      </w:r>
      <w:r w:rsidR="003B43F2">
        <w:rPr>
          <w:rFonts w:hint="cs"/>
          <w:rtl/>
        </w:rPr>
        <w:t>اً</w:t>
      </w:r>
      <w:r w:rsidR="002C1826" w:rsidRPr="00E22B27">
        <w:rPr>
          <w:rFonts w:hint="cs"/>
          <w:rtl/>
        </w:rPr>
        <w:t xml:space="preserve"> في 2013.</w:t>
      </w:r>
    </w:p>
    <w:p w:rsidR="002C1826" w:rsidRPr="00E22B27" w:rsidRDefault="004B3649" w:rsidP="009422A7">
      <w:pPr>
        <w:pStyle w:val="NormalParaAR"/>
        <w:keepNext/>
        <w:rPr>
          <w:i/>
          <w:iCs/>
          <w:rtl/>
        </w:rPr>
      </w:pPr>
      <w:r w:rsidRPr="00E22B27">
        <w:rPr>
          <w:rFonts w:hint="cs"/>
          <w:i/>
          <w:iCs/>
          <w:rtl/>
        </w:rPr>
        <w:lastRenderedPageBreak/>
        <w:t>الشكل</w:t>
      </w:r>
      <w:r w:rsidR="003B43F2">
        <w:rPr>
          <w:rFonts w:hint="cs"/>
          <w:i/>
          <w:iCs/>
          <w:rtl/>
        </w:rPr>
        <w:t xml:space="preserve"> </w:t>
      </w:r>
      <w:r w:rsidR="002C5A34">
        <w:rPr>
          <w:i/>
          <w:iCs/>
          <w:rtl/>
        </w:rPr>
        <w:t xml:space="preserve">باء </w:t>
      </w:r>
      <w:r w:rsidR="0077628C">
        <w:rPr>
          <w:i/>
          <w:iCs/>
          <w:rtl/>
        </w:rPr>
        <w:noBreakHyphen/>
      </w:r>
      <w:r w:rsidR="002C5A34">
        <w:rPr>
          <w:i/>
          <w:iCs/>
          <w:rtl/>
        </w:rPr>
        <w:t xml:space="preserve"> 3 </w:t>
      </w:r>
      <w:r w:rsidR="0077628C">
        <w:rPr>
          <w:i/>
          <w:iCs/>
          <w:rtl/>
        </w:rPr>
        <w:noBreakHyphen/>
      </w:r>
      <w:r w:rsidR="002C5A34">
        <w:rPr>
          <w:i/>
          <w:iCs/>
          <w:rtl/>
        </w:rPr>
        <w:t xml:space="preserve"> 3</w:t>
      </w:r>
      <w:r w:rsidR="002C1826" w:rsidRPr="00E22B27">
        <w:rPr>
          <w:rFonts w:hint="cs"/>
          <w:i/>
          <w:iCs/>
          <w:rtl/>
        </w:rPr>
        <w:tab/>
        <w:t>رسوم التسجيل</w:t>
      </w:r>
    </w:p>
    <w:tbl>
      <w:tblPr>
        <w:tblW w:w="0" w:type="auto"/>
        <w:jc w:val="center"/>
        <w:tblLayout w:type="fixed"/>
        <w:tblLook w:val="01E0" w:firstRow="1" w:lastRow="1" w:firstColumn="1" w:lastColumn="1" w:noHBand="0" w:noVBand="0"/>
      </w:tblPr>
      <w:tblGrid>
        <w:gridCol w:w="4643"/>
        <w:gridCol w:w="4644"/>
      </w:tblGrid>
      <w:tr w:rsidR="002C1826" w:rsidRPr="00E22B27" w:rsidTr="004B3649">
        <w:trPr>
          <w:jc w:val="center"/>
        </w:trPr>
        <w:tc>
          <w:tcPr>
            <w:tcW w:w="4643" w:type="dxa"/>
            <w:tcBorders>
              <w:bottom w:val="single" w:sz="4" w:space="0" w:color="auto"/>
            </w:tcBorders>
          </w:tcPr>
          <w:p w:rsidR="002C1826" w:rsidRPr="00E22B27" w:rsidRDefault="002C1826" w:rsidP="009422A7">
            <w:pPr>
              <w:pStyle w:val="NormalParaAR"/>
              <w:keepNext/>
              <w:jc w:val="center"/>
              <w:rPr>
                <w:b/>
                <w:bCs/>
                <w:rtl/>
              </w:rPr>
            </w:pPr>
            <w:r w:rsidRPr="00E22B27">
              <w:rPr>
                <w:rFonts w:hint="cs"/>
                <w:b/>
                <w:bCs/>
                <w:rtl/>
              </w:rPr>
              <w:t>متوسط الرسوم المسددة عن كل تسجيل جديد</w:t>
            </w:r>
          </w:p>
        </w:tc>
        <w:tc>
          <w:tcPr>
            <w:tcW w:w="4644" w:type="dxa"/>
            <w:tcBorders>
              <w:bottom w:val="single" w:sz="4" w:space="0" w:color="auto"/>
            </w:tcBorders>
          </w:tcPr>
          <w:p w:rsidR="002C1826" w:rsidRPr="00E22B27" w:rsidRDefault="002C1826" w:rsidP="009422A7">
            <w:pPr>
              <w:pStyle w:val="NormalParaAR"/>
              <w:keepNext/>
              <w:jc w:val="center"/>
              <w:rPr>
                <w:b/>
                <w:bCs/>
                <w:rtl/>
              </w:rPr>
            </w:pPr>
            <w:r w:rsidRPr="00E22B27">
              <w:rPr>
                <w:rFonts w:hint="cs"/>
                <w:b/>
                <w:bCs/>
                <w:rtl/>
              </w:rPr>
              <w:t>توزيع رسوم التسجيل</w:t>
            </w:r>
          </w:p>
        </w:tc>
      </w:tr>
      <w:tr w:rsidR="003C1838" w:rsidRPr="00E22B27" w:rsidTr="004B3649">
        <w:trPr>
          <w:jc w:val="center"/>
        </w:trPr>
        <w:tc>
          <w:tcPr>
            <w:tcW w:w="4643" w:type="dxa"/>
            <w:tcBorders>
              <w:top w:val="single" w:sz="4" w:space="0" w:color="auto"/>
              <w:left w:val="single" w:sz="4" w:space="0" w:color="auto"/>
              <w:bottom w:val="single" w:sz="4" w:space="0" w:color="auto"/>
              <w:right w:val="single" w:sz="4" w:space="0" w:color="auto"/>
            </w:tcBorders>
            <w:hideMark/>
          </w:tcPr>
          <w:p w:rsidR="003C1838" w:rsidRPr="00E22B27" w:rsidRDefault="003C1838" w:rsidP="009422A7">
            <w:pPr>
              <w:bidi/>
              <w:jc w:val="center"/>
              <w:rPr>
                <w:rFonts w:eastAsia="SimSun"/>
                <w:lang w:eastAsia="zh-CN"/>
              </w:rPr>
            </w:pPr>
            <w:r w:rsidRPr="00E22B27">
              <w:rPr>
                <w:noProof/>
              </w:rPr>
              <w:drawing>
                <wp:inline distT="0" distB="0" distL="0" distR="0" wp14:anchorId="4D5550E5" wp14:editId="5D0D460B">
                  <wp:extent cx="2808605" cy="2143760"/>
                  <wp:effectExtent l="0" t="0" r="0" b="8890"/>
                  <wp:docPr id="10" name="Picture 10" descr="B-3-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3-3-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8605" cy="2143760"/>
                          </a:xfrm>
                          <a:prstGeom prst="rect">
                            <a:avLst/>
                          </a:prstGeom>
                          <a:noFill/>
                          <a:ln>
                            <a:noFill/>
                          </a:ln>
                        </pic:spPr>
                      </pic:pic>
                    </a:graphicData>
                  </a:graphic>
                </wp:inline>
              </w:drawing>
            </w:r>
          </w:p>
        </w:tc>
        <w:tc>
          <w:tcPr>
            <w:tcW w:w="4644" w:type="dxa"/>
            <w:tcBorders>
              <w:top w:val="single" w:sz="4" w:space="0" w:color="auto"/>
              <w:left w:val="single" w:sz="4" w:space="0" w:color="auto"/>
              <w:bottom w:val="single" w:sz="4" w:space="0" w:color="auto"/>
              <w:right w:val="single" w:sz="4" w:space="0" w:color="auto"/>
            </w:tcBorders>
            <w:hideMark/>
          </w:tcPr>
          <w:p w:rsidR="003C1838" w:rsidRPr="00E22B27" w:rsidRDefault="003C1838" w:rsidP="009422A7">
            <w:pPr>
              <w:bidi/>
              <w:jc w:val="center"/>
              <w:rPr>
                <w:rFonts w:eastAsia="SimSun"/>
                <w:lang w:eastAsia="zh-CN"/>
              </w:rPr>
            </w:pPr>
            <w:r w:rsidRPr="00E22B27">
              <w:rPr>
                <w:noProof/>
              </w:rPr>
              <w:drawing>
                <wp:inline distT="0" distB="0" distL="0" distR="0" wp14:anchorId="61450091" wp14:editId="2F339C15">
                  <wp:extent cx="2808605" cy="2143760"/>
                  <wp:effectExtent l="0" t="0" r="0" b="8890"/>
                  <wp:docPr id="9" name="Picture 9" descr="B-3-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3-3-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8605" cy="2143760"/>
                          </a:xfrm>
                          <a:prstGeom prst="rect">
                            <a:avLst/>
                          </a:prstGeom>
                          <a:noFill/>
                          <a:ln>
                            <a:noFill/>
                          </a:ln>
                        </pic:spPr>
                      </pic:pic>
                    </a:graphicData>
                  </a:graphic>
                </wp:inline>
              </w:drawing>
            </w:r>
          </w:p>
        </w:tc>
      </w:tr>
    </w:tbl>
    <w:p w:rsidR="002C1826" w:rsidRPr="00E22B27" w:rsidRDefault="002C1826" w:rsidP="009422A7">
      <w:pPr>
        <w:pStyle w:val="NormalParaAR"/>
        <w:rPr>
          <w:rtl/>
        </w:rPr>
      </w:pPr>
      <w:r w:rsidRPr="00E22B27">
        <w:rPr>
          <w:rFonts w:hint="cs"/>
          <w:rtl/>
        </w:rPr>
        <w:t xml:space="preserve">المصدر: </w:t>
      </w:r>
      <w:r w:rsidRPr="00E22B27">
        <w:rPr>
          <w:rtl/>
        </w:rPr>
        <w:t>قاعدة بيانات إحصاءات الويبو</w:t>
      </w:r>
      <w:r w:rsidRPr="00E22B27">
        <w:rPr>
          <w:rFonts w:hint="cs"/>
          <w:rtl/>
        </w:rPr>
        <w:t>، مارس 2014</w:t>
      </w:r>
    </w:p>
    <w:p w:rsidR="002C1826" w:rsidRPr="00E22B27" w:rsidRDefault="002C1826" w:rsidP="009422A7">
      <w:pPr>
        <w:pStyle w:val="NormalParaAR"/>
        <w:rPr>
          <w:rtl/>
        </w:rPr>
      </w:pPr>
      <w:r w:rsidRPr="00E22B27">
        <w:rPr>
          <w:rFonts w:hint="cs"/>
          <w:rtl/>
        </w:rPr>
        <w:t>يخفي متوسط الرسوم المسددة عن كل تسجيل تغيرات كبيرة في رسوم التسجيل التي يسددها مقدمو الطلبات. ففي عام 2013، تراوحت الرسوم ما بين 190 فرنك</w:t>
      </w:r>
      <w:r w:rsidR="009E2B36" w:rsidRPr="00E22B27">
        <w:rPr>
          <w:rFonts w:hint="cs"/>
          <w:rtl/>
        </w:rPr>
        <w:t>اً سويسرياً إلى نحو 000 140 فرنك سويسري. وعلى غرار عام 2012، دفع عُشر مقدمي الطلبات أقل من 000 1 فرنك سويسري عن كل تسجيل ودفع ثلثهم تقريباً مبلغ يتراوح بين 001 1 و000 2 فرنك سويسري. ودفع ما مجموعه 70% من مقدمي الطلبات رسوماً أقل من المتوسط عن كل تسجيل وقدره</w:t>
      </w:r>
      <w:r w:rsidR="003B43F2">
        <w:rPr>
          <w:rFonts w:hint="cs"/>
          <w:rtl/>
        </w:rPr>
        <w:t>ا</w:t>
      </w:r>
      <w:r w:rsidR="009E2B36" w:rsidRPr="00E22B27">
        <w:rPr>
          <w:rFonts w:hint="cs"/>
          <w:rtl/>
        </w:rPr>
        <w:t xml:space="preserve"> 039 3 فرنكاً سويسرياً وتكلف ما مجموعه 95% من التسجيلات الدولية 000 8 فرنك سويسري </w:t>
      </w:r>
      <w:r w:rsidR="00450110" w:rsidRPr="00E22B27">
        <w:rPr>
          <w:rFonts w:hint="cs"/>
          <w:rtl/>
        </w:rPr>
        <w:t>أو</w:t>
      </w:r>
      <w:r w:rsidR="00450110" w:rsidRPr="00E22B27">
        <w:rPr>
          <w:rtl/>
        </w:rPr>
        <w:t> </w:t>
      </w:r>
      <w:r w:rsidR="009E2B36" w:rsidRPr="00E22B27">
        <w:rPr>
          <w:rFonts w:hint="cs"/>
          <w:rtl/>
        </w:rPr>
        <w:t xml:space="preserve">أقل. </w:t>
      </w:r>
      <w:r w:rsidR="007E2D64" w:rsidRPr="00E22B27">
        <w:rPr>
          <w:rFonts w:hint="cs"/>
          <w:rtl/>
        </w:rPr>
        <w:t>أما رسوم باقي التسجيلات البالغة نسبتها 5% والتي تشمل نحو 150 2 تسجيلاً فقد تراوحت ما بين 001 8 فرنك سويسري و000 88 فرنك سويسري. وقُيمت رسوم تسجيلين بفائض قدره 000 135 فرنك سويسري.</w:t>
      </w:r>
    </w:p>
    <w:p w:rsidR="007E2D64" w:rsidRPr="00E22B27" w:rsidRDefault="007E2D64" w:rsidP="009422A7">
      <w:pPr>
        <w:pStyle w:val="EndofDocumentAR"/>
        <w:rPr>
          <w:rtl/>
        </w:rPr>
      </w:pPr>
      <w:r w:rsidRPr="00E22B27">
        <w:rPr>
          <w:rFonts w:hint="cs"/>
          <w:rtl/>
        </w:rPr>
        <w:t>[نهاية المرفق الثاني؛ يلي ذلك المرفق الثالث]</w:t>
      </w:r>
    </w:p>
    <w:p w:rsidR="003C1838" w:rsidRPr="00E22B27" w:rsidRDefault="003C1838" w:rsidP="009422A7">
      <w:pPr>
        <w:bidi/>
        <w:rPr>
          <w:sz w:val="20"/>
          <w:rtl/>
        </w:rPr>
      </w:pPr>
    </w:p>
    <w:p w:rsidR="007E2D64" w:rsidRPr="00E22B27" w:rsidRDefault="007E2D64" w:rsidP="009422A7">
      <w:pPr>
        <w:bidi/>
        <w:rPr>
          <w:sz w:val="20"/>
        </w:rPr>
        <w:sectPr w:rsidR="007E2D64" w:rsidRPr="00E22B27" w:rsidSect="00A4480C">
          <w:headerReference w:type="default" r:id="rId17"/>
          <w:headerReference w:type="first" r:id="rId18"/>
          <w:endnotePr>
            <w:numFmt w:val="decimal"/>
          </w:endnotePr>
          <w:pgSz w:w="11907" w:h="16840"/>
          <w:pgMar w:top="567" w:right="1134" w:bottom="1418" w:left="1418" w:header="510" w:footer="1021" w:gutter="0"/>
          <w:pgNumType w:start="1"/>
          <w:cols w:space="720"/>
          <w:titlePg/>
          <w:docGrid w:linePitch="299"/>
        </w:sectPr>
      </w:pPr>
    </w:p>
    <w:p w:rsidR="007E2D64" w:rsidRPr="00E22B27" w:rsidRDefault="007E2D64" w:rsidP="009422A7">
      <w:pPr>
        <w:pStyle w:val="Heading1AR"/>
        <w:spacing w:before="0" w:after="360" w:line="360" w:lineRule="exact"/>
        <w:rPr>
          <w:rtl/>
        </w:rPr>
      </w:pPr>
      <w:r w:rsidRPr="00E22B27">
        <w:rPr>
          <w:rFonts w:hint="cs"/>
          <w:rtl/>
        </w:rPr>
        <w:lastRenderedPageBreak/>
        <w:t xml:space="preserve">القسم ألف </w:t>
      </w:r>
      <w:r w:rsidRPr="00E22B27">
        <w:rPr>
          <w:rtl/>
        </w:rPr>
        <w:t>–</w:t>
      </w:r>
      <w:r w:rsidRPr="00E22B27">
        <w:rPr>
          <w:rFonts w:hint="cs"/>
          <w:rtl/>
        </w:rPr>
        <w:t xml:space="preserve"> 3 من الاستعراض السنوي لنظام مدريد لعام 2014</w:t>
      </w:r>
    </w:p>
    <w:p w:rsidR="007E2D64" w:rsidRPr="00E22B27" w:rsidRDefault="007E2D64" w:rsidP="009422A7">
      <w:pPr>
        <w:pStyle w:val="NormalParaAR"/>
        <w:keepNext/>
      </w:pPr>
      <w:r w:rsidRPr="00E22B27">
        <w:rPr>
          <w:rFonts w:hint="cs"/>
          <w:rtl/>
        </w:rPr>
        <w:t xml:space="preserve">ألف </w:t>
      </w:r>
      <w:r w:rsidRPr="00E22B27">
        <w:rPr>
          <w:rtl/>
        </w:rPr>
        <w:t>–</w:t>
      </w:r>
      <w:r w:rsidRPr="00E22B27">
        <w:rPr>
          <w:rFonts w:hint="cs"/>
          <w:rtl/>
        </w:rPr>
        <w:t xml:space="preserve"> 3</w:t>
      </w:r>
      <w:r w:rsidRPr="00E22B27">
        <w:rPr>
          <w:rFonts w:hint="cs"/>
          <w:rtl/>
        </w:rPr>
        <w:tab/>
        <w:t>التغطية الجغرافية لتسجيلات الدولية لنظام مدريد</w:t>
      </w:r>
    </w:p>
    <w:p w:rsidR="007E2D64" w:rsidRPr="00E22B27" w:rsidRDefault="007E2D64" w:rsidP="009422A7">
      <w:pPr>
        <w:pStyle w:val="NormalParaAR"/>
        <w:keepNext/>
        <w:rPr>
          <w:u w:val="single"/>
        </w:rPr>
      </w:pPr>
      <w:r w:rsidRPr="00E22B27">
        <w:rPr>
          <w:rFonts w:hint="cs"/>
          <w:u w:val="single"/>
          <w:rtl/>
        </w:rPr>
        <w:t xml:space="preserve">ألف </w:t>
      </w:r>
      <w:r w:rsidR="0077628C">
        <w:rPr>
          <w:rFonts w:hint="cs"/>
          <w:u w:val="single"/>
          <w:rtl/>
        </w:rPr>
        <w:noBreakHyphen/>
      </w:r>
      <w:r w:rsidRPr="00E22B27">
        <w:rPr>
          <w:rFonts w:hint="cs"/>
          <w:u w:val="single"/>
          <w:rtl/>
        </w:rPr>
        <w:t xml:space="preserve">3 </w:t>
      </w:r>
      <w:r w:rsidR="0077628C">
        <w:rPr>
          <w:rFonts w:hint="cs"/>
          <w:u w:val="single"/>
          <w:rtl/>
        </w:rPr>
        <w:noBreakHyphen/>
      </w:r>
      <w:r w:rsidRPr="00E22B27">
        <w:rPr>
          <w:rFonts w:hint="cs"/>
          <w:u w:val="single"/>
          <w:rtl/>
        </w:rPr>
        <w:t>1</w:t>
      </w:r>
      <w:r w:rsidRPr="00E22B27">
        <w:rPr>
          <w:rFonts w:hint="cs"/>
          <w:u w:val="single"/>
          <w:rtl/>
        </w:rPr>
        <w:tab/>
        <w:t>التعيينات في التسجيلات الدولية</w:t>
      </w:r>
    </w:p>
    <w:p w:rsidR="004B3649" w:rsidRPr="00E22B27" w:rsidRDefault="004B3649" w:rsidP="009422A7">
      <w:pPr>
        <w:pStyle w:val="NormalParaAR"/>
        <w:rPr>
          <w:rtl/>
        </w:rPr>
      </w:pPr>
      <w:r w:rsidRPr="00E22B27">
        <w:rPr>
          <w:rFonts w:hint="cs"/>
          <w:rtl/>
        </w:rPr>
        <w:t xml:space="preserve">حلل القسم السابق أصول التسجيلات الدولية ونظر في عدد البلدان الأعضاء في نظام مدريد الذين عينهم أصحاب التسجيلات لتوسيع نطاق حماية علاماتهم. ويستند القسم ألف </w:t>
      </w:r>
      <w:r w:rsidRPr="00E22B27">
        <w:rPr>
          <w:rtl/>
        </w:rPr>
        <w:t>–</w:t>
      </w:r>
      <w:r w:rsidRPr="00E22B27">
        <w:rPr>
          <w:rFonts w:hint="cs"/>
          <w:rtl/>
        </w:rPr>
        <w:t xml:space="preserve"> 3 إلى هذا التحليل من خلال بحث أعضاء نظام مدريد المعينين لتحديد الأماكن التي يسعى فيها أصحاب التسجيلات إلى حماية علاماتهم التجارية.</w:t>
      </w:r>
    </w:p>
    <w:p w:rsidR="004B3649" w:rsidRPr="00E22B27" w:rsidRDefault="004B3649" w:rsidP="009422A7">
      <w:pPr>
        <w:pStyle w:val="NormalParaAR"/>
        <w:rPr>
          <w:rtl/>
        </w:rPr>
      </w:pPr>
      <w:r w:rsidRPr="00E22B27">
        <w:rPr>
          <w:rFonts w:hint="cs"/>
          <w:rtl/>
        </w:rPr>
        <w:t xml:space="preserve">ويبين الشكل </w:t>
      </w:r>
      <w:r w:rsidR="002C5A34">
        <w:rPr>
          <w:rFonts w:hint="cs"/>
          <w:rtl/>
        </w:rPr>
        <w:t xml:space="preserve">ألف </w:t>
      </w:r>
      <w:r w:rsidR="0077628C">
        <w:rPr>
          <w:rFonts w:hint="cs"/>
          <w:rtl/>
        </w:rPr>
        <w:noBreakHyphen/>
      </w:r>
      <w:r w:rsidR="002C5A34">
        <w:rPr>
          <w:rFonts w:hint="cs"/>
          <w:rtl/>
        </w:rPr>
        <w:t xml:space="preserve"> 3 </w:t>
      </w:r>
      <w:r w:rsidR="0077628C">
        <w:rPr>
          <w:rFonts w:hint="cs"/>
          <w:rtl/>
        </w:rPr>
        <w:noBreakHyphen/>
      </w:r>
      <w:r w:rsidR="002C5A34">
        <w:rPr>
          <w:rFonts w:hint="cs"/>
          <w:rtl/>
        </w:rPr>
        <w:t xml:space="preserve"> 1 </w:t>
      </w:r>
      <w:r w:rsidR="0077628C">
        <w:rPr>
          <w:rFonts w:hint="cs"/>
          <w:rtl/>
        </w:rPr>
        <w:noBreakHyphen/>
      </w:r>
      <w:r w:rsidR="002C5A34">
        <w:rPr>
          <w:rFonts w:hint="cs"/>
          <w:rtl/>
        </w:rPr>
        <w:t xml:space="preserve"> 1</w:t>
      </w:r>
      <w:r w:rsidRPr="00E22B27">
        <w:rPr>
          <w:rFonts w:hint="cs"/>
          <w:rtl/>
        </w:rPr>
        <w:t xml:space="preserve"> أن عدد التعيينات المحدد أولاً في التسجيلات الدولية الجديدة المدونة في عام 2013 قد بلغ 046 306 تعييناً، بمتوسط 6.9 تعيين لكل تسجيل دولي، وأنه تجاوز 000 300 تسجيل لأول مرة منذ بداية الأزمة المالية العالمية في عام 2008. وكانت الزيادة التي بلغت نسبتها 8.3% في عام 2012 أعلى نسبة سُجلت على مدار ثماني سنوات.</w:t>
      </w:r>
    </w:p>
    <w:p w:rsidR="004B3649" w:rsidRPr="00E22B27" w:rsidRDefault="004B3649" w:rsidP="009422A7">
      <w:pPr>
        <w:pStyle w:val="NormalParaAR"/>
        <w:rPr>
          <w:rtl/>
        </w:rPr>
      </w:pPr>
      <w:r w:rsidRPr="00E22B27">
        <w:rPr>
          <w:rFonts w:hint="cs"/>
          <w:rtl/>
        </w:rPr>
        <w:t>وكما هو الحال بالنسبة إلى الطلبات والتسجيلات الدولية، يعزى هذا الاتجاه التصاعدي إلى الزيادة في عدد أعضاء نظام مدريد على مر السنين وما تبع ذلك من استخدام متزايد لنظام مدريد، إضافة إلى نمو عام شهدته إيداعات العلامات التجارية في شتى أنحاء العالم.</w:t>
      </w:r>
      <w:r w:rsidRPr="00E22B27">
        <w:rPr>
          <w:rStyle w:val="FootnoteReference"/>
          <w:rtl/>
        </w:rPr>
        <w:footnoteReference w:id="5"/>
      </w:r>
    </w:p>
    <w:p w:rsidR="004B3649" w:rsidRPr="00E22B27" w:rsidRDefault="004B3649" w:rsidP="009422A7">
      <w:pPr>
        <w:pStyle w:val="NormalParaAR"/>
        <w:rPr>
          <w:rtl/>
        </w:rPr>
      </w:pPr>
      <w:r w:rsidRPr="00E22B27">
        <w:rPr>
          <w:rFonts w:hint="cs"/>
          <w:rtl/>
        </w:rPr>
        <w:t>وفي عام 2013، عين أصحاب التسجيلات الدولية الجديدة، في المتوسط، سبعة أعضاء تقريباً (6.9) وهو متوسط مماثل لما سُجل خلال السنوات الأربع السابقة. وبعد أن بلغ متوسط عدد التعيينات في كل تسجيل ذروته في عام 2001، بدأ ينخفض مع مرور الوقت ليصل إلى مستواه المستقر الحالي وهو سبعة تعيينات. ويمكن تفسير هذا الانخفاض بواقع أن الاتحاد الأوروبي انضم إلى نظام مدريد في عام 2004، مما مكن أصحاب التسجيل من تعيين الاتحاد الأوروبي ككل بتعيين واحد بدلاً من تعيين كل دولة عضو على حدة.</w:t>
      </w:r>
    </w:p>
    <w:p w:rsidR="003C1838" w:rsidRPr="00E22B27" w:rsidRDefault="004B3649" w:rsidP="009422A7">
      <w:pPr>
        <w:pStyle w:val="NormalParaAR"/>
        <w:keepNext/>
      </w:pPr>
      <w:r w:rsidRPr="00E22B27">
        <w:rPr>
          <w:rFonts w:hint="cs"/>
          <w:i/>
          <w:iCs/>
          <w:rtl/>
        </w:rPr>
        <w:t xml:space="preserve">الشكل </w:t>
      </w:r>
      <w:r w:rsidR="002C5A34">
        <w:rPr>
          <w:rFonts w:hint="cs"/>
          <w:i/>
          <w:iCs/>
          <w:rtl/>
        </w:rPr>
        <w:t xml:space="preserve">ألف </w:t>
      </w:r>
      <w:r w:rsidR="0077628C">
        <w:rPr>
          <w:rFonts w:hint="cs"/>
          <w:i/>
          <w:iCs/>
          <w:rtl/>
        </w:rPr>
        <w:noBreakHyphen/>
      </w:r>
      <w:r w:rsidR="002C5A34">
        <w:rPr>
          <w:rFonts w:hint="cs"/>
          <w:i/>
          <w:iCs/>
          <w:rtl/>
        </w:rPr>
        <w:t xml:space="preserve"> 3 </w:t>
      </w:r>
      <w:r w:rsidR="0077628C">
        <w:rPr>
          <w:rFonts w:hint="cs"/>
          <w:i/>
          <w:iCs/>
          <w:rtl/>
        </w:rPr>
        <w:noBreakHyphen/>
      </w:r>
      <w:r w:rsidR="002C5A34">
        <w:rPr>
          <w:rFonts w:hint="cs"/>
          <w:i/>
          <w:iCs/>
          <w:rtl/>
        </w:rPr>
        <w:t xml:space="preserve"> 1 </w:t>
      </w:r>
      <w:r w:rsidR="0077628C">
        <w:rPr>
          <w:rFonts w:hint="cs"/>
          <w:i/>
          <w:iCs/>
          <w:rtl/>
        </w:rPr>
        <w:noBreakHyphen/>
      </w:r>
      <w:r w:rsidR="002C5A34">
        <w:rPr>
          <w:rFonts w:hint="cs"/>
          <w:i/>
          <w:iCs/>
          <w:rtl/>
        </w:rPr>
        <w:t xml:space="preserve"> 1</w:t>
      </w:r>
      <w:r w:rsidRPr="00E22B27">
        <w:rPr>
          <w:rFonts w:hint="cs"/>
          <w:i/>
          <w:iCs/>
          <w:rtl/>
        </w:rPr>
        <w:tab/>
        <w:t>التعيينات في التسجيلات الدولية</w:t>
      </w:r>
    </w:p>
    <w:tbl>
      <w:tblPr>
        <w:tblW w:w="0" w:type="auto"/>
        <w:jc w:val="center"/>
        <w:tblLayout w:type="fixed"/>
        <w:tblLook w:val="01E0" w:firstRow="1" w:lastRow="1" w:firstColumn="1" w:lastColumn="1" w:noHBand="0" w:noVBand="0"/>
      </w:tblPr>
      <w:tblGrid>
        <w:gridCol w:w="9287"/>
      </w:tblGrid>
      <w:tr w:rsidR="003C1838" w:rsidRPr="00E22B27" w:rsidTr="00CE2853">
        <w:trPr>
          <w:jc w:val="center"/>
        </w:trPr>
        <w:tc>
          <w:tcPr>
            <w:tcW w:w="9287" w:type="dxa"/>
            <w:tcBorders>
              <w:top w:val="single" w:sz="4" w:space="0" w:color="auto"/>
              <w:left w:val="single" w:sz="4" w:space="0" w:color="auto"/>
              <w:bottom w:val="single" w:sz="4" w:space="0" w:color="auto"/>
              <w:right w:val="single" w:sz="4" w:space="0" w:color="auto"/>
            </w:tcBorders>
            <w:hideMark/>
          </w:tcPr>
          <w:p w:rsidR="003C1838" w:rsidRPr="00E22B27" w:rsidRDefault="003C1838" w:rsidP="009422A7">
            <w:pPr>
              <w:bidi/>
              <w:jc w:val="center"/>
              <w:rPr>
                <w:rFonts w:eastAsia="SimSun"/>
                <w:lang w:eastAsia="zh-CN"/>
              </w:rPr>
            </w:pPr>
            <w:r w:rsidRPr="00E22B27">
              <w:rPr>
                <w:noProof/>
              </w:rPr>
              <w:drawing>
                <wp:inline distT="0" distB="0" distL="0" distR="0" wp14:anchorId="69F7B090" wp14:editId="5E3D6378">
                  <wp:extent cx="5753735" cy="2190750"/>
                  <wp:effectExtent l="0" t="0" r="0" b="0"/>
                  <wp:docPr id="8" name="Picture 8" descr="A-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3-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3735" cy="2190750"/>
                          </a:xfrm>
                          <a:prstGeom prst="rect">
                            <a:avLst/>
                          </a:prstGeom>
                          <a:noFill/>
                          <a:ln>
                            <a:noFill/>
                          </a:ln>
                        </pic:spPr>
                      </pic:pic>
                    </a:graphicData>
                  </a:graphic>
                </wp:inline>
              </w:drawing>
            </w:r>
          </w:p>
        </w:tc>
      </w:tr>
    </w:tbl>
    <w:p w:rsidR="004B3649" w:rsidRPr="00E22B27" w:rsidRDefault="004B3649" w:rsidP="009422A7">
      <w:pPr>
        <w:pStyle w:val="NormalParaAR"/>
        <w:rPr>
          <w:rtl/>
        </w:rPr>
      </w:pPr>
      <w:r w:rsidRPr="00E22B27">
        <w:rPr>
          <w:rFonts w:hint="cs"/>
          <w:rtl/>
        </w:rPr>
        <w:t xml:space="preserve">المصدر: </w:t>
      </w:r>
      <w:r w:rsidRPr="00E22B27">
        <w:rPr>
          <w:rtl/>
        </w:rPr>
        <w:t>قاعدة بيانات إحصاءات الويبو</w:t>
      </w:r>
      <w:r w:rsidRPr="00E22B27">
        <w:rPr>
          <w:rFonts w:hint="cs"/>
          <w:rtl/>
        </w:rPr>
        <w:t>، مارس 2014</w:t>
      </w:r>
    </w:p>
    <w:p w:rsidR="00CE2853" w:rsidRPr="00E22B27" w:rsidRDefault="00CE2853" w:rsidP="0077628C">
      <w:pPr>
        <w:pStyle w:val="NormalParaAR"/>
        <w:rPr>
          <w:rtl/>
        </w:rPr>
      </w:pPr>
      <w:r w:rsidRPr="00E22B27">
        <w:rPr>
          <w:rFonts w:hint="cs"/>
          <w:rtl/>
        </w:rPr>
        <w:t xml:space="preserve">وكما هو موضح في القسم الفرعي </w:t>
      </w:r>
      <w:r w:rsidR="002C5A34">
        <w:rPr>
          <w:rFonts w:hint="cs"/>
          <w:rtl/>
        </w:rPr>
        <w:t xml:space="preserve">ألف </w:t>
      </w:r>
      <w:r w:rsidR="0077628C">
        <w:rPr>
          <w:rFonts w:hint="cs"/>
          <w:rtl/>
        </w:rPr>
        <w:noBreakHyphen/>
      </w:r>
      <w:r w:rsidR="002C5A34">
        <w:rPr>
          <w:rFonts w:hint="cs"/>
          <w:rtl/>
        </w:rPr>
        <w:t xml:space="preserve"> 2 </w:t>
      </w:r>
      <w:r w:rsidR="0077628C">
        <w:rPr>
          <w:rFonts w:hint="cs"/>
          <w:rtl/>
        </w:rPr>
        <w:noBreakHyphen/>
      </w:r>
      <w:r w:rsidR="002C5A34">
        <w:rPr>
          <w:rFonts w:hint="cs"/>
          <w:rtl/>
        </w:rPr>
        <w:t xml:space="preserve"> 3</w:t>
      </w:r>
      <w:r w:rsidRPr="00E22B27">
        <w:rPr>
          <w:rFonts w:hint="cs"/>
          <w:rtl/>
        </w:rPr>
        <w:t xml:space="preserve">، يمكن لأصحاب التسجيل الدولي تعيين أي من أعضاء مدريد الذي يودون الحصول في ولاياتهم القضائية على حماية لعلاماتهم على الصعيد الدولي. ويبين الشكل </w:t>
      </w:r>
      <w:r w:rsidR="002C5A34">
        <w:rPr>
          <w:rFonts w:hint="cs"/>
          <w:rtl/>
        </w:rPr>
        <w:t xml:space="preserve">ألف </w:t>
      </w:r>
      <w:r w:rsidR="0077628C">
        <w:rPr>
          <w:rFonts w:hint="cs"/>
          <w:rtl/>
        </w:rPr>
        <w:noBreakHyphen/>
      </w:r>
      <w:r w:rsidR="002C5A34">
        <w:rPr>
          <w:rFonts w:hint="cs"/>
          <w:rtl/>
        </w:rPr>
        <w:t xml:space="preserve"> 3 </w:t>
      </w:r>
      <w:r w:rsidR="0077628C">
        <w:rPr>
          <w:rFonts w:hint="cs"/>
          <w:rtl/>
        </w:rPr>
        <w:noBreakHyphen/>
      </w:r>
      <w:r w:rsidR="002C5A34">
        <w:rPr>
          <w:rFonts w:hint="cs"/>
          <w:rtl/>
        </w:rPr>
        <w:t xml:space="preserve"> 1 </w:t>
      </w:r>
      <w:r w:rsidR="0077628C">
        <w:rPr>
          <w:rFonts w:hint="cs"/>
          <w:rtl/>
        </w:rPr>
        <w:noBreakHyphen/>
      </w:r>
      <w:r w:rsidR="002C5A34">
        <w:rPr>
          <w:rFonts w:hint="cs"/>
          <w:rtl/>
        </w:rPr>
        <w:t xml:space="preserve"> 2</w:t>
      </w:r>
      <w:r w:rsidRPr="00E22B27">
        <w:rPr>
          <w:rFonts w:hint="cs"/>
          <w:rtl/>
        </w:rPr>
        <w:t xml:space="preserve"> توزيع التعيينات في </w:t>
      </w:r>
      <w:r w:rsidRPr="00E22B27">
        <w:rPr>
          <w:rFonts w:hint="cs"/>
          <w:rtl/>
        </w:rPr>
        <w:lastRenderedPageBreak/>
        <w:t>كل</w:t>
      </w:r>
      <w:r w:rsidR="0077628C">
        <w:rPr>
          <w:rFonts w:hint="cs"/>
          <w:rtl/>
        </w:rPr>
        <w:t xml:space="preserve"> </w:t>
      </w:r>
      <w:r w:rsidRPr="00E22B27">
        <w:rPr>
          <w:rFonts w:hint="cs"/>
          <w:rtl/>
        </w:rPr>
        <w:t xml:space="preserve">تسجيل دولي دوِّن في 2013. وعلى غرار العام السابق، 17.5% من مجموع التسجيلات الدولية الجديدة عينت عضواً واحداً فقط من أعضاء نظام مدريد؛ وتضمنت 15.9% من التسجيلات تعينين، وشملت 13.5% ثلاثة تسجيلات، واحتوت 9.8% على أربعة تسجيلات. وعين أربعة </w:t>
      </w:r>
      <w:r w:rsidR="00450110" w:rsidRPr="00E22B27">
        <w:rPr>
          <w:rFonts w:hint="cs"/>
          <w:rtl/>
        </w:rPr>
        <w:t>أو</w:t>
      </w:r>
      <w:r w:rsidR="00450110" w:rsidRPr="00E22B27">
        <w:rPr>
          <w:rtl/>
        </w:rPr>
        <w:t> </w:t>
      </w:r>
      <w:r w:rsidRPr="00E22B27">
        <w:rPr>
          <w:rFonts w:hint="cs"/>
          <w:rtl/>
        </w:rPr>
        <w:t>أقل من أعضاء نظام مدريد في أكثر من نصف (57%) التسجيلات الدولية لعام 2013. واست</w:t>
      </w:r>
      <w:r w:rsidR="0077628C">
        <w:rPr>
          <w:rFonts w:hint="cs"/>
          <w:rtl/>
        </w:rPr>
        <w:t>خدم</w:t>
      </w:r>
      <w:r w:rsidRPr="00E22B27">
        <w:rPr>
          <w:rFonts w:hint="cs"/>
          <w:rtl/>
        </w:rPr>
        <w:t xml:space="preserve"> أصحاب التسجيلات ثلثها لالتماس الحماية في ما بين 5 و15 ولاية قضائية من ولايات أعضاء نظام مدريد واختار العُشر تقريباً (9.4%) تعيين أكثر من 16 عضواً في نظام مدريد.</w:t>
      </w:r>
    </w:p>
    <w:p w:rsidR="00CE2853" w:rsidRPr="00E22B27" w:rsidRDefault="00CE2853" w:rsidP="009422A7">
      <w:pPr>
        <w:pStyle w:val="NormalParaAR"/>
        <w:rPr>
          <w:rtl/>
        </w:rPr>
      </w:pPr>
      <w:r w:rsidRPr="00E22B27">
        <w:rPr>
          <w:rFonts w:hint="cs"/>
          <w:rtl/>
        </w:rPr>
        <w:t xml:space="preserve">وفي بعض الحالات، استُخدم عدد قليل من التسجيلات لتمديد الحماية في آن واحد إلى عدد كبير من أعضاء نظام مدريد. فعلى سبيل المثال، لم يُستخدم سوى 129 تسجيلاً تقريباً من أصل 414 44 تسجيلاً دوِّن في 2013 لتعيين 80 عضواً </w:t>
      </w:r>
      <w:r w:rsidR="00450110" w:rsidRPr="00E22B27">
        <w:rPr>
          <w:rFonts w:hint="cs"/>
          <w:rtl/>
        </w:rPr>
        <w:t>أو</w:t>
      </w:r>
      <w:r w:rsidR="00450110" w:rsidRPr="00E22B27">
        <w:rPr>
          <w:rtl/>
        </w:rPr>
        <w:t> </w:t>
      </w:r>
      <w:r w:rsidRPr="00E22B27">
        <w:rPr>
          <w:rFonts w:hint="cs"/>
          <w:rtl/>
        </w:rPr>
        <w:t>أكثر من أعضاء نظام مدريد وأصلهم 92 عضواً. ولم يعين سوى تسجيل واحد من هذه التسجيلات المئة والتسعة والعشرين 90 عضواً في نظام مدريد.</w:t>
      </w:r>
    </w:p>
    <w:p w:rsidR="00CE2853" w:rsidRPr="00E22B27" w:rsidRDefault="0077628C" w:rsidP="009422A7">
      <w:pPr>
        <w:pStyle w:val="NormalParaAR"/>
        <w:rPr>
          <w:rtl/>
        </w:rPr>
      </w:pPr>
      <w:r>
        <w:rPr>
          <w:rFonts w:hint="cs"/>
          <w:rtl/>
        </w:rPr>
        <w:t>وت</w:t>
      </w:r>
      <w:r w:rsidR="00CE2853" w:rsidRPr="00E22B27">
        <w:rPr>
          <w:rFonts w:hint="cs"/>
          <w:rtl/>
        </w:rPr>
        <w:t>دل التسجيلات الدولية التي تعين عضواً واحداً في نظام مدريد على رغبة أصحاب العلامات التجارية في توسيع نطاق الحماية إلى بلد واحد آخر غير بلدهم "الأم" الذين أودعوا فيه</w:t>
      </w:r>
      <w:r w:rsidR="00450110" w:rsidRPr="00E22B27">
        <w:rPr>
          <w:rFonts w:hint="cs"/>
          <w:rtl/>
        </w:rPr>
        <w:t xml:space="preserve"> </w:t>
      </w:r>
      <w:r w:rsidR="00CE2853" w:rsidRPr="00E22B27">
        <w:rPr>
          <w:rFonts w:hint="cs"/>
          <w:rtl/>
        </w:rPr>
        <w:t xml:space="preserve">طلب العلامة الأصلي على الصعيد الوطني </w:t>
      </w:r>
      <w:r w:rsidR="00450110" w:rsidRPr="00E22B27">
        <w:rPr>
          <w:rFonts w:hint="cs"/>
          <w:rtl/>
        </w:rPr>
        <w:t>أو</w:t>
      </w:r>
      <w:r w:rsidR="00450110" w:rsidRPr="00E22B27">
        <w:rPr>
          <w:rtl/>
        </w:rPr>
        <w:t> </w:t>
      </w:r>
      <w:r w:rsidR="00CE2853" w:rsidRPr="00E22B27">
        <w:rPr>
          <w:rFonts w:hint="cs"/>
          <w:rtl/>
        </w:rPr>
        <w:t>الإقليمي.</w:t>
      </w:r>
    </w:p>
    <w:p w:rsidR="00CE2853" w:rsidRPr="00E22B27" w:rsidRDefault="00CE2853" w:rsidP="009422A7">
      <w:pPr>
        <w:pStyle w:val="NormalParaAR"/>
        <w:rPr>
          <w:rtl/>
        </w:rPr>
      </w:pPr>
      <w:r w:rsidRPr="00E22B27">
        <w:rPr>
          <w:rFonts w:hint="cs"/>
          <w:rtl/>
        </w:rPr>
        <w:t>وقد يدل كذلك على رغبتهم في توسيع نطاق حماية علامتهم التجارية إلى الدول الثماني والعشرين الأعضاء في الاتحاد الأوروبي في آن واحد. ومن أصل 753 7 تسجيلاً دولياً دوِّن في 2013 وتضمن تعييناً واحداً، 518 1 (أي خُمس هذه التسجيلات تقريباً) عينت الاتحاد الأوروبي من خلال المكتب المعني بالتنسيق في السوق الداخلية التابع له.</w:t>
      </w:r>
    </w:p>
    <w:p w:rsidR="00CE2853" w:rsidRPr="00E22B27" w:rsidRDefault="00CE2853" w:rsidP="009422A7">
      <w:pPr>
        <w:pStyle w:val="NormalParaAR"/>
        <w:keepNext/>
        <w:rPr>
          <w:i/>
          <w:iCs/>
          <w:rtl/>
        </w:rPr>
      </w:pPr>
      <w:r w:rsidRPr="00E22B27">
        <w:rPr>
          <w:rFonts w:hint="cs"/>
          <w:i/>
          <w:iCs/>
          <w:rtl/>
        </w:rPr>
        <w:t xml:space="preserve">الشكل </w:t>
      </w:r>
      <w:r w:rsidR="002C5A34">
        <w:rPr>
          <w:i/>
          <w:iCs/>
          <w:rtl/>
        </w:rPr>
        <w:t xml:space="preserve">ألف </w:t>
      </w:r>
      <w:r w:rsidR="0077628C">
        <w:rPr>
          <w:i/>
          <w:iCs/>
          <w:rtl/>
        </w:rPr>
        <w:noBreakHyphen/>
      </w:r>
      <w:r w:rsidR="002C5A34">
        <w:rPr>
          <w:i/>
          <w:iCs/>
          <w:rtl/>
        </w:rPr>
        <w:t xml:space="preserve"> 3 </w:t>
      </w:r>
      <w:r w:rsidR="0077628C">
        <w:rPr>
          <w:i/>
          <w:iCs/>
          <w:rtl/>
        </w:rPr>
        <w:noBreakHyphen/>
      </w:r>
      <w:r w:rsidR="002C5A34">
        <w:rPr>
          <w:i/>
          <w:iCs/>
          <w:rtl/>
        </w:rPr>
        <w:t xml:space="preserve"> 1 </w:t>
      </w:r>
      <w:r w:rsidR="0077628C">
        <w:rPr>
          <w:i/>
          <w:iCs/>
          <w:rtl/>
        </w:rPr>
        <w:noBreakHyphen/>
      </w:r>
      <w:r w:rsidR="002C5A34">
        <w:rPr>
          <w:i/>
          <w:iCs/>
          <w:rtl/>
        </w:rPr>
        <w:t xml:space="preserve"> 2</w:t>
      </w:r>
      <w:r w:rsidRPr="00E22B27">
        <w:rPr>
          <w:i/>
          <w:iCs/>
        </w:rPr>
        <w:tab/>
      </w:r>
      <w:r w:rsidRPr="00E22B27">
        <w:rPr>
          <w:rFonts w:hint="cs"/>
          <w:i/>
          <w:iCs/>
          <w:rtl/>
        </w:rPr>
        <w:t>توزيع التعيينات بحسب التسجيل الدولي، 2013</w:t>
      </w:r>
    </w:p>
    <w:p w:rsidR="003C1838" w:rsidRPr="00E22B27" w:rsidRDefault="003C1838" w:rsidP="009422A7">
      <w:pPr>
        <w:bidi/>
      </w:pPr>
      <w:r w:rsidRPr="00E22B27">
        <w:rPr>
          <w:noProof/>
        </w:rPr>
        <w:drawing>
          <wp:inline distT="0" distB="0" distL="0" distR="0" wp14:anchorId="741DE6A8" wp14:editId="3A26A2BC">
            <wp:extent cx="5753735" cy="2190750"/>
            <wp:effectExtent l="0" t="0" r="0" b="0"/>
            <wp:docPr id="7" name="Picture 7" descr="A-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3-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3735" cy="2190750"/>
                    </a:xfrm>
                    <a:prstGeom prst="rect">
                      <a:avLst/>
                    </a:prstGeom>
                    <a:noFill/>
                    <a:ln>
                      <a:noFill/>
                    </a:ln>
                  </pic:spPr>
                </pic:pic>
              </a:graphicData>
            </a:graphic>
          </wp:inline>
        </w:drawing>
      </w:r>
    </w:p>
    <w:p w:rsidR="00CE2853" w:rsidRPr="00E22B27" w:rsidRDefault="00CE2853" w:rsidP="009422A7">
      <w:pPr>
        <w:pStyle w:val="NormalParaAR"/>
        <w:rPr>
          <w:rtl/>
        </w:rPr>
      </w:pPr>
      <w:r w:rsidRPr="00E22B27">
        <w:rPr>
          <w:rFonts w:hint="cs"/>
          <w:rtl/>
        </w:rPr>
        <w:t xml:space="preserve">المصدر: </w:t>
      </w:r>
      <w:r w:rsidRPr="00E22B27">
        <w:rPr>
          <w:rtl/>
        </w:rPr>
        <w:t>قاعدة بيانات إحصاءات الويبو</w:t>
      </w:r>
      <w:r w:rsidRPr="00E22B27">
        <w:rPr>
          <w:rFonts w:hint="cs"/>
          <w:rtl/>
        </w:rPr>
        <w:t>، مارس 2014</w:t>
      </w:r>
    </w:p>
    <w:p w:rsidR="00CE2853" w:rsidRPr="00E22B27" w:rsidRDefault="00CE2853" w:rsidP="009422A7">
      <w:pPr>
        <w:pStyle w:val="NormalParaAR"/>
        <w:keepNext/>
        <w:rPr>
          <w:u w:val="single"/>
        </w:rPr>
      </w:pPr>
      <w:r w:rsidRPr="00E22B27">
        <w:rPr>
          <w:rFonts w:hint="cs"/>
          <w:u w:val="single"/>
          <w:rtl/>
        </w:rPr>
        <w:t xml:space="preserve">ألف </w:t>
      </w:r>
      <w:r w:rsidR="0077628C">
        <w:rPr>
          <w:rFonts w:hint="cs"/>
          <w:u w:val="single"/>
          <w:rtl/>
        </w:rPr>
        <w:noBreakHyphen/>
      </w:r>
      <w:r w:rsidRPr="00E22B27">
        <w:rPr>
          <w:rFonts w:hint="cs"/>
          <w:u w:val="single"/>
          <w:rtl/>
        </w:rPr>
        <w:t xml:space="preserve">3 </w:t>
      </w:r>
      <w:r w:rsidR="0077628C">
        <w:rPr>
          <w:rFonts w:hint="cs"/>
          <w:u w:val="single"/>
          <w:rtl/>
        </w:rPr>
        <w:noBreakHyphen/>
      </w:r>
      <w:r w:rsidRPr="00E22B27">
        <w:rPr>
          <w:rFonts w:hint="cs"/>
          <w:u w:val="single"/>
          <w:rtl/>
        </w:rPr>
        <w:t>2</w:t>
      </w:r>
      <w:r w:rsidRPr="00E22B27">
        <w:rPr>
          <w:rFonts w:hint="cs"/>
          <w:u w:val="single"/>
          <w:rtl/>
        </w:rPr>
        <w:tab/>
        <w:t>التعيينات اللاحقة في التسجيلات الدولية</w:t>
      </w:r>
    </w:p>
    <w:p w:rsidR="00957984" w:rsidRPr="00E22B27" w:rsidRDefault="00957984" w:rsidP="0077628C">
      <w:pPr>
        <w:pStyle w:val="NormalParaAR"/>
        <w:rPr>
          <w:rtl/>
        </w:rPr>
      </w:pPr>
      <w:r w:rsidRPr="00E22B27">
        <w:rPr>
          <w:rFonts w:hint="cs"/>
          <w:rtl/>
        </w:rPr>
        <w:t xml:space="preserve">على النحو المبين في القسم الفرعي </w:t>
      </w:r>
      <w:r w:rsidR="002C5A34">
        <w:rPr>
          <w:rFonts w:hint="cs"/>
          <w:rtl/>
        </w:rPr>
        <w:t xml:space="preserve">ألف </w:t>
      </w:r>
      <w:r w:rsidR="0077628C">
        <w:rPr>
          <w:rFonts w:hint="cs"/>
          <w:rtl/>
        </w:rPr>
        <w:noBreakHyphen/>
      </w:r>
      <w:r w:rsidR="002C5A34">
        <w:rPr>
          <w:rFonts w:hint="cs"/>
          <w:rtl/>
        </w:rPr>
        <w:t xml:space="preserve"> 2 </w:t>
      </w:r>
      <w:r w:rsidR="0077628C">
        <w:rPr>
          <w:rFonts w:hint="cs"/>
          <w:rtl/>
        </w:rPr>
        <w:noBreakHyphen/>
      </w:r>
      <w:r w:rsidR="002C5A34">
        <w:rPr>
          <w:rFonts w:hint="cs"/>
          <w:rtl/>
        </w:rPr>
        <w:t xml:space="preserve"> 3</w:t>
      </w:r>
      <w:r w:rsidRPr="00E22B27">
        <w:rPr>
          <w:rFonts w:hint="cs"/>
          <w:rtl/>
        </w:rPr>
        <w:t>، يحدد أصحاب التسجيل الدولي بصورة كبيرة المناطق الجغرافية التي يلتمسوا فيها حماية علاماتهم التجارية وقت إيداع طلباتهم الدولية بموجب نظام مدريد. ومع ذلك، على مدى صلاحية التسجيل الفعال، قد يود أصحابه توسيع نطاق الحماية لعلاماتهم التجارية إلى ولايات قضائية يشملها أعضاء إضافيون في نظام مدريد. وتعرف هذه التعيينات بالتعيينات اللاحقة وتنطبق على أعضاء نظام مدريد الذين لم يدو</w:t>
      </w:r>
      <w:r w:rsidR="0077628C">
        <w:rPr>
          <w:rFonts w:hint="cs"/>
          <w:rtl/>
        </w:rPr>
        <w:t>َّ</w:t>
      </w:r>
      <w:r w:rsidRPr="00E22B27">
        <w:rPr>
          <w:rFonts w:hint="cs"/>
          <w:rtl/>
        </w:rPr>
        <w:t>ن له</w:t>
      </w:r>
      <w:r w:rsidR="0077628C">
        <w:rPr>
          <w:rFonts w:hint="cs"/>
          <w:rtl/>
        </w:rPr>
        <w:t>م</w:t>
      </w:r>
      <w:r w:rsidRPr="00E22B27">
        <w:rPr>
          <w:rFonts w:hint="cs"/>
          <w:rtl/>
        </w:rPr>
        <w:t xml:space="preserve"> تعيين سابق </w:t>
      </w:r>
      <w:r w:rsidR="00450110" w:rsidRPr="00E22B27">
        <w:rPr>
          <w:rFonts w:hint="cs"/>
          <w:rtl/>
        </w:rPr>
        <w:t>أو</w:t>
      </w:r>
      <w:r w:rsidR="00450110" w:rsidRPr="00E22B27">
        <w:rPr>
          <w:rtl/>
        </w:rPr>
        <w:t> </w:t>
      </w:r>
      <w:r w:rsidR="0077628C">
        <w:rPr>
          <w:rFonts w:hint="cs"/>
          <w:rtl/>
        </w:rPr>
        <w:t>التي لم يعد تعيينهم</w:t>
      </w:r>
      <w:r w:rsidRPr="00E22B27">
        <w:rPr>
          <w:rFonts w:hint="cs"/>
          <w:rtl/>
        </w:rPr>
        <w:t xml:space="preserve"> السابق سارياً.</w:t>
      </w:r>
    </w:p>
    <w:p w:rsidR="00957984" w:rsidRPr="00E22B27" w:rsidRDefault="00957984" w:rsidP="0077628C">
      <w:pPr>
        <w:pStyle w:val="NormalParaAR"/>
        <w:rPr>
          <w:rtl/>
        </w:rPr>
      </w:pPr>
      <w:r w:rsidRPr="00E22B27">
        <w:rPr>
          <w:rFonts w:hint="cs"/>
          <w:rtl/>
        </w:rPr>
        <w:t xml:space="preserve">ويبين التوجه الطويل الأجل أن عدد التعيينات اللاحقة قد تضاعف تقريباً منذ عام 1996، ويعزى ذلك جزئياً إلى حالات الانضمام إلى نظام مدريد والحافز لأصحاب التسجيل </w:t>
      </w:r>
      <w:r w:rsidR="0077628C">
        <w:rPr>
          <w:rFonts w:hint="cs"/>
          <w:rtl/>
        </w:rPr>
        <w:t xml:space="preserve">على </w:t>
      </w:r>
      <w:r w:rsidRPr="00E22B27">
        <w:rPr>
          <w:rFonts w:hint="cs"/>
          <w:rtl/>
        </w:rPr>
        <w:t xml:space="preserve">توسيع نطاق الحماية إلى ولايات قضائية تابعة لأعضاء جدد فضلاً </w:t>
      </w:r>
      <w:r w:rsidRPr="00E22B27">
        <w:rPr>
          <w:rFonts w:hint="cs"/>
          <w:rtl/>
        </w:rPr>
        <w:lastRenderedPageBreak/>
        <w:t xml:space="preserve">عن الأعضاء القائمين. ورغم </w:t>
      </w:r>
      <w:r w:rsidR="0077628C">
        <w:rPr>
          <w:rFonts w:hint="cs"/>
          <w:rtl/>
        </w:rPr>
        <w:t>وجود توجه مماثل</w:t>
      </w:r>
      <w:r w:rsidRPr="00E22B27">
        <w:rPr>
          <w:rFonts w:hint="cs"/>
          <w:rtl/>
        </w:rPr>
        <w:t xml:space="preserve"> في التعيينات الأولية، يبين الشكل </w:t>
      </w:r>
      <w:r w:rsidR="002C5A34">
        <w:rPr>
          <w:rtl/>
        </w:rPr>
        <w:t xml:space="preserve">ألف </w:t>
      </w:r>
      <w:r w:rsidR="0077628C">
        <w:rPr>
          <w:rtl/>
        </w:rPr>
        <w:noBreakHyphen/>
      </w:r>
      <w:r w:rsidR="002C5A34">
        <w:rPr>
          <w:rtl/>
        </w:rPr>
        <w:t xml:space="preserve"> 3 </w:t>
      </w:r>
      <w:r w:rsidR="0077628C">
        <w:rPr>
          <w:rtl/>
        </w:rPr>
        <w:noBreakHyphen/>
      </w:r>
      <w:r w:rsidR="002C5A34">
        <w:rPr>
          <w:rtl/>
        </w:rPr>
        <w:t xml:space="preserve"> 2</w:t>
      </w:r>
      <w:r w:rsidRPr="00E22B27">
        <w:rPr>
          <w:rFonts w:hint="cs"/>
          <w:rtl/>
        </w:rPr>
        <w:t xml:space="preserve"> أن عدد التعيينات اللاحقة المضافة</w:t>
      </w:r>
      <w:r w:rsidR="00E22B27" w:rsidRPr="00E22B27">
        <w:rPr>
          <w:rFonts w:hint="cs"/>
          <w:rtl/>
        </w:rPr>
        <w:t xml:space="preserve"> إلى </w:t>
      </w:r>
      <w:r w:rsidRPr="00E22B27">
        <w:rPr>
          <w:rFonts w:hint="cs"/>
          <w:rtl/>
        </w:rPr>
        <w:t xml:space="preserve">التسجيلات الدولية القائمة يتقلب أكثر من عام لآخر مقارنة بعدد التعيينات الأولية المبينة في الشكل </w:t>
      </w:r>
      <w:r w:rsidR="002C5A34">
        <w:rPr>
          <w:rtl/>
        </w:rPr>
        <w:t xml:space="preserve">ألف </w:t>
      </w:r>
      <w:r w:rsidR="0077628C">
        <w:rPr>
          <w:rtl/>
        </w:rPr>
        <w:noBreakHyphen/>
      </w:r>
      <w:r w:rsidR="002C5A34">
        <w:rPr>
          <w:rtl/>
        </w:rPr>
        <w:t xml:space="preserve"> 3 </w:t>
      </w:r>
      <w:r w:rsidR="0077628C">
        <w:rPr>
          <w:rtl/>
        </w:rPr>
        <w:noBreakHyphen/>
      </w:r>
      <w:r w:rsidR="002C5A34">
        <w:rPr>
          <w:rtl/>
        </w:rPr>
        <w:t xml:space="preserve"> 1 </w:t>
      </w:r>
      <w:r w:rsidR="0077628C">
        <w:rPr>
          <w:rtl/>
        </w:rPr>
        <w:noBreakHyphen/>
      </w:r>
      <w:r w:rsidR="002C5A34">
        <w:rPr>
          <w:rtl/>
        </w:rPr>
        <w:t xml:space="preserve"> 1</w:t>
      </w:r>
      <w:r w:rsidRPr="00E22B27">
        <w:rPr>
          <w:rFonts w:hint="cs"/>
          <w:rtl/>
        </w:rPr>
        <w:t xml:space="preserve">. وإن معدلات النمو السنوية للتعيينات اللاحقة أعلى </w:t>
      </w:r>
      <w:r w:rsidR="00450110" w:rsidRPr="00E22B27">
        <w:rPr>
          <w:rFonts w:hint="cs"/>
          <w:rtl/>
        </w:rPr>
        <w:t>أو</w:t>
      </w:r>
      <w:r w:rsidR="00450110" w:rsidRPr="00E22B27">
        <w:rPr>
          <w:rtl/>
        </w:rPr>
        <w:t> </w:t>
      </w:r>
      <w:r w:rsidRPr="00E22B27">
        <w:rPr>
          <w:rFonts w:hint="cs"/>
          <w:rtl/>
        </w:rPr>
        <w:t xml:space="preserve">أقل بصورة ملحوظة من معدلات التعيينات الأولية خلال معظم السنوات </w:t>
      </w:r>
      <w:r w:rsidR="00450110" w:rsidRPr="00E22B27">
        <w:rPr>
          <w:rFonts w:hint="cs"/>
          <w:rtl/>
        </w:rPr>
        <w:t>أو</w:t>
      </w:r>
      <w:r w:rsidR="00450110" w:rsidRPr="00E22B27">
        <w:rPr>
          <w:rtl/>
        </w:rPr>
        <w:t> </w:t>
      </w:r>
      <w:r w:rsidRPr="00E22B27">
        <w:rPr>
          <w:rFonts w:hint="cs"/>
          <w:rtl/>
        </w:rPr>
        <w:t>حتى متناقضة معها.</w:t>
      </w:r>
    </w:p>
    <w:p w:rsidR="00957984" w:rsidRPr="00E22B27" w:rsidRDefault="00957984" w:rsidP="009422A7">
      <w:pPr>
        <w:pStyle w:val="NormalParaAR"/>
        <w:rPr>
          <w:rtl/>
        </w:rPr>
      </w:pPr>
      <w:r w:rsidRPr="00E22B27">
        <w:rPr>
          <w:rFonts w:hint="cs"/>
          <w:rtl/>
        </w:rPr>
        <w:t>وفي عام 2013، أضاف أصحاب التسجيلات 480 45 تعييناً إلى تسجيلاتهم الدولية وهو رقم لم يتغير مستواه تقريباً مقارنة بعام 2012. وهذه التعيينات اللاحقة هي نحو 13% من جميع التعيينات الأولية واللاحقة التي دوِّنت في 2013.</w:t>
      </w:r>
    </w:p>
    <w:p w:rsidR="00957984" w:rsidRPr="00E22B27" w:rsidRDefault="00957984" w:rsidP="009422A7">
      <w:pPr>
        <w:pStyle w:val="NormalParaAR"/>
        <w:rPr>
          <w:rtl/>
        </w:rPr>
      </w:pPr>
      <w:r w:rsidRPr="00E22B27">
        <w:rPr>
          <w:rFonts w:hint="cs"/>
          <w:rtl/>
        </w:rPr>
        <w:t>وزادت التعيينات اللاحقة بشدة إذ بلغت 43.2% في عام 2003، وهو العام الذي أصبحت فيه الولايات المتحدة عضواً في نظام مدريد والعام السابق لانضمام الاتحاد الأوروبي إلى النظام. وفي المقابل، انخفضت التعيينات اللاحقة بنسبة 18.7% في ذروة الأزمة الاقتصادية في عام 2009، بالتوازي مع انخفاض التعيينات الأولية بنسبة 20.1%.</w:t>
      </w:r>
    </w:p>
    <w:p w:rsidR="00CE2853" w:rsidRPr="00E22B27" w:rsidRDefault="00957984" w:rsidP="009422A7">
      <w:pPr>
        <w:pStyle w:val="NormalParaAR"/>
        <w:keepNext/>
        <w:rPr>
          <w:i/>
          <w:iCs/>
          <w:rtl/>
        </w:rPr>
      </w:pPr>
      <w:r w:rsidRPr="00E22B27">
        <w:rPr>
          <w:rFonts w:hint="cs"/>
          <w:i/>
          <w:iCs/>
          <w:rtl/>
        </w:rPr>
        <w:t xml:space="preserve">الشكل </w:t>
      </w:r>
      <w:r w:rsidR="002C5A34">
        <w:rPr>
          <w:i/>
          <w:iCs/>
          <w:rtl/>
        </w:rPr>
        <w:t xml:space="preserve">ألف </w:t>
      </w:r>
      <w:r w:rsidR="0077628C">
        <w:rPr>
          <w:i/>
          <w:iCs/>
          <w:rtl/>
        </w:rPr>
        <w:noBreakHyphen/>
      </w:r>
      <w:r w:rsidR="002C5A34">
        <w:rPr>
          <w:i/>
          <w:iCs/>
          <w:rtl/>
        </w:rPr>
        <w:t xml:space="preserve"> 3 </w:t>
      </w:r>
      <w:r w:rsidR="0077628C">
        <w:rPr>
          <w:i/>
          <w:iCs/>
          <w:rtl/>
        </w:rPr>
        <w:noBreakHyphen/>
      </w:r>
      <w:r w:rsidR="002C5A34">
        <w:rPr>
          <w:i/>
          <w:iCs/>
          <w:rtl/>
        </w:rPr>
        <w:t xml:space="preserve"> 2</w:t>
      </w:r>
      <w:r w:rsidR="003B43F2">
        <w:rPr>
          <w:rFonts w:hint="cs"/>
          <w:i/>
          <w:iCs/>
          <w:rtl/>
        </w:rPr>
        <w:tab/>
      </w:r>
      <w:r w:rsidRPr="00E22B27">
        <w:rPr>
          <w:rFonts w:hint="cs"/>
          <w:i/>
          <w:iCs/>
          <w:rtl/>
        </w:rPr>
        <w:t>التعيينات اللاحقة في التسجيلات الدولية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7"/>
      </w:tblGrid>
      <w:tr w:rsidR="003C1838" w:rsidRPr="00E22B27" w:rsidTr="00957984">
        <w:trPr>
          <w:jc w:val="center"/>
        </w:trPr>
        <w:tc>
          <w:tcPr>
            <w:tcW w:w="9287" w:type="dxa"/>
            <w:tcBorders>
              <w:top w:val="single" w:sz="4" w:space="0" w:color="auto"/>
              <w:left w:val="single" w:sz="4" w:space="0" w:color="auto"/>
              <w:bottom w:val="single" w:sz="4" w:space="0" w:color="auto"/>
              <w:right w:val="single" w:sz="4" w:space="0" w:color="auto"/>
            </w:tcBorders>
            <w:hideMark/>
          </w:tcPr>
          <w:p w:rsidR="003C1838" w:rsidRPr="00E22B27" w:rsidRDefault="003C1838" w:rsidP="009422A7">
            <w:pPr>
              <w:bidi/>
              <w:jc w:val="center"/>
              <w:rPr>
                <w:rFonts w:eastAsia="SimSun"/>
                <w:lang w:eastAsia="zh-CN"/>
              </w:rPr>
            </w:pPr>
            <w:r w:rsidRPr="00E22B27">
              <w:rPr>
                <w:noProof/>
              </w:rPr>
              <w:drawing>
                <wp:inline distT="0" distB="0" distL="0" distR="0" wp14:anchorId="5D768646" wp14:editId="270A13A8">
                  <wp:extent cx="5753735" cy="2190750"/>
                  <wp:effectExtent l="0" t="0" r="0" b="0"/>
                  <wp:docPr id="6" name="Picture 6" descr="A-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53735" cy="2190750"/>
                          </a:xfrm>
                          <a:prstGeom prst="rect">
                            <a:avLst/>
                          </a:prstGeom>
                          <a:noFill/>
                          <a:ln>
                            <a:noFill/>
                          </a:ln>
                        </pic:spPr>
                      </pic:pic>
                    </a:graphicData>
                  </a:graphic>
                </wp:inline>
              </w:drawing>
            </w:r>
          </w:p>
        </w:tc>
      </w:tr>
    </w:tbl>
    <w:p w:rsidR="00957984" w:rsidRPr="00E22B27" w:rsidRDefault="00957984" w:rsidP="009422A7">
      <w:pPr>
        <w:pStyle w:val="NormalParaAR"/>
        <w:rPr>
          <w:rtl/>
        </w:rPr>
      </w:pPr>
      <w:r w:rsidRPr="00E22B27">
        <w:rPr>
          <w:rFonts w:hint="cs"/>
          <w:rtl/>
        </w:rPr>
        <w:t xml:space="preserve">المصدر: </w:t>
      </w:r>
      <w:r w:rsidRPr="00E22B27">
        <w:rPr>
          <w:rtl/>
        </w:rPr>
        <w:t>قاعدة بيانات إحصاءات الويبو</w:t>
      </w:r>
      <w:r w:rsidRPr="00E22B27">
        <w:rPr>
          <w:rFonts w:hint="cs"/>
          <w:rtl/>
        </w:rPr>
        <w:t>، مارس 2014</w:t>
      </w:r>
    </w:p>
    <w:p w:rsidR="00957984" w:rsidRPr="00E22B27" w:rsidRDefault="00957984" w:rsidP="009422A7">
      <w:pPr>
        <w:pStyle w:val="NormalParaAR"/>
        <w:keepNext/>
        <w:rPr>
          <w:u w:val="single"/>
          <w:rtl/>
        </w:rPr>
      </w:pPr>
      <w:r w:rsidRPr="00E22B27">
        <w:rPr>
          <w:rFonts w:hint="cs"/>
          <w:u w:val="single"/>
          <w:rtl/>
        </w:rPr>
        <w:t xml:space="preserve">ألف </w:t>
      </w:r>
      <w:r w:rsidRPr="00E22B27">
        <w:rPr>
          <w:u w:val="single"/>
          <w:rtl/>
        </w:rPr>
        <w:t>–</w:t>
      </w:r>
      <w:r w:rsidRPr="00E22B27">
        <w:rPr>
          <w:rFonts w:hint="cs"/>
          <w:u w:val="single"/>
          <w:rtl/>
        </w:rPr>
        <w:t xml:space="preserve"> 3 </w:t>
      </w:r>
      <w:r w:rsidR="0077628C">
        <w:rPr>
          <w:rFonts w:hint="cs"/>
          <w:u w:val="single"/>
          <w:rtl/>
        </w:rPr>
        <w:noBreakHyphen/>
      </w:r>
      <w:r w:rsidRPr="00E22B27">
        <w:rPr>
          <w:rFonts w:hint="cs"/>
          <w:u w:val="single"/>
          <w:rtl/>
        </w:rPr>
        <w:t>3</w:t>
      </w:r>
      <w:r w:rsidRPr="00E22B27">
        <w:rPr>
          <w:rFonts w:hint="cs"/>
          <w:u w:val="single"/>
          <w:rtl/>
        </w:rPr>
        <w:tab/>
        <w:t>التعيينات في التسجيلات بحسب العضو في نظام مدريد</w:t>
      </w:r>
    </w:p>
    <w:p w:rsidR="00957984" w:rsidRPr="00E22B27" w:rsidRDefault="00957984" w:rsidP="009422A7">
      <w:pPr>
        <w:pStyle w:val="NormalParaAR"/>
        <w:rPr>
          <w:rtl/>
        </w:rPr>
      </w:pPr>
      <w:r w:rsidRPr="00E22B27">
        <w:rPr>
          <w:rtl/>
        </w:rPr>
        <w:t xml:space="preserve">يبين الشكل </w:t>
      </w:r>
      <w:r w:rsidR="002C5A34">
        <w:rPr>
          <w:rtl/>
        </w:rPr>
        <w:t xml:space="preserve">ألف </w:t>
      </w:r>
      <w:r w:rsidR="0077628C">
        <w:rPr>
          <w:rtl/>
        </w:rPr>
        <w:noBreakHyphen/>
      </w:r>
      <w:r w:rsidR="002C5A34">
        <w:rPr>
          <w:rtl/>
        </w:rPr>
        <w:t xml:space="preserve"> 3 </w:t>
      </w:r>
      <w:r w:rsidR="0077628C">
        <w:rPr>
          <w:rtl/>
        </w:rPr>
        <w:noBreakHyphen/>
      </w:r>
      <w:r w:rsidR="002C5A34">
        <w:rPr>
          <w:rtl/>
        </w:rPr>
        <w:t xml:space="preserve"> 3 </w:t>
      </w:r>
      <w:r w:rsidR="0077628C">
        <w:rPr>
          <w:rtl/>
        </w:rPr>
        <w:noBreakHyphen/>
      </w:r>
      <w:r w:rsidR="002C5A34">
        <w:rPr>
          <w:rtl/>
        </w:rPr>
        <w:t xml:space="preserve"> 1</w:t>
      </w:r>
      <w:r w:rsidRPr="00E22B27">
        <w:rPr>
          <w:rtl/>
        </w:rPr>
        <w:t xml:space="preserve"> البلدان والمنطقة </w:t>
      </w:r>
      <w:r w:rsidR="0077628C">
        <w:rPr>
          <w:rtl/>
        </w:rPr>
        <w:noBreakHyphen/>
      </w:r>
      <w:r w:rsidRPr="00E22B27">
        <w:rPr>
          <w:rtl/>
        </w:rPr>
        <w:t xml:space="preserve"> في حالة الاتحاد الأوروبي – حيث التمس أصحاب التسجيلات الدولية حماية لعلامة تجارية في 2013 على هيئة تعيينات أولية ولاحقة. وحصل هؤلاء الأعضاء العشرين الأكثر تعييناً في نظام مدريد على 58.3% من جميع التعيينات الأولية وأكثر من نصف (50.6%) جميع التعيينات اللاحقة بقليل، مما أدى إلى حصة إجمالية نسبتها 57.3% من مجموع التعيينات.</w:t>
      </w:r>
    </w:p>
    <w:p w:rsidR="00957984" w:rsidRPr="00E22B27" w:rsidRDefault="00957984" w:rsidP="00462226">
      <w:pPr>
        <w:pStyle w:val="NormalParaAR"/>
        <w:rPr>
          <w:rtl/>
        </w:rPr>
      </w:pPr>
      <w:r w:rsidRPr="00E22B27">
        <w:rPr>
          <w:rtl/>
        </w:rPr>
        <w:t>وكانت الصين، وهي الدولة الوحيدة التي تتجاوز 000</w:t>
      </w:r>
      <w:r w:rsidR="00731455" w:rsidRPr="00E22B27">
        <w:rPr>
          <w:rFonts w:hint="cs"/>
          <w:rtl/>
        </w:rPr>
        <w:t> </w:t>
      </w:r>
      <w:r w:rsidRPr="00E22B27">
        <w:rPr>
          <w:rtl/>
        </w:rPr>
        <w:t xml:space="preserve">20 تعيين إجمالاً (بما في ذلك التعيينات اللاحقة)، هي العضو الأكثر تعييناً في كل من التسجيلات الجديدة والقائمة. وتخطى الاتحاد الروسي الاتحاد الأوروبي ليصبح بذلك ثاني أكثر أعضاء نظام مدريد تعييناً في عام 2013 إذ حصل على ما مجموعه 239 18 تعييناً مسجلاً بذلك أعلى معدلات نمو (+9.6%) في صفوف </w:t>
      </w:r>
      <w:r w:rsidR="00462226">
        <w:rPr>
          <w:rFonts w:hint="cs"/>
          <w:rtl/>
        </w:rPr>
        <w:t>أكثر</w:t>
      </w:r>
      <w:r w:rsidRPr="00E22B27">
        <w:rPr>
          <w:rtl/>
        </w:rPr>
        <w:t xml:space="preserve"> عشرين عضواً في نظام مدريد تعييناً. وشهدت فييت نام أيضاً التي كانت تحتل المرتبة الخامسة عشرة نمواً عالياً نسبته 10.8% وإن كان ذلك من أصل منخفض.</w:t>
      </w:r>
    </w:p>
    <w:p w:rsidR="00957984" w:rsidRPr="00E22B27" w:rsidRDefault="00957984" w:rsidP="009422A7">
      <w:pPr>
        <w:pStyle w:val="NormalParaAR"/>
        <w:rPr>
          <w:rtl/>
        </w:rPr>
      </w:pPr>
      <w:r w:rsidRPr="00E22B27">
        <w:rPr>
          <w:rtl/>
        </w:rPr>
        <w:t xml:space="preserve">واحتل الاتحاد الأوروبي المرتبة الثالثة من حيث مجموع التعيينات الواردة في 2013. وحصل على ثاني أكبر عدد من التعيينات الأولية، ولكنه يحتل المرتبة السابعة عشرة من حيث التعيينات اللاحقة. وقد يشير هذا الاختلاف في المرتبتين إلى </w:t>
      </w:r>
      <w:r w:rsidRPr="00E22B27">
        <w:rPr>
          <w:rtl/>
        </w:rPr>
        <w:lastRenderedPageBreak/>
        <w:t>أن تعيينه الأولي في العديد من التسجيلات الدولية الجديدة قد أدى إلى عدم ضرورة تعيينه لاحقاً بالنسبة للعديد من أصحاب العلامات التجارية.</w:t>
      </w:r>
    </w:p>
    <w:p w:rsidR="003D508B" w:rsidRPr="00E22B27" w:rsidRDefault="003D508B" w:rsidP="00462226">
      <w:pPr>
        <w:pStyle w:val="NormalParaAR"/>
        <w:rPr>
          <w:rtl/>
        </w:rPr>
      </w:pPr>
      <w:r w:rsidRPr="00E22B27">
        <w:rPr>
          <w:rFonts w:hint="cs"/>
          <w:rtl/>
        </w:rPr>
        <w:t xml:space="preserve">ومما يدل على </w:t>
      </w:r>
      <w:r w:rsidR="00462226">
        <w:rPr>
          <w:rFonts w:hint="cs"/>
          <w:rtl/>
        </w:rPr>
        <w:t>النطاق</w:t>
      </w:r>
      <w:r w:rsidRPr="00E22B27">
        <w:rPr>
          <w:rFonts w:hint="cs"/>
          <w:rtl/>
        </w:rPr>
        <w:t xml:space="preserve"> </w:t>
      </w:r>
      <w:r w:rsidR="00462226">
        <w:rPr>
          <w:rFonts w:hint="cs"/>
          <w:rtl/>
        </w:rPr>
        <w:t>ال</w:t>
      </w:r>
      <w:r w:rsidRPr="00E22B27">
        <w:rPr>
          <w:rFonts w:hint="cs"/>
          <w:rtl/>
        </w:rPr>
        <w:t xml:space="preserve">جغرافي </w:t>
      </w:r>
      <w:r w:rsidR="00462226">
        <w:rPr>
          <w:rFonts w:hint="cs"/>
          <w:rtl/>
        </w:rPr>
        <w:t>ال</w:t>
      </w:r>
      <w:r w:rsidRPr="00E22B27">
        <w:rPr>
          <w:rFonts w:hint="cs"/>
          <w:rtl/>
        </w:rPr>
        <w:t xml:space="preserve">واسع </w:t>
      </w:r>
      <w:r w:rsidR="00462226">
        <w:rPr>
          <w:rFonts w:hint="cs"/>
          <w:rtl/>
        </w:rPr>
        <w:t>ل</w:t>
      </w:r>
      <w:r w:rsidRPr="00E22B27">
        <w:rPr>
          <w:rFonts w:hint="cs"/>
          <w:rtl/>
        </w:rPr>
        <w:t>لبلدان التي تُلتمس فيها الحماية للعلامات التجارية</w:t>
      </w:r>
      <w:r w:rsidR="00462226">
        <w:rPr>
          <w:rFonts w:hint="cs"/>
          <w:rtl/>
        </w:rPr>
        <w:t xml:space="preserve"> أن</w:t>
      </w:r>
      <w:r w:rsidRPr="00E22B27">
        <w:rPr>
          <w:rFonts w:hint="cs"/>
          <w:rtl/>
        </w:rPr>
        <w:t xml:space="preserve"> 8 من أص</w:t>
      </w:r>
      <w:r w:rsidR="00462226">
        <w:rPr>
          <w:rFonts w:hint="cs"/>
          <w:rtl/>
        </w:rPr>
        <w:t xml:space="preserve">ل 20 عضواً مدرجاً في نظام مدريد يقعون </w:t>
      </w:r>
      <w:r w:rsidRPr="00E22B27">
        <w:rPr>
          <w:rFonts w:hint="cs"/>
          <w:rtl/>
        </w:rPr>
        <w:t>في القارة</w:t>
      </w:r>
      <w:r w:rsidR="00462226">
        <w:rPr>
          <w:rFonts w:hint="cs"/>
          <w:rtl/>
        </w:rPr>
        <w:t xml:space="preserve"> الأوروبية و</w:t>
      </w:r>
      <w:r w:rsidRPr="00E22B27">
        <w:rPr>
          <w:rFonts w:hint="cs"/>
          <w:rtl/>
        </w:rPr>
        <w:t>حصلوا إجمالاً على ربع التعيينات. وفي المقابل، لم يحصل الأعضاء الاثنا عشر المتبقين، الذين يشملون آسيا وأمريكا الشمالية وأوقيانوسيا، على ثلث مجموع التعيينات.</w:t>
      </w:r>
    </w:p>
    <w:p w:rsidR="003D508B" w:rsidRPr="00E22B27" w:rsidRDefault="003D508B" w:rsidP="00462226">
      <w:pPr>
        <w:pStyle w:val="NormalParaAR"/>
        <w:rPr>
          <w:rtl/>
        </w:rPr>
      </w:pPr>
      <w:r w:rsidRPr="00E22B27">
        <w:rPr>
          <w:rFonts w:hint="cs"/>
          <w:rtl/>
        </w:rPr>
        <w:t xml:space="preserve">أما العضو المعين نيوزيلندا، الذي انضم إلى نظام مدريد في عام 2012، فقد ظهر في قائمة أبرز 20 عضواً في عام 2013 </w:t>
      </w:r>
      <w:r w:rsidR="00462226">
        <w:rPr>
          <w:rFonts w:hint="cs"/>
          <w:rtl/>
        </w:rPr>
        <w:t>أساساً</w:t>
      </w:r>
      <w:r w:rsidRPr="00E22B27">
        <w:rPr>
          <w:rFonts w:hint="cs"/>
          <w:rtl/>
        </w:rPr>
        <w:t xml:space="preserve"> نتيجة لتوسيع أصح</w:t>
      </w:r>
      <w:r w:rsidR="00462226">
        <w:rPr>
          <w:rFonts w:hint="cs"/>
          <w:rtl/>
        </w:rPr>
        <w:t>ا</w:t>
      </w:r>
      <w:r w:rsidRPr="00E22B27">
        <w:rPr>
          <w:rFonts w:hint="cs"/>
          <w:rtl/>
        </w:rPr>
        <w:t>ب التسجيلات نطاق حماية علاماتهم التجارية القائمة إلى هذا البلد عبر تعيينات لاحقة. وحصل جميع أعضاء نظام مدريد المدرجين على تعيينات أكثر في عام 2013 مقارنة بعام 2012 إلا ثلاثة منه</w:t>
      </w:r>
      <w:r w:rsidR="00462226">
        <w:rPr>
          <w:rFonts w:hint="cs"/>
          <w:rtl/>
        </w:rPr>
        <w:t>م</w:t>
      </w:r>
      <w:r w:rsidRPr="00E22B27">
        <w:rPr>
          <w:rFonts w:hint="cs"/>
          <w:rtl/>
        </w:rPr>
        <w:t>. إذ حصلت ألمانيا وصربيا وسويسرا على تعيينات أقل.</w:t>
      </w:r>
    </w:p>
    <w:p w:rsidR="003D508B" w:rsidRPr="00E22B27" w:rsidRDefault="003D508B" w:rsidP="009422A7">
      <w:pPr>
        <w:pStyle w:val="NormalParaAR"/>
        <w:keepNext/>
        <w:rPr>
          <w:i/>
          <w:iCs/>
          <w:rtl/>
        </w:rPr>
      </w:pPr>
      <w:r w:rsidRPr="00E22B27">
        <w:rPr>
          <w:rFonts w:hint="cs"/>
          <w:i/>
          <w:iCs/>
          <w:rtl/>
        </w:rPr>
        <w:t xml:space="preserve">الشكل </w:t>
      </w:r>
      <w:r w:rsidR="002C5A34">
        <w:rPr>
          <w:rFonts w:hint="cs"/>
          <w:i/>
          <w:iCs/>
          <w:rtl/>
        </w:rPr>
        <w:t xml:space="preserve">ألف </w:t>
      </w:r>
      <w:r w:rsidR="0077628C">
        <w:rPr>
          <w:rFonts w:hint="cs"/>
          <w:i/>
          <w:iCs/>
          <w:rtl/>
        </w:rPr>
        <w:noBreakHyphen/>
      </w:r>
      <w:r w:rsidR="002C5A34">
        <w:rPr>
          <w:rFonts w:hint="cs"/>
          <w:i/>
          <w:iCs/>
          <w:rtl/>
        </w:rPr>
        <w:t xml:space="preserve"> 3 </w:t>
      </w:r>
      <w:r w:rsidR="0077628C">
        <w:rPr>
          <w:rFonts w:hint="cs"/>
          <w:i/>
          <w:iCs/>
          <w:rtl/>
        </w:rPr>
        <w:noBreakHyphen/>
      </w:r>
      <w:r w:rsidR="002C5A34">
        <w:rPr>
          <w:rFonts w:hint="cs"/>
          <w:i/>
          <w:iCs/>
          <w:rtl/>
        </w:rPr>
        <w:t xml:space="preserve"> 3 </w:t>
      </w:r>
      <w:r w:rsidR="0077628C">
        <w:rPr>
          <w:rFonts w:hint="cs"/>
          <w:i/>
          <w:iCs/>
          <w:rtl/>
        </w:rPr>
        <w:noBreakHyphen/>
      </w:r>
      <w:r w:rsidR="002C5A34">
        <w:rPr>
          <w:rFonts w:hint="cs"/>
          <w:i/>
          <w:iCs/>
          <w:rtl/>
        </w:rPr>
        <w:t xml:space="preserve"> 1</w:t>
      </w:r>
      <w:r w:rsidRPr="00E22B27">
        <w:rPr>
          <w:rFonts w:hint="cs"/>
          <w:i/>
          <w:iCs/>
          <w:rtl/>
        </w:rPr>
        <w:tab/>
        <w:t>التعيينات في التسجيلات لأعلى 20 عضواً معيناً في نظام مدريد، 2013</w:t>
      </w:r>
    </w:p>
    <w:tbl>
      <w:tblPr>
        <w:tblW w:w="0" w:type="auto"/>
        <w:jc w:val="center"/>
        <w:tblLayout w:type="fixed"/>
        <w:tblLook w:val="01E0" w:firstRow="1" w:lastRow="1" w:firstColumn="1" w:lastColumn="1" w:noHBand="0" w:noVBand="0"/>
      </w:tblPr>
      <w:tblGrid>
        <w:gridCol w:w="4643"/>
        <w:gridCol w:w="4644"/>
      </w:tblGrid>
      <w:tr w:rsidR="003C1838" w:rsidRPr="00E22B27" w:rsidTr="003D508B">
        <w:trPr>
          <w:jc w:val="center"/>
        </w:trPr>
        <w:tc>
          <w:tcPr>
            <w:tcW w:w="4643" w:type="dxa"/>
            <w:tcBorders>
              <w:top w:val="single" w:sz="4" w:space="0" w:color="auto"/>
              <w:left w:val="single" w:sz="4" w:space="0" w:color="auto"/>
              <w:bottom w:val="single" w:sz="4" w:space="0" w:color="auto"/>
              <w:right w:val="single" w:sz="4" w:space="0" w:color="auto"/>
            </w:tcBorders>
            <w:hideMark/>
          </w:tcPr>
          <w:p w:rsidR="003C1838" w:rsidRPr="00E22B27" w:rsidRDefault="003C1838" w:rsidP="009422A7">
            <w:pPr>
              <w:bidi/>
              <w:jc w:val="center"/>
              <w:rPr>
                <w:rFonts w:eastAsia="SimSun"/>
                <w:lang w:eastAsia="zh-CN"/>
              </w:rPr>
            </w:pPr>
            <w:r w:rsidRPr="00E22B27">
              <w:rPr>
                <w:noProof/>
              </w:rPr>
              <w:drawing>
                <wp:inline distT="0" distB="0" distL="0" distR="0" wp14:anchorId="04A89FFF" wp14:editId="540EA5B2">
                  <wp:extent cx="2808605" cy="2143760"/>
                  <wp:effectExtent l="0" t="0" r="0" b="8890"/>
                  <wp:docPr id="5" name="Picture 5" descr="A-3-3-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3-3-1-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08605" cy="2143760"/>
                          </a:xfrm>
                          <a:prstGeom prst="rect">
                            <a:avLst/>
                          </a:prstGeom>
                          <a:noFill/>
                          <a:ln>
                            <a:noFill/>
                          </a:ln>
                        </pic:spPr>
                      </pic:pic>
                    </a:graphicData>
                  </a:graphic>
                </wp:inline>
              </w:drawing>
            </w:r>
          </w:p>
        </w:tc>
        <w:tc>
          <w:tcPr>
            <w:tcW w:w="4644" w:type="dxa"/>
            <w:tcBorders>
              <w:top w:val="single" w:sz="4" w:space="0" w:color="auto"/>
              <w:left w:val="single" w:sz="4" w:space="0" w:color="auto"/>
              <w:bottom w:val="single" w:sz="4" w:space="0" w:color="auto"/>
              <w:right w:val="single" w:sz="4" w:space="0" w:color="auto"/>
            </w:tcBorders>
            <w:hideMark/>
          </w:tcPr>
          <w:p w:rsidR="003C1838" w:rsidRPr="00E22B27" w:rsidRDefault="003C1838" w:rsidP="009422A7">
            <w:pPr>
              <w:bidi/>
              <w:jc w:val="center"/>
              <w:rPr>
                <w:rFonts w:eastAsia="SimSun"/>
                <w:lang w:eastAsia="zh-CN"/>
              </w:rPr>
            </w:pPr>
            <w:r w:rsidRPr="00E22B27">
              <w:rPr>
                <w:noProof/>
              </w:rPr>
              <w:drawing>
                <wp:inline distT="0" distB="0" distL="0" distR="0" wp14:anchorId="50F77002" wp14:editId="3F90EE78">
                  <wp:extent cx="2808605" cy="2143760"/>
                  <wp:effectExtent l="0" t="0" r="0" b="8890"/>
                  <wp:docPr id="4" name="Picture 4" descr="A-3-3-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3-3-1-b"/>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08605" cy="2143760"/>
                          </a:xfrm>
                          <a:prstGeom prst="rect">
                            <a:avLst/>
                          </a:prstGeom>
                          <a:noFill/>
                          <a:ln>
                            <a:noFill/>
                          </a:ln>
                        </pic:spPr>
                      </pic:pic>
                    </a:graphicData>
                  </a:graphic>
                </wp:inline>
              </w:drawing>
            </w:r>
          </w:p>
        </w:tc>
      </w:tr>
    </w:tbl>
    <w:p w:rsidR="003D508B" w:rsidRPr="00E22B27" w:rsidRDefault="003D508B" w:rsidP="009422A7">
      <w:pPr>
        <w:pStyle w:val="NormalParaAR"/>
        <w:rPr>
          <w:rtl/>
        </w:rPr>
      </w:pPr>
      <w:r w:rsidRPr="00E22B27">
        <w:rPr>
          <w:rFonts w:hint="cs"/>
          <w:rtl/>
        </w:rPr>
        <w:t xml:space="preserve">المصدر: </w:t>
      </w:r>
      <w:r w:rsidRPr="00E22B27">
        <w:rPr>
          <w:rtl/>
        </w:rPr>
        <w:t>قاعدة بيانات إحصاءات الويبو</w:t>
      </w:r>
      <w:r w:rsidRPr="00E22B27">
        <w:rPr>
          <w:rFonts w:hint="cs"/>
          <w:rtl/>
        </w:rPr>
        <w:t>، مارس 2014</w:t>
      </w:r>
    </w:p>
    <w:p w:rsidR="003D508B" w:rsidRPr="00E22B27" w:rsidRDefault="00731455" w:rsidP="009422A7">
      <w:pPr>
        <w:pStyle w:val="NormalParaAR"/>
        <w:rPr>
          <w:rtl/>
        </w:rPr>
      </w:pPr>
      <w:r w:rsidRPr="00E22B27">
        <w:rPr>
          <w:rFonts w:hint="cs"/>
          <w:rtl/>
        </w:rPr>
        <w:t xml:space="preserve">يبين الجزء العلوي من الجدول </w:t>
      </w:r>
      <w:r w:rsidR="002C5A34">
        <w:rPr>
          <w:rtl/>
        </w:rPr>
        <w:t xml:space="preserve">ألف </w:t>
      </w:r>
      <w:r w:rsidR="0077628C">
        <w:rPr>
          <w:rtl/>
        </w:rPr>
        <w:noBreakHyphen/>
      </w:r>
      <w:r w:rsidR="002C5A34">
        <w:rPr>
          <w:rtl/>
        </w:rPr>
        <w:t xml:space="preserve"> 3 </w:t>
      </w:r>
      <w:r w:rsidR="0077628C">
        <w:rPr>
          <w:rtl/>
        </w:rPr>
        <w:noBreakHyphen/>
      </w:r>
      <w:r w:rsidR="002C5A34">
        <w:rPr>
          <w:rtl/>
        </w:rPr>
        <w:t xml:space="preserve"> 3 </w:t>
      </w:r>
      <w:r w:rsidR="0077628C">
        <w:rPr>
          <w:rtl/>
        </w:rPr>
        <w:noBreakHyphen/>
      </w:r>
      <w:r w:rsidR="002C5A34">
        <w:rPr>
          <w:rtl/>
        </w:rPr>
        <w:t xml:space="preserve"> 2</w:t>
      </w:r>
      <w:r w:rsidRPr="00E22B27">
        <w:rPr>
          <w:rFonts w:hint="cs"/>
          <w:rtl/>
        </w:rPr>
        <w:t xml:space="preserve"> مجموع التعيينات في تسجيلات نظام مدريد التي حصل عليها أبرز 10 أعضاء معينين في نظام مدريد من أصل أبرز 20 من بلدان الإيداع في 2013. أما الجزء السفلي من الجدول </w:t>
      </w:r>
      <w:r w:rsidR="002C5A34">
        <w:rPr>
          <w:rtl/>
        </w:rPr>
        <w:t xml:space="preserve">ألف </w:t>
      </w:r>
      <w:r w:rsidR="0077628C">
        <w:rPr>
          <w:rtl/>
        </w:rPr>
        <w:noBreakHyphen/>
      </w:r>
      <w:r w:rsidR="002C5A34">
        <w:rPr>
          <w:rtl/>
        </w:rPr>
        <w:t xml:space="preserve"> 3 </w:t>
      </w:r>
      <w:r w:rsidR="0077628C">
        <w:rPr>
          <w:rtl/>
        </w:rPr>
        <w:noBreakHyphen/>
      </w:r>
      <w:r w:rsidR="002C5A34">
        <w:rPr>
          <w:rtl/>
        </w:rPr>
        <w:t xml:space="preserve"> 3 </w:t>
      </w:r>
      <w:r w:rsidR="0077628C">
        <w:rPr>
          <w:rtl/>
        </w:rPr>
        <w:noBreakHyphen/>
      </w:r>
      <w:r w:rsidR="002C5A34">
        <w:rPr>
          <w:rtl/>
        </w:rPr>
        <w:t xml:space="preserve"> 2</w:t>
      </w:r>
      <w:r w:rsidRPr="00E22B27">
        <w:rPr>
          <w:rFonts w:hint="cs"/>
          <w:rtl/>
        </w:rPr>
        <w:t xml:space="preserve"> فيبين النسب المئوية لجموع التعيينات التي حصل عليها هؤلاء الأعضاء في نظام مدريد من أبرز بلدان الإيداع.</w:t>
      </w:r>
    </w:p>
    <w:p w:rsidR="00731455" w:rsidRPr="00E22B27" w:rsidRDefault="00731455" w:rsidP="009422A7">
      <w:pPr>
        <w:pStyle w:val="NormalParaAR"/>
        <w:rPr>
          <w:rtl/>
        </w:rPr>
      </w:pPr>
      <w:r w:rsidRPr="00E22B27">
        <w:rPr>
          <w:rFonts w:hint="cs"/>
          <w:rtl/>
        </w:rPr>
        <w:t>وحصلت الصين، بالتساوي تقريباً، على أكبر حصة من التعيينات التي أودعها أصحاب علامات مقيمين في ألمانيا (15.2%) والولايات المتحدة (15.1%) ويليها المقيمون في فرنسا (10.5%). أما في حالة الاتحاد الأوروبي كان أصحاب العلامات من الولايات المتحدة (21%) وألمانيا (13.1%) وسويسرا (10.5%) أكثر الجهات اهتماماً بتوسيع نطاق حماية علاماتهم إلى هذه المنطقة.</w:t>
      </w:r>
    </w:p>
    <w:p w:rsidR="00731455" w:rsidRPr="00E22B27" w:rsidRDefault="00731455" w:rsidP="00462226">
      <w:pPr>
        <w:pStyle w:val="NormalParaAR"/>
        <w:rPr>
          <w:rtl/>
        </w:rPr>
      </w:pPr>
      <w:r w:rsidRPr="00E22B27">
        <w:rPr>
          <w:rFonts w:hint="cs"/>
          <w:rtl/>
        </w:rPr>
        <w:t>و</w:t>
      </w:r>
      <w:r w:rsidR="00462226">
        <w:rPr>
          <w:rFonts w:hint="cs"/>
          <w:rtl/>
        </w:rPr>
        <w:t>بلغت</w:t>
      </w:r>
      <w:r w:rsidRPr="00E22B27">
        <w:rPr>
          <w:rFonts w:hint="cs"/>
          <w:rtl/>
        </w:rPr>
        <w:t xml:space="preserve"> التعيينات من ألمانيا أكبر حصة من جموع التسجيلات بالنسبة إلى 6 من أبرز 10 أعضاء في نظام مدريد تعييناً. وتراوحت هذه الحصص ما بين 14.6% من مجموع التعيينات الواردة من أوكرانيا و29.6% من مجموع التعيينات الواردة من سويسرا. أما التعيينات الواردة من الولايات المتحدة فقد كانت أكبر حصة للأربعة أعضاء المتبقين من أبرز 10 أعضاء في نظام مدريد تعييناً إذ كان خُمس مجموع التعيينات في أستراليا واليابان والاتحاد الأوروبي </w:t>
      </w:r>
      <w:r w:rsidR="00450110" w:rsidRPr="00E22B27">
        <w:rPr>
          <w:rFonts w:hint="cs"/>
          <w:rtl/>
        </w:rPr>
        <w:t>أو</w:t>
      </w:r>
      <w:r w:rsidR="00450110" w:rsidRPr="00E22B27">
        <w:rPr>
          <w:rtl/>
        </w:rPr>
        <w:t> </w:t>
      </w:r>
      <w:r w:rsidRPr="00E22B27">
        <w:rPr>
          <w:rFonts w:hint="cs"/>
          <w:rtl/>
        </w:rPr>
        <w:t>أكثر.</w:t>
      </w:r>
    </w:p>
    <w:p w:rsidR="00731455" w:rsidRPr="00E22B27" w:rsidRDefault="00731455" w:rsidP="009422A7">
      <w:pPr>
        <w:pStyle w:val="NormalParaAR"/>
        <w:rPr>
          <w:rtl/>
        </w:rPr>
      </w:pPr>
      <w:r w:rsidRPr="00E22B27">
        <w:rPr>
          <w:rFonts w:hint="cs"/>
          <w:rtl/>
        </w:rPr>
        <w:lastRenderedPageBreak/>
        <w:t>وبالنسبة إلى أبرز الأعضاء في نظام مدريد تعييناً، بلغت التعيينات الواردة من الصين حصة أكبر من مجموع كل عضو في عام 2013 مقارنة بعام 2012. فعلى سبيل المثال، بلغت أكبر خامس حصة من التعيينات في جمهورية كوريا في عام 2012 ولكن</w:t>
      </w:r>
      <w:r w:rsidR="00462226">
        <w:rPr>
          <w:rFonts w:hint="cs"/>
          <w:rtl/>
        </w:rPr>
        <w:t>ها</w:t>
      </w:r>
      <w:r w:rsidRPr="00E22B27">
        <w:rPr>
          <w:rFonts w:hint="cs"/>
          <w:rtl/>
        </w:rPr>
        <w:t xml:space="preserve"> بلغت ثالث أكبر حصة لها في عام 2013.</w:t>
      </w:r>
    </w:p>
    <w:p w:rsidR="00731455" w:rsidRPr="00E22B27" w:rsidRDefault="00C36D7A" w:rsidP="00462226">
      <w:pPr>
        <w:pStyle w:val="NormalParaAR"/>
        <w:rPr>
          <w:rtl/>
        </w:rPr>
      </w:pPr>
      <w:r w:rsidRPr="00E22B27">
        <w:rPr>
          <w:rFonts w:hint="cs"/>
          <w:rtl/>
        </w:rPr>
        <w:t>عندما توجد تعيينات لمنشأ هو عضو معين في نظام مدريد، يشير ذلك إلى أن صاحب العلامة التجارية المقيم في هذا المنشأ قد استخدم عضو</w:t>
      </w:r>
      <w:r w:rsidR="00462226">
        <w:rPr>
          <w:rFonts w:hint="cs"/>
          <w:rtl/>
        </w:rPr>
        <w:t>اً</w:t>
      </w:r>
      <w:r w:rsidRPr="00E22B27">
        <w:rPr>
          <w:rFonts w:hint="cs"/>
          <w:rtl/>
        </w:rPr>
        <w:t xml:space="preserve"> في نظام مدريد يختلف عن بلده الاصلي ليخصه بالتسجيل الدولي الأصلي.</w:t>
      </w:r>
      <w:r w:rsidRPr="00E22B27">
        <w:rPr>
          <w:rStyle w:val="FootnoteReference"/>
          <w:rtl/>
        </w:rPr>
        <w:footnoteReference w:id="6"/>
      </w:r>
      <w:r w:rsidRPr="00E22B27">
        <w:rPr>
          <w:rFonts w:hint="cs"/>
          <w:rtl/>
        </w:rPr>
        <w:t xml:space="preserve"> ويتسنى ذلك إذا كان مقدم الطلب مثلاً مواطناً في عضو مدريد المعني </w:t>
      </w:r>
      <w:r w:rsidR="00450110" w:rsidRPr="00E22B27">
        <w:rPr>
          <w:rFonts w:hint="cs"/>
          <w:rtl/>
        </w:rPr>
        <w:t>أو</w:t>
      </w:r>
      <w:r w:rsidR="00450110" w:rsidRPr="00E22B27">
        <w:rPr>
          <w:rtl/>
        </w:rPr>
        <w:t> </w:t>
      </w:r>
      <w:r w:rsidRPr="00E22B27">
        <w:rPr>
          <w:rFonts w:hint="cs"/>
          <w:rtl/>
        </w:rPr>
        <w:t xml:space="preserve">إذا كان يمتلك منشأة صناعية </w:t>
      </w:r>
      <w:r w:rsidR="00450110" w:rsidRPr="00E22B27">
        <w:rPr>
          <w:rFonts w:hint="cs"/>
          <w:rtl/>
        </w:rPr>
        <w:t>أو</w:t>
      </w:r>
      <w:r w:rsidR="00450110" w:rsidRPr="00E22B27">
        <w:rPr>
          <w:rtl/>
        </w:rPr>
        <w:t> </w:t>
      </w:r>
      <w:r w:rsidRPr="00E22B27">
        <w:rPr>
          <w:rFonts w:hint="cs"/>
          <w:rtl/>
        </w:rPr>
        <w:t xml:space="preserve">تجارية حقيقية وفعلية في بلد عضو مدريد </w:t>
      </w:r>
      <w:r w:rsidR="00450110" w:rsidRPr="00E22B27">
        <w:rPr>
          <w:rFonts w:hint="cs"/>
          <w:rtl/>
        </w:rPr>
        <w:t>أو</w:t>
      </w:r>
      <w:r w:rsidR="00450110" w:rsidRPr="00E22B27">
        <w:rPr>
          <w:rtl/>
        </w:rPr>
        <w:t> </w:t>
      </w:r>
      <w:r w:rsidRPr="00E22B27">
        <w:rPr>
          <w:rFonts w:hint="cs"/>
          <w:rtl/>
        </w:rPr>
        <w:t>إقليمه.</w:t>
      </w:r>
    </w:p>
    <w:p w:rsidR="00C36D7A" w:rsidRPr="00E22B27" w:rsidRDefault="00C36D7A" w:rsidP="009422A7">
      <w:pPr>
        <w:pStyle w:val="NormalParaAR"/>
        <w:keepNext/>
        <w:rPr>
          <w:i/>
          <w:iCs/>
          <w:rtl/>
        </w:rPr>
      </w:pPr>
      <w:r w:rsidRPr="00E22B27">
        <w:rPr>
          <w:rFonts w:hint="cs"/>
          <w:i/>
          <w:iCs/>
          <w:rtl/>
        </w:rPr>
        <w:lastRenderedPageBreak/>
        <w:t xml:space="preserve">الجدول </w:t>
      </w:r>
      <w:r w:rsidR="002C5A34">
        <w:rPr>
          <w:i/>
          <w:iCs/>
          <w:rtl/>
        </w:rPr>
        <w:t xml:space="preserve">ألف </w:t>
      </w:r>
      <w:r w:rsidR="0077628C">
        <w:rPr>
          <w:i/>
          <w:iCs/>
          <w:rtl/>
        </w:rPr>
        <w:noBreakHyphen/>
      </w:r>
      <w:r w:rsidR="002C5A34">
        <w:rPr>
          <w:i/>
          <w:iCs/>
          <w:rtl/>
        </w:rPr>
        <w:t xml:space="preserve"> 3 </w:t>
      </w:r>
      <w:r w:rsidR="0077628C">
        <w:rPr>
          <w:i/>
          <w:iCs/>
          <w:rtl/>
        </w:rPr>
        <w:noBreakHyphen/>
      </w:r>
      <w:r w:rsidR="002C5A34">
        <w:rPr>
          <w:i/>
          <w:iCs/>
          <w:rtl/>
        </w:rPr>
        <w:t xml:space="preserve"> 3 </w:t>
      </w:r>
      <w:r w:rsidR="0077628C">
        <w:rPr>
          <w:i/>
          <w:iCs/>
          <w:rtl/>
        </w:rPr>
        <w:noBreakHyphen/>
      </w:r>
      <w:r w:rsidR="002C5A34">
        <w:rPr>
          <w:i/>
          <w:iCs/>
          <w:rtl/>
        </w:rPr>
        <w:t xml:space="preserve"> 2</w:t>
      </w:r>
      <w:r w:rsidRPr="00E22B27">
        <w:rPr>
          <w:rFonts w:hint="cs"/>
          <w:i/>
          <w:iCs/>
          <w:rtl/>
        </w:rPr>
        <w:tab/>
        <w:t>التعيينات في التسجيلات لأبرز 20 منشأ وأبرز 10 أعضاء في نظام مدريد تعييناً، 2013</w:t>
      </w:r>
    </w:p>
    <w:tbl>
      <w:tblPr>
        <w:tblW w:w="0" w:type="auto"/>
        <w:tblLayout w:type="fixed"/>
        <w:tblLook w:val="01E0" w:firstRow="1" w:lastRow="1" w:firstColumn="1" w:lastColumn="1" w:noHBand="0" w:noVBand="0"/>
      </w:tblPr>
      <w:tblGrid>
        <w:gridCol w:w="9287"/>
      </w:tblGrid>
      <w:tr w:rsidR="003C1838" w:rsidRPr="00E22B27" w:rsidTr="003C1838">
        <w:tc>
          <w:tcPr>
            <w:tcW w:w="9287" w:type="dxa"/>
            <w:tcBorders>
              <w:top w:val="single" w:sz="4" w:space="0" w:color="auto"/>
              <w:left w:val="single" w:sz="4" w:space="0" w:color="auto"/>
              <w:bottom w:val="single" w:sz="4" w:space="0" w:color="auto"/>
              <w:right w:val="single" w:sz="4" w:space="0" w:color="auto"/>
            </w:tcBorders>
            <w:hideMark/>
          </w:tcPr>
          <w:p w:rsidR="003C1838" w:rsidRPr="00E22B27" w:rsidRDefault="003C1838" w:rsidP="009422A7">
            <w:pPr>
              <w:keepNext/>
              <w:bidi/>
              <w:jc w:val="center"/>
              <w:rPr>
                <w:rFonts w:eastAsia="SimSun"/>
                <w:lang w:eastAsia="zh-CN"/>
              </w:rPr>
            </w:pPr>
            <w:r w:rsidRPr="00E22B27">
              <w:rPr>
                <w:noProof/>
              </w:rPr>
              <w:drawing>
                <wp:inline distT="0" distB="0" distL="0" distR="0" wp14:anchorId="6C515F2E" wp14:editId="08BD5256">
                  <wp:extent cx="5753735" cy="3093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3735" cy="3093720"/>
                          </a:xfrm>
                          <a:prstGeom prst="rect">
                            <a:avLst/>
                          </a:prstGeom>
                          <a:noFill/>
                          <a:ln>
                            <a:noFill/>
                          </a:ln>
                        </pic:spPr>
                      </pic:pic>
                    </a:graphicData>
                  </a:graphic>
                </wp:inline>
              </w:drawing>
            </w:r>
          </w:p>
        </w:tc>
      </w:tr>
    </w:tbl>
    <w:p w:rsidR="003C1838" w:rsidRPr="00E22B27" w:rsidRDefault="003C1838" w:rsidP="009422A7">
      <w:pPr>
        <w:keepNext/>
        <w:bidi/>
        <w:rPr>
          <w:rFonts w:ascii="Arabic Typesetting" w:eastAsia="SimSun" w:hAnsi="Arabic Typesetting" w:cs="Arabic Typesetting"/>
          <w:sz w:val="20"/>
          <w:lang w:eastAsia="zh-CN"/>
        </w:rPr>
      </w:pPr>
    </w:p>
    <w:tbl>
      <w:tblPr>
        <w:tblW w:w="0" w:type="auto"/>
        <w:tblLayout w:type="fixed"/>
        <w:tblLook w:val="01E0" w:firstRow="1" w:lastRow="1" w:firstColumn="1" w:lastColumn="1" w:noHBand="0" w:noVBand="0"/>
      </w:tblPr>
      <w:tblGrid>
        <w:gridCol w:w="9287"/>
      </w:tblGrid>
      <w:tr w:rsidR="003C1838" w:rsidRPr="00E22B27" w:rsidTr="003C1838">
        <w:tc>
          <w:tcPr>
            <w:tcW w:w="9287" w:type="dxa"/>
            <w:tcBorders>
              <w:top w:val="single" w:sz="4" w:space="0" w:color="auto"/>
              <w:left w:val="single" w:sz="4" w:space="0" w:color="auto"/>
              <w:bottom w:val="single" w:sz="4" w:space="0" w:color="auto"/>
              <w:right w:val="single" w:sz="4" w:space="0" w:color="auto"/>
            </w:tcBorders>
            <w:hideMark/>
          </w:tcPr>
          <w:p w:rsidR="003C1838" w:rsidRPr="00E22B27" w:rsidRDefault="003C1838" w:rsidP="009422A7">
            <w:pPr>
              <w:keepNext/>
              <w:bidi/>
              <w:jc w:val="center"/>
              <w:rPr>
                <w:rFonts w:eastAsia="SimSun"/>
                <w:lang w:eastAsia="zh-CN"/>
              </w:rPr>
            </w:pPr>
            <w:r w:rsidRPr="00E22B27">
              <w:rPr>
                <w:noProof/>
              </w:rPr>
              <w:drawing>
                <wp:inline distT="0" distB="0" distL="0" distR="0" wp14:anchorId="620C7300" wp14:editId="12A4A4F7">
                  <wp:extent cx="5753735" cy="3093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3735" cy="3093720"/>
                          </a:xfrm>
                          <a:prstGeom prst="rect">
                            <a:avLst/>
                          </a:prstGeom>
                          <a:noFill/>
                          <a:ln>
                            <a:noFill/>
                          </a:ln>
                        </pic:spPr>
                      </pic:pic>
                    </a:graphicData>
                  </a:graphic>
                </wp:inline>
              </w:drawing>
            </w:r>
          </w:p>
        </w:tc>
      </w:tr>
    </w:tbl>
    <w:p w:rsidR="00C36D7A" w:rsidRPr="00E22B27" w:rsidRDefault="00C36D7A" w:rsidP="009422A7">
      <w:pPr>
        <w:pStyle w:val="NormalParaAR"/>
        <w:rPr>
          <w:rtl/>
        </w:rPr>
      </w:pPr>
      <w:r w:rsidRPr="00E22B27">
        <w:rPr>
          <w:rFonts w:hint="cs"/>
          <w:rtl/>
        </w:rPr>
        <w:t>ملاحظة:</w:t>
      </w:r>
      <w:r w:rsidRPr="00E22B27">
        <w:rPr>
          <w:rFonts w:hint="cs"/>
          <w:rtl/>
        </w:rPr>
        <w:tab/>
        <w:t>أعضاء نظام مدريد المعينين هم: الصين (</w:t>
      </w:r>
      <w:r w:rsidRPr="00E22B27">
        <w:t>CN</w:t>
      </w:r>
      <w:r w:rsidRPr="00E22B27">
        <w:rPr>
          <w:rFonts w:hint="cs"/>
          <w:rtl/>
        </w:rPr>
        <w:t>)، الاتحاد الروسي (</w:t>
      </w:r>
      <w:r w:rsidRPr="00E22B27">
        <w:t>RU</w:t>
      </w:r>
      <w:r w:rsidRPr="00E22B27">
        <w:rPr>
          <w:rFonts w:hint="cs"/>
          <w:rtl/>
        </w:rPr>
        <w:t>)، الاتحاد الأوروبي (</w:t>
      </w:r>
      <w:r w:rsidRPr="00E22B27">
        <w:t>EU</w:t>
      </w:r>
      <w:r w:rsidRPr="00E22B27">
        <w:rPr>
          <w:rFonts w:hint="cs"/>
          <w:rtl/>
        </w:rPr>
        <w:t>)، الولايات المتحدة الأمريكية (</w:t>
      </w:r>
      <w:r w:rsidRPr="00E22B27">
        <w:t>US</w:t>
      </w:r>
      <w:r w:rsidRPr="00E22B27">
        <w:rPr>
          <w:rFonts w:hint="cs"/>
          <w:rtl/>
        </w:rPr>
        <w:t>)، سويسرا (</w:t>
      </w:r>
      <w:r w:rsidRPr="00E22B27">
        <w:t>CH</w:t>
      </w:r>
      <w:r w:rsidRPr="00E22B27">
        <w:rPr>
          <w:rFonts w:hint="cs"/>
          <w:rtl/>
        </w:rPr>
        <w:t>)، اليابان (</w:t>
      </w:r>
      <w:r w:rsidRPr="00E22B27">
        <w:t>JP</w:t>
      </w:r>
      <w:r w:rsidRPr="00E22B27">
        <w:rPr>
          <w:rFonts w:hint="cs"/>
          <w:rtl/>
        </w:rPr>
        <w:t>)، أستراليا (</w:t>
      </w:r>
      <w:r w:rsidRPr="00E22B27">
        <w:t>AU</w:t>
      </w:r>
      <w:r w:rsidRPr="00E22B27">
        <w:rPr>
          <w:rFonts w:hint="cs"/>
          <w:rtl/>
        </w:rPr>
        <w:t>)، جمهورية كوريا (</w:t>
      </w:r>
      <w:r w:rsidRPr="00E22B27">
        <w:t>KR</w:t>
      </w:r>
      <w:r w:rsidRPr="00E22B27">
        <w:rPr>
          <w:rFonts w:hint="cs"/>
          <w:rtl/>
        </w:rPr>
        <w:t>)، تركيا (</w:t>
      </w:r>
      <w:r w:rsidRPr="00E22B27">
        <w:t>TR</w:t>
      </w:r>
      <w:r w:rsidRPr="00E22B27">
        <w:rPr>
          <w:rFonts w:hint="cs"/>
          <w:rtl/>
        </w:rPr>
        <w:t>)، أوكرانيا (</w:t>
      </w:r>
      <w:r w:rsidRPr="00E22B27">
        <w:t>UA(</w:t>
      </w:r>
    </w:p>
    <w:p w:rsidR="00C36D7A" w:rsidRPr="00E22B27" w:rsidRDefault="00C36D7A" w:rsidP="009422A7">
      <w:pPr>
        <w:pStyle w:val="NormalParaAR"/>
        <w:rPr>
          <w:rtl/>
        </w:rPr>
      </w:pPr>
      <w:r w:rsidRPr="00E22B27">
        <w:rPr>
          <w:rFonts w:hint="cs"/>
          <w:rtl/>
        </w:rPr>
        <w:t xml:space="preserve">المصدر: </w:t>
      </w:r>
      <w:r w:rsidRPr="00E22B27">
        <w:rPr>
          <w:rtl/>
        </w:rPr>
        <w:t>قاعدة بيانات إحصاءات الويبو</w:t>
      </w:r>
      <w:r w:rsidRPr="00E22B27">
        <w:rPr>
          <w:rFonts w:hint="cs"/>
          <w:rtl/>
        </w:rPr>
        <w:t>، مارس 2014</w:t>
      </w:r>
    </w:p>
    <w:p w:rsidR="003C1838" w:rsidRPr="00E22B27" w:rsidRDefault="00C36D7A" w:rsidP="009422A7">
      <w:pPr>
        <w:pStyle w:val="EndofDocumentAR"/>
      </w:pPr>
      <w:r w:rsidRPr="00E22B27">
        <w:rPr>
          <w:rFonts w:hint="cs"/>
          <w:rtl/>
        </w:rPr>
        <w:t>[نهاية المرفق الثالث؛ يلي ذلك المرفق الرابع]</w:t>
      </w:r>
    </w:p>
    <w:p w:rsidR="003C1838" w:rsidRPr="00E22B27" w:rsidRDefault="003C1838" w:rsidP="009422A7">
      <w:pPr>
        <w:bidi/>
        <w:rPr>
          <w:sz w:val="18"/>
          <w:szCs w:val="18"/>
        </w:rPr>
      </w:pPr>
    </w:p>
    <w:p w:rsidR="003C1838" w:rsidRPr="00E22B27" w:rsidRDefault="003C1838" w:rsidP="009422A7">
      <w:pPr>
        <w:bidi/>
        <w:rPr>
          <w:sz w:val="18"/>
          <w:szCs w:val="18"/>
        </w:rPr>
        <w:sectPr w:rsidR="003C1838" w:rsidRPr="00E22B27" w:rsidSect="00A4480C">
          <w:headerReference w:type="default" r:id="rId26"/>
          <w:headerReference w:type="first" r:id="rId27"/>
          <w:endnotePr>
            <w:numFmt w:val="decimal"/>
          </w:endnotePr>
          <w:pgSz w:w="11907" w:h="16840"/>
          <w:pgMar w:top="567" w:right="1134" w:bottom="1418" w:left="1418" w:header="510" w:footer="1021" w:gutter="0"/>
          <w:pgNumType w:start="1"/>
          <w:cols w:space="720"/>
          <w:titlePg/>
          <w:docGrid w:linePitch="299"/>
        </w:sectPr>
      </w:pPr>
    </w:p>
    <w:p w:rsidR="00495DE8" w:rsidRPr="00E22B27" w:rsidRDefault="005F1D87" w:rsidP="009422A7">
      <w:pPr>
        <w:pStyle w:val="Heading1"/>
        <w:bidi/>
        <w:rPr>
          <w:rFonts w:ascii="Arabic Typesetting" w:hAnsi="Arabic Typesetting" w:cs="Arabic Typesetting"/>
          <w:sz w:val="40"/>
          <w:szCs w:val="40"/>
        </w:rPr>
      </w:pPr>
      <w:r w:rsidRPr="00E22B27">
        <w:rPr>
          <w:rFonts w:ascii="Arabic Typesetting" w:hAnsi="Arabic Typesetting" w:cs="Arabic Typesetting"/>
          <w:sz w:val="40"/>
          <w:szCs w:val="40"/>
          <w:rtl/>
        </w:rPr>
        <w:lastRenderedPageBreak/>
        <w:t>جدول الرسوم المرفق باللائحة التنفيذية المشتركة بين اتفاق مدريد بشأن التسجيل الدولي للعلامات وبين البروتوكول المتعلق بذلك الاتفاق</w:t>
      </w:r>
    </w:p>
    <w:tbl>
      <w:tblPr>
        <w:tblStyle w:val="TableGrid"/>
        <w:bidiVisual/>
        <w:tblW w:w="0" w:type="auto"/>
        <w:tblInd w:w="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4"/>
        <w:gridCol w:w="1796"/>
        <w:gridCol w:w="1777"/>
      </w:tblGrid>
      <w:tr w:rsidR="005F1D87" w:rsidRPr="00E22B27" w:rsidTr="005F1D87">
        <w:trPr>
          <w:cantSplit/>
        </w:trPr>
        <w:tc>
          <w:tcPr>
            <w:tcW w:w="8987" w:type="dxa"/>
            <w:gridSpan w:val="3"/>
          </w:tcPr>
          <w:p w:rsidR="005F1D87" w:rsidRPr="00E22B27" w:rsidRDefault="005F1D87" w:rsidP="009422A7">
            <w:pPr>
              <w:keepNext/>
              <w:bidi/>
              <w:spacing w:before="360"/>
              <w:jc w:val="center"/>
              <w:rPr>
                <w:rFonts w:ascii="Arabic Typesetting" w:hAnsi="Arabic Typesetting" w:cs="Arabic Typesetting"/>
                <w:sz w:val="36"/>
                <w:szCs w:val="36"/>
                <w:rtl/>
                <w:lang w:bidi="ar-EG"/>
              </w:rPr>
            </w:pPr>
            <w:r w:rsidRPr="00E22B27">
              <w:rPr>
                <w:rFonts w:ascii="Arabic Typesetting" w:hAnsi="Arabic Typesetting" w:cs="Arabic Typesetting"/>
                <w:sz w:val="36"/>
                <w:szCs w:val="36"/>
                <w:rtl/>
                <w:lang w:bidi="ar-EG"/>
              </w:rPr>
              <w:t>جدول الرسوم</w:t>
            </w:r>
            <w:r w:rsidRPr="00E22B27">
              <w:rPr>
                <w:rFonts w:ascii="Arabic Typesetting" w:hAnsi="Arabic Typesetting" w:cs="Arabic Typesetting"/>
                <w:sz w:val="36"/>
                <w:szCs w:val="36"/>
                <w:lang w:bidi="ar-EG"/>
              </w:rPr>
              <w:t xml:space="preserve"> </w:t>
            </w:r>
            <w:r w:rsidRPr="00E22B27">
              <w:rPr>
                <w:rFonts w:ascii="Arabic Typesetting" w:hAnsi="Arabic Typesetting" w:cs="Arabic Typesetting"/>
                <w:sz w:val="36"/>
                <w:szCs w:val="36"/>
                <w:rtl/>
                <w:lang w:bidi="ar-EG"/>
              </w:rPr>
              <w:t>(نافذ اعتبارا</w:t>
            </w:r>
            <w:r w:rsidRPr="00E22B27">
              <w:rPr>
                <w:rFonts w:ascii="Arabic Typesetting" w:hAnsi="Arabic Typesetting" w:cs="Arabic Typesetting" w:hint="cs"/>
                <w:sz w:val="36"/>
                <w:szCs w:val="36"/>
                <w:rtl/>
                <w:lang w:bidi="ar-EG"/>
              </w:rPr>
              <w:t>ً</w:t>
            </w:r>
            <w:r w:rsidRPr="00E22B27">
              <w:rPr>
                <w:rFonts w:ascii="Arabic Typesetting" w:hAnsi="Arabic Typesetting" w:cs="Arabic Typesetting"/>
                <w:sz w:val="36"/>
                <w:szCs w:val="36"/>
                <w:rtl/>
                <w:lang w:bidi="ar-EG"/>
              </w:rPr>
              <w:t xml:space="preserve"> من </w:t>
            </w:r>
            <w:r w:rsidRPr="00E22B27">
              <w:rPr>
                <w:rFonts w:ascii="Arabic Typesetting" w:hAnsi="Arabic Typesetting" w:cs="Arabic Typesetting" w:hint="cs"/>
                <w:sz w:val="36"/>
                <w:szCs w:val="36"/>
                <w:rtl/>
                <w:lang w:bidi="ar-EG"/>
              </w:rPr>
              <w:t>1</w:t>
            </w:r>
            <w:r w:rsidRPr="00E22B27">
              <w:rPr>
                <w:rFonts w:ascii="Arabic Typesetting" w:hAnsi="Arabic Typesetting" w:cs="Arabic Typesetting"/>
                <w:sz w:val="36"/>
                <w:szCs w:val="36"/>
                <w:rtl/>
                <w:lang w:bidi="ar-EG"/>
              </w:rPr>
              <w:t xml:space="preserve"> سبتمبر 2008)</w:t>
            </w:r>
          </w:p>
        </w:tc>
      </w:tr>
      <w:tr w:rsidR="000D48CA" w:rsidRPr="00E22B27" w:rsidTr="005F1D87">
        <w:trPr>
          <w:cantSplit/>
        </w:trPr>
        <w:tc>
          <w:tcPr>
            <w:tcW w:w="5414" w:type="dxa"/>
          </w:tcPr>
          <w:p w:rsidR="000D48CA" w:rsidRPr="00E22B27" w:rsidRDefault="000D48CA" w:rsidP="009422A7">
            <w:pPr>
              <w:keepNext/>
              <w:bidi/>
              <w:spacing w:after="240"/>
              <w:jc w:val="right"/>
              <w:rPr>
                <w:rFonts w:ascii="Arabic Typesetting" w:hAnsi="Arabic Typesetting" w:cs="Arabic Typesetting"/>
                <w:i/>
                <w:iCs/>
                <w:sz w:val="24"/>
                <w:szCs w:val="24"/>
                <w:rtl/>
                <w:lang w:bidi="ar-EG"/>
              </w:rPr>
            </w:pPr>
          </w:p>
        </w:tc>
        <w:tc>
          <w:tcPr>
            <w:tcW w:w="1796" w:type="dxa"/>
          </w:tcPr>
          <w:p w:rsidR="000D48CA" w:rsidRPr="00E22B27" w:rsidRDefault="000D48CA" w:rsidP="009422A7">
            <w:pPr>
              <w:keepNext/>
              <w:bidi/>
              <w:spacing w:after="240"/>
              <w:jc w:val="right"/>
              <w:rPr>
                <w:rFonts w:ascii="Arabic Typesetting" w:hAnsi="Arabic Typesetting" w:cs="Arabic Typesetting"/>
                <w:i/>
                <w:iCs/>
                <w:sz w:val="24"/>
                <w:szCs w:val="24"/>
                <w:rtl/>
                <w:lang w:bidi="ar-EG"/>
              </w:rPr>
            </w:pPr>
          </w:p>
        </w:tc>
        <w:tc>
          <w:tcPr>
            <w:tcW w:w="1777" w:type="dxa"/>
          </w:tcPr>
          <w:p w:rsidR="000D48CA" w:rsidRPr="00E22B27" w:rsidRDefault="000D48CA" w:rsidP="009422A7">
            <w:pPr>
              <w:keepNext/>
              <w:bidi/>
              <w:spacing w:after="240"/>
              <w:rPr>
                <w:rFonts w:ascii="Arabic Typesetting" w:hAnsi="Arabic Typesetting" w:cs="Arabic Typesetting"/>
                <w:i/>
                <w:iCs/>
                <w:sz w:val="24"/>
                <w:szCs w:val="24"/>
                <w:rtl/>
                <w:lang w:bidi="ar-EG"/>
              </w:rPr>
            </w:pPr>
            <w:r w:rsidRPr="00E22B27">
              <w:rPr>
                <w:rFonts w:ascii="Arabic Typesetting" w:hAnsi="Arabic Typesetting" w:cs="Arabic Typesetting"/>
                <w:i/>
                <w:iCs/>
                <w:sz w:val="24"/>
                <w:szCs w:val="24"/>
                <w:rtl/>
                <w:lang w:bidi="ar-EG"/>
              </w:rPr>
              <w:t>بالفرنكات السويسرية</w:t>
            </w:r>
          </w:p>
        </w:tc>
      </w:tr>
      <w:tr w:rsidR="000D48CA" w:rsidRPr="00E22B27" w:rsidTr="005F1D87">
        <w:trPr>
          <w:cantSplit/>
        </w:trPr>
        <w:tc>
          <w:tcPr>
            <w:tcW w:w="5414" w:type="dxa"/>
          </w:tcPr>
          <w:p w:rsidR="000D48CA" w:rsidRPr="00E22B27" w:rsidRDefault="000D48CA" w:rsidP="009422A7">
            <w:pPr>
              <w:keepNext/>
              <w:bidi/>
              <w:spacing w:after="120" w:line="280" w:lineRule="exact"/>
              <w:ind w:left="567"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1.</w:t>
            </w:r>
            <w:r w:rsidRPr="00E22B27">
              <w:rPr>
                <w:rFonts w:ascii="Arabic Typesetting" w:hAnsi="Arabic Typesetting" w:cs="Arabic Typesetting"/>
                <w:sz w:val="28"/>
                <w:szCs w:val="28"/>
                <w:lang w:bidi="ar-EG"/>
              </w:rPr>
              <w:tab/>
            </w:r>
            <w:r w:rsidRPr="00E22B27">
              <w:rPr>
                <w:rFonts w:ascii="Arabic Typesetting" w:hAnsi="Arabic Typesetting" w:cs="Arabic Typesetting"/>
                <w:i/>
                <w:iCs/>
                <w:sz w:val="28"/>
                <w:szCs w:val="28"/>
                <w:rtl/>
                <w:lang w:bidi="ar-EG"/>
              </w:rPr>
              <w:t>الطلبات الدولية التي تخضع للاتفاق وحده</w:t>
            </w:r>
          </w:p>
        </w:tc>
        <w:tc>
          <w:tcPr>
            <w:tcW w:w="1796"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يجب تسديد الرسوم التالية الذكر والمستحقة عن عشر سنوات:</w:t>
            </w:r>
          </w:p>
        </w:tc>
        <w:tc>
          <w:tcPr>
            <w:tcW w:w="1796"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1.1</w:t>
            </w:r>
            <w:r w:rsidRPr="00E22B27">
              <w:rPr>
                <w:rFonts w:ascii="Arabic Typesetting" w:hAnsi="Arabic Typesetting" w:cs="Arabic Typesetting"/>
                <w:sz w:val="28"/>
                <w:szCs w:val="28"/>
                <w:lang w:bidi="ar-EG"/>
              </w:rPr>
              <w:tab/>
            </w:r>
            <w:r w:rsidRPr="00E22B27">
              <w:rPr>
                <w:rFonts w:ascii="Arabic Typesetting" w:hAnsi="Arabic Typesetting" w:cs="Arabic Typesetting"/>
                <w:sz w:val="28"/>
                <w:szCs w:val="28"/>
                <w:rtl/>
                <w:lang w:bidi="ar-EG"/>
              </w:rPr>
              <w:t>رسم أساسي (</w:t>
            </w:r>
            <w:r w:rsidR="00450110" w:rsidRPr="00E22B27">
              <w:rPr>
                <w:rFonts w:ascii="Arabic Typesetting" w:hAnsi="Arabic Typesetting" w:cs="Arabic Typesetting"/>
                <w:sz w:val="28"/>
                <w:szCs w:val="28"/>
                <w:rtl/>
                <w:lang w:bidi="ar-EG"/>
              </w:rPr>
              <w:t>المادة </w:t>
            </w:r>
            <w:r w:rsidRPr="00E22B27">
              <w:rPr>
                <w:rFonts w:ascii="Arabic Typesetting" w:hAnsi="Arabic Typesetting" w:cs="Arabic Typesetting"/>
                <w:sz w:val="28"/>
                <w:szCs w:val="28"/>
                <w:rtl/>
                <w:lang w:bidi="ar-EG"/>
              </w:rPr>
              <w:t>8(2)(أ) من الاتفاق)</w:t>
            </w:r>
            <w:r w:rsidRPr="00E22B27">
              <w:rPr>
                <w:rFonts w:ascii="Arabic Typesetting" w:hAnsi="Arabic Typesetting" w:cs="Arabic Typesetting"/>
                <w:sz w:val="28"/>
                <w:szCs w:val="28"/>
                <w:vertAlign w:val="superscript"/>
                <w:rtl/>
                <w:lang w:bidi="ar-EG"/>
              </w:rPr>
              <w:footnoteReference w:customMarkFollows="1" w:id="7"/>
              <w:t>*</w:t>
            </w:r>
          </w:p>
        </w:tc>
        <w:tc>
          <w:tcPr>
            <w:tcW w:w="1796"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r>
      <w:tr w:rsidR="000D48CA" w:rsidRPr="00E22B27" w:rsidTr="005F1D87">
        <w:trPr>
          <w:cantSplit/>
        </w:trPr>
        <w:tc>
          <w:tcPr>
            <w:tcW w:w="5414" w:type="dxa"/>
          </w:tcPr>
          <w:p w:rsidR="000D48CA" w:rsidRPr="00E22B27" w:rsidRDefault="000D48CA" w:rsidP="009422A7">
            <w:pPr>
              <w:keepNext/>
              <w:bidi/>
              <w:spacing w:after="120" w:line="280" w:lineRule="exact"/>
              <w:ind w:left="1701"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1.1.1</w:t>
            </w:r>
            <w:r w:rsidRPr="00E22B27">
              <w:rPr>
                <w:rFonts w:ascii="Arabic Typesetting" w:hAnsi="Arabic Typesetting" w:cs="Arabic Typesetting"/>
                <w:sz w:val="28"/>
                <w:szCs w:val="28"/>
                <w:lang w:bidi="ar-EG"/>
              </w:rPr>
              <w:tab/>
            </w:r>
            <w:r w:rsidRPr="00E22B27">
              <w:rPr>
                <w:rFonts w:ascii="Arabic Typesetting" w:hAnsi="Arabic Typesetting" w:cs="Arabic Typesetting"/>
                <w:sz w:val="28"/>
                <w:szCs w:val="28"/>
                <w:rtl/>
                <w:lang w:bidi="ar-EG"/>
              </w:rPr>
              <w:t>إذا لم تكن أية صورة مستنسخة عن العلامة بالألوان</w:t>
            </w:r>
          </w:p>
        </w:tc>
        <w:tc>
          <w:tcPr>
            <w:tcW w:w="1796"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653</w:t>
            </w:r>
          </w:p>
        </w:tc>
      </w:tr>
      <w:tr w:rsidR="000D48CA" w:rsidRPr="00E22B27" w:rsidTr="005F1D87">
        <w:trPr>
          <w:cantSplit/>
        </w:trPr>
        <w:tc>
          <w:tcPr>
            <w:tcW w:w="5414" w:type="dxa"/>
          </w:tcPr>
          <w:p w:rsidR="000D48CA" w:rsidRPr="00E22B27" w:rsidRDefault="000D48CA" w:rsidP="009422A7">
            <w:pPr>
              <w:keepNext/>
              <w:bidi/>
              <w:spacing w:after="120" w:line="280" w:lineRule="exact"/>
              <w:ind w:left="1701"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2.1.1</w:t>
            </w:r>
            <w:r w:rsidRPr="00E22B27">
              <w:rPr>
                <w:rFonts w:ascii="Arabic Typesetting" w:hAnsi="Arabic Typesetting" w:cs="Arabic Typesetting"/>
                <w:sz w:val="28"/>
                <w:szCs w:val="28"/>
                <w:lang w:bidi="ar-EG"/>
              </w:rPr>
              <w:tab/>
            </w:r>
            <w:r w:rsidRPr="00E22B27">
              <w:rPr>
                <w:rFonts w:ascii="Arabic Typesetting" w:hAnsi="Arabic Typesetting" w:cs="Arabic Typesetting"/>
                <w:sz w:val="28"/>
                <w:szCs w:val="28"/>
                <w:rtl/>
                <w:lang w:bidi="ar-EG"/>
              </w:rPr>
              <w:t>إذا كانت صورة مستنسخة عن العلامة بالألوان</w:t>
            </w:r>
          </w:p>
        </w:tc>
        <w:tc>
          <w:tcPr>
            <w:tcW w:w="1796"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903</w:t>
            </w: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2.1</w:t>
            </w:r>
            <w:r w:rsidRPr="00E22B27">
              <w:rPr>
                <w:rFonts w:ascii="Arabic Typesetting" w:hAnsi="Arabic Typesetting" w:cs="Arabic Typesetting"/>
                <w:sz w:val="28"/>
                <w:szCs w:val="28"/>
                <w:lang w:bidi="ar-EG"/>
              </w:rPr>
              <w:tab/>
            </w:r>
            <w:r w:rsidRPr="00E22B27">
              <w:rPr>
                <w:rFonts w:ascii="Arabic Typesetting" w:hAnsi="Arabic Typesetting" w:cs="Arabic Typesetting"/>
                <w:sz w:val="28"/>
                <w:szCs w:val="28"/>
                <w:rtl/>
                <w:lang w:bidi="ar-EG"/>
              </w:rPr>
              <w:t>رسم إضافي عن كل صنف من أصناف السلع والخدمات بعد الصنف الثالث (</w:t>
            </w:r>
            <w:r w:rsidR="00450110" w:rsidRPr="00E22B27">
              <w:rPr>
                <w:rFonts w:ascii="Arabic Typesetting" w:hAnsi="Arabic Typesetting" w:cs="Arabic Typesetting"/>
                <w:sz w:val="28"/>
                <w:szCs w:val="28"/>
                <w:rtl/>
                <w:lang w:bidi="ar-EG"/>
              </w:rPr>
              <w:t>المادة </w:t>
            </w:r>
            <w:r w:rsidRPr="00E22B27">
              <w:rPr>
                <w:rFonts w:ascii="Arabic Typesetting" w:hAnsi="Arabic Typesetting" w:cs="Arabic Typesetting"/>
                <w:sz w:val="28"/>
                <w:szCs w:val="28"/>
                <w:rtl/>
                <w:lang w:bidi="ar-EG"/>
              </w:rPr>
              <w:t>8(2)(ب) من الاتفاق)</w:t>
            </w:r>
          </w:p>
        </w:tc>
        <w:tc>
          <w:tcPr>
            <w:tcW w:w="1796"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100</w:t>
            </w:r>
          </w:p>
        </w:tc>
      </w:tr>
      <w:tr w:rsidR="000D48CA" w:rsidRPr="00E22B27" w:rsidTr="005F1D87">
        <w:trPr>
          <w:cantSplit/>
        </w:trPr>
        <w:tc>
          <w:tcPr>
            <w:tcW w:w="5414" w:type="dxa"/>
          </w:tcPr>
          <w:p w:rsidR="000D48CA" w:rsidRPr="00E22B27" w:rsidRDefault="000D48CA" w:rsidP="009422A7">
            <w:pPr>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3.1</w:t>
            </w:r>
            <w:r w:rsidRPr="00E22B27">
              <w:rPr>
                <w:rFonts w:ascii="Arabic Typesetting" w:hAnsi="Arabic Typesetting" w:cs="Arabic Typesetting"/>
                <w:sz w:val="28"/>
                <w:szCs w:val="28"/>
                <w:lang w:bidi="ar-EG"/>
              </w:rPr>
              <w:tab/>
            </w:r>
            <w:r w:rsidRPr="00E22B27">
              <w:rPr>
                <w:rFonts w:ascii="Arabic Typesetting" w:hAnsi="Arabic Typesetting" w:cs="Arabic Typesetting"/>
                <w:sz w:val="28"/>
                <w:szCs w:val="28"/>
                <w:rtl/>
                <w:lang w:bidi="ar-EG"/>
              </w:rPr>
              <w:t>رسم تكميلي عن تعيين كل دولة متعاقدة معينة (</w:t>
            </w:r>
            <w:r w:rsidR="00450110" w:rsidRPr="00E22B27">
              <w:rPr>
                <w:rFonts w:ascii="Arabic Typesetting" w:hAnsi="Arabic Typesetting" w:cs="Arabic Typesetting"/>
                <w:sz w:val="28"/>
                <w:szCs w:val="28"/>
                <w:rtl/>
                <w:lang w:bidi="ar-EG"/>
              </w:rPr>
              <w:t>المادة </w:t>
            </w:r>
            <w:r w:rsidRPr="00E22B27">
              <w:rPr>
                <w:rFonts w:ascii="Arabic Typesetting" w:hAnsi="Arabic Typesetting" w:cs="Arabic Typesetting"/>
                <w:sz w:val="28"/>
                <w:szCs w:val="28"/>
                <w:rtl/>
                <w:lang w:bidi="ar-EG"/>
              </w:rPr>
              <w:t>8(2)(ج) من الاتفاق)</w:t>
            </w:r>
          </w:p>
        </w:tc>
        <w:tc>
          <w:tcPr>
            <w:tcW w:w="1796"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100</w:t>
            </w:r>
          </w:p>
        </w:tc>
      </w:tr>
      <w:tr w:rsidR="000D48CA" w:rsidRPr="00E22B27" w:rsidTr="005F1D87">
        <w:trPr>
          <w:cantSplit/>
        </w:trPr>
        <w:tc>
          <w:tcPr>
            <w:tcW w:w="5414" w:type="dxa"/>
          </w:tcPr>
          <w:p w:rsidR="000D48CA" w:rsidRPr="00E22B27" w:rsidRDefault="000D48CA" w:rsidP="009422A7">
            <w:pPr>
              <w:keepNext/>
              <w:bidi/>
              <w:spacing w:before="240" w:after="120" w:line="280" w:lineRule="exact"/>
              <w:ind w:left="567"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2.</w:t>
            </w:r>
            <w:r w:rsidRPr="00E22B27">
              <w:rPr>
                <w:rFonts w:ascii="Arabic Typesetting" w:hAnsi="Arabic Typesetting" w:cs="Arabic Typesetting"/>
                <w:sz w:val="28"/>
                <w:szCs w:val="28"/>
                <w:lang w:bidi="ar-EG"/>
              </w:rPr>
              <w:tab/>
            </w:r>
            <w:r w:rsidRPr="00E22B27">
              <w:rPr>
                <w:rFonts w:ascii="Arabic Typesetting" w:hAnsi="Arabic Typesetting" w:cs="Arabic Typesetting"/>
                <w:i/>
                <w:iCs/>
                <w:sz w:val="28"/>
                <w:szCs w:val="28"/>
                <w:rtl/>
                <w:lang w:bidi="ar-EG"/>
              </w:rPr>
              <w:t>الطلبات الدولية التي تخضع للبروتوكول وحده</w:t>
            </w:r>
          </w:p>
        </w:tc>
        <w:tc>
          <w:tcPr>
            <w:tcW w:w="1796" w:type="dxa"/>
          </w:tcPr>
          <w:p w:rsidR="000D48CA" w:rsidRPr="00E22B27" w:rsidRDefault="000D48CA" w:rsidP="009422A7">
            <w:pPr>
              <w:keepNext/>
              <w:bidi/>
              <w:spacing w:before="240"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before="240" w:after="120" w:line="280" w:lineRule="exact"/>
              <w:rPr>
                <w:rFonts w:ascii="Arabic Typesetting" w:hAnsi="Arabic Typesetting" w:cs="Arabic Typesetting"/>
                <w:sz w:val="28"/>
                <w:szCs w:val="28"/>
                <w:rtl/>
                <w:lang w:bidi="ar-EG"/>
              </w:rPr>
            </w:pP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يجب تسديد الرسوم التالية الذكر والمستحقة عن عشر سنوات:</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1.2</w:t>
            </w:r>
            <w:r w:rsidRPr="00E22B27">
              <w:rPr>
                <w:rFonts w:ascii="Arabic Typesetting" w:hAnsi="Arabic Typesetting" w:cs="Arabic Typesetting"/>
                <w:sz w:val="28"/>
                <w:szCs w:val="28"/>
                <w:lang w:bidi="ar-EG"/>
              </w:rPr>
              <w:tab/>
            </w:r>
            <w:r w:rsidRPr="00E22B27">
              <w:rPr>
                <w:rFonts w:ascii="Arabic Typesetting" w:hAnsi="Arabic Typesetting" w:cs="Arabic Typesetting"/>
                <w:sz w:val="28"/>
                <w:szCs w:val="28"/>
                <w:rtl/>
                <w:lang w:bidi="ar-EG"/>
              </w:rPr>
              <w:t>رسم أساسي (</w:t>
            </w:r>
            <w:r w:rsidR="00450110" w:rsidRPr="00E22B27">
              <w:rPr>
                <w:rFonts w:ascii="Arabic Typesetting" w:hAnsi="Arabic Typesetting" w:cs="Arabic Typesetting"/>
                <w:sz w:val="28"/>
                <w:szCs w:val="28"/>
                <w:rtl/>
                <w:lang w:bidi="ar-EG"/>
              </w:rPr>
              <w:t>المادة </w:t>
            </w:r>
            <w:r w:rsidRPr="00E22B27">
              <w:rPr>
                <w:rFonts w:ascii="Arabic Typesetting" w:hAnsi="Arabic Typesetting" w:cs="Arabic Typesetting"/>
                <w:sz w:val="28"/>
                <w:szCs w:val="28"/>
                <w:rtl/>
                <w:lang w:bidi="ar-EG"/>
              </w:rPr>
              <w:t>8(2)"1" من البروتوكول)(*)</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r>
      <w:tr w:rsidR="000D48CA" w:rsidRPr="00E22B27" w:rsidTr="005F1D87">
        <w:trPr>
          <w:cantSplit/>
        </w:trPr>
        <w:tc>
          <w:tcPr>
            <w:tcW w:w="5414" w:type="dxa"/>
          </w:tcPr>
          <w:p w:rsidR="000D48CA" w:rsidRPr="00E22B27" w:rsidRDefault="000D48CA" w:rsidP="009422A7">
            <w:pPr>
              <w:keepNext/>
              <w:bidi/>
              <w:spacing w:after="120" w:line="280" w:lineRule="exact"/>
              <w:ind w:left="1701"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1.1.2</w:t>
            </w:r>
            <w:r w:rsidRPr="00E22B27">
              <w:rPr>
                <w:rFonts w:ascii="Arabic Typesetting" w:hAnsi="Arabic Typesetting" w:cs="Arabic Typesetting"/>
                <w:sz w:val="28"/>
                <w:szCs w:val="28"/>
                <w:lang w:bidi="ar-EG"/>
              </w:rPr>
              <w:tab/>
            </w:r>
            <w:r w:rsidRPr="00E22B27">
              <w:rPr>
                <w:rFonts w:ascii="Arabic Typesetting" w:hAnsi="Arabic Typesetting" w:cs="Arabic Typesetting"/>
                <w:sz w:val="28"/>
                <w:szCs w:val="28"/>
                <w:rtl/>
                <w:lang w:bidi="ar-EG"/>
              </w:rPr>
              <w:t>إذا لم تكن أية صورة مستنسخة عن العلامة بالألوان</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653</w:t>
            </w:r>
          </w:p>
        </w:tc>
      </w:tr>
      <w:tr w:rsidR="000D48CA" w:rsidRPr="00E22B27" w:rsidTr="005F1D87">
        <w:trPr>
          <w:cantSplit/>
        </w:trPr>
        <w:tc>
          <w:tcPr>
            <w:tcW w:w="5414" w:type="dxa"/>
          </w:tcPr>
          <w:p w:rsidR="000D48CA" w:rsidRPr="00E22B27" w:rsidRDefault="000D48CA" w:rsidP="009422A7">
            <w:pPr>
              <w:keepNext/>
              <w:bidi/>
              <w:spacing w:after="120" w:line="280" w:lineRule="exact"/>
              <w:ind w:left="1701"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2.1.2</w:t>
            </w:r>
            <w:r w:rsidRPr="00E22B27">
              <w:rPr>
                <w:rFonts w:ascii="Arabic Typesetting" w:hAnsi="Arabic Typesetting" w:cs="Arabic Typesetting"/>
                <w:sz w:val="28"/>
                <w:szCs w:val="28"/>
                <w:lang w:bidi="ar-EG"/>
              </w:rPr>
              <w:tab/>
            </w:r>
            <w:r w:rsidRPr="00E22B27">
              <w:rPr>
                <w:rFonts w:ascii="Arabic Typesetting" w:hAnsi="Arabic Typesetting" w:cs="Arabic Typesetting"/>
                <w:sz w:val="28"/>
                <w:szCs w:val="28"/>
                <w:rtl/>
                <w:lang w:bidi="ar-EG"/>
              </w:rPr>
              <w:t>إذا كانت صورة مستنسخة عن العلامة بالألوان</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903</w:t>
            </w: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2.2</w:t>
            </w:r>
            <w:r w:rsidRPr="00E22B27">
              <w:rPr>
                <w:rFonts w:ascii="Arabic Typesetting" w:hAnsi="Arabic Typesetting" w:cs="Arabic Typesetting"/>
                <w:sz w:val="28"/>
                <w:szCs w:val="28"/>
                <w:lang w:bidi="ar-EG"/>
              </w:rPr>
              <w:tab/>
            </w:r>
            <w:r w:rsidRPr="00E22B27">
              <w:rPr>
                <w:rFonts w:ascii="Arabic Typesetting" w:hAnsi="Arabic Typesetting" w:cs="Arabic Typesetting"/>
                <w:sz w:val="28"/>
                <w:szCs w:val="28"/>
                <w:rtl/>
                <w:lang w:bidi="ar-EG"/>
              </w:rPr>
              <w:t>رسم إضافي عن كل صنف من أصناف السلع والخدمات بعد الصنف الثالث (</w:t>
            </w:r>
            <w:r w:rsidR="00450110" w:rsidRPr="00E22B27">
              <w:rPr>
                <w:rFonts w:ascii="Arabic Typesetting" w:hAnsi="Arabic Typesetting" w:cs="Arabic Typesetting"/>
                <w:sz w:val="28"/>
                <w:szCs w:val="28"/>
                <w:rtl/>
                <w:lang w:bidi="ar-EG"/>
              </w:rPr>
              <w:t>المادة </w:t>
            </w:r>
            <w:r w:rsidRPr="00E22B27">
              <w:rPr>
                <w:rFonts w:ascii="Arabic Typesetting" w:hAnsi="Arabic Typesetting" w:cs="Arabic Typesetting"/>
                <w:sz w:val="28"/>
                <w:szCs w:val="28"/>
                <w:rtl/>
                <w:lang w:bidi="ar-EG"/>
              </w:rPr>
              <w:t xml:space="preserve">8(2)"2" من البروتوكول) إلا إذا اقتصر الأمر على تعيين أطراف متعاقدة يجب أن تسدد عنها رسوم فردية (انظر </w:t>
            </w:r>
            <w:r w:rsidR="00450110" w:rsidRPr="00E22B27">
              <w:rPr>
                <w:rFonts w:ascii="Arabic Typesetting" w:hAnsi="Arabic Typesetting" w:cs="Arabic Typesetting"/>
                <w:sz w:val="28"/>
                <w:szCs w:val="28"/>
                <w:rtl/>
                <w:lang w:bidi="ar-EG"/>
              </w:rPr>
              <w:t>المادة </w:t>
            </w:r>
            <w:r w:rsidRPr="00E22B27">
              <w:rPr>
                <w:rFonts w:ascii="Arabic Typesetting" w:hAnsi="Arabic Typesetting" w:cs="Arabic Typesetting"/>
                <w:sz w:val="28"/>
                <w:szCs w:val="28"/>
                <w:rtl/>
                <w:lang w:bidi="ar-EG"/>
              </w:rPr>
              <w:t xml:space="preserve">8(7)(أ)"1" من البروتوكول) (انظر </w:t>
            </w:r>
            <w:r w:rsidR="00450110" w:rsidRPr="00E22B27">
              <w:rPr>
                <w:rFonts w:ascii="Arabic Typesetting" w:hAnsi="Arabic Typesetting" w:cs="Arabic Typesetting"/>
                <w:sz w:val="28"/>
                <w:szCs w:val="28"/>
                <w:rtl/>
                <w:lang w:bidi="ar-EG"/>
              </w:rPr>
              <w:t>البند </w:t>
            </w:r>
            <w:r w:rsidRPr="00E22B27">
              <w:rPr>
                <w:rFonts w:ascii="Arabic Typesetting" w:hAnsi="Arabic Typesetting" w:cs="Arabic Typesetting" w:hint="cs"/>
                <w:sz w:val="28"/>
                <w:szCs w:val="28"/>
                <w:rtl/>
                <w:lang w:bidi="ar-EG"/>
              </w:rPr>
              <w:t>4.2</w:t>
            </w:r>
            <w:r w:rsidRPr="00E22B27">
              <w:rPr>
                <w:rFonts w:ascii="Arabic Typesetting" w:hAnsi="Arabic Typesetting" w:cs="Arabic Typesetting"/>
                <w:sz w:val="28"/>
                <w:szCs w:val="28"/>
                <w:rtl/>
                <w:lang w:bidi="ar-EG"/>
              </w:rPr>
              <w:t xml:space="preserve"> أدناه)</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i/>
                <w:iCs/>
                <w:sz w:val="24"/>
                <w:szCs w:val="24"/>
                <w:rtl/>
                <w:lang w:bidi="ar-EG"/>
              </w:rPr>
            </w:pPr>
            <w:r w:rsidRPr="00E22B27">
              <w:rPr>
                <w:rFonts w:ascii="Arabic Typesetting" w:hAnsi="Arabic Typesetting" w:cs="Arabic Typesetting"/>
                <w:sz w:val="28"/>
                <w:szCs w:val="28"/>
                <w:rtl/>
                <w:lang w:bidi="ar-EG"/>
              </w:rPr>
              <w:t>100</w:t>
            </w: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3.2</w:t>
            </w:r>
            <w:r w:rsidRPr="00E22B27">
              <w:rPr>
                <w:rFonts w:ascii="Arabic Typesetting" w:hAnsi="Arabic Typesetting" w:cs="Arabic Typesetting"/>
                <w:sz w:val="28"/>
                <w:szCs w:val="28"/>
                <w:lang w:bidi="ar-EG"/>
              </w:rPr>
              <w:tab/>
            </w:r>
            <w:r w:rsidRPr="00E22B27">
              <w:rPr>
                <w:rFonts w:ascii="Arabic Typesetting" w:hAnsi="Arabic Typesetting" w:cs="Arabic Typesetting"/>
                <w:sz w:val="28"/>
                <w:szCs w:val="28"/>
                <w:rtl/>
                <w:lang w:bidi="ar-EG"/>
              </w:rPr>
              <w:t>رسم تكميلي عن تعيين كل طرف متعاقد معين (</w:t>
            </w:r>
            <w:r w:rsidR="00450110" w:rsidRPr="00E22B27">
              <w:rPr>
                <w:rFonts w:ascii="Arabic Typesetting" w:hAnsi="Arabic Typesetting" w:cs="Arabic Typesetting"/>
                <w:sz w:val="28"/>
                <w:szCs w:val="28"/>
                <w:rtl/>
                <w:lang w:bidi="ar-EG"/>
              </w:rPr>
              <w:t>المادة </w:t>
            </w:r>
            <w:r w:rsidRPr="00E22B27">
              <w:rPr>
                <w:rFonts w:ascii="Arabic Typesetting" w:hAnsi="Arabic Typesetting" w:cs="Arabic Typesetting"/>
                <w:sz w:val="28"/>
                <w:szCs w:val="28"/>
                <w:rtl/>
                <w:lang w:bidi="ar-EG"/>
              </w:rPr>
              <w:t xml:space="preserve">8(2)"3" من البروتوكول)، إلا إذا كان الطرف المتعاقد المعين طرفاً متعاقداً يجب أن يسدد عنه رسم فردي (انظر </w:t>
            </w:r>
            <w:r w:rsidR="00450110" w:rsidRPr="00E22B27">
              <w:rPr>
                <w:rFonts w:ascii="Arabic Typesetting" w:hAnsi="Arabic Typesetting" w:cs="Arabic Typesetting"/>
                <w:sz w:val="28"/>
                <w:szCs w:val="28"/>
                <w:rtl/>
                <w:lang w:bidi="ar-EG"/>
              </w:rPr>
              <w:t>المادة </w:t>
            </w:r>
            <w:r w:rsidRPr="00E22B27">
              <w:rPr>
                <w:rFonts w:ascii="Arabic Typesetting" w:hAnsi="Arabic Typesetting" w:cs="Arabic Typesetting"/>
                <w:sz w:val="28"/>
                <w:szCs w:val="28"/>
                <w:rtl/>
                <w:lang w:bidi="ar-EG"/>
              </w:rPr>
              <w:t xml:space="preserve">8(7)(أ)"2" من البروتوكول) (انظر </w:t>
            </w:r>
            <w:r w:rsidR="00450110" w:rsidRPr="00E22B27">
              <w:rPr>
                <w:rFonts w:ascii="Arabic Typesetting" w:hAnsi="Arabic Typesetting" w:cs="Arabic Typesetting"/>
                <w:sz w:val="28"/>
                <w:szCs w:val="28"/>
                <w:rtl/>
                <w:lang w:bidi="ar-EG"/>
              </w:rPr>
              <w:t>البند </w:t>
            </w:r>
            <w:r w:rsidRPr="00E22B27">
              <w:rPr>
                <w:rFonts w:ascii="Arabic Typesetting" w:hAnsi="Arabic Typesetting" w:cs="Arabic Typesetting" w:hint="cs"/>
                <w:sz w:val="28"/>
                <w:szCs w:val="28"/>
                <w:rtl/>
                <w:lang w:bidi="ar-EG"/>
              </w:rPr>
              <w:t>4.2</w:t>
            </w:r>
            <w:r w:rsidRPr="00E22B27">
              <w:rPr>
                <w:rFonts w:ascii="Arabic Typesetting" w:hAnsi="Arabic Typesetting" w:cs="Arabic Typesetting"/>
                <w:sz w:val="28"/>
                <w:szCs w:val="28"/>
                <w:rtl/>
                <w:lang w:bidi="ar-EG"/>
              </w:rPr>
              <w:t xml:space="preserve"> أدناه)</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100</w:t>
            </w:r>
          </w:p>
        </w:tc>
      </w:tr>
      <w:tr w:rsidR="000D48CA" w:rsidRPr="00E22B27" w:rsidTr="005F1D87">
        <w:trPr>
          <w:cantSplit/>
        </w:trPr>
        <w:tc>
          <w:tcPr>
            <w:tcW w:w="5414" w:type="dxa"/>
          </w:tcPr>
          <w:p w:rsidR="000D48CA" w:rsidRPr="00E22B27" w:rsidRDefault="000D48CA" w:rsidP="009422A7">
            <w:pPr>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4.2</w:t>
            </w:r>
            <w:r w:rsidRPr="00E22B27">
              <w:rPr>
                <w:rFonts w:ascii="Arabic Typesetting" w:hAnsi="Arabic Typesetting" w:cs="Arabic Typesetting"/>
                <w:sz w:val="28"/>
                <w:szCs w:val="28"/>
                <w:lang w:bidi="ar-EG"/>
              </w:rPr>
              <w:tab/>
            </w:r>
            <w:r w:rsidRPr="00E22B27">
              <w:rPr>
                <w:rFonts w:ascii="Arabic Typesetting" w:hAnsi="Arabic Typesetting" w:cs="Arabic Typesetting"/>
                <w:sz w:val="28"/>
                <w:szCs w:val="28"/>
                <w:rtl/>
                <w:lang w:bidi="ar-EG"/>
              </w:rPr>
              <w:t xml:space="preserve">رسم فردي عن تعيين كل طرف متعاقد معين يجب أن يدفع عنه رسم فردي (وليس رسماً تكميلياً) (انظر </w:t>
            </w:r>
            <w:r w:rsidR="00450110" w:rsidRPr="00E22B27">
              <w:rPr>
                <w:rFonts w:ascii="Arabic Typesetting" w:hAnsi="Arabic Typesetting" w:cs="Arabic Typesetting"/>
                <w:sz w:val="28"/>
                <w:szCs w:val="28"/>
                <w:rtl/>
                <w:lang w:bidi="ar-EG"/>
              </w:rPr>
              <w:t>المادة </w:t>
            </w:r>
            <w:r w:rsidRPr="00E22B27">
              <w:rPr>
                <w:rFonts w:ascii="Arabic Typesetting" w:hAnsi="Arabic Typesetting" w:cs="Arabic Typesetting"/>
                <w:sz w:val="28"/>
                <w:szCs w:val="28"/>
                <w:rtl/>
                <w:lang w:bidi="ar-EG"/>
              </w:rPr>
              <w:t>8(7)(أ) من البروتوكول) إلا إذا كان الطرف المتعاقد المعيّن دولةً ملتزمةً بالاتفاق (أيضا) وكان مكتب المنشأ هو مكتب دولة ملتزمة بالاتفاق (أيضا) (يجب أن يسدد رسم تكميلي عن هذا الطرف المتعاقد): ويحدد كل طرف متعاقد معني مبلغ الرسم الفردي</w:t>
            </w:r>
          </w:p>
        </w:tc>
        <w:tc>
          <w:tcPr>
            <w:tcW w:w="1796"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r>
      <w:tr w:rsidR="005F1D87" w:rsidRPr="00E22B27" w:rsidTr="005F1D87">
        <w:trPr>
          <w:cantSplit/>
        </w:trPr>
        <w:tc>
          <w:tcPr>
            <w:tcW w:w="5414" w:type="dxa"/>
          </w:tcPr>
          <w:p w:rsidR="005F1D87" w:rsidRPr="00E22B27" w:rsidRDefault="005F1D87" w:rsidP="009422A7">
            <w:pPr>
              <w:keepNext/>
              <w:bidi/>
              <w:spacing w:after="240"/>
              <w:jc w:val="right"/>
              <w:rPr>
                <w:rFonts w:ascii="Arabic Typesetting" w:hAnsi="Arabic Typesetting" w:cs="Arabic Typesetting"/>
                <w:i/>
                <w:iCs/>
                <w:sz w:val="24"/>
                <w:szCs w:val="24"/>
                <w:rtl/>
                <w:lang w:bidi="ar-EG"/>
              </w:rPr>
            </w:pPr>
          </w:p>
        </w:tc>
        <w:tc>
          <w:tcPr>
            <w:tcW w:w="1796" w:type="dxa"/>
          </w:tcPr>
          <w:p w:rsidR="005F1D87" w:rsidRPr="00E22B27" w:rsidRDefault="005F1D87" w:rsidP="009422A7">
            <w:pPr>
              <w:keepNext/>
              <w:bidi/>
              <w:spacing w:after="240"/>
              <w:jc w:val="right"/>
              <w:rPr>
                <w:rFonts w:ascii="Arabic Typesetting" w:hAnsi="Arabic Typesetting" w:cs="Arabic Typesetting"/>
                <w:i/>
                <w:iCs/>
                <w:sz w:val="24"/>
                <w:szCs w:val="24"/>
                <w:rtl/>
                <w:lang w:bidi="ar-EG"/>
              </w:rPr>
            </w:pPr>
          </w:p>
        </w:tc>
        <w:tc>
          <w:tcPr>
            <w:tcW w:w="1777" w:type="dxa"/>
          </w:tcPr>
          <w:p w:rsidR="005F1D87" w:rsidRPr="00E22B27" w:rsidRDefault="005F1D87" w:rsidP="009422A7">
            <w:pPr>
              <w:keepNext/>
              <w:bidi/>
              <w:spacing w:after="240"/>
              <w:rPr>
                <w:rFonts w:ascii="Arabic Typesetting" w:hAnsi="Arabic Typesetting" w:cs="Arabic Typesetting"/>
                <w:i/>
                <w:iCs/>
                <w:sz w:val="24"/>
                <w:szCs w:val="24"/>
                <w:rtl/>
                <w:lang w:bidi="ar-EG"/>
              </w:rPr>
            </w:pPr>
            <w:r w:rsidRPr="00E22B27">
              <w:rPr>
                <w:rFonts w:ascii="Arabic Typesetting" w:hAnsi="Arabic Typesetting" w:cs="Arabic Typesetting"/>
                <w:i/>
                <w:iCs/>
                <w:sz w:val="24"/>
                <w:szCs w:val="24"/>
                <w:rtl/>
                <w:lang w:bidi="ar-EG"/>
              </w:rPr>
              <w:t>بالفرنكات السويسرية</w:t>
            </w:r>
          </w:p>
        </w:tc>
      </w:tr>
      <w:tr w:rsidR="000D48CA" w:rsidRPr="00E22B27" w:rsidTr="005F1D87">
        <w:trPr>
          <w:cantSplit/>
        </w:trPr>
        <w:tc>
          <w:tcPr>
            <w:tcW w:w="5414" w:type="dxa"/>
          </w:tcPr>
          <w:p w:rsidR="000D48CA" w:rsidRPr="00E22B27" w:rsidRDefault="000D48CA" w:rsidP="009422A7">
            <w:pPr>
              <w:keepNext/>
              <w:bidi/>
              <w:spacing w:before="240" w:after="120" w:line="280" w:lineRule="exact"/>
              <w:ind w:left="567"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3.</w:t>
            </w:r>
            <w:r w:rsidRPr="00E22B27">
              <w:rPr>
                <w:rFonts w:ascii="Arabic Typesetting" w:hAnsi="Arabic Typesetting" w:cs="Arabic Typesetting"/>
                <w:sz w:val="28"/>
                <w:szCs w:val="28"/>
                <w:lang w:bidi="ar-EG"/>
              </w:rPr>
              <w:tab/>
            </w:r>
            <w:r w:rsidRPr="00E22B27">
              <w:rPr>
                <w:rFonts w:ascii="Arabic Typesetting" w:hAnsi="Arabic Typesetting" w:cs="Arabic Typesetting"/>
                <w:i/>
                <w:iCs/>
                <w:sz w:val="28"/>
                <w:szCs w:val="28"/>
                <w:rtl/>
                <w:lang w:bidi="ar-EG"/>
              </w:rPr>
              <w:t>الطلبات الدولية التي تخضع لكل من الاتفاق والبروتوكول</w:t>
            </w:r>
          </w:p>
        </w:tc>
        <w:tc>
          <w:tcPr>
            <w:tcW w:w="1796" w:type="dxa"/>
          </w:tcPr>
          <w:p w:rsidR="000D48CA" w:rsidRPr="00E22B27" w:rsidRDefault="000D48CA" w:rsidP="009422A7">
            <w:pPr>
              <w:keepNext/>
              <w:bidi/>
              <w:spacing w:before="240"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before="240" w:after="120" w:line="280" w:lineRule="exact"/>
              <w:rPr>
                <w:rFonts w:ascii="Arabic Typesetting" w:hAnsi="Arabic Typesetting" w:cs="Arabic Typesetting"/>
                <w:sz w:val="28"/>
                <w:szCs w:val="28"/>
                <w:rtl/>
                <w:lang w:bidi="ar-EG"/>
              </w:rPr>
            </w:pP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يجب تسديد الرسوم التالية الذكر والمستحقة عن عشر سنوات:</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1.3</w:t>
            </w:r>
            <w:r w:rsidRPr="00E22B27">
              <w:rPr>
                <w:rFonts w:ascii="Arabic Typesetting" w:hAnsi="Arabic Typesetting" w:cs="Arabic Typesetting"/>
                <w:sz w:val="28"/>
                <w:szCs w:val="28"/>
                <w:lang w:bidi="ar-EG"/>
              </w:rPr>
              <w:tab/>
            </w:r>
            <w:r w:rsidRPr="00E22B27">
              <w:rPr>
                <w:rFonts w:ascii="Arabic Typesetting" w:hAnsi="Arabic Typesetting" w:cs="Arabic Typesetting"/>
                <w:sz w:val="28"/>
                <w:szCs w:val="28"/>
                <w:rtl/>
                <w:lang w:bidi="ar-EG"/>
              </w:rPr>
              <w:t>رسم أساسي</w:t>
            </w:r>
            <w:r w:rsidRPr="00E22B27">
              <w:rPr>
                <w:rFonts w:ascii="Arabic Typesetting" w:hAnsi="Arabic Typesetting" w:cs="Arabic Typesetting"/>
                <w:sz w:val="28"/>
                <w:szCs w:val="28"/>
                <w:vertAlign w:val="superscript"/>
                <w:rtl/>
                <w:lang w:bidi="ar-EG"/>
              </w:rPr>
              <w:footnoteReference w:customMarkFollows="1" w:id="8"/>
              <w:t>*</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r>
      <w:tr w:rsidR="000D48CA" w:rsidRPr="00E22B27" w:rsidTr="005F1D87">
        <w:trPr>
          <w:cantSplit/>
        </w:trPr>
        <w:tc>
          <w:tcPr>
            <w:tcW w:w="5414" w:type="dxa"/>
          </w:tcPr>
          <w:p w:rsidR="000D48CA" w:rsidRPr="00E22B27" w:rsidRDefault="000D48CA" w:rsidP="009422A7">
            <w:pPr>
              <w:keepNext/>
              <w:bidi/>
              <w:spacing w:after="120" w:line="280" w:lineRule="exact"/>
              <w:ind w:left="1701"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1.1.3</w:t>
            </w:r>
            <w:r w:rsidRPr="00E22B27">
              <w:rPr>
                <w:rFonts w:ascii="Arabic Typesetting" w:hAnsi="Arabic Typesetting" w:cs="Arabic Typesetting"/>
                <w:sz w:val="28"/>
                <w:szCs w:val="28"/>
                <w:lang w:bidi="ar-EG"/>
              </w:rPr>
              <w:tab/>
            </w:r>
            <w:r w:rsidRPr="00E22B27">
              <w:rPr>
                <w:rFonts w:ascii="Arabic Typesetting" w:hAnsi="Arabic Typesetting" w:cs="Arabic Typesetting"/>
                <w:sz w:val="28"/>
                <w:szCs w:val="28"/>
                <w:rtl/>
                <w:lang w:bidi="ar-EG"/>
              </w:rPr>
              <w:t>إذا لم تكن أية صورة مستنسخة عن العلامة بالألوان</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653</w:t>
            </w:r>
          </w:p>
        </w:tc>
      </w:tr>
      <w:tr w:rsidR="000D48CA" w:rsidRPr="00E22B27" w:rsidTr="005F1D87">
        <w:trPr>
          <w:cantSplit/>
        </w:trPr>
        <w:tc>
          <w:tcPr>
            <w:tcW w:w="5414" w:type="dxa"/>
          </w:tcPr>
          <w:p w:rsidR="000D48CA" w:rsidRPr="00E22B27" w:rsidRDefault="000D48CA" w:rsidP="009422A7">
            <w:pPr>
              <w:keepNext/>
              <w:bidi/>
              <w:spacing w:after="120" w:line="280" w:lineRule="exact"/>
              <w:ind w:left="1701"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2.1.3</w:t>
            </w:r>
            <w:r w:rsidRPr="00E22B27">
              <w:rPr>
                <w:rFonts w:ascii="Arabic Typesetting" w:hAnsi="Arabic Typesetting" w:cs="Arabic Typesetting"/>
                <w:sz w:val="28"/>
                <w:szCs w:val="28"/>
                <w:lang w:bidi="ar-EG"/>
              </w:rPr>
              <w:tab/>
            </w:r>
            <w:r w:rsidRPr="00E22B27">
              <w:rPr>
                <w:rFonts w:ascii="Arabic Typesetting" w:hAnsi="Arabic Typesetting" w:cs="Arabic Typesetting"/>
                <w:sz w:val="28"/>
                <w:szCs w:val="28"/>
                <w:rtl/>
                <w:lang w:bidi="ar-EG"/>
              </w:rPr>
              <w:t>إذا كانت صورة مستنسخة عن العلامة بالألوان</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903</w:t>
            </w: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2.3</w:t>
            </w:r>
            <w:r w:rsidRPr="00E22B27">
              <w:rPr>
                <w:rFonts w:ascii="Arabic Typesetting" w:hAnsi="Arabic Typesetting" w:cs="Arabic Typesetting"/>
                <w:sz w:val="28"/>
                <w:szCs w:val="28"/>
                <w:lang w:bidi="ar-EG"/>
              </w:rPr>
              <w:tab/>
            </w:r>
            <w:r w:rsidRPr="00E22B27">
              <w:rPr>
                <w:rFonts w:ascii="Arabic Typesetting" w:hAnsi="Arabic Typesetting" w:cs="Arabic Typesetting"/>
                <w:sz w:val="28"/>
                <w:szCs w:val="28"/>
                <w:rtl/>
                <w:lang w:bidi="ar-EG"/>
              </w:rPr>
              <w:t>رسم إضافي عن كل صنف من أصناف السلع والخدمات بعد الصنف الثالث</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100</w:t>
            </w: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3.3</w:t>
            </w:r>
            <w:r w:rsidRPr="00E22B27">
              <w:rPr>
                <w:rFonts w:ascii="Arabic Typesetting" w:hAnsi="Arabic Typesetting" w:cs="Arabic Typesetting"/>
                <w:sz w:val="28"/>
                <w:szCs w:val="28"/>
                <w:lang w:bidi="ar-EG"/>
              </w:rPr>
              <w:tab/>
            </w:r>
            <w:r w:rsidRPr="00E22B27">
              <w:rPr>
                <w:rFonts w:ascii="Arabic Typesetting" w:hAnsi="Arabic Typesetting" w:cs="Arabic Typesetting"/>
                <w:sz w:val="28"/>
                <w:szCs w:val="28"/>
                <w:rtl/>
                <w:lang w:bidi="ar-EG"/>
              </w:rPr>
              <w:t>رسم تكميلي عن تعيين كل طرف متعاقد معين يجب ألا يسدد عنه أي رسم فردي</w:t>
            </w:r>
            <w:r w:rsidRPr="00E22B27">
              <w:rPr>
                <w:rFonts w:ascii="Arabic Typesetting" w:hAnsi="Arabic Typesetting" w:cs="Arabic Typesetting" w:hint="cs"/>
                <w:sz w:val="28"/>
                <w:szCs w:val="28"/>
                <w:rtl/>
                <w:lang w:bidi="ar-EG"/>
              </w:rPr>
              <w:t xml:space="preserve"> </w:t>
            </w:r>
            <w:r w:rsidRPr="00E22B27">
              <w:rPr>
                <w:rFonts w:ascii="Arabic Typesetting" w:hAnsi="Arabic Typesetting" w:cs="Arabic Typesetting"/>
                <w:sz w:val="28"/>
                <w:szCs w:val="28"/>
                <w:rtl/>
                <w:lang w:bidi="ar-EG"/>
              </w:rPr>
              <w:t xml:space="preserve">(انظر </w:t>
            </w:r>
            <w:r w:rsidR="00450110" w:rsidRPr="00E22B27">
              <w:rPr>
                <w:rFonts w:ascii="Arabic Typesetting" w:hAnsi="Arabic Typesetting" w:cs="Arabic Typesetting"/>
                <w:sz w:val="28"/>
                <w:szCs w:val="28"/>
                <w:rtl/>
                <w:lang w:bidi="ar-EG"/>
              </w:rPr>
              <w:t>البند </w:t>
            </w:r>
            <w:r w:rsidRPr="00E22B27">
              <w:rPr>
                <w:rFonts w:ascii="Arabic Typesetting" w:hAnsi="Arabic Typesetting" w:cs="Arabic Typesetting" w:hint="cs"/>
                <w:sz w:val="28"/>
                <w:szCs w:val="28"/>
                <w:rtl/>
                <w:lang w:bidi="ar-EG"/>
              </w:rPr>
              <w:t>4.3</w:t>
            </w:r>
            <w:r w:rsidRPr="00E22B27">
              <w:rPr>
                <w:rFonts w:ascii="Arabic Typesetting" w:hAnsi="Arabic Typesetting" w:cs="Arabic Typesetting"/>
                <w:sz w:val="28"/>
                <w:szCs w:val="28"/>
                <w:rtl/>
                <w:lang w:bidi="ar-EG"/>
              </w:rPr>
              <w:t xml:space="preserve"> أدناه)</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100</w:t>
            </w:r>
          </w:p>
        </w:tc>
      </w:tr>
      <w:tr w:rsidR="000D48CA" w:rsidRPr="00E22B27" w:rsidTr="005F1D87">
        <w:trPr>
          <w:cantSplit/>
        </w:trPr>
        <w:tc>
          <w:tcPr>
            <w:tcW w:w="5414" w:type="dxa"/>
          </w:tcPr>
          <w:p w:rsidR="000D48CA" w:rsidRPr="00E22B27" w:rsidRDefault="000D48CA" w:rsidP="009422A7">
            <w:pPr>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4.3</w:t>
            </w:r>
            <w:r w:rsidRPr="00E22B27">
              <w:rPr>
                <w:rFonts w:ascii="Arabic Typesetting" w:hAnsi="Arabic Typesetting" w:cs="Arabic Typesetting"/>
                <w:sz w:val="28"/>
                <w:szCs w:val="28"/>
                <w:lang w:bidi="ar-EG"/>
              </w:rPr>
              <w:tab/>
            </w:r>
            <w:r w:rsidRPr="00E22B27">
              <w:rPr>
                <w:rFonts w:ascii="Arabic Typesetting" w:hAnsi="Arabic Typesetting" w:cs="Arabic Typesetting"/>
                <w:sz w:val="28"/>
                <w:szCs w:val="28"/>
                <w:rtl/>
                <w:lang w:bidi="ar-EG"/>
              </w:rPr>
              <w:t xml:space="preserve">رسم فردي مقابل تعيين كل طرف متعاقد معين يجب أن يسدد عنه رسم فردي (انظر </w:t>
            </w:r>
            <w:r w:rsidR="00450110" w:rsidRPr="00E22B27">
              <w:rPr>
                <w:rFonts w:ascii="Arabic Typesetting" w:hAnsi="Arabic Typesetting" w:cs="Arabic Typesetting"/>
                <w:sz w:val="28"/>
                <w:szCs w:val="28"/>
                <w:rtl/>
                <w:lang w:bidi="ar-EG"/>
              </w:rPr>
              <w:t>المادة </w:t>
            </w:r>
            <w:r w:rsidRPr="00E22B27">
              <w:rPr>
                <w:rFonts w:ascii="Arabic Typesetting" w:hAnsi="Arabic Typesetting" w:cs="Arabic Typesetting"/>
                <w:sz w:val="28"/>
                <w:szCs w:val="28"/>
                <w:rtl/>
                <w:lang w:bidi="ar-EG"/>
              </w:rPr>
              <w:t>8(7)(أ) من البروتوكول)، إلا إذا كان الطرف المتعاقد المعيّن دولة ملتزمة بالاتفاق (أيضاً) وكان مكتب المنشأ هو مكتب دولة ملتزمة بالاتفاق (أيضاً) (يجب أن يسدد رسم تكميلي عن هذا الطرف المتعاقد): ويحدد كل طرف متعاقد معني مبلغ الرسم الفردي</w:t>
            </w:r>
          </w:p>
        </w:tc>
        <w:tc>
          <w:tcPr>
            <w:tcW w:w="1796"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r>
      <w:tr w:rsidR="000D48CA" w:rsidRPr="00E22B27" w:rsidTr="005F1D87">
        <w:trPr>
          <w:cantSplit/>
        </w:trPr>
        <w:tc>
          <w:tcPr>
            <w:tcW w:w="5414" w:type="dxa"/>
          </w:tcPr>
          <w:p w:rsidR="000D48CA" w:rsidRPr="00E22B27" w:rsidRDefault="000D48CA" w:rsidP="009422A7">
            <w:pPr>
              <w:keepNext/>
              <w:bidi/>
              <w:spacing w:before="240" w:after="120" w:line="280" w:lineRule="exact"/>
              <w:ind w:left="567"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4.</w:t>
            </w:r>
            <w:r w:rsidRPr="00E22B27">
              <w:rPr>
                <w:rFonts w:ascii="Arabic Typesetting" w:hAnsi="Arabic Typesetting" w:cs="Arabic Typesetting"/>
                <w:sz w:val="28"/>
                <w:szCs w:val="28"/>
                <w:lang w:bidi="ar-EG"/>
              </w:rPr>
              <w:tab/>
            </w:r>
            <w:r w:rsidRPr="00E22B27">
              <w:rPr>
                <w:rFonts w:ascii="Arabic Typesetting" w:hAnsi="Arabic Typesetting" w:cs="Arabic Typesetting"/>
                <w:i/>
                <w:iCs/>
                <w:sz w:val="28"/>
                <w:szCs w:val="28"/>
                <w:rtl/>
                <w:lang w:bidi="ar-EG"/>
              </w:rPr>
              <w:t>المخالفات المتعلقة بتصنيف السلع والخدمات</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يجب تسديد الرسوم التالية الذكر (القاعدة 12(1)(ب)):</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1.4</w:t>
            </w:r>
            <w:r w:rsidRPr="00E22B27">
              <w:rPr>
                <w:rFonts w:ascii="Arabic Typesetting" w:hAnsi="Arabic Typesetting" w:cs="Arabic Typesetting"/>
                <w:sz w:val="28"/>
                <w:szCs w:val="28"/>
                <w:lang w:bidi="ar-EG"/>
              </w:rPr>
              <w:tab/>
            </w:r>
            <w:r w:rsidRPr="00E22B27">
              <w:rPr>
                <w:rFonts w:ascii="Arabic Typesetting" w:hAnsi="Arabic Typesetting" w:cs="Arabic Typesetting"/>
                <w:sz w:val="28"/>
                <w:szCs w:val="28"/>
                <w:rtl/>
                <w:lang w:bidi="ar-EG"/>
              </w:rPr>
              <w:t>إذا لم تجمع السلع والخدمات في أصناف</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77+4 عن كل كلمة</w:t>
            </w:r>
          </w:p>
        </w:tc>
      </w:tr>
      <w:tr w:rsidR="000D48CA" w:rsidRPr="00E22B27" w:rsidTr="005F1D87">
        <w:trPr>
          <w:cantSplit/>
        </w:trPr>
        <w:tc>
          <w:tcPr>
            <w:tcW w:w="5414"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بعد الكلمة العشرين</w:t>
            </w: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2.4</w:t>
            </w:r>
            <w:r w:rsidRPr="00E22B27">
              <w:rPr>
                <w:rFonts w:ascii="Arabic Typesetting" w:hAnsi="Arabic Typesetting" w:cs="Arabic Typesetting"/>
                <w:sz w:val="28"/>
                <w:szCs w:val="28"/>
                <w:lang w:bidi="ar-EG"/>
              </w:rPr>
              <w:tab/>
            </w:r>
            <w:r w:rsidRPr="00E22B27">
              <w:rPr>
                <w:rFonts w:ascii="Arabic Typesetting" w:hAnsi="Arabic Typesetting" w:cs="Arabic Typesetting"/>
                <w:sz w:val="28"/>
                <w:szCs w:val="28"/>
                <w:rtl/>
                <w:lang w:bidi="ar-EG"/>
              </w:rPr>
              <w:t xml:space="preserve">إذا كان التصنيف المبين في الطلب لكلمة واحدة </w:t>
            </w:r>
            <w:r w:rsidR="00450110" w:rsidRPr="00E22B27">
              <w:rPr>
                <w:rFonts w:ascii="Arabic Typesetting" w:hAnsi="Arabic Typesetting" w:cs="Arabic Typesetting"/>
                <w:sz w:val="28"/>
                <w:szCs w:val="28"/>
                <w:rtl/>
                <w:lang w:bidi="ar-EG"/>
              </w:rPr>
              <w:t>أو </w:t>
            </w:r>
            <w:r w:rsidRPr="00E22B27">
              <w:rPr>
                <w:rFonts w:ascii="Arabic Typesetting" w:hAnsi="Arabic Typesetting" w:cs="Arabic Typesetting"/>
                <w:sz w:val="28"/>
                <w:szCs w:val="28"/>
                <w:rtl/>
                <w:lang w:bidi="ar-EG"/>
              </w:rPr>
              <w:t>أكثر غير صحيح</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20+4 عن</w:t>
            </w:r>
          </w:p>
        </w:tc>
      </w:tr>
      <w:tr w:rsidR="000D48CA" w:rsidRPr="00E22B27" w:rsidTr="005F1D87">
        <w:trPr>
          <w:cantSplit/>
        </w:trPr>
        <w:tc>
          <w:tcPr>
            <w:tcW w:w="5414"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كل كلمة لا يكون</w:t>
            </w:r>
          </w:p>
        </w:tc>
      </w:tr>
      <w:tr w:rsidR="000D48CA" w:rsidRPr="00E22B27" w:rsidTr="005F1D87">
        <w:trPr>
          <w:cantSplit/>
        </w:trPr>
        <w:tc>
          <w:tcPr>
            <w:tcW w:w="5414"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تصنيفها صحيحاً</w:t>
            </w:r>
          </w:p>
        </w:tc>
      </w:tr>
      <w:tr w:rsidR="000D48CA" w:rsidRPr="00E22B27" w:rsidTr="005F1D87">
        <w:trPr>
          <w:cantSplit/>
        </w:trPr>
        <w:tc>
          <w:tcPr>
            <w:tcW w:w="5414" w:type="dxa"/>
          </w:tcPr>
          <w:p w:rsidR="000D48CA" w:rsidRPr="00E22B27" w:rsidRDefault="000D48CA" w:rsidP="009422A7">
            <w:pPr>
              <w:bidi/>
              <w:spacing w:after="120" w:line="280" w:lineRule="exact"/>
              <w:ind w:left="567"/>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 xml:space="preserve">مع العلم بأنه لا ينبغي تسديد أي رسم إذا كان المبلغ الإجمالي المستحق بناء على هذا </w:t>
            </w:r>
            <w:r w:rsidR="00450110" w:rsidRPr="00E22B27">
              <w:rPr>
                <w:rFonts w:ascii="Arabic Typesetting" w:hAnsi="Arabic Typesetting" w:cs="Arabic Typesetting"/>
                <w:sz w:val="28"/>
                <w:szCs w:val="28"/>
                <w:rtl/>
                <w:lang w:bidi="ar-EG"/>
              </w:rPr>
              <w:t>البند </w:t>
            </w:r>
            <w:r w:rsidRPr="00E22B27">
              <w:rPr>
                <w:rFonts w:ascii="Arabic Typesetting" w:hAnsi="Arabic Typesetting" w:cs="Arabic Typesetting"/>
                <w:sz w:val="28"/>
                <w:szCs w:val="28"/>
                <w:rtl/>
                <w:lang w:bidi="ar-EG"/>
              </w:rPr>
              <w:t>بالنسبة إلى طلب دولي يقل عن 150 فرنكاً سويسرياً</w:t>
            </w:r>
          </w:p>
        </w:tc>
        <w:tc>
          <w:tcPr>
            <w:tcW w:w="1796"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r>
      <w:tr w:rsidR="005F1D87" w:rsidRPr="00E22B27" w:rsidTr="005F1D87">
        <w:trPr>
          <w:cantSplit/>
        </w:trPr>
        <w:tc>
          <w:tcPr>
            <w:tcW w:w="5414" w:type="dxa"/>
          </w:tcPr>
          <w:p w:rsidR="005F1D87" w:rsidRPr="00E22B27" w:rsidRDefault="005F1D87" w:rsidP="009422A7">
            <w:pPr>
              <w:keepNext/>
              <w:bidi/>
              <w:spacing w:after="240"/>
              <w:jc w:val="right"/>
              <w:rPr>
                <w:rFonts w:ascii="Arabic Typesetting" w:hAnsi="Arabic Typesetting" w:cs="Arabic Typesetting"/>
                <w:i/>
                <w:iCs/>
                <w:sz w:val="24"/>
                <w:szCs w:val="24"/>
                <w:rtl/>
                <w:lang w:bidi="ar-EG"/>
              </w:rPr>
            </w:pPr>
          </w:p>
        </w:tc>
        <w:tc>
          <w:tcPr>
            <w:tcW w:w="1796" w:type="dxa"/>
          </w:tcPr>
          <w:p w:rsidR="005F1D87" w:rsidRPr="00E22B27" w:rsidRDefault="005F1D87" w:rsidP="009422A7">
            <w:pPr>
              <w:keepNext/>
              <w:bidi/>
              <w:spacing w:after="240"/>
              <w:jc w:val="right"/>
              <w:rPr>
                <w:rFonts w:ascii="Arabic Typesetting" w:hAnsi="Arabic Typesetting" w:cs="Arabic Typesetting"/>
                <w:i/>
                <w:iCs/>
                <w:sz w:val="24"/>
                <w:szCs w:val="24"/>
                <w:rtl/>
                <w:lang w:bidi="ar-EG"/>
              </w:rPr>
            </w:pPr>
          </w:p>
        </w:tc>
        <w:tc>
          <w:tcPr>
            <w:tcW w:w="1777" w:type="dxa"/>
          </w:tcPr>
          <w:p w:rsidR="005F1D87" w:rsidRPr="00E22B27" w:rsidRDefault="005F1D87" w:rsidP="009422A7">
            <w:pPr>
              <w:keepNext/>
              <w:bidi/>
              <w:spacing w:after="240"/>
              <w:rPr>
                <w:rFonts w:ascii="Arabic Typesetting" w:hAnsi="Arabic Typesetting" w:cs="Arabic Typesetting"/>
                <w:i/>
                <w:iCs/>
                <w:sz w:val="24"/>
                <w:szCs w:val="24"/>
                <w:rtl/>
                <w:lang w:bidi="ar-EG"/>
              </w:rPr>
            </w:pPr>
            <w:r w:rsidRPr="00E22B27">
              <w:rPr>
                <w:rFonts w:ascii="Arabic Typesetting" w:hAnsi="Arabic Typesetting" w:cs="Arabic Typesetting"/>
                <w:i/>
                <w:iCs/>
                <w:sz w:val="24"/>
                <w:szCs w:val="24"/>
                <w:rtl/>
                <w:lang w:bidi="ar-EG"/>
              </w:rPr>
              <w:t>بالفرنكات السويسرية</w:t>
            </w:r>
          </w:p>
        </w:tc>
      </w:tr>
      <w:tr w:rsidR="000D48CA" w:rsidRPr="00E22B27" w:rsidTr="005F1D87">
        <w:trPr>
          <w:cantSplit/>
        </w:trPr>
        <w:tc>
          <w:tcPr>
            <w:tcW w:w="5414" w:type="dxa"/>
          </w:tcPr>
          <w:p w:rsidR="000D48CA" w:rsidRPr="00E22B27" w:rsidRDefault="000D48CA" w:rsidP="009422A7">
            <w:pPr>
              <w:keepNext/>
              <w:bidi/>
              <w:spacing w:before="240" w:after="120" w:line="280" w:lineRule="exact"/>
              <w:ind w:left="567"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5.</w:t>
            </w:r>
            <w:r w:rsidRPr="00E22B27">
              <w:rPr>
                <w:rFonts w:ascii="Arabic Typesetting" w:hAnsi="Arabic Typesetting" w:cs="Arabic Typesetting"/>
                <w:sz w:val="28"/>
                <w:szCs w:val="28"/>
                <w:lang w:bidi="ar-EG"/>
              </w:rPr>
              <w:tab/>
            </w:r>
            <w:r w:rsidRPr="00E22B27">
              <w:rPr>
                <w:rFonts w:ascii="Arabic Typesetting" w:hAnsi="Arabic Typesetting" w:cs="Arabic Typesetting"/>
                <w:i/>
                <w:iCs/>
                <w:sz w:val="28"/>
                <w:szCs w:val="28"/>
                <w:rtl/>
                <w:lang w:bidi="ar-EG"/>
              </w:rPr>
              <w:t>التعيين اللاحق للتسجيل الدولي</w:t>
            </w:r>
          </w:p>
        </w:tc>
        <w:tc>
          <w:tcPr>
            <w:tcW w:w="1796" w:type="dxa"/>
          </w:tcPr>
          <w:p w:rsidR="000D48CA" w:rsidRPr="00E22B27" w:rsidRDefault="000D48CA" w:rsidP="009422A7">
            <w:pPr>
              <w:keepNext/>
              <w:bidi/>
              <w:spacing w:before="240"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before="240" w:after="120" w:line="280" w:lineRule="exact"/>
              <w:rPr>
                <w:rFonts w:ascii="Arabic Typesetting" w:hAnsi="Arabic Typesetting" w:cs="Arabic Typesetting"/>
                <w:sz w:val="28"/>
                <w:szCs w:val="28"/>
                <w:rtl/>
                <w:lang w:bidi="ar-EG"/>
              </w:rPr>
            </w:pPr>
          </w:p>
        </w:tc>
      </w:tr>
      <w:tr w:rsidR="000D48CA" w:rsidRPr="00E22B27" w:rsidTr="005F1D87">
        <w:trPr>
          <w:cantSplit/>
        </w:trPr>
        <w:tc>
          <w:tcPr>
            <w:tcW w:w="5414" w:type="dxa"/>
          </w:tcPr>
          <w:p w:rsidR="000D48CA" w:rsidRPr="00E22B27" w:rsidRDefault="000D48CA" w:rsidP="009422A7">
            <w:pPr>
              <w:keepNext/>
              <w:bidi/>
              <w:spacing w:after="120" w:line="280" w:lineRule="exact"/>
              <w:ind w:left="567"/>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يجب تسديد الرسوم التالية الذكر والمستحقة عن الفترة المتراوحة بين تاريخ نفاذ التعيين وانقضاء فترة نفاذ التسجيل الدولي:</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1.5</w:t>
            </w:r>
            <w:r w:rsidRPr="00E22B27">
              <w:rPr>
                <w:rFonts w:ascii="Arabic Typesetting" w:hAnsi="Arabic Typesetting" w:cs="Arabic Typesetting"/>
                <w:sz w:val="28"/>
                <w:szCs w:val="28"/>
                <w:lang w:bidi="ar-EG"/>
              </w:rPr>
              <w:tab/>
            </w:r>
            <w:r w:rsidRPr="00E22B27">
              <w:rPr>
                <w:rFonts w:ascii="Arabic Typesetting" w:hAnsi="Arabic Typesetting" w:cs="Arabic Typesetting"/>
                <w:sz w:val="28"/>
                <w:szCs w:val="28"/>
                <w:rtl/>
                <w:lang w:bidi="ar-EG"/>
              </w:rPr>
              <w:t>رسم أساسي</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300</w:t>
            </w: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2.5</w:t>
            </w:r>
            <w:r w:rsidRPr="00E22B27">
              <w:rPr>
                <w:rFonts w:ascii="Arabic Typesetting" w:hAnsi="Arabic Typesetting" w:cs="Arabic Typesetting"/>
                <w:sz w:val="28"/>
                <w:szCs w:val="28"/>
                <w:lang w:bidi="ar-EG"/>
              </w:rPr>
              <w:tab/>
            </w:r>
            <w:r w:rsidRPr="00E22B27">
              <w:rPr>
                <w:rFonts w:ascii="Arabic Typesetting" w:hAnsi="Arabic Typesetting" w:cs="Arabic Typesetting"/>
                <w:sz w:val="28"/>
                <w:szCs w:val="28"/>
                <w:rtl/>
                <w:lang w:bidi="ar-EG"/>
              </w:rPr>
              <w:t xml:space="preserve">رسم تكميلي عن كل طرف متعاقد معين يبين في نفس الطلب ويجب ألا يسدد عنه أي رسم فردي (انظر </w:t>
            </w:r>
            <w:r w:rsidR="00450110" w:rsidRPr="00E22B27">
              <w:rPr>
                <w:rFonts w:ascii="Arabic Typesetting" w:hAnsi="Arabic Typesetting" w:cs="Arabic Typesetting"/>
                <w:sz w:val="28"/>
                <w:szCs w:val="28"/>
                <w:rtl/>
                <w:lang w:bidi="ar-EG"/>
              </w:rPr>
              <w:t>البند </w:t>
            </w:r>
            <w:r w:rsidRPr="00E22B27">
              <w:rPr>
                <w:rFonts w:ascii="Arabic Typesetting" w:hAnsi="Arabic Typesetting" w:cs="Arabic Typesetting" w:hint="cs"/>
                <w:sz w:val="28"/>
                <w:szCs w:val="28"/>
                <w:rtl/>
                <w:lang w:bidi="ar-EG"/>
              </w:rPr>
              <w:t>3.5</w:t>
            </w:r>
            <w:r w:rsidRPr="00E22B27">
              <w:rPr>
                <w:rFonts w:ascii="Arabic Typesetting" w:hAnsi="Arabic Typesetting" w:cs="Arabic Typesetting"/>
                <w:sz w:val="28"/>
                <w:szCs w:val="28"/>
                <w:rtl/>
                <w:lang w:bidi="ar-EG"/>
              </w:rPr>
              <w:t xml:space="preserve"> أدناه)</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100</w:t>
            </w:r>
          </w:p>
        </w:tc>
      </w:tr>
      <w:tr w:rsidR="000D48CA" w:rsidRPr="00E22B27" w:rsidTr="005F1D87">
        <w:trPr>
          <w:cantSplit/>
        </w:trPr>
        <w:tc>
          <w:tcPr>
            <w:tcW w:w="5414" w:type="dxa"/>
          </w:tcPr>
          <w:p w:rsidR="000D48CA" w:rsidRPr="00E22B27" w:rsidRDefault="000D48CA" w:rsidP="009422A7">
            <w:pPr>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3.5</w:t>
            </w:r>
            <w:r w:rsidRPr="00E22B27">
              <w:rPr>
                <w:rFonts w:ascii="Arabic Typesetting" w:hAnsi="Arabic Typesetting" w:cs="Arabic Typesetting"/>
                <w:sz w:val="28"/>
                <w:szCs w:val="28"/>
                <w:lang w:bidi="ar-EG"/>
              </w:rPr>
              <w:tab/>
            </w:r>
            <w:r w:rsidRPr="00E22B27">
              <w:rPr>
                <w:rFonts w:ascii="Arabic Typesetting" w:hAnsi="Arabic Typesetting" w:cs="Arabic Typesetting"/>
                <w:sz w:val="28"/>
                <w:szCs w:val="28"/>
                <w:rtl/>
                <w:lang w:bidi="ar-EG"/>
              </w:rPr>
              <w:t xml:space="preserve">رسم فردي عن تعيين كل طرف متعاقد معين يجب أن يدفع عنه رسم فردي (وليس رسماً تكميلياً) (انظر </w:t>
            </w:r>
            <w:r w:rsidR="00450110" w:rsidRPr="00E22B27">
              <w:rPr>
                <w:rFonts w:ascii="Arabic Typesetting" w:hAnsi="Arabic Typesetting" w:cs="Arabic Typesetting"/>
                <w:sz w:val="28"/>
                <w:szCs w:val="28"/>
                <w:rtl/>
                <w:lang w:bidi="ar-EG"/>
              </w:rPr>
              <w:t>المادة </w:t>
            </w:r>
            <w:r w:rsidRPr="00E22B27">
              <w:rPr>
                <w:rFonts w:ascii="Arabic Typesetting" w:hAnsi="Arabic Typesetting" w:cs="Arabic Typesetting"/>
                <w:sz w:val="28"/>
                <w:szCs w:val="28"/>
                <w:rtl/>
                <w:lang w:bidi="ar-EG"/>
              </w:rPr>
              <w:t>8(7)(أ) من البروتوكول)، إلا إذا كان الطرف المتعاقد المعيّن دولة ملتزمة بالاتفاق (أيضاً) وكان مكتب المنشأ هو مكتب دولة ملتزمة بالاتفاق (أيضاً) (يجب أن يسدد رسم تكميلي عن هذا الطرف المتعاقد): ويحدد كل طرف متعاقد معني مبلغ الرسم الفردي</w:t>
            </w:r>
          </w:p>
        </w:tc>
        <w:tc>
          <w:tcPr>
            <w:tcW w:w="1796"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r>
      <w:tr w:rsidR="000D48CA" w:rsidRPr="00E22B27" w:rsidTr="005F1D87">
        <w:trPr>
          <w:cantSplit/>
        </w:trPr>
        <w:tc>
          <w:tcPr>
            <w:tcW w:w="5414" w:type="dxa"/>
          </w:tcPr>
          <w:p w:rsidR="000D48CA" w:rsidRPr="00E22B27" w:rsidRDefault="000D48CA" w:rsidP="009422A7">
            <w:pPr>
              <w:keepNext/>
              <w:bidi/>
              <w:spacing w:before="240" w:after="120" w:line="280" w:lineRule="exact"/>
              <w:ind w:left="567"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6.</w:t>
            </w:r>
            <w:r w:rsidRPr="00E22B27">
              <w:rPr>
                <w:rFonts w:ascii="Arabic Typesetting" w:hAnsi="Arabic Typesetting" w:cs="Arabic Typesetting"/>
                <w:sz w:val="28"/>
                <w:szCs w:val="28"/>
                <w:rtl/>
                <w:lang w:bidi="ar-EG"/>
              </w:rPr>
              <w:tab/>
            </w:r>
            <w:r w:rsidRPr="00E22B27">
              <w:rPr>
                <w:rFonts w:ascii="Arabic Typesetting" w:hAnsi="Arabic Typesetting" w:cs="Arabic Typesetting"/>
                <w:i/>
                <w:iCs/>
                <w:sz w:val="28"/>
                <w:szCs w:val="28"/>
                <w:rtl/>
                <w:lang w:bidi="ar-EG"/>
              </w:rPr>
              <w:t>التجديد</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يجب تسديد الرسوم التالية الذكر والمستحقة عن عشر سنوات:</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1.6</w:t>
            </w:r>
            <w:r w:rsidRPr="00E22B27">
              <w:rPr>
                <w:rFonts w:ascii="Arabic Typesetting" w:hAnsi="Arabic Typesetting" w:cs="Arabic Typesetting"/>
                <w:sz w:val="28"/>
                <w:szCs w:val="28"/>
                <w:rtl/>
                <w:lang w:bidi="ar-EG"/>
              </w:rPr>
              <w:tab/>
              <w:t>رسم أساسي</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653</w:t>
            </w: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2.6</w:t>
            </w:r>
            <w:r w:rsidRPr="00E22B27">
              <w:rPr>
                <w:rFonts w:ascii="Arabic Typesetting" w:hAnsi="Arabic Typesetting" w:cs="Arabic Typesetting"/>
                <w:sz w:val="28"/>
                <w:szCs w:val="28"/>
                <w:rtl/>
                <w:lang w:bidi="ar-EG"/>
              </w:rPr>
              <w:tab/>
              <w:t>رسم إضافي، فيما عدا إذا لم يجر التجديد سوى بالنسبة إلى أطراف متعاقدة معينة يجب أن تدفع عنها رسوم فردية</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r>
      <w:tr w:rsidR="000D48CA" w:rsidRPr="00E22B27" w:rsidTr="005F1D87">
        <w:trPr>
          <w:cantSplit/>
        </w:trPr>
        <w:tc>
          <w:tcPr>
            <w:tcW w:w="5414" w:type="dxa"/>
          </w:tcPr>
          <w:p w:rsidR="000D48CA" w:rsidRPr="00E22B27" w:rsidRDefault="000D48CA" w:rsidP="009422A7">
            <w:pPr>
              <w:keepNext/>
              <w:bidi/>
              <w:spacing w:after="120" w:line="280" w:lineRule="exact"/>
              <w:ind w:left="1701" w:hanging="567"/>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 xml:space="preserve">(انظر </w:t>
            </w:r>
            <w:r w:rsidR="00450110" w:rsidRPr="00E22B27">
              <w:rPr>
                <w:rFonts w:ascii="Arabic Typesetting" w:hAnsi="Arabic Typesetting" w:cs="Arabic Typesetting"/>
                <w:sz w:val="28"/>
                <w:szCs w:val="28"/>
                <w:rtl/>
                <w:lang w:bidi="ar-EG"/>
              </w:rPr>
              <w:t>البند </w:t>
            </w:r>
            <w:r w:rsidRPr="00E22B27">
              <w:rPr>
                <w:rFonts w:ascii="Arabic Typesetting" w:hAnsi="Arabic Typesetting" w:cs="Arabic Typesetting" w:hint="cs"/>
                <w:sz w:val="28"/>
                <w:szCs w:val="28"/>
                <w:rtl/>
                <w:lang w:bidi="ar-EG"/>
              </w:rPr>
              <w:t>4.6</w:t>
            </w:r>
            <w:r w:rsidRPr="00E22B27">
              <w:rPr>
                <w:rFonts w:ascii="Arabic Typesetting" w:hAnsi="Arabic Typesetting" w:cs="Arabic Typesetting"/>
                <w:sz w:val="28"/>
                <w:szCs w:val="28"/>
                <w:rtl/>
                <w:lang w:bidi="ar-EG"/>
              </w:rPr>
              <w:t xml:space="preserve"> أدناه)</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5F1D87"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100</w:t>
            </w: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3.6</w:t>
            </w:r>
            <w:r w:rsidR="005F1D87" w:rsidRPr="00E22B27">
              <w:rPr>
                <w:rFonts w:ascii="Arabic Typesetting" w:hAnsi="Arabic Typesetting" w:cs="Arabic Typesetting"/>
                <w:sz w:val="28"/>
                <w:szCs w:val="28"/>
                <w:rtl/>
                <w:lang w:bidi="ar-EG"/>
              </w:rPr>
              <w:tab/>
              <w:t>رسم تكميلي عن كل طرف متعاقد معين يجب ألا يسدد عنه أي رسم فردي</w:t>
            </w:r>
            <w:r w:rsidR="005F1D87" w:rsidRPr="00E22B27">
              <w:rPr>
                <w:rFonts w:ascii="Arabic Typesetting" w:hAnsi="Arabic Typesetting" w:cs="Arabic Typesetting" w:hint="cs"/>
                <w:sz w:val="28"/>
                <w:szCs w:val="28"/>
                <w:rtl/>
                <w:lang w:bidi="ar-EG"/>
              </w:rPr>
              <w:t xml:space="preserve"> </w:t>
            </w:r>
            <w:r w:rsidR="005F1D87" w:rsidRPr="00E22B27">
              <w:rPr>
                <w:rFonts w:ascii="Arabic Typesetting" w:hAnsi="Arabic Typesetting" w:cs="Arabic Typesetting"/>
                <w:sz w:val="28"/>
                <w:szCs w:val="28"/>
                <w:rtl/>
                <w:lang w:bidi="ar-EG"/>
              </w:rPr>
              <w:t xml:space="preserve">(انظر </w:t>
            </w:r>
            <w:r w:rsidR="00450110" w:rsidRPr="00E22B27">
              <w:rPr>
                <w:rFonts w:ascii="Arabic Typesetting" w:hAnsi="Arabic Typesetting" w:cs="Arabic Typesetting"/>
                <w:sz w:val="28"/>
                <w:szCs w:val="28"/>
                <w:rtl/>
                <w:lang w:bidi="ar-EG"/>
              </w:rPr>
              <w:t>البند </w:t>
            </w:r>
            <w:r w:rsidR="005F1D87" w:rsidRPr="00E22B27">
              <w:rPr>
                <w:rFonts w:ascii="Arabic Typesetting" w:hAnsi="Arabic Typesetting" w:cs="Arabic Typesetting" w:hint="cs"/>
                <w:sz w:val="28"/>
                <w:szCs w:val="28"/>
                <w:rtl/>
                <w:lang w:bidi="ar-EG"/>
              </w:rPr>
              <w:t>4.6</w:t>
            </w:r>
            <w:r w:rsidR="005F1D87" w:rsidRPr="00E22B27">
              <w:rPr>
                <w:rFonts w:ascii="Arabic Typesetting" w:hAnsi="Arabic Typesetting" w:cs="Arabic Typesetting"/>
                <w:sz w:val="28"/>
                <w:szCs w:val="28"/>
                <w:rtl/>
                <w:lang w:bidi="ar-EG"/>
              </w:rPr>
              <w:t xml:space="preserve"> أدناه)</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100</w:t>
            </w: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4.6</w:t>
            </w:r>
            <w:r w:rsidR="005F1D87" w:rsidRPr="00E22B27">
              <w:rPr>
                <w:rFonts w:ascii="Arabic Typesetting" w:hAnsi="Arabic Typesetting" w:cs="Arabic Typesetting"/>
                <w:sz w:val="28"/>
                <w:szCs w:val="28"/>
                <w:rtl/>
                <w:lang w:bidi="ar-EG"/>
              </w:rPr>
              <w:tab/>
              <w:t xml:space="preserve">رسم فردي مقابل تعيين كل طرف متعاقد معين يجب أن يسدد عنه رسم فردي (وليس رسماً تكميلياً) (انظر </w:t>
            </w:r>
            <w:r w:rsidR="00450110" w:rsidRPr="00E22B27">
              <w:rPr>
                <w:rFonts w:ascii="Arabic Typesetting" w:hAnsi="Arabic Typesetting" w:cs="Arabic Typesetting"/>
                <w:sz w:val="28"/>
                <w:szCs w:val="28"/>
                <w:rtl/>
                <w:lang w:bidi="ar-EG"/>
              </w:rPr>
              <w:t>المادة </w:t>
            </w:r>
            <w:r w:rsidR="005F1D87" w:rsidRPr="00E22B27">
              <w:rPr>
                <w:rFonts w:ascii="Arabic Typesetting" w:hAnsi="Arabic Typesetting" w:cs="Arabic Typesetting"/>
                <w:sz w:val="28"/>
                <w:szCs w:val="28"/>
                <w:rtl/>
                <w:lang w:bidi="ar-EG"/>
              </w:rPr>
              <w:t>8(7)(أ) من البروتوكول)، إلا إذا كان الطرف المتعاقد المعيّن دولة ملتزمة بالاتفاق (أيضاً) وكان مكتب المنشأ هو مكتب دولة ملتزمة بالاتفاق (أيضاً) (يجب أن يسدد رسم تكميلي عن هذا الطرف المتعاقد): ويحدد كل طرف متعاقد معني مبلغ الرسم الفردي</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r>
      <w:tr w:rsidR="000D48CA" w:rsidRPr="00E22B27" w:rsidTr="005F1D87">
        <w:trPr>
          <w:cantSplit/>
        </w:trPr>
        <w:tc>
          <w:tcPr>
            <w:tcW w:w="5414" w:type="dxa"/>
          </w:tcPr>
          <w:p w:rsidR="000D48CA" w:rsidRPr="00E22B27" w:rsidRDefault="000D48CA" w:rsidP="009422A7">
            <w:pPr>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5.6</w:t>
            </w:r>
            <w:r w:rsidR="005F1D87" w:rsidRPr="00E22B27">
              <w:rPr>
                <w:rFonts w:ascii="Arabic Typesetting" w:hAnsi="Arabic Typesetting" w:cs="Arabic Typesetting"/>
                <w:sz w:val="28"/>
                <w:szCs w:val="28"/>
                <w:rtl/>
                <w:lang w:bidi="ar-EG"/>
              </w:rPr>
              <w:tab/>
              <w:t>رسم إضافي مقابل الاستفادة من فترة الإمهال</w:t>
            </w:r>
          </w:p>
        </w:tc>
        <w:tc>
          <w:tcPr>
            <w:tcW w:w="1796"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50٪ من مبلغ</w:t>
            </w:r>
          </w:p>
        </w:tc>
      </w:tr>
      <w:tr w:rsidR="000D48CA" w:rsidRPr="00E22B27" w:rsidTr="005F1D87">
        <w:trPr>
          <w:cantSplit/>
        </w:trPr>
        <w:tc>
          <w:tcPr>
            <w:tcW w:w="5414"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c>
          <w:tcPr>
            <w:tcW w:w="1796"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5F1D87" w:rsidP="009422A7">
            <w:pPr>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الرسم المستحق</w:t>
            </w:r>
          </w:p>
        </w:tc>
      </w:tr>
      <w:tr w:rsidR="000D48CA" w:rsidRPr="00E22B27" w:rsidTr="005F1D87">
        <w:trPr>
          <w:cantSplit/>
        </w:trPr>
        <w:tc>
          <w:tcPr>
            <w:tcW w:w="5414"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c>
          <w:tcPr>
            <w:tcW w:w="1796"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5F1D87" w:rsidP="009422A7">
            <w:pPr>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بناء على</w:t>
            </w:r>
            <w:r w:rsidRPr="00E22B27">
              <w:rPr>
                <w:rFonts w:ascii="Arabic Typesetting" w:hAnsi="Arabic Typesetting" w:cs="Arabic Typesetting" w:hint="cs"/>
                <w:sz w:val="28"/>
                <w:szCs w:val="28"/>
                <w:rtl/>
                <w:lang w:bidi="ar-EG"/>
              </w:rPr>
              <w:t xml:space="preserve"> </w:t>
            </w:r>
            <w:r w:rsidR="00450110" w:rsidRPr="00E22B27">
              <w:rPr>
                <w:rFonts w:ascii="Arabic Typesetting" w:hAnsi="Arabic Typesetting" w:cs="Arabic Typesetting"/>
                <w:sz w:val="28"/>
                <w:szCs w:val="28"/>
                <w:rtl/>
                <w:lang w:bidi="ar-EG"/>
              </w:rPr>
              <w:t>البند </w:t>
            </w:r>
            <w:r w:rsidRPr="00E22B27">
              <w:rPr>
                <w:rFonts w:ascii="Arabic Typesetting" w:hAnsi="Arabic Typesetting" w:cs="Arabic Typesetting" w:hint="cs"/>
                <w:sz w:val="28"/>
                <w:szCs w:val="28"/>
                <w:rtl/>
                <w:lang w:bidi="ar-EG"/>
              </w:rPr>
              <w:t>1.6</w:t>
            </w:r>
          </w:p>
        </w:tc>
      </w:tr>
      <w:tr w:rsidR="005F1D87" w:rsidRPr="00E22B27" w:rsidTr="005F1D87">
        <w:trPr>
          <w:cantSplit/>
        </w:trPr>
        <w:tc>
          <w:tcPr>
            <w:tcW w:w="5414" w:type="dxa"/>
          </w:tcPr>
          <w:p w:rsidR="005F1D87" w:rsidRPr="00E22B27" w:rsidRDefault="005F1D87" w:rsidP="009422A7">
            <w:pPr>
              <w:keepNext/>
              <w:bidi/>
              <w:spacing w:after="240"/>
              <w:jc w:val="right"/>
              <w:rPr>
                <w:rFonts w:ascii="Arabic Typesetting" w:hAnsi="Arabic Typesetting" w:cs="Arabic Typesetting"/>
                <w:i/>
                <w:iCs/>
                <w:sz w:val="24"/>
                <w:szCs w:val="24"/>
                <w:rtl/>
                <w:lang w:bidi="ar-EG"/>
              </w:rPr>
            </w:pPr>
          </w:p>
        </w:tc>
        <w:tc>
          <w:tcPr>
            <w:tcW w:w="1796" w:type="dxa"/>
          </w:tcPr>
          <w:p w:rsidR="005F1D87" w:rsidRPr="00E22B27" w:rsidRDefault="005F1D87" w:rsidP="009422A7">
            <w:pPr>
              <w:keepNext/>
              <w:bidi/>
              <w:spacing w:after="240"/>
              <w:jc w:val="right"/>
              <w:rPr>
                <w:rFonts w:ascii="Arabic Typesetting" w:hAnsi="Arabic Typesetting" w:cs="Arabic Typesetting"/>
                <w:i/>
                <w:iCs/>
                <w:sz w:val="24"/>
                <w:szCs w:val="24"/>
                <w:rtl/>
                <w:lang w:bidi="ar-EG"/>
              </w:rPr>
            </w:pPr>
          </w:p>
        </w:tc>
        <w:tc>
          <w:tcPr>
            <w:tcW w:w="1777" w:type="dxa"/>
          </w:tcPr>
          <w:p w:rsidR="005F1D87" w:rsidRPr="00E22B27" w:rsidRDefault="005F1D87" w:rsidP="009422A7">
            <w:pPr>
              <w:keepNext/>
              <w:bidi/>
              <w:spacing w:after="240"/>
              <w:rPr>
                <w:rFonts w:ascii="Arabic Typesetting" w:hAnsi="Arabic Typesetting" w:cs="Arabic Typesetting"/>
                <w:i/>
                <w:iCs/>
                <w:sz w:val="24"/>
                <w:szCs w:val="24"/>
                <w:rtl/>
                <w:lang w:bidi="ar-EG"/>
              </w:rPr>
            </w:pPr>
            <w:r w:rsidRPr="00E22B27">
              <w:rPr>
                <w:rFonts w:ascii="Arabic Typesetting" w:hAnsi="Arabic Typesetting" w:cs="Arabic Typesetting"/>
                <w:i/>
                <w:iCs/>
                <w:sz w:val="24"/>
                <w:szCs w:val="24"/>
                <w:rtl/>
                <w:lang w:bidi="ar-EG"/>
              </w:rPr>
              <w:t>بالفرنكات السويسرية</w:t>
            </w:r>
          </w:p>
        </w:tc>
      </w:tr>
      <w:tr w:rsidR="000D48CA" w:rsidRPr="00E22B27" w:rsidTr="005F1D87">
        <w:trPr>
          <w:cantSplit/>
        </w:trPr>
        <w:tc>
          <w:tcPr>
            <w:tcW w:w="5414" w:type="dxa"/>
          </w:tcPr>
          <w:p w:rsidR="000D48CA" w:rsidRPr="00E22B27" w:rsidRDefault="000D48CA" w:rsidP="009422A7">
            <w:pPr>
              <w:keepNext/>
              <w:bidi/>
              <w:spacing w:before="240" w:after="120" w:line="280" w:lineRule="exact"/>
              <w:ind w:left="567"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7.</w:t>
            </w:r>
            <w:r w:rsidR="005F1D87" w:rsidRPr="00E22B27">
              <w:rPr>
                <w:rFonts w:ascii="Arabic Typesetting" w:hAnsi="Arabic Typesetting" w:cs="Arabic Typesetting"/>
                <w:sz w:val="28"/>
                <w:szCs w:val="28"/>
                <w:rtl/>
                <w:lang w:bidi="ar-EG"/>
              </w:rPr>
              <w:tab/>
            </w:r>
            <w:r w:rsidR="005F1D87" w:rsidRPr="00E22B27">
              <w:rPr>
                <w:rFonts w:ascii="Arabic Typesetting" w:hAnsi="Arabic Typesetting" w:cs="Arabic Typesetting"/>
                <w:i/>
                <w:iCs/>
                <w:sz w:val="28"/>
                <w:szCs w:val="28"/>
                <w:rtl/>
                <w:lang w:bidi="ar-EG"/>
              </w:rPr>
              <w:t>التعديل</w:t>
            </w:r>
          </w:p>
        </w:tc>
        <w:tc>
          <w:tcPr>
            <w:tcW w:w="1796" w:type="dxa"/>
          </w:tcPr>
          <w:p w:rsidR="000D48CA" w:rsidRPr="00E22B27" w:rsidRDefault="000D48CA" w:rsidP="009422A7">
            <w:pPr>
              <w:keepNext/>
              <w:bidi/>
              <w:spacing w:before="240"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before="240" w:after="120" w:line="280" w:lineRule="exact"/>
              <w:rPr>
                <w:rFonts w:ascii="Arabic Typesetting" w:hAnsi="Arabic Typesetting" w:cs="Arabic Typesetting"/>
                <w:sz w:val="28"/>
                <w:szCs w:val="28"/>
                <w:rtl/>
                <w:lang w:bidi="ar-EG"/>
              </w:rPr>
            </w:pP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1.7</w:t>
            </w:r>
            <w:r w:rsidR="005F1D87" w:rsidRPr="00E22B27">
              <w:rPr>
                <w:rFonts w:ascii="Arabic Typesetting" w:hAnsi="Arabic Typesetting" w:cs="Arabic Typesetting" w:hint="cs"/>
                <w:sz w:val="28"/>
                <w:szCs w:val="28"/>
                <w:rtl/>
                <w:lang w:bidi="ar-EG"/>
              </w:rPr>
              <w:tab/>
            </w:r>
            <w:r w:rsidR="005F1D87" w:rsidRPr="00E22B27">
              <w:rPr>
                <w:rFonts w:ascii="Arabic Typesetting" w:hAnsi="Arabic Typesetting" w:cs="Arabic Typesetting"/>
                <w:sz w:val="28"/>
                <w:szCs w:val="28"/>
                <w:rtl/>
                <w:lang w:bidi="ar-EG"/>
              </w:rPr>
              <w:t>النقل الكلي لتسجيل دولي</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177</w:t>
            </w: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2.7</w:t>
            </w:r>
            <w:r w:rsidR="005F1D87" w:rsidRPr="00E22B27">
              <w:rPr>
                <w:rFonts w:ascii="Arabic Typesetting" w:hAnsi="Arabic Typesetting" w:cs="Arabic Typesetting"/>
                <w:sz w:val="28"/>
                <w:szCs w:val="28"/>
                <w:rtl/>
                <w:lang w:bidi="ar-EG"/>
              </w:rPr>
              <w:tab/>
              <w:t xml:space="preserve">النقل الجزئي لتسجيل دولي (بالنسبة إلى بعض السلع والخدمات </w:t>
            </w:r>
            <w:r w:rsidR="00450110" w:rsidRPr="00E22B27">
              <w:rPr>
                <w:rFonts w:ascii="Arabic Typesetting" w:hAnsi="Arabic Typesetting" w:cs="Arabic Typesetting"/>
                <w:sz w:val="28"/>
                <w:szCs w:val="28"/>
                <w:rtl/>
                <w:lang w:bidi="ar-EG"/>
              </w:rPr>
              <w:t>أو </w:t>
            </w:r>
            <w:r w:rsidR="005F1D87" w:rsidRPr="00E22B27">
              <w:rPr>
                <w:rFonts w:ascii="Arabic Typesetting" w:hAnsi="Arabic Typesetting" w:cs="Arabic Typesetting"/>
                <w:sz w:val="28"/>
                <w:szCs w:val="28"/>
                <w:rtl/>
                <w:lang w:bidi="ar-EG"/>
              </w:rPr>
              <w:t>بعض الأطراف المتعاقدة)</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177</w:t>
            </w: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3.7</w:t>
            </w:r>
            <w:r w:rsidR="005F1D87" w:rsidRPr="00E22B27">
              <w:rPr>
                <w:rFonts w:ascii="Arabic Typesetting" w:hAnsi="Arabic Typesetting" w:cs="Arabic Typesetting"/>
                <w:sz w:val="28"/>
                <w:szCs w:val="28"/>
                <w:rtl/>
                <w:lang w:bidi="ar-EG"/>
              </w:rPr>
              <w:tab/>
              <w:t>طلب إنقاص قائمة السلع والخدمات من جانب صاحب التسجيل الدولي بعد إجراء التسجيل الدولي، شرط أن ينطبق هذا الإنقاص على كل الأطراف المتعاقدة إذا استهدف الإنقاص عدة أطراف متعاقدة</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177</w:t>
            </w: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4.7</w:t>
            </w:r>
            <w:r w:rsidR="005F1D87" w:rsidRPr="00E22B27">
              <w:rPr>
                <w:rFonts w:ascii="Arabic Typesetting" w:hAnsi="Arabic Typesetting" w:cs="Arabic Typesetting"/>
                <w:sz w:val="28"/>
                <w:szCs w:val="28"/>
                <w:rtl/>
                <w:lang w:bidi="ar-EG"/>
              </w:rPr>
              <w:tab/>
              <w:t xml:space="preserve">تغيير اسم </w:t>
            </w:r>
            <w:r w:rsidR="00450110" w:rsidRPr="00E22B27">
              <w:rPr>
                <w:rFonts w:ascii="Arabic Typesetting" w:hAnsi="Arabic Typesetting" w:cs="Arabic Typesetting"/>
                <w:sz w:val="28"/>
                <w:szCs w:val="28"/>
                <w:rtl/>
                <w:lang w:bidi="ar-EG"/>
              </w:rPr>
              <w:t>أو </w:t>
            </w:r>
            <w:r w:rsidR="005F1D87" w:rsidRPr="00E22B27">
              <w:rPr>
                <w:rFonts w:ascii="Arabic Typesetting" w:hAnsi="Arabic Typesetting" w:cs="Arabic Typesetting"/>
                <w:sz w:val="28"/>
                <w:szCs w:val="28"/>
                <w:rtl/>
                <w:lang w:bidi="ar-EG"/>
              </w:rPr>
              <w:t xml:space="preserve">عنوان صاحب تسجيل دولي واحد </w:t>
            </w:r>
            <w:r w:rsidR="00450110" w:rsidRPr="00E22B27">
              <w:rPr>
                <w:rFonts w:ascii="Arabic Typesetting" w:hAnsi="Arabic Typesetting" w:cs="Arabic Typesetting"/>
                <w:sz w:val="28"/>
                <w:szCs w:val="28"/>
                <w:rtl/>
                <w:lang w:bidi="ar-EG"/>
              </w:rPr>
              <w:t>أو </w:t>
            </w:r>
            <w:r w:rsidR="005F1D87" w:rsidRPr="00E22B27">
              <w:rPr>
                <w:rFonts w:ascii="Arabic Typesetting" w:hAnsi="Arabic Typesetting" w:cs="Arabic Typesetting"/>
                <w:sz w:val="28"/>
                <w:szCs w:val="28"/>
                <w:rtl/>
                <w:lang w:bidi="ar-EG"/>
              </w:rPr>
              <w:t>أكثر يطلب قيد التغيير ذاته بالنسبة إليه في نفس الطلب</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150</w:t>
            </w:r>
          </w:p>
        </w:tc>
      </w:tr>
      <w:tr w:rsidR="000D48CA" w:rsidRPr="00E22B27" w:rsidTr="005F1D87">
        <w:trPr>
          <w:cantSplit/>
        </w:trPr>
        <w:tc>
          <w:tcPr>
            <w:tcW w:w="5414" w:type="dxa"/>
          </w:tcPr>
          <w:p w:rsidR="000D48CA" w:rsidRPr="00E22B27" w:rsidRDefault="000D48CA" w:rsidP="009422A7">
            <w:pPr>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5.7</w:t>
            </w:r>
            <w:r w:rsidR="005F1D87" w:rsidRPr="00E22B27">
              <w:rPr>
                <w:rFonts w:ascii="Arabic Typesetting" w:hAnsi="Arabic Typesetting" w:cs="Arabic Typesetting"/>
                <w:sz w:val="28"/>
                <w:szCs w:val="28"/>
                <w:rtl/>
                <w:lang w:bidi="ar-EG"/>
              </w:rPr>
              <w:tab/>
              <w:t xml:space="preserve">قيد ترخيص بشأن تسجيل دولي </w:t>
            </w:r>
            <w:r w:rsidR="00450110" w:rsidRPr="00E22B27">
              <w:rPr>
                <w:rFonts w:ascii="Arabic Typesetting" w:hAnsi="Arabic Typesetting" w:cs="Arabic Typesetting"/>
                <w:sz w:val="28"/>
                <w:szCs w:val="28"/>
                <w:rtl/>
                <w:lang w:bidi="ar-EG"/>
              </w:rPr>
              <w:t>أو </w:t>
            </w:r>
            <w:r w:rsidR="005F1D87" w:rsidRPr="00E22B27">
              <w:rPr>
                <w:rFonts w:ascii="Arabic Typesetting" w:hAnsi="Arabic Typesetting" w:cs="Arabic Typesetting"/>
                <w:sz w:val="28"/>
                <w:szCs w:val="28"/>
                <w:rtl/>
                <w:lang w:bidi="ar-EG"/>
              </w:rPr>
              <w:t>تعديل في قيد ترخيص</w:t>
            </w:r>
          </w:p>
        </w:tc>
        <w:tc>
          <w:tcPr>
            <w:tcW w:w="1796"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177</w:t>
            </w:r>
          </w:p>
        </w:tc>
      </w:tr>
      <w:tr w:rsidR="000D48CA" w:rsidRPr="00E22B27" w:rsidTr="005F1D87">
        <w:trPr>
          <w:cantSplit/>
        </w:trPr>
        <w:tc>
          <w:tcPr>
            <w:tcW w:w="5414" w:type="dxa"/>
          </w:tcPr>
          <w:p w:rsidR="000D48CA" w:rsidRPr="00E22B27" w:rsidRDefault="000D48CA" w:rsidP="009422A7">
            <w:pPr>
              <w:keepNext/>
              <w:bidi/>
              <w:spacing w:before="240"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8.</w:t>
            </w:r>
            <w:r w:rsidR="005F1D87" w:rsidRPr="00E22B27">
              <w:rPr>
                <w:rFonts w:ascii="Arabic Typesetting" w:hAnsi="Arabic Typesetting" w:cs="Arabic Typesetting"/>
                <w:sz w:val="28"/>
                <w:szCs w:val="28"/>
                <w:rtl/>
                <w:lang w:bidi="ar-EG"/>
              </w:rPr>
              <w:tab/>
            </w:r>
            <w:r w:rsidR="005F1D87" w:rsidRPr="00E22B27">
              <w:rPr>
                <w:rFonts w:ascii="Arabic Typesetting" w:hAnsi="Arabic Typesetting" w:cs="Arabic Typesetting"/>
                <w:i/>
                <w:iCs/>
                <w:sz w:val="28"/>
                <w:szCs w:val="28"/>
                <w:rtl/>
                <w:lang w:bidi="ar-EG"/>
              </w:rPr>
              <w:t>معلومات بشأن التسجيلات الدولية</w:t>
            </w:r>
          </w:p>
        </w:tc>
        <w:tc>
          <w:tcPr>
            <w:tcW w:w="1796" w:type="dxa"/>
          </w:tcPr>
          <w:p w:rsidR="000D48CA" w:rsidRPr="00E22B27" w:rsidRDefault="000D48CA" w:rsidP="009422A7">
            <w:pPr>
              <w:keepNext/>
              <w:bidi/>
              <w:spacing w:before="240"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before="240" w:after="120" w:line="280" w:lineRule="exact"/>
              <w:rPr>
                <w:rFonts w:ascii="Arabic Typesetting" w:hAnsi="Arabic Typesetting" w:cs="Arabic Typesetting"/>
                <w:sz w:val="28"/>
                <w:szCs w:val="28"/>
                <w:rtl/>
                <w:lang w:bidi="ar-EG"/>
              </w:rPr>
            </w:pP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1.8</w:t>
            </w:r>
            <w:r w:rsidR="005F1D87" w:rsidRPr="00E22B27">
              <w:rPr>
                <w:rFonts w:ascii="Arabic Typesetting" w:hAnsi="Arabic Typesetting" w:cs="Arabic Typesetting"/>
                <w:sz w:val="28"/>
                <w:szCs w:val="28"/>
                <w:rtl/>
                <w:lang w:bidi="ar-EG"/>
              </w:rPr>
              <w:tab/>
              <w:t>إعداد مستخرج مصدق عليه عن السجل الدولي يتكون من تحليل حالة تسجيل دولي(مستخرج مفصل مصدّق عليه)،</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r>
      <w:tr w:rsidR="005F1D87" w:rsidRPr="00E22B27" w:rsidTr="005F1D87">
        <w:trPr>
          <w:cantSplit/>
        </w:trPr>
        <w:tc>
          <w:tcPr>
            <w:tcW w:w="5414" w:type="dxa"/>
          </w:tcPr>
          <w:p w:rsidR="005F1D87" w:rsidRPr="00E22B27" w:rsidRDefault="005F1D87" w:rsidP="009422A7">
            <w:pPr>
              <w:keepNext/>
              <w:bidi/>
              <w:spacing w:after="120" w:line="280" w:lineRule="exact"/>
              <w:ind w:left="1134"/>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لا يتعدى ثلاث صفحات</w:t>
            </w:r>
          </w:p>
        </w:tc>
        <w:tc>
          <w:tcPr>
            <w:tcW w:w="1796" w:type="dxa"/>
          </w:tcPr>
          <w:p w:rsidR="005F1D87" w:rsidRPr="00E22B27" w:rsidRDefault="005F1D87" w:rsidP="009422A7">
            <w:pPr>
              <w:keepNext/>
              <w:bidi/>
              <w:spacing w:after="120" w:line="280" w:lineRule="exact"/>
              <w:rPr>
                <w:rFonts w:ascii="Arabic Typesetting" w:hAnsi="Arabic Typesetting" w:cs="Arabic Typesetting"/>
                <w:sz w:val="28"/>
                <w:szCs w:val="28"/>
                <w:rtl/>
                <w:lang w:bidi="ar-EG"/>
              </w:rPr>
            </w:pPr>
          </w:p>
        </w:tc>
        <w:tc>
          <w:tcPr>
            <w:tcW w:w="1777" w:type="dxa"/>
          </w:tcPr>
          <w:p w:rsidR="005F1D87" w:rsidRPr="00E22B27" w:rsidRDefault="005F1D87"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155</w:t>
            </w:r>
          </w:p>
        </w:tc>
      </w:tr>
      <w:tr w:rsidR="005F1D87" w:rsidRPr="00E22B27" w:rsidTr="005F1D87">
        <w:trPr>
          <w:cantSplit/>
        </w:trPr>
        <w:tc>
          <w:tcPr>
            <w:tcW w:w="5414" w:type="dxa"/>
          </w:tcPr>
          <w:p w:rsidR="005F1D87" w:rsidRPr="00E22B27" w:rsidRDefault="005F1D87" w:rsidP="009422A7">
            <w:pPr>
              <w:keepNext/>
              <w:bidi/>
              <w:spacing w:after="120" w:line="280" w:lineRule="exact"/>
              <w:ind w:left="1134"/>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عن كل صفحة بعد الصفحة الثالثة</w:t>
            </w:r>
          </w:p>
        </w:tc>
        <w:tc>
          <w:tcPr>
            <w:tcW w:w="1796" w:type="dxa"/>
          </w:tcPr>
          <w:p w:rsidR="005F1D87" w:rsidRPr="00E22B27" w:rsidRDefault="005F1D87" w:rsidP="009422A7">
            <w:pPr>
              <w:keepNext/>
              <w:bidi/>
              <w:spacing w:after="120" w:line="280" w:lineRule="exact"/>
              <w:rPr>
                <w:rFonts w:ascii="Arabic Typesetting" w:hAnsi="Arabic Typesetting" w:cs="Arabic Typesetting"/>
                <w:sz w:val="28"/>
                <w:szCs w:val="28"/>
                <w:rtl/>
                <w:lang w:bidi="ar-EG"/>
              </w:rPr>
            </w:pPr>
          </w:p>
        </w:tc>
        <w:tc>
          <w:tcPr>
            <w:tcW w:w="1777" w:type="dxa"/>
          </w:tcPr>
          <w:p w:rsidR="005F1D87" w:rsidRPr="00E22B27" w:rsidRDefault="005F1D87"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10</w:t>
            </w: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2.8</w:t>
            </w:r>
            <w:r w:rsidR="005F1D87" w:rsidRPr="00E22B27">
              <w:rPr>
                <w:rFonts w:ascii="Arabic Typesetting" w:hAnsi="Arabic Typesetting" w:cs="Arabic Typesetting"/>
                <w:sz w:val="28"/>
                <w:szCs w:val="28"/>
                <w:rtl/>
                <w:lang w:bidi="ar-EG"/>
              </w:rPr>
              <w:tab/>
              <w:t>إعداد مستخرج مصدق عليه عن السجل الدولي يتكون من صورة عن كل المنشورات، وعن كل إخطارات الرفض، التي تتعلق بتسجيل دولي (مستخرج بسيط مصدّق عليه)</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r>
      <w:tr w:rsidR="000D48CA" w:rsidRPr="00E22B27" w:rsidTr="005F1D87">
        <w:trPr>
          <w:cantSplit/>
        </w:trPr>
        <w:tc>
          <w:tcPr>
            <w:tcW w:w="5414" w:type="dxa"/>
          </w:tcPr>
          <w:p w:rsidR="000D48CA" w:rsidRPr="00E22B27" w:rsidRDefault="000D48CA" w:rsidP="009422A7">
            <w:pPr>
              <w:keepNext/>
              <w:bidi/>
              <w:spacing w:after="120" w:line="280" w:lineRule="exact"/>
              <w:ind w:left="1134"/>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لا يتعدى ثلاث صفحات</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5F1D87"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77</w:t>
            </w:r>
          </w:p>
        </w:tc>
      </w:tr>
      <w:tr w:rsidR="000D48CA" w:rsidRPr="00E22B27" w:rsidTr="005F1D87">
        <w:trPr>
          <w:cantSplit/>
        </w:trPr>
        <w:tc>
          <w:tcPr>
            <w:tcW w:w="5414" w:type="dxa"/>
          </w:tcPr>
          <w:p w:rsidR="000D48CA" w:rsidRPr="00E22B27" w:rsidRDefault="000D48CA" w:rsidP="009422A7">
            <w:pPr>
              <w:keepNext/>
              <w:bidi/>
              <w:spacing w:after="120" w:line="280" w:lineRule="exact"/>
              <w:ind w:left="1134"/>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عن كل صفحة بعد الصفحة الثالثة</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5F1D87"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2</w:t>
            </w:r>
          </w:p>
        </w:tc>
      </w:tr>
      <w:tr w:rsidR="000D48CA" w:rsidRPr="00E22B27" w:rsidTr="005F1D87">
        <w:trPr>
          <w:cantSplit/>
        </w:trPr>
        <w:tc>
          <w:tcPr>
            <w:tcW w:w="5414" w:type="dxa"/>
          </w:tcPr>
          <w:p w:rsidR="000D48CA" w:rsidRPr="00E22B27" w:rsidRDefault="000D48CA" w:rsidP="009422A7">
            <w:pPr>
              <w:keepNext/>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3.8</w:t>
            </w:r>
            <w:r w:rsidR="005F1D87" w:rsidRPr="00E22B27">
              <w:rPr>
                <w:rFonts w:ascii="Arabic Typesetting" w:hAnsi="Arabic Typesetting" w:cs="Arabic Typesetting"/>
                <w:sz w:val="28"/>
                <w:szCs w:val="28"/>
                <w:rtl/>
                <w:lang w:bidi="ar-EG"/>
              </w:rPr>
              <w:tab/>
              <w:t xml:space="preserve">كل شهادة </w:t>
            </w:r>
            <w:r w:rsidR="00450110" w:rsidRPr="00E22B27">
              <w:rPr>
                <w:rFonts w:ascii="Arabic Typesetting" w:hAnsi="Arabic Typesetting" w:cs="Arabic Typesetting"/>
                <w:sz w:val="28"/>
                <w:szCs w:val="28"/>
                <w:rtl/>
                <w:lang w:bidi="ar-EG"/>
              </w:rPr>
              <w:t>أو </w:t>
            </w:r>
            <w:r w:rsidR="005F1D87" w:rsidRPr="00E22B27">
              <w:rPr>
                <w:rFonts w:ascii="Arabic Typesetting" w:hAnsi="Arabic Typesetting" w:cs="Arabic Typesetting"/>
                <w:sz w:val="28"/>
                <w:szCs w:val="28"/>
                <w:rtl/>
                <w:lang w:bidi="ar-EG"/>
              </w:rPr>
              <w:t>معلومة تقدم كتابة</w:t>
            </w:r>
          </w:p>
        </w:tc>
        <w:tc>
          <w:tcPr>
            <w:tcW w:w="1796"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after="120" w:line="280" w:lineRule="exact"/>
              <w:rPr>
                <w:rFonts w:ascii="Arabic Typesetting" w:hAnsi="Arabic Typesetting" w:cs="Arabic Typesetting"/>
                <w:sz w:val="28"/>
                <w:szCs w:val="28"/>
                <w:rtl/>
                <w:lang w:bidi="ar-EG"/>
              </w:rPr>
            </w:pPr>
          </w:p>
        </w:tc>
      </w:tr>
      <w:tr w:rsidR="005F1D87" w:rsidRPr="00E22B27" w:rsidTr="005F1D87">
        <w:trPr>
          <w:cantSplit/>
        </w:trPr>
        <w:tc>
          <w:tcPr>
            <w:tcW w:w="5414" w:type="dxa"/>
          </w:tcPr>
          <w:p w:rsidR="005F1D87" w:rsidRPr="00E22B27" w:rsidRDefault="005F1D87" w:rsidP="009422A7">
            <w:pPr>
              <w:keepNext/>
              <w:bidi/>
              <w:spacing w:after="120" w:line="280" w:lineRule="exact"/>
              <w:ind w:left="1134"/>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بالنسبة إلى تسجيل دولي واحد</w:t>
            </w:r>
          </w:p>
        </w:tc>
        <w:tc>
          <w:tcPr>
            <w:tcW w:w="1796" w:type="dxa"/>
          </w:tcPr>
          <w:p w:rsidR="005F1D87" w:rsidRPr="00E22B27" w:rsidRDefault="005F1D87" w:rsidP="009422A7">
            <w:pPr>
              <w:keepNext/>
              <w:bidi/>
              <w:spacing w:after="120" w:line="280" w:lineRule="exact"/>
              <w:rPr>
                <w:rFonts w:ascii="Arabic Typesetting" w:hAnsi="Arabic Typesetting" w:cs="Arabic Typesetting"/>
                <w:sz w:val="28"/>
                <w:szCs w:val="28"/>
                <w:rtl/>
                <w:lang w:bidi="ar-EG"/>
              </w:rPr>
            </w:pPr>
          </w:p>
        </w:tc>
        <w:tc>
          <w:tcPr>
            <w:tcW w:w="1777" w:type="dxa"/>
          </w:tcPr>
          <w:p w:rsidR="005F1D87" w:rsidRPr="00E22B27" w:rsidRDefault="005F1D87"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77</w:t>
            </w:r>
          </w:p>
        </w:tc>
      </w:tr>
      <w:tr w:rsidR="005F1D87" w:rsidRPr="00E22B27" w:rsidTr="005F1D87">
        <w:trPr>
          <w:cantSplit/>
        </w:trPr>
        <w:tc>
          <w:tcPr>
            <w:tcW w:w="5414" w:type="dxa"/>
          </w:tcPr>
          <w:p w:rsidR="005F1D87" w:rsidRPr="00E22B27" w:rsidRDefault="005F1D87" w:rsidP="009422A7">
            <w:pPr>
              <w:keepNext/>
              <w:bidi/>
              <w:spacing w:after="120" w:line="280" w:lineRule="exact"/>
              <w:ind w:left="1134"/>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بالنسبة إلى كل تسجيل دولي من التسجيلات الدولية الإضافية، إذا طلبت المعلومة ذاتها في نفس الطلب</w:t>
            </w:r>
          </w:p>
        </w:tc>
        <w:tc>
          <w:tcPr>
            <w:tcW w:w="1796" w:type="dxa"/>
          </w:tcPr>
          <w:p w:rsidR="005F1D87" w:rsidRPr="00E22B27" w:rsidRDefault="005F1D87" w:rsidP="009422A7">
            <w:pPr>
              <w:keepNext/>
              <w:bidi/>
              <w:spacing w:after="120" w:line="280" w:lineRule="exact"/>
              <w:rPr>
                <w:rFonts w:ascii="Arabic Typesetting" w:hAnsi="Arabic Typesetting" w:cs="Arabic Typesetting"/>
                <w:sz w:val="28"/>
                <w:szCs w:val="28"/>
                <w:rtl/>
                <w:lang w:bidi="ar-EG"/>
              </w:rPr>
            </w:pPr>
          </w:p>
        </w:tc>
        <w:tc>
          <w:tcPr>
            <w:tcW w:w="1777" w:type="dxa"/>
          </w:tcPr>
          <w:p w:rsidR="005F1D87" w:rsidRPr="00E22B27" w:rsidRDefault="005F1D87" w:rsidP="009422A7">
            <w:pPr>
              <w:keepNext/>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10</w:t>
            </w:r>
          </w:p>
        </w:tc>
      </w:tr>
      <w:tr w:rsidR="000D48CA" w:rsidRPr="00E22B27" w:rsidTr="005F1D87">
        <w:trPr>
          <w:cantSplit/>
        </w:trPr>
        <w:tc>
          <w:tcPr>
            <w:tcW w:w="5414" w:type="dxa"/>
          </w:tcPr>
          <w:p w:rsidR="000D48CA" w:rsidRPr="00E22B27" w:rsidRDefault="000D48CA" w:rsidP="009422A7">
            <w:pPr>
              <w:bidi/>
              <w:spacing w:after="120" w:line="280" w:lineRule="exact"/>
              <w:ind w:left="1134" w:hanging="567"/>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4.8</w:t>
            </w:r>
            <w:r w:rsidR="005F1D87" w:rsidRPr="00E22B27">
              <w:rPr>
                <w:rFonts w:ascii="Arabic Typesetting" w:hAnsi="Arabic Typesetting" w:cs="Arabic Typesetting"/>
                <w:sz w:val="28"/>
                <w:szCs w:val="28"/>
                <w:rtl/>
                <w:lang w:bidi="ar-EG"/>
              </w:rPr>
              <w:tab/>
              <w:t xml:space="preserve">إعادة نسخ </w:t>
            </w:r>
            <w:r w:rsidR="00450110" w:rsidRPr="00E22B27">
              <w:rPr>
                <w:rFonts w:ascii="Arabic Typesetting" w:hAnsi="Arabic Typesetting" w:cs="Arabic Typesetting"/>
                <w:sz w:val="28"/>
                <w:szCs w:val="28"/>
                <w:rtl/>
                <w:lang w:bidi="ar-EG"/>
              </w:rPr>
              <w:t>أو </w:t>
            </w:r>
            <w:r w:rsidR="005F1D87" w:rsidRPr="00E22B27">
              <w:rPr>
                <w:rFonts w:ascii="Arabic Typesetting" w:hAnsi="Arabic Typesetting" w:cs="Arabic Typesetting"/>
                <w:sz w:val="28"/>
                <w:szCs w:val="28"/>
                <w:rtl/>
                <w:lang w:bidi="ar-EG"/>
              </w:rPr>
              <w:t>تصوير نشر التسجيل الدولي، عن كل صفحة</w:t>
            </w:r>
          </w:p>
        </w:tc>
        <w:tc>
          <w:tcPr>
            <w:tcW w:w="1796"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5</w:t>
            </w:r>
          </w:p>
        </w:tc>
      </w:tr>
      <w:tr w:rsidR="000D48CA" w:rsidRPr="00E22B27" w:rsidTr="005F1D87">
        <w:trPr>
          <w:cantSplit/>
        </w:trPr>
        <w:tc>
          <w:tcPr>
            <w:tcW w:w="5414" w:type="dxa"/>
          </w:tcPr>
          <w:p w:rsidR="000D48CA" w:rsidRPr="00E22B27" w:rsidRDefault="000D48CA" w:rsidP="009422A7">
            <w:pPr>
              <w:keepNext/>
              <w:bidi/>
              <w:spacing w:before="240" w:after="120" w:line="280" w:lineRule="exact"/>
              <w:rPr>
                <w:rFonts w:ascii="Arabic Typesetting" w:hAnsi="Arabic Typesetting" w:cs="Arabic Typesetting"/>
                <w:sz w:val="28"/>
                <w:szCs w:val="28"/>
                <w:rtl/>
                <w:lang w:bidi="ar-EG"/>
              </w:rPr>
            </w:pPr>
            <w:r w:rsidRPr="00E22B27">
              <w:rPr>
                <w:rFonts w:ascii="Arabic Typesetting" w:hAnsi="Arabic Typesetting" w:cs="Arabic Typesetting" w:hint="cs"/>
                <w:sz w:val="28"/>
                <w:szCs w:val="28"/>
                <w:rtl/>
                <w:lang w:bidi="ar-EG"/>
              </w:rPr>
              <w:t>9.</w:t>
            </w:r>
            <w:r w:rsidR="005F1D87" w:rsidRPr="00E22B27">
              <w:rPr>
                <w:rFonts w:ascii="Arabic Typesetting" w:hAnsi="Arabic Typesetting" w:cs="Arabic Typesetting"/>
                <w:sz w:val="28"/>
                <w:szCs w:val="28"/>
                <w:rtl/>
                <w:lang w:bidi="ar-EG"/>
              </w:rPr>
              <w:tab/>
            </w:r>
            <w:r w:rsidR="005F1D87" w:rsidRPr="00E22B27">
              <w:rPr>
                <w:rFonts w:ascii="Arabic Typesetting" w:hAnsi="Arabic Typesetting" w:cs="Arabic Typesetting"/>
                <w:i/>
                <w:iCs/>
                <w:sz w:val="28"/>
                <w:szCs w:val="28"/>
                <w:rtl/>
                <w:lang w:bidi="ar-EG"/>
              </w:rPr>
              <w:t>خدمات خاصة</w:t>
            </w:r>
          </w:p>
        </w:tc>
        <w:tc>
          <w:tcPr>
            <w:tcW w:w="1796" w:type="dxa"/>
          </w:tcPr>
          <w:p w:rsidR="000D48CA" w:rsidRPr="00E22B27" w:rsidRDefault="000D48CA" w:rsidP="009422A7">
            <w:pPr>
              <w:keepNext/>
              <w:bidi/>
              <w:spacing w:before="240"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keepNext/>
              <w:bidi/>
              <w:spacing w:before="240" w:after="120" w:line="280" w:lineRule="exact"/>
              <w:rPr>
                <w:rFonts w:ascii="Arabic Typesetting" w:hAnsi="Arabic Typesetting" w:cs="Arabic Typesetting"/>
                <w:sz w:val="28"/>
                <w:szCs w:val="28"/>
                <w:rtl/>
                <w:lang w:bidi="ar-EG"/>
              </w:rPr>
            </w:pPr>
          </w:p>
        </w:tc>
      </w:tr>
      <w:tr w:rsidR="000D48CA" w:rsidRPr="00E22B27" w:rsidTr="005F1D87">
        <w:trPr>
          <w:cantSplit/>
        </w:trPr>
        <w:tc>
          <w:tcPr>
            <w:tcW w:w="5414" w:type="dxa"/>
          </w:tcPr>
          <w:p w:rsidR="000D48CA" w:rsidRPr="00E22B27" w:rsidRDefault="000D48CA" w:rsidP="009422A7">
            <w:pPr>
              <w:bidi/>
              <w:spacing w:after="120" w:line="280" w:lineRule="exact"/>
              <w:ind w:left="567"/>
              <w:rPr>
                <w:rFonts w:ascii="Arabic Typesetting" w:hAnsi="Arabic Typesetting" w:cs="Arabic Typesetting"/>
                <w:sz w:val="28"/>
                <w:szCs w:val="28"/>
                <w:rtl/>
                <w:lang w:bidi="ar-EG"/>
              </w:rPr>
            </w:pPr>
            <w:r w:rsidRPr="00E22B27">
              <w:rPr>
                <w:rFonts w:ascii="Arabic Typesetting" w:hAnsi="Arabic Typesetting" w:cs="Arabic Typesetting"/>
                <w:sz w:val="28"/>
                <w:szCs w:val="28"/>
                <w:rtl/>
                <w:lang w:bidi="ar-EG"/>
              </w:rPr>
              <w:t>يجوز للمكتب الدولي أن يحصّل رسماً يحدد مقداره بنفسه عن العمليات التي يباشرها على عجل، وكذلك عن الخدمات التي لا يشملها جدول الرسوم.</w:t>
            </w:r>
          </w:p>
        </w:tc>
        <w:tc>
          <w:tcPr>
            <w:tcW w:w="1796"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c>
          <w:tcPr>
            <w:tcW w:w="1777" w:type="dxa"/>
          </w:tcPr>
          <w:p w:rsidR="000D48CA" w:rsidRPr="00E22B27" w:rsidRDefault="000D48CA" w:rsidP="009422A7">
            <w:pPr>
              <w:bidi/>
              <w:spacing w:after="120" w:line="280" w:lineRule="exact"/>
              <w:rPr>
                <w:rFonts w:ascii="Arabic Typesetting" w:hAnsi="Arabic Typesetting" w:cs="Arabic Typesetting"/>
                <w:sz w:val="28"/>
                <w:szCs w:val="28"/>
                <w:rtl/>
                <w:lang w:bidi="ar-EG"/>
              </w:rPr>
            </w:pPr>
          </w:p>
        </w:tc>
      </w:tr>
    </w:tbl>
    <w:p w:rsidR="003C1838" w:rsidRPr="00E22B27" w:rsidRDefault="005F1D87" w:rsidP="009422A7">
      <w:pPr>
        <w:pStyle w:val="EndofDocumentAR"/>
        <w:spacing w:before="480"/>
      </w:pPr>
      <w:r w:rsidRPr="00E22B27">
        <w:rPr>
          <w:rFonts w:hint="cs"/>
          <w:rtl/>
        </w:rPr>
        <w:t>[نهاية المرفق الرابع، يلي ذلك المرفق الخامس]</w:t>
      </w:r>
    </w:p>
    <w:p w:rsidR="003C1838" w:rsidRPr="00E22B27" w:rsidRDefault="003C1838" w:rsidP="009422A7">
      <w:pPr>
        <w:pStyle w:val="tab1"/>
        <w:tabs>
          <w:tab w:val="clear" w:pos="567"/>
          <w:tab w:val="clear" w:pos="1004"/>
          <w:tab w:val="clear" w:pos="8080"/>
          <w:tab w:val="left" w:pos="1418"/>
          <w:tab w:val="right" w:pos="9355"/>
        </w:tabs>
        <w:bidi/>
        <w:ind w:left="567" w:right="1275"/>
        <w:jc w:val="both"/>
        <w:rPr>
          <w:rFonts w:ascii="Arial" w:hAnsi="Arial" w:cs="Arial"/>
          <w:sz w:val="20"/>
        </w:rPr>
      </w:pPr>
    </w:p>
    <w:p w:rsidR="003C1838" w:rsidRPr="00E22B27" w:rsidRDefault="003C1838" w:rsidP="009422A7">
      <w:pPr>
        <w:bidi/>
        <w:rPr>
          <w:sz w:val="20"/>
          <w:lang w:eastAsia="ja-JP"/>
        </w:rPr>
        <w:sectPr w:rsidR="003C1838" w:rsidRPr="00E22B27" w:rsidSect="00A4480C">
          <w:headerReference w:type="default" r:id="rId28"/>
          <w:headerReference w:type="first" r:id="rId29"/>
          <w:endnotePr>
            <w:numFmt w:val="decimal"/>
          </w:endnotePr>
          <w:pgSz w:w="11907" w:h="16840"/>
          <w:pgMar w:top="567" w:right="1134" w:bottom="1418" w:left="1418" w:header="510" w:footer="1021" w:gutter="0"/>
          <w:pgNumType w:start="1"/>
          <w:cols w:space="720"/>
          <w:titlePg/>
          <w:docGrid w:linePitch="299"/>
        </w:sectPr>
      </w:pPr>
    </w:p>
    <w:p w:rsidR="000E2730" w:rsidRPr="00E22B27" w:rsidRDefault="00F30A5C" w:rsidP="009422A7">
      <w:pPr>
        <w:pStyle w:val="Heading1AR"/>
        <w:spacing w:before="0" w:after="240" w:line="360" w:lineRule="exact"/>
        <w:rPr>
          <w:rtl/>
        </w:rPr>
      </w:pPr>
      <w:r w:rsidRPr="00E22B27">
        <w:rPr>
          <w:rFonts w:hint="cs"/>
          <w:rtl/>
        </w:rPr>
        <w:lastRenderedPageBreak/>
        <w:t>الرسوم الفردية بموجب بروتوكول مدريد</w:t>
      </w:r>
    </w:p>
    <w:p w:rsidR="00F30A5C" w:rsidRPr="00E22B27" w:rsidRDefault="00F30A5C" w:rsidP="009422A7">
      <w:pPr>
        <w:pStyle w:val="NormalParaAR"/>
        <w:keepNext/>
        <w:rPr>
          <w:rtl/>
        </w:rPr>
      </w:pPr>
      <w:r w:rsidRPr="00E22B27">
        <w:rPr>
          <w:rFonts w:hint="cs"/>
          <w:rtl/>
        </w:rPr>
        <w:t xml:space="preserve">(بالفرنكات السويسرية </w:t>
      </w:r>
      <w:r w:rsidR="0077628C">
        <w:rPr>
          <w:rFonts w:hint="cs"/>
          <w:rtl/>
        </w:rPr>
        <w:noBreakHyphen/>
      </w:r>
      <w:r w:rsidRPr="00E22B27">
        <w:rPr>
          <w:rFonts w:hint="cs"/>
          <w:rtl/>
        </w:rPr>
        <w:t xml:space="preserve"> </w:t>
      </w:r>
      <w:r w:rsidRPr="00E22B27">
        <w:rPr>
          <w:rtl/>
        </w:rPr>
        <w:t xml:space="preserve">الوضع في </w:t>
      </w:r>
      <w:r w:rsidRPr="00E22B27">
        <w:rPr>
          <w:rFonts w:hint="cs"/>
          <w:rtl/>
        </w:rPr>
        <w:t>12 يوليو 2014)</w:t>
      </w:r>
    </w:p>
    <w:p w:rsidR="00F30A5C" w:rsidRPr="00E22B27" w:rsidRDefault="00F30A5C" w:rsidP="009422A7">
      <w:pPr>
        <w:pStyle w:val="NormalParaAR"/>
        <w:keepNext/>
        <w:rPr>
          <w:u w:val="single"/>
          <w:rtl/>
        </w:rPr>
      </w:pPr>
      <w:r w:rsidRPr="00E22B27">
        <w:rPr>
          <w:rFonts w:hint="cs"/>
          <w:u w:val="single"/>
          <w:rtl/>
        </w:rPr>
        <w:t xml:space="preserve">الرسوم التالية واجبة السداد عوضاً عن الرسوم التكميلية عندما تعيَّن الأطراف المتعاقدة المذكورة أدناه بموجب البروتوكول (انظر </w:t>
      </w:r>
      <w:r w:rsidR="00450110" w:rsidRPr="00E22B27">
        <w:rPr>
          <w:rFonts w:hint="cs"/>
          <w:u w:val="single"/>
          <w:rtl/>
        </w:rPr>
        <w:t>البنود</w:t>
      </w:r>
      <w:r w:rsidR="00450110" w:rsidRPr="00E22B27">
        <w:rPr>
          <w:u w:val="single"/>
          <w:rtl/>
        </w:rPr>
        <w:t> </w:t>
      </w:r>
      <w:r w:rsidRPr="00E22B27">
        <w:rPr>
          <w:rFonts w:hint="cs"/>
          <w:u w:val="single"/>
          <w:rtl/>
        </w:rPr>
        <w:t>4.2 و4.3 و3.5 و4.6 من جدول الرسوم بموجب اللائحة التنفيذية)</w:t>
      </w:r>
      <w:r w:rsidRPr="00E22B27">
        <w:rPr>
          <w:rFonts w:hint="cs"/>
          <w:rtl/>
        </w:rPr>
        <w:t>:</w:t>
      </w:r>
    </w:p>
    <w:p w:rsidR="003C1838" w:rsidRPr="00E22B27" w:rsidRDefault="00F30A5C" w:rsidP="009422A7">
      <w:pPr>
        <w:pStyle w:val="NormalParaAR"/>
        <w:keepNext/>
        <w:rPr>
          <w:i/>
          <w:iCs/>
        </w:rPr>
      </w:pPr>
      <w:r w:rsidRPr="00E22B27">
        <w:rPr>
          <w:rFonts w:hint="cs"/>
          <w:i/>
          <w:iCs/>
          <w:rtl/>
        </w:rPr>
        <w:t>1.</w:t>
      </w:r>
      <w:r w:rsidRPr="00E22B27">
        <w:rPr>
          <w:rFonts w:hint="cs"/>
          <w:i/>
          <w:iCs/>
          <w:rtl/>
        </w:rPr>
        <w:tab/>
        <w:t xml:space="preserve">التعيينات المقدمة في الطلب الدولي </w:t>
      </w:r>
      <w:r w:rsidR="00450110" w:rsidRPr="00E22B27">
        <w:rPr>
          <w:rFonts w:hint="cs"/>
          <w:i/>
          <w:iCs/>
          <w:rtl/>
        </w:rPr>
        <w:t>أو</w:t>
      </w:r>
      <w:r w:rsidR="00450110" w:rsidRPr="00E22B27">
        <w:rPr>
          <w:i/>
          <w:iCs/>
          <w:rtl/>
        </w:rPr>
        <w:t> </w:t>
      </w:r>
      <w:r w:rsidRPr="00E22B27">
        <w:rPr>
          <w:rFonts w:hint="cs"/>
          <w:i/>
          <w:iCs/>
          <w:rtl/>
        </w:rPr>
        <w:t>اللاحقة للتسجيل الدولي</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681"/>
        <w:gridCol w:w="5678"/>
      </w:tblGrid>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أرمينيا</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line="360" w:lineRule="exact"/>
              <w:contextualSpacing/>
              <w:jc w:val="right"/>
              <w:rPr>
                <w:rFonts w:ascii="Arabic Typesetting" w:hAnsi="Arabic Typesetting" w:cs="Arabic Typesetting"/>
                <w:sz w:val="28"/>
                <w:szCs w:val="28"/>
                <w:rtl/>
              </w:rPr>
            </w:pPr>
            <w:r w:rsidRPr="00A4480C">
              <w:rPr>
                <w:rFonts w:ascii="Arabic Typesetting" w:hAnsi="Arabic Typesetting" w:cs="Arabic Typesetting"/>
                <w:sz w:val="28"/>
                <w:szCs w:val="28"/>
              </w:rPr>
              <w:t>221</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22</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أستراليا</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357</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 xml:space="preserve">عن كل فئة من السلع </w:t>
            </w:r>
            <w:r w:rsidR="00450110" w:rsidRPr="00A4480C">
              <w:rPr>
                <w:rFonts w:ascii="Arabic Typesetting" w:hAnsi="Arabic Typesetting" w:cs="Arabic Typesetting"/>
                <w:sz w:val="28"/>
                <w:szCs w:val="28"/>
                <w:rtl/>
              </w:rPr>
              <w:t>أو </w:t>
            </w:r>
            <w:r w:rsidRPr="00A4480C">
              <w:rPr>
                <w:rFonts w:ascii="Arabic Typesetting" w:hAnsi="Arabic Typesetting" w:cs="Arabic Typesetting"/>
                <w:sz w:val="28"/>
                <w:szCs w:val="28"/>
                <w:rtl/>
              </w:rPr>
              <w:t>الخدمات</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البحرين</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274</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274</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 xml:space="preserve">عندما تكون العلامة علامة جماعية </w:t>
            </w:r>
            <w:r w:rsidR="00450110" w:rsidRPr="00A4480C">
              <w:rPr>
                <w:rFonts w:ascii="Arabic Typesetting" w:hAnsi="Arabic Typesetting" w:cs="Arabic Typesetting"/>
                <w:i/>
                <w:iCs/>
                <w:sz w:val="28"/>
                <w:szCs w:val="28"/>
                <w:rtl/>
              </w:rPr>
              <w:t>أو </w:t>
            </w:r>
            <w:r w:rsidRPr="00A4480C">
              <w:rPr>
                <w:rFonts w:ascii="Arabic Typesetting" w:hAnsi="Arabic Typesetting" w:cs="Arabic Typesetting"/>
                <w:i/>
                <w:iCs/>
                <w:sz w:val="28"/>
                <w:szCs w:val="28"/>
                <w:rtl/>
              </w:rPr>
              <w:t>علامة تصديق</w:t>
            </w:r>
            <w:r w:rsidRPr="00A4480C">
              <w:rPr>
                <w:rFonts w:ascii="Arabic Typesetting" w:hAnsi="Arabic Typesetting" w:cs="Arabic Typesetting"/>
                <w:i/>
                <w:iCs/>
                <w:sz w:val="28"/>
                <w:szCs w:val="28"/>
              </w:rPr>
              <w:t>:</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297</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297</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بيلاروس</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600</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50</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ثلاث فئات</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بنيلوكس</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211</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21</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ثلاث فئات</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عندما تكون العلامة علامة جماعية</w:t>
            </w:r>
            <w:r w:rsidRPr="00A4480C">
              <w:rPr>
                <w:rFonts w:ascii="Arabic Typesetting" w:hAnsi="Arabic Typesetting" w:cs="Arabic Typesetting"/>
                <w:i/>
                <w:iCs/>
                <w:sz w:val="28"/>
                <w:szCs w:val="28"/>
              </w:rPr>
              <w:t>:</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301</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21</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ثلاث فئات</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بونير، سانت أوستاتيوس وسابا</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195</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20</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ثلاث فئات</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عندما تكون العلامة علامة جماعية</w:t>
            </w:r>
            <w:r w:rsidRPr="00A4480C">
              <w:rPr>
                <w:rFonts w:ascii="Arabic Typesetting" w:hAnsi="Arabic Typesetting" w:cs="Arabic Typesetting"/>
                <w:i/>
                <w:iCs/>
                <w:sz w:val="28"/>
                <w:szCs w:val="28"/>
              </w:rPr>
              <w:t>:</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279</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20</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ثلاث فئات</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بلغاريا</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376</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25</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ثلاث فئات</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B80828">
            <w:pPr>
              <w:keepNext/>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B80828">
            <w:pPr>
              <w:keepNext/>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 xml:space="preserve">عندما تكون العلامة علامة جماعية </w:t>
            </w:r>
            <w:r w:rsidR="00450110" w:rsidRPr="00A4480C">
              <w:rPr>
                <w:rFonts w:ascii="Arabic Typesetting" w:hAnsi="Arabic Typesetting" w:cs="Arabic Typesetting"/>
                <w:i/>
                <w:iCs/>
                <w:sz w:val="28"/>
                <w:szCs w:val="28"/>
                <w:rtl/>
              </w:rPr>
              <w:t>أو </w:t>
            </w:r>
            <w:r w:rsidRPr="00A4480C">
              <w:rPr>
                <w:rFonts w:ascii="Arabic Typesetting" w:hAnsi="Arabic Typesetting" w:cs="Arabic Typesetting"/>
                <w:i/>
                <w:iCs/>
                <w:sz w:val="28"/>
                <w:szCs w:val="28"/>
                <w:rtl/>
              </w:rPr>
              <w:t>علامة تصديق</w:t>
            </w:r>
            <w:r w:rsidRPr="00A4480C">
              <w:rPr>
                <w:rFonts w:ascii="Arabic Typesetting" w:hAnsi="Arabic Typesetting" w:cs="Arabic Typesetting"/>
                <w:i/>
                <w:iCs/>
                <w:sz w:val="28"/>
                <w:szCs w:val="28"/>
              </w:rPr>
              <w:t>:</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683</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62</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ثلاث فئات</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الصين</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249</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125</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B80828">
            <w:pPr>
              <w:keepNext/>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B80828">
            <w:pPr>
              <w:keepNext/>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عندما تكون العلامة علامة جماعية</w:t>
            </w:r>
            <w:r w:rsidRPr="00A4480C">
              <w:rPr>
                <w:rFonts w:ascii="Arabic Typesetting" w:hAnsi="Arabic Typesetting" w:cs="Arabic Typesetting"/>
                <w:i/>
                <w:iCs/>
                <w:sz w:val="28"/>
                <w:szCs w:val="28"/>
              </w:rPr>
              <w:t>:</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747</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374</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كولومبيا</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365</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182</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 xml:space="preserve">عندما تكون العلامة علامة جماعية </w:t>
            </w:r>
            <w:r w:rsidR="00450110" w:rsidRPr="00A4480C">
              <w:rPr>
                <w:rFonts w:ascii="Arabic Typesetting" w:hAnsi="Arabic Typesetting" w:cs="Arabic Typesetting"/>
                <w:i/>
                <w:iCs/>
                <w:sz w:val="28"/>
                <w:szCs w:val="28"/>
                <w:rtl/>
              </w:rPr>
              <w:t>أو </w:t>
            </w:r>
            <w:r w:rsidRPr="00A4480C">
              <w:rPr>
                <w:rFonts w:ascii="Arabic Typesetting" w:hAnsi="Arabic Typesetting" w:cs="Arabic Typesetting"/>
                <w:i/>
                <w:iCs/>
                <w:sz w:val="28"/>
                <w:szCs w:val="28"/>
                <w:rtl/>
              </w:rPr>
              <w:t>علامة تصديق</w:t>
            </w:r>
            <w:r w:rsidRPr="00A4480C">
              <w:rPr>
                <w:rFonts w:ascii="Arabic Typesetting" w:hAnsi="Arabic Typesetting" w:cs="Arabic Typesetting"/>
                <w:i/>
                <w:iCs/>
                <w:sz w:val="28"/>
                <w:szCs w:val="28"/>
              </w:rPr>
              <w:t>:</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486</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243</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br w:type="page"/>
            </w:r>
            <w:r w:rsidR="009422A7" w:rsidRPr="00A4480C">
              <w:rPr>
                <w:rFonts w:ascii="Arabic Typesetting" w:hAnsi="Arabic Typesetting" w:cs="Arabic Typesetting"/>
                <w:sz w:val="28"/>
                <w:szCs w:val="28"/>
                <w:rtl/>
              </w:rPr>
              <w:t>كوبا</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الجزء الأول</w:t>
            </w:r>
            <w:r w:rsidRPr="00A4480C">
              <w:rPr>
                <w:rFonts w:ascii="Arabic Typesetting" w:hAnsi="Arabic Typesetting" w:cs="Arabic Typesetting"/>
                <w:i/>
                <w:iCs/>
                <w:sz w:val="28"/>
                <w:szCs w:val="28"/>
              </w:rPr>
              <w:t>:</w:t>
            </w:r>
          </w:p>
        </w:tc>
      </w:tr>
      <w:tr w:rsidR="003C1838" w:rsidRPr="00A4480C" w:rsidTr="00F30A5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1838" w:rsidRPr="00A4480C" w:rsidRDefault="003C1838" w:rsidP="009422A7">
            <w:pPr>
              <w:bidi/>
              <w:spacing w:line="360" w:lineRule="exact"/>
              <w:contextualSpacing/>
              <w:rPr>
                <w:rFonts w:ascii="Arabic Typesetting" w:eastAsia="SimSun" w:hAnsi="Arabic Typesetting" w:cs="Arabic Typesetting"/>
                <w:sz w:val="28"/>
                <w:szCs w:val="28"/>
                <w:lang w:eastAsia="zh-CN"/>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274</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91</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ثلاث فئات</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عندما تكون العلامة علامة جماعية</w:t>
            </w:r>
            <w:r w:rsidRPr="00A4480C">
              <w:rPr>
                <w:rFonts w:ascii="Arabic Typesetting" w:hAnsi="Arabic Typesetting" w:cs="Arabic Typesetting"/>
                <w:i/>
                <w:iCs/>
                <w:sz w:val="28"/>
                <w:szCs w:val="28"/>
              </w:rPr>
              <w:t>:</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320</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91</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ثلاث فئات</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الجزء الثاني</w:t>
            </w:r>
            <w:r w:rsidRPr="00A4480C">
              <w:rPr>
                <w:rFonts w:ascii="Arabic Typesetting" w:hAnsi="Arabic Typesetting" w:cs="Arabic Typesetting"/>
                <w:i/>
                <w:iCs/>
                <w:sz w:val="28"/>
                <w:szCs w:val="28"/>
              </w:rPr>
              <w:t>:</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82</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بغض النظر عن عدد الفئات</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عندما تكون العلامة علامة جماعية</w:t>
            </w:r>
            <w:r w:rsidRPr="00A4480C">
              <w:rPr>
                <w:rFonts w:ascii="Arabic Typesetting" w:hAnsi="Arabic Typesetting" w:cs="Arabic Typesetting"/>
                <w:i/>
                <w:iCs/>
                <w:sz w:val="28"/>
                <w:szCs w:val="28"/>
              </w:rPr>
              <w:t>:</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82</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بغض النظر عن عدد الفئات</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كوراساو</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272</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28</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ثلاث فئات</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عندما تكون العلامة علامة جماعية</w:t>
            </w:r>
            <w:r w:rsidRPr="00A4480C">
              <w:rPr>
                <w:rFonts w:ascii="Arabic Typesetting" w:hAnsi="Arabic Typesetting" w:cs="Arabic Typesetting"/>
                <w:i/>
                <w:iCs/>
                <w:sz w:val="28"/>
                <w:szCs w:val="28"/>
              </w:rPr>
              <w:t>:</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540</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55</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ثلاث فئات</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الدانمرك</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419</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107</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ثلاث فئات</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إستونيا</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176</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56</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عندما تكون العلامة علامة جماعية</w:t>
            </w:r>
            <w:r w:rsidRPr="00A4480C">
              <w:rPr>
                <w:rFonts w:ascii="Arabic Typesetting" w:hAnsi="Arabic Typesetting" w:cs="Arabic Typesetting"/>
                <w:i/>
                <w:iCs/>
                <w:sz w:val="28"/>
                <w:szCs w:val="28"/>
              </w:rPr>
              <w:t>:</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240</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56</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الاتحاد الأوروبي</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1111</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192</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ثلاث فئات</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عندما تكون العلامة علامة جماعية</w:t>
            </w:r>
            <w:r w:rsidRPr="00A4480C">
              <w:rPr>
                <w:rFonts w:ascii="Arabic Typesetting" w:hAnsi="Arabic Typesetting" w:cs="Arabic Typesetting"/>
                <w:i/>
                <w:iCs/>
                <w:sz w:val="28"/>
                <w:szCs w:val="28"/>
              </w:rPr>
              <w:t>:</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2070</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383</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ثلاث فئات</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lastRenderedPageBreak/>
              <w:t>فنلندا</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263</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98</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عندما تكون العلامة علامة جماعية</w:t>
            </w:r>
            <w:r w:rsidRPr="00A4480C">
              <w:rPr>
                <w:rFonts w:ascii="Arabic Typesetting" w:hAnsi="Arabic Typesetting" w:cs="Arabic Typesetting"/>
                <w:i/>
                <w:iCs/>
                <w:sz w:val="28"/>
                <w:szCs w:val="28"/>
              </w:rPr>
              <w:t>:</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355</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98</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جورجيا</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314</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115</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غانا</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الجزء الأول</w:t>
            </w:r>
            <w:r w:rsidRPr="00A4480C">
              <w:rPr>
                <w:rFonts w:ascii="Arabic Typesetting" w:hAnsi="Arabic Typesetting" w:cs="Arabic Typesetting"/>
                <w:i/>
                <w:iCs/>
                <w:sz w:val="28"/>
                <w:szCs w:val="28"/>
              </w:rPr>
              <w:t>:</w:t>
            </w:r>
          </w:p>
        </w:tc>
      </w:tr>
      <w:tr w:rsidR="003C1838" w:rsidRPr="00A4480C" w:rsidTr="00F30A5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1838" w:rsidRPr="00A4480C" w:rsidRDefault="003C1838" w:rsidP="009422A7">
            <w:pPr>
              <w:bidi/>
              <w:spacing w:line="360" w:lineRule="exact"/>
              <w:contextualSpacing/>
              <w:rPr>
                <w:rFonts w:ascii="Arabic Typesetting" w:eastAsia="SimSun" w:hAnsi="Arabic Typesetting" w:cs="Arabic Typesetting"/>
                <w:sz w:val="28"/>
                <w:szCs w:val="28"/>
                <w:lang w:eastAsia="zh-CN"/>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129</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129</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الجزء الثاني</w:t>
            </w:r>
            <w:r w:rsidRPr="00A4480C">
              <w:rPr>
                <w:rFonts w:ascii="Arabic Typesetting" w:hAnsi="Arabic Typesetting" w:cs="Arabic Typesetting"/>
                <w:i/>
                <w:iCs/>
                <w:sz w:val="28"/>
                <w:szCs w:val="28"/>
              </w:rPr>
              <w:t>:</w:t>
            </w:r>
          </w:p>
        </w:tc>
      </w:tr>
      <w:tr w:rsidR="003C1838" w:rsidRPr="00A4480C" w:rsidTr="00F30A5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86</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86</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اليونان</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133</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24</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r w:rsidR="003C1838" w:rsidRPr="00A4480C">
              <w:rPr>
                <w:rFonts w:ascii="Arabic Typesetting" w:hAnsi="Arabic Typesetting" w:cs="Arabic Typesetting"/>
                <w:sz w:val="28"/>
                <w:szCs w:val="28"/>
              </w:rPr>
              <w:t xml:space="preserve"> </w:t>
            </w:r>
            <w:r w:rsidR="009422A7" w:rsidRPr="00A4480C">
              <w:rPr>
                <w:rFonts w:ascii="Arabic Typesetting" w:hAnsi="Arabic Typesetting" w:cs="Arabic Typesetting"/>
                <w:sz w:val="28"/>
                <w:szCs w:val="28"/>
                <w:rtl/>
              </w:rPr>
              <w:t>حتى الفئة العاشرة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عندما تكون العلامة علامة جماعية</w:t>
            </w:r>
            <w:r w:rsidRPr="00A4480C">
              <w:rPr>
                <w:rFonts w:ascii="Arabic Typesetting" w:hAnsi="Arabic Typesetting" w:cs="Arabic Typesetting"/>
                <w:i/>
                <w:iCs/>
                <w:sz w:val="28"/>
                <w:szCs w:val="28"/>
              </w:rPr>
              <w:t>:</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663</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120</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r w:rsidR="003C1838" w:rsidRPr="00A4480C">
              <w:rPr>
                <w:rFonts w:ascii="Arabic Typesetting" w:hAnsi="Arabic Typesetting" w:cs="Arabic Typesetting"/>
                <w:sz w:val="28"/>
                <w:szCs w:val="28"/>
              </w:rPr>
              <w:t xml:space="preserve"> </w:t>
            </w:r>
            <w:r w:rsidR="009422A7" w:rsidRPr="00A4480C">
              <w:rPr>
                <w:rFonts w:ascii="Arabic Typesetting" w:hAnsi="Arabic Typesetting" w:cs="Arabic Typesetting"/>
                <w:sz w:val="28"/>
                <w:szCs w:val="28"/>
                <w:rtl/>
              </w:rPr>
              <w:t>حتى الفئة العاشرة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إيسلندا</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180</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41</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عندما تكون العلامة علامة جماعية</w:t>
            </w:r>
            <w:r w:rsidRPr="00A4480C">
              <w:rPr>
                <w:rFonts w:ascii="Arabic Typesetting" w:hAnsi="Arabic Typesetting" w:cs="Arabic Typesetting"/>
                <w:i/>
                <w:iCs/>
                <w:sz w:val="28"/>
                <w:szCs w:val="28"/>
              </w:rPr>
              <w:t>:</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180</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41</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الهند</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51</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 xml:space="preserve">عن كل فئة من السلع </w:t>
            </w:r>
            <w:r w:rsidR="00450110" w:rsidRPr="00A4480C">
              <w:rPr>
                <w:rFonts w:ascii="Arabic Typesetting" w:hAnsi="Arabic Typesetting" w:cs="Arabic Typesetting"/>
                <w:sz w:val="28"/>
                <w:szCs w:val="28"/>
                <w:rtl/>
              </w:rPr>
              <w:t>أو </w:t>
            </w:r>
            <w:r w:rsidRPr="00A4480C">
              <w:rPr>
                <w:rFonts w:ascii="Arabic Typesetting" w:hAnsi="Arabic Typesetting" w:cs="Arabic Typesetting"/>
                <w:sz w:val="28"/>
                <w:szCs w:val="28"/>
                <w:rtl/>
              </w:rPr>
              <w:t>الخدمات</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 xml:space="preserve">عندما تكون العلامة علامة جماعية </w:t>
            </w:r>
            <w:r w:rsidR="00450110" w:rsidRPr="00A4480C">
              <w:rPr>
                <w:rFonts w:ascii="Arabic Typesetting" w:hAnsi="Arabic Typesetting" w:cs="Arabic Typesetting"/>
                <w:i/>
                <w:iCs/>
                <w:sz w:val="28"/>
                <w:szCs w:val="28"/>
                <w:rtl/>
              </w:rPr>
              <w:t>أو </w:t>
            </w:r>
            <w:r w:rsidRPr="00A4480C">
              <w:rPr>
                <w:rFonts w:ascii="Arabic Typesetting" w:hAnsi="Arabic Typesetting" w:cs="Arabic Typesetting"/>
                <w:i/>
                <w:iCs/>
                <w:sz w:val="28"/>
                <w:szCs w:val="28"/>
                <w:rtl/>
              </w:rPr>
              <w:t>علامة تصديق</w:t>
            </w:r>
            <w:r w:rsidRPr="00A4480C">
              <w:rPr>
                <w:rFonts w:ascii="Arabic Typesetting" w:hAnsi="Arabic Typesetting" w:cs="Arabic Typesetting"/>
                <w:i/>
                <w:iCs/>
                <w:sz w:val="28"/>
                <w:szCs w:val="28"/>
              </w:rPr>
              <w:t>:</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144</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 xml:space="preserve">عن كل فئة من السلع </w:t>
            </w:r>
            <w:r w:rsidR="00450110" w:rsidRPr="00A4480C">
              <w:rPr>
                <w:rFonts w:ascii="Arabic Typesetting" w:hAnsi="Arabic Typesetting" w:cs="Arabic Typesetting"/>
                <w:sz w:val="28"/>
                <w:szCs w:val="28"/>
                <w:rtl/>
              </w:rPr>
              <w:t>أو </w:t>
            </w:r>
            <w:r w:rsidRPr="00A4480C">
              <w:rPr>
                <w:rFonts w:ascii="Arabic Typesetting" w:hAnsi="Arabic Typesetting" w:cs="Arabic Typesetting"/>
                <w:sz w:val="28"/>
                <w:szCs w:val="28"/>
                <w:rtl/>
              </w:rPr>
              <w:t>الخدمات</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إيرلندا</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325</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93</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إسرائيل</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415</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312</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إيطاليا</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121</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41</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عندما تكون العلامة علامة جماعية</w:t>
            </w:r>
            <w:r w:rsidRPr="00A4480C">
              <w:rPr>
                <w:rFonts w:ascii="Arabic Typesetting" w:hAnsi="Arabic Typesetting" w:cs="Arabic Typesetting"/>
                <w:i/>
                <w:iCs/>
                <w:sz w:val="28"/>
                <w:szCs w:val="28"/>
              </w:rPr>
              <w:t>:</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403</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بغض النظر عن عدد الفئات</w:t>
            </w:r>
          </w:p>
        </w:tc>
      </w:tr>
      <w:tr w:rsidR="003C1838" w:rsidRPr="00A4480C" w:rsidTr="00F30A5C">
        <w:trPr>
          <w:cantSplit/>
        </w:trPr>
        <w:tc>
          <w:tcPr>
            <w:tcW w:w="3154" w:type="dxa"/>
            <w:vMerge w:val="restart"/>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اليابان</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الجزء الأول</w:t>
            </w:r>
            <w:r w:rsidRPr="00A4480C">
              <w:rPr>
                <w:rFonts w:ascii="Arabic Typesetting" w:hAnsi="Arabic Typesetting" w:cs="Arabic Typesetting"/>
                <w:i/>
                <w:iCs/>
                <w:sz w:val="28"/>
                <w:szCs w:val="28"/>
              </w:rPr>
              <w:t>:</w:t>
            </w:r>
          </w:p>
        </w:tc>
      </w:tr>
      <w:tr w:rsidR="003C1838" w:rsidRPr="00A4480C" w:rsidTr="00F30A5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1838" w:rsidRPr="00A4480C" w:rsidRDefault="003C1838" w:rsidP="009422A7">
            <w:pPr>
              <w:bidi/>
              <w:spacing w:line="360" w:lineRule="exact"/>
              <w:contextualSpacing/>
              <w:rPr>
                <w:rFonts w:ascii="Arabic Typesetting" w:eastAsia="SimSun" w:hAnsi="Arabic Typesetting" w:cs="Arabic Typesetting"/>
                <w:sz w:val="28"/>
                <w:szCs w:val="28"/>
                <w:lang w:eastAsia="zh-CN"/>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99</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75</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الجزء الثاني</w:t>
            </w:r>
            <w:r w:rsidRPr="00A4480C">
              <w:rPr>
                <w:rFonts w:ascii="Arabic Typesetting" w:hAnsi="Arabic Typesetting" w:cs="Arabic Typesetting"/>
                <w:i/>
                <w:iCs/>
                <w:sz w:val="28"/>
                <w:szCs w:val="28"/>
              </w:rPr>
              <w:t>:</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328</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 xml:space="preserve">عن كل فئة من السلع </w:t>
            </w:r>
            <w:r w:rsidR="00450110" w:rsidRPr="00A4480C">
              <w:rPr>
                <w:rFonts w:ascii="Arabic Typesetting" w:hAnsi="Arabic Typesetting" w:cs="Arabic Typesetting"/>
                <w:sz w:val="28"/>
                <w:szCs w:val="28"/>
                <w:rtl/>
              </w:rPr>
              <w:t>أو </w:t>
            </w:r>
            <w:r w:rsidRPr="00A4480C">
              <w:rPr>
                <w:rFonts w:ascii="Arabic Typesetting" w:hAnsi="Arabic Typesetting" w:cs="Arabic Typesetting"/>
                <w:sz w:val="28"/>
                <w:szCs w:val="28"/>
                <w:rtl/>
              </w:rPr>
              <w:t>الخدمات</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كينيا</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312</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223</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 xml:space="preserve">عندما تكون العلامة علامة جماعية </w:t>
            </w:r>
            <w:r w:rsidR="00450110" w:rsidRPr="00A4480C">
              <w:rPr>
                <w:rFonts w:ascii="Arabic Typesetting" w:hAnsi="Arabic Typesetting" w:cs="Arabic Typesetting"/>
                <w:i/>
                <w:iCs/>
                <w:sz w:val="28"/>
                <w:szCs w:val="28"/>
                <w:rtl/>
              </w:rPr>
              <w:t>أو </w:t>
            </w:r>
            <w:r w:rsidRPr="00A4480C">
              <w:rPr>
                <w:rFonts w:ascii="Arabic Typesetting" w:hAnsi="Arabic Typesetting" w:cs="Arabic Typesetting"/>
                <w:i/>
                <w:iCs/>
                <w:sz w:val="28"/>
                <w:szCs w:val="28"/>
                <w:rtl/>
              </w:rPr>
              <w:t>علامة تصديق</w:t>
            </w:r>
            <w:r w:rsidRPr="00A4480C">
              <w:rPr>
                <w:rFonts w:ascii="Arabic Typesetting" w:hAnsi="Arabic Typesetting" w:cs="Arabic Typesetting"/>
                <w:i/>
                <w:iCs/>
                <w:sz w:val="28"/>
                <w:szCs w:val="28"/>
              </w:rPr>
              <w:t>:</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312</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223</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قيرغيزستان</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340</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160</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المكسيك</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193</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 xml:space="preserve">عن كل فئة من السلع </w:t>
            </w:r>
            <w:r w:rsidR="00450110" w:rsidRPr="00A4480C">
              <w:rPr>
                <w:rFonts w:ascii="Arabic Typesetting" w:hAnsi="Arabic Typesetting" w:cs="Arabic Typesetting"/>
                <w:sz w:val="28"/>
                <w:szCs w:val="28"/>
                <w:rtl/>
              </w:rPr>
              <w:t>أو </w:t>
            </w:r>
            <w:r w:rsidRPr="00A4480C">
              <w:rPr>
                <w:rFonts w:ascii="Arabic Typesetting" w:hAnsi="Arabic Typesetting" w:cs="Arabic Typesetting"/>
                <w:sz w:val="28"/>
                <w:szCs w:val="28"/>
                <w:rtl/>
              </w:rPr>
              <w:t>الخدمات</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نيوزيلندا</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115</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 xml:space="preserve">عن كل فئة من السلع </w:t>
            </w:r>
            <w:r w:rsidR="00450110" w:rsidRPr="00A4480C">
              <w:rPr>
                <w:rFonts w:ascii="Arabic Typesetting" w:hAnsi="Arabic Typesetting" w:cs="Arabic Typesetting"/>
                <w:sz w:val="28"/>
                <w:szCs w:val="28"/>
                <w:rtl/>
              </w:rPr>
              <w:t>أو </w:t>
            </w:r>
            <w:r w:rsidRPr="00A4480C">
              <w:rPr>
                <w:rFonts w:ascii="Arabic Typesetting" w:hAnsi="Arabic Typesetting" w:cs="Arabic Typesetting"/>
                <w:sz w:val="28"/>
                <w:szCs w:val="28"/>
                <w:rtl/>
              </w:rPr>
              <w:t>الخدمات</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النرويج</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340</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96</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ثلاث فئات</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عندما تكون العلامة علامة جماعية</w:t>
            </w:r>
            <w:r w:rsidRPr="00A4480C">
              <w:rPr>
                <w:rFonts w:ascii="Arabic Typesetting" w:hAnsi="Arabic Typesetting" w:cs="Arabic Typesetting"/>
                <w:i/>
                <w:iCs/>
                <w:sz w:val="28"/>
                <w:szCs w:val="28"/>
              </w:rPr>
              <w:t>:</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340</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96</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ثلاث فئات</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عمان</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484</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484</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 xml:space="preserve">عندما تكون العلامة علامة جماعية </w:t>
            </w:r>
            <w:r w:rsidR="00450110" w:rsidRPr="00A4480C">
              <w:rPr>
                <w:rFonts w:ascii="Arabic Typesetting" w:hAnsi="Arabic Typesetting" w:cs="Arabic Typesetting"/>
                <w:i/>
                <w:iCs/>
                <w:sz w:val="28"/>
                <w:szCs w:val="28"/>
                <w:rtl/>
              </w:rPr>
              <w:t>أو </w:t>
            </w:r>
            <w:r w:rsidRPr="00A4480C">
              <w:rPr>
                <w:rFonts w:ascii="Arabic Typesetting" w:hAnsi="Arabic Typesetting" w:cs="Arabic Typesetting"/>
                <w:i/>
                <w:iCs/>
                <w:sz w:val="28"/>
                <w:szCs w:val="28"/>
                <w:rtl/>
              </w:rPr>
              <w:t>علامة تصديق</w:t>
            </w:r>
            <w:r w:rsidRPr="00A4480C">
              <w:rPr>
                <w:rFonts w:ascii="Arabic Typesetting" w:hAnsi="Arabic Typesetting" w:cs="Arabic Typesetting"/>
                <w:i/>
                <w:iCs/>
                <w:sz w:val="28"/>
                <w:szCs w:val="28"/>
              </w:rPr>
              <w:t>:</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1211</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1211</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الفلبين</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95</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 xml:space="preserve">عن كل فئة من السلع </w:t>
            </w:r>
            <w:r w:rsidR="00450110" w:rsidRPr="00A4480C">
              <w:rPr>
                <w:rFonts w:ascii="Arabic Typesetting" w:hAnsi="Arabic Typesetting" w:cs="Arabic Typesetting"/>
                <w:sz w:val="28"/>
                <w:szCs w:val="28"/>
                <w:rtl/>
              </w:rPr>
              <w:t>أو </w:t>
            </w:r>
            <w:r w:rsidRPr="00A4480C">
              <w:rPr>
                <w:rFonts w:ascii="Arabic Typesetting" w:hAnsi="Arabic Typesetting" w:cs="Arabic Typesetting"/>
                <w:sz w:val="28"/>
                <w:szCs w:val="28"/>
                <w:rtl/>
              </w:rPr>
              <w:t>الخدمات</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جمهورية كوريا</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233</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 xml:space="preserve">عن كل فئة من السلع </w:t>
            </w:r>
            <w:r w:rsidR="00450110" w:rsidRPr="00A4480C">
              <w:rPr>
                <w:rFonts w:ascii="Arabic Typesetting" w:hAnsi="Arabic Typesetting" w:cs="Arabic Typesetting"/>
                <w:sz w:val="28"/>
                <w:szCs w:val="28"/>
                <w:rtl/>
              </w:rPr>
              <w:t>أو </w:t>
            </w:r>
            <w:r w:rsidRPr="00A4480C">
              <w:rPr>
                <w:rFonts w:ascii="Arabic Typesetting" w:hAnsi="Arabic Typesetting" w:cs="Arabic Typesetting"/>
                <w:sz w:val="28"/>
                <w:szCs w:val="28"/>
                <w:rtl/>
              </w:rPr>
              <w:t>الخدمات</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جمهورية مولدوفا</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307</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64</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عندما تكون العلامة علامة جماعية</w:t>
            </w:r>
            <w:r w:rsidRPr="00A4480C">
              <w:rPr>
                <w:rFonts w:ascii="Arabic Typesetting" w:hAnsi="Arabic Typesetting" w:cs="Arabic Typesetting"/>
                <w:i/>
                <w:iCs/>
                <w:sz w:val="28"/>
                <w:szCs w:val="28"/>
              </w:rPr>
              <w:t>:</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370</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64</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سان مارينو</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178</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47</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ثلاث فئات</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عندما تكون العلامة علامة جماعية</w:t>
            </w:r>
            <w:r w:rsidRPr="00A4480C">
              <w:rPr>
                <w:rFonts w:ascii="Arabic Typesetting" w:hAnsi="Arabic Typesetting" w:cs="Arabic Typesetting"/>
                <w:i/>
                <w:iCs/>
                <w:sz w:val="28"/>
                <w:szCs w:val="28"/>
              </w:rPr>
              <w:t>:</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320</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83</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ثلاث فئات</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سنغافورة</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272</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 xml:space="preserve">عن كل فئة من السلع </w:t>
            </w:r>
            <w:r w:rsidR="00450110" w:rsidRPr="00A4480C">
              <w:rPr>
                <w:rFonts w:ascii="Arabic Typesetting" w:hAnsi="Arabic Typesetting" w:cs="Arabic Typesetting"/>
                <w:sz w:val="28"/>
                <w:szCs w:val="28"/>
                <w:rtl/>
              </w:rPr>
              <w:t>أو </w:t>
            </w:r>
            <w:r w:rsidRPr="00A4480C">
              <w:rPr>
                <w:rFonts w:ascii="Arabic Typesetting" w:hAnsi="Arabic Typesetting" w:cs="Arabic Typesetting"/>
                <w:sz w:val="28"/>
                <w:szCs w:val="28"/>
                <w:rtl/>
              </w:rPr>
              <w:t>الخدمات</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lastRenderedPageBreak/>
              <w:t>السويد</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322</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126</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سويسرا</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450</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50</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ثلاث فئات</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الجمهورية العربية</w:t>
            </w:r>
            <w:r w:rsidR="00450110" w:rsidRPr="00A4480C">
              <w:rPr>
                <w:rFonts w:ascii="Arabic Typesetting" w:hAnsi="Arabic Typesetting" w:cs="Arabic Typesetting"/>
                <w:sz w:val="28"/>
                <w:szCs w:val="28"/>
                <w:rtl/>
              </w:rPr>
              <w:t xml:space="preserve"> </w:t>
            </w:r>
            <w:r w:rsidRPr="00A4480C">
              <w:rPr>
                <w:rFonts w:ascii="Arabic Typesetting" w:hAnsi="Arabic Typesetting" w:cs="Arabic Typesetting"/>
                <w:sz w:val="28"/>
                <w:szCs w:val="28"/>
                <w:rtl/>
              </w:rPr>
              <w:t>السورية</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116</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 xml:space="preserve">عن كل فئة من السلع </w:t>
            </w:r>
            <w:r w:rsidR="00450110" w:rsidRPr="00A4480C">
              <w:rPr>
                <w:rFonts w:ascii="Arabic Typesetting" w:hAnsi="Arabic Typesetting" w:cs="Arabic Typesetting"/>
                <w:sz w:val="28"/>
                <w:szCs w:val="28"/>
                <w:rtl/>
              </w:rPr>
              <w:t>أو </w:t>
            </w:r>
            <w:r w:rsidRPr="00A4480C">
              <w:rPr>
                <w:rFonts w:ascii="Arabic Typesetting" w:hAnsi="Arabic Typesetting" w:cs="Arabic Typesetting"/>
                <w:sz w:val="28"/>
                <w:szCs w:val="28"/>
                <w:rtl/>
              </w:rPr>
              <w:t>الخدمات</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طاجيكستان</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420</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16</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تونس</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155</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20</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تركيا</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207</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40</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تركمانستان</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178</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90</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أوكرانيا</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429</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86</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ثلاث فئات</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المملكة المتحدة</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262</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73</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الولايات المتحدة الأمريكية</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301</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301</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أوزبكستان</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1028</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103</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359"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i/>
                <w:iCs/>
                <w:sz w:val="28"/>
                <w:szCs w:val="28"/>
                <w:rtl/>
              </w:rPr>
              <w:t>عندما تكون العلامة علامة جماعية</w:t>
            </w:r>
            <w:r w:rsidRPr="00A4480C">
              <w:rPr>
                <w:rFonts w:ascii="Arabic Typesetting" w:hAnsi="Arabic Typesetting" w:cs="Arabic Typesetting"/>
                <w:i/>
                <w:iCs/>
                <w:sz w:val="28"/>
                <w:szCs w:val="28"/>
              </w:rPr>
              <w:t>:</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3C1838" w:rsidP="009422A7">
            <w:pPr>
              <w:bidi/>
              <w:spacing w:line="360" w:lineRule="exact"/>
              <w:contextualSpacing/>
              <w:rPr>
                <w:rFonts w:ascii="Arabic Typesetting" w:hAnsi="Arabic Typesetting" w:cs="Arabic Typesetting"/>
                <w:sz w:val="28"/>
                <w:szCs w:val="28"/>
              </w:rPr>
            </w:pP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1543</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154</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r w:rsidR="003C1838" w:rsidRPr="00A4480C" w:rsidTr="00F30A5C">
        <w:trPr>
          <w:cantSplit/>
        </w:trPr>
        <w:tc>
          <w:tcPr>
            <w:tcW w:w="3154"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3C1838" w:rsidRPr="00A4480C" w:rsidRDefault="009422A7"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فييت نام</w:t>
            </w:r>
          </w:p>
        </w:tc>
        <w:tc>
          <w:tcPr>
            <w:tcW w:w="681" w:type="dxa"/>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3C1838" w:rsidP="009422A7">
            <w:pPr>
              <w:bidi/>
              <w:spacing w:after="336" w:line="360" w:lineRule="exact"/>
              <w:contextualSpacing/>
              <w:jc w:val="right"/>
              <w:rPr>
                <w:rFonts w:ascii="Arabic Typesetting" w:hAnsi="Arabic Typesetting" w:cs="Arabic Typesetting"/>
                <w:sz w:val="28"/>
                <w:szCs w:val="28"/>
              </w:rPr>
            </w:pPr>
            <w:r w:rsidRPr="00A4480C">
              <w:rPr>
                <w:rFonts w:ascii="Arabic Typesetting" w:hAnsi="Arabic Typesetting" w:cs="Arabic Typesetting"/>
                <w:sz w:val="28"/>
                <w:szCs w:val="28"/>
              </w:rPr>
              <w:t>101</w:t>
            </w:r>
          </w:p>
          <w:p w:rsidR="003C1838" w:rsidRPr="00A4480C" w:rsidRDefault="003C1838" w:rsidP="009422A7">
            <w:pPr>
              <w:bidi/>
              <w:spacing w:after="336" w:line="360" w:lineRule="exact"/>
              <w:contextualSpacing/>
              <w:jc w:val="right"/>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Pr>
              <w:t>84</w:t>
            </w:r>
          </w:p>
        </w:tc>
        <w:tc>
          <w:tcPr>
            <w:tcW w:w="0" w:type="auto"/>
            <w:tcBorders>
              <w:top w:val="single" w:sz="4" w:space="0" w:color="auto"/>
              <w:left w:val="single" w:sz="4" w:space="0" w:color="auto"/>
              <w:bottom w:val="single" w:sz="4" w:space="0" w:color="auto"/>
              <w:right w:val="single" w:sz="4" w:space="0" w:color="auto"/>
            </w:tcBorders>
            <w:tcMar>
              <w:top w:w="15" w:type="dxa"/>
              <w:left w:w="72" w:type="dxa"/>
              <w:bottom w:w="15" w:type="dxa"/>
              <w:right w:w="86" w:type="dxa"/>
            </w:tcMar>
            <w:vAlign w:val="center"/>
            <w:hideMark/>
          </w:tcPr>
          <w:p w:rsidR="00F30A5C" w:rsidRPr="00A4480C" w:rsidRDefault="00F30A5C" w:rsidP="009422A7">
            <w:pPr>
              <w:bidi/>
              <w:spacing w:after="336" w:line="360" w:lineRule="exact"/>
              <w:contextualSpacing/>
              <w:rPr>
                <w:rFonts w:ascii="Arabic Typesetting" w:hAnsi="Arabic Typesetting" w:cs="Arabic Typesetting"/>
                <w:sz w:val="28"/>
                <w:szCs w:val="28"/>
              </w:rPr>
            </w:pPr>
            <w:r w:rsidRPr="00A4480C">
              <w:rPr>
                <w:rFonts w:ascii="Arabic Typesetting" w:hAnsi="Arabic Typesetting" w:cs="Arabic Typesetting"/>
                <w:sz w:val="28"/>
                <w:szCs w:val="28"/>
                <w:rtl/>
              </w:rPr>
              <w:t>عن فئة واحدة</w:t>
            </w:r>
          </w:p>
          <w:p w:rsidR="003C1838" w:rsidRPr="00A4480C" w:rsidRDefault="00F30A5C" w:rsidP="009422A7">
            <w:pPr>
              <w:bidi/>
              <w:spacing w:after="336" w:line="360" w:lineRule="exact"/>
              <w:contextualSpacing/>
              <w:rPr>
                <w:rFonts w:ascii="Arabic Typesetting" w:eastAsia="SimSun" w:hAnsi="Arabic Typesetting" w:cs="Arabic Typesetting"/>
                <w:sz w:val="28"/>
                <w:szCs w:val="28"/>
                <w:lang w:eastAsia="zh-CN"/>
              </w:rPr>
            </w:pPr>
            <w:r w:rsidRPr="00A4480C">
              <w:rPr>
                <w:rFonts w:ascii="Arabic Typesetting" w:hAnsi="Arabic Typesetting" w:cs="Arabic Typesetting"/>
                <w:sz w:val="28"/>
                <w:szCs w:val="28"/>
                <w:rtl/>
              </w:rPr>
              <w:t>عن كل فئة إضافية</w:t>
            </w:r>
          </w:p>
        </w:tc>
      </w:tr>
    </w:tbl>
    <w:p w:rsidR="003C1838" w:rsidRPr="00E22B27" w:rsidRDefault="009422A7" w:rsidP="009422A7">
      <w:pPr>
        <w:pStyle w:val="Heading4"/>
        <w:bidi/>
        <w:rPr>
          <w:rFonts w:ascii="Arabic Typesetting" w:hAnsi="Arabic Typesetting" w:cs="Arabic Typesetting"/>
          <w:b/>
          <w:bCs w:val="0"/>
          <w:i w:val="0"/>
          <w:iCs/>
          <w:sz w:val="36"/>
          <w:szCs w:val="36"/>
          <w:lang w:val="en" w:eastAsia="zh-CN"/>
        </w:rPr>
      </w:pPr>
      <w:r w:rsidRPr="00E22B27">
        <w:rPr>
          <w:rFonts w:ascii="Arabic Typesetting" w:hAnsi="Arabic Typesetting" w:cs="Arabic Typesetting"/>
          <w:b/>
          <w:bCs w:val="0"/>
          <w:i w:val="0"/>
          <w:iCs/>
          <w:sz w:val="36"/>
          <w:szCs w:val="36"/>
          <w:rtl/>
          <w:lang w:val="en"/>
        </w:rPr>
        <w:t>2.</w:t>
      </w:r>
      <w:r w:rsidRPr="00E22B27">
        <w:rPr>
          <w:rFonts w:ascii="Arabic Typesetting" w:hAnsi="Arabic Typesetting" w:cs="Arabic Typesetting"/>
          <w:b/>
          <w:bCs w:val="0"/>
          <w:i w:val="0"/>
          <w:iCs/>
          <w:sz w:val="36"/>
          <w:szCs w:val="36"/>
          <w:rtl/>
          <w:lang w:val="en"/>
        </w:rPr>
        <w:tab/>
        <w:t>التجديد</w:t>
      </w:r>
    </w:p>
    <w:tbl>
      <w:tblPr>
        <w:bidiVisual/>
        <w:tblW w:w="4981" w:type="pct"/>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1"/>
        <w:gridCol w:w="720"/>
        <w:gridCol w:w="5648"/>
      </w:tblGrid>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أرمينيا</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221</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22</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أستراليا</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255</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 xml:space="preserve">عن كل فئة من السلع </w:t>
            </w:r>
            <w:r w:rsidR="00450110" w:rsidRPr="00E22B27">
              <w:rPr>
                <w:rFonts w:ascii="Arabic Typesetting" w:hAnsi="Arabic Typesetting" w:cs="Arabic Typesetting"/>
                <w:color w:val="3B3B3B"/>
                <w:sz w:val="28"/>
                <w:szCs w:val="28"/>
                <w:rtl/>
              </w:rPr>
              <w:t>أو </w:t>
            </w:r>
            <w:r w:rsidRPr="00E22B27">
              <w:rPr>
                <w:rFonts w:ascii="Arabic Typesetting" w:hAnsi="Arabic Typesetting" w:cs="Arabic Typesetting"/>
                <w:color w:val="3B3B3B"/>
                <w:sz w:val="28"/>
                <w:szCs w:val="28"/>
                <w:rtl/>
              </w:rPr>
              <w:t>الخدمات</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البحرين</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137</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137</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6367"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i/>
                <w:iCs/>
                <w:color w:val="3B3B3B"/>
                <w:sz w:val="28"/>
                <w:szCs w:val="28"/>
                <w:rtl/>
              </w:rPr>
              <w:t xml:space="preserve">عندما تكون العلامة علامة جماعية </w:t>
            </w:r>
            <w:r w:rsidR="00450110" w:rsidRPr="00E22B27">
              <w:rPr>
                <w:rFonts w:ascii="Arabic Typesetting" w:hAnsi="Arabic Typesetting" w:cs="Arabic Typesetting"/>
                <w:i/>
                <w:iCs/>
                <w:color w:val="3B3B3B"/>
                <w:sz w:val="28"/>
                <w:szCs w:val="28"/>
                <w:rtl/>
              </w:rPr>
              <w:t>أو </w:t>
            </w:r>
            <w:r w:rsidRPr="00E22B27">
              <w:rPr>
                <w:rFonts w:ascii="Arabic Typesetting" w:hAnsi="Arabic Typesetting" w:cs="Arabic Typesetting"/>
                <w:i/>
                <w:iCs/>
                <w:color w:val="3B3B3B"/>
                <w:sz w:val="28"/>
                <w:szCs w:val="28"/>
                <w:rtl/>
              </w:rPr>
              <w:t>علامة تصديق</w:t>
            </w:r>
            <w:r w:rsidRPr="00E22B27">
              <w:rPr>
                <w:rFonts w:ascii="Arabic Typesetting" w:hAnsi="Arabic Typesetting" w:cs="Arabic Typesetting"/>
                <w:i/>
                <w:iCs/>
                <w:color w:val="3B3B3B"/>
                <w:sz w:val="28"/>
                <w:szCs w:val="28"/>
              </w:rPr>
              <w:t>:</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137</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137</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بيلاروس</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700</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بغض النظر عن عدد الفئات</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بنيلوكس</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345</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61</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ثلاث فئات</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6367"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i/>
                <w:iCs/>
                <w:color w:val="3B3B3B"/>
                <w:sz w:val="28"/>
                <w:szCs w:val="28"/>
                <w:rtl/>
              </w:rPr>
              <w:t>عندما تكون العلامة علامة جماعية</w:t>
            </w:r>
            <w:r w:rsidRPr="00E22B27">
              <w:rPr>
                <w:rFonts w:ascii="Arabic Typesetting" w:hAnsi="Arabic Typesetting" w:cs="Arabic Typesetting"/>
                <w:i/>
                <w:iCs/>
                <w:color w:val="3B3B3B"/>
                <w:sz w:val="28"/>
                <w:szCs w:val="28"/>
              </w:rPr>
              <w:t>:</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629</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61</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ثلاث فئات</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بونير، سانت أوستاتيوس وسابا</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319</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56</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ثلاث فئات</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6367"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i/>
                <w:iCs/>
                <w:color w:val="3B3B3B"/>
                <w:sz w:val="28"/>
                <w:szCs w:val="28"/>
                <w:rtl/>
              </w:rPr>
              <w:t>عندما تكون العلامة علامة جماعية</w:t>
            </w:r>
            <w:r w:rsidRPr="00E22B27">
              <w:rPr>
                <w:rFonts w:ascii="Arabic Typesetting" w:hAnsi="Arabic Typesetting" w:cs="Arabic Typesetting"/>
                <w:i/>
                <w:iCs/>
                <w:color w:val="3B3B3B"/>
                <w:sz w:val="28"/>
                <w:szCs w:val="28"/>
              </w:rPr>
              <w:t>:</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581</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56</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ثلاث فئات</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بلغاريا</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185</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37</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ثلاث فئات</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6367"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i/>
                <w:iCs/>
                <w:color w:val="3B3B3B"/>
                <w:sz w:val="28"/>
                <w:szCs w:val="28"/>
                <w:rtl/>
              </w:rPr>
              <w:t xml:space="preserve">عندما تكون العلامة علامة جماعية </w:t>
            </w:r>
            <w:r w:rsidR="00450110" w:rsidRPr="00E22B27">
              <w:rPr>
                <w:rFonts w:ascii="Arabic Typesetting" w:hAnsi="Arabic Typesetting" w:cs="Arabic Typesetting"/>
                <w:i/>
                <w:iCs/>
                <w:color w:val="3B3B3B"/>
                <w:sz w:val="28"/>
                <w:szCs w:val="28"/>
                <w:rtl/>
              </w:rPr>
              <w:t>أو </w:t>
            </w:r>
            <w:r w:rsidRPr="00E22B27">
              <w:rPr>
                <w:rFonts w:ascii="Arabic Typesetting" w:hAnsi="Arabic Typesetting" w:cs="Arabic Typesetting"/>
                <w:i/>
                <w:iCs/>
                <w:color w:val="3B3B3B"/>
                <w:sz w:val="28"/>
                <w:szCs w:val="28"/>
                <w:rtl/>
              </w:rPr>
              <w:t>علامة تصديق</w:t>
            </w:r>
            <w:r w:rsidRPr="00E22B27">
              <w:rPr>
                <w:rFonts w:ascii="Arabic Typesetting" w:hAnsi="Arabic Typesetting" w:cs="Arabic Typesetting"/>
                <w:i/>
                <w:iCs/>
                <w:color w:val="3B3B3B"/>
                <w:sz w:val="28"/>
                <w:szCs w:val="28"/>
              </w:rPr>
              <w:t>:</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369</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74</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ثلاث فئات</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الصين</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498</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lastRenderedPageBreak/>
              <w:t>249</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lastRenderedPageBreak/>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lastRenderedPageBreak/>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r w:rsidRPr="00E22B27">
              <w:rPr>
                <w:rFonts w:ascii="Arabic Typesetting" w:hAnsi="Arabic Typesetting" w:cs="Arabic Typesetting"/>
                <w:color w:val="3B3B3B"/>
                <w:sz w:val="28"/>
                <w:szCs w:val="28"/>
                <w:rtl/>
              </w:rPr>
              <w:lastRenderedPageBreak/>
              <w:t>كولومبيا</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199</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97</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6367"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B80828" w:rsidP="00B80828">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i/>
                <w:iCs/>
                <w:color w:val="3B3B3B"/>
                <w:sz w:val="28"/>
                <w:szCs w:val="28"/>
                <w:rtl/>
              </w:rPr>
              <w:t>عندما يرد التسديد خلال فترة الإمهال:</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272</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 xml:space="preserve">عن كل فئة من السلع </w:t>
            </w:r>
            <w:r w:rsidR="00450110" w:rsidRPr="00E22B27">
              <w:rPr>
                <w:rFonts w:ascii="Arabic Typesetting" w:hAnsi="Arabic Typesetting" w:cs="Arabic Typesetting"/>
                <w:color w:val="3B3B3B"/>
                <w:sz w:val="28"/>
                <w:szCs w:val="28"/>
                <w:rtl/>
              </w:rPr>
              <w:t>أو </w:t>
            </w:r>
            <w:r w:rsidRPr="00E22B27">
              <w:rPr>
                <w:rFonts w:ascii="Arabic Typesetting" w:hAnsi="Arabic Typesetting" w:cs="Arabic Typesetting"/>
                <w:color w:val="3B3B3B"/>
                <w:sz w:val="28"/>
                <w:szCs w:val="28"/>
                <w:rtl/>
              </w:rPr>
              <w:t>الخدمات</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r w:rsidRPr="00E22B27">
              <w:rPr>
                <w:rFonts w:ascii="Arabic Typesetting" w:hAnsi="Arabic Typesetting" w:cs="Arabic Typesetting"/>
                <w:color w:val="3B3B3B"/>
                <w:sz w:val="28"/>
                <w:szCs w:val="28"/>
                <w:rtl/>
              </w:rPr>
              <w:t>كوبا</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274</w:t>
            </w:r>
          </w:p>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329</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91</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ثلاث فئات</w:t>
            </w:r>
          </w:p>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ثلاث فئات</w:t>
            </w:r>
            <w:r w:rsidRPr="00E22B27">
              <w:rPr>
                <w:rFonts w:ascii="Arabic Typesetting" w:hAnsi="Arabic Typesetting" w:cs="Arabic Typesetting"/>
                <w:color w:val="3B3B3B"/>
                <w:sz w:val="28"/>
                <w:szCs w:val="28"/>
              </w:rPr>
              <w:t xml:space="preserve"> </w:t>
            </w:r>
            <w:r w:rsidR="00B80828" w:rsidRPr="00E22B27">
              <w:rPr>
                <w:rFonts w:ascii="Arabic Typesetting" w:hAnsi="Arabic Typesetting" w:cs="Arabic Typesetting"/>
                <w:color w:val="3B3B3B"/>
                <w:sz w:val="28"/>
                <w:szCs w:val="28"/>
                <w:rtl/>
              </w:rPr>
              <w:t xml:space="preserve">من السلع </w:t>
            </w:r>
            <w:r w:rsidR="00450110" w:rsidRPr="00E22B27">
              <w:rPr>
                <w:rFonts w:ascii="Arabic Typesetting" w:hAnsi="Arabic Typesetting" w:cs="Arabic Typesetting"/>
                <w:color w:val="3B3B3B"/>
                <w:sz w:val="28"/>
                <w:szCs w:val="28"/>
                <w:rtl/>
              </w:rPr>
              <w:t>أو </w:t>
            </w:r>
            <w:r w:rsidR="00B80828" w:rsidRPr="00E22B27">
              <w:rPr>
                <w:rFonts w:ascii="Arabic Typesetting" w:hAnsi="Arabic Typesetting" w:cs="Arabic Typesetting"/>
                <w:color w:val="3B3B3B"/>
                <w:sz w:val="28"/>
                <w:szCs w:val="28"/>
                <w:rtl/>
              </w:rPr>
              <w:t>الخدمات عندما يرد التسديد خلال فترة الإمهال</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6367"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i/>
                <w:iCs/>
                <w:color w:val="3B3B3B"/>
                <w:sz w:val="28"/>
                <w:szCs w:val="28"/>
                <w:rtl/>
              </w:rPr>
              <w:t>عندما تكون العلامة علامة جماعية</w:t>
            </w:r>
            <w:r w:rsidRPr="00E22B27">
              <w:rPr>
                <w:rFonts w:ascii="Arabic Typesetting" w:hAnsi="Arabic Typesetting" w:cs="Arabic Typesetting"/>
                <w:i/>
                <w:iCs/>
                <w:color w:val="3B3B3B"/>
                <w:sz w:val="28"/>
                <w:szCs w:val="28"/>
              </w:rPr>
              <w:t>:</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sz w:val="28"/>
                <w:szCs w:val="28"/>
              </w:rPr>
              <w:br w:type="page"/>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320</w:t>
            </w:r>
          </w:p>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375</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91</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ثلاث فئات</w:t>
            </w:r>
          </w:p>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ثلاث فئات</w:t>
            </w:r>
            <w:r w:rsidRPr="00E22B27">
              <w:rPr>
                <w:rFonts w:ascii="Arabic Typesetting" w:hAnsi="Arabic Typesetting" w:cs="Arabic Typesetting"/>
                <w:color w:val="3B3B3B"/>
                <w:sz w:val="28"/>
                <w:szCs w:val="28"/>
              </w:rPr>
              <w:t xml:space="preserve"> </w:t>
            </w:r>
            <w:r w:rsidR="00B80828" w:rsidRPr="00E22B27">
              <w:rPr>
                <w:rFonts w:ascii="Arabic Typesetting" w:hAnsi="Arabic Typesetting" w:cs="Arabic Typesetting"/>
                <w:color w:val="3B3B3B"/>
                <w:sz w:val="28"/>
                <w:szCs w:val="28"/>
                <w:rtl/>
              </w:rPr>
              <w:t xml:space="preserve">من السلع </w:t>
            </w:r>
            <w:r w:rsidR="00450110" w:rsidRPr="00E22B27">
              <w:rPr>
                <w:rFonts w:ascii="Arabic Typesetting" w:hAnsi="Arabic Typesetting" w:cs="Arabic Typesetting"/>
                <w:color w:val="3B3B3B"/>
                <w:sz w:val="28"/>
                <w:szCs w:val="28"/>
                <w:rtl/>
              </w:rPr>
              <w:t>أو </w:t>
            </w:r>
            <w:r w:rsidR="00B80828" w:rsidRPr="00E22B27">
              <w:rPr>
                <w:rFonts w:ascii="Arabic Typesetting" w:hAnsi="Arabic Typesetting" w:cs="Arabic Typesetting"/>
                <w:color w:val="3B3B3B"/>
                <w:sz w:val="28"/>
                <w:szCs w:val="28"/>
                <w:rtl/>
              </w:rPr>
              <w:t>الخدمات عندما يرد التسديد خلال فترة الإمهال</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كوراساو</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272</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28</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ثلاث فئات</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6367"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i/>
                <w:iCs/>
                <w:color w:val="3B3B3B"/>
                <w:sz w:val="28"/>
                <w:szCs w:val="28"/>
                <w:rtl/>
              </w:rPr>
              <w:t>عندما تكون العلامة علامة جماعية</w:t>
            </w:r>
            <w:r w:rsidRPr="00E22B27">
              <w:rPr>
                <w:rFonts w:ascii="Arabic Typesetting" w:hAnsi="Arabic Typesetting" w:cs="Arabic Typesetting"/>
                <w:i/>
                <w:iCs/>
                <w:color w:val="3B3B3B"/>
                <w:sz w:val="28"/>
                <w:szCs w:val="28"/>
              </w:rPr>
              <w:t>:</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540</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55</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ثلاث فئات</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الدانمرك</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419</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107</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ثلاث فئات</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إستونيا</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224</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بغض النظر عن عدد الفئات</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6367"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i/>
                <w:iCs/>
                <w:color w:val="3B3B3B"/>
                <w:sz w:val="28"/>
                <w:szCs w:val="28"/>
                <w:rtl/>
              </w:rPr>
              <w:t>عندما تكون العلامة علامة جماعية</w:t>
            </w:r>
            <w:r w:rsidRPr="00E22B27">
              <w:rPr>
                <w:rFonts w:ascii="Arabic Typesetting" w:hAnsi="Arabic Typesetting" w:cs="Arabic Typesetting"/>
                <w:i/>
                <w:iCs/>
                <w:color w:val="3B3B3B"/>
                <w:sz w:val="28"/>
                <w:szCs w:val="28"/>
              </w:rPr>
              <w:t>:</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280</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بغض النظر عن عدد الفئات</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الاتحاد الأوروبي</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1533</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511</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ثلاث فئات</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6367"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i/>
                <w:iCs/>
                <w:color w:val="3B3B3B"/>
                <w:sz w:val="28"/>
                <w:szCs w:val="28"/>
                <w:rtl/>
              </w:rPr>
              <w:t>عندما تكون العلامة علامة جماعية</w:t>
            </w:r>
            <w:r w:rsidRPr="00E22B27">
              <w:rPr>
                <w:rFonts w:ascii="Arabic Typesetting" w:hAnsi="Arabic Typesetting" w:cs="Arabic Typesetting"/>
                <w:i/>
                <w:iCs/>
                <w:color w:val="3B3B3B"/>
                <w:sz w:val="28"/>
                <w:szCs w:val="28"/>
              </w:rPr>
              <w:t>:</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3449</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1022</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ثلاث فئات</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فنلندا</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306</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153</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6367"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i/>
                <w:iCs/>
                <w:color w:val="3B3B3B"/>
                <w:sz w:val="28"/>
                <w:szCs w:val="28"/>
                <w:rtl/>
              </w:rPr>
              <w:t>عندما تكون العلامة علامة جماعية</w:t>
            </w:r>
            <w:r w:rsidRPr="00E22B27">
              <w:rPr>
                <w:rFonts w:ascii="Arabic Typesetting" w:hAnsi="Arabic Typesetting" w:cs="Arabic Typesetting"/>
                <w:i/>
                <w:iCs/>
                <w:color w:val="3B3B3B"/>
                <w:sz w:val="28"/>
                <w:szCs w:val="28"/>
              </w:rPr>
              <w:t>:</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398</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153</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جورجيا</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314</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115</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غانا</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291</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291</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اليونان</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108</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24</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r w:rsidRPr="00E22B27">
              <w:rPr>
                <w:rFonts w:ascii="Arabic Typesetting" w:hAnsi="Arabic Typesetting" w:cs="Arabic Typesetting"/>
                <w:color w:val="3B3B3B"/>
                <w:sz w:val="28"/>
                <w:szCs w:val="28"/>
              </w:rPr>
              <w:t xml:space="preserve"> </w:t>
            </w:r>
            <w:r w:rsidRPr="00E22B27">
              <w:rPr>
                <w:rFonts w:ascii="Arabic Typesetting" w:hAnsi="Arabic Typesetting" w:cs="Arabic Typesetting"/>
                <w:color w:val="3B3B3B"/>
                <w:sz w:val="28"/>
                <w:szCs w:val="28"/>
                <w:rtl/>
              </w:rPr>
              <w:t>حتى الفئة العاشرة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6367"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i/>
                <w:iCs/>
                <w:color w:val="3B3B3B"/>
                <w:sz w:val="28"/>
                <w:szCs w:val="28"/>
                <w:rtl/>
              </w:rPr>
              <w:t>عندما تكون العلامة علامة جماعية</w:t>
            </w:r>
            <w:r w:rsidRPr="00E22B27">
              <w:rPr>
                <w:rFonts w:ascii="Arabic Typesetting" w:hAnsi="Arabic Typesetting" w:cs="Arabic Typesetting"/>
                <w:i/>
                <w:iCs/>
                <w:color w:val="3B3B3B"/>
                <w:sz w:val="28"/>
                <w:szCs w:val="28"/>
              </w:rPr>
              <w:t>:</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542</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lastRenderedPageBreak/>
              <w:t>120</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lastRenderedPageBreak/>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lastRenderedPageBreak/>
              <w:t>عن كل فئة إضافية</w:t>
            </w:r>
            <w:r w:rsidRPr="00E22B27">
              <w:rPr>
                <w:rFonts w:ascii="Arabic Typesetting" w:hAnsi="Arabic Typesetting" w:cs="Arabic Typesetting"/>
                <w:color w:val="3B3B3B"/>
                <w:sz w:val="28"/>
                <w:szCs w:val="28"/>
              </w:rPr>
              <w:t xml:space="preserve"> </w:t>
            </w:r>
            <w:r w:rsidRPr="00E22B27">
              <w:rPr>
                <w:rFonts w:ascii="Arabic Typesetting" w:hAnsi="Arabic Typesetting" w:cs="Arabic Typesetting"/>
                <w:color w:val="3B3B3B"/>
                <w:sz w:val="28"/>
                <w:szCs w:val="28"/>
                <w:rtl/>
              </w:rPr>
              <w:t>حتى الفئة العاشرة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lastRenderedPageBreak/>
              <w:t>إيسلندا</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180</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41</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6367"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i/>
                <w:iCs/>
                <w:color w:val="3B3B3B"/>
                <w:sz w:val="28"/>
                <w:szCs w:val="28"/>
                <w:rtl/>
              </w:rPr>
              <w:t>عندما تكون العلامة علامة جماعية</w:t>
            </w:r>
            <w:r w:rsidRPr="00E22B27">
              <w:rPr>
                <w:rFonts w:ascii="Arabic Typesetting" w:hAnsi="Arabic Typesetting" w:cs="Arabic Typesetting"/>
                <w:i/>
                <w:iCs/>
                <w:color w:val="3B3B3B"/>
                <w:sz w:val="28"/>
                <w:szCs w:val="28"/>
              </w:rPr>
              <w:t>:</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180</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41</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الهند</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72</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 xml:space="preserve">عن كل فئة من السلع </w:t>
            </w:r>
            <w:r w:rsidR="00450110" w:rsidRPr="00E22B27">
              <w:rPr>
                <w:rFonts w:ascii="Arabic Typesetting" w:hAnsi="Arabic Typesetting" w:cs="Arabic Typesetting"/>
                <w:color w:val="3B3B3B"/>
                <w:sz w:val="28"/>
                <w:szCs w:val="28"/>
                <w:rtl/>
              </w:rPr>
              <w:t>أو </w:t>
            </w:r>
            <w:r w:rsidRPr="00E22B27">
              <w:rPr>
                <w:rFonts w:ascii="Arabic Typesetting" w:hAnsi="Arabic Typesetting" w:cs="Arabic Typesetting"/>
                <w:color w:val="3B3B3B"/>
                <w:sz w:val="28"/>
                <w:szCs w:val="28"/>
                <w:rtl/>
              </w:rPr>
              <w:t>الخدمات</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6367"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i/>
                <w:iCs/>
                <w:color w:val="3B3B3B"/>
                <w:sz w:val="28"/>
                <w:szCs w:val="28"/>
                <w:rtl/>
              </w:rPr>
              <w:t xml:space="preserve">عندما تكون العلامة علامة جماعية </w:t>
            </w:r>
            <w:r w:rsidR="00450110" w:rsidRPr="00E22B27">
              <w:rPr>
                <w:rFonts w:ascii="Arabic Typesetting" w:hAnsi="Arabic Typesetting" w:cs="Arabic Typesetting"/>
                <w:i/>
                <w:iCs/>
                <w:color w:val="3B3B3B"/>
                <w:sz w:val="28"/>
                <w:szCs w:val="28"/>
                <w:rtl/>
              </w:rPr>
              <w:t>أو </w:t>
            </w:r>
            <w:r w:rsidRPr="00E22B27">
              <w:rPr>
                <w:rFonts w:ascii="Arabic Typesetting" w:hAnsi="Arabic Typesetting" w:cs="Arabic Typesetting"/>
                <w:i/>
                <w:iCs/>
                <w:color w:val="3B3B3B"/>
                <w:sz w:val="28"/>
                <w:szCs w:val="28"/>
                <w:rtl/>
              </w:rPr>
              <w:t>علامة تصديق</w:t>
            </w:r>
            <w:r w:rsidRPr="00E22B27">
              <w:rPr>
                <w:rFonts w:ascii="Arabic Typesetting" w:hAnsi="Arabic Typesetting" w:cs="Arabic Typesetting"/>
                <w:i/>
                <w:iCs/>
                <w:color w:val="3B3B3B"/>
                <w:sz w:val="28"/>
                <w:szCs w:val="28"/>
              </w:rPr>
              <w:t>:</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144</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 xml:space="preserve">عن كل فئة من السلع </w:t>
            </w:r>
            <w:r w:rsidR="00450110" w:rsidRPr="00E22B27">
              <w:rPr>
                <w:rFonts w:ascii="Arabic Typesetting" w:hAnsi="Arabic Typesetting" w:cs="Arabic Typesetting"/>
                <w:color w:val="3B3B3B"/>
                <w:sz w:val="28"/>
                <w:szCs w:val="28"/>
                <w:rtl/>
              </w:rPr>
              <w:t>أو </w:t>
            </w:r>
            <w:r w:rsidRPr="00E22B27">
              <w:rPr>
                <w:rFonts w:ascii="Arabic Typesetting" w:hAnsi="Arabic Typesetting" w:cs="Arabic Typesetting"/>
                <w:color w:val="3B3B3B"/>
                <w:sz w:val="28"/>
                <w:szCs w:val="28"/>
                <w:rtl/>
              </w:rPr>
              <w:t>الخدمات</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إيرلندا</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332</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166</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إسرائيل</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740</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625</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إيطاليا</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80</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41</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6367"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i/>
                <w:iCs/>
                <w:color w:val="3B3B3B"/>
                <w:sz w:val="28"/>
                <w:szCs w:val="28"/>
                <w:rtl/>
              </w:rPr>
              <w:t>عندما تكون العلامة علامة جماعية</w:t>
            </w:r>
            <w:r w:rsidRPr="00E22B27">
              <w:rPr>
                <w:rFonts w:ascii="Arabic Typesetting" w:hAnsi="Arabic Typesetting" w:cs="Arabic Typesetting"/>
                <w:i/>
                <w:iCs/>
                <w:color w:val="3B3B3B"/>
                <w:sz w:val="28"/>
                <w:szCs w:val="28"/>
              </w:rPr>
              <w:t>:</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241</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بغض النظر عن عدد الفئات</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اليابان</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423</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 xml:space="preserve">عن كل فئة من السلع </w:t>
            </w:r>
            <w:r w:rsidR="00450110" w:rsidRPr="00E22B27">
              <w:rPr>
                <w:rFonts w:ascii="Arabic Typesetting" w:hAnsi="Arabic Typesetting" w:cs="Arabic Typesetting"/>
                <w:color w:val="3B3B3B"/>
                <w:sz w:val="28"/>
                <w:szCs w:val="28"/>
                <w:rtl/>
              </w:rPr>
              <w:t>أو </w:t>
            </w:r>
            <w:r w:rsidRPr="00E22B27">
              <w:rPr>
                <w:rFonts w:ascii="Arabic Typesetting" w:hAnsi="Arabic Typesetting" w:cs="Arabic Typesetting"/>
                <w:color w:val="3B3B3B"/>
                <w:sz w:val="28"/>
                <w:szCs w:val="28"/>
                <w:rtl/>
              </w:rPr>
              <w:t>الخدمات</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كينيا</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178</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134</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6367"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i/>
                <w:iCs/>
                <w:color w:val="3B3B3B"/>
                <w:sz w:val="28"/>
                <w:szCs w:val="28"/>
                <w:rtl/>
              </w:rPr>
              <w:t xml:space="preserve">عندما تكون العلامة علامة جماعية </w:t>
            </w:r>
            <w:r w:rsidR="00450110" w:rsidRPr="00E22B27">
              <w:rPr>
                <w:rFonts w:ascii="Arabic Typesetting" w:hAnsi="Arabic Typesetting" w:cs="Arabic Typesetting"/>
                <w:i/>
                <w:iCs/>
                <w:color w:val="3B3B3B"/>
                <w:sz w:val="28"/>
                <w:szCs w:val="28"/>
                <w:rtl/>
              </w:rPr>
              <w:t>أو </w:t>
            </w:r>
            <w:r w:rsidRPr="00E22B27">
              <w:rPr>
                <w:rFonts w:ascii="Arabic Typesetting" w:hAnsi="Arabic Typesetting" w:cs="Arabic Typesetting"/>
                <w:i/>
                <w:iCs/>
                <w:color w:val="3B3B3B"/>
                <w:sz w:val="28"/>
                <w:szCs w:val="28"/>
                <w:rtl/>
              </w:rPr>
              <w:t>علامة تصديق</w:t>
            </w:r>
            <w:r w:rsidRPr="00E22B27">
              <w:rPr>
                <w:rFonts w:ascii="Arabic Typesetting" w:hAnsi="Arabic Typesetting" w:cs="Arabic Typesetting"/>
                <w:i/>
                <w:iCs/>
                <w:color w:val="3B3B3B"/>
                <w:sz w:val="28"/>
                <w:szCs w:val="28"/>
              </w:rPr>
              <w:t>:</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178</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134</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قيرغيزستان</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500</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بغض النظر عن عدد الفئات</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المكسيك</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204</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 xml:space="preserve">عن كل فئة من السلع </w:t>
            </w:r>
            <w:r w:rsidR="00450110" w:rsidRPr="00E22B27">
              <w:rPr>
                <w:rFonts w:ascii="Arabic Typesetting" w:hAnsi="Arabic Typesetting" w:cs="Arabic Typesetting"/>
                <w:color w:val="3B3B3B"/>
                <w:sz w:val="28"/>
                <w:szCs w:val="28"/>
                <w:rtl/>
              </w:rPr>
              <w:t>أو </w:t>
            </w:r>
            <w:r w:rsidRPr="00E22B27">
              <w:rPr>
                <w:rFonts w:ascii="Arabic Typesetting" w:hAnsi="Arabic Typesetting" w:cs="Arabic Typesetting"/>
                <w:color w:val="3B3B3B"/>
                <w:sz w:val="28"/>
                <w:szCs w:val="28"/>
                <w:rtl/>
              </w:rPr>
              <w:t>الخدمات</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نيوزيلندا</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268</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 xml:space="preserve">عن كل فئة من السلع </w:t>
            </w:r>
            <w:r w:rsidR="00450110" w:rsidRPr="00E22B27">
              <w:rPr>
                <w:rFonts w:ascii="Arabic Typesetting" w:hAnsi="Arabic Typesetting" w:cs="Arabic Typesetting"/>
                <w:color w:val="3B3B3B"/>
                <w:sz w:val="28"/>
                <w:szCs w:val="28"/>
                <w:rtl/>
              </w:rPr>
              <w:t>أو </w:t>
            </w:r>
            <w:r w:rsidRPr="00E22B27">
              <w:rPr>
                <w:rFonts w:ascii="Arabic Typesetting" w:hAnsi="Arabic Typesetting" w:cs="Arabic Typesetting"/>
                <w:color w:val="3B3B3B"/>
                <w:sz w:val="28"/>
                <w:szCs w:val="28"/>
                <w:rtl/>
              </w:rPr>
              <w:t>الخدمات</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النرويج</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385</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148</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ثلاث فئات</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p>
        </w:tc>
        <w:tc>
          <w:tcPr>
            <w:tcW w:w="6367"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i/>
                <w:iCs/>
                <w:color w:val="3B3B3B"/>
                <w:sz w:val="28"/>
                <w:szCs w:val="28"/>
                <w:rtl/>
              </w:rPr>
              <w:t>عندما تكون العلامة علامة جماعية</w:t>
            </w:r>
            <w:r w:rsidRPr="00E22B27">
              <w:rPr>
                <w:rFonts w:ascii="Arabic Typesetting" w:hAnsi="Arabic Typesetting" w:cs="Arabic Typesetting"/>
                <w:i/>
                <w:iCs/>
                <w:color w:val="3B3B3B"/>
                <w:sz w:val="28"/>
                <w:szCs w:val="28"/>
              </w:rPr>
              <w:t>:</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385</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148</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ثلاث فئات</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عمان</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727</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727</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6367"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i/>
                <w:iCs/>
                <w:color w:val="3B3B3B"/>
                <w:sz w:val="28"/>
                <w:szCs w:val="28"/>
                <w:rtl/>
              </w:rPr>
              <w:t xml:space="preserve">عندما تكون العلامة علامة جماعية </w:t>
            </w:r>
            <w:r w:rsidR="00450110" w:rsidRPr="00E22B27">
              <w:rPr>
                <w:rFonts w:ascii="Arabic Typesetting" w:hAnsi="Arabic Typesetting" w:cs="Arabic Typesetting"/>
                <w:i/>
                <w:iCs/>
                <w:color w:val="3B3B3B"/>
                <w:sz w:val="28"/>
                <w:szCs w:val="28"/>
                <w:rtl/>
              </w:rPr>
              <w:t>أو </w:t>
            </w:r>
            <w:r w:rsidRPr="00E22B27">
              <w:rPr>
                <w:rFonts w:ascii="Arabic Typesetting" w:hAnsi="Arabic Typesetting" w:cs="Arabic Typesetting"/>
                <w:i/>
                <w:iCs/>
                <w:color w:val="3B3B3B"/>
                <w:sz w:val="28"/>
                <w:szCs w:val="28"/>
                <w:rtl/>
              </w:rPr>
              <w:t>علامة تصديق</w:t>
            </w:r>
            <w:r w:rsidRPr="00E22B27">
              <w:rPr>
                <w:rFonts w:ascii="Arabic Typesetting" w:hAnsi="Arabic Typesetting" w:cs="Arabic Typesetting"/>
                <w:i/>
                <w:iCs/>
                <w:color w:val="3B3B3B"/>
                <w:sz w:val="28"/>
                <w:szCs w:val="28"/>
              </w:rPr>
              <w:t>:</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1453</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1453</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الفلبين</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146</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 xml:space="preserve">عن كل فئة من السلع </w:t>
            </w:r>
            <w:r w:rsidR="00450110" w:rsidRPr="00E22B27">
              <w:rPr>
                <w:rFonts w:ascii="Arabic Typesetting" w:hAnsi="Arabic Typesetting" w:cs="Arabic Typesetting"/>
                <w:color w:val="3B3B3B"/>
                <w:sz w:val="28"/>
                <w:szCs w:val="28"/>
                <w:rtl/>
              </w:rPr>
              <w:t>أو </w:t>
            </w:r>
            <w:r w:rsidRPr="00E22B27">
              <w:rPr>
                <w:rFonts w:ascii="Arabic Typesetting" w:hAnsi="Arabic Typesetting" w:cs="Arabic Typesetting"/>
                <w:color w:val="3B3B3B"/>
                <w:sz w:val="28"/>
                <w:szCs w:val="28"/>
                <w:rtl/>
              </w:rPr>
              <w:t>الخدمات</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جمهورية كوريا</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266</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 xml:space="preserve">عن كل فئة من السلع </w:t>
            </w:r>
            <w:r w:rsidR="00450110" w:rsidRPr="00E22B27">
              <w:rPr>
                <w:rFonts w:ascii="Arabic Typesetting" w:hAnsi="Arabic Typesetting" w:cs="Arabic Typesetting"/>
                <w:color w:val="3B3B3B"/>
                <w:sz w:val="28"/>
                <w:szCs w:val="28"/>
                <w:rtl/>
              </w:rPr>
              <w:t>أو </w:t>
            </w:r>
            <w:r w:rsidRPr="00E22B27">
              <w:rPr>
                <w:rFonts w:ascii="Arabic Typesetting" w:hAnsi="Arabic Typesetting" w:cs="Arabic Typesetting"/>
                <w:color w:val="3B3B3B"/>
                <w:sz w:val="28"/>
                <w:szCs w:val="28"/>
                <w:rtl/>
              </w:rPr>
              <w:t>الخدمات</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جمهورية مولدوفا</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319</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64</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p>
        </w:tc>
        <w:tc>
          <w:tcPr>
            <w:tcW w:w="6367"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i/>
                <w:iCs/>
                <w:color w:val="3B3B3B"/>
                <w:sz w:val="28"/>
                <w:szCs w:val="28"/>
                <w:rtl/>
              </w:rPr>
              <w:t>عندما تكون العلامة علامة جماعية</w:t>
            </w:r>
            <w:r w:rsidRPr="00E22B27">
              <w:rPr>
                <w:rFonts w:ascii="Arabic Typesetting" w:hAnsi="Arabic Typesetting" w:cs="Arabic Typesetting"/>
                <w:i/>
                <w:iCs/>
                <w:color w:val="3B3B3B"/>
                <w:sz w:val="28"/>
                <w:szCs w:val="28"/>
              </w:rPr>
              <w:t>:</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511</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64</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سان مارينو</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178</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47</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ثلاث فئات</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6367"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i/>
                <w:iCs/>
                <w:color w:val="3B3B3B"/>
                <w:sz w:val="28"/>
                <w:szCs w:val="28"/>
                <w:rtl/>
              </w:rPr>
              <w:t>عندما تكون العلامة علامة جماعية</w:t>
            </w:r>
            <w:r w:rsidRPr="00E22B27">
              <w:rPr>
                <w:rFonts w:ascii="Arabic Typesetting" w:hAnsi="Arabic Typesetting" w:cs="Arabic Typesetting"/>
                <w:i/>
                <w:iCs/>
                <w:color w:val="3B3B3B"/>
                <w:sz w:val="28"/>
                <w:szCs w:val="28"/>
              </w:rPr>
              <w:t>:</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line="360" w:lineRule="exact"/>
              <w:contextualSpacing/>
              <w:rPr>
                <w:rFonts w:ascii="Arabic Typesetting" w:hAnsi="Arabic Typesetting" w:cs="Arabic Typesetting"/>
                <w:sz w:val="28"/>
                <w:szCs w:val="28"/>
              </w:rPr>
            </w:pP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320</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83</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ثلاث فئات</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سنغافورة</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197</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 xml:space="preserve">عن كل فئة من السلع </w:t>
            </w:r>
            <w:r w:rsidR="00450110" w:rsidRPr="00E22B27">
              <w:rPr>
                <w:rFonts w:ascii="Arabic Typesetting" w:hAnsi="Arabic Typesetting" w:cs="Arabic Typesetting"/>
                <w:color w:val="3B3B3B"/>
                <w:sz w:val="28"/>
                <w:szCs w:val="28"/>
                <w:rtl/>
              </w:rPr>
              <w:t>أو </w:t>
            </w:r>
            <w:r w:rsidRPr="00E22B27">
              <w:rPr>
                <w:rFonts w:ascii="Arabic Typesetting" w:hAnsi="Arabic Typesetting" w:cs="Arabic Typesetting"/>
                <w:color w:val="3B3B3B"/>
                <w:sz w:val="28"/>
                <w:szCs w:val="28"/>
                <w:rtl/>
              </w:rPr>
              <w:t>الخدمات</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السويد</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322</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126</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سويسرا</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500</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بغض النظر عن عدد الفئات</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الجمهورية العربية</w:t>
            </w:r>
            <w:r w:rsidR="00450110" w:rsidRPr="00E22B27">
              <w:rPr>
                <w:rFonts w:ascii="Arabic Typesetting" w:hAnsi="Arabic Typesetting" w:cs="Arabic Typesetting"/>
                <w:color w:val="3B3B3B"/>
                <w:sz w:val="28"/>
                <w:szCs w:val="28"/>
                <w:rtl/>
              </w:rPr>
              <w:t xml:space="preserve"> </w:t>
            </w:r>
            <w:r w:rsidRPr="00E22B27">
              <w:rPr>
                <w:rFonts w:ascii="Arabic Typesetting" w:hAnsi="Arabic Typesetting" w:cs="Arabic Typesetting"/>
                <w:color w:val="3B3B3B"/>
                <w:sz w:val="28"/>
                <w:szCs w:val="28"/>
                <w:rtl/>
              </w:rPr>
              <w:t>السورية</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116</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 xml:space="preserve">عن كل فئة من السلع </w:t>
            </w:r>
            <w:r w:rsidR="00450110" w:rsidRPr="00E22B27">
              <w:rPr>
                <w:rFonts w:ascii="Arabic Typesetting" w:hAnsi="Arabic Typesetting" w:cs="Arabic Typesetting"/>
                <w:color w:val="3B3B3B"/>
                <w:sz w:val="28"/>
                <w:szCs w:val="28"/>
                <w:rtl/>
              </w:rPr>
              <w:t>أو </w:t>
            </w:r>
            <w:r w:rsidRPr="00E22B27">
              <w:rPr>
                <w:rFonts w:ascii="Arabic Typesetting" w:hAnsi="Arabic Typesetting" w:cs="Arabic Typesetting"/>
                <w:color w:val="3B3B3B"/>
                <w:sz w:val="28"/>
                <w:szCs w:val="28"/>
                <w:rtl/>
              </w:rPr>
              <w:t>الخدمات</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طاجيكستان</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420</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16</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تونس</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222</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47</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تركيا</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202</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بغض النظر عن عدد الفئات</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تركمانستان</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448</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بغض النظر عن عدد الفئات</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أوكرانيا</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429</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بغض النظر عن عدد الفئات</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lastRenderedPageBreak/>
              <w:t>المملكة المتحدة</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291</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73</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الولايات المتحدة الأمريكية</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370</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370</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أوزبكستان</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514</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51</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p>
        </w:tc>
        <w:tc>
          <w:tcPr>
            <w:tcW w:w="6367" w:type="dxa"/>
            <w:gridSpan w:val="2"/>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i/>
                <w:iCs/>
                <w:color w:val="3B3B3B"/>
                <w:sz w:val="28"/>
                <w:szCs w:val="28"/>
                <w:rtl/>
              </w:rPr>
              <w:t>عندما تكون العلامة علامة جماعية</w:t>
            </w:r>
            <w:r w:rsidRPr="00E22B27">
              <w:rPr>
                <w:rFonts w:ascii="Arabic Typesetting" w:hAnsi="Arabic Typesetting" w:cs="Arabic Typesetting"/>
                <w:i/>
                <w:iCs/>
                <w:color w:val="3B3B3B"/>
                <w:sz w:val="28"/>
                <w:szCs w:val="28"/>
              </w:rPr>
              <w:t>:</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1028</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103</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r w:rsidR="009422A7" w:rsidRPr="00E22B27" w:rsidTr="00C42662">
        <w:tc>
          <w:tcPr>
            <w:tcW w:w="3131" w:type="dxa"/>
            <w:tcBorders>
              <w:top w:val="single" w:sz="4" w:space="0" w:color="auto"/>
              <w:left w:val="single" w:sz="4" w:space="0" w:color="auto"/>
              <w:bottom w:val="single" w:sz="4" w:space="0" w:color="auto"/>
              <w:right w:val="single" w:sz="4" w:space="0" w:color="auto"/>
            </w:tcBorders>
            <w:vAlign w:val="center"/>
          </w:tcPr>
          <w:p w:rsidR="009422A7" w:rsidRPr="00E22B27" w:rsidRDefault="009422A7" w:rsidP="00C42662">
            <w:pPr>
              <w:bidi/>
              <w:spacing w:after="336" w:line="360" w:lineRule="exact"/>
              <w:contextualSpacing/>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فييت نام</w:t>
            </w:r>
          </w:p>
        </w:tc>
        <w:tc>
          <w:tcPr>
            <w:tcW w:w="720"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Pr>
              <w:t>91</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Pr>
              <w:t>80</w:t>
            </w:r>
          </w:p>
        </w:tc>
        <w:tc>
          <w:tcPr>
            <w:tcW w:w="5647" w:type="dxa"/>
            <w:tcBorders>
              <w:top w:val="single" w:sz="4" w:space="0" w:color="auto"/>
              <w:left w:val="single" w:sz="4" w:space="0" w:color="auto"/>
              <w:bottom w:val="single" w:sz="4" w:space="0" w:color="auto"/>
              <w:right w:val="single" w:sz="4" w:space="0" w:color="auto"/>
            </w:tcBorders>
            <w:tcMar>
              <w:top w:w="15" w:type="dxa"/>
              <w:left w:w="72" w:type="dxa"/>
              <w:bottom w:w="15" w:type="dxa"/>
              <w:right w:w="72" w:type="dxa"/>
            </w:tcMar>
            <w:vAlign w:val="center"/>
            <w:hideMark/>
          </w:tcPr>
          <w:p w:rsidR="009422A7" w:rsidRPr="00E22B27" w:rsidRDefault="009422A7" w:rsidP="00C42662">
            <w:pPr>
              <w:bidi/>
              <w:spacing w:after="336" w:line="336" w:lineRule="atLeast"/>
              <w:rPr>
                <w:rFonts w:ascii="Arabic Typesetting" w:hAnsi="Arabic Typesetting" w:cs="Arabic Typesetting"/>
                <w:color w:val="3B3B3B"/>
                <w:sz w:val="28"/>
                <w:szCs w:val="28"/>
              </w:rPr>
            </w:pPr>
            <w:r w:rsidRPr="00E22B27">
              <w:rPr>
                <w:rFonts w:ascii="Arabic Typesetting" w:hAnsi="Arabic Typesetting" w:cs="Arabic Typesetting"/>
                <w:color w:val="3B3B3B"/>
                <w:sz w:val="28"/>
                <w:szCs w:val="28"/>
                <w:rtl/>
              </w:rPr>
              <w:t>عن فئة واحدة</w:t>
            </w:r>
          </w:p>
          <w:p w:rsidR="009422A7" w:rsidRPr="00E22B27" w:rsidRDefault="009422A7" w:rsidP="00C42662">
            <w:pPr>
              <w:bidi/>
              <w:spacing w:after="336" w:line="336" w:lineRule="atLeast"/>
              <w:rPr>
                <w:rFonts w:ascii="Arabic Typesetting" w:eastAsia="SimSun" w:hAnsi="Arabic Typesetting" w:cs="Arabic Typesetting"/>
                <w:color w:val="3B3B3B"/>
                <w:sz w:val="28"/>
                <w:szCs w:val="28"/>
                <w:lang w:eastAsia="zh-CN"/>
              </w:rPr>
            </w:pPr>
            <w:r w:rsidRPr="00E22B27">
              <w:rPr>
                <w:rFonts w:ascii="Arabic Typesetting" w:hAnsi="Arabic Typesetting" w:cs="Arabic Typesetting"/>
                <w:color w:val="3B3B3B"/>
                <w:sz w:val="28"/>
                <w:szCs w:val="28"/>
                <w:rtl/>
              </w:rPr>
              <w:t>عن كل فئة إضافية</w:t>
            </w:r>
          </w:p>
        </w:tc>
      </w:tr>
    </w:tbl>
    <w:p w:rsidR="003C1838" w:rsidRPr="003C1838" w:rsidRDefault="00C42662" w:rsidP="00C42662">
      <w:pPr>
        <w:pStyle w:val="EndofDocumentAR"/>
        <w:spacing w:before="480"/>
      </w:pPr>
      <w:r w:rsidRPr="00E22B27">
        <w:rPr>
          <w:rFonts w:hint="cs"/>
          <w:rtl/>
        </w:rPr>
        <w:t>[نهاية المرفق الخامس والوثيقة]</w:t>
      </w:r>
    </w:p>
    <w:sectPr w:rsidR="003C1838" w:rsidRPr="003C1838" w:rsidSect="00A4480C">
      <w:headerReference w:type="default" r:id="rId30"/>
      <w:headerReference w:type="first" r:id="rId3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990" w:rsidRDefault="002D7990">
      <w:r>
        <w:separator/>
      </w:r>
    </w:p>
  </w:endnote>
  <w:endnote w:type="continuationSeparator" w:id="0">
    <w:p w:rsidR="002D7990" w:rsidRDefault="002D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990" w:rsidRDefault="002D7990" w:rsidP="009622BF">
      <w:pPr>
        <w:bidi/>
      </w:pPr>
      <w:bookmarkStart w:id="0" w:name="OLE_LINK1"/>
      <w:bookmarkStart w:id="1" w:name="OLE_LINK2"/>
      <w:r>
        <w:separator/>
      </w:r>
      <w:bookmarkEnd w:id="0"/>
      <w:bookmarkEnd w:id="1"/>
    </w:p>
  </w:footnote>
  <w:footnote w:type="continuationSeparator" w:id="0">
    <w:p w:rsidR="002D7990" w:rsidRDefault="002D7990" w:rsidP="009622BF">
      <w:pPr>
        <w:bidi/>
      </w:pPr>
      <w:r>
        <w:separator/>
      </w:r>
    </w:p>
  </w:footnote>
  <w:footnote w:id="1">
    <w:p w:rsidR="002D7990" w:rsidRDefault="002D7990">
      <w:pPr>
        <w:pStyle w:val="FootnoteText"/>
        <w:rPr>
          <w:rtl/>
        </w:rPr>
      </w:pPr>
      <w:r>
        <w:rPr>
          <w:rStyle w:val="FootnoteReference"/>
        </w:rPr>
        <w:footnoteRef/>
      </w:r>
      <w:r>
        <w:rPr>
          <w:rFonts w:hint="cs"/>
          <w:rtl/>
        </w:rPr>
        <w:tab/>
        <w:t>انظر بوجه خاص الفقرات</w:t>
      </w:r>
      <w:r>
        <w:rPr>
          <w:rtl/>
        </w:rPr>
        <w:t> </w:t>
      </w:r>
      <w:r>
        <w:rPr>
          <w:rFonts w:hint="cs"/>
          <w:rtl/>
        </w:rPr>
        <w:t>168 وما يليها من الوثيقة</w:t>
      </w:r>
      <w:r>
        <w:rPr>
          <w:rtl/>
        </w:rPr>
        <w:t> </w:t>
      </w:r>
      <w:r>
        <w:t>LI/WG/DEV/5/7</w:t>
      </w:r>
      <w:r>
        <w:rPr>
          <w:rFonts w:hint="cs"/>
          <w:rtl/>
        </w:rPr>
        <w:t xml:space="preserve"> فضلاً عن الفقرات</w:t>
      </w:r>
      <w:r>
        <w:rPr>
          <w:rtl/>
        </w:rPr>
        <w:t> </w:t>
      </w:r>
      <w:r>
        <w:rPr>
          <w:rFonts w:hint="cs"/>
          <w:rtl/>
        </w:rPr>
        <w:t>199 و211 و220 من الوثيقة</w:t>
      </w:r>
      <w:r>
        <w:rPr>
          <w:rtl/>
        </w:rPr>
        <w:t> </w:t>
      </w:r>
      <w:r>
        <w:t>LI/WG/DEV/6/7</w:t>
      </w:r>
      <w:r>
        <w:rPr>
          <w:rtl/>
        </w:rPr>
        <w:t>.</w:t>
      </w:r>
    </w:p>
  </w:footnote>
  <w:footnote w:id="2">
    <w:p w:rsidR="002D7990" w:rsidRDefault="002D7990" w:rsidP="0077792A">
      <w:pPr>
        <w:pStyle w:val="FootnoteText"/>
        <w:rPr>
          <w:rtl/>
        </w:rPr>
      </w:pPr>
      <w:r>
        <w:rPr>
          <w:rStyle w:val="FootnoteReference"/>
        </w:rPr>
        <w:footnoteRef/>
      </w:r>
      <w:r>
        <w:rPr>
          <w:rFonts w:hint="cs"/>
          <w:rtl/>
        </w:rPr>
        <w:tab/>
        <w:t>ترجمة غير رسمية للنص الفرنسي الرسمي لأعمال المؤتمر الدبلوماسي الذي اعتمد اتفاق لشبونة في عام 1958.</w:t>
      </w:r>
    </w:p>
  </w:footnote>
  <w:footnote w:id="3">
    <w:p w:rsidR="002D7990" w:rsidRDefault="002D7990" w:rsidP="00E917B1">
      <w:pPr>
        <w:pStyle w:val="FootnoteText"/>
        <w:rPr>
          <w:rtl/>
        </w:rPr>
      </w:pPr>
      <w:r>
        <w:rPr>
          <w:rStyle w:val="FootnoteReference"/>
        </w:rPr>
        <w:footnoteRef/>
      </w:r>
      <w:r>
        <w:tab/>
      </w:r>
      <w:r>
        <w:rPr>
          <w:rFonts w:hint="cs"/>
          <w:rtl/>
        </w:rPr>
        <w:t>تتألف الرسوم من رسوم إضافية ورسوم تكميلية ورسوم فردية لكل من أعضاء نظام مدريد المعينين.</w:t>
      </w:r>
    </w:p>
  </w:footnote>
  <w:footnote w:id="4">
    <w:p w:rsidR="002D7990" w:rsidRDefault="002D7990">
      <w:pPr>
        <w:pStyle w:val="FootnoteText"/>
      </w:pPr>
      <w:r>
        <w:rPr>
          <w:rStyle w:val="FootnoteReference"/>
        </w:rPr>
        <w:footnoteRef/>
      </w:r>
      <w:r>
        <w:rPr>
          <w:rFonts w:hint="cs"/>
          <w:rtl/>
        </w:rPr>
        <w:tab/>
        <w:t>تتألف الرسوم المستحقة عن أي طلب دولي من الرسم الأساسي، وهو رسم فردي لكل عضو معين في نظام مدريد، ورسم تكميلي لكل عضو معين في نظام مدريد إذا لم ينطبق الرسم الفردي، ورسم إضافي لكل فئة من السلع والخدمات إذا تجاوز عددها ثلاث فئات.</w:t>
      </w:r>
    </w:p>
  </w:footnote>
  <w:footnote w:id="5">
    <w:p w:rsidR="002D7990" w:rsidRPr="00016985" w:rsidRDefault="002D7990" w:rsidP="00A76732">
      <w:pPr>
        <w:pStyle w:val="FootnoteText"/>
        <w:rPr>
          <w:i/>
          <w:iCs/>
        </w:rPr>
      </w:pPr>
      <w:r>
        <w:rPr>
          <w:rStyle w:val="FootnoteReference"/>
        </w:rPr>
        <w:footnoteRef/>
      </w:r>
      <w:r>
        <w:rPr>
          <w:rFonts w:hint="cs"/>
          <w:rtl/>
        </w:rPr>
        <w:tab/>
        <w:t xml:space="preserve">انظر القسم الفرعي باء </w:t>
      </w:r>
      <w:r>
        <w:rPr>
          <w:rtl/>
        </w:rPr>
        <w:t>–</w:t>
      </w:r>
      <w:r>
        <w:rPr>
          <w:rFonts w:hint="cs"/>
          <w:rtl/>
        </w:rPr>
        <w:t xml:space="preserve"> 1 </w:t>
      </w:r>
      <w:r>
        <w:rPr>
          <w:rFonts w:hint="cs"/>
          <w:rtl/>
        </w:rPr>
        <w:noBreakHyphen/>
        <w:t xml:space="preserve"> 1 من مؤشرات الملكية الفكرية العالمية، 2013: </w:t>
      </w:r>
      <w:hyperlink r:id="rId1" w:history="1">
        <w:r w:rsidRPr="00E9074D">
          <w:rPr>
            <w:rStyle w:val="Hyperlink"/>
            <w:i/>
            <w:iCs/>
          </w:rPr>
          <w:t>www.wipo.int/ipstats/en/wipi/</w:t>
        </w:r>
      </w:hyperlink>
    </w:p>
  </w:footnote>
  <w:footnote w:id="6">
    <w:p w:rsidR="002D7990" w:rsidRDefault="002D7990">
      <w:pPr>
        <w:pStyle w:val="FootnoteText"/>
      </w:pPr>
      <w:r>
        <w:rPr>
          <w:rStyle w:val="FootnoteReference"/>
        </w:rPr>
        <w:footnoteRef/>
      </w:r>
      <w:r>
        <w:rPr>
          <w:rFonts w:hint="cs"/>
          <w:rtl/>
        </w:rPr>
        <w:tab/>
        <w:t>عين مثلاً 47 تسجيلاً نشأ في الولايات المتحدة أيضاً الولايات المتحدة.</w:t>
      </w:r>
    </w:p>
  </w:footnote>
  <w:footnote w:id="7">
    <w:p w:rsidR="002D7990" w:rsidRPr="00AD71EC" w:rsidRDefault="002D7990" w:rsidP="000D48CA">
      <w:pPr>
        <w:pStyle w:val="FootnoteText"/>
        <w:spacing w:line="240" w:lineRule="exact"/>
        <w:ind w:left="253" w:hanging="253"/>
      </w:pPr>
      <w:r>
        <w:rPr>
          <w:rStyle w:val="FootnoteReference"/>
          <w:rtl/>
        </w:rPr>
        <w:t>*</w:t>
      </w:r>
      <w:r>
        <w:rPr>
          <w:rFonts w:hint="cs"/>
          <w:rtl/>
        </w:rPr>
        <w:tab/>
      </w:r>
      <w:r w:rsidRPr="00AD71EC">
        <w:rPr>
          <w:sz w:val="24"/>
          <w:szCs w:val="24"/>
          <w:rtl/>
        </w:rPr>
        <w:t>إذا كان بلد منشأ مودع الطلب الدولي من البلدان الأقل نمواً وفقاً للقائمة التي وضعتها الأمم المتحدة، فإن المقدار المقرّر للرسم الأساسي يُخفَّض بنسبة 10 بالمائة (من غير كسور). وفي هذه الحال، يبلغ الرسم الأساسي 65 فرنكاً سويسرياً (إذا لم تكن أية نسخة عن العلامة بالألوان) و90 فرنكاً سويسرياً (إذا كانت إحدى نسخ العلامة بالألوان).</w:t>
      </w:r>
    </w:p>
  </w:footnote>
  <w:footnote w:id="8">
    <w:p w:rsidR="002D7990" w:rsidRPr="00C535B7" w:rsidRDefault="002D7990" w:rsidP="000D48CA">
      <w:pPr>
        <w:pStyle w:val="FootnoteText"/>
        <w:spacing w:line="240" w:lineRule="exact"/>
        <w:ind w:left="255" w:hanging="255"/>
      </w:pPr>
      <w:r>
        <w:rPr>
          <w:rStyle w:val="FootnoteReference"/>
          <w:rtl/>
        </w:rPr>
        <w:t>*</w:t>
      </w:r>
      <w:r w:rsidRPr="00C535B7">
        <w:rPr>
          <w:rtl/>
        </w:rPr>
        <w:tab/>
      </w:r>
      <w:r w:rsidRPr="00C535B7">
        <w:rPr>
          <w:sz w:val="24"/>
          <w:szCs w:val="24"/>
          <w:rtl/>
        </w:rPr>
        <w:t>إذا كان بلد منشأ مودع الطلب الدولي من البلدان الأقل نمواً وفقاً للقائمة التي وضعتها الأمم المتحدة، فإن المقدار المقرّر للرسم الأساسي يُخفَّض بنسبة 10 بالمائة (من غير كسور). وفي هذه الحال، يبلغ الرسم الأساسي 65 فرنكاً سويسرياً (إذا لم تكن أية نسخة عن العلامة بالألوان) و90 فرنكاً سويسرياً (إذا كانت إحدى نسخ العلامة بالألوان).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90" w:rsidRPr="00EC76B4" w:rsidRDefault="002D7990" w:rsidP="00187464">
    <w:pPr>
      <w:pStyle w:val="Header"/>
      <w:rPr>
        <w:lang w:val="it-IT"/>
      </w:rPr>
    </w:pPr>
    <w:r w:rsidRPr="00EC76B4">
      <w:rPr>
        <w:lang w:val="it-IT"/>
      </w:rPr>
      <w:t>LI/WG/DEV/10/4</w:t>
    </w:r>
  </w:p>
  <w:p w:rsidR="002D7990" w:rsidRPr="00EC76B4" w:rsidRDefault="002D7990" w:rsidP="00187464">
    <w:pPr>
      <w:pStyle w:val="Header"/>
      <w:rPr>
        <w:lang w:val="it-IT"/>
      </w:rPr>
    </w:pPr>
    <w:r w:rsidRPr="00EC76B4">
      <w:rPr>
        <w:lang w:val="it-IT"/>
      </w:rPr>
      <w:t>Annex I</w:t>
    </w:r>
  </w:p>
  <w:p w:rsidR="002D7990" w:rsidRDefault="002D7990" w:rsidP="00187464">
    <w:r w:rsidRPr="00EC76B4">
      <w:fldChar w:fldCharType="begin"/>
    </w:r>
    <w:r w:rsidRPr="00EC76B4">
      <w:instrText xml:space="preserve"> PAGE  \* MERGEFORMAT </w:instrText>
    </w:r>
    <w:r w:rsidRPr="00EC76B4">
      <w:fldChar w:fldCharType="separate"/>
    </w:r>
    <w:r>
      <w:rPr>
        <w:noProof/>
      </w:rPr>
      <w:t>43</w:t>
    </w:r>
    <w:r w:rsidRPr="00EC76B4">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90" w:rsidRPr="00EC76B4" w:rsidRDefault="002D7990" w:rsidP="00187464">
    <w:pPr>
      <w:pStyle w:val="Header"/>
      <w:rPr>
        <w:lang w:val="it-IT"/>
      </w:rPr>
    </w:pPr>
    <w:r w:rsidRPr="00EC76B4">
      <w:rPr>
        <w:lang w:val="it-IT"/>
      </w:rPr>
      <w:t>LI/WG/DEV/10/4</w:t>
    </w:r>
  </w:p>
  <w:p w:rsidR="002D7990" w:rsidRDefault="002D7990" w:rsidP="007E2D64">
    <w:pPr>
      <w:pStyle w:val="Header"/>
    </w:pPr>
    <w:r>
      <w:rPr>
        <w:lang w:val="it-IT"/>
      </w:rPr>
      <w:t xml:space="preserve">Annex </w:t>
    </w:r>
    <w:r>
      <w:t>V</w:t>
    </w:r>
  </w:p>
  <w:p w:rsidR="002D7990" w:rsidRDefault="002D7990" w:rsidP="00187464">
    <w:r w:rsidRPr="00EC76B4">
      <w:fldChar w:fldCharType="begin"/>
    </w:r>
    <w:r w:rsidRPr="00EC76B4">
      <w:instrText xml:space="preserve"> PAGE  \* MERGEFORMAT </w:instrText>
    </w:r>
    <w:r w:rsidRPr="00EC76B4">
      <w:fldChar w:fldCharType="separate"/>
    </w:r>
    <w:r w:rsidR="00B31AB5">
      <w:rPr>
        <w:noProof/>
      </w:rPr>
      <w:t>12</w:t>
    </w:r>
    <w:r w:rsidRPr="00EC76B4">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90" w:rsidRPr="0024242D" w:rsidRDefault="002D7990" w:rsidP="00187464">
    <w:pPr>
      <w:pStyle w:val="Header"/>
      <w:rPr>
        <w:lang w:val="it-IT"/>
      </w:rPr>
    </w:pPr>
    <w:r>
      <w:rPr>
        <w:lang w:val="it-IT"/>
      </w:rPr>
      <w:t>LI/WG/DEV/10</w:t>
    </w:r>
    <w:r w:rsidRPr="0024242D">
      <w:rPr>
        <w:lang w:val="it-IT"/>
      </w:rPr>
      <w:t>/</w:t>
    </w:r>
    <w:r>
      <w:rPr>
        <w:lang w:val="it-IT"/>
      </w:rPr>
      <w:t>4</w:t>
    </w:r>
  </w:p>
  <w:p w:rsidR="002D7990" w:rsidRPr="000E2730" w:rsidRDefault="002D7990" w:rsidP="00187464">
    <w:pPr>
      <w:pStyle w:val="Header"/>
    </w:pPr>
    <w:r>
      <w:rPr>
        <w:lang w:val="it-IT"/>
      </w:rPr>
      <w:t>ANNEX V</w:t>
    </w:r>
  </w:p>
  <w:p w:rsidR="002D7990" w:rsidRDefault="002D7990" w:rsidP="00187464">
    <w:pPr>
      <w:pStyle w:val="Header"/>
      <w:bidi/>
      <w:jc w:val="right"/>
      <w:rPr>
        <w:rFonts w:ascii="Arabic Typesetting" w:hAnsi="Arabic Typesetting" w:cs="Arabic Typesetting"/>
        <w:sz w:val="36"/>
        <w:szCs w:val="36"/>
      </w:rPr>
    </w:pPr>
    <w:r>
      <w:rPr>
        <w:rFonts w:ascii="Arabic Typesetting" w:hAnsi="Arabic Typesetting" w:cs="Arabic Typesetting"/>
        <w:sz w:val="36"/>
        <w:szCs w:val="36"/>
        <w:rtl/>
      </w:rPr>
      <w:t>المرفق ال</w:t>
    </w:r>
    <w:r>
      <w:rPr>
        <w:rFonts w:ascii="Arabic Typesetting" w:hAnsi="Arabic Typesetting" w:cs="Arabic Typesetting" w:hint="cs"/>
        <w:sz w:val="36"/>
        <w:szCs w:val="36"/>
        <w:rtl/>
      </w:rPr>
      <w:t>خامس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90" w:rsidRPr="00EC76B4" w:rsidRDefault="002D7990" w:rsidP="00187464">
    <w:pPr>
      <w:pStyle w:val="Header"/>
      <w:rPr>
        <w:lang w:val="it-IT"/>
      </w:rPr>
    </w:pPr>
    <w:r w:rsidRPr="00EC76B4">
      <w:rPr>
        <w:lang w:val="it-IT"/>
      </w:rPr>
      <w:t>LI/WG/DEV/10/4</w:t>
    </w:r>
  </w:p>
  <w:p w:rsidR="002D7990" w:rsidRPr="00EC76B4" w:rsidRDefault="002D7990" w:rsidP="00187464">
    <w:pPr>
      <w:pStyle w:val="Header"/>
      <w:rPr>
        <w:lang w:val="it-IT"/>
      </w:rPr>
    </w:pPr>
    <w:r w:rsidRPr="00EC76B4">
      <w:rPr>
        <w:lang w:val="it-IT"/>
      </w:rPr>
      <w:t>Annex I</w:t>
    </w:r>
  </w:p>
  <w:p w:rsidR="002D7990" w:rsidRDefault="002D7990" w:rsidP="00187464">
    <w:r w:rsidRPr="00EC76B4">
      <w:fldChar w:fldCharType="begin"/>
    </w:r>
    <w:r w:rsidRPr="00EC76B4">
      <w:instrText xml:space="preserve"> PAGE  \* MERGEFORMAT </w:instrText>
    </w:r>
    <w:r w:rsidRPr="00EC76B4">
      <w:fldChar w:fldCharType="separate"/>
    </w:r>
    <w:r w:rsidR="00B31AB5">
      <w:rPr>
        <w:noProof/>
      </w:rPr>
      <w:t>18</w:t>
    </w:r>
    <w:r w:rsidRPr="00EC76B4">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90" w:rsidRPr="00EC76B4" w:rsidRDefault="002D7990" w:rsidP="002C1826">
    <w:pPr>
      <w:pStyle w:val="Header"/>
      <w:rPr>
        <w:lang w:val="it-IT"/>
      </w:rPr>
    </w:pPr>
    <w:r w:rsidRPr="00EC76B4">
      <w:rPr>
        <w:lang w:val="it-IT"/>
      </w:rPr>
      <w:t>LI/WG/DEV/10/4</w:t>
    </w:r>
  </w:p>
  <w:p w:rsidR="002D7990" w:rsidRDefault="002D7990" w:rsidP="002C1826">
    <w:pPr>
      <w:pStyle w:val="Header"/>
      <w:rPr>
        <w:rtl/>
        <w:lang w:val="it-IT"/>
      </w:rPr>
    </w:pPr>
    <w:r w:rsidRPr="00EC76B4">
      <w:rPr>
        <w:lang w:val="it-IT"/>
      </w:rPr>
      <w:t>A</w:t>
    </w:r>
    <w:r>
      <w:rPr>
        <w:lang w:val="it-IT"/>
      </w:rPr>
      <w:t>NNEX</w:t>
    </w:r>
    <w:r w:rsidRPr="00EC76B4">
      <w:rPr>
        <w:lang w:val="it-IT"/>
      </w:rPr>
      <w:t xml:space="preserve"> I</w:t>
    </w:r>
  </w:p>
  <w:p w:rsidR="002D7990" w:rsidRPr="002C1826" w:rsidRDefault="002D7990" w:rsidP="002C1826">
    <w:pPr>
      <w:pStyle w:val="Header"/>
      <w:bidi/>
      <w:jc w:val="right"/>
      <w:rPr>
        <w:rFonts w:ascii="Arabic Typesetting" w:hAnsi="Arabic Typesetting" w:cs="Arabic Typesetting"/>
        <w:sz w:val="36"/>
        <w:szCs w:val="36"/>
        <w:lang w:val="it-IT"/>
      </w:rPr>
    </w:pPr>
    <w:r w:rsidRPr="002C1826">
      <w:rPr>
        <w:rFonts w:ascii="Arabic Typesetting" w:hAnsi="Arabic Typesetting" w:cs="Arabic Typesetting"/>
        <w:sz w:val="36"/>
        <w:szCs w:val="36"/>
        <w:rtl/>
        <w:lang w:val="it-IT"/>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90" w:rsidRPr="00EC76B4" w:rsidRDefault="002D7990" w:rsidP="00187464">
    <w:pPr>
      <w:pStyle w:val="Header"/>
      <w:rPr>
        <w:lang w:val="it-IT"/>
      </w:rPr>
    </w:pPr>
    <w:r w:rsidRPr="00EC76B4">
      <w:rPr>
        <w:lang w:val="it-IT"/>
      </w:rPr>
      <w:t>LI/WG/DEV/10/4</w:t>
    </w:r>
  </w:p>
  <w:p w:rsidR="002D7990" w:rsidRDefault="002D7990" w:rsidP="00187464">
    <w:pPr>
      <w:pStyle w:val="Header"/>
    </w:pPr>
    <w:r w:rsidRPr="00EC76B4">
      <w:rPr>
        <w:lang w:val="it-IT"/>
      </w:rPr>
      <w:t>Annex I</w:t>
    </w:r>
    <w:r>
      <w:t>I</w:t>
    </w:r>
  </w:p>
  <w:p w:rsidR="002D7990" w:rsidRDefault="002D7990" w:rsidP="00187464">
    <w:r w:rsidRPr="00EC76B4">
      <w:fldChar w:fldCharType="begin"/>
    </w:r>
    <w:r w:rsidRPr="00EC76B4">
      <w:instrText xml:space="preserve"> PAGE  \* MERGEFORMAT </w:instrText>
    </w:r>
    <w:r w:rsidRPr="00EC76B4">
      <w:fldChar w:fldCharType="separate"/>
    </w:r>
    <w:r w:rsidR="00B31AB5">
      <w:rPr>
        <w:noProof/>
      </w:rPr>
      <w:t>3</w:t>
    </w:r>
    <w:r w:rsidRPr="00EC76B4">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90" w:rsidRPr="00EC76B4" w:rsidRDefault="002D7990" w:rsidP="002C1826">
    <w:pPr>
      <w:pStyle w:val="Header"/>
      <w:rPr>
        <w:lang w:val="it-IT"/>
      </w:rPr>
    </w:pPr>
    <w:r w:rsidRPr="00EC76B4">
      <w:rPr>
        <w:lang w:val="it-IT"/>
      </w:rPr>
      <w:t>LI/WG/DEV/10/4</w:t>
    </w:r>
  </w:p>
  <w:p w:rsidR="002D7990" w:rsidRDefault="002D7990" w:rsidP="002C1826">
    <w:pPr>
      <w:pStyle w:val="Header"/>
      <w:rPr>
        <w:rtl/>
        <w:lang w:val="it-IT"/>
      </w:rPr>
    </w:pPr>
    <w:r w:rsidRPr="00EC76B4">
      <w:rPr>
        <w:lang w:val="it-IT"/>
      </w:rPr>
      <w:t>A</w:t>
    </w:r>
    <w:r>
      <w:rPr>
        <w:lang w:val="it-IT"/>
      </w:rPr>
      <w:t>NNEX</w:t>
    </w:r>
    <w:r w:rsidRPr="00EC76B4">
      <w:rPr>
        <w:lang w:val="it-IT"/>
      </w:rPr>
      <w:t xml:space="preserve"> I</w:t>
    </w:r>
    <w:r>
      <w:rPr>
        <w:lang w:val="it-IT"/>
      </w:rPr>
      <w:t>I</w:t>
    </w:r>
  </w:p>
  <w:p w:rsidR="002D7990" w:rsidRPr="002C1826" w:rsidRDefault="002D7990" w:rsidP="002C1826">
    <w:pPr>
      <w:pStyle w:val="Header"/>
      <w:bidi/>
      <w:jc w:val="right"/>
      <w:rPr>
        <w:rFonts w:ascii="Arabic Typesetting" w:hAnsi="Arabic Typesetting" w:cs="Arabic Typesetting"/>
        <w:sz w:val="36"/>
        <w:szCs w:val="36"/>
        <w:lang w:val="it-IT"/>
      </w:rPr>
    </w:pPr>
    <w:r w:rsidRPr="002C1826">
      <w:rPr>
        <w:rFonts w:ascii="Arabic Typesetting" w:hAnsi="Arabic Typesetting" w:cs="Arabic Typesetting"/>
        <w:sz w:val="36"/>
        <w:szCs w:val="36"/>
        <w:rtl/>
        <w:lang w:val="it-IT"/>
      </w:rPr>
      <w:t xml:space="preserve">المرفق </w:t>
    </w:r>
    <w:r>
      <w:rPr>
        <w:rFonts w:ascii="Arabic Typesetting" w:hAnsi="Arabic Typesetting" w:cs="Arabic Typesetting"/>
        <w:sz w:val="36"/>
        <w:szCs w:val="36"/>
        <w:rtl/>
        <w:lang w:val="it-IT"/>
      </w:rPr>
      <w:t>ال</w:t>
    </w:r>
    <w:r>
      <w:rPr>
        <w:rFonts w:ascii="Arabic Typesetting" w:hAnsi="Arabic Typesetting" w:cs="Arabic Typesetting" w:hint="cs"/>
        <w:sz w:val="36"/>
        <w:szCs w:val="36"/>
        <w:rtl/>
        <w:lang w:val="it-IT"/>
      </w:rPr>
      <w:t>ثاني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90" w:rsidRPr="00EC76B4" w:rsidRDefault="002D7990" w:rsidP="00187464">
    <w:pPr>
      <w:pStyle w:val="Header"/>
      <w:rPr>
        <w:lang w:val="it-IT"/>
      </w:rPr>
    </w:pPr>
    <w:r w:rsidRPr="00EC76B4">
      <w:rPr>
        <w:lang w:val="it-IT"/>
      </w:rPr>
      <w:t>LI/WG/DEV/10/4</w:t>
    </w:r>
  </w:p>
  <w:p w:rsidR="002D7990" w:rsidRDefault="002D7990" w:rsidP="007E2D64">
    <w:pPr>
      <w:pStyle w:val="Header"/>
    </w:pPr>
    <w:r>
      <w:rPr>
        <w:lang w:val="it-IT"/>
      </w:rPr>
      <w:t>Annex</w:t>
    </w:r>
    <w:r w:rsidRPr="00EC76B4">
      <w:rPr>
        <w:lang w:val="it-IT"/>
      </w:rPr>
      <w:t xml:space="preserve"> I</w:t>
    </w:r>
    <w:r>
      <w:t>II</w:t>
    </w:r>
  </w:p>
  <w:p w:rsidR="002D7990" w:rsidRDefault="002D7990" w:rsidP="00187464">
    <w:r w:rsidRPr="00EC76B4">
      <w:fldChar w:fldCharType="begin"/>
    </w:r>
    <w:r w:rsidRPr="00EC76B4">
      <w:instrText xml:space="preserve"> PAGE  \* MERGEFORMAT </w:instrText>
    </w:r>
    <w:r w:rsidRPr="00EC76B4">
      <w:fldChar w:fldCharType="separate"/>
    </w:r>
    <w:r w:rsidR="00B31AB5">
      <w:rPr>
        <w:noProof/>
      </w:rPr>
      <w:t>6</w:t>
    </w:r>
    <w:r w:rsidRPr="00EC76B4">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90" w:rsidRPr="00EC76B4" w:rsidRDefault="002D7990" w:rsidP="007E2D64">
    <w:pPr>
      <w:pStyle w:val="Header"/>
      <w:rPr>
        <w:lang w:val="it-IT"/>
      </w:rPr>
    </w:pPr>
    <w:r w:rsidRPr="00EC76B4">
      <w:rPr>
        <w:lang w:val="it-IT"/>
      </w:rPr>
      <w:t>LI/WG/DEV/10/4</w:t>
    </w:r>
  </w:p>
  <w:p w:rsidR="002D7990" w:rsidRDefault="002D7990" w:rsidP="007E2D64">
    <w:pPr>
      <w:pStyle w:val="Header"/>
    </w:pPr>
    <w:r>
      <w:rPr>
        <w:lang w:val="it-IT"/>
      </w:rPr>
      <w:t>ANNEX</w:t>
    </w:r>
    <w:r w:rsidRPr="00EC76B4">
      <w:rPr>
        <w:lang w:val="it-IT"/>
      </w:rPr>
      <w:t xml:space="preserve"> I</w:t>
    </w:r>
    <w:r>
      <w:t>II</w:t>
    </w:r>
  </w:p>
  <w:p w:rsidR="002D7990" w:rsidRPr="007E2D64" w:rsidRDefault="002D7990" w:rsidP="007E2D64">
    <w:pPr>
      <w:pStyle w:val="Header"/>
      <w:bidi/>
      <w:jc w:val="right"/>
      <w:rPr>
        <w:rFonts w:ascii="Arabic Typesetting" w:hAnsi="Arabic Typesetting" w:cs="Arabic Typesetting"/>
        <w:sz w:val="36"/>
        <w:szCs w:val="36"/>
        <w:rtl/>
      </w:rPr>
    </w:pPr>
    <w:r w:rsidRPr="007E2D64">
      <w:rPr>
        <w:rFonts w:ascii="Arabic Typesetting" w:hAnsi="Arabic Typesetting" w:cs="Arabic Typesetting"/>
        <w:sz w:val="36"/>
        <w:szCs w:val="36"/>
        <w:rtl/>
      </w:rPr>
      <w:t>المرفق الثالث</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90" w:rsidRPr="00EC76B4" w:rsidRDefault="002D7990" w:rsidP="00187464">
    <w:pPr>
      <w:pStyle w:val="Header"/>
      <w:rPr>
        <w:lang w:val="it-IT"/>
      </w:rPr>
    </w:pPr>
    <w:r w:rsidRPr="00EC76B4">
      <w:rPr>
        <w:lang w:val="it-IT"/>
      </w:rPr>
      <w:t>LI/WG/DEV/10/4</w:t>
    </w:r>
  </w:p>
  <w:p w:rsidR="002D7990" w:rsidRDefault="002D7990" w:rsidP="007E2D64">
    <w:pPr>
      <w:pStyle w:val="Header"/>
    </w:pPr>
    <w:r>
      <w:rPr>
        <w:lang w:val="it-IT"/>
      </w:rPr>
      <w:t>Annex</w:t>
    </w:r>
    <w:r w:rsidRPr="00EC76B4">
      <w:rPr>
        <w:lang w:val="it-IT"/>
      </w:rPr>
      <w:t xml:space="preserve"> I</w:t>
    </w:r>
    <w:r>
      <w:t>V</w:t>
    </w:r>
  </w:p>
  <w:p w:rsidR="002D7990" w:rsidRDefault="002D7990" w:rsidP="00187464">
    <w:r w:rsidRPr="00EC76B4">
      <w:fldChar w:fldCharType="begin"/>
    </w:r>
    <w:r w:rsidRPr="00EC76B4">
      <w:instrText xml:space="preserve"> PAGE  \* MERGEFORMAT </w:instrText>
    </w:r>
    <w:r w:rsidRPr="00EC76B4">
      <w:fldChar w:fldCharType="separate"/>
    </w:r>
    <w:r w:rsidR="00B31AB5">
      <w:rPr>
        <w:noProof/>
      </w:rPr>
      <w:t>4</w:t>
    </w:r>
    <w:r w:rsidRPr="00EC76B4">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90" w:rsidRPr="00EC76B4" w:rsidRDefault="002D7990" w:rsidP="007E2D64">
    <w:pPr>
      <w:pStyle w:val="Header"/>
      <w:rPr>
        <w:lang w:val="it-IT"/>
      </w:rPr>
    </w:pPr>
    <w:r w:rsidRPr="00EC76B4">
      <w:rPr>
        <w:lang w:val="it-IT"/>
      </w:rPr>
      <w:t>LI/WG/DEV/10/4</w:t>
    </w:r>
  </w:p>
  <w:p w:rsidR="002D7990" w:rsidRDefault="002D7990" w:rsidP="007E2D64">
    <w:pPr>
      <w:pStyle w:val="Header"/>
    </w:pPr>
    <w:r>
      <w:rPr>
        <w:lang w:val="it-IT"/>
      </w:rPr>
      <w:t>ANNEX</w:t>
    </w:r>
    <w:r w:rsidRPr="00EC76B4">
      <w:rPr>
        <w:lang w:val="it-IT"/>
      </w:rPr>
      <w:t xml:space="preserve"> I</w:t>
    </w:r>
    <w:r>
      <w:t>V</w:t>
    </w:r>
  </w:p>
  <w:p w:rsidR="002D7990" w:rsidRPr="007E2D64" w:rsidRDefault="002D7990" w:rsidP="00C36D7A">
    <w:pPr>
      <w:pStyle w:val="Header"/>
      <w:bidi/>
      <w:jc w:val="right"/>
      <w:rPr>
        <w:rFonts w:ascii="Arabic Typesetting" w:hAnsi="Arabic Typesetting" w:cs="Arabic Typesetting"/>
        <w:sz w:val="36"/>
        <w:szCs w:val="36"/>
        <w:rtl/>
      </w:rPr>
    </w:pPr>
    <w:r w:rsidRPr="007E2D64">
      <w:rPr>
        <w:rFonts w:ascii="Arabic Typesetting" w:hAnsi="Arabic Typesetting" w:cs="Arabic Typesetting"/>
        <w:sz w:val="36"/>
        <w:szCs w:val="36"/>
        <w:rtl/>
      </w:rPr>
      <w:t>المرفق ال</w:t>
    </w:r>
    <w:r>
      <w:rPr>
        <w:rFonts w:ascii="Arabic Typesetting" w:hAnsi="Arabic Typesetting" w:cs="Arabic Typesetting" w:hint="cs"/>
        <w:sz w:val="36"/>
        <w:szCs w:val="36"/>
        <w:rtl/>
      </w:rPr>
      <w:t>رابع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13683DA9"/>
    <w:multiLevelType w:val="hybridMultilevel"/>
    <w:tmpl w:val="A198C524"/>
    <w:lvl w:ilvl="0" w:tplc="ACD4BC38">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1BFB2370"/>
    <w:multiLevelType w:val="hybridMultilevel"/>
    <w:tmpl w:val="6D586812"/>
    <w:lvl w:ilvl="0" w:tplc="CCC89200">
      <w:start w:val="1"/>
      <w:numFmt w:val="decimal"/>
      <w:lvlText w:val="%1.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FB19A2"/>
    <w:multiLevelType w:val="multilevel"/>
    <w:tmpl w:val="495EEFEE"/>
    <w:lvl w:ilvl="0">
      <w:start w:val="1"/>
      <w:numFmt w:val="decimal"/>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EE5489"/>
    <w:multiLevelType w:val="hybridMultilevel"/>
    <w:tmpl w:val="903CE8AE"/>
    <w:lvl w:ilvl="0" w:tplc="445AB336">
      <w:start w:val="1"/>
      <w:numFmt w:val="decimal"/>
      <w:lvlText w:val="%1.7"/>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32D5C91"/>
    <w:multiLevelType w:val="hybridMultilevel"/>
    <w:tmpl w:val="F8ACAA30"/>
    <w:lvl w:ilvl="0" w:tplc="9F44760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C8B3C46"/>
    <w:multiLevelType w:val="hybridMultilevel"/>
    <w:tmpl w:val="799E19C6"/>
    <w:lvl w:ilvl="0" w:tplc="AEB04A72">
      <w:start w:val="1"/>
      <w:numFmt w:val="decimal"/>
      <w:lvlText w:val="03.%1."/>
      <w:lvlJc w:val="left"/>
      <w:pPr>
        <w:tabs>
          <w:tab w:val="num" w:pos="567"/>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590901C8"/>
    <w:multiLevelType w:val="hybridMultilevel"/>
    <w:tmpl w:val="A896140A"/>
    <w:lvl w:ilvl="0" w:tplc="CBB0DAC0">
      <w:start w:val="1"/>
      <w:numFmt w:val="decimal"/>
      <w:lvlText w:val="%1.8"/>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E5367AB"/>
    <w:multiLevelType w:val="multilevel"/>
    <w:tmpl w:val="BE36D044"/>
    <w:lvl w:ilvl="0">
      <w:start w:val="20"/>
      <w:numFmt w:val="decimal"/>
      <w:lvlText w:val="%1"/>
      <w:lvlJc w:val="left"/>
      <w:pPr>
        <w:tabs>
          <w:tab w:val="num" w:pos="855"/>
        </w:tabs>
        <w:ind w:left="855" w:hanging="855"/>
      </w:pPr>
    </w:lvl>
    <w:lvl w:ilvl="1">
      <w:start w:val="1"/>
      <w:numFmt w:val="decimalZero"/>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BCF2431"/>
    <w:multiLevelType w:val="hybridMultilevel"/>
    <w:tmpl w:val="339672E8"/>
    <w:lvl w:ilvl="0" w:tplc="19ECFC32">
      <w:start w:val="1"/>
      <w:numFmt w:val="decimal"/>
      <w:lvlText w:val="%1.8"/>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nsid w:val="70635BEC"/>
    <w:multiLevelType w:val="hybridMultilevel"/>
    <w:tmpl w:val="68A647DA"/>
    <w:lvl w:ilvl="0" w:tplc="1ABABF38">
      <w:start w:val="1"/>
      <w:numFmt w:val="decimal"/>
      <w:lvlText w:val="%1.9"/>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CD24A25"/>
    <w:multiLevelType w:val="hybridMultilevel"/>
    <w:tmpl w:val="3F9A5BAC"/>
    <w:lvl w:ilvl="0" w:tplc="D214FEC8">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1D6689"/>
    <w:multiLevelType w:val="hybridMultilevel"/>
    <w:tmpl w:val="BBCC038C"/>
    <w:lvl w:ilvl="0" w:tplc="BFC8E72A">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20"/>
  </w:num>
  <w:num w:numId="3">
    <w:abstractNumId w:val="12"/>
  </w:num>
  <w:num w:numId="4">
    <w:abstractNumId w:val="27"/>
  </w:num>
  <w:num w:numId="5">
    <w:abstractNumId w:val="8"/>
  </w:num>
  <w:num w:numId="6">
    <w:abstractNumId w:val="29"/>
  </w:num>
  <w:num w:numId="7">
    <w:abstractNumId w:val="18"/>
  </w:num>
  <w:num w:numId="8">
    <w:abstractNumId w:val="25"/>
  </w:num>
  <w:num w:numId="9">
    <w:abstractNumId w:val="23"/>
  </w:num>
  <w:num w:numId="10">
    <w:abstractNumId w:val="32"/>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9"/>
  </w:num>
  <w:num w:numId="22">
    <w:abstractNumId w:val="11"/>
  </w:num>
  <w:num w:numId="23">
    <w:abstractNumId w:val="30"/>
  </w:num>
  <w:num w:numId="24">
    <w:abstractNumId w:val="31"/>
  </w:num>
  <w:num w:numId="25">
    <w:abstractNumId w:val="14"/>
  </w:num>
  <w:num w:numId="26">
    <w:abstractNumId w:val="22"/>
  </w:num>
  <w:num w:numId="27">
    <w:abstractNumId w:val="17"/>
  </w:num>
  <w:num w:numId="28">
    <w:abstractNumId w:val="26"/>
  </w:num>
  <w:num w:numId="29">
    <w:abstractNumId w:val="28"/>
  </w:num>
  <w:num w:numId="30">
    <w:abstractNumId w:val="21"/>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15"/>
  </w:num>
  <w:num w:numId="35">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24"/>
  </w:num>
  <w:num w:numId="37">
    <w:abstractNumId w:val="2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ara"/>
    <w:docVar w:name="TermBases" w:val="WIPONew"/>
    <w:docVar w:name="TermBaseURL" w:val="empty"/>
    <w:docVar w:name="TextBases" w:val="transmlp.wipo.int\Treaties\Model Laws|transmlp.wipo.int\Treaties\Other Laws and Agreements|transmlp.wipo.int\Treaties\WIPO-administered|transmlp.wipo.int\Patents\Meetings|transmlp.wipo.int\Patents\Other|transmlp.wipo.int\Patents\Publications|transmlp.wipo.int\Budget and Finance\Meetings|transmlp.wipo.int\Budget and Finance\Other|transmlp.wipo.int\Budget and Finance\Publications|transmlp.wipo.int\Administrative\Meetings|transmlp.wipo.int\Administrative\Other|transmlp.wipo.int\Administrative\Publications|transmlp.wipo.int\Copyright\Meetings|transmlp.wipo.int\Copyright\Other|transmlp.wipo.int\Copyright\Publications|transmlp.wipo.int\Trademarks\Meetings|transmlp.wipo.int\Trademarks\Other|transmlp.wipo.int\Trademarks\Publications|transmlp.wipo.int\IP in General\Academy|transmlp.wipo.int\IP in General\Arbitration and Mediation|transmlp.wipo.int\IP in General\Meetings|transmlp.wipo.int\IP in General\Other|transmlp.wipo.int\IP in General\Press Room|transmlp.wipo.int\IP in General\Publications"/>
    <w:docVar w:name="TextBaseURL" w:val="empty"/>
    <w:docVar w:name="UILng" w:val="en"/>
  </w:docVars>
  <w:rsids>
    <w:rsidRoot w:val="0018746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5414"/>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013"/>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77AA6"/>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9692A"/>
    <w:rsid w:val="00097FA0"/>
    <w:rsid w:val="000A12BC"/>
    <w:rsid w:val="000A1306"/>
    <w:rsid w:val="000A1521"/>
    <w:rsid w:val="000A2FC1"/>
    <w:rsid w:val="000A320B"/>
    <w:rsid w:val="000A3A57"/>
    <w:rsid w:val="000A5408"/>
    <w:rsid w:val="000A568A"/>
    <w:rsid w:val="000A6510"/>
    <w:rsid w:val="000B0BB4"/>
    <w:rsid w:val="000B1045"/>
    <w:rsid w:val="000B1BAE"/>
    <w:rsid w:val="000B29B3"/>
    <w:rsid w:val="000B3889"/>
    <w:rsid w:val="000B3B3B"/>
    <w:rsid w:val="000B42E7"/>
    <w:rsid w:val="000B5974"/>
    <w:rsid w:val="000B6B34"/>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8CA"/>
    <w:rsid w:val="000D5FB7"/>
    <w:rsid w:val="000E06A5"/>
    <w:rsid w:val="000E16EB"/>
    <w:rsid w:val="000E2730"/>
    <w:rsid w:val="000E591F"/>
    <w:rsid w:val="000E5A23"/>
    <w:rsid w:val="000E6045"/>
    <w:rsid w:val="000E6D18"/>
    <w:rsid w:val="000E7872"/>
    <w:rsid w:val="000F0772"/>
    <w:rsid w:val="000F0BE5"/>
    <w:rsid w:val="000F0F0D"/>
    <w:rsid w:val="000F16CE"/>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4C89"/>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3B49"/>
    <w:rsid w:val="00135C24"/>
    <w:rsid w:val="00136389"/>
    <w:rsid w:val="00136A1A"/>
    <w:rsid w:val="00136A96"/>
    <w:rsid w:val="001376B6"/>
    <w:rsid w:val="00140A35"/>
    <w:rsid w:val="00142F4D"/>
    <w:rsid w:val="00143428"/>
    <w:rsid w:val="0014412C"/>
    <w:rsid w:val="00144713"/>
    <w:rsid w:val="00144CC3"/>
    <w:rsid w:val="00145204"/>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873"/>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87464"/>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A7B2A"/>
    <w:rsid w:val="001B3131"/>
    <w:rsid w:val="001B4B2F"/>
    <w:rsid w:val="001B5931"/>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7C1F"/>
    <w:rsid w:val="001F0AD5"/>
    <w:rsid w:val="001F0C0A"/>
    <w:rsid w:val="001F1509"/>
    <w:rsid w:val="001F18E7"/>
    <w:rsid w:val="001F39E6"/>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CB4"/>
    <w:rsid w:val="00207F10"/>
    <w:rsid w:val="002112E6"/>
    <w:rsid w:val="00213213"/>
    <w:rsid w:val="0021457F"/>
    <w:rsid w:val="0021505D"/>
    <w:rsid w:val="0021604B"/>
    <w:rsid w:val="002160BD"/>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5029"/>
    <w:rsid w:val="00295E8F"/>
    <w:rsid w:val="00297B80"/>
    <w:rsid w:val="002A076C"/>
    <w:rsid w:val="002A1059"/>
    <w:rsid w:val="002A3C9D"/>
    <w:rsid w:val="002A5403"/>
    <w:rsid w:val="002A6C9F"/>
    <w:rsid w:val="002A72BD"/>
    <w:rsid w:val="002A77F3"/>
    <w:rsid w:val="002B14F0"/>
    <w:rsid w:val="002B1F0F"/>
    <w:rsid w:val="002B53D3"/>
    <w:rsid w:val="002B6202"/>
    <w:rsid w:val="002C014C"/>
    <w:rsid w:val="002C060C"/>
    <w:rsid w:val="002C0BA6"/>
    <w:rsid w:val="002C12A7"/>
    <w:rsid w:val="002C1826"/>
    <w:rsid w:val="002C2B6F"/>
    <w:rsid w:val="002C314F"/>
    <w:rsid w:val="002C4AD1"/>
    <w:rsid w:val="002C5A34"/>
    <w:rsid w:val="002C7D29"/>
    <w:rsid w:val="002D0298"/>
    <w:rsid w:val="002D1662"/>
    <w:rsid w:val="002D1DE5"/>
    <w:rsid w:val="002D3506"/>
    <w:rsid w:val="002D3670"/>
    <w:rsid w:val="002D4807"/>
    <w:rsid w:val="002D5DDC"/>
    <w:rsid w:val="002D5F16"/>
    <w:rsid w:val="002D62F1"/>
    <w:rsid w:val="002D6FD8"/>
    <w:rsid w:val="002D727B"/>
    <w:rsid w:val="002D7990"/>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082"/>
    <w:rsid w:val="00311453"/>
    <w:rsid w:val="003114C9"/>
    <w:rsid w:val="0031229D"/>
    <w:rsid w:val="00312F10"/>
    <w:rsid w:val="00314E12"/>
    <w:rsid w:val="003166A5"/>
    <w:rsid w:val="00316C8C"/>
    <w:rsid w:val="003174C2"/>
    <w:rsid w:val="00317CE4"/>
    <w:rsid w:val="00320DF4"/>
    <w:rsid w:val="00320FED"/>
    <w:rsid w:val="003219A9"/>
    <w:rsid w:val="00321B00"/>
    <w:rsid w:val="00321C54"/>
    <w:rsid w:val="00321DCD"/>
    <w:rsid w:val="0032261F"/>
    <w:rsid w:val="003237A2"/>
    <w:rsid w:val="00324729"/>
    <w:rsid w:val="00325C8B"/>
    <w:rsid w:val="00327011"/>
    <w:rsid w:val="003272A9"/>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1A7"/>
    <w:rsid w:val="00387542"/>
    <w:rsid w:val="00387C6B"/>
    <w:rsid w:val="00390FC0"/>
    <w:rsid w:val="003911B2"/>
    <w:rsid w:val="00391AFE"/>
    <w:rsid w:val="00392705"/>
    <w:rsid w:val="0039345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3F2"/>
    <w:rsid w:val="003B46AD"/>
    <w:rsid w:val="003B5C96"/>
    <w:rsid w:val="003B65FB"/>
    <w:rsid w:val="003B6A26"/>
    <w:rsid w:val="003C1838"/>
    <w:rsid w:val="003C218D"/>
    <w:rsid w:val="003C3D89"/>
    <w:rsid w:val="003C3EE2"/>
    <w:rsid w:val="003C4224"/>
    <w:rsid w:val="003C426D"/>
    <w:rsid w:val="003C4877"/>
    <w:rsid w:val="003C4B42"/>
    <w:rsid w:val="003C4E91"/>
    <w:rsid w:val="003C5F9C"/>
    <w:rsid w:val="003C6D76"/>
    <w:rsid w:val="003C72F6"/>
    <w:rsid w:val="003D073C"/>
    <w:rsid w:val="003D0791"/>
    <w:rsid w:val="003D1130"/>
    <w:rsid w:val="003D37D4"/>
    <w:rsid w:val="003D3A02"/>
    <w:rsid w:val="003D47A7"/>
    <w:rsid w:val="003D49F4"/>
    <w:rsid w:val="003D508B"/>
    <w:rsid w:val="003D56B5"/>
    <w:rsid w:val="003D5DCC"/>
    <w:rsid w:val="003D6B84"/>
    <w:rsid w:val="003E1A49"/>
    <w:rsid w:val="003E2D01"/>
    <w:rsid w:val="003E330E"/>
    <w:rsid w:val="003E3AE3"/>
    <w:rsid w:val="003E56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07634"/>
    <w:rsid w:val="00410B8F"/>
    <w:rsid w:val="00411C95"/>
    <w:rsid w:val="00412057"/>
    <w:rsid w:val="004126C1"/>
    <w:rsid w:val="00413BA5"/>
    <w:rsid w:val="00414FD0"/>
    <w:rsid w:val="00415659"/>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110"/>
    <w:rsid w:val="00450EEE"/>
    <w:rsid w:val="004512B2"/>
    <w:rsid w:val="004528EE"/>
    <w:rsid w:val="00453360"/>
    <w:rsid w:val="00456409"/>
    <w:rsid w:val="004569C6"/>
    <w:rsid w:val="00456ADC"/>
    <w:rsid w:val="0045768F"/>
    <w:rsid w:val="00457769"/>
    <w:rsid w:val="00462226"/>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0B1"/>
    <w:rsid w:val="00490ED4"/>
    <w:rsid w:val="00491B91"/>
    <w:rsid w:val="00491C21"/>
    <w:rsid w:val="00491C66"/>
    <w:rsid w:val="004935D6"/>
    <w:rsid w:val="00494195"/>
    <w:rsid w:val="004945FB"/>
    <w:rsid w:val="00495DE8"/>
    <w:rsid w:val="00497356"/>
    <w:rsid w:val="004A076F"/>
    <w:rsid w:val="004A1DC1"/>
    <w:rsid w:val="004A31A2"/>
    <w:rsid w:val="004A48A7"/>
    <w:rsid w:val="004A655D"/>
    <w:rsid w:val="004B01B1"/>
    <w:rsid w:val="004B08D1"/>
    <w:rsid w:val="004B10E6"/>
    <w:rsid w:val="004B198F"/>
    <w:rsid w:val="004B357D"/>
    <w:rsid w:val="004B3649"/>
    <w:rsid w:val="004B46D0"/>
    <w:rsid w:val="004B57B0"/>
    <w:rsid w:val="004B60CE"/>
    <w:rsid w:val="004B61C9"/>
    <w:rsid w:val="004C0B26"/>
    <w:rsid w:val="004C12FE"/>
    <w:rsid w:val="004C17BC"/>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07766"/>
    <w:rsid w:val="005104E8"/>
    <w:rsid w:val="00510633"/>
    <w:rsid w:val="005107DB"/>
    <w:rsid w:val="00510DB0"/>
    <w:rsid w:val="005119F6"/>
    <w:rsid w:val="00511B7D"/>
    <w:rsid w:val="00511D00"/>
    <w:rsid w:val="00511DDE"/>
    <w:rsid w:val="005137E7"/>
    <w:rsid w:val="0051437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B19"/>
    <w:rsid w:val="00594B95"/>
    <w:rsid w:val="005955C0"/>
    <w:rsid w:val="00595B68"/>
    <w:rsid w:val="00595EAA"/>
    <w:rsid w:val="0059672B"/>
    <w:rsid w:val="00597AD6"/>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1323"/>
    <w:rsid w:val="005F1D87"/>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0BEE"/>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17E8"/>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3B85"/>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185E"/>
    <w:rsid w:val="006E4601"/>
    <w:rsid w:val="006E5B86"/>
    <w:rsid w:val="006E63FF"/>
    <w:rsid w:val="006E652D"/>
    <w:rsid w:val="006E7572"/>
    <w:rsid w:val="006F2F22"/>
    <w:rsid w:val="006F434A"/>
    <w:rsid w:val="006F7974"/>
    <w:rsid w:val="00700A60"/>
    <w:rsid w:val="00705027"/>
    <w:rsid w:val="00710494"/>
    <w:rsid w:val="00710B5D"/>
    <w:rsid w:val="00710B66"/>
    <w:rsid w:val="007117BD"/>
    <w:rsid w:val="00715129"/>
    <w:rsid w:val="007154CE"/>
    <w:rsid w:val="00715B25"/>
    <w:rsid w:val="00716020"/>
    <w:rsid w:val="00720860"/>
    <w:rsid w:val="00721087"/>
    <w:rsid w:val="00721530"/>
    <w:rsid w:val="00723422"/>
    <w:rsid w:val="007260FE"/>
    <w:rsid w:val="00726DD6"/>
    <w:rsid w:val="0073076E"/>
    <w:rsid w:val="00731455"/>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088"/>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28C"/>
    <w:rsid w:val="00776A33"/>
    <w:rsid w:val="00776F15"/>
    <w:rsid w:val="0077792A"/>
    <w:rsid w:val="007779ED"/>
    <w:rsid w:val="00780B1A"/>
    <w:rsid w:val="007810D3"/>
    <w:rsid w:val="0078264A"/>
    <w:rsid w:val="00783D11"/>
    <w:rsid w:val="007844EC"/>
    <w:rsid w:val="00785E46"/>
    <w:rsid w:val="00787917"/>
    <w:rsid w:val="00791489"/>
    <w:rsid w:val="00791683"/>
    <w:rsid w:val="00792F0C"/>
    <w:rsid w:val="00795460"/>
    <w:rsid w:val="007957BA"/>
    <w:rsid w:val="00796CF7"/>
    <w:rsid w:val="00797A80"/>
    <w:rsid w:val="007A0313"/>
    <w:rsid w:val="007A0A83"/>
    <w:rsid w:val="007A380F"/>
    <w:rsid w:val="007A4616"/>
    <w:rsid w:val="007A4BB3"/>
    <w:rsid w:val="007A5F9F"/>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359"/>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2D64"/>
    <w:rsid w:val="007E374B"/>
    <w:rsid w:val="007E39DE"/>
    <w:rsid w:val="007E3F53"/>
    <w:rsid w:val="007E7997"/>
    <w:rsid w:val="007E7B47"/>
    <w:rsid w:val="007F04EF"/>
    <w:rsid w:val="007F342F"/>
    <w:rsid w:val="007F38D1"/>
    <w:rsid w:val="007F5068"/>
    <w:rsid w:val="007F56BB"/>
    <w:rsid w:val="007F5B03"/>
    <w:rsid w:val="007F63CE"/>
    <w:rsid w:val="007F6899"/>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81B"/>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322"/>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2918"/>
    <w:rsid w:val="00895702"/>
    <w:rsid w:val="00897566"/>
    <w:rsid w:val="0089757B"/>
    <w:rsid w:val="008A059F"/>
    <w:rsid w:val="008A1594"/>
    <w:rsid w:val="008A1757"/>
    <w:rsid w:val="008A1CE6"/>
    <w:rsid w:val="008A1F25"/>
    <w:rsid w:val="008A47FB"/>
    <w:rsid w:val="008A5234"/>
    <w:rsid w:val="008A5397"/>
    <w:rsid w:val="008A6861"/>
    <w:rsid w:val="008A7522"/>
    <w:rsid w:val="008A7B55"/>
    <w:rsid w:val="008A7C78"/>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4D5B"/>
    <w:rsid w:val="008D564A"/>
    <w:rsid w:val="008D5E47"/>
    <w:rsid w:val="008D7D8C"/>
    <w:rsid w:val="008E004E"/>
    <w:rsid w:val="008E04FB"/>
    <w:rsid w:val="008E3E79"/>
    <w:rsid w:val="008E5282"/>
    <w:rsid w:val="008E5E2C"/>
    <w:rsid w:val="008E78F1"/>
    <w:rsid w:val="008F03CE"/>
    <w:rsid w:val="008F075B"/>
    <w:rsid w:val="008F0E9E"/>
    <w:rsid w:val="008F24F5"/>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5F8B"/>
    <w:rsid w:val="00926344"/>
    <w:rsid w:val="00926929"/>
    <w:rsid w:val="00927301"/>
    <w:rsid w:val="00927707"/>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2A7"/>
    <w:rsid w:val="009443ED"/>
    <w:rsid w:val="00945DBF"/>
    <w:rsid w:val="00946042"/>
    <w:rsid w:val="00946AB3"/>
    <w:rsid w:val="00947074"/>
    <w:rsid w:val="0094752A"/>
    <w:rsid w:val="00947D01"/>
    <w:rsid w:val="009503EA"/>
    <w:rsid w:val="0095112D"/>
    <w:rsid w:val="00952124"/>
    <w:rsid w:val="00956244"/>
    <w:rsid w:val="00956A06"/>
    <w:rsid w:val="00957435"/>
    <w:rsid w:val="00957852"/>
    <w:rsid w:val="009578D0"/>
    <w:rsid w:val="00957984"/>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97A"/>
    <w:rsid w:val="00975DF1"/>
    <w:rsid w:val="00976AFE"/>
    <w:rsid w:val="00983389"/>
    <w:rsid w:val="00983CEA"/>
    <w:rsid w:val="00984198"/>
    <w:rsid w:val="00984E04"/>
    <w:rsid w:val="00985F00"/>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A44"/>
    <w:rsid w:val="009C4B2C"/>
    <w:rsid w:val="009C4CB3"/>
    <w:rsid w:val="009C4F15"/>
    <w:rsid w:val="009C511C"/>
    <w:rsid w:val="009C5416"/>
    <w:rsid w:val="009C587B"/>
    <w:rsid w:val="009C64C5"/>
    <w:rsid w:val="009C6F87"/>
    <w:rsid w:val="009C7166"/>
    <w:rsid w:val="009C742C"/>
    <w:rsid w:val="009D194C"/>
    <w:rsid w:val="009D2376"/>
    <w:rsid w:val="009D2D48"/>
    <w:rsid w:val="009D3103"/>
    <w:rsid w:val="009D4409"/>
    <w:rsid w:val="009D4724"/>
    <w:rsid w:val="009D4B2F"/>
    <w:rsid w:val="009D4C1B"/>
    <w:rsid w:val="009D500A"/>
    <w:rsid w:val="009D5159"/>
    <w:rsid w:val="009D5EA5"/>
    <w:rsid w:val="009D64DA"/>
    <w:rsid w:val="009D6BEA"/>
    <w:rsid w:val="009D76A3"/>
    <w:rsid w:val="009E0492"/>
    <w:rsid w:val="009E09F5"/>
    <w:rsid w:val="009E0DBC"/>
    <w:rsid w:val="009E11BD"/>
    <w:rsid w:val="009E171F"/>
    <w:rsid w:val="009E1DF8"/>
    <w:rsid w:val="009E2B36"/>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2F7C"/>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480C"/>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732"/>
    <w:rsid w:val="00A76DF7"/>
    <w:rsid w:val="00A77523"/>
    <w:rsid w:val="00A83454"/>
    <w:rsid w:val="00A843FC"/>
    <w:rsid w:val="00A84DA5"/>
    <w:rsid w:val="00A85302"/>
    <w:rsid w:val="00A86119"/>
    <w:rsid w:val="00A8649F"/>
    <w:rsid w:val="00A86D25"/>
    <w:rsid w:val="00A877BD"/>
    <w:rsid w:val="00A8786B"/>
    <w:rsid w:val="00A87EE5"/>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69A"/>
    <w:rsid w:val="00AA37B1"/>
    <w:rsid w:val="00AA47B8"/>
    <w:rsid w:val="00AA550A"/>
    <w:rsid w:val="00AA5EBD"/>
    <w:rsid w:val="00AA628B"/>
    <w:rsid w:val="00AA6DE4"/>
    <w:rsid w:val="00AA7408"/>
    <w:rsid w:val="00AA7D1F"/>
    <w:rsid w:val="00AB02C6"/>
    <w:rsid w:val="00AB246B"/>
    <w:rsid w:val="00AB2ABC"/>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616"/>
    <w:rsid w:val="00B11F60"/>
    <w:rsid w:val="00B121EF"/>
    <w:rsid w:val="00B127AA"/>
    <w:rsid w:val="00B130CB"/>
    <w:rsid w:val="00B14D9D"/>
    <w:rsid w:val="00B14EF5"/>
    <w:rsid w:val="00B16048"/>
    <w:rsid w:val="00B2028C"/>
    <w:rsid w:val="00B21771"/>
    <w:rsid w:val="00B2191C"/>
    <w:rsid w:val="00B21B30"/>
    <w:rsid w:val="00B2231E"/>
    <w:rsid w:val="00B22A27"/>
    <w:rsid w:val="00B22E76"/>
    <w:rsid w:val="00B23016"/>
    <w:rsid w:val="00B23771"/>
    <w:rsid w:val="00B24EA8"/>
    <w:rsid w:val="00B25164"/>
    <w:rsid w:val="00B26625"/>
    <w:rsid w:val="00B26A5A"/>
    <w:rsid w:val="00B2713B"/>
    <w:rsid w:val="00B2769B"/>
    <w:rsid w:val="00B307D2"/>
    <w:rsid w:val="00B31AB5"/>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0828"/>
    <w:rsid w:val="00B8196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1EFC"/>
    <w:rsid w:val="00BA2682"/>
    <w:rsid w:val="00BA31E4"/>
    <w:rsid w:val="00BA3959"/>
    <w:rsid w:val="00BA47CC"/>
    <w:rsid w:val="00BA524B"/>
    <w:rsid w:val="00BA54F7"/>
    <w:rsid w:val="00BA576C"/>
    <w:rsid w:val="00BA6205"/>
    <w:rsid w:val="00BA6CE5"/>
    <w:rsid w:val="00BA6F38"/>
    <w:rsid w:val="00BB1388"/>
    <w:rsid w:val="00BB199E"/>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1D3"/>
    <w:rsid w:val="00BD4EEC"/>
    <w:rsid w:val="00BD4F34"/>
    <w:rsid w:val="00BD537C"/>
    <w:rsid w:val="00BD6F5B"/>
    <w:rsid w:val="00BD7662"/>
    <w:rsid w:val="00BE05ED"/>
    <w:rsid w:val="00BE26B2"/>
    <w:rsid w:val="00BE350E"/>
    <w:rsid w:val="00BE3801"/>
    <w:rsid w:val="00BE38CF"/>
    <w:rsid w:val="00BE394B"/>
    <w:rsid w:val="00BE48A8"/>
    <w:rsid w:val="00BE528F"/>
    <w:rsid w:val="00BE5850"/>
    <w:rsid w:val="00BE58D6"/>
    <w:rsid w:val="00BE5CA6"/>
    <w:rsid w:val="00BE707F"/>
    <w:rsid w:val="00BE7EEC"/>
    <w:rsid w:val="00BE7F5D"/>
    <w:rsid w:val="00BF0707"/>
    <w:rsid w:val="00BF164F"/>
    <w:rsid w:val="00BF1AAF"/>
    <w:rsid w:val="00BF268B"/>
    <w:rsid w:val="00BF4D03"/>
    <w:rsid w:val="00BF4E85"/>
    <w:rsid w:val="00BF54BD"/>
    <w:rsid w:val="00BF5892"/>
    <w:rsid w:val="00C01804"/>
    <w:rsid w:val="00C026BC"/>
    <w:rsid w:val="00C02AD4"/>
    <w:rsid w:val="00C03869"/>
    <w:rsid w:val="00C0734C"/>
    <w:rsid w:val="00C07988"/>
    <w:rsid w:val="00C07C5E"/>
    <w:rsid w:val="00C10068"/>
    <w:rsid w:val="00C10AC5"/>
    <w:rsid w:val="00C11AE3"/>
    <w:rsid w:val="00C12DAD"/>
    <w:rsid w:val="00C12E17"/>
    <w:rsid w:val="00C14741"/>
    <w:rsid w:val="00C1544B"/>
    <w:rsid w:val="00C1665A"/>
    <w:rsid w:val="00C1739F"/>
    <w:rsid w:val="00C177FF"/>
    <w:rsid w:val="00C222FF"/>
    <w:rsid w:val="00C2303C"/>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D7A"/>
    <w:rsid w:val="00C374AD"/>
    <w:rsid w:val="00C40DE4"/>
    <w:rsid w:val="00C40E63"/>
    <w:rsid w:val="00C41A06"/>
    <w:rsid w:val="00C4261B"/>
    <w:rsid w:val="00C42662"/>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47B2"/>
    <w:rsid w:val="00C8533B"/>
    <w:rsid w:val="00C858BA"/>
    <w:rsid w:val="00C86977"/>
    <w:rsid w:val="00C916C8"/>
    <w:rsid w:val="00C91D39"/>
    <w:rsid w:val="00C921A9"/>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0C86"/>
    <w:rsid w:val="00CB2575"/>
    <w:rsid w:val="00CB3677"/>
    <w:rsid w:val="00CB368F"/>
    <w:rsid w:val="00CB4C42"/>
    <w:rsid w:val="00CB4DFA"/>
    <w:rsid w:val="00CB782B"/>
    <w:rsid w:val="00CB79E4"/>
    <w:rsid w:val="00CB7BD7"/>
    <w:rsid w:val="00CC4CB6"/>
    <w:rsid w:val="00CC4DB0"/>
    <w:rsid w:val="00CC5038"/>
    <w:rsid w:val="00CC5326"/>
    <w:rsid w:val="00CC7426"/>
    <w:rsid w:val="00CC7910"/>
    <w:rsid w:val="00CD0C20"/>
    <w:rsid w:val="00CD0D5E"/>
    <w:rsid w:val="00CD297A"/>
    <w:rsid w:val="00CD3DB0"/>
    <w:rsid w:val="00CD4129"/>
    <w:rsid w:val="00CD5DBB"/>
    <w:rsid w:val="00CD675D"/>
    <w:rsid w:val="00CD67E7"/>
    <w:rsid w:val="00CD7388"/>
    <w:rsid w:val="00CE130A"/>
    <w:rsid w:val="00CE23CD"/>
    <w:rsid w:val="00CE247A"/>
    <w:rsid w:val="00CE2853"/>
    <w:rsid w:val="00CE2A1A"/>
    <w:rsid w:val="00CE2F05"/>
    <w:rsid w:val="00CE4A51"/>
    <w:rsid w:val="00CE4F80"/>
    <w:rsid w:val="00CE50E4"/>
    <w:rsid w:val="00CE51E8"/>
    <w:rsid w:val="00CE56A1"/>
    <w:rsid w:val="00CE64A5"/>
    <w:rsid w:val="00CE669E"/>
    <w:rsid w:val="00CE66B5"/>
    <w:rsid w:val="00CE6BFE"/>
    <w:rsid w:val="00CE7031"/>
    <w:rsid w:val="00CE7258"/>
    <w:rsid w:val="00CF028F"/>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1E3"/>
    <w:rsid w:val="00D07D07"/>
    <w:rsid w:val="00D10CA8"/>
    <w:rsid w:val="00D10F87"/>
    <w:rsid w:val="00D1149D"/>
    <w:rsid w:val="00D11B8E"/>
    <w:rsid w:val="00D11D8D"/>
    <w:rsid w:val="00D12B12"/>
    <w:rsid w:val="00D12DD7"/>
    <w:rsid w:val="00D13A8C"/>
    <w:rsid w:val="00D13CA2"/>
    <w:rsid w:val="00D149E1"/>
    <w:rsid w:val="00D14A44"/>
    <w:rsid w:val="00D15BCC"/>
    <w:rsid w:val="00D15D88"/>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08E6"/>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84D"/>
    <w:rsid w:val="00D75EEB"/>
    <w:rsid w:val="00D75F1E"/>
    <w:rsid w:val="00D80F87"/>
    <w:rsid w:val="00D812A5"/>
    <w:rsid w:val="00D82A5C"/>
    <w:rsid w:val="00D82D11"/>
    <w:rsid w:val="00D83490"/>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6717"/>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0CCE"/>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2B27"/>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47F"/>
    <w:rsid w:val="00E679B3"/>
    <w:rsid w:val="00E7190A"/>
    <w:rsid w:val="00E71CAD"/>
    <w:rsid w:val="00E71E5C"/>
    <w:rsid w:val="00E7245E"/>
    <w:rsid w:val="00E73831"/>
    <w:rsid w:val="00E73B66"/>
    <w:rsid w:val="00E7498E"/>
    <w:rsid w:val="00E74BB9"/>
    <w:rsid w:val="00E74FF5"/>
    <w:rsid w:val="00E7584A"/>
    <w:rsid w:val="00E760D0"/>
    <w:rsid w:val="00E76B17"/>
    <w:rsid w:val="00E76D85"/>
    <w:rsid w:val="00E777F1"/>
    <w:rsid w:val="00E77C2E"/>
    <w:rsid w:val="00E80A1A"/>
    <w:rsid w:val="00E8292A"/>
    <w:rsid w:val="00E82DE7"/>
    <w:rsid w:val="00E84116"/>
    <w:rsid w:val="00E84C5C"/>
    <w:rsid w:val="00E85533"/>
    <w:rsid w:val="00E86343"/>
    <w:rsid w:val="00E866CD"/>
    <w:rsid w:val="00E877ED"/>
    <w:rsid w:val="00E901FD"/>
    <w:rsid w:val="00E917B1"/>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5A54"/>
    <w:rsid w:val="00EB7752"/>
    <w:rsid w:val="00EC0725"/>
    <w:rsid w:val="00EC0889"/>
    <w:rsid w:val="00EC0C13"/>
    <w:rsid w:val="00EC148C"/>
    <w:rsid w:val="00EC2D7D"/>
    <w:rsid w:val="00EC36AD"/>
    <w:rsid w:val="00EC3BCF"/>
    <w:rsid w:val="00EC56B1"/>
    <w:rsid w:val="00EC664F"/>
    <w:rsid w:val="00EC6749"/>
    <w:rsid w:val="00EC7015"/>
    <w:rsid w:val="00EC72CB"/>
    <w:rsid w:val="00EC72F5"/>
    <w:rsid w:val="00EC7334"/>
    <w:rsid w:val="00EC76B4"/>
    <w:rsid w:val="00ED1877"/>
    <w:rsid w:val="00ED247F"/>
    <w:rsid w:val="00ED27E4"/>
    <w:rsid w:val="00ED2F21"/>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1ED7"/>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0A5C"/>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0C6"/>
    <w:rsid w:val="00F45196"/>
    <w:rsid w:val="00F45410"/>
    <w:rsid w:val="00F45D51"/>
    <w:rsid w:val="00F46842"/>
    <w:rsid w:val="00F4765F"/>
    <w:rsid w:val="00F479B5"/>
    <w:rsid w:val="00F47A1B"/>
    <w:rsid w:val="00F47C4B"/>
    <w:rsid w:val="00F53775"/>
    <w:rsid w:val="00F539A6"/>
    <w:rsid w:val="00F55E0E"/>
    <w:rsid w:val="00F55EFE"/>
    <w:rsid w:val="00F5611D"/>
    <w:rsid w:val="00F56E3E"/>
    <w:rsid w:val="00F57670"/>
    <w:rsid w:val="00F578A8"/>
    <w:rsid w:val="00F57EEB"/>
    <w:rsid w:val="00F57F67"/>
    <w:rsid w:val="00F60996"/>
    <w:rsid w:val="00F60B5D"/>
    <w:rsid w:val="00F611E4"/>
    <w:rsid w:val="00F613D4"/>
    <w:rsid w:val="00F61FE7"/>
    <w:rsid w:val="00F62AFE"/>
    <w:rsid w:val="00F633E5"/>
    <w:rsid w:val="00F646DF"/>
    <w:rsid w:val="00F64A3A"/>
    <w:rsid w:val="00F64F35"/>
    <w:rsid w:val="00F64FC4"/>
    <w:rsid w:val="00F65DE3"/>
    <w:rsid w:val="00F661A2"/>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971FB"/>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5C8"/>
    <w:rsid w:val="00FC0DAF"/>
    <w:rsid w:val="00FC11F5"/>
    <w:rsid w:val="00FC126D"/>
    <w:rsid w:val="00FC3387"/>
    <w:rsid w:val="00FC382F"/>
    <w:rsid w:val="00FC3CA2"/>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5E3"/>
    <w:rsid w:val="00FE0BF0"/>
    <w:rsid w:val="00FE15A2"/>
    <w:rsid w:val="00FE3B37"/>
    <w:rsid w:val="00FE4B40"/>
    <w:rsid w:val="00FE5DC4"/>
    <w:rsid w:val="00FE6E94"/>
    <w:rsid w:val="00FE76CB"/>
    <w:rsid w:val="00FE7BD8"/>
    <w:rsid w:val="00FF0AA7"/>
    <w:rsid w:val="00FF12EF"/>
    <w:rsid w:val="00FF1D76"/>
    <w:rsid w:val="00FF309E"/>
    <w:rsid w:val="00FF3EE6"/>
    <w:rsid w:val="00FF434C"/>
    <w:rsid w:val="00FF55F5"/>
    <w:rsid w:val="00FF682B"/>
    <w:rsid w:val="00FF74FA"/>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uiPriority="99" w:qFormat="1"/>
    <w:lsdException w:name="endnote text" w:uiPriority="99"/>
    <w:lsdException w:name="List Number" w:uiPriority="99"/>
    <w:lsdException w:name="Title" w:qFormat="1"/>
    <w:lsdException w:name="Signature" w:uiPriority="99"/>
    <w:lsdException w:name="Body Text" w:uiPriority="99"/>
    <w:lsdException w:name="Subtitle" w:qFormat="1"/>
    <w:lsdException w:name="Salutation"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7088"/>
    <w:rPr>
      <w:rFonts w:ascii="Arial" w:eastAsia="SimSun" w:hAnsi="Arial" w:cs="Arial"/>
      <w:b/>
      <w:bCs/>
      <w:caps/>
      <w:kern w:val="32"/>
      <w:sz w:val="22"/>
      <w:szCs w:val="32"/>
    </w:rPr>
  </w:style>
  <w:style w:type="character" w:customStyle="1" w:styleId="Heading2Char">
    <w:name w:val="Heading 2 Char"/>
    <w:basedOn w:val="DefaultParagraphFont"/>
    <w:link w:val="Heading2"/>
    <w:rsid w:val="003C1838"/>
    <w:rPr>
      <w:rFonts w:ascii="Arial" w:eastAsia="SimSun" w:hAnsi="Arial" w:cs="Arial"/>
      <w:bCs/>
      <w:iCs/>
      <w:caps/>
      <w:sz w:val="22"/>
      <w:szCs w:val="28"/>
    </w:rPr>
  </w:style>
  <w:style w:type="character" w:customStyle="1" w:styleId="Heading3Char">
    <w:name w:val="Heading 3 Char"/>
    <w:basedOn w:val="DefaultParagraphFont"/>
    <w:link w:val="Heading3"/>
    <w:rsid w:val="003C1838"/>
    <w:rPr>
      <w:rFonts w:ascii="Arial" w:eastAsia="SimSun" w:hAnsi="Arial" w:cs="Arial"/>
      <w:bCs/>
      <w:sz w:val="22"/>
      <w:szCs w:val="26"/>
      <w:u w:val="single"/>
    </w:rPr>
  </w:style>
  <w:style w:type="character" w:customStyle="1" w:styleId="Heading4Char">
    <w:name w:val="Heading 4 Char"/>
    <w:basedOn w:val="DefaultParagraphFont"/>
    <w:link w:val="Heading4"/>
    <w:rsid w:val="003C1838"/>
    <w:rPr>
      <w:rFonts w:ascii="Arial" w:eastAsia="SimSun" w:hAnsi="Arial" w:cs="Arial"/>
      <w:bCs/>
      <w:i/>
      <w:sz w:val="22"/>
      <w:szCs w:val="28"/>
    </w:rPr>
  </w:style>
  <w:style w:type="paragraph" w:styleId="Header">
    <w:name w:val="header"/>
    <w:basedOn w:val="Normal"/>
    <w:link w:val="HeaderChar"/>
    <w:uiPriority w:val="99"/>
    <w:semiHidden/>
    <w:pPr>
      <w:tabs>
        <w:tab w:val="center" w:pos="4536"/>
        <w:tab w:val="right" w:pos="9072"/>
      </w:tabs>
    </w:pPr>
  </w:style>
  <w:style w:type="character" w:customStyle="1" w:styleId="HeaderChar">
    <w:name w:val="Header Char"/>
    <w:basedOn w:val="DefaultParagraphFont"/>
    <w:link w:val="Header"/>
    <w:uiPriority w:val="99"/>
    <w:semiHidden/>
    <w:rsid w:val="003C1838"/>
    <w:rPr>
      <w:rFonts w:ascii="Arial" w:hAnsi="Arial" w:cs="Arial"/>
      <w:sz w:val="22"/>
    </w:rPr>
  </w:style>
  <w:style w:type="paragraph" w:styleId="Footer">
    <w:name w:val="footer"/>
    <w:basedOn w:val="Normal"/>
    <w:link w:val="FooterChar"/>
    <w:uiPriority w:val="99"/>
    <w:semiHidden/>
    <w:rsid w:val="00744889"/>
    <w:pPr>
      <w:tabs>
        <w:tab w:val="center" w:pos="4320"/>
        <w:tab w:val="right" w:pos="8640"/>
      </w:tabs>
    </w:pPr>
  </w:style>
  <w:style w:type="character" w:customStyle="1" w:styleId="FooterChar">
    <w:name w:val="Footer Char"/>
    <w:basedOn w:val="DefaultParagraphFont"/>
    <w:link w:val="Footer"/>
    <w:uiPriority w:val="99"/>
    <w:semiHidden/>
    <w:rsid w:val="003C1838"/>
    <w:rPr>
      <w:rFonts w:ascii="Arial" w:hAnsi="Arial" w:cs="Arial"/>
      <w:sz w:val="22"/>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basedOn w:val="DefaultParagraphFont"/>
    <w:link w:val="Salutation"/>
    <w:uiPriority w:val="99"/>
    <w:semiHidden/>
    <w:rsid w:val="003C1838"/>
    <w:rPr>
      <w:rFonts w:ascii="Arial" w:hAnsi="Arial" w:cs="Arial"/>
      <w:sz w:val="22"/>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basedOn w:val="DefaultParagraphFont"/>
    <w:link w:val="Signature"/>
    <w:uiPriority w:val="99"/>
    <w:semiHidden/>
    <w:rsid w:val="003C1838"/>
    <w:rPr>
      <w:rFonts w:ascii="Arial" w:hAnsi="Arial" w:cs="Arial"/>
      <w:sz w:val="22"/>
    </w:r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character" w:customStyle="1" w:styleId="FootnoteTextChar">
    <w:name w:val="Footnote Text Char"/>
    <w:basedOn w:val="DefaultParagraphFont"/>
    <w:link w:val="FootnoteText"/>
    <w:uiPriority w:val="99"/>
    <w:semiHidden/>
    <w:rsid w:val="003C1838"/>
    <w:rPr>
      <w:rFonts w:ascii="Arabic Typesetting" w:hAnsi="Arabic Typesetting" w:cs="Arabic Typesetting"/>
      <w:sz w:val="28"/>
      <w:szCs w:val="28"/>
    </w:rPr>
  </w:style>
  <w:style w:type="paragraph" w:styleId="EndnoteText">
    <w:name w:val="endnote text"/>
    <w:basedOn w:val="Normal"/>
    <w:link w:val="EndnoteTextChar"/>
    <w:uiPriority w:val="99"/>
    <w:semiHidden/>
    <w:rsid w:val="00744889"/>
    <w:rPr>
      <w:sz w:val="18"/>
    </w:rPr>
  </w:style>
  <w:style w:type="character" w:customStyle="1" w:styleId="EndnoteTextChar">
    <w:name w:val="Endnote Text Char"/>
    <w:basedOn w:val="DefaultParagraphFont"/>
    <w:link w:val="EndnoteText"/>
    <w:uiPriority w:val="99"/>
    <w:semiHidden/>
    <w:rsid w:val="003C1838"/>
    <w:rPr>
      <w:rFonts w:ascii="Arial" w:hAnsi="Arial" w:cs="Arial"/>
      <w:sz w:val="18"/>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basedOn w:val="DefaultParagraphFont"/>
    <w:link w:val="CommentText"/>
    <w:uiPriority w:val="99"/>
    <w:semiHidden/>
    <w:rsid w:val="007C2359"/>
    <w:rPr>
      <w:rFonts w:ascii="Arial" w:hAnsi="Arial" w:cs="Arial"/>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uiPriority w:val="99"/>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styleId="CommentReference">
    <w:name w:val="annotation reference"/>
    <w:basedOn w:val="DefaultParagraphFont"/>
    <w:rsid w:val="007C2359"/>
    <w:rPr>
      <w:sz w:val="16"/>
      <w:szCs w:val="16"/>
    </w:rPr>
  </w:style>
  <w:style w:type="paragraph" w:styleId="CommentSubject">
    <w:name w:val="annotation subject"/>
    <w:basedOn w:val="CommentText"/>
    <w:next w:val="CommentText"/>
    <w:link w:val="CommentSubjectChar"/>
    <w:rsid w:val="007C2359"/>
    <w:rPr>
      <w:b/>
      <w:bCs/>
      <w:sz w:val="20"/>
    </w:rPr>
  </w:style>
  <w:style w:type="character" w:customStyle="1" w:styleId="CommentSubjectChar">
    <w:name w:val="Comment Subject Char"/>
    <w:basedOn w:val="CommentTextChar"/>
    <w:link w:val="CommentSubject"/>
    <w:rsid w:val="007C2359"/>
    <w:rPr>
      <w:rFonts w:ascii="Arial" w:hAnsi="Arial" w:cs="Arial"/>
      <w:b/>
      <w:bCs/>
      <w:sz w:val="18"/>
    </w:rPr>
  </w:style>
  <w:style w:type="character" w:styleId="Hyperlink">
    <w:name w:val="Hyperlink"/>
    <w:unhideWhenUsed/>
    <w:rsid w:val="003C1838"/>
    <w:rPr>
      <w:color w:val="0000FF"/>
      <w:u w:val="single"/>
    </w:rPr>
  </w:style>
  <w:style w:type="character" w:styleId="FollowedHyperlink">
    <w:name w:val="FollowedHyperlink"/>
    <w:basedOn w:val="DefaultParagraphFont"/>
    <w:uiPriority w:val="99"/>
    <w:unhideWhenUsed/>
    <w:rsid w:val="003C1838"/>
    <w:rPr>
      <w:color w:val="800080" w:themeColor="followedHyperlink"/>
      <w:u w:val="single"/>
    </w:rPr>
  </w:style>
  <w:style w:type="paragraph" w:styleId="NormalWeb">
    <w:name w:val="Normal (Web)"/>
    <w:basedOn w:val="Normal"/>
    <w:uiPriority w:val="99"/>
    <w:unhideWhenUsed/>
    <w:rsid w:val="003C1838"/>
    <w:pPr>
      <w:spacing w:before="100" w:beforeAutospacing="1" w:after="336" w:line="336" w:lineRule="atLeast"/>
    </w:pPr>
    <w:rPr>
      <w:rFonts w:ascii="Times New Roman" w:hAnsi="Times New Roman" w:cs="Times New Roman"/>
      <w:sz w:val="24"/>
      <w:szCs w:val="24"/>
    </w:rPr>
  </w:style>
  <w:style w:type="paragraph" w:styleId="BodyText">
    <w:name w:val="Body Text"/>
    <w:basedOn w:val="Normal"/>
    <w:link w:val="BodyTextChar"/>
    <w:uiPriority w:val="99"/>
    <w:unhideWhenUsed/>
    <w:rsid w:val="003C1838"/>
    <w:pPr>
      <w:spacing w:after="220"/>
    </w:pPr>
    <w:rPr>
      <w:rFonts w:eastAsia="SimSun"/>
      <w:lang w:eastAsia="zh-CN"/>
    </w:rPr>
  </w:style>
  <w:style w:type="character" w:customStyle="1" w:styleId="BodyTextChar">
    <w:name w:val="Body Text Char"/>
    <w:basedOn w:val="DefaultParagraphFont"/>
    <w:link w:val="BodyText"/>
    <w:uiPriority w:val="99"/>
    <w:rsid w:val="003C1838"/>
    <w:rPr>
      <w:rFonts w:ascii="Arial" w:eastAsia="SimSun" w:hAnsi="Arial" w:cs="Arial"/>
      <w:sz w:val="22"/>
      <w:lang w:eastAsia="zh-CN"/>
    </w:rPr>
  </w:style>
  <w:style w:type="paragraph" w:styleId="ListParagraph">
    <w:name w:val="List Paragraph"/>
    <w:basedOn w:val="Normal"/>
    <w:uiPriority w:val="34"/>
    <w:qFormat/>
    <w:rsid w:val="003C1838"/>
    <w:pPr>
      <w:ind w:left="720"/>
    </w:pPr>
    <w:rPr>
      <w:rFonts w:eastAsia="SimSun"/>
      <w:lang w:eastAsia="zh-CN"/>
    </w:rPr>
  </w:style>
  <w:style w:type="paragraph" w:customStyle="1" w:styleId="Endofdocument-Annex">
    <w:name w:val="[End of document - Annex]"/>
    <w:basedOn w:val="Normal"/>
    <w:uiPriority w:val="99"/>
    <w:rsid w:val="003C1838"/>
    <w:pPr>
      <w:ind w:left="5534"/>
    </w:pPr>
    <w:rPr>
      <w:rFonts w:eastAsia="SimSun"/>
      <w:lang w:eastAsia="zh-CN"/>
    </w:rPr>
  </w:style>
  <w:style w:type="paragraph" w:customStyle="1" w:styleId="ONUME">
    <w:name w:val="ONUM E"/>
    <w:basedOn w:val="BodyText"/>
    <w:uiPriority w:val="99"/>
    <w:rsid w:val="003C1838"/>
    <w:pPr>
      <w:numPr>
        <w:numId w:val="32"/>
      </w:numPr>
    </w:pPr>
  </w:style>
  <w:style w:type="paragraph" w:customStyle="1" w:styleId="ONUMFS">
    <w:name w:val="ONUM FS"/>
    <w:basedOn w:val="BodyText"/>
    <w:uiPriority w:val="99"/>
    <w:rsid w:val="003C1838"/>
    <w:pPr>
      <w:numPr>
        <w:numId w:val="34"/>
      </w:numPr>
    </w:pPr>
  </w:style>
  <w:style w:type="paragraph" w:customStyle="1" w:styleId="tab1">
    <w:name w:val="tab1"/>
    <w:basedOn w:val="Normal"/>
    <w:uiPriority w:val="99"/>
    <w:rsid w:val="003C1838"/>
    <w:pPr>
      <w:tabs>
        <w:tab w:val="left" w:pos="567"/>
        <w:tab w:val="left" w:pos="1004"/>
        <w:tab w:val="left" w:pos="1588"/>
        <w:tab w:val="decimal" w:pos="8080"/>
      </w:tabs>
    </w:pPr>
    <w:rPr>
      <w:rFonts w:ascii="Times New Roman" w:hAnsi="Times New Roman" w:cs="Times New Roman"/>
      <w:sz w:val="24"/>
      <w:lang w:eastAsia="ja-JP"/>
    </w:rPr>
  </w:style>
  <w:style w:type="paragraph" w:customStyle="1" w:styleId="tab2">
    <w:name w:val="tab2"/>
    <w:basedOn w:val="Normal"/>
    <w:uiPriority w:val="99"/>
    <w:rsid w:val="003C1838"/>
    <w:pPr>
      <w:tabs>
        <w:tab w:val="left" w:pos="567"/>
        <w:tab w:val="left" w:pos="1004"/>
        <w:tab w:val="left" w:pos="1588"/>
        <w:tab w:val="center" w:pos="7938"/>
      </w:tabs>
    </w:pPr>
    <w:rPr>
      <w:rFonts w:ascii="Times New Roman" w:hAnsi="Times New Roman" w:cs="Times New Roman"/>
      <w:sz w:val="24"/>
      <w:lang w:eastAsia="ja-JP"/>
    </w:rPr>
  </w:style>
  <w:style w:type="paragraph" w:customStyle="1" w:styleId="sfr">
    <w:name w:val="sfr"/>
    <w:basedOn w:val="Normal"/>
    <w:uiPriority w:val="99"/>
    <w:rsid w:val="003C1838"/>
    <w:pPr>
      <w:tabs>
        <w:tab w:val="left" w:pos="7371"/>
      </w:tabs>
    </w:pPr>
    <w:rPr>
      <w:rFonts w:ascii="Times New Roman" w:hAnsi="Times New Roman" w:cs="Times New Roman"/>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uiPriority="99" w:qFormat="1"/>
    <w:lsdException w:name="endnote text" w:uiPriority="99"/>
    <w:lsdException w:name="List Number" w:uiPriority="99"/>
    <w:lsdException w:name="Title" w:qFormat="1"/>
    <w:lsdException w:name="Signature" w:uiPriority="99"/>
    <w:lsdException w:name="Body Text" w:uiPriority="99"/>
    <w:lsdException w:name="Subtitle" w:qFormat="1"/>
    <w:lsdException w:name="Salutation"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7088"/>
    <w:rPr>
      <w:rFonts w:ascii="Arial" w:eastAsia="SimSun" w:hAnsi="Arial" w:cs="Arial"/>
      <w:b/>
      <w:bCs/>
      <w:caps/>
      <w:kern w:val="32"/>
      <w:sz w:val="22"/>
      <w:szCs w:val="32"/>
    </w:rPr>
  </w:style>
  <w:style w:type="character" w:customStyle="1" w:styleId="Heading2Char">
    <w:name w:val="Heading 2 Char"/>
    <w:basedOn w:val="DefaultParagraphFont"/>
    <w:link w:val="Heading2"/>
    <w:rsid w:val="003C1838"/>
    <w:rPr>
      <w:rFonts w:ascii="Arial" w:eastAsia="SimSun" w:hAnsi="Arial" w:cs="Arial"/>
      <w:bCs/>
      <w:iCs/>
      <w:caps/>
      <w:sz w:val="22"/>
      <w:szCs w:val="28"/>
    </w:rPr>
  </w:style>
  <w:style w:type="character" w:customStyle="1" w:styleId="Heading3Char">
    <w:name w:val="Heading 3 Char"/>
    <w:basedOn w:val="DefaultParagraphFont"/>
    <w:link w:val="Heading3"/>
    <w:rsid w:val="003C1838"/>
    <w:rPr>
      <w:rFonts w:ascii="Arial" w:eastAsia="SimSun" w:hAnsi="Arial" w:cs="Arial"/>
      <w:bCs/>
      <w:sz w:val="22"/>
      <w:szCs w:val="26"/>
      <w:u w:val="single"/>
    </w:rPr>
  </w:style>
  <w:style w:type="character" w:customStyle="1" w:styleId="Heading4Char">
    <w:name w:val="Heading 4 Char"/>
    <w:basedOn w:val="DefaultParagraphFont"/>
    <w:link w:val="Heading4"/>
    <w:rsid w:val="003C1838"/>
    <w:rPr>
      <w:rFonts w:ascii="Arial" w:eastAsia="SimSun" w:hAnsi="Arial" w:cs="Arial"/>
      <w:bCs/>
      <w:i/>
      <w:sz w:val="22"/>
      <w:szCs w:val="28"/>
    </w:rPr>
  </w:style>
  <w:style w:type="paragraph" w:styleId="Header">
    <w:name w:val="header"/>
    <w:basedOn w:val="Normal"/>
    <w:link w:val="HeaderChar"/>
    <w:uiPriority w:val="99"/>
    <w:semiHidden/>
    <w:pPr>
      <w:tabs>
        <w:tab w:val="center" w:pos="4536"/>
        <w:tab w:val="right" w:pos="9072"/>
      </w:tabs>
    </w:pPr>
  </w:style>
  <w:style w:type="character" w:customStyle="1" w:styleId="HeaderChar">
    <w:name w:val="Header Char"/>
    <w:basedOn w:val="DefaultParagraphFont"/>
    <w:link w:val="Header"/>
    <w:uiPriority w:val="99"/>
    <w:semiHidden/>
    <w:rsid w:val="003C1838"/>
    <w:rPr>
      <w:rFonts w:ascii="Arial" w:hAnsi="Arial" w:cs="Arial"/>
      <w:sz w:val="22"/>
    </w:rPr>
  </w:style>
  <w:style w:type="paragraph" w:styleId="Footer">
    <w:name w:val="footer"/>
    <w:basedOn w:val="Normal"/>
    <w:link w:val="FooterChar"/>
    <w:uiPriority w:val="99"/>
    <w:semiHidden/>
    <w:rsid w:val="00744889"/>
    <w:pPr>
      <w:tabs>
        <w:tab w:val="center" w:pos="4320"/>
        <w:tab w:val="right" w:pos="8640"/>
      </w:tabs>
    </w:pPr>
  </w:style>
  <w:style w:type="character" w:customStyle="1" w:styleId="FooterChar">
    <w:name w:val="Footer Char"/>
    <w:basedOn w:val="DefaultParagraphFont"/>
    <w:link w:val="Footer"/>
    <w:uiPriority w:val="99"/>
    <w:semiHidden/>
    <w:rsid w:val="003C1838"/>
    <w:rPr>
      <w:rFonts w:ascii="Arial" w:hAnsi="Arial" w:cs="Arial"/>
      <w:sz w:val="22"/>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basedOn w:val="DefaultParagraphFont"/>
    <w:link w:val="Salutation"/>
    <w:uiPriority w:val="99"/>
    <w:semiHidden/>
    <w:rsid w:val="003C1838"/>
    <w:rPr>
      <w:rFonts w:ascii="Arial" w:hAnsi="Arial" w:cs="Arial"/>
      <w:sz w:val="22"/>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basedOn w:val="DefaultParagraphFont"/>
    <w:link w:val="Signature"/>
    <w:uiPriority w:val="99"/>
    <w:semiHidden/>
    <w:rsid w:val="003C1838"/>
    <w:rPr>
      <w:rFonts w:ascii="Arial" w:hAnsi="Arial" w:cs="Arial"/>
      <w:sz w:val="22"/>
    </w:r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character" w:customStyle="1" w:styleId="FootnoteTextChar">
    <w:name w:val="Footnote Text Char"/>
    <w:basedOn w:val="DefaultParagraphFont"/>
    <w:link w:val="FootnoteText"/>
    <w:uiPriority w:val="99"/>
    <w:semiHidden/>
    <w:rsid w:val="003C1838"/>
    <w:rPr>
      <w:rFonts w:ascii="Arabic Typesetting" w:hAnsi="Arabic Typesetting" w:cs="Arabic Typesetting"/>
      <w:sz w:val="28"/>
      <w:szCs w:val="28"/>
    </w:rPr>
  </w:style>
  <w:style w:type="paragraph" w:styleId="EndnoteText">
    <w:name w:val="endnote text"/>
    <w:basedOn w:val="Normal"/>
    <w:link w:val="EndnoteTextChar"/>
    <w:uiPriority w:val="99"/>
    <w:semiHidden/>
    <w:rsid w:val="00744889"/>
    <w:rPr>
      <w:sz w:val="18"/>
    </w:rPr>
  </w:style>
  <w:style w:type="character" w:customStyle="1" w:styleId="EndnoteTextChar">
    <w:name w:val="Endnote Text Char"/>
    <w:basedOn w:val="DefaultParagraphFont"/>
    <w:link w:val="EndnoteText"/>
    <w:uiPriority w:val="99"/>
    <w:semiHidden/>
    <w:rsid w:val="003C1838"/>
    <w:rPr>
      <w:rFonts w:ascii="Arial" w:hAnsi="Arial" w:cs="Arial"/>
      <w:sz w:val="18"/>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basedOn w:val="DefaultParagraphFont"/>
    <w:link w:val="CommentText"/>
    <w:uiPriority w:val="99"/>
    <w:semiHidden/>
    <w:rsid w:val="007C2359"/>
    <w:rPr>
      <w:rFonts w:ascii="Arial" w:hAnsi="Arial" w:cs="Arial"/>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uiPriority w:val="99"/>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styleId="CommentReference">
    <w:name w:val="annotation reference"/>
    <w:basedOn w:val="DefaultParagraphFont"/>
    <w:rsid w:val="007C2359"/>
    <w:rPr>
      <w:sz w:val="16"/>
      <w:szCs w:val="16"/>
    </w:rPr>
  </w:style>
  <w:style w:type="paragraph" w:styleId="CommentSubject">
    <w:name w:val="annotation subject"/>
    <w:basedOn w:val="CommentText"/>
    <w:next w:val="CommentText"/>
    <w:link w:val="CommentSubjectChar"/>
    <w:rsid w:val="007C2359"/>
    <w:rPr>
      <w:b/>
      <w:bCs/>
      <w:sz w:val="20"/>
    </w:rPr>
  </w:style>
  <w:style w:type="character" w:customStyle="1" w:styleId="CommentSubjectChar">
    <w:name w:val="Comment Subject Char"/>
    <w:basedOn w:val="CommentTextChar"/>
    <w:link w:val="CommentSubject"/>
    <w:rsid w:val="007C2359"/>
    <w:rPr>
      <w:rFonts w:ascii="Arial" w:hAnsi="Arial" w:cs="Arial"/>
      <w:b/>
      <w:bCs/>
      <w:sz w:val="18"/>
    </w:rPr>
  </w:style>
  <w:style w:type="character" w:styleId="Hyperlink">
    <w:name w:val="Hyperlink"/>
    <w:unhideWhenUsed/>
    <w:rsid w:val="003C1838"/>
    <w:rPr>
      <w:color w:val="0000FF"/>
      <w:u w:val="single"/>
    </w:rPr>
  </w:style>
  <w:style w:type="character" w:styleId="FollowedHyperlink">
    <w:name w:val="FollowedHyperlink"/>
    <w:basedOn w:val="DefaultParagraphFont"/>
    <w:uiPriority w:val="99"/>
    <w:unhideWhenUsed/>
    <w:rsid w:val="003C1838"/>
    <w:rPr>
      <w:color w:val="800080" w:themeColor="followedHyperlink"/>
      <w:u w:val="single"/>
    </w:rPr>
  </w:style>
  <w:style w:type="paragraph" w:styleId="NormalWeb">
    <w:name w:val="Normal (Web)"/>
    <w:basedOn w:val="Normal"/>
    <w:uiPriority w:val="99"/>
    <w:unhideWhenUsed/>
    <w:rsid w:val="003C1838"/>
    <w:pPr>
      <w:spacing w:before="100" w:beforeAutospacing="1" w:after="336" w:line="336" w:lineRule="atLeast"/>
    </w:pPr>
    <w:rPr>
      <w:rFonts w:ascii="Times New Roman" w:hAnsi="Times New Roman" w:cs="Times New Roman"/>
      <w:sz w:val="24"/>
      <w:szCs w:val="24"/>
    </w:rPr>
  </w:style>
  <w:style w:type="paragraph" w:styleId="BodyText">
    <w:name w:val="Body Text"/>
    <w:basedOn w:val="Normal"/>
    <w:link w:val="BodyTextChar"/>
    <w:uiPriority w:val="99"/>
    <w:unhideWhenUsed/>
    <w:rsid w:val="003C1838"/>
    <w:pPr>
      <w:spacing w:after="220"/>
    </w:pPr>
    <w:rPr>
      <w:rFonts w:eastAsia="SimSun"/>
      <w:lang w:eastAsia="zh-CN"/>
    </w:rPr>
  </w:style>
  <w:style w:type="character" w:customStyle="1" w:styleId="BodyTextChar">
    <w:name w:val="Body Text Char"/>
    <w:basedOn w:val="DefaultParagraphFont"/>
    <w:link w:val="BodyText"/>
    <w:uiPriority w:val="99"/>
    <w:rsid w:val="003C1838"/>
    <w:rPr>
      <w:rFonts w:ascii="Arial" w:eastAsia="SimSun" w:hAnsi="Arial" w:cs="Arial"/>
      <w:sz w:val="22"/>
      <w:lang w:eastAsia="zh-CN"/>
    </w:rPr>
  </w:style>
  <w:style w:type="paragraph" w:styleId="ListParagraph">
    <w:name w:val="List Paragraph"/>
    <w:basedOn w:val="Normal"/>
    <w:uiPriority w:val="34"/>
    <w:qFormat/>
    <w:rsid w:val="003C1838"/>
    <w:pPr>
      <w:ind w:left="720"/>
    </w:pPr>
    <w:rPr>
      <w:rFonts w:eastAsia="SimSun"/>
      <w:lang w:eastAsia="zh-CN"/>
    </w:rPr>
  </w:style>
  <w:style w:type="paragraph" w:customStyle="1" w:styleId="Endofdocument-Annex">
    <w:name w:val="[End of document - Annex]"/>
    <w:basedOn w:val="Normal"/>
    <w:uiPriority w:val="99"/>
    <w:rsid w:val="003C1838"/>
    <w:pPr>
      <w:ind w:left="5534"/>
    </w:pPr>
    <w:rPr>
      <w:rFonts w:eastAsia="SimSun"/>
      <w:lang w:eastAsia="zh-CN"/>
    </w:rPr>
  </w:style>
  <w:style w:type="paragraph" w:customStyle="1" w:styleId="ONUME">
    <w:name w:val="ONUM E"/>
    <w:basedOn w:val="BodyText"/>
    <w:uiPriority w:val="99"/>
    <w:rsid w:val="003C1838"/>
    <w:pPr>
      <w:numPr>
        <w:numId w:val="32"/>
      </w:numPr>
    </w:pPr>
  </w:style>
  <w:style w:type="paragraph" w:customStyle="1" w:styleId="ONUMFS">
    <w:name w:val="ONUM FS"/>
    <w:basedOn w:val="BodyText"/>
    <w:uiPriority w:val="99"/>
    <w:rsid w:val="003C1838"/>
    <w:pPr>
      <w:numPr>
        <w:numId w:val="34"/>
      </w:numPr>
    </w:pPr>
  </w:style>
  <w:style w:type="paragraph" w:customStyle="1" w:styleId="tab1">
    <w:name w:val="tab1"/>
    <w:basedOn w:val="Normal"/>
    <w:uiPriority w:val="99"/>
    <w:rsid w:val="003C1838"/>
    <w:pPr>
      <w:tabs>
        <w:tab w:val="left" w:pos="567"/>
        <w:tab w:val="left" w:pos="1004"/>
        <w:tab w:val="left" w:pos="1588"/>
        <w:tab w:val="decimal" w:pos="8080"/>
      </w:tabs>
    </w:pPr>
    <w:rPr>
      <w:rFonts w:ascii="Times New Roman" w:hAnsi="Times New Roman" w:cs="Times New Roman"/>
      <w:sz w:val="24"/>
      <w:lang w:eastAsia="ja-JP"/>
    </w:rPr>
  </w:style>
  <w:style w:type="paragraph" w:customStyle="1" w:styleId="tab2">
    <w:name w:val="tab2"/>
    <w:basedOn w:val="Normal"/>
    <w:uiPriority w:val="99"/>
    <w:rsid w:val="003C1838"/>
    <w:pPr>
      <w:tabs>
        <w:tab w:val="left" w:pos="567"/>
        <w:tab w:val="left" w:pos="1004"/>
        <w:tab w:val="left" w:pos="1588"/>
        <w:tab w:val="center" w:pos="7938"/>
      </w:tabs>
    </w:pPr>
    <w:rPr>
      <w:rFonts w:ascii="Times New Roman" w:hAnsi="Times New Roman" w:cs="Times New Roman"/>
      <w:sz w:val="24"/>
      <w:lang w:eastAsia="ja-JP"/>
    </w:rPr>
  </w:style>
  <w:style w:type="paragraph" w:customStyle="1" w:styleId="sfr">
    <w:name w:val="sfr"/>
    <w:basedOn w:val="Normal"/>
    <w:uiPriority w:val="99"/>
    <w:rsid w:val="003C1838"/>
    <w:pPr>
      <w:tabs>
        <w:tab w:val="left" w:pos="7371"/>
      </w:tabs>
    </w:pPr>
    <w:rPr>
      <w:rFonts w:ascii="Times New Roman" w:hAnsi="Times New Roman" w:cs="Times New Roman"/>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797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eader" Target="header5.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image" Target="media/image12.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1.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10.wmf"/><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image" Target="media/image6.wmf"/><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image" Target="media/image9.wmf"/><Relationship Id="rId27" Type="http://schemas.openxmlformats.org/officeDocument/2006/relationships/header" Target="header7.xml"/><Relationship Id="rId30" Type="http://schemas.openxmlformats.org/officeDocument/2006/relationships/header" Target="header10.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ipstats/en//wi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4E12F-5053-48CA-A8BE-421AD64EB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11189</Words>
  <Characters>63779</Characters>
  <Application>Microsoft Office Word</Application>
  <DocSecurity>4</DocSecurity>
  <Lines>531</Lines>
  <Paragraphs>149</Paragraphs>
  <ScaleCrop>false</ScaleCrop>
  <HeadingPairs>
    <vt:vector size="2" baseType="variant">
      <vt:variant>
        <vt:lpstr>Title</vt:lpstr>
      </vt:variant>
      <vt:variant>
        <vt:i4>1</vt:i4>
      </vt:variant>
    </vt:vector>
  </HeadingPairs>
  <TitlesOfParts>
    <vt:vector size="1" baseType="lpstr">
      <vt:lpstr>LI/WG/DEV/10/4 (Arabic)</vt:lpstr>
    </vt:vector>
  </TitlesOfParts>
  <Company>World Intellectual Property Organization</Company>
  <LinksUpToDate>false</LinksUpToDate>
  <CharactersWithSpaces>74819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LI/WG/DEV/10/4 (Arabic)</dc:title>
  <dc:creator>AHMIDOUCH Noureddine</dc:creator>
  <cp:lastModifiedBy>VINCENT Anouck</cp:lastModifiedBy>
  <cp:revision>2</cp:revision>
  <cp:lastPrinted>2014-10-03T12:21:00Z</cp:lastPrinted>
  <dcterms:created xsi:type="dcterms:W3CDTF">2014-10-03T15:34:00Z</dcterms:created>
  <dcterms:modified xsi:type="dcterms:W3CDTF">2014-10-03T15:34:00Z</dcterms:modified>
</cp:coreProperties>
</file>