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F0394" w:rsidP="00916EE2">
            <w:r>
              <w:rPr>
                <w:noProof/>
                <w:lang w:eastAsia="en-US"/>
              </w:rPr>
              <w:drawing>
                <wp:inline distT="0" distB="0" distL="0" distR="0">
                  <wp:extent cx="1857375" cy="1333500"/>
                  <wp:effectExtent l="0" t="0" r="952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335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916EE2">
            <w:pPr>
              <w:jc w:val="right"/>
              <w:rPr>
                <w:rFonts w:ascii="Arial Black" w:hAnsi="Arial Black"/>
                <w:caps/>
                <w:sz w:val="15"/>
              </w:rPr>
            </w:pPr>
            <w:r>
              <w:rPr>
                <w:rFonts w:ascii="Arial Black" w:hAnsi="Arial Black"/>
                <w:caps/>
                <w:sz w:val="15"/>
              </w:rPr>
              <w:t>WIPO/ACE/9/</w:t>
            </w:r>
            <w:bookmarkStart w:id="0" w:name="Code"/>
            <w:bookmarkEnd w:id="0"/>
            <w:r w:rsidR="00EC0383">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C0383">
              <w:rPr>
                <w:rFonts w:ascii="Arial Black" w:hAnsi="Arial Black"/>
                <w:caps/>
                <w:sz w:val="15"/>
              </w:rPr>
              <w:t>SPANISH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A2EC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C0383">
              <w:rPr>
                <w:rFonts w:ascii="Arial Black" w:hAnsi="Arial Black"/>
                <w:caps/>
                <w:sz w:val="15"/>
              </w:rPr>
              <w:t>DECEMBER 2</w:t>
            </w:r>
            <w:r w:rsidR="00AA2EC3">
              <w:rPr>
                <w:rFonts w:ascii="Arial Black" w:hAnsi="Arial Black"/>
                <w:caps/>
                <w:sz w:val="15"/>
              </w:rPr>
              <w:t>1</w:t>
            </w:r>
            <w:r w:rsidR="00EC0383">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05376F">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Default="00EC0383" w:rsidP="008B2CC1">
      <w:pPr>
        <w:rPr>
          <w:caps/>
          <w:sz w:val="24"/>
        </w:rPr>
      </w:pPr>
      <w:bookmarkStart w:id="3" w:name="TitleOfDoc"/>
      <w:bookmarkEnd w:id="3"/>
      <w:r>
        <w:rPr>
          <w:caps/>
          <w:sz w:val="24"/>
        </w:rPr>
        <w:t>ALTERNATIVE COPYRIGHT DISPUTE-RESOLUTION</w:t>
      </w:r>
      <w:r w:rsidR="00A2540A">
        <w:rPr>
          <w:caps/>
          <w:sz w:val="24"/>
        </w:rPr>
        <w:t xml:space="preserve"> MECHANISMS</w:t>
      </w:r>
      <w:r>
        <w:rPr>
          <w:caps/>
          <w:sz w:val="24"/>
        </w:rPr>
        <w:t xml:space="preserve"> IN MEXICO</w:t>
      </w:r>
    </w:p>
    <w:p w:rsidR="00EC0383" w:rsidRDefault="00EC0383" w:rsidP="008B2CC1">
      <w:pPr>
        <w:rPr>
          <w:caps/>
          <w:sz w:val="24"/>
        </w:rPr>
      </w:pPr>
    </w:p>
    <w:p w:rsidR="00EC0383" w:rsidRPr="005B2AB4" w:rsidRDefault="00EC0383" w:rsidP="008B2CC1">
      <w:pPr>
        <w:rPr>
          <w:i/>
          <w:szCs w:val="22"/>
        </w:rPr>
      </w:pPr>
      <w:proofErr w:type="gramStart"/>
      <w:r w:rsidRPr="005B2AB4">
        <w:rPr>
          <w:i/>
          <w:szCs w:val="22"/>
        </w:rPr>
        <w:t>prepared</w:t>
      </w:r>
      <w:proofErr w:type="gramEnd"/>
      <w:r w:rsidRPr="005B2AB4">
        <w:rPr>
          <w:i/>
          <w:szCs w:val="22"/>
        </w:rPr>
        <w:t xml:space="preserve"> by Manuel Guerra </w:t>
      </w:r>
      <w:proofErr w:type="spellStart"/>
      <w:r w:rsidRPr="005B2AB4">
        <w:rPr>
          <w:i/>
          <w:szCs w:val="22"/>
        </w:rPr>
        <w:t>Zamarro</w:t>
      </w:r>
      <w:proofErr w:type="spellEnd"/>
      <w:r w:rsidRPr="005B2AB4">
        <w:rPr>
          <w:i/>
          <w:szCs w:val="22"/>
        </w:rPr>
        <w:t xml:space="preserve">, Director General, National </w:t>
      </w:r>
      <w:r w:rsidR="00295572" w:rsidRPr="005B2AB4">
        <w:rPr>
          <w:i/>
          <w:szCs w:val="22"/>
        </w:rPr>
        <w:t xml:space="preserve">Institute of </w:t>
      </w:r>
      <w:r w:rsidRPr="005B2AB4">
        <w:rPr>
          <w:i/>
          <w:szCs w:val="22"/>
        </w:rPr>
        <w:t>Copyright (INDAUTOR), Mexico</w:t>
      </w:r>
      <w:r w:rsidR="00D46F8A">
        <w:rPr>
          <w:rStyle w:val="FootnoteReference"/>
          <w:i/>
          <w:szCs w:val="22"/>
        </w:rPr>
        <w:footnoteReference w:id="2"/>
      </w:r>
    </w:p>
    <w:p w:rsidR="00EC0383" w:rsidRDefault="00EC0383" w:rsidP="008B2CC1">
      <w:pPr>
        <w:rPr>
          <w:sz w:val="24"/>
        </w:rPr>
      </w:pPr>
    </w:p>
    <w:p w:rsidR="00EC0383" w:rsidRPr="00EC0383" w:rsidRDefault="00EC0383" w:rsidP="008B2CC1">
      <w:pPr>
        <w:rPr>
          <w:sz w:val="24"/>
        </w:rPr>
      </w:pPr>
    </w:p>
    <w:p w:rsidR="008B2CC1" w:rsidRDefault="008B2CC1" w:rsidP="008B2CC1"/>
    <w:p w:rsidR="00EC0383" w:rsidRPr="00EC0383" w:rsidRDefault="00EC0383" w:rsidP="00EC0383">
      <w:pPr>
        <w:rPr>
          <w:b/>
        </w:rPr>
      </w:pPr>
      <w:r w:rsidRPr="00EC0383">
        <w:rPr>
          <w:b/>
        </w:rPr>
        <w:t>1.</w:t>
      </w:r>
      <w:r w:rsidRPr="00EC0383">
        <w:rPr>
          <w:b/>
        </w:rPr>
        <w:tab/>
        <w:t>INTRODUCTION</w:t>
      </w:r>
    </w:p>
    <w:p w:rsidR="00EC0383" w:rsidRDefault="00EC0383" w:rsidP="00EC0383"/>
    <w:p w:rsidR="00B74E6D" w:rsidRDefault="0006599D" w:rsidP="00EC0383">
      <w:r>
        <w:fldChar w:fldCharType="begin"/>
      </w:r>
      <w:r>
        <w:instrText xml:space="preserve"> AUTONUM  </w:instrText>
      </w:r>
      <w:r>
        <w:fldChar w:fldCharType="end"/>
      </w:r>
      <w:r>
        <w:tab/>
      </w:r>
      <w:r w:rsidR="000555E3">
        <w:t xml:space="preserve">Given that recent trends in terms of </w:t>
      </w:r>
      <w:r w:rsidR="00252D85">
        <w:t xml:space="preserve">the development of </w:t>
      </w:r>
      <w:r w:rsidR="00431F79">
        <w:t>alternative d</w:t>
      </w:r>
      <w:r w:rsidR="000555E3">
        <w:t>ispute</w:t>
      </w:r>
      <w:r w:rsidR="00431F79">
        <w:t>-r</w:t>
      </w:r>
      <w:r w:rsidR="000555E3">
        <w:t xml:space="preserve">esolution </w:t>
      </w:r>
      <w:r w:rsidR="00431F79">
        <w:t xml:space="preserve">(ADR) </w:t>
      </w:r>
      <w:r w:rsidR="000555E3">
        <w:t>mechanisms mainly originat</w:t>
      </w:r>
      <w:r w:rsidR="00D46F8A">
        <w:t>ing</w:t>
      </w:r>
      <w:r w:rsidR="000555E3">
        <w:t xml:space="preserve"> from countries with legal systems based on Common Law, such as the United States of America and the United Kingdom, the Spanish name for s</w:t>
      </w:r>
      <w:r w:rsidR="00EC0383">
        <w:t>ystems developed for dispute</w:t>
      </w:r>
      <w:r w:rsidR="003261BF">
        <w:t>-</w:t>
      </w:r>
      <w:r w:rsidR="00EC0383">
        <w:t xml:space="preserve">resolution through extrajudicial means </w:t>
      </w:r>
      <w:r w:rsidR="000555E3">
        <w:t>is a translation of the English term</w:t>
      </w:r>
      <w:r w:rsidR="00B74E6D">
        <w:t>.</w:t>
      </w:r>
    </w:p>
    <w:p w:rsidR="00B74E6D" w:rsidRDefault="00B74E6D" w:rsidP="00EC0383"/>
    <w:p w:rsidR="00EC0383" w:rsidRDefault="00EC0383" w:rsidP="00EC0383">
      <w:r>
        <w:t xml:space="preserve"> </w:t>
      </w:r>
      <w:r w:rsidR="0006599D">
        <w:fldChar w:fldCharType="begin"/>
      </w:r>
      <w:r w:rsidR="0006599D">
        <w:instrText xml:space="preserve"> AUTONUM  </w:instrText>
      </w:r>
      <w:r w:rsidR="0006599D">
        <w:fldChar w:fldCharType="end"/>
      </w:r>
      <w:r w:rsidR="0006599D">
        <w:tab/>
      </w:r>
      <w:r w:rsidR="00B74E6D">
        <w:t>The growing importance of ADR</w:t>
      </w:r>
      <w:r w:rsidR="00431F79">
        <w:t xml:space="preserve"> mechanism</w:t>
      </w:r>
      <w:r w:rsidR="00B74E6D">
        <w:t xml:space="preserve">s is fuelled by the significant advantages such mechanisms offer compared to </w:t>
      </w:r>
      <w:r w:rsidR="00FD71A7">
        <w:t>the courts</w:t>
      </w:r>
      <w:r w:rsidR="000555E3">
        <w:t xml:space="preserve">, such as speed, confidentiality, low cost, the possibility </w:t>
      </w:r>
      <w:r w:rsidR="000555E3" w:rsidRPr="008217A4">
        <w:t xml:space="preserve">of </w:t>
      </w:r>
      <w:r w:rsidR="00AA2EC3">
        <w:t>defining</w:t>
      </w:r>
      <w:r w:rsidR="008217A4" w:rsidRPr="008217A4">
        <w:t xml:space="preserve"> the dispute and the </w:t>
      </w:r>
      <w:r w:rsidR="00467D33">
        <w:t>procedure</w:t>
      </w:r>
      <w:r w:rsidR="000555E3" w:rsidRPr="008217A4">
        <w:t>, as well as the resolut</w:t>
      </w:r>
      <w:r w:rsidR="008217A4" w:rsidRPr="008217A4">
        <w:t xml:space="preserve">ion of the </w:t>
      </w:r>
      <w:r w:rsidR="00467D33">
        <w:t>procedure</w:t>
      </w:r>
      <w:r w:rsidR="000555E3">
        <w:t xml:space="preserve"> by an expert in the matter concerned.</w:t>
      </w:r>
    </w:p>
    <w:p w:rsidR="000555E3" w:rsidRDefault="000555E3" w:rsidP="00EC0383"/>
    <w:p w:rsidR="000555E3" w:rsidRDefault="0006599D" w:rsidP="00EC0383">
      <w:r>
        <w:fldChar w:fldCharType="begin"/>
      </w:r>
      <w:r>
        <w:instrText xml:space="preserve"> AUTONUM  </w:instrText>
      </w:r>
      <w:r>
        <w:fldChar w:fldCharType="end"/>
      </w:r>
      <w:r>
        <w:tab/>
      </w:r>
      <w:r w:rsidR="000555E3">
        <w:t>ADR</w:t>
      </w:r>
      <w:r w:rsidR="00431F79">
        <w:t xml:space="preserve"> mechanism</w:t>
      </w:r>
      <w:r w:rsidR="000555E3">
        <w:t xml:space="preserve">s </w:t>
      </w:r>
      <w:r w:rsidR="00FD71A7">
        <w:t xml:space="preserve">are </w:t>
      </w:r>
      <w:r w:rsidR="000555E3">
        <w:t xml:space="preserve">also </w:t>
      </w:r>
      <w:r w:rsidR="00FD71A7">
        <w:t xml:space="preserve">a way of generating </w:t>
      </w:r>
      <w:r w:rsidR="00E5553F">
        <w:t>great</w:t>
      </w:r>
      <w:r w:rsidR="00FD71A7">
        <w:t xml:space="preserve">er understanding and awareness among the parties involved in the search for a resolution to </w:t>
      </w:r>
      <w:r w:rsidR="00BB618F">
        <w:t>a given</w:t>
      </w:r>
      <w:r w:rsidR="00FD71A7">
        <w:t xml:space="preserve"> dis</w:t>
      </w:r>
      <w:r w:rsidR="00BB618F">
        <w:t>pute or problem</w:t>
      </w:r>
      <w:r w:rsidR="00E5553F">
        <w:t>, be it</w:t>
      </w:r>
      <w:r w:rsidR="00BB618F">
        <w:t xml:space="preserve"> </w:t>
      </w:r>
      <w:r w:rsidR="00FD71A7">
        <w:t xml:space="preserve">contractual or </w:t>
      </w:r>
      <w:r w:rsidR="00B36FE3">
        <w:t>non</w:t>
      </w:r>
      <w:r w:rsidR="00BB618F">
        <w:t>-</w:t>
      </w:r>
      <w:r w:rsidR="00FD71A7">
        <w:t xml:space="preserve">contractual </w:t>
      </w:r>
      <w:r w:rsidR="00E5553F">
        <w:t>in nature.  The mechanisms make it possible to</w:t>
      </w:r>
      <w:r w:rsidR="00D61278">
        <w:t xml:space="preserve"> reach agreements based on common interests</w:t>
      </w:r>
      <w:r w:rsidR="00E5553F">
        <w:t>, resulting</w:t>
      </w:r>
      <w:r w:rsidR="00D61278">
        <w:t xml:space="preserve"> in an outcome that, as far as possible, allows the parties to put aside their differences.</w:t>
      </w:r>
    </w:p>
    <w:p w:rsidR="00D61278" w:rsidRDefault="00D61278" w:rsidP="00EC0383"/>
    <w:p w:rsidR="00D61278" w:rsidRDefault="0006599D" w:rsidP="00EC0383">
      <w:r>
        <w:fldChar w:fldCharType="begin"/>
      </w:r>
      <w:r>
        <w:instrText xml:space="preserve"> AUTONUM  </w:instrText>
      </w:r>
      <w:r>
        <w:fldChar w:fldCharType="end"/>
      </w:r>
      <w:r>
        <w:tab/>
      </w:r>
      <w:r w:rsidR="00D61278">
        <w:t>These mechanisms can be defined as legal instruments designed to build agreements concern</w:t>
      </w:r>
      <w:r w:rsidR="00E54C0B">
        <w:t>ing any type of dispute involving</w:t>
      </w:r>
      <w:r w:rsidR="00D61278">
        <w:t xml:space="preserve"> transactions between the parties</w:t>
      </w:r>
      <w:r w:rsidR="00E54C0B">
        <w:t xml:space="preserve">, through means other </w:t>
      </w:r>
      <w:r w:rsidR="00E54C0B">
        <w:lastRenderedPageBreak/>
        <w:t>than litigation</w:t>
      </w:r>
      <w:r w:rsidR="00A86D85">
        <w:t>.  Such means</w:t>
      </w:r>
      <w:r w:rsidR="00E54C0B">
        <w:t xml:space="preserve"> may involve the intervention of a third party</w:t>
      </w:r>
      <w:r w:rsidR="008217A4">
        <w:t>, brought in to facilitate</w:t>
      </w:r>
      <w:r w:rsidR="00E54C0B">
        <w:t>, in a neutral manner, the negotiation of a solution to the problem.</w:t>
      </w:r>
    </w:p>
    <w:p w:rsidR="00A2540A" w:rsidRDefault="00A2540A" w:rsidP="00EC0383"/>
    <w:p w:rsidR="000F5E56" w:rsidRPr="00DD0D58" w:rsidRDefault="0006599D">
      <w:r>
        <w:fldChar w:fldCharType="begin"/>
      </w:r>
      <w:r>
        <w:instrText xml:space="preserve"> AUTONUM  </w:instrText>
      </w:r>
      <w:r>
        <w:fldChar w:fldCharType="end"/>
      </w:r>
      <w:r>
        <w:tab/>
      </w:r>
      <w:r w:rsidR="00A86D85">
        <w:t xml:space="preserve">Despite the regulations contained in the Federal </w:t>
      </w:r>
      <w:r w:rsidR="00AD3312">
        <w:t xml:space="preserve">Copyright </w:t>
      </w:r>
      <w:r w:rsidR="00A86D85">
        <w:t>L</w:t>
      </w:r>
      <w:r w:rsidR="00065502">
        <w:t xml:space="preserve">aw and the </w:t>
      </w:r>
      <w:r w:rsidR="009731C2">
        <w:t>flexible manner in which</w:t>
      </w:r>
      <w:r w:rsidR="00D420B0" w:rsidRPr="00722FBD">
        <w:t xml:space="preserve"> the relevant rules are set forth</w:t>
      </w:r>
      <w:r w:rsidR="00065502">
        <w:t xml:space="preserve">, these </w:t>
      </w:r>
      <w:bookmarkStart w:id="4" w:name="Prepared"/>
      <w:bookmarkEnd w:id="4"/>
      <w:r w:rsidR="00065502">
        <w:t xml:space="preserve">mechanisms are based on the </w:t>
      </w:r>
      <w:r w:rsidR="00EC51A4">
        <w:t>goodwill</w:t>
      </w:r>
      <w:r w:rsidR="00065502">
        <w:t xml:space="preserve"> of the parties, that is to say, </w:t>
      </w:r>
      <w:r w:rsidR="0045352F" w:rsidRPr="00DD0D58">
        <w:t>a statement to the effect that the parties involved in the dispute agree that there is no subordinate relationship between them.  It is the interests or needs of the parties that drive them to resolve a given dispute freely through the use of these tools, on the basis of mutual agreement and free of any coercion whatsoever.</w:t>
      </w:r>
    </w:p>
    <w:p w:rsidR="0045352F" w:rsidRPr="00DD0D58" w:rsidRDefault="0045352F"/>
    <w:p w:rsidR="0045352F" w:rsidRPr="000F0C3B" w:rsidRDefault="0006599D">
      <w:r>
        <w:fldChar w:fldCharType="begin"/>
      </w:r>
      <w:r>
        <w:instrText xml:space="preserve"> AUTONUM  </w:instrText>
      </w:r>
      <w:r>
        <w:fldChar w:fldCharType="end"/>
      </w:r>
      <w:r>
        <w:tab/>
      </w:r>
      <w:r w:rsidR="0045352F" w:rsidRPr="000F0C3B">
        <w:t xml:space="preserve">Under the Mexican legal system, these </w:t>
      </w:r>
      <w:r w:rsidR="00AA2EC3" w:rsidRPr="000F0C3B">
        <w:t>instruments</w:t>
      </w:r>
      <w:r w:rsidR="00AA2EC3">
        <w:t xml:space="preserve"> are means that </w:t>
      </w:r>
      <w:r w:rsidR="0045352F" w:rsidRPr="000F0C3B">
        <w:t xml:space="preserve">shall be governed by legal provisions, in accordance with Article 17(3) of the Political Constitution of </w:t>
      </w:r>
      <w:r w:rsidR="00EE3B80" w:rsidRPr="000F0C3B">
        <w:t xml:space="preserve">the United </w:t>
      </w:r>
      <w:r w:rsidR="00AA2EC3">
        <w:t xml:space="preserve">Mexican </w:t>
      </w:r>
      <w:r w:rsidR="00EE3B80" w:rsidRPr="000F0C3B">
        <w:t>States:</w:t>
      </w:r>
    </w:p>
    <w:p w:rsidR="00EE3B80" w:rsidRPr="000F0C3B" w:rsidRDefault="00EE3B80"/>
    <w:p w:rsidR="00EE3B80" w:rsidRPr="000F0C3B" w:rsidRDefault="00EE3B80">
      <w:r w:rsidRPr="000F0C3B">
        <w:tab/>
      </w:r>
      <w:proofErr w:type="gramStart"/>
      <w:r w:rsidRPr="000F0C3B">
        <w:t>“Article 17.</w:t>
      </w:r>
      <w:proofErr w:type="gramEnd"/>
      <w:r w:rsidRPr="000F0C3B">
        <w:t xml:space="preserve"> </w:t>
      </w:r>
      <w:r w:rsidR="00AA2EC3">
        <w:t xml:space="preserve"> </w:t>
      </w:r>
      <w:r w:rsidRPr="000F0C3B">
        <w:t>(…)</w:t>
      </w:r>
    </w:p>
    <w:p w:rsidR="00EE3B80" w:rsidRPr="000F0C3B" w:rsidRDefault="00EE3B80" w:rsidP="00E22DC2">
      <w:pPr>
        <w:ind w:left="567"/>
      </w:pPr>
      <w:r w:rsidRPr="000F0C3B">
        <w:t>The laws shall provide for alternativ</w:t>
      </w:r>
      <w:r w:rsidR="00E22DC2" w:rsidRPr="000F0C3B">
        <w:t xml:space="preserve">e dispute-resolution mechanisms, governing their application in </w:t>
      </w:r>
      <w:r w:rsidR="008929DB" w:rsidRPr="000F0C3B">
        <w:t>criminal matters</w:t>
      </w:r>
      <w:r w:rsidR="00E22DC2" w:rsidRPr="000F0C3B">
        <w:t xml:space="preserve">, </w:t>
      </w:r>
      <w:r w:rsidR="008929DB" w:rsidRPr="000F0C3B">
        <w:t>ensuring</w:t>
      </w:r>
      <w:r w:rsidR="00E22DC2" w:rsidRPr="000F0C3B">
        <w:t xml:space="preserve"> the </w:t>
      </w:r>
      <w:r w:rsidR="008929DB" w:rsidRPr="000F0C3B">
        <w:t xml:space="preserve">provision of compensation and </w:t>
      </w:r>
      <w:r w:rsidR="00EC51A4">
        <w:t>sett</w:t>
      </w:r>
      <w:r w:rsidR="008929DB" w:rsidRPr="000F0C3B">
        <w:t>ing</w:t>
      </w:r>
      <w:r w:rsidR="00EC51A4">
        <w:t xml:space="preserve"> forth</w:t>
      </w:r>
      <w:r w:rsidR="008929DB" w:rsidRPr="000F0C3B">
        <w:t xml:space="preserve"> those cases in which judicial supervision is required. (…)”</w:t>
      </w:r>
    </w:p>
    <w:p w:rsidR="00EE3B80" w:rsidRPr="000F0C3B" w:rsidRDefault="00EE3B80"/>
    <w:p w:rsidR="00EE3B80" w:rsidRDefault="0006599D">
      <w:r>
        <w:fldChar w:fldCharType="begin"/>
      </w:r>
      <w:r>
        <w:instrText xml:space="preserve"> AUTONUM  </w:instrText>
      </w:r>
      <w:r>
        <w:fldChar w:fldCharType="end"/>
      </w:r>
      <w:r>
        <w:tab/>
      </w:r>
      <w:r w:rsidR="008929DB" w:rsidRPr="000F0C3B">
        <w:t xml:space="preserve">It is important to </w:t>
      </w:r>
      <w:r w:rsidR="00E85314">
        <w:t xml:space="preserve">recognize </w:t>
      </w:r>
      <w:r w:rsidR="00AE52DB">
        <w:t>that certain</w:t>
      </w:r>
      <w:r w:rsidR="00E85314">
        <w:t xml:space="preserve"> matters cannot be dealt with through the use of ADRs</w:t>
      </w:r>
      <w:r w:rsidR="00B856AC">
        <w:t>, such as offences subject to ex officio prosecution, disputes arising with regard to family matters, and issues of public order and social interest.</w:t>
      </w:r>
    </w:p>
    <w:p w:rsidR="003A76E4" w:rsidRDefault="003A76E4"/>
    <w:p w:rsidR="003A76E4" w:rsidRDefault="0006599D">
      <w:r>
        <w:fldChar w:fldCharType="begin"/>
      </w:r>
      <w:r>
        <w:instrText xml:space="preserve"> AUTONUM  </w:instrText>
      </w:r>
      <w:r>
        <w:fldChar w:fldCharType="end"/>
      </w:r>
      <w:r>
        <w:tab/>
      </w:r>
      <w:r w:rsidR="003A76E4">
        <w:t>Examples of regulation contained in the Mexican legal system include the me</w:t>
      </w:r>
      <w:r w:rsidR="00DD0D58">
        <w:t>ch</w:t>
      </w:r>
      <w:r w:rsidR="003A76E4">
        <w:t>an</w:t>
      </w:r>
      <w:r w:rsidR="00DD0D58">
        <w:t>i</w:t>
      </w:r>
      <w:r w:rsidR="003A76E4">
        <w:t>s</w:t>
      </w:r>
      <w:r w:rsidR="00DD0D58">
        <w:t>ms employed before</w:t>
      </w:r>
      <w:r w:rsidR="003A76E4">
        <w:t xml:space="preserve"> the Office of the Federal </w:t>
      </w:r>
      <w:r w:rsidR="00533672">
        <w:t>Attorney for Consumers (PROFECO), the National Banking and Securities Commission (CNBV) and the National Commission for Medical Arbitration (CONAMED)</w:t>
      </w:r>
      <w:r w:rsidR="009F5E53">
        <w:t>, as well as the provisions of the Federal Copyright Law:</w:t>
      </w:r>
      <w:r w:rsidR="002E681E">
        <w:t xml:space="preserve"> </w:t>
      </w:r>
      <w:r w:rsidR="00207C81">
        <w:t xml:space="preserve"> </w:t>
      </w:r>
      <w:r w:rsidR="002E681E">
        <w:t>the</w:t>
      </w:r>
      <w:r w:rsidR="009F5E53">
        <w:t xml:space="preserve"> administrative </w:t>
      </w:r>
      <w:r w:rsidR="00573D21">
        <w:t>settlement</w:t>
      </w:r>
      <w:r w:rsidR="009F5E53">
        <w:t xml:space="preserve"> </w:t>
      </w:r>
      <w:r w:rsidR="00467D33">
        <w:t>procedure</w:t>
      </w:r>
      <w:r w:rsidR="009F5E53">
        <w:t xml:space="preserve"> and arbitration.</w:t>
      </w:r>
    </w:p>
    <w:p w:rsidR="006C1ACD" w:rsidRDefault="006C1ACD"/>
    <w:p w:rsidR="006C1ACD" w:rsidRDefault="006C1ACD"/>
    <w:p w:rsidR="006C1ACD" w:rsidRDefault="006C1ACD"/>
    <w:p w:rsidR="006C1ACD" w:rsidRDefault="006C1ACD">
      <w:pPr>
        <w:rPr>
          <w:b/>
        </w:rPr>
      </w:pPr>
      <w:r w:rsidRPr="006C1ACD">
        <w:rPr>
          <w:b/>
        </w:rPr>
        <w:t>2.</w:t>
      </w:r>
      <w:r w:rsidRPr="006C1ACD">
        <w:rPr>
          <w:b/>
        </w:rPr>
        <w:tab/>
        <w:t>ALTERNATIVE DISPUTE-RESOLUTION MECHANISMS IN THE MEXICAN LEGAL SYSTEM</w:t>
      </w:r>
    </w:p>
    <w:p w:rsidR="006C1ACD" w:rsidRDefault="006C1ACD">
      <w:pPr>
        <w:rPr>
          <w:b/>
        </w:rPr>
      </w:pPr>
    </w:p>
    <w:p w:rsidR="006C1ACD" w:rsidRDefault="0006599D">
      <w:r>
        <w:fldChar w:fldCharType="begin"/>
      </w:r>
      <w:r>
        <w:instrText xml:space="preserve"> AUTONUM  </w:instrText>
      </w:r>
      <w:r>
        <w:fldChar w:fldCharType="end"/>
      </w:r>
      <w:r>
        <w:tab/>
      </w:r>
      <w:r w:rsidR="006C1ACD" w:rsidRPr="006C1ACD">
        <w:t>Various mechanisms have been implemented as part of national legislation</w:t>
      </w:r>
      <w:r w:rsidR="00AA2EC3">
        <w:t>,</w:t>
      </w:r>
      <w:r w:rsidR="006C1ACD" w:rsidRPr="006C1ACD">
        <w:t xml:space="preserve"> thanks to </w:t>
      </w:r>
      <w:r w:rsidR="00207C81">
        <w:t xml:space="preserve">the </w:t>
      </w:r>
      <w:r w:rsidR="00AA2EC3">
        <w:t>implementation</w:t>
      </w:r>
      <w:r w:rsidR="004A1BFC">
        <w:t xml:space="preserve"> </w:t>
      </w:r>
      <w:r w:rsidR="0075610D">
        <w:t xml:space="preserve">of </w:t>
      </w:r>
      <w:r w:rsidR="004A1BFC">
        <w:t xml:space="preserve">experiences </w:t>
      </w:r>
      <w:r w:rsidR="00AA2EC3">
        <w:t xml:space="preserve">developed </w:t>
      </w:r>
      <w:r w:rsidR="004A1BFC">
        <w:t xml:space="preserve">in this field, with some schools of thought referring to five types of </w:t>
      </w:r>
      <w:r w:rsidR="00D46F8A">
        <w:t>mechanisms</w:t>
      </w:r>
      <w:r w:rsidR="004A1BFC">
        <w:t xml:space="preserve">: </w:t>
      </w:r>
      <w:r w:rsidR="00AA2EC3">
        <w:t xml:space="preserve"> </w:t>
      </w:r>
      <w:r w:rsidR="004A1BFC">
        <w:t xml:space="preserve">mediation, conciliation, arbitration, expertise and dispute boards.  However, the three </w:t>
      </w:r>
      <w:r w:rsidR="00D46F8A">
        <w:t>mechanisms</w:t>
      </w:r>
      <w:r w:rsidR="001B2E03">
        <w:t xml:space="preserve"> </w:t>
      </w:r>
      <w:r w:rsidR="004A1BFC">
        <w:t>that have gained the widest acceptance in practice in Mexico are conciliation, mediation and arbitration</w:t>
      </w:r>
      <w:r w:rsidR="005E4379">
        <w:t xml:space="preserve">.  These </w:t>
      </w:r>
      <w:r w:rsidR="00D46F8A">
        <w:t>mechanisms</w:t>
      </w:r>
      <w:r w:rsidR="001B2E03">
        <w:t xml:space="preserve"> </w:t>
      </w:r>
      <w:r w:rsidR="005E4379">
        <w:t>will be referred to in greater detail below.</w:t>
      </w:r>
    </w:p>
    <w:p w:rsidR="005E4379" w:rsidRDefault="005E4379"/>
    <w:p w:rsidR="005E4379" w:rsidRDefault="005E4379"/>
    <w:p w:rsidR="005E4379" w:rsidRPr="006C1ACD" w:rsidRDefault="005E4379" w:rsidP="00632ECB">
      <w:pPr>
        <w:tabs>
          <w:tab w:val="left" w:pos="567"/>
        </w:tabs>
        <w:ind w:left="567"/>
      </w:pPr>
      <w:r>
        <w:t xml:space="preserve">2.1 </w:t>
      </w:r>
      <w:r w:rsidR="00632ECB">
        <w:tab/>
      </w:r>
      <w:r>
        <w:t>CONCILIATION</w:t>
      </w:r>
    </w:p>
    <w:p w:rsidR="009F5E53" w:rsidRDefault="009F5E53"/>
    <w:p w:rsidR="009F5E53" w:rsidRDefault="0006599D">
      <w:r>
        <w:fldChar w:fldCharType="begin"/>
      </w:r>
      <w:r>
        <w:instrText xml:space="preserve"> AUTONUM  </w:instrText>
      </w:r>
      <w:r>
        <w:fldChar w:fldCharType="end"/>
      </w:r>
      <w:r>
        <w:tab/>
        <w:t>T</w:t>
      </w:r>
      <w:r w:rsidR="005E4379">
        <w:t xml:space="preserve">he alternative mechanism known as ‘conciliation’ involves active or passive moderation of the discussions of the parties to a given dispute by a third party, the aim being to </w:t>
      </w:r>
      <w:r w:rsidR="00251DF8">
        <w:t>assist with legal and technical aspects of the matter in question and to invite the parties to reach an arrangement that is satisfactory in terms of their interests.  This exercise is referred to as ‘reconciling’ the parties in order</w:t>
      </w:r>
      <w:r w:rsidR="00AA2EC3">
        <w:t xml:space="preserve"> </w:t>
      </w:r>
      <w:r w:rsidR="00251DF8">
        <w:t>that they may seek</w:t>
      </w:r>
      <w:r w:rsidR="008F15EC">
        <w:t xml:space="preserve"> common ground resulting in an</w:t>
      </w:r>
      <w:r w:rsidR="00251DF8">
        <w:t xml:space="preserve"> agreement.</w:t>
      </w:r>
    </w:p>
    <w:p w:rsidR="00251DF8" w:rsidRDefault="00251DF8"/>
    <w:p w:rsidR="00251DF8" w:rsidRDefault="0006599D">
      <w:r>
        <w:fldChar w:fldCharType="begin"/>
      </w:r>
      <w:r>
        <w:instrText xml:space="preserve"> AUTONUM  </w:instrText>
      </w:r>
      <w:r>
        <w:fldChar w:fldCharType="end"/>
      </w:r>
      <w:r>
        <w:tab/>
      </w:r>
      <w:r w:rsidR="00251DF8">
        <w:t>In general, the neutral third party or conciliator simply acts as a facilitator</w:t>
      </w:r>
      <w:r w:rsidR="00161682">
        <w:t xml:space="preserve">:  </w:t>
      </w:r>
      <w:r w:rsidR="00251DF8">
        <w:t>in principle in order to enable the parties to reach an agreement through their own proposals and on the basis of a negotiating process.</w:t>
      </w:r>
    </w:p>
    <w:p w:rsidR="00251DF8" w:rsidRDefault="00251DF8"/>
    <w:p w:rsidR="0022082A" w:rsidRDefault="0022082A"/>
    <w:p w:rsidR="00251DF8" w:rsidRDefault="00251DF8"/>
    <w:p w:rsidR="00251DF8" w:rsidRDefault="00251DF8" w:rsidP="00632ECB">
      <w:pPr>
        <w:tabs>
          <w:tab w:val="left" w:pos="567"/>
        </w:tabs>
        <w:ind w:left="567"/>
      </w:pPr>
      <w:r>
        <w:t xml:space="preserve">2.2 </w:t>
      </w:r>
      <w:r w:rsidR="00632ECB">
        <w:tab/>
      </w:r>
      <w:r>
        <w:t>MEDIATION</w:t>
      </w:r>
    </w:p>
    <w:p w:rsidR="00251DF8" w:rsidRDefault="00251DF8"/>
    <w:p w:rsidR="00251DF8" w:rsidRDefault="0006599D">
      <w:r>
        <w:fldChar w:fldCharType="begin"/>
      </w:r>
      <w:r>
        <w:instrText xml:space="preserve"> AUTONUM  </w:instrText>
      </w:r>
      <w:r>
        <w:fldChar w:fldCharType="end"/>
      </w:r>
      <w:r>
        <w:tab/>
      </w:r>
      <w:r w:rsidR="003F398A">
        <w:t xml:space="preserve">Mediation is an extrajudicial </w:t>
      </w:r>
      <w:r w:rsidR="00467D33">
        <w:t>procedure</w:t>
      </w:r>
      <w:r w:rsidR="003F398A">
        <w:t xml:space="preserve"> which also involves a third party with relevant technical knowledge listening in an impartial manner t</w:t>
      </w:r>
      <w:r w:rsidR="00C81FC1">
        <w:t>o the views of the parties to a given</w:t>
      </w:r>
      <w:r w:rsidR="003F398A">
        <w:t xml:space="preserve"> dispute, guiding the</w:t>
      </w:r>
      <w:r w:rsidR="00C81FC1">
        <w:t>m</w:t>
      </w:r>
      <w:r w:rsidR="003F398A">
        <w:t xml:space="preserve"> towards a de-escalation of the dispute and promoting communication with a view to seeking an arrangement.  Said third party has the power to put forward </w:t>
      </w:r>
      <w:r w:rsidR="00CF0FA7">
        <w:t>solutions to a given dispute.</w:t>
      </w:r>
    </w:p>
    <w:p w:rsidR="00CF0FA7" w:rsidRDefault="00CF0FA7"/>
    <w:p w:rsidR="00CF0FA7" w:rsidRDefault="0006599D">
      <w:r>
        <w:fldChar w:fldCharType="begin"/>
      </w:r>
      <w:r>
        <w:instrText xml:space="preserve"> AUTONUM  </w:instrText>
      </w:r>
      <w:r>
        <w:fldChar w:fldCharType="end"/>
      </w:r>
      <w:r>
        <w:tab/>
      </w:r>
      <w:r w:rsidR="00E50822">
        <w:t>Accordingly</w:t>
      </w:r>
      <w:r w:rsidR="00CF0FA7">
        <w:t>, the mediator can invite the parties to take part in a “brainstorming” session and thus to collect as many proposals as possible in order to find possible solutions of benefit to both parties.</w:t>
      </w:r>
    </w:p>
    <w:p w:rsidR="00CF0FA7" w:rsidRDefault="00CF0FA7"/>
    <w:p w:rsidR="00CF0FA7" w:rsidRDefault="0006599D">
      <w:r>
        <w:fldChar w:fldCharType="begin"/>
      </w:r>
      <w:r>
        <w:instrText xml:space="preserve"> AUTONUM  </w:instrText>
      </w:r>
      <w:r>
        <w:fldChar w:fldCharType="end"/>
      </w:r>
      <w:r>
        <w:tab/>
      </w:r>
      <w:r w:rsidR="00CF0FA7">
        <w:t>Th</w:t>
      </w:r>
      <w:r w:rsidR="00C93C7F">
        <w:t>us, th</w:t>
      </w:r>
      <w:r w:rsidR="00CF0FA7">
        <w:t>e mediator puts forward one or more solutions t</w:t>
      </w:r>
      <w:r w:rsidR="00D12317">
        <w:t>o the dispute that the parties a</w:t>
      </w:r>
      <w:r w:rsidR="00CF0FA7">
        <w:t>r</w:t>
      </w:r>
      <w:r w:rsidR="00D12317">
        <w:t>e</w:t>
      </w:r>
      <w:r w:rsidR="00CF0FA7">
        <w:t xml:space="preserve"> free to adopt or reject.  Should the parties decide on a particular</w:t>
      </w:r>
      <w:r w:rsidR="008530F2">
        <w:t xml:space="preserve"> solution, then that solution</w:t>
      </w:r>
      <w:r w:rsidR="00CF0FA7">
        <w:t xml:space="preserve"> will serve as a</w:t>
      </w:r>
      <w:r w:rsidR="00C93C7F">
        <w:t>n agre</w:t>
      </w:r>
      <w:r w:rsidR="00662C55">
        <w:t>ement</w:t>
      </w:r>
      <w:r w:rsidR="00CF0FA7">
        <w:t>.</w:t>
      </w:r>
    </w:p>
    <w:p w:rsidR="00CF0FA7" w:rsidRDefault="00CF0FA7"/>
    <w:p w:rsidR="00CF0FA7" w:rsidRDefault="00CF0FA7"/>
    <w:p w:rsidR="00CF0FA7" w:rsidRDefault="00CF0FA7" w:rsidP="00632ECB">
      <w:pPr>
        <w:tabs>
          <w:tab w:val="left" w:pos="567"/>
        </w:tabs>
        <w:ind w:left="567"/>
      </w:pPr>
      <w:r>
        <w:t xml:space="preserve">2.3 </w:t>
      </w:r>
      <w:r w:rsidR="00632ECB">
        <w:tab/>
      </w:r>
      <w:r>
        <w:t>ARBITRATION</w:t>
      </w:r>
    </w:p>
    <w:p w:rsidR="00CF0FA7" w:rsidRDefault="00CF0FA7"/>
    <w:p w:rsidR="00CF0FA7" w:rsidRDefault="0006599D">
      <w:r>
        <w:fldChar w:fldCharType="begin"/>
      </w:r>
      <w:r>
        <w:instrText xml:space="preserve"> AUTONUM  </w:instrText>
      </w:r>
      <w:r>
        <w:fldChar w:fldCharType="end"/>
      </w:r>
      <w:r>
        <w:tab/>
      </w:r>
      <w:r w:rsidR="008530F2">
        <w:t>Arbitration is probably the most-commonly used alternati</w:t>
      </w:r>
      <w:r w:rsidR="009024F2">
        <w:t>ve dispute-resolution mechanism, constituting an attempt to resolve</w:t>
      </w:r>
      <w:r w:rsidR="00BC76D3">
        <w:t>, in an extrajudicial fashion,</w:t>
      </w:r>
      <w:r w:rsidR="009024F2">
        <w:t xml:space="preserve"> disputes arising within the framework of the relations between two or more parties.  </w:t>
      </w:r>
      <w:r w:rsidR="00835938">
        <w:t xml:space="preserve">Arbitration occurs when the participants submit their dispute and </w:t>
      </w:r>
      <w:r w:rsidR="00467D33">
        <w:t>procedure</w:t>
      </w:r>
      <w:r w:rsidR="00835938">
        <w:t xml:space="preserve"> to a neutral third party.</w:t>
      </w:r>
    </w:p>
    <w:p w:rsidR="00835938" w:rsidRDefault="00835938"/>
    <w:p w:rsidR="00835938" w:rsidRDefault="0006599D">
      <w:r>
        <w:fldChar w:fldCharType="begin"/>
      </w:r>
      <w:r>
        <w:instrText xml:space="preserve"> AUTONUM  </w:instrText>
      </w:r>
      <w:r>
        <w:fldChar w:fldCharType="end"/>
      </w:r>
      <w:r>
        <w:tab/>
      </w:r>
      <w:r w:rsidR="00835938">
        <w:t xml:space="preserve">Arbitration can be public, that is to say institutional, or private, and may be carried out by a single </w:t>
      </w:r>
      <w:r w:rsidR="00613BC7">
        <w:t>arbitrator</w:t>
      </w:r>
      <w:r w:rsidR="00835938">
        <w:t xml:space="preserve"> or a</w:t>
      </w:r>
      <w:r w:rsidR="00C93C7F">
        <w:t>n</w:t>
      </w:r>
      <w:r w:rsidR="00835938">
        <w:t xml:space="preserve"> </w:t>
      </w:r>
      <w:r w:rsidR="00613BC7">
        <w:t>arbitrat</w:t>
      </w:r>
      <w:r w:rsidR="00C93C7F">
        <w:t>ion panel</w:t>
      </w:r>
      <w:r w:rsidR="00835938">
        <w:t xml:space="preserve"> (always made up of an odd number of </w:t>
      </w:r>
      <w:r w:rsidR="00613BC7">
        <w:t>arbitrator</w:t>
      </w:r>
      <w:r w:rsidR="00835938">
        <w:t>s).</w:t>
      </w:r>
    </w:p>
    <w:p w:rsidR="00835938" w:rsidRDefault="00835938"/>
    <w:p w:rsidR="00835938" w:rsidRDefault="0006599D">
      <w:r>
        <w:fldChar w:fldCharType="begin"/>
      </w:r>
      <w:r>
        <w:instrText xml:space="preserve"> AUTONUM  </w:instrText>
      </w:r>
      <w:r>
        <w:fldChar w:fldCharType="end"/>
      </w:r>
      <w:r>
        <w:tab/>
      </w:r>
      <w:r w:rsidR="00662C55">
        <w:t>In either of those cases, the third</w:t>
      </w:r>
      <w:r w:rsidR="00161682">
        <w:t xml:space="preserve"> neutral</w:t>
      </w:r>
      <w:r w:rsidR="00662C55">
        <w:t xml:space="preserve"> party </w:t>
      </w:r>
      <w:r w:rsidR="00C93C7F">
        <w:t>shall hear</w:t>
      </w:r>
      <w:r w:rsidR="00662C55">
        <w:t xml:space="preserve"> the case and the </w:t>
      </w:r>
      <w:r w:rsidR="00662C55" w:rsidRPr="00F679F4">
        <w:rPr>
          <w:i/>
        </w:rPr>
        <w:t>ad hoc</w:t>
      </w:r>
      <w:r w:rsidR="00662C55">
        <w:t xml:space="preserve"> </w:t>
      </w:r>
      <w:r w:rsidR="00467D33">
        <w:t>procedure</w:t>
      </w:r>
      <w:r w:rsidR="00662C55">
        <w:t xml:space="preserve"> agreed on by the parties, and</w:t>
      </w:r>
      <w:r w:rsidR="00062994">
        <w:t xml:space="preserve"> shall </w:t>
      </w:r>
      <w:r w:rsidR="00662C55">
        <w:t>issue a ruling known as an award that is binding on the parties</w:t>
      </w:r>
      <w:r w:rsidR="00680AB0">
        <w:t>,</w:t>
      </w:r>
      <w:r w:rsidR="00662C55">
        <w:t xml:space="preserve"> and that can be </w:t>
      </w:r>
      <w:r w:rsidR="002A6E7C">
        <w:t>confirmed</w:t>
      </w:r>
      <w:r w:rsidR="00662C55">
        <w:t xml:space="preserve"> by a judge</w:t>
      </w:r>
      <w:r w:rsidR="002A6E7C">
        <w:t xml:space="preserve"> with the aim of ordering that it be </w:t>
      </w:r>
      <w:r w:rsidR="00062994">
        <w:t>enforc</w:t>
      </w:r>
      <w:r w:rsidR="002A6E7C">
        <w:t>ed</w:t>
      </w:r>
      <w:r w:rsidR="00662C55">
        <w:t xml:space="preserve">.  In such cases the judge </w:t>
      </w:r>
      <w:r w:rsidR="00062994">
        <w:t xml:space="preserve">shall </w:t>
      </w:r>
      <w:r w:rsidR="00662C55">
        <w:t>st</w:t>
      </w:r>
      <w:r w:rsidR="002A6E7C">
        <w:t>ud</w:t>
      </w:r>
      <w:r w:rsidR="00062994">
        <w:t>y</w:t>
      </w:r>
      <w:r w:rsidR="002A6E7C">
        <w:t xml:space="preserve"> the </w:t>
      </w:r>
      <w:r w:rsidR="00EF6AE8" w:rsidRPr="00E50822">
        <w:t>content</w:t>
      </w:r>
      <w:r w:rsidR="002A6E7C" w:rsidRPr="00E50822">
        <w:t xml:space="preserve"> of the arbitration </w:t>
      </w:r>
      <w:r w:rsidR="00467D33" w:rsidRPr="00E50822">
        <w:t>procedure</w:t>
      </w:r>
      <w:r w:rsidR="002A6E7C" w:rsidRPr="00E50822">
        <w:t xml:space="preserve"> and,</w:t>
      </w:r>
      <w:r w:rsidR="00EF6AE8" w:rsidRPr="00E50822">
        <w:t xml:space="preserve"> should no irregularities exist</w:t>
      </w:r>
      <w:r w:rsidR="00781960">
        <w:t xml:space="preserve"> in terms of its consideration</w:t>
      </w:r>
      <w:r w:rsidR="00EF6AE8" w:rsidRPr="00E50822">
        <w:t>,</w:t>
      </w:r>
      <w:r w:rsidR="00EF6AE8">
        <w:t xml:space="preserve"> </w:t>
      </w:r>
      <w:r w:rsidR="00C93C7F">
        <w:t xml:space="preserve">shall </w:t>
      </w:r>
      <w:r w:rsidR="00EF6AE8">
        <w:t>proceed to confirm the award.  Once the arbitration award has be</w:t>
      </w:r>
      <w:r w:rsidR="00E50822">
        <w:t>en</w:t>
      </w:r>
      <w:r w:rsidR="00EF6AE8">
        <w:t xml:space="preserve"> confirmed, </w:t>
      </w:r>
      <w:r w:rsidR="00161682">
        <w:t>in case of non</w:t>
      </w:r>
      <w:r w:rsidR="00161682">
        <w:noBreakHyphen/>
        <w:t>compliance</w:t>
      </w:r>
      <w:r w:rsidR="00EF6AE8">
        <w:t>, it may be enforced by the judicial authority.</w:t>
      </w:r>
    </w:p>
    <w:p w:rsidR="00EF6AE8" w:rsidRDefault="00EF6AE8"/>
    <w:p w:rsidR="00EF6AE8" w:rsidRDefault="0006599D">
      <w:r>
        <w:fldChar w:fldCharType="begin"/>
      </w:r>
      <w:r>
        <w:instrText xml:space="preserve"> AUTONUM  </w:instrText>
      </w:r>
      <w:r>
        <w:fldChar w:fldCharType="end"/>
      </w:r>
      <w:r>
        <w:tab/>
      </w:r>
      <w:r w:rsidR="00EF6AE8">
        <w:t>There are two co</w:t>
      </w:r>
      <w:r w:rsidR="00855FD2">
        <w:t xml:space="preserve">mmonly-recognized </w:t>
      </w:r>
      <w:r w:rsidR="00C93C7F">
        <w:t>forms</w:t>
      </w:r>
      <w:r w:rsidR="00855FD2">
        <w:t xml:space="preserve"> of arbitration to which parties can have recourse in cases where a dispute has arisen:</w:t>
      </w:r>
    </w:p>
    <w:p w:rsidR="00855FD2" w:rsidRDefault="00855FD2"/>
    <w:p w:rsidR="00855FD2" w:rsidRDefault="00C363B4" w:rsidP="00632ECB">
      <w:pPr>
        <w:numPr>
          <w:ilvl w:val="0"/>
          <w:numId w:val="9"/>
        </w:numPr>
        <w:tabs>
          <w:tab w:val="left" w:pos="1134"/>
        </w:tabs>
        <w:ind w:left="567" w:firstLine="3"/>
      </w:pPr>
      <w:r>
        <w:t>a</w:t>
      </w:r>
      <w:r w:rsidR="00855FD2">
        <w:t xml:space="preserve">rbitration agreement: </w:t>
      </w:r>
      <w:r w:rsidR="00161682">
        <w:t xml:space="preserve"> </w:t>
      </w:r>
      <w:r w:rsidR="00855FD2">
        <w:t xml:space="preserve">this approach </w:t>
      </w:r>
      <w:r w:rsidR="00D659E1">
        <w:t>may be employed where a dispute has arisen and the parties</w:t>
      </w:r>
      <w:r w:rsidR="00062994">
        <w:t xml:space="preserve"> agree to submit to arbitration;</w:t>
      </w:r>
      <w:r w:rsidR="00D659E1">
        <w:t xml:space="preserve"> </w:t>
      </w:r>
      <w:r w:rsidR="00632ECB">
        <w:t xml:space="preserve"> </w:t>
      </w:r>
      <w:r w:rsidR="00D659E1">
        <w:t>and</w:t>
      </w:r>
      <w:r w:rsidR="00062994">
        <w:t>,</w:t>
      </w:r>
    </w:p>
    <w:p w:rsidR="00632ECB" w:rsidRDefault="00632ECB" w:rsidP="00632ECB">
      <w:pPr>
        <w:tabs>
          <w:tab w:val="left" w:pos="1134"/>
        </w:tabs>
        <w:ind w:left="570"/>
      </w:pPr>
    </w:p>
    <w:p w:rsidR="00D659E1" w:rsidRDefault="00C363B4" w:rsidP="00632ECB">
      <w:pPr>
        <w:numPr>
          <w:ilvl w:val="0"/>
          <w:numId w:val="9"/>
        </w:numPr>
        <w:tabs>
          <w:tab w:val="left" w:pos="1134"/>
        </w:tabs>
        <w:ind w:left="567" w:firstLine="3"/>
      </w:pPr>
      <w:proofErr w:type="gramStart"/>
      <w:r>
        <w:t>a</w:t>
      </w:r>
      <w:r w:rsidR="001146DF">
        <w:t>rbitration</w:t>
      </w:r>
      <w:proofErr w:type="gramEnd"/>
      <w:r w:rsidR="001146DF">
        <w:t xml:space="preserve"> clause: </w:t>
      </w:r>
      <w:r w:rsidR="00161682">
        <w:t xml:space="preserve"> </w:t>
      </w:r>
      <w:r w:rsidR="001146DF">
        <w:t xml:space="preserve">this option </w:t>
      </w:r>
      <w:r w:rsidR="00C21E54">
        <w:t xml:space="preserve">is included in contracts and states that, should a dispute arise, it shall be resolved through </w:t>
      </w:r>
      <w:r>
        <w:t xml:space="preserve">an </w:t>
      </w:r>
      <w:r w:rsidR="00C21E54">
        <w:t xml:space="preserve">arbitration </w:t>
      </w:r>
      <w:r w:rsidR="00467D33">
        <w:t>procedure</w:t>
      </w:r>
      <w:r w:rsidR="00C21E54">
        <w:t>.</w:t>
      </w:r>
    </w:p>
    <w:p w:rsidR="00267DE8" w:rsidRDefault="00267DE8"/>
    <w:p w:rsidR="00267DE8" w:rsidRDefault="00267DE8"/>
    <w:p w:rsidR="00267DE8" w:rsidRPr="00267DE8" w:rsidRDefault="00267DE8">
      <w:pPr>
        <w:rPr>
          <w:b/>
        </w:rPr>
      </w:pPr>
      <w:r w:rsidRPr="00267DE8">
        <w:rPr>
          <w:b/>
        </w:rPr>
        <w:t>3.</w:t>
      </w:r>
      <w:r w:rsidRPr="00267DE8">
        <w:rPr>
          <w:b/>
        </w:rPr>
        <w:tab/>
        <w:t>ALTERNATIVE COPYRIGHT DISPUTE-RESOLUTION MECHANISMS IN MEXICO</w:t>
      </w:r>
    </w:p>
    <w:p w:rsidR="00267DE8" w:rsidRDefault="00267DE8"/>
    <w:p w:rsidR="00855FD2" w:rsidRDefault="0006599D">
      <w:r>
        <w:fldChar w:fldCharType="begin"/>
      </w:r>
      <w:r>
        <w:instrText xml:space="preserve"> AUTONUM  </w:instrText>
      </w:r>
      <w:r>
        <w:fldChar w:fldCharType="end"/>
      </w:r>
      <w:r>
        <w:tab/>
      </w:r>
      <w:r w:rsidR="00E914D1">
        <w:t xml:space="preserve">The Mexican legal system has a history of making provision for alternative copyright dispute-resolution mechanisms that </w:t>
      </w:r>
      <w:r w:rsidR="00D46F8A">
        <w:t xml:space="preserve">goes </w:t>
      </w:r>
      <w:r w:rsidR="00E914D1">
        <w:t xml:space="preserve">back to the first specific law drawn up in this regard: </w:t>
      </w:r>
      <w:r w:rsidR="00680AB0">
        <w:t xml:space="preserve"> </w:t>
      </w:r>
      <w:r w:rsidR="00E914D1">
        <w:t>the Federal Copyright Law of 1948.  Under this Law, parties</w:t>
      </w:r>
      <w:r w:rsidR="006A4594">
        <w:t xml:space="preserve"> </w:t>
      </w:r>
      <w:r w:rsidR="00C93C7F">
        <w:t xml:space="preserve">to a given dispute </w:t>
      </w:r>
      <w:r w:rsidR="00E914D1">
        <w:t xml:space="preserve">had recourse to the </w:t>
      </w:r>
      <w:r w:rsidR="00C93C7F">
        <w:t xml:space="preserve">then </w:t>
      </w:r>
      <w:r w:rsidR="00E914D1">
        <w:t>Department of Copyright in order to resolve disputes related to the exploitation of their works, independently of any other</w:t>
      </w:r>
      <w:r w:rsidR="00C306B3">
        <w:t xml:space="preserve"> private</w:t>
      </w:r>
      <w:r w:rsidR="00E914D1">
        <w:t xml:space="preserve"> legal action that </w:t>
      </w:r>
      <w:r w:rsidR="006A4594">
        <w:t>they might</w:t>
      </w:r>
      <w:r w:rsidR="00E914D1">
        <w:t xml:space="preserve"> have </w:t>
      </w:r>
      <w:r w:rsidR="00C306B3">
        <w:t>brought</w:t>
      </w:r>
      <w:r w:rsidR="00E914D1">
        <w:t xml:space="preserve"> (Article 111 of the Federal Copyright Law of 1948).</w:t>
      </w:r>
    </w:p>
    <w:p w:rsidR="00FD64D8" w:rsidRDefault="00FD64D8"/>
    <w:p w:rsidR="00FD64D8" w:rsidRDefault="0006599D">
      <w:r>
        <w:lastRenderedPageBreak/>
        <w:fldChar w:fldCharType="begin"/>
      </w:r>
      <w:r>
        <w:instrText xml:space="preserve"> AUTONUM  </w:instrText>
      </w:r>
      <w:r>
        <w:fldChar w:fldCharType="end"/>
      </w:r>
      <w:r>
        <w:tab/>
      </w:r>
      <w:r w:rsidR="00FD64D8">
        <w:t>By 1956, with the new Federal Copyright Law, the parties could have recourse to mediation before the Directorate</w:t>
      </w:r>
      <w:r w:rsidR="00161682">
        <w:t xml:space="preserve"> General</w:t>
      </w:r>
      <w:r w:rsidR="00FD64D8">
        <w:t xml:space="preserve"> for Copyright, with the aim of resolving disputes related to their works (Article 128 of the Federal Copyright Law of 1956).</w:t>
      </w:r>
    </w:p>
    <w:p w:rsidR="00FD64D8" w:rsidRDefault="00FD64D8"/>
    <w:p w:rsidR="00FD64D8" w:rsidRDefault="0006599D">
      <w:r>
        <w:fldChar w:fldCharType="begin"/>
      </w:r>
      <w:r>
        <w:instrText xml:space="preserve"> AUTONUM  </w:instrText>
      </w:r>
      <w:r>
        <w:fldChar w:fldCharType="end"/>
      </w:r>
      <w:r>
        <w:tab/>
      </w:r>
      <w:r w:rsidR="002E21ED">
        <w:t xml:space="preserve">Subsequently, as a result of the reforms to this Law that were introduced in 1963, </w:t>
      </w:r>
      <w:r w:rsidR="00161682">
        <w:t>the</w:t>
      </w:r>
      <w:r w:rsidR="002E21ED">
        <w:t xml:space="preserve"> Directorate General was </w:t>
      </w:r>
      <w:r w:rsidR="002E3091">
        <w:t xml:space="preserve">made responsible for </w:t>
      </w:r>
      <w:r w:rsidR="002E21ED">
        <w:t xml:space="preserve">intervening in disputes concerning copyright and related rights and, </w:t>
      </w:r>
      <w:r w:rsidR="002E3091">
        <w:t xml:space="preserve">if need be, for reservations concerning </w:t>
      </w:r>
      <w:r w:rsidR="00996BDE">
        <w:t>rights to exclusive use</w:t>
      </w:r>
      <w:r w:rsidR="00161682">
        <w:t>.  T</w:t>
      </w:r>
      <w:r w:rsidR="00996BDE">
        <w:t xml:space="preserve">hat is to say, the parties had recourse to a </w:t>
      </w:r>
      <w:r w:rsidR="00C81FC1">
        <w:t>settlement conference</w:t>
      </w:r>
      <w:r w:rsidR="00996BDE">
        <w:t xml:space="preserve"> and if, 30 days from the date of the first </w:t>
      </w:r>
      <w:r w:rsidR="009F3CA2">
        <w:t>settlement conference</w:t>
      </w:r>
      <w:r w:rsidR="00996BDE">
        <w:t xml:space="preserve">, no conciliatory agreement had been reached, the Directorate would </w:t>
      </w:r>
      <w:r w:rsidR="009D751F">
        <w:t xml:space="preserve">urge the parties to appoint </w:t>
      </w:r>
      <w:r w:rsidR="00D46F8A">
        <w:t>him</w:t>
      </w:r>
      <w:r w:rsidR="009D751F">
        <w:t xml:space="preserve"> as </w:t>
      </w:r>
      <w:r w:rsidR="00613BC7">
        <w:t>arbitrator</w:t>
      </w:r>
      <w:r w:rsidR="009D751F">
        <w:t xml:space="preserve"> (Article 133 of the Federal Copyright Law of 1963).</w:t>
      </w:r>
    </w:p>
    <w:p w:rsidR="009D751F" w:rsidRDefault="009D751F"/>
    <w:p w:rsidR="009D751F" w:rsidRDefault="0006599D">
      <w:r>
        <w:fldChar w:fldCharType="begin"/>
      </w:r>
      <w:r>
        <w:instrText xml:space="preserve"> AUTONUM  </w:instrText>
      </w:r>
      <w:r>
        <w:fldChar w:fldCharType="end"/>
      </w:r>
      <w:r>
        <w:tab/>
      </w:r>
      <w:r w:rsidR="0084119F">
        <w:t xml:space="preserve">In such cases, </w:t>
      </w:r>
      <w:r w:rsidR="009D751F">
        <w:t xml:space="preserve">the Directorate </w:t>
      </w:r>
      <w:r w:rsidR="00161682">
        <w:t xml:space="preserve">General </w:t>
      </w:r>
      <w:r w:rsidR="009D751F">
        <w:t>for Copyright</w:t>
      </w:r>
      <w:r w:rsidR="0084119F">
        <w:t xml:space="preserve"> would issue an arbitration award concluding the </w:t>
      </w:r>
      <w:r w:rsidR="00467D33">
        <w:t>procedure</w:t>
      </w:r>
      <w:r w:rsidR="0084119F">
        <w:t xml:space="preserve">, </w:t>
      </w:r>
      <w:r w:rsidR="00B75E64">
        <w:t>and it was for that reason that provision was made for both conciliation and public arbitration.</w:t>
      </w:r>
    </w:p>
    <w:p w:rsidR="00B75E64" w:rsidRDefault="00B75E64"/>
    <w:p w:rsidR="00B75E64" w:rsidRDefault="0006599D">
      <w:r>
        <w:fldChar w:fldCharType="begin"/>
      </w:r>
      <w:r>
        <w:instrText xml:space="preserve"> AUTONUM  </w:instrText>
      </w:r>
      <w:r>
        <w:fldChar w:fldCharType="end"/>
      </w:r>
      <w:r>
        <w:tab/>
      </w:r>
      <w:r w:rsidR="00B75E64">
        <w:t xml:space="preserve">The current Federal Copyright Law, in force since March 24, 1997, </w:t>
      </w:r>
      <w:r w:rsidR="0038134F">
        <w:t xml:space="preserve">specifically governs </w:t>
      </w:r>
      <w:r w:rsidR="00A839D9">
        <w:t xml:space="preserve">the </w:t>
      </w:r>
      <w:r w:rsidR="00467D33">
        <w:t>procedure</w:t>
      </w:r>
      <w:r w:rsidR="00A839D9">
        <w:t xml:space="preserve">s of two alternative dispute-resolution mechanisms:  (a) the </w:t>
      </w:r>
      <w:r w:rsidR="00573D21">
        <w:t>settlement</w:t>
      </w:r>
      <w:r w:rsidR="00A839D9">
        <w:t xml:space="preserve"> </w:t>
      </w:r>
      <w:r w:rsidR="00467D33">
        <w:t>procedure</w:t>
      </w:r>
      <w:r w:rsidR="00A839D9">
        <w:t>, and (b) arbitration.</w:t>
      </w:r>
    </w:p>
    <w:p w:rsidR="00A839D9" w:rsidRDefault="00A839D9"/>
    <w:p w:rsidR="00A839D9" w:rsidRDefault="00A839D9"/>
    <w:p w:rsidR="00A839D9" w:rsidRDefault="00A839D9">
      <w:r>
        <w:tab/>
        <w:t>3.1</w:t>
      </w:r>
      <w:r>
        <w:tab/>
        <w:t xml:space="preserve">ADMINISTRATIVE </w:t>
      </w:r>
      <w:r w:rsidR="00BC76D3">
        <w:t>SETTLEMENT PROCEDURE</w:t>
      </w:r>
    </w:p>
    <w:p w:rsidR="00A839D9" w:rsidRDefault="00A839D9"/>
    <w:p w:rsidR="00A839D9" w:rsidRDefault="0054204B">
      <w:r>
        <w:fldChar w:fldCharType="begin"/>
      </w:r>
      <w:r>
        <w:instrText xml:space="preserve"> AUTONUM  </w:instrText>
      </w:r>
      <w:r>
        <w:fldChar w:fldCharType="end"/>
      </w:r>
      <w:r>
        <w:tab/>
      </w:r>
      <w:r w:rsidR="00A839D9">
        <w:t xml:space="preserve">The administrative </w:t>
      </w:r>
      <w:r w:rsidR="00BC76D3">
        <w:t>settlement</w:t>
      </w:r>
      <w:r w:rsidR="00A839D9">
        <w:t xml:space="preserve"> </w:t>
      </w:r>
      <w:r w:rsidR="00467D33">
        <w:t>procedure</w:t>
      </w:r>
      <w:r w:rsidR="00A839D9">
        <w:t xml:space="preserve"> is governed by Articles 217 and 218 of the Federal Copyright Law (LFDA), as well as by Articles 139 to 142 of its Regulations (R</w:t>
      </w:r>
      <w:r w:rsidR="009F079E">
        <w:t>L</w:t>
      </w:r>
      <w:r w:rsidR="00A839D9">
        <w:t>FDA).</w:t>
      </w:r>
    </w:p>
    <w:p w:rsidR="00A839D9" w:rsidRDefault="00A839D9"/>
    <w:p w:rsidR="00A839D9" w:rsidRDefault="0006599D">
      <w:r>
        <w:fldChar w:fldCharType="begin"/>
      </w:r>
      <w:r>
        <w:instrText xml:space="preserve"> AUTONUM  </w:instrText>
      </w:r>
      <w:r>
        <w:fldChar w:fldCharType="end"/>
      </w:r>
      <w:r>
        <w:tab/>
      </w:r>
      <w:r w:rsidR="00C72126">
        <w:t xml:space="preserve">The administrative </w:t>
      </w:r>
      <w:r w:rsidR="00BC76D3">
        <w:t>settlement</w:t>
      </w:r>
      <w:r w:rsidR="00C72126">
        <w:t xml:space="preserve"> </w:t>
      </w:r>
      <w:r w:rsidR="00467D33">
        <w:t>procedure</w:t>
      </w:r>
      <w:r w:rsidR="00431227">
        <w:t xml:space="preserve"> is </w:t>
      </w:r>
      <w:r w:rsidR="00431227" w:rsidRPr="008870ED">
        <w:t>a self-applied</w:t>
      </w:r>
      <w:r w:rsidR="00431227">
        <w:t xml:space="preserve"> dispute-resolution mechanism, the aim of which is to ensure that the parties achieve conciliation concerning a given dispute related to the rights protected by the LFDA.</w:t>
      </w:r>
    </w:p>
    <w:p w:rsidR="00431227" w:rsidRDefault="00431227"/>
    <w:p w:rsidR="00431227" w:rsidRDefault="0006599D">
      <w:r>
        <w:fldChar w:fldCharType="begin"/>
      </w:r>
      <w:r>
        <w:instrText xml:space="preserve"> AUTONUM  </w:instrText>
      </w:r>
      <w:r>
        <w:fldChar w:fldCharType="end"/>
      </w:r>
      <w:r>
        <w:tab/>
      </w:r>
      <w:r w:rsidR="00654E45">
        <w:t xml:space="preserve">The </w:t>
      </w:r>
      <w:r w:rsidR="00467D33">
        <w:t>procedure</w:t>
      </w:r>
      <w:r w:rsidR="00654E45">
        <w:t xml:space="preserve"> </w:t>
      </w:r>
      <w:r w:rsidR="008036F9">
        <w:t>takes place</w:t>
      </w:r>
      <w:r w:rsidR="00654E45">
        <w:t xml:space="preserve"> before the</w:t>
      </w:r>
      <w:r w:rsidR="00B122D9">
        <w:t xml:space="preserve"> Department of Conciliation of the </w:t>
      </w:r>
      <w:r w:rsidR="00654E45">
        <w:t>Legal Directorate of the National Institute of Copyright (INDAUTOR)</w:t>
      </w:r>
      <w:r w:rsidR="00B122D9">
        <w:t xml:space="preserve">.  As a part of this process, conciliation lawyers undertake to promote or facilitate communication between the parties, actively participating in the conciliation process but without </w:t>
      </w:r>
      <w:r w:rsidR="0088683A">
        <w:t>making any determination concerning the substance of the case.</w:t>
      </w:r>
    </w:p>
    <w:p w:rsidR="0088683A" w:rsidRDefault="0088683A"/>
    <w:p w:rsidR="0088683A" w:rsidRDefault="0006599D">
      <w:r>
        <w:fldChar w:fldCharType="begin"/>
      </w:r>
      <w:r>
        <w:instrText xml:space="preserve"> AUTONUM  </w:instrText>
      </w:r>
      <w:r>
        <w:fldChar w:fldCharType="end"/>
      </w:r>
      <w:r>
        <w:tab/>
      </w:r>
      <w:r w:rsidR="0088683A">
        <w:t xml:space="preserve">It should be pointed out that this </w:t>
      </w:r>
      <w:r w:rsidR="00467D33">
        <w:t>procedure</w:t>
      </w:r>
      <w:r w:rsidR="0088683A">
        <w:t xml:space="preserve"> does not in any way suspend the ‘</w:t>
      </w:r>
      <w:r w:rsidR="00B57462">
        <w:t>injur</w:t>
      </w:r>
      <w:r w:rsidR="0088683A">
        <w:t>ed’ party’s power to launch any other civil, administrative or criminal action in order to defend its rights</w:t>
      </w:r>
      <w:r w:rsidR="00161682">
        <w:t>.  T</w:t>
      </w:r>
      <w:r w:rsidR="0088683A">
        <w:t xml:space="preserve">he </w:t>
      </w:r>
      <w:r w:rsidR="00BC76D3">
        <w:t>settlement</w:t>
      </w:r>
      <w:r w:rsidR="0088683A">
        <w:t xml:space="preserve"> </w:t>
      </w:r>
      <w:r w:rsidR="00467D33">
        <w:t>procedure</w:t>
      </w:r>
      <w:r w:rsidR="0088683A">
        <w:t xml:space="preserve"> is independent in nature and is not subject to the principle of </w:t>
      </w:r>
      <w:r w:rsidR="0041584A">
        <w:t>“</w:t>
      </w:r>
      <w:proofErr w:type="spellStart"/>
      <w:r w:rsidR="0041584A" w:rsidRPr="0041584A">
        <w:rPr>
          <w:i/>
        </w:rPr>
        <w:t>definitividad</w:t>
      </w:r>
      <w:proofErr w:type="spellEnd"/>
      <w:r w:rsidR="0041584A" w:rsidRPr="0041584A">
        <w:rPr>
          <w:i/>
        </w:rPr>
        <w:t xml:space="preserve"> de </w:t>
      </w:r>
      <w:proofErr w:type="spellStart"/>
      <w:r w:rsidR="0041584A" w:rsidRPr="0041584A">
        <w:rPr>
          <w:i/>
        </w:rPr>
        <w:t>instancia</w:t>
      </w:r>
      <w:proofErr w:type="spellEnd"/>
      <w:r w:rsidR="0041584A">
        <w:t xml:space="preserve">”, according to which the </w:t>
      </w:r>
      <w:r w:rsidR="001F1D8F">
        <w:t xml:space="preserve">dispute </w:t>
      </w:r>
      <w:r w:rsidR="0041584A">
        <w:t xml:space="preserve">settlement procedure must be exhausted before the ‘injured’ party can launch a civil, administrative or criminal action. </w:t>
      </w:r>
    </w:p>
    <w:p w:rsidR="00896C99" w:rsidRDefault="00896C99"/>
    <w:p w:rsidR="00896C99" w:rsidRDefault="00896C99"/>
    <w:p w:rsidR="00896C99" w:rsidRPr="00896C99" w:rsidRDefault="00896C99" w:rsidP="00632ECB">
      <w:pPr>
        <w:tabs>
          <w:tab w:val="left" w:pos="1134"/>
          <w:tab w:val="left" w:pos="1701"/>
        </w:tabs>
        <w:ind w:left="1134"/>
        <w:rPr>
          <w:u w:val="single"/>
        </w:rPr>
      </w:pPr>
      <w:r w:rsidRPr="00896C99">
        <w:rPr>
          <w:u w:val="single"/>
        </w:rPr>
        <w:t xml:space="preserve">3.1.1 </w:t>
      </w:r>
      <w:r w:rsidR="00C81FC1">
        <w:rPr>
          <w:u w:val="single"/>
        </w:rPr>
        <w:t>Settlement conference</w:t>
      </w:r>
      <w:r w:rsidRPr="00896C99">
        <w:rPr>
          <w:u w:val="single"/>
        </w:rPr>
        <w:t>s</w:t>
      </w:r>
    </w:p>
    <w:p w:rsidR="002928D3" w:rsidRDefault="002928D3"/>
    <w:p w:rsidR="00896C99" w:rsidRDefault="0006599D">
      <w:r>
        <w:fldChar w:fldCharType="begin"/>
      </w:r>
      <w:r>
        <w:instrText xml:space="preserve"> AUTONUM  </w:instrText>
      </w:r>
      <w:r>
        <w:fldChar w:fldCharType="end"/>
      </w:r>
      <w:r>
        <w:tab/>
      </w:r>
      <w:r w:rsidR="003C6048">
        <w:t xml:space="preserve">The </w:t>
      </w:r>
      <w:r w:rsidR="00BC76D3">
        <w:t>settlement</w:t>
      </w:r>
      <w:r w:rsidR="003C6048">
        <w:t xml:space="preserve"> </w:t>
      </w:r>
      <w:r w:rsidR="00467D33">
        <w:t>procedure</w:t>
      </w:r>
      <w:r w:rsidR="003C6048">
        <w:t xml:space="preserve"> is initiated at the request of a given party through a written complaint that must me</w:t>
      </w:r>
      <w:r w:rsidR="002F02E4">
        <w:t>e</w:t>
      </w:r>
      <w:r w:rsidR="003C6048">
        <w:t>t the requirements set forth in Article 139 of the RLFDA</w:t>
      </w:r>
      <w:r w:rsidR="005A54F7">
        <w:t xml:space="preserve">, </w:t>
      </w:r>
      <w:r w:rsidR="005A54F7" w:rsidRPr="00F679F4">
        <w:rPr>
          <w:i/>
        </w:rPr>
        <w:t>i.e.</w:t>
      </w:r>
      <w:r w:rsidR="00161682">
        <w:t>,</w:t>
      </w:r>
      <w:r w:rsidR="005A54F7">
        <w:t xml:space="preserve"> the names and domiciles of the parties to be cited in the case, an </w:t>
      </w:r>
      <w:r w:rsidR="005A54F7" w:rsidRPr="00F87817">
        <w:t xml:space="preserve">account </w:t>
      </w:r>
      <w:r w:rsidR="005A54F7">
        <w:t xml:space="preserve">of the events that gave rise to the dispute, any documents that might be of use to the parties in terms of conciliation, etc.  The parties concerned are then summoned to appear at the offices of the Institute in order to enable the </w:t>
      </w:r>
      <w:r w:rsidR="00C81FC1">
        <w:t>settlement conference</w:t>
      </w:r>
      <w:r w:rsidR="005A54F7">
        <w:t xml:space="preserve"> to </w:t>
      </w:r>
      <w:r w:rsidR="00C85FD4">
        <w:t xml:space="preserve">be held </w:t>
      </w:r>
      <w:r w:rsidR="005A54F7">
        <w:t>(Article 218(I) and (II) of the LFDA</w:t>
      </w:r>
      <w:r w:rsidR="00161682">
        <w:t>)</w:t>
      </w:r>
      <w:r w:rsidR="005A54F7">
        <w:t>.</w:t>
      </w:r>
    </w:p>
    <w:p w:rsidR="00B57462" w:rsidRDefault="00B57462"/>
    <w:p w:rsidR="00B57462" w:rsidRDefault="0006599D">
      <w:r>
        <w:fldChar w:fldCharType="begin"/>
      </w:r>
      <w:r>
        <w:instrText xml:space="preserve"> AUTONUM  </w:instrText>
      </w:r>
      <w:r>
        <w:fldChar w:fldCharType="end"/>
      </w:r>
      <w:r>
        <w:tab/>
      </w:r>
      <w:r w:rsidR="00B57462">
        <w:t xml:space="preserve">Once the written complaint has been </w:t>
      </w:r>
      <w:r w:rsidR="00240F41">
        <w:t>accepted</w:t>
      </w:r>
      <w:r w:rsidR="008E0A07">
        <w:t xml:space="preserve">, </w:t>
      </w:r>
      <w:r w:rsidR="000A771A">
        <w:t xml:space="preserve">it shall be made available to </w:t>
      </w:r>
      <w:r w:rsidR="008E0A07">
        <w:t>the</w:t>
      </w:r>
      <w:r w:rsidR="00B57462">
        <w:t xml:space="preserve"> </w:t>
      </w:r>
      <w:r w:rsidR="005736F0">
        <w:t>counter party</w:t>
      </w:r>
      <w:r w:rsidR="008E0A07">
        <w:t xml:space="preserve"> </w:t>
      </w:r>
      <w:r w:rsidR="005736F0">
        <w:t xml:space="preserve">in order to enable </w:t>
      </w:r>
      <w:r w:rsidR="000A771A">
        <w:t>that party</w:t>
      </w:r>
      <w:r w:rsidR="005736F0">
        <w:t xml:space="preserve"> to respond to said complaint and to </w:t>
      </w:r>
      <w:r w:rsidR="0080525A">
        <w:t xml:space="preserve">assert its rights </w:t>
      </w:r>
      <w:r w:rsidR="005736F0">
        <w:t>within ten days from notification</w:t>
      </w:r>
      <w:r w:rsidR="0080525A">
        <w:t xml:space="preserve"> (Article 218(III) of the LFDA).</w:t>
      </w:r>
    </w:p>
    <w:p w:rsidR="000E7BB7" w:rsidRDefault="000E7BB7"/>
    <w:p w:rsidR="000E7BB7" w:rsidRDefault="0006599D">
      <w:r>
        <w:lastRenderedPageBreak/>
        <w:fldChar w:fldCharType="begin"/>
      </w:r>
      <w:r>
        <w:instrText xml:space="preserve"> AUTONUM  </w:instrText>
      </w:r>
      <w:r>
        <w:fldChar w:fldCharType="end"/>
      </w:r>
      <w:r>
        <w:tab/>
      </w:r>
      <w:r w:rsidR="000E7BB7">
        <w:t xml:space="preserve">Said summons is issued </w:t>
      </w:r>
      <w:r w:rsidR="006646E9">
        <w:t xml:space="preserve">under penalty of a fine </w:t>
      </w:r>
      <w:r w:rsidR="000E7BB7">
        <w:t>100 to 150</w:t>
      </w:r>
      <w:r w:rsidR="006646E9">
        <w:t xml:space="preserve"> times </w:t>
      </w:r>
      <w:r w:rsidR="000E7BB7">
        <w:t xml:space="preserve">greater than the daily minimum general wage in force in the Federal District, currently amounting to </w:t>
      </w:r>
      <w:r w:rsidR="000E7BB7" w:rsidRPr="000E7BB7">
        <w:t xml:space="preserve">6,476.00 </w:t>
      </w:r>
      <w:r w:rsidR="000E7BB7">
        <w:t xml:space="preserve">to </w:t>
      </w:r>
      <w:r w:rsidR="000E7BB7" w:rsidRPr="000E7BB7">
        <w:t xml:space="preserve">9,714.00 </w:t>
      </w:r>
      <w:r w:rsidR="000E7BB7">
        <w:t xml:space="preserve">Mexican pesos </w:t>
      </w:r>
      <w:r w:rsidR="000E7BB7" w:rsidRPr="000E7BB7">
        <w:t>(</w:t>
      </w:r>
      <w:r w:rsidR="000E7BB7">
        <w:t>US$</w:t>
      </w:r>
      <w:r w:rsidR="000E7BB7" w:rsidRPr="000E7BB7">
        <w:t xml:space="preserve">501.00 </w:t>
      </w:r>
      <w:r w:rsidR="000E7BB7">
        <w:t>to US$</w:t>
      </w:r>
      <w:r w:rsidR="000E7BB7" w:rsidRPr="000E7BB7">
        <w:t>751.00)</w:t>
      </w:r>
      <w:r w:rsidR="00192E26">
        <w:t xml:space="preserve"> (Article 218(III))</w:t>
      </w:r>
      <w:r w:rsidR="006646E9">
        <w:t xml:space="preserve">, should the parties fail to appear before the </w:t>
      </w:r>
      <w:r w:rsidR="009F3CA2">
        <w:t>settlement conference</w:t>
      </w:r>
      <w:r w:rsidR="00192E26">
        <w:t>.</w:t>
      </w:r>
    </w:p>
    <w:p w:rsidR="00724D89" w:rsidRDefault="00724D89"/>
    <w:p w:rsidR="00724D89" w:rsidRDefault="0006599D">
      <w:r>
        <w:fldChar w:fldCharType="begin"/>
      </w:r>
      <w:r>
        <w:instrText xml:space="preserve"> AUTONUM  </w:instrText>
      </w:r>
      <w:r>
        <w:fldChar w:fldCharType="end"/>
      </w:r>
      <w:r>
        <w:tab/>
      </w:r>
      <w:r w:rsidR="00724D89">
        <w:t xml:space="preserve">The INDAUTOR conciliation lawyers facilitate communication between the parties, acting as intermediaries, </w:t>
      </w:r>
      <w:r w:rsidR="00350C2A">
        <w:t>highlighting the concepts governed by the LFDA and inviting the parties to put forward opinions, positions or proposals that may lead to an agreement.</w:t>
      </w:r>
    </w:p>
    <w:p w:rsidR="00350C2A" w:rsidRDefault="00350C2A"/>
    <w:p w:rsidR="00350C2A" w:rsidRDefault="0006599D">
      <w:r>
        <w:fldChar w:fldCharType="begin"/>
      </w:r>
      <w:r>
        <w:instrText xml:space="preserve"> AUTONUM  </w:instrText>
      </w:r>
      <w:r>
        <w:fldChar w:fldCharType="end"/>
      </w:r>
      <w:r>
        <w:tab/>
        <w:t>T</w:t>
      </w:r>
      <w:r w:rsidR="00350C2A">
        <w:t xml:space="preserve">he </w:t>
      </w:r>
      <w:r w:rsidR="00BC76D3">
        <w:t>settlement</w:t>
      </w:r>
      <w:r w:rsidR="00350C2A">
        <w:t xml:space="preserve"> </w:t>
      </w:r>
      <w:r w:rsidR="00467D33">
        <w:t>procedure</w:t>
      </w:r>
      <w:r w:rsidR="00350C2A">
        <w:t xml:space="preserve"> can be terminated in the following ways:</w:t>
      </w:r>
    </w:p>
    <w:p w:rsidR="00350C2A" w:rsidRDefault="00350C2A"/>
    <w:p w:rsidR="00350C2A" w:rsidRDefault="00350C2A" w:rsidP="00632ECB">
      <w:pPr>
        <w:numPr>
          <w:ilvl w:val="0"/>
          <w:numId w:val="10"/>
        </w:numPr>
        <w:tabs>
          <w:tab w:val="left" w:pos="1134"/>
        </w:tabs>
        <w:ind w:left="567" w:firstLine="3"/>
      </w:pPr>
      <w:r>
        <w:t xml:space="preserve">the parties reach a conciliation </w:t>
      </w:r>
      <w:r w:rsidR="001A5CDE">
        <w:t>settlem</w:t>
      </w:r>
      <w:r>
        <w:t>ent that ends the dispute</w:t>
      </w:r>
      <w:r w:rsidR="001A5CDE">
        <w:t>, a settlement that may be stipulated in an agreement</w:t>
      </w:r>
      <w:r w:rsidR="000A771A">
        <w:t>,</w:t>
      </w:r>
      <w:r w:rsidR="001A5CDE">
        <w:t xml:space="preserve"> </w:t>
      </w:r>
      <w:r w:rsidR="003322C2">
        <w:t>approved by INDAUTOR at the request of one or more of the parties</w:t>
      </w:r>
      <w:r w:rsidR="000A771A">
        <w:t>,</w:t>
      </w:r>
      <w:r w:rsidR="003322C2">
        <w:t xml:space="preserve"> that shall have the force of </w:t>
      </w:r>
      <w:r w:rsidR="003322C2" w:rsidRPr="00F679F4">
        <w:rPr>
          <w:i/>
        </w:rPr>
        <w:t>res judicata</w:t>
      </w:r>
      <w:r w:rsidR="003322C2">
        <w:t xml:space="preserve"> and an enforceable right (Article 218(IV))</w:t>
      </w:r>
      <w:r w:rsidR="00E7170C">
        <w:t>;</w:t>
      </w:r>
    </w:p>
    <w:p w:rsidR="00632ECB" w:rsidRDefault="00632ECB" w:rsidP="00632ECB">
      <w:pPr>
        <w:tabs>
          <w:tab w:val="left" w:pos="1134"/>
        </w:tabs>
        <w:ind w:left="570"/>
      </w:pPr>
    </w:p>
    <w:p w:rsidR="003322C2" w:rsidRDefault="00E7170C" w:rsidP="00632ECB">
      <w:pPr>
        <w:numPr>
          <w:ilvl w:val="0"/>
          <w:numId w:val="10"/>
        </w:numPr>
        <w:tabs>
          <w:tab w:val="left" w:pos="1134"/>
        </w:tabs>
        <w:ind w:left="567" w:firstLine="3"/>
      </w:pPr>
      <w:r>
        <w:t>s</w:t>
      </w:r>
      <w:r w:rsidR="003322C2">
        <w:t>hould the parties fail to reach an agreement</w:t>
      </w:r>
      <w:r>
        <w:t xml:space="preserve">, </w:t>
      </w:r>
      <w:r w:rsidR="000A771A">
        <w:t>their</w:t>
      </w:r>
      <w:r>
        <w:t xml:space="preserve"> rights are safeguarded and can be exercised in the way and form that bes</w:t>
      </w:r>
      <w:r w:rsidR="000A771A">
        <w:t>t meet the interests of the par</w:t>
      </w:r>
      <w:r>
        <w:t>ties (Article 218(V));</w:t>
      </w:r>
      <w:r w:rsidR="00386C04">
        <w:t xml:space="preserve"> </w:t>
      </w:r>
      <w:r w:rsidR="00632ECB">
        <w:t xml:space="preserve"> </w:t>
      </w:r>
      <w:r w:rsidR="00386C04">
        <w:t>or</w:t>
      </w:r>
      <w:r w:rsidR="004866F7">
        <w:t>,</w:t>
      </w:r>
    </w:p>
    <w:p w:rsidR="00632ECB" w:rsidRDefault="00632ECB" w:rsidP="00632ECB">
      <w:pPr>
        <w:pStyle w:val="ListParagraph"/>
      </w:pPr>
    </w:p>
    <w:p w:rsidR="00386C04" w:rsidRDefault="00386C04" w:rsidP="00632ECB">
      <w:pPr>
        <w:numPr>
          <w:ilvl w:val="0"/>
          <w:numId w:val="10"/>
        </w:numPr>
        <w:tabs>
          <w:tab w:val="left" w:pos="1134"/>
        </w:tabs>
        <w:ind w:left="567" w:firstLine="3"/>
      </w:pPr>
      <w:proofErr w:type="gramStart"/>
      <w:r>
        <w:t>the</w:t>
      </w:r>
      <w:proofErr w:type="gramEnd"/>
      <w:r>
        <w:t xml:space="preserve"> parties can submit to arbitration or launch the appropriate civil, administrative or criminal actions.</w:t>
      </w:r>
    </w:p>
    <w:p w:rsidR="00386C04" w:rsidRDefault="00386C04" w:rsidP="00386C04"/>
    <w:p w:rsidR="00386C04" w:rsidRDefault="0006599D" w:rsidP="00386C04">
      <w:r>
        <w:fldChar w:fldCharType="begin"/>
      </w:r>
      <w:r>
        <w:instrText xml:space="preserve"> AUTONUM  </w:instrText>
      </w:r>
      <w:r>
        <w:fldChar w:fldCharType="end"/>
      </w:r>
      <w:r>
        <w:tab/>
      </w:r>
      <w:r w:rsidR="00386C04">
        <w:t xml:space="preserve">The </w:t>
      </w:r>
      <w:r w:rsidR="00BC76D3">
        <w:t>settlement</w:t>
      </w:r>
      <w:r w:rsidR="00386C04">
        <w:t xml:space="preserve"> </w:t>
      </w:r>
      <w:r w:rsidR="00467D33">
        <w:t>procedure</w:t>
      </w:r>
      <w:r w:rsidR="00386C04">
        <w:t xml:space="preserve"> is short and, by its very nature, makes it possible to deal with the dispute in a flexible and impartial manner, in line with the principle of good faith.  Thus, this </w:t>
      </w:r>
      <w:r w:rsidR="00467D33">
        <w:t>procedure</w:t>
      </w:r>
      <w:r w:rsidR="00386C04">
        <w:t xml:space="preserve"> is an attractive, low cost, </w:t>
      </w:r>
      <w:r w:rsidR="004376CA">
        <w:t>clear</w:t>
      </w:r>
      <w:r w:rsidR="00386C04">
        <w:t xml:space="preserve"> and </w:t>
      </w:r>
      <w:r w:rsidR="004376CA">
        <w:t>robust approach for parties involved in disputes.  Consequently</w:t>
      </w:r>
      <w:r w:rsidR="003E210B">
        <w:t>,</w:t>
      </w:r>
      <w:r w:rsidR="004376CA">
        <w:t xml:space="preserve"> the 14 Mexican </w:t>
      </w:r>
      <w:r w:rsidR="004376CA" w:rsidRPr="00F87817">
        <w:t>collective management societies</w:t>
      </w:r>
      <w:r w:rsidR="004376CA">
        <w:t xml:space="preserve"> and the bodies linked to the exploitation of literary content, </w:t>
      </w:r>
      <w:r w:rsidR="004376CA" w:rsidRPr="00F87817">
        <w:t>computer software programs</w:t>
      </w:r>
      <w:r w:rsidR="004376CA">
        <w:t xml:space="preserve">, music, etc., frequently use this </w:t>
      </w:r>
      <w:r w:rsidR="00467D33">
        <w:t>procedure</w:t>
      </w:r>
      <w:r w:rsidR="004376CA">
        <w:t xml:space="preserve"> in order to resolve disputes in an amicable fashion.</w:t>
      </w:r>
    </w:p>
    <w:p w:rsidR="00BB291D" w:rsidRDefault="00BB291D" w:rsidP="00386C04"/>
    <w:p w:rsidR="00BB291D" w:rsidRDefault="0006599D" w:rsidP="00386C04">
      <w:r>
        <w:fldChar w:fldCharType="begin"/>
      </w:r>
      <w:r>
        <w:instrText xml:space="preserve"> AUTONUM  </w:instrText>
      </w:r>
      <w:r>
        <w:fldChar w:fldCharType="end"/>
      </w:r>
      <w:r>
        <w:tab/>
      </w:r>
      <w:r w:rsidR="00BB291D">
        <w:t xml:space="preserve">Despite these advantages, INDAUTOR has developed the Conciliation Lawyer’s Handbook, with a view to improving </w:t>
      </w:r>
      <w:r w:rsidR="00A33E5D">
        <w:t xml:space="preserve">service and professional standards in the field of conciliation.  The Handbook contains the </w:t>
      </w:r>
      <w:r w:rsidR="00467D33">
        <w:t>procedure</w:t>
      </w:r>
      <w:r w:rsidR="00A33E5D">
        <w:t xml:space="preserve"> to be followed by lawyers during </w:t>
      </w:r>
      <w:r w:rsidR="00C81FC1">
        <w:t>settlement conference</w:t>
      </w:r>
      <w:r w:rsidR="00A33E5D">
        <w:t xml:space="preserve">s and covers the activities and documents that must be </w:t>
      </w:r>
      <w:r w:rsidR="005D13A0">
        <w:t>prepared</w:t>
      </w:r>
      <w:r w:rsidR="007B0EE9">
        <w:t xml:space="preserve">, from the acceptance of the complaint to the various ways in which the </w:t>
      </w:r>
      <w:r w:rsidR="00467D33">
        <w:t>procedure</w:t>
      </w:r>
      <w:r w:rsidR="007B0EE9">
        <w:t xml:space="preserve"> may be terminated.</w:t>
      </w:r>
    </w:p>
    <w:p w:rsidR="007B0EE9" w:rsidRDefault="007B0EE9" w:rsidP="00386C04"/>
    <w:p w:rsidR="007B0EE9" w:rsidRPr="000F0C3B" w:rsidRDefault="0006599D" w:rsidP="00386C04">
      <w:r>
        <w:fldChar w:fldCharType="begin"/>
      </w:r>
      <w:r>
        <w:instrText xml:space="preserve"> AUTONUM  </w:instrText>
      </w:r>
      <w:r>
        <w:fldChar w:fldCharType="end"/>
      </w:r>
      <w:r>
        <w:tab/>
      </w:r>
      <w:r w:rsidR="007B0EE9">
        <w:t xml:space="preserve">The Conciliation Lawyer’s Handbook is a graphic, detailed and simple tool that is used by conciliation lawyers when determining what course of action to take in the full range of scenarios that can arise during dispute-resolution </w:t>
      </w:r>
      <w:r w:rsidR="00467D33">
        <w:t>procedure</w:t>
      </w:r>
      <w:r w:rsidR="007B0EE9">
        <w:t xml:space="preserve">s in order to increase the likelihood of reaching agreements during </w:t>
      </w:r>
      <w:r w:rsidR="009F3CA2">
        <w:t>settlement conferences</w:t>
      </w:r>
      <w:r w:rsidR="007B0EE9">
        <w:t>.</w:t>
      </w:r>
    </w:p>
    <w:p w:rsidR="002928D3" w:rsidRDefault="002928D3" w:rsidP="0053057A"/>
    <w:p w:rsidR="00B77450" w:rsidRDefault="00B77450" w:rsidP="0053057A"/>
    <w:p w:rsidR="00B77450" w:rsidRDefault="00B77450" w:rsidP="0053057A"/>
    <w:p w:rsidR="00B77450" w:rsidRPr="00B77450" w:rsidRDefault="00B77450" w:rsidP="00632ECB">
      <w:pPr>
        <w:tabs>
          <w:tab w:val="left" w:pos="1134"/>
          <w:tab w:val="left" w:pos="1701"/>
        </w:tabs>
        <w:ind w:left="1134"/>
        <w:rPr>
          <w:u w:val="single"/>
        </w:rPr>
      </w:pPr>
      <w:r w:rsidRPr="00B77450">
        <w:rPr>
          <w:u w:val="single"/>
        </w:rPr>
        <w:t xml:space="preserve">3.1.2 </w:t>
      </w:r>
      <w:r w:rsidR="00632ECB">
        <w:rPr>
          <w:u w:val="single"/>
        </w:rPr>
        <w:tab/>
      </w:r>
      <w:r w:rsidRPr="00B77450">
        <w:rPr>
          <w:u w:val="single"/>
        </w:rPr>
        <w:t xml:space="preserve">On-line </w:t>
      </w:r>
      <w:r w:rsidR="00467D33">
        <w:rPr>
          <w:u w:val="single"/>
        </w:rPr>
        <w:t>procedure</w:t>
      </w:r>
      <w:r w:rsidRPr="00B77450">
        <w:rPr>
          <w:u w:val="single"/>
        </w:rPr>
        <w:t>s</w:t>
      </w:r>
    </w:p>
    <w:p w:rsidR="002928D3" w:rsidRDefault="002928D3"/>
    <w:p w:rsidR="008C6D8F" w:rsidRDefault="0006599D">
      <w:r>
        <w:fldChar w:fldCharType="begin"/>
      </w:r>
      <w:r>
        <w:instrText xml:space="preserve"> AUTONUM  </w:instrText>
      </w:r>
      <w:r>
        <w:fldChar w:fldCharType="end"/>
      </w:r>
      <w:r>
        <w:tab/>
      </w:r>
      <w:r w:rsidR="00B77450">
        <w:t xml:space="preserve">In order to maximize the impact of the </w:t>
      </w:r>
      <w:r w:rsidR="00C81FC1">
        <w:t>settlement conference</w:t>
      </w:r>
      <w:r w:rsidR="00B77450">
        <w:t xml:space="preserve">s, INDAUTOR is seeking to establish on-line </w:t>
      </w:r>
      <w:r w:rsidR="00C81FC1">
        <w:t>settlement conference</w:t>
      </w:r>
      <w:r w:rsidR="00B77450">
        <w:t xml:space="preserve">s by 2014.  Such </w:t>
      </w:r>
      <w:r w:rsidR="009F3CA2">
        <w:t>conferences</w:t>
      </w:r>
      <w:r w:rsidR="00B77450">
        <w:t xml:space="preserve"> would increase territorial scope</w:t>
      </w:r>
      <w:r w:rsidR="004D6B3D">
        <w:t>, given that the wider coverage that they could offer would be of benefit to users located outside of the Federal District.  Such a development would reduce the trans</w:t>
      </w:r>
      <w:r w:rsidR="006646E9">
        <w:t xml:space="preserve">port costs incurred by parties located in other parts of the Republic of Mexico when </w:t>
      </w:r>
      <w:r w:rsidR="004D6B3D">
        <w:t xml:space="preserve">attending </w:t>
      </w:r>
      <w:r w:rsidR="00C81FC1">
        <w:t>settlement conference</w:t>
      </w:r>
      <w:r w:rsidR="004D6B3D">
        <w:t>s</w:t>
      </w:r>
      <w:r w:rsidR="008C6D8F">
        <w:t>.</w:t>
      </w:r>
    </w:p>
    <w:p w:rsidR="008C6D8F" w:rsidRDefault="008C6D8F"/>
    <w:p w:rsidR="00632ECB" w:rsidRDefault="00632ECB"/>
    <w:p w:rsidR="00273CE4" w:rsidRDefault="00273CE4"/>
    <w:p w:rsidR="008C6D8F" w:rsidRDefault="008C6D8F"/>
    <w:p w:rsidR="008C6D8F" w:rsidRDefault="008C6D8F" w:rsidP="00632ECB">
      <w:pPr>
        <w:tabs>
          <w:tab w:val="left" w:pos="1134"/>
        </w:tabs>
        <w:ind w:left="567"/>
      </w:pPr>
      <w:r>
        <w:lastRenderedPageBreak/>
        <w:t>3.</w:t>
      </w:r>
      <w:r w:rsidR="005660FA">
        <w:t>2</w:t>
      </w:r>
      <w:r>
        <w:tab/>
        <w:t xml:space="preserve"> CONCILIATION</w:t>
      </w:r>
    </w:p>
    <w:p w:rsidR="008C6D8F" w:rsidRDefault="008C6D8F"/>
    <w:p w:rsidR="00B77450" w:rsidRDefault="0006599D">
      <w:r>
        <w:fldChar w:fldCharType="begin"/>
      </w:r>
      <w:r>
        <w:instrText xml:space="preserve"> AUTONUM  </w:instrText>
      </w:r>
      <w:r>
        <w:fldChar w:fldCharType="end"/>
      </w:r>
      <w:r>
        <w:tab/>
      </w:r>
      <w:r w:rsidR="008C6D8F">
        <w:t xml:space="preserve">As a part of the project to develop the field of conciliation in INDAUTOR by 2014, provision has been made for the implementation of an alternative mechanism in the form of active intervention by the Institute to decide on proposals to be put forward to parties concerning the resolution of disputes, </w:t>
      </w:r>
      <w:r w:rsidR="004D0CBB">
        <w:t xml:space="preserve">resulting in </w:t>
      </w:r>
      <w:r w:rsidR="0070185F">
        <w:t xml:space="preserve">assisted </w:t>
      </w:r>
      <w:r w:rsidR="004D0CBB">
        <w:t>conciliation.</w:t>
      </w:r>
      <w:r w:rsidR="004D6B3D">
        <w:t xml:space="preserve"> </w:t>
      </w:r>
    </w:p>
    <w:p w:rsidR="004D0CBB" w:rsidRDefault="004D0CBB"/>
    <w:p w:rsidR="004D0CBB" w:rsidRDefault="0006599D">
      <w:r>
        <w:fldChar w:fldCharType="begin"/>
      </w:r>
      <w:r>
        <w:instrText xml:space="preserve"> AUTONUM  </w:instrText>
      </w:r>
      <w:r>
        <w:fldChar w:fldCharType="end"/>
      </w:r>
      <w:r>
        <w:tab/>
      </w:r>
      <w:r w:rsidR="007B0FA9">
        <w:t xml:space="preserve">By focusing on relevant technical knowledge and the skills of the conciliation lawyers, it is possible to bring about circumstances under which the neutral third party, in this case INDAUTOR, may present the parties </w:t>
      </w:r>
      <w:r w:rsidR="00763DFB">
        <w:t>concerned</w:t>
      </w:r>
      <w:r w:rsidR="007B0FA9">
        <w:t xml:space="preserve"> with various solutions to a given dispute.</w:t>
      </w:r>
    </w:p>
    <w:p w:rsidR="007B0FA9" w:rsidRDefault="007B0FA9"/>
    <w:p w:rsidR="007B0FA9" w:rsidRPr="00D230AE" w:rsidRDefault="0006599D">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7B0FA9" w:rsidRPr="00D230AE">
        <w:rPr>
          <w:color w:val="000000"/>
        </w:rPr>
        <w:t>Any proposals made by the conciliation lawyers must be</w:t>
      </w:r>
      <w:r w:rsidR="00763DFB">
        <w:rPr>
          <w:color w:val="000000"/>
        </w:rPr>
        <w:t xml:space="preserve"> based</w:t>
      </w:r>
      <w:r w:rsidR="007B0FA9" w:rsidRPr="00D230AE">
        <w:rPr>
          <w:color w:val="000000"/>
        </w:rPr>
        <w:t xml:space="preserve"> mainly on the interests of the parties, </w:t>
      </w:r>
      <w:r w:rsidR="006646E9" w:rsidRPr="00D230AE">
        <w:rPr>
          <w:color w:val="000000"/>
        </w:rPr>
        <w:t>those interests being set out by</w:t>
      </w:r>
      <w:r w:rsidR="007B0FA9" w:rsidRPr="00D230AE">
        <w:rPr>
          <w:color w:val="000000"/>
        </w:rPr>
        <w:t xml:space="preserve"> the participants during the meetings of the conciliation boards.</w:t>
      </w:r>
    </w:p>
    <w:p w:rsidR="007B0FA9" w:rsidRDefault="007B0FA9"/>
    <w:p w:rsidR="007B0FA9" w:rsidRDefault="007B0FA9"/>
    <w:p w:rsidR="007B0FA9" w:rsidRDefault="007B0FA9">
      <w:r>
        <w:tab/>
        <w:t xml:space="preserve">3.3 </w:t>
      </w:r>
      <w:r w:rsidR="00632ECB">
        <w:tab/>
      </w:r>
      <w:r>
        <w:t>MEDIATION</w:t>
      </w:r>
    </w:p>
    <w:p w:rsidR="007B0FA9" w:rsidRDefault="007B0FA9"/>
    <w:p w:rsidR="007B0FA9" w:rsidRDefault="0006599D">
      <w:r>
        <w:fldChar w:fldCharType="begin"/>
      </w:r>
      <w:r>
        <w:instrText xml:space="preserve"> AUTONUM  </w:instrText>
      </w:r>
      <w:r>
        <w:fldChar w:fldCharType="end"/>
      </w:r>
      <w:r>
        <w:tab/>
      </w:r>
      <w:r w:rsidR="007B0FA9">
        <w:t>The current LFDA</w:t>
      </w:r>
      <w:r w:rsidR="004028B6">
        <w:t xml:space="preserve"> </w:t>
      </w:r>
      <w:r w:rsidR="004028B6" w:rsidRPr="00C654B4">
        <w:t>is in line</w:t>
      </w:r>
      <w:r w:rsidR="004028B6">
        <w:t xml:space="preserve"> with the mandate provided by the Mexican Constitution in that it sets forth alternative mechanisms for the resolution of disputes arising from the application and interpretation of its provisions.  Thus</w:t>
      </w:r>
      <w:r w:rsidR="001B3B3D">
        <w:t>,</w:t>
      </w:r>
      <w:r w:rsidR="004028B6">
        <w:t xml:space="preserve"> the projects currently being developed by INDAUTOR directly benefit the owners of rights and users by providing them with a range of options in terms of the extrajudicial resolution of their disputes.</w:t>
      </w:r>
    </w:p>
    <w:p w:rsidR="004028B6" w:rsidRDefault="004028B6"/>
    <w:p w:rsidR="004028B6" w:rsidRDefault="0006599D">
      <w:r>
        <w:fldChar w:fldCharType="begin"/>
      </w:r>
      <w:r>
        <w:instrText xml:space="preserve"> AUTONUM  </w:instrText>
      </w:r>
      <w:r>
        <w:fldChar w:fldCharType="end"/>
      </w:r>
      <w:r>
        <w:tab/>
      </w:r>
      <w:r w:rsidR="007450AF">
        <w:t xml:space="preserve">In order to strengthen the alternative dispute-resolution mechanisms </w:t>
      </w:r>
      <w:r w:rsidR="00014B6E">
        <w:t>provided for</w:t>
      </w:r>
      <w:r w:rsidR="007450AF">
        <w:t xml:space="preserve"> in the LF</w:t>
      </w:r>
      <w:r w:rsidR="000C197E">
        <w:t>D</w:t>
      </w:r>
      <w:r w:rsidR="007450AF">
        <w:t>A, we identified a need for the introduction, in 2014, of a new mechanism enabling INDAUTOR not merely to guide discussions or put forward possible solutions but to intervene effectively.</w:t>
      </w:r>
    </w:p>
    <w:p w:rsidR="007450AF" w:rsidRDefault="007450AF"/>
    <w:p w:rsidR="00322228" w:rsidRDefault="0006599D">
      <w:r>
        <w:fldChar w:fldCharType="begin"/>
      </w:r>
      <w:r>
        <w:instrText xml:space="preserve"> AUTONUM  </w:instrText>
      </w:r>
      <w:r>
        <w:fldChar w:fldCharType="end"/>
      </w:r>
      <w:r>
        <w:tab/>
      </w:r>
      <w:r w:rsidR="00014B6E">
        <w:t>Mediation sha</w:t>
      </w:r>
      <w:r w:rsidR="007450AF">
        <w:t>ll be adopted as a fourth alternative copyright dispute-resolution mechanism</w:t>
      </w:r>
      <w:r w:rsidR="00763DFB">
        <w:t>,</w:t>
      </w:r>
      <w:r w:rsidR="007450AF">
        <w:t xml:space="preserve"> in order to give INDAUTOR mediation lawyers the power to </w:t>
      </w:r>
      <w:r w:rsidR="00014B6E">
        <w:t>propose</w:t>
      </w:r>
      <w:r w:rsidR="007450AF">
        <w:t xml:space="preserve"> solutions </w:t>
      </w:r>
      <w:r w:rsidR="00014B6E">
        <w:t>focusing on</w:t>
      </w:r>
      <w:r w:rsidR="007450AF">
        <w:t xml:space="preserve"> the substance of cases that </w:t>
      </w:r>
      <w:r w:rsidR="009731C2">
        <w:t xml:space="preserve">shall be </w:t>
      </w:r>
      <w:r w:rsidR="00DD4773">
        <w:t>accepted with the consent of</w:t>
      </w:r>
      <w:r w:rsidR="009731C2">
        <w:t xml:space="preserve"> </w:t>
      </w:r>
      <w:r w:rsidR="00322228">
        <w:t>the parties.</w:t>
      </w:r>
    </w:p>
    <w:p w:rsidR="00322228" w:rsidRDefault="00322228"/>
    <w:p w:rsidR="007450AF" w:rsidRPr="005265CD" w:rsidRDefault="0006599D">
      <w:r>
        <w:fldChar w:fldCharType="begin"/>
      </w:r>
      <w:r>
        <w:instrText xml:space="preserve"> AUTONUM  </w:instrText>
      </w:r>
      <w:r>
        <w:fldChar w:fldCharType="end"/>
      </w:r>
      <w:r>
        <w:tab/>
      </w:r>
      <w:r w:rsidR="009B0698">
        <w:t xml:space="preserve">Under this </w:t>
      </w:r>
      <w:r w:rsidR="00467D33">
        <w:t>procedure</w:t>
      </w:r>
      <w:r w:rsidR="00322228">
        <w:t xml:space="preserve">, in </w:t>
      </w:r>
      <w:r w:rsidR="00F76AF1">
        <w:t xml:space="preserve">a </w:t>
      </w:r>
      <w:r w:rsidR="00322228">
        <w:t xml:space="preserve">case where no agreement </w:t>
      </w:r>
      <w:r w:rsidR="00763DFB">
        <w:t>has been</w:t>
      </w:r>
      <w:r w:rsidR="00322228">
        <w:t xml:space="preserve"> reached, the authority shall </w:t>
      </w:r>
      <w:r w:rsidR="00322228" w:rsidRPr="005265CD">
        <w:t xml:space="preserve">issue a recommendation that may be </w:t>
      </w:r>
      <w:r w:rsidR="005E2F57" w:rsidRPr="005265CD">
        <w:t>taken into account by the par</w:t>
      </w:r>
      <w:r w:rsidR="00322228" w:rsidRPr="005265CD">
        <w:t xml:space="preserve">ties, as well as by the administrative or judicial authority ruling on one of the </w:t>
      </w:r>
      <w:r w:rsidR="00467D33" w:rsidRPr="005265CD">
        <w:t>procedure</w:t>
      </w:r>
      <w:r w:rsidR="00322228" w:rsidRPr="005265CD">
        <w:t>s set forth in the relevant Law.</w:t>
      </w:r>
      <w:r w:rsidR="007450AF" w:rsidRPr="005265CD">
        <w:t xml:space="preserve"> </w:t>
      </w:r>
    </w:p>
    <w:p w:rsidR="00322228" w:rsidRDefault="00322228"/>
    <w:p w:rsidR="00322228" w:rsidRDefault="0006599D">
      <w:r>
        <w:fldChar w:fldCharType="begin"/>
      </w:r>
      <w:r>
        <w:instrText xml:space="preserve"> AUTONUM  </w:instrText>
      </w:r>
      <w:r>
        <w:fldChar w:fldCharType="end"/>
      </w:r>
      <w:r>
        <w:tab/>
      </w:r>
      <w:r w:rsidR="0084385F">
        <w:t xml:space="preserve">In order for the mediation </w:t>
      </w:r>
      <w:r w:rsidR="00467D33">
        <w:t>procedure</w:t>
      </w:r>
      <w:r w:rsidR="0084385F">
        <w:t xml:space="preserve"> to be implemented,</w:t>
      </w:r>
      <w:r w:rsidR="000C736D">
        <w:t xml:space="preserve"> appropriate</w:t>
      </w:r>
      <w:r w:rsidR="0084385F">
        <w:t xml:space="preserve"> </w:t>
      </w:r>
      <w:r w:rsidR="000C736D">
        <w:t xml:space="preserve">provision must be made in both the LFDA and its Regulations for the </w:t>
      </w:r>
      <w:r w:rsidR="00C5541E" w:rsidRPr="009731C2">
        <w:t>status and powers</w:t>
      </w:r>
      <w:r w:rsidR="00C5541E">
        <w:t xml:space="preserve"> of the staff assigned to INDAUTOR.</w:t>
      </w:r>
    </w:p>
    <w:p w:rsidR="00C5541E" w:rsidRDefault="00C5541E"/>
    <w:p w:rsidR="00C5541E" w:rsidRDefault="00C5541E"/>
    <w:p w:rsidR="00C5541E" w:rsidRDefault="00C5541E">
      <w:r>
        <w:tab/>
        <w:t xml:space="preserve">3.4 </w:t>
      </w:r>
      <w:r w:rsidR="00632ECB">
        <w:tab/>
        <w:t>A</w:t>
      </w:r>
      <w:r>
        <w:t>RBITRATION</w:t>
      </w:r>
    </w:p>
    <w:p w:rsidR="00C5541E" w:rsidRDefault="00C5541E"/>
    <w:p w:rsidR="00C5541E" w:rsidRDefault="0006599D">
      <w:r>
        <w:fldChar w:fldCharType="begin"/>
      </w:r>
      <w:r>
        <w:instrText xml:space="preserve"> AUTONUM  </w:instrText>
      </w:r>
      <w:r>
        <w:fldChar w:fldCharType="end"/>
      </w:r>
      <w:r>
        <w:tab/>
      </w:r>
      <w:r w:rsidR="00C5541E">
        <w:t xml:space="preserve">Arbitration is governed by Articles 219 to 228 of the LFDA and 143 to 155 of its Regulations, </w:t>
      </w:r>
      <w:r w:rsidR="00A703CA">
        <w:t>the Code on Trade also being applied as a means of private arbitration.</w:t>
      </w:r>
    </w:p>
    <w:p w:rsidR="00A703CA" w:rsidRDefault="00A703CA"/>
    <w:p w:rsidR="00A703CA" w:rsidRDefault="0006599D">
      <w:r>
        <w:fldChar w:fldCharType="begin"/>
      </w:r>
      <w:r>
        <w:instrText xml:space="preserve"> AUTONUM  </w:instrText>
      </w:r>
      <w:r>
        <w:fldChar w:fldCharType="end"/>
      </w:r>
      <w:r>
        <w:tab/>
      </w:r>
      <w:r w:rsidR="00A703CA">
        <w:t>The LFDA specifically states that the parties can submit to arbitration:</w:t>
      </w:r>
    </w:p>
    <w:p w:rsidR="00A703CA" w:rsidRDefault="00A703CA"/>
    <w:p w:rsidR="00A703CA" w:rsidRDefault="00A703CA" w:rsidP="00A703CA">
      <w:pPr>
        <w:ind w:firstLine="567"/>
      </w:pPr>
      <w:proofErr w:type="gramStart"/>
      <w:r>
        <w:t>“Article 220.</w:t>
      </w:r>
      <w:proofErr w:type="gramEnd"/>
      <w:r>
        <w:t xml:space="preserve"> </w:t>
      </w:r>
      <w:r w:rsidR="003E210B">
        <w:t xml:space="preserve"> </w:t>
      </w:r>
      <w:r>
        <w:t>The parties may</w:t>
      </w:r>
      <w:r w:rsidR="007D625E">
        <w:t xml:space="preserve"> agree to</w:t>
      </w:r>
      <w:r>
        <w:t xml:space="preserve"> submit to an arbitration </w:t>
      </w:r>
      <w:r w:rsidR="00467D33">
        <w:t>procedure</w:t>
      </w:r>
      <w:r>
        <w:t xml:space="preserve"> through:</w:t>
      </w:r>
    </w:p>
    <w:p w:rsidR="00A703CA" w:rsidRDefault="00A703CA"/>
    <w:p w:rsidR="006F6FDC" w:rsidRDefault="00960DBF" w:rsidP="005660FA">
      <w:pPr>
        <w:numPr>
          <w:ilvl w:val="0"/>
          <w:numId w:val="11"/>
        </w:numPr>
        <w:tabs>
          <w:tab w:val="left" w:pos="1134"/>
        </w:tabs>
        <w:ind w:left="567" w:firstLine="0"/>
      </w:pPr>
      <w:r>
        <w:t>A</w:t>
      </w:r>
      <w:r w:rsidR="003E210B">
        <w:t>n arbitration</w:t>
      </w:r>
      <w:r w:rsidR="006F6FDC">
        <w:t xml:space="preserve"> clause: </w:t>
      </w:r>
      <w:r w:rsidR="003E210B">
        <w:t xml:space="preserve"> </w:t>
      </w:r>
      <w:r w:rsidR="00F02C2E">
        <w:t xml:space="preserve">an </w:t>
      </w:r>
      <w:r w:rsidR="003E210B">
        <w:t>agreement to arbitrate</w:t>
      </w:r>
      <w:r w:rsidR="006F6FDC">
        <w:t xml:space="preserve"> included in contracts concluded concerning works protected by this Law or in independent agreements referring to all or certain disputes which may arise in the future between them, and</w:t>
      </w:r>
    </w:p>
    <w:p w:rsidR="006F6FDC" w:rsidRDefault="006F6FDC" w:rsidP="005660FA">
      <w:pPr>
        <w:tabs>
          <w:tab w:val="left" w:pos="1134"/>
        </w:tabs>
        <w:ind w:left="567"/>
      </w:pPr>
    </w:p>
    <w:p w:rsidR="003E210B" w:rsidRDefault="00960DBF" w:rsidP="005660FA">
      <w:pPr>
        <w:numPr>
          <w:ilvl w:val="0"/>
          <w:numId w:val="11"/>
        </w:numPr>
        <w:tabs>
          <w:tab w:val="left" w:pos="1134"/>
        </w:tabs>
        <w:ind w:left="567" w:firstLine="0"/>
      </w:pPr>
      <w:r>
        <w:lastRenderedPageBreak/>
        <w:t>A</w:t>
      </w:r>
      <w:r w:rsidR="00F02C2E">
        <w:t xml:space="preserve">n arbitration </w:t>
      </w:r>
      <w:r w:rsidR="0070185F">
        <w:t xml:space="preserve">submission </w:t>
      </w:r>
      <w:r w:rsidR="003E210B">
        <w:t>agreement</w:t>
      </w:r>
      <w:r w:rsidR="00F02C2E">
        <w:t xml:space="preserve">: </w:t>
      </w:r>
      <w:r w:rsidR="003E210B">
        <w:t xml:space="preserve"> </w:t>
      </w:r>
      <w:r w:rsidR="00F02C2E">
        <w:t xml:space="preserve">an agreement to submit to the arbitration </w:t>
      </w:r>
      <w:r w:rsidR="00467D33">
        <w:t>procedure</w:t>
      </w:r>
      <w:r w:rsidR="00F02C2E">
        <w:t xml:space="preserve"> when all or certain disputes have already arisen between the parties at the time of the signing of the agreement.  </w:t>
      </w:r>
    </w:p>
    <w:p w:rsidR="003E210B" w:rsidRDefault="003E210B" w:rsidP="00F679F4">
      <w:pPr>
        <w:pStyle w:val="ListParagraph"/>
      </w:pPr>
    </w:p>
    <w:p w:rsidR="00A703CA" w:rsidRDefault="00F02C2E" w:rsidP="00F679F4">
      <w:pPr>
        <w:tabs>
          <w:tab w:val="left" w:pos="1134"/>
        </w:tabs>
        <w:ind w:left="567"/>
      </w:pPr>
      <w:r>
        <w:t xml:space="preserve">Both the </w:t>
      </w:r>
      <w:r w:rsidR="003E210B">
        <w:t>arbitration</w:t>
      </w:r>
      <w:r>
        <w:t xml:space="preserve"> clause and the arbitration </w:t>
      </w:r>
      <w:r w:rsidR="0070185F">
        <w:t xml:space="preserve">submission </w:t>
      </w:r>
      <w:r w:rsidR="003E210B">
        <w:t>agreement</w:t>
      </w:r>
      <w:r>
        <w:t xml:space="preserve"> shall</w:t>
      </w:r>
      <w:r w:rsidR="0006544E">
        <w:t>, without exception,</w:t>
      </w:r>
      <w:r>
        <w:t xml:space="preserve"> </w:t>
      </w:r>
      <w:r w:rsidR="0006544E">
        <w:t>be set out in writing</w:t>
      </w:r>
      <w:r w:rsidR="00EB1720">
        <w:t>.</w:t>
      </w:r>
      <w:r w:rsidR="00A703CA">
        <w:t>”</w:t>
      </w:r>
    </w:p>
    <w:p w:rsidR="00EB1720" w:rsidRDefault="00EB1720" w:rsidP="00EB1720">
      <w:pPr>
        <w:pStyle w:val="ListParagraph"/>
      </w:pPr>
    </w:p>
    <w:p w:rsidR="00EB1720" w:rsidRDefault="0006599D" w:rsidP="00EB1720">
      <w:r>
        <w:fldChar w:fldCharType="begin"/>
      </w:r>
      <w:r>
        <w:instrText xml:space="preserve"> AUTONUM  </w:instrText>
      </w:r>
      <w:r>
        <w:fldChar w:fldCharType="end"/>
      </w:r>
      <w:r>
        <w:tab/>
      </w:r>
      <w:r w:rsidR="00EB1720">
        <w:t xml:space="preserve">Once the parties have expressed their willingness to submit </w:t>
      </w:r>
      <w:bookmarkStart w:id="5" w:name="_GoBack"/>
      <w:bookmarkEnd w:id="5"/>
      <w:r w:rsidR="00EB1720">
        <w:t xml:space="preserve">to arbitration, they shall select two </w:t>
      </w:r>
      <w:r w:rsidR="00613BC7">
        <w:t>arbitrator</w:t>
      </w:r>
      <w:r w:rsidR="00EB1720">
        <w:t xml:space="preserve">s from the list published and authorized by INDAUTOR, with </w:t>
      </w:r>
      <w:r w:rsidR="001B3B3D">
        <w:t>those arbitrators</w:t>
      </w:r>
      <w:r w:rsidR="00EB1720">
        <w:t xml:space="preserve"> in turn appointing a third member from the same list to serve as the Chair of the arbitration </w:t>
      </w:r>
      <w:r w:rsidR="005516E9">
        <w:t>panel, such</w:t>
      </w:r>
      <w:r w:rsidR="00EB1720">
        <w:t xml:space="preserve"> </w:t>
      </w:r>
      <w:r w:rsidR="005516E9">
        <w:t>panels</w:t>
      </w:r>
      <w:r w:rsidR="00EB1720">
        <w:t xml:space="preserve"> always being made up of an odd number of members (Article 222 of the LFDA).</w:t>
      </w:r>
    </w:p>
    <w:p w:rsidR="00456E22" w:rsidRDefault="00456E22" w:rsidP="00EB1720"/>
    <w:p w:rsidR="00456E22" w:rsidRDefault="0006599D" w:rsidP="00EB1720">
      <w:r>
        <w:fldChar w:fldCharType="begin"/>
      </w:r>
      <w:r>
        <w:instrText xml:space="preserve"> AUTONUM  </w:instrText>
      </w:r>
      <w:r>
        <w:fldChar w:fldCharType="end"/>
      </w:r>
      <w:r>
        <w:tab/>
      </w:r>
      <w:r w:rsidR="00456E22">
        <w:t xml:space="preserve">Arbitration </w:t>
      </w:r>
      <w:r w:rsidR="00467D33">
        <w:t>procedure</w:t>
      </w:r>
      <w:r w:rsidR="00456E22">
        <w:t xml:space="preserve">s shall be resolved within no more than 60 days, </w:t>
      </w:r>
      <w:r w:rsidR="00615711">
        <w:t>and may b</w:t>
      </w:r>
      <w:r w:rsidR="005F514B">
        <w:t>e</w:t>
      </w:r>
      <w:r w:rsidR="00615711">
        <w:t xml:space="preserve"> ended by</w:t>
      </w:r>
      <w:r w:rsidR="00456E22">
        <w:t xml:space="preserve"> </w:t>
      </w:r>
      <w:r w:rsidR="00615711">
        <w:t xml:space="preserve">an </w:t>
      </w:r>
      <w:r w:rsidR="00456E22">
        <w:t>agreement between the par</w:t>
      </w:r>
      <w:r w:rsidR="00DE5E82">
        <w:t>ties or</w:t>
      </w:r>
      <w:r w:rsidR="00615711">
        <w:t xml:space="preserve"> by</w:t>
      </w:r>
      <w:r w:rsidR="00DE5E82">
        <w:t xml:space="preserve"> the issuing of an award.  In cases resulting in the issuing of an award, said award must be reasoned</w:t>
      </w:r>
      <w:r w:rsidR="005516E9">
        <w:t xml:space="preserve"> and motivated</w:t>
      </w:r>
      <w:r w:rsidR="00DE5E82">
        <w:t xml:space="preserve">, </w:t>
      </w:r>
      <w:r w:rsidR="005516E9">
        <w:t>and based on the vote of a majority of the arbitrators</w:t>
      </w:r>
      <w:proofErr w:type="gramStart"/>
      <w:r w:rsidR="00DE5E82">
        <w:t xml:space="preserve">; </w:t>
      </w:r>
      <w:r w:rsidR="004321DE">
        <w:t xml:space="preserve"> </w:t>
      </w:r>
      <w:r w:rsidR="00DE5E82">
        <w:t>INDAUTOR</w:t>
      </w:r>
      <w:proofErr w:type="gramEnd"/>
      <w:r w:rsidR="00DE5E82">
        <w:t xml:space="preserve"> shall then be informed of</w:t>
      </w:r>
      <w:r w:rsidR="001B3B3D">
        <w:t xml:space="preserve"> the issuing of the award and sha</w:t>
      </w:r>
      <w:r w:rsidR="00DE5E82">
        <w:t>ll, in turn, notify the parti</w:t>
      </w:r>
      <w:r w:rsidR="001B3B3D">
        <w:t>es of this development (Article</w:t>
      </w:r>
      <w:r w:rsidR="00DE5E82">
        <w:t xml:space="preserve"> 22</w:t>
      </w:r>
      <w:r w:rsidR="001B3B3D">
        <w:t>4</w:t>
      </w:r>
      <w:r w:rsidR="00DE5E82">
        <w:t xml:space="preserve"> of the LFDA).</w:t>
      </w:r>
    </w:p>
    <w:p w:rsidR="00DE5E82" w:rsidRDefault="00DE5E82" w:rsidP="00EB1720"/>
    <w:p w:rsidR="00DE5E82" w:rsidRDefault="0006599D" w:rsidP="00EB1720">
      <w:r>
        <w:fldChar w:fldCharType="begin"/>
      </w:r>
      <w:r>
        <w:instrText xml:space="preserve"> AUTONUM  </w:instrText>
      </w:r>
      <w:r>
        <w:fldChar w:fldCharType="end"/>
      </w:r>
      <w:r>
        <w:tab/>
      </w:r>
      <w:r w:rsidR="006850EC">
        <w:t xml:space="preserve">INDAUTOR is responsible for </w:t>
      </w:r>
      <w:r w:rsidR="003E4064">
        <w:t>the preparation, authorization and annual publication</w:t>
      </w:r>
      <w:r w:rsidR="00FF7F71">
        <w:t>,</w:t>
      </w:r>
      <w:r w:rsidR="006850EC">
        <w:t xml:space="preserve"> in the Official Bulletin of the Mexican Federation</w:t>
      </w:r>
      <w:r w:rsidR="00FF7F71">
        <w:t>,</w:t>
      </w:r>
      <w:r w:rsidR="003E4064">
        <w:t xml:space="preserve"> of</w:t>
      </w:r>
      <w:r w:rsidR="006850EC">
        <w:t xml:space="preserve"> a list of INDAUTOR-approved </w:t>
      </w:r>
      <w:r w:rsidR="00613BC7">
        <w:t>arbitrator</w:t>
      </w:r>
      <w:r w:rsidR="006850EC">
        <w:t xml:space="preserve">s and the amount of the fees that the parties must pay to each of the </w:t>
      </w:r>
      <w:r w:rsidR="00613BC7">
        <w:t>arbitrator</w:t>
      </w:r>
      <w:r w:rsidR="006850EC">
        <w:t>s.</w:t>
      </w:r>
    </w:p>
    <w:p w:rsidR="0097637B" w:rsidRDefault="0097637B" w:rsidP="00EB1720"/>
    <w:p w:rsidR="0097637B" w:rsidRDefault="0006599D" w:rsidP="00EB1720">
      <w:r>
        <w:fldChar w:fldCharType="begin"/>
      </w:r>
      <w:r>
        <w:instrText xml:space="preserve"> AUTONUM  </w:instrText>
      </w:r>
      <w:r>
        <w:fldChar w:fldCharType="end"/>
      </w:r>
      <w:r>
        <w:tab/>
      </w:r>
      <w:r w:rsidR="0097637B">
        <w:t xml:space="preserve">INDAUTOR is empowered to </w:t>
      </w:r>
      <w:r w:rsidR="002F7AE0">
        <w:t xml:space="preserve">provide </w:t>
      </w:r>
      <w:r w:rsidR="0097637B">
        <w:t xml:space="preserve">the arbitration </w:t>
      </w:r>
      <w:r w:rsidR="00763DFB">
        <w:t>panel</w:t>
      </w:r>
      <w:r w:rsidR="002F7AE0">
        <w:t xml:space="preserve"> with assistance</w:t>
      </w:r>
      <w:r w:rsidR="0097637B">
        <w:t xml:space="preserve"> </w:t>
      </w:r>
      <w:r w:rsidR="007C5CB7">
        <w:t>concerning</w:t>
      </w:r>
      <w:r w:rsidR="00C220BF">
        <w:t>:</w:t>
      </w:r>
      <w:r w:rsidR="0097637B">
        <w:t xml:space="preserve"> notifications, </w:t>
      </w:r>
      <w:r w:rsidR="00FF7F71">
        <w:t xml:space="preserve">the </w:t>
      </w:r>
      <w:r w:rsidR="0097637B">
        <w:t xml:space="preserve">monitoring </w:t>
      </w:r>
      <w:r w:rsidR="00FF7F71">
        <w:t xml:space="preserve">of </w:t>
      </w:r>
      <w:r w:rsidR="0097637B">
        <w:t xml:space="preserve">the arbitration </w:t>
      </w:r>
      <w:r w:rsidR="00467D33">
        <w:t>procedure</w:t>
      </w:r>
      <w:r w:rsidR="0097637B">
        <w:t xml:space="preserve"> and any</w:t>
      </w:r>
      <w:r w:rsidR="007C5CB7">
        <w:t xml:space="preserve"> related</w:t>
      </w:r>
      <w:r w:rsidR="0097637B">
        <w:t xml:space="preserve"> procedural issue</w:t>
      </w:r>
      <w:r w:rsidR="007C5CB7">
        <w:t>s</w:t>
      </w:r>
      <w:r w:rsidR="0097637B">
        <w:t xml:space="preserve"> (Articles 221 and 228 of the LFDA).</w:t>
      </w:r>
    </w:p>
    <w:p w:rsidR="0097637B" w:rsidRDefault="0097637B" w:rsidP="00EB1720"/>
    <w:p w:rsidR="0097637B" w:rsidRDefault="0097637B" w:rsidP="00EB1720"/>
    <w:p w:rsidR="0097637B" w:rsidRDefault="0097637B" w:rsidP="00EB1720">
      <w:pPr>
        <w:rPr>
          <w:b/>
        </w:rPr>
      </w:pPr>
      <w:r w:rsidRPr="0097637B">
        <w:rPr>
          <w:b/>
        </w:rPr>
        <w:t>4.</w:t>
      </w:r>
      <w:r w:rsidRPr="0097637B">
        <w:rPr>
          <w:b/>
        </w:rPr>
        <w:tab/>
        <w:t>STATISTICS</w:t>
      </w:r>
    </w:p>
    <w:p w:rsidR="0097637B" w:rsidRDefault="0097637B" w:rsidP="00EB1720">
      <w:pPr>
        <w:rPr>
          <w:b/>
        </w:rPr>
      </w:pPr>
    </w:p>
    <w:p w:rsidR="0097637B" w:rsidRDefault="0006599D" w:rsidP="00EB1720">
      <w:r>
        <w:fldChar w:fldCharType="begin"/>
      </w:r>
      <w:r>
        <w:instrText xml:space="preserve"> AUTONUM  </w:instrText>
      </w:r>
      <w:r>
        <w:fldChar w:fldCharType="end"/>
      </w:r>
      <w:r>
        <w:tab/>
      </w:r>
      <w:r w:rsidR="00015E68">
        <w:t xml:space="preserve">Since the implementation of the administrative </w:t>
      </w:r>
      <w:r w:rsidR="00573D21">
        <w:t>settlement</w:t>
      </w:r>
      <w:r w:rsidR="00015E68">
        <w:t xml:space="preserve"> </w:t>
      </w:r>
      <w:r w:rsidR="00467D33">
        <w:t>procedure</w:t>
      </w:r>
      <w:r w:rsidR="00015E68">
        <w:t xml:space="preserve"> in 1997, there have been an encouraging number of successful outcomes in terms of the work of the </w:t>
      </w:r>
      <w:r w:rsidR="00C81FC1">
        <w:t>settlement conference</w:t>
      </w:r>
      <w:r w:rsidR="00015E68">
        <w:t>s</w:t>
      </w:r>
      <w:r w:rsidR="00D638CC">
        <w:t>, as well as</w:t>
      </w:r>
      <w:r w:rsidR="00015E68">
        <w:t xml:space="preserve"> </w:t>
      </w:r>
      <w:r w:rsidR="00615711">
        <w:t>an increase in the number of</w:t>
      </w:r>
      <w:r w:rsidR="00015E68">
        <w:t xml:space="preserve"> complaints </w:t>
      </w:r>
      <w:r w:rsidR="003C330A">
        <w:t>fil</w:t>
      </w:r>
      <w:r w:rsidR="00015E68">
        <w:t>ed.</w:t>
      </w:r>
    </w:p>
    <w:p w:rsidR="00015E68" w:rsidRDefault="00015E68" w:rsidP="00EB1720"/>
    <w:p w:rsidR="00015E68" w:rsidRDefault="0006599D" w:rsidP="00EB1720">
      <w:r>
        <w:fldChar w:fldCharType="begin"/>
      </w:r>
      <w:r>
        <w:instrText xml:space="preserve"> AUTONUM  </w:instrText>
      </w:r>
      <w:r>
        <w:fldChar w:fldCharType="end"/>
      </w:r>
      <w:r>
        <w:tab/>
      </w:r>
      <w:r w:rsidR="00015E68">
        <w:t xml:space="preserve">In 1998, 396 complaints were accepted, of which 44.94 per cent resulted in conciliation.  In 2000, 535 complaints were </w:t>
      </w:r>
      <w:r w:rsidR="003C330A">
        <w:t>fil</w:t>
      </w:r>
      <w:r w:rsidR="00015E68">
        <w:t>ed, of which 50.28 per cent resulted in conciliation</w:t>
      </w:r>
      <w:r w:rsidR="00C12643">
        <w:t>.  In 2011, 782 complaints were accepted, with that figure reaching 759 in 2012, giving an average of over 700 complaints.</w:t>
      </w:r>
    </w:p>
    <w:p w:rsidR="00C12643" w:rsidRDefault="00C12643" w:rsidP="00EB1720"/>
    <w:p w:rsidR="00C12643" w:rsidRDefault="0006599D" w:rsidP="00EB1720">
      <w:r>
        <w:fldChar w:fldCharType="begin"/>
      </w:r>
      <w:r>
        <w:instrText xml:space="preserve"> AUTONUM  </w:instrText>
      </w:r>
      <w:r>
        <w:fldChar w:fldCharType="end"/>
      </w:r>
      <w:r>
        <w:tab/>
      </w:r>
      <w:r w:rsidR="00C12643">
        <w:t xml:space="preserve">The year 2013 was encouraging </w:t>
      </w:r>
      <w:r w:rsidR="00615711">
        <w:t>in terms of</w:t>
      </w:r>
      <w:r w:rsidR="00C12643">
        <w:t xml:space="preserve"> </w:t>
      </w:r>
      <w:r w:rsidR="00C81FC1">
        <w:t>settlement conference</w:t>
      </w:r>
      <w:r w:rsidR="00C12643">
        <w:t>s</w:t>
      </w:r>
      <w:r w:rsidR="00615711">
        <w:t>,</w:t>
      </w:r>
      <w:r w:rsidR="00C12643">
        <w:t xml:space="preserve"> in that it was the year in which the greatest number of complaints</w:t>
      </w:r>
      <w:r w:rsidR="00615711">
        <w:t xml:space="preserve"> was filed</w:t>
      </w:r>
      <w:r w:rsidR="00C12643">
        <w:t>, 1,150 in total.</w:t>
      </w:r>
    </w:p>
    <w:p w:rsidR="00E13B5A" w:rsidRDefault="00E13B5A" w:rsidP="00EB1720"/>
    <w:p w:rsidR="00E13B5A" w:rsidRDefault="0006599D" w:rsidP="00EB1720">
      <w:r>
        <w:fldChar w:fldCharType="begin"/>
      </w:r>
      <w:r>
        <w:instrText xml:space="preserve"> AUTONUM  </w:instrText>
      </w:r>
      <w:r>
        <w:fldChar w:fldCharType="end"/>
      </w:r>
      <w:r>
        <w:tab/>
      </w:r>
      <w:r w:rsidR="00E13B5A">
        <w:t xml:space="preserve">Finally, between 1998 and 2013, around 24,386 </w:t>
      </w:r>
      <w:r w:rsidR="00C81FC1">
        <w:t>settlement conference</w:t>
      </w:r>
      <w:r w:rsidR="00E13B5A">
        <w:t xml:space="preserve">s were convened, demonstrating just how useful </w:t>
      </w:r>
      <w:r w:rsidR="008260A1">
        <w:t>alternative dispute-resolution mechanisms</w:t>
      </w:r>
      <w:r w:rsidR="00E13B5A">
        <w:t xml:space="preserve"> are for the various sector</w:t>
      </w:r>
      <w:r w:rsidR="008260A1">
        <w:t>s</w:t>
      </w:r>
      <w:r w:rsidR="00D638CC">
        <w:t>,</w:t>
      </w:r>
      <w:r w:rsidR="008260A1">
        <w:t xml:space="preserve"> rights owners</w:t>
      </w:r>
      <w:r w:rsidR="00D638CC">
        <w:t xml:space="preserve"> and private individuals</w:t>
      </w:r>
      <w:r w:rsidR="008260A1">
        <w:t>.</w:t>
      </w:r>
    </w:p>
    <w:p w:rsidR="008260A1" w:rsidRDefault="008260A1" w:rsidP="00EB1720"/>
    <w:p w:rsidR="008260A1" w:rsidRDefault="008260A1" w:rsidP="00EB1720"/>
    <w:p w:rsidR="008260A1" w:rsidRDefault="008260A1" w:rsidP="00EB1720">
      <w:pPr>
        <w:rPr>
          <w:b/>
        </w:rPr>
      </w:pPr>
      <w:r w:rsidRPr="008260A1">
        <w:rPr>
          <w:b/>
        </w:rPr>
        <w:t>5.</w:t>
      </w:r>
      <w:r w:rsidRPr="008260A1">
        <w:rPr>
          <w:b/>
        </w:rPr>
        <w:tab/>
        <w:t>CONCLUSIONS</w:t>
      </w:r>
    </w:p>
    <w:p w:rsidR="008260A1" w:rsidRDefault="008260A1" w:rsidP="00EB1720">
      <w:pPr>
        <w:rPr>
          <w:b/>
        </w:rPr>
      </w:pPr>
    </w:p>
    <w:p w:rsidR="008260A1" w:rsidRDefault="0006599D" w:rsidP="00EB1720">
      <w:r>
        <w:fldChar w:fldCharType="begin"/>
      </w:r>
      <w:r>
        <w:instrText xml:space="preserve"> AUTONUM  </w:instrText>
      </w:r>
      <w:r>
        <w:fldChar w:fldCharType="end"/>
      </w:r>
      <w:r>
        <w:tab/>
      </w:r>
      <w:r w:rsidR="008260A1" w:rsidRPr="008260A1">
        <w:t>INDAUTOR believes that</w:t>
      </w:r>
      <w:r w:rsidR="008260A1">
        <w:t xml:space="preserve">, as a result of their rapid, dynamic, flexible and </w:t>
      </w:r>
      <w:r w:rsidR="00F76AF1">
        <w:t>cost-effective</w:t>
      </w:r>
      <w:r w:rsidR="001B2E03">
        <w:t xml:space="preserve"> </w:t>
      </w:r>
      <w:r w:rsidR="008260A1">
        <w:t xml:space="preserve">nature, </w:t>
      </w:r>
      <w:r w:rsidR="008260A1" w:rsidRPr="008260A1">
        <w:t>alternative d</w:t>
      </w:r>
      <w:r w:rsidR="008260A1">
        <w:t>ispute-resolution mechanisms offer parties to disputes greater benefits.</w:t>
      </w:r>
    </w:p>
    <w:p w:rsidR="008260A1" w:rsidRDefault="008260A1" w:rsidP="00EB1720"/>
    <w:p w:rsidR="008260A1" w:rsidRDefault="0006599D" w:rsidP="00EB1720">
      <w:r>
        <w:fldChar w:fldCharType="begin"/>
      </w:r>
      <w:r>
        <w:instrText xml:space="preserve"> AUTONUM  </w:instrText>
      </w:r>
      <w:r>
        <w:fldChar w:fldCharType="end"/>
      </w:r>
      <w:r>
        <w:tab/>
      </w:r>
      <w:r w:rsidR="008260A1">
        <w:t>The appropriate regulation of these alternatives shall grant security and legal certainty to those parties wh</w:t>
      </w:r>
      <w:r w:rsidR="00F76AF1">
        <w:t>o</w:t>
      </w:r>
      <w:r w:rsidR="008260A1">
        <w:t xml:space="preserve"> make use of them</w:t>
      </w:r>
      <w:r w:rsidR="00F73CC5">
        <w:t xml:space="preserve"> owing to their swift and flexible nature. </w:t>
      </w:r>
      <w:r w:rsidR="008260A1">
        <w:t xml:space="preserve"> </w:t>
      </w:r>
    </w:p>
    <w:p w:rsidR="00F73CC5" w:rsidRDefault="00F73CC5" w:rsidP="00EB1720"/>
    <w:p w:rsidR="00F73CC5" w:rsidRDefault="0006599D" w:rsidP="00EB1720">
      <w:r>
        <w:lastRenderedPageBreak/>
        <w:fldChar w:fldCharType="begin"/>
      </w:r>
      <w:r>
        <w:instrText xml:space="preserve"> AUTONUM  </w:instrText>
      </w:r>
      <w:r>
        <w:fldChar w:fldCharType="end"/>
      </w:r>
      <w:r>
        <w:tab/>
      </w:r>
      <w:r w:rsidR="00F73CC5">
        <w:t xml:space="preserve">The parties have the option of turning to an expert in the field, </w:t>
      </w:r>
      <w:r w:rsidR="00615711">
        <w:t xml:space="preserve">with </w:t>
      </w:r>
      <w:r w:rsidR="00F73CC5">
        <w:t>that expert then proposing solutions to the dispute in an objective fashion.</w:t>
      </w:r>
    </w:p>
    <w:p w:rsidR="00F73CC5" w:rsidRDefault="00F73CC5" w:rsidP="00EB1720"/>
    <w:p w:rsidR="00F73CC5" w:rsidRDefault="0006599D" w:rsidP="00EB1720">
      <w:r>
        <w:fldChar w:fldCharType="begin"/>
      </w:r>
      <w:r>
        <w:instrText xml:space="preserve"> AUTONUM  </w:instrText>
      </w:r>
      <w:r>
        <w:fldChar w:fldCharType="end"/>
      </w:r>
      <w:r>
        <w:tab/>
      </w:r>
      <w:r w:rsidR="00B340A0">
        <w:t>The advantages offered by these mechanisms mean that the parties do not need to pay fees</w:t>
      </w:r>
      <w:r w:rsidR="00615711">
        <w:t xml:space="preserve"> for legal representation</w:t>
      </w:r>
      <w:r w:rsidR="00B340A0">
        <w:t xml:space="preserve"> and can avoid the long periods of waiting associated with legal </w:t>
      </w:r>
      <w:r w:rsidR="00467D33">
        <w:t>procedure</w:t>
      </w:r>
      <w:r w:rsidR="00B340A0">
        <w:t>s.</w:t>
      </w:r>
    </w:p>
    <w:p w:rsidR="00B340A0" w:rsidRDefault="00B340A0" w:rsidP="00EB1720"/>
    <w:p w:rsidR="00B340A0" w:rsidRDefault="0006599D" w:rsidP="00EB1720">
      <w:r>
        <w:fldChar w:fldCharType="begin"/>
      </w:r>
      <w:r>
        <w:instrText xml:space="preserve"> AUTONUM  </w:instrText>
      </w:r>
      <w:r>
        <w:fldChar w:fldCharType="end"/>
      </w:r>
      <w:r>
        <w:tab/>
      </w:r>
      <w:r w:rsidR="00B340A0">
        <w:t xml:space="preserve">As a part of efforts to improve the </w:t>
      </w:r>
      <w:r w:rsidR="00573D21">
        <w:t>settlement</w:t>
      </w:r>
      <w:r w:rsidR="00B340A0">
        <w:t xml:space="preserve"> </w:t>
      </w:r>
      <w:r w:rsidR="00467D33">
        <w:t>procedure</w:t>
      </w:r>
      <w:r w:rsidR="00B340A0">
        <w:t xml:space="preserve"> through the use of new technologies, INDAUTOR </w:t>
      </w:r>
      <w:r w:rsidR="003F6744">
        <w:t>i</w:t>
      </w:r>
      <w:r w:rsidR="00B340A0">
        <w:t>s set</w:t>
      </w:r>
      <w:r w:rsidR="003F6744">
        <w:t>ting</w:t>
      </w:r>
      <w:r w:rsidR="00B340A0">
        <w:t xml:space="preserve"> up </w:t>
      </w:r>
      <w:r w:rsidR="00615711">
        <w:t xml:space="preserve">an </w:t>
      </w:r>
      <w:r w:rsidR="00B340A0">
        <w:t xml:space="preserve">on-line </w:t>
      </w:r>
      <w:r w:rsidR="00C81FC1">
        <w:t>settlement conference</w:t>
      </w:r>
      <w:r w:rsidR="00615711">
        <w:t xml:space="preserve"> system</w:t>
      </w:r>
      <w:r w:rsidR="00B340A0">
        <w:t>.</w:t>
      </w:r>
    </w:p>
    <w:p w:rsidR="00B340A0" w:rsidRDefault="00B340A0" w:rsidP="00EB1720"/>
    <w:p w:rsidR="00B340A0" w:rsidRDefault="0006599D" w:rsidP="00EB1720">
      <w:r>
        <w:fldChar w:fldCharType="begin"/>
      </w:r>
      <w:r>
        <w:instrText xml:space="preserve"> AUTONUM  </w:instrText>
      </w:r>
      <w:r>
        <w:fldChar w:fldCharType="end"/>
      </w:r>
      <w:r>
        <w:tab/>
      </w:r>
      <w:r w:rsidR="00697FA2">
        <w:t xml:space="preserve">Once a regulated conciliation </w:t>
      </w:r>
      <w:r w:rsidR="00467D33">
        <w:t>procedure</w:t>
      </w:r>
      <w:r w:rsidR="00697FA2">
        <w:t xml:space="preserve"> is in place, INDAUTOR will have an extrajudicial </w:t>
      </w:r>
      <w:r w:rsidR="00467D33">
        <w:t>procedure</w:t>
      </w:r>
      <w:r w:rsidR="00697FA2">
        <w:t xml:space="preserve"> that will enable it to </w:t>
      </w:r>
      <w:r w:rsidR="003F6744">
        <w:t>put forward possible solutions to parties concerning the</w:t>
      </w:r>
      <w:r w:rsidR="00697FA2">
        <w:t xml:space="preserve"> substance of </w:t>
      </w:r>
      <w:r w:rsidR="003E210B">
        <w:t xml:space="preserve">the </w:t>
      </w:r>
      <w:r w:rsidR="00697FA2">
        <w:t>dispute</w:t>
      </w:r>
      <w:r w:rsidR="003E210B">
        <w:t>s</w:t>
      </w:r>
      <w:r w:rsidR="00697FA2">
        <w:t>.</w:t>
      </w:r>
    </w:p>
    <w:p w:rsidR="00697FA2" w:rsidRDefault="00697FA2" w:rsidP="00EB1720"/>
    <w:p w:rsidR="00697FA2" w:rsidRDefault="003C001A" w:rsidP="00EB1720">
      <w:r>
        <w:fldChar w:fldCharType="begin"/>
      </w:r>
      <w:r>
        <w:instrText xml:space="preserve"> AUTONUM  </w:instrText>
      </w:r>
      <w:r>
        <w:fldChar w:fldCharType="end"/>
      </w:r>
      <w:r>
        <w:tab/>
      </w:r>
      <w:r w:rsidR="00697FA2">
        <w:t>The implementation of mediation as the fourth alternative</w:t>
      </w:r>
      <w:r w:rsidR="003F6744">
        <w:t xml:space="preserve"> dispute-resolution mechanism </w:t>
      </w:r>
      <w:r w:rsidR="00F76AF1">
        <w:t>will</w:t>
      </w:r>
      <w:r w:rsidR="001B2E03">
        <w:t xml:space="preserve"> </w:t>
      </w:r>
      <w:r w:rsidR="00697FA2">
        <w:t xml:space="preserve">enable INDAUTOR to </w:t>
      </w:r>
      <w:r w:rsidR="009B67CD">
        <w:t>decide on the substance of a given dispute through a recommendation.</w:t>
      </w:r>
    </w:p>
    <w:p w:rsidR="009B67CD" w:rsidRDefault="009B67CD" w:rsidP="00EB1720"/>
    <w:p w:rsidR="009B67CD" w:rsidRDefault="0006599D" w:rsidP="00EB1720">
      <w:r>
        <w:fldChar w:fldCharType="begin"/>
      </w:r>
      <w:r>
        <w:instrText xml:space="preserve"> AUTONUM  </w:instrText>
      </w:r>
      <w:r>
        <w:fldChar w:fldCharType="end"/>
      </w:r>
      <w:r>
        <w:tab/>
      </w:r>
      <w:r w:rsidR="009B67CD">
        <w:t>In Mexico</w:t>
      </w:r>
      <w:r w:rsidR="003F6744">
        <w:t>,</w:t>
      </w:r>
      <w:r w:rsidR="009B67CD">
        <w:t xml:space="preserve"> it has been proven that alternative dispute-resolution mechanisms are extremely useful in terms of resolving copyright disputes.</w:t>
      </w:r>
    </w:p>
    <w:p w:rsidR="009B67CD" w:rsidRDefault="009B67CD" w:rsidP="00EB1720"/>
    <w:p w:rsidR="009B67CD" w:rsidRDefault="009B67CD" w:rsidP="00EB1720"/>
    <w:p w:rsidR="009B67CD" w:rsidRDefault="009B67CD" w:rsidP="00EB1720">
      <w:r>
        <w:tab/>
      </w:r>
      <w:r>
        <w:tab/>
      </w:r>
      <w:r>
        <w:tab/>
      </w:r>
    </w:p>
    <w:p w:rsidR="009B67CD" w:rsidRDefault="009B67CD" w:rsidP="00EB1720">
      <w:r>
        <w:tab/>
      </w:r>
      <w:r>
        <w:tab/>
      </w:r>
      <w:r>
        <w:tab/>
      </w:r>
      <w:r>
        <w:tab/>
      </w:r>
      <w:r>
        <w:tab/>
      </w:r>
      <w:r>
        <w:tab/>
      </w:r>
      <w:r>
        <w:tab/>
      </w:r>
      <w:r>
        <w:tab/>
      </w:r>
      <w:r>
        <w:tab/>
      </w:r>
      <w:r>
        <w:tab/>
        <w:t>[End of document]</w:t>
      </w:r>
    </w:p>
    <w:p w:rsidR="00697FA2" w:rsidRDefault="00697FA2" w:rsidP="00EB1720"/>
    <w:p w:rsidR="00697FA2" w:rsidRPr="008260A1" w:rsidRDefault="00697FA2" w:rsidP="00EB1720"/>
    <w:sectPr w:rsidR="00697FA2" w:rsidRPr="008260A1" w:rsidSect="00EC0383">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A9" w:rsidRDefault="00C818A9">
      <w:r>
        <w:separator/>
      </w:r>
    </w:p>
  </w:endnote>
  <w:endnote w:type="continuationSeparator" w:id="0">
    <w:p w:rsidR="00C818A9" w:rsidRDefault="00C818A9" w:rsidP="003B38C1">
      <w:r>
        <w:separator/>
      </w:r>
    </w:p>
    <w:p w:rsidR="00C818A9" w:rsidRPr="003B38C1" w:rsidRDefault="00C818A9" w:rsidP="003B38C1">
      <w:pPr>
        <w:spacing w:after="60"/>
        <w:rPr>
          <w:sz w:val="17"/>
        </w:rPr>
      </w:pPr>
      <w:r>
        <w:rPr>
          <w:sz w:val="17"/>
        </w:rPr>
        <w:t>[Endnote continued from previous page]</w:t>
      </w:r>
    </w:p>
  </w:endnote>
  <w:endnote w:type="continuationNotice" w:id="1">
    <w:p w:rsidR="00C818A9" w:rsidRPr="003B38C1" w:rsidRDefault="00C818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A9" w:rsidRDefault="00C818A9">
      <w:r>
        <w:separator/>
      </w:r>
    </w:p>
  </w:footnote>
  <w:footnote w:type="continuationSeparator" w:id="0">
    <w:p w:rsidR="00C818A9" w:rsidRDefault="00C818A9" w:rsidP="008B60B2">
      <w:r>
        <w:separator/>
      </w:r>
    </w:p>
    <w:p w:rsidR="00C818A9" w:rsidRPr="00ED77FB" w:rsidRDefault="00C818A9" w:rsidP="008B60B2">
      <w:pPr>
        <w:spacing w:after="60"/>
        <w:rPr>
          <w:sz w:val="17"/>
          <w:szCs w:val="17"/>
        </w:rPr>
      </w:pPr>
      <w:r w:rsidRPr="00ED77FB">
        <w:rPr>
          <w:sz w:val="17"/>
          <w:szCs w:val="17"/>
        </w:rPr>
        <w:t>[Footnote continued from previous page]</w:t>
      </w:r>
    </w:p>
  </w:footnote>
  <w:footnote w:type="continuationNotice" w:id="1">
    <w:p w:rsidR="00C818A9" w:rsidRPr="00ED77FB" w:rsidRDefault="00C818A9" w:rsidP="008B60B2">
      <w:pPr>
        <w:spacing w:before="60"/>
        <w:jc w:val="right"/>
        <w:rPr>
          <w:sz w:val="17"/>
          <w:szCs w:val="17"/>
        </w:rPr>
      </w:pPr>
      <w:r w:rsidRPr="00ED77FB">
        <w:rPr>
          <w:sz w:val="17"/>
          <w:szCs w:val="17"/>
        </w:rPr>
        <w:t>[Footnote continued on next page]</w:t>
      </w:r>
    </w:p>
  </w:footnote>
  <w:footnote w:id="2">
    <w:p w:rsidR="00D46F8A" w:rsidRPr="00D46F8A" w:rsidRDefault="00D46F8A">
      <w:pPr>
        <w:pStyle w:val="FootnoteText"/>
      </w:pPr>
      <w:r>
        <w:rPr>
          <w:rStyle w:val="FootnoteReference"/>
        </w:rPr>
        <w:footnoteRef/>
      </w:r>
      <w:r>
        <w:t xml:space="preserve"> </w:t>
      </w:r>
      <w:r>
        <w:tab/>
      </w:r>
      <w:r w:rsidRPr="00A43683">
        <w:t>The views expressed in this document are those of the author alone, and not those of the Secretariat or any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0383" w:rsidP="00477D6B">
    <w:pPr>
      <w:jc w:val="right"/>
    </w:pPr>
    <w:bookmarkStart w:id="6" w:name="Code2"/>
    <w:bookmarkEnd w:id="6"/>
    <w:r>
      <w:t>WIPO/ACE/9/6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408AC">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B4370"/>
    <w:multiLevelType w:val="hybridMultilevel"/>
    <w:tmpl w:val="B6F0B3E6"/>
    <w:lvl w:ilvl="0" w:tplc="8DAA51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F627E"/>
    <w:multiLevelType w:val="hybridMultilevel"/>
    <w:tmpl w:val="18E6B1D0"/>
    <w:lvl w:ilvl="0" w:tplc="A2D0B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91450B"/>
    <w:multiLevelType w:val="hybridMultilevel"/>
    <w:tmpl w:val="BB72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620BE"/>
    <w:multiLevelType w:val="hybridMultilevel"/>
    <w:tmpl w:val="22C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23B7B"/>
    <w:multiLevelType w:val="hybridMultilevel"/>
    <w:tmpl w:val="1BC47AB6"/>
    <w:lvl w:ilvl="0" w:tplc="BE72A7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3"/>
    <w:rsid w:val="00014B6E"/>
    <w:rsid w:val="00015E68"/>
    <w:rsid w:val="00027432"/>
    <w:rsid w:val="00043CAA"/>
    <w:rsid w:val="0005376F"/>
    <w:rsid w:val="000555E3"/>
    <w:rsid w:val="00061D47"/>
    <w:rsid w:val="00062994"/>
    <w:rsid w:val="0006544E"/>
    <w:rsid w:val="00065502"/>
    <w:rsid w:val="0006599D"/>
    <w:rsid w:val="00075432"/>
    <w:rsid w:val="00077007"/>
    <w:rsid w:val="000968ED"/>
    <w:rsid w:val="000A771A"/>
    <w:rsid w:val="000C197E"/>
    <w:rsid w:val="000C736D"/>
    <w:rsid w:val="000E7BB7"/>
    <w:rsid w:val="000F0C3B"/>
    <w:rsid w:val="000F5E56"/>
    <w:rsid w:val="0010223D"/>
    <w:rsid w:val="001146DF"/>
    <w:rsid w:val="001362EE"/>
    <w:rsid w:val="00161682"/>
    <w:rsid w:val="001832A6"/>
    <w:rsid w:val="00192E26"/>
    <w:rsid w:val="001A5CDE"/>
    <w:rsid w:val="001B2E03"/>
    <w:rsid w:val="001B3B3D"/>
    <w:rsid w:val="001F1D8F"/>
    <w:rsid w:val="001F3605"/>
    <w:rsid w:val="00207C81"/>
    <w:rsid w:val="0022082A"/>
    <w:rsid w:val="00240F41"/>
    <w:rsid w:val="00251DF8"/>
    <w:rsid w:val="00252D85"/>
    <w:rsid w:val="002634C4"/>
    <w:rsid w:val="00267DE8"/>
    <w:rsid w:val="00272232"/>
    <w:rsid w:val="00273CE4"/>
    <w:rsid w:val="002928D3"/>
    <w:rsid w:val="00295572"/>
    <w:rsid w:val="002A563C"/>
    <w:rsid w:val="002A6E7C"/>
    <w:rsid w:val="002E21ED"/>
    <w:rsid w:val="002E3091"/>
    <w:rsid w:val="002E681E"/>
    <w:rsid w:val="002F02E4"/>
    <w:rsid w:val="002F1FE6"/>
    <w:rsid w:val="002F4E68"/>
    <w:rsid w:val="002F7AE0"/>
    <w:rsid w:val="00312F7F"/>
    <w:rsid w:val="00322228"/>
    <w:rsid w:val="003261BF"/>
    <w:rsid w:val="003322C2"/>
    <w:rsid w:val="00350C2A"/>
    <w:rsid w:val="00351D9C"/>
    <w:rsid w:val="00361450"/>
    <w:rsid w:val="003673CF"/>
    <w:rsid w:val="0038134F"/>
    <w:rsid w:val="003845C1"/>
    <w:rsid w:val="00386C04"/>
    <w:rsid w:val="003A6F89"/>
    <w:rsid w:val="003A76E4"/>
    <w:rsid w:val="003B38C1"/>
    <w:rsid w:val="003C001A"/>
    <w:rsid w:val="003C330A"/>
    <w:rsid w:val="003C6048"/>
    <w:rsid w:val="003E210B"/>
    <w:rsid w:val="003E4064"/>
    <w:rsid w:val="003F398A"/>
    <w:rsid w:val="003F6744"/>
    <w:rsid w:val="004028B6"/>
    <w:rsid w:val="004068AD"/>
    <w:rsid w:val="0041584A"/>
    <w:rsid w:val="00423E3E"/>
    <w:rsid w:val="00427AF4"/>
    <w:rsid w:val="00431227"/>
    <w:rsid w:val="00431F79"/>
    <w:rsid w:val="004321DE"/>
    <w:rsid w:val="004376CA"/>
    <w:rsid w:val="0045352F"/>
    <w:rsid w:val="00456E22"/>
    <w:rsid w:val="004647DA"/>
    <w:rsid w:val="00467D33"/>
    <w:rsid w:val="00471F10"/>
    <w:rsid w:val="00474062"/>
    <w:rsid w:val="00477D6B"/>
    <w:rsid w:val="004866F7"/>
    <w:rsid w:val="004A1BFC"/>
    <w:rsid w:val="004D0CBB"/>
    <w:rsid w:val="004D6B3D"/>
    <w:rsid w:val="004F0394"/>
    <w:rsid w:val="005019FF"/>
    <w:rsid w:val="005265CD"/>
    <w:rsid w:val="0053057A"/>
    <w:rsid w:val="00533672"/>
    <w:rsid w:val="0054204B"/>
    <w:rsid w:val="005516E9"/>
    <w:rsid w:val="00560A29"/>
    <w:rsid w:val="005660FA"/>
    <w:rsid w:val="005736F0"/>
    <w:rsid w:val="00573D21"/>
    <w:rsid w:val="005A54F7"/>
    <w:rsid w:val="005B2AB4"/>
    <w:rsid w:val="005C6649"/>
    <w:rsid w:val="005D13A0"/>
    <w:rsid w:val="005E2F57"/>
    <w:rsid w:val="005E4379"/>
    <w:rsid w:val="005F514B"/>
    <w:rsid w:val="00605827"/>
    <w:rsid w:val="00613BC7"/>
    <w:rsid w:val="00615711"/>
    <w:rsid w:val="00632ECB"/>
    <w:rsid w:val="00646050"/>
    <w:rsid w:val="00654E45"/>
    <w:rsid w:val="00662C55"/>
    <w:rsid w:val="006646E9"/>
    <w:rsid w:val="006713CA"/>
    <w:rsid w:val="00676C5C"/>
    <w:rsid w:val="00680AB0"/>
    <w:rsid w:val="006850EC"/>
    <w:rsid w:val="00694F79"/>
    <w:rsid w:val="00697FA2"/>
    <w:rsid w:val="006A4594"/>
    <w:rsid w:val="006C1ACD"/>
    <w:rsid w:val="006F6FDC"/>
    <w:rsid w:val="0070185F"/>
    <w:rsid w:val="00722FBD"/>
    <w:rsid w:val="00724D89"/>
    <w:rsid w:val="00736C34"/>
    <w:rsid w:val="007408AC"/>
    <w:rsid w:val="007450AF"/>
    <w:rsid w:val="0075610D"/>
    <w:rsid w:val="00763DFB"/>
    <w:rsid w:val="00781960"/>
    <w:rsid w:val="00786F83"/>
    <w:rsid w:val="007B0EE9"/>
    <w:rsid w:val="007B0FA9"/>
    <w:rsid w:val="007C5CB7"/>
    <w:rsid w:val="007D1613"/>
    <w:rsid w:val="007D625E"/>
    <w:rsid w:val="007F6FED"/>
    <w:rsid w:val="00801E1B"/>
    <w:rsid w:val="008036F9"/>
    <w:rsid w:val="0080525A"/>
    <w:rsid w:val="008217A4"/>
    <w:rsid w:val="008260A1"/>
    <w:rsid w:val="00835938"/>
    <w:rsid w:val="0084119F"/>
    <w:rsid w:val="0084385F"/>
    <w:rsid w:val="008530F2"/>
    <w:rsid w:val="00855FD2"/>
    <w:rsid w:val="00861729"/>
    <w:rsid w:val="00881D1D"/>
    <w:rsid w:val="0088683A"/>
    <w:rsid w:val="008870ED"/>
    <w:rsid w:val="008929DB"/>
    <w:rsid w:val="00896C99"/>
    <w:rsid w:val="008B2CC1"/>
    <w:rsid w:val="008B60B2"/>
    <w:rsid w:val="008C6D8F"/>
    <w:rsid w:val="008E0A07"/>
    <w:rsid w:val="008F15EC"/>
    <w:rsid w:val="00900415"/>
    <w:rsid w:val="009024F2"/>
    <w:rsid w:val="0090731E"/>
    <w:rsid w:val="009118BD"/>
    <w:rsid w:val="00916EE2"/>
    <w:rsid w:val="00960DBF"/>
    <w:rsid w:val="00966A22"/>
    <w:rsid w:val="0096722F"/>
    <w:rsid w:val="009731C2"/>
    <w:rsid w:val="0097637B"/>
    <w:rsid w:val="00980843"/>
    <w:rsid w:val="00980E04"/>
    <w:rsid w:val="00995CEB"/>
    <w:rsid w:val="00996BDE"/>
    <w:rsid w:val="009B0698"/>
    <w:rsid w:val="009B67CD"/>
    <w:rsid w:val="009C4C6B"/>
    <w:rsid w:val="009D751F"/>
    <w:rsid w:val="009E2791"/>
    <w:rsid w:val="009E3F6F"/>
    <w:rsid w:val="009F079E"/>
    <w:rsid w:val="009F3CA2"/>
    <w:rsid w:val="009F499F"/>
    <w:rsid w:val="009F5E53"/>
    <w:rsid w:val="00A2540A"/>
    <w:rsid w:val="00A33E5D"/>
    <w:rsid w:val="00A42DAF"/>
    <w:rsid w:val="00A43683"/>
    <w:rsid w:val="00A45BD8"/>
    <w:rsid w:val="00A703CA"/>
    <w:rsid w:val="00A75DDC"/>
    <w:rsid w:val="00A839D9"/>
    <w:rsid w:val="00A869B7"/>
    <w:rsid w:val="00A86D85"/>
    <w:rsid w:val="00A90017"/>
    <w:rsid w:val="00AA2EC3"/>
    <w:rsid w:val="00AC205C"/>
    <w:rsid w:val="00AD3312"/>
    <w:rsid w:val="00AE52DB"/>
    <w:rsid w:val="00AF0A6B"/>
    <w:rsid w:val="00B05A69"/>
    <w:rsid w:val="00B122D9"/>
    <w:rsid w:val="00B31F29"/>
    <w:rsid w:val="00B340A0"/>
    <w:rsid w:val="00B36FE3"/>
    <w:rsid w:val="00B57462"/>
    <w:rsid w:val="00B62DFD"/>
    <w:rsid w:val="00B74E6D"/>
    <w:rsid w:val="00B75E64"/>
    <w:rsid w:val="00B77450"/>
    <w:rsid w:val="00B856AC"/>
    <w:rsid w:val="00B9734B"/>
    <w:rsid w:val="00BB291D"/>
    <w:rsid w:val="00BB618F"/>
    <w:rsid w:val="00BC76D3"/>
    <w:rsid w:val="00BD2594"/>
    <w:rsid w:val="00C11BFE"/>
    <w:rsid w:val="00C12643"/>
    <w:rsid w:val="00C21E54"/>
    <w:rsid w:val="00C220BF"/>
    <w:rsid w:val="00C306B3"/>
    <w:rsid w:val="00C363B4"/>
    <w:rsid w:val="00C5541E"/>
    <w:rsid w:val="00C633FB"/>
    <w:rsid w:val="00C654B4"/>
    <w:rsid w:val="00C71151"/>
    <w:rsid w:val="00C72126"/>
    <w:rsid w:val="00C818A9"/>
    <w:rsid w:val="00C81FC1"/>
    <w:rsid w:val="00C85FD4"/>
    <w:rsid w:val="00C93C7F"/>
    <w:rsid w:val="00CF0FA7"/>
    <w:rsid w:val="00D12317"/>
    <w:rsid w:val="00D230AE"/>
    <w:rsid w:val="00D420B0"/>
    <w:rsid w:val="00D45252"/>
    <w:rsid w:val="00D46F8A"/>
    <w:rsid w:val="00D61278"/>
    <w:rsid w:val="00D638CC"/>
    <w:rsid w:val="00D659E1"/>
    <w:rsid w:val="00D71B4D"/>
    <w:rsid w:val="00D93D55"/>
    <w:rsid w:val="00DA5359"/>
    <w:rsid w:val="00DB16D1"/>
    <w:rsid w:val="00DD0D58"/>
    <w:rsid w:val="00DD4773"/>
    <w:rsid w:val="00DE5E82"/>
    <w:rsid w:val="00DE5F5E"/>
    <w:rsid w:val="00E13B5A"/>
    <w:rsid w:val="00E22DC2"/>
    <w:rsid w:val="00E335FE"/>
    <w:rsid w:val="00E50822"/>
    <w:rsid w:val="00E51603"/>
    <w:rsid w:val="00E54C0B"/>
    <w:rsid w:val="00E5553F"/>
    <w:rsid w:val="00E55A8F"/>
    <w:rsid w:val="00E659A1"/>
    <w:rsid w:val="00E7170C"/>
    <w:rsid w:val="00E72CB1"/>
    <w:rsid w:val="00E85314"/>
    <w:rsid w:val="00E914D1"/>
    <w:rsid w:val="00EB1720"/>
    <w:rsid w:val="00EC0383"/>
    <w:rsid w:val="00EC4E49"/>
    <w:rsid w:val="00EC51A4"/>
    <w:rsid w:val="00EC6B5C"/>
    <w:rsid w:val="00ED77FB"/>
    <w:rsid w:val="00EE3B80"/>
    <w:rsid w:val="00EE45FA"/>
    <w:rsid w:val="00EF6AE8"/>
    <w:rsid w:val="00EF7CC4"/>
    <w:rsid w:val="00F02C2E"/>
    <w:rsid w:val="00F26B35"/>
    <w:rsid w:val="00F66152"/>
    <w:rsid w:val="00F679F4"/>
    <w:rsid w:val="00F73CC5"/>
    <w:rsid w:val="00F76AF1"/>
    <w:rsid w:val="00F87817"/>
    <w:rsid w:val="00F955D1"/>
    <w:rsid w:val="00FA120C"/>
    <w:rsid w:val="00FD64D8"/>
    <w:rsid w:val="00FD71A7"/>
    <w:rsid w:val="00FF415D"/>
    <w:rsid w:val="00FF7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ListParagraph">
    <w:name w:val="List Paragraph"/>
    <w:basedOn w:val="Normal"/>
    <w:uiPriority w:val="34"/>
    <w:qFormat/>
    <w:rsid w:val="00EB1720"/>
    <w:pPr>
      <w:ind w:left="567"/>
    </w:pPr>
  </w:style>
  <w:style w:type="paragraph" w:styleId="BalloonText">
    <w:name w:val="Balloon Text"/>
    <w:basedOn w:val="Normal"/>
    <w:link w:val="BalloonTextChar"/>
    <w:rsid w:val="002A563C"/>
    <w:rPr>
      <w:rFonts w:ascii="Tahoma" w:hAnsi="Tahoma" w:cs="Tahoma"/>
      <w:sz w:val="16"/>
      <w:szCs w:val="16"/>
    </w:rPr>
  </w:style>
  <w:style w:type="character" w:customStyle="1" w:styleId="BalloonTextChar">
    <w:name w:val="Balloon Text Char"/>
    <w:link w:val="BalloonText"/>
    <w:rsid w:val="002A563C"/>
    <w:rPr>
      <w:rFonts w:ascii="Tahoma" w:eastAsia="SimSun" w:hAnsi="Tahoma" w:cs="Tahoma"/>
      <w:sz w:val="16"/>
      <w:szCs w:val="16"/>
      <w:lang w:eastAsia="zh-CN"/>
    </w:rPr>
  </w:style>
  <w:style w:type="character" w:styleId="FootnoteReference">
    <w:name w:val="footnote reference"/>
    <w:basedOn w:val="DefaultParagraphFont"/>
    <w:rsid w:val="00A43683"/>
    <w:rPr>
      <w:vertAlign w:val="superscript"/>
    </w:rPr>
  </w:style>
  <w:style w:type="character" w:styleId="CommentReference">
    <w:name w:val="annotation reference"/>
    <w:basedOn w:val="DefaultParagraphFont"/>
    <w:rsid w:val="0075610D"/>
    <w:rPr>
      <w:sz w:val="16"/>
      <w:szCs w:val="16"/>
    </w:rPr>
  </w:style>
  <w:style w:type="paragraph" w:styleId="CommentSubject">
    <w:name w:val="annotation subject"/>
    <w:basedOn w:val="CommentText"/>
    <w:next w:val="CommentText"/>
    <w:link w:val="CommentSubjectChar"/>
    <w:rsid w:val="0075610D"/>
    <w:rPr>
      <w:b/>
      <w:bCs/>
      <w:sz w:val="20"/>
    </w:rPr>
  </w:style>
  <w:style w:type="character" w:customStyle="1" w:styleId="CommentTextChar">
    <w:name w:val="Comment Text Char"/>
    <w:basedOn w:val="DefaultParagraphFont"/>
    <w:link w:val="CommentText"/>
    <w:semiHidden/>
    <w:rsid w:val="0075610D"/>
    <w:rPr>
      <w:rFonts w:ascii="Arial" w:eastAsia="SimSun" w:hAnsi="Arial" w:cs="Arial"/>
      <w:sz w:val="18"/>
      <w:lang w:eastAsia="zh-CN"/>
    </w:rPr>
  </w:style>
  <w:style w:type="character" w:customStyle="1" w:styleId="CommentSubjectChar">
    <w:name w:val="Comment Subject Char"/>
    <w:basedOn w:val="CommentTextChar"/>
    <w:link w:val="CommentSubject"/>
    <w:rsid w:val="0075610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ListParagraph">
    <w:name w:val="List Paragraph"/>
    <w:basedOn w:val="Normal"/>
    <w:uiPriority w:val="34"/>
    <w:qFormat/>
    <w:rsid w:val="00EB1720"/>
    <w:pPr>
      <w:ind w:left="567"/>
    </w:pPr>
  </w:style>
  <w:style w:type="paragraph" w:styleId="BalloonText">
    <w:name w:val="Balloon Text"/>
    <w:basedOn w:val="Normal"/>
    <w:link w:val="BalloonTextChar"/>
    <w:rsid w:val="002A563C"/>
    <w:rPr>
      <w:rFonts w:ascii="Tahoma" w:hAnsi="Tahoma" w:cs="Tahoma"/>
      <w:sz w:val="16"/>
      <w:szCs w:val="16"/>
    </w:rPr>
  </w:style>
  <w:style w:type="character" w:customStyle="1" w:styleId="BalloonTextChar">
    <w:name w:val="Balloon Text Char"/>
    <w:link w:val="BalloonText"/>
    <w:rsid w:val="002A563C"/>
    <w:rPr>
      <w:rFonts w:ascii="Tahoma" w:eastAsia="SimSun" w:hAnsi="Tahoma" w:cs="Tahoma"/>
      <w:sz w:val="16"/>
      <w:szCs w:val="16"/>
      <w:lang w:eastAsia="zh-CN"/>
    </w:rPr>
  </w:style>
  <w:style w:type="character" w:styleId="FootnoteReference">
    <w:name w:val="footnote reference"/>
    <w:basedOn w:val="DefaultParagraphFont"/>
    <w:rsid w:val="00A43683"/>
    <w:rPr>
      <w:vertAlign w:val="superscript"/>
    </w:rPr>
  </w:style>
  <w:style w:type="character" w:styleId="CommentReference">
    <w:name w:val="annotation reference"/>
    <w:basedOn w:val="DefaultParagraphFont"/>
    <w:rsid w:val="0075610D"/>
    <w:rPr>
      <w:sz w:val="16"/>
      <w:szCs w:val="16"/>
    </w:rPr>
  </w:style>
  <w:style w:type="paragraph" w:styleId="CommentSubject">
    <w:name w:val="annotation subject"/>
    <w:basedOn w:val="CommentText"/>
    <w:next w:val="CommentText"/>
    <w:link w:val="CommentSubjectChar"/>
    <w:rsid w:val="0075610D"/>
    <w:rPr>
      <w:b/>
      <w:bCs/>
      <w:sz w:val="20"/>
    </w:rPr>
  </w:style>
  <w:style w:type="character" w:customStyle="1" w:styleId="CommentTextChar">
    <w:name w:val="Comment Text Char"/>
    <w:basedOn w:val="DefaultParagraphFont"/>
    <w:link w:val="CommentText"/>
    <w:semiHidden/>
    <w:rsid w:val="0075610D"/>
    <w:rPr>
      <w:rFonts w:ascii="Arial" w:eastAsia="SimSun" w:hAnsi="Arial" w:cs="Arial"/>
      <w:sz w:val="18"/>
      <w:lang w:eastAsia="zh-CN"/>
    </w:rPr>
  </w:style>
  <w:style w:type="character" w:customStyle="1" w:styleId="CommentSubjectChar">
    <w:name w:val="Comment Subject Char"/>
    <w:basedOn w:val="CommentTextChar"/>
    <w:link w:val="CommentSubject"/>
    <w:rsid w:val="0075610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21E7-534D-4B2E-BF85-B9B4DEED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3</TotalTime>
  <Pages>8</Pages>
  <Words>3308</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APLIN Nicholas</dc:creator>
  <cp:lastModifiedBy>COLIN Isabelle</cp:lastModifiedBy>
  <cp:revision>5</cp:revision>
  <cp:lastPrinted>2014-02-03T14:33:00Z</cp:lastPrinted>
  <dcterms:created xsi:type="dcterms:W3CDTF">2014-02-03T14:31:00Z</dcterms:created>
  <dcterms:modified xsi:type="dcterms:W3CDTF">2014-02-03T14:34:00Z</dcterms:modified>
</cp:coreProperties>
</file>