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CE" w:rsidRPr="003622BB" w:rsidRDefault="0040540C" w:rsidP="00C308EE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3622BB">
        <w:rPr>
          <w:noProof/>
          <w:lang w:eastAsia="fr-CH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BCE" w:rsidRPr="003622BB" w:rsidRDefault="00800ECC" w:rsidP="00C308EE">
      <w:pPr>
        <w:jc w:val="right"/>
        <w:rPr>
          <w:rFonts w:ascii="Arial Black" w:hAnsi="Arial Black"/>
          <w:caps/>
          <w:sz w:val="15"/>
          <w:lang w:val="fr-FR"/>
        </w:rPr>
      </w:pPr>
      <w:r w:rsidRPr="003622BB">
        <w:rPr>
          <w:rFonts w:ascii="Arial Black" w:hAnsi="Arial Black"/>
          <w:caps/>
          <w:sz w:val="15"/>
          <w:lang w:val="fr-FR"/>
        </w:rPr>
        <w:t>CDIP/</w:t>
      </w:r>
      <w:r w:rsidR="007C6F2C" w:rsidRPr="003622BB">
        <w:rPr>
          <w:rFonts w:ascii="Arial Black" w:hAnsi="Arial Black"/>
          <w:caps/>
          <w:sz w:val="15"/>
          <w:lang w:val="fr-FR"/>
        </w:rPr>
        <w:t>2</w:t>
      </w:r>
      <w:r w:rsidR="00400943" w:rsidRPr="003622BB">
        <w:rPr>
          <w:rFonts w:ascii="Arial Black" w:hAnsi="Arial Black"/>
          <w:caps/>
          <w:sz w:val="15"/>
          <w:lang w:val="fr-FR"/>
        </w:rPr>
        <w:t>9</w:t>
      </w:r>
      <w:r w:rsidRPr="003622BB">
        <w:rPr>
          <w:rFonts w:ascii="Arial Black" w:hAnsi="Arial Black"/>
          <w:caps/>
          <w:sz w:val="15"/>
          <w:lang w:val="fr-FR"/>
        </w:rPr>
        <w:t>/</w:t>
      </w:r>
      <w:bookmarkStart w:id="0" w:name="Code"/>
      <w:r w:rsidR="00400943" w:rsidRPr="003622BB">
        <w:rPr>
          <w:rFonts w:ascii="Arial Black" w:hAnsi="Arial Black"/>
          <w:caps/>
          <w:sz w:val="15"/>
          <w:lang w:val="fr-FR"/>
        </w:rPr>
        <w:t>4</w:t>
      </w:r>
    </w:p>
    <w:bookmarkEnd w:id="0"/>
    <w:p w:rsidR="005D5BCE" w:rsidRPr="003622BB" w:rsidRDefault="00B1090C" w:rsidP="00C308EE">
      <w:pPr>
        <w:jc w:val="right"/>
        <w:rPr>
          <w:lang w:val="fr-FR"/>
        </w:rPr>
      </w:pPr>
      <w:r w:rsidRPr="003622BB">
        <w:rPr>
          <w:rFonts w:ascii="Arial Black" w:hAnsi="Arial Black"/>
          <w:caps/>
          <w:sz w:val="15"/>
          <w:lang w:val="fr-FR"/>
        </w:rPr>
        <w:t>ORIGINAL</w:t>
      </w:r>
      <w:r w:rsidR="001B2C39" w:rsidRPr="003622BB">
        <w:rPr>
          <w:rFonts w:ascii="Arial Black" w:hAnsi="Arial Black"/>
          <w:caps/>
          <w:sz w:val="15"/>
          <w:lang w:val="fr-FR"/>
        </w:rPr>
        <w:t> :</w:t>
      </w:r>
      <w:r w:rsidR="002956DE" w:rsidRPr="003622BB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2A761B" w:rsidRPr="003622BB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5D5BCE" w:rsidRPr="003622BB" w:rsidRDefault="00B1090C" w:rsidP="00C308EE">
      <w:pPr>
        <w:spacing w:after="1200"/>
        <w:jc w:val="right"/>
        <w:rPr>
          <w:lang w:val="fr-FR"/>
        </w:rPr>
      </w:pPr>
      <w:r w:rsidRPr="003622BB">
        <w:rPr>
          <w:rFonts w:ascii="Arial Black" w:hAnsi="Arial Black"/>
          <w:caps/>
          <w:sz w:val="15"/>
          <w:lang w:val="fr-FR"/>
        </w:rPr>
        <w:t>DATE</w:t>
      </w:r>
      <w:r w:rsidR="001B2C39" w:rsidRPr="003622BB">
        <w:rPr>
          <w:rFonts w:ascii="Arial Black" w:hAnsi="Arial Black"/>
          <w:caps/>
          <w:sz w:val="15"/>
          <w:lang w:val="fr-FR"/>
        </w:rPr>
        <w:t> :</w:t>
      </w:r>
      <w:r w:rsidR="002956DE" w:rsidRPr="003622BB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2A761B" w:rsidRPr="003622BB">
        <w:rPr>
          <w:rFonts w:ascii="Arial Black" w:hAnsi="Arial Black"/>
          <w:caps/>
          <w:sz w:val="15"/>
          <w:lang w:val="fr-FR"/>
        </w:rPr>
        <w:t>1</w:t>
      </w:r>
      <w:r w:rsidR="00400943" w:rsidRPr="003622BB">
        <w:rPr>
          <w:rFonts w:ascii="Arial Black" w:hAnsi="Arial Black"/>
          <w:caps/>
          <w:sz w:val="15"/>
          <w:lang w:val="fr-FR"/>
        </w:rPr>
        <w:t>7</w:t>
      </w:r>
      <w:r w:rsidR="002A761B" w:rsidRPr="003622BB">
        <w:rPr>
          <w:rFonts w:ascii="Arial Black" w:hAnsi="Arial Black"/>
          <w:caps/>
          <w:sz w:val="15"/>
          <w:lang w:val="fr-FR"/>
        </w:rPr>
        <w:t> </w:t>
      </w:r>
      <w:r w:rsidR="00400943" w:rsidRPr="003622BB">
        <w:rPr>
          <w:rFonts w:ascii="Arial Black" w:hAnsi="Arial Black"/>
          <w:caps/>
          <w:sz w:val="15"/>
          <w:lang w:val="fr-FR"/>
        </w:rPr>
        <w:t>août</w:t>
      </w:r>
      <w:r w:rsidR="002A761B" w:rsidRPr="003622BB">
        <w:rPr>
          <w:rFonts w:ascii="Arial Black" w:hAnsi="Arial Black"/>
          <w:caps/>
          <w:sz w:val="15"/>
          <w:lang w:val="fr-FR"/>
        </w:rPr>
        <w:t> 202</w:t>
      </w:r>
      <w:r w:rsidR="00400943" w:rsidRPr="003622BB">
        <w:rPr>
          <w:rFonts w:ascii="Arial Black" w:hAnsi="Arial Black"/>
          <w:caps/>
          <w:sz w:val="15"/>
          <w:lang w:val="fr-FR"/>
        </w:rPr>
        <w:t>2</w:t>
      </w:r>
    </w:p>
    <w:bookmarkEnd w:id="2"/>
    <w:p w:rsidR="005D5BCE" w:rsidRPr="003622BB" w:rsidRDefault="00800ECC" w:rsidP="00C308EE">
      <w:pPr>
        <w:pStyle w:val="Title"/>
      </w:pPr>
      <w:r w:rsidRPr="003622BB">
        <w:t>Comité du développement et de la propriété intellectuelle (CDIP)</w:t>
      </w:r>
    </w:p>
    <w:p w:rsidR="005D5BCE" w:rsidRPr="003622BB" w:rsidRDefault="007C6F2C" w:rsidP="00C308EE">
      <w:pPr>
        <w:spacing w:after="720"/>
        <w:outlineLvl w:val="1"/>
        <w:rPr>
          <w:b/>
          <w:sz w:val="24"/>
          <w:szCs w:val="24"/>
          <w:lang w:val="fr-FR"/>
        </w:rPr>
      </w:pPr>
      <w:r w:rsidRPr="003622BB">
        <w:rPr>
          <w:b/>
          <w:sz w:val="24"/>
          <w:szCs w:val="24"/>
          <w:lang w:val="fr-FR"/>
        </w:rPr>
        <w:t>Vingt</w:t>
      </w:r>
      <w:r w:rsidR="008A7AE5">
        <w:rPr>
          <w:b/>
          <w:sz w:val="24"/>
          <w:szCs w:val="24"/>
          <w:lang w:val="fr-FR"/>
        </w:rPr>
        <w:noBreakHyphen/>
      </w:r>
      <w:r w:rsidR="00400943" w:rsidRPr="003622BB">
        <w:rPr>
          <w:b/>
          <w:sz w:val="24"/>
          <w:szCs w:val="24"/>
          <w:lang w:val="fr-FR"/>
        </w:rPr>
        <w:t>neuv</w:t>
      </w:r>
      <w:r w:rsidR="001B2C39" w:rsidRPr="003622BB">
        <w:rPr>
          <w:b/>
          <w:sz w:val="24"/>
          <w:szCs w:val="24"/>
          <w:lang w:val="fr-FR"/>
        </w:rPr>
        <w:t>ième session</w:t>
      </w:r>
      <w:r w:rsidRPr="003622BB">
        <w:rPr>
          <w:b/>
          <w:sz w:val="24"/>
          <w:szCs w:val="24"/>
          <w:lang w:val="fr-FR"/>
        </w:rPr>
        <w:br/>
        <w:t xml:space="preserve">Genève, </w:t>
      </w:r>
      <w:r w:rsidR="00400943" w:rsidRPr="003622BB">
        <w:rPr>
          <w:b/>
          <w:bCs/>
          <w:sz w:val="24"/>
          <w:szCs w:val="24"/>
          <w:lang w:val="fr-FR"/>
        </w:rPr>
        <w:t>17</w:t>
      </w:r>
      <w:r w:rsidRPr="003622BB">
        <w:rPr>
          <w:b/>
          <w:bCs/>
          <w:sz w:val="24"/>
          <w:szCs w:val="24"/>
          <w:lang w:val="fr-FR"/>
        </w:rPr>
        <w:t xml:space="preserve"> – </w:t>
      </w:r>
      <w:r w:rsidR="00400943" w:rsidRPr="003622BB">
        <w:rPr>
          <w:b/>
          <w:bCs/>
          <w:sz w:val="24"/>
          <w:szCs w:val="24"/>
          <w:lang w:val="fr-FR"/>
        </w:rPr>
        <w:t>21</w:t>
      </w:r>
      <w:r w:rsidR="00B43F94" w:rsidRPr="003622BB">
        <w:rPr>
          <w:b/>
          <w:bCs/>
          <w:sz w:val="24"/>
          <w:szCs w:val="24"/>
          <w:lang w:val="fr-FR"/>
        </w:rPr>
        <w:t> </w:t>
      </w:r>
      <w:r w:rsidR="00400943" w:rsidRPr="003622BB">
        <w:rPr>
          <w:b/>
          <w:bCs/>
          <w:sz w:val="24"/>
          <w:szCs w:val="24"/>
          <w:lang w:val="fr-FR"/>
        </w:rPr>
        <w:t>octobre</w:t>
      </w:r>
      <w:r w:rsidR="00B43F94" w:rsidRPr="003622BB">
        <w:rPr>
          <w:b/>
          <w:bCs/>
          <w:sz w:val="24"/>
          <w:szCs w:val="24"/>
          <w:lang w:val="fr-FR"/>
        </w:rPr>
        <w:t> 20</w:t>
      </w:r>
      <w:r w:rsidR="00400943" w:rsidRPr="003622BB">
        <w:rPr>
          <w:b/>
          <w:bCs/>
          <w:sz w:val="24"/>
          <w:szCs w:val="24"/>
          <w:lang w:val="fr-FR"/>
        </w:rPr>
        <w:t>22</w:t>
      </w:r>
    </w:p>
    <w:p w:rsidR="005D5BCE" w:rsidRPr="003622BB" w:rsidRDefault="001B2C39" w:rsidP="00C308EE">
      <w:pPr>
        <w:spacing w:after="360"/>
        <w:rPr>
          <w:caps/>
          <w:sz w:val="24"/>
          <w:lang w:val="fr-FR"/>
        </w:rPr>
      </w:pPr>
      <w:bookmarkStart w:id="3" w:name="TitleOfDoc"/>
      <w:bookmarkStart w:id="4" w:name="Prepared"/>
      <w:bookmarkEnd w:id="3"/>
      <w:bookmarkEnd w:id="4"/>
      <w:r w:rsidRPr="003622BB">
        <w:rPr>
          <w:caps/>
          <w:sz w:val="24"/>
          <w:lang w:val="fr-FR"/>
        </w:rPr>
        <w:t>Rapport d’achèvement du projet du Plan d’action pour le développement concernant les instruments permettant d’élaborer des propositions de projet réussies</w:t>
      </w:r>
    </w:p>
    <w:p w:rsidR="005D5BCE" w:rsidRPr="003622BB" w:rsidRDefault="002A761B" w:rsidP="00C308EE">
      <w:pPr>
        <w:spacing w:after="1040"/>
        <w:rPr>
          <w:i/>
          <w:lang w:val="fr-FR"/>
        </w:rPr>
      </w:pPr>
      <w:r w:rsidRPr="003622BB">
        <w:rPr>
          <w:i/>
          <w:lang w:val="fr-FR"/>
        </w:rPr>
        <w:t>établi par le Secrétariat</w:t>
      </w:r>
    </w:p>
    <w:p w:rsidR="005D5BCE" w:rsidRPr="003622BB" w:rsidRDefault="002A761B" w:rsidP="00C308EE">
      <w:pPr>
        <w:pStyle w:val="ONUMFS"/>
        <w:rPr>
          <w:lang w:val="fr-FR"/>
        </w:rPr>
      </w:pPr>
      <w:r w:rsidRPr="003622BB">
        <w:rPr>
          <w:lang w:val="fr-FR"/>
        </w:rPr>
        <w:t>L</w:t>
      </w:r>
      <w:r w:rsidR="001B2C39" w:rsidRPr="003622BB">
        <w:rPr>
          <w:lang w:val="fr-FR"/>
        </w:rPr>
        <w:t>’</w:t>
      </w:r>
      <w:r w:rsidR="00400943" w:rsidRPr="003622BB">
        <w:rPr>
          <w:lang w:val="fr-FR"/>
        </w:rPr>
        <w:t>annexe du</w:t>
      </w:r>
      <w:r w:rsidRPr="003622BB">
        <w:rPr>
          <w:lang w:val="fr-FR"/>
        </w:rPr>
        <w:t xml:space="preserve"> présent document </w:t>
      </w:r>
      <w:r w:rsidR="00400943" w:rsidRPr="003622BB">
        <w:rPr>
          <w:lang w:val="fr-FR"/>
        </w:rPr>
        <w:t>contient le rapport d</w:t>
      </w:r>
      <w:r w:rsidR="001B2C39" w:rsidRPr="003622BB">
        <w:rPr>
          <w:lang w:val="fr-FR"/>
        </w:rPr>
        <w:t>’</w:t>
      </w:r>
      <w:r w:rsidR="00400943" w:rsidRPr="003622BB">
        <w:rPr>
          <w:lang w:val="fr-FR"/>
        </w:rPr>
        <w:t>achèvement</w:t>
      </w:r>
      <w:r w:rsidRPr="003622BB">
        <w:rPr>
          <w:lang w:val="fr-FR"/>
        </w:rPr>
        <w:t xml:space="preserve"> </w:t>
      </w:r>
      <w:r w:rsidR="00400943" w:rsidRPr="003622BB">
        <w:rPr>
          <w:lang w:val="fr-FR"/>
        </w:rPr>
        <w:t>du</w:t>
      </w:r>
      <w:r w:rsidRPr="003622BB">
        <w:rPr>
          <w:lang w:val="fr-FR"/>
        </w:rPr>
        <w:t xml:space="preserve"> projet du Plan d</w:t>
      </w:r>
      <w:r w:rsidR="001B2C39" w:rsidRPr="003622BB">
        <w:rPr>
          <w:lang w:val="fr-FR"/>
        </w:rPr>
        <w:t>’</w:t>
      </w:r>
      <w:r w:rsidR="00400943" w:rsidRPr="003622BB">
        <w:rPr>
          <w:lang w:val="fr-FR"/>
        </w:rPr>
        <w:t xml:space="preserve">action pour le développement intitulé </w:t>
      </w:r>
      <w:r w:rsidR="00DB389A" w:rsidRPr="003622BB">
        <w:rPr>
          <w:lang w:val="fr-FR"/>
        </w:rPr>
        <w:t>“</w:t>
      </w:r>
      <w:r w:rsidR="00400943" w:rsidRPr="003622BB">
        <w:rPr>
          <w:lang w:val="fr-FR"/>
        </w:rPr>
        <w:t>I</w:t>
      </w:r>
      <w:r w:rsidRPr="003622BB">
        <w:rPr>
          <w:szCs w:val="22"/>
          <w:lang w:val="fr-FR"/>
        </w:rPr>
        <w:t>nstruments permettant d</w:t>
      </w:r>
      <w:r w:rsidR="001B2C39" w:rsidRPr="003622BB">
        <w:rPr>
          <w:szCs w:val="22"/>
          <w:lang w:val="fr-FR"/>
        </w:rPr>
        <w:t>’</w:t>
      </w:r>
      <w:r w:rsidRPr="003622BB">
        <w:rPr>
          <w:szCs w:val="22"/>
          <w:lang w:val="fr-FR"/>
        </w:rPr>
        <w:t>élaborer des propositions de projet réussies du Plan d</w:t>
      </w:r>
      <w:r w:rsidR="001B2C39" w:rsidRPr="003622BB">
        <w:rPr>
          <w:szCs w:val="22"/>
          <w:lang w:val="fr-FR"/>
        </w:rPr>
        <w:t>’</w:t>
      </w:r>
      <w:r w:rsidR="00400943" w:rsidRPr="003622BB">
        <w:rPr>
          <w:szCs w:val="22"/>
          <w:lang w:val="fr-FR"/>
        </w:rPr>
        <w:t>action pour le développement</w:t>
      </w:r>
      <w:r w:rsidR="00DB389A" w:rsidRPr="003622BB">
        <w:rPr>
          <w:szCs w:val="22"/>
          <w:lang w:val="fr-FR"/>
        </w:rPr>
        <w:t>”</w:t>
      </w:r>
      <w:r w:rsidR="00400943" w:rsidRPr="003622BB">
        <w:rPr>
          <w:szCs w:val="22"/>
          <w:lang w:val="fr-FR"/>
        </w:rPr>
        <w:t>.  L</w:t>
      </w:r>
      <w:r w:rsidRPr="003622BB">
        <w:rPr>
          <w:lang w:val="fr-FR"/>
        </w:rPr>
        <w:t xml:space="preserve">e rapport </w:t>
      </w:r>
      <w:r w:rsidR="00400943" w:rsidRPr="003622BB">
        <w:rPr>
          <w:lang w:val="fr-FR"/>
        </w:rPr>
        <w:t>porte sur toute la période de mise en œuvre du projet, qui s</w:t>
      </w:r>
      <w:r w:rsidR="001B2C39" w:rsidRPr="003622BB">
        <w:rPr>
          <w:lang w:val="fr-FR"/>
        </w:rPr>
        <w:t>’</w:t>
      </w:r>
      <w:r w:rsidR="00400943" w:rsidRPr="003622BB">
        <w:rPr>
          <w:lang w:val="fr-FR"/>
        </w:rPr>
        <w:t>étend de janvier</w:t>
      </w:r>
      <w:r w:rsidR="00DB389A" w:rsidRPr="003622BB">
        <w:rPr>
          <w:lang w:val="fr-FR"/>
        </w:rPr>
        <w:t> </w:t>
      </w:r>
      <w:r w:rsidR="00400943" w:rsidRPr="003622BB">
        <w:rPr>
          <w:lang w:val="fr-FR"/>
        </w:rPr>
        <w:t>2020 à juin</w:t>
      </w:r>
      <w:r w:rsidR="00DB389A" w:rsidRPr="003622BB">
        <w:rPr>
          <w:lang w:val="fr-FR"/>
        </w:rPr>
        <w:t> </w:t>
      </w:r>
      <w:r w:rsidR="00400943" w:rsidRPr="003622BB">
        <w:rPr>
          <w:lang w:val="fr-FR"/>
        </w:rPr>
        <w:t>2022.</w:t>
      </w:r>
    </w:p>
    <w:p w:rsidR="005D5BCE" w:rsidRPr="003622BB" w:rsidRDefault="002A761B" w:rsidP="00C308EE">
      <w:pPr>
        <w:pStyle w:val="ONUMFS"/>
        <w:ind w:left="5533"/>
        <w:rPr>
          <w:i/>
          <w:iCs/>
          <w:szCs w:val="22"/>
          <w:lang w:val="fr-FR"/>
        </w:rPr>
      </w:pPr>
      <w:r w:rsidRPr="003622BB">
        <w:rPr>
          <w:i/>
          <w:iCs/>
          <w:szCs w:val="22"/>
          <w:lang w:val="fr-FR"/>
        </w:rPr>
        <w:t>Le CDIP est invité à prendre note des informations contenues dans l</w:t>
      </w:r>
      <w:r w:rsidR="001B2C39" w:rsidRPr="003622BB">
        <w:rPr>
          <w:i/>
          <w:iCs/>
          <w:szCs w:val="22"/>
          <w:lang w:val="fr-FR"/>
        </w:rPr>
        <w:t>’</w:t>
      </w:r>
      <w:r w:rsidRPr="003622BB">
        <w:rPr>
          <w:i/>
          <w:iCs/>
          <w:szCs w:val="22"/>
          <w:lang w:val="fr-FR"/>
        </w:rPr>
        <w:t>annexe du présent document.</w:t>
      </w:r>
    </w:p>
    <w:p w:rsidR="005D5BCE" w:rsidRPr="003622BB" w:rsidRDefault="002A761B" w:rsidP="00C308EE">
      <w:pPr>
        <w:pStyle w:val="Endofdocument-Annex"/>
        <w:rPr>
          <w:szCs w:val="22"/>
        </w:rPr>
      </w:pPr>
      <w:r w:rsidRPr="003622BB">
        <w:t>[</w:t>
      </w:r>
      <w:r w:rsidR="00400943" w:rsidRPr="003622BB">
        <w:t>L</w:t>
      </w:r>
      <w:r w:rsidR="001B2C39" w:rsidRPr="003622BB">
        <w:t>’</w:t>
      </w:r>
      <w:r w:rsidRPr="003622BB">
        <w:t>annexe suit]</w:t>
      </w:r>
    </w:p>
    <w:p w:rsidR="002A761B" w:rsidRPr="003622BB" w:rsidRDefault="002A761B" w:rsidP="00C308EE">
      <w:pPr>
        <w:spacing w:before="480"/>
        <w:ind w:left="5533"/>
        <w:rPr>
          <w:szCs w:val="22"/>
          <w:lang w:val="fr-FR"/>
        </w:rPr>
        <w:sectPr w:rsidR="002A761B" w:rsidRPr="003622BB" w:rsidSect="008A7A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rogress Report"/>
        <w:tblDescription w:val="Increasing the Role of Women in Innovation and Entrepreneurship: Encouraging Women in Developing Countries to Use the Intellectual Property System"/>
      </w:tblPr>
      <w:tblGrid>
        <w:gridCol w:w="2364"/>
        <w:gridCol w:w="7271"/>
      </w:tblGrid>
      <w:tr w:rsidR="002A761B" w:rsidRPr="003622BB" w:rsidTr="008A7AE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A761B" w:rsidRPr="003622BB" w:rsidRDefault="002A761B" w:rsidP="00C308EE">
            <w:pPr>
              <w:rPr>
                <w:bCs/>
                <w:iCs/>
                <w:caps/>
                <w:szCs w:val="28"/>
                <w:lang w:val="fr-FR"/>
              </w:rPr>
            </w:pPr>
            <w:r w:rsidRPr="003622BB">
              <w:rPr>
                <w:bCs/>
                <w:iCs/>
                <w:caps/>
                <w:szCs w:val="28"/>
                <w:lang w:val="fr-FR"/>
              </w:rPr>
              <w:lastRenderedPageBreak/>
              <w:t>RÉSUMÉ DU PROJET</w:t>
            </w:r>
          </w:p>
        </w:tc>
      </w:tr>
      <w:tr w:rsidR="002A761B" w:rsidRPr="003622BB" w:rsidTr="004C0DB5">
        <w:trPr>
          <w:trHeight w:val="496"/>
        </w:trPr>
        <w:tc>
          <w:tcPr>
            <w:tcW w:w="1227" w:type="pct"/>
            <w:shd w:val="clear" w:color="auto" w:fill="8DB3E1"/>
            <w:vAlign w:val="center"/>
          </w:tcPr>
          <w:p w:rsidR="002A761B" w:rsidRPr="003622BB" w:rsidRDefault="002A761B" w:rsidP="00C308EE">
            <w:pPr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Cote du projet</w:t>
            </w:r>
          </w:p>
        </w:tc>
        <w:tc>
          <w:tcPr>
            <w:tcW w:w="3773" w:type="pct"/>
            <w:shd w:val="clear" w:color="auto" w:fill="auto"/>
            <w:vAlign w:val="center"/>
          </w:tcPr>
          <w:p w:rsidR="002A761B" w:rsidRPr="003622BB" w:rsidRDefault="00400943" w:rsidP="00C308EE">
            <w:pPr>
              <w:rPr>
                <w:i/>
                <w:lang w:val="fr-FR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DA_01_05_01</w:t>
            </w:r>
          </w:p>
        </w:tc>
      </w:tr>
      <w:tr w:rsidR="002A761B" w:rsidRPr="003622BB" w:rsidTr="004C0DB5">
        <w:trPr>
          <w:trHeight w:val="404"/>
        </w:trPr>
        <w:tc>
          <w:tcPr>
            <w:tcW w:w="1227" w:type="pct"/>
            <w:shd w:val="clear" w:color="auto" w:fill="8DB3E1"/>
            <w:vAlign w:val="center"/>
          </w:tcPr>
          <w:p w:rsidR="002A761B" w:rsidRPr="003622BB" w:rsidRDefault="002A761B" w:rsidP="00C308EE">
            <w:pPr>
              <w:rPr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Titre</w:t>
            </w:r>
          </w:p>
        </w:tc>
        <w:tc>
          <w:tcPr>
            <w:tcW w:w="3773" w:type="pct"/>
            <w:shd w:val="clear" w:color="auto" w:fill="auto"/>
            <w:vAlign w:val="center"/>
          </w:tcPr>
          <w:p w:rsidR="002A761B" w:rsidRPr="003622BB" w:rsidRDefault="00300DB0" w:rsidP="00C308EE">
            <w:pPr>
              <w:spacing w:before="120" w:after="120"/>
              <w:rPr>
                <w:i/>
                <w:lang w:val="fr-FR"/>
              </w:rPr>
            </w:pPr>
            <w:hyperlink r:id="rId15" w:history="1">
              <w:r w:rsidR="00400943" w:rsidRPr="003622BB">
                <w:rPr>
                  <w:rStyle w:val="Hyperlink"/>
                  <w:bCs/>
                  <w:i/>
                  <w:szCs w:val="22"/>
                  <w:lang w:val="fr-FR" w:eastAsia="en-US"/>
                </w:rPr>
                <w:t>Instruments permettant d</w:t>
              </w:r>
              <w:r w:rsidR="001B2C39" w:rsidRPr="003622BB">
                <w:rPr>
                  <w:rStyle w:val="Hyperlink"/>
                  <w:bCs/>
                  <w:i/>
                  <w:szCs w:val="22"/>
                  <w:lang w:val="fr-FR" w:eastAsia="en-US"/>
                </w:rPr>
                <w:t>’</w:t>
              </w:r>
              <w:r w:rsidR="00400943" w:rsidRPr="003622BB">
                <w:rPr>
                  <w:rStyle w:val="Hyperlink"/>
                  <w:bCs/>
                  <w:i/>
                  <w:szCs w:val="22"/>
                  <w:lang w:val="fr-FR" w:eastAsia="en-US"/>
                </w:rPr>
                <w:t>élaborer des propositions de projet réussies du Plan d</w:t>
              </w:r>
              <w:r w:rsidR="001B2C39" w:rsidRPr="003622BB">
                <w:rPr>
                  <w:rStyle w:val="Hyperlink"/>
                  <w:bCs/>
                  <w:i/>
                  <w:szCs w:val="22"/>
                  <w:lang w:val="fr-FR" w:eastAsia="en-US"/>
                </w:rPr>
                <w:t>’</w:t>
              </w:r>
              <w:r w:rsidR="00400943" w:rsidRPr="003622BB">
                <w:rPr>
                  <w:rStyle w:val="Hyperlink"/>
                  <w:bCs/>
                  <w:i/>
                  <w:szCs w:val="22"/>
                  <w:lang w:val="fr-FR" w:eastAsia="en-US"/>
                </w:rPr>
                <w:t>action pour le développement</w:t>
              </w:r>
            </w:hyperlink>
          </w:p>
        </w:tc>
      </w:tr>
      <w:tr w:rsidR="002A761B" w:rsidRPr="003622BB" w:rsidTr="004C0DB5">
        <w:tc>
          <w:tcPr>
            <w:tcW w:w="1227" w:type="pct"/>
            <w:shd w:val="clear" w:color="auto" w:fill="8DB3E1"/>
            <w:vAlign w:val="center"/>
          </w:tcPr>
          <w:p w:rsidR="002A761B" w:rsidRPr="003622BB" w:rsidRDefault="00300DB0" w:rsidP="00C308EE">
            <w:pPr>
              <w:spacing w:before="240" w:after="120"/>
              <w:outlineLvl w:val="2"/>
              <w:rPr>
                <w:lang w:val="fr-FR"/>
              </w:rPr>
            </w:pPr>
            <w:hyperlink r:id="rId16" w:history="1">
              <w:r w:rsidR="00400943" w:rsidRPr="008A7AE5">
                <w:rPr>
                  <w:rStyle w:val="Hyperlink"/>
                  <w:bCs/>
                  <w:szCs w:val="26"/>
                  <w:lang w:val="fr-FR"/>
                </w:rPr>
                <w:t xml:space="preserve">Recommandations </w:t>
              </w:r>
              <w:r w:rsidR="002A761B" w:rsidRPr="008A7AE5">
                <w:rPr>
                  <w:rStyle w:val="Hyperlink"/>
                  <w:bCs/>
                  <w:szCs w:val="26"/>
                  <w:lang w:val="fr-FR"/>
                </w:rPr>
                <w:t>du Plan d</w:t>
              </w:r>
              <w:r w:rsidR="001B2C39" w:rsidRPr="008A7AE5">
                <w:rPr>
                  <w:rStyle w:val="Hyperlink"/>
                  <w:bCs/>
                  <w:szCs w:val="26"/>
                  <w:lang w:val="fr-FR"/>
                </w:rPr>
                <w:t>’</w:t>
              </w:r>
              <w:r w:rsidR="002A761B" w:rsidRPr="008A7AE5">
                <w:rPr>
                  <w:rStyle w:val="Hyperlink"/>
                  <w:bCs/>
                  <w:szCs w:val="26"/>
                  <w:lang w:val="fr-FR"/>
                </w:rPr>
                <w:t>action pour le développement</w:t>
              </w:r>
            </w:hyperlink>
          </w:p>
        </w:tc>
        <w:tc>
          <w:tcPr>
            <w:tcW w:w="3773" w:type="pct"/>
            <w:shd w:val="clear" w:color="auto" w:fill="auto"/>
          </w:tcPr>
          <w:p w:rsidR="005D5BCE" w:rsidRPr="008A7AE5" w:rsidRDefault="002A761B" w:rsidP="00C308EE">
            <w:pPr>
              <w:spacing w:after="240"/>
              <w:rPr>
                <w:lang w:val="fr-FR"/>
              </w:rPr>
            </w:pPr>
            <w:r w:rsidRPr="003622BB">
              <w:rPr>
                <w:i/>
                <w:lang w:val="fr-FR"/>
              </w:rPr>
              <w:t>Recommandation n°</w:t>
            </w:r>
            <w:r w:rsidR="00867775" w:rsidRPr="003622BB">
              <w:rPr>
                <w:i/>
                <w:lang w:val="fr-FR"/>
              </w:rPr>
              <w:t> </w:t>
            </w:r>
            <w:r w:rsidRPr="003622BB">
              <w:rPr>
                <w:i/>
                <w:lang w:val="fr-FR"/>
              </w:rPr>
              <w:t>1</w:t>
            </w:r>
            <w:r w:rsidR="001B2C39" w:rsidRPr="003622BB">
              <w:rPr>
                <w:lang w:val="fr-FR"/>
              </w:rPr>
              <w:t> :</w:t>
            </w:r>
            <w:r w:rsidRPr="003622BB">
              <w:rPr>
                <w:lang w:val="fr-FR"/>
              </w:rPr>
              <w:t xml:space="preserve"> </w:t>
            </w:r>
            <w:r w:rsidRPr="008A7AE5">
              <w:rPr>
                <w:lang w:val="fr-FR"/>
              </w:rPr>
              <w:t>L</w:t>
            </w:r>
            <w:r w:rsidR="001B2C39" w:rsidRPr="008A7AE5">
              <w:rPr>
                <w:lang w:val="fr-FR"/>
              </w:rPr>
              <w:t>’</w:t>
            </w:r>
            <w:r w:rsidRPr="008A7AE5">
              <w:rPr>
                <w:lang w:val="fr-FR"/>
              </w:rPr>
              <w:t>assistance technique de l</w:t>
            </w:r>
            <w:r w:rsidR="001B2C39" w:rsidRPr="008A7AE5">
              <w:rPr>
                <w:lang w:val="fr-FR"/>
              </w:rPr>
              <w:t>’</w:t>
            </w:r>
            <w:r w:rsidRPr="008A7AE5">
              <w:rPr>
                <w:lang w:val="fr-FR"/>
              </w:rPr>
              <w:t xml:space="preserve">OMPI doit notamment être axée sur le développement et la demande et elle doit être transparente; </w:t>
            </w:r>
            <w:r w:rsidR="004E4C86" w:rsidRPr="008A7AE5">
              <w:rPr>
                <w:lang w:val="fr-FR"/>
              </w:rPr>
              <w:t xml:space="preserve"> </w:t>
            </w:r>
            <w:r w:rsidRPr="008A7AE5">
              <w:rPr>
                <w:lang w:val="fr-FR"/>
              </w:rPr>
              <w:t>elle doit tenir compte des priorités et des besoins particuliers des pays en développement, en particulier</w:t>
            </w:r>
            <w:r w:rsidR="00B43F94" w:rsidRPr="008A7AE5">
              <w:rPr>
                <w:lang w:val="fr-FR"/>
              </w:rPr>
              <w:t xml:space="preserve"> des PMA</w:t>
            </w:r>
            <w:r w:rsidRPr="008A7AE5">
              <w:rPr>
                <w:lang w:val="fr-FR"/>
              </w:rPr>
              <w:t>, ainsi que des différents niveaux de développement des États membres et les activités doivent être menées à bien dans les déla</w:t>
            </w:r>
            <w:r w:rsidR="003622BB" w:rsidRPr="008A7AE5">
              <w:rPr>
                <w:lang w:val="fr-FR"/>
              </w:rPr>
              <w:t xml:space="preserve">is.  À </w:t>
            </w:r>
            <w:r w:rsidRPr="008A7AE5">
              <w:rPr>
                <w:lang w:val="fr-FR"/>
              </w:rPr>
              <w:t>cet égard, les mécanismes d</w:t>
            </w:r>
            <w:r w:rsidR="001B2C39" w:rsidRPr="008A7AE5">
              <w:rPr>
                <w:lang w:val="fr-FR"/>
              </w:rPr>
              <w:t>’</w:t>
            </w:r>
            <w:r w:rsidRPr="008A7AE5">
              <w:rPr>
                <w:lang w:val="fr-FR"/>
              </w:rPr>
              <w:t>établissement et d</w:t>
            </w:r>
            <w:r w:rsidR="001B2C39" w:rsidRPr="008A7AE5">
              <w:rPr>
                <w:lang w:val="fr-FR"/>
              </w:rPr>
              <w:t>’</w:t>
            </w:r>
            <w:r w:rsidRPr="008A7AE5">
              <w:rPr>
                <w:lang w:val="fr-FR"/>
              </w:rPr>
              <w:t>exécution et procédures d</w:t>
            </w:r>
            <w:r w:rsidR="001B2C39" w:rsidRPr="008A7AE5">
              <w:rPr>
                <w:lang w:val="fr-FR"/>
              </w:rPr>
              <w:t>’</w:t>
            </w:r>
            <w:r w:rsidRPr="008A7AE5">
              <w:rPr>
                <w:lang w:val="fr-FR"/>
              </w:rPr>
              <w:t>évaluation des programmes d</w:t>
            </w:r>
            <w:r w:rsidR="001B2C39" w:rsidRPr="008A7AE5">
              <w:rPr>
                <w:lang w:val="fr-FR"/>
              </w:rPr>
              <w:t>’</w:t>
            </w:r>
            <w:r w:rsidRPr="008A7AE5">
              <w:rPr>
                <w:lang w:val="fr-FR"/>
              </w:rPr>
              <w:t>assistance technique doivent être ciblés par pays.</w:t>
            </w:r>
          </w:p>
          <w:p w:rsidR="005D5BCE" w:rsidRPr="003622BB" w:rsidRDefault="00400943" w:rsidP="00C308EE">
            <w:pPr>
              <w:autoSpaceDE w:val="0"/>
              <w:autoSpaceDN w:val="0"/>
              <w:spacing w:after="220"/>
              <w:outlineLvl w:val="2"/>
              <w:rPr>
                <w:bCs/>
                <w:iCs/>
                <w:szCs w:val="22"/>
                <w:lang w:val="fr-FR" w:eastAsia="en-US"/>
              </w:rPr>
            </w:pPr>
            <w:r w:rsidRPr="003622BB">
              <w:rPr>
                <w:bCs/>
                <w:i/>
                <w:iCs/>
                <w:szCs w:val="22"/>
                <w:lang w:val="fr-FR" w:eastAsia="en-US"/>
              </w:rPr>
              <w:t>Recomm</w:t>
            </w:r>
            <w:r w:rsidR="0027546F" w:rsidRPr="003622BB">
              <w:rPr>
                <w:bCs/>
                <w:i/>
                <w:iCs/>
                <w:szCs w:val="22"/>
                <w:lang w:val="fr-FR" w:eastAsia="en-US"/>
              </w:rPr>
              <w:t>a</w:t>
            </w:r>
            <w:r w:rsidRPr="003622BB">
              <w:rPr>
                <w:bCs/>
                <w:i/>
                <w:iCs/>
                <w:szCs w:val="22"/>
                <w:lang w:val="fr-FR" w:eastAsia="en-US"/>
              </w:rPr>
              <w:t>ndation</w:t>
            </w:r>
            <w:r w:rsidR="004E4C86" w:rsidRPr="003622BB">
              <w:rPr>
                <w:bCs/>
                <w:i/>
                <w:iCs/>
                <w:szCs w:val="22"/>
                <w:lang w:val="fr-FR" w:eastAsia="en-US"/>
              </w:rPr>
              <w:t xml:space="preserve"> n°</w:t>
            </w:r>
            <w:r w:rsidR="00DB389A" w:rsidRPr="003622BB">
              <w:rPr>
                <w:bCs/>
                <w:i/>
                <w:iCs/>
                <w:szCs w:val="22"/>
                <w:lang w:val="fr-FR" w:eastAsia="en-US"/>
              </w:rPr>
              <w:t> </w:t>
            </w:r>
            <w:r w:rsidRPr="003622BB">
              <w:rPr>
                <w:bCs/>
                <w:i/>
                <w:iCs/>
                <w:szCs w:val="22"/>
                <w:lang w:val="fr-FR" w:eastAsia="en-US"/>
              </w:rPr>
              <w:t>5</w:t>
            </w:r>
            <w:r w:rsidR="001B2C39" w:rsidRPr="003622BB">
              <w:rPr>
                <w:bCs/>
                <w:iCs/>
                <w:szCs w:val="22"/>
                <w:lang w:val="fr-FR" w:eastAsia="en-US"/>
              </w:rPr>
              <w:t> :</w:t>
            </w:r>
            <w:r w:rsidR="00DB389A" w:rsidRPr="003622BB">
              <w:rPr>
                <w:bCs/>
                <w:iCs/>
                <w:szCs w:val="22"/>
                <w:lang w:val="fr-FR" w:eastAsia="en-US"/>
              </w:rPr>
              <w:t xml:space="preserve"> </w:t>
            </w:r>
            <w:r w:rsidR="0027546F" w:rsidRPr="003622BB">
              <w:rPr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bCs/>
                <w:iCs/>
                <w:szCs w:val="22"/>
                <w:lang w:val="fr-FR" w:eastAsia="en-US"/>
              </w:rPr>
              <w:t>OMPI publiera sur son site Web des informations générales sur l</w:t>
            </w:r>
            <w:r w:rsidR="001B2C39" w:rsidRPr="003622BB">
              <w:rPr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bCs/>
                <w:iCs/>
                <w:szCs w:val="22"/>
                <w:lang w:val="fr-FR" w:eastAsia="en-US"/>
              </w:rPr>
              <w:t>ensemble des activités d</w:t>
            </w:r>
            <w:r w:rsidR="001B2C39" w:rsidRPr="003622BB">
              <w:rPr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bCs/>
                <w:iCs/>
                <w:szCs w:val="22"/>
                <w:lang w:val="fr-FR" w:eastAsia="en-US"/>
              </w:rPr>
              <w:t xml:space="preserve">assistance technique et fournira, à la demande des États membres, des informations détaillées sur </w:t>
            </w:r>
            <w:r w:rsidR="0014612C" w:rsidRPr="003622BB">
              <w:rPr>
                <w:bCs/>
                <w:iCs/>
                <w:szCs w:val="22"/>
                <w:lang w:val="fr-FR" w:eastAsia="en-US"/>
              </w:rPr>
              <w:t>certaines</w:t>
            </w:r>
            <w:r w:rsidR="0027546F" w:rsidRPr="003622BB">
              <w:rPr>
                <w:bCs/>
                <w:iCs/>
                <w:szCs w:val="22"/>
                <w:lang w:val="fr-FR" w:eastAsia="en-US"/>
              </w:rPr>
              <w:t xml:space="preserve"> activités, avec le consentement des États membres et autres destinataires concernés pour lesquels l</w:t>
            </w:r>
            <w:r w:rsidR="001B2C39" w:rsidRPr="003622BB">
              <w:rPr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bCs/>
                <w:iCs/>
                <w:szCs w:val="22"/>
                <w:lang w:val="fr-FR" w:eastAsia="en-US"/>
              </w:rPr>
              <w:t>activité a été mise en œuvre.</w:t>
            </w:r>
          </w:p>
          <w:p w:rsidR="002A761B" w:rsidRPr="008A7AE5" w:rsidRDefault="0027546F" w:rsidP="00C308EE">
            <w:pPr>
              <w:spacing w:before="240" w:after="120"/>
              <w:rPr>
                <w:i/>
                <w:sz w:val="18"/>
                <w:szCs w:val="18"/>
                <w:lang w:val="fr-FR"/>
              </w:rPr>
            </w:pPr>
            <w:r w:rsidRPr="008A7AE5">
              <w:rPr>
                <w:i/>
                <w:sz w:val="18"/>
                <w:szCs w:val="18"/>
                <w:lang w:val="fr-FR"/>
              </w:rPr>
              <w:t xml:space="preserve">*Les instruments mis au point dans le cadre de ce projet </w:t>
            </w:r>
            <w:r w:rsidR="0014612C" w:rsidRPr="008A7AE5">
              <w:rPr>
                <w:i/>
                <w:sz w:val="18"/>
                <w:szCs w:val="18"/>
                <w:lang w:val="fr-FR"/>
              </w:rPr>
              <w:t xml:space="preserve">soutiennent </w:t>
            </w:r>
            <w:r w:rsidRPr="008A7AE5">
              <w:rPr>
                <w:i/>
                <w:sz w:val="18"/>
                <w:szCs w:val="18"/>
                <w:lang w:val="fr-FR"/>
              </w:rPr>
              <w:t>la mise en œuvre d</w:t>
            </w:r>
            <w:r w:rsidR="001B2C39" w:rsidRPr="008A7AE5">
              <w:rPr>
                <w:i/>
                <w:sz w:val="18"/>
                <w:szCs w:val="18"/>
                <w:lang w:val="fr-FR"/>
              </w:rPr>
              <w:t>’</w:t>
            </w:r>
            <w:r w:rsidRPr="008A7AE5">
              <w:rPr>
                <w:i/>
                <w:sz w:val="18"/>
                <w:szCs w:val="18"/>
                <w:lang w:val="fr-FR"/>
              </w:rPr>
              <w:t>autres recommandations du Plan d</w:t>
            </w:r>
            <w:r w:rsidR="001B2C39" w:rsidRPr="008A7AE5">
              <w:rPr>
                <w:i/>
                <w:sz w:val="18"/>
                <w:szCs w:val="18"/>
                <w:lang w:val="fr-FR"/>
              </w:rPr>
              <w:t>’</w:t>
            </w:r>
            <w:r w:rsidRPr="008A7AE5">
              <w:rPr>
                <w:i/>
                <w:sz w:val="18"/>
                <w:szCs w:val="18"/>
                <w:lang w:val="fr-FR"/>
              </w:rPr>
              <w:t>action pour le développement en facilitant l</w:t>
            </w:r>
            <w:r w:rsidR="001B2C39" w:rsidRPr="008A7AE5">
              <w:rPr>
                <w:i/>
                <w:sz w:val="18"/>
                <w:szCs w:val="18"/>
                <w:lang w:val="fr-FR"/>
              </w:rPr>
              <w:t>’</w:t>
            </w:r>
            <w:r w:rsidRPr="008A7AE5">
              <w:rPr>
                <w:i/>
                <w:sz w:val="18"/>
                <w:szCs w:val="18"/>
                <w:lang w:val="fr-FR"/>
              </w:rPr>
              <w:t>élaboration de nouvelles propositions de projets du Plan d</w:t>
            </w:r>
            <w:r w:rsidR="001B2C39" w:rsidRPr="008A7AE5">
              <w:rPr>
                <w:i/>
                <w:sz w:val="18"/>
                <w:szCs w:val="18"/>
                <w:lang w:val="fr-FR"/>
              </w:rPr>
              <w:t>’</w:t>
            </w:r>
            <w:r w:rsidRPr="008A7AE5">
              <w:rPr>
                <w:i/>
                <w:sz w:val="18"/>
                <w:szCs w:val="18"/>
                <w:lang w:val="fr-FR"/>
              </w:rPr>
              <w:t>action.</w:t>
            </w:r>
          </w:p>
        </w:tc>
      </w:tr>
      <w:tr w:rsidR="002A761B" w:rsidRPr="003622BB" w:rsidTr="004C0DB5">
        <w:tc>
          <w:tcPr>
            <w:tcW w:w="1227" w:type="pct"/>
            <w:shd w:val="clear" w:color="auto" w:fill="8DB3E1"/>
          </w:tcPr>
          <w:p w:rsidR="002A761B" w:rsidRPr="003622BB" w:rsidRDefault="002A761B" w:rsidP="00C308EE">
            <w:pPr>
              <w:spacing w:after="12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Budget du projet</w:t>
            </w:r>
          </w:p>
        </w:tc>
        <w:tc>
          <w:tcPr>
            <w:tcW w:w="3773" w:type="pct"/>
            <w:shd w:val="clear" w:color="auto" w:fill="auto"/>
          </w:tcPr>
          <w:p w:rsidR="002A761B" w:rsidRPr="003622BB" w:rsidRDefault="00400943" w:rsidP="00C308EE">
            <w:pPr>
              <w:spacing w:after="120"/>
              <w:rPr>
                <w:lang w:val="fr-FR"/>
              </w:rPr>
            </w:pPr>
            <w:r w:rsidRPr="003622BB">
              <w:rPr>
                <w:lang w:val="fr-FR"/>
              </w:rPr>
              <w:t>Le budget total octroyé aux dépenses autres que les dépenses de personnel était de 2</w:t>
            </w:r>
            <w:r w:rsidR="002A761B" w:rsidRPr="003622BB">
              <w:rPr>
                <w:lang w:val="fr-FR"/>
              </w:rPr>
              <w:t>1</w:t>
            </w:r>
            <w:r w:rsidRPr="003622BB">
              <w:rPr>
                <w:lang w:val="fr-FR"/>
              </w:rPr>
              <w:t>0</w:t>
            </w:r>
            <w:r w:rsidR="00867775" w:rsidRPr="003622BB">
              <w:rPr>
                <w:lang w:val="fr-FR"/>
              </w:rPr>
              <w:t> </w:t>
            </w:r>
            <w:r w:rsidR="002A761B" w:rsidRPr="003622BB">
              <w:rPr>
                <w:lang w:val="fr-FR"/>
              </w:rPr>
              <w:t>00</w:t>
            </w:r>
            <w:r w:rsidR="00B43F94" w:rsidRPr="003622BB">
              <w:rPr>
                <w:lang w:val="fr-FR"/>
              </w:rPr>
              <w:t>0 franc</w:t>
            </w:r>
            <w:r w:rsidR="002A761B" w:rsidRPr="003622BB">
              <w:rPr>
                <w:lang w:val="fr-FR"/>
              </w:rPr>
              <w:t>s suisses</w:t>
            </w:r>
            <w:r w:rsidR="00C308EE">
              <w:rPr>
                <w:lang w:val="fr-FR"/>
              </w:rPr>
              <w:t>.</w:t>
            </w:r>
          </w:p>
        </w:tc>
      </w:tr>
      <w:tr w:rsidR="002A761B" w:rsidRPr="003622BB" w:rsidTr="004C0DB5">
        <w:tc>
          <w:tcPr>
            <w:tcW w:w="1227" w:type="pct"/>
            <w:shd w:val="clear" w:color="auto" w:fill="8DB3E1"/>
          </w:tcPr>
          <w:p w:rsidR="002A761B" w:rsidRPr="003622BB" w:rsidRDefault="002A761B" w:rsidP="00C308EE">
            <w:pPr>
              <w:spacing w:after="12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Durée du projet</w:t>
            </w:r>
          </w:p>
        </w:tc>
        <w:tc>
          <w:tcPr>
            <w:tcW w:w="3773" w:type="pct"/>
            <w:shd w:val="clear" w:color="auto" w:fill="auto"/>
          </w:tcPr>
          <w:p w:rsidR="002A761B" w:rsidRPr="003622BB" w:rsidRDefault="00400943" w:rsidP="00C308EE">
            <w:pPr>
              <w:spacing w:after="120"/>
              <w:rPr>
                <w:lang w:val="fr-FR"/>
              </w:rPr>
            </w:pPr>
            <w:r w:rsidRPr="003622BB">
              <w:rPr>
                <w:lang w:val="fr-FR"/>
              </w:rPr>
              <w:t>30</w:t>
            </w:r>
            <w:r w:rsidR="00484A89" w:rsidRPr="003622BB">
              <w:rPr>
                <w:lang w:val="fr-FR"/>
              </w:rPr>
              <w:t> </w:t>
            </w:r>
            <w:r w:rsidR="002A761B" w:rsidRPr="003622BB">
              <w:rPr>
                <w:lang w:val="fr-FR"/>
              </w:rPr>
              <w:t>mois</w:t>
            </w:r>
            <w:r w:rsidRPr="003622BB">
              <w:rPr>
                <w:lang w:val="fr-FR"/>
              </w:rPr>
              <w:t xml:space="preserve"> (24 mois, et l</w:t>
            </w:r>
            <w:r w:rsidR="001B2C39" w:rsidRPr="003622BB">
              <w:rPr>
                <w:lang w:val="fr-FR"/>
              </w:rPr>
              <w:t>’</w:t>
            </w:r>
            <w:r w:rsidRPr="003622BB">
              <w:rPr>
                <w:lang w:val="fr-FR"/>
              </w:rPr>
              <w:t>extension accordée par</w:t>
            </w:r>
            <w:r w:rsidR="00DB389A" w:rsidRPr="003622BB">
              <w:rPr>
                <w:lang w:val="fr-FR"/>
              </w:rPr>
              <w:t xml:space="preserve"> le CDI</w:t>
            </w:r>
            <w:r w:rsidRPr="003622BB">
              <w:rPr>
                <w:lang w:val="fr-FR"/>
              </w:rPr>
              <w:t>P à sa vingt</w:t>
            </w:r>
            <w:r w:rsidR="008A7AE5">
              <w:rPr>
                <w:lang w:val="fr-FR"/>
              </w:rPr>
              <w:noBreakHyphen/>
            </w:r>
            <w:r w:rsidRPr="003622BB">
              <w:rPr>
                <w:lang w:val="fr-FR"/>
              </w:rPr>
              <w:t>six</w:t>
            </w:r>
            <w:r w:rsidR="001B2C39" w:rsidRPr="003622BB">
              <w:rPr>
                <w:lang w:val="fr-FR"/>
              </w:rPr>
              <w:t>ième session</w:t>
            </w:r>
            <w:r w:rsidRPr="003622BB">
              <w:rPr>
                <w:lang w:val="fr-FR"/>
              </w:rPr>
              <w:t>).</w:t>
            </w:r>
          </w:p>
        </w:tc>
      </w:tr>
      <w:tr w:rsidR="002A761B" w:rsidRPr="003622BB" w:rsidTr="004C0DB5">
        <w:tc>
          <w:tcPr>
            <w:tcW w:w="1227" w:type="pct"/>
            <w:shd w:val="clear" w:color="auto" w:fill="8DB3E1"/>
          </w:tcPr>
          <w:p w:rsidR="002A761B" w:rsidRPr="003622BB" w:rsidRDefault="002A761B" w:rsidP="00C308EE">
            <w:pPr>
              <w:spacing w:after="12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Principaux secteurs</w:t>
            </w:r>
            <w:r w:rsidR="00400943" w:rsidRPr="003622BB">
              <w:rPr>
                <w:bCs/>
                <w:szCs w:val="26"/>
                <w:u w:val="single"/>
                <w:lang w:val="fr-FR"/>
              </w:rPr>
              <w:t>/domaines</w:t>
            </w:r>
            <w:r w:rsidRPr="003622BB">
              <w:rPr>
                <w:bCs/>
                <w:szCs w:val="26"/>
                <w:u w:val="single"/>
                <w:lang w:val="fr-FR"/>
              </w:rPr>
              <w:t xml:space="preserve"> de l</w:t>
            </w:r>
            <w:r w:rsidR="001B2C39" w:rsidRPr="003622BB">
              <w:rPr>
                <w:bCs/>
                <w:szCs w:val="26"/>
                <w:u w:val="single"/>
                <w:lang w:val="fr-FR"/>
              </w:rPr>
              <w:t>’</w:t>
            </w:r>
            <w:r w:rsidRPr="003622BB">
              <w:rPr>
                <w:bCs/>
                <w:szCs w:val="26"/>
                <w:u w:val="single"/>
                <w:lang w:val="fr-FR"/>
              </w:rPr>
              <w:t xml:space="preserve">OMPI concernés </w:t>
            </w:r>
            <w:r w:rsidR="00400943" w:rsidRPr="003622BB">
              <w:rPr>
                <w:bCs/>
                <w:szCs w:val="26"/>
                <w:u w:val="single"/>
                <w:lang w:val="fr-FR"/>
              </w:rPr>
              <w:t>par la mise en œuvre du projet</w:t>
            </w:r>
          </w:p>
        </w:tc>
        <w:tc>
          <w:tcPr>
            <w:tcW w:w="3773" w:type="pct"/>
            <w:shd w:val="clear" w:color="auto" w:fill="auto"/>
          </w:tcPr>
          <w:p w:rsidR="002A761B" w:rsidRPr="003622BB" w:rsidRDefault="00400943" w:rsidP="00C308EE">
            <w:pPr>
              <w:spacing w:after="120"/>
              <w:rPr>
                <w:lang w:val="fr-FR"/>
              </w:rPr>
            </w:pPr>
            <w:r w:rsidRPr="003622BB">
              <w:rPr>
                <w:lang w:val="fr-FR"/>
              </w:rPr>
              <w:t>Division de la coordination du Plan d</w:t>
            </w:r>
            <w:r w:rsidR="001B2C39" w:rsidRPr="003622BB">
              <w:rPr>
                <w:lang w:val="fr-FR"/>
              </w:rPr>
              <w:t>’</w:t>
            </w:r>
            <w:r w:rsidRPr="003622BB">
              <w:rPr>
                <w:lang w:val="fr-FR"/>
              </w:rPr>
              <w:t>action pour le développement, Secteur du développement régional et national</w:t>
            </w:r>
          </w:p>
        </w:tc>
      </w:tr>
      <w:tr w:rsidR="00400943" w:rsidRPr="003622BB" w:rsidTr="004C0DB5">
        <w:trPr>
          <w:trHeight w:val="2664"/>
        </w:trPr>
        <w:tc>
          <w:tcPr>
            <w:tcW w:w="1227" w:type="pct"/>
            <w:shd w:val="clear" w:color="auto" w:fill="8DB3E1"/>
            <w:vAlign w:val="center"/>
          </w:tcPr>
          <w:p w:rsidR="00400943" w:rsidRPr="003622BB" w:rsidRDefault="00400943" w:rsidP="00C308EE">
            <w:pPr>
              <w:spacing w:before="240" w:after="12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Brève description du projet</w:t>
            </w:r>
          </w:p>
        </w:tc>
        <w:tc>
          <w:tcPr>
            <w:tcW w:w="3773" w:type="pct"/>
            <w:shd w:val="clear" w:color="auto" w:fill="auto"/>
            <w:vAlign w:val="center"/>
          </w:tcPr>
          <w:p w:rsidR="00DB389A" w:rsidRPr="003622BB" w:rsidRDefault="0027546F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objectif à long terme du projet était de faciliter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élaboration de propositions de projets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examinées par le Comité du développement et de la propriété intellectuelle (CDIP), et de veiller à ce qu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elles soient rigoureuses et mises en œuvre de manière efficace.</w:t>
            </w:r>
          </w:p>
          <w:p w:rsidR="005D5BCE" w:rsidRPr="003622BB" w:rsidRDefault="0027546F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objectif immédiat du projet était de mettre en place un certain nombre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instruments permettant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accroître les connaissances et la compréhension des éléments clés caractéristiques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une proposition de projet réussie, afin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</w:p>
          <w:p w:rsidR="00DB389A" w:rsidRPr="003622BB" w:rsidRDefault="005D0614" w:rsidP="00C308EE">
            <w:pPr>
              <w:numPr>
                <w:ilvl w:val="0"/>
                <w:numId w:val="27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de 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favoriser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approche axée sur la demande pour la mise en œuvre par les États membres des recommandations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développement;</w:t>
            </w:r>
          </w:p>
          <w:p w:rsidR="00DB389A" w:rsidRPr="003622BB" w:rsidRDefault="005D0614" w:rsidP="00C308EE">
            <w:pPr>
              <w:numPr>
                <w:ilvl w:val="0"/>
                <w:numId w:val="27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de 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les encourager à soumettre de nouvelles propositions de projets détaillées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 CDI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DB389A" w:rsidRPr="003622BB" w:rsidRDefault="005D0614" w:rsidP="00C308EE">
            <w:pPr>
              <w:numPr>
                <w:ilvl w:val="0"/>
                <w:numId w:val="27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accélérer ou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de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simplifier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adoption des propositions;</w:t>
            </w:r>
          </w:p>
          <w:p w:rsidR="00DB389A" w:rsidRPr="003622BB" w:rsidRDefault="005D0614" w:rsidP="00C308EE">
            <w:pPr>
              <w:numPr>
                <w:ilvl w:val="0"/>
                <w:numId w:val="27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lastRenderedPageBreak/>
              <w:t xml:space="preserve">de 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faciliter leur mise en œuvre; 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et</w:t>
            </w:r>
          </w:p>
          <w:p w:rsidR="005D5BCE" w:rsidRPr="003622BB" w:rsidRDefault="005D0614" w:rsidP="00C308EE">
            <w:pPr>
              <w:numPr>
                <w:ilvl w:val="0"/>
                <w:numId w:val="27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accroître la viabilité des résultats des projets relevant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 pour le développement.</w:t>
            </w:r>
          </w:p>
          <w:p w:rsidR="00DB389A" w:rsidRPr="003622BB" w:rsidRDefault="0027546F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Pour y parvenir, le projet 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est conc</w:t>
            </w:r>
            <w:r w:rsidR="005D0614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entré sur les éléments suivants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</w:p>
          <w:p w:rsidR="00DB389A" w:rsidRPr="003622BB" w:rsidRDefault="005D0614" w:rsidP="00C308EE">
            <w:pPr>
              <w:numPr>
                <w:ilvl w:val="0"/>
                <w:numId w:val="28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n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guide</w:t>
            </w:r>
            <w:r w:rsidR="0027546F" w:rsidRPr="003622BB">
              <w:rPr>
                <w:rStyle w:val="FootnoteReference"/>
                <w:rFonts w:eastAsia="Arial"/>
                <w:bCs/>
                <w:iCs/>
                <w:szCs w:val="22"/>
                <w:lang w:val="fr-FR" w:eastAsia="en-US"/>
              </w:rPr>
              <w:footnoteReference w:id="2"/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intention des États membres, du personnel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OMPI et des évaluateurs,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contenant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des informations détaillées sur la manière de concevoir,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élaborer et de mettre en œuvre des propositions de projets relevant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ainsi que sur les proc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édure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à suivre pour les États membres souhaitant faire des propositions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 C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DIP.  Le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guide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comprend également des modèles annotés qui facilitent les différentes étapes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un projet relevant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(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conception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mise en œuvre, rapport, évaluation, etc.);</w:t>
            </w:r>
          </w:p>
          <w:p w:rsidR="00DB389A" w:rsidRPr="003622BB" w:rsidRDefault="005D0614" w:rsidP="00C308EE">
            <w:pPr>
              <w:numPr>
                <w:ilvl w:val="0"/>
                <w:numId w:val="28"/>
              </w:numPr>
              <w:autoSpaceDE w:val="0"/>
              <w:autoSpaceDN w:val="0"/>
              <w:spacing w:before="1"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n catalogue consultable en ligne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qui présente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tous les projets en cours et achevés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 ainsi que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leurs résultats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5D0614" w:rsidP="00C308EE">
            <w:pPr>
              <w:numPr>
                <w:ilvl w:val="0"/>
                <w:numId w:val="28"/>
              </w:numPr>
              <w:autoSpaceDE w:val="0"/>
              <w:autoSpaceDN w:val="0"/>
              <w:spacing w:before="1"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 cours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enseignement à distance sur les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“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Projets réussis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”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; 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et</w:t>
            </w:r>
          </w:p>
          <w:p w:rsidR="00400943" w:rsidRPr="003622BB" w:rsidRDefault="005D0614" w:rsidP="00C308EE">
            <w:pPr>
              <w:numPr>
                <w:ilvl w:val="0"/>
                <w:numId w:val="28"/>
              </w:numPr>
              <w:autoSpaceDE w:val="0"/>
              <w:autoSpaceDN w:val="0"/>
              <w:spacing w:before="1"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es supports et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des </w:t>
            </w:r>
            <w:r w:rsidR="0027546F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activités de sensibilisation.</w:t>
            </w:r>
            <w:r w:rsidR="00400943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</w:p>
        </w:tc>
      </w:tr>
      <w:tr w:rsidR="00400943" w:rsidRPr="003622BB" w:rsidTr="004C0DB5">
        <w:trPr>
          <w:trHeight w:val="484"/>
        </w:trPr>
        <w:tc>
          <w:tcPr>
            <w:tcW w:w="1227" w:type="pct"/>
            <w:shd w:val="clear" w:color="auto" w:fill="8DB3E1"/>
          </w:tcPr>
          <w:p w:rsidR="00400943" w:rsidRPr="003622BB" w:rsidRDefault="00400943" w:rsidP="00C308EE">
            <w:pPr>
              <w:spacing w:before="240" w:after="12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lastRenderedPageBreak/>
              <w:t>Chef de projet</w:t>
            </w:r>
          </w:p>
        </w:tc>
        <w:tc>
          <w:tcPr>
            <w:tcW w:w="3773" w:type="pct"/>
            <w:vAlign w:val="center"/>
          </w:tcPr>
          <w:p w:rsidR="00400943" w:rsidRPr="003622BB" w:rsidRDefault="00400943" w:rsidP="00C308EE">
            <w:pPr>
              <w:spacing w:before="120" w:after="120"/>
              <w:rPr>
                <w:iCs/>
                <w:lang w:val="fr-FR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M.</w:t>
            </w:r>
            <w:r w:rsidR="008A7AE5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George</w:t>
            </w:r>
            <w:r w:rsidR="0098678B">
              <w:rPr>
                <w:rFonts w:eastAsia="Arial"/>
                <w:bCs/>
                <w:iCs/>
                <w:szCs w:val="22"/>
                <w:lang w:val="fr-FR" w:eastAsia="en-US"/>
              </w:rPr>
              <w:t>s</w:t>
            </w:r>
            <w:bookmarkStart w:id="5" w:name="_GoBack"/>
            <w:bookmarkEnd w:id="5"/>
            <w:r w:rsidR="008A7AE5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Ghandour</w:t>
            </w:r>
            <w:r w:rsidRPr="003622BB">
              <w:rPr>
                <w:iCs/>
                <w:lang w:val="fr-FR"/>
              </w:rPr>
              <w:t xml:space="preserve">, conseiller principal, </w:t>
            </w:r>
            <w:r w:rsidRPr="003622BB">
              <w:rPr>
                <w:lang w:val="fr-FR"/>
              </w:rPr>
              <w:t>Division de la coordination du Plan d</w:t>
            </w:r>
            <w:r w:rsidR="001B2C39" w:rsidRPr="003622BB">
              <w:rPr>
                <w:lang w:val="fr-FR"/>
              </w:rPr>
              <w:t>’</w:t>
            </w:r>
            <w:r w:rsidRPr="003622BB">
              <w:rPr>
                <w:lang w:val="fr-FR"/>
              </w:rPr>
              <w:t>action pour le développement</w:t>
            </w:r>
          </w:p>
        </w:tc>
      </w:tr>
      <w:tr w:rsidR="00400943" w:rsidRPr="003622BB" w:rsidTr="004C0DB5">
        <w:trPr>
          <w:trHeight w:val="1165"/>
        </w:trPr>
        <w:tc>
          <w:tcPr>
            <w:tcW w:w="1227" w:type="pct"/>
            <w:shd w:val="clear" w:color="auto" w:fill="8DB3E1"/>
            <w:vAlign w:val="center"/>
          </w:tcPr>
          <w:p w:rsidR="00400943" w:rsidRPr="003622BB" w:rsidDel="00196374" w:rsidRDefault="00400943" w:rsidP="00C308EE">
            <w:pPr>
              <w:outlineLvl w:val="2"/>
              <w:rPr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Liens avec les résultats escomptés dans le programme et budget</w:t>
            </w:r>
          </w:p>
        </w:tc>
        <w:tc>
          <w:tcPr>
            <w:tcW w:w="3773" w:type="pct"/>
          </w:tcPr>
          <w:p w:rsidR="00DB389A" w:rsidRPr="008A7AE5" w:rsidRDefault="0027546F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Lors de son élaboration, le projet était lié et contribuait au résultat escompté</w:t>
            </w:r>
            <w:r w:rsidR="00DB389A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III.3 (Programme et budget de l</w:t>
            </w:r>
            <w:r w:rsidR="001B2C39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D0614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pour l</w:t>
            </w:r>
            <w:r w:rsidR="001B2C39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D0614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exercice biennal</w:t>
            </w:r>
            <w:r w:rsidR="00DB389A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D0614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2020</w:t>
            </w:r>
            <w:r w:rsidR="008A7AE5" w:rsidRPr="008A7AE5">
              <w:rPr>
                <w:rFonts w:eastAsia="Arial"/>
                <w:bCs/>
                <w:iCs/>
                <w:szCs w:val="22"/>
                <w:lang w:val="fr-FR" w:eastAsia="en-US"/>
              </w:rPr>
              <w:noBreakHyphen/>
            </w:r>
            <w:r w:rsidR="005D0614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2021</w:t>
            </w:r>
            <w:r w:rsidRPr="008A7AE5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), </w:t>
            </w:r>
            <w:r w:rsidR="001B2C39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à savoir</w:t>
            </w:r>
            <w:r w:rsidRPr="008A7AE5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DB389A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“</w:t>
            </w:r>
            <w:r w:rsidRPr="008A7AE5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Intégration des recommandations du Plan d</w:t>
            </w:r>
            <w:r w:rsidR="001B2C39" w:rsidRPr="008A7AE5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’</w:t>
            </w:r>
            <w:r w:rsidRPr="008A7AE5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action pour le développement dans les activités de l</w:t>
            </w:r>
            <w:r w:rsidR="001B2C39" w:rsidRPr="008A7AE5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’</w:t>
            </w:r>
            <w:r w:rsidRPr="008A7AE5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OMPI</w:t>
            </w:r>
            <w:r w:rsidR="00DB389A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”</w:t>
            </w:r>
            <w:r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400943" w:rsidRPr="003622BB" w:rsidDel="00196374" w:rsidRDefault="0027546F" w:rsidP="00C308EE">
            <w:pPr>
              <w:spacing w:before="240" w:after="240"/>
              <w:rPr>
                <w:iCs/>
                <w:lang w:val="fr-FR"/>
              </w:rPr>
            </w:pPr>
            <w:r w:rsidRPr="008A7AE5">
              <w:rPr>
                <w:iCs/>
                <w:lang w:val="fr-FR"/>
              </w:rPr>
              <w:t xml:space="preserve">Dans le </w:t>
            </w:r>
            <w:r w:rsidR="00AB5BB5" w:rsidRPr="008A7AE5">
              <w:rPr>
                <w:iCs/>
                <w:lang w:val="fr-FR"/>
              </w:rPr>
              <w:t>p</w:t>
            </w:r>
            <w:r w:rsidRPr="008A7AE5">
              <w:rPr>
                <w:iCs/>
                <w:lang w:val="fr-FR"/>
              </w:rPr>
              <w:t xml:space="preserve">rogramme et budget </w:t>
            </w:r>
            <w:r w:rsidR="005D0614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pour l</w:t>
            </w:r>
            <w:r w:rsidR="001B2C39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D0614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exercice </w:t>
            </w:r>
            <w:r w:rsidR="00DB389A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biennal </w:t>
            </w:r>
            <w:r w:rsidR="00DB389A" w:rsidRPr="008A7AE5">
              <w:rPr>
                <w:iCs/>
                <w:lang w:val="fr-FR"/>
              </w:rPr>
              <w:t>2022</w:t>
            </w:r>
            <w:r w:rsidR="008A7AE5" w:rsidRPr="008A7AE5">
              <w:rPr>
                <w:iCs/>
                <w:lang w:val="fr-FR"/>
              </w:rPr>
              <w:noBreakHyphen/>
            </w:r>
            <w:r w:rsidRPr="008A7AE5">
              <w:rPr>
                <w:iCs/>
                <w:lang w:val="fr-FR"/>
              </w:rPr>
              <w:t>2023, le projet est lié au résultat escompté 4</w:t>
            </w:r>
            <w:r w:rsidR="00DB389A" w:rsidRPr="008A7AE5">
              <w:rPr>
                <w:iCs/>
                <w:lang w:val="fr-FR"/>
              </w:rPr>
              <w:t>.1 “</w:t>
            </w:r>
            <w:r w:rsidRPr="008A7AE5">
              <w:rPr>
                <w:i/>
                <w:iCs/>
                <w:lang w:val="fr-FR"/>
              </w:rPr>
              <w:t>Utilisation plus efficace de la propriété intellectuelle au service de la croissance et du développement de l</w:t>
            </w:r>
            <w:r w:rsidR="001B2C39" w:rsidRPr="008A7AE5">
              <w:rPr>
                <w:i/>
                <w:iCs/>
                <w:lang w:val="fr-FR"/>
              </w:rPr>
              <w:t>’</w:t>
            </w:r>
            <w:r w:rsidRPr="008A7AE5">
              <w:rPr>
                <w:i/>
                <w:iCs/>
                <w:lang w:val="fr-FR"/>
              </w:rPr>
              <w:t>ensemble des États membres et de leurs régions et sous</w:t>
            </w:r>
            <w:r w:rsidR="008A7AE5" w:rsidRPr="008A7AE5">
              <w:rPr>
                <w:i/>
                <w:iCs/>
                <w:lang w:val="fr-FR"/>
              </w:rPr>
              <w:noBreakHyphen/>
            </w:r>
            <w:r w:rsidRPr="008A7AE5">
              <w:rPr>
                <w:i/>
                <w:iCs/>
                <w:lang w:val="fr-FR"/>
              </w:rPr>
              <w:t>régions respectives, notamment grâce à l</w:t>
            </w:r>
            <w:r w:rsidR="001B2C39" w:rsidRPr="008A7AE5">
              <w:rPr>
                <w:i/>
                <w:iCs/>
                <w:lang w:val="fr-FR"/>
              </w:rPr>
              <w:t>’</w:t>
            </w:r>
            <w:r w:rsidRPr="008A7AE5">
              <w:rPr>
                <w:i/>
                <w:iCs/>
                <w:lang w:val="fr-FR"/>
              </w:rPr>
              <w:t>intégration des recommandations du Plan d</w:t>
            </w:r>
            <w:r w:rsidR="001B2C39" w:rsidRPr="008A7AE5">
              <w:rPr>
                <w:i/>
                <w:iCs/>
                <w:lang w:val="fr-FR"/>
              </w:rPr>
              <w:t>’</w:t>
            </w:r>
            <w:r w:rsidRPr="008A7AE5">
              <w:rPr>
                <w:i/>
                <w:iCs/>
                <w:lang w:val="fr-FR"/>
              </w:rPr>
              <w:t>action pour le développement</w:t>
            </w:r>
            <w:r w:rsidR="00DB389A" w:rsidRPr="008A7AE5">
              <w:rPr>
                <w:iCs/>
                <w:lang w:val="fr-FR"/>
              </w:rPr>
              <w:t>”</w:t>
            </w:r>
            <w:r w:rsidR="008A7AE5">
              <w:rPr>
                <w:iCs/>
                <w:lang w:val="fr-FR"/>
              </w:rPr>
              <w:t>.</w:t>
            </w:r>
          </w:p>
        </w:tc>
      </w:tr>
      <w:tr w:rsidR="00400943" w:rsidRPr="003622BB" w:rsidTr="00924857">
        <w:trPr>
          <w:trHeight w:val="879"/>
        </w:trPr>
        <w:tc>
          <w:tcPr>
            <w:tcW w:w="1227" w:type="pct"/>
            <w:shd w:val="clear" w:color="auto" w:fill="8DB3E1"/>
            <w:vAlign w:val="center"/>
          </w:tcPr>
          <w:p w:rsidR="00400943" w:rsidRPr="003622BB" w:rsidRDefault="00400943" w:rsidP="00924857">
            <w:pPr>
              <w:spacing w:before="240" w:after="120"/>
              <w:rPr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 xml:space="preserve">Synthèse de la mise en œuvre du projet </w:t>
            </w:r>
          </w:p>
        </w:tc>
        <w:tc>
          <w:tcPr>
            <w:tcW w:w="3773" w:type="pct"/>
            <w:vAlign w:val="center"/>
          </w:tcPr>
          <w:p w:rsidR="005D5BCE" w:rsidRPr="003622BB" w:rsidRDefault="0014612C" w:rsidP="00C308EE">
            <w:pPr>
              <w:autoSpaceDE w:val="0"/>
              <w:autoSpaceDN w:val="0"/>
              <w:spacing w:after="220"/>
              <w:rPr>
                <w:bCs/>
                <w:iCs/>
                <w:szCs w:val="22"/>
                <w:lang w:val="fr-FR" w:eastAsia="en-US"/>
              </w:rPr>
            </w:pPr>
            <w:r w:rsidRPr="003622BB">
              <w:rPr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>a mise en œuvre du projet a démarré en janvier</w:t>
            </w:r>
            <w:r w:rsidR="00DB389A" w:rsidRPr="003622BB">
              <w:rPr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>2020 par la création d</w:t>
            </w:r>
            <w:r w:rsidR="001B2C39" w:rsidRPr="003622BB">
              <w:rPr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>une éq</w:t>
            </w:r>
            <w:r w:rsidRPr="003622BB">
              <w:rPr>
                <w:bCs/>
                <w:iCs/>
                <w:szCs w:val="22"/>
                <w:lang w:val="fr-FR" w:eastAsia="en-US"/>
              </w:rPr>
              <w:t>uipe de projet au sein de l</w:t>
            </w:r>
            <w:r w:rsidR="001B2C39" w:rsidRPr="003622BB">
              <w:rPr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 xml:space="preserve"> et un bilan des procédures actuelles et des documents justificatifs existants.</w:t>
            </w:r>
          </w:p>
          <w:p w:rsidR="00DB389A" w:rsidRPr="003622BB" w:rsidRDefault="0014612C" w:rsidP="00C308EE">
            <w:pPr>
              <w:autoSpaceDE w:val="0"/>
              <w:autoSpaceDN w:val="0"/>
              <w:spacing w:before="240" w:after="220"/>
              <w:rPr>
                <w:bCs/>
                <w:iCs/>
                <w:szCs w:val="22"/>
                <w:lang w:val="fr-FR" w:eastAsia="en-US"/>
              </w:rPr>
            </w:pPr>
            <w:r w:rsidRPr="003622BB">
              <w:rPr>
                <w:bCs/>
                <w:iCs/>
                <w:szCs w:val="22"/>
                <w:lang w:val="fr-FR" w:eastAsia="en-US"/>
              </w:rPr>
              <w:t>O</w:t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>n trouvera ci</w:t>
            </w:r>
            <w:r w:rsidR="008A7AE5">
              <w:rPr>
                <w:bCs/>
                <w:iCs/>
                <w:szCs w:val="22"/>
                <w:lang w:val="fr-FR" w:eastAsia="en-US"/>
              </w:rPr>
              <w:noBreakHyphen/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 xml:space="preserve">après un aperçu de la mise en </w:t>
            </w:r>
            <w:r w:rsidRPr="003622BB">
              <w:rPr>
                <w:bCs/>
                <w:iCs/>
                <w:szCs w:val="22"/>
                <w:lang w:val="fr-FR" w:eastAsia="en-US"/>
              </w:rPr>
              <w:t>œuvre</w:t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 xml:space="preserve"> du projet, reposant </w:t>
            </w:r>
            <w:r w:rsidRPr="003622BB">
              <w:rPr>
                <w:bCs/>
                <w:iCs/>
                <w:szCs w:val="22"/>
                <w:lang w:val="fr-FR" w:eastAsia="en-US"/>
              </w:rPr>
              <w:t xml:space="preserve">sur </w:t>
            </w:r>
            <w:r w:rsidR="005844C7" w:rsidRPr="003622BB">
              <w:rPr>
                <w:bCs/>
                <w:iCs/>
                <w:szCs w:val="22"/>
                <w:lang w:val="fr-FR" w:eastAsia="en-US"/>
              </w:rPr>
              <w:t>la réalisation de chacun des résultats décrits dans le descriptif de projet approuvé (</w:t>
            </w:r>
            <w:hyperlink r:id="rId17" w:history="1">
              <w:r w:rsidRPr="003622BB">
                <w:rPr>
                  <w:rStyle w:val="Hyperlink"/>
                  <w:lang w:val="fr-FR"/>
                </w:rPr>
                <w:t>CDIP</w:t>
              </w:r>
              <w:r w:rsidR="005844C7" w:rsidRPr="003622BB">
                <w:rPr>
                  <w:rStyle w:val="Hyperlink"/>
                  <w:lang w:val="fr-FR"/>
                </w:rPr>
                <w:t>/24/14</w:t>
              </w:r>
              <w:r w:rsidR="00C308EE">
                <w:rPr>
                  <w:rStyle w:val="Hyperlink"/>
                  <w:lang w:val="fr-FR"/>
                </w:rPr>
                <w:t> R</w:t>
              </w:r>
              <w:r w:rsidR="005844C7" w:rsidRPr="003622BB">
                <w:rPr>
                  <w:rStyle w:val="Hyperlink"/>
                  <w:lang w:val="fr-FR"/>
                </w:rPr>
                <w:t>ev.</w:t>
              </w:r>
            </w:hyperlink>
            <w:r w:rsidRPr="003622BB">
              <w:rPr>
                <w:bCs/>
                <w:iCs/>
                <w:szCs w:val="22"/>
                <w:lang w:val="fr-FR" w:eastAsia="en-US"/>
              </w:rPr>
              <w:t>).</w:t>
            </w:r>
          </w:p>
          <w:p w:rsidR="005D5BCE" w:rsidRPr="007C7344" w:rsidRDefault="0014612C" w:rsidP="00C308E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spacing w:after="220"/>
              <w:ind w:left="1134" w:hanging="567"/>
              <w:rPr>
                <w:b/>
                <w:bCs/>
                <w:iCs/>
                <w:szCs w:val="22"/>
                <w:lang w:val="fr-FR"/>
              </w:rPr>
            </w:pPr>
            <w:r w:rsidRPr="007C7344">
              <w:rPr>
                <w:b/>
                <w:bCs/>
                <w:iCs/>
                <w:szCs w:val="22"/>
                <w:lang w:val="fr-FR"/>
              </w:rPr>
              <w:t>R</w:t>
            </w:r>
            <w:r w:rsidR="005844C7" w:rsidRPr="007C7344">
              <w:rPr>
                <w:b/>
                <w:bCs/>
                <w:iCs/>
                <w:szCs w:val="22"/>
                <w:lang w:val="fr-FR"/>
              </w:rPr>
              <w:t>ésultat</w:t>
            </w:r>
            <w:r w:rsidR="00DB389A" w:rsidRPr="007C7344">
              <w:rPr>
                <w:b/>
                <w:bCs/>
                <w:iCs/>
                <w:szCs w:val="22"/>
                <w:lang w:val="fr-FR"/>
              </w:rPr>
              <w:t> </w:t>
            </w:r>
            <w:r w:rsidR="005844C7" w:rsidRPr="007C7344">
              <w:rPr>
                <w:b/>
                <w:bCs/>
                <w:iCs/>
                <w:szCs w:val="22"/>
                <w:lang w:val="fr-FR"/>
              </w:rPr>
              <w:t xml:space="preserve">1 – </w:t>
            </w:r>
            <w:r w:rsidRPr="007C7344">
              <w:rPr>
                <w:b/>
                <w:bCs/>
                <w:iCs/>
                <w:szCs w:val="22"/>
                <w:lang w:val="fr-FR"/>
              </w:rPr>
              <w:t>M</w:t>
            </w:r>
            <w:r w:rsidR="005844C7" w:rsidRPr="007C7344">
              <w:rPr>
                <w:b/>
                <w:bCs/>
                <w:iCs/>
                <w:szCs w:val="22"/>
                <w:lang w:val="fr-FR"/>
              </w:rPr>
              <w:t>eilleure compréhension de la méthodologie, des défis, des questions et des meilleures pratiques concernant l</w:t>
            </w:r>
            <w:r w:rsidR="001B2C39" w:rsidRPr="007C7344">
              <w:rPr>
                <w:b/>
                <w:bCs/>
                <w:iCs/>
                <w:szCs w:val="22"/>
                <w:lang w:val="fr-FR"/>
              </w:rPr>
              <w:t>’</w:t>
            </w:r>
            <w:r w:rsidR="005844C7" w:rsidRPr="007C7344">
              <w:rPr>
                <w:b/>
                <w:bCs/>
                <w:iCs/>
                <w:szCs w:val="22"/>
                <w:lang w:val="fr-FR"/>
              </w:rPr>
              <w:t>élaboration et la gestion des projets du plan d</w:t>
            </w:r>
            <w:r w:rsidR="001B2C39" w:rsidRPr="007C7344">
              <w:rPr>
                <w:b/>
                <w:bCs/>
                <w:iCs/>
                <w:szCs w:val="22"/>
                <w:lang w:val="fr-FR"/>
              </w:rPr>
              <w:t>’</w:t>
            </w:r>
            <w:r w:rsidR="005844C7" w:rsidRPr="007C7344">
              <w:rPr>
                <w:b/>
                <w:bCs/>
                <w:iCs/>
                <w:szCs w:val="22"/>
                <w:lang w:val="fr-FR"/>
              </w:rPr>
              <w:t>action pour le développement.</w:t>
            </w:r>
          </w:p>
          <w:p w:rsidR="00DB389A" w:rsidRPr="003622BB" w:rsidRDefault="0014612C" w:rsidP="00C308EE">
            <w:pPr>
              <w:autoSpaceDE w:val="0"/>
              <w:autoSpaceDN w:val="0"/>
              <w:spacing w:after="220"/>
              <w:rPr>
                <w:bCs/>
                <w:iCs/>
                <w:szCs w:val="22"/>
                <w:u w:val="single"/>
                <w:lang w:val="fr-FR" w:eastAsia="en-US"/>
              </w:rPr>
            </w:pPr>
            <w:r w:rsidRPr="003622BB">
              <w:rPr>
                <w:bCs/>
                <w:iCs/>
                <w:szCs w:val="22"/>
                <w:u w:val="single"/>
                <w:lang w:val="fr-FR" w:eastAsia="en-US"/>
              </w:rPr>
              <w:lastRenderedPageBreak/>
              <w:t>B</w:t>
            </w:r>
            <w:r w:rsidR="005844C7" w:rsidRPr="003622BB">
              <w:rPr>
                <w:bCs/>
                <w:iCs/>
                <w:szCs w:val="22"/>
                <w:u w:val="single"/>
                <w:lang w:val="fr-FR" w:eastAsia="en-US"/>
              </w:rPr>
              <w:t>ilan de la situation interne</w:t>
            </w:r>
          </w:p>
          <w:p w:rsidR="00DB389A" w:rsidRPr="003622BB" w:rsidRDefault="0014612C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 début de la mise en œuvre du projet,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équipe de projet a fait le point sur les ressources liées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élaboration et à la gestion des projets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(modèles de projet, formulaires de suivi, formulaires de rapport, etc.) et sur leur évolution dans le tem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ps.  L’é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quipe 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est également penchée sur les recommandations formulées par les différents évaluateurs de projets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en particulier celles relatives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élaboration, la planification et la gestion du proj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et.  Ce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travail a servi de point de départ pour recenser les lacunes devant être prises en considération pour la mise en place des nouveaux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instruments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DB389A" w:rsidRPr="003622BB" w:rsidRDefault="0014612C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R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éunions de consultation avec différents groupes de parties prenantes</w:t>
            </w:r>
          </w:p>
          <w:p w:rsidR="00DB389A" w:rsidRPr="003622BB" w:rsidRDefault="0014612C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fin de mieux comprendre les défis et les expériences des différentes parties prenantes au processus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élaboration,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examen et de mise en œuvre des projets du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équipe a organisé une série de réunions de consultation virtuelles avec les groupe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de parties prenantes suivants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</w:p>
          <w:p w:rsidR="005D5BCE" w:rsidRPr="003622BB" w:rsidRDefault="0014612C" w:rsidP="00C308EE">
            <w:pPr>
              <w:numPr>
                <w:ilvl w:val="0"/>
                <w:numId w:val="11"/>
              </w:numPr>
              <w:autoSpaceDE w:val="0"/>
              <w:autoSpaceDN w:val="0"/>
              <w:spacing w:after="120"/>
              <w:ind w:left="1134" w:hanging="56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tats membres (délégués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établis à G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enève, ainsi que les représentants de divers pays)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–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consultation tenue le 27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juillet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20</w:t>
            </w:r>
            <w:r w:rsidR="00C308EE">
              <w:rPr>
                <w:rFonts w:eastAsia="Arial"/>
                <w:bCs/>
                <w:iCs/>
                <w:szCs w:val="22"/>
                <w:lang w:val="fr-FR" w:eastAsia="en-US"/>
              </w:rPr>
              <w:t>20;</w:t>
            </w:r>
          </w:p>
          <w:p w:rsidR="005D5BCE" w:rsidRPr="003622BB" w:rsidRDefault="005844C7" w:rsidP="00C308EE">
            <w:pPr>
              <w:numPr>
                <w:ilvl w:val="0"/>
                <w:numId w:val="11"/>
              </w:numPr>
              <w:autoSpaceDE w:val="0"/>
              <w:autoSpaceDN w:val="0"/>
              <w:spacing w:after="120"/>
              <w:ind w:left="1134" w:hanging="56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fonctionnaires </w:t>
            </w:r>
            <w:r w:rsidR="0014612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4612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(chefs de projet </w:t>
            </w:r>
            <w:r w:rsidR="0014612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ainsi que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autres fonctionnaires de </w:t>
            </w:r>
            <w:r w:rsidR="0014612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4612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OMPI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contribuant aux projets du </w:t>
            </w:r>
            <w:r w:rsidR="0014612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Plan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développement)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–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consultation tenue le 28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juillet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C308EE">
              <w:rPr>
                <w:rFonts w:eastAsia="Arial"/>
                <w:bCs/>
                <w:iCs/>
                <w:szCs w:val="22"/>
                <w:lang w:val="fr-FR" w:eastAsia="en-US"/>
              </w:rPr>
              <w:t>2020;</w:t>
            </w:r>
          </w:p>
          <w:p w:rsidR="005D5BCE" w:rsidRPr="003622BB" w:rsidRDefault="005844C7" w:rsidP="00C308EE">
            <w:pPr>
              <w:numPr>
                <w:ilvl w:val="0"/>
                <w:numId w:val="11"/>
              </w:numPr>
              <w:autoSpaceDE w:val="0"/>
              <w:autoSpaceDN w:val="0"/>
              <w:spacing w:after="220"/>
              <w:ind w:left="1134" w:hanging="56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experts (évaluateurs de projets du </w:t>
            </w:r>
            <w:r w:rsidR="0014612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Plan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 et experts en développement de la propriété intellectuelle)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–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consultation tenue le 29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juillet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C308EE">
              <w:rPr>
                <w:rFonts w:eastAsia="Arial"/>
                <w:bCs/>
                <w:iCs/>
                <w:szCs w:val="22"/>
                <w:lang w:val="fr-FR" w:eastAsia="en-US"/>
              </w:rPr>
              <w:t>2020.</w:t>
            </w:r>
          </w:p>
          <w:p w:rsidR="005D5BCE" w:rsidRPr="003622BB" w:rsidRDefault="0014612C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u cours de ces consultations, les participants ont formulé des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observations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et apporté leur contribution à la note de synthèse rédigée par un expert externe</w:t>
            </w:r>
            <w:r w:rsidR="00EF5210" w:rsidRPr="003622BB">
              <w:rPr>
                <w:rStyle w:val="FootnoteReference"/>
                <w:rFonts w:eastAsia="Arial"/>
                <w:bCs/>
                <w:iCs/>
                <w:szCs w:val="22"/>
                <w:lang w:val="fr-FR" w:eastAsia="en-US"/>
              </w:rPr>
              <w:footnoteReference w:id="3"/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qui a également dirigé les discussio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ns.  Ce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tte note de synthèse a été rédigée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après une analyse des défis auxquels ont été confrontées les personnes chargées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élaborer les projets à partir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examen préliminaire et des premiers entretiens réalisés au siège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lors de la réunion de lancement en mars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2020. 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 version finale du guide a été conçue de manière à répondre aux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défis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recensés,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contient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des informations sur les principales notions en matière de gestion de projets et décrit en détail la méthodologie des projets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ainsi que la procédure relative à la proposition de projets.</w:t>
            </w:r>
          </w:p>
          <w:p w:rsidR="00DB389A" w:rsidRPr="003622BB" w:rsidRDefault="0014612C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 rapport résumant les discussions menées pendant les consultations est disponible </w:t>
            </w:r>
            <w:hyperlink r:id="rId18" w:history="1">
              <w:r w:rsidR="005844C7" w:rsidRPr="00C308EE">
                <w:rPr>
                  <w:rStyle w:val="Hyperlink"/>
                  <w:b/>
                  <w:lang w:val="fr-FR"/>
                </w:rPr>
                <w:t>ici</w:t>
              </w:r>
            </w:hyperlink>
            <w:r w:rsidR="005844C7" w:rsidRPr="00C308EE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5D5BCE" w:rsidRPr="003622BB" w:rsidRDefault="0014612C" w:rsidP="00C308EE">
            <w:pPr>
              <w:keepNext/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Q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uestionnaire à l</w:t>
            </w:r>
            <w:r w:rsidR="001B2C39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intention des états membres</w:t>
            </w:r>
          </w:p>
          <w:p w:rsidR="00DB389A" w:rsidRPr="003622BB" w:rsidRDefault="0014612C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fin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évaluer les difficultés rencontrées par les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tats membres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ayan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t déjà présenté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ou souhaita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nt présenter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 CDI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une proposition de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lastRenderedPageBreak/>
              <w:t xml:space="preserve">projet pour le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développement, un questionnaire a été élaboré et envoyé aux missions permanentes établies à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G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enève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ainsi qu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aux offices de propriété intellectuelle (offices de propriété industrielle et bureaux du droit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auteur) des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États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membres de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OMPI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entre août et septembre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2020. 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 questionnaire visait à identifier les domaines dans lesquels les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États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membres avaient besoin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une aide accrue de la part de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, ainsi que les différents aspects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dont il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était </w:t>
            </w:r>
            <w:r w:rsidR="00C308EE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important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que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 CDI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 ti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enne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compte pour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examen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une proposition de projet.</w:t>
            </w:r>
          </w:p>
          <w:p w:rsidR="005D5BCE" w:rsidRPr="003622BB" w:rsidRDefault="0014612C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rente et un (31) destinataires ont complété entièrement le questionnaire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et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48%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entre eux (15 répondants) représentaient des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États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membres ayant déjà élaboré dans le passé une proposition de projet pour examen par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 C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DIP.  Un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 description plus détaillée des conclusions du questionnaire a été présent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ée dans le R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apport sur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état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avancement des projets figurant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annexe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III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du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document CD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/26/2.</w:t>
            </w:r>
          </w:p>
          <w:p w:rsidR="00DB389A" w:rsidRPr="003622BB" w:rsidRDefault="0014612C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es résultats du questionnaire complètent les éléments reçus pendant les consultations et ont été pris en considération lors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élaboration du matériel de support.</w:t>
            </w:r>
          </w:p>
          <w:p w:rsidR="005D5BCE" w:rsidRPr="003622BB" w:rsidRDefault="0014612C" w:rsidP="00C308E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spacing w:after="220"/>
              <w:ind w:left="1134" w:hanging="567"/>
              <w:rPr>
                <w:rFonts w:eastAsia="Arial"/>
                <w:b/>
                <w:bCs/>
                <w:iCs/>
                <w:szCs w:val="22"/>
                <w:lang w:val="fr-FR"/>
              </w:rPr>
            </w:pP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Résultat</w:t>
            </w:r>
            <w:r w:rsidR="00AB5BB5">
              <w:rPr>
                <w:rFonts w:eastAsia="Arial"/>
                <w:b/>
                <w:bCs/>
                <w:iCs/>
                <w:szCs w:val="22"/>
                <w:lang w:val="fr-FR"/>
              </w:rPr>
              <w:t> </w:t>
            </w: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2 – I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 xml:space="preserve">nformations complètes sur les </w:t>
            </w: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projets achevés et en cours du P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lan d</w:t>
            </w:r>
            <w:r w:rsidR="001B2C39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’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action pour le développement, sous une forme facilement consultable et conviviale.</w:t>
            </w:r>
          </w:p>
          <w:p w:rsidR="005D5BCE" w:rsidRPr="003622BB" w:rsidRDefault="0014612C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C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atalogue consultable en ligne</w:t>
            </w: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 xml:space="preserve"> des projets du P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action pour le développement et des résultats</w:t>
            </w:r>
          </w:p>
          <w:p w:rsidR="005D5BCE" w:rsidRPr="003622BB" w:rsidRDefault="0014612C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 mise au point du catalogue consultable en ligne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répertoriant les projets du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ainsi que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les résultats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 démarré par une </w:t>
            </w:r>
            <w:hyperlink r:id="rId19" w:history="1">
              <w:r w:rsidR="00C308EE">
                <w:rPr>
                  <w:rStyle w:val="Hyperlink"/>
                  <w:lang w:val="fr-FR"/>
                </w:rPr>
                <w:t>validation de la faisabilité</w:t>
              </w:r>
            </w:hyperlink>
            <w:r w:rsidR="00C308EE">
              <w:rPr>
                <w:rFonts w:eastAsia="Arial"/>
                <w:bCs/>
                <w:iCs/>
                <w:color w:val="000000"/>
                <w:szCs w:val="22"/>
                <w:lang w:val="fr-FR" w:eastAsia="en-US"/>
              </w:rPr>
              <w:t xml:space="preserve"> e</w:t>
            </w:r>
            <w:r w:rsidR="005844C7" w:rsidRPr="003622BB">
              <w:rPr>
                <w:rFonts w:eastAsia="Arial"/>
                <w:bCs/>
                <w:iCs/>
                <w:color w:val="000000"/>
                <w:szCs w:val="22"/>
                <w:lang w:val="fr-FR" w:eastAsia="en-US"/>
              </w:rPr>
              <w:t xml:space="preserve">ffectuée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par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 début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année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2020. 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on objectif était de définir les principales caractéristiques attendues de la nouvelle plateforme et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estimer la charge de travail.  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 document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hyperlink r:id="rId20" w:history="1">
              <w:r w:rsidRPr="003622BB">
                <w:rPr>
                  <w:rStyle w:val="Hyperlink"/>
                  <w:lang w:val="fr-FR"/>
                </w:rPr>
                <w:t>CDIP/</w:t>
              </w:r>
              <w:r w:rsidR="005844C7" w:rsidRPr="003622BB">
                <w:rPr>
                  <w:rStyle w:val="Hyperlink"/>
                  <w:lang w:val="fr-FR"/>
                </w:rPr>
                <w:t>25/</w:t>
              </w:r>
              <w:r w:rsidR="003C48D3" w:rsidRPr="003622BB">
                <w:rPr>
                  <w:rStyle w:val="Hyperlink"/>
                  <w:lang w:val="fr-FR"/>
                </w:rPr>
                <w:t>INF</w:t>
              </w:r>
              <w:r w:rsidR="005844C7" w:rsidRPr="003622BB">
                <w:rPr>
                  <w:rStyle w:val="Hyperlink"/>
                  <w:lang w:val="fr-FR"/>
                </w:rPr>
                <w:t xml:space="preserve">/2 </w:t>
              </w:r>
            </w:hyperlink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 été présenté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 CDI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lors de sa vingt</w:t>
            </w:r>
            <w:r w:rsidR="008A7AE5">
              <w:rPr>
                <w:rFonts w:eastAsia="Arial"/>
                <w:bCs/>
                <w:iCs/>
                <w:szCs w:val="22"/>
                <w:lang w:val="fr-FR" w:eastAsia="en-US"/>
              </w:rPr>
              <w:noBreakHyphen/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cinqu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ième session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tenue en</w:t>
            </w:r>
            <w:r w:rsidR="005844C7" w:rsidRPr="003622BB">
              <w:rPr>
                <w:rFonts w:eastAsia="Arial"/>
                <w:bCs/>
                <w:iCs/>
                <w:color w:val="808080"/>
                <w:szCs w:val="22"/>
                <w:lang w:val="fr-FR" w:eastAsia="en-US"/>
              </w:rPr>
              <w:t xml:space="preserve">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novembre 20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20. 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 présente les principales caractéristiques du catalogue en ligne, identifie le public visé pour son utilisation et comprend quelques captures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écran permettant de mieux visualiser les fonctions de recherche et les filtres du nouvel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instrument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en lig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ne.  Le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É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tats membres ont pris note de la validation de la faisabilité telle qu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elle est proposée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et ont adressé des commentaires au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ecrétariat,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ont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il a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été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tenu compte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pour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élaboration du catalogue.</w:t>
            </w:r>
          </w:p>
          <w:p w:rsidR="005D5BCE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 version anglaise du catalogue a été lancée en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octobre 20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21. 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 catalogue a été finalisé dans les six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langues officielles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ONU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en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mai 20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22, 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 il est disponible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adresse </w:t>
            </w:r>
            <w:hyperlink r:id="rId21" w:history="1">
              <w:r w:rsidR="00C308EE">
                <w:rPr>
                  <w:rStyle w:val="Hyperlink"/>
                  <w:lang w:val="fr-FR"/>
                </w:rPr>
                <w:t>https://dacatalogue.wipo.int</w:t>
              </w:r>
            </w:hyperlink>
            <w:r w:rsidR="00C308EE" w:rsidRPr="00C308EE">
              <w:rPr>
                <w:rStyle w:val="Hyperlink"/>
                <w:color w:val="auto"/>
                <w:u w:val="none"/>
                <w:lang w:val="fr-FR"/>
              </w:rPr>
              <w:t>.</w:t>
            </w:r>
          </w:p>
          <w:p w:rsidR="00DB389A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ne démonstration du catalogue a été faite lors de la vingt</w:t>
            </w:r>
            <w:r w:rsidR="008A7AE5">
              <w:rPr>
                <w:rFonts w:eastAsia="Arial"/>
                <w:bCs/>
                <w:iCs/>
                <w:szCs w:val="22"/>
                <w:lang w:val="fr-FR" w:eastAsia="en-US"/>
              </w:rPr>
              <w:noBreakHyphen/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huit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ième session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du CDI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qui 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est tenue en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mai 20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22.</w:t>
            </w:r>
          </w:p>
          <w:p w:rsidR="005D5BCE" w:rsidRPr="003622BB" w:rsidRDefault="008E7F70" w:rsidP="00C308E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spacing w:after="220"/>
              <w:ind w:left="1134" w:hanging="567"/>
              <w:rPr>
                <w:rFonts w:eastAsia="Arial"/>
                <w:b/>
                <w:bCs/>
                <w:iCs/>
                <w:szCs w:val="22"/>
                <w:lang w:val="fr-FR"/>
              </w:rPr>
            </w:pP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Résultat</w:t>
            </w:r>
            <w:r w:rsidR="00AB5BB5">
              <w:rPr>
                <w:rFonts w:eastAsia="Arial"/>
                <w:b/>
                <w:bCs/>
                <w:iCs/>
                <w:szCs w:val="22"/>
                <w:lang w:val="fr-FR"/>
              </w:rPr>
              <w:t> </w:t>
            </w: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3 – É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laboration d</w:t>
            </w:r>
            <w:r w:rsidR="001B2C39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’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un guide écrit et d</w:t>
            </w:r>
            <w:r w:rsidR="001B2C39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’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 xml:space="preserve">autres documents de référence permettant aux </w:t>
            </w: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É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 xml:space="preserve">tats membres de mieux comprendre comment élaborer une proposition de projet, les étapes à suivre et les facteurs 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lastRenderedPageBreak/>
              <w:t>essentiels contribuant à la bonne mise en œuvre d</w:t>
            </w:r>
            <w:r w:rsidR="001B2C39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’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un projet qui a été approuvé.</w:t>
            </w:r>
          </w:p>
          <w:p w:rsidR="005D5BCE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G</w:t>
            </w:r>
            <w:r w:rsidR="005844C7"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uide pour l</w:t>
            </w:r>
            <w:r w:rsidR="001B2C39"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="005844C7"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 xml:space="preserve">établissement, la mise en œuvre </w:t>
            </w:r>
            <w:r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et l</w:t>
            </w:r>
            <w:r w:rsidR="001B2C39"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évaluation des projets du P</w:t>
            </w:r>
            <w:r w:rsidR="005844C7"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lan d</w:t>
            </w:r>
            <w:r w:rsidR="001B2C39"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="005844C7" w:rsidRPr="00C308EE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action pour le développement</w:t>
            </w:r>
            <w:r w:rsidR="00822273" w:rsidRPr="003622BB">
              <w:rPr>
                <w:rStyle w:val="FootnoteReference"/>
                <w:rFonts w:eastAsia="Arial"/>
                <w:bCs/>
                <w:iCs/>
                <w:szCs w:val="22"/>
                <w:u w:val="single"/>
                <w:lang w:val="fr-FR" w:eastAsia="en-US"/>
              </w:rPr>
              <w:footnoteReference w:id="4"/>
            </w:r>
          </w:p>
          <w:p w:rsidR="00DB389A" w:rsidRPr="003622BB" w:rsidRDefault="008E7F70" w:rsidP="00C308EE">
            <w:pPr>
              <w:autoSpaceDE w:val="0"/>
              <w:autoSpaceDN w:val="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G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uide pour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établissement, la mise en œuvre et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évaluation des projets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a été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un des principaux résultats du proj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et.  Le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guide se compose de trois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parties principales ciblant les trois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pr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incipaux groupes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utilisateurs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i)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les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tats membres; 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ii)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les gestionnaires de projets; 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et iii)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les évaluateurs externes.</w:t>
            </w:r>
          </w:p>
          <w:p w:rsidR="005D5BCE" w:rsidRPr="003622BB" w:rsidRDefault="005D5BCE" w:rsidP="00C308EE">
            <w:pPr>
              <w:autoSpaceDE w:val="0"/>
              <w:autoSpaceDN w:val="0"/>
              <w:rPr>
                <w:rFonts w:eastAsia="Arial"/>
                <w:bCs/>
                <w:iCs/>
                <w:szCs w:val="22"/>
                <w:lang w:val="fr-FR" w:eastAsia="en-US"/>
              </w:rPr>
            </w:pPr>
          </w:p>
          <w:p w:rsidR="00DB389A" w:rsidRPr="003622BB" w:rsidRDefault="008E7F70" w:rsidP="00C308EE">
            <w:pPr>
              <w:autoSpaceDE w:val="0"/>
              <w:autoSpaceDN w:val="0"/>
              <w:spacing w:after="24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 fournit des informations et des conseils détaillés sur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ensemble du cycle de vie des projets relevant du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pour le développement, 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à savoir :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la conception,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établissement, la mise en œuvre, le suivi et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évaluation.</w:t>
            </w:r>
          </w:p>
          <w:p w:rsidR="00DB389A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 guide est disponible dans les six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langues officielles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ONU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sur la page du catalogue consacrée aux projets,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adresse </w:t>
            </w:r>
            <w:hyperlink r:id="rId22" w:history="1">
              <w:r w:rsidR="004E4C86" w:rsidRPr="003622BB">
                <w:rPr>
                  <w:rStyle w:val="Hyperlink"/>
                  <w:lang w:val="fr-FR"/>
                </w:rPr>
                <w:t>https:</w:t>
              </w:r>
              <w:r w:rsidR="005844C7" w:rsidRPr="003622BB">
                <w:rPr>
                  <w:rStyle w:val="Hyperlink"/>
                  <w:lang w:val="fr-FR"/>
                </w:rPr>
                <w:t>//dacatalogue.wipo.int/projects/da_01_05_01</w:t>
              </w:r>
            </w:hyperlink>
            <w:r w:rsidR="005844C7" w:rsidRPr="00C308EE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DB389A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F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 xml:space="preserve">ormulaires relatifs aux projets relevant du </w:t>
            </w: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Pl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an d</w:t>
            </w:r>
            <w:r w:rsidR="001B2C39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action pour le développement</w:t>
            </w:r>
          </w:p>
          <w:p w:rsidR="00DB389A" w:rsidRPr="003622BB" w:rsidRDefault="008E7F70" w:rsidP="00C308EE">
            <w:pPr>
              <w:autoSpaceDE w:val="0"/>
              <w:autoSpaceDN w:val="0"/>
              <w:spacing w:before="1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our compléter le guide et faciliter la tâche des</w:t>
            </w:r>
          </w:p>
          <w:p w:rsidR="00DB389A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États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membres et du personnel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participant à la mise en œuvre des projets relevant du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tous les modèles pertinents ont été révisés ou mis à jo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ur.  Le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formulaires ont été mis à disposition dans les six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langues officielles de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ONU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adresse </w:t>
            </w:r>
            <w:hyperlink r:id="rId23" w:history="1">
              <w:r w:rsidR="004E4C86" w:rsidRPr="003622BB">
                <w:rPr>
                  <w:rStyle w:val="Hyperlink"/>
                  <w:lang w:val="fr-FR"/>
                </w:rPr>
                <w:t>https:</w:t>
              </w:r>
              <w:r w:rsidR="005844C7" w:rsidRPr="003622BB">
                <w:rPr>
                  <w:rStyle w:val="Hyperlink"/>
                  <w:lang w:val="fr-FR"/>
                </w:rPr>
                <w:t>//dacatalogue.wipo.int/projects/da_01_05_01</w:t>
              </w:r>
            </w:hyperlink>
            <w:r w:rsidR="005844C7" w:rsidRPr="00C308EE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DB389A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utre les formulaires, afin de faciliter,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harmoniser et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appuyer plus avant la tâche des gestionnaires des projets relevant du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équipe a élaboré quelques listes de contrô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le.  Ce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lles</w:t>
            </w:r>
            <w:r w:rsidR="008A7AE5">
              <w:rPr>
                <w:rFonts w:eastAsia="Arial"/>
                <w:bCs/>
                <w:iCs/>
                <w:szCs w:val="22"/>
                <w:lang w:val="fr-FR" w:eastAsia="en-US"/>
              </w:rPr>
              <w:noBreakHyphen/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ci sont partagées avec chaque responsable de projet, au cas par cas, à différentes étapes de la mise en œuvre du projet.</w:t>
            </w:r>
          </w:p>
          <w:p w:rsidR="005D5BCE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C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ours d</w:t>
            </w:r>
            <w:r w:rsidR="001B2C39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enseignement à distance</w:t>
            </w:r>
          </w:p>
          <w:p w:rsidR="00DB389A" w:rsidRDefault="008E7F70" w:rsidP="00C308EE">
            <w:pPr>
              <w:autoSpaceDE w:val="0"/>
              <w:autoSpaceDN w:val="0"/>
              <w:spacing w:before="1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 coordination avec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académie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équipe du projet a mis au point un cours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enseignement à distance spécialisé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concernant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les projets réussis du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nt.  Ce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cours a été mis au point en 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appuyant sur le guide, afin de fournir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une manière plus pratique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des informations supplémentaires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concernant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 cycle de vie des projets axés sur le développement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MPI.  Il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vise à développer les compétences qui permettront aux participants de conceptualiser, établir, mettre en œuvre, suivre, évaluer et diffuser les résultats des proje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ts.  Le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cours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peut être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suivi à un rythme individuel et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est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encadré par un formateur.</w:t>
            </w:r>
          </w:p>
          <w:p w:rsidR="00C308EE" w:rsidRPr="003622BB" w:rsidRDefault="00C308EE" w:rsidP="00C308EE">
            <w:pPr>
              <w:autoSpaceDE w:val="0"/>
              <w:autoSpaceDN w:val="0"/>
              <w:spacing w:before="1"/>
              <w:rPr>
                <w:rFonts w:eastAsia="Arial"/>
                <w:bCs/>
                <w:iCs/>
                <w:szCs w:val="22"/>
                <w:lang w:val="fr-FR" w:eastAsia="en-US"/>
              </w:rPr>
            </w:pPr>
          </w:p>
          <w:p w:rsidR="005D5BCE" w:rsidRPr="003622BB" w:rsidRDefault="008E7F70" w:rsidP="00C308EE">
            <w:pPr>
              <w:autoSpaceDE w:val="0"/>
              <w:autoSpaceDN w:val="0"/>
              <w:spacing w:before="1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 cours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enseignement à distance a été lancé auprès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un groupe pilote sélectionné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représentant les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tats membres de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, des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chefs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lastRenderedPageBreak/>
              <w:t>de projet du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et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autres collègues intern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es.  La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phase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essai a eu lieu du 2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3 mai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au 3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1 août 20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22. 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équipe recueillera les réactions des 25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articipants à la session pilo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te.  Il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en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sera tenu compte avant le lancement de la prochaine session, en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janvier 20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23. 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 plus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être accessible aux É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tats membres et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au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personnel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,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cette session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sera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proposée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 grand public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sur inscripti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on.  Pa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r ailleurs, en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plus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être proposé lors d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 la session annuelle ordinaire, ce cours sera dispensé sur une base </w:t>
            </w:r>
            <w:r w:rsidR="005844C7" w:rsidRPr="003622BB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ad</w:t>
            </w:r>
            <w:r w:rsidR="004E4C86" w:rsidRPr="003622BB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/>
                <w:iCs/>
                <w:szCs w:val="22"/>
                <w:lang w:val="fr-FR" w:eastAsia="en-US"/>
              </w:rPr>
              <w:t>hoc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aux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États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membres,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sur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demande.</w:t>
            </w:r>
          </w:p>
          <w:p w:rsidR="005D5BCE" w:rsidRPr="003622BB" w:rsidRDefault="005D5BCE" w:rsidP="00C308EE">
            <w:pPr>
              <w:autoSpaceDE w:val="0"/>
              <w:autoSpaceDN w:val="0"/>
              <w:spacing w:before="1"/>
              <w:rPr>
                <w:rFonts w:eastAsia="Arial"/>
                <w:bCs/>
                <w:iCs/>
                <w:szCs w:val="22"/>
                <w:lang w:val="fr-FR" w:eastAsia="en-US"/>
              </w:rPr>
            </w:pPr>
          </w:p>
          <w:p w:rsidR="005D5BCE" w:rsidRPr="003622BB" w:rsidRDefault="008E7F70" w:rsidP="00C308E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spacing w:after="220"/>
              <w:ind w:left="1134" w:hanging="567"/>
              <w:rPr>
                <w:rFonts w:eastAsia="Arial"/>
                <w:b/>
                <w:bCs/>
                <w:iCs/>
                <w:szCs w:val="22"/>
                <w:lang w:val="fr-FR"/>
              </w:rPr>
            </w:pP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R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ésultat</w:t>
            </w:r>
            <w:r w:rsidR="00AB5BB5">
              <w:rPr>
                <w:rFonts w:eastAsia="Arial"/>
                <w:b/>
                <w:bCs/>
                <w:iCs/>
                <w:szCs w:val="22"/>
                <w:lang w:val="fr-FR"/>
              </w:rPr>
              <w:t> 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 xml:space="preserve">4 – </w:t>
            </w:r>
            <w:r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G</w:t>
            </w:r>
            <w:r w:rsidR="005844C7" w:rsidRPr="003622BB">
              <w:rPr>
                <w:rFonts w:eastAsia="Arial"/>
                <w:b/>
                <w:bCs/>
                <w:iCs/>
                <w:szCs w:val="22"/>
                <w:lang w:val="fr-FR"/>
              </w:rPr>
              <w:t>uide diffusé et utilisation des ressources supplémentaires facilitée.</w:t>
            </w:r>
          </w:p>
          <w:p w:rsidR="005D5BCE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S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upports d</w:t>
            </w:r>
            <w:r w:rsidR="001B2C39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information et diffusion</w:t>
            </w:r>
          </w:p>
          <w:p w:rsidR="00DB389A" w:rsidRPr="003622BB" w:rsidRDefault="008E7F70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our compléter les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instruments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susmentionnés,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autres supports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information ont également été élaborés, 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à savoir :</w:t>
            </w:r>
          </w:p>
          <w:p w:rsidR="00DB389A" w:rsidRPr="008A7AE5" w:rsidRDefault="00C308EE" w:rsidP="00C308EE">
            <w:pPr>
              <w:numPr>
                <w:ilvl w:val="0"/>
                <w:numId w:val="29"/>
              </w:numPr>
              <w:autoSpaceDE w:val="0"/>
              <w:autoSpaceDN w:val="0"/>
              <w:spacing w:before="1" w:after="220"/>
              <w:ind w:left="0"/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</w:pPr>
            <w:r>
              <w:rPr>
                <w:rFonts w:eastAsia="Arial"/>
                <w:bCs/>
                <w:iCs/>
                <w:szCs w:val="22"/>
                <w:lang w:val="fr-FR" w:eastAsia="en-US"/>
              </w:rPr>
              <w:t>–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>
              <w:rPr>
                <w:rFonts w:eastAsia="Arial"/>
                <w:bCs/>
                <w:iCs/>
                <w:szCs w:val="22"/>
                <w:lang w:val="fr-FR" w:eastAsia="en-US"/>
              </w:rPr>
              <w:t>D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eux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courtes vidéos expliquant, étape par étape, comment élaborer une proposition de projet relevant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et la faire approuver par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 C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DIP.  Le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vidéos sont disponibles dans les six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langues officielles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ONU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adresse </w:t>
            </w:r>
            <w:hyperlink r:id="rId24" w:history="1">
              <w:r w:rsidR="003C48D3" w:rsidRPr="003622BB">
                <w:rPr>
                  <w:rStyle w:val="Hyperlink"/>
                  <w:lang w:val="fr-FR"/>
                </w:rPr>
                <w:t>https://www.wipo.int/ip</w:t>
              </w:r>
              <w:r w:rsidR="008A7AE5">
                <w:rPr>
                  <w:rStyle w:val="Hyperlink"/>
                  <w:lang w:val="fr-FR"/>
                </w:rPr>
                <w:noBreakHyphen/>
              </w:r>
              <w:r w:rsidR="003C48D3" w:rsidRPr="003622BB">
                <w:rPr>
                  <w:rStyle w:val="Hyperlink"/>
                  <w:lang w:val="fr-FR"/>
                </w:rPr>
                <w:t>development/fr/agenda/</w:t>
              </w:r>
            </w:hyperlink>
            <w:r w:rsidR="005844C7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DB389A" w:rsidRPr="003622BB" w:rsidRDefault="00C308EE" w:rsidP="00C308EE">
            <w:pPr>
              <w:numPr>
                <w:ilvl w:val="0"/>
                <w:numId w:val="29"/>
              </w:numPr>
              <w:autoSpaceDE w:val="0"/>
              <w:autoSpaceDN w:val="0"/>
              <w:spacing w:before="1" w:after="220"/>
              <w:ind w:left="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>
              <w:rPr>
                <w:rFonts w:eastAsia="Arial"/>
                <w:bCs/>
                <w:iCs/>
                <w:szCs w:val="22"/>
                <w:lang w:val="fr-FR" w:eastAsia="en-US"/>
              </w:rPr>
              <w:t>–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T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rois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infographies mettant en évidence les éléments du guide jugés importants pour le public cib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le.  Ce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infographies couvrent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i)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 cycle de vie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un projet relevant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développement; 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ii)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les termes et notions clés en matière de gestion de projet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; 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et iii)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une liste de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“c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hoses à faire et à ne pas fair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e”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. 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es infographies sont disponibles dans les six</w:t>
            </w:r>
            <w:r w:rsidR="004E4C86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langues officielles de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ONU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à 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adresse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</w:t>
            </w:r>
            <w:hyperlink r:id="rId25" w:history="1">
              <w:r w:rsidR="004E4C86" w:rsidRPr="003622BB">
                <w:rPr>
                  <w:rStyle w:val="Hyperlink"/>
                  <w:lang w:val="fr-FR"/>
                </w:rPr>
                <w:t>https:</w:t>
              </w:r>
              <w:r w:rsidR="005844C7" w:rsidRPr="003622BB">
                <w:rPr>
                  <w:rStyle w:val="Hyperlink"/>
                  <w:lang w:val="fr-FR"/>
                </w:rPr>
                <w:t>//dacatalogue.wipo.int/projects/da_01_05_01</w:t>
              </w:r>
            </w:hyperlink>
            <w:r w:rsidR="005844C7" w:rsidRPr="008A7AE5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400943" w:rsidRPr="003622BB" w:rsidRDefault="00C308EE" w:rsidP="00C308EE">
            <w:pPr>
              <w:autoSpaceDE w:val="0"/>
              <w:autoSpaceDN w:val="0"/>
              <w:spacing w:before="1"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>
              <w:rPr>
                <w:rFonts w:eastAsia="Arial"/>
                <w:bCs/>
                <w:iCs/>
                <w:szCs w:val="22"/>
                <w:lang w:val="fr-FR" w:eastAsia="en-US"/>
              </w:rPr>
              <w:t>–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our diffuser les nouveaux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instruments, un atelier sur le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cycle révisé de mise en œuvre des projets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 a eu lieu le 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6 avril 20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22.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objectif de cet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atelier était de présenter aux gestionnaires et aux responsables de projets du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action pour le développement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 G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uide pour la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établissement, la mise en œuvre et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évaluation des projets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du Pl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développement,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expliquer la méthodologie révisée du cycle de mise en œuvre et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informer sur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les nouveaux </w:t>
            </w:r>
            <w:r w:rsidR="008E7F7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instruments 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disponibl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es.  Le</w:t>
            </w:r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B807B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programme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B807B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atelier est disponible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B807B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adres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>s</w:t>
            </w:r>
            <w:r w:rsidR="00B807BC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 </w:t>
            </w:r>
            <w:hyperlink r:id="rId26" w:history="1">
              <w:r w:rsidR="004E4C86" w:rsidRPr="003622BB">
                <w:rPr>
                  <w:rStyle w:val="Hyperlink"/>
                  <w:lang w:val="fr-FR"/>
                </w:rPr>
                <w:t>https:</w:t>
              </w:r>
              <w:r w:rsidR="005844C7" w:rsidRPr="003622BB">
                <w:rPr>
                  <w:rStyle w:val="Hyperlink"/>
                  <w:rFonts w:eastAsia="Arial"/>
                  <w:bCs/>
                  <w:iCs/>
                  <w:szCs w:val="22"/>
                  <w:lang w:val="fr-FR" w:eastAsia="en-US"/>
                </w:rPr>
                <w:t>//dacatalogue.wipo.int/projects/DA_01_05_01</w:t>
              </w:r>
            </w:hyperlink>
            <w:r w:rsidR="005844C7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</w:tc>
      </w:tr>
      <w:tr w:rsidR="00400943" w:rsidRPr="003622BB" w:rsidTr="00E53CB9">
        <w:trPr>
          <w:trHeight w:val="879"/>
        </w:trPr>
        <w:tc>
          <w:tcPr>
            <w:tcW w:w="1227" w:type="pct"/>
            <w:shd w:val="clear" w:color="auto" w:fill="8DB3E1"/>
            <w:vAlign w:val="center"/>
          </w:tcPr>
          <w:p w:rsidR="00400943" w:rsidRPr="003622BB" w:rsidRDefault="00400943" w:rsidP="00E53CB9">
            <w:pPr>
              <w:keepLines/>
              <w:spacing w:before="240" w:after="12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lastRenderedPageBreak/>
              <w:t>Principaux résultats et effets du projet</w:t>
            </w:r>
          </w:p>
        </w:tc>
        <w:tc>
          <w:tcPr>
            <w:tcW w:w="3773" w:type="pct"/>
          </w:tcPr>
          <w:p w:rsidR="00DB389A" w:rsidRPr="003622BB" w:rsidRDefault="005844C7" w:rsidP="00E53CB9">
            <w:pPr>
              <w:keepLines/>
              <w:autoSpaceDE w:val="0"/>
              <w:autoSpaceDN w:val="0"/>
              <w:spacing w:before="74"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Le projet a permis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obtenir les résultats escomptés (guide, catalogue en ligne et cours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enseignement à distance) et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impliquer les parties prenantes concernées (représentants des États membres, personnel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OMPI et experts en propriété intellectuelle et en développement).</w:t>
            </w:r>
          </w:p>
          <w:p w:rsidR="005D5BCE" w:rsidRPr="003622BB" w:rsidRDefault="003D0101" w:rsidP="00E53CB9">
            <w:pPr>
              <w:keepLines/>
              <w:autoSpaceDE w:val="0"/>
              <w:autoSpaceDN w:val="0"/>
              <w:spacing w:before="74"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lastRenderedPageBreak/>
              <w:t>S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il est trop tôt pour évaluer la mesure dans laquelle le projet a atteint son objectif général, qui est de 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>“f</w:t>
            </w:r>
            <w:r w:rsidRPr="003622BB">
              <w:rPr>
                <w:rFonts w:eastAsia="Arial"/>
                <w:szCs w:val="22"/>
                <w:lang w:val="fr-FR" w:eastAsia="en-US"/>
              </w:rPr>
              <w:t>aciliter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élaboration des propositions de projet des États membres</w:t>
            </w:r>
            <w:r w:rsidR="00B807BC" w:rsidRPr="003622BB">
              <w:rPr>
                <w:rFonts w:eastAsia="Arial"/>
                <w:szCs w:val="22"/>
                <w:lang w:val="fr-FR" w:eastAsia="en-US"/>
              </w:rPr>
              <w:t>,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pour examen</w:t>
            </w:r>
            <w:r w:rsidR="00B807BC"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  <w:r w:rsidRPr="003622BB">
              <w:rPr>
                <w:rFonts w:eastAsia="Arial"/>
                <w:szCs w:val="22"/>
                <w:lang w:val="fr-FR" w:eastAsia="en-US"/>
              </w:rPr>
              <w:t>par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 xml:space="preserve"> le CDI</w:t>
            </w:r>
            <w:r w:rsidRPr="003622BB">
              <w:rPr>
                <w:rFonts w:eastAsia="Arial"/>
                <w:szCs w:val="22"/>
                <w:lang w:val="fr-FR" w:eastAsia="en-US"/>
              </w:rPr>
              <w:t>P</w:t>
            </w:r>
            <w:r w:rsidR="00B807BC" w:rsidRPr="003622BB">
              <w:rPr>
                <w:rFonts w:eastAsia="Arial"/>
                <w:szCs w:val="22"/>
                <w:lang w:val="fr-FR" w:eastAsia="en-US"/>
              </w:rPr>
              <w:t>,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et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accroître la rigueur initiale des propositions présentées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 xml:space="preserve"> au CDIP”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, il est clair que les outils, les formations au renforcement des capacités </w:t>
            </w:r>
            <w:r w:rsidR="00B807BC" w:rsidRPr="003622BB">
              <w:rPr>
                <w:rFonts w:eastAsia="Arial"/>
                <w:szCs w:val="22"/>
                <w:lang w:val="fr-FR" w:eastAsia="en-US"/>
              </w:rPr>
              <w:t>ainsi que le soutien accru apporté par la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Division de la coordination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action pour le développement aux chefs de projet nouvellement nommés </w:t>
            </w:r>
            <w:r w:rsidR="00B807BC" w:rsidRPr="003622BB">
              <w:rPr>
                <w:rFonts w:eastAsia="Arial"/>
                <w:szCs w:val="22"/>
                <w:lang w:val="fr-FR" w:eastAsia="en-US"/>
              </w:rPr>
              <w:t>ont déjà eu un impact positif, notamment pour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 :</w:t>
            </w:r>
          </w:p>
          <w:p w:rsidR="00DB389A" w:rsidRPr="003622BB" w:rsidRDefault="00B807BC" w:rsidP="00E53CB9">
            <w:pPr>
              <w:keepLines/>
              <w:numPr>
                <w:ilvl w:val="0"/>
                <w:numId w:val="30"/>
              </w:numPr>
              <w:autoSpaceDE w:val="0"/>
              <w:autoSpaceDN w:val="0"/>
              <w:spacing w:before="74" w:after="120"/>
              <w:ind w:left="1064" w:hanging="497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a</w:t>
            </w:r>
            <w:r w:rsidR="003D0101" w:rsidRPr="003622BB">
              <w:rPr>
                <w:rFonts w:eastAsia="Arial"/>
                <w:szCs w:val="22"/>
                <w:lang w:val="fr-FR" w:eastAsia="en-US"/>
              </w:rPr>
              <w:t>ssurer une meilleure coordination du projet par les personnes impliquées dans sa mise en œuvre;</w:t>
            </w:r>
          </w:p>
          <w:p w:rsidR="00DB389A" w:rsidRPr="003622BB" w:rsidRDefault="00B807BC" w:rsidP="00E53CB9">
            <w:pPr>
              <w:keepLines/>
              <w:numPr>
                <w:ilvl w:val="0"/>
                <w:numId w:val="30"/>
              </w:numPr>
              <w:autoSpaceDE w:val="0"/>
              <w:autoSpaceDN w:val="0"/>
              <w:spacing w:before="74" w:after="120"/>
              <w:ind w:left="1064" w:hanging="497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f</w:t>
            </w:r>
            <w:r w:rsidR="003D0101" w:rsidRPr="003622BB">
              <w:rPr>
                <w:rFonts w:eastAsia="Arial"/>
                <w:szCs w:val="22"/>
                <w:lang w:val="fr-FR" w:eastAsia="en-US"/>
              </w:rPr>
              <w:t>aire mieux comprendre et connaître le processus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3D0101" w:rsidRPr="003622BB">
              <w:rPr>
                <w:rFonts w:eastAsia="Arial"/>
                <w:szCs w:val="22"/>
                <w:lang w:val="fr-FR" w:eastAsia="en-US"/>
              </w:rPr>
              <w:t>élaboration, de mise en œuvre et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3D0101" w:rsidRPr="003622BB">
              <w:rPr>
                <w:rFonts w:eastAsia="Arial"/>
                <w:szCs w:val="22"/>
                <w:lang w:val="fr-FR" w:eastAsia="en-US"/>
              </w:rPr>
              <w:t>évaluation des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3D0101" w:rsidRPr="003622BB">
              <w:rPr>
                <w:rFonts w:eastAsia="Arial"/>
                <w:szCs w:val="22"/>
                <w:lang w:val="fr-FR" w:eastAsia="en-US"/>
              </w:rPr>
              <w:t xml:space="preserve">action pour le développement; 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  <w:r w:rsidR="003D0101" w:rsidRPr="003622BB">
              <w:rPr>
                <w:rFonts w:eastAsia="Arial"/>
                <w:szCs w:val="22"/>
                <w:lang w:val="fr-FR" w:eastAsia="en-US"/>
              </w:rPr>
              <w:t>et</w:t>
            </w:r>
          </w:p>
          <w:p w:rsidR="00400943" w:rsidRPr="003622BB" w:rsidRDefault="00B807BC" w:rsidP="00E53CB9">
            <w:pPr>
              <w:keepLines/>
              <w:numPr>
                <w:ilvl w:val="0"/>
                <w:numId w:val="30"/>
              </w:numPr>
              <w:autoSpaceDE w:val="0"/>
              <w:autoSpaceDN w:val="0"/>
              <w:spacing w:before="74" w:after="120"/>
              <w:ind w:left="1064" w:hanging="497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préciser</w:t>
            </w:r>
            <w:r w:rsidR="003D0101" w:rsidRPr="003622BB">
              <w:rPr>
                <w:rFonts w:eastAsia="Arial"/>
                <w:szCs w:val="22"/>
                <w:lang w:val="fr-FR" w:eastAsia="en-US"/>
              </w:rPr>
              <w:t xml:space="preserve"> le niveau de responsabilité et de participation de tous les acteurs impliqués dans la mise en œuvre du projet.</w:t>
            </w:r>
            <w:r w:rsidR="00400943" w:rsidRPr="003622BB">
              <w:rPr>
                <w:rFonts w:eastAsia="Arial"/>
                <w:szCs w:val="22"/>
                <w:lang w:val="fr-FR" w:eastAsia="en-US"/>
              </w:rPr>
              <w:t xml:space="preserve">  </w:t>
            </w:r>
          </w:p>
        </w:tc>
      </w:tr>
      <w:tr w:rsidR="00400943" w:rsidRPr="003622BB" w:rsidTr="00E53CB9">
        <w:trPr>
          <w:trHeight w:val="1212"/>
        </w:trPr>
        <w:tc>
          <w:tcPr>
            <w:tcW w:w="1227" w:type="pct"/>
            <w:shd w:val="clear" w:color="auto" w:fill="8DB3E1"/>
            <w:vAlign w:val="center"/>
          </w:tcPr>
          <w:p w:rsidR="00400943" w:rsidRPr="003622BB" w:rsidRDefault="00400943" w:rsidP="00E53CB9">
            <w:pPr>
              <w:spacing w:before="24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lastRenderedPageBreak/>
              <w:t>Expérience acquise et enseignements tirés</w:t>
            </w:r>
          </w:p>
        </w:tc>
        <w:tc>
          <w:tcPr>
            <w:tcW w:w="3773" w:type="pct"/>
            <w:vAlign w:val="center"/>
          </w:tcPr>
          <w:p w:rsidR="00DB389A" w:rsidRPr="003622BB" w:rsidRDefault="005D5BCE" w:rsidP="00C308EE">
            <w:pPr>
              <w:autoSpaceDE w:val="0"/>
              <w:autoSpaceDN w:val="0"/>
              <w:spacing w:before="74" w:after="1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Les principaux enseignements tirés de la mise en œuvre du projet sont les suivants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 :</w:t>
            </w:r>
          </w:p>
          <w:p w:rsidR="005D5BCE" w:rsidRPr="003622BB" w:rsidRDefault="00471512" w:rsidP="00E53CB9">
            <w:pPr>
              <w:numPr>
                <w:ilvl w:val="0"/>
                <w:numId w:val="31"/>
              </w:numPr>
              <w:autoSpaceDE w:val="0"/>
              <w:autoSpaceDN w:val="0"/>
              <w:spacing w:before="74" w:after="120"/>
              <w:ind w:left="1064" w:hanging="497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l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a participation de toutes les parties prenantes concernées au processus de </w:t>
            </w:r>
            <w:r w:rsidRPr="003622BB">
              <w:rPr>
                <w:rFonts w:eastAsia="Arial"/>
                <w:szCs w:val="22"/>
                <w:lang w:val="fr-FR" w:eastAsia="en-US"/>
              </w:rPr>
              <w:t>mise au point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 des résultats escomptés était essentielle à la réussite du proj</w:t>
            </w:r>
            <w:r w:rsidR="003622BB" w:rsidRPr="003622BB">
              <w:rPr>
                <w:rFonts w:eastAsia="Arial"/>
                <w:szCs w:val="22"/>
                <w:lang w:val="fr-FR" w:eastAsia="en-US"/>
              </w:rPr>
              <w:t>et.  El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le a permis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adapter le contenu des instruments aux besoins précis des parties prenantes et, partant, de garantir leur pertinence</w:t>
            </w:r>
            <w:r w:rsidRPr="003622BB">
              <w:rPr>
                <w:rFonts w:eastAsia="Arial"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1"/>
              </w:numPr>
              <w:autoSpaceDE w:val="0"/>
              <w:autoSpaceDN w:val="0"/>
              <w:spacing w:before="74" w:after="120"/>
              <w:ind w:left="1064" w:hanging="497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i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l était important de prévoir une certaine marge de manœuvre dans le cadre de la stratégie de mise en œuvre du projet</w:t>
            </w:r>
            <w:r w:rsidRPr="003622BB">
              <w:rPr>
                <w:rFonts w:eastAsia="Arial"/>
                <w:szCs w:val="22"/>
                <w:lang w:val="fr-FR" w:eastAsia="en-US"/>
              </w:rPr>
              <w:t>,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 pour s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adapter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évolution des circonstances, en particulier compte tenu des effets de la pandémie de COVID</w:t>
            </w:r>
            <w:r w:rsidR="008A7AE5">
              <w:rPr>
                <w:rFonts w:eastAsia="Arial"/>
                <w:szCs w:val="22"/>
                <w:lang w:val="fr-FR" w:eastAsia="en-US"/>
              </w:rPr>
              <w:noBreakHyphen/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19</w:t>
            </w:r>
            <w:r w:rsidRPr="003622BB">
              <w:rPr>
                <w:rFonts w:eastAsia="Arial"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1"/>
              </w:numPr>
              <w:autoSpaceDE w:val="0"/>
              <w:autoSpaceDN w:val="0"/>
              <w:spacing w:before="74" w:after="120"/>
              <w:ind w:left="1064" w:hanging="497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l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 mise au point de supports supplémentaires pour aider à faire mieux connaître les informations clés liées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élaboration des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action pour le développement s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est avérée très utile pour les groupes de parties prenantes recens</w:t>
            </w:r>
            <w:r w:rsidR="003622BB" w:rsidRPr="003622BB">
              <w:rPr>
                <w:rFonts w:eastAsia="Arial"/>
                <w:szCs w:val="22"/>
                <w:lang w:val="fr-FR" w:eastAsia="en-US"/>
              </w:rPr>
              <w:t>és.  Le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s vidéos et infographies contiennent des informations clés dans un format convivial et facile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accès</w:t>
            </w:r>
            <w:r w:rsidRPr="003622BB">
              <w:rPr>
                <w:rFonts w:eastAsia="Arial"/>
                <w:szCs w:val="22"/>
                <w:lang w:val="fr-FR" w:eastAsia="en-US"/>
              </w:rPr>
              <w:t>;</w:t>
            </w:r>
          </w:p>
          <w:p w:rsidR="00400943" w:rsidRPr="003622BB" w:rsidRDefault="00471512" w:rsidP="00E53CB9">
            <w:pPr>
              <w:numPr>
                <w:ilvl w:val="0"/>
                <w:numId w:val="31"/>
              </w:numPr>
              <w:autoSpaceDE w:val="0"/>
              <w:autoSpaceDN w:val="0"/>
              <w:spacing w:before="74" w:after="120"/>
              <w:ind w:left="1064" w:hanging="497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organisation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atelier </w:t>
            </w:r>
            <w:r w:rsidRPr="003622BB">
              <w:rPr>
                <w:rFonts w:eastAsia="Arial"/>
                <w:szCs w:val="22"/>
                <w:lang w:val="fr-FR" w:eastAsia="en-US"/>
              </w:rPr>
              <w:t>tenu pour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 présenter aux gestionnaires et aux responsables de projets le Guide pour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établissement, la mise en œuvre et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évaluation des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action pour le développement, en </w:t>
            </w:r>
            <w:r w:rsidRPr="003622BB">
              <w:rPr>
                <w:rFonts w:eastAsia="Arial"/>
                <w:szCs w:val="22"/>
                <w:lang w:val="fr-FR" w:eastAsia="en-US"/>
              </w:rPr>
              <w:t>afin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expliquer la méthodologie révisée du cycle de mise en œuvre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action pour le développement et de faire connaître les nouveaux instruments de mise en œuvre des projets</w:t>
            </w:r>
            <w:r w:rsidRPr="003622BB">
              <w:rPr>
                <w:rFonts w:eastAsia="Arial"/>
                <w:szCs w:val="22"/>
                <w:lang w:val="fr-FR" w:eastAsia="en-US"/>
              </w:rPr>
              <w:t>,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 s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est avérée être un moyen efficace de diffuser les résultats du projet, mais aussi de créer un environnement propice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échange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informations entre pairs.</w:t>
            </w:r>
            <w:r w:rsidR="00400943"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</w:p>
        </w:tc>
      </w:tr>
      <w:tr w:rsidR="00C20330" w:rsidRPr="003622BB" w:rsidTr="004C0DB5">
        <w:trPr>
          <w:trHeight w:val="1212"/>
        </w:trPr>
        <w:tc>
          <w:tcPr>
            <w:tcW w:w="1227" w:type="pct"/>
            <w:shd w:val="clear" w:color="auto" w:fill="8DB3E1"/>
            <w:vAlign w:val="center"/>
          </w:tcPr>
          <w:p w:rsidR="00C20330" w:rsidRPr="003622BB" w:rsidRDefault="005D5BCE" w:rsidP="00C308EE">
            <w:pPr>
              <w:autoSpaceDE w:val="0"/>
              <w:autoSpaceDN w:val="0"/>
              <w:spacing w:before="1" w:after="220"/>
              <w:ind w:left="11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u w:val="single"/>
                <w:lang w:val="fr-FR" w:eastAsia="en-US"/>
              </w:rPr>
              <w:t>Risques et atténuation des risques</w:t>
            </w:r>
          </w:p>
        </w:tc>
        <w:tc>
          <w:tcPr>
            <w:tcW w:w="3773" w:type="pct"/>
            <w:vAlign w:val="center"/>
          </w:tcPr>
          <w:p w:rsidR="005D5BCE" w:rsidRPr="003622BB" w:rsidRDefault="005D5BCE" w:rsidP="00C308EE">
            <w:pPr>
              <w:autoSpaceDE w:val="0"/>
              <w:autoSpaceDN w:val="0"/>
              <w:spacing w:before="1"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Les deux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risques suivants, identifiés dans le document de projet, ont été rencontrés lors de la mise en œuvre du projet et ont été traités par des stratégies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 xml:space="preserve">atténuation adaptées, 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à savoir :</w:t>
            </w:r>
          </w:p>
          <w:p w:rsidR="00DB389A" w:rsidRPr="003622BB" w:rsidRDefault="00471512" w:rsidP="00C308EE">
            <w:pPr>
              <w:autoSpaceDE w:val="0"/>
              <w:autoSpaceDN w:val="0"/>
              <w:spacing w:before="1"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Risque 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1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 :</w:t>
            </w:r>
            <w:r w:rsidR="00E53CB9">
              <w:rPr>
                <w:rFonts w:eastAsia="Arial"/>
                <w:szCs w:val="22"/>
                <w:lang w:val="fr-FR" w:eastAsia="en-US"/>
              </w:rPr>
              <w:t xml:space="preserve"> l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e projet repose en partie sur la volonté des États membres de partager leurs opinions et leurs expériences en ce qui concerne 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lastRenderedPageBreak/>
              <w:t>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élaboration et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adoption des propositions de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action pour le développement.</w:t>
            </w:r>
          </w:p>
          <w:p w:rsidR="00DB389A" w:rsidRPr="003622BB" w:rsidRDefault="005D5BCE" w:rsidP="00C308EE">
            <w:pPr>
              <w:autoSpaceDE w:val="0"/>
              <w:autoSpaceDN w:val="0"/>
              <w:spacing w:before="1"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Mesure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atténuation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1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 :</w:t>
            </w:r>
            <w:r w:rsidR="00E53CB9">
              <w:rPr>
                <w:rFonts w:eastAsia="Arial"/>
                <w:szCs w:val="22"/>
                <w:lang w:val="fr-FR" w:eastAsia="en-US"/>
              </w:rPr>
              <w:t xml:space="preserve"> l</w:t>
            </w:r>
            <w:r w:rsidRPr="003622BB">
              <w:rPr>
                <w:rFonts w:eastAsia="Arial"/>
                <w:szCs w:val="22"/>
                <w:lang w:val="fr-FR" w:eastAsia="en-US"/>
              </w:rPr>
              <w:t>e risque a été atténué par des consultations approfondies avec un large éventail de parties prenantes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,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et leur participation à la définition des résultats escompt</w:t>
            </w:r>
            <w:r w:rsidR="003622BB" w:rsidRPr="003622BB">
              <w:rPr>
                <w:rFonts w:eastAsia="Arial"/>
                <w:szCs w:val="22"/>
                <w:lang w:val="fr-FR" w:eastAsia="en-US"/>
              </w:rPr>
              <w:t>és.  Ce</w:t>
            </w:r>
            <w:r w:rsidRPr="003622BB">
              <w:rPr>
                <w:rFonts w:eastAsia="Arial"/>
                <w:szCs w:val="22"/>
                <w:lang w:val="fr-FR" w:eastAsia="en-US"/>
              </w:rPr>
              <w:t>la a permis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adapter le guide et les autres instruments aux besoins réels des États membres.</w:t>
            </w:r>
          </w:p>
          <w:p w:rsidR="00DB389A" w:rsidRPr="003622BB" w:rsidRDefault="005D5BCE" w:rsidP="00C308EE">
            <w:pPr>
              <w:autoSpaceDE w:val="0"/>
              <w:autoSpaceDN w:val="0"/>
              <w:spacing w:before="1"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Risque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2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 :</w:t>
            </w:r>
            <w:r w:rsidR="00E53CB9">
              <w:rPr>
                <w:rFonts w:eastAsia="Arial"/>
                <w:szCs w:val="22"/>
                <w:lang w:val="fr-FR" w:eastAsia="en-US"/>
              </w:rPr>
              <w:t xml:space="preserve"> i</w:t>
            </w:r>
            <w:r w:rsidRPr="003622BB">
              <w:rPr>
                <w:rFonts w:eastAsia="Arial"/>
                <w:szCs w:val="22"/>
                <w:lang w:val="fr-FR" w:eastAsia="en-US"/>
              </w:rPr>
              <w:t>l se peut que les États membres ne soient pas intéressés par la version finale du guide et les ressources supplémentaires et qu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ils choisissent plutôt de suivre leur propre processus.</w:t>
            </w:r>
          </w:p>
          <w:p w:rsidR="00C20330" w:rsidRPr="003622BB" w:rsidRDefault="005D5BCE" w:rsidP="00C308EE">
            <w:pPr>
              <w:autoSpaceDE w:val="0"/>
              <w:autoSpaceDN w:val="0"/>
              <w:spacing w:before="1"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Mesure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atténuation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2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 :</w:t>
            </w:r>
            <w:r w:rsidR="00E53CB9">
              <w:rPr>
                <w:rFonts w:eastAsia="Arial"/>
                <w:szCs w:val="22"/>
                <w:lang w:val="fr-FR" w:eastAsia="en-US"/>
              </w:rPr>
              <w:t xml:space="preserve"> l</w:t>
            </w:r>
            <w:r w:rsidRPr="003622BB">
              <w:rPr>
                <w:rFonts w:eastAsia="Arial"/>
                <w:szCs w:val="22"/>
                <w:lang w:val="fr-FR" w:eastAsia="en-US"/>
              </w:rPr>
              <w:t>e risque a été atténué par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élaboration de supports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information supplémentaires dans un format convivial (vidéos et infographies), en plus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autres activités de diffusion menées par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OMPI et ses États membres.</w:t>
            </w:r>
            <w:r w:rsidR="00C20330" w:rsidRPr="003622BB">
              <w:rPr>
                <w:rFonts w:eastAsia="Arial"/>
                <w:szCs w:val="22"/>
                <w:lang w:val="fr-FR" w:eastAsia="en-US"/>
              </w:rPr>
              <w:t xml:space="preserve">  </w:t>
            </w:r>
          </w:p>
        </w:tc>
      </w:tr>
      <w:tr w:rsidR="00C20330" w:rsidRPr="003622BB" w:rsidTr="004C0DB5">
        <w:trPr>
          <w:trHeight w:val="1212"/>
        </w:trPr>
        <w:tc>
          <w:tcPr>
            <w:tcW w:w="1227" w:type="pct"/>
            <w:shd w:val="clear" w:color="auto" w:fill="8DB3E1"/>
            <w:vAlign w:val="center"/>
          </w:tcPr>
          <w:p w:rsidR="00C20330" w:rsidRPr="003622BB" w:rsidRDefault="005D5BCE" w:rsidP="00C308EE">
            <w:pPr>
              <w:autoSpaceDE w:val="0"/>
              <w:autoSpaceDN w:val="0"/>
              <w:spacing w:after="220"/>
              <w:ind w:left="110" w:right="212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u w:val="single"/>
                <w:lang w:val="fr-FR" w:eastAsia="en-US"/>
              </w:rPr>
              <w:lastRenderedPageBreak/>
              <w:t>Taux d</w:t>
            </w:r>
            <w:r w:rsidR="001B2C39" w:rsidRPr="003622BB">
              <w:rPr>
                <w:rFonts w:eastAsia="Arial"/>
                <w:szCs w:val="22"/>
                <w:u w:val="single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u w:val="single"/>
                <w:lang w:val="fr-FR" w:eastAsia="en-US"/>
              </w:rPr>
              <w:t>exécution du projet</w:t>
            </w:r>
          </w:p>
        </w:tc>
        <w:tc>
          <w:tcPr>
            <w:tcW w:w="3773" w:type="pct"/>
            <w:vAlign w:val="center"/>
          </w:tcPr>
          <w:p w:rsidR="00DB389A" w:rsidRPr="003622BB" w:rsidRDefault="00471512" w:rsidP="00C308EE">
            <w:pPr>
              <w:autoSpaceDE w:val="0"/>
              <w:autoSpaceDN w:val="0"/>
              <w:spacing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À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  <w:r w:rsidRPr="003622BB">
              <w:rPr>
                <w:rFonts w:eastAsia="Arial"/>
                <w:szCs w:val="22"/>
                <w:lang w:val="fr-FR" w:eastAsia="en-US"/>
              </w:rPr>
              <w:t>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issue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 xml:space="preserve"> de la mise en œuvre du projet, le taux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5D5BCE" w:rsidRPr="003622BB">
              <w:rPr>
                <w:rFonts w:eastAsia="Arial"/>
                <w:szCs w:val="22"/>
                <w:lang w:val="fr-FR" w:eastAsia="en-US"/>
              </w:rPr>
              <w:t>exécution du budget total du projet (proportionnel à son budget total approuvé) était de 66%.</w:t>
            </w:r>
          </w:p>
          <w:p w:rsidR="00C20330" w:rsidRPr="003622BB" w:rsidRDefault="00171331" w:rsidP="00C308EE">
            <w:pPr>
              <w:autoSpaceDE w:val="0"/>
              <w:autoSpaceDN w:val="0"/>
              <w:spacing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Le fait que le budget n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ait pas été entièrement dépensé s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explique principalement par la pandémie de COVID</w:t>
            </w:r>
            <w:r w:rsidR="008A7AE5">
              <w:rPr>
                <w:rFonts w:eastAsia="Arial"/>
                <w:szCs w:val="22"/>
                <w:lang w:val="fr-FR" w:eastAsia="en-US"/>
              </w:rPr>
              <w:noBreakHyphen/>
            </w:r>
            <w:r w:rsidRPr="003622BB">
              <w:rPr>
                <w:rFonts w:eastAsia="Arial"/>
                <w:szCs w:val="22"/>
                <w:lang w:val="fr-FR" w:eastAsia="en-US"/>
              </w:rPr>
              <w:t>19 et à ses effets sur la réalisation de certaines des activités du projet.</w:t>
            </w:r>
            <w:r w:rsidR="00C20330"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</w:p>
        </w:tc>
      </w:tr>
      <w:tr w:rsidR="00C20330" w:rsidRPr="003622BB" w:rsidTr="00E53CB9">
        <w:trPr>
          <w:trHeight w:val="397"/>
        </w:trPr>
        <w:tc>
          <w:tcPr>
            <w:tcW w:w="1227" w:type="pct"/>
            <w:shd w:val="clear" w:color="auto" w:fill="8DB3E1"/>
            <w:vAlign w:val="center"/>
          </w:tcPr>
          <w:p w:rsidR="00C20330" w:rsidRPr="00E53CB9" w:rsidRDefault="00171331" w:rsidP="00E53CB9">
            <w:pPr>
              <w:autoSpaceDE w:val="0"/>
              <w:autoSpaceDN w:val="0"/>
              <w:spacing w:after="220"/>
              <w:ind w:left="110" w:right="212"/>
              <w:rPr>
                <w:rFonts w:eastAsia="Arial"/>
                <w:szCs w:val="22"/>
                <w:u w:val="single"/>
                <w:lang w:val="fr-FR" w:eastAsia="en-US"/>
              </w:rPr>
            </w:pPr>
            <w:r w:rsidRPr="003622BB">
              <w:rPr>
                <w:rFonts w:eastAsia="Arial"/>
                <w:szCs w:val="22"/>
                <w:u w:val="single"/>
                <w:lang w:val="fr-FR" w:eastAsia="en-US"/>
              </w:rPr>
              <w:t>Rapports précédents</w:t>
            </w:r>
          </w:p>
        </w:tc>
        <w:tc>
          <w:tcPr>
            <w:tcW w:w="3773" w:type="pct"/>
            <w:vAlign w:val="center"/>
          </w:tcPr>
          <w:p w:rsidR="00C20330" w:rsidRPr="003622BB" w:rsidRDefault="00171331" w:rsidP="00E53CB9">
            <w:pPr>
              <w:autoSpaceDE w:val="0"/>
              <w:autoSpaceDN w:val="0"/>
              <w:spacing w:after="22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Un rapport sur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état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avancement de la mise en 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œuvre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du projet figure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>annexe I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II du document </w:t>
            </w:r>
            <w:hyperlink r:id="rId27" w:history="1">
              <w:r w:rsidRPr="00E53CB9">
                <w:rPr>
                  <w:rFonts w:eastAsia="Arial"/>
                  <w:szCs w:val="22"/>
                  <w:lang w:eastAsia="en-US"/>
                </w:rPr>
                <w:t>CDIP/26/2</w:t>
              </w:r>
            </w:hyperlink>
            <w:r w:rsidR="004E4C86" w:rsidRPr="003622BB">
              <w:rPr>
                <w:rFonts w:eastAsia="Arial"/>
                <w:szCs w:val="22"/>
                <w:lang w:val="fr-FR" w:eastAsia="en-US"/>
              </w:rPr>
              <w:t xml:space="preserve">.  </w:t>
            </w:r>
          </w:p>
        </w:tc>
      </w:tr>
      <w:tr w:rsidR="00400943" w:rsidRPr="003622BB" w:rsidTr="00E53CB9">
        <w:trPr>
          <w:trHeight w:val="1212"/>
        </w:trPr>
        <w:tc>
          <w:tcPr>
            <w:tcW w:w="1227" w:type="pct"/>
            <w:shd w:val="clear" w:color="auto" w:fill="8DB3E1"/>
            <w:vAlign w:val="center"/>
          </w:tcPr>
          <w:p w:rsidR="00400943" w:rsidRPr="003622BB" w:rsidRDefault="00C20330" w:rsidP="00E53CB9">
            <w:pPr>
              <w:spacing w:before="240"/>
              <w:outlineLvl w:val="2"/>
              <w:rPr>
                <w:bCs/>
                <w:szCs w:val="26"/>
                <w:u w:val="single"/>
                <w:lang w:val="fr-FR"/>
              </w:rPr>
            </w:pPr>
            <w:r w:rsidRPr="003622BB">
              <w:rPr>
                <w:bCs/>
                <w:szCs w:val="26"/>
                <w:u w:val="single"/>
                <w:lang w:val="fr-FR"/>
              </w:rPr>
              <w:t>Suivi et diffusion</w:t>
            </w:r>
          </w:p>
        </w:tc>
        <w:tc>
          <w:tcPr>
            <w:tcW w:w="3773" w:type="pct"/>
            <w:vAlign w:val="center"/>
          </w:tcPr>
          <w:p w:rsidR="00DB389A" w:rsidRPr="003622BB" w:rsidRDefault="00171331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Les instruments mis au point dans le cadre du projet ont été bien accueillis par les États membres et les gestionnaires de projets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développeme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nt.  Af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 de s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assurer 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incidence positive du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projet sur la méthodologie globale des projets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développement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et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accroître la rigueur initiale des propositions présentées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au CDI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 ainsi que leur nombre, il est important de continuer de travailler sur la viabilité des résulta</w:t>
            </w:r>
            <w:r w:rsidR="003622BB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ts.  Le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mesures suivantes sont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donc proposée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s.</w:t>
            </w:r>
          </w:p>
          <w:p w:rsidR="005D5BCE" w:rsidRPr="003622BB" w:rsidRDefault="00171331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Continuer de diffuser les résultats du projet en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</w:p>
          <w:p w:rsidR="005D5BCE" w:rsidRPr="00E53CB9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o</w:t>
            </w:r>
            <w:r w:rsidR="00171331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rganisant régulièrement et sur demande des ateliers ou des séminaires sur la gestion des projets du Plan d</w:t>
            </w:r>
            <w:r w:rsidR="001B2C39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action pour le</w:t>
            </w:r>
            <w:r w:rsidR="00AB5BB5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171331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développement à l</w:t>
            </w:r>
            <w:r w:rsidR="001B2C39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intention des États membres intéressés</w:t>
            </w:r>
            <w:r w:rsidR="00E53CB9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171331"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(délégués établis à Genève et représentants des gouvernements)</w:t>
            </w:r>
            <w:r w:rsidRPr="00E53CB9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rganisant régulièrement des ateliers ou des séminaires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intention de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s gestionnaires de projets et des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autres fonctionnaires de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 intéressés et concernés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f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avorisant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les résultats du projet, au moyen de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divers événements et activités, comme des webinaires, des ateliers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ou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des manifestations parallèles, organisés par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autres parties prenantes internes et externes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DB389A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2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v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eillant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utilisation des résultats par les coordonnateurs nationaux et les gestionnaires des projets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et en prévoyant une initiation obligatoire à la méthodologie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relative à la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lastRenderedPageBreak/>
              <w:t>gestion des projets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au début de la phase de mise en œuvre.</w:t>
            </w:r>
          </w:p>
          <w:p w:rsidR="005D5BCE" w:rsidRPr="003622BB" w:rsidRDefault="00171331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Maintenir la pertinence des résultats du projet en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</w:p>
          <w:p w:rsidR="005D5BCE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ctualisant à jour le guide, le catalogue en ligne, le cours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enseignement à distance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, les listes de contrôle et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les formulaires, selon les besoins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joutant de nouvelles fonctions au catalogue en ligne, selon les besoins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ersonnalisant les outils en fonction des besoins et des demandes des parties prenantes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E53CB9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2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>
              <w:rPr>
                <w:rFonts w:eastAsia="Arial"/>
                <w:bCs/>
                <w:iCs/>
                <w:szCs w:val="22"/>
                <w:lang w:val="fr-FR" w:eastAsia="en-US"/>
              </w:rPr>
              <w:t>s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ur demande, en traduisant ou 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en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personnalisant les cours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enseignement à distance, en fonction des besoins locaux</w:t>
            </w:r>
            <w:r>
              <w:rPr>
                <w:rFonts w:eastAsia="Arial"/>
                <w:bCs/>
                <w:iCs/>
                <w:szCs w:val="22"/>
                <w:lang w:val="fr-FR" w:eastAsia="en-US"/>
              </w:rPr>
              <w:t>.</w:t>
            </w:r>
          </w:p>
          <w:p w:rsidR="00DB389A" w:rsidRPr="003622BB" w:rsidRDefault="00171331" w:rsidP="00C308EE">
            <w:pPr>
              <w:autoSpaceDE w:val="0"/>
              <w:autoSpaceDN w:val="0"/>
              <w:spacing w:after="220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Continuer d</w:t>
            </w:r>
            <w:r w:rsidR="001B2C39"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améliorer et de mettre à jour la méthodologie relative à la gestion des projets du Plan d</w:t>
            </w:r>
            <w:r w:rsidR="001B2C39"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’</w:t>
            </w:r>
            <w:r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action pour le</w:t>
            </w:r>
            <w:r w:rsidR="00AB5BB5"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 xml:space="preserve"> </w:t>
            </w:r>
            <w:r w:rsidRPr="00E53CB9">
              <w:rPr>
                <w:rFonts w:eastAsia="Arial"/>
                <w:bCs/>
                <w:iCs/>
                <w:szCs w:val="22"/>
                <w:u w:val="single"/>
                <w:lang w:val="fr-FR" w:eastAsia="en-US"/>
              </w:rPr>
              <w:t>développement en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 :</w:t>
            </w:r>
          </w:p>
          <w:p w:rsidR="005D5BCE" w:rsidRPr="003622BB" w:rsidRDefault="00E53CB9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>
              <w:rPr>
                <w:rFonts w:eastAsia="Arial"/>
                <w:bCs/>
                <w:iCs/>
                <w:szCs w:val="22"/>
                <w:lang w:val="fr-FR" w:eastAsia="en-US"/>
              </w:rPr>
              <w:t>i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ntégrant les observations reçues de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la part de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s bénéficiaires des ateliers ou séminaires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ntégrant les recommandations relatives à la conception et à la méthodologie, formulées dans les évaluations des projets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et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approuvées par</w:t>
            </w:r>
            <w:r w:rsidR="00DB389A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 CDI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P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5D5BCE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rganisant régulièrement des réunions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à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intention d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es chefs de projet, afin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qu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ils puissent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échanger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des informations sur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les pratiques 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suivies 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et les enseignements tirés</w:t>
            </w: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;</w:t>
            </w:r>
          </w:p>
          <w:p w:rsidR="00DB389A" w:rsidRPr="003622BB" w:rsidRDefault="00471512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rFonts w:eastAsia="Arial"/>
                <w:bCs/>
                <w:iCs/>
                <w:szCs w:val="22"/>
                <w:lang w:val="fr-FR" w:eastAsia="en-US"/>
              </w:rPr>
            </w:pPr>
            <w:r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informant</w:t>
            </w:r>
            <w:r w:rsidR="00171331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les chefs de projet de tous les changements dans le processus de conception et de mise en œuvre des projets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E53CB9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développement;</w:t>
            </w:r>
          </w:p>
          <w:p w:rsidR="00400943" w:rsidRPr="003622BB" w:rsidRDefault="00E53CB9" w:rsidP="00E53CB9">
            <w:pPr>
              <w:numPr>
                <w:ilvl w:val="0"/>
                <w:numId w:val="32"/>
              </w:numPr>
              <w:autoSpaceDE w:val="0"/>
              <w:autoSpaceDN w:val="0"/>
              <w:spacing w:after="120"/>
              <w:ind w:left="1064" w:hanging="497"/>
              <w:rPr>
                <w:lang w:val="fr-FR"/>
              </w:rPr>
            </w:pPr>
            <w:r>
              <w:rPr>
                <w:rFonts w:eastAsia="Arial"/>
                <w:bCs/>
                <w:iCs/>
                <w:szCs w:val="22"/>
                <w:lang w:val="fr-FR" w:eastAsia="en-US"/>
              </w:rPr>
              <w:t>v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eill</w:t>
            </w:r>
            <w:r>
              <w:rPr>
                <w:rFonts w:eastAsia="Arial"/>
                <w:bCs/>
                <w:iCs/>
                <w:szCs w:val="22"/>
                <w:lang w:val="fr-FR" w:eastAsia="en-US"/>
              </w:rPr>
              <w:t>ant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à ce que les fonctionnaires de la Division de la coordination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soi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>en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t informé</w:t>
            </w:r>
            <w:r w:rsidR="00AB5BB5">
              <w:rPr>
                <w:rFonts w:eastAsia="Arial"/>
                <w:bCs/>
                <w:iCs/>
                <w:szCs w:val="22"/>
                <w:lang w:val="fr-FR" w:eastAsia="en-US"/>
              </w:rPr>
              <w:t>s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des nouvelles tendances liées aux méthodes de gestion de projets, afin qu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ils puissent continuer de jouer leur rôle de coordonnateurs dans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élaboration et le suivi des projets du Plan d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action pour le développement à l</w:t>
            </w:r>
            <w:r w:rsidR="001B2C39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’</w:t>
            </w:r>
            <w:r w:rsidR="00471512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>OMPI.</w:t>
            </w:r>
            <w:r w:rsidR="00C20330" w:rsidRPr="003622BB">
              <w:rPr>
                <w:rFonts w:eastAsia="Arial"/>
                <w:bCs/>
                <w:iCs/>
                <w:szCs w:val="22"/>
                <w:lang w:val="fr-FR" w:eastAsia="en-US"/>
              </w:rPr>
              <w:t xml:space="preserve">  </w:t>
            </w:r>
          </w:p>
        </w:tc>
      </w:tr>
    </w:tbl>
    <w:p w:rsidR="002A761B" w:rsidRPr="003622BB" w:rsidRDefault="002A761B" w:rsidP="00C308EE">
      <w:pPr>
        <w:spacing w:before="240" w:after="120"/>
        <w:rPr>
          <w:lang w:val="fr-FR"/>
        </w:rPr>
      </w:pPr>
      <w:r w:rsidRPr="003622BB">
        <w:rPr>
          <w:lang w:val="fr-FR"/>
        </w:rPr>
        <w:lastRenderedPageBreak/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2A761B" w:rsidRPr="003622BB" w:rsidTr="004053E0">
        <w:trPr>
          <w:trHeight w:val="494"/>
        </w:trPr>
        <w:tc>
          <w:tcPr>
            <w:tcW w:w="9071" w:type="dxa"/>
            <w:vAlign w:val="center"/>
          </w:tcPr>
          <w:p w:rsidR="002A761B" w:rsidRPr="003622BB" w:rsidRDefault="002A761B" w:rsidP="00C308EE">
            <w:pPr>
              <w:spacing w:before="120" w:after="120"/>
              <w:rPr>
                <w:caps/>
                <w:lang w:val="fr-FR"/>
              </w:rPr>
            </w:pPr>
            <w:r w:rsidRPr="003622BB">
              <w:rPr>
                <w:lang w:val="fr-FR"/>
              </w:rPr>
              <w:lastRenderedPageBreak/>
              <w:br w:type="page"/>
            </w:r>
            <w:r w:rsidR="00372953" w:rsidRPr="003622BB">
              <w:rPr>
                <w:caps/>
                <w:lang w:val="fr-FR"/>
              </w:rPr>
              <w:t>Auto</w:t>
            </w:r>
            <w:r w:rsidR="008A7AE5">
              <w:rPr>
                <w:caps/>
                <w:lang w:val="fr-FR"/>
              </w:rPr>
              <w:noBreakHyphen/>
            </w:r>
            <w:r w:rsidR="00372953" w:rsidRPr="003622BB">
              <w:rPr>
                <w:caps/>
                <w:lang w:val="fr-FR"/>
              </w:rPr>
              <w:t>évaluation du projet</w:t>
            </w:r>
          </w:p>
        </w:tc>
      </w:tr>
    </w:tbl>
    <w:p w:rsidR="002A761B" w:rsidRPr="003622BB" w:rsidRDefault="002A761B" w:rsidP="00C308EE">
      <w:pPr>
        <w:spacing w:after="120"/>
        <w:rPr>
          <w:lang w:val="fr-FR"/>
        </w:rPr>
      </w:pPr>
      <w:r w:rsidRPr="003622BB">
        <w:rPr>
          <w:lang w:val="fr-FR"/>
        </w:rPr>
        <w:t>Code d</w:t>
      </w:r>
      <w:r w:rsidR="001B2C39" w:rsidRPr="003622BB">
        <w:rPr>
          <w:lang w:val="fr-FR"/>
        </w:rPr>
        <w:t>’</w:t>
      </w:r>
      <w:r w:rsidRPr="003622BB">
        <w:rPr>
          <w:lang w:val="fr-FR"/>
        </w:rPr>
        <w:t>évaluation</w:t>
      </w:r>
    </w:p>
    <w:tbl>
      <w:tblPr>
        <w:tblW w:w="91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0"/>
        <w:gridCol w:w="1665"/>
        <w:gridCol w:w="1782"/>
        <w:gridCol w:w="1878"/>
        <w:gridCol w:w="2442"/>
      </w:tblGrid>
      <w:tr w:rsidR="002A761B" w:rsidRPr="003622BB" w:rsidTr="00E53CB9">
        <w:trPr>
          <w:trHeight w:val="469"/>
        </w:trPr>
        <w:tc>
          <w:tcPr>
            <w:tcW w:w="1410" w:type="dxa"/>
            <w:shd w:val="clear" w:color="auto" w:fill="7BBEDA"/>
            <w:vAlign w:val="center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****</w:t>
            </w:r>
          </w:p>
        </w:tc>
        <w:tc>
          <w:tcPr>
            <w:tcW w:w="1665" w:type="dxa"/>
            <w:shd w:val="clear" w:color="auto" w:fill="7BBEDA"/>
            <w:vAlign w:val="center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***</w:t>
            </w:r>
          </w:p>
        </w:tc>
        <w:tc>
          <w:tcPr>
            <w:tcW w:w="1782" w:type="dxa"/>
            <w:shd w:val="clear" w:color="auto" w:fill="7BBEDA"/>
            <w:vAlign w:val="center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**</w:t>
            </w:r>
          </w:p>
        </w:tc>
        <w:tc>
          <w:tcPr>
            <w:tcW w:w="1878" w:type="dxa"/>
            <w:shd w:val="clear" w:color="auto" w:fill="7BBEDA"/>
            <w:vAlign w:val="center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AP</w:t>
            </w:r>
          </w:p>
        </w:tc>
        <w:tc>
          <w:tcPr>
            <w:tcW w:w="2442" w:type="dxa"/>
            <w:shd w:val="clear" w:color="auto" w:fill="7BBEDA"/>
            <w:vAlign w:val="center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s.o.</w:t>
            </w:r>
          </w:p>
        </w:tc>
      </w:tr>
      <w:tr w:rsidR="002A761B" w:rsidRPr="003622BB" w:rsidTr="00E53CB9">
        <w:tc>
          <w:tcPr>
            <w:tcW w:w="1410" w:type="dxa"/>
            <w:shd w:val="clear" w:color="auto" w:fill="7BBEDA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Objectifs pleinement atteints</w:t>
            </w:r>
          </w:p>
        </w:tc>
        <w:tc>
          <w:tcPr>
            <w:tcW w:w="1665" w:type="dxa"/>
            <w:shd w:val="clear" w:color="auto" w:fill="7BBEDA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Progrès considérables</w:t>
            </w:r>
          </w:p>
        </w:tc>
        <w:tc>
          <w:tcPr>
            <w:tcW w:w="1782" w:type="dxa"/>
            <w:shd w:val="clear" w:color="auto" w:fill="7BBEDA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Quelques progrès</w:t>
            </w:r>
          </w:p>
        </w:tc>
        <w:tc>
          <w:tcPr>
            <w:tcW w:w="1878" w:type="dxa"/>
            <w:shd w:val="clear" w:color="auto" w:fill="7BBEDA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Aucun progrès</w:t>
            </w:r>
          </w:p>
        </w:tc>
        <w:tc>
          <w:tcPr>
            <w:tcW w:w="2442" w:type="dxa"/>
            <w:shd w:val="clear" w:color="auto" w:fill="7BBEDA"/>
          </w:tcPr>
          <w:p w:rsidR="002A761B" w:rsidRPr="003622BB" w:rsidRDefault="002A761B" w:rsidP="00770AE3">
            <w:pPr>
              <w:pStyle w:val="Heading4"/>
              <w:spacing w:before="120" w:after="0"/>
              <w:rPr>
                <w:i w:val="0"/>
                <w:lang w:val="fr-FR"/>
              </w:rPr>
            </w:pPr>
            <w:r w:rsidRPr="003622BB">
              <w:rPr>
                <w:i w:val="0"/>
                <w:lang w:val="fr-FR"/>
              </w:rPr>
              <w:t>Non évalué/abandonné</w:t>
            </w:r>
          </w:p>
        </w:tc>
      </w:tr>
    </w:tbl>
    <w:p w:rsidR="005D5BCE" w:rsidRPr="003622BB" w:rsidRDefault="005D5BCE" w:rsidP="00C308EE">
      <w:pPr>
        <w:rPr>
          <w:lang w:val="fr-FR"/>
        </w:rPr>
      </w:pPr>
    </w:p>
    <w:p w:rsidR="00F87720" w:rsidRPr="003622BB" w:rsidRDefault="00F87720" w:rsidP="00C308EE">
      <w:pPr>
        <w:spacing w:before="10" w:after="220"/>
        <w:rPr>
          <w:rFonts w:eastAsia="Times New Roman"/>
          <w:szCs w:val="22"/>
          <w:lang w:val="fr-FR" w:eastAsia="en-US"/>
        </w:rPr>
      </w:pPr>
    </w:p>
    <w:tbl>
      <w:tblPr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2999"/>
        <w:gridCol w:w="2835"/>
        <w:gridCol w:w="1417"/>
      </w:tblGrid>
      <w:tr w:rsidR="00F87720" w:rsidRPr="003622BB" w:rsidTr="00A9547B">
        <w:trPr>
          <w:trHeight w:val="1265"/>
        </w:trPr>
        <w:tc>
          <w:tcPr>
            <w:tcW w:w="2530" w:type="dxa"/>
            <w:shd w:val="clear" w:color="auto" w:fill="8DB3E1"/>
            <w:vAlign w:val="center"/>
          </w:tcPr>
          <w:p w:rsidR="00F87720" w:rsidRPr="003622BB" w:rsidRDefault="00F87720" w:rsidP="00A9547B">
            <w:pPr>
              <w:ind w:left="57"/>
              <w:rPr>
                <w:rFonts w:eastAsia="Arial"/>
                <w:b/>
                <w:bCs/>
                <w:szCs w:val="22"/>
                <w:lang w:val="fr-FR" w:eastAsia="en-US"/>
              </w:rPr>
            </w:pPr>
            <w:r w:rsidRPr="003622BB">
              <w:rPr>
                <w:b/>
                <w:u w:val="single"/>
                <w:lang w:val="fr-FR"/>
              </w:rPr>
              <w:t>Résultats du projet</w:t>
            </w:r>
            <w:r w:rsidRPr="003622BB">
              <w:rPr>
                <w:rFonts w:eastAsia="Arial"/>
                <w:b/>
                <w:bCs/>
                <w:szCs w:val="22"/>
                <w:vertAlign w:val="superscript"/>
                <w:lang w:val="fr-FR" w:eastAsia="en-US"/>
              </w:rPr>
              <w:t>4</w:t>
            </w:r>
            <w:r w:rsidR="00A9547B">
              <w:rPr>
                <w:rFonts w:eastAsia="Arial"/>
                <w:b/>
                <w:bCs/>
                <w:spacing w:val="1"/>
                <w:szCs w:val="22"/>
                <w:lang w:val="fr-FR" w:eastAsia="en-US"/>
              </w:rPr>
              <w:br/>
            </w:r>
            <w:r w:rsidRPr="003622BB">
              <w:rPr>
                <w:rFonts w:eastAsia="Arial"/>
                <w:b/>
                <w:bCs/>
                <w:szCs w:val="22"/>
                <w:lang w:val="fr-FR" w:eastAsia="en-US"/>
              </w:rPr>
              <w:t>(</w:t>
            </w:r>
            <w:r w:rsidRPr="003622BB">
              <w:rPr>
                <w:b/>
                <w:lang w:val="fr-FR"/>
              </w:rPr>
              <w:t>résultat escompté</w:t>
            </w:r>
            <w:r w:rsidRPr="003622BB">
              <w:rPr>
                <w:rFonts w:eastAsia="Arial"/>
                <w:b/>
                <w:bCs/>
                <w:szCs w:val="22"/>
                <w:lang w:val="fr-FR" w:eastAsia="en-US"/>
              </w:rPr>
              <w:t>)</w:t>
            </w:r>
          </w:p>
        </w:tc>
        <w:tc>
          <w:tcPr>
            <w:tcW w:w="2999" w:type="dxa"/>
            <w:shd w:val="clear" w:color="auto" w:fill="8DB3E1"/>
            <w:vAlign w:val="center"/>
          </w:tcPr>
          <w:p w:rsidR="00F87720" w:rsidRPr="003622BB" w:rsidRDefault="00F87720" w:rsidP="00A9547B">
            <w:pPr>
              <w:ind w:left="57"/>
              <w:rPr>
                <w:rFonts w:eastAsia="Arial"/>
                <w:b/>
                <w:bCs/>
                <w:szCs w:val="22"/>
                <w:lang w:val="fr-FR" w:eastAsia="en-US"/>
              </w:rPr>
            </w:pPr>
            <w:r w:rsidRPr="003622BB">
              <w:rPr>
                <w:b/>
                <w:u w:val="single"/>
                <w:lang w:val="fr-FR"/>
              </w:rPr>
              <w:t>Indicateurs d</w:t>
            </w:r>
            <w:r w:rsidR="001B2C39" w:rsidRPr="003622BB">
              <w:rPr>
                <w:b/>
                <w:u w:val="single"/>
                <w:lang w:val="fr-FR"/>
              </w:rPr>
              <w:t>’</w:t>
            </w:r>
            <w:r w:rsidRPr="003622BB">
              <w:rPr>
                <w:b/>
                <w:u w:val="single"/>
                <w:lang w:val="fr-FR"/>
              </w:rPr>
              <w:t>exécution</w:t>
            </w:r>
            <w:r w:rsidRPr="003622BB">
              <w:rPr>
                <w:b/>
                <w:lang w:val="fr-FR"/>
              </w:rPr>
              <w:t xml:space="preserve"> (indicateurs de résultats)</w:t>
            </w:r>
          </w:p>
        </w:tc>
        <w:tc>
          <w:tcPr>
            <w:tcW w:w="2835" w:type="dxa"/>
            <w:shd w:val="clear" w:color="auto" w:fill="8DB3E1"/>
            <w:vAlign w:val="center"/>
          </w:tcPr>
          <w:p w:rsidR="00F87720" w:rsidRPr="003622BB" w:rsidRDefault="00F87720" w:rsidP="00A9547B">
            <w:pPr>
              <w:ind w:left="57"/>
              <w:rPr>
                <w:b/>
                <w:u w:val="single"/>
                <w:lang w:val="fr-FR"/>
              </w:rPr>
            </w:pPr>
            <w:r w:rsidRPr="003622BB">
              <w:rPr>
                <w:b/>
                <w:u w:val="single"/>
                <w:lang w:val="fr-FR"/>
              </w:rPr>
              <w:t>Données relatives à l</w:t>
            </w:r>
            <w:r w:rsidR="001B2C39" w:rsidRPr="003622BB">
              <w:rPr>
                <w:b/>
                <w:u w:val="single"/>
                <w:lang w:val="fr-FR"/>
              </w:rPr>
              <w:t>’</w:t>
            </w:r>
            <w:r w:rsidRPr="003622BB">
              <w:rPr>
                <w:b/>
                <w:u w:val="single"/>
                <w:lang w:val="fr-FR"/>
              </w:rPr>
              <w:t>exécution</w:t>
            </w:r>
          </w:p>
        </w:tc>
        <w:tc>
          <w:tcPr>
            <w:tcW w:w="1417" w:type="dxa"/>
            <w:shd w:val="clear" w:color="auto" w:fill="8DB3E1"/>
            <w:vAlign w:val="center"/>
          </w:tcPr>
          <w:p w:rsidR="00F87720" w:rsidRPr="003622BB" w:rsidRDefault="00F87720" w:rsidP="00A9547B">
            <w:pPr>
              <w:ind w:left="57"/>
              <w:rPr>
                <w:b/>
                <w:u w:val="single"/>
                <w:lang w:val="fr-FR"/>
              </w:rPr>
            </w:pPr>
            <w:r w:rsidRPr="003622BB">
              <w:rPr>
                <w:b/>
                <w:u w:val="single"/>
                <w:lang w:val="fr-FR"/>
              </w:rPr>
              <w:t>Code d</w:t>
            </w:r>
            <w:r w:rsidR="001B2C39" w:rsidRPr="003622BB">
              <w:rPr>
                <w:b/>
                <w:u w:val="single"/>
                <w:lang w:val="fr-FR"/>
              </w:rPr>
              <w:t>’</w:t>
            </w:r>
            <w:r w:rsidRPr="003622BB">
              <w:rPr>
                <w:b/>
                <w:u w:val="single"/>
                <w:lang w:val="fr-FR"/>
              </w:rPr>
              <w:t>évaluation</w:t>
            </w:r>
          </w:p>
        </w:tc>
      </w:tr>
      <w:tr w:rsidR="00F87720" w:rsidRPr="003622BB" w:rsidTr="00A9547B">
        <w:trPr>
          <w:trHeight w:val="508"/>
        </w:trPr>
        <w:tc>
          <w:tcPr>
            <w:tcW w:w="2530" w:type="dxa"/>
            <w:tcBorders>
              <w:right w:val="single" w:sz="6" w:space="0" w:color="000000"/>
            </w:tcBorders>
          </w:tcPr>
          <w:p w:rsidR="00F87720" w:rsidRPr="003622BB" w:rsidRDefault="00F87720" w:rsidP="00A9547B">
            <w:pPr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Meilleure compréhension de la méthodologie, des défis, des questions et des meilleures pratiques concernant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élaboration et de la gestion des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action pour le développement.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</w:tcPr>
          <w:p w:rsidR="00F87720" w:rsidRPr="003622BB" w:rsidRDefault="00F87720" w:rsidP="00A9547B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Une première ébauche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exercice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évaluation, ainsi qu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un rapport sur les résultats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atelier et des consultations, ont été achevés dans les neuf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mois suivant le début du projet.</w:t>
            </w:r>
          </w:p>
        </w:tc>
        <w:tc>
          <w:tcPr>
            <w:tcW w:w="2835" w:type="dxa"/>
          </w:tcPr>
          <w:p w:rsidR="00DB389A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Bilan finalisé et consultations organisées en 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>juillet 20</w:t>
            </w:r>
            <w:r w:rsidRPr="003622BB">
              <w:rPr>
                <w:rFonts w:eastAsia="Arial"/>
                <w:szCs w:val="22"/>
                <w:lang w:val="fr-FR" w:eastAsia="en-US"/>
              </w:rPr>
              <w:t>20.  Le rapport des consultations est disponible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adresse</w:t>
            </w:r>
          </w:p>
          <w:p w:rsidR="00F87720" w:rsidRPr="003622BB" w:rsidRDefault="00300DB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hyperlink r:id="rId28" w:history="1">
              <w:r w:rsidR="004E4C86" w:rsidRPr="003622BB">
                <w:rPr>
                  <w:rFonts w:eastAsia="Arial"/>
                  <w:color w:val="0000FF" w:themeColor="hyperlink"/>
                  <w:szCs w:val="22"/>
                  <w:u w:val="single"/>
                  <w:lang w:val="fr-FR" w:eastAsia="en-US"/>
                </w:rPr>
                <w:t>https:</w:t>
              </w:r>
              <w:r w:rsidR="00F87720" w:rsidRPr="003622BB">
                <w:rPr>
                  <w:rFonts w:eastAsia="Arial"/>
                  <w:color w:val="0000FF" w:themeColor="hyperlink"/>
                  <w:szCs w:val="22"/>
                  <w:u w:val="single"/>
                  <w:lang w:val="fr-FR" w:eastAsia="en-US"/>
                </w:rPr>
                <w:t>//dacatalogue.wipo.int/projectfiles/DA_01_05_01/CDIP_24_2/EN/Report_%20Virtual%20Consultations.pdf</w:t>
              </w:r>
            </w:hyperlink>
            <w:r w:rsidR="00823184" w:rsidRPr="00823184">
              <w:rPr>
                <w:rFonts w:eastAsia="Arial"/>
                <w:szCs w:val="22"/>
                <w:lang w:val="fr-FR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****</w:t>
            </w:r>
          </w:p>
        </w:tc>
      </w:tr>
      <w:tr w:rsidR="00F87720" w:rsidRPr="003622BB" w:rsidTr="00A9547B">
        <w:trPr>
          <w:trHeight w:val="510"/>
        </w:trPr>
        <w:tc>
          <w:tcPr>
            <w:tcW w:w="2530" w:type="dxa"/>
            <w:tcBorders>
              <w:right w:val="single" w:sz="6" w:space="0" w:color="000000"/>
            </w:tcBorders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Des informations complètes sur les projets achevés et en cours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action pour le développement sont mises à disposition dans un format facile à consulter et à utiliser.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F87720" w:rsidP="00823184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Un catalogue consultable en ligne de tous les projets achevés et en cours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action pour le développement a été créé et est disponible sur le site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Web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OMPI dans les trois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premiers mois de la deuxième année du lancement du projet.</w:t>
            </w:r>
          </w:p>
        </w:tc>
        <w:tc>
          <w:tcPr>
            <w:tcW w:w="2835" w:type="dxa"/>
          </w:tcPr>
          <w:p w:rsidR="00DB389A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En raison de la pandémie de COVID</w:t>
            </w:r>
            <w:r w:rsidR="008A7AE5">
              <w:rPr>
                <w:rFonts w:eastAsia="Arial"/>
                <w:szCs w:val="22"/>
                <w:lang w:val="fr-FR" w:eastAsia="en-US"/>
              </w:rPr>
              <w:noBreakHyphen/>
            </w:r>
            <w:r w:rsidRPr="003622BB">
              <w:rPr>
                <w:rFonts w:eastAsia="Arial"/>
                <w:szCs w:val="22"/>
                <w:lang w:val="fr-FR" w:eastAsia="en-US"/>
              </w:rPr>
              <w:t>19, ainsi que de la structure plus complexe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outil en ligne, le catalogue a été lancé (en anglais) en 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>octobre 20</w:t>
            </w:r>
            <w:r w:rsidRPr="003622BB">
              <w:rPr>
                <w:rFonts w:eastAsia="Arial"/>
                <w:szCs w:val="22"/>
                <w:lang w:val="fr-FR" w:eastAsia="en-US"/>
              </w:rPr>
              <w:t>21.  Il a été finalisé (dans les six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langues officielles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ONU) et présenté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 xml:space="preserve"> au CDI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P en 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>mai 20</w:t>
            </w:r>
            <w:r w:rsidRPr="003622BB">
              <w:rPr>
                <w:rFonts w:eastAsia="Arial"/>
                <w:szCs w:val="22"/>
                <w:lang w:val="fr-FR" w:eastAsia="en-US"/>
              </w:rPr>
              <w:t>22.  Le catalogue est disponible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adresse</w:t>
            </w:r>
          </w:p>
          <w:p w:rsidR="00F87720" w:rsidRPr="003622BB" w:rsidRDefault="00300DB0" w:rsidP="00A9547B">
            <w:pPr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hyperlink r:id="rId29" w:history="1">
              <w:r w:rsidR="004E4C86" w:rsidRPr="003622BB">
                <w:rPr>
                  <w:rFonts w:eastAsia="Arial"/>
                  <w:color w:val="0000FF" w:themeColor="hyperlink"/>
                  <w:szCs w:val="22"/>
                  <w:u w:val="single"/>
                  <w:lang w:val="fr-FR" w:eastAsia="en-US"/>
                </w:rPr>
                <w:t>https:</w:t>
              </w:r>
              <w:r w:rsidR="00F87720" w:rsidRPr="003622BB">
                <w:rPr>
                  <w:rFonts w:eastAsia="Arial"/>
                  <w:color w:val="0000FF" w:themeColor="hyperlink"/>
                  <w:szCs w:val="22"/>
                  <w:u w:val="single"/>
                  <w:lang w:val="fr-FR" w:eastAsia="en-US"/>
                </w:rPr>
                <w:t>//dacatalogue.wipo.int/projects</w:t>
              </w:r>
            </w:hyperlink>
            <w:r w:rsidR="00823184" w:rsidRPr="00823184">
              <w:rPr>
                <w:rFonts w:eastAsia="Arial"/>
                <w:szCs w:val="22"/>
                <w:lang w:val="fr-FR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****</w:t>
            </w:r>
          </w:p>
        </w:tc>
      </w:tr>
      <w:tr w:rsidR="00F87720" w:rsidRPr="003622BB" w:rsidTr="00A9547B">
        <w:trPr>
          <w:trHeight w:val="2395"/>
        </w:trPr>
        <w:tc>
          <w:tcPr>
            <w:tcW w:w="2530" w:type="dxa"/>
            <w:vMerge w:val="restart"/>
            <w:tcBorders>
              <w:right w:val="single" w:sz="6" w:space="0" w:color="000000"/>
            </w:tcBorders>
            <w:vAlign w:val="center"/>
          </w:tcPr>
          <w:p w:rsidR="00F87720" w:rsidRPr="003622BB" w:rsidRDefault="00F87720" w:rsidP="00A9547B">
            <w:pPr>
              <w:autoSpaceDE w:val="0"/>
              <w:autoSpaceDN w:val="0"/>
              <w:spacing w:before="26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Élaborer un manuel écrit et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autres documents de </w:t>
            </w:r>
            <w:r w:rsidRPr="003622BB">
              <w:rPr>
                <w:rFonts w:eastAsia="Arial"/>
                <w:szCs w:val="22"/>
                <w:lang w:val="fr-FR" w:eastAsia="en-US"/>
              </w:rPr>
              <w:lastRenderedPageBreak/>
              <w:t>référence qui permettent aux États membres de mieux comprendre comment élaborer une proposition de projet, les étapes à suivre et les facteurs essentiels contribuant à la bonne mise en œuvre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un projet qui a été approuvé.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A9547B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>
              <w:rPr>
                <w:rFonts w:eastAsia="Arial"/>
                <w:szCs w:val="22"/>
                <w:lang w:val="fr-FR" w:eastAsia="en-US"/>
              </w:rPr>
              <w:lastRenderedPageBreak/>
              <w:t xml:space="preserve">– 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Une première version du manuel écrit sur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élaboration des propositions de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action a été élaborée au cours des trois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premiers mois de la deuxième année du projet, et traduite dans toutes les langues officielles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ONU dans les six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mois de la deuxième année du projet.</w:t>
            </w:r>
          </w:p>
        </w:tc>
        <w:tc>
          <w:tcPr>
            <w:tcW w:w="2835" w:type="dxa"/>
          </w:tcPr>
          <w:p w:rsidR="00F87720" w:rsidRPr="003622BB" w:rsidRDefault="00DB389A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 xml:space="preserve">Le </w:t>
            </w:r>
            <w:r w:rsidRPr="003622BB">
              <w:rPr>
                <w:rFonts w:eastAsia="Arial"/>
                <w:szCs w:val="22"/>
                <w:lang w:val="fr-FR" w:eastAsia="en-US"/>
              </w:rPr>
              <w:t>G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uide pour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établissement, la mise en œuvre et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évaluation des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action pour le développement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 xml:space="preserve">a été mis à disposition dans le catalogue en ligne en </w:t>
            </w:r>
            <w:r w:rsidRPr="003622BB">
              <w:rPr>
                <w:rFonts w:eastAsia="Arial"/>
                <w:szCs w:val="22"/>
                <w:lang w:val="fr-FR" w:eastAsia="en-US"/>
              </w:rPr>
              <w:t>octobre 20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 xml:space="preserve">21.  Il est disponible dans les </w:t>
            </w:r>
            <w:r w:rsidRPr="003622BB">
              <w:rPr>
                <w:rFonts w:eastAsia="Arial"/>
                <w:szCs w:val="22"/>
                <w:lang w:val="fr-FR" w:eastAsia="en-US"/>
              </w:rPr>
              <w:t>six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langues officielles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ONU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 xml:space="preserve">adresse </w:t>
            </w:r>
            <w:hyperlink r:id="rId30" w:history="1">
              <w:r w:rsidR="004E4C86" w:rsidRPr="003622BB">
                <w:rPr>
                  <w:rStyle w:val="Hyperlink"/>
                  <w:lang w:val="fr-FR"/>
                </w:rPr>
                <w:t>https:</w:t>
              </w:r>
              <w:r w:rsidR="00F87720" w:rsidRPr="003622BB">
                <w:rPr>
                  <w:rStyle w:val="Hyperlink"/>
                  <w:lang w:val="fr-FR"/>
                </w:rPr>
                <w:t>//dacatalogue.wipo.int/projects/DA_01_05_01</w:t>
              </w:r>
            </w:hyperlink>
            <w:r w:rsidR="004E4C86" w:rsidRPr="003622BB">
              <w:rPr>
                <w:rFonts w:eastAsia="Arial"/>
                <w:color w:val="808080"/>
                <w:szCs w:val="22"/>
                <w:lang w:val="fr-FR" w:eastAsia="en-US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****</w:t>
            </w:r>
          </w:p>
        </w:tc>
      </w:tr>
      <w:tr w:rsidR="00F87720" w:rsidRPr="003622BB" w:rsidTr="00A9547B">
        <w:trPr>
          <w:trHeight w:val="2522"/>
        </w:trPr>
        <w:tc>
          <w:tcPr>
            <w:tcW w:w="2530" w:type="dxa"/>
            <w:vMerge/>
            <w:tcBorders>
              <w:right w:val="single" w:sz="6" w:space="0" w:color="000000"/>
            </w:tcBorders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DB389A" w:rsidP="00A9547B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Sous réserve de la demande, au moins un webinaire sur la façon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élaborer et de mettre en œuvre un projet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action a été organisé au cours de la deuxième année du projet.</w:t>
            </w:r>
          </w:p>
        </w:tc>
        <w:tc>
          <w:tcPr>
            <w:tcW w:w="2835" w:type="dxa"/>
          </w:tcPr>
          <w:p w:rsidR="00F87720" w:rsidRPr="003622BB" w:rsidRDefault="00DB389A" w:rsidP="00A9547B">
            <w:pPr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Il n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 xml:space="preserve">y a pas encore eu de demande expresse des États membres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en vue 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>organiser des webinaires à ce s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uj</w:t>
            </w:r>
            <w:r w:rsidR="003622BB" w:rsidRPr="003622BB">
              <w:rPr>
                <w:rFonts w:eastAsia="Arial"/>
                <w:szCs w:val="22"/>
                <w:lang w:val="fr-FR" w:eastAsia="en-US"/>
              </w:rPr>
              <w:t>et.  Né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anmoins, un atelier sur la méthode révisée de mise en œuvre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action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OMPI pour le développement a été organisé pour les chefs de projet et responsables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action pour le développement le </w:t>
            </w:r>
            <w:r w:rsidRPr="003622BB">
              <w:rPr>
                <w:rFonts w:eastAsia="Arial"/>
                <w:szCs w:val="22"/>
                <w:lang w:val="fr-FR" w:eastAsia="en-US"/>
              </w:rPr>
              <w:t>6 avril 20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22.</w:t>
            </w:r>
            <w:r w:rsidR="00F87720" w:rsidRPr="003622BB">
              <w:rPr>
                <w:rFonts w:eastAsia="Arial"/>
                <w:szCs w:val="22"/>
                <w:lang w:val="fr-FR" w:eastAsia="en-US"/>
              </w:rPr>
              <w:t xml:space="preserve"> 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Un atelier similaire sera organisé au quatrième trimestre </w:t>
            </w:r>
            <w:r w:rsidRPr="003622BB">
              <w:rPr>
                <w:rFonts w:eastAsia="Arial"/>
                <w:szCs w:val="22"/>
                <w:lang w:val="fr-FR" w:eastAsia="en-US"/>
              </w:rPr>
              <w:t>de 2022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, pour les coordonnateurs nationaux des pays bénéficiaires du projet qui ont commencé leur mise en œuvre </w:t>
            </w:r>
            <w:r w:rsidRPr="003622BB">
              <w:rPr>
                <w:rFonts w:eastAsia="Arial"/>
                <w:szCs w:val="22"/>
                <w:lang w:val="fr-FR" w:eastAsia="en-US"/>
              </w:rPr>
              <w:t>en 2022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</w:t>
            </w:r>
          </w:p>
        </w:tc>
      </w:tr>
      <w:tr w:rsidR="00F87720" w:rsidRPr="003622BB" w:rsidTr="00A9547B">
        <w:trPr>
          <w:trHeight w:val="1969"/>
        </w:trPr>
        <w:tc>
          <w:tcPr>
            <w:tcW w:w="2530" w:type="dxa"/>
            <w:vMerge/>
            <w:tcBorders>
              <w:right w:val="single" w:sz="6" w:space="0" w:color="000000"/>
            </w:tcBorders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DB389A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Un cours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initiation à distance sur le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action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OMPI et la gestion de projet de base a été élaboré dans les six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mois suivant la deuxième année du projet.</w:t>
            </w:r>
          </w:p>
        </w:tc>
        <w:tc>
          <w:tcPr>
            <w:tcW w:w="2835" w:type="dxa"/>
          </w:tcPr>
          <w:p w:rsidR="00F87720" w:rsidRPr="003622BB" w:rsidRDefault="00DB389A" w:rsidP="00A9547B">
            <w:pPr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Le cours pilote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enseignement à distance a été lancé en </w:t>
            </w:r>
            <w:r w:rsidRPr="003622BB">
              <w:rPr>
                <w:rFonts w:eastAsia="Arial"/>
                <w:szCs w:val="22"/>
                <w:lang w:val="fr-FR" w:eastAsia="en-US"/>
              </w:rPr>
              <w:t>mai 20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22 pour une période de trois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mo</w:t>
            </w:r>
            <w:r w:rsidR="003622BB" w:rsidRPr="003622BB">
              <w:rPr>
                <w:rFonts w:eastAsia="Arial"/>
                <w:szCs w:val="22"/>
                <w:lang w:val="fr-FR" w:eastAsia="en-US"/>
              </w:rPr>
              <w:t>is.  En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viron 25</w:t>
            </w:r>
            <w:r w:rsidR="00AB5BB5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participants représentant les États membres et le personnel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OMPI se sont inscrits à la session pilote du cours.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</w:t>
            </w:r>
          </w:p>
        </w:tc>
      </w:tr>
      <w:tr w:rsidR="00F87720" w:rsidRPr="003622BB" w:rsidTr="00A9547B">
        <w:trPr>
          <w:trHeight w:val="1464"/>
        </w:trPr>
        <w:tc>
          <w:tcPr>
            <w:tcW w:w="2530" w:type="dxa"/>
            <w:vMerge w:val="restart"/>
            <w:tcBorders>
              <w:right w:val="single" w:sz="6" w:space="0" w:color="000000"/>
            </w:tcBorders>
            <w:vAlign w:val="center"/>
          </w:tcPr>
          <w:p w:rsidR="00F87720" w:rsidRPr="003622BB" w:rsidRDefault="0027546F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Diffusion du manuel et utilisation des ressources supplémentaires facilitée.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27546F" w:rsidP="00A9547B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– Le site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Web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OMPI a été mis à jour afin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accroître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accès au manuel et aux ressources supplémentaires et en augmenter la visibilité dans les neuf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Pr="003622BB">
              <w:rPr>
                <w:rFonts w:eastAsia="Arial"/>
                <w:szCs w:val="22"/>
                <w:lang w:val="fr-FR" w:eastAsia="en-US"/>
              </w:rPr>
              <w:t>mois suivant la deuxième année du projet.</w:t>
            </w:r>
          </w:p>
        </w:tc>
        <w:tc>
          <w:tcPr>
            <w:tcW w:w="2835" w:type="dxa"/>
          </w:tcPr>
          <w:p w:rsidR="00DB389A" w:rsidRPr="003622BB" w:rsidRDefault="00DB389A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Une fois les outils finalisés,</w:t>
            </w:r>
          </w:p>
          <w:p w:rsidR="00F87720" w:rsidRPr="003622BB" w:rsidRDefault="0027546F" w:rsidP="00A9547B">
            <w:pPr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la 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>page W</w:t>
            </w:r>
            <w:r w:rsidRPr="003622BB">
              <w:rPr>
                <w:rFonts w:eastAsia="Arial"/>
                <w:szCs w:val="22"/>
                <w:lang w:val="fr-FR" w:eastAsia="en-US"/>
              </w:rPr>
              <w:t>eb consacrée au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action pour le développement a été mise à jour pour faciliter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accès aux 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instruments mis au point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dans le cadre du projet, 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y compris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le </w:t>
            </w:r>
            <w:r w:rsidR="00471512" w:rsidRPr="003622BB">
              <w:rPr>
                <w:rFonts w:eastAsia="Arial"/>
                <w:szCs w:val="22"/>
                <w:lang w:val="fr-FR" w:eastAsia="en-US"/>
              </w:rPr>
              <w:t>gui</w:t>
            </w:r>
            <w:r w:rsidR="003622BB" w:rsidRPr="003622BB">
              <w:rPr>
                <w:rFonts w:eastAsia="Arial"/>
                <w:szCs w:val="22"/>
                <w:lang w:val="fr-FR" w:eastAsia="en-US"/>
              </w:rPr>
              <w:t>de.  Ce</w:t>
            </w:r>
            <w:r w:rsidRPr="003622BB">
              <w:rPr>
                <w:rFonts w:eastAsia="Arial"/>
                <w:szCs w:val="22"/>
                <w:lang w:val="fr-FR" w:eastAsia="en-US"/>
              </w:rPr>
              <w:t>tte page est disponible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adresse </w:t>
            </w:r>
            <w:hyperlink r:id="rId31" w:history="1">
              <w:r w:rsidR="00A9547B" w:rsidRPr="008C4549">
                <w:rPr>
                  <w:rStyle w:val="Hyperlink"/>
                  <w:lang w:val="fr-FR"/>
                </w:rPr>
                <w:t>https://www.wipo.int/ip</w:t>
              </w:r>
              <w:r w:rsidR="00A9547B" w:rsidRPr="008C4549">
                <w:rPr>
                  <w:rStyle w:val="Hyperlink"/>
                  <w:lang w:val="fr-FR"/>
                </w:rPr>
                <w:noBreakHyphen/>
                <w:t>development/fr/agenda/</w:t>
              </w:r>
            </w:hyperlink>
            <w:r w:rsidR="00A9547B">
              <w:rPr>
                <w:lang w:val="fr-FR"/>
              </w:rPr>
              <w:t>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****</w:t>
            </w:r>
          </w:p>
        </w:tc>
      </w:tr>
      <w:tr w:rsidR="00F87720" w:rsidRPr="003622BB" w:rsidTr="00A9547B">
        <w:trPr>
          <w:trHeight w:val="1462"/>
        </w:trPr>
        <w:tc>
          <w:tcPr>
            <w:tcW w:w="2530" w:type="dxa"/>
            <w:vMerge/>
            <w:tcBorders>
              <w:right w:val="single" w:sz="6" w:space="0" w:color="000000"/>
            </w:tcBorders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DB389A" w:rsidP="00A9547B">
            <w:pPr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La promotion du manuel et des ressources supplémentaires a été incluse dans les activités existantes par le Bureau international et les différents bureaux régionaux au cours de la deuxième année du projet.</w:t>
            </w:r>
          </w:p>
        </w:tc>
        <w:tc>
          <w:tcPr>
            <w:tcW w:w="2835" w:type="dxa"/>
          </w:tcPr>
          <w:p w:rsidR="00F87720" w:rsidRPr="003622BB" w:rsidRDefault="00DB389A" w:rsidP="00A9547B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Le </w:t>
            </w:r>
            <w:r w:rsidRPr="003622BB">
              <w:rPr>
                <w:rFonts w:eastAsia="Arial"/>
                <w:szCs w:val="22"/>
                <w:lang w:val="fr-FR" w:eastAsia="en-US"/>
              </w:rPr>
              <w:t>guide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 et le catalogue en ligne ont été présentés et partagés avec les divisions régionales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OMPI.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****</w:t>
            </w:r>
          </w:p>
        </w:tc>
      </w:tr>
      <w:tr w:rsidR="00F87720" w:rsidRPr="003622BB" w:rsidTr="00A9547B">
        <w:trPr>
          <w:trHeight w:val="444"/>
        </w:trPr>
        <w:tc>
          <w:tcPr>
            <w:tcW w:w="2530" w:type="dxa"/>
            <w:vMerge/>
            <w:tcBorders>
              <w:right w:val="single" w:sz="6" w:space="0" w:color="000000"/>
            </w:tcBorders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DB389A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Les </w:t>
            </w:r>
            <w:r w:rsidRPr="003622BB">
              <w:rPr>
                <w:rFonts w:eastAsia="Arial"/>
                <w:szCs w:val="22"/>
                <w:lang w:val="fr-FR" w:eastAsia="en-US"/>
              </w:rPr>
              <w:t>pages W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eb du </w:t>
            </w:r>
            <w:r w:rsidRPr="003622BB">
              <w:rPr>
                <w:rFonts w:eastAsia="Arial"/>
                <w:szCs w:val="22"/>
                <w:lang w:val="fr-FR" w:eastAsia="en-US"/>
              </w:rPr>
              <w:t>guide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 et du catalogue ont été consultées au moins 40</w:t>
            </w:r>
            <w:r w:rsidR="00AB5BB5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fois au cours de la première année suivant leur mise à disposition sur le site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Web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action pour le développement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OMPI.</w:t>
            </w:r>
          </w:p>
        </w:tc>
        <w:tc>
          <w:tcPr>
            <w:tcW w:w="2835" w:type="dxa"/>
          </w:tcPr>
          <w:p w:rsidR="005D5BCE" w:rsidRPr="003622BB" w:rsidRDefault="00DB389A" w:rsidP="00C308EE">
            <w:pPr>
              <w:autoSpaceDE w:val="0"/>
              <w:autoSpaceDN w:val="0"/>
              <w:rPr>
                <w:lang w:val="fr-FR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lang w:val="fr-FR"/>
              </w:rPr>
              <w:t xml:space="preserve">Le nombre de visiteurs uniques enregistrés entre </w:t>
            </w:r>
            <w:r w:rsidRPr="003622BB">
              <w:rPr>
                <w:lang w:val="fr-FR"/>
              </w:rPr>
              <w:t>octobre 20</w:t>
            </w:r>
            <w:r w:rsidR="0027546F" w:rsidRPr="003622BB">
              <w:rPr>
                <w:lang w:val="fr-FR"/>
              </w:rPr>
              <w:t xml:space="preserve">21 et </w:t>
            </w:r>
            <w:r w:rsidRPr="003622BB">
              <w:rPr>
                <w:lang w:val="fr-FR"/>
              </w:rPr>
              <w:t>juin 20</w:t>
            </w:r>
            <w:r w:rsidR="0027546F" w:rsidRPr="003622BB">
              <w:rPr>
                <w:lang w:val="fr-FR"/>
              </w:rPr>
              <w:t>22 est de 430 pour le catalogue.</w:t>
            </w:r>
          </w:p>
          <w:p w:rsidR="00F87720" w:rsidRPr="003622BB" w:rsidRDefault="0027546F" w:rsidP="00A9547B">
            <w:pPr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lang w:val="fr-FR"/>
              </w:rPr>
              <w:t>Le guide a également été publié dans le catalogue en ligne.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****</w:t>
            </w:r>
          </w:p>
        </w:tc>
      </w:tr>
      <w:tr w:rsidR="00F87720" w:rsidRPr="003622BB" w:rsidTr="00A9547B">
        <w:trPr>
          <w:trHeight w:val="1695"/>
        </w:trPr>
        <w:tc>
          <w:tcPr>
            <w:tcW w:w="2530" w:type="dxa"/>
            <w:vMerge w:val="restart"/>
            <w:tcBorders>
              <w:right w:val="single" w:sz="6" w:space="0" w:color="000000"/>
            </w:tcBorders>
            <w:vAlign w:val="center"/>
          </w:tcPr>
          <w:p w:rsidR="00F87720" w:rsidRPr="003622BB" w:rsidRDefault="0027546F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Faciliter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Pr="003622BB">
              <w:rPr>
                <w:rFonts w:eastAsia="Arial"/>
                <w:szCs w:val="22"/>
                <w:lang w:val="fr-FR" w:eastAsia="en-US"/>
              </w:rPr>
              <w:t>élaboration des propositions de projets des États membres pour examen par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 xml:space="preserve"> le CDI</w:t>
            </w:r>
            <w:r w:rsidRPr="003622BB">
              <w:rPr>
                <w:rFonts w:eastAsia="Arial"/>
                <w:szCs w:val="22"/>
                <w:lang w:val="fr-FR" w:eastAsia="en-US"/>
              </w:rPr>
              <w:t>P et accroître la rigueur initiale des propositions présentées</w:t>
            </w:r>
            <w:r w:rsidR="00DB389A" w:rsidRPr="003622BB">
              <w:rPr>
                <w:rFonts w:eastAsia="Arial"/>
                <w:szCs w:val="22"/>
                <w:lang w:val="fr-FR" w:eastAsia="en-US"/>
              </w:rPr>
              <w:t xml:space="preserve"> au CDI</w:t>
            </w:r>
            <w:r w:rsidRPr="003622BB">
              <w:rPr>
                <w:rFonts w:eastAsia="Arial"/>
                <w:szCs w:val="22"/>
                <w:lang w:val="fr-FR" w:eastAsia="en-US"/>
              </w:rPr>
              <w:t>P.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DB389A" w:rsidP="00A9547B">
            <w:pPr>
              <w:tabs>
                <w:tab w:val="left" w:pos="802"/>
              </w:tabs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 xml:space="preserve">Les </w:t>
            </w:r>
            <w:r w:rsidRPr="003622BB">
              <w:rPr>
                <w:rFonts w:eastAsia="Arial"/>
                <w:szCs w:val="22"/>
                <w:lang w:val="fr-FR" w:eastAsia="en-US"/>
              </w:rPr>
              <w:t>pages W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eb du manuel et du catalogue ont été consultées au moins 40</w:t>
            </w:r>
            <w:r w:rsidR="00AB5BB5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fois au cours de la première année suivant leur mise à disposition sur le site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Web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action pour le développement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OMPI.</w:t>
            </w:r>
          </w:p>
        </w:tc>
        <w:tc>
          <w:tcPr>
            <w:tcW w:w="2835" w:type="dxa"/>
          </w:tcPr>
          <w:p w:rsidR="00F87720" w:rsidRPr="00A9547B" w:rsidRDefault="00DB389A" w:rsidP="00C308EE">
            <w:pPr>
              <w:autoSpaceDE w:val="0"/>
              <w:autoSpaceDN w:val="0"/>
              <w:rPr>
                <w:lang w:val="fr-FR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lang w:val="fr-FR"/>
              </w:rPr>
              <w:t xml:space="preserve">Le nombre de visiteurs uniques enregistrés entre </w:t>
            </w:r>
            <w:r w:rsidRPr="003622BB">
              <w:rPr>
                <w:lang w:val="fr-FR"/>
              </w:rPr>
              <w:t>octobre 20</w:t>
            </w:r>
            <w:r w:rsidR="0027546F" w:rsidRPr="003622BB">
              <w:rPr>
                <w:lang w:val="fr-FR"/>
              </w:rPr>
              <w:t xml:space="preserve">21 et </w:t>
            </w:r>
            <w:r w:rsidRPr="003622BB">
              <w:rPr>
                <w:lang w:val="fr-FR"/>
              </w:rPr>
              <w:t>juin 20</w:t>
            </w:r>
            <w:r w:rsidR="0027546F" w:rsidRPr="003622BB">
              <w:rPr>
                <w:lang w:val="fr-FR"/>
              </w:rPr>
              <w:t>22 est de 430 pour le catalog</w:t>
            </w:r>
            <w:r w:rsidR="003622BB" w:rsidRPr="003622BB">
              <w:rPr>
                <w:lang w:val="fr-FR"/>
              </w:rPr>
              <w:t>ue.  Le</w:t>
            </w:r>
            <w:r w:rsidR="0027546F" w:rsidRPr="003622BB">
              <w:rPr>
                <w:lang w:val="fr-FR"/>
              </w:rPr>
              <w:t xml:space="preserve"> guide a également été publié dans le catalogue.</w:t>
            </w:r>
          </w:p>
        </w:tc>
        <w:tc>
          <w:tcPr>
            <w:tcW w:w="1417" w:type="dxa"/>
            <w:vAlign w:val="center"/>
          </w:tcPr>
          <w:p w:rsidR="00F87720" w:rsidRPr="003622BB" w:rsidRDefault="00F87720" w:rsidP="00A9547B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****</w:t>
            </w:r>
          </w:p>
        </w:tc>
      </w:tr>
      <w:tr w:rsidR="00F87720" w:rsidRPr="003622BB" w:rsidTr="00A9547B">
        <w:trPr>
          <w:trHeight w:val="1693"/>
        </w:trPr>
        <w:tc>
          <w:tcPr>
            <w:tcW w:w="2530" w:type="dxa"/>
            <w:vMerge/>
            <w:tcBorders>
              <w:right w:val="single" w:sz="6" w:space="0" w:color="000000"/>
            </w:tcBorders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DB389A" w:rsidP="00A9547B">
            <w:pPr>
              <w:tabs>
                <w:tab w:val="left" w:pos="802"/>
              </w:tabs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Au moins 50% des États membres qui soumettent des propositions de projets à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examen</w:t>
            </w:r>
            <w:r w:rsidRPr="003622BB">
              <w:rPr>
                <w:rFonts w:eastAsia="Arial"/>
                <w:szCs w:val="22"/>
                <w:lang w:val="fr-FR" w:eastAsia="en-US"/>
              </w:rPr>
              <w:t xml:space="preserve"> du CDI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P dans les deux</w:t>
            </w:r>
            <w:r w:rsidR="004E4C86" w:rsidRPr="003622BB">
              <w:rPr>
                <w:rFonts w:eastAsia="Arial"/>
                <w:szCs w:val="22"/>
                <w:lang w:val="fr-FR" w:eastAsia="en-US"/>
              </w:rPr>
              <w:t> 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ans suivant la parution du manuel et des ressources supplémentaires ont indiqué que ces outils les avaient aidés à élaborer leurs propositions.</w:t>
            </w:r>
          </w:p>
        </w:tc>
        <w:tc>
          <w:tcPr>
            <w:tcW w:w="2835" w:type="dxa"/>
          </w:tcPr>
          <w:p w:rsidR="00F87720" w:rsidRPr="003622BB" w:rsidRDefault="00DB389A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Prématuré à ce stade</w:t>
            </w:r>
            <w:r w:rsidR="00A9547B">
              <w:rPr>
                <w:rFonts w:eastAsia="Arial"/>
                <w:szCs w:val="22"/>
                <w:lang w:val="fr-FR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F87720" w:rsidRPr="003622BB" w:rsidRDefault="0027546F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s.o.</w:t>
            </w:r>
          </w:p>
        </w:tc>
      </w:tr>
      <w:tr w:rsidR="00F87720" w:rsidRPr="003622BB" w:rsidTr="00A9547B">
        <w:trPr>
          <w:trHeight w:val="1039"/>
        </w:trPr>
        <w:tc>
          <w:tcPr>
            <w:tcW w:w="2530" w:type="dxa"/>
            <w:vMerge/>
            <w:tcBorders>
              <w:right w:val="single" w:sz="6" w:space="0" w:color="000000"/>
            </w:tcBorders>
            <w:vAlign w:val="center"/>
          </w:tcPr>
          <w:p w:rsidR="00F87720" w:rsidRPr="003622BB" w:rsidRDefault="00F87720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7720" w:rsidRPr="003622BB" w:rsidRDefault="00DB389A" w:rsidP="00A9547B">
            <w:pPr>
              <w:tabs>
                <w:tab w:val="left" w:pos="802"/>
              </w:tabs>
              <w:autoSpaceDE w:val="0"/>
              <w:autoSpaceDN w:val="0"/>
              <w:spacing w:after="24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Au moins 50% des personnes qui ont participé à un webinaire (s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il a été organisé) ou qui ont suivi le cours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apprentissage à distance ont indiqué qu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ils ont une meilleure compréhension de l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élaboration et de la gestion des projets du Plan d</w:t>
            </w:r>
            <w:r w:rsidR="001B2C39" w:rsidRPr="003622BB">
              <w:rPr>
                <w:rFonts w:eastAsia="Arial"/>
                <w:szCs w:val="22"/>
                <w:lang w:val="fr-FR" w:eastAsia="en-US"/>
              </w:rPr>
              <w:t>’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action pour le développement.</w:t>
            </w:r>
          </w:p>
        </w:tc>
        <w:tc>
          <w:tcPr>
            <w:tcW w:w="2835" w:type="dxa"/>
          </w:tcPr>
          <w:p w:rsidR="00F87720" w:rsidRPr="003622BB" w:rsidRDefault="00DB389A" w:rsidP="00C308EE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 xml:space="preserve">– </w:t>
            </w:r>
            <w:r w:rsidR="0027546F" w:rsidRPr="003622BB">
              <w:rPr>
                <w:rFonts w:eastAsia="Arial"/>
                <w:szCs w:val="22"/>
                <w:lang w:val="fr-FR" w:eastAsia="en-US"/>
              </w:rPr>
              <w:t>Prématuré à ce stade</w:t>
            </w:r>
            <w:r w:rsidR="00A9547B">
              <w:rPr>
                <w:rFonts w:eastAsia="Arial"/>
                <w:szCs w:val="22"/>
                <w:lang w:val="fr-FR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F87720" w:rsidRPr="003622BB" w:rsidRDefault="0027546F" w:rsidP="00A9547B">
            <w:pPr>
              <w:autoSpaceDE w:val="0"/>
              <w:autoSpaceDN w:val="0"/>
              <w:rPr>
                <w:rFonts w:eastAsia="Arial"/>
                <w:szCs w:val="22"/>
                <w:lang w:val="fr-FR" w:eastAsia="en-US"/>
              </w:rPr>
            </w:pPr>
            <w:r w:rsidRPr="003622BB">
              <w:rPr>
                <w:rFonts w:eastAsia="Arial"/>
                <w:szCs w:val="22"/>
                <w:lang w:val="fr-FR" w:eastAsia="en-US"/>
              </w:rPr>
              <w:t>s.o.</w:t>
            </w:r>
          </w:p>
        </w:tc>
      </w:tr>
    </w:tbl>
    <w:p w:rsidR="00F87720" w:rsidRPr="003622BB" w:rsidRDefault="000819BC" w:rsidP="00A9547B">
      <w:pPr>
        <w:pStyle w:val="Endofdocument-Annex"/>
      </w:pPr>
      <w:r w:rsidRPr="003622BB">
        <w:t>[Fin de l</w:t>
      </w:r>
      <w:r w:rsidR="001B2C39" w:rsidRPr="003622BB">
        <w:t>’</w:t>
      </w:r>
      <w:r w:rsidR="00F87720" w:rsidRPr="003622BB">
        <w:t>annexe</w:t>
      </w:r>
      <w:r w:rsidRPr="003622BB">
        <w:t xml:space="preserve"> et du document]</w:t>
      </w:r>
    </w:p>
    <w:sectPr w:rsidR="00F87720" w:rsidRPr="003622BB" w:rsidSect="008A7AE5">
      <w:headerReference w:type="default" r:id="rId32"/>
      <w:headerReference w:type="first" r:id="rId3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CE" w:rsidRDefault="005D5BCE">
      <w:r>
        <w:separator/>
      </w:r>
    </w:p>
  </w:endnote>
  <w:endnote w:type="continuationSeparator" w:id="0">
    <w:p w:rsidR="005D5BCE" w:rsidRPr="009D30E6" w:rsidRDefault="005D5BC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D5BCE" w:rsidRPr="009D30E6" w:rsidRDefault="005D5BC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D5BCE" w:rsidRPr="009D30E6" w:rsidRDefault="005D5BC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E" w:rsidRDefault="005D5BCE" w:rsidP="004053E0">
    <w:pPr>
      <w:pStyle w:val="Footer"/>
      <w:jc w:val="center"/>
    </w:pPr>
  </w:p>
  <w:p w:rsidR="005D5BCE" w:rsidRDefault="005D5BCE" w:rsidP="004053E0">
    <w:pPr>
      <w:pStyle w:val="Footer"/>
    </w:pPr>
  </w:p>
  <w:p w:rsidR="005D5BCE" w:rsidRDefault="005D5BCE" w:rsidP="00405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8B" w:rsidRDefault="009867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8B" w:rsidRDefault="00986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CE" w:rsidRDefault="005D5BCE">
      <w:r>
        <w:separator/>
      </w:r>
    </w:p>
  </w:footnote>
  <w:footnote w:type="continuationSeparator" w:id="0">
    <w:p w:rsidR="005D5BCE" w:rsidRDefault="005D5BCE" w:rsidP="007461F1">
      <w:r>
        <w:separator/>
      </w:r>
    </w:p>
    <w:p w:rsidR="005D5BCE" w:rsidRPr="009D30E6" w:rsidRDefault="005D5BC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D5BCE" w:rsidRPr="009D30E6" w:rsidRDefault="005D5BC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5D5BCE" w:rsidRPr="0014612C" w:rsidRDefault="005D5BCE" w:rsidP="008A7AE5">
      <w:pPr>
        <w:pStyle w:val="FootnoteText"/>
        <w:tabs>
          <w:tab w:val="left" w:pos="567"/>
        </w:tabs>
      </w:pPr>
      <w:r w:rsidRPr="0014612C">
        <w:rPr>
          <w:rStyle w:val="FootnoteReference"/>
        </w:rPr>
        <w:footnoteRef/>
      </w:r>
      <w:r w:rsidRPr="0014612C">
        <w:t xml:space="preserve"> </w:t>
      </w:r>
      <w:r w:rsidR="008A7AE5">
        <w:tab/>
      </w:r>
      <w:r w:rsidRPr="0014612C">
        <w:t>Dans le documen</w:t>
      </w:r>
      <w:r w:rsidR="008A7AE5">
        <w:t>t initial du projet (CDIP/24/14 </w:t>
      </w:r>
      <w:r w:rsidRPr="0014612C">
        <w:t xml:space="preserve">Rev.), cet élément était appelé </w:t>
      </w:r>
      <w:r w:rsidR="00F520A9">
        <w:t>“</w:t>
      </w:r>
      <w:r w:rsidR="00F520A9" w:rsidRPr="0014612C">
        <w:t>M</w:t>
      </w:r>
      <w:r w:rsidRPr="0014612C">
        <w:t>anue</w:t>
      </w:r>
      <w:r w:rsidR="00F520A9" w:rsidRPr="0014612C">
        <w:t>l</w:t>
      </w:r>
      <w:r w:rsidR="00F520A9">
        <w:t>”</w:t>
      </w:r>
      <w:r w:rsidRPr="0014612C">
        <w:t xml:space="preserve">.  </w:t>
      </w:r>
    </w:p>
  </w:footnote>
  <w:footnote w:id="3">
    <w:p w:rsidR="005D5BCE" w:rsidRPr="002F512A" w:rsidRDefault="005D5BCE" w:rsidP="008A7AE5">
      <w:pPr>
        <w:pStyle w:val="FootnoteText"/>
        <w:tabs>
          <w:tab w:val="left" w:pos="567"/>
        </w:tabs>
      </w:pPr>
      <w:r w:rsidRPr="0014612C">
        <w:rPr>
          <w:rStyle w:val="FootnoteReference"/>
        </w:rPr>
        <w:footnoteRef/>
      </w:r>
      <w:r w:rsidRPr="0014612C">
        <w:t xml:space="preserve"> </w:t>
      </w:r>
      <w:r w:rsidR="008A7AE5">
        <w:tab/>
      </w:r>
      <w:r w:rsidRPr="0014612C">
        <w:t>L</w:t>
      </w:r>
      <w:r w:rsidR="003F4321">
        <w:t>’</w:t>
      </w:r>
      <w:r w:rsidRPr="0014612C">
        <w:t>expert externe qui a été sélectionné pour mettre au po</w:t>
      </w:r>
      <w:r>
        <w:t>i</w:t>
      </w:r>
      <w:r w:rsidRPr="0014612C">
        <w:t xml:space="preserve">nt le </w:t>
      </w:r>
      <w:r>
        <w:t>guide</w:t>
      </w:r>
      <w:r w:rsidRPr="0014612C">
        <w:t xml:space="preserve"> est M.</w:t>
      </w:r>
      <w:r w:rsidR="004E4C86">
        <w:t> </w:t>
      </w:r>
      <w:r w:rsidRPr="0014612C">
        <w:t>Daniel</w:t>
      </w:r>
      <w:r w:rsidR="00AB5BB5">
        <w:t> </w:t>
      </w:r>
      <w:r w:rsidRPr="0014612C">
        <w:t>Keller, cofondateur et président d</w:t>
      </w:r>
      <w:r w:rsidR="003F4321">
        <w:t>’</w:t>
      </w:r>
      <w:r w:rsidRPr="0014612C">
        <w:t>EvalCo Sàrl, Evilard</w:t>
      </w:r>
      <w:r w:rsidR="003F4321">
        <w:t>-</w:t>
      </w:r>
      <w:r w:rsidRPr="0014612C">
        <w:t>Leubringen, Suisse.</w:t>
      </w:r>
    </w:p>
  </w:footnote>
  <w:footnote w:id="4">
    <w:p w:rsidR="005D5BCE" w:rsidRPr="00822273" w:rsidRDefault="005D5BCE" w:rsidP="008A7AE5">
      <w:pPr>
        <w:pStyle w:val="FootnoteText"/>
        <w:tabs>
          <w:tab w:val="left" w:pos="567"/>
        </w:tabs>
      </w:pPr>
      <w:r w:rsidRPr="008E7F70">
        <w:rPr>
          <w:rStyle w:val="FootnoteReference"/>
        </w:rPr>
        <w:footnoteRef/>
      </w:r>
      <w:r w:rsidRPr="008E7F70">
        <w:t xml:space="preserve"> </w:t>
      </w:r>
      <w:r w:rsidR="008A7AE5">
        <w:tab/>
      </w:r>
      <w:r w:rsidRPr="008E7F70">
        <w:t>Comme indiqué précédemment, le résultat escompté est appelé “Manuel” dans le document de projet approuvé.  Après un examen plus approfondi par l</w:t>
      </w:r>
      <w:r w:rsidR="003F4321">
        <w:t>’</w:t>
      </w:r>
      <w:r w:rsidRPr="008E7F70">
        <w:t xml:space="preserve">équipe de projet, il a été décidé </w:t>
      </w:r>
      <w:r>
        <w:t>de désigner ce</w:t>
      </w:r>
      <w:r w:rsidRPr="008E7F70">
        <w:t xml:space="preserve"> manuel</w:t>
      </w:r>
      <w:r>
        <w:t xml:space="preserve"> sous l</w:t>
      </w:r>
      <w:r w:rsidR="003F4321">
        <w:t>’</w:t>
      </w:r>
      <w:r>
        <w:t>appellation “m</w:t>
      </w:r>
      <w:r w:rsidRPr="008E7F70">
        <w:t>atériel de support”</w:t>
      </w:r>
      <w:r>
        <w:t>,</w:t>
      </w:r>
      <w:r w:rsidRPr="008E7F70">
        <w:t xml:space="preserve"> afin de mieux définir sa portée et son objectif.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E" w:rsidRDefault="005D5BCE" w:rsidP="004053E0">
    <w:pPr>
      <w:pStyle w:val="Header"/>
      <w:ind w:right="360"/>
      <w:jc w:val="center"/>
      <w:rPr>
        <w:rStyle w:val="PageNumber"/>
        <w:color w:val="000000"/>
        <w:sz w:val="17"/>
      </w:rPr>
    </w:pPr>
    <w:r w:rsidRPr="00FB6857">
      <w:rPr>
        <w:rStyle w:val="PageNumber"/>
        <w:color w:val="000000"/>
        <w:sz w:val="17"/>
      </w:rPr>
      <w:t> </w:t>
    </w:r>
  </w:p>
  <w:p w:rsidR="005D5BCE" w:rsidRDefault="005D5BCE" w:rsidP="004053E0">
    <w:pPr>
      <w:pStyle w:val="Header"/>
      <w:ind w:right="360"/>
      <w:jc w:val="center"/>
      <w:rPr>
        <w:rStyle w:val="PageNumber"/>
      </w:rPr>
    </w:pPr>
  </w:p>
  <w:p w:rsidR="005D5BCE" w:rsidRDefault="005D5BCE" w:rsidP="004053E0">
    <w:pPr>
      <w:pStyle w:val="Header"/>
      <w:ind w:right="360"/>
      <w:jc w:val="right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97</w:t>
    </w:r>
    <w:r>
      <w:rPr>
        <w:rStyle w:val="PageNumber"/>
      </w:rPr>
      <w:fldChar w:fldCharType="end"/>
    </w:r>
  </w:p>
  <w:p w:rsidR="005D5BCE" w:rsidRDefault="005D5BCE" w:rsidP="004053E0">
    <w:pPr>
      <w:pStyle w:val="Header"/>
      <w:ind w:right="360"/>
      <w:jc w:val="right"/>
      <w:rPr>
        <w:rStyle w:val="PageNumber"/>
      </w:rPr>
    </w:pPr>
  </w:p>
  <w:p w:rsidR="005D5BCE" w:rsidRDefault="005D5BCE" w:rsidP="004053E0">
    <w:pPr>
      <w:pStyle w:val="Header"/>
      <w:ind w:right="360"/>
    </w:pPr>
  </w:p>
  <w:p w:rsidR="005D5BCE" w:rsidRDefault="005D5BCE" w:rsidP="00405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E" w:rsidRPr="007A37D6" w:rsidRDefault="005D5BCE" w:rsidP="004053E0">
    <w:pPr>
      <w:pStyle w:val="Header"/>
      <w:jc w:val="right"/>
      <w:rPr>
        <w:rStyle w:val="PageNumber"/>
      </w:rPr>
    </w:pPr>
    <w:r w:rsidRPr="007A37D6">
      <w:rPr>
        <w:rStyle w:val="PageNumber"/>
      </w:rPr>
      <w:t>CDIP/26/2</w:t>
    </w:r>
  </w:p>
  <w:p w:rsidR="005D5BCE" w:rsidRDefault="005D5BCE" w:rsidP="004053E0">
    <w:pPr>
      <w:pStyle w:val="Header"/>
      <w:jc w:val="right"/>
    </w:pPr>
    <w:r w:rsidRPr="007A37D6">
      <w:t>page </w:t>
    </w:r>
    <w:sdt>
      <w:sdtPr>
        <w:id w:val="-2639308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89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D5BCE" w:rsidRDefault="005D5BCE" w:rsidP="004053E0">
    <w:pPr>
      <w:pStyle w:val="Header"/>
      <w:tabs>
        <w:tab w:val="clear" w:pos="4536"/>
        <w:tab w:val="clear" w:pos="9072"/>
      </w:tabs>
      <w:ind w:right="12"/>
      <w:jc w:val="right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E" w:rsidRDefault="005D5BCE" w:rsidP="001B32F3">
    <w:pPr>
      <w:pStyle w:val="Header"/>
      <w:tabs>
        <w:tab w:val="clear" w:pos="4536"/>
        <w:tab w:val="clear" w:pos="9072"/>
        <w:tab w:val="left" w:pos="865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E" w:rsidRPr="00B45C15" w:rsidRDefault="005D5BCE" w:rsidP="00477D6B">
    <w:pPr>
      <w:jc w:val="right"/>
      <w:rPr>
        <w:caps/>
      </w:rPr>
    </w:pPr>
    <w:bookmarkStart w:id="6" w:name="Code2"/>
    <w:bookmarkEnd w:id="6"/>
    <w:r>
      <w:rPr>
        <w:caps/>
      </w:rPr>
      <w:t>CDIP/2</w:t>
    </w:r>
    <w:r w:rsidR="008A7AE5">
      <w:rPr>
        <w:caps/>
      </w:rPr>
      <w:t>9</w:t>
    </w:r>
    <w:r>
      <w:rPr>
        <w:caps/>
      </w:rPr>
      <w:t>/</w:t>
    </w:r>
    <w:r w:rsidR="008A7AE5">
      <w:rPr>
        <w:caps/>
      </w:rPr>
      <w:t>4</w:t>
    </w:r>
  </w:p>
  <w:p w:rsidR="005D5BCE" w:rsidRDefault="008A7AE5" w:rsidP="008A7AE5">
    <w:pPr>
      <w:spacing w:after="480"/>
      <w:jc w:val="right"/>
    </w:pPr>
    <w:r>
      <w:t>Annexe, p</w:t>
    </w:r>
    <w:r w:rsidR="005D5BCE">
      <w:t>age</w:t>
    </w:r>
    <w:r>
      <w:t> </w:t>
    </w:r>
    <w:r w:rsidR="005D5BCE">
      <w:fldChar w:fldCharType="begin"/>
    </w:r>
    <w:r w:rsidR="005D5BCE">
      <w:instrText xml:space="preserve"> PAGE  \* MERGEFORMAT </w:instrText>
    </w:r>
    <w:r w:rsidR="005D5BCE">
      <w:fldChar w:fldCharType="separate"/>
    </w:r>
    <w:r w:rsidR="00300DB0">
      <w:rPr>
        <w:noProof/>
      </w:rPr>
      <w:t>2</w:t>
    </w:r>
    <w:r w:rsidR="005D5BCE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E5" w:rsidRDefault="008A7AE5" w:rsidP="008A7AE5">
    <w:pPr>
      <w:pStyle w:val="Header"/>
      <w:tabs>
        <w:tab w:val="clear" w:pos="4536"/>
        <w:tab w:val="clear" w:pos="9072"/>
        <w:tab w:val="left" w:pos="8652"/>
      </w:tabs>
      <w:jc w:val="right"/>
    </w:pPr>
    <w:r>
      <w:t>CDIP/29/4</w:t>
    </w:r>
  </w:p>
  <w:p w:rsidR="008A7AE5" w:rsidRDefault="008A7AE5" w:rsidP="008A7AE5">
    <w:pPr>
      <w:pStyle w:val="Header"/>
      <w:tabs>
        <w:tab w:val="clear" w:pos="4536"/>
        <w:tab w:val="clear" w:pos="9072"/>
        <w:tab w:val="left" w:pos="8652"/>
      </w:tabs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C5348F"/>
    <w:multiLevelType w:val="hybridMultilevel"/>
    <w:tmpl w:val="194247C0"/>
    <w:lvl w:ilvl="0" w:tplc="93A00A9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244"/>
    <w:multiLevelType w:val="hybridMultilevel"/>
    <w:tmpl w:val="CFD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094C0D"/>
    <w:multiLevelType w:val="hybridMultilevel"/>
    <w:tmpl w:val="B2A8598C"/>
    <w:lvl w:ilvl="0" w:tplc="0E866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142DE"/>
    <w:multiLevelType w:val="hybridMultilevel"/>
    <w:tmpl w:val="1138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6E7F"/>
    <w:multiLevelType w:val="hybridMultilevel"/>
    <w:tmpl w:val="C3008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74D83"/>
    <w:multiLevelType w:val="hybridMultilevel"/>
    <w:tmpl w:val="0D70BC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645434"/>
    <w:multiLevelType w:val="hybridMultilevel"/>
    <w:tmpl w:val="0888BD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597BB4"/>
    <w:multiLevelType w:val="hybridMultilevel"/>
    <w:tmpl w:val="8B188A6A"/>
    <w:lvl w:ilvl="0" w:tplc="F5DEF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DF5"/>
    <w:multiLevelType w:val="hybridMultilevel"/>
    <w:tmpl w:val="0DACE028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2403F"/>
    <w:multiLevelType w:val="hybridMultilevel"/>
    <w:tmpl w:val="1ED8A0A2"/>
    <w:lvl w:ilvl="0" w:tplc="D1F8CA8E">
      <w:start w:val="1"/>
      <w:numFmt w:val="lowerRoman"/>
      <w:lvlText w:val="%1."/>
      <w:lvlJc w:val="left"/>
      <w:pPr>
        <w:ind w:left="8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2993385C"/>
    <w:multiLevelType w:val="hybridMultilevel"/>
    <w:tmpl w:val="A30C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C1D4A"/>
    <w:multiLevelType w:val="hybridMultilevel"/>
    <w:tmpl w:val="967827A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 w15:restartNumberingAfterBreak="0">
    <w:nsid w:val="32B05127"/>
    <w:multiLevelType w:val="hybridMultilevel"/>
    <w:tmpl w:val="274029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A1F6A"/>
    <w:multiLevelType w:val="hybridMultilevel"/>
    <w:tmpl w:val="9C8664B8"/>
    <w:lvl w:ilvl="0" w:tplc="413E5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6F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E8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E8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0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48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E2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E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4C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436AD1"/>
    <w:multiLevelType w:val="hybridMultilevel"/>
    <w:tmpl w:val="3424A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EAD34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77F56"/>
    <w:multiLevelType w:val="hybridMultilevel"/>
    <w:tmpl w:val="DCA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629B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435D"/>
    <w:multiLevelType w:val="hybridMultilevel"/>
    <w:tmpl w:val="38209940"/>
    <w:lvl w:ilvl="0" w:tplc="8878D23A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24351"/>
    <w:multiLevelType w:val="multilevel"/>
    <w:tmpl w:val="73029756"/>
    <w:lvl w:ilvl="0">
      <w:start w:val="1"/>
      <w:numFmt w:val="lowerRoman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 w15:restartNumberingAfterBreak="0">
    <w:nsid w:val="4F0129F0"/>
    <w:multiLevelType w:val="hybridMultilevel"/>
    <w:tmpl w:val="7FF2D8E4"/>
    <w:lvl w:ilvl="0" w:tplc="5CBC0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645D0"/>
    <w:multiLevelType w:val="hybridMultilevel"/>
    <w:tmpl w:val="E2847F10"/>
    <w:lvl w:ilvl="0" w:tplc="04090015">
      <w:start w:val="1"/>
      <w:numFmt w:val="upperLetter"/>
      <w:lvlText w:val="%1.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6" w15:restartNumberingAfterBreak="0">
    <w:nsid w:val="52234C0B"/>
    <w:multiLevelType w:val="hybridMultilevel"/>
    <w:tmpl w:val="28B8A822"/>
    <w:lvl w:ilvl="0" w:tplc="F5DEF9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A651C"/>
    <w:multiLevelType w:val="hybridMultilevel"/>
    <w:tmpl w:val="6D84CF18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D5658"/>
    <w:multiLevelType w:val="hybridMultilevel"/>
    <w:tmpl w:val="60529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33D90"/>
    <w:multiLevelType w:val="hybridMultilevel"/>
    <w:tmpl w:val="E128565A"/>
    <w:lvl w:ilvl="0" w:tplc="0E866DC6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B73710A"/>
    <w:multiLevelType w:val="hybridMultilevel"/>
    <w:tmpl w:val="31E4728A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1" w15:restartNumberingAfterBreak="0">
    <w:nsid w:val="6CD1680D"/>
    <w:multiLevelType w:val="hybridMultilevel"/>
    <w:tmpl w:val="BA70D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C14F7"/>
    <w:multiLevelType w:val="hybridMultilevel"/>
    <w:tmpl w:val="E79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22"/>
  </w:num>
  <w:num w:numId="5">
    <w:abstractNumId w:val="1"/>
  </w:num>
  <w:num w:numId="6">
    <w:abstractNumId w:val="9"/>
  </w:num>
  <w:num w:numId="7">
    <w:abstractNumId w:val="19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31"/>
  </w:num>
  <w:num w:numId="13">
    <w:abstractNumId w:val="14"/>
  </w:num>
  <w:num w:numId="14">
    <w:abstractNumId w:val="10"/>
  </w:num>
  <w:num w:numId="15">
    <w:abstractNumId w:val="32"/>
  </w:num>
  <w:num w:numId="16">
    <w:abstractNumId w:val="17"/>
  </w:num>
  <w:num w:numId="17">
    <w:abstractNumId w:val="5"/>
  </w:num>
  <w:num w:numId="18">
    <w:abstractNumId w:val="29"/>
  </w:num>
  <w:num w:numId="19">
    <w:abstractNumId w:val="28"/>
  </w:num>
  <w:num w:numId="20">
    <w:abstractNumId w:val="11"/>
  </w:num>
  <w:num w:numId="21">
    <w:abstractNumId w:val="6"/>
  </w:num>
  <w:num w:numId="22">
    <w:abstractNumId w:val="27"/>
  </w:num>
  <w:num w:numId="23">
    <w:abstractNumId w:val="23"/>
  </w:num>
  <w:num w:numId="24">
    <w:abstractNumId w:val="26"/>
  </w:num>
  <w:num w:numId="25">
    <w:abstractNumId w:val="24"/>
  </w:num>
  <w:num w:numId="26">
    <w:abstractNumId w:val="18"/>
  </w:num>
  <w:num w:numId="27">
    <w:abstractNumId w:val="13"/>
  </w:num>
  <w:num w:numId="28">
    <w:abstractNumId w:val="25"/>
  </w:num>
  <w:num w:numId="29">
    <w:abstractNumId w:val="30"/>
  </w:num>
  <w:num w:numId="30">
    <w:abstractNumId w:val="15"/>
  </w:num>
  <w:num w:numId="31">
    <w:abstractNumId w:val="12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2A761B"/>
    <w:rsid w:val="00011B7D"/>
    <w:rsid w:val="00045379"/>
    <w:rsid w:val="00047D6F"/>
    <w:rsid w:val="00064777"/>
    <w:rsid w:val="00075432"/>
    <w:rsid w:val="000819BC"/>
    <w:rsid w:val="0009458A"/>
    <w:rsid w:val="00097071"/>
    <w:rsid w:val="000A7F60"/>
    <w:rsid w:val="000F4BFA"/>
    <w:rsid w:val="000F5E56"/>
    <w:rsid w:val="000F6703"/>
    <w:rsid w:val="00103B05"/>
    <w:rsid w:val="00105F5E"/>
    <w:rsid w:val="00121BCD"/>
    <w:rsid w:val="001362EE"/>
    <w:rsid w:val="0014612C"/>
    <w:rsid w:val="00150368"/>
    <w:rsid w:val="0015311E"/>
    <w:rsid w:val="00161CB0"/>
    <w:rsid w:val="00171331"/>
    <w:rsid w:val="001760A3"/>
    <w:rsid w:val="001832A6"/>
    <w:rsid w:val="00195C6E"/>
    <w:rsid w:val="001A17AE"/>
    <w:rsid w:val="001B266A"/>
    <w:rsid w:val="001B2C39"/>
    <w:rsid w:val="001B32F3"/>
    <w:rsid w:val="001B488E"/>
    <w:rsid w:val="001B5501"/>
    <w:rsid w:val="001C6508"/>
    <w:rsid w:val="001D3D56"/>
    <w:rsid w:val="001E63DE"/>
    <w:rsid w:val="001F6ACD"/>
    <w:rsid w:val="00227C78"/>
    <w:rsid w:val="00240654"/>
    <w:rsid w:val="0025540C"/>
    <w:rsid w:val="002634C4"/>
    <w:rsid w:val="0027546F"/>
    <w:rsid w:val="002956DE"/>
    <w:rsid w:val="002A761B"/>
    <w:rsid w:val="002D636B"/>
    <w:rsid w:val="002E409B"/>
    <w:rsid w:val="002E4D1A"/>
    <w:rsid w:val="002F16BC"/>
    <w:rsid w:val="002F4E68"/>
    <w:rsid w:val="002F512A"/>
    <w:rsid w:val="00300783"/>
    <w:rsid w:val="00300DB0"/>
    <w:rsid w:val="00322C0B"/>
    <w:rsid w:val="00357A35"/>
    <w:rsid w:val="003622BB"/>
    <w:rsid w:val="00372953"/>
    <w:rsid w:val="0037557C"/>
    <w:rsid w:val="00381798"/>
    <w:rsid w:val="003845C1"/>
    <w:rsid w:val="00395934"/>
    <w:rsid w:val="003A3297"/>
    <w:rsid w:val="003A67A3"/>
    <w:rsid w:val="003C48D3"/>
    <w:rsid w:val="003D0101"/>
    <w:rsid w:val="003F4321"/>
    <w:rsid w:val="003F6815"/>
    <w:rsid w:val="004008A2"/>
    <w:rsid w:val="00400943"/>
    <w:rsid w:val="004025DF"/>
    <w:rsid w:val="004053E0"/>
    <w:rsid w:val="0040540C"/>
    <w:rsid w:val="00423E3E"/>
    <w:rsid w:val="00427AF4"/>
    <w:rsid w:val="00433A77"/>
    <w:rsid w:val="00440AD9"/>
    <w:rsid w:val="00447C9E"/>
    <w:rsid w:val="00450FAC"/>
    <w:rsid w:val="004647DA"/>
    <w:rsid w:val="004676E1"/>
    <w:rsid w:val="00471512"/>
    <w:rsid w:val="00477D6B"/>
    <w:rsid w:val="00484A89"/>
    <w:rsid w:val="00491F17"/>
    <w:rsid w:val="004C0DB5"/>
    <w:rsid w:val="004D6471"/>
    <w:rsid w:val="004E4C86"/>
    <w:rsid w:val="00502729"/>
    <w:rsid w:val="00507A24"/>
    <w:rsid w:val="0051455D"/>
    <w:rsid w:val="0052508C"/>
    <w:rsid w:val="0052547D"/>
    <w:rsid w:val="00525B63"/>
    <w:rsid w:val="00525E59"/>
    <w:rsid w:val="00541348"/>
    <w:rsid w:val="005421DD"/>
    <w:rsid w:val="00554FA5"/>
    <w:rsid w:val="005562F9"/>
    <w:rsid w:val="00563B38"/>
    <w:rsid w:val="00564FF8"/>
    <w:rsid w:val="00567A4C"/>
    <w:rsid w:val="00574036"/>
    <w:rsid w:val="005844C7"/>
    <w:rsid w:val="00595F07"/>
    <w:rsid w:val="005A681C"/>
    <w:rsid w:val="005D0614"/>
    <w:rsid w:val="005D2678"/>
    <w:rsid w:val="005D5BCE"/>
    <w:rsid w:val="005E6516"/>
    <w:rsid w:val="005F0C44"/>
    <w:rsid w:val="005F3824"/>
    <w:rsid w:val="005F3F69"/>
    <w:rsid w:val="0060176C"/>
    <w:rsid w:val="00605827"/>
    <w:rsid w:val="00616671"/>
    <w:rsid w:val="00645644"/>
    <w:rsid w:val="00646E5C"/>
    <w:rsid w:val="006615E1"/>
    <w:rsid w:val="00662A51"/>
    <w:rsid w:val="006A3A1A"/>
    <w:rsid w:val="006B0DB5"/>
    <w:rsid w:val="006C2584"/>
    <w:rsid w:val="006C3FD7"/>
    <w:rsid w:val="006D06A9"/>
    <w:rsid w:val="006E2D9F"/>
    <w:rsid w:val="007461F1"/>
    <w:rsid w:val="00755728"/>
    <w:rsid w:val="00770AE3"/>
    <w:rsid w:val="00777246"/>
    <w:rsid w:val="00782278"/>
    <w:rsid w:val="007A37D6"/>
    <w:rsid w:val="007C02F7"/>
    <w:rsid w:val="007C5F02"/>
    <w:rsid w:val="007C6F2C"/>
    <w:rsid w:val="007C7344"/>
    <w:rsid w:val="007D0BC2"/>
    <w:rsid w:val="007D1E01"/>
    <w:rsid w:val="007D6961"/>
    <w:rsid w:val="007F07CB"/>
    <w:rsid w:val="00800ECC"/>
    <w:rsid w:val="00802D24"/>
    <w:rsid w:val="00810CEF"/>
    <w:rsid w:val="0081208D"/>
    <w:rsid w:val="00822273"/>
    <w:rsid w:val="00823184"/>
    <w:rsid w:val="00867775"/>
    <w:rsid w:val="008978EF"/>
    <w:rsid w:val="008A7AE5"/>
    <w:rsid w:val="008B2CC1"/>
    <w:rsid w:val="008D4218"/>
    <w:rsid w:val="008E7930"/>
    <w:rsid w:val="008E7F70"/>
    <w:rsid w:val="0090731E"/>
    <w:rsid w:val="00920141"/>
    <w:rsid w:val="00924857"/>
    <w:rsid w:val="009368D1"/>
    <w:rsid w:val="0094323B"/>
    <w:rsid w:val="00947A54"/>
    <w:rsid w:val="00961879"/>
    <w:rsid w:val="00966A22"/>
    <w:rsid w:val="00974CD6"/>
    <w:rsid w:val="0098678B"/>
    <w:rsid w:val="009D30E6"/>
    <w:rsid w:val="009E3F6F"/>
    <w:rsid w:val="009F499F"/>
    <w:rsid w:val="00A11D74"/>
    <w:rsid w:val="00A25653"/>
    <w:rsid w:val="00A4260B"/>
    <w:rsid w:val="00A4460E"/>
    <w:rsid w:val="00A8541B"/>
    <w:rsid w:val="00A91568"/>
    <w:rsid w:val="00A9547B"/>
    <w:rsid w:val="00AB5BB5"/>
    <w:rsid w:val="00AC0AE4"/>
    <w:rsid w:val="00AD61DB"/>
    <w:rsid w:val="00AE7983"/>
    <w:rsid w:val="00B1090C"/>
    <w:rsid w:val="00B35AF5"/>
    <w:rsid w:val="00B43F94"/>
    <w:rsid w:val="00B45C15"/>
    <w:rsid w:val="00B531A5"/>
    <w:rsid w:val="00B62995"/>
    <w:rsid w:val="00B807BC"/>
    <w:rsid w:val="00B84B24"/>
    <w:rsid w:val="00B87F54"/>
    <w:rsid w:val="00B9233D"/>
    <w:rsid w:val="00BC4168"/>
    <w:rsid w:val="00BC59CB"/>
    <w:rsid w:val="00BE0BE0"/>
    <w:rsid w:val="00BF6A31"/>
    <w:rsid w:val="00C075C3"/>
    <w:rsid w:val="00C20330"/>
    <w:rsid w:val="00C308EE"/>
    <w:rsid w:val="00C379EE"/>
    <w:rsid w:val="00C664C8"/>
    <w:rsid w:val="00C75323"/>
    <w:rsid w:val="00C7727F"/>
    <w:rsid w:val="00CA3CE2"/>
    <w:rsid w:val="00CB29CA"/>
    <w:rsid w:val="00CF0460"/>
    <w:rsid w:val="00CF6A45"/>
    <w:rsid w:val="00D41950"/>
    <w:rsid w:val="00D43E0F"/>
    <w:rsid w:val="00D45252"/>
    <w:rsid w:val="00D65327"/>
    <w:rsid w:val="00D71B4D"/>
    <w:rsid w:val="00D74A14"/>
    <w:rsid w:val="00D75C1E"/>
    <w:rsid w:val="00D920FB"/>
    <w:rsid w:val="00D93D55"/>
    <w:rsid w:val="00DB12A3"/>
    <w:rsid w:val="00DB1C48"/>
    <w:rsid w:val="00DB389A"/>
    <w:rsid w:val="00DD4917"/>
    <w:rsid w:val="00DD6A16"/>
    <w:rsid w:val="00DE6871"/>
    <w:rsid w:val="00E0091A"/>
    <w:rsid w:val="00E042A2"/>
    <w:rsid w:val="00E203AA"/>
    <w:rsid w:val="00E5217A"/>
    <w:rsid w:val="00E526F3"/>
    <w:rsid w:val="00E527A5"/>
    <w:rsid w:val="00E53CB9"/>
    <w:rsid w:val="00E657FA"/>
    <w:rsid w:val="00E76456"/>
    <w:rsid w:val="00ED09F1"/>
    <w:rsid w:val="00EE249C"/>
    <w:rsid w:val="00EE71CB"/>
    <w:rsid w:val="00EF1627"/>
    <w:rsid w:val="00EF5210"/>
    <w:rsid w:val="00F038C5"/>
    <w:rsid w:val="00F120FA"/>
    <w:rsid w:val="00F16975"/>
    <w:rsid w:val="00F520A9"/>
    <w:rsid w:val="00F66152"/>
    <w:rsid w:val="00F87720"/>
    <w:rsid w:val="00FA147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320D705"/>
  <w15:docId w15:val="{EB9E9B37-45E2-4DE3-93F2-7D82EE04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link w:val="EndnoteTextChar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7A37D6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4025DF"/>
  </w:style>
  <w:style w:type="paragraph" w:styleId="Signature">
    <w:name w:val="Signature"/>
    <w:basedOn w:val="Normal"/>
    <w:link w:val="SignatureChar"/>
    <w:semiHidden/>
    <w:rsid w:val="004025DF"/>
    <w:pPr>
      <w:ind w:left="5250"/>
    </w:pPr>
  </w:style>
  <w:style w:type="table" w:styleId="TableGrid">
    <w:name w:val="Table Grid"/>
    <w:basedOn w:val="TableNormal"/>
    <w:rsid w:val="002A761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A76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A76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761B"/>
    <w:pPr>
      <w:ind w:left="720"/>
      <w:contextualSpacing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2A761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2A761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A761B"/>
    <w:rPr>
      <w:rFonts w:ascii="Arial" w:eastAsia="SimSun" w:hAnsi="Arial" w:cs="Arial"/>
      <w:sz w:val="22"/>
      <w:lang w:eastAsia="zh-CN"/>
    </w:rPr>
  </w:style>
  <w:style w:type="character" w:customStyle="1" w:styleId="Endofdocument-AnnexChar">
    <w:name w:val="[End of document - Annex] Char"/>
    <w:link w:val="Endofdocument-Annex"/>
    <w:rsid w:val="007A37D6"/>
    <w:rPr>
      <w:rFonts w:ascii="Arial" w:eastAsia="SimSun" w:hAnsi="Arial" w:cs="Arial"/>
      <w:sz w:val="22"/>
      <w:lang w:val="fr-FR" w:eastAsia="zh-CN"/>
    </w:rPr>
  </w:style>
  <w:style w:type="character" w:styleId="FootnoteReference">
    <w:name w:val="footnote reference"/>
    <w:rsid w:val="002A761B"/>
    <w:rPr>
      <w:vertAlign w:val="superscript"/>
    </w:rPr>
  </w:style>
  <w:style w:type="character" w:customStyle="1" w:styleId="Heading3Char">
    <w:name w:val="Heading 3 Char"/>
    <w:link w:val="Heading3"/>
    <w:rsid w:val="002A761B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2A76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2A761B"/>
  </w:style>
  <w:style w:type="paragraph" w:styleId="NormalWeb">
    <w:name w:val="Normal (Web)"/>
    <w:basedOn w:val="Normal"/>
    <w:uiPriority w:val="99"/>
    <w:rsid w:val="002A76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ull1">
    <w:name w:val="null1"/>
    <w:rsid w:val="002A761B"/>
  </w:style>
  <w:style w:type="character" w:styleId="CommentReference">
    <w:name w:val="annotation reference"/>
    <w:basedOn w:val="DefaultParagraphFont"/>
    <w:rsid w:val="002A76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761B"/>
    <w:rPr>
      <w:rFonts w:eastAsia="Times New Roman"/>
      <w:b/>
      <w:bCs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A76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761B"/>
    <w:rPr>
      <w:rFonts w:ascii="Arial" w:eastAsia="SimSun" w:hAnsi="Arial" w:cs="Arial"/>
      <w:b/>
      <w:bCs/>
      <w:sz w:val="18"/>
      <w:lang w:val="en-US" w:eastAsia="en-US"/>
    </w:rPr>
  </w:style>
  <w:style w:type="paragraph" w:styleId="Revision">
    <w:name w:val="Revision"/>
    <w:hidden/>
    <w:uiPriority w:val="99"/>
    <w:semiHidden/>
    <w:rsid w:val="002A761B"/>
    <w:rPr>
      <w:rFonts w:ascii="Arial" w:hAnsi="Arial" w:cs="Arial"/>
      <w:sz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A761B"/>
    <w:rPr>
      <w:rFonts w:ascii="Arial" w:eastAsia="SimSun" w:hAnsi="Arial" w:cs="Arial"/>
      <w:sz w:val="18"/>
      <w:lang w:eastAsia="zh-CN"/>
    </w:rPr>
  </w:style>
  <w:style w:type="character" w:customStyle="1" w:styleId="Heading4Char">
    <w:name w:val="Heading 4 Char"/>
    <w:basedOn w:val="DefaultParagraphFont"/>
    <w:link w:val="Heading4"/>
    <w:rsid w:val="002A761B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Emphasis">
    <w:name w:val="Emphasis"/>
    <w:uiPriority w:val="20"/>
    <w:qFormat/>
    <w:rsid w:val="002A761B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A761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FSChar">
    <w:name w:val="ONUM FS Char"/>
    <w:link w:val="ONUMFS"/>
    <w:rsid w:val="002A761B"/>
    <w:rPr>
      <w:rFonts w:ascii="Arial" w:eastAsia="SimSun" w:hAnsi="Arial" w:cs="Arial"/>
      <w:sz w:val="22"/>
      <w:lang w:eastAsia="zh-CN"/>
    </w:rPr>
  </w:style>
  <w:style w:type="paragraph" w:styleId="Title">
    <w:name w:val="Title"/>
    <w:basedOn w:val="Heading1"/>
    <w:next w:val="Normal"/>
    <w:link w:val="TitleChar"/>
    <w:qFormat/>
    <w:rsid w:val="001B2C39"/>
    <w:pPr>
      <w:spacing w:before="0" w:after="480"/>
    </w:pPr>
    <w:rPr>
      <w:bCs w:val="0"/>
      <w:caps w:val="0"/>
      <w:kern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1B2C39"/>
    <w:rPr>
      <w:rFonts w:ascii="Arial" w:eastAsia="SimSun" w:hAnsi="Arial" w:cs="Arial"/>
      <w:b/>
      <w:sz w:val="28"/>
      <w:szCs w:val="28"/>
      <w:lang w:val="fr-FR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6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819B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0819BC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0819BC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0819BC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0819BC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0819B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dacatalogue.wipo.int/projectfiles/DA_01_05_01/CDIP_24_2/EN/Report_%20Virtual%20Consultations.pdf" TargetMode="External"/><Relationship Id="rId26" Type="http://schemas.openxmlformats.org/officeDocument/2006/relationships/hyperlink" Target="https://dacatalogue.wipo.int/projects/DA_01_05_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acatalogue.wipo.int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ipo.int/meetings/fr/doc_details.jsp?doc_id=461561" TargetMode="External"/><Relationship Id="rId25" Type="http://schemas.openxmlformats.org/officeDocument/2006/relationships/hyperlink" Target="https://dacatalogue.wipo.int/projects/DA_01_05_01" TargetMode="Externa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wipo.int/ip-development/fr/agenda/recommendations.html" TargetMode="External"/><Relationship Id="rId20" Type="http://schemas.openxmlformats.org/officeDocument/2006/relationships/hyperlink" Target="https://www.wipo.int/meetings/fr/doc_details.jsp?doc_id=474805" TargetMode="External"/><Relationship Id="rId29" Type="http://schemas.openxmlformats.org/officeDocument/2006/relationships/hyperlink" Target="https://dacatalogue.wipo.int/projec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wipo.int/ip-development/fr/agenda/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doc_details.jsp?doc_id=461561" TargetMode="External"/><Relationship Id="rId23" Type="http://schemas.openxmlformats.org/officeDocument/2006/relationships/hyperlink" Target="https://dacatalogue.wipo.int/projects/DA_01_05_01" TargetMode="External"/><Relationship Id="rId28" Type="http://schemas.openxmlformats.org/officeDocument/2006/relationships/hyperlink" Target="https://dacatalogue.wipo.int/projectfiles/DA_01_05_01/CDIP_24_2/EN/Report_%20Virtual%20Consultations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wipo.int/meetings/fr/doc_details.jsp?doc_id=474805" TargetMode="External"/><Relationship Id="rId31" Type="http://schemas.openxmlformats.org/officeDocument/2006/relationships/hyperlink" Target="https://www.wipo.int/ipdevelopment/fr/agend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dacatalogue.wipo.int/projects/DA_01_05_01" TargetMode="External"/><Relationship Id="rId27" Type="http://schemas.openxmlformats.org/officeDocument/2006/relationships/hyperlink" Target="https://www.wipo.int/meetings/fr/doc_details.jsp?doc_id=538652" TargetMode="External"/><Relationship Id="rId30" Type="http://schemas.openxmlformats.org/officeDocument/2006/relationships/hyperlink" Target="https://dacatalogue.wipo.int/projects/DA_01_05_01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6E63C-A34F-4E7E-9775-3465C5AD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(F)</Template>
  <TotalTime>6804</TotalTime>
  <Pages>13</Pages>
  <Words>4626</Words>
  <Characters>25310</Characters>
  <Application>Microsoft Office Word</Application>
  <DocSecurity>0</DocSecurity>
  <Lines>714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CDIP/26/</vt:lpstr>
    </vt:vector>
  </TitlesOfParts>
  <Company>WIPO</Company>
  <LinksUpToDate>false</LinksUpToDate>
  <CharactersWithSpaces>29875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CDIP/26/</dc:title>
  <dc:creator>AUBERT Annaelle</dc:creator>
  <cp:keywords>FOR OFFICIAL USE ONLY</cp:keywords>
  <cp:lastModifiedBy>ESTEVES DOS SANTOS Anabela</cp:lastModifiedBy>
  <cp:revision>21</cp:revision>
  <cp:lastPrinted>2011-05-19T12:37:00Z</cp:lastPrinted>
  <dcterms:created xsi:type="dcterms:W3CDTF">2022-08-26T13:31:00Z</dcterms:created>
  <dcterms:modified xsi:type="dcterms:W3CDTF">2022-08-31T13:13:00Z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